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1F" w:rsidRPr="00274507" w:rsidRDefault="003F381F" w:rsidP="00274507">
      <w:pPr>
        <w:pStyle w:val="Sinespacio"/>
        <w:numPr>
          <w:ilvl w:val="0"/>
          <w:numId w:val="0"/>
        </w:numPr>
        <w:tabs>
          <w:tab w:val="left" w:pos="708"/>
        </w:tabs>
        <w:jc w:val="left"/>
        <w:rPr>
          <w:lang w:val="es-CO"/>
        </w:rPr>
      </w:pPr>
      <w:bookmarkStart w:id="0" w:name="_GoBack"/>
      <w:bookmarkEnd w:id="0"/>
      <w:r w:rsidRPr="00274507">
        <w:rPr>
          <w:lang w:val="es-CO"/>
        </w:rPr>
        <w:t>A</w:t>
      </w:r>
      <w:r w:rsidR="00274507" w:rsidRPr="00274507">
        <w:rPr>
          <w:lang w:val="es-CO"/>
        </w:rPr>
        <w:t>uto</w:t>
      </w:r>
      <w:r w:rsidRPr="00274507">
        <w:rPr>
          <w:lang w:val="es-CO"/>
        </w:rPr>
        <w:t xml:space="preserve"> 590</w:t>
      </w:r>
      <w:r w:rsidR="00274507">
        <w:rPr>
          <w:lang w:val="es-CO"/>
        </w:rPr>
        <w:t>/</w:t>
      </w:r>
      <w:r w:rsidRPr="00274507">
        <w:rPr>
          <w:lang w:val="es-CO"/>
        </w:rPr>
        <w:t>16</w:t>
      </w:r>
    </w:p>
    <w:p w:rsidR="00A830BF" w:rsidRPr="00274507" w:rsidRDefault="00A830BF" w:rsidP="00274507">
      <w:pPr>
        <w:tabs>
          <w:tab w:val="left" w:pos="1800"/>
        </w:tabs>
        <w:overflowPunct w:val="0"/>
        <w:autoSpaceDE w:val="0"/>
        <w:autoSpaceDN w:val="0"/>
        <w:adjustRightInd w:val="0"/>
        <w:jc w:val="both"/>
        <w:rPr>
          <w:b/>
          <w:bCs/>
          <w:sz w:val="28"/>
          <w:szCs w:val="28"/>
        </w:rPr>
      </w:pPr>
    </w:p>
    <w:p w:rsidR="00DB75F6" w:rsidRPr="00274507" w:rsidRDefault="00DB75F6" w:rsidP="00274507">
      <w:pPr>
        <w:tabs>
          <w:tab w:val="left" w:pos="1800"/>
        </w:tabs>
        <w:overflowPunct w:val="0"/>
        <w:autoSpaceDE w:val="0"/>
        <w:autoSpaceDN w:val="0"/>
        <w:adjustRightInd w:val="0"/>
        <w:ind w:left="4536"/>
        <w:jc w:val="both"/>
        <w:rPr>
          <w:sz w:val="28"/>
          <w:szCs w:val="28"/>
          <w:lang w:val="es-ES_tradnl"/>
        </w:rPr>
      </w:pPr>
      <w:r w:rsidRPr="00274507">
        <w:rPr>
          <w:bCs/>
          <w:sz w:val="28"/>
          <w:szCs w:val="28"/>
          <w:lang w:val="es-ES_tradnl"/>
        </w:rPr>
        <w:t>Referencia:</w:t>
      </w:r>
      <w:r w:rsidRPr="00274507">
        <w:rPr>
          <w:sz w:val="28"/>
          <w:szCs w:val="28"/>
          <w:lang w:val="es-ES_tradnl"/>
        </w:rPr>
        <w:t xml:space="preserve"> Seguimiento a </w:t>
      </w:r>
      <w:r w:rsidR="00DA6B66" w:rsidRPr="00274507">
        <w:rPr>
          <w:sz w:val="28"/>
          <w:szCs w:val="28"/>
        </w:rPr>
        <w:t>la orden trigésima</w:t>
      </w:r>
      <w:r w:rsidRPr="00274507">
        <w:rPr>
          <w:sz w:val="28"/>
          <w:szCs w:val="28"/>
        </w:rPr>
        <w:t xml:space="preserve"> de </w:t>
      </w:r>
      <w:r w:rsidRPr="00274507">
        <w:rPr>
          <w:sz w:val="28"/>
          <w:szCs w:val="28"/>
          <w:lang w:val="es-ES_tradnl"/>
        </w:rPr>
        <w:t xml:space="preserve">la Sentencia T-760 de 2008. </w:t>
      </w:r>
    </w:p>
    <w:p w:rsidR="00DB75F6" w:rsidRPr="00274507" w:rsidRDefault="00DB75F6" w:rsidP="00274507">
      <w:pPr>
        <w:tabs>
          <w:tab w:val="left" w:pos="1800"/>
        </w:tabs>
        <w:overflowPunct w:val="0"/>
        <w:autoSpaceDE w:val="0"/>
        <w:autoSpaceDN w:val="0"/>
        <w:adjustRightInd w:val="0"/>
        <w:ind w:left="4536"/>
        <w:jc w:val="both"/>
        <w:rPr>
          <w:sz w:val="28"/>
          <w:szCs w:val="28"/>
          <w:lang w:val="es-ES_tradnl"/>
        </w:rPr>
      </w:pPr>
    </w:p>
    <w:p w:rsidR="00DB75F6" w:rsidRPr="00274507" w:rsidRDefault="00DB75F6" w:rsidP="00274507">
      <w:pPr>
        <w:ind w:left="4536"/>
        <w:jc w:val="both"/>
        <w:rPr>
          <w:sz w:val="28"/>
          <w:szCs w:val="28"/>
        </w:rPr>
      </w:pPr>
      <w:r w:rsidRPr="00274507">
        <w:rPr>
          <w:bCs/>
          <w:sz w:val="28"/>
          <w:szCs w:val="28"/>
        </w:rPr>
        <w:t>Asunto:</w:t>
      </w:r>
      <w:r w:rsidRPr="00274507">
        <w:rPr>
          <w:sz w:val="28"/>
          <w:szCs w:val="28"/>
        </w:rPr>
        <w:t xml:space="preserve"> Valoración del nivel de  cumplimiento del citado mandato.</w:t>
      </w:r>
    </w:p>
    <w:p w:rsidR="00DB75F6" w:rsidRPr="00274507" w:rsidRDefault="00DB75F6" w:rsidP="00274507">
      <w:pPr>
        <w:ind w:left="4536"/>
        <w:jc w:val="both"/>
        <w:rPr>
          <w:sz w:val="28"/>
          <w:szCs w:val="28"/>
        </w:rPr>
      </w:pPr>
      <w:r w:rsidRPr="00274507">
        <w:rPr>
          <w:sz w:val="28"/>
          <w:szCs w:val="28"/>
        </w:rPr>
        <w:t xml:space="preserve"> </w:t>
      </w:r>
    </w:p>
    <w:p w:rsidR="00DB75F6" w:rsidRPr="00274507" w:rsidRDefault="00DB75F6" w:rsidP="00274507">
      <w:pPr>
        <w:tabs>
          <w:tab w:val="left" w:pos="1800"/>
        </w:tabs>
        <w:ind w:left="4536"/>
        <w:jc w:val="both"/>
        <w:rPr>
          <w:bCs/>
          <w:sz w:val="28"/>
          <w:szCs w:val="28"/>
        </w:rPr>
      </w:pPr>
      <w:r w:rsidRPr="00274507">
        <w:rPr>
          <w:bCs/>
          <w:sz w:val="28"/>
          <w:szCs w:val="28"/>
          <w:lang w:val="pt-BR"/>
        </w:rPr>
        <w:t>Magistrado Sustanciador:</w:t>
      </w:r>
    </w:p>
    <w:p w:rsidR="00DB75F6" w:rsidRPr="00274507" w:rsidRDefault="00DB75F6" w:rsidP="00274507">
      <w:pPr>
        <w:tabs>
          <w:tab w:val="left" w:pos="1800"/>
        </w:tabs>
        <w:ind w:left="4536"/>
        <w:jc w:val="both"/>
        <w:rPr>
          <w:sz w:val="28"/>
          <w:szCs w:val="28"/>
          <w:lang w:val="pt-BR"/>
        </w:rPr>
      </w:pPr>
      <w:r w:rsidRPr="00274507">
        <w:rPr>
          <w:sz w:val="28"/>
          <w:szCs w:val="28"/>
          <w:lang w:val="pt-BR"/>
        </w:rPr>
        <w:t>JORGE IVÁN PALACIO PALACIO</w:t>
      </w:r>
    </w:p>
    <w:p w:rsidR="00806B61" w:rsidRDefault="00806B61" w:rsidP="00274507">
      <w:pPr>
        <w:tabs>
          <w:tab w:val="left" w:pos="1800"/>
        </w:tabs>
        <w:jc w:val="both"/>
        <w:rPr>
          <w:sz w:val="28"/>
          <w:szCs w:val="28"/>
          <w:lang w:val="pt-BR"/>
        </w:rPr>
      </w:pPr>
    </w:p>
    <w:p w:rsidR="00274507" w:rsidRPr="00274507" w:rsidRDefault="00274507" w:rsidP="00274507">
      <w:pPr>
        <w:tabs>
          <w:tab w:val="left" w:pos="1800"/>
        </w:tabs>
        <w:jc w:val="both"/>
        <w:rPr>
          <w:sz w:val="28"/>
          <w:szCs w:val="28"/>
          <w:lang w:val="pt-BR"/>
        </w:rPr>
      </w:pPr>
    </w:p>
    <w:p w:rsidR="00DB75F6" w:rsidRPr="00274507" w:rsidRDefault="00DB75F6" w:rsidP="00274507">
      <w:pPr>
        <w:jc w:val="both"/>
        <w:rPr>
          <w:snapToGrid w:val="0"/>
          <w:sz w:val="28"/>
          <w:szCs w:val="28"/>
        </w:rPr>
      </w:pPr>
      <w:r w:rsidRPr="00274507">
        <w:rPr>
          <w:snapToGrid w:val="0"/>
          <w:sz w:val="28"/>
          <w:szCs w:val="28"/>
        </w:rPr>
        <w:t xml:space="preserve">Bogotá D.C., </w:t>
      </w:r>
      <w:r w:rsidR="003F381F" w:rsidRPr="00274507">
        <w:rPr>
          <w:snapToGrid w:val="0"/>
          <w:sz w:val="28"/>
          <w:szCs w:val="28"/>
        </w:rPr>
        <w:t>doce</w:t>
      </w:r>
      <w:r w:rsidR="00BE651E" w:rsidRPr="00274507">
        <w:rPr>
          <w:snapToGrid w:val="0"/>
          <w:sz w:val="28"/>
          <w:szCs w:val="28"/>
        </w:rPr>
        <w:t xml:space="preserve"> </w:t>
      </w:r>
      <w:r w:rsidRPr="00274507">
        <w:rPr>
          <w:snapToGrid w:val="0"/>
          <w:sz w:val="28"/>
          <w:szCs w:val="28"/>
        </w:rPr>
        <w:t>(</w:t>
      </w:r>
      <w:r w:rsidR="003F381F" w:rsidRPr="00274507">
        <w:rPr>
          <w:snapToGrid w:val="0"/>
          <w:sz w:val="28"/>
          <w:szCs w:val="28"/>
        </w:rPr>
        <w:t>12</w:t>
      </w:r>
      <w:r w:rsidRPr="00274507">
        <w:rPr>
          <w:snapToGrid w:val="0"/>
          <w:sz w:val="28"/>
          <w:szCs w:val="28"/>
        </w:rPr>
        <w:t xml:space="preserve">) </w:t>
      </w:r>
      <w:r w:rsidR="00225856" w:rsidRPr="00274507">
        <w:rPr>
          <w:snapToGrid w:val="0"/>
          <w:sz w:val="28"/>
          <w:szCs w:val="28"/>
        </w:rPr>
        <w:t>diciem</w:t>
      </w:r>
      <w:r w:rsidR="00A43472" w:rsidRPr="00274507">
        <w:rPr>
          <w:snapToGrid w:val="0"/>
          <w:sz w:val="28"/>
          <w:szCs w:val="28"/>
        </w:rPr>
        <w:t>bre</w:t>
      </w:r>
      <w:r w:rsidRPr="00274507">
        <w:rPr>
          <w:snapToGrid w:val="0"/>
          <w:sz w:val="28"/>
          <w:szCs w:val="28"/>
        </w:rPr>
        <w:t xml:space="preserve"> de dos mil </w:t>
      </w:r>
      <w:r w:rsidR="00DA6B66" w:rsidRPr="00274507">
        <w:rPr>
          <w:snapToGrid w:val="0"/>
          <w:sz w:val="28"/>
          <w:szCs w:val="28"/>
        </w:rPr>
        <w:t>dieciséis</w:t>
      </w:r>
      <w:r w:rsidR="000B77BD" w:rsidRPr="00274507">
        <w:rPr>
          <w:snapToGrid w:val="0"/>
          <w:sz w:val="28"/>
          <w:szCs w:val="28"/>
        </w:rPr>
        <w:t xml:space="preserve"> (201</w:t>
      </w:r>
      <w:r w:rsidR="00DA6B66" w:rsidRPr="00274507">
        <w:rPr>
          <w:snapToGrid w:val="0"/>
          <w:sz w:val="28"/>
          <w:szCs w:val="28"/>
        </w:rPr>
        <w:t>6</w:t>
      </w:r>
      <w:r w:rsidRPr="00274507">
        <w:rPr>
          <w:snapToGrid w:val="0"/>
          <w:sz w:val="28"/>
          <w:szCs w:val="28"/>
        </w:rPr>
        <w:t>)</w:t>
      </w:r>
      <w:r w:rsidR="000B77BD" w:rsidRPr="00274507">
        <w:rPr>
          <w:snapToGrid w:val="0"/>
          <w:sz w:val="28"/>
          <w:szCs w:val="28"/>
        </w:rPr>
        <w:t>.</w:t>
      </w:r>
    </w:p>
    <w:p w:rsidR="00703A0B" w:rsidRDefault="00703A0B" w:rsidP="00274507">
      <w:pPr>
        <w:jc w:val="both"/>
        <w:rPr>
          <w:snapToGrid w:val="0"/>
          <w:sz w:val="28"/>
          <w:szCs w:val="28"/>
        </w:rPr>
      </w:pPr>
    </w:p>
    <w:p w:rsidR="00274507" w:rsidRPr="00274507" w:rsidRDefault="00274507" w:rsidP="00274507">
      <w:pPr>
        <w:jc w:val="both"/>
        <w:rPr>
          <w:snapToGrid w:val="0"/>
          <w:sz w:val="28"/>
          <w:szCs w:val="28"/>
        </w:rPr>
      </w:pPr>
    </w:p>
    <w:p w:rsidR="002C61D3" w:rsidRPr="00274507" w:rsidRDefault="002C61D3" w:rsidP="00274507">
      <w:pPr>
        <w:jc w:val="both"/>
        <w:rPr>
          <w:snapToGrid w:val="0"/>
          <w:sz w:val="28"/>
          <w:szCs w:val="28"/>
        </w:rPr>
      </w:pPr>
      <w:r w:rsidRPr="00274507">
        <w:rPr>
          <w:snapToGrid w:val="0"/>
          <w:sz w:val="28"/>
          <w:szCs w:val="28"/>
        </w:rPr>
        <w:t>La Sala Especial de la Corte Constitucional, conformada por la Sala Plena en sesión del 1° de abril de 2009 para efectuar el seguimiento al cumplimiento de la Sentencia T-760 de 2008, integrada por los magistrados Alejandro Linares Cantillo, Gabriel Eduardo Mendoza Martelo y Jorge Iván Palacio Palacio quien la preside, en ejercicio de sus competencias constitucionales y legales, procede a dictar el presente auto, con base en los siguientes:</w:t>
      </w:r>
    </w:p>
    <w:p w:rsidR="00806B61" w:rsidRPr="00274507" w:rsidRDefault="00806B61" w:rsidP="00274507">
      <w:pPr>
        <w:jc w:val="center"/>
        <w:rPr>
          <w:b/>
          <w:bCs/>
          <w:sz w:val="28"/>
          <w:szCs w:val="28"/>
        </w:rPr>
      </w:pPr>
    </w:p>
    <w:p w:rsidR="002C61D3" w:rsidRPr="00274507" w:rsidRDefault="002C61D3" w:rsidP="00274507">
      <w:pPr>
        <w:numPr>
          <w:ilvl w:val="0"/>
          <w:numId w:val="2"/>
        </w:numPr>
        <w:tabs>
          <w:tab w:val="clear" w:pos="1080"/>
          <w:tab w:val="num" w:pos="0"/>
        </w:tabs>
        <w:ind w:left="0" w:firstLine="0"/>
        <w:jc w:val="center"/>
        <w:rPr>
          <w:b/>
          <w:bCs/>
          <w:sz w:val="28"/>
          <w:szCs w:val="28"/>
        </w:rPr>
      </w:pPr>
      <w:r w:rsidRPr="00274507">
        <w:rPr>
          <w:b/>
          <w:bCs/>
          <w:sz w:val="28"/>
          <w:szCs w:val="28"/>
        </w:rPr>
        <w:t>ANTECEDENTES</w:t>
      </w:r>
    </w:p>
    <w:p w:rsidR="002C61D3" w:rsidRPr="00274507" w:rsidRDefault="002C61D3" w:rsidP="00274507">
      <w:pPr>
        <w:tabs>
          <w:tab w:val="left" w:pos="357"/>
        </w:tabs>
        <w:jc w:val="both"/>
        <w:rPr>
          <w:b/>
          <w:bCs/>
          <w:sz w:val="28"/>
          <w:szCs w:val="28"/>
        </w:rPr>
      </w:pPr>
    </w:p>
    <w:p w:rsidR="009F7CE4" w:rsidRPr="00274507" w:rsidRDefault="009F7CE4" w:rsidP="00274507">
      <w:pPr>
        <w:widowControl w:val="0"/>
        <w:numPr>
          <w:ilvl w:val="0"/>
          <w:numId w:val="4"/>
        </w:numPr>
        <w:tabs>
          <w:tab w:val="left" w:pos="426"/>
        </w:tabs>
        <w:autoSpaceDE w:val="0"/>
        <w:autoSpaceDN w:val="0"/>
        <w:adjustRightInd w:val="0"/>
        <w:ind w:left="0" w:firstLine="0"/>
        <w:jc w:val="both"/>
        <w:rPr>
          <w:b/>
          <w:sz w:val="28"/>
          <w:szCs w:val="28"/>
          <w:lang w:val="es-ES_tradnl" w:eastAsia="es-ES_tradnl"/>
        </w:rPr>
      </w:pPr>
      <w:r w:rsidRPr="00274507">
        <w:rPr>
          <w:b/>
          <w:sz w:val="28"/>
          <w:szCs w:val="28"/>
          <w:lang w:val="es-ES_tradnl" w:eastAsia="es-ES_tradnl"/>
        </w:rPr>
        <w:t>Sentencia T-760 de 2008.</w:t>
      </w:r>
    </w:p>
    <w:p w:rsidR="00AF515E" w:rsidRPr="00274507" w:rsidRDefault="00AF515E" w:rsidP="00274507">
      <w:pPr>
        <w:widowControl w:val="0"/>
        <w:tabs>
          <w:tab w:val="left" w:pos="426"/>
        </w:tabs>
        <w:autoSpaceDE w:val="0"/>
        <w:autoSpaceDN w:val="0"/>
        <w:adjustRightInd w:val="0"/>
        <w:jc w:val="both"/>
        <w:rPr>
          <w:sz w:val="28"/>
          <w:szCs w:val="28"/>
          <w:lang w:val="es-ES_tradnl" w:eastAsia="es-ES_tradnl"/>
        </w:rPr>
      </w:pPr>
    </w:p>
    <w:p w:rsidR="00AF515E" w:rsidRPr="00274507" w:rsidRDefault="00AF515E" w:rsidP="00274507">
      <w:pPr>
        <w:widowControl w:val="0"/>
        <w:tabs>
          <w:tab w:val="left" w:pos="426"/>
        </w:tabs>
        <w:autoSpaceDE w:val="0"/>
        <w:autoSpaceDN w:val="0"/>
        <w:adjustRightInd w:val="0"/>
        <w:jc w:val="both"/>
        <w:rPr>
          <w:sz w:val="28"/>
          <w:szCs w:val="28"/>
          <w:lang w:val="es-ES_tradnl" w:eastAsia="es-ES_tradnl"/>
        </w:rPr>
      </w:pPr>
      <w:r w:rsidRPr="00274507">
        <w:rPr>
          <w:sz w:val="28"/>
          <w:szCs w:val="28"/>
          <w:lang w:val="es-ES_tradnl" w:eastAsia="es-ES_tradnl"/>
        </w:rPr>
        <w:t>En la sentencia referida este Tribunal analizó 22 casos concretos</w:t>
      </w:r>
      <w:r w:rsidR="00194E12" w:rsidRPr="00274507">
        <w:rPr>
          <w:sz w:val="28"/>
          <w:szCs w:val="28"/>
          <w:lang w:eastAsia="es-ES_tradnl"/>
        </w:rPr>
        <w:t xml:space="preserve"> acumulados </w:t>
      </w:r>
      <w:r w:rsidRPr="00274507">
        <w:rPr>
          <w:sz w:val="28"/>
          <w:szCs w:val="28"/>
          <w:lang w:val="es-ES_tradnl" w:eastAsia="es-ES_tradnl"/>
        </w:rPr>
        <w:t>a través de los cuales revisó la situación fáctica de</w:t>
      </w:r>
      <w:r w:rsidR="00CA5A1A" w:rsidRPr="00274507">
        <w:rPr>
          <w:sz w:val="28"/>
          <w:szCs w:val="28"/>
          <w:lang w:val="es-ES_tradnl" w:eastAsia="es-ES_tradnl"/>
        </w:rPr>
        <w:t xml:space="preserve"> cada uno de los accionante</w:t>
      </w:r>
      <w:r w:rsidR="000E37D6" w:rsidRPr="00274507">
        <w:rPr>
          <w:sz w:val="28"/>
          <w:szCs w:val="28"/>
          <w:lang w:val="es-ES_tradnl" w:eastAsia="es-ES_tradnl"/>
        </w:rPr>
        <w:t>s</w:t>
      </w:r>
      <w:r w:rsidR="00CA5A1A" w:rsidRPr="00274507">
        <w:rPr>
          <w:sz w:val="28"/>
          <w:szCs w:val="28"/>
          <w:lang w:val="es-ES_tradnl" w:eastAsia="es-ES_tradnl"/>
        </w:rPr>
        <w:t>, en su momento</w:t>
      </w:r>
      <w:r w:rsidR="000E37D6" w:rsidRPr="00274507">
        <w:rPr>
          <w:sz w:val="28"/>
          <w:szCs w:val="28"/>
          <w:lang w:val="es-ES_tradnl" w:eastAsia="es-ES_tradnl"/>
        </w:rPr>
        <w:t xml:space="preserve">. A partir de ello, se realizaron una serie de análisis </w:t>
      </w:r>
      <w:r w:rsidR="00F02A91" w:rsidRPr="00274507">
        <w:rPr>
          <w:sz w:val="28"/>
          <w:szCs w:val="28"/>
          <w:lang w:val="es-ES_tradnl" w:eastAsia="es-ES_tradnl"/>
        </w:rPr>
        <w:t xml:space="preserve">fácticos que </w:t>
      </w:r>
      <w:r w:rsidR="000E37D6" w:rsidRPr="00274507">
        <w:rPr>
          <w:sz w:val="28"/>
          <w:szCs w:val="28"/>
          <w:lang w:val="es-ES_tradnl" w:eastAsia="es-ES_tradnl"/>
        </w:rPr>
        <w:t>e</w:t>
      </w:r>
      <w:r w:rsidR="00A00CC3" w:rsidRPr="00274507">
        <w:rPr>
          <w:sz w:val="28"/>
          <w:szCs w:val="28"/>
          <w:lang w:val="es-ES_tradnl" w:eastAsia="es-ES_tradnl"/>
        </w:rPr>
        <w:t>videnciaron</w:t>
      </w:r>
      <w:r w:rsidR="000E37D6" w:rsidRPr="00274507">
        <w:rPr>
          <w:sz w:val="28"/>
          <w:szCs w:val="28"/>
          <w:lang w:val="es-ES_tradnl" w:eastAsia="es-ES_tradnl"/>
        </w:rPr>
        <w:t xml:space="preserve"> </w:t>
      </w:r>
      <w:r w:rsidR="00CA5A1A" w:rsidRPr="00274507">
        <w:rPr>
          <w:sz w:val="28"/>
          <w:szCs w:val="28"/>
          <w:lang w:val="es-ES_tradnl" w:eastAsia="es-ES_tradnl"/>
        </w:rPr>
        <w:t>algunas falencias</w:t>
      </w:r>
      <w:r w:rsidR="00F02A91" w:rsidRPr="00274507">
        <w:rPr>
          <w:sz w:val="28"/>
          <w:szCs w:val="28"/>
          <w:lang w:val="es-ES_tradnl" w:eastAsia="es-ES_tradnl"/>
        </w:rPr>
        <w:t xml:space="preserve"> en el funcionamiento estructural y financiero del S</w:t>
      </w:r>
      <w:r w:rsidR="000E37D6" w:rsidRPr="00274507">
        <w:rPr>
          <w:sz w:val="28"/>
          <w:szCs w:val="28"/>
          <w:lang w:val="es-ES_tradnl" w:eastAsia="es-ES_tradnl"/>
        </w:rPr>
        <w:t>istema</w:t>
      </w:r>
      <w:r w:rsidR="00F02A91" w:rsidRPr="00274507">
        <w:rPr>
          <w:sz w:val="28"/>
          <w:szCs w:val="28"/>
          <w:lang w:val="es-ES_tradnl" w:eastAsia="es-ES_tradnl"/>
        </w:rPr>
        <w:t xml:space="preserve"> General</w:t>
      </w:r>
      <w:r w:rsidR="000E37D6" w:rsidRPr="00274507">
        <w:rPr>
          <w:sz w:val="28"/>
          <w:szCs w:val="28"/>
          <w:lang w:val="es-ES_tradnl" w:eastAsia="es-ES_tradnl"/>
        </w:rPr>
        <w:t xml:space="preserve"> de Seguridad Social en Salud</w:t>
      </w:r>
      <w:r w:rsidR="00B96F11" w:rsidRPr="00274507">
        <w:rPr>
          <w:sz w:val="28"/>
          <w:szCs w:val="28"/>
          <w:lang w:val="es-ES_tradnl" w:eastAsia="es-ES_tradnl"/>
        </w:rPr>
        <w:t xml:space="preserve"> (SGSSS)</w:t>
      </w:r>
      <w:r w:rsidR="000E37D6" w:rsidRPr="00274507">
        <w:rPr>
          <w:sz w:val="28"/>
          <w:szCs w:val="28"/>
          <w:lang w:val="es-ES_tradnl" w:eastAsia="es-ES_tradnl"/>
        </w:rPr>
        <w:t xml:space="preserve">, </w:t>
      </w:r>
      <w:r w:rsidR="00F02A91" w:rsidRPr="00274507">
        <w:rPr>
          <w:sz w:val="28"/>
          <w:szCs w:val="28"/>
          <w:lang w:val="es-ES_tradnl" w:eastAsia="es-ES_tradnl"/>
        </w:rPr>
        <w:t xml:space="preserve">que generaban consecuencias graves en la oportuna y eficaz prestación del servicio de </w:t>
      </w:r>
      <w:r w:rsidR="000E37D6" w:rsidRPr="00274507">
        <w:rPr>
          <w:sz w:val="28"/>
          <w:szCs w:val="28"/>
          <w:lang w:val="es-ES_tradnl" w:eastAsia="es-ES_tradnl"/>
        </w:rPr>
        <w:t>salud.</w:t>
      </w:r>
    </w:p>
    <w:p w:rsidR="00142A4A" w:rsidRPr="00274507" w:rsidRDefault="00142A4A" w:rsidP="00274507">
      <w:pPr>
        <w:widowControl w:val="0"/>
        <w:tabs>
          <w:tab w:val="left" w:pos="426"/>
        </w:tabs>
        <w:autoSpaceDE w:val="0"/>
        <w:autoSpaceDN w:val="0"/>
        <w:adjustRightInd w:val="0"/>
        <w:jc w:val="both"/>
        <w:rPr>
          <w:sz w:val="28"/>
          <w:szCs w:val="28"/>
          <w:lang w:val="es-ES_tradnl" w:eastAsia="es-ES_tradnl"/>
        </w:rPr>
      </w:pPr>
    </w:p>
    <w:p w:rsidR="00F02A91" w:rsidRPr="00274507" w:rsidRDefault="00F02A91" w:rsidP="00274507">
      <w:pPr>
        <w:widowControl w:val="0"/>
        <w:tabs>
          <w:tab w:val="left" w:pos="426"/>
        </w:tabs>
        <w:autoSpaceDE w:val="0"/>
        <w:autoSpaceDN w:val="0"/>
        <w:adjustRightInd w:val="0"/>
        <w:jc w:val="both"/>
        <w:rPr>
          <w:sz w:val="28"/>
          <w:szCs w:val="28"/>
          <w:bdr w:val="none" w:sz="0" w:space="0" w:color="auto" w:frame="1"/>
        </w:rPr>
      </w:pPr>
      <w:r w:rsidRPr="00274507">
        <w:rPr>
          <w:iCs/>
          <w:sz w:val="28"/>
          <w:szCs w:val="28"/>
        </w:rPr>
        <w:t xml:space="preserve">A partir de lo anterior, evidenció como problema jurídico central </w:t>
      </w:r>
      <w:r w:rsidRPr="00274507">
        <w:rPr>
          <w:sz w:val="28"/>
          <w:szCs w:val="28"/>
          <w:bdr w:val="none" w:sz="0" w:space="0" w:color="auto" w:frame="1"/>
        </w:rPr>
        <w:t>¿</w:t>
      </w:r>
      <w:r w:rsidRPr="00274507">
        <w:rPr>
          <w:i/>
          <w:sz w:val="28"/>
          <w:szCs w:val="28"/>
          <w:bdr w:val="none" w:sz="0" w:space="0" w:color="auto" w:frame="1"/>
        </w:rPr>
        <w:t>las fallas de regulación constatadas en la presente sentencia a partir de los casos acumulados y de las pruebas practicadas por esta Sala, representan una violación de las obligaciones constitucionales que tienen las autoridades competentes de </w:t>
      </w:r>
      <w:r w:rsidRPr="00274507">
        <w:rPr>
          <w:i/>
          <w:iCs/>
          <w:sz w:val="28"/>
          <w:szCs w:val="28"/>
          <w:bdr w:val="none" w:sz="0" w:space="0" w:color="auto" w:frame="1"/>
        </w:rPr>
        <w:t>respetar</w:t>
      </w:r>
      <w:r w:rsidRPr="00274507">
        <w:rPr>
          <w:i/>
          <w:sz w:val="28"/>
          <w:szCs w:val="28"/>
          <w:bdr w:val="none" w:sz="0" w:space="0" w:color="auto" w:frame="1"/>
        </w:rPr>
        <w:t>, </w:t>
      </w:r>
      <w:r w:rsidRPr="00274507">
        <w:rPr>
          <w:i/>
          <w:iCs/>
          <w:sz w:val="28"/>
          <w:szCs w:val="28"/>
          <w:bdr w:val="none" w:sz="0" w:space="0" w:color="auto" w:frame="1"/>
        </w:rPr>
        <w:t>proteger</w:t>
      </w:r>
      <w:r w:rsidRPr="00274507">
        <w:rPr>
          <w:i/>
          <w:sz w:val="28"/>
          <w:szCs w:val="28"/>
          <w:bdr w:val="none" w:sz="0" w:space="0" w:color="auto" w:frame="1"/>
        </w:rPr>
        <w:t> y </w:t>
      </w:r>
      <w:r w:rsidRPr="00274507">
        <w:rPr>
          <w:i/>
          <w:iCs/>
          <w:sz w:val="28"/>
          <w:szCs w:val="28"/>
          <w:bdr w:val="none" w:sz="0" w:space="0" w:color="auto" w:frame="1"/>
        </w:rPr>
        <w:t>garantizar</w:t>
      </w:r>
      <w:r w:rsidRPr="00274507">
        <w:rPr>
          <w:i/>
          <w:sz w:val="28"/>
          <w:szCs w:val="28"/>
          <w:bdr w:val="none" w:sz="0" w:space="0" w:color="auto" w:frame="1"/>
        </w:rPr>
        <w:t> el derecho a la salud para asegurar su goce efectivo</w:t>
      </w:r>
      <w:r w:rsidRPr="00274507">
        <w:rPr>
          <w:sz w:val="28"/>
          <w:szCs w:val="28"/>
          <w:bdr w:val="none" w:sz="0" w:space="0" w:color="auto" w:frame="1"/>
        </w:rPr>
        <w:t>?</w:t>
      </w:r>
    </w:p>
    <w:p w:rsidR="00F02A91" w:rsidRPr="00274507" w:rsidRDefault="00F02A91" w:rsidP="00274507">
      <w:pPr>
        <w:widowControl w:val="0"/>
        <w:tabs>
          <w:tab w:val="left" w:pos="426"/>
        </w:tabs>
        <w:autoSpaceDE w:val="0"/>
        <w:autoSpaceDN w:val="0"/>
        <w:adjustRightInd w:val="0"/>
        <w:jc w:val="both"/>
        <w:rPr>
          <w:sz w:val="28"/>
          <w:szCs w:val="28"/>
          <w:lang w:val="es-ES_tradnl" w:eastAsia="es-ES_tradnl"/>
        </w:rPr>
      </w:pPr>
    </w:p>
    <w:p w:rsidR="00B96F11" w:rsidRPr="00274507" w:rsidRDefault="00F02A91" w:rsidP="00274507">
      <w:pPr>
        <w:widowControl w:val="0"/>
        <w:tabs>
          <w:tab w:val="left" w:pos="426"/>
        </w:tabs>
        <w:autoSpaceDE w:val="0"/>
        <w:autoSpaceDN w:val="0"/>
        <w:adjustRightInd w:val="0"/>
        <w:jc w:val="both"/>
        <w:rPr>
          <w:sz w:val="28"/>
          <w:szCs w:val="28"/>
          <w:lang w:val="es-ES_tradnl" w:eastAsia="es-ES_tradnl"/>
        </w:rPr>
      </w:pPr>
      <w:r w:rsidRPr="00274507">
        <w:rPr>
          <w:sz w:val="28"/>
          <w:szCs w:val="28"/>
          <w:lang w:val="es-ES_tradnl" w:eastAsia="es-ES_tradnl"/>
        </w:rPr>
        <w:t xml:space="preserve">Bajo ese contexto, la providencia se </w:t>
      </w:r>
      <w:r w:rsidR="00B96F11" w:rsidRPr="00274507">
        <w:rPr>
          <w:sz w:val="28"/>
          <w:szCs w:val="28"/>
          <w:lang w:val="es-ES_tradnl" w:eastAsia="es-ES_tradnl"/>
        </w:rPr>
        <w:t>des</w:t>
      </w:r>
      <w:r w:rsidR="00CC1EA2" w:rsidRPr="00274507">
        <w:rPr>
          <w:sz w:val="28"/>
          <w:szCs w:val="28"/>
          <w:lang w:val="es-ES_tradnl" w:eastAsia="es-ES_tradnl"/>
        </w:rPr>
        <w:t xml:space="preserve">arrolló desde la perspectiva de cuatro </w:t>
      </w:r>
      <w:r w:rsidR="00B96F11" w:rsidRPr="00274507">
        <w:rPr>
          <w:iCs/>
          <w:sz w:val="28"/>
          <w:szCs w:val="28"/>
        </w:rPr>
        <w:t xml:space="preserve">ejes temáticos, </w:t>
      </w:r>
      <w:r w:rsidR="00415C6F" w:rsidRPr="00274507">
        <w:rPr>
          <w:iCs/>
          <w:sz w:val="28"/>
          <w:szCs w:val="28"/>
        </w:rPr>
        <w:t>relacionado</w:t>
      </w:r>
      <w:r w:rsidR="00CC1EA2" w:rsidRPr="00274507">
        <w:rPr>
          <w:iCs/>
          <w:sz w:val="28"/>
          <w:szCs w:val="28"/>
        </w:rPr>
        <w:t>s con</w:t>
      </w:r>
      <w:r w:rsidR="00B96F11" w:rsidRPr="00274507">
        <w:rPr>
          <w:iCs/>
          <w:sz w:val="28"/>
          <w:szCs w:val="28"/>
        </w:rPr>
        <w:t xml:space="preserve">: i) </w:t>
      </w:r>
      <w:r w:rsidR="00CC1EA2" w:rsidRPr="00274507">
        <w:rPr>
          <w:iCs/>
          <w:sz w:val="28"/>
          <w:szCs w:val="28"/>
        </w:rPr>
        <w:t xml:space="preserve"> la p</w:t>
      </w:r>
      <w:r w:rsidR="00142A4A" w:rsidRPr="00274507">
        <w:rPr>
          <w:iCs/>
          <w:sz w:val="28"/>
          <w:szCs w:val="28"/>
        </w:rPr>
        <w:t>recisión, actualización, unificación y acceso a planes de beneficios; ii) sostenibilidad y flujo de recursos; iii)</w:t>
      </w:r>
      <w:r w:rsidR="00CC1EA2" w:rsidRPr="00274507">
        <w:rPr>
          <w:iCs/>
          <w:sz w:val="28"/>
          <w:szCs w:val="28"/>
        </w:rPr>
        <w:t xml:space="preserve"> cobertura universal y</w:t>
      </w:r>
      <w:r w:rsidR="00142A4A" w:rsidRPr="00274507">
        <w:rPr>
          <w:iCs/>
          <w:sz w:val="28"/>
          <w:szCs w:val="28"/>
        </w:rPr>
        <w:t xml:space="preserve"> </w:t>
      </w:r>
      <w:r w:rsidR="00CC1EA2" w:rsidRPr="00274507">
        <w:rPr>
          <w:iCs/>
          <w:sz w:val="28"/>
          <w:szCs w:val="28"/>
        </w:rPr>
        <w:t>i</w:t>
      </w:r>
      <w:r w:rsidR="00142A4A" w:rsidRPr="00274507">
        <w:rPr>
          <w:iCs/>
          <w:sz w:val="28"/>
          <w:szCs w:val="28"/>
        </w:rPr>
        <w:t>v) medición de acciones de tutela</w:t>
      </w:r>
      <w:r w:rsidR="00CC1EA2" w:rsidRPr="00274507">
        <w:rPr>
          <w:iCs/>
          <w:sz w:val="28"/>
          <w:szCs w:val="28"/>
        </w:rPr>
        <w:t>, carta de deberes, derechos y desempeño y</w:t>
      </w:r>
      <w:r w:rsidR="00142A4A" w:rsidRPr="00274507">
        <w:rPr>
          <w:iCs/>
          <w:sz w:val="28"/>
          <w:szCs w:val="28"/>
        </w:rPr>
        <w:t xml:space="preserve"> divulgación de la sentencia.</w:t>
      </w:r>
    </w:p>
    <w:p w:rsidR="00142A4A" w:rsidRPr="00274507" w:rsidRDefault="00142A4A" w:rsidP="00274507">
      <w:pPr>
        <w:widowControl w:val="0"/>
        <w:tabs>
          <w:tab w:val="left" w:pos="426"/>
        </w:tabs>
        <w:autoSpaceDE w:val="0"/>
        <w:autoSpaceDN w:val="0"/>
        <w:adjustRightInd w:val="0"/>
        <w:jc w:val="both"/>
        <w:rPr>
          <w:iCs/>
          <w:sz w:val="28"/>
          <w:szCs w:val="28"/>
        </w:rPr>
      </w:pPr>
    </w:p>
    <w:p w:rsidR="00CC1EA2" w:rsidRPr="00274507" w:rsidRDefault="00F02A91" w:rsidP="00274507">
      <w:pPr>
        <w:widowControl w:val="0"/>
        <w:tabs>
          <w:tab w:val="left" w:pos="426"/>
        </w:tabs>
        <w:autoSpaceDE w:val="0"/>
        <w:autoSpaceDN w:val="0"/>
        <w:adjustRightInd w:val="0"/>
        <w:jc w:val="both"/>
        <w:rPr>
          <w:sz w:val="28"/>
          <w:szCs w:val="28"/>
          <w:bdr w:val="none" w:sz="0" w:space="0" w:color="auto" w:frame="1"/>
        </w:rPr>
      </w:pPr>
      <w:r w:rsidRPr="00274507">
        <w:rPr>
          <w:sz w:val="28"/>
          <w:szCs w:val="28"/>
          <w:bdr w:val="none" w:sz="0" w:space="0" w:color="auto" w:frame="1"/>
        </w:rPr>
        <w:t>En e</w:t>
      </w:r>
      <w:r w:rsidR="001D6859" w:rsidRPr="00274507">
        <w:rPr>
          <w:sz w:val="28"/>
          <w:szCs w:val="28"/>
          <w:bdr w:val="none" w:sz="0" w:space="0" w:color="auto" w:frame="1"/>
        </w:rPr>
        <w:t>l desarrollo de los anteriores</w:t>
      </w:r>
      <w:r w:rsidRPr="00274507">
        <w:rPr>
          <w:sz w:val="28"/>
          <w:szCs w:val="28"/>
          <w:bdr w:val="none" w:sz="0" w:space="0" w:color="auto" w:frame="1"/>
        </w:rPr>
        <w:t xml:space="preserve"> temas, </w:t>
      </w:r>
      <w:r w:rsidR="001D6859" w:rsidRPr="00274507">
        <w:rPr>
          <w:sz w:val="28"/>
          <w:szCs w:val="28"/>
          <w:bdr w:val="none" w:sz="0" w:space="0" w:color="auto" w:frame="1"/>
        </w:rPr>
        <w:t xml:space="preserve">en la sentencia T-760 de 2008 </w:t>
      </w:r>
      <w:r w:rsidR="00415C6F" w:rsidRPr="00274507">
        <w:rPr>
          <w:sz w:val="28"/>
          <w:szCs w:val="28"/>
          <w:bdr w:val="none" w:sz="0" w:space="0" w:color="auto" w:frame="1"/>
        </w:rPr>
        <w:t>se identificaron</w:t>
      </w:r>
      <w:r w:rsidRPr="00274507">
        <w:rPr>
          <w:sz w:val="28"/>
          <w:szCs w:val="28"/>
          <w:bdr w:val="none" w:sz="0" w:space="0" w:color="auto" w:frame="1"/>
        </w:rPr>
        <w:t xml:space="preserve"> los </w:t>
      </w:r>
      <w:r w:rsidR="00555EFD" w:rsidRPr="00274507">
        <w:rPr>
          <w:sz w:val="28"/>
          <w:szCs w:val="28"/>
          <w:bdr w:val="none" w:sz="0" w:space="0" w:color="auto" w:frame="1"/>
        </w:rPr>
        <w:t>problemas jurídicos subsidiarios</w:t>
      </w:r>
      <w:r w:rsidR="001D6859" w:rsidRPr="00274507">
        <w:rPr>
          <w:sz w:val="28"/>
          <w:szCs w:val="28"/>
          <w:bdr w:val="none" w:sz="0" w:space="0" w:color="auto" w:frame="1"/>
        </w:rPr>
        <w:t>, que serán valorados en esta providencia, a saber</w:t>
      </w:r>
      <w:r w:rsidR="00555EFD" w:rsidRPr="00274507">
        <w:rPr>
          <w:sz w:val="28"/>
          <w:szCs w:val="28"/>
          <w:bdr w:val="none" w:sz="0" w:space="0" w:color="auto" w:frame="1"/>
        </w:rPr>
        <w:t>:</w:t>
      </w:r>
    </w:p>
    <w:p w:rsidR="00E80049" w:rsidRPr="00274507" w:rsidRDefault="00E80049" w:rsidP="00274507">
      <w:pPr>
        <w:ind w:right="51"/>
        <w:jc w:val="both"/>
        <w:rPr>
          <w:iCs/>
          <w:sz w:val="28"/>
          <w:szCs w:val="28"/>
        </w:rPr>
      </w:pPr>
    </w:p>
    <w:p w:rsidR="00194E12" w:rsidRPr="00274507" w:rsidRDefault="00194E1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derecho a la salud una entidad encargada de garantizar la prestación de los servicios ordenados por el médico tratante, cuando no autoriza a una persona un servicio que </w:t>
      </w:r>
      <w:r w:rsidRPr="00274507">
        <w:rPr>
          <w:i/>
          <w:iCs/>
          <w:sz w:val="28"/>
          <w:szCs w:val="28"/>
          <w:bdr w:val="none" w:sz="0" w:space="0" w:color="auto" w:frame="1"/>
        </w:rPr>
        <w:t>requiere</w:t>
      </w:r>
      <w:r w:rsidRPr="00274507">
        <w:rPr>
          <w:sz w:val="28"/>
          <w:szCs w:val="28"/>
          <w:bdr w:val="none" w:sz="0" w:space="0" w:color="auto" w:frame="1"/>
        </w:rPr>
        <w:t> y no puede costearlo por sí misma, por el hecho de que no se encuentra incluido en el plan obligatorio de salud?</w:t>
      </w:r>
    </w:p>
    <w:p w:rsidR="00CC1EA2" w:rsidRPr="00274507" w:rsidRDefault="00CC1EA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 xml:space="preserve">¿Vulnera el derecho a la salud la interpretación restrictiva del POS, según la cual se entienden excluidos los insumos no mencionados expresamente en el POS, y procede en consecuencia su recobro ante el Fosyga cuando son ordenados por un juez de tutela? </w:t>
      </w:r>
    </w:p>
    <w:p w:rsidR="00D46444" w:rsidRPr="00274507" w:rsidRDefault="00CC1EA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derecho a la salud de una persona, la entidad encargada de garantizarle la prestación del servicio requerido cuando fue ordenado por un médico que no está adscrito a la entidad respectiva, pero es especialista en la materia y trataba a la persona? (…) ¿Puede el juez de tutela considerar que la entidad de salud encargada de garantizar la prestación del servicio no violó el derecho de una persona, únicamente por el hecho de que fue ordenado por un médico no adscrito a la entidad, incluso cuando la entidad acusada nunca lo negó por esa razón, ni se aportaron razones médicas al proceso en tal sentido?</w:t>
      </w:r>
    </w:p>
    <w:p w:rsidR="00CC1EA2" w:rsidRPr="00274507" w:rsidRDefault="00D46444"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 xml:space="preserve">¿Desconoce el Estado el derecho a la salud de las personas al permitir que se mantenga la incertidumbre en relación con los servicios incluidos, los no incluidos y los excluidos del plan obligatorio de salud, teniendo en cuenta las controversias que esta incertidumbre produce y su impacto negativo en el acceso oportuno a los servicios de salud? </w:t>
      </w:r>
    </w:p>
    <w:p w:rsidR="00194E12" w:rsidRPr="00274507" w:rsidRDefault="00194E1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derecho a la salud de una persona una entidad que no le autoriza el acceso a un servicio de salud que aquella requiere</w:t>
      </w:r>
      <w:r w:rsidRPr="00274507">
        <w:rPr>
          <w:i/>
          <w:iCs/>
          <w:sz w:val="28"/>
          <w:szCs w:val="28"/>
          <w:bdr w:val="none" w:sz="0" w:space="0" w:color="auto" w:frame="1"/>
        </w:rPr>
        <w:t>,</w:t>
      </w:r>
      <w:r w:rsidRPr="00274507">
        <w:rPr>
          <w:sz w:val="28"/>
          <w:szCs w:val="28"/>
          <w:bdr w:val="none" w:sz="0" w:space="0" w:color="auto" w:frame="1"/>
        </w:rPr>
        <w:t> hasta tanto no cancele el pago moderador que corresponda reglamentariamente, incluso si la persona carece de la capacidad económica para hacerlo?</w:t>
      </w:r>
    </w:p>
    <w:p w:rsidR="00CC1EA2" w:rsidRPr="00274507" w:rsidRDefault="00CC1EA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derecho a la salud, especialmente, una entidad encargada de garantizar la prestación de los servicios requeridos, cuando no autoriza a un niño o una niña un servicio que requiere y sus responsables no lo pueden costear, por el hecho de que no se encuentra incluido en el plan obligatorio de salud o porque la vida o la integridad personal del menor no dependen de la prestación del servicio?</w:t>
      </w:r>
    </w:p>
    <w:p w:rsidR="00CC1EA2" w:rsidRPr="00274507" w:rsidRDefault="00CC1EA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derecho a la salud de una persona, la entidad encargada de garantizarle el acceso a una prestación social derivada de su estado de salud (incapacidades laborales), cuando se niega a autorizarlo porque en el pasado no se cumplió con la obligación de cancelar los aportes de salud dentro del plazo establecido para ello?</w:t>
      </w:r>
    </w:p>
    <w:p w:rsidR="00D46444" w:rsidRPr="00274507" w:rsidRDefault="00CC1EA2"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derecho a la salud de una persona, una entidad encargada de garantizar la prestación de los servicios de salud, al interrumpir el suministro de los mismos porque ya transcurrió un mes luego del momento en que la persona dejó de cotizar, en razón a que ahora es desempleado?</w:t>
      </w:r>
    </w:p>
    <w:p w:rsidR="00D46444" w:rsidRPr="00274507" w:rsidRDefault="00D46444"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¿Desconoce el Estado el derecho a la salud de las personas, al permitir que la mayoría de las decisiones judiciales que protegen el acceso a los servicios de salud, tengan que ocuparse de garantizar el acceso a servicios contemplados en los planes obligatorios de salud, ya financiados? </w:t>
      </w:r>
    </w:p>
    <w:p w:rsidR="00D46444" w:rsidRPr="00274507" w:rsidRDefault="00D46444" w:rsidP="00274507">
      <w:pPr>
        <w:pStyle w:val="Prrafodelista"/>
        <w:numPr>
          <w:ilvl w:val="0"/>
          <w:numId w:val="18"/>
        </w:numPr>
        <w:shd w:val="clear" w:color="auto" w:fill="FFFFFF"/>
        <w:ind w:left="1068"/>
        <w:jc w:val="both"/>
        <w:textAlignment w:val="baseline"/>
        <w:rPr>
          <w:sz w:val="28"/>
          <w:szCs w:val="28"/>
          <w:lang w:val="es-ES"/>
        </w:rPr>
      </w:pPr>
      <w:r w:rsidRPr="00274507">
        <w:rPr>
          <w:sz w:val="28"/>
          <w:szCs w:val="28"/>
          <w:bdr w:val="none" w:sz="0" w:space="0" w:color="auto" w:frame="1"/>
        </w:rPr>
        <w:t xml:space="preserve">¿Viola un órgano del Estado el derecho de petición de una entidad encargada de garantizar la prestación de los servicios de salud así como el derecho a la salud de los afiliados y beneficiarios del sistema de protección, al negarse a responder de fondo una petición para remover un obstáculo en uno de los trámites necesarios para asegurar el adecuado flujo de los recursos y, por tanto, sostener las condiciones indispensables para garantizar el goce efectivo del derecho a la salud en razón a que el órgano estatal respectivo se considera incompetente? </w:t>
      </w:r>
    </w:p>
    <w:p w:rsidR="00D46444" w:rsidRPr="00274507" w:rsidRDefault="00D46444" w:rsidP="00274507">
      <w:pPr>
        <w:pStyle w:val="Prrafodelista"/>
        <w:numPr>
          <w:ilvl w:val="0"/>
          <w:numId w:val="18"/>
        </w:numPr>
        <w:shd w:val="clear" w:color="auto" w:fill="FFFFFF"/>
        <w:ind w:left="993" w:hanging="284"/>
        <w:jc w:val="both"/>
        <w:textAlignment w:val="baseline"/>
        <w:rPr>
          <w:sz w:val="28"/>
          <w:szCs w:val="28"/>
          <w:lang w:val="es-ES"/>
        </w:rPr>
      </w:pPr>
      <w:r w:rsidRPr="00274507">
        <w:rPr>
          <w:sz w:val="28"/>
          <w:szCs w:val="28"/>
          <w:bdr w:val="none" w:sz="0" w:space="0" w:color="auto" w:frame="1"/>
        </w:rPr>
        <w:t>¿Desconoce el derecho a la salud una entidad que se niega a afiliar a una persona, a pesar de haberse cumplido el tiempo necesario para poder trasladarse, por el hecho de que dentro de su grupo familiar existe una persona (su hijo, un niño) que padece una enfermedad catastrófica y, por tanto, debería esperar más tiempo para poder trasladarse?</w:t>
      </w:r>
    </w:p>
    <w:p w:rsidR="00D46444" w:rsidRPr="00274507" w:rsidRDefault="00D46444" w:rsidP="00274507">
      <w:pPr>
        <w:pStyle w:val="Prrafodelista"/>
        <w:numPr>
          <w:ilvl w:val="0"/>
          <w:numId w:val="18"/>
        </w:numPr>
        <w:shd w:val="clear" w:color="auto" w:fill="FFFFFF"/>
        <w:ind w:left="993" w:hanging="284"/>
        <w:jc w:val="both"/>
        <w:textAlignment w:val="baseline"/>
        <w:rPr>
          <w:sz w:val="28"/>
          <w:szCs w:val="28"/>
          <w:lang w:val="es-ES"/>
        </w:rPr>
      </w:pPr>
      <w:r w:rsidRPr="00274507">
        <w:rPr>
          <w:sz w:val="28"/>
          <w:szCs w:val="28"/>
          <w:bdr w:val="none" w:sz="0" w:space="0" w:color="auto" w:frame="1"/>
        </w:rPr>
        <w:t>¿Desconoce el Estado el derecho a la salud de las personas que son beneficiarias del régimen subsidiado, por no haber tomado las medidas para garantizar que puedan acceder a un plan de servicios de salud que no difiera de los contenidos contemplados en el plan obligatorio de salud para el régimen contributivo? ¿Habida cuenta de que el derecho a la salud impone al Estado el deber de avanzar progresivamente hacia la ampliación de los servicios asegurados, la menor cobertura para los niños y niñas del régimen subsidiado puede prolongarse indefinidamente al igual que las diferencias de cobertura respecto de los adultos?</w:t>
      </w:r>
    </w:p>
    <w:p w:rsidR="00D46444" w:rsidRPr="00274507" w:rsidRDefault="00D46444" w:rsidP="00274507">
      <w:pPr>
        <w:pStyle w:val="Prrafodelista"/>
        <w:numPr>
          <w:ilvl w:val="0"/>
          <w:numId w:val="18"/>
        </w:numPr>
        <w:shd w:val="clear" w:color="auto" w:fill="FFFFFF"/>
        <w:ind w:left="993" w:hanging="284"/>
        <w:jc w:val="both"/>
        <w:textAlignment w:val="baseline"/>
        <w:rPr>
          <w:sz w:val="28"/>
          <w:szCs w:val="28"/>
          <w:lang w:val="es-ES"/>
        </w:rPr>
      </w:pPr>
      <w:r w:rsidRPr="00274507">
        <w:rPr>
          <w:sz w:val="28"/>
          <w:szCs w:val="28"/>
          <w:bdr w:val="none" w:sz="0" w:space="0" w:color="auto" w:frame="1"/>
        </w:rPr>
        <w:t xml:space="preserve">¿Desconoce el Estado el derecho a la salud de las personas que requieren con necesidad un servicio de salud, diferente a medicamentos, al no haber fijado y regulado un procedimiento mediante el cual la entidad encargada de garantizar la prestación del servicio garantice el acceso efectivo al mismo? </w:t>
      </w:r>
    </w:p>
    <w:p w:rsidR="00555EFD" w:rsidRPr="00274507" w:rsidRDefault="00555EFD" w:rsidP="00274507">
      <w:pPr>
        <w:shd w:val="clear" w:color="auto" w:fill="FFFFFF"/>
        <w:jc w:val="both"/>
        <w:textAlignment w:val="baseline"/>
        <w:rPr>
          <w:sz w:val="28"/>
          <w:szCs w:val="28"/>
          <w:lang w:val="es-ES"/>
        </w:rPr>
      </w:pPr>
    </w:p>
    <w:p w:rsidR="00194E12" w:rsidRPr="00274507" w:rsidRDefault="00194E12" w:rsidP="00274507">
      <w:pPr>
        <w:pStyle w:val="Prrafodelista"/>
        <w:widowControl w:val="0"/>
        <w:numPr>
          <w:ilvl w:val="0"/>
          <w:numId w:val="25"/>
        </w:numPr>
        <w:tabs>
          <w:tab w:val="left" w:pos="426"/>
        </w:tabs>
        <w:autoSpaceDE w:val="0"/>
        <w:autoSpaceDN w:val="0"/>
        <w:adjustRightInd w:val="0"/>
        <w:jc w:val="both"/>
        <w:rPr>
          <w:b/>
          <w:sz w:val="28"/>
          <w:szCs w:val="28"/>
          <w:lang w:eastAsia="es-ES_tradnl"/>
        </w:rPr>
      </w:pPr>
      <w:r w:rsidRPr="00274507">
        <w:rPr>
          <w:b/>
          <w:sz w:val="28"/>
          <w:szCs w:val="28"/>
          <w:lang w:eastAsia="es-ES_tradnl"/>
        </w:rPr>
        <w:t>Orden objeto de estudio.</w:t>
      </w:r>
    </w:p>
    <w:p w:rsidR="00806B61" w:rsidRPr="00274507" w:rsidRDefault="00806B61" w:rsidP="00274507">
      <w:pPr>
        <w:widowControl w:val="0"/>
        <w:tabs>
          <w:tab w:val="left" w:pos="426"/>
        </w:tabs>
        <w:autoSpaceDE w:val="0"/>
        <w:autoSpaceDN w:val="0"/>
        <w:adjustRightInd w:val="0"/>
        <w:jc w:val="both"/>
        <w:rPr>
          <w:sz w:val="28"/>
          <w:szCs w:val="28"/>
          <w:lang w:eastAsia="es-ES_tradnl"/>
        </w:rPr>
      </w:pPr>
    </w:p>
    <w:p w:rsidR="00AF515E" w:rsidRPr="00274507" w:rsidRDefault="00056908" w:rsidP="00274507">
      <w:pPr>
        <w:widowControl w:val="0"/>
        <w:tabs>
          <w:tab w:val="left" w:pos="426"/>
        </w:tabs>
        <w:autoSpaceDE w:val="0"/>
        <w:autoSpaceDN w:val="0"/>
        <w:adjustRightInd w:val="0"/>
        <w:jc w:val="both"/>
        <w:rPr>
          <w:sz w:val="28"/>
          <w:szCs w:val="28"/>
          <w:lang w:val="es-ES_tradnl" w:eastAsia="es-ES_tradnl"/>
        </w:rPr>
      </w:pPr>
      <w:r w:rsidRPr="00274507">
        <w:rPr>
          <w:sz w:val="28"/>
          <w:szCs w:val="28"/>
          <w:lang w:eastAsia="es-ES_tradnl"/>
        </w:rPr>
        <w:t xml:space="preserve">Una vez descrito los </w:t>
      </w:r>
      <w:r w:rsidR="00FA52AF" w:rsidRPr="00274507">
        <w:rPr>
          <w:sz w:val="28"/>
          <w:szCs w:val="28"/>
          <w:lang w:eastAsia="es-ES_tradnl"/>
        </w:rPr>
        <w:t xml:space="preserve">problemas jurídicos </w:t>
      </w:r>
      <w:r w:rsidRPr="00274507">
        <w:rPr>
          <w:sz w:val="28"/>
          <w:szCs w:val="28"/>
          <w:lang w:eastAsia="es-ES_tradnl"/>
        </w:rPr>
        <w:t xml:space="preserve">antedichos, </w:t>
      </w:r>
      <w:r w:rsidR="00FA52AF" w:rsidRPr="00274507">
        <w:rPr>
          <w:sz w:val="28"/>
          <w:szCs w:val="28"/>
          <w:lang w:eastAsia="es-ES_tradnl"/>
        </w:rPr>
        <w:t xml:space="preserve">de conformidad con cada uno de los ejes temáticos, se </w:t>
      </w:r>
      <w:r w:rsidR="00AF515E" w:rsidRPr="00274507">
        <w:rPr>
          <w:sz w:val="28"/>
          <w:szCs w:val="28"/>
          <w:lang w:eastAsia="es-ES_tradnl"/>
        </w:rPr>
        <w:t>imparti</w:t>
      </w:r>
      <w:r w:rsidR="00FA52AF" w:rsidRPr="00274507">
        <w:rPr>
          <w:sz w:val="28"/>
          <w:szCs w:val="28"/>
          <w:lang w:eastAsia="es-ES_tradnl"/>
        </w:rPr>
        <w:t>eron dieciséis</w:t>
      </w:r>
      <w:r w:rsidR="00AF515E" w:rsidRPr="00274507">
        <w:rPr>
          <w:sz w:val="28"/>
          <w:szCs w:val="28"/>
          <w:lang w:eastAsia="es-ES_tradnl"/>
        </w:rPr>
        <w:t xml:space="preserve"> órdenes</w:t>
      </w:r>
      <w:r w:rsidR="00FA52AF" w:rsidRPr="00274507">
        <w:rPr>
          <w:rStyle w:val="Refdenotaalpie"/>
          <w:sz w:val="28"/>
          <w:szCs w:val="28"/>
          <w:lang w:eastAsia="es-ES_tradnl"/>
        </w:rPr>
        <w:footnoteReference w:id="1"/>
      </w:r>
      <w:r w:rsidR="00AF515E" w:rsidRPr="00274507">
        <w:rPr>
          <w:sz w:val="28"/>
          <w:szCs w:val="28"/>
          <w:lang w:eastAsia="es-ES_tradnl"/>
        </w:rPr>
        <w:t xml:space="preserve"> dirigidas a las autoridades del Sistema General de Seguridad Social en Salud</w:t>
      </w:r>
      <w:r w:rsidR="00FA52AF" w:rsidRPr="00274507">
        <w:rPr>
          <w:sz w:val="28"/>
          <w:szCs w:val="28"/>
          <w:lang w:eastAsia="es-ES_tradnl"/>
        </w:rPr>
        <w:t xml:space="preserve"> (SGSSS)</w:t>
      </w:r>
      <w:r w:rsidR="00AF515E" w:rsidRPr="00274507">
        <w:rPr>
          <w:sz w:val="28"/>
          <w:szCs w:val="28"/>
          <w:lang w:eastAsia="es-ES_tradnl"/>
        </w:rPr>
        <w:t xml:space="preserve">, </w:t>
      </w:r>
      <w:r w:rsidRPr="00274507">
        <w:rPr>
          <w:sz w:val="28"/>
          <w:szCs w:val="28"/>
          <w:lang w:eastAsia="es-ES_tradnl"/>
        </w:rPr>
        <w:t xml:space="preserve">como </w:t>
      </w:r>
      <w:r w:rsidR="00AF515E" w:rsidRPr="00274507">
        <w:rPr>
          <w:sz w:val="28"/>
          <w:szCs w:val="28"/>
          <w:lang w:eastAsia="es-ES_tradnl"/>
        </w:rPr>
        <w:t xml:space="preserve">medidas necesarias para corregir las fallas </w:t>
      </w:r>
      <w:r w:rsidRPr="00274507">
        <w:rPr>
          <w:sz w:val="28"/>
          <w:szCs w:val="28"/>
          <w:lang w:eastAsia="es-ES_tradnl"/>
        </w:rPr>
        <w:t xml:space="preserve">evidenciadas. </w:t>
      </w:r>
      <w:r w:rsidR="00AF515E" w:rsidRPr="00274507">
        <w:rPr>
          <w:sz w:val="28"/>
          <w:szCs w:val="28"/>
        </w:rPr>
        <w:t xml:space="preserve">Así, en </w:t>
      </w:r>
      <w:r w:rsidR="00834DC3" w:rsidRPr="00274507">
        <w:rPr>
          <w:sz w:val="28"/>
          <w:szCs w:val="28"/>
        </w:rPr>
        <w:t>esta oportunidad, esta Sala Especial de Seguimiento revisará el cumplimiento d</w:t>
      </w:r>
      <w:r w:rsidR="00AF515E" w:rsidRPr="00274507">
        <w:rPr>
          <w:sz w:val="28"/>
          <w:szCs w:val="28"/>
        </w:rPr>
        <w:t xml:space="preserve">el </w:t>
      </w:r>
      <w:r w:rsidR="00834DC3" w:rsidRPr="00274507">
        <w:rPr>
          <w:sz w:val="28"/>
          <w:szCs w:val="28"/>
        </w:rPr>
        <w:t>mandato</w:t>
      </w:r>
      <w:r w:rsidR="00AF515E" w:rsidRPr="00274507">
        <w:rPr>
          <w:sz w:val="28"/>
          <w:szCs w:val="28"/>
        </w:rPr>
        <w:t xml:space="preserve"> trigésimo de la</w:t>
      </w:r>
      <w:r w:rsidRPr="00274507">
        <w:rPr>
          <w:sz w:val="28"/>
          <w:szCs w:val="28"/>
        </w:rPr>
        <w:t xml:space="preserve"> sentencia T-760 de 2008</w:t>
      </w:r>
      <w:r w:rsidR="00AF515E" w:rsidRPr="00274507">
        <w:rPr>
          <w:sz w:val="28"/>
          <w:szCs w:val="28"/>
        </w:rPr>
        <w:t>,</w:t>
      </w:r>
      <w:r w:rsidR="00834DC3" w:rsidRPr="00274507">
        <w:rPr>
          <w:sz w:val="28"/>
          <w:szCs w:val="28"/>
        </w:rPr>
        <w:t xml:space="preserve"> que</w:t>
      </w:r>
      <w:r w:rsidR="00AF515E" w:rsidRPr="00274507">
        <w:rPr>
          <w:sz w:val="28"/>
          <w:szCs w:val="28"/>
        </w:rPr>
        <w:t xml:space="preserve"> dispuso:</w:t>
      </w:r>
    </w:p>
    <w:p w:rsidR="00AF515E" w:rsidRPr="00274507" w:rsidRDefault="00AF515E" w:rsidP="00274507">
      <w:pPr>
        <w:jc w:val="both"/>
        <w:rPr>
          <w:sz w:val="28"/>
          <w:szCs w:val="28"/>
          <w:lang w:val="es-ES_tradnl"/>
        </w:rPr>
      </w:pPr>
    </w:p>
    <w:p w:rsidR="00AF515E" w:rsidRPr="00274507" w:rsidRDefault="00AF515E" w:rsidP="00274507">
      <w:pPr>
        <w:ind w:left="567" w:right="51"/>
        <w:jc w:val="both"/>
        <w:rPr>
          <w:i/>
          <w:iCs/>
          <w:sz w:val="28"/>
          <w:szCs w:val="28"/>
        </w:rPr>
      </w:pPr>
      <w:r w:rsidRPr="00274507">
        <w:rPr>
          <w:b/>
          <w:bCs/>
          <w:i/>
          <w:iCs/>
          <w:sz w:val="28"/>
          <w:szCs w:val="28"/>
        </w:rPr>
        <w:t>“Trigésimo.- Ordenar</w:t>
      </w:r>
      <w:r w:rsidRPr="00274507">
        <w:rPr>
          <w:i/>
          <w:iCs/>
          <w:sz w:val="28"/>
          <w:szCs w:val="28"/>
        </w:rPr>
        <w:t xml:space="preserve"> al Ministerio de Protección Social que presente anualmente un informe a la Sala Segunda de Revisión de la Corte Constitucional, a la Procuraduría General de la Nación y a la Defensoría del Pueblo, en el que mida el número de acciones de tutela que resuelven los problemas jurídicos mencionados en esta sentencia y, de no haber disminuido, explique las razones de ello. El primer informe deberá ser presentado antes del 1º de febrero de 2009</w:t>
      </w:r>
      <w:r w:rsidR="00E71DD4" w:rsidRPr="00274507">
        <w:rPr>
          <w:i/>
          <w:iCs/>
          <w:sz w:val="28"/>
          <w:szCs w:val="28"/>
        </w:rPr>
        <w:t xml:space="preserve">.” </w:t>
      </w:r>
    </w:p>
    <w:p w:rsidR="00946407" w:rsidRPr="00274507" w:rsidRDefault="00946407" w:rsidP="00274507">
      <w:pPr>
        <w:ind w:left="567" w:right="51"/>
        <w:jc w:val="both"/>
        <w:rPr>
          <w:i/>
          <w:iCs/>
          <w:sz w:val="28"/>
          <w:szCs w:val="28"/>
        </w:rPr>
      </w:pPr>
    </w:p>
    <w:p w:rsidR="00946407" w:rsidRPr="00274507" w:rsidRDefault="00056908" w:rsidP="00274507">
      <w:pPr>
        <w:shd w:val="clear" w:color="auto" w:fill="FFFFFF"/>
        <w:jc w:val="both"/>
        <w:textAlignment w:val="baseline"/>
        <w:rPr>
          <w:sz w:val="28"/>
          <w:szCs w:val="28"/>
          <w:bdr w:val="none" w:sz="0" w:space="0" w:color="auto" w:frame="1"/>
        </w:rPr>
      </w:pPr>
      <w:r w:rsidRPr="00274507">
        <w:rPr>
          <w:sz w:val="28"/>
          <w:szCs w:val="28"/>
          <w:bdr w:val="none" w:sz="0" w:space="0" w:color="auto" w:frame="1"/>
        </w:rPr>
        <w:t xml:space="preserve">La Corte pretendía que una vez analizadas las acciones de tutelas y efectuada su medición a partir de los problemas jurídicos evidenciados, el Ministerio de Salud debía adoptar las medidas </w:t>
      </w:r>
      <w:r w:rsidR="008F2764" w:rsidRPr="00274507">
        <w:rPr>
          <w:sz w:val="28"/>
          <w:szCs w:val="28"/>
          <w:bdr w:val="none" w:sz="0" w:space="0" w:color="auto" w:frame="1"/>
        </w:rPr>
        <w:t>para obtener una reducción en la presentación del amparo constitucional, cumpliendo así con el mandato constitucional</w:t>
      </w:r>
      <w:r w:rsidR="00946407" w:rsidRPr="00274507">
        <w:rPr>
          <w:sz w:val="28"/>
          <w:szCs w:val="28"/>
          <w:bdr w:val="none" w:sz="0" w:space="0" w:color="auto" w:frame="1"/>
        </w:rPr>
        <w:t xml:space="preserve">. </w:t>
      </w:r>
    </w:p>
    <w:p w:rsidR="008F2764" w:rsidRPr="00274507" w:rsidRDefault="008F2764" w:rsidP="00274507">
      <w:pPr>
        <w:shd w:val="clear" w:color="auto" w:fill="FFFFFF"/>
        <w:jc w:val="both"/>
        <w:textAlignment w:val="baseline"/>
        <w:rPr>
          <w:sz w:val="28"/>
          <w:szCs w:val="28"/>
          <w:bdr w:val="none" w:sz="0" w:space="0" w:color="auto" w:frame="1"/>
        </w:rPr>
      </w:pPr>
    </w:p>
    <w:p w:rsidR="00415C6F" w:rsidRPr="00274507" w:rsidRDefault="008F2764" w:rsidP="00274507">
      <w:pPr>
        <w:shd w:val="clear" w:color="auto" w:fill="FFFFFF"/>
        <w:jc w:val="both"/>
        <w:textAlignment w:val="baseline"/>
        <w:rPr>
          <w:sz w:val="28"/>
          <w:szCs w:val="28"/>
          <w:bdr w:val="none" w:sz="0" w:space="0" w:color="auto" w:frame="1"/>
        </w:rPr>
      </w:pPr>
      <w:r w:rsidRPr="00274507">
        <w:rPr>
          <w:sz w:val="28"/>
          <w:szCs w:val="28"/>
          <w:bdr w:val="none" w:sz="0" w:space="0" w:color="auto" w:frame="1"/>
        </w:rPr>
        <w:t>Como consecuenc</w:t>
      </w:r>
      <w:r w:rsidR="004C3F0E" w:rsidRPr="00274507">
        <w:rPr>
          <w:sz w:val="28"/>
          <w:szCs w:val="28"/>
          <w:bdr w:val="none" w:sz="0" w:space="0" w:color="auto" w:frame="1"/>
        </w:rPr>
        <w:t>ia, se solicitó al ente ministerial</w:t>
      </w:r>
      <w:r w:rsidRPr="00274507">
        <w:rPr>
          <w:sz w:val="28"/>
          <w:szCs w:val="28"/>
          <w:bdr w:val="none" w:sz="0" w:space="0" w:color="auto" w:frame="1"/>
        </w:rPr>
        <w:t xml:space="preserve"> que de forma anual rindiera ante este Tribunal, la Procuraduría General de la Nación y Defensoría del Pueblo, informes respecto a la medición de las tutelas.</w:t>
      </w:r>
    </w:p>
    <w:p w:rsidR="00415C6F" w:rsidRPr="00274507" w:rsidRDefault="00415C6F" w:rsidP="00274507">
      <w:pPr>
        <w:shd w:val="clear" w:color="auto" w:fill="FFFFFF"/>
        <w:jc w:val="both"/>
        <w:textAlignment w:val="baseline"/>
        <w:rPr>
          <w:sz w:val="28"/>
          <w:szCs w:val="28"/>
          <w:bdr w:val="none" w:sz="0" w:space="0" w:color="auto" w:frame="1"/>
        </w:rPr>
      </w:pPr>
    </w:p>
    <w:p w:rsidR="009F7CE4" w:rsidRPr="00274507" w:rsidRDefault="00831DB5" w:rsidP="00274507">
      <w:pPr>
        <w:pStyle w:val="Prrafodelista"/>
        <w:numPr>
          <w:ilvl w:val="0"/>
          <w:numId w:val="25"/>
        </w:numPr>
        <w:shd w:val="clear" w:color="auto" w:fill="FFFFFF"/>
        <w:jc w:val="both"/>
        <w:textAlignment w:val="baseline"/>
        <w:rPr>
          <w:sz w:val="28"/>
          <w:szCs w:val="28"/>
        </w:rPr>
      </w:pPr>
      <w:r w:rsidRPr="00274507">
        <w:rPr>
          <w:b/>
          <w:sz w:val="28"/>
          <w:szCs w:val="28"/>
        </w:rPr>
        <w:t xml:space="preserve"> </w:t>
      </w:r>
      <w:r w:rsidR="009F7CE4" w:rsidRPr="00274507">
        <w:rPr>
          <w:b/>
          <w:sz w:val="28"/>
          <w:szCs w:val="28"/>
        </w:rPr>
        <w:t xml:space="preserve">Informes de cumplimiento </w:t>
      </w:r>
      <w:r w:rsidR="00916A77" w:rsidRPr="00274507">
        <w:rPr>
          <w:b/>
          <w:sz w:val="28"/>
          <w:szCs w:val="28"/>
        </w:rPr>
        <w:t xml:space="preserve">presentado por el Ministerio de Salud </w:t>
      </w:r>
      <w:r w:rsidR="009F7CE4" w:rsidRPr="00274507">
        <w:rPr>
          <w:b/>
          <w:sz w:val="28"/>
          <w:szCs w:val="28"/>
        </w:rPr>
        <w:t xml:space="preserve">respecto de la orden trigésima. </w:t>
      </w:r>
    </w:p>
    <w:p w:rsidR="009F7CE4" w:rsidRPr="00274507" w:rsidRDefault="009F7CE4" w:rsidP="00274507">
      <w:pPr>
        <w:widowControl w:val="0"/>
        <w:tabs>
          <w:tab w:val="left" w:pos="426"/>
        </w:tabs>
        <w:autoSpaceDE w:val="0"/>
        <w:autoSpaceDN w:val="0"/>
        <w:adjustRightInd w:val="0"/>
        <w:jc w:val="both"/>
        <w:rPr>
          <w:sz w:val="28"/>
          <w:szCs w:val="28"/>
        </w:rPr>
      </w:pPr>
    </w:p>
    <w:p w:rsidR="000A51A3" w:rsidRPr="00274507" w:rsidRDefault="00C76FF1" w:rsidP="00274507">
      <w:pPr>
        <w:pStyle w:val="Prrafodelista"/>
        <w:widowControl w:val="0"/>
        <w:numPr>
          <w:ilvl w:val="1"/>
          <w:numId w:val="25"/>
        </w:numPr>
        <w:tabs>
          <w:tab w:val="left" w:pos="426"/>
        </w:tabs>
        <w:autoSpaceDE w:val="0"/>
        <w:autoSpaceDN w:val="0"/>
        <w:adjustRightInd w:val="0"/>
        <w:jc w:val="both"/>
        <w:rPr>
          <w:sz w:val="28"/>
          <w:szCs w:val="28"/>
          <w:lang w:eastAsia="es-ES_tradnl"/>
        </w:rPr>
      </w:pPr>
      <w:r w:rsidRPr="00274507">
        <w:rPr>
          <w:sz w:val="28"/>
          <w:szCs w:val="28"/>
          <w:lang w:eastAsia="es-ES_tradnl"/>
        </w:rPr>
        <w:t>El 3</w:t>
      </w:r>
    </w:p>
    <w:p w:rsidR="00C76FF1" w:rsidRPr="00274507" w:rsidRDefault="00C76FF1" w:rsidP="00274507">
      <w:pPr>
        <w:pStyle w:val="Prrafodelista"/>
        <w:widowControl w:val="0"/>
        <w:numPr>
          <w:ilvl w:val="1"/>
          <w:numId w:val="25"/>
        </w:numPr>
        <w:tabs>
          <w:tab w:val="left" w:pos="426"/>
        </w:tabs>
        <w:autoSpaceDE w:val="0"/>
        <w:autoSpaceDN w:val="0"/>
        <w:adjustRightInd w:val="0"/>
        <w:jc w:val="both"/>
        <w:rPr>
          <w:sz w:val="28"/>
          <w:szCs w:val="28"/>
        </w:rPr>
      </w:pPr>
      <w:r w:rsidRPr="00274507">
        <w:rPr>
          <w:sz w:val="28"/>
          <w:szCs w:val="28"/>
          <w:lang w:eastAsia="es-ES_tradnl"/>
        </w:rPr>
        <w:t>0 de enero de 2009</w:t>
      </w:r>
      <w:r w:rsidR="00A00CC3" w:rsidRPr="00274507">
        <w:rPr>
          <w:rStyle w:val="Refdenotaalpie"/>
          <w:sz w:val="28"/>
          <w:szCs w:val="28"/>
          <w:lang w:eastAsia="es-ES_tradnl"/>
        </w:rPr>
        <w:footnoteReference w:id="2"/>
      </w:r>
      <w:r w:rsidRPr="00274507">
        <w:rPr>
          <w:sz w:val="28"/>
          <w:szCs w:val="28"/>
          <w:lang w:eastAsia="es-ES_tradnl"/>
        </w:rPr>
        <w:t>, el entonces Minist</w:t>
      </w:r>
      <w:r w:rsidR="0066545D" w:rsidRPr="00274507">
        <w:rPr>
          <w:sz w:val="28"/>
          <w:szCs w:val="28"/>
          <w:lang w:eastAsia="es-ES_tradnl"/>
        </w:rPr>
        <w:t>e</w:t>
      </w:r>
      <w:r w:rsidRPr="00274507">
        <w:rPr>
          <w:sz w:val="28"/>
          <w:szCs w:val="28"/>
          <w:lang w:eastAsia="es-ES_tradnl"/>
        </w:rPr>
        <w:t>r</w:t>
      </w:r>
      <w:r w:rsidR="0066545D" w:rsidRPr="00274507">
        <w:rPr>
          <w:sz w:val="28"/>
          <w:szCs w:val="28"/>
          <w:lang w:eastAsia="es-ES_tradnl"/>
        </w:rPr>
        <w:t>i</w:t>
      </w:r>
      <w:r w:rsidRPr="00274507">
        <w:rPr>
          <w:sz w:val="28"/>
          <w:szCs w:val="28"/>
          <w:lang w:eastAsia="es-ES_tradnl"/>
        </w:rPr>
        <w:t xml:space="preserve">o de </w:t>
      </w:r>
      <w:r w:rsidR="0066545D" w:rsidRPr="00274507">
        <w:rPr>
          <w:sz w:val="28"/>
          <w:szCs w:val="28"/>
          <w:lang w:eastAsia="es-ES_tradnl"/>
        </w:rPr>
        <w:t xml:space="preserve">la </w:t>
      </w:r>
      <w:r w:rsidRPr="00274507">
        <w:rPr>
          <w:sz w:val="28"/>
          <w:szCs w:val="28"/>
          <w:lang w:eastAsia="es-ES_tradnl"/>
        </w:rPr>
        <w:t xml:space="preserve">Protección Social </w:t>
      </w:r>
      <w:r w:rsidR="009C34E0" w:rsidRPr="00274507">
        <w:rPr>
          <w:sz w:val="28"/>
          <w:szCs w:val="28"/>
        </w:rPr>
        <w:t>indicó</w:t>
      </w:r>
      <w:r w:rsidR="00834DC3" w:rsidRPr="00274507">
        <w:rPr>
          <w:sz w:val="28"/>
          <w:szCs w:val="28"/>
        </w:rPr>
        <w:t xml:space="preserve"> </w:t>
      </w:r>
      <w:r w:rsidR="00C775D0" w:rsidRPr="00274507">
        <w:rPr>
          <w:sz w:val="28"/>
          <w:szCs w:val="28"/>
        </w:rPr>
        <w:t>que para efectuar la medi</w:t>
      </w:r>
      <w:r w:rsidR="00E36DD0" w:rsidRPr="00274507">
        <w:rPr>
          <w:sz w:val="28"/>
          <w:szCs w:val="28"/>
        </w:rPr>
        <w:t>ción de las acciones de tutela recurrió a</w:t>
      </w:r>
      <w:r w:rsidRPr="00274507">
        <w:rPr>
          <w:sz w:val="28"/>
          <w:szCs w:val="28"/>
        </w:rPr>
        <w:t xml:space="preserve"> los recobros presentados por las E</w:t>
      </w:r>
      <w:r w:rsidR="00C775D0" w:rsidRPr="00274507">
        <w:rPr>
          <w:sz w:val="28"/>
          <w:szCs w:val="28"/>
        </w:rPr>
        <w:t>ntidades Promotoras</w:t>
      </w:r>
      <w:r w:rsidR="00E36DD0" w:rsidRPr="00274507">
        <w:rPr>
          <w:sz w:val="28"/>
          <w:szCs w:val="28"/>
        </w:rPr>
        <w:t xml:space="preserve"> de Salud</w:t>
      </w:r>
      <w:r w:rsidR="00E71DD4" w:rsidRPr="00274507">
        <w:rPr>
          <w:sz w:val="28"/>
          <w:szCs w:val="28"/>
        </w:rPr>
        <w:t xml:space="preserve"> </w:t>
      </w:r>
      <w:r w:rsidR="00E36DD0" w:rsidRPr="00274507">
        <w:rPr>
          <w:sz w:val="28"/>
          <w:szCs w:val="28"/>
        </w:rPr>
        <w:t>-E</w:t>
      </w:r>
      <w:r w:rsidR="007474A3" w:rsidRPr="00274507">
        <w:rPr>
          <w:sz w:val="28"/>
          <w:szCs w:val="28"/>
        </w:rPr>
        <w:t>PS-</w:t>
      </w:r>
      <w:r w:rsidR="00E36DD0" w:rsidRPr="00274507">
        <w:rPr>
          <w:sz w:val="28"/>
          <w:szCs w:val="28"/>
        </w:rPr>
        <w:t xml:space="preserve">, </w:t>
      </w:r>
      <w:r w:rsidR="007474A3" w:rsidRPr="00274507">
        <w:rPr>
          <w:sz w:val="28"/>
          <w:szCs w:val="28"/>
        </w:rPr>
        <w:t xml:space="preserve">reconocidos por vía de </w:t>
      </w:r>
      <w:r w:rsidR="00C775D0" w:rsidRPr="00274507">
        <w:rPr>
          <w:sz w:val="28"/>
          <w:szCs w:val="28"/>
        </w:rPr>
        <w:t xml:space="preserve">tutela </w:t>
      </w:r>
      <w:r w:rsidR="00A00CC3" w:rsidRPr="00274507">
        <w:rPr>
          <w:sz w:val="28"/>
          <w:szCs w:val="28"/>
        </w:rPr>
        <w:t>en</w:t>
      </w:r>
      <w:r w:rsidR="007474A3" w:rsidRPr="00274507">
        <w:rPr>
          <w:sz w:val="28"/>
          <w:szCs w:val="28"/>
        </w:rPr>
        <w:t xml:space="preserve"> </w:t>
      </w:r>
      <w:r w:rsidR="00C775D0" w:rsidRPr="00274507">
        <w:rPr>
          <w:sz w:val="28"/>
          <w:szCs w:val="28"/>
        </w:rPr>
        <w:t xml:space="preserve">el </w:t>
      </w:r>
      <w:r w:rsidR="0066545D" w:rsidRPr="00274507">
        <w:rPr>
          <w:sz w:val="28"/>
          <w:szCs w:val="28"/>
        </w:rPr>
        <w:t xml:space="preserve">año </w:t>
      </w:r>
      <w:r w:rsidR="00E80049" w:rsidRPr="00274507">
        <w:rPr>
          <w:sz w:val="28"/>
          <w:szCs w:val="28"/>
        </w:rPr>
        <w:t xml:space="preserve">2008. </w:t>
      </w:r>
      <w:r w:rsidR="00E36DD0" w:rsidRPr="00274507">
        <w:rPr>
          <w:sz w:val="28"/>
          <w:szCs w:val="28"/>
        </w:rPr>
        <w:t>En ese sentido, r</w:t>
      </w:r>
      <w:r w:rsidRPr="00274507">
        <w:rPr>
          <w:sz w:val="28"/>
          <w:szCs w:val="28"/>
        </w:rPr>
        <w:t>ealizó el análisis en l</w:t>
      </w:r>
      <w:r w:rsidR="0066545D" w:rsidRPr="00274507">
        <w:rPr>
          <w:sz w:val="28"/>
          <w:szCs w:val="28"/>
        </w:rPr>
        <w:t>as solicitudes registradas</w:t>
      </w:r>
      <w:r w:rsidRPr="00274507">
        <w:rPr>
          <w:sz w:val="28"/>
          <w:szCs w:val="28"/>
        </w:rPr>
        <w:t xml:space="preserve"> antes y después de la expedició</w:t>
      </w:r>
      <w:r w:rsidR="00167302" w:rsidRPr="00274507">
        <w:rPr>
          <w:sz w:val="28"/>
          <w:szCs w:val="28"/>
        </w:rPr>
        <w:t>n de la sentenc</w:t>
      </w:r>
      <w:r w:rsidR="00A00CC3" w:rsidRPr="00274507">
        <w:rPr>
          <w:sz w:val="28"/>
          <w:szCs w:val="28"/>
        </w:rPr>
        <w:t>ia T-760 de 2008</w:t>
      </w:r>
      <w:r w:rsidR="00167302" w:rsidRPr="00274507">
        <w:rPr>
          <w:sz w:val="28"/>
          <w:szCs w:val="28"/>
        </w:rPr>
        <w:t xml:space="preserve">, </w:t>
      </w:r>
      <w:r w:rsidRPr="00274507">
        <w:rPr>
          <w:sz w:val="28"/>
          <w:szCs w:val="28"/>
        </w:rPr>
        <w:t>así:</w:t>
      </w:r>
    </w:p>
    <w:p w:rsidR="00C76FF1" w:rsidRPr="00274507" w:rsidRDefault="00C76FF1" w:rsidP="00274507">
      <w:pPr>
        <w:pStyle w:val="Prrafodelista"/>
        <w:tabs>
          <w:tab w:val="left" w:pos="567"/>
        </w:tabs>
        <w:ind w:left="0"/>
        <w:jc w:val="both"/>
        <w:rPr>
          <w:sz w:val="28"/>
          <w:szCs w:val="28"/>
        </w:rPr>
      </w:pPr>
    </w:p>
    <w:tbl>
      <w:tblPr>
        <w:tblStyle w:val="Tablaconcuadrcula"/>
        <w:tblW w:w="0" w:type="auto"/>
        <w:tblLook w:val="04A0" w:firstRow="1" w:lastRow="0" w:firstColumn="1" w:lastColumn="0" w:noHBand="0" w:noVBand="1"/>
      </w:tblPr>
      <w:tblGrid>
        <w:gridCol w:w="2173"/>
        <w:gridCol w:w="2563"/>
        <w:gridCol w:w="2256"/>
        <w:gridCol w:w="1836"/>
      </w:tblGrid>
      <w:tr w:rsidR="006A22F5" w:rsidRPr="00274507" w:rsidTr="00C76FF1">
        <w:tc>
          <w:tcPr>
            <w:tcW w:w="2173" w:type="dxa"/>
          </w:tcPr>
          <w:p w:rsidR="00C76FF1" w:rsidRPr="00274507" w:rsidRDefault="00C76FF1" w:rsidP="00274507">
            <w:pPr>
              <w:jc w:val="center"/>
              <w:rPr>
                <w:b/>
                <w:sz w:val="28"/>
                <w:szCs w:val="28"/>
              </w:rPr>
            </w:pPr>
            <w:r w:rsidRPr="00274507">
              <w:rPr>
                <w:b/>
                <w:sz w:val="28"/>
                <w:szCs w:val="28"/>
              </w:rPr>
              <w:t>Recobros</w:t>
            </w:r>
          </w:p>
        </w:tc>
        <w:tc>
          <w:tcPr>
            <w:tcW w:w="2563" w:type="dxa"/>
          </w:tcPr>
          <w:p w:rsidR="00C76FF1" w:rsidRPr="00274507" w:rsidRDefault="00C76FF1" w:rsidP="00274507">
            <w:pPr>
              <w:jc w:val="center"/>
              <w:rPr>
                <w:b/>
                <w:sz w:val="28"/>
                <w:szCs w:val="28"/>
              </w:rPr>
            </w:pPr>
            <w:r w:rsidRPr="00274507">
              <w:rPr>
                <w:b/>
                <w:sz w:val="28"/>
                <w:szCs w:val="28"/>
              </w:rPr>
              <w:t>Valor</w:t>
            </w:r>
          </w:p>
        </w:tc>
        <w:tc>
          <w:tcPr>
            <w:tcW w:w="2256" w:type="dxa"/>
          </w:tcPr>
          <w:p w:rsidR="00C76FF1" w:rsidRPr="00274507" w:rsidRDefault="00C76FF1" w:rsidP="00274507">
            <w:pPr>
              <w:jc w:val="center"/>
              <w:rPr>
                <w:b/>
                <w:sz w:val="28"/>
                <w:szCs w:val="28"/>
              </w:rPr>
            </w:pPr>
            <w:r w:rsidRPr="00274507">
              <w:rPr>
                <w:b/>
                <w:sz w:val="28"/>
                <w:szCs w:val="28"/>
              </w:rPr>
              <w:t>Meses</w:t>
            </w:r>
          </w:p>
        </w:tc>
        <w:tc>
          <w:tcPr>
            <w:tcW w:w="1836" w:type="dxa"/>
          </w:tcPr>
          <w:p w:rsidR="00C76FF1" w:rsidRPr="00274507" w:rsidRDefault="00C76FF1" w:rsidP="00274507">
            <w:pPr>
              <w:jc w:val="center"/>
              <w:rPr>
                <w:b/>
                <w:sz w:val="28"/>
                <w:szCs w:val="28"/>
              </w:rPr>
            </w:pPr>
            <w:r w:rsidRPr="00274507">
              <w:rPr>
                <w:b/>
                <w:sz w:val="28"/>
                <w:szCs w:val="28"/>
              </w:rPr>
              <w:t>Porcentaje de aprobación</w:t>
            </w:r>
          </w:p>
        </w:tc>
      </w:tr>
      <w:tr w:rsidR="006A22F5" w:rsidRPr="00274507" w:rsidTr="00C76FF1">
        <w:tc>
          <w:tcPr>
            <w:tcW w:w="2173" w:type="dxa"/>
          </w:tcPr>
          <w:p w:rsidR="00C76FF1" w:rsidRPr="00274507" w:rsidRDefault="00C76FF1" w:rsidP="00274507">
            <w:pPr>
              <w:jc w:val="center"/>
              <w:rPr>
                <w:sz w:val="28"/>
                <w:szCs w:val="28"/>
              </w:rPr>
            </w:pPr>
            <w:r w:rsidRPr="00274507">
              <w:rPr>
                <w:sz w:val="28"/>
                <w:szCs w:val="28"/>
              </w:rPr>
              <w:t>51.391</w:t>
            </w:r>
          </w:p>
        </w:tc>
        <w:tc>
          <w:tcPr>
            <w:tcW w:w="2563" w:type="dxa"/>
          </w:tcPr>
          <w:p w:rsidR="00C76FF1" w:rsidRPr="00274507" w:rsidRDefault="00287204" w:rsidP="00274507">
            <w:pPr>
              <w:rPr>
                <w:sz w:val="28"/>
                <w:szCs w:val="28"/>
              </w:rPr>
            </w:pPr>
            <w:r w:rsidRPr="00274507">
              <w:rPr>
                <w:sz w:val="28"/>
                <w:szCs w:val="28"/>
              </w:rPr>
              <w:t xml:space="preserve">      $ </w:t>
            </w:r>
            <w:r w:rsidR="00C76FF1" w:rsidRPr="00274507">
              <w:rPr>
                <w:sz w:val="28"/>
                <w:szCs w:val="28"/>
              </w:rPr>
              <w:t>62.000.000.000</w:t>
            </w:r>
          </w:p>
        </w:tc>
        <w:tc>
          <w:tcPr>
            <w:tcW w:w="2256" w:type="dxa"/>
          </w:tcPr>
          <w:p w:rsidR="00C76FF1" w:rsidRPr="00274507" w:rsidRDefault="00C76FF1" w:rsidP="00274507">
            <w:pPr>
              <w:jc w:val="center"/>
              <w:rPr>
                <w:sz w:val="28"/>
                <w:szCs w:val="28"/>
              </w:rPr>
            </w:pPr>
            <w:r w:rsidRPr="00274507">
              <w:rPr>
                <w:sz w:val="28"/>
                <w:szCs w:val="28"/>
              </w:rPr>
              <w:t>Enero – agosto  de 2008</w:t>
            </w:r>
          </w:p>
        </w:tc>
        <w:tc>
          <w:tcPr>
            <w:tcW w:w="1836" w:type="dxa"/>
          </w:tcPr>
          <w:p w:rsidR="00C76FF1" w:rsidRPr="00274507" w:rsidRDefault="00C76FF1" w:rsidP="00274507">
            <w:pPr>
              <w:jc w:val="center"/>
              <w:rPr>
                <w:sz w:val="28"/>
                <w:szCs w:val="28"/>
              </w:rPr>
            </w:pPr>
            <w:r w:rsidRPr="00274507">
              <w:rPr>
                <w:sz w:val="28"/>
                <w:szCs w:val="28"/>
              </w:rPr>
              <w:t>55%</w:t>
            </w:r>
          </w:p>
        </w:tc>
      </w:tr>
      <w:tr w:rsidR="006A22F5" w:rsidRPr="00274507" w:rsidTr="00C76FF1">
        <w:tc>
          <w:tcPr>
            <w:tcW w:w="2173" w:type="dxa"/>
          </w:tcPr>
          <w:p w:rsidR="00C76FF1" w:rsidRPr="00274507" w:rsidRDefault="00C76FF1" w:rsidP="00274507">
            <w:pPr>
              <w:jc w:val="center"/>
              <w:rPr>
                <w:sz w:val="28"/>
                <w:szCs w:val="28"/>
              </w:rPr>
            </w:pPr>
            <w:r w:rsidRPr="00274507">
              <w:rPr>
                <w:sz w:val="28"/>
                <w:szCs w:val="28"/>
              </w:rPr>
              <w:t>91.391</w:t>
            </w:r>
          </w:p>
        </w:tc>
        <w:tc>
          <w:tcPr>
            <w:tcW w:w="2563" w:type="dxa"/>
          </w:tcPr>
          <w:p w:rsidR="00C76FF1" w:rsidRPr="00274507" w:rsidRDefault="009B411E" w:rsidP="00274507">
            <w:pPr>
              <w:rPr>
                <w:sz w:val="28"/>
                <w:szCs w:val="28"/>
              </w:rPr>
            </w:pPr>
            <w:r w:rsidRPr="00274507">
              <w:rPr>
                <w:sz w:val="28"/>
                <w:szCs w:val="28"/>
              </w:rPr>
              <w:t xml:space="preserve">      </w:t>
            </w:r>
            <w:r w:rsidR="00287204" w:rsidRPr="00274507">
              <w:rPr>
                <w:sz w:val="28"/>
                <w:szCs w:val="28"/>
              </w:rPr>
              <w:t>$ 143.000.000.000</w:t>
            </w:r>
          </w:p>
        </w:tc>
        <w:tc>
          <w:tcPr>
            <w:tcW w:w="2256" w:type="dxa"/>
          </w:tcPr>
          <w:p w:rsidR="00C76FF1" w:rsidRPr="00274507" w:rsidRDefault="00C76FF1" w:rsidP="00274507">
            <w:pPr>
              <w:jc w:val="center"/>
              <w:rPr>
                <w:sz w:val="28"/>
                <w:szCs w:val="28"/>
              </w:rPr>
            </w:pPr>
            <w:r w:rsidRPr="00274507">
              <w:rPr>
                <w:sz w:val="28"/>
                <w:szCs w:val="28"/>
              </w:rPr>
              <w:t>Septiembre – noviembre de 2008</w:t>
            </w:r>
          </w:p>
        </w:tc>
        <w:tc>
          <w:tcPr>
            <w:tcW w:w="1836" w:type="dxa"/>
          </w:tcPr>
          <w:p w:rsidR="00C76FF1" w:rsidRPr="00274507" w:rsidRDefault="00C76FF1" w:rsidP="00274507">
            <w:pPr>
              <w:jc w:val="center"/>
              <w:rPr>
                <w:sz w:val="28"/>
                <w:szCs w:val="28"/>
              </w:rPr>
            </w:pPr>
            <w:r w:rsidRPr="00274507">
              <w:rPr>
                <w:sz w:val="28"/>
                <w:szCs w:val="28"/>
              </w:rPr>
              <w:t>74%</w:t>
            </w:r>
          </w:p>
        </w:tc>
      </w:tr>
    </w:tbl>
    <w:p w:rsidR="002E5F57" w:rsidRPr="00274507" w:rsidRDefault="002E5F57" w:rsidP="00274507">
      <w:pPr>
        <w:shd w:val="clear" w:color="auto" w:fill="FFFFFF" w:themeFill="background1"/>
        <w:jc w:val="both"/>
        <w:rPr>
          <w:sz w:val="28"/>
          <w:szCs w:val="28"/>
        </w:rPr>
      </w:pPr>
    </w:p>
    <w:p w:rsidR="00C76FF1" w:rsidRPr="00274507" w:rsidRDefault="00E36DD0" w:rsidP="00274507">
      <w:pPr>
        <w:shd w:val="clear" w:color="auto" w:fill="FFFFFF" w:themeFill="background1"/>
        <w:jc w:val="both"/>
        <w:rPr>
          <w:sz w:val="28"/>
          <w:szCs w:val="28"/>
          <w:lang w:val="es-ES"/>
        </w:rPr>
      </w:pPr>
      <w:r w:rsidRPr="00274507">
        <w:rPr>
          <w:sz w:val="28"/>
          <w:szCs w:val="28"/>
        </w:rPr>
        <w:t>Expli</w:t>
      </w:r>
      <w:r w:rsidR="00C76FF1" w:rsidRPr="00274507">
        <w:rPr>
          <w:sz w:val="28"/>
          <w:szCs w:val="28"/>
        </w:rPr>
        <w:t>có que para el</w:t>
      </w:r>
      <w:r w:rsidRPr="00274507">
        <w:rPr>
          <w:sz w:val="28"/>
          <w:szCs w:val="28"/>
        </w:rPr>
        <w:t xml:space="preserve"> año</w:t>
      </w:r>
      <w:r w:rsidR="00C76FF1" w:rsidRPr="00274507">
        <w:rPr>
          <w:sz w:val="28"/>
          <w:szCs w:val="28"/>
        </w:rPr>
        <w:t xml:space="preserve"> 2008 se presentaron 400.394 solicitudes de recobro de las cuales 35.553 </w:t>
      </w:r>
      <w:r w:rsidR="008F2764" w:rsidRPr="00274507">
        <w:rPr>
          <w:sz w:val="28"/>
          <w:szCs w:val="28"/>
        </w:rPr>
        <w:t xml:space="preserve">se originaron </w:t>
      </w:r>
      <w:r w:rsidR="004D3112" w:rsidRPr="00274507">
        <w:rPr>
          <w:sz w:val="28"/>
          <w:szCs w:val="28"/>
        </w:rPr>
        <w:t>en cumplimiento de</w:t>
      </w:r>
      <w:r w:rsidR="0066545D" w:rsidRPr="00274507">
        <w:rPr>
          <w:sz w:val="28"/>
          <w:szCs w:val="28"/>
        </w:rPr>
        <w:t xml:space="preserve"> </w:t>
      </w:r>
      <w:r w:rsidR="008F2764" w:rsidRPr="00274507">
        <w:rPr>
          <w:sz w:val="28"/>
          <w:szCs w:val="28"/>
        </w:rPr>
        <w:t>decisiones judiciales expedida</w:t>
      </w:r>
      <w:r w:rsidR="00C76FF1" w:rsidRPr="00274507">
        <w:rPr>
          <w:sz w:val="28"/>
          <w:szCs w:val="28"/>
        </w:rPr>
        <w:t xml:space="preserve">s previo </w:t>
      </w:r>
      <w:r w:rsidR="00E54DAF" w:rsidRPr="00274507">
        <w:rPr>
          <w:sz w:val="28"/>
          <w:szCs w:val="28"/>
        </w:rPr>
        <w:t xml:space="preserve">a la sentencia T-760 de 2008 y </w:t>
      </w:r>
      <w:r w:rsidR="00C76FF1" w:rsidRPr="00274507">
        <w:rPr>
          <w:sz w:val="28"/>
          <w:szCs w:val="28"/>
        </w:rPr>
        <w:t>posteriores a la misma,</w:t>
      </w:r>
      <w:r w:rsidR="004D3112" w:rsidRPr="00274507">
        <w:rPr>
          <w:sz w:val="28"/>
          <w:szCs w:val="28"/>
        </w:rPr>
        <w:t xml:space="preserve"> existiendo </w:t>
      </w:r>
      <w:r w:rsidR="00C76FF1" w:rsidRPr="00274507">
        <w:rPr>
          <w:sz w:val="28"/>
          <w:szCs w:val="28"/>
        </w:rPr>
        <w:t>una dismi</w:t>
      </w:r>
      <w:r w:rsidR="00167302" w:rsidRPr="00274507">
        <w:rPr>
          <w:sz w:val="28"/>
          <w:szCs w:val="28"/>
        </w:rPr>
        <w:t xml:space="preserve">nución </w:t>
      </w:r>
      <w:r w:rsidR="0066545D" w:rsidRPr="00274507">
        <w:rPr>
          <w:sz w:val="28"/>
          <w:szCs w:val="28"/>
        </w:rPr>
        <w:t xml:space="preserve">en </w:t>
      </w:r>
      <w:r w:rsidR="00E54DAF" w:rsidRPr="00274507">
        <w:rPr>
          <w:sz w:val="28"/>
          <w:szCs w:val="28"/>
        </w:rPr>
        <w:t>los últimos correspondiente a un 4.76%</w:t>
      </w:r>
      <w:r w:rsidR="008F2764" w:rsidRPr="00274507">
        <w:rPr>
          <w:sz w:val="28"/>
          <w:szCs w:val="28"/>
        </w:rPr>
        <w:t>. Además indicó que c</w:t>
      </w:r>
      <w:r w:rsidR="00167302" w:rsidRPr="00274507">
        <w:rPr>
          <w:sz w:val="28"/>
          <w:szCs w:val="28"/>
        </w:rPr>
        <w:t xml:space="preserve">omo consecuencia de la expedición </w:t>
      </w:r>
      <w:r w:rsidR="00C76FF1" w:rsidRPr="00274507">
        <w:rPr>
          <w:sz w:val="28"/>
          <w:szCs w:val="28"/>
        </w:rPr>
        <w:t xml:space="preserve">de la </w:t>
      </w:r>
      <w:r w:rsidR="00E42CBC" w:rsidRPr="00274507">
        <w:rPr>
          <w:sz w:val="28"/>
          <w:szCs w:val="28"/>
        </w:rPr>
        <w:t>Resolución</w:t>
      </w:r>
      <w:r w:rsidR="00C76FF1" w:rsidRPr="00274507">
        <w:rPr>
          <w:sz w:val="28"/>
          <w:szCs w:val="28"/>
        </w:rPr>
        <w:t xml:space="preserve"> 3754 de 2008</w:t>
      </w:r>
      <w:r w:rsidR="00C76FF1" w:rsidRPr="00274507">
        <w:rPr>
          <w:sz w:val="28"/>
          <w:szCs w:val="28"/>
          <w:vertAlign w:val="superscript"/>
        </w:rPr>
        <w:footnoteReference w:id="3"/>
      </w:r>
      <w:r w:rsidR="009B411E" w:rsidRPr="00274507">
        <w:rPr>
          <w:sz w:val="28"/>
          <w:szCs w:val="28"/>
        </w:rPr>
        <w:t xml:space="preserve">, </w:t>
      </w:r>
      <w:r w:rsidR="00074B82" w:rsidRPr="00274507">
        <w:rPr>
          <w:sz w:val="28"/>
          <w:szCs w:val="28"/>
        </w:rPr>
        <w:t xml:space="preserve">a partir de </w:t>
      </w:r>
      <w:r w:rsidR="00C76FF1" w:rsidRPr="00274507">
        <w:rPr>
          <w:sz w:val="28"/>
          <w:szCs w:val="28"/>
        </w:rPr>
        <w:t>la cual</w:t>
      </w:r>
      <w:r w:rsidR="00074B82" w:rsidRPr="00274507">
        <w:rPr>
          <w:sz w:val="28"/>
          <w:szCs w:val="28"/>
        </w:rPr>
        <w:t xml:space="preserve"> se reglamentó el procedimiento </w:t>
      </w:r>
      <w:r w:rsidR="009B411E" w:rsidRPr="00274507">
        <w:rPr>
          <w:sz w:val="28"/>
          <w:szCs w:val="28"/>
        </w:rPr>
        <w:t xml:space="preserve">de recobro </w:t>
      </w:r>
      <w:r w:rsidR="00E54DAF" w:rsidRPr="00274507">
        <w:rPr>
          <w:sz w:val="28"/>
          <w:szCs w:val="28"/>
        </w:rPr>
        <w:t xml:space="preserve">ante el Fosyga, </w:t>
      </w:r>
      <w:r w:rsidR="00074B82" w:rsidRPr="00274507">
        <w:rPr>
          <w:sz w:val="28"/>
          <w:szCs w:val="28"/>
          <w:lang w:val="es-ES"/>
        </w:rPr>
        <w:t>el porcentaje</w:t>
      </w:r>
      <w:r w:rsidR="009B411E" w:rsidRPr="00274507">
        <w:rPr>
          <w:sz w:val="28"/>
          <w:szCs w:val="28"/>
          <w:lang w:val="es-ES"/>
        </w:rPr>
        <w:t xml:space="preserve"> </w:t>
      </w:r>
      <w:r w:rsidR="00D51348" w:rsidRPr="00274507">
        <w:rPr>
          <w:sz w:val="28"/>
          <w:szCs w:val="28"/>
          <w:lang w:val="es-ES"/>
        </w:rPr>
        <w:t>de</w:t>
      </w:r>
      <w:r w:rsidR="009B411E" w:rsidRPr="00274507">
        <w:rPr>
          <w:sz w:val="28"/>
          <w:szCs w:val="28"/>
          <w:lang w:val="es-ES"/>
        </w:rPr>
        <w:t xml:space="preserve"> aprobación</w:t>
      </w:r>
      <w:r w:rsidR="00074B82" w:rsidRPr="00274507">
        <w:rPr>
          <w:sz w:val="28"/>
          <w:szCs w:val="28"/>
          <w:lang w:val="es-ES"/>
        </w:rPr>
        <w:t xml:space="preserve"> </w:t>
      </w:r>
      <w:r w:rsidR="009B411E" w:rsidRPr="00274507">
        <w:rPr>
          <w:sz w:val="28"/>
          <w:szCs w:val="28"/>
          <w:lang w:val="es-ES"/>
        </w:rPr>
        <w:t xml:space="preserve">aumentó </w:t>
      </w:r>
      <w:r w:rsidR="00862088" w:rsidRPr="00274507">
        <w:rPr>
          <w:sz w:val="28"/>
          <w:szCs w:val="28"/>
          <w:lang w:val="es-ES"/>
        </w:rPr>
        <w:t>en un 18%.</w:t>
      </w:r>
    </w:p>
    <w:p w:rsidR="00916A77" w:rsidRPr="00274507" w:rsidRDefault="00916A77" w:rsidP="00274507">
      <w:pPr>
        <w:shd w:val="clear" w:color="auto" w:fill="FFFFFF" w:themeFill="background1"/>
        <w:jc w:val="both"/>
        <w:rPr>
          <w:sz w:val="28"/>
          <w:szCs w:val="28"/>
          <w:lang w:val="es-ES"/>
        </w:rPr>
      </w:pPr>
    </w:p>
    <w:p w:rsidR="00727ED8" w:rsidRPr="00274507" w:rsidRDefault="000A51A3" w:rsidP="00274507">
      <w:pPr>
        <w:tabs>
          <w:tab w:val="left" w:pos="567"/>
        </w:tabs>
        <w:jc w:val="both"/>
        <w:rPr>
          <w:sz w:val="28"/>
          <w:szCs w:val="28"/>
        </w:rPr>
      </w:pPr>
      <w:r w:rsidRPr="00274507">
        <w:rPr>
          <w:b/>
          <w:sz w:val="28"/>
          <w:szCs w:val="28"/>
          <w:lang w:val="es-ES"/>
        </w:rPr>
        <w:t>2</w:t>
      </w:r>
      <w:r w:rsidR="00E1729E" w:rsidRPr="00274507">
        <w:rPr>
          <w:b/>
          <w:sz w:val="28"/>
          <w:szCs w:val="28"/>
          <w:lang w:val="es-ES"/>
        </w:rPr>
        <w:t>.2.</w:t>
      </w:r>
      <w:r w:rsidR="00E1729E" w:rsidRPr="00274507">
        <w:rPr>
          <w:sz w:val="28"/>
          <w:szCs w:val="28"/>
          <w:lang w:val="es-ES"/>
        </w:rPr>
        <w:t xml:space="preserve"> </w:t>
      </w:r>
      <w:r w:rsidR="00727ED8" w:rsidRPr="00274507">
        <w:rPr>
          <w:sz w:val="28"/>
          <w:szCs w:val="28"/>
        </w:rPr>
        <w:t>El 17 de agosto de 2010</w:t>
      </w:r>
      <w:r w:rsidR="00727ED8" w:rsidRPr="00274507">
        <w:rPr>
          <w:rStyle w:val="Refdenotaalpie"/>
          <w:sz w:val="28"/>
          <w:szCs w:val="28"/>
        </w:rPr>
        <w:footnoteReference w:id="4"/>
      </w:r>
      <w:r w:rsidR="00727ED8" w:rsidRPr="00274507">
        <w:rPr>
          <w:sz w:val="28"/>
          <w:szCs w:val="28"/>
        </w:rPr>
        <w:t xml:space="preserve"> el entonces Ministerio de la Protección Social reiteró que para el análisis</w:t>
      </w:r>
      <w:r w:rsidR="008F2764" w:rsidRPr="00274507">
        <w:rPr>
          <w:sz w:val="28"/>
          <w:szCs w:val="28"/>
        </w:rPr>
        <w:t xml:space="preserve"> de ese año</w:t>
      </w:r>
      <w:r w:rsidR="00727ED8" w:rsidRPr="00274507">
        <w:rPr>
          <w:sz w:val="28"/>
          <w:szCs w:val="28"/>
        </w:rPr>
        <w:t xml:space="preserve"> obtuvo información de los requerimientos de recobro presentados por las EPS como consecuenci</w:t>
      </w:r>
      <w:r w:rsidR="00C71F2D" w:rsidRPr="00274507">
        <w:rPr>
          <w:sz w:val="28"/>
          <w:szCs w:val="28"/>
        </w:rPr>
        <w:t xml:space="preserve">a de los medicamentos, insumos y </w:t>
      </w:r>
      <w:r w:rsidR="00727ED8" w:rsidRPr="00274507">
        <w:rPr>
          <w:sz w:val="28"/>
          <w:szCs w:val="28"/>
        </w:rPr>
        <w:t xml:space="preserve">tecnologías </w:t>
      </w:r>
      <w:r w:rsidR="00C71F2D" w:rsidRPr="00274507">
        <w:rPr>
          <w:sz w:val="28"/>
          <w:szCs w:val="28"/>
        </w:rPr>
        <w:t xml:space="preserve">ordenados por vía judicial. </w:t>
      </w:r>
      <w:r w:rsidR="008F2764" w:rsidRPr="00274507">
        <w:rPr>
          <w:sz w:val="28"/>
          <w:szCs w:val="28"/>
        </w:rPr>
        <w:t xml:space="preserve">Presentó los resultados obtenidos de los fallos expedidos en los años </w:t>
      </w:r>
      <w:r w:rsidR="00727ED8" w:rsidRPr="00274507">
        <w:rPr>
          <w:sz w:val="28"/>
          <w:szCs w:val="28"/>
        </w:rPr>
        <w:t>2009 y 2010</w:t>
      </w:r>
      <w:r w:rsidR="00087380" w:rsidRPr="00274507">
        <w:rPr>
          <w:sz w:val="28"/>
          <w:szCs w:val="28"/>
        </w:rPr>
        <w:t xml:space="preserve"> en los que se reconoció recobros</w:t>
      </w:r>
      <w:r w:rsidR="00727ED8" w:rsidRPr="00274507">
        <w:rPr>
          <w:sz w:val="28"/>
          <w:szCs w:val="28"/>
        </w:rPr>
        <w:t xml:space="preserve">, </w:t>
      </w:r>
      <w:r w:rsidR="008F2764" w:rsidRPr="00274507">
        <w:rPr>
          <w:sz w:val="28"/>
          <w:szCs w:val="28"/>
        </w:rPr>
        <w:t xml:space="preserve">y </w:t>
      </w:r>
      <w:r w:rsidR="00727ED8" w:rsidRPr="00274507">
        <w:rPr>
          <w:sz w:val="28"/>
          <w:szCs w:val="28"/>
        </w:rPr>
        <w:t>encontró que</w:t>
      </w:r>
      <w:r w:rsidR="00087380" w:rsidRPr="00274507">
        <w:rPr>
          <w:sz w:val="28"/>
          <w:szCs w:val="28"/>
        </w:rPr>
        <w:t xml:space="preserve"> las solicitudes por este concepto</w:t>
      </w:r>
      <w:r w:rsidR="00727ED8" w:rsidRPr="00274507">
        <w:rPr>
          <w:sz w:val="28"/>
          <w:szCs w:val="28"/>
        </w:rPr>
        <w:t xml:space="preserve"> </w:t>
      </w:r>
      <w:r w:rsidR="00087380" w:rsidRPr="00274507">
        <w:rPr>
          <w:sz w:val="28"/>
          <w:szCs w:val="28"/>
        </w:rPr>
        <w:t xml:space="preserve">incrementaron </w:t>
      </w:r>
      <w:r w:rsidR="00C71F2D" w:rsidRPr="00274507">
        <w:rPr>
          <w:sz w:val="28"/>
          <w:szCs w:val="28"/>
        </w:rPr>
        <w:t xml:space="preserve">como consecuencia de los requisitos </w:t>
      </w:r>
      <w:r w:rsidR="00087380" w:rsidRPr="00274507">
        <w:rPr>
          <w:sz w:val="28"/>
          <w:szCs w:val="28"/>
        </w:rPr>
        <w:t>establecidos en la R</w:t>
      </w:r>
      <w:r w:rsidR="00C71F2D" w:rsidRPr="00274507">
        <w:rPr>
          <w:sz w:val="28"/>
          <w:szCs w:val="28"/>
        </w:rPr>
        <w:t>esolución 3754 de 2008</w:t>
      </w:r>
      <w:r w:rsidR="00517764" w:rsidRPr="00274507">
        <w:rPr>
          <w:rStyle w:val="Refdenotaalpie"/>
          <w:sz w:val="28"/>
          <w:szCs w:val="28"/>
        </w:rPr>
        <w:footnoteReference w:id="5"/>
      </w:r>
      <w:r w:rsidR="00087380" w:rsidRPr="00274507">
        <w:rPr>
          <w:sz w:val="28"/>
          <w:szCs w:val="28"/>
        </w:rPr>
        <w:t>, de la siguiente manera</w:t>
      </w:r>
      <w:r w:rsidR="00727ED8" w:rsidRPr="00274507">
        <w:rPr>
          <w:sz w:val="28"/>
          <w:szCs w:val="28"/>
        </w:rPr>
        <w:t>:</w:t>
      </w:r>
    </w:p>
    <w:p w:rsidR="00727ED8" w:rsidRPr="00274507" w:rsidRDefault="00727ED8" w:rsidP="00274507">
      <w:pPr>
        <w:tabs>
          <w:tab w:val="left" w:pos="567"/>
        </w:tabs>
        <w:jc w:val="both"/>
        <w:rPr>
          <w:sz w:val="28"/>
          <w:szCs w:val="28"/>
        </w:rPr>
      </w:pPr>
    </w:p>
    <w:tbl>
      <w:tblPr>
        <w:tblStyle w:val="Tablaconcuadrcula"/>
        <w:tblW w:w="0" w:type="auto"/>
        <w:tblLook w:val="04A0" w:firstRow="1" w:lastRow="0" w:firstColumn="1" w:lastColumn="0" w:noHBand="0" w:noVBand="1"/>
      </w:tblPr>
      <w:tblGrid>
        <w:gridCol w:w="2942"/>
        <w:gridCol w:w="2943"/>
        <w:gridCol w:w="2943"/>
      </w:tblGrid>
      <w:tr w:rsidR="00727ED8" w:rsidRPr="00274507" w:rsidTr="007E63E7">
        <w:tc>
          <w:tcPr>
            <w:tcW w:w="2942" w:type="dxa"/>
          </w:tcPr>
          <w:p w:rsidR="00727ED8" w:rsidRPr="00274507" w:rsidRDefault="00727ED8" w:rsidP="00274507">
            <w:pPr>
              <w:jc w:val="center"/>
              <w:rPr>
                <w:b/>
                <w:sz w:val="28"/>
                <w:szCs w:val="28"/>
              </w:rPr>
            </w:pPr>
            <w:r w:rsidRPr="00274507">
              <w:rPr>
                <w:b/>
                <w:sz w:val="28"/>
                <w:szCs w:val="28"/>
              </w:rPr>
              <w:t>Solicitudes de recobro</w:t>
            </w:r>
          </w:p>
        </w:tc>
        <w:tc>
          <w:tcPr>
            <w:tcW w:w="2943" w:type="dxa"/>
          </w:tcPr>
          <w:p w:rsidR="00727ED8" w:rsidRPr="00274507" w:rsidRDefault="00727ED8" w:rsidP="00274507">
            <w:pPr>
              <w:jc w:val="center"/>
              <w:rPr>
                <w:b/>
                <w:sz w:val="28"/>
                <w:szCs w:val="28"/>
              </w:rPr>
            </w:pPr>
            <w:r w:rsidRPr="00274507">
              <w:rPr>
                <w:b/>
                <w:sz w:val="28"/>
                <w:szCs w:val="28"/>
              </w:rPr>
              <w:t>Fallos de tutela</w:t>
            </w:r>
          </w:p>
        </w:tc>
        <w:tc>
          <w:tcPr>
            <w:tcW w:w="2943" w:type="dxa"/>
          </w:tcPr>
          <w:p w:rsidR="00727ED8" w:rsidRPr="00274507" w:rsidRDefault="00727ED8" w:rsidP="00274507">
            <w:pPr>
              <w:jc w:val="center"/>
              <w:rPr>
                <w:b/>
                <w:sz w:val="28"/>
                <w:szCs w:val="28"/>
              </w:rPr>
            </w:pPr>
            <w:r w:rsidRPr="00274507">
              <w:rPr>
                <w:b/>
                <w:sz w:val="28"/>
                <w:szCs w:val="28"/>
              </w:rPr>
              <w:t>Año</w:t>
            </w:r>
          </w:p>
        </w:tc>
      </w:tr>
      <w:tr w:rsidR="00727ED8" w:rsidRPr="00274507" w:rsidTr="007E63E7">
        <w:trPr>
          <w:trHeight w:val="113"/>
        </w:trPr>
        <w:tc>
          <w:tcPr>
            <w:tcW w:w="2942" w:type="dxa"/>
            <w:vMerge w:val="restart"/>
          </w:tcPr>
          <w:p w:rsidR="00727ED8" w:rsidRPr="00274507" w:rsidRDefault="00727ED8" w:rsidP="00274507">
            <w:pPr>
              <w:jc w:val="center"/>
              <w:rPr>
                <w:sz w:val="28"/>
                <w:szCs w:val="28"/>
              </w:rPr>
            </w:pPr>
            <w:r w:rsidRPr="00274507">
              <w:rPr>
                <w:sz w:val="28"/>
                <w:szCs w:val="28"/>
              </w:rPr>
              <w:t>1.016.816</w:t>
            </w:r>
          </w:p>
        </w:tc>
        <w:tc>
          <w:tcPr>
            <w:tcW w:w="2943" w:type="dxa"/>
          </w:tcPr>
          <w:p w:rsidR="00727ED8" w:rsidRPr="00274507" w:rsidRDefault="00727ED8" w:rsidP="00274507">
            <w:pPr>
              <w:jc w:val="center"/>
              <w:rPr>
                <w:sz w:val="28"/>
                <w:szCs w:val="28"/>
              </w:rPr>
            </w:pPr>
            <w:r w:rsidRPr="00274507">
              <w:rPr>
                <w:sz w:val="28"/>
                <w:szCs w:val="28"/>
              </w:rPr>
              <w:t>183.154 (Previo T-760/08)</w:t>
            </w:r>
          </w:p>
        </w:tc>
        <w:tc>
          <w:tcPr>
            <w:tcW w:w="2943" w:type="dxa"/>
            <w:vMerge w:val="restart"/>
          </w:tcPr>
          <w:p w:rsidR="00727ED8" w:rsidRPr="00274507" w:rsidRDefault="00727ED8" w:rsidP="00274507">
            <w:pPr>
              <w:jc w:val="center"/>
              <w:rPr>
                <w:sz w:val="28"/>
                <w:szCs w:val="28"/>
              </w:rPr>
            </w:pPr>
            <w:r w:rsidRPr="00274507">
              <w:rPr>
                <w:sz w:val="28"/>
                <w:szCs w:val="28"/>
              </w:rPr>
              <w:t>2009</w:t>
            </w:r>
          </w:p>
        </w:tc>
      </w:tr>
      <w:tr w:rsidR="00727ED8" w:rsidRPr="00274507" w:rsidTr="007E63E7">
        <w:trPr>
          <w:trHeight w:val="112"/>
        </w:trPr>
        <w:tc>
          <w:tcPr>
            <w:tcW w:w="2942" w:type="dxa"/>
            <w:vMerge/>
          </w:tcPr>
          <w:p w:rsidR="00727ED8" w:rsidRPr="00274507" w:rsidRDefault="00727ED8" w:rsidP="00274507">
            <w:pPr>
              <w:jc w:val="center"/>
              <w:rPr>
                <w:sz w:val="28"/>
                <w:szCs w:val="28"/>
              </w:rPr>
            </w:pPr>
          </w:p>
        </w:tc>
        <w:tc>
          <w:tcPr>
            <w:tcW w:w="2943" w:type="dxa"/>
          </w:tcPr>
          <w:p w:rsidR="00727ED8" w:rsidRPr="00274507" w:rsidRDefault="00727ED8" w:rsidP="00274507">
            <w:pPr>
              <w:jc w:val="center"/>
              <w:rPr>
                <w:sz w:val="28"/>
                <w:szCs w:val="28"/>
              </w:rPr>
            </w:pPr>
            <w:r w:rsidRPr="00274507">
              <w:rPr>
                <w:sz w:val="28"/>
                <w:szCs w:val="28"/>
              </w:rPr>
              <w:t>27.523 (Posterior T-760/08)</w:t>
            </w:r>
          </w:p>
        </w:tc>
        <w:tc>
          <w:tcPr>
            <w:tcW w:w="2943" w:type="dxa"/>
            <w:vMerge/>
          </w:tcPr>
          <w:p w:rsidR="00727ED8" w:rsidRPr="00274507" w:rsidRDefault="00727ED8" w:rsidP="00274507">
            <w:pPr>
              <w:jc w:val="center"/>
              <w:rPr>
                <w:sz w:val="28"/>
                <w:szCs w:val="28"/>
              </w:rPr>
            </w:pPr>
          </w:p>
        </w:tc>
      </w:tr>
      <w:tr w:rsidR="00727ED8" w:rsidRPr="00274507" w:rsidTr="007E63E7">
        <w:trPr>
          <w:trHeight w:val="113"/>
        </w:trPr>
        <w:tc>
          <w:tcPr>
            <w:tcW w:w="2942" w:type="dxa"/>
            <w:vMerge w:val="restart"/>
          </w:tcPr>
          <w:p w:rsidR="00727ED8" w:rsidRPr="00274507" w:rsidRDefault="00727ED8" w:rsidP="00274507">
            <w:pPr>
              <w:jc w:val="center"/>
              <w:rPr>
                <w:sz w:val="28"/>
                <w:szCs w:val="28"/>
              </w:rPr>
            </w:pPr>
            <w:r w:rsidRPr="00274507">
              <w:rPr>
                <w:sz w:val="28"/>
                <w:szCs w:val="28"/>
              </w:rPr>
              <w:t>373.455</w:t>
            </w:r>
          </w:p>
        </w:tc>
        <w:tc>
          <w:tcPr>
            <w:tcW w:w="2943" w:type="dxa"/>
          </w:tcPr>
          <w:p w:rsidR="00727ED8" w:rsidRPr="00274507" w:rsidRDefault="00727ED8" w:rsidP="00274507">
            <w:pPr>
              <w:jc w:val="center"/>
              <w:rPr>
                <w:sz w:val="28"/>
                <w:szCs w:val="28"/>
              </w:rPr>
            </w:pPr>
            <w:r w:rsidRPr="00274507">
              <w:rPr>
                <w:sz w:val="28"/>
                <w:szCs w:val="28"/>
              </w:rPr>
              <w:t>52.009 (previo T-760/08)</w:t>
            </w:r>
          </w:p>
        </w:tc>
        <w:tc>
          <w:tcPr>
            <w:tcW w:w="2943" w:type="dxa"/>
            <w:vMerge w:val="restart"/>
          </w:tcPr>
          <w:p w:rsidR="00727ED8" w:rsidRPr="00274507" w:rsidRDefault="00727ED8" w:rsidP="00274507">
            <w:pPr>
              <w:jc w:val="center"/>
              <w:rPr>
                <w:sz w:val="28"/>
                <w:szCs w:val="28"/>
              </w:rPr>
            </w:pPr>
            <w:r w:rsidRPr="00274507">
              <w:rPr>
                <w:sz w:val="28"/>
                <w:szCs w:val="28"/>
              </w:rPr>
              <w:t>2010</w:t>
            </w:r>
          </w:p>
        </w:tc>
      </w:tr>
      <w:tr w:rsidR="00727ED8" w:rsidRPr="00274507" w:rsidTr="007E63E7">
        <w:trPr>
          <w:trHeight w:val="112"/>
        </w:trPr>
        <w:tc>
          <w:tcPr>
            <w:tcW w:w="2942" w:type="dxa"/>
            <w:vMerge/>
          </w:tcPr>
          <w:p w:rsidR="00727ED8" w:rsidRPr="00274507" w:rsidRDefault="00727ED8" w:rsidP="00274507">
            <w:pPr>
              <w:jc w:val="center"/>
              <w:rPr>
                <w:sz w:val="28"/>
                <w:szCs w:val="28"/>
              </w:rPr>
            </w:pPr>
          </w:p>
        </w:tc>
        <w:tc>
          <w:tcPr>
            <w:tcW w:w="2943" w:type="dxa"/>
          </w:tcPr>
          <w:p w:rsidR="00727ED8" w:rsidRPr="00274507" w:rsidRDefault="00727ED8" w:rsidP="00274507">
            <w:pPr>
              <w:jc w:val="center"/>
              <w:rPr>
                <w:sz w:val="28"/>
                <w:szCs w:val="28"/>
              </w:rPr>
            </w:pPr>
            <w:r w:rsidRPr="00274507">
              <w:rPr>
                <w:sz w:val="28"/>
                <w:szCs w:val="28"/>
              </w:rPr>
              <w:t>11.423 (posterior T-760/08)</w:t>
            </w:r>
          </w:p>
        </w:tc>
        <w:tc>
          <w:tcPr>
            <w:tcW w:w="2943" w:type="dxa"/>
            <w:vMerge/>
          </w:tcPr>
          <w:p w:rsidR="00727ED8" w:rsidRPr="00274507" w:rsidRDefault="00727ED8" w:rsidP="00274507">
            <w:pPr>
              <w:jc w:val="center"/>
              <w:rPr>
                <w:sz w:val="28"/>
                <w:szCs w:val="28"/>
              </w:rPr>
            </w:pPr>
          </w:p>
        </w:tc>
      </w:tr>
    </w:tbl>
    <w:p w:rsidR="00E54DAF" w:rsidRPr="00274507" w:rsidRDefault="00E54DAF" w:rsidP="00274507">
      <w:pPr>
        <w:pStyle w:val="Sinespaciado"/>
        <w:jc w:val="both"/>
        <w:rPr>
          <w:b/>
          <w:sz w:val="28"/>
          <w:szCs w:val="28"/>
        </w:rPr>
      </w:pPr>
    </w:p>
    <w:p w:rsidR="00E47347" w:rsidRPr="00274507" w:rsidRDefault="000A51A3" w:rsidP="00274507">
      <w:pPr>
        <w:pStyle w:val="Sinespaciado"/>
        <w:jc w:val="both"/>
        <w:rPr>
          <w:sz w:val="28"/>
          <w:szCs w:val="28"/>
          <w:shd w:val="clear" w:color="auto" w:fill="FFFFFF"/>
        </w:rPr>
      </w:pPr>
      <w:r w:rsidRPr="00274507">
        <w:rPr>
          <w:b/>
          <w:sz w:val="28"/>
          <w:szCs w:val="28"/>
        </w:rPr>
        <w:t>2</w:t>
      </w:r>
      <w:r w:rsidR="00E1729E" w:rsidRPr="00274507">
        <w:rPr>
          <w:b/>
          <w:sz w:val="28"/>
          <w:szCs w:val="28"/>
        </w:rPr>
        <w:t>.3.</w:t>
      </w:r>
      <w:r w:rsidR="00727ED8" w:rsidRPr="00274507">
        <w:rPr>
          <w:sz w:val="28"/>
          <w:szCs w:val="28"/>
        </w:rPr>
        <w:t xml:space="preserve"> El 4 de octubre de 2011</w:t>
      </w:r>
      <w:r w:rsidR="00E47347" w:rsidRPr="00274507">
        <w:rPr>
          <w:rStyle w:val="Refdenotaalpie"/>
          <w:sz w:val="28"/>
          <w:szCs w:val="28"/>
        </w:rPr>
        <w:footnoteReference w:id="6"/>
      </w:r>
      <w:r w:rsidR="00E47347" w:rsidRPr="00274507">
        <w:rPr>
          <w:sz w:val="28"/>
          <w:szCs w:val="28"/>
        </w:rPr>
        <w:t>,</w:t>
      </w:r>
      <w:r w:rsidR="00727ED8" w:rsidRPr="00274507">
        <w:rPr>
          <w:sz w:val="28"/>
          <w:szCs w:val="28"/>
        </w:rPr>
        <w:t xml:space="preserve"> el Ministerio de Salud señaló que la</w:t>
      </w:r>
      <w:r w:rsidR="00517764" w:rsidRPr="00274507">
        <w:rPr>
          <w:sz w:val="28"/>
          <w:szCs w:val="28"/>
        </w:rPr>
        <w:t xml:space="preserve"> fuente de</w:t>
      </w:r>
      <w:r w:rsidR="00727ED8" w:rsidRPr="00274507">
        <w:rPr>
          <w:sz w:val="28"/>
          <w:szCs w:val="28"/>
        </w:rPr>
        <w:t xml:space="preserve"> información </w:t>
      </w:r>
      <w:r w:rsidR="00517764" w:rsidRPr="00274507">
        <w:rPr>
          <w:sz w:val="28"/>
          <w:szCs w:val="28"/>
        </w:rPr>
        <w:t>para la elaboración del informe serían las tutelas que reposaban en</w:t>
      </w:r>
      <w:r w:rsidR="00E47347" w:rsidRPr="00274507">
        <w:rPr>
          <w:sz w:val="28"/>
          <w:szCs w:val="28"/>
        </w:rPr>
        <w:t xml:space="preserve"> la Corte</w:t>
      </w:r>
      <w:r w:rsidR="00517764" w:rsidRPr="00274507">
        <w:rPr>
          <w:sz w:val="28"/>
          <w:szCs w:val="28"/>
        </w:rPr>
        <w:t xml:space="preserve">, sin embargo, teniendo en cuenta que los expedientes se </w:t>
      </w:r>
      <w:r w:rsidR="00502AAF" w:rsidRPr="00274507">
        <w:rPr>
          <w:sz w:val="28"/>
          <w:szCs w:val="28"/>
        </w:rPr>
        <w:t>encontraban</w:t>
      </w:r>
      <w:r w:rsidR="00517764" w:rsidRPr="00274507">
        <w:rPr>
          <w:sz w:val="28"/>
          <w:szCs w:val="28"/>
        </w:rPr>
        <w:t xml:space="preserve"> allí de transitoriamente, no pudo realizar la medición de los años 2008-2011. En ese orden </w:t>
      </w:r>
      <w:r w:rsidR="00B52C54" w:rsidRPr="00274507">
        <w:rPr>
          <w:sz w:val="28"/>
          <w:szCs w:val="28"/>
        </w:rPr>
        <w:t>continúo con la misma fuente, relacionando</w:t>
      </w:r>
      <w:r w:rsidR="00727ED8" w:rsidRPr="00274507">
        <w:rPr>
          <w:sz w:val="28"/>
          <w:szCs w:val="28"/>
        </w:rPr>
        <w:t xml:space="preserve"> los datos históricos referentes a los recobros efectuados entre </w:t>
      </w:r>
      <w:r w:rsidR="00727ED8" w:rsidRPr="00274507">
        <w:rPr>
          <w:sz w:val="28"/>
          <w:szCs w:val="28"/>
          <w:shd w:val="clear" w:color="auto" w:fill="FFFFFF"/>
        </w:rPr>
        <w:t>enero de 2008 a junio de 2011, en el que informó que se re</w:t>
      </w:r>
      <w:r w:rsidR="00E47347" w:rsidRPr="00274507">
        <w:rPr>
          <w:sz w:val="28"/>
          <w:szCs w:val="28"/>
          <w:shd w:val="clear" w:color="auto" w:fill="FFFFFF"/>
        </w:rPr>
        <w:t>gistraron 3.197.642 solicitudes</w:t>
      </w:r>
      <w:r w:rsidR="00727ED8" w:rsidRPr="00274507">
        <w:rPr>
          <w:sz w:val="28"/>
          <w:szCs w:val="28"/>
          <w:shd w:val="clear" w:color="auto" w:fill="FFFFFF"/>
        </w:rPr>
        <w:t xml:space="preserve"> que representaron alrededor de 3.7 billones de pesos. </w:t>
      </w:r>
    </w:p>
    <w:p w:rsidR="00E47347" w:rsidRPr="00274507" w:rsidRDefault="00E47347" w:rsidP="00274507">
      <w:pPr>
        <w:pStyle w:val="Sinespaciado"/>
        <w:jc w:val="both"/>
        <w:rPr>
          <w:sz w:val="28"/>
          <w:szCs w:val="28"/>
          <w:shd w:val="clear" w:color="auto" w:fill="FFFFFF"/>
        </w:rPr>
      </w:pPr>
    </w:p>
    <w:p w:rsidR="00727ED8" w:rsidRPr="00274507" w:rsidRDefault="00727ED8" w:rsidP="00274507">
      <w:pPr>
        <w:pStyle w:val="Sinespaciado"/>
        <w:jc w:val="both"/>
        <w:rPr>
          <w:sz w:val="28"/>
          <w:szCs w:val="28"/>
        </w:rPr>
      </w:pPr>
      <w:r w:rsidRPr="00274507">
        <w:rPr>
          <w:sz w:val="28"/>
          <w:szCs w:val="28"/>
          <w:shd w:val="clear" w:color="auto" w:fill="FFFFFF"/>
        </w:rPr>
        <w:t xml:space="preserve">En ese sentido, </w:t>
      </w:r>
      <w:r w:rsidR="00E47347" w:rsidRPr="00274507">
        <w:rPr>
          <w:sz w:val="28"/>
          <w:szCs w:val="28"/>
          <w:shd w:val="clear" w:color="auto" w:fill="FFFFFF"/>
        </w:rPr>
        <w:t>para el mes de junio de 2010</w:t>
      </w:r>
      <w:r w:rsidRPr="00274507">
        <w:rPr>
          <w:sz w:val="28"/>
          <w:szCs w:val="28"/>
          <w:shd w:val="clear" w:color="auto" w:fill="FFFFFF"/>
        </w:rPr>
        <w:t xml:space="preserve"> evidenció un descenso en el monto de los valores recobrados y pagados por el Fosyga, ordenados a través de fallos de tutelas, con ocasión de lo establecido en el literal j) del artículo 14 de la Ley 1122 de 2007</w:t>
      </w:r>
      <w:r w:rsidRPr="00274507">
        <w:rPr>
          <w:rStyle w:val="Refdenotaalpie"/>
          <w:sz w:val="28"/>
          <w:szCs w:val="28"/>
          <w:shd w:val="clear" w:color="auto" w:fill="FFFFFF"/>
        </w:rPr>
        <w:footnoteReference w:id="7"/>
      </w:r>
      <w:r w:rsidRPr="00274507">
        <w:rPr>
          <w:sz w:val="28"/>
          <w:szCs w:val="28"/>
          <w:shd w:val="clear" w:color="auto" w:fill="FFFFFF"/>
        </w:rPr>
        <w:t>.</w:t>
      </w:r>
      <w:r w:rsidR="00D51348" w:rsidRPr="00274507">
        <w:rPr>
          <w:sz w:val="28"/>
          <w:szCs w:val="28"/>
          <w:shd w:val="clear" w:color="auto" w:fill="FFFFFF"/>
        </w:rPr>
        <w:t xml:space="preserve"> Expuso que el valor de los recobros entre junio de </w:t>
      </w:r>
      <w:r w:rsidRPr="00274507">
        <w:rPr>
          <w:sz w:val="28"/>
          <w:szCs w:val="28"/>
        </w:rPr>
        <w:t xml:space="preserve">2010 y mayo de 2011 </w:t>
      </w:r>
      <w:r w:rsidR="00502AAF" w:rsidRPr="00274507">
        <w:rPr>
          <w:sz w:val="28"/>
          <w:szCs w:val="28"/>
        </w:rPr>
        <w:t xml:space="preserve">fue </w:t>
      </w:r>
      <w:r w:rsidRPr="00274507">
        <w:rPr>
          <w:sz w:val="28"/>
          <w:szCs w:val="28"/>
        </w:rPr>
        <w:t xml:space="preserve">de $943.316 millones, de </w:t>
      </w:r>
      <w:r w:rsidR="00502AAF" w:rsidRPr="00274507">
        <w:rPr>
          <w:sz w:val="28"/>
          <w:szCs w:val="28"/>
        </w:rPr>
        <w:t>los cuales el 73.8% correspondieron</w:t>
      </w:r>
      <w:r w:rsidRPr="00274507">
        <w:rPr>
          <w:sz w:val="28"/>
          <w:szCs w:val="28"/>
        </w:rPr>
        <w:t xml:space="preserve"> a los fallos emitidos con anterioridad a la expedición de la sentencia T-760 de 20</w:t>
      </w:r>
      <w:r w:rsidR="00502AAF" w:rsidRPr="00274507">
        <w:rPr>
          <w:sz w:val="28"/>
          <w:szCs w:val="28"/>
        </w:rPr>
        <w:t xml:space="preserve">08 y el 26.2% a </w:t>
      </w:r>
      <w:r w:rsidR="00322FA7" w:rsidRPr="00274507">
        <w:rPr>
          <w:sz w:val="28"/>
          <w:szCs w:val="28"/>
        </w:rPr>
        <w:t xml:space="preserve">decisiones </w:t>
      </w:r>
      <w:r w:rsidRPr="00274507">
        <w:rPr>
          <w:sz w:val="28"/>
          <w:szCs w:val="28"/>
        </w:rPr>
        <w:t xml:space="preserve">posteriores. </w:t>
      </w:r>
    </w:p>
    <w:p w:rsidR="00831DB5" w:rsidRPr="00274507" w:rsidRDefault="00831DB5" w:rsidP="00274507">
      <w:pPr>
        <w:pStyle w:val="Sinespaciado"/>
        <w:jc w:val="both"/>
        <w:rPr>
          <w:sz w:val="28"/>
          <w:szCs w:val="28"/>
          <w:shd w:val="clear" w:color="auto" w:fill="FFFFFF"/>
        </w:rPr>
      </w:pPr>
    </w:p>
    <w:p w:rsidR="00727ED8" w:rsidRPr="00274507" w:rsidRDefault="000A51A3" w:rsidP="00274507">
      <w:pPr>
        <w:jc w:val="both"/>
        <w:rPr>
          <w:sz w:val="28"/>
          <w:szCs w:val="28"/>
        </w:rPr>
      </w:pPr>
      <w:r w:rsidRPr="00274507">
        <w:rPr>
          <w:b/>
          <w:sz w:val="28"/>
          <w:szCs w:val="28"/>
        </w:rPr>
        <w:t>2</w:t>
      </w:r>
      <w:r w:rsidR="00E1729E" w:rsidRPr="00274507">
        <w:rPr>
          <w:b/>
          <w:sz w:val="28"/>
          <w:szCs w:val="28"/>
        </w:rPr>
        <w:t>.4.</w:t>
      </w:r>
      <w:r w:rsidR="00727ED8" w:rsidRPr="00274507">
        <w:rPr>
          <w:sz w:val="28"/>
          <w:szCs w:val="28"/>
        </w:rPr>
        <w:t xml:space="preserve"> El 22 de febrero de 2012</w:t>
      </w:r>
      <w:r w:rsidR="00E47347" w:rsidRPr="00274507">
        <w:rPr>
          <w:rStyle w:val="Refdenotaalpie"/>
          <w:sz w:val="28"/>
          <w:szCs w:val="28"/>
        </w:rPr>
        <w:footnoteReference w:id="8"/>
      </w:r>
      <w:r w:rsidR="004C3F0E" w:rsidRPr="00274507">
        <w:rPr>
          <w:sz w:val="28"/>
          <w:szCs w:val="28"/>
        </w:rPr>
        <w:t xml:space="preserve"> el órgano ministerial </w:t>
      </w:r>
      <w:r w:rsidR="00727ED8" w:rsidRPr="00274507">
        <w:rPr>
          <w:sz w:val="28"/>
          <w:szCs w:val="28"/>
        </w:rPr>
        <w:t>allegó el escrito, en el que señaló nuevamente el histórico de las solicitudes de</w:t>
      </w:r>
      <w:r w:rsidR="00E47347" w:rsidRPr="00274507">
        <w:rPr>
          <w:sz w:val="28"/>
          <w:szCs w:val="28"/>
        </w:rPr>
        <w:t xml:space="preserve"> los recobros efectuados entre </w:t>
      </w:r>
      <w:r w:rsidR="00727ED8" w:rsidRPr="00274507">
        <w:rPr>
          <w:sz w:val="28"/>
          <w:szCs w:val="28"/>
        </w:rPr>
        <w:t xml:space="preserve">enero de 2008 y enero de 2012, </w:t>
      </w:r>
      <w:r w:rsidR="00502AAF" w:rsidRPr="00274507">
        <w:rPr>
          <w:sz w:val="28"/>
          <w:szCs w:val="28"/>
        </w:rPr>
        <w:t xml:space="preserve">advirtiendo que fueron constantes respecto de </w:t>
      </w:r>
      <w:r w:rsidR="00727ED8" w:rsidRPr="00274507">
        <w:rPr>
          <w:sz w:val="28"/>
          <w:szCs w:val="28"/>
        </w:rPr>
        <w:t xml:space="preserve">la aprobación </w:t>
      </w:r>
      <w:r w:rsidR="00502AAF" w:rsidRPr="00274507">
        <w:rPr>
          <w:sz w:val="28"/>
          <w:szCs w:val="28"/>
        </w:rPr>
        <w:t xml:space="preserve">de medicamentos, suministros </w:t>
      </w:r>
      <w:r w:rsidR="00727ED8" w:rsidRPr="00274507">
        <w:rPr>
          <w:sz w:val="28"/>
          <w:szCs w:val="28"/>
        </w:rPr>
        <w:t xml:space="preserve">y </w:t>
      </w:r>
      <w:r w:rsidR="00502AAF" w:rsidRPr="00274507">
        <w:rPr>
          <w:sz w:val="28"/>
          <w:szCs w:val="28"/>
        </w:rPr>
        <w:t xml:space="preserve">demás </w:t>
      </w:r>
      <w:r w:rsidR="00727ED8" w:rsidRPr="00274507">
        <w:rPr>
          <w:sz w:val="28"/>
          <w:szCs w:val="28"/>
        </w:rPr>
        <w:t>prestaciones de salud no POS</w:t>
      </w:r>
      <w:r w:rsidR="00502AAF" w:rsidRPr="00274507">
        <w:rPr>
          <w:sz w:val="28"/>
          <w:szCs w:val="28"/>
        </w:rPr>
        <w:t xml:space="preserve"> </w:t>
      </w:r>
      <w:r w:rsidR="00727ED8" w:rsidRPr="00274507">
        <w:rPr>
          <w:sz w:val="28"/>
          <w:szCs w:val="28"/>
        </w:rPr>
        <w:t>a cargo de l</w:t>
      </w:r>
      <w:r w:rsidR="00E47347" w:rsidRPr="00274507">
        <w:rPr>
          <w:sz w:val="28"/>
          <w:szCs w:val="28"/>
        </w:rPr>
        <w:t>os Comités Técnico Científicos</w:t>
      </w:r>
      <w:r w:rsidR="00322FA7" w:rsidRPr="00274507">
        <w:rPr>
          <w:sz w:val="28"/>
          <w:szCs w:val="28"/>
        </w:rPr>
        <w:t>, lo cual, sig</w:t>
      </w:r>
      <w:r w:rsidR="00502AAF" w:rsidRPr="00274507">
        <w:rPr>
          <w:sz w:val="28"/>
          <w:szCs w:val="28"/>
        </w:rPr>
        <w:t>nificaba que las personas dejaro</w:t>
      </w:r>
      <w:r w:rsidR="00322FA7" w:rsidRPr="00274507">
        <w:rPr>
          <w:sz w:val="28"/>
          <w:szCs w:val="28"/>
        </w:rPr>
        <w:t>n de incoar</w:t>
      </w:r>
      <w:r w:rsidR="00502AAF" w:rsidRPr="00274507">
        <w:rPr>
          <w:sz w:val="28"/>
          <w:szCs w:val="28"/>
        </w:rPr>
        <w:t xml:space="preserve"> acciones de tutelas para obtener dichos servicio</w:t>
      </w:r>
      <w:r w:rsidR="00322FA7" w:rsidRPr="00274507">
        <w:rPr>
          <w:sz w:val="28"/>
          <w:szCs w:val="28"/>
        </w:rPr>
        <w:t>s.</w:t>
      </w:r>
    </w:p>
    <w:p w:rsidR="00727ED8" w:rsidRPr="00274507" w:rsidRDefault="00727ED8" w:rsidP="00274507">
      <w:pPr>
        <w:jc w:val="both"/>
        <w:rPr>
          <w:sz w:val="28"/>
          <w:szCs w:val="28"/>
        </w:rPr>
      </w:pPr>
    </w:p>
    <w:p w:rsidR="00727ED8" w:rsidRPr="00274507" w:rsidRDefault="000A51A3" w:rsidP="00274507">
      <w:pPr>
        <w:widowControl w:val="0"/>
        <w:tabs>
          <w:tab w:val="left" w:pos="426"/>
        </w:tabs>
        <w:autoSpaceDE w:val="0"/>
        <w:autoSpaceDN w:val="0"/>
        <w:adjustRightInd w:val="0"/>
        <w:jc w:val="both"/>
        <w:rPr>
          <w:color w:val="000000" w:themeColor="text1"/>
          <w:sz w:val="28"/>
          <w:szCs w:val="28"/>
        </w:rPr>
      </w:pPr>
      <w:r w:rsidRPr="00274507">
        <w:rPr>
          <w:b/>
          <w:sz w:val="28"/>
          <w:szCs w:val="28"/>
          <w:lang w:val="es-ES"/>
        </w:rPr>
        <w:t>2</w:t>
      </w:r>
      <w:r w:rsidR="00E1729E" w:rsidRPr="00274507">
        <w:rPr>
          <w:b/>
          <w:sz w:val="28"/>
          <w:szCs w:val="28"/>
          <w:lang w:val="es-ES"/>
        </w:rPr>
        <w:t>.5.</w:t>
      </w:r>
      <w:r w:rsidR="00E1729E" w:rsidRPr="00274507">
        <w:rPr>
          <w:b/>
          <w:color w:val="000000" w:themeColor="text1"/>
          <w:sz w:val="28"/>
          <w:szCs w:val="28"/>
        </w:rPr>
        <w:t xml:space="preserve"> </w:t>
      </w:r>
      <w:r w:rsidR="00727ED8" w:rsidRPr="00274507">
        <w:rPr>
          <w:color w:val="000000" w:themeColor="text1"/>
          <w:sz w:val="28"/>
          <w:szCs w:val="28"/>
        </w:rPr>
        <w:t>El 1º de febrero de 2013</w:t>
      </w:r>
      <w:r w:rsidR="002618CC" w:rsidRPr="00274507">
        <w:rPr>
          <w:rStyle w:val="Refdenotaalpie"/>
          <w:color w:val="000000" w:themeColor="text1"/>
          <w:sz w:val="28"/>
          <w:szCs w:val="28"/>
        </w:rPr>
        <w:footnoteReference w:id="9"/>
      </w:r>
      <w:r w:rsidR="002618CC" w:rsidRPr="00274507">
        <w:rPr>
          <w:color w:val="000000" w:themeColor="text1"/>
          <w:sz w:val="28"/>
          <w:szCs w:val="28"/>
        </w:rPr>
        <w:t xml:space="preserve"> </w:t>
      </w:r>
      <w:r w:rsidR="00727ED8" w:rsidRPr="00274507">
        <w:rPr>
          <w:color w:val="000000" w:themeColor="text1"/>
          <w:sz w:val="28"/>
          <w:szCs w:val="28"/>
        </w:rPr>
        <w:t>el Ministerio de Salud presentó el reporte</w:t>
      </w:r>
      <w:r w:rsidR="002618CC" w:rsidRPr="00274507">
        <w:rPr>
          <w:color w:val="000000" w:themeColor="text1"/>
          <w:sz w:val="28"/>
          <w:szCs w:val="28"/>
        </w:rPr>
        <w:t xml:space="preserve"> </w:t>
      </w:r>
      <w:r w:rsidR="00727ED8" w:rsidRPr="00274507">
        <w:rPr>
          <w:color w:val="000000" w:themeColor="text1"/>
          <w:sz w:val="28"/>
          <w:szCs w:val="28"/>
        </w:rPr>
        <w:t>denominado “</w:t>
      </w:r>
      <w:r w:rsidR="00727ED8" w:rsidRPr="00274507">
        <w:rPr>
          <w:i/>
          <w:color w:val="000000" w:themeColor="text1"/>
          <w:sz w:val="28"/>
          <w:szCs w:val="28"/>
        </w:rPr>
        <w:t>Análisis descriptivo de las tutelas que involucran el servicio de salud en el año 2012</w:t>
      </w:r>
      <w:r w:rsidR="00825642" w:rsidRPr="00274507">
        <w:rPr>
          <w:color w:val="000000" w:themeColor="text1"/>
          <w:sz w:val="28"/>
          <w:szCs w:val="28"/>
        </w:rPr>
        <w:t>”, en el cual estableció</w:t>
      </w:r>
      <w:r w:rsidR="00727ED8" w:rsidRPr="00274507">
        <w:rPr>
          <w:color w:val="000000" w:themeColor="text1"/>
          <w:sz w:val="28"/>
          <w:szCs w:val="28"/>
        </w:rPr>
        <w:t xml:space="preserve"> una técnica de “</w:t>
      </w:r>
      <w:r w:rsidR="00727ED8" w:rsidRPr="00274507">
        <w:rPr>
          <w:i/>
          <w:color w:val="000000" w:themeColor="text1"/>
          <w:sz w:val="28"/>
          <w:szCs w:val="28"/>
        </w:rPr>
        <w:t>muestreo sistemático</w:t>
      </w:r>
      <w:r w:rsidR="00727ED8" w:rsidRPr="00274507">
        <w:rPr>
          <w:color w:val="000000" w:themeColor="text1"/>
          <w:sz w:val="28"/>
          <w:szCs w:val="28"/>
        </w:rPr>
        <w:t>”</w:t>
      </w:r>
      <w:r w:rsidR="00727ED8" w:rsidRPr="00274507">
        <w:rPr>
          <w:rStyle w:val="Refdenotaalpie"/>
          <w:color w:val="000000" w:themeColor="text1"/>
          <w:sz w:val="28"/>
          <w:szCs w:val="28"/>
        </w:rPr>
        <w:footnoteReference w:id="10"/>
      </w:r>
      <w:r w:rsidR="00727ED8" w:rsidRPr="00274507">
        <w:rPr>
          <w:color w:val="000000" w:themeColor="text1"/>
          <w:sz w:val="28"/>
          <w:szCs w:val="28"/>
        </w:rPr>
        <w:t xml:space="preserve"> </w:t>
      </w:r>
      <w:r w:rsidR="00825642" w:rsidRPr="00274507">
        <w:rPr>
          <w:color w:val="000000" w:themeColor="text1"/>
          <w:sz w:val="28"/>
          <w:szCs w:val="28"/>
        </w:rPr>
        <w:t xml:space="preserve">donde </w:t>
      </w:r>
      <w:r w:rsidR="00727ED8" w:rsidRPr="00274507">
        <w:rPr>
          <w:color w:val="000000" w:themeColor="text1"/>
          <w:sz w:val="28"/>
          <w:szCs w:val="28"/>
        </w:rPr>
        <w:t xml:space="preserve">obtuvo </w:t>
      </w:r>
      <w:r w:rsidR="00825642" w:rsidRPr="00274507">
        <w:rPr>
          <w:color w:val="000000" w:themeColor="text1"/>
          <w:sz w:val="28"/>
          <w:szCs w:val="28"/>
        </w:rPr>
        <w:t xml:space="preserve">una muestra de </w:t>
      </w:r>
      <w:r w:rsidR="00727ED8" w:rsidRPr="00274507">
        <w:rPr>
          <w:color w:val="000000" w:themeColor="text1"/>
          <w:sz w:val="28"/>
          <w:szCs w:val="28"/>
        </w:rPr>
        <w:t>1.060 tut</w:t>
      </w:r>
      <w:r w:rsidR="00825642" w:rsidRPr="00274507">
        <w:rPr>
          <w:color w:val="000000" w:themeColor="text1"/>
          <w:sz w:val="28"/>
          <w:szCs w:val="28"/>
        </w:rPr>
        <w:t>elas incoadas para el 2012. A</w:t>
      </w:r>
      <w:r w:rsidR="00727ED8" w:rsidRPr="00274507">
        <w:rPr>
          <w:color w:val="000000" w:themeColor="text1"/>
          <w:sz w:val="28"/>
          <w:szCs w:val="28"/>
        </w:rPr>
        <w:t>dvirtió que el estudi</w:t>
      </w:r>
      <w:r w:rsidR="002618CC" w:rsidRPr="00274507">
        <w:rPr>
          <w:color w:val="000000" w:themeColor="text1"/>
          <w:sz w:val="28"/>
          <w:szCs w:val="28"/>
        </w:rPr>
        <w:t>o demostró un margen de confi</w:t>
      </w:r>
      <w:r w:rsidR="00727ED8" w:rsidRPr="00274507">
        <w:rPr>
          <w:color w:val="000000" w:themeColor="text1"/>
          <w:sz w:val="28"/>
          <w:szCs w:val="28"/>
        </w:rPr>
        <w:t>a</w:t>
      </w:r>
      <w:r w:rsidR="002618CC" w:rsidRPr="00274507">
        <w:rPr>
          <w:color w:val="000000" w:themeColor="text1"/>
          <w:sz w:val="28"/>
          <w:szCs w:val="28"/>
        </w:rPr>
        <w:t>bilidad</w:t>
      </w:r>
      <w:r w:rsidR="00727ED8" w:rsidRPr="00274507">
        <w:rPr>
          <w:color w:val="000000" w:themeColor="text1"/>
          <w:sz w:val="28"/>
          <w:szCs w:val="28"/>
        </w:rPr>
        <w:t xml:space="preserve"> del 95%. </w:t>
      </w:r>
      <w:r w:rsidR="00825642" w:rsidRPr="00274507">
        <w:rPr>
          <w:color w:val="000000" w:themeColor="text1"/>
          <w:sz w:val="28"/>
          <w:szCs w:val="28"/>
        </w:rPr>
        <w:t>I</w:t>
      </w:r>
      <w:r w:rsidR="00727ED8" w:rsidRPr="00274507">
        <w:rPr>
          <w:color w:val="000000" w:themeColor="text1"/>
          <w:sz w:val="28"/>
          <w:szCs w:val="28"/>
        </w:rPr>
        <w:t>nformó algunos datos que también fueron obtenidos de la base de datos de la Superintendencia Nacional de Salud</w:t>
      </w:r>
      <w:r w:rsidR="00727ED8" w:rsidRPr="00274507">
        <w:rPr>
          <w:rStyle w:val="Refdenotaalpie"/>
          <w:color w:val="000000" w:themeColor="text1"/>
          <w:sz w:val="28"/>
          <w:szCs w:val="28"/>
        </w:rPr>
        <w:footnoteReference w:id="11"/>
      </w:r>
      <w:r w:rsidR="00727ED8" w:rsidRPr="00274507">
        <w:rPr>
          <w:color w:val="000000" w:themeColor="text1"/>
          <w:sz w:val="28"/>
          <w:szCs w:val="28"/>
        </w:rPr>
        <w:t xml:space="preserve"> y del DANE</w:t>
      </w:r>
      <w:r w:rsidR="00727ED8" w:rsidRPr="00274507">
        <w:rPr>
          <w:rStyle w:val="Refdenotaalpie"/>
          <w:color w:val="000000" w:themeColor="text1"/>
          <w:sz w:val="28"/>
          <w:szCs w:val="28"/>
        </w:rPr>
        <w:footnoteReference w:id="12"/>
      </w:r>
      <w:r w:rsidR="00727ED8" w:rsidRPr="00274507">
        <w:rPr>
          <w:color w:val="000000" w:themeColor="text1"/>
          <w:sz w:val="28"/>
          <w:szCs w:val="28"/>
        </w:rPr>
        <w:t xml:space="preserve">. </w:t>
      </w:r>
    </w:p>
    <w:p w:rsidR="00727ED8" w:rsidRPr="00274507" w:rsidRDefault="00727ED8" w:rsidP="00274507">
      <w:pPr>
        <w:widowControl w:val="0"/>
        <w:tabs>
          <w:tab w:val="left" w:pos="426"/>
        </w:tabs>
        <w:autoSpaceDE w:val="0"/>
        <w:autoSpaceDN w:val="0"/>
        <w:adjustRightInd w:val="0"/>
        <w:jc w:val="both"/>
        <w:rPr>
          <w:color w:val="000000" w:themeColor="text1"/>
          <w:sz w:val="28"/>
          <w:szCs w:val="28"/>
        </w:rPr>
      </w:pPr>
    </w:p>
    <w:p w:rsidR="000B57AC" w:rsidRPr="00274507" w:rsidRDefault="00727ED8" w:rsidP="00274507">
      <w:pPr>
        <w:widowControl w:val="0"/>
        <w:tabs>
          <w:tab w:val="left" w:pos="426"/>
        </w:tabs>
        <w:autoSpaceDE w:val="0"/>
        <w:autoSpaceDN w:val="0"/>
        <w:adjustRightInd w:val="0"/>
        <w:jc w:val="both"/>
        <w:rPr>
          <w:color w:val="000000" w:themeColor="text1"/>
          <w:sz w:val="28"/>
          <w:szCs w:val="28"/>
        </w:rPr>
      </w:pPr>
      <w:r w:rsidRPr="00274507">
        <w:rPr>
          <w:color w:val="000000" w:themeColor="text1"/>
          <w:sz w:val="28"/>
          <w:szCs w:val="28"/>
        </w:rPr>
        <w:t xml:space="preserve">Teniendo en cuenta lo anterior, </w:t>
      </w:r>
      <w:r w:rsidR="00825642" w:rsidRPr="00274507">
        <w:rPr>
          <w:color w:val="000000" w:themeColor="text1"/>
          <w:sz w:val="28"/>
          <w:szCs w:val="28"/>
        </w:rPr>
        <w:t xml:space="preserve">el informe del Ministerio de </w:t>
      </w:r>
      <w:r w:rsidRPr="00274507">
        <w:rPr>
          <w:color w:val="000000" w:themeColor="text1"/>
          <w:sz w:val="28"/>
          <w:szCs w:val="28"/>
        </w:rPr>
        <w:t>Sal</w:t>
      </w:r>
      <w:r w:rsidR="00825642" w:rsidRPr="00274507">
        <w:rPr>
          <w:color w:val="000000" w:themeColor="text1"/>
          <w:sz w:val="28"/>
          <w:szCs w:val="28"/>
        </w:rPr>
        <w:t xml:space="preserve">ud </w:t>
      </w:r>
      <w:r w:rsidR="002B091E" w:rsidRPr="00274507">
        <w:rPr>
          <w:color w:val="000000" w:themeColor="text1"/>
          <w:sz w:val="28"/>
          <w:szCs w:val="28"/>
        </w:rPr>
        <w:t>c</w:t>
      </w:r>
      <w:r w:rsidR="00825642" w:rsidRPr="00274507">
        <w:rPr>
          <w:color w:val="000000" w:themeColor="text1"/>
          <w:sz w:val="28"/>
          <w:szCs w:val="28"/>
        </w:rPr>
        <w:t xml:space="preserve">aracterizó </w:t>
      </w:r>
      <w:r w:rsidRPr="00274507">
        <w:rPr>
          <w:color w:val="000000" w:themeColor="text1"/>
          <w:sz w:val="28"/>
          <w:szCs w:val="28"/>
        </w:rPr>
        <w:t>las acciones de tutelas</w:t>
      </w:r>
      <w:r w:rsidR="00825642" w:rsidRPr="00274507">
        <w:rPr>
          <w:color w:val="000000" w:themeColor="text1"/>
          <w:sz w:val="28"/>
          <w:szCs w:val="28"/>
        </w:rPr>
        <w:t xml:space="preserve"> correspondientes a la muestra,</w:t>
      </w:r>
      <w:r w:rsidRPr="00274507">
        <w:rPr>
          <w:color w:val="000000" w:themeColor="text1"/>
          <w:sz w:val="28"/>
          <w:szCs w:val="28"/>
        </w:rPr>
        <w:t xml:space="preserve"> mediante los siguientes indicadores: </w:t>
      </w:r>
    </w:p>
    <w:p w:rsidR="002B091E" w:rsidRPr="00274507" w:rsidRDefault="002B091E" w:rsidP="00274507">
      <w:pPr>
        <w:tabs>
          <w:tab w:val="left" w:pos="567"/>
        </w:tabs>
        <w:jc w:val="both"/>
        <w:rPr>
          <w:color w:val="000000" w:themeColor="text1"/>
          <w:sz w:val="28"/>
          <w:szCs w:val="28"/>
        </w:rPr>
      </w:pPr>
    </w:p>
    <w:tbl>
      <w:tblPr>
        <w:tblStyle w:val="Tablaconcuadrcula"/>
        <w:tblW w:w="8976" w:type="dxa"/>
        <w:tblInd w:w="137" w:type="dxa"/>
        <w:tblLayout w:type="fixed"/>
        <w:tblLook w:val="04A0" w:firstRow="1" w:lastRow="0" w:firstColumn="1" w:lastColumn="0" w:noHBand="0" w:noVBand="1"/>
      </w:tblPr>
      <w:tblGrid>
        <w:gridCol w:w="3827"/>
        <w:gridCol w:w="5149"/>
      </w:tblGrid>
      <w:tr w:rsidR="00727ED8" w:rsidRPr="00274507" w:rsidTr="002E5F57">
        <w:trPr>
          <w:trHeight w:val="196"/>
        </w:trPr>
        <w:tc>
          <w:tcPr>
            <w:tcW w:w="3827" w:type="dxa"/>
          </w:tcPr>
          <w:p w:rsidR="00727ED8" w:rsidRPr="00274507" w:rsidRDefault="00727ED8" w:rsidP="00274507">
            <w:pPr>
              <w:pStyle w:val="Prrafodelista"/>
              <w:tabs>
                <w:tab w:val="left" w:pos="567"/>
              </w:tabs>
              <w:ind w:left="0"/>
              <w:jc w:val="center"/>
              <w:rPr>
                <w:b/>
                <w:sz w:val="28"/>
                <w:szCs w:val="28"/>
              </w:rPr>
            </w:pPr>
            <w:r w:rsidRPr="00274507">
              <w:rPr>
                <w:b/>
                <w:sz w:val="28"/>
                <w:szCs w:val="28"/>
              </w:rPr>
              <w:t>Caracterización</w:t>
            </w:r>
          </w:p>
        </w:tc>
        <w:tc>
          <w:tcPr>
            <w:tcW w:w="5149" w:type="dxa"/>
          </w:tcPr>
          <w:p w:rsidR="00727ED8" w:rsidRPr="00274507" w:rsidRDefault="00727ED8" w:rsidP="00274507">
            <w:pPr>
              <w:pStyle w:val="Prrafodelista"/>
              <w:tabs>
                <w:tab w:val="left" w:pos="567"/>
              </w:tabs>
              <w:ind w:left="0"/>
              <w:jc w:val="center"/>
              <w:rPr>
                <w:b/>
                <w:sz w:val="28"/>
                <w:szCs w:val="28"/>
              </w:rPr>
            </w:pPr>
            <w:r w:rsidRPr="00274507">
              <w:rPr>
                <w:b/>
                <w:sz w:val="28"/>
                <w:szCs w:val="28"/>
              </w:rPr>
              <w:t>Porcentaje Analizado</w:t>
            </w:r>
          </w:p>
        </w:tc>
      </w:tr>
      <w:tr w:rsidR="00727ED8" w:rsidRPr="00274507" w:rsidTr="002E5F57">
        <w:trPr>
          <w:trHeight w:val="196"/>
        </w:trPr>
        <w:tc>
          <w:tcPr>
            <w:tcW w:w="3827" w:type="dxa"/>
            <w:vMerge w:val="restart"/>
          </w:tcPr>
          <w:p w:rsidR="00727ED8" w:rsidRPr="00274507" w:rsidRDefault="00727ED8" w:rsidP="00274507">
            <w:pPr>
              <w:pStyle w:val="Prrafodelista"/>
              <w:tabs>
                <w:tab w:val="left" w:pos="567"/>
              </w:tabs>
              <w:ind w:left="0"/>
              <w:jc w:val="both"/>
              <w:rPr>
                <w:sz w:val="28"/>
                <w:szCs w:val="28"/>
              </w:rPr>
            </w:pPr>
          </w:p>
          <w:p w:rsidR="00727ED8" w:rsidRPr="00274507" w:rsidRDefault="00727ED8" w:rsidP="00274507">
            <w:pPr>
              <w:pStyle w:val="Prrafodelista"/>
              <w:tabs>
                <w:tab w:val="left" w:pos="567"/>
              </w:tabs>
              <w:ind w:left="0"/>
              <w:jc w:val="both"/>
              <w:rPr>
                <w:sz w:val="28"/>
                <w:szCs w:val="28"/>
              </w:rPr>
            </w:pPr>
            <w:r w:rsidRPr="00274507">
              <w:rPr>
                <w:sz w:val="28"/>
                <w:szCs w:val="28"/>
              </w:rPr>
              <w:t>Demandantes</w:t>
            </w:r>
          </w:p>
        </w:tc>
        <w:tc>
          <w:tcPr>
            <w:tcW w:w="5149" w:type="dxa"/>
          </w:tcPr>
          <w:p w:rsidR="00727ED8" w:rsidRPr="00274507" w:rsidRDefault="00727ED8" w:rsidP="00274507">
            <w:pPr>
              <w:pStyle w:val="Prrafodelista"/>
              <w:tabs>
                <w:tab w:val="left" w:pos="567"/>
              </w:tabs>
              <w:ind w:left="0"/>
              <w:jc w:val="both"/>
              <w:rPr>
                <w:sz w:val="28"/>
                <w:szCs w:val="28"/>
              </w:rPr>
            </w:pPr>
            <w:r w:rsidRPr="00274507">
              <w:rPr>
                <w:sz w:val="28"/>
                <w:szCs w:val="28"/>
              </w:rPr>
              <w:t xml:space="preserve">51.8% </w:t>
            </w:r>
            <w:r w:rsidR="002618CC" w:rsidRPr="00274507">
              <w:rPr>
                <w:sz w:val="28"/>
                <w:szCs w:val="28"/>
              </w:rPr>
              <w:t xml:space="preserve">son interpuestas por </w:t>
            </w:r>
            <w:r w:rsidRPr="00274507">
              <w:rPr>
                <w:sz w:val="28"/>
                <w:szCs w:val="28"/>
              </w:rPr>
              <w:t xml:space="preserve">mujeres </w:t>
            </w:r>
            <w:r w:rsidR="002618CC" w:rsidRPr="00274507">
              <w:rPr>
                <w:sz w:val="28"/>
                <w:szCs w:val="28"/>
              </w:rPr>
              <w:t>(sin datos del porcentaje presentado por los hombres)</w:t>
            </w:r>
          </w:p>
        </w:tc>
      </w:tr>
      <w:tr w:rsidR="00727ED8" w:rsidRPr="00274507" w:rsidTr="002E5F57">
        <w:trPr>
          <w:trHeight w:val="551"/>
        </w:trPr>
        <w:tc>
          <w:tcPr>
            <w:tcW w:w="3827" w:type="dxa"/>
            <w:vMerge/>
          </w:tcPr>
          <w:p w:rsidR="00727ED8" w:rsidRPr="00274507" w:rsidRDefault="00727ED8" w:rsidP="00274507">
            <w:pPr>
              <w:pStyle w:val="Prrafodelista"/>
              <w:tabs>
                <w:tab w:val="left" w:pos="567"/>
              </w:tabs>
              <w:ind w:left="0"/>
              <w:jc w:val="both"/>
              <w:rPr>
                <w:sz w:val="28"/>
                <w:szCs w:val="28"/>
              </w:rPr>
            </w:pPr>
          </w:p>
        </w:tc>
        <w:tc>
          <w:tcPr>
            <w:tcW w:w="5149" w:type="dxa"/>
          </w:tcPr>
          <w:p w:rsidR="00727ED8" w:rsidRPr="00274507" w:rsidRDefault="00727ED8" w:rsidP="00274507">
            <w:pPr>
              <w:pStyle w:val="Prrafodelista"/>
              <w:tabs>
                <w:tab w:val="left" w:pos="1026"/>
              </w:tabs>
              <w:ind w:left="0"/>
              <w:jc w:val="both"/>
              <w:rPr>
                <w:sz w:val="28"/>
                <w:szCs w:val="28"/>
              </w:rPr>
            </w:pPr>
            <w:r w:rsidRPr="00274507">
              <w:rPr>
                <w:sz w:val="28"/>
                <w:szCs w:val="28"/>
              </w:rPr>
              <w:t>49%   Afiliados al régimen subsidiado</w:t>
            </w:r>
          </w:p>
          <w:p w:rsidR="00727ED8" w:rsidRPr="00274507" w:rsidRDefault="00727ED8" w:rsidP="00274507">
            <w:pPr>
              <w:pStyle w:val="Prrafodelista"/>
              <w:tabs>
                <w:tab w:val="left" w:pos="567"/>
              </w:tabs>
              <w:ind w:left="0"/>
              <w:jc w:val="both"/>
              <w:rPr>
                <w:sz w:val="28"/>
                <w:szCs w:val="28"/>
              </w:rPr>
            </w:pPr>
            <w:r w:rsidRPr="00274507">
              <w:rPr>
                <w:sz w:val="28"/>
                <w:szCs w:val="28"/>
              </w:rPr>
              <w:t>47.4%Afiliados al régimen contributivo</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0.3% </w:t>
            </w:r>
            <w:r w:rsidR="00864055" w:rsidRPr="00274507">
              <w:rPr>
                <w:sz w:val="28"/>
                <w:szCs w:val="28"/>
              </w:rPr>
              <w:t xml:space="preserve"> </w:t>
            </w:r>
            <w:r w:rsidRPr="00274507">
              <w:rPr>
                <w:sz w:val="28"/>
                <w:szCs w:val="28"/>
              </w:rPr>
              <w:t>Regímenes especiales</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0.1% </w:t>
            </w:r>
            <w:r w:rsidR="00864055" w:rsidRPr="00274507">
              <w:rPr>
                <w:sz w:val="28"/>
                <w:szCs w:val="28"/>
              </w:rPr>
              <w:t xml:space="preserve"> </w:t>
            </w:r>
            <w:r w:rsidR="00D51348" w:rsidRPr="00274507">
              <w:rPr>
                <w:sz w:val="28"/>
                <w:szCs w:val="28"/>
              </w:rPr>
              <w:t>V</w:t>
            </w:r>
            <w:r w:rsidRPr="00274507">
              <w:rPr>
                <w:sz w:val="28"/>
                <w:szCs w:val="28"/>
              </w:rPr>
              <w:t xml:space="preserve">inculados </w:t>
            </w:r>
          </w:p>
        </w:tc>
      </w:tr>
      <w:tr w:rsidR="00727ED8" w:rsidRPr="00274507" w:rsidTr="002E5F57">
        <w:tc>
          <w:tcPr>
            <w:tcW w:w="3827" w:type="dxa"/>
          </w:tcPr>
          <w:p w:rsidR="00727ED8" w:rsidRPr="00274507" w:rsidRDefault="00727ED8" w:rsidP="00274507">
            <w:pPr>
              <w:pStyle w:val="Prrafodelista"/>
              <w:tabs>
                <w:tab w:val="left" w:pos="567"/>
              </w:tabs>
              <w:ind w:left="0"/>
              <w:jc w:val="both"/>
              <w:rPr>
                <w:sz w:val="28"/>
                <w:szCs w:val="28"/>
              </w:rPr>
            </w:pPr>
            <w:r w:rsidRPr="00274507">
              <w:rPr>
                <w:sz w:val="28"/>
                <w:szCs w:val="28"/>
              </w:rPr>
              <w:t>Quintiles</w:t>
            </w:r>
            <w:r w:rsidRPr="00274507">
              <w:rPr>
                <w:rStyle w:val="Refdenotaalpie"/>
                <w:sz w:val="28"/>
                <w:szCs w:val="28"/>
              </w:rPr>
              <w:footnoteReference w:id="13"/>
            </w:r>
            <w:r w:rsidRPr="00274507">
              <w:rPr>
                <w:sz w:val="28"/>
                <w:szCs w:val="28"/>
              </w:rPr>
              <w:t xml:space="preserve"> de ingreso base de liquidación de los accionantes </w:t>
            </w:r>
          </w:p>
        </w:tc>
        <w:tc>
          <w:tcPr>
            <w:tcW w:w="5149" w:type="dxa"/>
          </w:tcPr>
          <w:p w:rsidR="00727ED8" w:rsidRPr="00274507" w:rsidRDefault="00864055" w:rsidP="00274507">
            <w:pPr>
              <w:pStyle w:val="Prrafodelista"/>
              <w:tabs>
                <w:tab w:val="left" w:pos="567"/>
              </w:tabs>
              <w:ind w:left="0"/>
              <w:jc w:val="both"/>
              <w:rPr>
                <w:sz w:val="28"/>
                <w:szCs w:val="28"/>
              </w:rPr>
            </w:pPr>
            <w:r w:rsidRPr="00274507">
              <w:rPr>
                <w:sz w:val="28"/>
                <w:szCs w:val="28"/>
              </w:rPr>
              <w:t xml:space="preserve">22%  </w:t>
            </w:r>
            <w:r w:rsidR="00D51348" w:rsidRPr="00274507">
              <w:rPr>
                <w:sz w:val="28"/>
                <w:szCs w:val="28"/>
              </w:rPr>
              <w:t>Q</w:t>
            </w:r>
            <w:r w:rsidR="00727ED8" w:rsidRPr="00274507">
              <w:rPr>
                <w:sz w:val="28"/>
                <w:szCs w:val="28"/>
              </w:rPr>
              <w:t>uintil superior</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10% </w:t>
            </w:r>
            <w:r w:rsidR="00864055" w:rsidRPr="00274507">
              <w:rPr>
                <w:sz w:val="28"/>
                <w:szCs w:val="28"/>
              </w:rPr>
              <w:t xml:space="preserve"> </w:t>
            </w:r>
            <w:r w:rsidR="00D51348" w:rsidRPr="00274507">
              <w:rPr>
                <w:sz w:val="28"/>
                <w:szCs w:val="28"/>
              </w:rPr>
              <w:t>C</w:t>
            </w:r>
            <w:r w:rsidRPr="00274507">
              <w:rPr>
                <w:sz w:val="28"/>
                <w:szCs w:val="28"/>
              </w:rPr>
              <w:t>uarto quintil</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7% </w:t>
            </w:r>
            <w:r w:rsidR="00864055" w:rsidRPr="00274507">
              <w:rPr>
                <w:sz w:val="28"/>
                <w:szCs w:val="28"/>
              </w:rPr>
              <w:t xml:space="preserve"> </w:t>
            </w:r>
            <w:r w:rsidR="00D51348" w:rsidRPr="00274507">
              <w:rPr>
                <w:sz w:val="28"/>
                <w:szCs w:val="28"/>
              </w:rPr>
              <w:t>T</w:t>
            </w:r>
            <w:r w:rsidRPr="00274507">
              <w:rPr>
                <w:sz w:val="28"/>
                <w:szCs w:val="28"/>
              </w:rPr>
              <w:t>ercer quintil</w:t>
            </w:r>
          </w:p>
          <w:p w:rsidR="00727ED8" w:rsidRPr="00274507" w:rsidRDefault="00727ED8" w:rsidP="00274507">
            <w:pPr>
              <w:pStyle w:val="Prrafodelista"/>
              <w:tabs>
                <w:tab w:val="left" w:pos="567"/>
              </w:tabs>
              <w:ind w:left="0"/>
              <w:jc w:val="both"/>
              <w:rPr>
                <w:sz w:val="28"/>
                <w:szCs w:val="28"/>
              </w:rPr>
            </w:pPr>
            <w:r w:rsidRPr="00274507">
              <w:rPr>
                <w:sz w:val="28"/>
                <w:szCs w:val="28"/>
              </w:rPr>
              <w:t>31%</w:t>
            </w:r>
            <w:r w:rsidR="00864055" w:rsidRPr="00274507">
              <w:rPr>
                <w:sz w:val="28"/>
                <w:szCs w:val="28"/>
              </w:rPr>
              <w:t xml:space="preserve"> </w:t>
            </w:r>
            <w:r w:rsidR="00D51348" w:rsidRPr="00274507">
              <w:rPr>
                <w:sz w:val="28"/>
                <w:szCs w:val="28"/>
              </w:rPr>
              <w:t xml:space="preserve"> S</w:t>
            </w:r>
            <w:r w:rsidRPr="00274507">
              <w:rPr>
                <w:sz w:val="28"/>
                <w:szCs w:val="28"/>
              </w:rPr>
              <w:t>egundo quintil</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3% </w:t>
            </w:r>
            <w:r w:rsidR="00864055" w:rsidRPr="00274507">
              <w:rPr>
                <w:sz w:val="28"/>
                <w:szCs w:val="28"/>
              </w:rPr>
              <w:t xml:space="preserve"> </w:t>
            </w:r>
            <w:r w:rsidR="00D51348" w:rsidRPr="00274507">
              <w:rPr>
                <w:sz w:val="28"/>
                <w:szCs w:val="28"/>
              </w:rPr>
              <w:t>P</w:t>
            </w:r>
            <w:r w:rsidRPr="00274507">
              <w:rPr>
                <w:sz w:val="28"/>
                <w:szCs w:val="28"/>
              </w:rPr>
              <w:t>rimer quintil</w:t>
            </w:r>
          </w:p>
        </w:tc>
      </w:tr>
      <w:tr w:rsidR="00727ED8" w:rsidRPr="00274507" w:rsidTr="002E5F57">
        <w:tc>
          <w:tcPr>
            <w:tcW w:w="3827" w:type="dxa"/>
          </w:tcPr>
          <w:p w:rsidR="00727ED8" w:rsidRPr="00274507" w:rsidRDefault="00727ED8" w:rsidP="00274507">
            <w:pPr>
              <w:pStyle w:val="Prrafodelista"/>
              <w:tabs>
                <w:tab w:val="left" w:pos="567"/>
              </w:tabs>
              <w:ind w:left="0"/>
              <w:jc w:val="both"/>
              <w:rPr>
                <w:sz w:val="28"/>
                <w:szCs w:val="28"/>
              </w:rPr>
            </w:pPr>
            <w:r w:rsidRPr="00274507">
              <w:rPr>
                <w:sz w:val="28"/>
                <w:szCs w:val="28"/>
              </w:rPr>
              <w:t>Demandados</w:t>
            </w:r>
          </w:p>
        </w:tc>
        <w:tc>
          <w:tcPr>
            <w:tcW w:w="5149" w:type="dxa"/>
          </w:tcPr>
          <w:p w:rsidR="00727ED8" w:rsidRPr="00274507" w:rsidRDefault="00727ED8" w:rsidP="00274507">
            <w:pPr>
              <w:pStyle w:val="Prrafodelista"/>
              <w:tabs>
                <w:tab w:val="left" w:pos="567"/>
              </w:tabs>
              <w:ind w:left="0"/>
              <w:jc w:val="both"/>
              <w:rPr>
                <w:sz w:val="28"/>
                <w:szCs w:val="28"/>
              </w:rPr>
            </w:pPr>
            <w:r w:rsidRPr="00274507">
              <w:rPr>
                <w:sz w:val="28"/>
                <w:szCs w:val="28"/>
              </w:rPr>
              <w:t xml:space="preserve">74% </w:t>
            </w:r>
            <w:r w:rsidR="00864055" w:rsidRPr="00274507">
              <w:rPr>
                <w:sz w:val="28"/>
                <w:szCs w:val="28"/>
              </w:rPr>
              <w:t xml:space="preserve"> </w:t>
            </w:r>
            <w:r w:rsidRPr="00274507">
              <w:rPr>
                <w:sz w:val="28"/>
                <w:szCs w:val="28"/>
              </w:rPr>
              <w:t>EPS</w:t>
            </w:r>
            <w:r w:rsidRPr="00274507">
              <w:rPr>
                <w:rStyle w:val="Refdenotaalpie"/>
                <w:sz w:val="28"/>
                <w:szCs w:val="28"/>
              </w:rPr>
              <w:footnoteReference w:id="14"/>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20% </w:t>
            </w:r>
            <w:r w:rsidR="00864055" w:rsidRPr="00274507">
              <w:rPr>
                <w:sz w:val="28"/>
                <w:szCs w:val="28"/>
              </w:rPr>
              <w:t xml:space="preserve"> </w:t>
            </w:r>
            <w:r w:rsidRPr="00274507">
              <w:rPr>
                <w:sz w:val="28"/>
                <w:szCs w:val="28"/>
              </w:rPr>
              <w:t xml:space="preserve">Entes Territoriales </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3% </w:t>
            </w:r>
            <w:r w:rsidR="00864055" w:rsidRPr="00274507">
              <w:rPr>
                <w:sz w:val="28"/>
                <w:szCs w:val="28"/>
              </w:rPr>
              <w:t xml:space="preserve"> </w:t>
            </w:r>
            <w:r w:rsidRPr="00274507">
              <w:rPr>
                <w:sz w:val="28"/>
                <w:szCs w:val="28"/>
              </w:rPr>
              <w:t>IPS</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3% </w:t>
            </w:r>
            <w:r w:rsidR="00864055" w:rsidRPr="00274507">
              <w:rPr>
                <w:sz w:val="28"/>
                <w:szCs w:val="28"/>
              </w:rPr>
              <w:t xml:space="preserve"> </w:t>
            </w:r>
            <w:r w:rsidR="00D51348" w:rsidRPr="00274507">
              <w:rPr>
                <w:sz w:val="28"/>
                <w:szCs w:val="28"/>
              </w:rPr>
              <w:t>O</w:t>
            </w:r>
            <w:r w:rsidRPr="00274507">
              <w:rPr>
                <w:sz w:val="28"/>
                <w:szCs w:val="28"/>
              </w:rPr>
              <w:t>tros</w:t>
            </w:r>
          </w:p>
        </w:tc>
      </w:tr>
      <w:tr w:rsidR="00727ED8" w:rsidRPr="00274507" w:rsidTr="002E5F57">
        <w:tc>
          <w:tcPr>
            <w:tcW w:w="3827" w:type="dxa"/>
          </w:tcPr>
          <w:p w:rsidR="00727ED8" w:rsidRPr="00274507" w:rsidRDefault="00727ED8" w:rsidP="00274507">
            <w:pPr>
              <w:pStyle w:val="Prrafodelista"/>
              <w:tabs>
                <w:tab w:val="left" w:pos="567"/>
              </w:tabs>
              <w:ind w:left="0"/>
              <w:jc w:val="both"/>
              <w:rPr>
                <w:sz w:val="28"/>
                <w:szCs w:val="28"/>
              </w:rPr>
            </w:pPr>
            <w:r w:rsidRPr="00274507">
              <w:rPr>
                <w:sz w:val="28"/>
                <w:szCs w:val="28"/>
              </w:rPr>
              <w:t>Concepto</w:t>
            </w:r>
          </w:p>
        </w:tc>
        <w:tc>
          <w:tcPr>
            <w:tcW w:w="5149" w:type="dxa"/>
          </w:tcPr>
          <w:p w:rsidR="00727ED8" w:rsidRPr="00274507" w:rsidRDefault="00727ED8" w:rsidP="00274507">
            <w:pPr>
              <w:pStyle w:val="Prrafodelista"/>
              <w:tabs>
                <w:tab w:val="left" w:pos="567"/>
              </w:tabs>
              <w:ind w:left="0"/>
              <w:jc w:val="both"/>
              <w:rPr>
                <w:sz w:val="28"/>
                <w:szCs w:val="28"/>
              </w:rPr>
            </w:pPr>
            <w:r w:rsidRPr="00274507">
              <w:rPr>
                <w:sz w:val="28"/>
                <w:szCs w:val="28"/>
              </w:rPr>
              <w:t xml:space="preserve">24% </w:t>
            </w:r>
            <w:r w:rsidR="00864055" w:rsidRPr="00274507">
              <w:rPr>
                <w:sz w:val="28"/>
                <w:szCs w:val="28"/>
              </w:rPr>
              <w:t xml:space="preserve"> </w:t>
            </w:r>
            <w:r w:rsidRPr="00274507">
              <w:rPr>
                <w:sz w:val="28"/>
                <w:szCs w:val="28"/>
              </w:rPr>
              <w:t>Prestación de servicios de salud</w:t>
            </w:r>
            <w:r w:rsidRPr="00274507">
              <w:rPr>
                <w:rStyle w:val="Refdenotaalpie"/>
                <w:sz w:val="28"/>
                <w:szCs w:val="28"/>
              </w:rPr>
              <w:footnoteReference w:id="15"/>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23% </w:t>
            </w:r>
            <w:r w:rsidR="00864055" w:rsidRPr="00274507">
              <w:rPr>
                <w:sz w:val="28"/>
                <w:szCs w:val="28"/>
              </w:rPr>
              <w:t xml:space="preserve"> </w:t>
            </w:r>
            <w:r w:rsidRPr="00274507">
              <w:rPr>
                <w:sz w:val="28"/>
                <w:szCs w:val="28"/>
              </w:rPr>
              <w:t xml:space="preserve">Prestación integral  </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3% </w:t>
            </w:r>
            <w:r w:rsidR="00864055" w:rsidRPr="00274507">
              <w:rPr>
                <w:sz w:val="28"/>
                <w:szCs w:val="28"/>
              </w:rPr>
              <w:t xml:space="preserve"> </w:t>
            </w:r>
            <w:r w:rsidRPr="00274507">
              <w:rPr>
                <w:sz w:val="28"/>
                <w:szCs w:val="28"/>
              </w:rPr>
              <w:t>Dispositivos</w:t>
            </w:r>
          </w:p>
        </w:tc>
      </w:tr>
      <w:tr w:rsidR="00727ED8" w:rsidRPr="00274507" w:rsidTr="002E5F57">
        <w:tc>
          <w:tcPr>
            <w:tcW w:w="3827" w:type="dxa"/>
          </w:tcPr>
          <w:p w:rsidR="00727ED8" w:rsidRPr="00274507" w:rsidRDefault="00727ED8" w:rsidP="00274507">
            <w:pPr>
              <w:pStyle w:val="Prrafodelista"/>
              <w:tabs>
                <w:tab w:val="left" w:pos="567"/>
              </w:tabs>
              <w:ind w:left="0"/>
              <w:jc w:val="both"/>
              <w:rPr>
                <w:sz w:val="28"/>
                <w:szCs w:val="28"/>
              </w:rPr>
            </w:pPr>
            <w:r w:rsidRPr="00274507">
              <w:rPr>
                <w:sz w:val="28"/>
                <w:szCs w:val="28"/>
              </w:rPr>
              <w:t>Departamentos</w:t>
            </w:r>
          </w:p>
        </w:tc>
        <w:tc>
          <w:tcPr>
            <w:tcW w:w="5149" w:type="dxa"/>
          </w:tcPr>
          <w:p w:rsidR="00727ED8" w:rsidRPr="00274507" w:rsidRDefault="00864055" w:rsidP="00274507">
            <w:pPr>
              <w:pStyle w:val="Prrafodelista"/>
              <w:tabs>
                <w:tab w:val="left" w:pos="567"/>
              </w:tabs>
              <w:ind w:left="0"/>
              <w:jc w:val="both"/>
              <w:rPr>
                <w:sz w:val="28"/>
                <w:szCs w:val="28"/>
              </w:rPr>
            </w:pPr>
            <w:r w:rsidRPr="00274507">
              <w:rPr>
                <w:sz w:val="28"/>
                <w:szCs w:val="28"/>
              </w:rPr>
              <w:t>89%  Se</w:t>
            </w:r>
            <w:r w:rsidR="00727ED8" w:rsidRPr="00274507">
              <w:rPr>
                <w:sz w:val="28"/>
                <w:szCs w:val="28"/>
              </w:rPr>
              <w:t xml:space="preserve"> concentra en 14 Departamentos así:</w:t>
            </w:r>
          </w:p>
          <w:p w:rsidR="00864055" w:rsidRPr="00274507" w:rsidRDefault="00864055" w:rsidP="00274507">
            <w:pPr>
              <w:pStyle w:val="Prrafodelista"/>
              <w:tabs>
                <w:tab w:val="left" w:pos="567"/>
              </w:tabs>
              <w:ind w:left="0"/>
              <w:jc w:val="both"/>
              <w:rPr>
                <w:sz w:val="28"/>
                <w:szCs w:val="28"/>
              </w:rPr>
            </w:pPr>
            <w:r w:rsidRPr="00274507">
              <w:rPr>
                <w:sz w:val="28"/>
                <w:szCs w:val="28"/>
              </w:rPr>
              <w:t xml:space="preserve"> 34% Antioquia</w:t>
            </w:r>
            <w:r w:rsidR="00727ED8" w:rsidRPr="00274507">
              <w:rPr>
                <w:sz w:val="28"/>
                <w:szCs w:val="28"/>
              </w:rPr>
              <w:t xml:space="preserve"> </w:t>
            </w:r>
          </w:p>
          <w:p w:rsidR="00864055" w:rsidRPr="00274507" w:rsidRDefault="00864055" w:rsidP="00274507">
            <w:pPr>
              <w:pStyle w:val="Prrafodelista"/>
              <w:tabs>
                <w:tab w:val="left" w:pos="567"/>
              </w:tabs>
              <w:ind w:left="0"/>
              <w:jc w:val="both"/>
              <w:rPr>
                <w:sz w:val="28"/>
                <w:szCs w:val="28"/>
              </w:rPr>
            </w:pPr>
            <w:r w:rsidRPr="00274507">
              <w:rPr>
                <w:sz w:val="28"/>
                <w:szCs w:val="28"/>
              </w:rPr>
              <w:t xml:space="preserve">  9%  Valle del</w:t>
            </w:r>
            <w:r w:rsidR="00727ED8" w:rsidRPr="00274507">
              <w:rPr>
                <w:sz w:val="28"/>
                <w:szCs w:val="28"/>
              </w:rPr>
              <w:t xml:space="preserve"> Cauca </w:t>
            </w:r>
          </w:p>
          <w:p w:rsidR="00864055" w:rsidRPr="00274507" w:rsidRDefault="00864055" w:rsidP="00274507">
            <w:pPr>
              <w:pStyle w:val="Prrafodelista"/>
              <w:tabs>
                <w:tab w:val="left" w:pos="567"/>
              </w:tabs>
              <w:ind w:left="0"/>
              <w:jc w:val="both"/>
              <w:rPr>
                <w:sz w:val="28"/>
                <w:szCs w:val="28"/>
              </w:rPr>
            </w:pPr>
            <w:r w:rsidRPr="00274507">
              <w:rPr>
                <w:sz w:val="28"/>
                <w:szCs w:val="28"/>
              </w:rPr>
              <w:t xml:space="preserve">  9%  Caldas </w:t>
            </w:r>
          </w:p>
          <w:p w:rsidR="00864055" w:rsidRPr="00274507" w:rsidRDefault="00864055" w:rsidP="00274507">
            <w:pPr>
              <w:pStyle w:val="Prrafodelista"/>
              <w:tabs>
                <w:tab w:val="left" w:pos="567"/>
              </w:tabs>
              <w:ind w:left="0"/>
              <w:jc w:val="both"/>
              <w:rPr>
                <w:sz w:val="28"/>
                <w:szCs w:val="28"/>
              </w:rPr>
            </w:pPr>
            <w:r w:rsidRPr="00274507">
              <w:rPr>
                <w:sz w:val="28"/>
                <w:szCs w:val="28"/>
              </w:rPr>
              <w:t xml:space="preserve">  9%</w:t>
            </w:r>
            <w:r w:rsidR="00727ED8" w:rsidRPr="00274507">
              <w:rPr>
                <w:sz w:val="28"/>
                <w:szCs w:val="28"/>
              </w:rPr>
              <w:t xml:space="preserve">  Santander </w:t>
            </w:r>
          </w:p>
          <w:p w:rsidR="00727ED8" w:rsidRPr="00274507" w:rsidRDefault="00864055" w:rsidP="00274507">
            <w:pPr>
              <w:pStyle w:val="Prrafodelista"/>
              <w:tabs>
                <w:tab w:val="left" w:pos="567"/>
              </w:tabs>
              <w:ind w:left="0"/>
              <w:jc w:val="both"/>
              <w:rPr>
                <w:sz w:val="28"/>
                <w:szCs w:val="28"/>
              </w:rPr>
            </w:pPr>
            <w:r w:rsidRPr="00274507">
              <w:rPr>
                <w:sz w:val="28"/>
                <w:szCs w:val="28"/>
              </w:rPr>
              <w:t xml:space="preserve">  5%  Bogotá</w:t>
            </w:r>
            <w:r w:rsidR="00727ED8" w:rsidRPr="00274507">
              <w:rPr>
                <w:sz w:val="28"/>
                <w:szCs w:val="28"/>
              </w:rPr>
              <w:t>.</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5% </w:t>
            </w:r>
            <w:r w:rsidR="00864055" w:rsidRPr="00274507">
              <w:rPr>
                <w:sz w:val="28"/>
                <w:szCs w:val="28"/>
              </w:rPr>
              <w:t xml:space="preserve"> </w:t>
            </w:r>
            <w:r w:rsidRPr="00274507">
              <w:rPr>
                <w:sz w:val="28"/>
                <w:szCs w:val="28"/>
              </w:rPr>
              <w:t>Risaralda</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5% </w:t>
            </w:r>
            <w:r w:rsidR="00864055" w:rsidRPr="00274507">
              <w:rPr>
                <w:sz w:val="28"/>
                <w:szCs w:val="28"/>
              </w:rPr>
              <w:t xml:space="preserve"> </w:t>
            </w:r>
            <w:r w:rsidRPr="00274507">
              <w:rPr>
                <w:sz w:val="28"/>
                <w:szCs w:val="28"/>
              </w:rPr>
              <w:t>Norte de Santander</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4% </w:t>
            </w:r>
            <w:r w:rsidR="00864055" w:rsidRPr="00274507">
              <w:rPr>
                <w:sz w:val="28"/>
                <w:szCs w:val="28"/>
              </w:rPr>
              <w:t xml:space="preserve"> </w:t>
            </w:r>
            <w:r w:rsidRPr="00274507">
              <w:rPr>
                <w:sz w:val="28"/>
                <w:szCs w:val="28"/>
              </w:rPr>
              <w:t>Cauca</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2% </w:t>
            </w:r>
            <w:r w:rsidR="00864055" w:rsidRPr="00274507">
              <w:rPr>
                <w:sz w:val="28"/>
                <w:szCs w:val="28"/>
              </w:rPr>
              <w:t xml:space="preserve"> </w:t>
            </w:r>
            <w:r w:rsidRPr="00274507">
              <w:rPr>
                <w:sz w:val="28"/>
                <w:szCs w:val="28"/>
              </w:rPr>
              <w:t xml:space="preserve">Bolívar </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3% </w:t>
            </w:r>
            <w:r w:rsidR="00864055" w:rsidRPr="00274507">
              <w:rPr>
                <w:sz w:val="28"/>
                <w:szCs w:val="28"/>
              </w:rPr>
              <w:t xml:space="preserve"> </w:t>
            </w:r>
            <w:r w:rsidRPr="00274507">
              <w:rPr>
                <w:sz w:val="28"/>
                <w:szCs w:val="28"/>
              </w:rPr>
              <w:t>Tolima</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3%</w:t>
            </w:r>
            <w:r w:rsidR="00864055" w:rsidRPr="00274507">
              <w:rPr>
                <w:sz w:val="28"/>
                <w:szCs w:val="28"/>
              </w:rPr>
              <w:t xml:space="preserve"> </w:t>
            </w:r>
            <w:r w:rsidRPr="00274507">
              <w:rPr>
                <w:sz w:val="28"/>
                <w:szCs w:val="28"/>
              </w:rPr>
              <w:t xml:space="preserve"> Atlántico</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2% </w:t>
            </w:r>
            <w:r w:rsidR="00864055" w:rsidRPr="00274507">
              <w:rPr>
                <w:sz w:val="28"/>
                <w:szCs w:val="28"/>
              </w:rPr>
              <w:t xml:space="preserve"> </w:t>
            </w:r>
            <w:r w:rsidRPr="00274507">
              <w:rPr>
                <w:sz w:val="28"/>
                <w:szCs w:val="28"/>
              </w:rPr>
              <w:t>Cundinamarca</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2% </w:t>
            </w:r>
            <w:r w:rsidR="00864055" w:rsidRPr="00274507">
              <w:rPr>
                <w:sz w:val="28"/>
                <w:szCs w:val="28"/>
              </w:rPr>
              <w:t xml:space="preserve"> </w:t>
            </w:r>
            <w:r w:rsidRPr="00274507">
              <w:rPr>
                <w:sz w:val="28"/>
                <w:szCs w:val="28"/>
              </w:rPr>
              <w:t>Quindío</w:t>
            </w:r>
          </w:p>
          <w:p w:rsidR="00727ED8" w:rsidRPr="00274507" w:rsidRDefault="00727ED8" w:rsidP="00274507">
            <w:pPr>
              <w:pStyle w:val="Prrafodelista"/>
              <w:tabs>
                <w:tab w:val="left" w:pos="567"/>
              </w:tabs>
              <w:ind w:left="0"/>
              <w:jc w:val="both"/>
              <w:rPr>
                <w:sz w:val="28"/>
                <w:szCs w:val="28"/>
              </w:rPr>
            </w:pPr>
            <w:r w:rsidRPr="00274507">
              <w:rPr>
                <w:sz w:val="28"/>
                <w:szCs w:val="28"/>
              </w:rPr>
              <w:t xml:space="preserve">  2%</w:t>
            </w:r>
            <w:r w:rsidR="00864055" w:rsidRPr="00274507">
              <w:rPr>
                <w:sz w:val="28"/>
                <w:szCs w:val="28"/>
              </w:rPr>
              <w:t xml:space="preserve">  </w:t>
            </w:r>
            <w:r w:rsidRPr="00274507">
              <w:rPr>
                <w:sz w:val="28"/>
                <w:szCs w:val="28"/>
              </w:rPr>
              <w:t>Meta</w:t>
            </w:r>
          </w:p>
        </w:tc>
      </w:tr>
    </w:tbl>
    <w:p w:rsidR="001E7602" w:rsidRPr="00274507" w:rsidRDefault="001E7602" w:rsidP="00274507">
      <w:pPr>
        <w:pStyle w:val="Prrafodelista"/>
        <w:tabs>
          <w:tab w:val="left" w:pos="567"/>
        </w:tabs>
        <w:ind w:left="0"/>
        <w:jc w:val="both"/>
        <w:rPr>
          <w:color w:val="000000" w:themeColor="text1"/>
          <w:sz w:val="28"/>
          <w:szCs w:val="28"/>
        </w:rPr>
      </w:pPr>
    </w:p>
    <w:p w:rsidR="00727ED8" w:rsidRPr="00274507" w:rsidRDefault="00C93689" w:rsidP="00274507">
      <w:pPr>
        <w:pStyle w:val="Prrafodelista"/>
        <w:tabs>
          <w:tab w:val="left" w:pos="567"/>
        </w:tabs>
        <w:ind w:left="0"/>
        <w:jc w:val="both"/>
        <w:rPr>
          <w:color w:val="000000" w:themeColor="text1"/>
          <w:sz w:val="28"/>
          <w:szCs w:val="28"/>
        </w:rPr>
      </w:pPr>
      <w:r w:rsidRPr="00274507">
        <w:rPr>
          <w:color w:val="000000" w:themeColor="text1"/>
          <w:sz w:val="28"/>
          <w:szCs w:val="28"/>
        </w:rPr>
        <w:t xml:space="preserve">Como resultado </w:t>
      </w:r>
      <w:r w:rsidR="00864055" w:rsidRPr="00274507">
        <w:rPr>
          <w:color w:val="000000" w:themeColor="text1"/>
          <w:sz w:val="28"/>
          <w:szCs w:val="28"/>
        </w:rPr>
        <w:t xml:space="preserve">de </w:t>
      </w:r>
      <w:r w:rsidR="00727ED8" w:rsidRPr="00274507">
        <w:rPr>
          <w:color w:val="000000" w:themeColor="text1"/>
          <w:sz w:val="28"/>
          <w:szCs w:val="28"/>
        </w:rPr>
        <w:t xml:space="preserve">las tutelas </w:t>
      </w:r>
      <w:r w:rsidR="00864055" w:rsidRPr="00274507">
        <w:rPr>
          <w:color w:val="000000" w:themeColor="text1"/>
          <w:sz w:val="28"/>
          <w:szCs w:val="28"/>
        </w:rPr>
        <w:t>analizadas</w:t>
      </w:r>
      <w:r w:rsidRPr="00274507">
        <w:rPr>
          <w:color w:val="000000" w:themeColor="text1"/>
          <w:sz w:val="28"/>
          <w:szCs w:val="28"/>
        </w:rPr>
        <w:t xml:space="preserve"> resaltó lo siguiente</w:t>
      </w:r>
      <w:r w:rsidR="00727ED8" w:rsidRPr="00274507">
        <w:rPr>
          <w:color w:val="000000" w:themeColor="text1"/>
          <w:sz w:val="28"/>
          <w:szCs w:val="28"/>
        </w:rPr>
        <w:t xml:space="preserve">: i) </w:t>
      </w:r>
      <w:r w:rsidR="00864055" w:rsidRPr="00274507">
        <w:rPr>
          <w:color w:val="000000" w:themeColor="text1"/>
          <w:sz w:val="28"/>
          <w:szCs w:val="28"/>
        </w:rPr>
        <w:t xml:space="preserve">el 24% </w:t>
      </w:r>
      <w:r w:rsidR="00727ED8" w:rsidRPr="00274507">
        <w:rPr>
          <w:color w:val="000000" w:themeColor="text1"/>
          <w:sz w:val="28"/>
          <w:szCs w:val="28"/>
        </w:rPr>
        <w:t>requirieron algún servicio de salud</w:t>
      </w:r>
      <w:r w:rsidR="00681C12" w:rsidRPr="00274507">
        <w:rPr>
          <w:color w:val="000000" w:themeColor="text1"/>
          <w:sz w:val="28"/>
          <w:szCs w:val="28"/>
        </w:rPr>
        <w:t xml:space="preserve">, </w:t>
      </w:r>
      <w:r w:rsidR="00727ED8" w:rsidRPr="00274507">
        <w:rPr>
          <w:color w:val="000000" w:themeColor="text1"/>
          <w:sz w:val="28"/>
          <w:szCs w:val="28"/>
        </w:rPr>
        <w:t>el</w:t>
      </w:r>
      <w:r w:rsidR="00F93300" w:rsidRPr="00274507">
        <w:rPr>
          <w:color w:val="000000" w:themeColor="text1"/>
          <w:sz w:val="28"/>
          <w:szCs w:val="28"/>
        </w:rPr>
        <w:t xml:space="preserve"> 23%</w:t>
      </w:r>
      <w:r w:rsidR="00727ED8" w:rsidRPr="00274507">
        <w:rPr>
          <w:color w:val="000000" w:themeColor="text1"/>
          <w:sz w:val="28"/>
          <w:szCs w:val="28"/>
        </w:rPr>
        <w:t xml:space="preserve"> </w:t>
      </w:r>
      <w:r w:rsidR="00681C12" w:rsidRPr="00274507">
        <w:rPr>
          <w:color w:val="000000" w:themeColor="text1"/>
          <w:sz w:val="28"/>
          <w:szCs w:val="28"/>
        </w:rPr>
        <w:t xml:space="preserve">por </w:t>
      </w:r>
      <w:r w:rsidR="00727ED8" w:rsidRPr="00274507">
        <w:rPr>
          <w:color w:val="000000" w:themeColor="text1"/>
          <w:sz w:val="28"/>
          <w:szCs w:val="28"/>
        </w:rPr>
        <w:t xml:space="preserve">manejo integral </w:t>
      </w:r>
      <w:r w:rsidR="00681C12" w:rsidRPr="00274507">
        <w:rPr>
          <w:color w:val="000000" w:themeColor="text1"/>
          <w:sz w:val="28"/>
          <w:szCs w:val="28"/>
        </w:rPr>
        <w:t xml:space="preserve">y </w:t>
      </w:r>
      <w:r w:rsidR="00727ED8" w:rsidRPr="00274507">
        <w:rPr>
          <w:color w:val="000000" w:themeColor="text1"/>
          <w:sz w:val="28"/>
          <w:szCs w:val="28"/>
        </w:rPr>
        <w:t>el</w:t>
      </w:r>
      <w:r w:rsidR="00681C12" w:rsidRPr="00274507">
        <w:rPr>
          <w:color w:val="000000" w:themeColor="text1"/>
          <w:sz w:val="28"/>
          <w:szCs w:val="28"/>
        </w:rPr>
        <w:t xml:space="preserve"> 3%</w:t>
      </w:r>
      <w:r w:rsidR="00727ED8" w:rsidRPr="00274507">
        <w:rPr>
          <w:color w:val="000000" w:themeColor="text1"/>
          <w:sz w:val="28"/>
          <w:szCs w:val="28"/>
        </w:rPr>
        <w:t xml:space="preserve"> por dispositivos</w:t>
      </w:r>
      <w:r w:rsidR="00681C12" w:rsidRPr="00274507">
        <w:rPr>
          <w:color w:val="000000" w:themeColor="text1"/>
          <w:sz w:val="28"/>
          <w:szCs w:val="28"/>
        </w:rPr>
        <w:t>; ii)</w:t>
      </w:r>
      <w:r w:rsidR="00727ED8" w:rsidRPr="00274507">
        <w:rPr>
          <w:color w:val="000000" w:themeColor="text1"/>
          <w:sz w:val="28"/>
          <w:szCs w:val="28"/>
        </w:rPr>
        <w:t xml:space="preserve"> el 83,3% de las tutelas fueron concedidas en primera instancia y de estas solo el 16,7% se estudiaro</w:t>
      </w:r>
      <w:r w:rsidRPr="00274507">
        <w:rPr>
          <w:color w:val="000000" w:themeColor="text1"/>
          <w:sz w:val="28"/>
          <w:szCs w:val="28"/>
        </w:rPr>
        <w:t>n en segunda, que fueron</w:t>
      </w:r>
      <w:r w:rsidR="00727ED8" w:rsidRPr="00274507">
        <w:rPr>
          <w:color w:val="000000" w:themeColor="text1"/>
          <w:sz w:val="28"/>
          <w:szCs w:val="28"/>
        </w:rPr>
        <w:t xml:space="preserve"> confirmadas en su mayoría</w:t>
      </w:r>
      <w:r w:rsidR="00B15BB4" w:rsidRPr="00274507">
        <w:rPr>
          <w:color w:val="000000" w:themeColor="text1"/>
          <w:sz w:val="28"/>
          <w:szCs w:val="28"/>
        </w:rPr>
        <w:t>, l</w:t>
      </w:r>
      <w:r w:rsidR="001E7602" w:rsidRPr="00274507">
        <w:rPr>
          <w:color w:val="000000" w:themeColor="text1"/>
          <w:sz w:val="28"/>
          <w:szCs w:val="28"/>
        </w:rPr>
        <w:t>a</w:t>
      </w:r>
      <w:r w:rsidR="00B15BB4" w:rsidRPr="00274507">
        <w:rPr>
          <w:color w:val="000000" w:themeColor="text1"/>
          <w:sz w:val="28"/>
          <w:szCs w:val="28"/>
        </w:rPr>
        <w:t>s demás no fueron impugnad</w:t>
      </w:r>
      <w:r w:rsidR="001E7602" w:rsidRPr="00274507">
        <w:rPr>
          <w:color w:val="000000" w:themeColor="text1"/>
          <w:sz w:val="28"/>
          <w:szCs w:val="28"/>
        </w:rPr>
        <w:t>a</w:t>
      </w:r>
      <w:r w:rsidR="00B15BB4" w:rsidRPr="00274507">
        <w:rPr>
          <w:color w:val="000000" w:themeColor="text1"/>
          <w:sz w:val="28"/>
          <w:szCs w:val="28"/>
        </w:rPr>
        <w:t>s</w:t>
      </w:r>
      <w:r w:rsidR="00727ED8" w:rsidRPr="00274507">
        <w:rPr>
          <w:color w:val="000000" w:themeColor="text1"/>
          <w:sz w:val="28"/>
          <w:szCs w:val="28"/>
        </w:rPr>
        <w:t>; iii) el 91,8% de los jueces no se pronunciaron sobre sí los servicio</w:t>
      </w:r>
      <w:r w:rsidRPr="00274507">
        <w:rPr>
          <w:color w:val="000000" w:themeColor="text1"/>
          <w:sz w:val="28"/>
          <w:szCs w:val="28"/>
        </w:rPr>
        <w:t>s solicitados por vía judicial se incluyeron</w:t>
      </w:r>
      <w:r w:rsidR="00B105DE" w:rsidRPr="00274507">
        <w:rPr>
          <w:color w:val="000000" w:themeColor="text1"/>
          <w:sz w:val="28"/>
          <w:szCs w:val="28"/>
        </w:rPr>
        <w:t xml:space="preserve"> en el POS, el 9,1</w:t>
      </w:r>
      <w:r w:rsidR="00727ED8" w:rsidRPr="00274507">
        <w:rPr>
          <w:color w:val="000000" w:themeColor="text1"/>
          <w:sz w:val="28"/>
          <w:szCs w:val="28"/>
        </w:rPr>
        <w:t xml:space="preserve">% declararon los servicios POS y el 3,9% las expusieron como tecnologías no POS, por lo que, en la determinación de sí el concepto del Comité Técnico Científico influyó en la decisión proferida, se tuvo el 89% de los casos no fueron tenidos en cuenta; y iv) que el 32% de los fallos se sustentaban en el derecho fundamental a la salud, el 17% a la vida, el 15% seguridad social y el </w:t>
      </w:r>
      <w:r w:rsidR="00B15BB4" w:rsidRPr="00274507">
        <w:rPr>
          <w:color w:val="000000" w:themeColor="text1"/>
          <w:sz w:val="28"/>
          <w:szCs w:val="28"/>
        </w:rPr>
        <w:t>15% a vida digna</w:t>
      </w:r>
      <w:r w:rsidR="00727ED8" w:rsidRPr="00274507">
        <w:rPr>
          <w:color w:val="000000" w:themeColor="text1"/>
          <w:sz w:val="28"/>
          <w:szCs w:val="28"/>
        </w:rPr>
        <w:t>.</w:t>
      </w:r>
      <w:r w:rsidR="00B105DE" w:rsidRPr="00274507">
        <w:rPr>
          <w:color w:val="000000" w:themeColor="text1"/>
          <w:sz w:val="28"/>
          <w:szCs w:val="28"/>
        </w:rPr>
        <w:t xml:space="preserve"> De igual forma, que el 79,2% </w:t>
      </w:r>
      <w:r w:rsidRPr="00274507">
        <w:rPr>
          <w:color w:val="000000" w:themeColor="text1"/>
          <w:sz w:val="28"/>
          <w:szCs w:val="28"/>
        </w:rPr>
        <w:t>se incoaron</w:t>
      </w:r>
      <w:r w:rsidR="00B105DE" w:rsidRPr="00274507">
        <w:rPr>
          <w:color w:val="000000" w:themeColor="text1"/>
          <w:sz w:val="28"/>
          <w:szCs w:val="28"/>
        </w:rPr>
        <w:t xml:space="preserve"> por más de dos derechos y menos del 1% respecto del derecho al mínimo vital.</w:t>
      </w:r>
    </w:p>
    <w:p w:rsidR="00727ED8" w:rsidRPr="00274507" w:rsidRDefault="00727ED8" w:rsidP="00274507">
      <w:pPr>
        <w:shd w:val="clear" w:color="auto" w:fill="FFFFFF" w:themeFill="background1"/>
        <w:jc w:val="both"/>
        <w:rPr>
          <w:sz w:val="28"/>
          <w:szCs w:val="28"/>
          <w:lang w:val="es-ES"/>
        </w:rPr>
      </w:pPr>
    </w:p>
    <w:p w:rsidR="00727ED8" w:rsidRPr="00274507" w:rsidRDefault="000A51A3" w:rsidP="00274507">
      <w:pPr>
        <w:widowControl w:val="0"/>
        <w:tabs>
          <w:tab w:val="left" w:pos="426"/>
        </w:tabs>
        <w:autoSpaceDE w:val="0"/>
        <w:autoSpaceDN w:val="0"/>
        <w:adjustRightInd w:val="0"/>
        <w:jc w:val="both"/>
        <w:rPr>
          <w:sz w:val="28"/>
          <w:szCs w:val="28"/>
        </w:rPr>
      </w:pPr>
      <w:r w:rsidRPr="00274507">
        <w:rPr>
          <w:b/>
          <w:sz w:val="28"/>
          <w:szCs w:val="28"/>
        </w:rPr>
        <w:t>2</w:t>
      </w:r>
      <w:r w:rsidR="00E1729E" w:rsidRPr="00274507">
        <w:rPr>
          <w:b/>
          <w:sz w:val="28"/>
          <w:szCs w:val="28"/>
        </w:rPr>
        <w:t>.6</w:t>
      </w:r>
      <w:r w:rsidR="00727ED8" w:rsidRPr="00274507">
        <w:rPr>
          <w:b/>
          <w:sz w:val="28"/>
          <w:szCs w:val="28"/>
        </w:rPr>
        <w:t>.</w:t>
      </w:r>
      <w:r w:rsidR="00727ED8" w:rsidRPr="00274507">
        <w:rPr>
          <w:sz w:val="28"/>
          <w:szCs w:val="28"/>
        </w:rPr>
        <w:t xml:space="preserve"> El 19 de marzo y 13 de noviembre de 2014</w:t>
      </w:r>
      <w:r w:rsidR="00406535" w:rsidRPr="00274507">
        <w:rPr>
          <w:rStyle w:val="Refdenotaalpie"/>
          <w:sz w:val="28"/>
          <w:szCs w:val="28"/>
        </w:rPr>
        <w:footnoteReference w:id="16"/>
      </w:r>
      <w:r w:rsidR="001E7602" w:rsidRPr="00274507">
        <w:rPr>
          <w:sz w:val="28"/>
          <w:szCs w:val="28"/>
        </w:rPr>
        <w:t xml:space="preserve"> el Ministerio</w:t>
      </w:r>
      <w:r w:rsidR="00406535" w:rsidRPr="00274507">
        <w:rPr>
          <w:sz w:val="28"/>
          <w:szCs w:val="28"/>
        </w:rPr>
        <w:t xml:space="preserve"> de Salud, </w:t>
      </w:r>
      <w:r w:rsidR="00727ED8" w:rsidRPr="00274507">
        <w:rPr>
          <w:sz w:val="28"/>
          <w:szCs w:val="28"/>
        </w:rPr>
        <w:t xml:space="preserve">presentó un análisis comparativo </w:t>
      </w:r>
      <w:r w:rsidR="00C93689" w:rsidRPr="00274507">
        <w:rPr>
          <w:sz w:val="28"/>
          <w:szCs w:val="28"/>
        </w:rPr>
        <w:t xml:space="preserve">de </w:t>
      </w:r>
      <w:r w:rsidR="00727ED8" w:rsidRPr="00274507">
        <w:rPr>
          <w:sz w:val="28"/>
          <w:szCs w:val="28"/>
        </w:rPr>
        <w:t>los resultados del estudio efectuado po</w:t>
      </w:r>
      <w:r w:rsidR="00406535" w:rsidRPr="00274507">
        <w:rPr>
          <w:sz w:val="28"/>
          <w:szCs w:val="28"/>
        </w:rPr>
        <w:t>r la Universidad de los Andes</w:t>
      </w:r>
      <w:r w:rsidR="00C93689" w:rsidRPr="00274507">
        <w:rPr>
          <w:sz w:val="28"/>
          <w:szCs w:val="28"/>
        </w:rPr>
        <w:t xml:space="preserve">, de algunos datos </w:t>
      </w:r>
      <w:r w:rsidR="00727ED8" w:rsidRPr="00274507">
        <w:rPr>
          <w:sz w:val="28"/>
          <w:szCs w:val="28"/>
        </w:rPr>
        <w:t>obteni</w:t>
      </w:r>
      <w:r w:rsidR="00C93689" w:rsidRPr="00274507">
        <w:rPr>
          <w:sz w:val="28"/>
          <w:szCs w:val="28"/>
        </w:rPr>
        <w:t xml:space="preserve">dos de la Corte Constitucional y de </w:t>
      </w:r>
      <w:r w:rsidR="00727ED8" w:rsidRPr="00274507">
        <w:rPr>
          <w:sz w:val="28"/>
          <w:szCs w:val="28"/>
        </w:rPr>
        <w:t xml:space="preserve">los derivados del estudio anual presentado por la Defensoría del Pueblo </w:t>
      </w:r>
      <w:r w:rsidR="00C93689" w:rsidRPr="00274507">
        <w:rPr>
          <w:sz w:val="28"/>
          <w:szCs w:val="28"/>
        </w:rPr>
        <w:t>correspondiente a los años 2008 a 2013.</w:t>
      </w:r>
    </w:p>
    <w:p w:rsidR="00727ED8" w:rsidRPr="00274507" w:rsidRDefault="00727ED8" w:rsidP="00274507">
      <w:pPr>
        <w:widowControl w:val="0"/>
        <w:tabs>
          <w:tab w:val="left" w:pos="426"/>
        </w:tabs>
        <w:autoSpaceDE w:val="0"/>
        <w:autoSpaceDN w:val="0"/>
        <w:adjustRightInd w:val="0"/>
        <w:jc w:val="both"/>
        <w:rPr>
          <w:sz w:val="28"/>
          <w:szCs w:val="28"/>
        </w:rPr>
      </w:pPr>
    </w:p>
    <w:p w:rsidR="002B091E" w:rsidRPr="00274507" w:rsidRDefault="00727ED8" w:rsidP="00274507">
      <w:pPr>
        <w:pStyle w:val="Sinespaciado"/>
        <w:jc w:val="both"/>
        <w:rPr>
          <w:sz w:val="28"/>
          <w:szCs w:val="28"/>
        </w:rPr>
      </w:pPr>
      <w:r w:rsidRPr="00274507">
        <w:rPr>
          <w:sz w:val="28"/>
          <w:szCs w:val="28"/>
        </w:rPr>
        <w:t>Presentó lo</w:t>
      </w:r>
      <w:r w:rsidR="00406535" w:rsidRPr="00274507">
        <w:rPr>
          <w:sz w:val="28"/>
          <w:szCs w:val="28"/>
        </w:rPr>
        <w:t xml:space="preserve">s resultados en dos secciones: </w:t>
      </w:r>
      <w:r w:rsidRPr="00274507">
        <w:rPr>
          <w:sz w:val="28"/>
          <w:szCs w:val="28"/>
        </w:rPr>
        <w:t>l</w:t>
      </w:r>
      <w:r w:rsidR="00406535" w:rsidRPr="00274507">
        <w:rPr>
          <w:sz w:val="28"/>
          <w:szCs w:val="28"/>
        </w:rPr>
        <w:t>a</w:t>
      </w:r>
      <w:r w:rsidRPr="00274507">
        <w:rPr>
          <w:sz w:val="28"/>
          <w:szCs w:val="28"/>
        </w:rPr>
        <w:t xml:space="preserve"> primer</w:t>
      </w:r>
      <w:r w:rsidR="00406535" w:rsidRPr="00274507">
        <w:rPr>
          <w:sz w:val="28"/>
          <w:szCs w:val="28"/>
        </w:rPr>
        <w:t>a</w:t>
      </w:r>
      <w:r w:rsidRPr="00274507">
        <w:rPr>
          <w:sz w:val="28"/>
          <w:szCs w:val="28"/>
        </w:rPr>
        <w:t>, que contenía un análisis general de las tutelas para el periodo comprendido</w:t>
      </w:r>
      <w:r w:rsidR="00B105DE" w:rsidRPr="00274507">
        <w:rPr>
          <w:sz w:val="28"/>
          <w:szCs w:val="28"/>
        </w:rPr>
        <w:t xml:space="preserve"> entre el 2010 y el 2013 en e</w:t>
      </w:r>
      <w:r w:rsidRPr="00274507">
        <w:rPr>
          <w:sz w:val="28"/>
          <w:szCs w:val="28"/>
        </w:rPr>
        <w:t xml:space="preserve">l cual evidenció un desaceleramiento de su crecimiento </w:t>
      </w:r>
      <w:r w:rsidR="00B105DE" w:rsidRPr="00274507">
        <w:rPr>
          <w:sz w:val="28"/>
          <w:szCs w:val="28"/>
        </w:rPr>
        <w:t>respecto al año 2008, ya que para esa fecha 36</w:t>
      </w:r>
      <w:r w:rsidRPr="00274507">
        <w:rPr>
          <w:sz w:val="28"/>
          <w:szCs w:val="28"/>
        </w:rPr>
        <w:t xml:space="preserve"> de cada 10.000 afiliados acudían ante los </w:t>
      </w:r>
      <w:r w:rsidR="00B105DE" w:rsidRPr="00274507">
        <w:rPr>
          <w:sz w:val="28"/>
          <w:szCs w:val="28"/>
        </w:rPr>
        <w:t>j</w:t>
      </w:r>
      <w:r w:rsidRPr="00274507">
        <w:rPr>
          <w:sz w:val="28"/>
          <w:szCs w:val="28"/>
        </w:rPr>
        <w:t>ueces, mient</w:t>
      </w:r>
      <w:r w:rsidR="00B105DE" w:rsidRPr="00274507">
        <w:rPr>
          <w:sz w:val="28"/>
          <w:szCs w:val="28"/>
        </w:rPr>
        <w:t>ras que la cifra se redujo a 26,</w:t>
      </w:r>
      <w:r w:rsidRPr="00274507">
        <w:rPr>
          <w:sz w:val="28"/>
          <w:szCs w:val="28"/>
        </w:rPr>
        <w:t>7 en el 2013</w:t>
      </w:r>
      <w:r w:rsidR="00B105DE" w:rsidRPr="00274507">
        <w:rPr>
          <w:sz w:val="28"/>
          <w:szCs w:val="28"/>
        </w:rPr>
        <w:t xml:space="preserve">. </w:t>
      </w:r>
      <w:r w:rsidR="00C93689" w:rsidRPr="00274507">
        <w:rPr>
          <w:sz w:val="28"/>
          <w:szCs w:val="28"/>
        </w:rPr>
        <w:t>En l</w:t>
      </w:r>
      <w:r w:rsidR="00B105DE" w:rsidRPr="00274507">
        <w:rPr>
          <w:sz w:val="28"/>
          <w:szCs w:val="28"/>
        </w:rPr>
        <w:t>a segunda</w:t>
      </w:r>
      <w:r w:rsidR="00C93689" w:rsidRPr="00274507">
        <w:rPr>
          <w:sz w:val="28"/>
          <w:szCs w:val="28"/>
        </w:rPr>
        <w:t>,</w:t>
      </w:r>
      <w:r w:rsidRPr="00274507">
        <w:rPr>
          <w:sz w:val="28"/>
          <w:szCs w:val="28"/>
        </w:rPr>
        <w:t xml:space="preserve"> hizo un análisis detallado de las tutelas en salud, realizando la descripción y porcentaje por evolución de tutelas así: i) según el tipo de servicios solicitados; ii) </w:t>
      </w:r>
      <w:r w:rsidR="00C93689" w:rsidRPr="00274507">
        <w:rPr>
          <w:sz w:val="28"/>
          <w:szCs w:val="28"/>
        </w:rPr>
        <w:t xml:space="preserve">según </w:t>
      </w:r>
      <w:r w:rsidRPr="00274507">
        <w:rPr>
          <w:sz w:val="28"/>
          <w:szCs w:val="28"/>
        </w:rPr>
        <w:t xml:space="preserve">la distribución geográfica; iii) </w:t>
      </w:r>
      <w:r w:rsidR="00C93689" w:rsidRPr="00274507">
        <w:rPr>
          <w:sz w:val="28"/>
          <w:szCs w:val="28"/>
        </w:rPr>
        <w:t xml:space="preserve">por </w:t>
      </w:r>
      <w:r w:rsidRPr="00274507">
        <w:rPr>
          <w:sz w:val="28"/>
          <w:szCs w:val="28"/>
        </w:rPr>
        <w:t xml:space="preserve">las entidades más demandadas; iv) por incertidumbre del POS; v) por servicios incluidos en el POS; vi) con relación a los servicios negados por los CTC; vii) </w:t>
      </w:r>
      <w:r w:rsidR="00C93689" w:rsidRPr="00274507">
        <w:rPr>
          <w:sz w:val="28"/>
          <w:szCs w:val="28"/>
        </w:rPr>
        <w:t xml:space="preserve">según </w:t>
      </w:r>
      <w:r w:rsidRPr="00274507">
        <w:rPr>
          <w:sz w:val="28"/>
          <w:szCs w:val="28"/>
        </w:rPr>
        <w:t xml:space="preserve">régimen de afiliación; viii) </w:t>
      </w:r>
      <w:r w:rsidR="00C93689" w:rsidRPr="00274507">
        <w:rPr>
          <w:sz w:val="28"/>
          <w:szCs w:val="28"/>
        </w:rPr>
        <w:t>a</w:t>
      </w:r>
      <w:r w:rsidRPr="00274507">
        <w:rPr>
          <w:sz w:val="28"/>
          <w:szCs w:val="28"/>
        </w:rPr>
        <w:t xml:space="preserve"> menores de edad; </w:t>
      </w:r>
      <w:r w:rsidR="00DF242B" w:rsidRPr="00274507">
        <w:rPr>
          <w:sz w:val="28"/>
          <w:szCs w:val="28"/>
        </w:rPr>
        <w:t>i</w:t>
      </w:r>
      <w:r w:rsidRPr="00274507">
        <w:rPr>
          <w:sz w:val="28"/>
          <w:szCs w:val="28"/>
        </w:rPr>
        <w:t>x) según los</w:t>
      </w:r>
      <w:r w:rsidR="00DF242B" w:rsidRPr="00274507">
        <w:rPr>
          <w:sz w:val="28"/>
          <w:szCs w:val="28"/>
        </w:rPr>
        <w:t xml:space="preserve"> insumos médico quirúrgicos y x</w:t>
      </w:r>
      <w:r w:rsidRPr="00274507">
        <w:rPr>
          <w:sz w:val="28"/>
          <w:szCs w:val="28"/>
        </w:rPr>
        <w:t xml:space="preserve">) </w:t>
      </w:r>
      <w:r w:rsidR="00C93689" w:rsidRPr="00274507">
        <w:rPr>
          <w:sz w:val="28"/>
          <w:szCs w:val="28"/>
        </w:rPr>
        <w:t xml:space="preserve">las que no fue posible </w:t>
      </w:r>
      <w:r w:rsidRPr="00274507">
        <w:rPr>
          <w:sz w:val="28"/>
          <w:szCs w:val="28"/>
        </w:rPr>
        <w:t>an</w:t>
      </w:r>
      <w:r w:rsidR="00C93689" w:rsidRPr="00274507">
        <w:rPr>
          <w:sz w:val="28"/>
          <w:szCs w:val="28"/>
        </w:rPr>
        <w:t>alizar por falta de información</w:t>
      </w:r>
      <w:r w:rsidRPr="00274507">
        <w:rPr>
          <w:sz w:val="28"/>
          <w:szCs w:val="28"/>
        </w:rPr>
        <w:t>, tales como la negación de emitir una respues</w:t>
      </w:r>
      <w:r w:rsidR="00C93689" w:rsidRPr="00274507">
        <w:rPr>
          <w:sz w:val="28"/>
          <w:szCs w:val="28"/>
        </w:rPr>
        <w:t xml:space="preserve">ta de fondo a una petición </w:t>
      </w:r>
      <w:r w:rsidR="00D7478F" w:rsidRPr="00274507">
        <w:rPr>
          <w:sz w:val="28"/>
          <w:szCs w:val="28"/>
        </w:rPr>
        <w:t>de autorización</w:t>
      </w:r>
      <w:r w:rsidRPr="00274507">
        <w:rPr>
          <w:sz w:val="28"/>
          <w:szCs w:val="28"/>
        </w:rPr>
        <w:t xml:space="preserve"> de</w:t>
      </w:r>
      <w:r w:rsidR="00D7478F" w:rsidRPr="00274507">
        <w:rPr>
          <w:sz w:val="28"/>
          <w:szCs w:val="28"/>
        </w:rPr>
        <w:t xml:space="preserve"> los</w:t>
      </w:r>
      <w:r w:rsidRPr="00274507">
        <w:rPr>
          <w:sz w:val="28"/>
          <w:szCs w:val="28"/>
        </w:rPr>
        <w:t xml:space="preserve"> procedimientos, medicamentos o insumos ordenados por profesionales no suscritos y por interrupción de servicios por desempleo</w:t>
      </w:r>
      <w:r w:rsidRPr="00274507">
        <w:rPr>
          <w:rStyle w:val="Refdenotaalpie"/>
          <w:sz w:val="28"/>
          <w:szCs w:val="28"/>
        </w:rPr>
        <w:footnoteReference w:id="17"/>
      </w:r>
      <w:r w:rsidRPr="00274507">
        <w:rPr>
          <w:sz w:val="28"/>
          <w:szCs w:val="28"/>
        </w:rPr>
        <w:t>.</w:t>
      </w:r>
    </w:p>
    <w:p w:rsidR="008F1D10" w:rsidRPr="00274507" w:rsidRDefault="00727ED8" w:rsidP="00274507">
      <w:pPr>
        <w:pStyle w:val="Sinespaciado"/>
        <w:jc w:val="both"/>
        <w:rPr>
          <w:sz w:val="28"/>
          <w:szCs w:val="28"/>
        </w:rPr>
      </w:pPr>
      <w:r w:rsidRPr="00274507">
        <w:rPr>
          <w:sz w:val="28"/>
          <w:szCs w:val="28"/>
        </w:rPr>
        <w:t>Consideró que la metodología</w:t>
      </w:r>
      <w:r w:rsidR="00D227D0" w:rsidRPr="00274507">
        <w:rPr>
          <w:sz w:val="28"/>
          <w:szCs w:val="28"/>
        </w:rPr>
        <w:t xml:space="preserve"> utilizada</w:t>
      </w:r>
      <w:r w:rsidRPr="00274507">
        <w:rPr>
          <w:sz w:val="28"/>
          <w:szCs w:val="28"/>
        </w:rPr>
        <w:t xml:space="preserve"> no </w:t>
      </w:r>
      <w:r w:rsidR="00D227D0" w:rsidRPr="00274507">
        <w:rPr>
          <w:sz w:val="28"/>
          <w:szCs w:val="28"/>
        </w:rPr>
        <w:t>le permitió</w:t>
      </w:r>
      <w:r w:rsidRPr="00274507">
        <w:rPr>
          <w:sz w:val="28"/>
          <w:szCs w:val="28"/>
        </w:rPr>
        <w:t xml:space="preserve"> obtener un análisis completo y detallado del expediente de tutela </w:t>
      </w:r>
      <w:r w:rsidR="00D227D0" w:rsidRPr="00274507">
        <w:rPr>
          <w:sz w:val="28"/>
          <w:szCs w:val="28"/>
        </w:rPr>
        <w:t xml:space="preserve">para </w:t>
      </w:r>
      <w:r w:rsidRPr="00274507">
        <w:rPr>
          <w:sz w:val="28"/>
          <w:szCs w:val="28"/>
        </w:rPr>
        <w:t>conocer las circunstancias de orden administrativo, técnico, operativo y financie</w:t>
      </w:r>
      <w:r w:rsidR="00840E9A" w:rsidRPr="00274507">
        <w:rPr>
          <w:sz w:val="28"/>
          <w:szCs w:val="28"/>
        </w:rPr>
        <w:t>ro que rodearon cada petición</w:t>
      </w:r>
      <w:r w:rsidR="00D227D0" w:rsidRPr="00274507">
        <w:rPr>
          <w:sz w:val="28"/>
          <w:szCs w:val="28"/>
        </w:rPr>
        <w:t xml:space="preserve">. Como consecuencia, informó el cambio de la </w:t>
      </w:r>
      <w:r w:rsidRPr="00274507">
        <w:rPr>
          <w:sz w:val="28"/>
          <w:szCs w:val="28"/>
        </w:rPr>
        <w:t xml:space="preserve">metodología </w:t>
      </w:r>
      <w:r w:rsidR="00D227D0" w:rsidRPr="00274507">
        <w:rPr>
          <w:sz w:val="28"/>
          <w:szCs w:val="28"/>
        </w:rPr>
        <w:t xml:space="preserve">a través de </w:t>
      </w:r>
      <w:r w:rsidRPr="00274507">
        <w:rPr>
          <w:sz w:val="28"/>
          <w:szCs w:val="28"/>
        </w:rPr>
        <w:t xml:space="preserve">la técnica de “muestreo estratificado” </w:t>
      </w:r>
      <w:r w:rsidR="00D227D0" w:rsidRPr="00274507">
        <w:rPr>
          <w:sz w:val="28"/>
          <w:szCs w:val="28"/>
        </w:rPr>
        <w:t>y advirtió qu</w:t>
      </w:r>
      <w:r w:rsidRPr="00274507">
        <w:rPr>
          <w:sz w:val="28"/>
          <w:szCs w:val="28"/>
        </w:rPr>
        <w:t>e “</w:t>
      </w:r>
      <w:r w:rsidR="00D7478F" w:rsidRPr="00274507">
        <w:rPr>
          <w:i/>
          <w:sz w:val="28"/>
          <w:szCs w:val="28"/>
        </w:rPr>
        <w:t>…l</w:t>
      </w:r>
      <w:r w:rsidRPr="00274507">
        <w:rPr>
          <w:i/>
          <w:sz w:val="28"/>
          <w:szCs w:val="28"/>
        </w:rPr>
        <w:t>a muestra se distribuye como una encuesta continua a lo largo de las semanas del año, con lo cual se va acumulando la muestra para el periodo anual. De este modo, adicionalmente, se obtienen muestras mensuales con un nivel de confianza del 95% y errores del 10%”</w:t>
      </w:r>
      <w:r w:rsidRPr="00274507">
        <w:rPr>
          <w:rStyle w:val="Refdenotaalpie"/>
          <w:i/>
          <w:sz w:val="28"/>
          <w:szCs w:val="28"/>
        </w:rPr>
        <w:footnoteReference w:id="18"/>
      </w:r>
      <w:r w:rsidR="00D227D0" w:rsidRPr="00274507">
        <w:rPr>
          <w:sz w:val="28"/>
          <w:szCs w:val="28"/>
        </w:rPr>
        <w:t xml:space="preserve">, es decir, que los resultados podrían abarcar un mayor número de tutelas para analizar los casos con mayor certeza </w:t>
      </w:r>
      <w:r w:rsidR="00A74C04" w:rsidRPr="00274507">
        <w:rPr>
          <w:sz w:val="28"/>
          <w:szCs w:val="28"/>
        </w:rPr>
        <w:t>y veracidad en la medida</w:t>
      </w:r>
      <w:r w:rsidRPr="00274507">
        <w:rPr>
          <w:sz w:val="28"/>
          <w:szCs w:val="28"/>
        </w:rPr>
        <w:t xml:space="preserve">. </w:t>
      </w:r>
    </w:p>
    <w:p w:rsidR="00840E9A" w:rsidRPr="00274507" w:rsidRDefault="00840E9A" w:rsidP="00274507">
      <w:pPr>
        <w:pStyle w:val="Sinespaciado"/>
        <w:jc w:val="both"/>
        <w:rPr>
          <w:sz w:val="28"/>
          <w:szCs w:val="28"/>
        </w:rPr>
      </w:pPr>
    </w:p>
    <w:p w:rsidR="00E1729E" w:rsidRPr="00274507" w:rsidRDefault="008F1D10" w:rsidP="00274507">
      <w:pPr>
        <w:pStyle w:val="Sinespaciado"/>
        <w:jc w:val="both"/>
        <w:rPr>
          <w:sz w:val="28"/>
          <w:szCs w:val="28"/>
        </w:rPr>
      </w:pPr>
      <w:r w:rsidRPr="00274507">
        <w:rPr>
          <w:b/>
          <w:bCs/>
          <w:sz w:val="28"/>
          <w:szCs w:val="28"/>
        </w:rPr>
        <w:t>2.7</w:t>
      </w:r>
      <w:r w:rsidR="00E1729E" w:rsidRPr="00274507">
        <w:rPr>
          <w:b/>
          <w:bCs/>
          <w:sz w:val="28"/>
          <w:szCs w:val="28"/>
        </w:rPr>
        <w:t>.</w:t>
      </w:r>
      <w:r w:rsidR="00E1729E" w:rsidRPr="00274507">
        <w:rPr>
          <w:bCs/>
          <w:sz w:val="28"/>
          <w:szCs w:val="28"/>
        </w:rPr>
        <w:t xml:space="preserve"> El </w:t>
      </w:r>
      <w:r w:rsidR="00E1729E" w:rsidRPr="00274507">
        <w:rPr>
          <w:sz w:val="28"/>
          <w:szCs w:val="28"/>
        </w:rPr>
        <w:t>21 de agosto de 2015</w:t>
      </w:r>
      <w:r w:rsidR="00B931B6" w:rsidRPr="00274507">
        <w:rPr>
          <w:rStyle w:val="Refdenotaalpie"/>
          <w:sz w:val="28"/>
          <w:szCs w:val="28"/>
        </w:rPr>
        <w:footnoteReference w:id="19"/>
      </w:r>
      <w:r w:rsidR="00E1729E" w:rsidRPr="00274507">
        <w:rPr>
          <w:sz w:val="28"/>
          <w:szCs w:val="28"/>
        </w:rPr>
        <w:t xml:space="preserve"> </w:t>
      </w:r>
      <w:r w:rsidR="0040672B" w:rsidRPr="00274507">
        <w:rPr>
          <w:sz w:val="28"/>
          <w:szCs w:val="28"/>
        </w:rPr>
        <w:t xml:space="preserve">el ente regulador </w:t>
      </w:r>
      <w:r w:rsidR="00E1729E" w:rsidRPr="00274507">
        <w:rPr>
          <w:sz w:val="28"/>
          <w:szCs w:val="28"/>
        </w:rPr>
        <w:t>presentó el</w:t>
      </w:r>
      <w:r w:rsidR="00E1729E" w:rsidRPr="00274507">
        <w:rPr>
          <w:bCs/>
          <w:sz w:val="28"/>
          <w:szCs w:val="28"/>
        </w:rPr>
        <w:t xml:space="preserve"> documento</w:t>
      </w:r>
      <w:r w:rsidR="00E1729E" w:rsidRPr="00274507">
        <w:rPr>
          <w:sz w:val="28"/>
          <w:szCs w:val="28"/>
        </w:rPr>
        <w:t xml:space="preserve"> a través del cual recogió y contextualizó los problemas jurídicos que tratan la sentencia T-760 de 2008</w:t>
      </w:r>
      <w:r w:rsidR="00911B30" w:rsidRPr="00274507">
        <w:rPr>
          <w:sz w:val="28"/>
          <w:szCs w:val="28"/>
        </w:rPr>
        <w:t>,</w:t>
      </w:r>
      <w:r w:rsidR="00E1729E" w:rsidRPr="00274507">
        <w:rPr>
          <w:sz w:val="28"/>
          <w:szCs w:val="28"/>
        </w:rPr>
        <w:t xml:space="preserve"> a partir de una muestra representativa </w:t>
      </w:r>
      <w:r w:rsidR="00A74C04" w:rsidRPr="00274507">
        <w:rPr>
          <w:sz w:val="28"/>
          <w:szCs w:val="28"/>
        </w:rPr>
        <w:t xml:space="preserve">obtenida </w:t>
      </w:r>
      <w:r w:rsidR="00E1729E" w:rsidRPr="00274507">
        <w:rPr>
          <w:sz w:val="28"/>
          <w:szCs w:val="28"/>
        </w:rPr>
        <w:t>de casos seleccionados de la base de dat</w:t>
      </w:r>
      <w:r w:rsidR="00A74C04" w:rsidRPr="00274507">
        <w:rPr>
          <w:sz w:val="28"/>
          <w:szCs w:val="28"/>
        </w:rPr>
        <w:t>os de la Corte Constitucional. En ese orden, r</w:t>
      </w:r>
      <w:r w:rsidR="00E1729E" w:rsidRPr="00274507">
        <w:rPr>
          <w:sz w:val="28"/>
          <w:szCs w:val="28"/>
        </w:rPr>
        <w:t>ecopiló y sistematizó 2.</w:t>
      </w:r>
      <w:r w:rsidR="00A74C04" w:rsidRPr="00274507">
        <w:rPr>
          <w:sz w:val="28"/>
          <w:szCs w:val="28"/>
        </w:rPr>
        <w:t xml:space="preserve">289 expedientes durante 8 meses. Presentó </w:t>
      </w:r>
      <w:r w:rsidR="00E1729E" w:rsidRPr="00274507">
        <w:rPr>
          <w:sz w:val="28"/>
          <w:szCs w:val="28"/>
        </w:rPr>
        <w:t>el informe en cuatro secciones, así: i) selección de la muestra y las variables que fueron extractadas de los expedientes para consolidar la base de datos analizada; ii) análisis general de las tutelas en salud referentes a la violación del derecho a la</w:t>
      </w:r>
      <w:r w:rsidR="00911B30" w:rsidRPr="00274507">
        <w:rPr>
          <w:sz w:val="28"/>
          <w:szCs w:val="28"/>
        </w:rPr>
        <w:t xml:space="preserve"> salud, además, trajo un estudio</w:t>
      </w:r>
      <w:r w:rsidR="00E1729E" w:rsidRPr="00274507">
        <w:rPr>
          <w:sz w:val="28"/>
          <w:szCs w:val="28"/>
        </w:rPr>
        <w:t xml:space="preserve"> descriptivo más detallado de las tutelas que hacen parte de la muestra y lo relacionó con los problemas jurídicos mencionados por la sentencia T-760 de 2008; iii) las medidas adoptadas durante la vigencia del 2014, con el fin de abordar las causas que explican el fenómeno de la tutela en salud y; iv) las lim</w:t>
      </w:r>
      <w:r w:rsidR="00911B30" w:rsidRPr="00274507">
        <w:rPr>
          <w:sz w:val="28"/>
          <w:szCs w:val="28"/>
        </w:rPr>
        <w:t>itaciones y fortalezas de este reporte</w:t>
      </w:r>
      <w:r w:rsidR="00E1729E" w:rsidRPr="00274507">
        <w:rPr>
          <w:sz w:val="28"/>
          <w:szCs w:val="28"/>
        </w:rPr>
        <w:t>, respecto a los informes de cumplimiento presentados en años anteriores.</w:t>
      </w:r>
    </w:p>
    <w:p w:rsidR="00E1729E" w:rsidRPr="00274507" w:rsidRDefault="00E1729E" w:rsidP="00274507">
      <w:pPr>
        <w:pStyle w:val="Sinespaciado"/>
        <w:jc w:val="both"/>
        <w:rPr>
          <w:sz w:val="28"/>
          <w:szCs w:val="28"/>
          <w:lang w:val="es-ES"/>
        </w:rPr>
      </w:pPr>
    </w:p>
    <w:p w:rsidR="00E1729E" w:rsidRPr="00274507" w:rsidRDefault="00E1729E" w:rsidP="00274507">
      <w:pPr>
        <w:pStyle w:val="Sinespaciado"/>
        <w:jc w:val="both"/>
        <w:rPr>
          <w:sz w:val="28"/>
          <w:szCs w:val="28"/>
          <w:lang w:val="es-ES"/>
        </w:rPr>
      </w:pPr>
      <w:r w:rsidRPr="00274507">
        <w:rPr>
          <w:sz w:val="28"/>
          <w:szCs w:val="28"/>
          <w:lang w:val="es-ES"/>
        </w:rPr>
        <w:t xml:space="preserve">De los resultados </w:t>
      </w:r>
      <w:r w:rsidR="002E5F57" w:rsidRPr="00274507">
        <w:rPr>
          <w:sz w:val="28"/>
          <w:szCs w:val="28"/>
          <w:lang w:val="es-ES"/>
        </w:rPr>
        <w:t>sostuvo</w:t>
      </w:r>
      <w:r w:rsidRPr="00274507">
        <w:rPr>
          <w:sz w:val="28"/>
          <w:szCs w:val="28"/>
          <w:lang w:val="es-ES"/>
        </w:rPr>
        <w:t xml:space="preserve"> que de las 2.289 tutelas analizadas, 223 (9.7%) no estaban relacionadas con el derecho a la salud</w:t>
      </w:r>
      <w:r w:rsidRPr="00274507">
        <w:rPr>
          <w:rStyle w:val="Refdenotaalpie"/>
          <w:sz w:val="28"/>
          <w:szCs w:val="28"/>
          <w:lang w:val="es-ES"/>
        </w:rPr>
        <w:footnoteReference w:id="20"/>
      </w:r>
      <w:r w:rsidRPr="00274507">
        <w:rPr>
          <w:sz w:val="28"/>
          <w:szCs w:val="28"/>
          <w:lang w:val="es-ES"/>
        </w:rPr>
        <w:t xml:space="preserve">, por lo que se consolidó una base de 2.041 expedientes, de las que reconoció los servicios </w:t>
      </w:r>
      <w:r w:rsidR="00B931B6" w:rsidRPr="00274507">
        <w:rPr>
          <w:sz w:val="28"/>
          <w:szCs w:val="28"/>
          <w:lang w:val="es-ES"/>
        </w:rPr>
        <w:t>n</w:t>
      </w:r>
      <w:r w:rsidRPr="00274507">
        <w:rPr>
          <w:sz w:val="28"/>
          <w:szCs w:val="28"/>
          <w:lang w:val="es-ES"/>
        </w:rPr>
        <w:t>o Pos con el 73%, correspondiendo el 47% al régimen contributivo, el 34% al subsidiado y el 19% al especial</w:t>
      </w:r>
      <w:r w:rsidRPr="00274507">
        <w:rPr>
          <w:rStyle w:val="Refdenotaalpie"/>
          <w:sz w:val="28"/>
          <w:szCs w:val="28"/>
          <w:lang w:val="es-ES"/>
        </w:rPr>
        <w:footnoteReference w:id="21"/>
      </w:r>
      <w:r w:rsidRPr="00274507">
        <w:rPr>
          <w:sz w:val="28"/>
          <w:szCs w:val="28"/>
          <w:lang w:val="es-ES"/>
        </w:rPr>
        <w:t>.  Señaló que el uso de la acción de tutela es un fenómeno que está llegando a “</w:t>
      </w:r>
      <w:r w:rsidRPr="00274507">
        <w:rPr>
          <w:i/>
          <w:sz w:val="28"/>
          <w:szCs w:val="28"/>
          <w:lang w:val="es-ES"/>
        </w:rPr>
        <w:t>su punto de quiebre</w:t>
      </w:r>
      <w:r w:rsidRPr="00274507">
        <w:rPr>
          <w:sz w:val="28"/>
          <w:szCs w:val="28"/>
          <w:lang w:val="es-ES"/>
        </w:rPr>
        <w:t>”, en especial cuando se compara con las tutelas en general ya que para el 2012 el 26,9% de estas trataban sobre temas de salud y para el 2014 solo el 23,6%</w:t>
      </w:r>
      <w:r w:rsidR="00A74C04" w:rsidRPr="00274507">
        <w:rPr>
          <w:sz w:val="28"/>
          <w:szCs w:val="28"/>
          <w:lang w:val="es-ES"/>
        </w:rPr>
        <w:t xml:space="preserve"> referían al mismo</w:t>
      </w:r>
      <w:r w:rsidRPr="00274507">
        <w:rPr>
          <w:sz w:val="28"/>
          <w:szCs w:val="28"/>
          <w:lang w:val="es-ES"/>
        </w:rPr>
        <w:t xml:space="preserve">. </w:t>
      </w:r>
    </w:p>
    <w:p w:rsidR="00E1729E" w:rsidRPr="00274507" w:rsidRDefault="00E1729E" w:rsidP="00274507">
      <w:pPr>
        <w:pStyle w:val="Sinespaciado"/>
        <w:jc w:val="both"/>
        <w:rPr>
          <w:sz w:val="28"/>
          <w:szCs w:val="28"/>
          <w:lang w:val="es-ES"/>
        </w:rPr>
      </w:pPr>
    </w:p>
    <w:p w:rsidR="00911B30" w:rsidRPr="00274507" w:rsidRDefault="00E1729E" w:rsidP="00274507">
      <w:pPr>
        <w:tabs>
          <w:tab w:val="left" w:pos="1800"/>
        </w:tabs>
        <w:overflowPunct w:val="0"/>
        <w:autoSpaceDE w:val="0"/>
        <w:autoSpaceDN w:val="0"/>
        <w:adjustRightInd w:val="0"/>
        <w:ind w:right="-40"/>
        <w:jc w:val="both"/>
        <w:rPr>
          <w:sz w:val="28"/>
          <w:szCs w:val="28"/>
        </w:rPr>
      </w:pPr>
      <w:r w:rsidRPr="00274507">
        <w:rPr>
          <w:b/>
          <w:bCs/>
          <w:sz w:val="28"/>
          <w:szCs w:val="28"/>
        </w:rPr>
        <w:t>2.</w:t>
      </w:r>
      <w:r w:rsidR="008F1D10" w:rsidRPr="00274507">
        <w:rPr>
          <w:b/>
          <w:bCs/>
          <w:sz w:val="28"/>
          <w:szCs w:val="28"/>
        </w:rPr>
        <w:t>8.</w:t>
      </w:r>
      <w:r w:rsidRPr="00274507">
        <w:rPr>
          <w:b/>
          <w:bCs/>
          <w:sz w:val="28"/>
          <w:szCs w:val="28"/>
        </w:rPr>
        <w:t xml:space="preserve"> </w:t>
      </w:r>
      <w:r w:rsidRPr="00274507">
        <w:rPr>
          <w:bCs/>
          <w:sz w:val="28"/>
          <w:szCs w:val="28"/>
        </w:rPr>
        <w:t xml:space="preserve">El Ministerio de Salud allegó tres informes respecto del trabajo de recolección adelantado para el </w:t>
      </w:r>
      <w:r w:rsidR="00911B30" w:rsidRPr="00274507">
        <w:rPr>
          <w:bCs/>
          <w:sz w:val="28"/>
          <w:szCs w:val="28"/>
        </w:rPr>
        <w:t xml:space="preserve">octavo </w:t>
      </w:r>
      <w:r w:rsidRPr="00274507">
        <w:rPr>
          <w:bCs/>
          <w:sz w:val="28"/>
          <w:szCs w:val="28"/>
        </w:rPr>
        <w:t xml:space="preserve">análisis </w:t>
      </w:r>
      <w:r w:rsidR="00911B30" w:rsidRPr="00274507">
        <w:rPr>
          <w:bCs/>
          <w:sz w:val="28"/>
          <w:szCs w:val="28"/>
        </w:rPr>
        <w:t>que contenía el resultado de las tutelas incoadas para el año 2015. E</w:t>
      </w:r>
      <w:r w:rsidRPr="00274507">
        <w:rPr>
          <w:bCs/>
          <w:sz w:val="28"/>
          <w:szCs w:val="28"/>
        </w:rPr>
        <w:t xml:space="preserve">l primero con fecha de </w:t>
      </w:r>
      <w:r w:rsidRPr="00274507">
        <w:rPr>
          <w:sz w:val="28"/>
          <w:szCs w:val="28"/>
        </w:rPr>
        <w:t>1º de febrero</w:t>
      </w:r>
      <w:r w:rsidR="00B931B6" w:rsidRPr="00274507">
        <w:rPr>
          <w:rStyle w:val="Refdenotaalpie"/>
          <w:sz w:val="28"/>
          <w:szCs w:val="28"/>
        </w:rPr>
        <w:footnoteReference w:id="22"/>
      </w:r>
      <w:r w:rsidR="00911B30" w:rsidRPr="00274507">
        <w:rPr>
          <w:sz w:val="28"/>
          <w:szCs w:val="28"/>
        </w:rPr>
        <w:t xml:space="preserve"> de 2016</w:t>
      </w:r>
      <w:r w:rsidRPr="00274507">
        <w:rPr>
          <w:sz w:val="28"/>
          <w:szCs w:val="28"/>
        </w:rPr>
        <w:t xml:space="preserve"> </w:t>
      </w:r>
      <w:r w:rsidRPr="00274507">
        <w:rPr>
          <w:bCs/>
          <w:sz w:val="28"/>
          <w:szCs w:val="28"/>
        </w:rPr>
        <w:t>referido como o</w:t>
      </w:r>
      <w:r w:rsidRPr="00274507">
        <w:rPr>
          <w:sz w:val="28"/>
          <w:szCs w:val="28"/>
        </w:rPr>
        <w:t>ctavo informe parcial, en el que describ</w:t>
      </w:r>
      <w:r w:rsidR="00A74C04" w:rsidRPr="00274507">
        <w:rPr>
          <w:sz w:val="28"/>
          <w:szCs w:val="28"/>
        </w:rPr>
        <w:t>ió</w:t>
      </w:r>
      <w:r w:rsidRPr="00274507">
        <w:rPr>
          <w:sz w:val="28"/>
          <w:szCs w:val="28"/>
        </w:rPr>
        <w:t xml:space="preserve"> la implementación de la metodología de “</w:t>
      </w:r>
      <w:r w:rsidRPr="00274507">
        <w:rPr>
          <w:i/>
          <w:sz w:val="28"/>
          <w:szCs w:val="28"/>
        </w:rPr>
        <w:t>muestreo probabilístico estratificado</w:t>
      </w:r>
      <w:r w:rsidRPr="00274507">
        <w:rPr>
          <w:sz w:val="28"/>
          <w:szCs w:val="28"/>
        </w:rPr>
        <w:t>”</w:t>
      </w:r>
      <w:r w:rsidR="00911B30" w:rsidRPr="00274507">
        <w:rPr>
          <w:sz w:val="28"/>
          <w:szCs w:val="28"/>
        </w:rPr>
        <w:t xml:space="preserve"> y los resultados preliminares. E</w:t>
      </w:r>
      <w:r w:rsidRPr="00274507">
        <w:rPr>
          <w:sz w:val="28"/>
          <w:szCs w:val="28"/>
        </w:rPr>
        <w:t>l segundo</w:t>
      </w:r>
      <w:r w:rsidR="00B931B6" w:rsidRPr="00274507">
        <w:rPr>
          <w:sz w:val="28"/>
          <w:szCs w:val="28"/>
        </w:rPr>
        <w:t xml:space="preserve"> de  9 de junio</w:t>
      </w:r>
      <w:r w:rsidR="00B931B6" w:rsidRPr="00274507">
        <w:rPr>
          <w:rStyle w:val="Refdenotaalpie"/>
          <w:sz w:val="28"/>
          <w:szCs w:val="28"/>
        </w:rPr>
        <w:footnoteReference w:id="23"/>
      </w:r>
      <w:r w:rsidR="00B931B6" w:rsidRPr="00274507">
        <w:rPr>
          <w:sz w:val="28"/>
          <w:szCs w:val="28"/>
        </w:rPr>
        <w:t xml:space="preserve"> </w:t>
      </w:r>
      <w:r w:rsidR="00911B30" w:rsidRPr="00274507">
        <w:rPr>
          <w:sz w:val="28"/>
          <w:szCs w:val="28"/>
        </w:rPr>
        <w:t xml:space="preserve">de 2016 </w:t>
      </w:r>
      <w:r w:rsidRPr="00274507">
        <w:rPr>
          <w:sz w:val="28"/>
          <w:szCs w:val="28"/>
        </w:rPr>
        <w:t>que recoge “</w:t>
      </w:r>
      <w:r w:rsidRPr="00274507">
        <w:rPr>
          <w:i/>
          <w:sz w:val="28"/>
          <w:szCs w:val="28"/>
        </w:rPr>
        <w:t>en términos de medidas, resultados y avances, la gestión realizada por parte de este Ministerio frente a la orden trigésima y evidenciar el grado de cumplimiento de la misma</w:t>
      </w:r>
      <w:r w:rsidR="00911B30" w:rsidRPr="00274507">
        <w:rPr>
          <w:sz w:val="28"/>
          <w:szCs w:val="28"/>
        </w:rPr>
        <w:t xml:space="preserve">” </w:t>
      </w:r>
      <w:r w:rsidRPr="00274507">
        <w:rPr>
          <w:sz w:val="28"/>
          <w:szCs w:val="28"/>
        </w:rPr>
        <w:t>y el tercero de 1º de agosto de 2016</w:t>
      </w:r>
      <w:r w:rsidR="00725789" w:rsidRPr="00274507">
        <w:rPr>
          <w:rStyle w:val="Refdenotaalpie"/>
          <w:sz w:val="28"/>
          <w:szCs w:val="28"/>
        </w:rPr>
        <w:footnoteReference w:id="24"/>
      </w:r>
      <w:r w:rsidRPr="00274507">
        <w:rPr>
          <w:sz w:val="28"/>
          <w:szCs w:val="28"/>
        </w:rPr>
        <w:t xml:space="preserve"> referente al informe </w:t>
      </w:r>
      <w:r w:rsidR="00B46C50" w:rsidRPr="00274507">
        <w:rPr>
          <w:sz w:val="28"/>
          <w:szCs w:val="28"/>
        </w:rPr>
        <w:t>octavo completo respecto de</w:t>
      </w:r>
      <w:r w:rsidRPr="00274507">
        <w:rPr>
          <w:sz w:val="28"/>
          <w:szCs w:val="28"/>
        </w:rPr>
        <w:t xml:space="preserve"> medición de tutela del año 2015. </w:t>
      </w:r>
      <w:r w:rsidR="00F55E3F" w:rsidRPr="00274507">
        <w:rPr>
          <w:sz w:val="28"/>
          <w:szCs w:val="28"/>
        </w:rPr>
        <w:t>De los cuales se advierten los siguientes aspectos:</w:t>
      </w:r>
    </w:p>
    <w:p w:rsidR="00911B30" w:rsidRPr="00274507" w:rsidRDefault="00911B30" w:rsidP="00274507">
      <w:pPr>
        <w:tabs>
          <w:tab w:val="left" w:pos="1800"/>
        </w:tabs>
        <w:overflowPunct w:val="0"/>
        <w:autoSpaceDE w:val="0"/>
        <w:autoSpaceDN w:val="0"/>
        <w:adjustRightInd w:val="0"/>
        <w:ind w:right="-40"/>
        <w:jc w:val="both"/>
        <w:rPr>
          <w:sz w:val="28"/>
          <w:szCs w:val="28"/>
        </w:rPr>
      </w:pPr>
    </w:p>
    <w:p w:rsidR="00B46C50" w:rsidRPr="00274507" w:rsidRDefault="00F55E3F" w:rsidP="00274507">
      <w:pPr>
        <w:tabs>
          <w:tab w:val="left" w:pos="1800"/>
        </w:tabs>
        <w:overflowPunct w:val="0"/>
        <w:autoSpaceDE w:val="0"/>
        <w:autoSpaceDN w:val="0"/>
        <w:adjustRightInd w:val="0"/>
        <w:ind w:right="-40"/>
        <w:jc w:val="both"/>
        <w:rPr>
          <w:sz w:val="28"/>
          <w:szCs w:val="28"/>
        </w:rPr>
      </w:pPr>
      <w:r w:rsidRPr="00274507">
        <w:rPr>
          <w:sz w:val="28"/>
          <w:szCs w:val="28"/>
        </w:rPr>
        <w:t>i)</w:t>
      </w:r>
      <w:r w:rsidR="00B46C50" w:rsidRPr="00274507">
        <w:rPr>
          <w:sz w:val="28"/>
          <w:szCs w:val="28"/>
        </w:rPr>
        <w:t xml:space="preserve"> E</w:t>
      </w:r>
      <w:r w:rsidR="00D3763E" w:rsidRPr="00274507">
        <w:rPr>
          <w:sz w:val="28"/>
          <w:szCs w:val="28"/>
        </w:rPr>
        <w:t>xpuso</w:t>
      </w:r>
      <w:r w:rsidR="00E1729E" w:rsidRPr="00274507">
        <w:rPr>
          <w:sz w:val="28"/>
          <w:szCs w:val="28"/>
        </w:rPr>
        <w:t xml:space="preserve"> que para obtener el tam</w:t>
      </w:r>
      <w:r w:rsidR="00911B30" w:rsidRPr="00274507">
        <w:rPr>
          <w:sz w:val="28"/>
          <w:szCs w:val="28"/>
        </w:rPr>
        <w:t xml:space="preserve">año de la muestra del año 2015 </w:t>
      </w:r>
      <w:r w:rsidR="00E1729E" w:rsidRPr="00274507">
        <w:rPr>
          <w:sz w:val="28"/>
          <w:szCs w:val="28"/>
        </w:rPr>
        <w:t>se seleccionaron 150 tutelas por semana, para un total anual de 6000, pero por circunstancias logísticas se cotejaron 5.418, información que fue recolectada a través de un formato estandarizado diseñado para responder cuatro preguntas en cada uno de los expedi</w:t>
      </w:r>
      <w:r w:rsidR="00D3763E" w:rsidRPr="00274507">
        <w:rPr>
          <w:sz w:val="28"/>
          <w:szCs w:val="28"/>
        </w:rPr>
        <w:t xml:space="preserve">entes. </w:t>
      </w:r>
    </w:p>
    <w:p w:rsidR="00B46C50" w:rsidRPr="00274507" w:rsidRDefault="00B46C50" w:rsidP="00274507">
      <w:pPr>
        <w:tabs>
          <w:tab w:val="left" w:pos="1800"/>
        </w:tabs>
        <w:overflowPunct w:val="0"/>
        <w:autoSpaceDE w:val="0"/>
        <w:autoSpaceDN w:val="0"/>
        <w:adjustRightInd w:val="0"/>
        <w:ind w:right="-40"/>
        <w:jc w:val="both"/>
        <w:rPr>
          <w:sz w:val="28"/>
          <w:szCs w:val="28"/>
        </w:rPr>
      </w:pPr>
    </w:p>
    <w:p w:rsidR="00E1729E" w:rsidRPr="00274507" w:rsidRDefault="00B46C50" w:rsidP="00274507">
      <w:pPr>
        <w:tabs>
          <w:tab w:val="left" w:pos="1800"/>
        </w:tabs>
        <w:overflowPunct w:val="0"/>
        <w:autoSpaceDE w:val="0"/>
        <w:autoSpaceDN w:val="0"/>
        <w:adjustRightInd w:val="0"/>
        <w:ind w:right="-40"/>
        <w:jc w:val="both"/>
        <w:rPr>
          <w:sz w:val="28"/>
          <w:szCs w:val="28"/>
        </w:rPr>
      </w:pPr>
      <w:r w:rsidRPr="00274507">
        <w:rPr>
          <w:sz w:val="28"/>
          <w:szCs w:val="28"/>
        </w:rPr>
        <w:t xml:space="preserve">ii) </w:t>
      </w:r>
      <w:r w:rsidR="00E1729E" w:rsidRPr="00274507">
        <w:rPr>
          <w:sz w:val="28"/>
          <w:szCs w:val="28"/>
        </w:rPr>
        <w:t>Por otra parte, realizó un estudio por departamentos en el que resaltó que para el 2015 fueron interpuestas aproximadamente 150.728 tutelas en salud, en las</w:t>
      </w:r>
      <w:r w:rsidRPr="00274507">
        <w:rPr>
          <w:sz w:val="28"/>
          <w:szCs w:val="28"/>
        </w:rPr>
        <w:t xml:space="preserve"> que el departamento de Caldas fue</w:t>
      </w:r>
      <w:r w:rsidR="00E1729E" w:rsidRPr="00274507">
        <w:rPr>
          <w:sz w:val="28"/>
          <w:szCs w:val="28"/>
        </w:rPr>
        <w:t xml:space="preserve"> el territorio </w:t>
      </w:r>
      <w:r w:rsidRPr="00274507">
        <w:rPr>
          <w:sz w:val="28"/>
          <w:szCs w:val="28"/>
        </w:rPr>
        <w:t>que tuvo</w:t>
      </w:r>
      <w:r w:rsidR="00E1729E" w:rsidRPr="00274507">
        <w:rPr>
          <w:sz w:val="28"/>
          <w:szCs w:val="28"/>
        </w:rPr>
        <w:t xml:space="preserve"> mayor participación</w:t>
      </w:r>
      <w:r w:rsidRPr="00274507">
        <w:rPr>
          <w:sz w:val="28"/>
          <w:szCs w:val="28"/>
        </w:rPr>
        <w:t xml:space="preserve"> con</w:t>
      </w:r>
      <w:r w:rsidR="00E1729E" w:rsidRPr="00274507">
        <w:rPr>
          <w:sz w:val="28"/>
          <w:szCs w:val="28"/>
        </w:rPr>
        <w:t xml:space="preserve"> 9.6 tutelas interpuestas por cada 1</w:t>
      </w:r>
      <w:r w:rsidR="00725789" w:rsidRPr="00274507">
        <w:rPr>
          <w:sz w:val="28"/>
          <w:szCs w:val="28"/>
        </w:rPr>
        <w:t>.</w:t>
      </w:r>
      <w:r w:rsidR="00E1729E" w:rsidRPr="00274507">
        <w:rPr>
          <w:sz w:val="28"/>
          <w:szCs w:val="28"/>
        </w:rPr>
        <w:t>000 habitantes, seguido de Risaralda 6.6 y Quindío 6.4.</w:t>
      </w:r>
    </w:p>
    <w:p w:rsidR="004B5F23" w:rsidRPr="00274507" w:rsidRDefault="004B5F23" w:rsidP="00274507">
      <w:pPr>
        <w:jc w:val="both"/>
        <w:rPr>
          <w:sz w:val="28"/>
          <w:szCs w:val="28"/>
        </w:rPr>
      </w:pPr>
    </w:p>
    <w:p w:rsidR="00E1729E" w:rsidRPr="00274507" w:rsidRDefault="00F55E3F" w:rsidP="00274507">
      <w:pPr>
        <w:jc w:val="both"/>
        <w:rPr>
          <w:sz w:val="28"/>
          <w:szCs w:val="28"/>
        </w:rPr>
      </w:pPr>
      <w:r w:rsidRPr="00274507">
        <w:rPr>
          <w:sz w:val="28"/>
          <w:szCs w:val="28"/>
        </w:rPr>
        <w:t>ii</w:t>
      </w:r>
      <w:r w:rsidR="00B46C50" w:rsidRPr="00274507">
        <w:rPr>
          <w:sz w:val="28"/>
          <w:szCs w:val="28"/>
        </w:rPr>
        <w:t>i</w:t>
      </w:r>
      <w:r w:rsidRPr="00274507">
        <w:rPr>
          <w:sz w:val="28"/>
          <w:szCs w:val="28"/>
        </w:rPr>
        <w:t xml:space="preserve">) </w:t>
      </w:r>
      <w:r w:rsidR="00E1729E" w:rsidRPr="00274507">
        <w:rPr>
          <w:sz w:val="28"/>
          <w:szCs w:val="28"/>
        </w:rPr>
        <w:t>Además, detalló el número de tutelas aproximadas en relación</w:t>
      </w:r>
      <w:r w:rsidR="00BA1CFC" w:rsidRPr="00274507">
        <w:rPr>
          <w:sz w:val="28"/>
          <w:szCs w:val="28"/>
        </w:rPr>
        <w:t xml:space="preserve"> con el lugar de residencia</w:t>
      </w:r>
      <w:r w:rsidR="00BA1CFC" w:rsidRPr="00274507">
        <w:rPr>
          <w:rStyle w:val="Refdenotaalpie"/>
          <w:sz w:val="28"/>
          <w:szCs w:val="28"/>
        </w:rPr>
        <w:footnoteReference w:id="25"/>
      </w:r>
      <w:r w:rsidR="00BA1CFC" w:rsidRPr="00274507">
        <w:rPr>
          <w:sz w:val="28"/>
          <w:szCs w:val="28"/>
        </w:rPr>
        <w:t>, encontrando</w:t>
      </w:r>
      <w:r w:rsidR="00E1729E" w:rsidRPr="00274507">
        <w:rPr>
          <w:sz w:val="28"/>
          <w:szCs w:val="28"/>
        </w:rPr>
        <w:t xml:space="preserve"> que en los departamentos que más </w:t>
      </w:r>
      <w:r w:rsidR="000139A4" w:rsidRPr="00274507">
        <w:rPr>
          <w:sz w:val="28"/>
          <w:szCs w:val="28"/>
        </w:rPr>
        <w:t xml:space="preserve">se </w:t>
      </w:r>
      <w:r w:rsidR="00E1729E" w:rsidRPr="00274507">
        <w:rPr>
          <w:sz w:val="28"/>
          <w:szCs w:val="28"/>
        </w:rPr>
        <w:t xml:space="preserve">interpusieron </w:t>
      </w:r>
      <w:r w:rsidR="000139A4" w:rsidRPr="00274507">
        <w:rPr>
          <w:sz w:val="28"/>
          <w:szCs w:val="28"/>
        </w:rPr>
        <w:t xml:space="preserve">acciones de </w:t>
      </w:r>
      <w:r w:rsidR="00911B30" w:rsidRPr="00274507">
        <w:rPr>
          <w:sz w:val="28"/>
          <w:szCs w:val="28"/>
        </w:rPr>
        <w:t>tutelas fueron</w:t>
      </w:r>
      <w:r w:rsidR="00E1729E" w:rsidRPr="00274507">
        <w:rPr>
          <w:sz w:val="28"/>
          <w:szCs w:val="28"/>
        </w:rPr>
        <w:t xml:space="preserve"> Antioquia con el 21,6%, Valle del Cauca con el 11</w:t>
      </w:r>
      <w:r w:rsidR="000139A4" w:rsidRPr="00274507">
        <w:rPr>
          <w:sz w:val="28"/>
          <w:szCs w:val="28"/>
        </w:rPr>
        <w:t>,</w:t>
      </w:r>
      <w:r w:rsidR="00911B30" w:rsidRPr="00274507">
        <w:rPr>
          <w:sz w:val="28"/>
          <w:szCs w:val="28"/>
        </w:rPr>
        <w:t>9% y Bogotá con el 11,4%. E</w:t>
      </w:r>
      <w:r w:rsidR="00E1729E" w:rsidRPr="00274507">
        <w:rPr>
          <w:sz w:val="28"/>
          <w:szCs w:val="28"/>
        </w:rPr>
        <w:t>specificó que de los 1.123 Municipios de Colombia en 408 tuvo lugar la acción</w:t>
      </w:r>
      <w:r w:rsidR="00DF242B" w:rsidRPr="00274507">
        <w:rPr>
          <w:sz w:val="28"/>
          <w:szCs w:val="28"/>
        </w:rPr>
        <w:t xml:space="preserve"> de tutela de las cuales </w:t>
      </w:r>
      <w:r w:rsidR="00E1729E" w:rsidRPr="00274507">
        <w:rPr>
          <w:sz w:val="28"/>
          <w:szCs w:val="28"/>
        </w:rPr>
        <w:t>el  63,9%</w:t>
      </w:r>
      <w:r w:rsidR="00DF242B" w:rsidRPr="00274507">
        <w:rPr>
          <w:sz w:val="28"/>
          <w:szCs w:val="28"/>
        </w:rPr>
        <w:t xml:space="preserve"> estuvo</w:t>
      </w:r>
      <w:r w:rsidR="00E1729E" w:rsidRPr="00274507">
        <w:rPr>
          <w:sz w:val="28"/>
          <w:szCs w:val="28"/>
        </w:rPr>
        <w:t xml:space="preserve"> </w:t>
      </w:r>
      <w:r w:rsidR="00911B30" w:rsidRPr="00274507">
        <w:rPr>
          <w:sz w:val="28"/>
          <w:szCs w:val="28"/>
        </w:rPr>
        <w:t>representada</w:t>
      </w:r>
      <w:r w:rsidR="00DF242B" w:rsidRPr="00274507">
        <w:rPr>
          <w:sz w:val="28"/>
          <w:szCs w:val="28"/>
        </w:rPr>
        <w:t xml:space="preserve"> por Municipios de Antioquia, con </w:t>
      </w:r>
      <w:r w:rsidR="00E1729E" w:rsidRPr="00274507">
        <w:rPr>
          <w:sz w:val="28"/>
          <w:szCs w:val="28"/>
        </w:rPr>
        <w:t>más de 1</w:t>
      </w:r>
      <w:r w:rsidR="000139A4" w:rsidRPr="00274507">
        <w:rPr>
          <w:sz w:val="28"/>
          <w:szCs w:val="28"/>
        </w:rPr>
        <w:t>.</w:t>
      </w:r>
      <w:r w:rsidR="00E1729E" w:rsidRPr="00274507">
        <w:rPr>
          <w:sz w:val="28"/>
          <w:szCs w:val="28"/>
        </w:rPr>
        <w:t>500 tutelas.</w:t>
      </w:r>
    </w:p>
    <w:p w:rsidR="00831DB5" w:rsidRPr="00274507" w:rsidRDefault="00831DB5" w:rsidP="00274507">
      <w:pPr>
        <w:jc w:val="both"/>
        <w:rPr>
          <w:sz w:val="28"/>
          <w:szCs w:val="28"/>
        </w:rPr>
      </w:pPr>
    </w:p>
    <w:p w:rsidR="00E1729E" w:rsidRPr="00274507" w:rsidRDefault="00B46C50" w:rsidP="00274507">
      <w:pPr>
        <w:jc w:val="both"/>
        <w:rPr>
          <w:sz w:val="28"/>
          <w:szCs w:val="28"/>
        </w:rPr>
      </w:pPr>
      <w:r w:rsidRPr="00274507">
        <w:rPr>
          <w:sz w:val="28"/>
          <w:szCs w:val="28"/>
        </w:rPr>
        <w:t>iv</w:t>
      </w:r>
      <w:r w:rsidR="00F55E3F" w:rsidRPr="00274507">
        <w:rPr>
          <w:sz w:val="28"/>
          <w:szCs w:val="28"/>
        </w:rPr>
        <w:t xml:space="preserve">) </w:t>
      </w:r>
      <w:r w:rsidR="00E1729E" w:rsidRPr="00274507">
        <w:rPr>
          <w:sz w:val="28"/>
          <w:szCs w:val="28"/>
        </w:rPr>
        <w:t xml:space="preserve">Añadió que </w:t>
      </w:r>
      <w:r w:rsidRPr="00274507">
        <w:rPr>
          <w:sz w:val="28"/>
          <w:szCs w:val="28"/>
        </w:rPr>
        <w:t xml:space="preserve">la mayoría de las acciones </w:t>
      </w:r>
      <w:r w:rsidR="007D0FDB" w:rsidRPr="00274507">
        <w:rPr>
          <w:sz w:val="28"/>
          <w:szCs w:val="28"/>
        </w:rPr>
        <w:t>s</w:t>
      </w:r>
      <w:r w:rsidRPr="00274507">
        <w:rPr>
          <w:sz w:val="28"/>
          <w:szCs w:val="28"/>
        </w:rPr>
        <w:t>e interpu</w:t>
      </w:r>
      <w:r w:rsidR="00E1729E" w:rsidRPr="00274507">
        <w:rPr>
          <w:sz w:val="28"/>
          <w:szCs w:val="28"/>
        </w:rPr>
        <w:t>s</w:t>
      </w:r>
      <w:r w:rsidRPr="00274507">
        <w:rPr>
          <w:sz w:val="28"/>
          <w:szCs w:val="28"/>
        </w:rPr>
        <w:t>ieron</w:t>
      </w:r>
      <w:r w:rsidR="00E1729E" w:rsidRPr="00274507">
        <w:rPr>
          <w:sz w:val="28"/>
          <w:szCs w:val="28"/>
        </w:rPr>
        <w:t xml:space="preserve"> contra las EPS en un margen del 83,2%</w:t>
      </w:r>
      <w:r w:rsidR="00911B30" w:rsidRPr="00274507">
        <w:rPr>
          <w:sz w:val="28"/>
          <w:szCs w:val="28"/>
        </w:rPr>
        <w:t>. P</w:t>
      </w:r>
      <w:r w:rsidR="00E1729E" w:rsidRPr="00274507">
        <w:rPr>
          <w:sz w:val="28"/>
          <w:szCs w:val="28"/>
        </w:rPr>
        <w:t>ara efectos ilustrativos se adjunta tabla con datos precisos, así:</w:t>
      </w:r>
    </w:p>
    <w:p w:rsidR="00E1729E" w:rsidRPr="00274507" w:rsidRDefault="00E1729E" w:rsidP="00274507">
      <w:pPr>
        <w:jc w:val="both"/>
        <w:rPr>
          <w:sz w:val="28"/>
          <w:szCs w:val="28"/>
        </w:rPr>
      </w:pPr>
    </w:p>
    <w:tbl>
      <w:tblPr>
        <w:tblStyle w:val="Tablaconcuadrcula"/>
        <w:tblW w:w="0" w:type="auto"/>
        <w:tblLook w:val="04A0" w:firstRow="1" w:lastRow="0" w:firstColumn="1" w:lastColumn="0" w:noHBand="0" w:noVBand="1"/>
      </w:tblPr>
      <w:tblGrid>
        <w:gridCol w:w="4531"/>
        <w:gridCol w:w="2268"/>
        <w:gridCol w:w="2268"/>
      </w:tblGrid>
      <w:tr w:rsidR="00E1729E" w:rsidRPr="00274507" w:rsidTr="007E63E7">
        <w:trPr>
          <w:trHeight w:val="169"/>
        </w:trPr>
        <w:tc>
          <w:tcPr>
            <w:tcW w:w="4531" w:type="dxa"/>
          </w:tcPr>
          <w:p w:rsidR="00E1729E" w:rsidRPr="00274507" w:rsidRDefault="00E1729E" w:rsidP="00274507">
            <w:pPr>
              <w:pStyle w:val="Sinespaciado"/>
              <w:jc w:val="center"/>
              <w:rPr>
                <w:b/>
                <w:sz w:val="28"/>
                <w:szCs w:val="28"/>
              </w:rPr>
            </w:pPr>
            <w:r w:rsidRPr="00274507">
              <w:rPr>
                <w:b/>
                <w:sz w:val="28"/>
                <w:szCs w:val="28"/>
              </w:rPr>
              <w:t>Entidad demandada</w:t>
            </w:r>
          </w:p>
        </w:tc>
        <w:tc>
          <w:tcPr>
            <w:tcW w:w="2268" w:type="dxa"/>
          </w:tcPr>
          <w:p w:rsidR="00E1729E" w:rsidRPr="00274507" w:rsidRDefault="00E1729E" w:rsidP="00274507">
            <w:pPr>
              <w:pStyle w:val="Sinespaciado"/>
              <w:jc w:val="center"/>
              <w:rPr>
                <w:b/>
                <w:sz w:val="28"/>
                <w:szCs w:val="28"/>
              </w:rPr>
            </w:pPr>
            <w:r w:rsidRPr="00274507">
              <w:rPr>
                <w:b/>
                <w:sz w:val="28"/>
                <w:szCs w:val="28"/>
              </w:rPr>
              <w:t>Tutelas</w:t>
            </w:r>
          </w:p>
        </w:tc>
        <w:tc>
          <w:tcPr>
            <w:tcW w:w="2268" w:type="dxa"/>
          </w:tcPr>
          <w:p w:rsidR="00E1729E" w:rsidRPr="00274507" w:rsidRDefault="00E1729E" w:rsidP="00274507">
            <w:pPr>
              <w:pStyle w:val="Sinespaciado"/>
              <w:jc w:val="center"/>
              <w:rPr>
                <w:b/>
                <w:sz w:val="28"/>
                <w:szCs w:val="28"/>
              </w:rPr>
            </w:pPr>
            <w:r w:rsidRPr="00274507">
              <w:rPr>
                <w:b/>
                <w:sz w:val="28"/>
                <w:szCs w:val="28"/>
              </w:rPr>
              <w:t>Porcentaje</w:t>
            </w:r>
          </w:p>
        </w:tc>
      </w:tr>
      <w:tr w:rsidR="00E1729E" w:rsidRPr="00274507" w:rsidTr="007E63E7">
        <w:trPr>
          <w:trHeight w:val="217"/>
        </w:trPr>
        <w:tc>
          <w:tcPr>
            <w:tcW w:w="4531" w:type="dxa"/>
          </w:tcPr>
          <w:p w:rsidR="00E1729E" w:rsidRPr="00274507" w:rsidRDefault="00E1729E" w:rsidP="00274507">
            <w:pPr>
              <w:pStyle w:val="Sinespaciado"/>
              <w:jc w:val="center"/>
              <w:rPr>
                <w:sz w:val="28"/>
                <w:szCs w:val="28"/>
              </w:rPr>
            </w:pPr>
            <w:r w:rsidRPr="00274507">
              <w:rPr>
                <w:sz w:val="28"/>
                <w:szCs w:val="28"/>
              </w:rPr>
              <w:t>EPS</w:t>
            </w:r>
          </w:p>
        </w:tc>
        <w:tc>
          <w:tcPr>
            <w:tcW w:w="2268" w:type="dxa"/>
          </w:tcPr>
          <w:p w:rsidR="00E1729E" w:rsidRPr="00274507" w:rsidRDefault="00E1729E" w:rsidP="00274507">
            <w:pPr>
              <w:pStyle w:val="Sinespaciado"/>
              <w:jc w:val="center"/>
              <w:rPr>
                <w:sz w:val="28"/>
                <w:szCs w:val="28"/>
              </w:rPr>
            </w:pPr>
            <w:r w:rsidRPr="00274507">
              <w:rPr>
                <w:sz w:val="28"/>
                <w:szCs w:val="28"/>
              </w:rPr>
              <w:t>125.383</w:t>
            </w:r>
          </w:p>
        </w:tc>
        <w:tc>
          <w:tcPr>
            <w:tcW w:w="2268" w:type="dxa"/>
          </w:tcPr>
          <w:p w:rsidR="00E1729E" w:rsidRPr="00274507" w:rsidRDefault="00E1729E" w:rsidP="00274507">
            <w:pPr>
              <w:pStyle w:val="Sinespaciado"/>
              <w:jc w:val="center"/>
              <w:rPr>
                <w:sz w:val="28"/>
                <w:szCs w:val="28"/>
              </w:rPr>
            </w:pPr>
            <w:r w:rsidRPr="00274507">
              <w:rPr>
                <w:sz w:val="28"/>
                <w:szCs w:val="28"/>
              </w:rPr>
              <w:t>83,2%</w:t>
            </w:r>
          </w:p>
        </w:tc>
      </w:tr>
      <w:tr w:rsidR="00E1729E" w:rsidRPr="00274507" w:rsidTr="007E63E7">
        <w:trPr>
          <w:trHeight w:val="276"/>
        </w:trPr>
        <w:tc>
          <w:tcPr>
            <w:tcW w:w="4531" w:type="dxa"/>
          </w:tcPr>
          <w:p w:rsidR="00E1729E" w:rsidRPr="00274507" w:rsidRDefault="00E1729E" w:rsidP="00274507">
            <w:pPr>
              <w:pStyle w:val="Sinespaciado"/>
              <w:jc w:val="center"/>
              <w:rPr>
                <w:sz w:val="28"/>
                <w:szCs w:val="28"/>
              </w:rPr>
            </w:pPr>
            <w:r w:rsidRPr="00274507">
              <w:rPr>
                <w:sz w:val="28"/>
                <w:szCs w:val="28"/>
              </w:rPr>
              <w:t>IPS</w:t>
            </w:r>
          </w:p>
        </w:tc>
        <w:tc>
          <w:tcPr>
            <w:tcW w:w="2268" w:type="dxa"/>
          </w:tcPr>
          <w:p w:rsidR="00E1729E" w:rsidRPr="00274507" w:rsidRDefault="00E1729E" w:rsidP="00274507">
            <w:pPr>
              <w:pStyle w:val="Sinespaciado"/>
              <w:jc w:val="center"/>
              <w:rPr>
                <w:sz w:val="28"/>
                <w:szCs w:val="28"/>
              </w:rPr>
            </w:pPr>
            <w:r w:rsidRPr="00274507">
              <w:rPr>
                <w:sz w:val="28"/>
                <w:szCs w:val="28"/>
              </w:rPr>
              <w:t>5.628</w:t>
            </w:r>
          </w:p>
        </w:tc>
        <w:tc>
          <w:tcPr>
            <w:tcW w:w="2268" w:type="dxa"/>
          </w:tcPr>
          <w:p w:rsidR="00E1729E" w:rsidRPr="00274507" w:rsidRDefault="00E1729E" w:rsidP="00274507">
            <w:pPr>
              <w:pStyle w:val="Sinespaciado"/>
              <w:jc w:val="center"/>
              <w:rPr>
                <w:sz w:val="28"/>
                <w:szCs w:val="28"/>
              </w:rPr>
            </w:pPr>
            <w:r w:rsidRPr="00274507">
              <w:rPr>
                <w:sz w:val="28"/>
                <w:szCs w:val="28"/>
              </w:rPr>
              <w:t>3,7%</w:t>
            </w:r>
          </w:p>
        </w:tc>
      </w:tr>
      <w:tr w:rsidR="00E1729E" w:rsidRPr="00274507" w:rsidTr="007E63E7">
        <w:tc>
          <w:tcPr>
            <w:tcW w:w="4531" w:type="dxa"/>
          </w:tcPr>
          <w:p w:rsidR="00E1729E" w:rsidRPr="00274507" w:rsidRDefault="00E1729E" w:rsidP="00274507">
            <w:pPr>
              <w:pStyle w:val="Sinespaciado"/>
              <w:jc w:val="center"/>
              <w:rPr>
                <w:sz w:val="28"/>
                <w:szCs w:val="28"/>
              </w:rPr>
            </w:pPr>
            <w:r w:rsidRPr="00274507">
              <w:rPr>
                <w:sz w:val="28"/>
                <w:szCs w:val="28"/>
              </w:rPr>
              <w:t>ENTIDADES PÚBLICAS DEPARTAMENTALES Y MUNICIPALES</w:t>
            </w:r>
          </w:p>
        </w:tc>
        <w:tc>
          <w:tcPr>
            <w:tcW w:w="2268" w:type="dxa"/>
          </w:tcPr>
          <w:p w:rsidR="00E1729E" w:rsidRPr="00274507" w:rsidRDefault="00E1729E" w:rsidP="00274507">
            <w:pPr>
              <w:pStyle w:val="Sinespaciado"/>
              <w:jc w:val="center"/>
              <w:rPr>
                <w:sz w:val="28"/>
                <w:szCs w:val="28"/>
              </w:rPr>
            </w:pPr>
            <w:r w:rsidRPr="00274507">
              <w:rPr>
                <w:sz w:val="28"/>
                <w:szCs w:val="28"/>
              </w:rPr>
              <w:t>5.185</w:t>
            </w:r>
          </w:p>
        </w:tc>
        <w:tc>
          <w:tcPr>
            <w:tcW w:w="2268" w:type="dxa"/>
          </w:tcPr>
          <w:p w:rsidR="00E1729E" w:rsidRPr="00274507" w:rsidRDefault="00E1729E" w:rsidP="00274507">
            <w:pPr>
              <w:pStyle w:val="Sinespaciado"/>
              <w:jc w:val="center"/>
              <w:rPr>
                <w:sz w:val="28"/>
                <w:szCs w:val="28"/>
              </w:rPr>
            </w:pPr>
            <w:r w:rsidRPr="00274507">
              <w:rPr>
                <w:sz w:val="28"/>
                <w:szCs w:val="28"/>
              </w:rPr>
              <w:t>3,4%</w:t>
            </w:r>
          </w:p>
        </w:tc>
      </w:tr>
      <w:tr w:rsidR="00E1729E" w:rsidRPr="00274507" w:rsidTr="007E63E7">
        <w:trPr>
          <w:trHeight w:val="272"/>
        </w:trPr>
        <w:tc>
          <w:tcPr>
            <w:tcW w:w="4531" w:type="dxa"/>
          </w:tcPr>
          <w:p w:rsidR="00E1729E" w:rsidRPr="00274507" w:rsidRDefault="00E1729E" w:rsidP="00274507">
            <w:pPr>
              <w:pStyle w:val="Sinespaciado"/>
              <w:jc w:val="center"/>
              <w:rPr>
                <w:sz w:val="28"/>
                <w:szCs w:val="28"/>
              </w:rPr>
            </w:pPr>
            <w:r w:rsidRPr="00274507">
              <w:rPr>
                <w:sz w:val="28"/>
                <w:szCs w:val="28"/>
              </w:rPr>
              <w:t>RÉGIMEN ESPECIAL</w:t>
            </w:r>
          </w:p>
        </w:tc>
        <w:tc>
          <w:tcPr>
            <w:tcW w:w="2268" w:type="dxa"/>
          </w:tcPr>
          <w:p w:rsidR="00E1729E" w:rsidRPr="00274507" w:rsidRDefault="00E1729E" w:rsidP="00274507">
            <w:pPr>
              <w:pStyle w:val="Sinespaciado"/>
              <w:jc w:val="center"/>
              <w:rPr>
                <w:sz w:val="28"/>
                <w:szCs w:val="28"/>
              </w:rPr>
            </w:pPr>
            <w:r w:rsidRPr="00274507">
              <w:rPr>
                <w:sz w:val="28"/>
                <w:szCs w:val="28"/>
              </w:rPr>
              <w:t>3.642</w:t>
            </w:r>
          </w:p>
        </w:tc>
        <w:tc>
          <w:tcPr>
            <w:tcW w:w="2268" w:type="dxa"/>
          </w:tcPr>
          <w:p w:rsidR="00E1729E" w:rsidRPr="00274507" w:rsidRDefault="00E1729E" w:rsidP="00274507">
            <w:pPr>
              <w:pStyle w:val="Sinespaciado"/>
              <w:jc w:val="center"/>
              <w:rPr>
                <w:sz w:val="28"/>
                <w:szCs w:val="28"/>
              </w:rPr>
            </w:pPr>
            <w:r w:rsidRPr="00274507">
              <w:rPr>
                <w:sz w:val="28"/>
                <w:szCs w:val="28"/>
              </w:rPr>
              <w:t>2,4%</w:t>
            </w:r>
          </w:p>
        </w:tc>
      </w:tr>
      <w:tr w:rsidR="00E1729E" w:rsidRPr="00274507" w:rsidTr="007E63E7">
        <w:trPr>
          <w:trHeight w:val="320"/>
        </w:trPr>
        <w:tc>
          <w:tcPr>
            <w:tcW w:w="4531" w:type="dxa"/>
          </w:tcPr>
          <w:p w:rsidR="00E1729E" w:rsidRPr="00274507" w:rsidRDefault="00E1729E" w:rsidP="00274507">
            <w:pPr>
              <w:pStyle w:val="Sinespaciado"/>
              <w:jc w:val="center"/>
              <w:rPr>
                <w:sz w:val="28"/>
                <w:szCs w:val="28"/>
              </w:rPr>
            </w:pPr>
            <w:r w:rsidRPr="00274507">
              <w:rPr>
                <w:sz w:val="28"/>
                <w:szCs w:val="28"/>
              </w:rPr>
              <w:t>OTRAS INSTITUCIONES</w:t>
            </w:r>
          </w:p>
        </w:tc>
        <w:tc>
          <w:tcPr>
            <w:tcW w:w="2268" w:type="dxa"/>
          </w:tcPr>
          <w:p w:rsidR="00E1729E" w:rsidRPr="00274507" w:rsidRDefault="00E1729E" w:rsidP="00274507">
            <w:pPr>
              <w:pStyle w:val="Sinespaciado"/>
              <w:jc w:val="center"/>
              <w:rPr>
                <w:sz w:val="28"/>
                <w:szCs w:val="28"/>
              </w:rPr>
            </w:pPr>
            <w:r w:rsidRPr="00274507">
              <w:rPr>
                <w:sz w:val="28"/>
                <w:szCs w:val="28"/>
              </w:rPr>
              <w:t>2.700</w:t>
            </w:r>
          </w:p>
        </w:tc>
        <w:tc>
          <w:tcPr>
            <w:tcW w:w="2268" w:type="dxa"/>
          </w:tcPr>
          <w:p w:rsidR="00E1729E" w:rsidRPr="00274507" w:rsidRDefault="00E1729E" w:rsidP="00274507">
            <w:pPr>
              <w:pStyle w:val="Sinespaciado"/>
              <w:jc w:val="center"/>
              <w:rPr>
                <w:sz w:val="28"/>
                <w:szCs w:val="28"/>
              </w:rPr>
            </w:pPr>
            <w:r w:rsidRPr="00274507">
              <w:rPr>
                <w:sz w:val="28"/>
                <w:szCs w:val="28"/>
              </w:rPr>
              <w:t>1,8%</w:t>
            </w:r>
          </w:p>
        </w:tc>
      </w:tr>
      <w:tr w:rsidR="00E1729E" w:rsidRPr="00274507" w:rsidTr="007E63E7">
        <w:trPr>
          <w:trHeight w:val="292"/>
        </w:trPr>
        <w:tc>
          <w:tcPr>
            <w:tcW w:w="4531" w:type="dxa"/>
          </w:tcPr>
          <w:p w:rsidR="00E1729E" w:rsidRPr="00274507" w:rsidRDefault="00E1729E" w:rsidP="00274507">
            <w:pPr>
              <w:pStyle w:val="Sinespaciado"/>
              <w:rPr>
                <w:sz w:val="28"/>
                <w:szCs w:val="28"/>
              </w:rPr>
            </w:pPr>
            <w:r w:rsidRPr="00274507">
              <w:rPr>
                <w:sz w:val="28"/>
                <w:szCs w:val="28"/>
              </w:rPr>
              <w:t>ENTIDADES PÚBLICAS DE ORDEN NACIONAL</w:t>
            </w:r>
          </w:p>
        </w:tc>
        <w:tc>
          <w:tcPr>
            <w:tcW w:w="2268" w:type="dxa"/>
          </w:tcPr>
          <w:p w:rsidR="00E1729E" w:rsidRPr="00274507" w:rsidRDefault="00E1729E" w:rsidP="00274507">
            <w:pPr>
              <w:pStyle w:val="Sinespaciado"/>
              <w:jc w:val="center"/>
              <w:rPr>
                <w:sz w:val="28"/>
                <w:szCs w:val="28"/>
              </w:rPr>
            </w:pPr>
            <w:r w:rsidRPr="00274507">
              <w:rPr>
                <w:sz w:val="28"/>
                <w:szCs w:val="28"/>
              </w:rPr>
              <w:t>2.197</w:t>
            </w:r>
          </w:p>
        </w:tc>
        <w:tc>
          <w:tcPr>
            <w:tcW w:w="2268" w:type="dxa"/>
          </w:tcPr>
          <w:p w:rsidR="00E1729E" w:rsidRPr="00274507" w:rsidRDefault="00E1729E" w:rsidP="00274507">
            <w:pPr>
              <w:pStyle w:val="Sinespaciado"/>
              <w:jc w:val="center"/>
              <w:rPr>
                <w:sz w:val="28"/>
                <w:szCs w:val="28"/>
              </w:rPr>
            </w:pPr>
            <w:r w:rsidRPr="00274507">
              <w:rPr>
                <w:sz w:val="28"/>
                <w:szCs w:val="28"/>
              </w:rPr>
              <w:t>1,5%</w:t>
            </w:r>
          </w:p>
        </w:tc>
      </w:tr>
      <w:tr w:rsidR="00E1729E" w:rsidRPr="00274507" w:rsidTr="007E63E7">
        <w:trPr>
          <w:trHeight w:val="190"/>
        </w:trPr>
        <w:tc>
          <w:tcPr>
            <w:tcW w:w="4531" w:type="dxa"/>
          </w:tcPr>
          <w:p w:rsidR="00E1729E" w:rsidRPr="00274507" w:rsidRDefault="00E1729E" w:rsidP="00274507">
            <w:pPr>
              <w:pStyle w:val="Sinespaciado"/>
              <w:jc w:val="center"/>
              <w:rPr>
                <w:sz w:val="28"/>
                <w:szCs w:val="28"/>
              </w:rPr>
            </w:pPr>
            <w:r w:rsidRPr="00274507">
              <w:rPr>
                <w:sz w:val="28"/>
                <w:szCs w:val="28"/>
              </w:rPr>
              <w:t>INPEC</w:t>
            </w:r>
          </w:p>
        </w:tc>
        <w:tc>
          <w:tcPr>
            <w:tcW w:w="2268" w:type="dxa"/>
          </w:tcPr>
          <w:p w:rsidR="00E1729E" w:rsidRPr="00274507" w:rsidRDefault="00E1729E" w:rsidP="00274507">
            <w:pPr>
              <w:pStyle w:val="Sinespaciado"/>
              <w:jc w:val="center"/>
              <w:rPr>
                <w:sz w:val="28"/>
                <w:szCs w:val="28"/>
              </w:rPr>
            </w:pPr>
            <w:r w:rsidRPr="00274507">
              <w:rPr>
                <w:sz w:val="28"/>
                <w:szCs w:val="28"/>
              </w:rPr>
              <w:t>1.991</w:t>
            </w:r>
          </w:p>
        </w:tc>
        <w:tc>
          <w:tcPr>
            <w:tcW w:w="2268" w:type="dxa"/>
          </w:tcPr>
          <w:p w:rsidR="00E1729E" w:rsidRPr="00274507" w:rsidRDefault="00E1729E" w:rsidP="00274507">
            <w:pPr>
              <w:pStyle w:val="Sinespaciado"/>
              <w:jc w:val="center"/>
              <w:rPr>
                <w:sz w:val="28"/>
                <w:szCs w:val="28"/>
              </w:rPr>
            </w:pPr>
            <w:r w:rsidRPr="00274507">
              <w:rPr>
                <w:sz w:val="28"/>
                <w:szCs w:val="28"/>
              </w:rPr>
              <w:t>1,3%</w:t>
            </w:r>
          </w:p>
        </w:tc>
      </w:tr>
      <w:tr w:rsidR="00E1729E" w:rsidRPr="00274507" w:rsidTr="007E63E7">
        <w:trPr>
          <w:trHeight w:val="364"/>
        </w:trPr>
        <w:tc>
          <w:tcPr>
            <w:tcW w:w="4531" w:type="dxa"/>
          </w:tcPr>
          <w:p w:rsidR="00E1729E" w:rsidRPr="00274507" w:rsidRDefault="00E1729E" w:rsidP="00274507">
            <w:pPr>
              <w:pStyle w:val="Sinespaciado"/>
              <w:jc w:val="center"/>
              <w:rPr>
                <w:sz w:val="28"/>
                <w:szCs w:val="28"/>
              </w:rPr>
            </w:pPr>
            <w:r w:rsidRPr="00274507">
              <w:rPr>
                <w:sz w:val="28"/>
                <w:szCs w:val="28"/>
              </w:rPr>
              <w:t>ADMINISTRADORA DE RIESGOS LABORALES</w:t>
            </w:r>
          </w:p>
        </w:tc>
        <w:tc>
          <w:tcPr>
            <w:tcW w:w="2268" w:type="dxa"/>
          </w:tcPr>
          <w:p w:rsidR="00E1729E" w:rsidRPr="00274507" w:rsidRDefault="00E1729E" w:rsidP="00274507">
            <w:pPr>
              <w:pStyle w:val="Sinespaciado"/>
              <w:jc w:val="center"/>
              <w:rPr>
                <w:sz w:val="28"/>
                <w:szCs w:val="28"/>
              </w:rPr>
            </w:pPr>
            <w:r w:rsidRPr="00274507">
              <w:rPr>
                <w:sz w:val="28"/>
                <w:szCs w:val="28"/>
              </w:rPr>
              <w:t>1.235</w:t>
            </w:r>
          </w:p>
        </w:tc>
        <w:tc>
          <w:tcPr>
            <w:tcW w:w="2268" w:type="dxa"/>
          </w:tcPr>
          <w:p w:rsidR="00E1729E" w:rsidRPr="00274507" w:rsidRDefault="00E1729E" w:rsidP="00274507">
            <w:pPr>
              <w:pStyle w:val="Sinespaciado"/>
              <w:jc w:val="center"/>
              <w:rPr>
                <w:sz w:val="28"/>
                <w:szCs w:val="28"/>
              </w:rPr>
            </w:pPr>
            <w:r w:rsidRPr="00274507">
              <w:rPr>
                <w:sz w:val="28"/>
                <w:szCs w:val="28"/>
              </w:rPr>
              <w:t>0,8%</w:t>
            </w:r>
          </w:p>
        </w:tc>
      </w:tr>
      <w:tr w:rsidR="00E1729E" w:rsidRPr="00274507" w:rsidTr="007E63E7">
        <w:tc>
          <w:tcPr>
            <w:tcW w:w="4531" w:type="dxa"/>
          </w:tcPr>
          <w:p w:rsidR="00E1729E" w:rsidRPr="00274507" w:rsidRDefault="00E1729E" w:rsidP="00274507">
            <w:pPr>
              <w:pStyle w:val="Sinespaciado"/>
              <w:jc w:val="center"/>
              <w:rPr>
                <w:sz w:val="28"/>
                <w:szCs w:val="28"/>
              </w:rPr>
            </w:pPr>
            <w:r w:rsidRPr="00274507">
              <w:rPr>
                <w:sz w:val="28"/>
                <w:szCs w:val="28"/>
              </w:rPr>
              <w:t>ADMINISTRADORAS DE FONDOS DE CESANTÍAS Y PENSIONES</w:t>
            </w:r>
          </w:p>
        </w:tc>
        <w:tc>
          <w:tcPr>
            <w:tcW w:w="2268" w:type="dxa"/>
          </w:tcPr>
          <w:p w:rsidR="00E1729E" w:rsidRPr="00274507" w:rsidRDefault="00E1729E" w:rsidP="00274507">
            <w:pPr>
              <w:pStyle w:val="Sinespaciado"/>
              <w:jc w:val="center"/>
              <w:rPr>
                <w:sz w:val="28"/>
                <w:szCs w:val="28"/>
              </w:rPr>
            </w:pPr>
          </w:p>
          <w:p w:rsidR="00E1729E" w:rsidRPr="00274507" w:rsidRDefault="00E1729E" w:rsidP="00274507">
            <w:pPr>
              <w:pStyle w:val="Sinespaciado"/>
              <w:jc w:val="center"/>
              <w:rPr>
                <w:sz w:val="28"/>
                <w:szCs w:val="28"/>
              </w:rPr>
            </w:pPr>
            <w:r w:rsidRPr="00274507">
              <w:rPr>
                <w:sz w:val="28"/>
                <w:szCs w:val="28"/>
              </w:rPr>
              <w:t>1.121</w:t>
            </w:r>
          </w:p>
        </w:tc>
        <w:tc>
          <w:tcPr>
            <w:tcW w:w="2268" w:type="dxa"/>
          </w:tcPr>
          <w:p w:rsidR="00E1729E" w:rsidRPr="00274507" w:rsidRDefault="00E1729E" w:rsidP="00274507">
            <w:pPr>
              <w:pStyle w:val="Sinespaciado"/>
              <w:jc w:val="center"/>
              <w:rPr>
                <w:sz w:val="28"/>
                <w:szCs w:val="28"/>
              </w:rPr>
            </w:pPr>
          </w:p>
          <w:p w:rsidR="00E1729E" w:rsidRPr="00274507" w:rsidRDefault="00E1729E" w:rsidP="00274507">
            <w:pPr>
              <w:pStyle w:val="Sinespaciado"/>
              <w:jc w:val="center"/>
              <w:rPr>
                <w:sz w:val="28"/>
                <w:szCs w:val="28"/>
              </w:rPr>
            </w:pPr>
            <w:r w:rsidRPr="00274507">
              <w:rPr>
                <w:sz w:val="28"/>
                <w:szCs w:val="28"/>
              </w:rPr>
              <w:t>0,7%</w:t>
            </w:r>
          </w:p>
        </w:tc>
      </w:tr>
      <w:tr w:rsidR="00E1729E" w:rsidRPr="00274507" w:rsidTr="007E63E7">
        <w:tc>
          <w:tcPr>
            <w:tcW w:w="4531" w:type="dxa"/>
          </w:tcPr>
          <w:p w:rsidR="00E1729E" w:rsidRPr="00274507" w:rsidRDefault="00E1729E" w:rsidP="00274507">
            <w:pPr>
              <w:pStyle w:val="Sinespaciado"/>
              <w:jc w:val="center"/>
              <w:rPr>
                <w:sz w:val="28"/>
                <w:szCs w:val="28"/>
              </w:rPr>
            </w:pPr>
            <w:r w:rsidRPr="00274507">
              <w:rPr>
                <w:sz w:val="28"/>
                <w:szCs w:val="28"/>
              </w:rPr>
              <w:t>SECTOR FINANCIERO Y DE SEGUROS</w:t>
            </w:r>
          </w:p>
        </w:tc>
        <w:tc>
          <w:tcPr>
            <w:tcW w:w="2268" w:type="dxa"/>
          </w:tcPr>
          <w:p w:rsidR="00E1729E" w:rsidRPr="00274507" w:rsidRDefault="00E1729E" w:rsidP="00274507">
            <w:pPr>
              <w:pStyle w:val="Sinespaciado"/>
              <w:jc w:val="center"/>
              <w:rPr>
                <w:sz w:val="28"/>
                <w:szCs w:val="28"/>
              </w:rPr>
            </w:pPr>
            <w:r w:rsidRPr="00274507">
              <w:rPr>
                <w:sz w:val="28"/>
                <w:szCs w:val="28"/>
              </w:rPr>
              <w:t>734</w:t>
            </w:r>
          </w:p>
        </w:tc>
        <w:tc>
          <w:tcPr>
            <w:tcW w:w="2268" w:type="dxa"/>
          </w:tcPr>
          <w:p w:rsidR="00E1729E" w:rsidRPr="00274507" w:rsidRDefault="00E1729E" w:rsidP="00274507">
            <w:pPr>
              <w:pStyle w:val="Sinespaciado"/>
              <w:jc w:val="center"/>
              <w:rPr>
                <w:sz w:val="28"/>
                <w:szCs w:val="28"/>
              </w:rPr>
            </w:pPr>
            <w:r w:rsidRPr="00274507">
              <w:rPr>
                <w:sz w:val="28"/>
                <w:szCs w:val="28"/>
              </w:rPr>
              <w:t>0,5%</w:t>
            </w:r>
          </w:p>
        </w:tc>
      </w:tr>
      <w:tr w:rsidR="00E1729E" w:rsidRPr="00274507" w:rsidTr="007E63E7">
        <w:tc>
          <w:tcPr>
            <w:tcW w:w="4531" w:type="dxa"/>
          </w:tcPr>
          <w:p w:rsidR="00E1729E" w:rsidRPr="00274507" w:rsidRDefault="00E1729E" w:rsidP="00274507">
            <w:pPr>
              <w:pStyle w:val="Sinespaciado"/>
              <w:jc w:val="center"/>
              <w:rPr>
                <w:sz w:val="28"/>
                <w:szCs w:val="28"/>
              </w:rPr>
            </w:pPr>
            <w:r w:rsidRPr="00274507">
              <w:rPr>
                <w:sz w:val="28"/>
                <w:szCs w:val="28"/>
              </w:rPr>
              <w:t>ENTES DE CONTROL Y RAMA JUDICIAL</w:t>
            </w:r>
          </w:p>
        </w:tc>
        <w:tc>
          <w:tcPr>
            <w:tcW w:w="2268" w:type="dxa"/>
          </w:tcPr>
          <w:p w:rsidR="00E1729E" w:rsidRPr="00274507" w:rsidRDefault="00E1729E" w:rsidP="00274507">
            <w:pPr>
              <w:pStyle w:val="Sinespaciado"/>
              <w:jc w:val="center"/>
              <w:rPr>
                <w:sz w:val="28"/>
                <w:szCs w:val="28"/>
              </w:rPr>
            </w:pPr>
            <w:r w:rsidRPr="00274507">
              <w:rPr>
                <w:sz w:val="28"/>
                <w:szCs w:val="28"/>
              </w:rPr>
              <w:t>361</w:t>
            </w:r>
          </w:p>
        </w:tc>
        <w:tc>
          <w:tcPr>
            <w:tcW w:w="2268" w:type="dxa"/>
          </w:tcPr>
          <w:p w:rsidR="00E1729E" w:rsidRPr="00274507" w:rsidRDefault="00E1729E" w:rsidP="00274507">
            <w:pPr>
              <w:pStyle w:val="Sinespaciado"/>
              <w:jc w:val="center"/>
              <w:rPr>
                <w:sz w:val="28"/>
                <w:szCs w:val="28"/>
              </w:rPr>
            </w:pPr>
            <w:r w:rsidRPr="00274507">
              <w:rPr>
                <w:sz w:val="28"/>
                <w:szCs w:val="28"/>
              </w:rPr>
              <w:t>0,2%</w:t>
            </w:r>
          </w:p>
        </w:tc>
      </w:tr>
      <w:tr w:rsidR="00E1729E" w:rsidRPr="00274507" w:rsidTr="007E63E7">
        <w:tc>
          <w:tcPr>
            <w:tcW w:w="4531" w:type="dxa"/>
          </w:tcPr>
          <w:p w:rsidR="00E1729E" w:rsidRPr="00274507" w:rsidRDefault="00E1729E" w:rsidP="00274507">
            <w:pPr>
              <w:pStyle w:val="Sinespaciado"/>
              <w:jc w:val="center"/>
              <w:rPr>
                <w:sz w:val="28"/>
                <w:szCs w:val="28"/>
              </w:rPr>
            </w:pPr>
            <w:r w:rsidRPr="00274507">
              <w:rPr>
                <w:sz w:val="28"/>
                <w:szCs w:val="28"/>
              </w:rPr>
              <w:t>EMPRESAS DE SERVICIOS PÚBLICOS</w:t>
            </w:r>
          </w:p>
        </w:tc>
        <w:tc>
          <w:tcPr>
            <w:tcW w:w="2268" w:type="dxa"/>
          </w:tcPr>
          <w:p w:rsidR="00E1729E" w:rsidRPr="00274507" w:rsidRDefault="00E1729E" w:rsidP="00274507">
            <w:pPr>
              <w:pStyle w:val="Sinespaciado"/>
              <w:jc w:val="center"/>
              <w:rPr>
                <w:sz w:val="28"/>
                <w:szCs w:val="28"/>
              </w:rPr>
            </w:pPr>
            <w:r w:rsidRPr="00274507">
              <w:rPr>
                <w:sz w:val="28"/>
                <w:szCs w:val="28"/>
              </w:rPr>
              <w:t>223</w:t>
            </w:r>
          </w:p>
        </w:tc>
        <w:tc>
          <w:tcPr>
            <w:tcW w:w="2268" w:type="dxa"/>
          </w:tcPr>
          <w:p w:rsidR="00E1729E" w:rsidRPr="00274507" w:rsidRDefault="00E1729E" w:rsidP="00274507">
            <w:pPr>
              <w:pStyle w:val="Sinespaciado"/>
              <w:jc w:val="center"/>
              <w:rPr>
                <w:sz w:val="28"/>
                <w:szCs w:val="28"/>
              </w:rPr>
            </w:pPr>
            <w:r w:rsidRPr="00274507">
              <w:rPr>
                <w:sz w:val="28"/>
                <w:szCs w:val="28"/>
              </w:rPr>
              <w:t>0,1%</w:t>
            </w:r>
          </w:p>
        </w:tc>
      </w:tr>
      <w:tr w:rsidR="00E1729E" w:rsidRPr="00274507" w:rsidTr="007E63E7">
        <w:trPr>
          <w:trHeight w:val="214"/>
        </w:trPr>
        <w:tc>
          <w:tcPr>
            <w:tcW w:w="4531" w:type="dxa"/>
          </w:tcPr>
          <w:p w:rsidR="00E1729E" w:rsidRPr="00274507" w:rsidRDefault="00E1729E" w:rsidP="00274507">
            <w:pPr>
              <w:pStyle w:val="Sinespaciado"/>
              <w:jc w:val="center"/>
              <w:rPr>
                <w:sz w:val="28"/>
                <w:szCs w:val="28"/>
              </w:rPr>
            </w:pPr>
            <w:r w:rsidRPr="00274507">
              <w:rPr>
                <w:sz w:val="28"/>
                <w:szCs w:val="28"/>
              </w:rPr>
              <w:t>ENTIDADES ADAPTADAS</w:t>
            </w:r>
          </w:p>
        </w:tc>
        <w:tc>
          <w:tcPr>
            <w:tcW w:w="2268" w:type="dxa"/>
          </w:tcPr>
          <w:p w:rsidR="00E1729E" w:rsidRPr="00274507" w:rsidRDefault="00E1729E" w:rsidP="00274507">
            <w:pPr>
              <w:pStyle w:val="Sinespaciado"/>
              <w:jc w:val="center"/>
              <w:rPr>
                <w:sz w:val="28"/>
                <w:szCs w:val="28"/>
              </w:rPr>
            </w:pPr>
            <w:r w:rsidRPr="00274507">
              <w:rPr>
                <w:sz w:val="28"/>
                <w:szCs w:val="28"/>
              </w:rPr>
              <w:t>204</w:t>
            </w:r>
          </w:p>
        </w:tc>
        <w:tc>
          <w:tcPr>
            <w:tcW w:w="2268" w:type="dxa"/>
          </w:tcPr>
          <w:p w:rsidR="00E1729E" w:rsidRPr="00274507" w:rsidRDefault="00E1729E" w:rsidP="00274507">
            <w:pPr>
              <w:pStyle w:val="Sinespaciado"/>
              <w:jc w:val="center"/>
              <w:rPr>
                <w:sz w:val="28"/>
                <w:szCs w:val="28"/>
              </w:rPr>
            </w:pPr>
            <w:r w:rsidRPr="00274507">
              <w:rPr>
                <w:sz w:val="28"/>
                <w:szCs w:val="28"/>
              </w:rPr>
              <w:t>0,1%</w:t>
            </w:r>
          </w:p>
        </w:tc>
      </w:tr>
      <w:tr w:rsidR="00E1729E" w:rsidRPr="00274507" w:rsidTr="007E63E7">
        <w:trPr>
          <w:trHeight w:val="132"/>
        </w:trPr>
        <w:tc>
          <w:tcPr>
            <w:tcW w:w="4531" w:type="dxa"/>
          </w:tcPr>
          <w:p w:rsidR="00E1729E" w:rsidRPr="00274507" w:rsidRDefault="00E1729E" w:rsidP="00274507">
            <w:pPr>
              <w:pStyle w:val="Sinespaciado"/>
              <w:jc w:val="center"/>
              <w:rPr>
                <w:sz w:val="28"/>
                <w:szCs w:val="28"/>
              </w:rPr>
            </w:pPr>
            <w:r w:rsidRPr="00274507">
              <w:rPr>
                <w:sz w:val="28"/>
                <w:szCs w:val="28"/>
              </w:rPr>
              <w:t>EPS MEDICINA PREPAGADA</w:t>
            </w:r>
          </w:p>
        </w:tc>
        <w:tc>
          <w:tcPr>
            <w:tcW w:w="2268" w:type="dxa"/>
          </w:tcPr>
          <w:p w:rsidR="00E1729E" w:rsidRPr="00274507" w:rsidRDefault="00E1729E" w:rsidP="00274507">
            <w:pPr>
              <w:pStyle w:val="Sinespaciado"/>
              <w:jc w:val="center"/>
              <w:rPr>
                <w:sz w:val="28"/>
                <w:szCs w:val="28"/>
              </w:rPr>
            </w:pPr>
            <w:r w:rsidRPr="00274507">
              <w:rPr>
                <w:sz w:val="28"/>
                <w:szCs w:val="28"/>
              </w:rPr>
              <w:t>1447</w:t>
            </w:r>
          </w:p>
        </w:tc>
        <w:tc>
          <w:tcPr>
            <w:tcW w:w="2268" w:type="dxa"/>
          </w:tcPr>
          <w:p w:rsidR="00E1729E" w:rsidRPr="00274507" w:rsidRDefault="00E1729E" w:rsidP="00274507">
            <w:pPr>
              <w:pStyle w:val="Sinespaciado"/>
              <w:jc w:val="center"/>
              <w:rPr>
                <w:sz w:val="28"/>
                <w:szCs w:val="28"/>
              </w:rPr>
            </w:pPr>
            <w:r w:rsidRPr="00274507">
              <w:rPr>
                <w:sz w:val="28"/>
                <w:szCs w:val="28"/>
              </w:rPr>
              <w:t>0,1%</w:t>
            </w:r>
          </w:p>
        </w:tc>
      </w:tr>
    </w:tbl>
    <w:p w:rsidR="004B5F23" w:rsidRPr="00274507" w:rsidRDefault="004B5F23" w:rsidP="00274507">
      <w:pPr>
        <w:jc w:val="both"/>
        <w:rPr>
          <w:sz w:val="28"/>
          <w:szCs w:val="28"/>
        </w:rPr>
      </w:pPr>
    </w:p>
    <w:p w:rsidR="00E1729E" w:rsidRPr="00274507" w:rsidRDefault="00E1729E" w:rsidP="00274507">
      <w:pPr>
        <w:jc w:val="both"/>
        <w:rPr>
          <w:sz w:val="28"/>
          <w:szCs w:val="28"/>
        </w:rPr>
      </w:pPr>
      <w:r w:rsidRPr="00274507">
        <w:rPr>
          <w:sz w:val="28"/>
          <w:szCs w:val="28"/>
        </w:rPr>
        <w:t xml:space="preserve">Sobre el comportamiento de las EPS encontró que la Nueva EPS es la más demandada en un margen de 591.17 tutelas por cada 100.000 afiliados, seguida de Coomeva con 459.6 y Savia Salud con 444.2 tutelas. </w:t>
      </w:r>
    </w:p>
    <w:p w:rsidR="00E1729E" w:rsidRPr="00274507" w:rsidRDefault="00E1729E" w:rsidP="00274507">
      <w:pPr>
        <w:jc w:val="both"/>
        <w:rPr>
          <w:sz w:val="28"/>
          <w:szCs w:val="28"/>
        </w:rPr>
      </w:pPr>
    </w:p>
    <w:p w:rsidR="00E1729E" w:rsidRPr="00274507" w:rsidRDefault="00F55E3F" w:rsidP="00274507">
      <w:pPr>
        <w:jc w:val="both"/>
        <w:rPr>
          <w:sz w:val="28"/>
          <w:szCs w:val="28"/>
        </w:rPr>
      </w:pPr>
      <w:r w:rsidRPr="00274507">
        <w:rPr>
          <w:sz w:val="28"/>
          <w:szCs w:val="28"/>
        </w:rPr>
        <w:t>v)</w:t>
      </w:r>
      <w:r w:rsidRPr="00274507">
        <w:rPr>
          <w:b/>
          <w:sz w:val="28"/>
          <w:szCs w:val="28"/>
        </w:rPr>
        <w:t xml:space="preserve"> </w:t>
      </w:r>
      <w:r w:rsidR="00E1729E" w:rsidRPr="00274507">
        <w:rPr>
          <w:sz w:val="28"/>
          <w:szCs w:val="28"/>
        </w:rPr>
        <w:t xml:space="preserve">En cuanto al criterio de personas que padecen enfermedades de alto costo indicó que el 13% son diagnosticadas con cáncer de cérvix, mama, estómago, colon y recto, próstata, leucemia linfoide aguda, linfoma </w:t>
      </w:r>
      <w:r w:rsidR="00E1729E" w:rsidRPr="00274507">
        <w:rPr>
          <w:i/>
          <w:sz w:val="28"/>
          <w:szCs w:val="28"/>
        </w:rPr>
        <w:t>hodgkin</w:t>
      </w:r>
      <w:r w:rsidR="00E1729E" w:rsidRPr="00274507">
        <w:rPr>
          <w:sz w:val="28"/>
          <w:szCs w:val="28"/>
        </w:rPr>
        <w:t>, epilepsia, artritis reumatoide, VIH o enfermedad huérfana y que la enfermedad renal crónica representa un 6% en esos casos. También relacionó una tabla con los diagnósticos agrupados por sistemas</w:t>
      </w:r>
      <w:r w:rsidR="00E1729E" w:rsidRPr="00274507">
        <w:rPr>
          <w:rStyle w:val="Refdenotaalpie"/>
          <w:sz w:val="28"/>
          <w:szCs w:val="28"/>
        </w:rPr>
        <w:footnoteReference w:id="26"/>
      </w:r>
      <w:r w:rsidR="00E1729E" w:rsidRPr="00274507">
        <w:rPr>
          <w:sz w:val="28"/>
          <w:szCs w:val="28"/>
        </w:rPr>
        <w:t xml:space="preserve"> y concluyó que las neoplasias (cáncer) constituyeron un 11.6%, seguido de síntomas, signos y hallazgos anormales con el 11.4%. </w:t>
      </w:r>
      <w:r w:rsidR="00B46C50" w:rsidRPr="00274507">
        <w:rPr>
          <w:sz w:val="28"/>
          <w:szCs w:val="28"/>
        </w:rPr>
        <w:t>Por otro lado, indicó que en 950 accionantes no fue posible analizar la afección que padecían.</w:t>
      </w:r>
    </w:p>
    <w:p w:rsidR="00E1729E" w:rsidRPr="00274507" w:rsidRDefault="00E1729E" w:rsidP="00274507">
      <w:pPr>
        <w:jc w:val="both"/>
        <w:rPr>
          <w:sz w:val="28"/>
          <w:szCs w:val="28"/>
        </w:rPr>
      </w:pPr>
    </w:p>
    <w:p w:rsidR="00806B61" w:rsidRPr="00274507" w:rsidRDefault="00F55E3F" w:rsidP="00274507">
      <w:pPr>
        <w:jc w:val="both"/>
        <w:rPr>
          <w:sz w:val="28"/>
          <w:szCs w:val="28"/>
        </w:rPr>
      </w:pPr>
      <w:r w:rsidRPr="00274507">
        <w:rPr>
          <w:sz w:val="28"/>
          <w:szCs w:val="28"/>
        </w:rPr>
        <w:t>v</w:t>
      </w:r>
      <w:r w:rsidR="00B46C50" w:rsidRPr="00274507">
        <w:rPr>
          <w:sz w:val="28"/>
          <w:szCs w:val="28"/>
        </w:rPr>
        <w:t>i</w:t>
      </w:r>
      <w:r w:rsidRPr="00274507">
        <w:rPr>
          <w:sz w:val="28"/>
          <w:szCs w:val="28"/>
        </w:rPr>
        <w:t xml:space="preserve">) </w:t>
      </w:r>
      <w:r w:rsidR="00E1729E" w:rsidRPr="00274507">
        <w:rPr>
          <w:sz w:val="28"/>
          <w:szCs w:val="28"/>
        </w:rPr>
        <w:t xml:space="preserve">En otro sentido, advirtió que la población de los menores de 1 a 5 años </w:t>
      </w:r>
      <w:r w:rsidR="00911B30" w:rsidRPr="00274507">
        <w:rPr>
          <w:sz w:val="28"/>
          <w:szCs w:val="28"/>
        </w:rPr>
        <w:t>representa</w:t>
      </w:r>
      <w:r w:rsidR="00E1729E" w:rsidRPr="00274507">
        <w:rPr>
          <w:sz w:val="28"/>
          <w:szCs w:val="28"/>
        </w:rPr>
        <w:t xml:space="preserve"> un 14,9% de diagnósticos asociados a malformaciones, anomalías cromosómicas</w:t>
      </w:r>
      <w:r w:rsidR="00911B30" w:rsidRPr="00274507">
        <w:rPr>
          <w:sz w:val="28"/>
          <w:szCs w:val="28"/>
        </w:rPr>
        <w:t>. E</w:t>
      </w:r>
      <w:r w:rsidR="00E1729E" w:rsidRPr="00274507">
        <w:rPr>
          <w:sz w:val="28"/>
          <w:szCs w:val="28"/>
        </w:rPr>
        <w:t>ntre los 6 y 14 años el 18,4% lo constituyen las enfermedades relacionadas con el sistema nervioso (como la epilepsia y parálisis cerebral infantil</w:t>
      </w:r>
      <w:r w:rsidR="007D0FDB" w:rsidRPr="00274507">
        <w:rPr>
          <w:sz w:val="28"/>
          <w:szCs w:val="28"/>
        </w:rPr>
        <w:t>);</w:t>
      </w:r>
      <w:r w:rsidR="00E1729E" w:rsidRPr="00274507">
        <w:rPr>
          <w:sz w:val="28"/>
          <w:szCs w:val="28"/>
        </w:rPr>
        <w:t xml:space="preserve"> el 10,02% para la población joven y adulta y</w:t>
      </w:r>
      <w:r w:rsidR="007D0FDB" w:rsidRPr="00274507">
        <w:rPr>
          <w:sz w:val="28"/>
          <w:szCs w:val="28"/>
        </w:rPr>
        <w:t xml:space="preserve"> el</w:t>
      </w:r>
      <w:r w:rsidR="00E1729E" w:rsidRPr="00274507">
        <w:rPr>
          <w:sz w:val="28"/>
          <w:szCs w:val="28"/>
        </w:rPr>
        <w:t xml:space="preserve"> 13,6% en síntomas y signos inespecíficos. Para las edades de 45 a 64 el 18,1% con mayor tendencia en neoplasias y </w:t>
      </w:r>
      <w:r w:rsidR="007D0FDB" w:rsidRPr="00274507">
        <w:rPr>
          <w:sz w:val="28"/>
          <w:szCs w:val="28"/>
        </w:rPr>
        <w:t xml:space="preserve">el </w:t>
      </w:r>
      <w:r w:rsidR="00E1729E" w:rsidRPr="00274507">
        <w:rPr>
          <w:sz w:val="28"/>
          <w:szCs w:val="28"/>
        </w:rPr>
        <w:t>18,4% en enfermedades del sistema circulatorio.</w:t>
      </w:r>
    </w:p>
    <w:p w:rsidR="007D0FDB" w:rsidRPr="00274507" w:rsidRDefault="007D0FDB" w:rsidP="00274507">
      <w:pPr>
        <w:jc w:val="both"/>
        <w:rPr>
          <w:sz w:val="28"/>
          <w:szCs w:val="28"/>
        </w:rPr>
      </w:pPr>
    </w:p>
    <w:p w:rsidR="00E1729E" w:rsidRPr="00274507" w:rsidRDefault="00F55E3F" w:rsidP="00274507">
      <w:pPr>
        <w:jc w:val="both"/>
        <w:rPr>
          <w:sz w:val="28"/>
          <w:szCs w:val="28"/>
        </w:rPr>
      </w:pPr>
      <w:r w:rsidRPr="00274507">
        <w:rPr>
          <w:sz w:val="28"/>
          <w:szCs w:val="28"/>
        </w:rPr>
        <w:t>vi</w:t>
      </w:r>
      <w:r w:rsidR="00B46C50" w:rsidRPr="00274507">
        <w:rPr>
          <w:sz w:val="28"/>
          <w:szCs w:val="28"/>
        </w:rPr>
        <w:t>i</w:t>
      </w:r>
      <w:r w:rsidRPr="00274507">
        <w:rPr>
          <w:sz w:val="28"/>
          <w:szCs w:val="28"/>
        </w:rPr>
        <w:t>)</w:t>
      </w:r>
      <w:r w:rsidRPr="00274507">
        <w:rPr>
          <w:b/>
          <w:sz w:val="28"/>
          <w:szCs w:val="28"/>
        </w:rPr>
        <w:t xml:space="preserve"> </w:t>
      </w:r>
      <w:r w:rsidR="00E1729E" w:rsidRPr="00274507">
        <w:rPr>
          <w:sz w:val="28"/>
          <w:szCs w:val="28"/>
        </w:rPr>
        <w:t>En lo que atañe a las causas de las tutelas y los servicios requeridos de los 5.046 expedientes analizados, encontró 8.418 motivos</w:t>
      </w:r>
      <w:r w:rsidR="00E1729E" w:rsidRPr="00274507">
        <w:rPr>
          <w:rStyle w:val="Refdenotaalpie"/>
          <w:sz w:val="28"/>
          <w:szCs w:val="28"/>
        </w:rPr>
        <w:footnoteReference w:id="27"/>
      </w:r>
      <w:r w:rsidR="00E1729E" w:rsidRPr="00274507">
        <w:rPr>
          <w:sz w:val="28"/>
          <w:szCs w:val="28"/>
        </w:rPr>
        <w:t xml:space="preserve"> y 10.880 servicios</w:t>
      </w:r>
      <w:r w:rsidR="00E1729E" w:rsidRPr="00274507">
        <w:rPr>
          <w:rStyle w:val="Refdenotaalpie"/>
          <w:sz w:val="28"/>
          <w:szCs w:val="28"/>
        </w:rPr>
        <w:footnoteReference w:id="28"/>
      </w:r>
      <w:r w:rsidR="00E1729E" w:rsidRPr="00274507">
        <w:rPr>
          <w:sz w:val="28"/>
          <w:szCs w:val="28"/>
        </w:rPr>
        <w:t xml:space="preserve"> solicitados. Concluyó que la causa principal por la cual se presentaron acciones de tutela, hacía referencia al tratamiento </w:t>
      </w:r>
      <w:r w:rsidR="00E8170A" w:rsidRPr="00274507">
        <w:rPr>
          <w:sz w:val="28"/>
          <w:szCs w:val="28"/>
        </w:rPr>
        <w:t>integral, representada en un 27,</w:t>
      </w:r>
      <w:r w:rsidR="00E1729E" w:rsidRPr="00274507">
        <w:rPr>
          <w:sz w:val="28"/>
          <w:szCs w:val="28"/>
        </w:rPr>
        <w:t>5%, de las órdenes que más del 90% fueron subsidiarias a la demora o retraso en la prestación del servicio y las otras a la negación d</w:t>
      </w:r>
      <w:r w:rsidR="00E8170A" w:rsidRPr="00274507">
        <w:rPr>
          <w:sz w:val="28"/>
          <w:szCs w:val="28"/>
        </w:rPr>
        <w:t>e prestaciones No Pos con el 27,</w:t>
      </w:r>
      <w:r w:rsidR="00E1729E" w:rsidRPr="00274507">
        <w:rPr>
          <w:sz w:val="28"/>
          <w:szCs w:val="28"/>
        </w:rPr>
        <w:t xml:space="preserve">2%. </w:t>
      </w:r>
    </w:p>
    <w:p w:rsidR="00E1729E" w:rsidRPr="00274507" w:rsidRDefault="00E1729E" w:rsidP="00274507">
      <w:pPr>
        <w:jc w:val="both"/>
        <w:rPr>
          <w:sz w:val="28"/>
          <w:szCs w:val="28"/>
        </w:rPr>
      </w:pPr>
    </w:p>
    <w:p w:rsidR="00E1729E" w:rsidRPr="00274507" w:rsidRDefault="00F55E3F" w:rsidP="00274507">
      <w:pPr>
        <w:jc w:val="both"/>
        <w:rPr>
          <w:sz w:val="28"/>
          <w:szCs w:val="28"/>
        </w:rPr>
      </w:pPr>
      <w:r w:rsidRPr="00274507">
        <w:rPr>
          <w:sz w:val="28"/>
          <w:szCs w:val="28"/>
        </w:rPr>
        <w:t>vii</w:t>
      </w:r>
      <w:r w:rsidR="00B46C50" w:rsidRPr="00274507">
        <w:rPr>
          <w:sz w:val="28"/>
          <w:szCs w:val="28"/>
        </w:rPr>
        <w:t>i</w:t>
      </w:r>
      <w:r w:rsidRPr="00274507">
        <w:rPr>
          <w:sz w:val="28"/>
          <w:szCs w:val="28"/>
        </w:rPr>
        <w:t>)</w:t>
      </w:r>
      <w:r w:rsidRPr="00274507">
        <w:rPr>
          <w:b/>
          <w:sz w:val="28"/>
          <w:szCs w:val="28"/>
        </w:rPr>
        <w:t xml:space="preserve"> </w:t>
      </w:r>
      <w:r w:rsidR="00E1729E" w:rsidRPr="00274507">
        <w:rPr>
          <w:sz w:val="28"/>
          <w:szCs w:val="28"/>
        </w:rPr>
        <w:t>En cuanto a la solicitud del servicio de acuerdo al régimen, especific</w:t>
      </w:r>
      <w:r w:rsidR="00E8170A" w:rsidRPr="00274507">
        <w:rPr>
          <w:sz w:val="28"/>
          <w:szCs w:val="28"/>
        </w:rPr>
        <w:t>ó que el 14,</w:t>
      </w:r>
      <w:r w:rsidR="00E1729E" w:rsidRPr="00274507">
        <w:rPr>
          <w:sz w:val="28"/>
          <w:szCs w:val="28"/>
        </w:rPr>
        <w:t>4% del contributivo tuvo una mayor tendencia en requerir tratamiento integral a diferencia del subsidiado en un 11,7%.  En solicitud de atención por médico no adscrito en la red se enmarca en un 0,8% en el con</w:t>
      </w:r>
      <w:r w:rsidR="00E8170A" w:rsidRPr="00274507">
        <w:rPr>
          <w:sz w:val="28"/>
          <w:szCs w:val="28"/>
        </w:rPr>
        <w:t>tributivo y 0,</w:t>
      </w:r>
      <w:r w:rsidR="00E1729E" w:rsidRPr="00274507">
        <w:rPr>
          <w:sz w:val="28"/>
          <w:szCs w:val="28"/>
        </w:rPr>
        <w:t xml:space="preserve">4% subsidiado y para reclamar la negación de servicios por pertinencia </w:t>
      </w:r>
      <w:r w:rsidR="00E8170A" w:rsidRPr="00274507">
        <w:rPr>
          <w:sz w:val="28"/>
          <w:szCs w:val="28"/>
        </w:rPr>
        <w:t>médica un 0,5% contributivo y 0,</w:t>
      </w:r>
      <w:r w:rsidR="00E1729E" w:rsidRPr="00274507">
        <w:rPr>
          <w:sz w:val="28"/>
          <w:szCs w:val="28"/>
        </w:rPr>
        <w:t>1%</w:t>
      </w:r>
      <w:r w:rsidR="00640AAC" w:rsidRPr="00274507">
        <w:rPr>
          <w:sz w:val="28"/>
          <w:szCs w:val="28"/>
        </w:rPr>
        <w:t xml:space="preserve"> subsidiado</w:t>
      </w:r>
      <w:r w:rsidR="00E1729E" w:rsidRPr="00274507">
        <w:rPr>
          <w:sz w:val="28"/>
          <w:szCs w:val="28"/>
        </w:rPr>
        <w:t>. Partiendo de este análisis, advirtió que las solicitudes relacionadas con pertinencia médica, continuidad en la atención y aspectos administrativos son los más requeridos por el régimen contributivo y que en algunas tutelas los servicios Pos o No Pos solicitados no obedecieron propiamente a la violación directa del derecho a la salud por negación del servicio, sino a condiciones que establecieron los pacientes tales como la oportunidad de citas, medicamentos de marca o solicitudes de licencias, incapacidades y traslados.</w:t>
      </w:r>
    </w:p>
    <w:p w:rsidR="00E1729E" w:rsidRPr="00274507" w:rsidRDefault="00E1729E" w:rsidP="00274507">
      <w:pPr>
        <w:jc w:val="both"/>
        <w:rPr>
          <w:sz w:val="28"/>
          <w:szCs w:val="28"/>
        </w:rPr>
      </w:pPr>
    </w:p>
    <w:p w:rsidR="00E1729E" w:rsidRPr="00274507" w:rsidRDefault="00B46C50" w:rsidP="00274507">
      <w:pPr>
        <w:jc w:val="both"/>
        <w:rPr>
          <w:noProof/>
          <w:sz w:val="28"/>
          <w:szCs w:val="28"/>
          <w:lang w:val="es-ES"/>
        </w:rPr>
      </w:pPr>
      <w:r w:rsidRPr="00274507">
        <w:rPr>
          <w:sz w:val="28"/>
          <w:szCs w:val="28"/>
        </w:rPr>
        <w:t>ix</w:t>
      </w:r>
      <w:r w:rsidR="00F55E3F" w:rsidRPr="00274507">
        <w:rPr>
          <w:sz w:val="28"/>
          <w:szCs w:val="28"/>
        </w:rPr>
        <w:t>)</w:t>
      </w:r>
      <w:r w:rsidR="00E1729E" w:rsidRPr="00274507">
        <w:rPr>
          <w:sz w:val="28"/>
          <w:szCs w:val="28"/>
        </w:rPr>
        <w:t xml:space="preserve"> De igual manera, realizó una clasificación por grupo de edad así:</w:t>
      </w:r>
      <w:r w:rsidR="00E1729E" w:rsidRPr="00274507">
        <w:rPr>
          <w:noProof/>
          <w:sz w:val="28"/>
          <w:szCs w:val="28"/>
          <w:lang w:val="es-ES"/>
        </w:rPr>
        <w:t xml:space="preserve"> </w:t>
      </w:r>
    </w:p>
    <w:p w:rsidR="002E5F57" w:rsidRPr="00274507" w:rsidRDefault="002E5F57" w:rsidP="00274507">
      <w:pPr>
        <w:jc w:val="both"/>
        <w:rPr>
          <w:noProof/>
          <w:sz w:val="28"/>
          <w:szCs w:val="28"/>
          <w:lang w:val="es-ES"/>
        </w:rPr>
      </w:pPr>
    </w:p>
    <w:p w:rsidR="00E1729E" w:rsidRPr="00274507" w:rsidRDefault="00FC49D9" w:rsidP="00274507">
      <w:pPr>
        <w:jc w:val="both"/>
        <w:rPr>
          <w:sz w:val="28"/>
          <w:szCs w:val="28"/>
        </w:rPr>
      </w:pPr>
      <w:r w:rsidRPr="00FC49D9">
        <w:rPr>
          <w:noProof/>
          <w:sz w:val="28"/>
          <w:szCs w:val="28"/>
          <w:lang w:val="es-ES"/>
        </w:rPr>
        <w:drawing>
          <wp:inline distT="0" distB="0" distL="0" distR="0">
            <wp:extent cx="5772150" cy="2952750"/>
            <wp:effectExtent l="0" t="0" r="0" b="0"/>
            <wp:docPr id="1"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381F" w:rsidRPr="00274507" w:rsidRDefault="003F381F" w:rsidP="00274507">
      <w:pPr>
        <w:jc w:val="both"/>
        <w:rPr>
          <w:sz w:val="28"/>
          <w:szCs w:val="28"/>
        </w:rPr>
      </w:pPr>
    </w:p>
    <w:p w:rsidR="00E1729E" w:rsidRPr="00274507" w:rsidRDefault="00E1729E" w:rsidP="00274507">
      <w:pPr>
        <w:jc w:val="both"/>
        <w:rPr>
          <w:sz w:val="28"/>
          <w:szCs w:val="28"/>
        </w:rPr>
      </w:pPr>
      <w:r w:rsidRPr="00274507">
        <w:rPr>
          <w:sz w:val="28"/>
          <w:szCs w:val="28"/>
        </w:rPr>
        <w:t>Explicó que las personas que presentaron tutelas con mayor frecuencia para obtener manutención, transporte y alojamiento en la realización de algún procedimiento fueron menores de 14 años edad, con un rango de 221 expedientes; mientras que para el grupo comprendido entre 15 a 64 años se enco</w:t>
      </w:r>
      <w:r w:rsidR="00B46C50" w:rsidRPr="00274507">
        <w:rPr>
          <w:sz w:val="28"/>
          <w:szCs w:val="28"/>
        </w:rPr>
        <w:t xml:space="preserve">ntró que lo </w:t>
      </w:r>
      <w:r w:rsidRPr="00274507">
        <w:rPr>
          <w:sz w:val="28"/>
          <w:szCs w:val="28"/>
        </w:rPr>
        <w:t>más demanda</w:t>
      </w:r>
      <w:r w:rsidR="00B46C50" w:rsidRPr="00274507">
        <w:rPr>
          <w:sz w:val="28"/>
          <w:szCs w:val="28"/>
        </w:rPr>
        <w:t>do</w:t>
      </w:r>
      <w:r w:rsidRPr="00274507">
        <w:rPr>
          <w:sz w:val="28"/>
          <w:szCs w:val="28"/>
        </w:rPr>
        <w:t xml:space="preserve"> fue la entrega de medicamentos con 366 acciones. </w:t>
      </w:r>
    </w:p>
    <w:p w:rsidR="00F55E3F" w:rsidRPr="00274507" w:rsidRDefault="00F55E3F" w:rsidP="00274507">
      <w:pPr>
        <w:jc w:val="both"/>
        <w:rPr>
          <w:sz w:val="28"/>
          <w:szCs w:val="28"/>
        </w:rPr>
      </w:pPr>
    </w:p>
    <w:p w:rsidR="00E1729E" w:rsidRPr="00274507" w:rsidRDefault="00B46C50" w:rsidP="00274507">
      <w:pPr>
        <w:jc w:val="both"/>
        <w:rPr>
          <w:sz w:val="28"/>
          <w:szCs w:val="28"/>
        </w:rPr>
      </w:pPr>
      <w:r w:rsidRPr="00274507">
        <w:rPr>
          <w:sz w:val="28"/>
          <w:szCs w:val="28"/>
        </w:rPr>
        <w:t>Referente</w:t>
      </w:r>
      <w:r w:rsidR="00E1729E" w:rsidRPr="00274507">
        <w:rPr>
          <w:sz w:val="28"/>
          <w:szCs w:val="28"/>
        </w:rPr>
        <w:t xml:space="preserve"> a otros aspectos concluyó:</w:t>
      </w:r>
    </w:p>
    <w:p w:rsidR="00E1729E" w:rsidRPr="00274507" w:rsidRDefault="00E1729E" w:rsidP="00274507">
      <w:pPr>
        <w:jc w:val="both"/>
        <w:rPr>
          <w:sz w:val="28"/>
          <w:szCs w:val="28"/>
        </w:rPr>
      </w:pPr>
    </w:p>
    <w:p w:rsidR="00E1729E" w:rsidRPr="00274507" w:rsidRDefault="00E1729E" w:rsidP="00274507">
      <w:pPr>
        <w:pStyle w:val="Prrafodelista"/>
        <w:numPr>
          <w:ilvl w:val="0"/>
          <w:numId w:val="17"/>
        </w:numPr>
        <w:jc w:val="both"/>
        <w:rPr>
          <w:sz w:val="28"/>
          <w:szCs w:val="28"/>
        </w:rPr>
      </w:pPr>
      <w:r w:rsidRPr="00274507">
        <w:rPr>
          <w:sz w:val="28"/>
          <w:szCs w:val="28"/>
        </w:rPr>
        <w:t>Q</w:t>
      </w:r>
      <w:r w:rsidR="00B46C50" w:rsidRPr="00274507">
        <w:rPr>
          <w:sz w:val="28"/>
          <w:szCs w:val="28"/>
        </w:rPr>
        <w:t>ue el 92,5% de las tutelas se involucraron</w:t>
      </w:r>
      <w:r w:rsidRPr="00274507">
        <w:rPr>
          <w:sz w:val="28"/>
          <w:szCs w:val="28"/>
        </w:rPr>
        <w:t xml:space="preserve"> por reclamos a la protección del derecho a la salud, con una representación de 193.403 tutelas, seguido el trabajo (2,1%), de petición (1,7), la vida (1,5), el mínimo vital (1,1) y otros (1,3). </w:t>
      </w:r>
    </w:p>
    <w:p w:rsidR="00E1729E" w:rsidRPr="00274507" w:rsidRDefault="00E1729E" w:rsidP="00274507">
      <w:pPr>
        <w:pStyle w:val="Prrafodelista"/>
        <w:numPr>
          <w:ilvl w:val="0"/>
          <w:numId w:val="17"/>
        </w:numPr>
        <w:jc w:val="both"/>
        <w:rPr>
          <w:sz w:val="28"/>
          <w:szCs w:val="28"/>
        </w:rPr>
      </w:pPr>
      <w:r w:rsidRPr="00274507">
        <w:rPr>
          <w:sz w:val="28"/>
          <w:szCs w:val="28"/>
        </w:rPr>
        <w:t xml:space="preserve">En cuanto al género </w:t>
      </w:r>
      <w:r w:rsidR="00B46C50" w:rsidRPr="00274507">
        <w:rPr>
          <w:sz w:val="28"/>
          <w:szCs w:val="28"/>
        </w:rPr>
        <w:t>el 51% se interpusieron</w:t>
      </w:r>
      <w:r w:rsidRPr="00274507">
        <w:rPr>
          <w:sz w:val="28"/>
          <w:szCs w:val="28"/>
        </w:rPr>
        <w:t xml:space="preserve"> por mujeres y el 48% por los hombres y según la edad se tuvo que los mayores de 65 años </w:t>
      </w:r>
      <w:r w:rsidR="00B46C50" w:rsidRPr="00274507">
        <w:rPr>
          <w:sz w:val="28"/>
          <w:szCs w:val="28"/>
        </w:rPr>
        <w:t xml:space="preserve">solicita la protección </w:t>
      </w:r>
      <w:r w:rsidRPr="00274507">
        <w:rPr>
          <w:sz w:val="28"/>
          <w:szCs w:val="28"/>
        </w:rPr>
        <w:t>invocaron el derecho a la salud con una frecuencia del 25.7% y el grupo etario entre 45 y 64 representaron un 25.5%.</w:t>
      </w:r>
    </w:p>
    <w:p w:rsidR="00E1729E" w:rsidRPr="00274507" w:rsidRDefault="00E1729E" w:rsidP="00274507">
      <w:pPr>
        <w:pStyle w:val="Prrafodelista"/>
        <w:numPr>
          <w:ilvl w:val="0"/>
          <w:numId w:val="17"/>
        </w:numPr>
        <w:jc w:val="both"/>
        <w:rPr>
          <w:sz w:val="28"/>
          <w:szCs w:val="28"/>
        </w:rPr>
      </w:pPr>
      <w:r w:rsidRPr="00274507">
        <w:rPr>
          <w:sz w:val="28"/>
          <w:szCs w:val="28"/>
        </w:rPr>
        <w:t>De la clasificación por personas en situación de vulnerabilidad determinó que el 29% son de la tercera edad, empero que el 45.7% de los solicitantes no fueron identificados.</w:t>
      </w:r>
    </w:p>
    <w:p w:rsidR="00E1729E" w:rsidRPr="00274507" w:rsidRDefault="00E1729E" w:rsidP="00274507">
      <w:pPr>
        <w:pStyle w:val="Prrafodelista"/>
        <w:numPr>
          <w:ilvl w:val="0"/>
          <w:numId w:val="17"/>
        </w:numPr>
        <w:tabs>
          <w:tab w:val="left" w:pos="709"/>
        </w:tabs>
        <w:ind w:hanging="436"/>
        <w:jc w:val="both"/>
        <w:rPr>
          <w:sz w:val="28"/>
          <w:szCs w:val="28"/>
        </w:rPr>
      </w:pPr>
      <w:r w:rsidRPr="00274507">
        <w:rPr>
          <w:sz w:val="28"/>
          <w:szCs w:val="28"/>
        </w:rPr>
        <w:t>En relación con la existencia de representación de los tutelantes dispuso que el 51.3% (entre personas de 45 a 65 años) interponen la tutela a nombre propio y mediante agencia oficiosa un 24,5% (mayores de 65 años).</w:t>
      </w:r>
    </w:p>
    <w:p w:rsidR="00E1729E" w:rsidRPr="00274507" w:rsidRDefault="00E1729E" w:rsidP="00274507">
      <w:pPr>
        <w:pStyle w:val="Prrafodelista"/>
        <w:numPr>
          <w:ilvl w:val="0"/>
          <w:numId w:val="17"/>
        </w:numPr>
        <w:jc w:val="both"/>
        <w:rPr>
          <w:sz w:val="28"/>
          <w:szCs w:val="28"/>
        </w:rPr>
      </w:pPr>
      <w:r w:rsidRPr="00274507">
        <w:rPr>
          <w:sz w:val="28"/>
          <w:szCs w:val="28"/>
        </w:rPr>
        <w:t>Insistió en que el 7% un margen de 372 expedientes tomados para la muestra no corresponden a tutelas en las que se invoca el derecho de salud.</w:t>
      </w:r>
    </w:p>
    <w:p w:rsidR="00E1729E" w:rsidRPr="00274507" w:rsidRDefault="00E1729E" w:rsidP="00274507">
      <w:pPr>
        <w:pStyle w:val="Prrafodelista"/>
        <w:numPr>
          <w:ilvl w:val="0"/>
          <w:numId w:val="17"/>
        </w:numPr>
        <w:jc w:val="both"/>
        <w:rPr>
          <w:sz w:val="28"/>
          <w:szCs w:val="28"/>
        </w:rPr>
      </w:pPr>
      <w:r w:rsidRPr="00274507">
        <w:rPr>
          <w:sz w:val="28"/>
          <w:szCs w:val="28"/>
        </w:rPr>
        <w:t>En el sentido de decisiones judiciales, el 67.7% de las tutelas se conced</w:t>
      </w:r>
      <w:r w:rsidR="00B46C50" w:rsidRPr="00274507">
        <w:rPr>
          <w:sz w:val="28"/>
          <w:szCs w:val="28"/>
        </w:rPr>
        <w:t>ieron</w:t>
      </w:r>
      <w:r w:rsidRPr="00274507">
        <w:rPr>
          <w:sz w:val="28"/>
          <w:szCs w:val="28"/>
        </w:rPr>
        <w:t xml:space="preserve"> en Primera Instancia, un</w:t>
      </w:r>
      <w:r w:rsidR="003C70DA" w:rsidRPr="00274507">
        <w:rPr>
          <w:sz w:val="28"/>
          <w:szCs w:val="28"/>
        </w:rPr>
        <w:t xml:space="preserve"> 13,7% parcialmente,</w:t>
      </w:r>
      <w:r w:rsidR="00B46C50" w:rsidRPr="00274507">
        <w:rPr>
          <w:sz w:val="28"/>
          <w:szCs w:val="28"/>
        </w:rPr>
        <w:t xml:space="preserve"> el 18,6% se negaron</w:t>
      </w:r>
      <w:r w:rsidRPr="00274507">
        <w:rPr>
          <w:sz w:val="28"/>
          <w:szCs w:val="28"/>
        </w:rPr>
        <w:t xml:space="preserve"> (por hecho su</w:t>
      </w:r>
      <w:r w:rsidR="003C70DA" w:rsidRPr="00274507">
        <w:rPr>
          <w:sz w:val="28"/>
          <w:szCs w:val="28"/>
        </w:rPr>
        <w:t xml:space="preserve">perado 11,8%, improcedente 2,8%, por </w:t>
      </w:r>
      <w:r w:rsidRPr="00274507">
        <w:rPr>
          <w:sz w:val="28"/>
          <w:szCs w:val="28"/>
        </w:rPr>
        <w:t>no cons</w:t>
      </w:r>
      <w:r w:rsidR="003C70DA" w:rsidRPr="00274507">
        <w:rPr>
          <w:sz w:val="28"/>
          <w:szCs w:val="28"/>
        </w:rPr>
        <w:t xml:space="preserve">iderar eminente peligro el 2,8%. </w:t>
      </w:r>
      <w:r w:rsidRPr="00274507">
        <w:rPr>
          <w:sz w:val="28"/>
          <w:szCs w:val="28"/>
        </w:rPr>
        <w:t>Solo el 17% impugnó</w:t>
      </w:r>
      <w:r w:rsidRPr="00274507">
        <w:rPr>
          <w:rStyle w:val="Refdenotaalpie"/>
          <w:sz w:val="28"/>
          <w:szCs w:val="28"/>
        </w:rPr>
        <w:footnoteReference w:id="29"/>
      </w:r>
      <w:r w:rsidR="00B46C50" w:rsidRPr="00274507">
        <w:rPr>
          <w:sz w:val="28"/>
          <w:szCs w:val="28"/>
        </w:rPr>
        <w:t xml:space="preserve"> de</w:t>
      </w:r>
      <w:r w:rsidRPr="00274507">
        <w:rPr>
          <w:sz w:val="28"/>
          <w:szCs w:val="28"/>
        </w:rPr>
        <w:t xml:space="preserve"> las cuales se cambió la decisión en un 3%.</w:t>
      </w:r>
    </w:p>
    <w:p w:rsidR="00E1729E" w:rsidRPr="00274507" w:rsidRDefault="00E1729E" w:rsidP="00274507">
      <w:pPr>
        <w:pStyle w:val="Prrafodelista"/>
        <w:numPr>
          <w:ilvl w:val="0"/>
          <w:numId w:val="17"/>
        </w:numPr>
        <w:jc w:val="both"/>
        <w:rPr>
          <w:sz w:val="28"/>
          <w:szCs w:val="28"/>
        </w:rPr>
      </w:pPr>
      <w:r w:rsidRPr="00274507">
        <w:rPr>
          <w:sz w:val="28"/>
          <w:szCs w:val="28"/>
        </w:rPr>
        <w:t>De acuerdo con la información contenida en la encuesta de evaluación de servicios de las EPS-2015</w:t>
      </w:r>
      <w:r w:rsidRPr="00274507">
        <w:rPr>
          <w:rStyle w:val="Refdenotaalpie"/>
          <w:sz w:val="28"/>
          <w:szCs w:val="28"/>
        </w:rPr>
        <w:footnoteReference w:id="30"/>
      </w:r>
      <w:r w:rsidRPr="00274507">
        <w:rPr>
          <w:sz w:val="28"/>
          <w:szCs w:val="28"/>
        </w:rPr>
        <w:t xml:space="preserve"> la mayoría</w:t>
      </w:r>
      <w:r w:rsidR="00B46C50" w:rsidRPr="00274507">
        <w:rPr>
          <w:sz w:val="28"/>
          <w:szCs w:val="28"/>
        </w:rPr>
        <w:t xml:space="preserve"> (98.7%) de los pacientes accediero</w:t>
      </w:r>
      <w:r w:rsidRPr="00274507">
        <w:rPr>
          <w:sz w:val="28"/>
          <w:szCs w:val="28"/>
        </w:rPr>
        <w:t>n a los servicios de salud sin necesidad de interponer acción de tutela.</w:t>
      </w:r>
    </w:p>
    <w:p w:rsidR="00E1729E" w:rsidRPr="00274507" w:rsidRDefault="00E1729E" w:rsidP="00274507">
      <w:pPr>
        <w:ind w:left="360"/>
        <w:jc w:val="both"/>
        <w:rPr>
          <w:sz w:val="28"/>
          <w:szCs w:val="28"/>
        </w:rPr>
      </w:pPr>
    </w:p>
    <w:p w:rsidR="00916A77" w:rsidRPr="00274507" w:rsidRDefault="00E1729E" w:rsidP="00274507">
      <w:pPr>
        <w:jc w:val="both"/>
        <w:rPr>
          <w:sz w:val="28"/>
          <w:szCs w:val="28"/>
        </w:rPr>
      </w:pPr>
      <w:r w:rsidRPr="00274507">
        <w:rPr>
          <w:sz w:val="28"/>
          <w:szCs w:val="28"/>
        </w:rPr>
        <w:t xml:space="preserve">Finalmente, desarrolló las prácticas violatorias del derecho a la salud planteadas en la sentencia T-760 de 2008, no obstante, aclaró </w:t>
      </w:r>
      <w:r w:rsidR="00B46C50" w:rsidRPr="00274507">
        <w:rPr>
          <w:sz w:val="28"/>
          <w:szCs w:val="28"/>
        </w:rPr>
        <w:t>que en algunos expedientes no fue posible determinar la</w:t>
      </w:r>
      <w:r w:rsidRPr="00274507">
        <w:rPr>
          <w:sz w:val="28"/>
          <w:szCs w:val="28"/>
        </w:rPr>
        <w:t xml:space="preserve"> vulneración del derecho</w:t>
      </w:r>
      <w:r w:rsidR="00640AAC" w:rsidRPr="00274507">
        <w:rPr>
          <w:sz w:val="28"/>
          <w:szCs w:val="28"/>
        </w:rPr>
        <w:t>,</w:t>
      </w:r>
      <w:r w:rsidRPr="00274507">
        <w:rPr>
          <w:sz w:val="28"/>
          <w:szCs w:val="28"/>
        </w:rPr>
        <w:t xml:space="preserve"> ya que no s</w:t>
      </w:r>
      <w:r w:rsidR="00B46C50" w:rsidRPr="00274507">
        <w:rPr>
          <w:sz w:val="28"/>
          <w:szCs w:val="28"/>
        </w:rPr>
        <w:t>e enco</w:t>
      </w:r>
      <w:r w:rsidRPr="00274507">
        <w:rPr>
          <w:sz w:val="28"/>
          <w:szCs w:val="28"/>
        </w:rPr>
        <w:t>ntra</w:t>
      </w:r>
      <w:r w:rsidR="00B46C50" w:rsidRPr="00274507">
        <w:rPr>
          <w:sz w:val="28"/>
          <w:szCs w:val="28"/>
        </w:rPr>
        <w:t>ron</w:t>
      </w:r>
      <w:r w:rsidRPr="00274507">
        <w:rPr>
          <w:sz w:val="28"/>
          <w:szCs w:val="28"/>
        </w:rPr>
        <w:t xml:space="preserve"> soporte</w:t>
      </w:r>
      <w:r w:rsidR="00B46C50" w:rsidRPr="00274507">
        <w:rPr>
          <w:sz w:val="28"/>
          <w:szCs w:val="28"/>
        </w:rPr>
        <w:t>s</w:t>
      </w:r>
      <w:r w:rsidRPr="00274507">
        <w:rPr>
          <w:sz w:val="28"/>
          <w:szCs w:val="28"/>
        </w:rPr>
        <w:t xml:space="preserve"> probatorio</w:t>
      </w:r>
      <w:r w:rsidR="00B46C50" w:rsidRPr="00274507">
        <w:rPr>
          <w:sz w:val="28"/>
          <w:szCs w:val="28"/>
        </w:rPr>
        <w:t>s</w:t>
      </w:r>
      <w:r w:rsidRPr="00274507">
        <w:rPr>
          <w:sz w:val="28"/>
          <w:szCs w:val="28"/>
        </w:rPr>
        <w:t xml:space="preserve"> de la negación de un servicio. Adicionalmente</w:t>
      </w:r>
      <w:r w:rsidR="00640AAC" w:rsidRPr="00274507">
        <w:rPr>
          <w:sz w:val="28"/>
          <w:szCs w:val="28"/>
        </w:rPr>
        <w:t>,</w:t>
      </w:r>
      <w:r w:rsidRPr="00274507">
        <w:rPr>
          <w:sz w:val="28"/>
          <w:szCs w:val="28"/>
        </w:rPr>
        <w:t xml:space="preserve"> señaló que </w:t>
      </w:r>
      <w:r w:rsidR="00B5309A" w:rsidRPr="00274507">
        <w:rPr>
          <w:sz w:val="28"/>
          <w:szCs w:val="28"/>
        </w:rPr>
        <w:t xml:space="preserve">en las solicitudes de algunas acciones no se </w:t>
      </w:r>
      <w:r w:rsidRPr="00274507">
        <w:rPr>
          <w:sz w:val="28"/>
          <w:szCs w:val="28"/>
        </w:rPr>
        <w:t xml:space="preserve">diligenció </w:t>
      </w:r>
      <w:r w:rsidR="00B5309A" w:rsidRPr="00274507">
        <w:rPr>
          <w:sz w:val="28"/>
          <w:szCs w:val="28"/>
        </w:rPr>
        <w:t>el respectivo trámite an</w:t>
      </w:r>
      <w:r w:rsidRPr="00274507">
        <w:rPr>
          <w:sz w:val="28"/>
          <w:szCs w:val="28"/>
        </w:rPr>
        <w:t xml:space="preserve">te el Comité Técnico Científico quien es el encargado de evaluar a los prestadores </w:t>
      </w:r>
      <w:r w:rsidR="00640AAC" w:rsidRPr="00274507">
        <w:rPr>
          <w:sz w:val="28"/>
          <w:szCs w:val="28"/>
        </w:rPr>
        <w:t xml:space="preserve">del servicio. </w:t>
      </w:r>
    </w:p>
    <w:p w:rsidR="00B62F12" w:rsidRPr="00274507" w:rsidRDefault="00B62F12" w:rsidP="00274507">
      <w:pPr>
        <w:shd w:val="clear" w:color="auto" w:fill="FFFFFF" w:themeFill="background1"/>
        <w:tabs>
          <w:tab w:val="left" w:pos="7232"/>
        </w:tabs>
        <w:rPr>
          <w:b/>
          <w:sz w:val="28"/>
          <w:szCs w:val="28"/>
          <w:lang w:val="es-ES"/>
        </w:rPr>
      </w:pPr>
    </w:p>
    <w:p w:rsidR="00B62F12" w:rsidRPr="00274507" w:rsidRDefault="00074B82" w:rsidP="00274507">
      <w:pPr>
        <w:pStyle w:val="Prrafodelista"/>
        <w:widowControl w:val="0"/>
        <w:numPr>
          <w:ilvl w:val="0"/>
          <w:numId w:val="25"/>
        </w:numPr>
        <w:tabs>
          <w:tab w:val="left" w:pos="426"/>
        </w:tabs>
        <w:autoSpaceDE w:val="0"/>
        <w:autoSpaceDN w:val="0"/>
        <w:adjustRightInd w:val="0"/>
        <w:jc w:val="both"/>
        <w:rPr>
          <w:b/>
          <w:sz w:val="28"/>
          <w:szCs w:val="28"/>
        </w:rPr>
      </w:pPr>
      <w:r w:rsidRPr="00274507">
        <w:rPr>
          <w:b/>
          <w:sz w:val="28"/>
          <w:szCs w:val="28"/>
        </w:rPr>
        <w:t xml:space="preserve">Informes de seguimiento </w:t>
      </w:r>
      <w:r w:rsidR="00916A77" w:rsidRPr="00274507">
        <w:rPr>
          <w:b/>
          <w:sz w:val="28"/>
          <w:szCs w:val="28"/>
        </w:rPr>
        <w:t xml:space="preserve">presentados </w:t>
      </w:r>
      <w:r w:rsidRPr="00274507">
        <w:rPr>
          <w:b/>
          <w:sz w:val="28"/>
          <w:szCs w:val="28"/>
        </w:rPr>
        <w:t>por parte de la</w:t>
      </w:r>
      <w:r w:rsidR="00B62F12" w:rsidRPr="00274507">
        <w:rPr>
          <w:b/>
          <w:sz w:val="28"/>
          <w:szCs w:val="28"/>
        </w:rPr>
        <w:t>s Autoridades encargadas del seguimiento de la orden trigésima.</w:t>
      </w:r>
    </w:p>
    <w:p w:rsidR="00B62F12" w:rsidRPr="00274507" w:rsidRDefault="00B62F12" w:rsidP="00274507">
      <w:pPr>
        <w:widowControl w:val="0"/>
        <w:tabs>
          <w:tab w:val="left" w:pos="426"/>
        </w:tabs>
        <w:autoSpaceDE w:val="0"/>
        <w:autoSpaceDN w:val="0"/>
        <w:adjustRightInd w:val="0"/>
        <w:jc w:val="both"/>
        <w:rPr>
          <w:b/>
          <w:sz w:val="28"/>
          <w:szCs w:val="28"/>
        </w:rPr>
      </w:pPr>
    </w:p>
    <w:p w:rsidR="00B62F12" w:rsidRPr="00274507" w:rsidRDefault="00B62F12" w:rsidP="00274507">
      <w:pPr>
        <w:widowControl w:val="0"/>
        <w:tabs>
          <w:tab w:val="left" w:pos="426"/>
        </w:tabs>
        <w:autoSpaceDE w:val="0"/>
        <w:autoSpaceDN w:val="0"/>
        <w:adjustRightInd w:val="0"/>
        <w:jc w:val="both"/>
        <w:rPr>
          <w:b/>
          <w:sz w:val="28"/>
          <w:szCs w:val="28"/>
        </w:rPr>
      </w:pPr>
      <w:r w:rsidRPr="00274507">
        <w:rPr>
          <w:b/>
          <w:sz w:val="28"/>
          <w:szCs w:val="28"/>
        </w:rPr>
        <w:t xml:space="preserve">Procuraduría General de la Nación </w:t>
      </w:r>
    </w:p>
    <w:p w:rsidR="00B62F12" w:rsidRPr="00274507" w:rsidRDefault="00B62F12" w:rsidP="00274507">
      <w:pPr>
        <w:widowControl w:val="0"/>
        <w:tabs>
          <w:tab w:val="left" w:pos="426"/>
        </w:tabs>
        <w:autoSpaceDE w:val="0"/>
        <w:autoSpaceDN w:val="0"/>
        <w:adjustRightInd w:val="0"/>
        <w:jc w:val="both"/>
        <w:rPr>
          <w:b/>
          <w:sz w:val="28"/>
          <w:szCs w:val="28"/>
        </w:rPr>
      </w:pPr>
    </w:p>
    <w:p w:rsidR="00B62F12" w:rsidRPr="00274507" w:rsidRDefault="00B62F12" w:rsidP="00274507">
      <w:pPr>
        <w:jc w:val="both"/>
        <w:rPr>
          <w:sz w:val="28"/>
          <w:szCs w:val="28"/>
        </w:rPr>
      </w:pPr>
      <w:r w:rsidRPr="00274507">
        <w:rPr>
          <w:sz w:val="28"/>
          <w:szCs w:val="28"/>
        </w:rPr>
        <w:t>Por su parte, la Procuraduría General de la Nación no ha rendido ante esta Sala Especial de Seguimiento ningún informe de seguimiento en cumplimiento de lo dispuesto en la orden trigésima.</w:t>
      </w:r>
    </w:p>
    <w:p w:rsidR="00B62F12" w:rsidRPr="00274507" w:rsidRDefault="00B62F12" w:rsidP="00274507">
      <w:pPr>
        <w:widowControl w:val="0"/>
        <w:tabs>
          <w:tab w:val="left" w:pos="426"/>
        </w:tabs>
        <w:autoSpaceDE w:val="0"/>
        <w:autoSpaceDN w:val="0"/>
        <w:adjustRightInd w:val="0"/>
        <w:jc w:val="both"/>
        <w:rPr>
          <w:b/>
          <w:sz w:val="28"/>
          <w:szCs w:val="28"/>
        </w:rPr>
      </w:pPr>
    </w:p>
    <w:p w:rsidR="00E80049" w:rsidRPr="00274507" w:rsidRDefault="00074B82" w:rsidP="00274507">
      <w:pPr>
        <w:widowControl w:val="0"/>
        <w:tabs>
          <w:tab w:val="left" w:pos="426"/>
        </w:tabs>
        <w:autoSpaceDE w:val="0"/>
        <w:autoSpaceDN w:val="0"/>
        <w:adjustRightInd w:val="0"/>
        <w:jc w:val="both"/>
        <w:rPr>
          <w:b/>
          <w:sz w:val="28"/>
          <w:szCs w:val="28"/>
        </w:rPr>
      </w:pPr>
      <w:r w:rsidRPr="00274507">
        <w:rPr>
          <w:b/>
          <w:sz w:val="28"/>
          <w:szCs w:val="28"/>
        </w:rPr>
        <w:t>Defensoría del Pueblo.</w:t>
      </w:r>
    </w:p>
    <w:p w:rsidR="00E80049" w:rsidRPr="00274507" w:rsidRDefault="00E80049" w:rsidP="00274507">
      <w:pPr>
        <w:widowControl w:val="0"/>
        <w:tabs>
          <w:tab w:val="left" w:pos="426"/>
        </w:tabs>
        <w:autoSpaceDE w:val="0"/>
        <w:autoSpaceDN w:val="0"/>
        <w:adjustRightInd w:val="0"/>
        <w:jc w:val="both"/>
        <w:rPr>
          <w:b/>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3</w:t>
      </w:r>
      <w:r w:rsidR="00074B82" w:rsidRPr="00274507">
        <w:rPr>
          <w:sz w:val="28"/>
          <w:szCs w:val="28"/>
        </w:rPr>
        <w:t>.1.</w:t>
      </w:r>
      <w:r w:rsidR="00074B82" w:rsidRPr="00274507">
        <w:rPr>
          <w:b/>
          <w:sz w:val="28"/>
          <w:szCs w:val="28"/>
        </w:rPr>
        <w:t xml:space="preserve"> </w:t>
      </w:r>
      <w:r w:rsidR="00C76FF1" w:rsidRPr="00274507">
        <w:rPr>
          <w:sz w:val="28"/>
          <w:szCs w:val="28"/>
        </w:rPr>
        <w:t>El 25 de junio de 2009</w:t>
      </w:r>
      <w:r w:rsidR="00C76FF1" w:rsidRPr="00274507">
        <w:rPr>
          <w:rStyle w:val="Refdenotaalpie"/>
          <w:sz w:val="28"/>
          <w:szCs w:val="28"/>
        </w:rPr>
        <w:footnoteReference w:id="31"/>
      </w:r>
      <w:r w:rsidR="00DC21CC" w:rsidRPr="00274507">
        <w:rPr>
          <w:sz w:val="28"/>
          <w:szCs w:val="28"/>
        </w:rPr>
        <w:t xml:space="preserve">,  </w:t>
      </w:r>
      <w:r w:rsidR="006A22F5" w:rsidRPr="00274507">
        <w:rPr>
          <w:sz w:val="28"/>
          <w:szCs w:val="28"/>
        </w:rPr>
        <w:t>remitió el primer informe de seguimiento de las órdenes impartidas en la T-760 de 2008</w:t>
      </w:r>
      <w:r w:rsidR="00E42CBC" w:rsidRPr="00274507">
        <w:rPr>
          <w:sz w:val="28"/>
          <w:szCs w:val="28"/>
        </w:rPr>
        <w:t>. R</w:t>
      </w:r>
      <w:r w:rsidR="006A22F5" w:rsidRPr="00274507">
        <w:rPr>
          <w:sz w:val="28"/>
          <w:szCs w:val="28"/>
        </w:rPr>
        <w:t>especto a la trigésima</w:t>
      </w:r>
      <w:r w:rsidR="007A213F" w:rsidRPr="00274507">
        <w:rPr>
          <w:sz w:val="28"/>
          <w:szCs w:val="28"/>
        </w:rPr>
        <w:t>,</w:t>
      </w:r>
      <w:r w:rsidR="006A22F5" w:rsidRPr="00274507">
        <w:rPr>
          <w:sz w:val="28"/>
          <w:szCs w:val="28"/>
        </w:rPr>
        <w:t xml:space="preserve"> indicó que h</w:t>
      </w:r>
      <w:r w:rsidR="007A213F" w:rsidRPr="00274507">
        <w:rPr>
          <w:sz w:val="28"/>
          <w:szCs w:val="28"/>
        </w:rPr>
        <w:t>abían</w:t>
      </w:r>
      <w:r w:rsidR="004A08C3" w:rsidRPr="00274507">
        <w:rPr>
          <w:sz w:val="28"/>
          <w:szCs w:val="28"/>
        </w:rPr>
        <w:t xml:space="preserve"> aumentado</w:t>
      </w:r>
      <w:r w:rsidR="00C91BAB" w:rsidRPr="00274507">
        <w:rPr>
          <w:sz w:val="28"/>
          <w:szCs w:val="28"/>
        </w:rPr>
        <w:t xml:space="preserve"> las </w:t>
      </w:r>
      <w:r w:rsidR="004A08C3" w:rsidRPr="00274507">
        <w:rPr>
          <w:sz w:val="28"/>
          <w:szCs w:val="28"/>
        </w:rPr>
        <w:t xml:space="preserve">acciones de tutela por </w:t>
      </w:r>
      <w:r w:rsidR="00C91BAB" w:rsidRPr="00274507">
        <w:rPr>
          <w:sz w:val="28"/>
          <w:szCs w:val="28"/>
        </w:rPr>
        <w:t xml:space="preserve">solicitudes de recobro </w:t>
      </w:r>
      <w:r w:rsidR="007A213F" w:rsidRPr="00274507">
        <w:rPr>
          <w:sz w:val="28"/>
          <w:szCs w:val="28"/>
        </w:rPr>
        <w:t xml:space="preserve">y </w:t>
      </w:r>
      <w:r w:rsidR="004A08C3" w:rsidRPr="00274507">
        <w:rPr>
          <w:sz w:val="28"/>
          <w:szCs w:val="28"/>
        </w:rPr>
        <w:t xml:space="preserve">por </w:t>
      </w:r>
      <w:r w:rsidR="006A22F5" w:rsidRPr="00274507">
        <w:rPr>
          <w:sz w:val="28"/>
          <w:szCs w:val="28"/>
        </w:rPr>
        <w:t>servicios POS,</w:t>
      </w:r>
      <w:r w:rsidR="007A213F" w:rsidRPr="00274507">
        <w:rPr>
          <w:sz w:val="28"/>
          <w:szCs w:val="28"/>
        </w:rPr>
        <w:t xml:space="preserve"> tal como fue</w:t>
      </w:r>
      <w:r w:rsidR="006A22F5" w:rsidRPr="00274507">
        <w:rPr>
          <w:sz w:val="28"/>
          <w:szCs w:val="28"/>
        </w:rPr>
        <w:t xml:space="preserve"> demo</w:t>
      </w:r>
      <w:r w:rsidR="004A08C3" w:rsidRPr="00274507">
        <w:rPr>
          <w:sz w:val="28"/>
          <w:szCs w:val="28"/>
        </w:rPr>
        <w:t>str</w:t>
      </w:r>
      <w:r w:rsidR="007A213F" w:rsidRPr="00274507">
        <w:rPr>
          <w:sz w:val="28"/>
          <w:szCs w:val="28"/>
        </w:rPr>
        <w:t>ado</w:t>
      </w:r>
      <w:r w:rsidR="006A22F5" w:rsidRPr="00274507">
        <w:rPr>
          <w:sz w:val="28"/>
          <w:szCs w:val="28"/>
        </w:rPr>
        <w:t xml:space="preserve"> en su</w:t>
      </w:r>
      <w:r w:rsidR="004A08C3" w:rsidRPr="00274507">
        <w:rPr>
          <w:sz w:val="28"/>
          <w:szCs w:val="28"/>
        </w:rPr>
        <w:t xml:space="preserve"> estudio adelantado sobre </w:t>
      </w:r>
      <w:r w:rsidR="00C76FF1" w:rsidRPr="00274507">
        <w:rPr>
          <w:sz w:val="28"/>
          <w:szCs w:val="28"/>
        </w:rPr>
        <w:t>el número de tutelas en salud entre 1999 y 2008, así:</w:t>
      </w:r>
    </w:p>
    <w:p w:rsidR="00C76FF1" w:rsidRPr="00274507" w:rsidRDefault="00C76FF1" w:rsidP="00274507">
      <w:pPr>
        <w:widowControl w:val="0"/>
        <w:tabs>
          <w:tab w:val="left" w:pos="426"/>
        </w:tabs>
        <w:autoSpaceDE w:val="0"/>
        <w:autoSpaceDN w:val="0"/>
        <w:adjustRightInd w:val="0"/>
        <w:jc w:val="both"/>
        <w:rPr>
          <w:b/>
          <w:sz w:val="28"/>
          <w:szCs w:val="28"/>
        </w:rPr>
      </w:pPr>
    </w:p>
    <w:tbl>
      <w:tblPr>
        <w:tblStyle w:val="Tablaconcuadrcula"/>
        <w:tblW w:w="0" w:type="auto"/>
        <w:tblInd w:w="-5" w:type="dxa"/>
        <w:tblLayout w:type="fixed"/>
        <w:tblLook w:val="04A0" w:firstRow="1" w:lastRow="0" w:firstColumn="1" w:lastColumn="0" w:noHBand="0" w:noVBand="1"/>
      </w:tblPr>
      <w:tblGrid>
        <w:gridCol w:w="2262"/>
        <w:gridCol w:w="1133"/>
        <w:gridCol w:w="1133"/>
        <w:gridCol w:w="1851"/>
        <w:gridCol w:w="1276"/>
        <w:gridCol w:w="1417"/>
      </w:tblGrid>
      <w:tr w:rsidR="00C76FF1" w:rsidRPr="00274507" w:rsidTr="00C76FF1">
        <w:trPr>
          <w:trHeight w:val="577"/>
        </w:trPr>
        <w:tc>
          <w:tcPr>
            <w:tcW w:w="9072" w:type="dxa"/>
            <w:gridSpan w:val="6"/>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PARTICIPACIÓN DE LAS TUTELAS DE SALUD</w:t>
            </w:r>
          </w:p>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Período 1999-2008</w:t>
            </w:r>
          </w:p>
          <w:p w:rsidR="00C76FF1" w:rsidRPr="00274507" w:rsidRDefault="00C76FF1" w:rsidP="00274507">
            <w:pPr>
              <w:widowControl w:val="0"/>
              <w:tabs>
                <w:tab w:val="left" w:pos="426"/>
              </w:tabs>
              <w:autoSpaceDE w:val="0"/>
              <w:autoSpaceDN w:val="0"/>
              <w:adjustRightInd w:val="0"/>
              <w:jc w:val="center"/>
              <w:rPr>
                <w:b/>
                <w:sz w:val="28"/>
                <w:szCs w:val="28"/>
              </w:rPr>
            </w:pPr>
          </w:p>
        </w:tc>
      </w:tr>
      <w:tr w:rsidR="00C76FF1" w:rsidRPr="00274507" w:rsidTr="00C76FF1">
        <w:trPr>
          <w:trHeight w:val="728"/>
        </w:trPr>
        <w:tc>
          <w:tcPr>
            <w:tcW w:w="2262" w:type="dxa"/>
          </w:tcPr>
          <w:p w:rsidR="00C76FF1" w:rsidRPr="00274507" w:rsidRDefault="00C76FF1" w:rsidP="00274507">
            <w:pPr>
              <w:widowControl w:val="0"/>
              <w:tabs>
                <w:tab w:val="left" w:pos="426"/>
              </w:tabs>
              <w:autoSpaceDE w:val="0"/>
              <w:autoSpaceDN w:val="0"/>
              <w:adjustRightInd w:val="0"/>
              <w:jc w:val="center"/>
              <w:rPr>
                <w:b/>
                <w:sz w:val="28"/>
                <w:szCs w:val="28"/>
              </w:rPr>
            </w:pPr>
          </w:p>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AÑO</w:t>
            </w:r>
          </w:p>
        </w:tc>
        <w:tc>
          <w:tcPr>
            <w:tcW w:w="2266" w:type="dxa"/>
            <w:gridSpan w:val="2"/>
          </w:tcPr>
          <w:p w:rsidR="00C76FF1" w:rsidRPr="00274507" w:rsidRDefault="00C76FF1" w:rsidP="00274507">
            <w:pPr>
              <w:widowControl w:val="0"/>
              <w:tabs>
                <w:tab w:val="left" w:pos="426"/>
              </w:tabs>
              <w:autoSpaceDE w:val="0"/>
              <w:autoSpaceDN w:val="0"/>
              <w:adjustRightInd w:val="0"/>
              <w:jc w:val="center"/>
              <w:rPr>
                <w:b/>
                <w:sz w:val="28"/>
                <w:szCs w:val="28"/>
              </w:rPr>
            </w:pPr>
          </w:p>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TUTELAS</w:t>
            </w:r>
          </w:p>
        </w:tc>
        <w:tc>
          <w:tcPr>
            <w:tcW w:w="1851" w:type="dxa"/>
          </w:tcPr>
          <w:p w:rsidR="00C76FF1" w:rsidRPr="00274507" w:rsidRDefault="00C76FF1" w:rsidP="00274507">
            <w:pPr>
              <w:widowControl w:val="0"/>
              <w:tabs>
                <w:tab w:val="left" w:pos="426"/>
              </w:tabs>
              <w:autoSpaceDE w:val="0"/>
              <w:autoSpaceDN w:val="0"/>
              <w:adjustRightInd w:val="0"/>
              <w:jc w:val="center"/>
              <w:rPr>
                <w:b/>
                <w:sz w:val="28"/>
                <w:szCs w:val="28"/>
              </w:rPr>
            </w:pPr>
          </w:p>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PARTICIPACIÓN</w:t>
            </w:r>
          </w:p>
        </w:tc>
        <w:tc>
          <w:tcPr>
            <w:tcW w:w="2693" w:type="dxa"/>
            <w:gridSpan w:val="2"/>
          </w:tcPr>
          <w:p w:rsidR="00C76FF1" w:rsidRPr="00274507" w:rsidRDefault="00C76FF1" w:rsidP="00274507">
            <w:pPr>
              <w:widowControl w:val="0"/>
              <w:tabs>
                <w:tab w:val="left" w:pos="426"/>
              </w:tabs>
              <w:autoSpaceDE w:val="0"/>
              <w:autoSpaceDN w:val="0"/>
              <w:adjustRightInd w:val="0"/>
              <w:jc w:val="center"/>
              <w:rPr>
                <w:b/>
                <w:sz w:val="28"/>
                <w:szCs w:val="28"/>
              </w:rPr>
            </w:pPr>
          </w:p>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TASA DE CRECIMIENTO ANUAL</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SALUD</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TOTAL</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SALUD</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TOTAL</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1999</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21.301</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86.313</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24,68%</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2000</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24.843</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131.764</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18,85%</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16,63%</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52,66%</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2001</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34.319</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133.272</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25,75%</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38,14%</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1,14%</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2002</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42.734</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143.887</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29,70%</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24,52%</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7,96%</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2003</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51.944</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149.439</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34,76%</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21,55%</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3,86%</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2004</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72.033</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198.125</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36,36%</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38,67%</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32,58%</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2005</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81.017</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224.270</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36,12%</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12,47%</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13,20%</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2006</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96.226</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256.166</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37,56%</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18,77%</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14,22%</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2007</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107.238</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283.637</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37,81%</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11,44%</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10,72%</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2008</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142.957</w:t>
            </w:r>
          </w:p>
        </w:tc>
        <w:tc>
          <w:tcPr>
            <w:tcW w:w="1133"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344.468</w:t>
            </w:r>
          </w:p>
        </w:tc>
        <w:tc>
          <w:tcPr>
            <w:tcW w:w="1851"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41,50%</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33,31%</w:t>
            </w: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r w:rsidRPr="00274507">
              <w:rPr>
                <w:sz w:val="28"/>
                <w:szCs w:val="28"/>
              </w:rPr>
              <w:t>21,45%</w:t>
            </w:r>
          </w:p>
        </w:tc>
      </w:tr>
      <w:tr w:rsidR="00C76FF1" w:rsidRPr="00274507" w:rsidTr="00C76FF1">
        <w:tc>
          <w:tcPr>
            <w:tcW w:w="2262"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TOTAL</w:t>
            </w:r>
          </w:p>
        </w:tc>
        <w:tc>
          <w:tcPr>
            <w:tcW w:w="1133"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674.612</w:t>
            </w:r>
          </w:p>
        </w:tc>
        <w:tc>
          <w:tcPr>
            <w:tcW w:w="1133"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1.951.341</w:t>
            </w:r>
          </w:p>
        </w:tc>
        <w:tc>
          <w:tcPr>
            <w:tcW w:w="1851"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34,57</w:t>
            </w:r>
          </w:p>
        </w:tc>
        <w:tc>
          <w:tcPr>
            <w:tcW w:w="1276" w:type="dxa"/>
          </w:tcPr>
          <w:p w:rsidR="00C76FF1" w:rsidRPr="00274507" w:rsidRDefault="00C76FF1" w:rsidP="00274507">
            <w:pPr>
              <w:widowControl w:val="0"/>
              <w:tabs>
                <w:tab w:val="left" w:pos="426"/>
              </w:tabs>
              <w:autoSpaceDE w:val="0"/>
              <w:autoSpaceDN w:val="0"/>
              <w:adjustRightInd w:val="0"/>
              <w:jc w:val="center"/>
              <w:rPr>
                <w:sz w:val="28"/>
                <w:szCs w:val="28"/>
              </w:rPr>
            </w:pPr>
          </w:p>
        </w:tc>
        <w:tc>
          <w:tcPr>
            <w:tcW w:w="1417" w:type="dxa"/>
          </w:tcPr>
          <w:p w:rsidR="00C76FF1" w:rsidRPr="00274507" w:rsidRDefault="00C76FF1" w:rsidP="00274507">
            <w:pPr>
              <w:widowControl w:val="0"/>
              <w:tabs>
                <w:tab w:val="left" w:pos="426"/>
              </w:tabs>
              <w:autoSpaceDE w:val="0"/>
              <w:autoSpaceDN w:val="0"/>
              <w:adjustRightInd w:val="0"/>
              <w:jc w:val="center"/>
              <w:rPr>
                <w:sz w:val="28"/>
                <w:szCs w:val="28"/>
              </w:rPr>
            </w:pPr>
          </w:p>
        </w:tc>
      </w:tr>
    </w:tbl>
    <w:p w:rsidR="00C76FF1" w:rsidRPr="00274507" w:rsidRDefault="00C76FF1" w:rsidP="00274507">
      <w:pPr>
        <w:jc w:val="both"/>
        <w:rPr>
          <w:sz w:val="28"/>
          <w:szCs w:val="28"/>
        </w:rPr>
      </w:pPr>
    </w:p>
    <w:p w:rsidR="004A08C3" w:rsidRPr="00274507" w:rsidRDefault="00074B82" w:rsidP="00274507">
      <w:pPr>
        <w:jc w:val="both"/>
        <w:rPr>
          <w:sz w:val="28"/>
          <w:szCs w:val="28"/>
        </w:rPr>
      </w:pPr>
      <w:r w:rsidRPr="00274507">
        <w:rPr>
          <w:sz w:val="28"/>
          <w:szCs w:val="28"/>
        </w:rPr>
        <w:t xml:space="preserve">Precisó </w:t>
      </w:r>
      <w:r w:rsidR="00C55054" w:rsidRPr="00274507">
        <w:rPr>
          <w:sz w:val="28"/>
          <w:szCs w:val="28"/>
        </w:rPr>
        <w:t>que en el informe</w:t>
      </w:r>
      <w:r w:rsidR="000E49BE" w:rsidRPr="00274507">
        <w:rPr>
          <w:sz w:val="28"/>
          <w:szCs w:val="28"/>
        </w:rPr>
        <w:t xml:space="preserve"> </w:t>
      </w:r>
      <w:r w:rsidR="007A213F" w:rsidRPr="00274507">
        <w:rPr>
          <w:sz w:val="28"/>
          <w:szCs w:val="28"/>
        </w:rPr>
        <w:t xml:space="preserve">de cumplimiento </w:t>
      </w:r>
      <w:r w:rsidR="000E49BE" w:rsidRPr="00274507">
        <w:rPr>
          <w:sz w:val="28"/>
          <w:szCs w:val="28"/>
        </w:rPr>
        <w:t>futuro</w:t>
      </w:r>
      <w:r w:rsidR="00FE5DBB" w:rsidRPr="00274507">
        <w:rPr>
          <w:sz w:val="28"/>
          <w:szCs w:val="28"/>
        </w:rPr>
        <w:t xml:space="preserve"> </w:t>
      </w:r>
      <w:r w:rsidRPr="00274507">
        <w:rPr>
          <w:sz w:val="28"/>
          <w:szCs w:val="28"/>
        </w:rPr>
        <w:t xml:space="preserve">a </w:t>
      </w:r>
      <w:r w:rsidR="00FE5DBB" w:rsidRPr="00274507">
        <w:rPr>
          <w:sz w:val="28"/>
          <w:szCs w:val="28"/>
        </w:rPr>
        <w:t>presentar</w:t>
      </w:r>
      <w:r w:rsidR="007A213F" w:rsidRPr="00274507">
        <w:rPr>
          <w:sz w:val="28"/>
          <w:szCs w:val="28"/>
        </w:rPr>
        <w:t>,</w:t>
      </w:r>
      <w:r w:rsidR="00FE5DBB" w:rsidRPr="00274507">
        <w:rPr>
          <w:sz w:val="28"/>
          <w:szCs w:val="28"/>
        </w:rPr>
        <w:t xml:space="preserve"> </w:t>
      </w:r>
      <w:r w:rsidR="0040672B" w:rsidRPr="00274507">
        <w:rPr>
          <w:sz w:val="28"/>
          <w:szCs w:val="28"/>
        </w:rPr>
        <w:t xml:space="preserve">el Ministerio </w:t>
      </w:r>
      <w:r w:rsidR="00FE5DBB" w:rsidRPr="00274507">
        <w:rPr>
          <w:sz w:val="28"/>
          <w:szCs w:val="28"/>
        </w:rPr>
        <w:t>de Salud deber</w:t>
      </w:r>
      <w:r w:rsidR="007A213F" w:rsidRPr="00274507">
        <w:rPr>
          <w:sz w:val="28"/>
          <w:szCs w:val="28"/>
        </w:rPr>
        <w:t xml:space="preserve">ía relacionar un periodo mayor para </w:t>
      </w:r>
      <w:r w:rsidR="00FE5DBB" w:rsidRPr="00274507">
        <w:rPr>
          <w:sz w:val="28"/>
          <w:szCs w:val="28"/>
        </w:rPr>
        <w:t xml:space="preserve">su análisis y </w:t>
      </w:r>
      <w:r w:rsidR="007A213F" w:rsidRPr="00274507">
        <w:rPr>
          <w:sz w:val="28"/>
          <w:szCs w:val="28"/>
        </w:rPr>
        <w:t xml:space="preserve">recomendó que para </w:t>
      </w:r>
      <w:r w:rsidR="00FE5DBB" w:rsidRPr="00274507">
        <w:rPr>
          <w:sz w:val="28"/>
          <w:szCs w:val="28"/>
        </w:rPr>
        <w:t xml:space="preserve">obtener mejores resultados </w:t>
      </w:r>
      <w:r w:rsidR="001B3F8C" w:rsidRPr="00274507">
        <w:rPr>
          <w:sz w:val="28"/>
          <w:szCs w:val="28"/>
        </w:rPr>
        <w:t xml:space="preserve">tuviera </w:t>
      </w:r>
      <w:r w:rsidR="00FE5DBB" w:rsidRPr="00274507">
        <w:rPr>
          <w:sz w:val="28"/>
          <w:szCs w:val="28"/>
        </w:rPr>
        <w:t>como referente el estudio</w:t>
      </w:r>
      <w:r w:rsidR="007A213F" w:rsidRPr="00274507">
        <w:rPr>
          <w:sz w:val="28"/>
          <w:szCs w:val="28"/>
        </w:rPr>
        <w:t xml:space="preserve"> antes</w:t>
      </w:r>
      <w:r w:rsidR="00FE5DBB" w:rsidRPr="00274507">
        <w:rPr>
          <w:sz w:val="28"/>
          <w:szCs w:val="28"/>
        </w:rPr>
        <w:t xml:space="preserve"> enunciado. </w:t>
      </w:r>
      <w:r w:rsidR="00C55054" w:rsidRPr="00274507">
        <w:rPr>
          <w:sz w:val="28"/>
          <w:szCs w:val="28"/>
        </w:rPr>
        <w:t xml:space="preserve"> </w:t>
      </w:r>
    </w:p>
    <w:p w:rsidR="008F1D10" w:rsidRPr="00274507" w:rsidRDefault="008F1D10" w:rsidP="00274507">
      <w:pPr>
        <w:jc w:val="both"/>
        <w:rPr>
          <w:sz w:val="28"/>
          <w:szCs w:val="28"/>
        </w:rPr>
      </w:pPr>
    </w:p>
    <w:p w:rsidR="008F1D10" w:rsidRPr="00274507" w:rsidRDefault="000A51A3" w:rsidP="00274507">
      <w:pPr>
        <w:widowControl w:val="0"/>
        <w:tabs>
          <w:tab w:val="left" w:pos="567"/>
        </w:tabs>
        <w:autoSpaceDE w:val="0"/>
        <w:autoSpaceDN w:val="0"/>
        <w:adjustRightInd w:val="0"/>
        <w:jc w:val="both"/>
        <w:rPr>
          <w:sz w:val="28"/>
          <w:szCs w:val="28"/>
        </w:rPr>
      </w:pPr>
      <w:r w:rsidRPr="00274507">
        <w:rPr>
          <w:sz w:val="28"/>
          <w:szCs w:val="28"/>
        </w:rPr>
        <w:t>3</w:t>
      </w:r>
      <w:r w:rsidR="000D629B" w:rsidRPr="00274507">
        <w:rPr>
          <w:sz w:val="28"/>
          <w:szCs w:val="28"/>
        </w:rPr>
        <w:t>.2.</w:t>
      </w:r>
      <w:r w:rsidR="008F1D10" w:rsidRPr="00274507">
        <w:rPr>
          <w:sz w:val="28"/>
          <w:szCs w:val="28"/>
        </w:rPr>
        <w:t xml:space="preserve"> El 17 de junio de 2010</w:t>
      </w:r>
      <w:r w:rsidR="008F1D10" w:rsidRPr="00274507">
        <w:rPr>
          <w:rStyle w:val="Refdenotaalpie"/>
          <w:sz w:val="28"/>
          <w:szCs w:val="28"/>
        </w:rPr>
        <w:footnoteReference w:id="32"/>
      </w:r>
      <w:r w:rsidR="008F1D10" w:rsidRPr="00274507">
        <w:rPr>
          <w:sz w:val="28"/>
          <w:szCs w:val="28"/>
        </w:rPr>
        <w:t>, la Defensoría del Pueblo advirtió lo siguiente: i) El Ministerio de Salud persistió en la utilización de la base de datos de los recobros para la medición de las tutelas,</w:t>
      </w:r>
      <w:r w:rsidR="00640AAC" w:rsidRPr="00274507">
        <w:rPr>
          <w:sz w:val="28"/>
          <w:szCs w:val="28"/>
        </w:rPr>
        <w:t xml:space="preserve"> que no considera</w:t>
      </w:r>
      <w:r w:rsidR="008F1D10" w:rsidRPr="00274507">
        <w:rPr>
          <w:sz w:val="28"/>
          <w:szCs w:val="28"/>
        </w:rPr>
        <w:t xml:space="preserve"> un mecanismo adecuado por no ser suficiente la información para la</w:t>
      </w:r>
      <w:r w:rsidR="00640AAC" w:rsidRPr="00274507">
        <w:rPr>
          <w:sz w:val="28"/>
          <w:szCs w:val="28"/>
        </w:rPr>
        <w:t xml:space="preserve"> cuantificación de las acciones, recomendando</w:t>
      </w:r>
      <w:r w:rsidR="008F1D10" w:rsidRPr="00274507">
        <w:rPr>
          <w:sz w:val="28"/>
          <w:szCs w:val="28"/>
        </w:rPr>
        <w:t xml:space="preserve"> como fuente principal los expedientes que de forma temporal se encontraban en la Co</w:t>
      </w:r>
      <w:r w:rsidR="00E8170A" w:rsidRPr="00274507">
        <w:rPr>
          <w:sz w:val="28"/>
          <w:szCs w:val="28"/>
        </w:rPr>
        <w:t>rte y que son los que se remite</w:t>
      </w:r>
      <w:r w:rsidR="008F1D10" w:rsidRPr="00274507">
        <w:rPr>
          <w:sz w:val="28"/>
          <w:szCs w:val="28"/>
        </w:rPr>
        <w:t>n a nivel nacional; ii) no existe un progreso significativo en el cumplimiento de la orden, por lo que insistió en la realización de un proceso de recolección de información más completo, preciso y confiable; iii) pese a que la disminución de recobros coincidía con el estudio efectuado por la Defensoría en cuanto a la reducción de tutelas para el año 2009</w:t>
      </w:r>
      <w:r w:rsidR="008F1D10" w:rsidRPr="00274507">
        <w:rPr>
          <w:rStyle w:val="Refdenotaalpie"/>
          <w:sz w:val="28"/>
          <w:szCs w:val="28"/>
        </w:rPr>
        <w:footnoteReference w:id="33"/>
      </w:r>
      <w:r w:rsidR="008F1D10" w:rsidRPr="00274507">
        <w:rPr>
          <w:sz w:val="28"/>
          <w:szCs w:val="28"/>
        </w:rPr>
        <w:t xml:space="preserve">, existió un gran número de acciones interpuestas por contenidos POS que no fueron estudiadas y; iv) que los mecanismos de recolección utilizados para la presentación del nombrado informe generaron dudas, ya que no de todas las acciones de tutela presentadas se derivaban recobros. </w:t>
      </w:r>
    </w:p>
    <w:p w:rsidR="008F1D10" w:rsidRPr="00274507" w:rsidRDefault="008F1D10" w:rsidP="00274507">
      <w:pPr>
        <w:jc w:val="both"/>
        <w:rPr>
          <w:sz w:val="28"/>
          <w:szCs w:val="28"/>
        </w:rPr>
      </w:pPr>
    </w:p>
    <w:p w:rsidR="008F1D10" w:rsidRPr="00274507" w:rsidRDefault="000A51A3" w:rsidP="00274507">
      <w:pPr>
        <w:widowControl w:val="0"/>
        <w:tabs>
          <w:tab w:val="left" w:pos="426"/>
        </w:tabs>
        <w:autoSpaceDE w:val="0"/>
        <w:autoSpaceDN w:val="0"/>
        <w:adjustRightInd w:val="0"/>
        <w:jc w:val="both"/>
        <w:rPr>
          <w:color w:val="000000" w:themeColor="text1"/>
          <w:sz w:val="28"/>
          <w:szCs w:val="28"/>
        </w:rPr>
      </w:pPr>
      <w:r w:rsidRPr="00274507">
        <w:rPr>
          <w:sz w:val="28"/>
          <w:szCs w:val="28"/>
        </w:rPr>
        <w:t>3</w:t>
      </w:r>
      <w:r w:rsidR="000D629B" w:rsidRPr="00274507">
        <w:rPr>
          <w:sz w:val="28"/>
          <w:szCs w:val="28"/>
        </w:rPr>
        <w:t>.3</w:t>
      </w:r>
      <w:r w:rsidR="008F1D10" w:rsidRPr="00274507">
        <w:rPr>
          <w:color w:val="000000" w:themeColor="text1"/>
          <w:sz w:val="28"/>
          <w:szCs w:val="28"/>
        </w:rPr>
        <w:t>. El 8 de noviembre de 2012</w:t>
      </w:r>
      <w:r w:rsidR="008F1D10" w:rsidRPr="00274507">
        <w:rPr>
          <w:rStyle w:val="Refdenotaalpie"/>
          <w:color w:val="000000" w:themeColor="text1"/>
          <w:sz w:val="28"/>
          <w:szCs w:val="28"/>
        </w:rPr>
        <w:footnoteReference w:id="34"/>
      </w:r>
      <w:r w:rsidR="008F1D10" w:rsidRPr="00274507">
        <w:rPr>
          <w:color w:val="000000" w:themeColor="text1"/>
          <w:sz w:val="28"/>
          <w:szCs w:val="28"/>
        </w:rPr>
        <w:t xml:space="preserve"> manifestó preocupación respecto del posible incumplimiento po</w:t>
      </w:r>
      <w:r w:rsidR="00640AAC" w:rsidRPr="00274507">
        <w:rPr>
          <w:color w:val="000000" w:themeColor="text1"/>
          <w:sz w:val="28"/>
          <w:szCs w:val="28"/>
        </w:rPr>
        <w:t>r parte del Ministerio de Salud</w:t>
      </w:r>
      <w:r w:rsidR="008F1D10" w:rsidRPr="00274507">
        <w:rPr>
          <w:color w:val="000000" w:themeColor="text1"/>
          <w:sz w:val="28"/>
          <w:szCs w:val="28"/>
        </w:rPr>
        <w:t xml:space="preserve"> en la presentación de los informes</w:t>
      </w:r>
      <w:r w:rsidR="001B3F8C" w:rsidRPr="00274507">
        <w:rPr>
          <w:color w:val="000000" w:themeColor="text1"/>
          <w:sz w:val="28"/>
          <w:szCs w:val="28"/>
        </w:rPr>
        <w:t xml:space="preserve"> durante el término prescrito</w:t>
      </w:r>
      <w:r w:rsidR="008F1D10" w:rsidRPr="00274507">
        <w:rPr>
          <w:color w:val="000000" w:themeColor="text1"/>
          <w:sz w:val="28"/>
          <w:szCs w:val="28"/>
        </w:rPr>
        <w:t>, toda vez que no advirtió contestación a los requerimientos efectuados</w:t>
      </w:r>
      <w:r w:rsidR="008F1D10" w:rsidRPr="00274507">
        <w:rPr>
          <w:rStyle w:val="Refdenotaalpie"/>
          <w:color w:val="000000" w:themeColor="text1"/>
          <w:sz w:val="28"/>
          <w:szCs w:val="28"/>
        </w:rPr>
        <w:footnoteReference w:id="35"/>
      </w:r>
      <w:r w:rsidR="008F1D10" w:rsidRPr="00274507">
        <w:rPr>
          <w:color w:val="000000" w:themeColor="text1"/>
          <w:sz w:val="28"/>
          <w:szCs w:val="28"/>
        </w:rPr>
        <w:t xml:space="preserve">,  donde se le solicitó remitir los informes correspondientes a los años 2010 a 2012 y manifestara las medidas y recursos empleados para cumplir satisfactoriamente con lo ordenado. Las anteriores disposiciones fueron reiteradas </w:t>
      </w:r>
      <w:r w:rsidR="001B3F8C" w:rsidRPr="00274507">
        <w:rPr>
          <w:color w:val="000000" w:themeColor="text1"/>
          <w:sz w:val="28"/>
          <w:szCs w:val="28"/>
        </w:rPr>
        <w:t xml:space="preserve">sin que hubiesen sido atendidas en el tiempo </w:t>
      </w:r>
      <w:r w:rsidR="008F1D10" w:rsidRPr="00274507">
        <w:rPr>
          <w:color w:val="000000" w:themeColor="text1"/>
          <w:sz w:val="28"/>
          <w:szCs w:val="28"/>
        </w:rPr>
        <w:t xml:space="preserve">requerido. No obstante, manifestó haber tenido conocimiento de que </w:t>
      </w:r>
      <w:r w:rsidR="0040672B" w:rsidRPr="00274507">
        <w:rPr>
          <w:color w:val="000000" w:themeColor="text1"/>
          <w:sz w:val="28"/>
          <w:szCs w:val="28"/>
        </w:rPr>
        <w:t xml:space="preserve">el ente </w:t>
      </w:r>
      <w:r w:rsidR="004C3F0E" w:rsidRPr="00274507">
        <w:rPr>
          <w:color w:val="000000" w:themeColor="text1"/>
          <w:sz w:val="28"/>
          <w:szCs w:val="28"/>
        </w:rPr>
        <w:t xml:space="preserve">ministerial </w:t>
      </w:r>
      <w:r w:rsidR="008F1D10" w:rsidRPr="00274507">
        <w:rPr>
          <w:color w:val="000000" w:themeColor="text1"/>
          <w:sz w:val="28"/>
          <w:szCs w:val="28"/>
        </w:rPr>
        <w:t>había contratado un grupo de investigadores de la Universidad de los Andes para implementar una nueva metodología con el fin de que identificara la línea base y las tendencias de los problemas jurídicos contenido</w:t>
      </w:r>
      <w:r w:rsidR="00640AAC" w:rsidRPr="00274507">
        <w:rPr>
          <w:color w:val="000000" w:themeColor="text1"/>
          <w:sz w:val="28"/>
          <w:szCs w:val="28"/>
        </w:rPr>
        <w:t>s en la sentencia T-760 de 2008</w:t>
      </w:r>
      <w:r w:rsidR="008F1D10" w:rsidRPr="00274507">
        <w:rPr>
          <w:color w:val="000000" w:themeColor="text1"/>
          <w:sz w:val="28"/>
          <w:szCs w:val="28"/>
        </w:rPr>
        <w:t>.</w:t>
      </w:r>
    </w:p>
    <w:p w:rsidR="008F1D10" w:rsidRPr="00274507" w:rsidRDefault="008F1D10" w:rsidP="00274507">
      <w:pPr>
        <w:widowControl w:val="0"/>
        <w:tabs>
          <w:tab w:val="left" w:pos="426"/>
        </w:tabs>
        <w:autoSpaceDE w:val="0"/>
        <w:autoSpaceDN w:val="0"/>
        <w:adjustRightInd w:val="0"/>
        <w:jc w:val="both"/>
        <w:rPr>
          <w:color w:val="000000" w:themeColor="text1"/>
          <w:sz w:val="28"/>
          <w:szCs w:val="28"/>
        </w:rPr>
      </w:pPr>
    </w:p>
    <w:p w:rsidR="008F1D10" w:rsidRPr="00274507" w:rsidRDefault="008F1D10" w:rsidP="00274507">
      <w:pPr>
        <w:widowControl w:val="0"/>
        <w:tabs>
          <w:tab w:val="left" w:pos="426"/>
        </w:tabs>
        <w:autoSpaceDE w:val="0"/>
        <w:autoSpaceDN w:val="0"/>
        <w:adjustRightInd w:val="0"/>
        <w:jc w:val="both"/>
        <w:rPr>
          <w:color w:val="000000" w:themeColor="text1"/>
          <w:sz w:val="28"/>
          <w:szCs w:val="28"/>
        </w:rPr>
      </w:pPr>
      <w:r w:rsidRPr="00274507">
        <w:rPr>
          <w:color w:val="000000" w:themeColor="text1"/>
          <w:sz w:val="28"/>
          <w:szCs w:val="28"/>
        </w:rPr>
        <w:t>Finalmente, advirtió que fue publicado el estudio de “</w:t>
      </w:r>
      <w:r w:rsidRPr="00274507">
        <w:rPr>
          <w:i/>
          <w:color w:val="000000" w:themeColor="text1"/>
          <w:sz w:val="28"/>
          <w:szCs w:val="28"/>
        </w:rPr>
        <w:t xml:space="preserve">la tutela y el derecho a la salud </w:t>
      </w:r>
      <w:r w:rsidR="00640AAC" w:rsidRPr="00274507">
        <w:rPr>
          <w:i/>
          <w:color w:val="000000" w:themeColor="text1"/>
          <w:sz w:val="28"/>
          <w:szCs w:val="28"/>
        </w:rPr>
        <w:t>2</w:t>
      </w:r>
      <w:r w:rsidRPr="00274507">
        <w:rPr>
          <w:i/>
          <w:color w:val="000000" w:themeColor="text1"/>
          <w:sz w:val="28"/>
          <w:szCs w:val="28"/>
        </w:rPr>
        <w:t>011</w:t>
      </w:r>
      <w:r w:rsidR="00640AAC" w:rsidRPr="00274507">
        <w:rPr>
          <w:color w:val="000000" w:themeColor="text1"/>
          <w:sz w:val="28"/>
          <w:szCs w:val="28"/>
        </w:rPr>
        <w:t xml:space="preserve">[,] </w:t>
      </w:r>
      <w:r w:rsidRPr="00274507">
        <w:rPr>
          <w:i/>
          <w:color w:val="000000" w:themeColor="text1"/>
          <w:sz w:val="28"/>
          <w:szCs w:val="28"/>
        </w:rPr>
        <w:t>20 años del uso efectivo de la tutela</w:t>
      </w:r>
      <w:r w:rsidRPr="00274507">
        <w:rPr>
          <w:color w:val="000000" w:themeColor="text1"/>
          <w:sz w:val="28"/>
          <w:szCs w:val="28"/>
        </w:rPr>
        <w:t>” en el que se evidenció el incremento del 12,11% el ejercicio del amparo constitucional para acceder a servicios de salud.</w:t>
      </w:r>
    </w:p>
    <w:p w:rsidR="008F1D10" w:rsidRPr="00274507" w:rsidRDefault="008F1D10" w:rsidP="00274507">
      <w:pPr>
        <w:widowControl w:val="0"/>
        <w:tabs>
          <w:tab w:val="left" w:pos="426"/>
        </w:tabs>
        <w:autoSpaceDE w:val="0"/>
        <w:autoSpaceDN w:val="0"/>
        <w:adjustRightInd w:val="0"/>
        <w:jc w:val="both"/>
        <w:rPr>
          <w:color w:val="000000" w:themeColor="text1"/>
          <w:sz w:val="28"/>
          <w:szCs w:val="28"/>
        </w:rPr>
      </w:pPr>
    </w:p>
    <w:p w:rsidR="001B3F8C"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3</w:t>
      </w:r>
      <w:r w:rsidR="000D629B" w:rsidRPr="00274507">
        <w:rPr>
          <w:sz w:val="28"/>
          <w:szCs w:val="28"/>
        </w:rPr>
        <w:t>.4.</w:t>
      </w:r>
      <w:r w:rsidR="008F1D10" w:rsidRPr="00274507">
        <w:rPr>
          <w:sz w:val="28"/>
          <w:szCs w:val="28"/>
        </w:rPr>
        <w:t xml:space="preserve"> El 24 de julio de 2013 la Defensoría del Pueblo</w:t>
      </w:r>
      <w:r w:rsidR="008F1D10" w:rsidRPr="00274507">
        <w:rPr>
          <w:rStyle w:val="Refdenotaalpie"/>
          <w:sz w:val="28"/>
          <w:szCs w:val="28"/>
        </w:rPr>
        <w:footnoteReference w:id="36"/>
      </w:r>
      <w:r w:rsidR="004415F5" w:rsidRPr="00274507">
        <w:rPr>
          <w:sz w:val="28"/>
          <w:szCs w:val="28"/>
        </w:rPr>
        <w:t xml:space="preserve"> </w:t>
      </w:r>
      <w:r w:rsidR="008F1D10" w:rsidRPr="00274507">
        <w:rPr>
          <w:sz w:val="28"/>
          <w:szCs w:val="28"/>
        </w:rPr>
        <w:t>advirtió que aunque en el quinto reporte no fue allegado</w:t>
      </w:r>
      <w:r w:rsidR="00640AAC" w:rsidRPr="00274507">
        <w:rPr>
          <w:sz w:val="28"/>
          <w:szCs w:val="28"/>
        </w:rPr>
        <w:t>,</w:t>
      </w:r>
      <w:r w:rsidR="008F1D10" w:rsidRPr="00274507">
        <w:rPr>
          <w:sz w:val="28"/>
          <w:szCs w:val="28"/>
        </w:rPr>
        <w:t xml:space="preserve"> del estudio efectuado sobre “</w:t>
      </w:r>
      <w:r w:rsidR="008F1D10" w:rsidRPr="00274507">
        <w:rPr>
          <w:i/>
          <w:sz w:val="28"/>
          <w:szCs w:val="28"/>
        </w:rPr>
        <w:t>la tutela y el derecho a la salud-2012”</w:t>
      </w:r>
      <w:r w:rsidR="00640AAC" w:rsidRPr="00274507">
        <w:rPr>
          <w:i/>
          <w:sz w:val="28"/>
          <w:szCs w:val="28"/>
        </w:rPr>
        <w:t xml:space="preserve"> </w:t>
      </w:r>
      <w:r w:rsidR="008F1D10" w:rsidRPr="00274507">
        <w:rPr>
          <w:sz w:val="28"/>
          <w:szCs w:val="28"/>
        </w:rPr>
        <w:t xml:space="preserve">se concluyó que </w:t>
      </w:r>
      <w:r w:rsidR="001B3F8C" w:rsidRPr="00274507">
        <w:rPr>
          <w:sz w:val="28"/>
          <w:szCs w:val="28"/>
        </w:rPr>
        <w:t>para</w:t>
      </w:r>
      <w:r w:rsidR="008F1D10" w:rsidRPr="00274507">
        <w:rPr>
          <w:sz w:val="28"/>
          <w:szCs w:val="28"/>
        </w:rPr>
        <w:t xml:space="preserve"> ese año las</w:t>
      </w:r>
      <w:r w:rsidR="004415F5" w:rsidRPr="00274507">
        <w:rPr>
          <w:sz w:val="28"/>
          <w:szCs w:val="28"/>
        </w:rPr>
        <w:t xml:space="preserve"> tutelas aumentaron en un 7,90%. D</w:t>
      </w:r>
      <w:r w:rsidR="008F1D10" w:rsidRPr="00274507">
        <w:rPr>
          <w:sz w:val="28"/>
          <w:szCs w:val="28"/>
        </w:rPr>
        <w:t>el</w:t>
      </w:r>
      <w:r w:rsidR="004415F5" w:rsidRPr="00274507">
        <w:rPr>
          <w:sz w:val="28"/>
          <w:szCs w:val="28"/>
        </w:rPr>
        <w:t xml:space="preserve"> último</w:t>
      </w:r>
      <w:r w:rsidR="008F1D10" w:rsidRPr="00274507">
        <w:rPr>
          <w:sz w:val="28"/>
          <w:szCs w:val="28"/>
        </w:rPr>
        <w:t xml:space="preserve"> análisis </w:t>
      </w:r>
      <w:r w:rsidR="004415F5" w:rsidRPr="00274507">
        <w:rPr>
          <w:sz w:val="28"/>
          <w:szCs w:val="28"/>
        </w:rPr>
        <w:t xml:space="preserve">presentado por el </w:t>
      </w:r>
      <w:r w:rsidR="008F1D10" w:rsidRPr="00274507">
        <w:rPr>
          <w:sz w:val="28"/>
          <w:szCs w:val="28"/>
        </w:rPr>
        <w:t xml:space="preserve">Ministerio de Salud, </w:t>
      </w:r>
      <w:r w:rsidR="004415F5" w:rsidRPr="00274507">
        <w:rPr>
          <w:sz w:val="28"/>
          <w:szCs w:val="28"/>
        </w:rPr>
        <w:t xml:space="preserve">observó que </w:t>
      </w:r>
      <w:r w:rsidR="008F1D10" w:rsidRPr="00274507">
        <w:rPr>
          <w:sz w:val="28"/>
          <w:szCs w:val="28"/>
        </w:rPr>
        <w:t>el 51% correspondía a tutelas por servicios no contenidos en el POS, el 42% por servicios contenidos en el POS, el 3% por la ausencia de mecanismos y regulación para acceder a servicios de salud diferentes a medicamentos y el 1% la diferencia entre planes de beneficios del régimen subsidiado y contributivo</w:t>
      </w:r>
      <w:r w:rsidR="004415F5" w:rsidRPr="00274507">
        <w:rPr>
          <w:sz w:val="28"/>
          <w:szCs w:val="28"/>
        </w:rPr>
        <w:t>. C</w:t>
      </w:r>
      <w:r w:rsidR="008F1D10" w:rsidRPr="00274507">
        <w:rPr>
          <w:sz w:val="28"/>
          <w:szCs w:val="28"/>
        </w:rPr>
        <w:t>onsideró que no existe un avance en el cumplimiento de la orden trigésima en especial respecto a la disminución de las acciones de tutelas por servicios de salud</w:t>
      </w:r>
      <w:r w:rsidR="004415F5" w:rsidRPr="00274507">
        <w:rPr>
          <w:sz w:val="28"/>
          <w:szCs w:val="28"/>
        </w:rPr>
        <w:t>,</w:t>
      </w:r>
      <w:r w:rsidR="001B3F8C" w:rsidRPr="00274507">
        <w:rPr>
          <w:sz w:val="28"/>
          <w:szCs w:val="28"/>
        </w:rPr>
        <w:t xml:space="preserve"> es un</w:t>
      </w:r>
      <w:r w:rsidR="000A1ADE" w:rsidRPr="00274507">
        <w:rPr>
          <w:sz w:val="28"/>
          <w:szCs w:val="28"/>
        </w:rPr>
        <w:t xml:space="preserve">a inferencia que realizó de </w:t>
      </w:r>
      <w:r w:rsidR="001B3F8C" w:rsidRPr="00274507">
        <w:rPr>
          <w:sz w:val="28"/>
          <w:szCs w:val="28"/>
        </w:rPr>
        <w:t>los datos que tenía en ese momento porque aún no había sido allegado el informe.</w:t>
      </w:r>
    </w:p>
    <w:p w:rsidR="001B3F8C" w:rsidRPr="00274507" w:rsidRDefault="001B3F8C" w:rsidP="00274507">
      <w:pPr>
        <w:widowControl w:val="0"/>
        <w:tabs>
          <w:tab w:val="left" w:pos="426"/>
        </w:tabs>
        <w:autoSpaceDE w:val="0"/>
        <w:autoSpaceDN w:val="0"/>
        <w:adjustRightInd w:val="0"/>
        <w:jc w:val="both"/>
        <w:rPr>
          <w:sz w:val="28"/>
          <w:szCs w:val="28"/>
        </w:rPr>
      </w:pPr>
    </w:p>
    <w:p w:rsidR="00DC21CC" w:rsidRPr="00274507" w:rsidRDefault="000A51A3" w:rsidP="00274507">
      <w:pPr>
        <w:jc w:val="both"/>
        <w:rPr>
          <w:bCs/>
          <w:sz w:val="28"/>
          <w:szCs w:val="28"/>
        </w:rPr>
      </w:pPr>
      <w:r w:rsidRPr="00274507">
        <w:rPr>
          <w:bCs/>
          <w:sz w:val="28"/>
          <w:szCs w:val="28"/>
        </w:rPr>
        <w:t>3</w:t>
      </w:r>
      <w:r w:rsidR="000D629B" w:rsidRPr="00274507">
        <w:rPr>
          <w:bCs/>
          <w:sz w:val="28"/>
          <w:szCs w:val="28"/>
        </w:rPr>
        <w:t>.5</w:t>
      </w:r>
      <w:r w:rsidR="008F1D10" w:rsidRPr="00274507">
        <w:rPr>
          <w:bCs/>
          <w:sz w:val="28"/>
          <w:szCs w:val="28"/>
        </w:rPr>
        <w:t xml:space="preserve">. </w:t>
      </w:r>
      <w:r w:rsidR="00DC21CC" w:rsidRPr="00274507">
        <w:rPr>
          <w:bCs/>
          <w:sz w:val="28"/>
          <w:szCs w:val="28"/>
        </w:rPr>
        <w:t>El 11 de junio de 2014</w:t>
      </w:r>
      <w:r w:rsidR="00DC21CC" w:rsidRPr="00274507">
        <w:rPr>
          <w:rStyle w:val="Refdenotaalpie"/>
          <w:bCs/>
          <w:sz w:val="28"/>
          <w:szCs w:val="28"/>
        </w:rPr>
        <w:footnoteReference w:id="37"/>
      </w:r>
      <w:r w:rsidR="001B3F8C" w:rsidRPr="00274507">
        <w:rPr>
          <w:bCs/>
          <w:sz w:val="28"/>
          <w:szCs w:val="28"/>
        </w:rPr>
        <w:t xml:space="preserve"> señal</w:t>
      </w:r>
      <w:r w:rsidR="00DC21CC" w:rsidRPr="00274507">
        <w:rPr>
          <w:bCs/>
          <w:sz w:val="28"/>
          <w:szCs w:val="28"/>
        </w:rPr>
        <w:t>ó que en el informe presentado por el Ministerio de Salud para el año 2013 las tutelas presentaron un desaceleramiento respecto a las tutelas que se solicitaban por servicios no POS, sin embargo, al realizar una comparación con el estudio que realizó la Defensoría</w:t>
      </w:r>
      <w:r w:rsidR="001B3F8C" w:rsidRPr="00274507">
        <w:rPr>
          <w:bCs/>
          <w:sz w:val="28"/>
          <w:szCs w:val="28"/>
        </w:rPr>
        <w:t xml:space="preserve"> del Pueblo sobre</w:t>
      </w:r>
      <w:r w:rsidR="00DC21CC" w:rsidRPr="00274507">
        <w:rPr>
          <w:bCs/>
          <w:sz w:val="28"/>
          <w:szCs w:val="28"/>
        </w:rPr>
        <w:t xml:space="preserve"> “</w:t>
      </w:r>
      <w:r w:rsidR="00DC21CC" w:rsidRPr="00274507">
        <w:rPr>
          <w:bCs/>
          <w:i/>
          <w:sz w:val="28"/>
          <w:szCs w:val="28"/>
        </w:rPr>
        <w:t xml:space="preserve">la tutela y los derechos a la salud </w:t>
      </w:r>
      <w:r w:rsidR="001B3F8C" w:rsidRPr="00274507">
        <w:rPr>
          <w:bCs/>
          <w:i/>
          <w:sz w:val="28"/>
          <w:szCs w:val="28"/>
        </w:rPr>
        <w:t>y a la seguridad social-</w:t>
      </w:r>
      <w:r w:rsidR="00C10213" w:rsidRPr="00274507">
        <w:rPr>
          <w:bCs/>
          <w:i/>
          <w:sz w:val="28"/>
          <w:szCs w:val="28"/>
        </w:rPr>
        <w:t>2013</w:t>
      </w:r>
      <w:r w:rsidR="00C10213" w:rsidRPr="00274507">
        <w:rPr>
          <w:bCs/>
          <w:sz w:val="28"/>
          <w:szCs w:val="28"/>
        </w:rPr>
        <w:t xml:space="preserve">” evidenció que la tutela por negación de servicios </w:t>
      </w:r>
      <w:r w:rsidR="00EE0373" w:rsidRPr="00274507">
        <w:rPr>
          <w:bCs/>
          <w:sz w:val="28"/>
          <w:szCs w:val="28"/>
        </w:rPr>
        <w:t>continuaba</w:t>
      </w:r>
      <w:r w:rsidR="00C10213" w:rsidRPr="00274507">
        <w:rPr>
          <w:bCs/>
          <w:sz w:val="28"/>
          <w:szCs w:val="28"/>
        </w:rPr>
        <w:t xml:space="preserve"> presentándose de forma reiterada y constante, así consider</w:t>
      </w:r>
      <w:r w:rsidR="00EE0373" w:rsidRPr="00274507">
        <w:rPr>
          <w:bCs/>
          <w:sz w:val="28"/>
          <w:szCs w:val="28"/>
        </w:rPr>
        <w:t xml:space="preserve">ó que no se habían </w:t>
      </w:r>
      <w:r w:rsidR="00C10213" w:rsidRPr="00274507">
        <w:rPr>
          <w:bCs/>
          <w:sz w:val="28"/>
          <w:szCs w:val="28"/>
        </w:rPr>
        <w:t>regulado y controlado las causas que obs</w:t>
      </w:r>
      <w:r w:rsidR="00EE0373" w:rsidRPr="00274507">
        <w:rPr>
          <w:bCs/>
          <w:sz w:val="28"/>
          <w:szCs w:val="28"/>
        </w:rPr>
        <w:t xml:space="preserve">taculizaban la prestación efectiva del servicio de salud. </w:t>
      </w:r>
      <w:r w:rsidR="00C10213" w:rsidRPr="00274507">
        <w:rPr>
          <w:bCs/>
          <w:sz w:val="28"/>
          <w:szCs w:val="28"/>
        </w:rPr>
        <w:t xml:space="preserve"> </w:t>
      </w:r>
    </w:p>
    <w:p w:rsidR="00EE0373" w:rsidRPr="00274507" w:rsidRDefault="00EE0373" w:rsidP="00274507">
      <w:pPr>
        <w:jc w:val="both"/>
        <w:rPr>
          <w:bCs/>
          <w:sz w:val="28"/>
          <w:szCs w:val="28"/>
        </w:rPr>
      </w:pPr>
    </w:p>
    <w:p w:rsidR="00EE0373" w:rsidRPr="00274507" w:rsidRDefault="00EE0373" w:rsidP="00274507">
      <w:pPr>
        <w:jc w:val="both"/>
        <w:rPr>
          <w:bCs/>
          <w:sz w:val="28"/>
          <w:szCs w:val="28"/>
        </w:rPr>
      </w:pPr>
      <w:r w:rsidRPr="00274507">
        <w:rPr>
          <w:bCs/>
          <w:sz w:val="28"/>
          <w:szCs w:val="28"/>
        </w:rPr>
        <w:t xml:space="preserve">Consideró que no han sido resueltos los problemas jurídicos descritos en la sentencia T-760 de 2008 y la acción de tutela </w:t>
      </w:r>
      <w:r w:rsidR="001B3F8C" w:rsidRPr="00274507">
        <w:rPr>
          <w:bCs/>
          <w:sz w:val="28"/>
          <w:szCs w:val="28"/>
        </w:rPr>
        <w:t>continuaba</w:t>
      </w:r>
      <w:r w:rsidRPr="00274507">
        <w:rPr>
          <w:bCs/>
          <w:sz w:val="28"/>
          <w:szCs w:val="28"/>
        </w:rPr>
        <w:t xml:space="preserve"> siendo el mecanismo constitucional al que la</w:t>
      </w:r>
      <w:r w:rsidR="001B3F8C" w:rsidRPr="00274507">
        <w:rPr>
          <w:bCs/>
          <w:sz w:val="28"/>
          <w:szCs w:val="28"/>
        </w:rPr>
        <w:t xml:space="preserve"> mayoría de los ciudadanos acudía</w:t>
      </w:r>
      <w:r w:rsidRPr="00274507">
        <w:rPr>
          <w:bCs/>
          <w:sz w:val="28"/>
          <w:szCs w:val="28"/>
        </w:rPr>
        <w:t>n para solicitar el amparo de sus derechos.</w:t>
      </w:r>
    </w:p>
    <w:p w:rsidR="00EE0373" w:rsidRPr="00274507" w:rsidRDefault="00EE0373" w:rsidP="00274507">
      <w:pPr>
        <w:jc w:val="both"/>
        <w:rPr>
          <w:b/>
          <w:bCs/>
          <w:sz w:val="28"/>
          <w:szCs w:val="28"/>
        </w:rPr>
      </w:pPr>
    </w:p>
    <w:p w:rsidR="008F1D10" w:rsidRPr="00274507" w:rsidRDefault="00DC21CC" w:rsidP="00274507">
      <w:pPr>
        <w:jc w:val="both"/>
        <w:rPr>
          <w:bCs/>
          <w:sz w:val="28"/>
          <w:szCs w:val="28"/>
        </w:rPr>
      </w:pPr>
      <w:r w:rsidRPr="00274507">
        <w:rPr>
          <w:bCs/>
          <w:sz w:val="28"/>
          <w:szCs w:val="28"/>
        </w:rPr>
        <w:t xml:space="preserve">3.6. </w:t>
      </w:r>
      <w:r w:rsidR="008F1D10" w:rsidRPr="00274507">
        <w:rPr>
          <w:bCs/>
          <w:sz w:val="28"/>
          <w:szCs w:val="28"/>
        </w:rPr>
        <w:t>El 24 de junio d</w:t>
      </w:r>
      <w:r w:rsidR="004415F5" w:rsidRPr="00274507">
        <w:rPr>
          <w:bCs/>
          <w:sz w:val="28"/>
          <w:szCs w:val="28"/>
        </w:rPr>
        <w:t>e 2015 la Defensoría del Pueblo presentó</w:t>
      </w:r>
      <w:r w:rsidR="008F1D10" w:rsidRPr="00274507">
        <w:rPr>
          <w:bCs/>
          <w:sz w:val="28"/>
          <w:szCs w:val="28"/>
        </w:rPr>
        <w:t xml:space="preserve"> escrito</w:t>
      </w:r>
      <w:r w:rsidR="008F1D10" w:rsidRPr="00274507">
        <w:rPr>
          <w:rStyle w:val="Refdenotaalpie"/>
          <w:bCs/>
          <w:sz w:val="28"/>
          <w:szCs w:val="28"/>
        </w:rPr>
        <w:footnoteReference w:id="38"/>
      </w:r>
      <w:r w:rsidR="001B3F8C" w:rsidRPr="00274507">
        <w:rPr>
          <w:bCs/>
          <w:sz w:val="28"/>
          <w:szCs w:val="28"/>
        </w:rPr>
        <w:t xml:space="preserve"> en el que inform</w:t>
      </w:r>
      <w:r w:rsidR="008F1D10" w:rsidRPr="00274507">
        <w:rPr>
          <w:bCs/>
          <w:sz w:val="28"/>
          <w:szCs w:val="28"/>
        </w:rPr>
        <w:t>ó que efectúo el requerimiento 4050-229 de 11 de febrero de 2015 a</w:t>
      </w:r>
      <w:r w:rsidR="004415F5" w:rsidRPr="00274507">
        <w:rPr>
          <w:bCs/>
          <w:sz w:val="28"/>
          <w:szCs w:val="28"/>
        </w:rPr>
        <w:t xml:space="preserve">l Ministerio </w:t>
      </w:r>
      <w:r w:rsidR="008F1D10" w:rsidRPr="00274507">
        <w:rPr>
          <w:bCs/>
          <w:sz w:val="28"/>
          <w:szCs w:val="28"/>
        </w:rPr>
        <w:t>de Salud</w:t>
      </w:r>
      <w:r w:rsidR="001B3F8C" w:rsidRPr="00274507">
        <w:rPr>
          <w:bCs/>
          <w:sz w:val="28"/>
          <w:szCs w:val="28"/>
        </w:rPr>
        <w:t xml:space="preserve">, con el fin de que resolviera unos interrogantes relacionados con el cumplimiento de la orden trigésima. El 5 de noviembre de 2015 el </w:t>
      </w:r>
      <w:r w:rsidR="004C3F0E" w:rsidRPr="00274507">
        <w:rPr>
          <w:bCs/>
          <w:sz w:val="28"/>
          <w:szCs w:val="28"/>
        </w:rPr>
        <w:t xml:space="preserve">órgano ministerial </w:t>
      </w:r>
      <w:r w:rsidR="001B3F8C" w:rsidRPr="00274507">
        <w:rPr>
          <w:bCs/>
          <w:sz w:val="28"/>
          <w:szCs w:val="28"/>
        </w:rPr>
        <w:t xml:space="preserve">allegó ante esta Corte </w:t>
      </w:r>
      <w:r w:rsidR="008F1D10" w:rsidRPr="00274507">
        <w:rPr>
          <w:bCs/>
          <w:sz w:val="28"/>
          <w:szCs w:val="28"/>
        </w:rPr>
        <w:t>copia del documento en el que c</w:t>
      </w:r>
      <w:r w:rsidR="001B3F8C" w:rsidRPr="00274507">
        <w:rPr>
          <w:bCs/>
          <w:sz w:val="28"/>
          <w:szCs w:val="28"/>
        </w:rPr>
        <w:t>ontestó el oficio</w:t>
      </w:r>
      <w:r w:rsidR="004415F5" w:rsidRPr="00274507">
        <w:rPr>
          <w:bCs/>
          <w:sz w:val="28"/>
          <w:szCs w:val="28"/>
        </w:rPr>
        <w:t xml:space="preserve">, </w:t>
      </w:r>
      <w:r w:rsidR="008F1D10" w:rsidRPr="00274507">
        <w:rPr>
          <w:bCs/>
          <w:sz w:val="28"/>
          <w:szCs w:val="28"/>
        </w:rPr>
        <w:t>del que se destaca lo siguiente:</w:t>
      </w:r>
    </w:p>
    <w:p w:rsidR="008F1D10" w:rsidRPr="00274507" w:rsidRDefault="008F1D10" w:rsidP="00274507">
      <w:pPr>
        <w:jc w:val="both"/>
        <w:rPr>
          <w:bCs/>
          <w:sz w:val="28"/>
          <w:szCs w:val="28"/>
        </w:rPr>
      </w:pPr>
    </w:p>
    <w:p w:rsidR="003F381F" w:rsidRPr="00274507" w:rsidRDefault="00DC21CC" w:rsidP="00274507">
      <w:pPr>
        <w:jc w:val="both"/>
        <w:rPr>
          <w:sz w:val="28"/>
          <w:szCs w:val="28"/>
        </w:rPr>
      </w:pPr>
      <w:r w:rsidRPr="00274507">
        <w:rPr>
          <w:sz w:val="28"/>
          <w:szCs w:val="28"/>
        </w:rPr>
        <w:t>3.6</w:t>
      </w:r>
      <w:r w:rsidR="00F55E3F" w:rsidRPr="00274507">
        <w:rPr>
          <w:sz w:val="28"/>
          <w:szCs w:val="28"/>
        </w:rPr>
        <w:t>.1.</w:t>
      </w:r>
      <w:r w:rsidR="008F1D10" w:rsidRPr="00274507">
        <w:rPr>
          <w:sz w:val="28"/>
          <w:szCs w:val="28"/>
        </w:rPr>
        <w:t xml:space="preserve"> </w:t>
      </w:r>
      <w:r w:rsidR="00F55E3F" w:rsidRPr="00274507">
        <w:rPr>
          <w:sz w:val="28"/>
          <w:szCs w:val="28"/>
        </w:rPr>
        <w:t xml:space="preserve">En lo relacionado con informar </w:t>
      </w:r>
      <w:r w:rsidR="008F1D10" w:rsidRPr="00274507">
        <w:rPr>
          <w:sz w:val="28"/>
          <w:szCs w:val="28"/>
        </w:rPr>
        <w:t>el número de</w:t>
      </w:r>
      <w:r w:rsidR="001B3F8C" w:rsidRPr="00274507">
        <w:rPr>
          <w:sz w:val="28"/>
          <w:szCs w:val="28"/>
        </w:rPr>
        <w:t xml:space="preserve"> acciones de tutela que resolviero</w:t>
      </w:r>
      <w:r w:rsidR="008F1D10" w:rsidRPr="00274507">
        <w:rPr>
          <w:sz w:val="28"/>
          <w:szCs w:val="28"/>
        </w:rPr>
        <w:t>n los problemas jurí</w:t>
      </w:r>
      <w:r w:rsidR="00F55E3F" w:rsidRPr="00274507">
        <w:rPr>
          <w:sz w:val="28"/>
          <w:szCs w:val="28"/>
        </w:rPr>
        <w:t>dicos de la sentencia T-760/08, m</w:t>
      </w:r>
      <w:r w:rsidR="008F1D10" w:rsidRPr="00274507">
        <w:rPr>
          <w:sz w:val="28"/>
          <w:szCs w:val="28"/>
        </w:rPr>
        <w:t xml:space="preserve">anifestó que en muchas ocasiones la tutela se </w:t>
      </w:r>
      <w:r w:rsidR="001B3F8C" w:rsidRPr="00274507">
        <w:rPr>
          <w:sz w:val="28"/>
          <w:szCs w:val="28"/>
        </w:rPr>
        <w:t>requería por más de un motivo, describiendo</w:t>
      </w:r>
      <w:r w:rsidR="003F381F" w:rsidRPr="00274507">
        <w:rPr>
          <w:sz w:val="28"/>
          <w:szCs w:val="28"/>
        </w:rPr>
        <w:t xml:space="preserve"> la siguiente tabla:</w:t>
      </w:r>
    </w:p>
    <w:p w:rsidR="003F381F" w:rsidRPr="00274507" w:rsidRDefault="003F381F" w:rsidP="00274507">
      <w:pPr>
        <w:jc w:val="both"/>
        <w:rPr>
          <w:sz w:val="28"/>
          <w:szCs w:val="28"/>
        </w:rPr>
      </w:pPr>
    </w:p>
    <w:tbl>
      <w:tblPr>
        <w:tblStyle w:val="Tablaconcuadrcula"/>
        <w:tblW w:w="0" w:type="auto"/>
        <w:tblLook w:val="04A0" w:firstRow="1" w:lastRow="0" w:firstColumn="1" w:lastColumn="0" w:noHBand="0" w:noVBand="1"/>
      </w:tblPr>
      <w:tblGrid>
        <w:gridCol w:w="7083"/>
        <w:gridCol w:w="2030"/>
      </w:tblGrid>
      <w:tr w:rsidR="008F1D10" w:rsidRPr="00274507" w:rsidTr="003F381F">
        <w:tc>
          <w:tcPr>
            <w:tcW w:w="7083" w:type="dxa"/>
          </w:tcPr>
          <w:p w:rsidR="008F1D10" w:rsidRPr="00274507" w:rsidRDefault="008F1D10" w:rsidP="00274507">
            <w:pPr>
              <w:jc w:val="center"/>
              <w:rPr>
                <w:b/>
                <w:bCs/>
                <w:sz w:val="28"/>
                <w:szCs w:val="28"/>
              </w:rPr>
            </w:pPr>
            <w:r w:rsidRPr="00274507">
              <w:rPr>
                <w:b/>
                <w:bCs/>
                <w:sz w:val="28"/>
                <w:szCs w:val="28"/>
              </w:rPr>
              <w:t>Causa origen de la acción de tutela</w:t>
            </w:r>
          </w:p>
        </w:tc>
        <w:tc>
          <w:tcPr>
            <w:tcW w:w="2030" w:type="dxa"/>
          </w:tcPr>
          <w:p w:rsidR="008F1D10" w:rsidRPr="00274507" w:rsidRDefault="008F1D10" w:rsidP="00274507">
            <w:pPr>
              <w:jc w:val="center"/>
              <w:rPr>
                <w:b/>
                <w:bCs/>
                <w:sz w:val="28"/>
                <w:szCs w:val="28"/>
              </w:rPr>
            </w:pPr>
            <w:r w:rsidRPr="00274507">
              <w:rPr>
                <w:b/>
                <w:bCs/>
                <w:sz w:val="28"/>
                <w:szCs w:val="28"/>
              </w:rPr>
              <w:t>Número de acciones de tutela</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servicio de salud POS que no ha sido negado pero esta demorado</w:t>
            </w:r>
          </w:p>
        </w:tc>
        <w:tc>
          <w:tcPr>
            <w:tcW w:w="2030" w:type="dxa"/>
          </w:tcPr>
          <w:p w:rsidR="008F1D10" w:rsidRPr="00274507" w:rsidRDefault="008F1D10" w:rsidP="00274507">
            <w:pPr>
              <w:jc w:val="center"/>
              <w:rPr>
                <w:bCs/>
                <w:sz w:val="28"/>
                <w:szCs w:val="28"/>
              </w:rPr>
            </w:pPr>
            <w:r w:rsidRPr="00274507">
              <w:rPr>
                <w:bCs/>
                <w:sz w:val="28"/>
                <w:szCs w:val="28"/>
              </w:rPr>
              <w:t>749</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exención de cuotas moderadoras o copagos</w:t>
            </w:r>
          </w:p>
        </w:tc>
        <w:tc>
          <w:tcPr>
            <w:tcW w:w="2030" w:type="dxa"/>
          </w:tcPr>
          <w:p w:rsidR="008F1D10" w:rsidRPr="00274507" w:rsidRDefault="008F1D10" w:rsidP="00274507">
            <w:pPr>
              <w:jc w:val="center"/>
              <w:rPr>
                <w:bCs/>
                <w:sz w:val="28"/>
                <w:szCs w:val="28"/>
              </w:rPr>
            </w:pPr>
            <w:r w:rsidRPr="00274507">
              <w:rPr>
                <w:bCs/>
                <w:sz w:val="28"/>
                <w:szCs w:val="28"/>
              </w:rPr>
              <w:t>247</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que se mantenga un prestador principio de continuidad</w:t>
            </w:r>
          </w:p>
        </w:tc>
        <w:tc>
          <w:tcPr>
            <w:tcW w:w="2030" w:type="dxa"/>
          </w:tcPr>
          <w:p w:rsidR="008F1D10" w:rsidRPr="00274507" w:rsidRDefault="008F1D10" w:rsidP="00274507">
            <w:pPr>
              <w:jc w:val="center"/>
              <w:rPr>
                <w:bCs/>
                <w:sz w:val="28"/>
                <w:szCs w:val="28"/>
              </w:rPr>
            </w:pPr>
            <w:r w:rsidRPr="00274507">
              <w:rPr>
                <w:bCs/>
                <w:sz w:val="28"/>
                <w:szCs w:val="28"/>
              </w:rPr>
              <w:t>72</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traslado de una persona a la que se le niega por otras razones</w:t>
            </w:r>
          </w:p>
        </w:tc>
        <w:tc>
          <w:tcPr>
            <w:tcW w:w="2030" w:type="dxa"/>
          </w:tcPr>
          <w:p w:rsidR="008F1D10" w:rsidRPr="00274507" w:rsidRDefault="008F1D10" w:rsidP="00274507">
            <w:pPr>
              <w:jc w:val="center"/>
              <w:rPr>
                <w:bCs/>
                <w:sz w:val="28"/>
                <w:szCs w:val="28"/>
              </w:rPr>
            </w:pPr>
            <w:r w:rsidRPr="00274507">
              <w:rPr>
                <w:bCs/>
                <w:sz w:val="28"/>
                <w:szCs w:val="28"/>
              </w:rPr>
              <w:t>64</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reconocimiento de incapacidad por enfermedad general negada por pago tardío</w:t>
            </w:r>
          </w:p>
        </w:tc>
        <w:tc>
          <w:tcPr>
            <w:tcW w:w="2030" w:type="dxa"/>
          </w:tcPr>
          <w:p w:rsidR="008F1D10" w:rsidRPr="00274507" w:rsidRDefault="008F1D10" w:rsidP="00274507">
            <w:pPr>
              <w:jc w:val="center"/>
              <w:rPr>
                <w:bCs/>
                <w:sz w:val="28"/>
                <w:szCs w:val="28"/>
              </w:rPr>
            </w:pPr>
            <w:r w:rsidRPr="00274507">
              <w:rPr>
                <w:bCs/>
                <w:sz w:val="28"/>
                <w:szCs w:val="28"/>
              </w:rPr>
              <w:t>49</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licencia de maternidad negada porque no cotizó todo el embarazo o cotizó tardíamente</w:t>
            </w:r>
          </w:p>
        </w:tc>
        <w:tc>
          <w:tcPr>
            <w:tcW w:w="2030" w:type="dxa"/>
          </w:tcPr>
          <w:p w:rsidR="008F1D10" w:rsidRPr="00274507" w:rsidRDefault="008F1D10" w:rsidP="00274507">
            <w:pPr>
              <w:jc w:val="center"/>
              <w:rPr>
                <w:bCs/>
                <w:sz w:val="28"/>
                <w:szCs w:val="28"/>
              </w:rPr>
            </w:pPr>
            <w:r w:rsidRPr="00274507">
              <w:rPr>
                <w:bCs/>
                <w:sz w:val="28"/>
                <w:szCs w:val="28"/>
              </w:rPr>
              <w:t>30</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prestación de servicios que son negados por mora en la cotización</w:t>
            </w:r>
          </w:p>
        </w:tc>
        <w:tc>
          <w:tcPr>
            <w:tcW w:w="2030" w:type="dxa"/>
          </w:tcPr>
          <w:p w:rsidR="008F1D10" w:rsidRPr="00274507" w:rsidRDefault="008F1D10" w:rsidP="00274507">
            <w:pPr>
              <w:jc w:val="center"/>
              <w:rPr>
                <w:bCs/>
                <w:sz w:val="28"/>
                <w:szCs w:val="28"/>
              </w:rPr>
            </w:pPr>
            <w:r w:rsidRPr="00274507">
              <w:rPr>
                <w:bCs/>
                <w:sz w:val="28"/>
                <w:szCs w:val="28"/>
              </w:rPr>
              <w:t>26</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traslado negada a pesar de haber cumplido el tiempo necesario para trasladarse, porque dentro del grupo familiar alguien padece una enfermedad catastrófica y debería esperar más tiempo para poder trasladarse</w:t>
            </w:r>
          </w:p>
        </w:tc>
        <w:tc>
          <w:tcPr>
            <w:tcW w:w="2030" w:type="dxa"/>
          </w:tcPr>
          <w:p w:rsidR="008F1D10" w:rsidRPr="00274507" w:rsidRDefault="008F1D10" w:rsidP="00274507">
            <w:pPr>
              <w:jc w:val="center"/>
              <w:rPr>
                <w:bCs/>
                <w:sz w:val="28"/>
                <w:szCs w:val="28"/>
              </w:rPr>
            </w:pPr>
            <w:r w:rsidRPr="00274507">
              <w:rPr>
                <w:bCs/>
                <w:sz w:val="28"/>
                <w:szCs w:val="28"/>
              </w:rPr>
              <w:t>8</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prestación de servicios que son negados porque ya trascurrió un mes luego del momento en que la persona dejó de cotizar, en razón a que ahora es desempleado</w:t>
            </w:r>
          </w:p>
        </w:tc>
        <w:tc>
          <w:tcPr>
            <w:tcW w:w="2030" w:type="dxa"/>
          </w:tcPr>
          <w:p w:rsidR="008F1D10" w:rsidRPr="00274507" w:rsidRDefault="008F1D10" w:rsidP="00274507">
            <w:pPr>
              <w:jc w:val="center"/>
              <w:rPr>
                <w:bCs/>
                <w:sz w:val="28"/>
                <w:szCs w:val="28"/>
              </w:rPr>
            </w:pPr>
            <w:r w:rsidRPr="00274507">
              <w:rPr>
                <w:bCs/>
                <w:sz w:val="28"/>
                <w:szCs w:val="28"/>
              </w:rPr>
              <w:t>6</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servicio de salud ordenado por el médico tratante y negado por ser no POS</w:t>
            </w:r>
          </w:p>
        </w:tc>
        <w:tc>
          <w:tcPr>
            <w:tcW w:w="2030" w:type="dxa"/>
          </w:tcPr>
          <w:p w:rsidR="008F1D10" w:rsidRPr="00274507" w:rsidRDefault="008F1D10" w:rsidP="00274507">
            <w:pPr>
              <w:jc w:val="center"/>
              <w:rPr>
                <w:bCs/>
                <w:sz w:val="28"/>
                <w:szCs w:val="28"/>
              </w:rPr>
            </w:pPr>
            <w:r w:rsidRPr="00274507">
              <w:rPr>
                <w:bCs/>
                <w:sz w:val="28"/>
                <w:szCs w:val="28"/>
              </w:rPr>
              <w:t>962</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 xml:space="preserve">Solicitud de atención integral </w:t>
            </w:r>
          </w:p>
        </w:tc>
        <w:tc>
          <w:tcPr>
            <w:tcW w:w="2030" w:type="dxa"/>
          </w:tcPr>
          <w:p w:rsidR="008F1D10" w:rsidRPr="00274507" w:rsidRDefault="008F1D10" w:rsidP="00274507">
            <w:pPr>
              <w:jc w:val="center"/>
              <w:rPr>
                <w:bCs/>
                <w:sz w:val="28"/>
                <w:szCs w:val="28"/>
              </w:rPr>
            </w:pPr>
            <w:r w:rsidRPr="00274507">
              <w:rPr>
                <w:bCs/>
                <w:sz w:val="28"/>
                <w:szCs w:val="28"/>
              </w:rPr>
              <w:t>313</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servicio que es negado porque fue ordenado por un médico particular no adscrito a la red</w:t>
            </w:r>
          </w:p>
        </w:tc>
        <w:tc>
          <w:tcPr>
            <w:tcW w:w="2030" w:type="dxa"/>
          </w:tcPr>
          <w:p w:rsidR="008F1D10" w:rsidRPr="00274507" w:rsidRDefault="008F1D10" w:rsidP="00274507">
            <w:pPr>
              <w:jc w:val="center"/>
              <w:rPr>
                <w:bCs/>
                <w:sz w:val="28"/>
                <w:szCs w:val="28"/>
              </w:rPr>
            </w:pPr>
            <w:r w:rsidRPr="00274507">
              <w:rPr>
                <w:bCs/>
                <w:sz w:val="28"/>
                <w:szCs w:val="28"/>
              </w:rPr>
              <w:t>31</w:t>
            </w:r>
          </w:p>
        </w:tc>
      </w:tr>
      <w:tr w:rsidR="008F1D10" w:rsidRPr="00274507" w:rsidTr="003F381F">
        <w:tc>
          <w:tcPr>
            <w:tcW w:w="7083" w:type="dxa"/>
          </w:tcPr>
          <w:p w:rsidR="008F1D10" w:rsidRPr="00274507" w:rsidRDefault="008F1D10" w:rsidP="00274507">
            <w:pPr>
              <w:jc w:val="both"/>
              <w:rPr>
                <w:bCs/>
                <w:sz w:val="28"/>
                <w:szCs w:val="28"/>
              </w:rPr>
            </w:pPr>
            <w:r w:rsidRPr="00274507">
              <w:rPr>
                <w:bCs/>
                <w:sz w:val="28"/>
                <w:szCs w:val="28"/>
              </w:rPr>
              <w:t>Solicitud de medicamento de marca</w:t>
            </w:r>
          </w:p>
        </w:tc>
        <w:tc>
          <w:tcPr>
            <w:tcW w:w="2030" w:type="dxa"/>
          </w:tcPr>
          <w:p w:rsidR="008F1D10" w:rsidRPr="00274507" w:rsidRDefault="008F1D10" w:rsidP="00274507">
            <w:pPr>
              <w:jc w:val="center"/>
              <w:rPr>
                <w:bCs/>
                <w:sz w:val="28"/>
                <w:szCs w:val="28"/>
              </w:rPr>
            </w:pPr>
            <w:r w:rsidRPr="00274507">
              <w:rPr>
                <w:bCs/>
                <w:sz w:val="28"/>
                <w:szCs w:val="28"/>
              </w:rPr>
              <w:t>13</w:t>
            </w:r>
          </w:p>
        </w:tc>
      </w:tr>
    </w:tbl>
    <w:p w:rsidR="008F1D10" w:rsidRPr="00274507" w:rsidRDefault="008F1D10" w:rsidP="00274507">
      <w:pPr>
        <w:jc w:val="both"/>
        <w:rPr>
          <w:bCs/>
          <w:sz w:val="28"/>
          <w:szCs w:val="28"/>
        </w:rPr>
      </w:pPr>
    </w:p>
    <w:p w:rsidR="00FC127B" w:rsidRPr="00274507" w:rsidRDefault="000A51A3" w:rsidP="00274507">
      <w:pPr>
        <w:jc w:val="both"/>
        <w:rPr>
          <w:sz w:val="28"/>
          <w:szCs w:val="28"/>
        </w:rPr>
      </w:pPr>
      <w:r w:rsidRPr="00274507">
        <w:rPr>
          <w:bCs/>
          <w:sz w:val="28"/>
          <w:szCs w:val="28"/>
        </w:rPr>
        <w:t>3</w:t>
      </w:r>
      <w:r w:rsidR="000D629B" w:rsidRPr="00274507">
        <w:rPr>
          <w:bCs/>
          <w:sz w:val="28"/>
          <w:szCs w:val="28"/>
        </w:rPr>
        <w:t>.</w:t>
      </w:r>
      <w:r w:rsidR="00DC21CC" w:rsidRPr="00274507">
        <w:rPr>
          <w:bCs/>
          <w:sz w:val="28"/>
          <w:szCs w:val="28"/>
        </w:rPr>
        <w:t>6</w:t>
      </w:r>
      <w:r w:rsidR="008F1D10" w:rsidRPr="00274507">
        <w:rPr>
          <w:bCs/>
          <w:sz w:val="28"/>
          <w:szCs w:val="28"/>
        </w:rPr>
        <w:t xml:space="preserve">.2. </w:t>
      </w:r>
      <w:r w:rsidR="00FC127B" w:rsidRPr="00274507">
        <w:rPr>
          <w:bCs/>
          <w:sz w:val="28"/>
          <w:szCs w:val="28"/>
        </w:rPr>
        <w:t xml:space="preserve">Precisó </w:t>
      </w:r>
      <w:r w:rsidR="008F1D10" w:rsidRPr="00274507">
        <w:rPr>
          <w:sz w:val="28"/>
          <w:szCs w:val="28"/>
        </w:rPr>
        <w:t>la tendencia de las tutelas en salud entre el 2000 y el 2014, advirti</w:t>
      </w:r>
      <w:r w:rsidR="00FC127B" w:rsidRPr="00274507">
        <w:rPr>
          <w:sz w:val="28"/>
          <w:szCs w:val="28"/>
        </w:rPr>
        <w:t xml:space="preserve">endo que para el 2008 </w:t>
      </w:r>
      <w:r w:rsidR="008F1D10" w:rsidRPr="00274507">
        <w:rPr>
          <w:sz w:val="28"/>
          <w:szCs w:val="28"/>
        </w:rPr>
        <w:t xml:space="preserve">alcanzó un margen representativo del 41,5%, alrededor de 142.957 tutelas por cada 1000 habitantes. En el 2009 y 2011 hubo un descenso y para los últimos tres años </w:t>
      </w:r>
      <w:r w:rsidR="004415F5" w:rsidRPr="00274507">
        <w:rPr>
          <w:sz w:val="28"/>
          <w:szCs w:val="28"/>
        </w:rPr>
        <w:t xml:space="preserve"> han permanecido estables. P</w:t>
      </w:r>
      <w:r w:rsidR="00FC127B" w:rsidRPr="00274507">
        <w:rPr>
          <w:sz w:val="28"/>
          <w:szCs w:val="28"/>
        </w:rPr>
        <w:t>ara el 2014 se obtuvo el 23</w:t>
      </w:r>
      <w:r w:rsidR="008F1D10" w:rsidRPr="00274507">
        <w:rPr>
          <w:sz w:val="28"/>
          <w:szCs w:val="28"/>
        </w:rPr>
        <w:t xml:space="preserve">,6% con un total de 117.746. Por lo anterior, consideró una disminución </w:t>
      </w:r>
      <w:r w:rsidR="00FC127B" w:rsidRPr="00274507">
        <w:rPr>
          <w:sz w:val="28"/>
          <w:szCs w:val="28"/>
        </w:rPr>
        <w:t xml:space="preserve">considerable en la presentación </w:t>
      </w:r>
      <w:r w:rsidR="008F1D10" w:rsidRPr="00274507">
        <w:rPr>
          <w:sz w:val="28"/>
          <w:szCs w:val="28"/>
        </w:rPr>
        <w:t>de las tutelas, sin embargo, insistió en que el derecho a la salud sigue siendo una causa recurrente de litigio y la tutela se mantie</w:t>
      </w:r>
      <w:r w:rsidR="00FC127B" w:rsidRPr="00274507">
        <w:rPr>
          <w:sz w:val="28"/>
          <w:szCs w:val="28"/>
        </w:rPr>
        <w:t>ne como un medio indispensable que garantiza la prestación del servicio a los usuarios.</w:t>
      </w:r>
    </w:p>
    <w:p w:rsidR="00FC127B" w:rsidRPr="00274507" w:rsidRDefault="00FC127B" w:rsidP="00274507">
      <w:pPr>
        <w:jc w:val="both"/>
        <w:rPr>
          <w:sz w:val="28"/>
          <w:szCs w:val="28"/>
        </w:rPr>
      </w:pPr>
    </w:p>
    <w:p w:rsidR="008F1D10" w:rsidRPr="00274507" w:rsidRDefault="00FC127B" w:rsidP="00274507">
      <w:pPr>
        <w:jc w:val="both"/>
        <w:rPr>
          <w:sz w:val="28"/>
          <w:szCs w:val="28"/>
        </w:rPr>
      </w:pPr>
      <w:r w:rsidRPr="00274507">
        <w:rPr>
          <w:sz w:val="28"/>
          <w:szCs w:val="28"/>
        </w:rPr>
        <w:t>Por otra parte, p</w:t>
      </w:r>
      <w:r w:rsidR="008F1D10" w:rsidRPr="00274507">
        <w:rPr>
          <w:sz w:val="28"/>
          <w:szCs w:val="28"/>
        </w:rPr>
        <w:t xml:space="preserve">resentó la distribución de acciones para el 2014 por servicios, indicando que de la muestra correspondiente a 2.289 tutelas se encontró que 223 </w:t>
      </w:r>
      <w:r w:rsidR="004415F5" w:rsidRPr="00274507">
        <w:rPr>
          <w:sz w:val="28"/>
          <w:szCs w:val="28"/>
        </w:rPr>
        <w:t>de ellas</w:t>
      </w:r>
      <w:r w:rsidR="008F1D10" w:rsidRPr="00274507">
        <w:rPr>
          <w:sz w:val="28"/>
          <w:szCs w:val="28"/>
        </w:rPr>
        <w:t xml:space="preserve"> no estaban relacionadas con salud por lo que se consolidó una base de datos de 2.041 expedientes</w:t>
      </w:r>
      <w:r w:rsidR="008F1D10" w:rsidRPr="00274507">
        <w:rPr>
          <w:rStyle w:val="Refdenotaalpie"/>
          <w:sz w:val="28"/>
          <w:szCs w:val="28"/>
        </w:rPr>
        <w:footnoteReference w:id="39"/>
      </w:r>
      <w:r w:rsidR="008F1D10" w:rsidRPr="00274507">
        <w:rPr>
          <w:sz w:val="28"/>
          <w:szCs w:val="28"/>
        </w:rPr>
        <w:t xml:space="preserve">.  </w:t>
      </w:r>
    </w:p>
    <w:p w:rsidR="00FC127B" w:rsidRPr="00274507" w:rsidRDefault="00FC127B" w:rsidP="00274507">
      <w:pPr>
        <w:jc w:val="both"/>
        <w:rPr>
          <w:sz w:val="28"/>
          <w:szCs w:val="28"/>
        </w:rPr>
      </w:pPr>
    </w:p>
    <w:p w:rsidR="00B62F12" w:rsidRPr="00274507" w:rsidRDefault="000D629B" w:rsidP="00274507">
      <w:pPr>
        <w:jc w:val="both"/>
        <w:rPr>
          <w:bCs/>
          <w:sz w:val="28"/>
          <w:szCs w:val="28"/>
        </w:rPr>
      </w:pPr>
      <w:r w:rsidRPr="00274507">
        <w:rPr>
          <w:bCs/>
          <w:sz w:val="28"/>
          <w:szCs w:val="28"/>
        </w:rPr>
        <w:t>3.</w:t>
      </w:r>
      <w:r w:rsidR="00DC21CC" w:rsidRPr="00274507">
        <w:rPr>
          <w:bCs/>
          <w:sz w:val="28"/>
          <w:szCs w:val="28"/>
        </w:rPr>
        <w:t>6</w:t>
      </w:r>
      <w:r w:rsidR="008F1D10" w:rsidRPr="00274507">
        <w:rPr>
          <w:bCs/>
          <w:sz w:val="28"/>
          <w:szCs w:val="28"/>
        </w:rPr>
        <w:t>.3. A la luz de los problemas jurídicos advirtió que la negación por servicios no POS es la principal causa de reclamación</w:t>
      </w:r>
      <w:r w:rsidR="008F1D10" w:rsidRPr="00274507">
        <w:rPr>
          <w:rStyle w:val="Refdenotaalpie"/>
          <w:bCs/>
          <w:sz w:val="28"/>
          <w:szCs w:val="28"/>
        </w:rPr>
        <w:footnoteReference w:id="40"/>
      </w:r>
      <w:r w:rsidR="008F1D10" w:rsidRPr="00274507">
        <w:rPr>
          <w:bCs/>
          <w:sz w:val="28"/>
          <w:szCs w:val="28"/>
        </w:rPr>
        <w:t>. Precisó que del 60% de las acciones que relacionó como negación del servicio, en realidad fueron incoadas po</w:t>
      </w:r>
      <w:r w:rsidR="00B8492F" w:rsidRPr="00274507">
        <w:rPr>
          <w:bCs/>
          <w:sz w:val="28"/>
          <w:szCs w:val="28"/>
        </w:rPr>
        <w:t>r la</w:t>
      </w:r>
      <w:r w:rsidR="004415F5" w:rsidRPr="00274507">
        <w:rPr>
          <w:bCs/>
          <w:sz w:val="28"/>
          <w:szCs w:val="28"/>
        </w:rPr>
        <w:t xml:space="preserve"> demora en su prestación,</w:t>
      </w:r>
      <w:r w:rsidR="00B62F12" w:rsidRPr="00274507">
        <w:rPr>
          <w:bCs/>
          <w:sz w:val="28"/>
          <w:szCs w:val="28"/>
        </w:rPr>
        <w:t xml:space="preserve"> sin embargo, indicó que </w:t>
      </w:r>
      <w:r w:rsidR="00B8492F" w:rsidRPr="00274507">
        <w:rPr>
          <w:bCs/>
          <w:sz w:val="28"/>
          <w:szCs w:val="28"/>
        </w:rPr>
        <w:t>para ese momento</w:t>
      </w:r>
      <w:r w:rsidR="00B62F12" w:rsidRPr="00274507">
        <w:rPr>
          <w:bCs/>
          <w:sz w:val="28"/>
          <w:szCs w:val="28"/>
        </w:rPr>
        <w:t xml:space="preserve"> le</w:t>
      </w:r>
      <w:r w:rsidR="008F1D10" w:rsidRPr="00274507">
        <w:rPr>
          <w:bCs/>
          <w:sz w:val="28"/>
          <w:szCs w:val="28"/>
        </w:rPr>
        <w:t xml:space="preserve"> fue imposible determinar </w:t>
      </w:r>
      <w:r w:rsidR="00B62F12" w:rsidRPr="00274507">
        <w:rPr>
          <w:bCs/>
          <w:sz w:val="28"/>
          <w:szCs w:val="28"/>
        </w:rPr>
        <w:t>la</w:t>
      </w:r>
      <w:r w:rsidR="008F1D10" w:rsidRPr="00274507">
        <w:rPr>
          <w:bCs/>
          <w:sz w:val="28"/>
          <w:szCs w:val="28"/>
        </w:rPr>
        <w:t>s causas,</w:t>
      </w:r>
      <w:r w:rsidR="00B8492F" w:rsidRPr="00274507">
        <w:rPr>
          <w:bCs/>
          <w:sz w:val="28"/>
          <w:szCs w:val="28"/>
        </w:rPr>
        <w:t xml:space="preserve"> </w:t>
      </w:r>
      <w:r w:rsidR="00B62F12" w:rsidRPr="00274507">
        <w:rPr>
          <w:bCs/>
          <w:sz w:val="28"/>
          <w:szCs w:val="28"/>
        </w:rPr>
        <w:t xml:space="preserve">por lo que tendría en cuenta ese aspecto para análisis </w:t>
      </w:r>
      <w:r w:rsidR="008F1D10" w:rsidRPr="00274507">
        <w:rPr>
          <w:bCs/>
          <w:sz w:val="28"/>
          <w:szCs w:val="28"/>
        </w:rPr>
        <w:t xml:space="preserve">futuros. </w:t>
      </w:r>
    </w:p>
    <w:p w:rsidR="00B62F12" w:rsidRPr="00274507" w:rsidRDefault="00B62F12" w:rsidP="00274507">
      <w:pPr>
        <w:jc w:val="both"/>
        <w:rPr>
          <w:bCs/>
          <w:sz w:val="28"/>
          <w:szCs w:val="28"/>
        </w:rPr>
      </w:pPr>
    </w:p>
    <w:p w:rsidR="008F1D10" w:rsidRPr="00274507" w:rsidRDefault="00B62F12" w:rsidP="00274507">
      <w:pPr>
        <w:jc w:val="both"/>
        <w:rPr>
          <w:bCs/>
          <w:sz w:val="28"/>
          <w:szCs w:val="28"/>
        </w:rPr>
      </w:pPr>
      <w:r w:rsidRPr="00274507">
        <w:rPr>
          <w:bCs/>
          <w:sz w:val="28"/>
          <w:szCs w:val="28"/>
        </w:rPr>
        <w:t>También se</w:t>
      </w:r>
      <w:r w:rsidR="008F1D10" w:rsidRPr="00274507">
        <w:rPr>
          <w:bCs/>
          <w:sz w:val="28"/>
          <w:szCs w:val="28"/>
        </w:rPr>
        <w:t>ñaló las medidas adoptadas para el mejoramiento en: i) el aseguramiento</w:t>
      </w:r>
      <w:r w:rsidR="008F1D10" w:rsidRPr="00274507">
        <w:rPr>
          <w:rStyle w:val="Refdenotaalpie"/>
          <w:bCs/>
          <w:sz w:val="28"/>
          <w:szCs w:val="28"/>
        </w:rPr>
        <w:footnoteReference w:id="41"/>
      </w:r>
      <w:r w:rsidR="008F1D10" w:rsidRPr="00274507">
        <w:rPr>
          <w:bCs/>
          <w:sz w:val="28"/>
          <w:szCs w:val="28"/>
        </w:rPr>
        <w:t>; ii) el acceso en salud para las regiones en circunstancias especiales a través del incremento y ajuste de la UPC</w:t>
      </w:r>
      <w:r w:rsidR="008F1D10" w:rsidRPr="00274507">
        <w:rPr>
          <w:rStyle w:val="Refdenotaalpie"/>
          <w:bCs/>
          <w:sz w:val="28"/>
          <w:szCs w:val="28"/>
        </w:rPr>
        <w:footnoteReference w:id="42"/>
      </w:r>
      <w:r w:rsidR="008F1D10" w:rsidRPr="00274507">
        <w:rPr>
          <w:bCs/>
          <w:sz w:val="28"/>
          <w:szCs w:val="28"/>
        </w:rPr>
        <w:t>; iii) el acceso de servicios de salud a través de la portabilidad</w:t>
      </w:r>
      <w:r w:rsidR="008F1D10" w:rsidRPr="00274507">
        <w:rPr>
          <w:rStyle w:val="Refdenotaalpie"/>
          <w:bCs/>
          <w:sz w:val="28"/>
          <w:szCs w:val="28"/>
        </w:rPr>
        <w:footnoteReference w:id="43"/>
      </w:r>
      <w:r w:rsidR="008F1D10" w:rsidRPr="00274507">
        <w:rPr>
          <w:bCs/>
          <w:sz w:val="28"/>
          <w:szCs w:val="28"/>
        </w:rPr>
        <w:t xml:space="preserve"> y iv) el acceso de servicios de salud a través de la movilidad</w:t>
      </w:r>
      <w:r w:rsidR="008F1D10" w:rsidRPr="00274507">
        <w:rPr>
          <w:rStyle w:val="Refdenotaalpie"/>
          <w:bCs/>
          <w:sz w:val="28"/>
          <w:szCs w:val="28"/>
        </w:rPr>
        <w:footnoteReference w:id="44"/>
      </w:r>
      <w:r w:rsidR="008F1D10" w:rsidRPr="00274507">
        <w:rPr>
          <w:bCs/>
          <w:sz w:val="28"/>
          <w:szCs w:val="28"/>
        </w:rPr>
        <w:t>; v) la garantía en las prestaciones de los servicios de salud no incluidos en el POS que son requeridos con urgencia</w:t>
      </w:r>
      <w:r w:rsidR="008F1D10" w:rsidRPr="00274507">
        <w:rPr>
          <w:rStyle w:val="Refdenotaalpie"/>
          <w:bCs/>
          <w:sz w:val="28"/>
          <w:szCs w:val="28"/>
        </w:rPr>
        <w:footnoteReference w:id="45"/>
      </w:r>
      <w:r w:rsidR="008F1D10" w:rsidRPr="00274507">
        <w:rPr>
          <w:bCs/>
          <w:sz w:val="28"/>
          <w:szCs w:val="28"/>
        </w:rPr>
        <w:t>; y vi) el avance en la implementación de la carta de derechos y deberes</w:t>
      </w:r>
      <w:r w:rsidR="008F1D10" w:rsidRPr="00274507">
        <w:rPr>
          <w:rStyle w:val="Refdenotaalpie"/>
          <w:bCs/>
          <w:sz w:val="28"/>
          <w:szCs w:val="28"/>
        </w:rPr>
        <w:footnoteReference w:id="46"/>
      </w:r>
      <w:r w:rsidR="008F1D10" w:rsidRPr="00274507">
        <w:rPr>
          <w:bCs/>
          <w:sz w:val="28"/>
          <w:szCs w:val="28"/>
        </w:rPr>
        <w:t xml:space="preserve">. </w:t>
      </w:r>
    </w:p>
    <w:p w:rsidR="008F1D10" w:rsidRPr="00274507" w:rsidRDefault="008F1D10" w:rsidP="00274507">
      <w:pPr>
        <w:widowControl w:val="0"/>
        <w:tabs>
          <w:tab w:val="left" w:pos="426"/>
        </w:tabs>
        <w:autoSpaceDE w:val="0"/>
        <w:autoSpaceDN w:val="0"/>
        <w:adjustRightInd w:val="0"/>
        <w:jc w:val="both"/>
        <w:rPr>
          <w:color w:val="000000" w:themeColor="text1"/>
          <w:sz w:val="28"/>
          <w:szCs w:val="28"/>
        </w:rPr>
      </w:pPr>
    </w:p>
    <w:p w:rsidR="008F1D10" w:rsidRPr="00274507" w:rsidRDefault="000A51A3" w:rsidP="00274507">
      <w:pPr>
        <w:jc w:val="both"/>
        <w:rPr>
          <w:bCs/>
          <w:sz w:val="28"/>
          <w:szCs w:val="28"/>
        </w:rPr>
      </w:pPr>
      <w:r w:rsidRPr="00274507">
        <w:rPr>
          <w:bCs/>
          <w:sz w:val="28"/>
          <w:szCs w:val="28"/>
        </w:rPr>
        <w:t>3</w:t>
      </w:r>
      <w:r w:rsidR="000D629B" w:rsidRPr="00274507">
        <w:rPr>
          <w:bCs/>
          <w:sz w:val="28"/>
          <w:szCs w:val="28"/>
        </w:rPr>
        <w:t>.</w:t>
      </w:r>
      <w:r w:rsidR="00DC21CC" w:rsidRPr="00274507">
        <w:rPr>
          <w:bCs/>
          <w:sz w:val="28"/>
          <w:szCs w:val="28"/>
        </w:rPr>
        <w:t>7</w:t>
      </w:r>
      <w:r w:rsidR="000D629B" w:rsidRPr="00274507">
        <w:rPr>
          <w:bCs/>
          <w:sz w:val="28"/>
          <w:szCs w:val="28"/>
        </w:rPr>
        <w:t>.</w:t>
      </w:r>
      <w:r w:rsidR="008F1D10" w:rsidRPr="00274507">
        <w:rPr>
          <w:bCs/>
          <w:sz w:val="28"/>
          <w:szCs w:val="28"/>
        </w:rPr>
        <w:t xml:space="preserve"> El </w:t>
      </w:r>
      <w:r w:rsidR="008F1D10" w:rsidRPr="00274507">
        <w:rPr>
          <w:sz w:val="28"/>
          <w:szCs w:val="28"/>
        </w:rPr>
        <w:t>17 de julio de 2016</w:t>
      </w:r>
      <w:r w:rsidR="008F1D10" w:rsidRPr="00274507">
        <w:rPr>
          <w:bCs/>
          <w:sz w:val="28"/>
          <w:szCs w:val="28"/>
        </w:rPr>
        <w:t xml:space="preserve"> la Defensoría del Pueblo remitió el informe</w:t>
      </w:r>
      <w:r w:rsidR="008F1D10" w:rsidRPr="00274507">
        <w:rPr>
          <w:rStyle w:val="Refdenotaalpie"/>
          <w:bCs/>
          <w:sz w:val="28"/>
          <w:szCs w:val="28"/>
        </w:rPr>
        <w:footnoteReference w:id="47"/>
      </w:r>
      <w:r w:rsidR="008F1D10" w:rsidRPr="00274507">
        <w:rPr>
          <w:bCs/>
          <w:sz w:val="28"/>
          <w:szCs w:val="28"/>
        </w:rPr>
        <w:t xml:space="preserve"> en el que reportó la respuesta emitida por el Ministerio de Salud en cumplimiento al requerimiento efectuado mediante Oficio 4050-229 de 11 de febrero de 2015 y consideró que la metodología utilizada para la recolección de datos así como para establecer las variables, indicadores y criterios está bien fundamentada, por lo que consideró un avance positivo para l</w:t>
      </w:r>
      <w:r w:rsidR="004415F5" w:rsidRPr="00274507">
        <w:rPr>
          <w:bCs/>
          <w:sz w:val="28"/>
          <w:szCs w:val="28"/>
        </w:rPr>
        <w:t>a proyección del informe final. S</w:t>
      </w:r>
      <w:r w:rsidR="008F1D10" w:rsidRPr="00274507">
        <w:rPr>
          <w:bCs/>
          <w:sz w:val="28"/>
          <w:szCs w:val="28"/>
        </w:rPr>
        <w:t>in embargo, indicó que se reserva el análisis final en ra</w:t>
      </w:r>
      <w:r w:rsidR="00B62F12" w:rsidRPr="00274507">
        <w:rPr>
          <w:bCs/>
          <w:sz w:val="28"/>
          <w:szCs w:val="28"/>
        </w:rPr>
        <w:t xml:space="preserve">zón a que para </w:t>
      </w:r>
      <w:r w:rsidR="008F1D10" w:rsidRPr="00274507">
        <w:rPr>
          <w:bCs/>
          <w:sz w:val="28"/>
          <w:szCs w:val="28"/>
        </w:rPr>
        <w:t>esa fecha el último informe no había sido puesto en conocimiento de su despacho.</w:t>
      </w:r>
    </w:p>
    <w:p w:rsidR="00B62F12" w:rsidRPr="00274507" w:rsidRDefault="00B62F12" w:rsidP="00274507">
      <w:pPr>
        <w:jc w:val="both"/>
        <w:rPr>
          <w:sz w:val="28"/>
          <w:szCs w:val="28"/>
        </w:rPr>
      </w:pPr>
    </w:p>
    <w:p w:rsidR="004B1BD1" w:rsidRPr="00274507" w:rsidRDefault="000B57AC" w:rsidP="00274507">
      <w:pPr>
        <w:widowControl w:val="0"/>
        <w:numPr>
          <w:ilvl w:val="0"/>
          <w:numId w:val="25"/>
        </w:numPr>
        <w:tabs>
          <w:tab w:val="left" w:pos="426"/>
        </w:tabs>
        <w:autoSpaceDE w:val="0"/>
        <w:autoSpaceDN w:val="0"/>
        <w:adjustRightInd w:val="0"/>
        <w:ind w:left="0" w:firstLine="0"/>
        <w:jc w:val="both"/>
        <w:rPr>
          <w:b/>
          <w:sz w:val="28"/>
          <w:szCs w:val="28"/>
        </w:rPr>
      </w:pPr>
      <w:r w:rsidRPr="00274507">
        <w:rPr>
          <w:b/>
          <w:sz w:val="28"/>
          <w:szCs w:val="28"/>
        </w:rPr>
        <w:t>Actuaciones adelantadas en el trámite de la orden trigésima.</w:t>
      </w:r>
    </w:p>
    <w:p w:rsidR="004B1BD1" w:rsidRPr="00274507" w:rsidRDefault="004B1BD1" w:rsidP="00274507">
      <w:pPr>
        <w:widowControl w:val="0"/>
        <w:tabs>
          <w:tab w:val="left" w:pos="426"/>
        </w:tabs>
        <w:autoSpaceDE w:val="0"/>
        <w:autoSpaceDN w:val="0"/>
        <w:adjustRightInd w:val="0"/>
        <w:jc w:val="both"/>
        <w:rPr>
          <w:sz w:val="28"/>
          <w:szCs w:val="28"/>
        </w:rPr>
      </w:pPr>
    </w:p>
    <w:p w:rsidR="00F1622C"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4B1BD1" w:rsidRPr="00274507">
        <w:rPr>
          <w:sz w:val="28"/>
          <w:szCs w:val="28"/>
        </w:rPr>
        <w:t xml:space="preserve">.1. </w:t>
      </w:r>
      <w:r w:rsidR="00C158D1" w:rsidRPr="00274507">
        <w:rPr>
          <w:sz w:val="28"/>
          <w:szCs w:val="28"/>
        </w:rPr>
        <w:t xml:space="preserve">Mediante </w:t>
      </w:r>
      <w:r w:rsidR="00C76FF1" w:rsidRPr="00274507">
        <w:rPr>
          <w:b/>
          <w:sz w:val="28"/>
          <w:szCs w:val="28"/>
        </w:rPr>
        <w:t>Auto de 13 de julio de 2009,</w:t>
      </w:r>
      <w:r w:rsidR="00B8492F" w:rsidRPr="00274507">
        <w:rPr>
          <w:sz w:val="28"/>
          <w:szCs w:val="28"/>
        </w:rPr>
        <w:t xml:space="preserve"> esta Sala orden</w:t>
      </w:r>
      <w:r w:rsidR="00C76FF1" w:rsidRPr="00274507">
        <w:rPr>
          <w:sz w:val="28"/>
          <w:szCs w:val="28"/>
        </w:rPr>
        <w:t xml:space="preserve">ó al entonces Ministerio de la Protección Social </w:t>
      </w:r>
      <w:r w:rsidR="00B8492F" w:rsidRPr="00274507">
        <w:rPr>
          <w:sz w:val="28"/>
          <w:szCs w:val="28"/>
        </w:rPr>
        <w:t>que</w:t>
      </w:r>
      <w:r w:rsidR="007A213F" w:rsidRPr="00274507">
        <w:rPr>
          <w:sz w:val="28"/>
          <w:szCs w:val="28"/>
        </w:rPr>
        <w:t xml:space="preserve"> debería </w:t>
      </w:r>
      <w:r w:rsidR="00E90510" w:rsidRPr="00274507">
        <w:rPr>
          <w:sz w:val="28"/>
          <w:szCs w:val="28"/>
        </w:rPr>
        <w:t xml:space="preserve">adelantar un estudio en el que </w:t>
      </w:r>
      <w:r w:rsidR="00C76FF1" w:rsidRPr="00274507">
        <w:rPr>
          <w:sz w:val="28"/>
          <w:szCs w:val="28"/>
        </w:rPr>
        <w:t xml:space="preserve">tuviera en cuenta otros factores diferentes </w:t>
      </w:r>
      <w:r w:rsidR="00E90510" w:rsidRPr="00274507">
        <w:rPr>
          <w:sz w:val="28"/>
          <w:szCs w:val="28"/>
        </w:rPr>
        <w:t xml:space="preserve">a </w:t>
      </w:r>
      <w:r w:rsidR="00C76FF1" w:rsidRPr="00274507">
        <w:rPr>
          <w:sz w:val="28"/>
          <w:szCs w:val="28"/>
        </w:rPr>
        <w:t>los recobros</w:t>
      </w:r>
      <w:r w:rsidR="007A213F" w:rsidRPr="00274507">
        <w:rPr>
          <w:sz w:val="28"/>
          <w:szCs w:val="28"/>
        </w:rPr>
        <w:t xml:space="preserve"> </w:t>
      </w:r>
      <w:r w:rsidR="00B62F12" w:rsidRPr="00274507">
        <w:rPr>
          <w:sz w:val="28"/>
          <w:szCs w:val="28"/>
        </w:rPr>
        <w:t xml:space="preserve">presentadas </w:t>
      </w:r>
      <w:r w:rsidR="007A213F" w:rsidRPr="00274507">
        <w:rPr>
          <w:sz w:val="28"/>
          <w:szCs w:val="28"/>
        </w:rPr>
        <w:t>ante el Fosyga</w:t>
      </w:r>
      <w:r w:rsidR="004415F5" w:rsidRPr="00274507">
        <w:rPr>
          <w:sz w:val="28"/>
          <w:szCs w:val="28"/>
        </w:rPr>
        <w:t>. E</w:t>
      </w:r>
      <w:r w:rsidR="00C158D1" w:rsidRPr="00274507">
        <w:rPr>
          <w:sz w:val="28"/>
          <w:szCs w:val="28"/>
        </w:rPr>
        <w:t>sto</w:t>
      </w:r>
      <w:r w:rsidR="00C76FF1" w:rsidRPr="00274507">
        <w:rPr>
          <w:sz w:val="28"/>
          <w:szCs w:val="28"/>
        </w:rPr>
        <w:t xml:space="preserve"> con el fin de que </w:t>
      </w:r>
      <w:r w:rsidR="00E90510" w:rsidRPr="00274507">
        <w:rPr>
          <w:sz w:val="28"/>
          <w:szCs w:val="28"/>
        </w:rPr>
        <w:t>obtuvie</w:t>
      </w:r>
      <w:r w:rsidR="00C76FF1" w:rsidRPr="00274507">
        <w:rPr>
          <w:sz w:val="28"/>
          <w:szCs w:val="28"/>
        </w:rPr>
        <w:t>ra una información completa, confiable y precisa</w:t>
      </w:r>
      <w:r w:rsidR="00C158D1" w:rsidRPr="00274507">
        <w:rPr>
          <w:sz w:val="28"/>
          <w:szCs w:val="28"/>
        </w:rPr>
        <w:t xml:space="preserve"> para</w:t>
      </w:r>
      <w:r w:rsidR="00E90510" w:rsidRPr="00274507">
        <w:rPr>
          <w:sz w:val="28"/>
          <w:szCs w:val="28"/>
        </w:rPr>
        <w:t>: i) calcular e</w:t>
      </w:r>
      <w:r w:rsidR="00B62F12" w:rsidRPr="00274507">
        <w:rPr>
          <w:sz w:val="28"/>
          <w:szCs w:val="28"/>
        </w:rPr>
        <w:t>l número de tutelas que resolvieran</w:t>
      </w:r>
      <w:r w:rsidR="00E90510" w:rsidRPr="00274507">
        <w:rPr>
          <w:sz w:val="28"/>
          <w:szCs w:val="28"/>
        </w:rPr>
        <w:t xml:space="preserve"> los problemas jurídicos </w:t>
      </w:r>
      <w:r w:rsidR="00C158D1" w:rsidRPr="00274507">
        <w:rPr>
          <w:sz w:val="28"/>
          <w:szCs w:val="28"/>
        </w:rPr>
        <w:t xml:space="preserve">descritos </w:t>
      </w:r>
      <w:r w:rsidR="00E90510" w:rsidRPr="00274507">
        <w:rPr>
          <w:sz w:val="28"/>
          <w:szCs w:val="28"/>
        </w:rPr>
        <w:t xml:space="preserve">en la T-760 de 2008 y ii) determinar los posibles factores de aumento </w:t>
      </w:r>
      <w:r w:rsidR="00D25EAB" w:rsidRPr="00274507">
        <w:rPr>
          <w:sz w:val="28"/>
          <w:szCs w:val="28"/>
        </w:rPr>
        <w:t xml:space="preserve">o disminución </w:t>
      </w:r>
      <w:r w:rsidR="00E90510" w:rsidRPr="00274507">
        <w:rPr>
          <w:sz w:val="28"/>
          <w:szCs w:val="28"/>
        </w:rPr>
        <w:t>del número de acciones</w:t>
      </w:r>
      <w:r w:rsidR="00C76FF1" w:rsidRPr="00274507">
        <w:rPr>
          <w:sz w:val="28"/>
          <w:szCs w:val="28"/>
        </w:rPr>
        <w:t>.</w:t>
      </w:r>
      <w:r w:rsidR="00E90510" w:rsidRPr="00274507">
        <w:rPr>
          <w:sz w:val="28"/>
          <w:szCs w:val="28"/>
        </w:rPr>
        <w:t xml:space="preserve"> </w:t>
      </w:r>
      <w:r w:rsidR="00C158D1" w:rsidRPr="00274507">
        <w:rPr>
          <w:sz w:val="28"/>
          <w:szCs w:val="28"/>
        </w:rPr>
        <w:t xml:space="preserve"> Además</w:t>
      </w:r>
      <w:r w:rsidR="00074B82" w:rsidRPr="00274507">
        <w:rPr>
          <w:sz w:val="28"/>
          <w:szCs w:val="28"/>
        </w:rPr>
        <w:t>,</w:t>
      </w:r>
      <w:r w:rsidR="00C158D1" w:rsidRPr="00274507">
        <w:rPr>
          <w:sz w:val="28"/>
          <w:szCs w:val="28"/>
        </w:rPr>
        <w:t xml:space="preserve"> reiteró la obligación de presentar los reportes ante </w:t>
      </w:r>
      <w:r w:rsidR="00E90510" w:rsidRPr="00274507">
        <w:rPr>
          <w:sz w:val="28"/>
          <w:szCs w:val="28"/>
        </w:rPr>
        <w:t>la Defensoría del Pueblo</w:t>
      </w:r>
      <w:r w:rsidR="00074B82" w:rsidRPr="00274507">
        <w:rPr>
          <w:sz w:val="28"/>
          <w:szCs w:val="28"/>
        </w:rPr>
        <w:t xml:space="preserve"> y</w:t>
      </w:r>
      <w:r w:rsidR="00E90510" w:rsidRPr="00274507">
        <w:rPr>
          <w:sz w:val="28"/>
          <w:szCs w:val="28"/>
        </w:rPr>
        <w:t xml:space="preserve"> la Procuraduría General de la Nación</w:t>
      </w:r>
      <w:r w:rsidR="00074B82" w:rsidRPr="00274507">
        <w:rPr>
          <w:sz w:val="28"/>
          <w:szCs w:val="28"/>
        </w:rPr>
        <w:t xml:space="preserve">, según sus competencias, </w:t>
      </w:r>
      <w:r w:rsidR="00C158D1" w:rsidRPr="00274507">
        <w:rPr>
          <w:sz w:val="28"/>
          <w:szCs w:val="28"/>
        </w:rPr>
        <w:t xml:space="preserve"> para que efect</w:t>
      </w:r>
      <w:r w:rsidR="00074B82" w:rsidRPr="00274507">
        <w:rPr>
          <w:sz w:val="28"/>
          <w:szCs w:val="28"/>
        </w:rPr>
        <w:t>uaran el respectivo seguimiento</w:t>
      </w:r>
      <w:r w:rsidR="00C158D1" w:rsidRPr="00274507">
        <w:rPr>
          <w:sz w:val="28"/>
          <w:szCs w:val="28"/>
        </w:rPr>
        <w:t>.</w:t>
      </w:r>
    </w:p>
    <w:p w:rsidR="00B95229" w:rsidRPr="00274507" w:rsidRDefault="00F1622C" w:rsidP="00274507">
      <w:pPr>
        <w:widowControl w:val="0"/>
        <w:tabs>
          <w:tab w:val="left" w:pos="426"/>
        </w:tabs>
        <w:autoSpaceDE w:val="0"/>
        <w:autoSpaceDN w:val="0"/>
        <w:adjustRightInd w:val="0"/>
        <w:jc w:val="both"/>
        <w:rPr>
          <w:sz w:val="28"/>
          <w:szCs w:val="28"/>
        </w:rPr>
      </w:pPr>
      <w:r w:rsidRPr="00274507">
        <w:rPr>
          <w:sz w:val="28"/>
          <w:szCs w:val="28"/>
        </w:rPr>
        <w:t>En la misma providencia</w:t>
      </w:r>
      <w:r w:rsidR="00C76FF1" w:rsidRPr="00274507">
        <w:rPr>
          <w:sz w:val="28"/>
          <w:szCs w:val="28"/>
        </w:rPr>
        <w:t xml:space="preserve"> requirió a la Pro</w:t>
      </w:r>
      <w:r w:rsidR="00F3063C" w:rsidRPr="00274507">
        <w:rPr>
          <w:sz w:val="28"/>
          <w:szCs w:val="28"/>
        </w:rPr>
        <w:t xml:space="preserve">curaduría General de la Nación para que informara </w:t>
      </w:r>
      <w:r w:rsidR="00C76FF1" w:rsidRPr="00274507">
        <w:rPr>
          <w:sz w:val="28"/>
          <w:szCs w:val="28"/>
        </w:rPr>
        <w:t>las gestiones</w:t>
      </w:r>
      <w:r w:rsidR="00F3063C" w:rsidRPr="00274507">
        <w:rPr>
          <w:sz w:val="28"/>
          <w:szCs w:val="28"/>
        </w:rPr>
        <w:t>, evaluaciones o estudios adelantado</w:t>
      </w:r>
      <w:r w:rsidR="00C76FF1" w:rsidRPr="00274507">
        <w:rPr>
          <w:sz w:val="28"/>
          <w:szCs w:val="28"/>
        </w:rPr>
        <w:t>s</w:t>
      </w:r>
      <w:r w:rsidR="00C72E10" w:rsidRPr="00274507">
        <w:rPr>
          <w:sz w:val="28"/>
          <w:szCs w:val="28"/>
        </w:rPr>
        <w:t xml:space="preserve">, así como </w:t>
      </w:r>
      <w:r w:rsidR="00F3063C" w:rsidRPr="00274507">
        <w:rPr>
          <w:sz w:val="28"/>
          <w:szCs w:val="28"/>
        </w:rPr>
        <w:t>la infraestructura humana, organizativa y material dispuesta para el seguimie</w:t>
      </w:r>
      <w:r w:rsidRPr="00274507">
        <w:rPr>
          <w:sz w:val="28"/>
          <w:szCs w:val="28"/>
        </w:rPr>
        <w:t>nto</w:t>
      </w:r>
      <w:r w:rsidR="007A213F" w:rsidRPr="00274507">
        <w:rPr>
          <w:sz w:val="28"/>
          <w:szCs w:val="28"/>
        </w:rPr>
        <w:t xml:space="preserve"> de dicha orden</w:t>
      </w:r>
      <w:r w:rsidR="004415F5" w:rsidRPr="00274507">
        <w:rPr>
          <w:sz w:val="28"/>
          <w:szCs w:val="28"/>
        </w:rPr>
        <w:t>,</w:t>
      </w:r>
      <w:r w:rsidR="007A213F" w:rsidRPr="00274507">
        <w:rPr>
          <w:sz w:val="28"/>
          <w:szCs w:val="28"/>
        </w:rPr>
        <w:t xml:space="preserve"> y </w:t>
      </w:r>
      <w:r w:rsidR="00C72E10" w:rsidRPr="00274507">
        <w:rPr>
          <w:sz w:val="28"/>
          <w:szCs w:val="28"/>
        </w:rPr>
        <w:t xml:space="preserve">se </w:t>
      </w:r>
      <w:r w:rsidR="00B95229" w:rsidRPr="00274507">
        <w:rPr>
          <w:sz w:val="28"/>
          <w:szCs w:val="28"/>
        </w:rPr>
        <w:t>solicitó a</w:t>
      </w:r>
      <w:r w:rsidR="00C76FF1" w:rsidRPr="00274507">
        <w:rPr>
          <w:sz w:val="28"/>
          <w:szCs w:val="28"/>
        </w:rPr>
        <w:t xml:space="preserve"> la Defensoría del Pueblo </w:t>
      </w:r>
      <w:r w:rsidR="004415F5" w:rsidRPr="00274507">
        <w:rPr>
          <w:sz w:val="28"/>
          <w:szCs w:val="28"/>
        </w:rPr>
        <w:t xml:space="preserve">que señalara </w:t>
      </w:r>
      <w:r w:rsidR="00C72E10" w:rsidRPr="00274507">
        <w:rPr>
          <w:sz w:val="28"/>
          <w:szCs w:val="28"/>
        </w:rPr>
        <w:t xml:space="preserve">sí </w:t>
      </w:r>
      <w:r w:rsidR="004415F5" w:rsidRPr="00274507">
        <w:rPr>
          <w:sz w:val="28"/>
          <w:szCs w:val="28"/>
        </w:rPr>
        <w:t>,</w:t>
      </w:r>
      <w:r w:rsidR="00C72E10" w:rsidRPr="00274507">
        <w:rPr>
          <w:sz w:val="28"/>
          <w:szCs w:val="28"/>
        </w:rPr>
        <w:t xml:space="preserve">con </w:t>
      </w:r>
      <w:r w:rsidR="00C76FF1" w:rsidRPr="00274507">
        <w:rPr>
          <w:sz w:val="28"/>
          <w:szCs w:val="28"/>
        </w:rPr>
        <w:t xml:space="preserve">la metodología </w:t>
      </w:r>
      <w:r w:rsidR="00C72E10" w:rsidRPr="00274507">
        <w:rPr>
          <w:sz w:val="28"/>
          <w:szCs w:val="28"/>
        </w:rPr>
        <w:t>implementada por el Ministerio</w:t>
      </w:r>
      <w:r w:rsidR="004415F5" w:rsidRPr="00274507">
        <w:rPr>
          <w:sz w:val="28"/>
          <w:szCs w:val="28"/>
        </w:rPr>
        <w:t>,</w:t>
      </w:r>
      <w:r w:rsidR="00C72E10" w:rsidRPr="00274507">
        <w:rPr>
          <w:sz w:val="28"/>
          <w:szCs w:val="28"/>
        </w:rPr>
        <w:t xml:space="preserve"> se podría dar </w:t>
      </w:r>
      <w:r w:rsidR="00B95229" w:rsidRPr="00274507">
        <w:rPr>
          <w:sz w:val="28"/>
          <w:szCs w:val="28"/>
        </w:rPr>
        <w:t>cumpli</w:t>
      </w:r>
      <w:r w:rsidR="00096B59" w:rsidRPr="00274507">
        <w:rPr>
          <w:sz w:val="28"/>
          <w:szCs w:val="28"/>
        </w:rPr>
        <w:t xml:space="preserve">miento a la medición de las acciones de tutela y la </w:t>
      </w:r>
      <w:r w:rsidR="00B8492F" w:rsidRPr="00274507">
        <w:rPr>
          <w:sz w:val="28"/>
          <w:szCs w:val="28"/>
        </w:rPr>
        <w:t>r</w:t>
      </w:r>
      <w:r w:rsidR="00E42CBC" w:rsidRPr="00274507">
        <w:rPr>
          <w:sz w:val="28"/>
          <w:szCs w:val="28"/>
        </w:rPr>
        <w:t>esolución</w:t>
      </w:r>
      <w:r w:rsidR="00096B59" w:rsidRPr="00274507">
        <w:rPr>
          <w:sz w:val="28"/>
          <w:szCs w:val="28"/>
        </w:rPr>
        <w:t xml:space="preserve"> de los problemas jurídicos señalados</w:t>
      </w:r>
      <w:r w:rsidR="00C72E10" w:rsidRPr="00274507">
        <w:rPr>
          <w:sz w:val="28"/>
          <w:szCs w:val="28"/>
        </w:rPr>
        <w:t xml:space="preserve"> en el mandato constitucional</w:t>
      </w:r>
      <w:r w:rsidR="00096B59" w:rsidRPr="00274507">
        <w:rPr>
          <w:sz w:val="28"/>
          <w:szCs w:val="28"/>
        </w:rPr>
        <w:t>.</w:t>
      </w:r>
      <w:r w:rsidR="00B95229" w:rsidRPr="00274507">
        <w:rPr>
          <w:sz w:val="28"/>
          <w:szCs w:val="28"/>
        </w:rPr>
        <w:t xml:space="preserve"> </w:t>
      </w:r>
    </w:p>
    <w:p w:rsidR="00096B59" w:rsidRPr="00274507" w:rsidRDefault="00096B59" w:rsidP="00274507">
      <w:pPr>
        <w:widowControl w:val="0"/>
        <w:tabs>
          <w:tab w:val="left" w:pos="426"/>
        </w:tabs>
        <w:autoSpaceDE w:val="0"/>
        <w:autoSpaceDN w:val="0"/>
        <w:adjustRightInd w:val="0"/>
        <w:jc w:val="both"/>
        <w:rPr>
          <w:sz w:val="28"/>
          <w:szCs w:val="28"/>
        </w:rPr>
      </w:pPr>
    </w:p>
    <w:p w:rsidR="00C76FF1" w:rsidRPr="00274507" w:rsidRDefault="00C76FF1" w:rsidP="00274507">
      <w:pPr>
        <w:widowControl w:val="0"/>
        <w:tabs>
          <w:tab w:val="left" w:pos="567"/>
        </w:tabs>
        <w:autoSpaceDE w:val="0"/>
        <w:autoSpaceDN w:val="0"/>
        <w:adjustRightInd w:val="0"/>
        <w:jc w:val="both"/>
        <w:rPr>
          <w:vanish/>
          <w:sz w:val="28"/>
          <w:szCs w:val="28"/>
        </w:rPr>
      </w:pPr>
    </w:p>
    <w:p w:rsidR="004177BB" w:rsidRPr="00274507" w:rsidRDefault="000A51A3" w:rsidP="00274507">
      <w:pPr>
        <w:widowControl w:val="0"/>
        <w:tabs>
          <w:tab w:val="left" w:pos="567"/>
        </w:tabs>
        <w:autoSpaceDE w:val="0"/>
        <w:autoSpaceDN w:val="0"/>
        <w:adjustRightInd w:val="0"/>
        <w:jc w:val="both"/>
        <w:rPr>
          <w:sz w:val="28"/>
          <w:szCs w:val="28"/>
        </w:rPr>
      </w:pPr>
      <w:r w:rsidRPr="00274507">
        <w:rPr>
          <w:sz w:val="28"/>
          <w:szCs w:val="28"/>
        </w:rPr>
        <w:t>4</w:t>
      </w:r>
      <w:r w:rsidR="00C76FF1" w:rsidRPr="00274507">
        <w:rPr>
          <w:sz w:val="28"/>
          <w:szCs w:val="28"/>
        </w:rPr>
        <w:t>.1</w:t>
      </w:r>
      <w:r w:rsidR="004177BB" w:rsidRPr="00274507">
        <w:rPr>
          <w:sz w:val="28"/>
          <w:szCs w:val="28"/>
        </w:rPr>
        <w:t>.1.</w:t>
      </w:r>
      <w:r w:rsidR="00000CF3" w:rsidRPr="00274507">
        <w:rPr>
          <w:sz w:val="28"/>
          <w:szCs w:val="28"/>
        </w:rPr>
        <w:t xml:space="preserve"> E</w:t>
      </w:r>
      <w:r w:rsidR="00C76FF1" w:rsidRPr="00274507">
        <w:rPr>
          <w:sz w:val="28"/>
          <w:szCs w:val="28"/>
        </w:rPr>
        <w:t>l 30 de julio de 2009</w:t>
      </w:r>
      <w:r w:rsidR="00C76FF1" w:rsidRPr="00274507">
        <w:rPr>
          <w:rStyle w:val="Refdenotaalpie"/>
          <w:sz w:val="28"/>
          <w:szCs w:val="28"/>
        </w:rPr>
        <w:footnoteReference w:id="48"/>
      </w:r>
      <w:r w:rsidR="00C76FF1" w:rsidRPr="00274507">
        <w:rPr>
          <w:sz w:val="28"/>
          <w:szCs w:val="28"/>
        </w:rPr>
        <w:t xml:space="preserve"> la Procuraduría General de la Nación</w:t>
      </w:r>
      <w:r w:rsidR="00000CF3" w:rsidRPr="00274507">
        <w:rPr>
          <w:sz w:val="28"/>
          <w:szCs w:val="28"/>
        </w:rPr>
        <w:t xml:space="preserve"> </w:t>
      </w:r>
      <w:r w:rsidR="00954936" w:rsidRPr="00274507">
        <w:rPr>
          <w:sz w:val="28"/>
          <w:szCs w:val="28"/>
        </w:rPr>
        <w:t>di</w:t>
      </w:r>
      <w:r w:rsidR="004415F5" w:rsidRPr="00274507">
        <w:rPr>
          <w:sz w:val="28"/>
          <w:szCs w:val="28"/>
        </w:rPr>
        <w:t>o cumplimiento a lo dispuesto</w:t>
      </w:r>
      <w:r w:rsidR="00954936" w:rsidRPr="00274507">
        <w:rPr>
          <w:sz w:val="28"/>
          <w:szCs w:val="28"/>
        </w:rPr>
        <w:t xml:space="preserve"> y señaló que </w:t>
      </w:r>
      <w:r w:rsidR="00227654" w:rsidRPr="00274507">
        <w:rPr>
          <w:sz w:val="28"/>
          <w:szCs w:val="28"/>
        </w:rPr>
        <w:t xml:space="preserve">en relación con </w:t>
      </w:r>
      <w:r w:rsidR="00F15A43" w:rsidRPr="00274507">
        <w:rPr>
          <w:sz w:val="28"/>
          <w:szCs w:val="28"/>
        </w:rPr>
        <w:t xml:space="preserve">los recursos materiales </w:t>
      </w:r>
      <w:r w:rsidR="00227654" w:rsidRPr="00274507">
        <w:rPr>
          <w:sz w:val="28"/>
          <w:szCs w:val="28"/>
        </w:rPr>
        <w:t>y la</w:t>
      </w:r>
      <w:r w:rsidR="00F15A43" w:rsidRPr="00274507">
        <w:rPr>
          <w:sz w:val="28"/>
          <w:szCs w:val="28"/>
        </w:rPr>
        <w:t xml:space="preserve"> infraestructura humana</w:t>
      </w:r>
      <w:r w:rsidR="004177BB" w:rsidRPr="00274507">
        <w:rPr>
          <w:sz w:val="28"/>
          <w:szCs w:val="28"/>
        </w:rPr>
        <w:t xml:space="preserve"> </w:t>
      </w:r>
      <w:r w:rsidR="007311E7" w:rsidRPr="00274507">
        <w:rPr>
          <w:sz w:val="28"/>
          <w:szCs w:val="28"/>
        </w:rPr>
        <w:t xml:space="preserve">implementó </w:t>
      </w:r>
      <w:r w:rsidR="00F15A43" w:rsidRPr="00274507">
        <w:rPr>
          <w:sz w:val="28"/>
          <w:szCs w:val="28"/>
        </w:rPr>
        <w:t>la Circular 056 de 28 de octubre de 2008</w:t>
      </w:r>
      <w:r w:rsidR="004177BB" w:rsidRPr="00274507">
        <w:rPr>
          <w:sz w:val="28"/>
          <w:szCs w:val="28"/>
        </w:rPr>
        <w:t xml:space="preserve">, </w:t>
      </w:r>
      <w:r w:rsidR="00F15A43" w:rsidRPr="00274507">
        <w:rPr>
          <w:sz w:val="28"/>
          <w:szCs w:val="28"/>
        </w:rPr>
        <w:t>mediante la cual impartió órdenes a las Procuradurías Delegadas Preventiva</w:t>
      </w:r>
      <w:r w:rsidR="004177BB" w:rsidRPr="00274507">
        <w:rPr>
          <w:sz w:val="28"/>
          <w:szCs w:val="28"/>
        </w:rPr>
        <w:t>s</w:t>
      </w:r>
      <w:r w:rsidR="00F15A43" w:rsidRPr="00274507">
        <w:rPr>
          <w:sz w:val="28"/>
          <w:szCs w:val="28"/>
        </w:rPr>
        <w:t xml:space="preserve"> en materia de Derechos Humanos y Asuntos </w:t>
      </w:r>
      <w:r w:rsidR="007311E7" w:rsidRPr="00274507">
        <w:rPr>
          <w:sz w:val="28"/>
          <w:szCs w:val="28"/>
        </w:rPr>
        <w:t>Étnicos, de</w:t>
      </w:r>
      <w:r w:rsidR="00F15A43" w:rsidRPr="00274507">
        <w:rPr>
          <w:sz w:val="28"/>
          <w:szCs w:val="28"/>
        </w:rPr>
        <w:t xml:space="preserve"> los Asuntos del Trabajo y la Seguridad Social, </w:t>
      </w:r>
      <w:r w:rsidR="007311E7" w:rsidRPr="00274507">
        <w:rPr>
          <w:sz w:val="28"/>
          <w:szCs w:val="28"/>
        </w:rPr>
        <w:t xml:space="preserve">de </w:t>
      </w:r>
      <w:r w:rsidR="00F15A43" w:rsidRPr="00274507">
        <w:rPr>
          <w:sz w:val="28"/>
          <w:szCs w:val="28"/>
        </w:rPr>
        <w:t>Descentralización y las Entidades Territoriales y para la Función Pública,</w:t>
      </w:r>
      <w:r w:rsidR="004177BB" w:rsidRPr="00274507">
        <w:rPr>
          <w:sz w:val="28"/>
          <w:szCs w:val="28"/>
        </w:rPr>
        <w:t xml:space="preserve"> a</w:t>
      </w:r>
      <w:r w:rsidR="00F15A43" w:rsidRPr="00274507">
        <w:rPr>
          <w:sz w:val="28"/>
          <w:szCs w:val="28"/>
        </w:rPr>
        <w:t xml:space="preserve"> fin de que definieran las acciones oportunas para construir la meto</w:t>
      </w:r>
      <w:r w:rsidR="007311E7" w:rsidRPr="00274507">
        <w:rPr>
          <w:sz w:val="28"/>
          <w:szCs w:val="28"/>
        </w:rPr>
        <w:t>dol</w:t>
      </w:r>
      <w:r w:rsidR="004177BB" w:rsidRPr="00274507">
        <w:rPr>
          <w:sz w:val="28"/>
          <w:szCs w:val="28"/>
        </w:rPr>
        <w:t>ogía de trabajo que garantizar</w:t>
      </w:r>
      <w:r w:rsidR="00E42CBC" w:rsidRPr="00274507">
        <w:rPr>
          <w:sz w:val="28"/>
          <w:szCs w:val="28"/>
        </w:rPr>
        <w:t>á</w:t>
      </w:r>
      <w:r w:rsidR="007311E7" w:rsidRPr="00274507">
        <w:rPr>
          <w:sz w:val="28"/>
          <w:szCs w:val="28"/>
        </w:rPr>
        <w:t xml:space="preserve"> el seguimiento de la orden trigésima cumpliendo los c</w:t>
      </w:r>
      <w:r w:rsidR="00F15A43" w:rsidRPr="00274507">
        <w:rPr>
          <w:sz w:val="28"/>
          <w:szCs w:val="28"/>
        </w:rPr>
        <w:t xml:space="preserve">riterios </w:t>
      </w:r>
      <w:r w:rsidR="007311E7" w:rsidRPr="00274507">
        <w:rPr>
          <w:sz w:val="28"/>
          <w:szCs w:val="28"/>
        </w:rPr>
        <w:t>contenidos en la</w:t>
      </w:r>
      <w:r w:rsidR="00E42CBC" w:rsidRPr="00274507">
        <w:rPr>
          <w:sz w:val="28"/>
          <w:szCs w:val="28"/>
        </w:rPr>
        <w:t xml:space="preserve"> sentencia</w:t>
      </w:r>
      <w:r w:rsidR="007311E7" w:rsidRPr="00274507">
        <w:rPr>
          <w:sz w:val="28"/>
          <w:szCs w:val="28"/>
        </w:rPr>
        <w:t xml:space="preserve"> T-760 de 2008</w:t>
      </w:r>
      <w:r w:rsidR="00D25EAB" w:rsidRPr="00274507">
        <w:rPr>
          <w:sz w:val="28"/>
          <w:szCs w:val="28"/>
        </w:rPr>
        <w:t xml:space="preserve"> </w:t>
      </w:r>
      <w:r w:rsidR="00954936" w:rsidRPr="00274507">
        <w:rPr>
          <w:sz w:val="28"/>
          <w:szCs w:val="28"/>
        </w:rPr>
        <w:t xml:space="preserve">de acuerdo con el </w:t>
      </w:r>
      <w:r w:rsidR="00F15A43" w:rsidRPr="00274507">
        <w:rPr>
          <w:sz w:val="28"/>
          <w:szCs w:val="28"/>
        </w:rPr>
        <w:t>cronograma de vencimiento</w:t>
      </w:r>
      <w:r w:rsidR="00954936" w:rsidRPr="00274507">
        <w:rPr>
          <w:sz w:val="28"/>
          <w:szCs w:val="28"/>
        </w:rPr>
        <w:t xml:space="preserve"> </w:t>
      </w:r>
      <w:r w:rsidR="00D25EAB" w:rsidRPr="00274507">
        <w:rPr>
          <w:sz w:val="28"/>
          <w:szCs w:val="28"/>
        </w:rPr>
        <w:t>previamente establecido</w:t>
      </w:r>
      <w:r w:rsidR="007311E7" w:rsidRPr="00274507">
        <w:rPr>
          <w:sz w:val="28"/>
          <w:szCs w:val="28"/>
        </w:rPr>
        <w:t xml:space="preserve">. </w:t>
      </w:r>
    </w:p>
    <w:p w:rsidR="004177BB" w:rsidRPr="00274507" w:rsidRDefault="004177BB" w:rsidP="00274507">
      <w:pPr>
        <w:widowControl w:val="0"/>
        <w:tabs>
          <w:tab w:val="left" w:pos="567"/>
        </w:tabs>
        <w:autoSpaceDE w:val="0"/>
        <w:autoSpaceDN w:val="0"/>
        <w:adjustRightInd w:val="0"/>
        <w:jc w:val="both"/>
        <w:rPr>
          <w:sz w:val="28"/>
          <w:szCs w:val="28"/>
        </w:rPr>
      </w:pPr>
    </w:p>
    <w:p w:rsidR="00C76FF1" w:rsidRPr="00274507" w:rsidRDefault="000A51A3" w:rsidP="00274507">
      <w:pPr>
        <w:pStyle w:val="Prrafodelista"/>
        <w:widowControl w:val="0"/>
        <w:tabs>
          <w:tab w:val="left" w:pos="567"/>
        </w:tabs>
        <w:autoSpaceDE w:val="0"/>
        <w:autoSpaceDN w:val="0"/>
        <w:adjustRightInd w:val="0"/>
        <w:ind w:left="0"/>
        <w:jc w:val="both"/>
        <w:rPr>
          <w:sz w:val="28"/>
          <w:szCs w:val="28"/>
        </w:rPr>
      </w:pPr>
      <w:r w:rsidRPr="00274507">
        <w:rPr>
          <w:sz w:val="28"/>
          <w:szCs w:val="28"/>
        </w:rPr>
        <w:t>4</w:t>
      </w:r>
      <w:r w:rsidR="004177BB" w:rsidRPr="00274507">
        <w:rPr>
          <w:sz w:val="28"/>
          <w:szCs w:val="28"/>
        </w:rPr>
        <w:t>.1.2</w:t>
      </w:r>
      <w:r w:rsidR="00C76FF1" w:rsidRPr="00274507">
        <w:rPr>
          <w:sz w:val="28"/>
          <w:szCs w:val="28"/>
        </w:rPr>
        <w:t>. En la misma fecha</w:t>
      </w:r>
      <w:r w:rsidR="00C76FF1" w:rsidRPr="00274507">
        <w:rPr>
          <w:rStyle w:val="Refdenotaalpie"/>
          <w:sz w:val="28"/>
          <w:szCs w:val="28"/>
        </w:rPr>
        <w:footnoteReference w:id="49"/>
      </w:r>
      <w:r w:rsidR="00552B7F" w:rsidRPr="00274507">
        <w:rPr>
          <w:sz w:val="28"/>
          <w:szCs w:val="28"/>
        </w:rPr>
        <w:t xml:space="preserve"> </w:t>
      </w:r>
      <w:r w:rsidR="00C76FF1" w:rsidRPr="00274507">
        <w:rPr>
          <w:sz w:val="28"/>
          <w:szCs w:val="28"/>
        </w:rPr>
        <w:t>la Defensoría del Pueblo advirtió que “…</w:t>
      </w:r>
      <w:r w:rsidR="00C76FF1" w:rsidRPr="00274507">
        <w:rPr>
          <w:i/>
          <w:sz w:val="28"/>
          <w:szCs w:val="28"/>
        </w:rPr>
        <w:t>la metodología y componentes empleados por el Ministerio no son los adecuados para cumplir la orden, ya que las solicitudes de recobro como factor de medición para el número de tutelas no son suficientes para su cuantificación…</w:t>
      </w:r>
      <w:r w:rsidR="00C76FF1" w:rsidRPr="00274507">
        <w:rPr>
          <w:sz w:val="28"/>
          <w:szCs w:val="28"/>
        </w:rPr>
        <w:t>”</w:t>
      </w:r>
      <w:r w:rsidR="00B8492F" w:rsidRPr="00274507">
        <w:rPr>
          <w:sz w:val="28"/>
          <w:szCs w:val="28"/>
        </w:rPr>
        <w:t>. E</w:t>
      </w:r>
      <w:r w:rsidR="004177BB" w:rsidRPr="00274507">
        <w:rPr>
          <w:sz w:val="28"/>
          <w:szCs w:val="28"/>
        </w:rPr>
        <w:t xml:space="preserve">n tal sentido, sugirió </w:t>
      </w:r>
      <w:r w:rsidR="00C76FF1" w:rsidRPr="00274507">
        <w:rPr>
          <w:sz w:val="28"/>
          <w:szCs w:val="28"/>
        </w:rPr>
        <w:t xml:space="preserve">que un mecanismo idóneo para obtener la información </w:t>
      </w:r>
      <w:r w:rsidR="006E512C" w:rsidRPr="00274507">
        <w:rPr>
          <w:sz w:val="28"/>
          <w:szCs w:val="28"/>
        </w:rPr>
        <w:t xml:space="preserve">podría ser </w:t>
      </w:r>
      <w:r w:rsidR="00CA5EB1" w:rsidRPr="00274507">
        <w:rPr>
          <w:sz w:val="28"/>
          <w:szCs w:val="28"/>
        </w:rPr>
        <w:t>el registro de l</w:t>
      </w:r>
      <w:r w:rsidR="006E512C" w:rsidRPr="00274507">
        <w:rPr>
          <w:sz w:val="28"/>
          <w:szCs w:val="28"/>
        </w:rPr>
        <w:t xml:space="preserve">as </w:t>
      </w:r>
      <w:r w:rsidR="00C76FF1" w:rsidRPr="00274507">
        <w:rPr>
          <w:sz w:val="28"/>
          <w:szCs w:val="28"/>
        </w:rPr>
        <w:t>tutelas que reposa</w:t>
      </w:r>
      <w:r w:rsidR="006E512C" w:rsidRPr="00274507">
        <w:rPr>
          <w:sz w:val="28"/>
          <w:szCs w:val="28"/>
        </w:rPr>
        <w:t>ban</w:t>
      </w:r>
      <w:r w:rsidR="00C76FF1" w:rsidRPr="00274507">
        <w:rPr>
          <w:sz w:val="28"/>
          <w:szCs w:val="28"/>
        </w:rPr>
        <w:t xml:space="preserve"> en la Corte Constitucional</w:t>
      </w:r>
      <w:r w:rsidR="006E512C" w:rsidRPr="00274507">
        <w:rPr>
          <w:sz w:val="28"/>
          <w:szCs w:val="28"/>
        </w:rPr>
        <w:t xml:space="preserve">, advirtiendo </w:t>
      </w:r>
      <w:r w:rsidR="00552B7F" w:rsidRPr="00274507">
        <w:rPr>
          <w:sz w:val="28"/>
          <w:szCs w:val="28"/>
        </w:rPr>
        <w:t>que</w:t>
      </w:r>
      <w:r w:rsidR="00D25EAB" w:rsidRPr="00274507">
        <w:rPr>
          <w:sz w:val="28"/>
          <w:szCs w:val="28"/>
        </w:rPr>
        <w:t xml:space="preserve"> allí</w:t>
      </w:r>
      <w:r w:rsidR="00954936" w:rsidRPr="00274507">
        <w:rPr>
          <w:sz w:val="28"/>
          <w:szCs w:val="28"/>
        </w:rPr>
        <w:t xml:space="preserve"> se encontraban</w:t>
      </w:r>
      <w:r w:rsidR="00552B7F" w:rsidRPr="00274507">
        <w:rPr>
          <w:sz w:val="28"/>
          <w:szCs w:val="28"/>
        </w:rPr>
        <w:t xml:space="preserve"> registradas todas las acciones interpuestas a nivel nacional</w:t>
      </w:r>
      <w:r w:rsidR="006E512C" w:rsidRPr="00274507">
        <w:rPr>
          <w:sz w:val="28"/>
          <w:szCs w:val="28"/>
        </w:rPr>
        <w:t>, lo cual constituir</w:t>
      </w:r>
      <w:r w:rsidR="00CA5EB1" w:rsidRPr="00274507">
        <w:rPr>
          <w:sz w:val="28"/>
          <w:szCs w:val="28"/>
        </w:rPr>
        <w:t>ía una fuente confiable y certer</w:t>
      </w:r>
      <w:r w:rsidR="006E512C" w:rsidRPr="00274507">
        <w:rPr>
          <w:sz w:val="28"/>
          <w:szCs w:val="28"/>
        </w:rPr>
        <w:t xml:space="preserve">a </w:t>
      </w:r>
      <w:r w:rsidR="00D25EAB" w:rsidRPr="00274507">
        <w:rPr>
          <w:sz w:val="28"/>
          <w:szCs w:val="28"/>
        </w:rPr>
        <w:t>de información</w:t>
      </w:r>
      <w:r w:rsidR="006E512C" w:rsidRPr="00274507">
        <w:rPr>
          <w:sz w:val="28"/>
          <w:szCs w:val="28"/>
        </w:rPr>
        <w:t>.</w:t>
      </w:r>
    </w:p>
    <w:p w:rsidR="006E512C" w:rsidRPr="00274507" w:rsidRDefault="006E512C" w:rsidP="00274507">
      <w:pPr>
        <w:pStyle w:val="Prrafodelista"/>
        <w:widowControl w:val="0"/>
        <w:tabs>
          <w:tab w:val="left" w:pos="567"/>
        </w:tabs>
        <w:autoSpaceDE w:val="0"/>
        <w:autoSpaceDN w:val="0"/>
        <w:adjustRightInd w:val="0"/>
        <w:ind w:left="0"/>
        <w:jc w:val="both"/>
        <w:rPr>
          <w:sz w:val="28"/>
          <w:szCs w:val="28"/>
        </w:rPr>
      </w:pPr>
    </w:p>
    <w:p w:rsidR="00C76FF1" w:rsidRPr="00274507" w:rsidRDefault="000A51A3" w:rsidP="00274507">
      <w:pPr>
        <w:pStyle w:val="Prrafodelista"/>
        <w:widowControl w:val="0"/>
        <w:tabs>
          <w:tab w:val="left" w:pos="567"/>
        </w:tabs>
        <w:autoSpaceDE w:val="0"/>
        <w:autoSpaceDN w:val="0"/>
        <w:adjustRightInd w:val="0"/>
        <w:ind w:left="0"/>
        <w:jc w:val="both"/>
        <w:rPr>
          <w:sz w:val="28"/>
          <w:szCs w:val="28"/>
        </w:rPr>
      </w:pPr>
      <w:r w:rsidRPr="00274507">
        <w:rPr>
          <w:sz w:val="28"/>
          <w:szCs w:val="28"/>
        </w:rPr>
        <w:t>4</w:t>
      </w:r>
      <w:r w:rsidR="00CA5EB1" w:rsidRPr="00274507">
        <w:rPr>
          <w:sz w:val="28"/>
          <w:szCs w:val="28"/>
        </w:rPr>
        <w:t>.1.3</w:t>
      </w:r>
      <w:r w:rsidR="00C76FF1" w:rsidRPr="00274507">
        <w:rPr>
          <w:sz w:val="28"/>
          <w:szCs w:val="28"/>
        </w:rPr>
        <w:t xml:space="preserve">. </w:t>
      </w:r>
      <w:r w:rsidR="00CA5EB1" w:rsidRPr="00274507">
        <w:rPr>
          <w:sz w:val="28"/>
          <w:szCs w:val="28"/>
        </w:rPr>
        <w:t xml:space="preserve">El </w:t>
      </w:r>
      <w:r w:rsidR="00C76FF1" w:rsidRPr="00274507">
        <w:rPr>
          <w:sz w:val="28"/>
          <w:szCs w:val="28"/>
        </w:rPr>
        <w:t>7 de septiembre de 2009</w:t>
      </w:r>
      <w:r w:rsidR="00C76FF1" w:rsidRPr="00274507">
        <w:rPr>
          <w:rStyle w:val="Refdenotaalpie"/>
          <w:sz w:val="28"/>
          <w:szCs w:val="28"/>
        </w:rPr>
        <w:footnoteReference w:id="50"/>
      </w:r>
      <w:r w:rsidR="00A97A55" w:rsidRPr="00274507">
        <w:rPr>
          <w:sz w:val="28"/>
          <w:szCs w:val="28"/>
        </w:rPr>
        <w:t xml:space="preserve"> el entonces Ministerio de la Protección Social </w:t>
      </w:r>
      <w:r w:rsidR="00C76FF1" w:rsidRPr="00274507">
        <w:rPr>
          <w:sz w:val="28"/>
          <w:szCs w:val="28"/>
        </w:rPr>
        <w:t xml:space="preserve">señaló que la información </w:t>
      </w:r>
      <w:r w:rsidR="00EA3B58" w:rsidRPr="00274507">
        <w:rPr>
          <w:sz w:val="28"/>
          <w:szCs w:val="28"/>
        </w:rPr>
        <w:t xml:space="preserve">contenida </w:t>
      </w:r>
      <w:r w:rsidR="00C76FF1" w:rsidRPr="00274507">
        <w:rPr>
          <w:sz w:val="28"/>
          <w:szCs w:val="28"/>
        </w:rPr>
        <w:t xml:space="preserve">de la base de datos de </w:t>
      </w:r>
      <w:r w:rsidR="006E512C" w:rsidRPr="00274507">
        <w:rPr>
          <w:sz w:val="28"/>
          <w:szCs w:val="28"/>
        </w:rPr>
        <w:t xml:space="preserve">los recobros </w:t>
      </w:r>
      <w:r w:rsidR="00EA3B58" w:rsidRPr="00274507">
        <w:rPr>
          <w:sz w:val="28"/>
          <w:szCs w:val="28"/>
        </w:rPr>
        <w:t xml:space="preserve">fue </w:t>
      </w:r>
      <w:r w:rsidR="006E512C" w:rsidRPr="00274507">
        <w:rPr>
          <w:sz w:val="28"/>
          <w:szCs w:val="28"/>
        </w:rPr>
        <w:t>confiable</w:t>
      </w:r>
      <w:r w:rsidR="00EA3B58" w:rsidRPr="00274507">
        <w:rPr>
          <w:sz w:val="28"/>
          <w:szCs w:val="28"/>
        </w:rPr>
        <w:t xml:space="preserve"> y con ella podía </w:t>
      </w:r>
      <w:r w:rsidR="006E512C" w:rsidRPr="00274507">
        <w:rPr>
          <w:sz w:val="28"/>
          <w:szCs w:val="28"/>
        </w:rPr>
        <w:t>cumplir con los presupuest</w:t>
      </w:r>
      <w:r w:rsidR="00CA5EB1" w:rsidRPr="00274507">
        <w:rPr>
          <w:sz w:val="28"/>
          <w:szCs w:val="28"/>
        </w:rPr>
        <w:t xml:space="preserve">os del mandato constitucional, </w:t>
      </w:r>
      <w:r w:rsidR="00954936" w:rsidRPr="00274507">
        <w:rPr>
          <w:sz w:val="28"/>
          <w:szCs w:val="28"/>
        </w:rPr>
        <w:t xml:space="preserve">máxime, </w:t>
      </w:r>
      <w:r w:rsidR="00CA5EB1" w:rsidRPr="00274507">
        <w:rPr>
          <w:sz w:val="28"/>
          <w:szCs w:val="28"/>
        </w:rPr>
        <w:t xml:space="preserve">si se tenía en cuenta </w:t>
      </w:r>
      <w:r w:rsidR="006E512C" w:rsidRPr="00274507">
        <w:rPr>
          <w:sz w:val="28"/>
          <w:szCs w:val="28"/>
        </w:rPr>
        <w:t>que</w:t>
      </w:r>
      <w:r w:rsidR="00CA5EB1" w:rsidRPr="00274507">
        <w:rPr>
          <w:sz w:val="28"/>
          <w:szCs w:val="28"/>
        </w:rPr>
        <w:t xml:space="preserve"> el margen de error por parte de una EP</w:t>
      </w:r>
      <w:r w:rsidR="00954936" w:rsidRPr="00274507">
        <w:rPr>
          <w:sz w:val="28"/>
          <w:szCs w:val="28"/>
        </w:rPr>
        <w:t xml:space="preserve">S al presentar la </w:t>
      </w:r>
      <w:r w:rsidR="00EA3B58" w:rsidRPr="00274507">
        <w:rPr>
          <w:sz w:val="28"/>
          <w:szCs w:val="28"/>
        </w:rPr>
        <w:t xml:space="preserve">reclamación había sido casi nulo, por tratarse de </w:t>
      </w:r>
      <w:r w:rsidR="00954936" w:rsidRPr="00274507">
        <w:rPr>
          <w:sz w:val="28"/>
          <w:szCs w:val="28"/>
        </w:rPr>
        <w:t>un</w:t>
      </w:r>
      <w:r w:rsidR="00CA5EB1" w:rsidRPr="00274507">
        <w:rPr>
          <w:sz w:val="28"/>
          <w:szCs w:val="28"/>
        </w:rPr>
        <w:t xml:space="preserve"> procedimiento </w:t>
      </w:r>
      <w:r w:rsidR="00EA3B58" w:rsidRPr="00274507">
        <w:rPr>
          <w:sz w:val="28"/>
          <w:szCs w:val="28"/>
        </w:rPr>
        <w:t xml:space="preserve">concreto </w:t>
      </w:r>
      <w:r w:rsidR="00954936" w:rsidRPr="00274507">
        <w:rPr>
          <w:sz w:val="28"/>
          <w:szCs w:val="28"/>
        </w:rPr>
        <w:t xml:space="preserve">que </w:t>
      </w:r>
      <w:r w:rsidR="00CA5EB1" w:rsidRPr="00274507">
        <w:rPr>
          <w:sz w:val="28"/>
          <w:szCs w:val="28"/>
        </w:rPr>
        <w:t xml:space="preserve">se </w:t>
      </w:r>
      <w:r w:rsidR="00954936" w:rsidRPr="00274507">
        <w:rPr>
          <w:sz w:val="28"/>
          <w:szCs w:val="28"/>
        </w:rPr>
        <w:t>refería</w:t>
      </w:r>
      <w:r w:rsidR="00CA5EB1" w:rsidRPr="00274507">
        <w:rPr>
          <w:sz w:val="28"/>
          <w:szCs w:val="28"/>
        </w:rPr>
        <w:t xml:space="preserve"> a un caso en particular y un servicio específico</w:t>
      </w:r>
      <w:r w:rsidR="00954936" w:rsidRPr="00274507">
        <w:rPr>
          <w:sz w:val="28"/>
          <w:szCs w:val="28"/>
        </w:rPr>
        <w:t xml:space="preserve"> ordenado</w:t>
      </w:r>
      <w:r w:rsidR="006E512C" w:rsidRPr="00274507">
        <w:rPr>
          <w:sz w:val="28"/>
          <w:szCs w:val="28"/>
        </w:rPr>
        <w:t xml:space="preserve">, </w:t>
      </w:r>
      <w:r w:rsidR="00E42CBC" w:rsidRPr="00274507">
        <w:rPr>
          <w:sz w:val="28"/>
          <w:szCs w:val="28"/>
        </w:rPr>
        <w:t>de modo que el contenido</w:t>
      </w:r>
      <w:r w:rsidR="00954936" w:rsidRPr="00274507">
        <w:rPr>
          <w:sz w:val="28"/>
          <w:szCs w:val="28"/>
        </w:rPr>
        <w:t xml:space="preserve"> derivad</w:t>
      </w:r>
      <w:r w:rsidR="00B8492F" w:rsidRPr="00274507">
        <w:rPr>
          <w:sz w:val="28"/>
          <w:szCs w:val="28"/>
        </w:rPr>
        <w:t>o</w:t>
      </w:r>
      <w:r w:rsidR="00954936" w:rsidRPr="00274507">
        <w:rPr>
          <w:sz w:val="28"/>
          <w:szCs w:val="28"/>
        </w:rPr>
        <w:t xml:space="preserve"> de esas</w:t>
      </w:r>
      <w:r w:rsidR="006E512C" w:rsidRPr="00274507">
        <w:rPr>
          <w:sz w:val="28"/>
          <w:szCs w:val="28"/>
        </w:rPr>
        <w:t xml:space="preserve"> solicitudes, representaban un porcentaje </w:t>
      </w:r>
      <w:r w:rsidR="00954936" w:rsidRPr="00274507">
        <w:rPr>
          <w:sz w:val="28"/>
          <w:szCs w:val="28"/>
        </w:rPr>
        <w:t xml:space="preserve">válido y confiable </w:t>
      </w:r>
      <w:r w:rsidR="006E512C" w:rsidRPr="00274507">
        <w:rPr>
          <w:sz w:val="28"/>
          <w:szCs w:val="28"/>
        </w:rPr>
        <w:t>de los fallos de tutelas incoados por los afiliados durante el periodo analizado</w:t>
      </w:r>
      <w:r w:rsidR="0047262B" w:rsidRPr="00274507">
        <w:rPr>
          <w:rStyle w:val="Refdenotaalpie"/>
          <w:sz w:val="28"/>
          <w:szCs w:val="28"/>
        </w:rPr>
        <w:footnoteReference w:id="51"/>
      </w:r>
      <w:r w:rsidR="006E512C" w:rsidRPr="00274507">
        <w:rPr>
          <w:sz w:val="28"/>
          <w:szCs w:val="28"/>
        </w:rPr>
        <w:t xml:space="preserve">. </w:t>
      </w:r>
    </w:p>
    <w:p w:rsidR="00EA3B58" w:rsidRPr="00274507" w:rsidRDefault="00EA3B58" w:rsidP="00274507">
      <w:pPr>
        <w:widowControl w:val="0"/>
        <w:tabs>
          <w:tab w:val="left" w:pos="567"/>
        </w:tabs>
        <w:autoSpaceDE w:val="0"/>
        <w:autoSpaceDN w:val="0"/>
        <w:adjustRightInd w:val="0"/>
        <w:jc w:val="both"/>
        <w:rPr>
          <w:b/>
          <w:sz w:val="28"/>
          <w:szCs w:val="28"/>
        </w:rPr>
      </w:pPr>
    </w:p>
    <w:p w:rsidR="007F2E55" w:rsidRPr="00274507" w:rsidRDefault="000A51A3" w:rsidP="00274507">
      <w:pPr>
        <w:widowControl w:val="0"/>
        <w:tabs>
          <w:tab w:val="left" w:pos="567"/>
        </w:tabs>
        <w:autoSpaceDE w:val="0"/>
        <w:autoSpaceDN w:val="0"/>
        <w:adjustRightInd w:val="0"/>
        <w:jc w:val="both"/>
        <w:rPr>
          <w:sz w:val="28"/>
          <w:szCs w:val="28"/>
        </w:rPr>
      </w:pPr>
      <w:r w:rsidRPr="00274507">
        <w:rPr>
          <w:sz w:val="28"/>
          <w:szCs w:val="28"/>
        </w:rPr>
        <w:t>4</w:t>
      </w:r>
      <w:r w:rsidR="00F55E3F" w:rsidRPr="00274507">
        <w:rPr>
          <w:sz w:val="28"/>
          <w:szCs w:val="28"/>
        </w:rPr>
        <w:t>.2</w:t>
      </w:r>
      <w:r w:rsidR="000F0AF8" w:rsidRPr="00274507">
        <w:rPr>
          <w:sz w:val="28"/>
          <w:szCs w:val="28"/>
        </w:rPr>
        <w:t xml:space="preserve">. </w:t>
      </w:r>
      <w:r w:rsidR="00C76FF1" w:rsidRPr="00274507">
        <w:rPr>
          <w:sz w:val="28"/>
          <w:szCs w:val="28"/>
        </w:rPr>
        <w:t xml:space="preserve">A través de </w:t>
      </w:r>
      <w:r w:rsidR="00EA3B58" w:rsidRPr="00274507">
        <w:rPr>
          <w:sz w:val="28"/>
          <w:szCs w:val="28"/>
        </w:rPr>
        <w:t xml:space="preserve">oficio de </w:t>
      </w:r>
      <w:r w:rsidR="00C76FF1" w:rsidRPr="00274507">
        <w:rPr>
          <w:sz w:val="28"/>
          <w:szCs w:val="28"/>
        </w:rPr>
        <w:t>17 de febrero de 2011, la Organización Iberoamericana de Seguridad Social (OISS)</w:t>
      </w:r>
      <w:r w:rsidR="00C76FF1" w:rsidRPr="00274507">
        <w:rPr>
          <w:rStyle w:val="Refdenotaalpie"/>
          <w:sz w:val="28"/>
          <w:szCs w:val="28"/>
        </w:rPr>
        <w:footnoteReference w:id="52"/>
      </w:r>
      <w:r w:rsidR="00C76FF1" w:rsidRPr="00274507">
        <w:rPr>
          <w:sz w:val="28"/>
          <w:szCs w:val="28"/>
        </w:rPr>
        <w:t>, allegó un estudio</w:t>
      </w:r>
      <w:r w:rsidR="001F3BEA" w:rsidRPr="00274507">
        <w:rPr>
          <w:rStyle w:val="Refdenotaalpie"/>
          <w:sz w:val="28"/>
          <w:szCs w:val="28"/>
        </w:rPr>
        <w:footnoteReference w:id="53"/>
      </w:r>
      <w:r w:rsidR="002D77E3" w:rsidRPr="00274507">
        <w:rPr>
          <w:sz w:val="28"/>
          <w:szCs w:val="28"/>
        </w:rPr>
        <w:t xml:space="preserve"> </w:t>
      </w:r>
      <w:r w:rsidR="00EA3B58" w:rsidRPr="00274507">
        <w:rPr>
          <w:sz w:val="28"/>
          <w:szCs w:val="28"/>
        </w:rPr>
        <w:t xml:space="preserve">mediante el cual recomendó al </w:t>
      </w:r>
      <w:r w:rsidR="007F2E55" w:rsidRPr="00274507">
        <w:rPr>
          <w:sz w:val="28"/>
          <w:szCs w:val="28"/>
        </w:rPr>
        <w:t xml:space="preserve">Ministerio </w:t>
      </w:r>
      <w:r w:rsidR="00880EA1" w:rsidRPr="00274507">
        <w:rPr>
          <w:sz w:val="28"/>
          <w:szCs w:val="28"/>
        </w:rPr>
        <w:t xml:space="preserve">de </w:t>
      </w:r>
      <w:r w:rsidR="00EA3B58" w:rsidRPr="00274507">
        <w:rPr>
          <w:sz w:val="28"/>
          <w:szCs w:val="28"/>
        </w:rPr>
        <w:t>Salud</w:t>
      </w:r>
      <w:r w:rsidR="001F3BEA" w:rsidRPr="00274507">
        <w:rPr>
          <w:sz w:val="28"/>
          <w:szCs w:val="28"/>
        </w:rPr>
        <w:t>,</w:t>
      </w:r>
      <w:r w:rsidR="00880EA1" w:rsidRPr="00274507">
        <w:rPr>
          <w:sz w:val="28"/>
          <w:szCs w:val="28"/>
        </w:rPr>
        <w:t xml:space="preserve"> </w:t>
      </w:r>
      <w:r w:rsidR="007F2E55" w:rsidRPr="00274507">
        <w:rPr>
          <w:sz w:val="28"/>
          <w:szCs w:val="28"/>
        </w:rPr>
        <w:t>implementar un sistema de información que facilit</w:t>
      </w:r>
      <w:r w:rsidR="001F3BEA" w:rsidRPr="00274507">
        <w:rPr>
          <w:sz w:val="28"/>
          <w:szCs w:val="28"/>
        </w:rPr>
        <w:t>ara</w:t>
      </w:r>
      <w:r w:rsidR="007F2E55" w:rsidRPr="00274507">
        <w:rPr>
          <w:sz w:val="28"/>
          <w:szCs w:val="28"/>
        </w:rPr>
        <w:t xml:space="preserve"> la unif</w:t>
      </w:r>
      <w:r w:rsidR="001F3BEA" w:rsidRPr="00274507">
        <w:rPr>
          <w:sz w:val="28"/>
          <w:szCs w:val="28"/>
        </w:rPr>
        <w:t>icación de criterios para</w:t>
      </w:r>
      <w:r w:rsidR="00DA4E6F" w:rsidRPr="00274507">
        <w:rPr>
          <w:sz w:val="28"/>
          <w:szCs w:val="28"/>
        </w:rPr>
        <w:t xml:space="preserve"> permiti</w:t>
      </w:r>
      <w:r w:rsidR="001F3BEA" w:rsidRPr="00274507">
        <w:rPr>
          <w:sz w:val="28"/>
          <w:szCs w:val="28"/>
        </w:rPr>
        <w:t>r</w:t>
      </w:r>
      <w:r w:rsidR="007F2E55" w:rsidRPr="00274507">
        <w:rPr>
          <w:sz w:val="28"/>
          <w:szCs w:val="28"/>
        </w:rPr>
        <w:t xml:space="preserve"> el registro de variables que </w:t>
      </w:r>
      <w:r w:rsidR="002871F9" w:rsidRPr="00274507">
        <w:rPr>
          <w:sz w:val="28"/>
          <w:szCs w:val="28"/>
        </w:rPr>
        <w:t>identificara</w:t>
      </w:r>
      <w:r w:rsidR="00DA4E6F" w:rsidRPr="00274507">
        <w:rPr>
          <w:sz w:val="28"/>
          <w:szCs w:val="28"/>
        </w:rPr>
        <w:t>n</w:t>
      </w:r>
      <w:r w:rsidR="007F2E55" w:rsidRPr="00274507">
        <w:rPr>
          <w:sz w:val="28"/>
          <w:szCs w:val="28"/>
        </w:rPr>
        <w:t xml:space="preserve"> las frecuencias y tipos de acciones instauradas, las instituciones accionadas, las causas, </w:t>
      </w:r>
      <w:r w:rsidR="001F3BEA" w:rsidRPr="00274507">
        <w:rPr>
          <w:sz w:val="28"/>
          <w:szCs w:val="28"/>
        </w:rPr>
        <w:t xml:space="preserve">las </w:t>
      </w:r>
      <w:r w:rsidR="007F2E55" w:rsidRPr="00274507">
        <w:rPr>
          <w:sz w:val="28"/>
          <w:szCs w:val="28"/>
        </w:rPr>
        <w:t xml:space="preserve">exigencias del accionante, </w:t>
      </w:r>
      <w:r w:rsidR="001F3BEA" w:rsidRPr="00274507">
        <w:rPr>
          <w:sz w:val="28"/>
          <w:szCs w:val="28"/>
        </w:rPr>
        <w:t xml:space="preserve">los </w:t>
      </w:r>
      <w:r w:rsidR="007F2E55" w:rsidRPr="00274507">
        <w:rPr>
          <w:sz w:val="28"/>
          <w:szCs w:val="28"/>
        </w:rPr>
        <w:t xml:space="preserve">costos derivados de la prestación de los servicios y demás </w:t>
      </w:r>
      <w:r w:rsidR="00F572BC" w:rsidRPr="00274507">
        <w:rPr>
          <w:sz w:val="28"/>
          <w:szCs w:val="28"/>
        </w:rPr>
        <w:t>datos</w:t>
      </w:r>
      <w:r w:rsidR="00DA4E6F" w:rsidRPr="00274507">
        <w:rPr>
          <w:sz w:val="28"/>
          <w:szCs w:val="28"/>
        </w:rPr>
        <w:t xml:space="preserve"> de caracterización de las tutelas</w:t>
      </w:r>
      <w:r w:rsidR="001F3BEA" w:rsidRPr="00274507">
        <w:rPr>
          <w:sz w:val="28"/>
          <w:szCs w:val="28"/>
        </w:rPr>
        <w:t xml:space="preserve">. </w:t>
      </w:r>
      <w:r w:rsidR="00173EA9" w:rsidRPr="00274507">
        <w:rPr>
          <w:sz w:val="28"/>
          <w:szCs w:val="28"/>
        </w:rPr>
        <w:t>En tal sentido, sugirió</w:t>
      </w:r>
      <w:r w:rsidR="003E63B3" w:rsidRPr="00274507">
        <w:rPr>
          <w:sz w:val="28"/>
          <w:szCs w:val="28"/>
        </w:rPr>
        <w:t xml:space="preserve"> </w:t>
      </w:r>
      <w:r w:rsidR="00F572BC" w:rsidRPr="00274507">
        <w:rPr>
          <w:sz w:val="28"/>
          <w:szCs w:val="28"/>
        </w:rPr>
        <w:t xml:space="preserve">crear </w:t>
      </w:r>
      <w:r w:rsidR="00191480" w:rsidRPr="00274507">
        <w:rPr>
          <w:sz w:val="28"/>
          <w:szCs w:val="28"/>
        </w:rPr>
        <w:t>sistema</w:t>
      </w:r>
      <w:r w:rsidR="00F572BC" w:rsidRPr="00274507">
        <w:rPr>
          <w:sz w:val="28"/>
          <w:szCs w:val="28"/>
        </w:rPr>
        <w:t>s</w:t>
      </w:r>
      <w:r w:rsidR="00631CDF" w:rsidRPr="00274507">
        <w:rPr>
          <w:sz w:val="28"/>
          <w:szCs w:val="28"/>
        </w:rPr>
        <w:t xml:space="preserve"> de información </w:t>
      </w:r>
      <w:r w:rsidR="003E63B3" w:rsidRPr="00274507">
        <w:rPr>
          <w:sz w:val="28"/>
          <w:szCs w:val="28"/>
        </w:rPr>
        <w:t>que permitieran</w:t>
      </w:r>
      <w:r w:rsidR="00191480" w:rsidRPr="00274507">
        <w:rPr>
          <w:sz w:val="28"/>
          <w:szCs w:val="28"/>
        </w:rPr>
        <w:t xml:space="preserve"> evaluar oportunamente la pertinencia </w:t>
      </w:r>
      <w:r w:rsidR="00F572BC" w:rsidRPr="00274507">
        <w:rPr>
          <w:sz w:val="28"/>
          <w:szCs w:val="28"/>
        </w:rPr>
        <w:t>de l</w:t>
      </w:r>
      <w:r w:rsidR="00DA4E6F" w:rsidRPr="00274507">
        <w:rPr>
          <w:sz w:val="28"/>
          <w:szCs w:val="28"/>
        </w:rPr>
        <w:t>a</w:t>
      </w:r>
      <w:r w:rsidR="00F572BC" w:rsidRPr="00274507">
        <w:rPr>
          <w:sz w:val="28"/>
          <w:szCs w:val="28"/>
        </w:rPr>
        <w:t xml:space="preserve">s </w:t>
      </w:r>
      <w:r w:rsidR="00DA4E6F" w:rsidRPr="00274507">
        <w:rPr>
          <w:sz w:val="28"/>
          <w:szCs w:val="28"/>
        </w:rPr>
        <w:t>inconformidades</w:t>
      </w:r>
      <w:r w:rsidR="00241F54" w:rsidRPr="00274507">
        <w:rPr>
          <w:sz w:val="28"/>
          <w:szCs w:val="28"/>
        </w:rPr>
        <w:t xml:space="preserve"> </w:t>
      </w:r>
      <w:r w:rsidR="00F572BC" w:rsidRPr="00274507">
        <w:rPr>
          <w:sz w:val="28"/>
          <w:szCs w:val="28"/>
        </w:rPr>
        <w:t>de los usuarios y</w:t>
      </w:r>
      <w:r w:rsidR="00191480" w:rsidRPr="00274507">
        <w:rPr>
          <w:sz w:val="28"/>
          <w:szCs w:val="28"/>
        </w:rPr>
        <w:t xml:space="preserve"> el impacto de las órdenes imp</w:t>
      </w:r>
      <w:r w:rsidR="00241F54" w:rsidRPr="00274507">
        <w:rPr>
          <w:sz w:val="28"/>
          <w:szCs w:val="28"/>
        </w:rPr>
        <w:t>artidas en cad</w:t>
      </w:r>
      <w:r w:rsidR="00631CDF" w:rsidRPr="00274507">
        <w:rPr>
          <w:sz w:val="28"/>
          <w:szCs w:val="28"/>
        </w:rPr>
        <w:t xml:space="preserve">a fallo. Además, </w:t>
      </w:r>
      <w:r w:rsidR="00191480" w:rsidRPr="00274507">
        <w:rPr>
          <w:sz w:val="28"/>
          <w:szCs w:val="28"/>
        </w:rPr>
        <w:t>incorporar un módulo</w:t>
      </w:r>
      <w:r w:rsidR="00241F54" w:rsidRPr="00274507">
        <w:rPr>
          <w:sz w:val="28"/>
          <w:szCs w:val="28"/>
        </w:rPr>
        <w:t xml:space="preserve"> </w:t>
      </w:r>
      <w:r w:rsidR="00191480" w:rsidRPr="00274507">
        <w:rPr>
          <w:sz w:val="28"/>
          <w:szCs w:val="28"/>
        </w:rPr>
        <w:t>que concediera la oportunidad a las instituciones de registrar y consultar información en línea</w:t>
      </w:r>
      <w:r w:rsidR="00F572BC" w:rsidRPr="00274507">
        <w:rPr>
          <w:sz w:val="28"/>
          <w:szCs w:val="28"/>
        </w:rPr>
        <w:t>,</w:t>
      </w:r>
      <w:r w:rsidR="00191480" w:rsidRPr="00274507">
        <w:rPr>
          <w:sz w:val="28"/>
          <w:szCs w:val="28"/>
        </w:rPr>
        <w:t xml:space="preserve"> relacionada con las </w:t>
      </w:r>
      <w:r w:rsidR="00241F54" w:rsidRPr="00274507">
        <w:rPr>
          <w:sz w:val="28"/>
          <w:szCs w:val="28"/>
        </w:rPr>
        <w:t>tutela</w:t>
      </w:r>
      <w:r w:rsidR="00191480" w:rsidRPr="00274507">
        <w:rPr>
          <w:sz w:val="28"/>
          <w:szCs w:val="28"/>
        </w:rPr>
        <w:t>s</w:t>
      </w:r>
      <w:r w:rsidR="00F572BC" w:rsidRPr="00274507">
        <w:rPr>
          <w:sz w:val="28"/>
          <w:szCs w:val="28"/>
        </w:rPr>
        <w:t xml:space="preserve"> para obtener </w:t>
      </w:r>
      <w:r w:rsidR="00241F54" w:rsidRPr="00274507">
        <w:rPr>
          <w:sz w:val="28"/>
          <w:szCs w:val="28"/>
        </w:rPr>
        <w:t>certeza en el análisis</w:t>
      </w:r>
      <w:r w:rsidR="00191480" w:rsidRPr="00274507">
        <w:rPr>
          <w:sz w:val="28"/>
          <w:szCs w:val="28"/>
        </w:rPr>
        <w:t>.</w:t>
      </w:r>
    </w:p>
    <w:p w:rsidR="00C76FF1" w:rsidRPr="00274507" w:rsidRDefault="00C76FF1" w:rsidP="00274507">
      <w:pPr>
        <w:widowControl w:val="0"/>
        <w:tabs>
          <w:tab w:val="left" w:pos="567"/>
        </w:tabs>
        <w:autoSpaceDE w:val="0"/>
        <w:autoSpaceDN w:val="0"/>
        <w:adjustRightInd w:val="0"/>
        <w:jc w:val="both"/>
        <w:rPr>
          <w:sz w:val="28"/>
          <w:szCs w:val="28"/>
        </w:rPr>
      </w:pPr>
    </w:p>
    <w:p w:rsidR="00C76FF1" w:rsidRPr="00274507" w:rsidRDefault="000A51A3" w:rsidP="00274507">
      <w:pPr>
        <w:widowControl w:val="0"/>
        <w:tabs>
          <w:tab w:val="left" w:pos="567"/>
        </w:tabs>
        <w:autoSpaceDE w:val="0"/>
        <w:autoSpaceDN w:val="0"/>
        <w:adjustRightInd w:val="0"/>
        <w:jc w:val="both"/>
        <w:rPr>
          <w:sz w:val="28"/>
          <w:szCs w:val="28"/>
        </w:rPr>
      </w:pPr>
      <w:r w:rsidRPr="00274507">
        <w:rPr>
          <w:sz w:val="28"/>
          <w:szCs w:val="28"/>
        </w:rPr>
        <w:t>4</w:t>
      </w:r>
      <w:r w:rsidR="00F55E3F" w:rsidRPr="00274507">
        <w:rPr>
          <w:sz w:val="28"/>
          <w:szCs w:val="28"/>
        </w:rPr>
        <w:t>.3</w:t>
      </w:r>
      <w:r w:rsidR="000F0AF8" w:rsidRPr="00274507">
        <w:rPr>
          <w:sz w:val="28"/>
          <w:szCs w:val="28"/>
        </w:rPr>
        <w:t xml:space="preserve">. </w:t>
      </w:r>
      <w:r w:rsidR="00631CDF" w:rsidRPr="00274507">
        <w:rPr>
          <w:sz w:val="28"/>
          <w:szCs w:val="28"/>
        </w:rPr>
        <w:t xml:space="preserve">El </w:t>
      </w:r>
      <w:r w:rsidR="00C76FF1" w:rsidRPr="00274507">
        <w:rPr>
          <w:sz w:val="28"/>
          <w:szCs w:val="28"/>
        </w:rPr>
        <w:t xml:space="preserve">8 de junio de </w:t>
      </w:r>
      <w:r w:rsidR="0069664F" w:rsidRPr="00274507">
        <w:rPr>
          <w:sz w:val="28"/>
          <w:szCs w:val="28"/>
        </w:rPr>
        <w:t>2011 la Defensoría del Pueblo alleg</w:t>
      </w:r>
      <w:r w:rsidR="00C76FF1" w:rsidRPr="00274507">
        <w:rPr>
          <w:sz w:val="28"/>
          <w:szCs w:val="28"/>
        </w:rPr>
        <w:t>ó</w:t>
      </w:r>
      <w:r w:rsidR="00C76FF1" w:rsidRPr="00274507">
        <w:rPr>
          <w:rStyle w:val="Refdenotaalpie"/>
          <w:sz w:val="28"/>
          <w:szCs w:val="28"/>
        </w:rPr>
        <w:footnoteReference w:id="54"/>
      </w:r>
      <w:r w:rsidR="00C76FF1" w:rsidRPr="00274507">
        <w:rPr>
          <w:sz w:val="28"/>
          <w:szCs w:val="28"/>
        </w:rPr>
        <w:t xml:space="preserve"> la “</w:t>
      </w:r>
      <w:r w:rsidR="00C76FF1" w:rsidRPr="00274507">
        <w:rPr>
          <w:i/>
          <w:sz w:val="28"/>
          <w:szCs w:val="28"/>
        </w:rPr>
        <w:t>Primera evaluación de la política pública de salud a la luz del Derecho a la Salud”</w:t>
      </w:r>
      <w:r w:rsidR="00C76FF1" w:rsidRPr="00274507">
        <w:rPr>
          <w:sz w:val="28"/>
          <w:szCs w:val="28"/>
        </w:rPr>
        <w:t>, con el fin de</w:t>
      </w:r>
      <w:r w:rsidR="00241F54" w:rsidRPr="00274507">
        <w:rPr>
          <w:sz w:val="28"/>
          <w:szCs w:val="28"/>
        </w:rPr>
        <w:t xml:space="preserve"> </w:t>
      </w:r>
      <w:r w:rsidR="00EA3B58" w:rsidRPr="00274507">
        <w:rPr>
          <w:sz w:val="28"/>
          <w:szCs w:val="28"/>
        </w:rPr>
        <w:t xml:space="preserve">utilizarlo como un insumo para </w:t>
      </w:r>
      <w:r w:rsidR="00241F54" w:rsidRPr="00274507">
        <w:rPr>
          <w:sz w:val="28"/>
          <w:szCs w:val="28"/>
        </w:rPr>
        <w:t xml:space="preserve">la construcción de </w:t>
      </w:r>
      <w:r w:rsidR="00C76FF1" w:rsidRPr="00274507">
        <w:rPr>
          <w:sz w:val="28"/>
          <w:szCs w:val="28"/>
        </w:rPr>
        <w:t>un sistema de información que permitiera establecer el entorno del derecho a la Salud en Colombia.</w:t>
      </w:r>
    </w:p>
    <w:p w:rsidR="00C76FF1" w:rsidRPr="00274507" w:rsidRDefault="00C76FF1" w:rsidP="00274507">
      <w:pPr>
        <w:widowControl w:val="0"/>
        <w:tabs>
          <w:tab w:val="left" w:pos="567"/>
        </w:tabs>
        <w:autoSpaceDE w:val="0"/>
        <w:autoSpaceDN w:val="0"/>
        <w:adjustRightInd w:val="0"/>
        <w:jc w:val="both"/>
        <w:rPr>
          <w:sz w:val="28"/>
          <w:szCs w:val="28"/>
        </w:rPr>
      </w:pPr>
    </w:p>
    <w:p w:rsidR="00C76FF1" w:rsidRPr="00274507" w:rsidRDefault="000A51A3" w:rsidP="00274507">
      <w:pPr>
        <w:pStyle w:val="Prrafodelista"/>
        <w:widowControl w:val="0"/>
        <w:tabs>
          <w:tab w:val="left" w:pos="567"/>
        </w:tabs>
        <w:autoSpaceDE w:val="0"/>
        <w:autoSpaceDN w:val="0"/>
        <w:adjustRightInd w:val="0"/>
        <w:ind w:left="0"/>
        <w:jc w:val="both"/>
        <w:rPr>
          <w:sz w:val="28"/>
          <w:szCs w:val="28"/>
        </w:rPr>
      </w:pPr>
      <w:r w:rsidRPr="00274507">
        <w:rPr>
          <w:sz w:val="28"/>
          <w:szCs w:val="28"/>
        </w:rPr>
        <w:t>4</w:t>
      </w:r>
      <w:r w:rsidR="00F55E3F" w:rsidRPr="00274507">
        <w:rPr>
          <w:sz w:val="28"/>
          <w:szCs w:val="28"/>
        </w:rPr>
        <w:t>.4</w:t>
      </w:r>
      <w:r w:rsidR="00C76FF1" w:rsidRPr="00274507">
        <w:rPr>
          <w:sz w:val="28"/>
          <w:szCs w:val="28"/>
        </w:rPr>
        <w:t>.</w:t>
      </w:r>
      <w:r w:rsidR="00460AD4" w:rsidRPr="00274507">
        <w:rPr>
          <w:b/>
          <w:sz w:val="28"/>
          <w:szCs w:val="28"/>
        </w:rPr>
        <w:t xml:space="preserve"> </w:t>
      </w:r>
      <w:r w:rsidR="00C76FF1" w:rsidRPr="00274507">
        <w:rPr>
          <w:sz w:val="28"/>
          <w:szCs w:val="28"/>
        </w:rPr>
        <w:t xml:space="preserve">Mediante </w:t>
      </w:r>
      <w:r w:rsidR="00C76FF1" w:rsidRPr="00274507">
        <w:rPr>
          <w:b/>
          <w:sz w:val="28"/>
          <w:szCs w:val="28"/>
        </w:rPr>
        <w:t xml:space="preserve">Auto </w:t>
      </w:r>
      <w:r w:rsidR="00880EA1" w:rsidRPr="00274507">
        <w:rPr>
          <w:b/>
          <w:sz w:val="28"/>
          <w:szCs w:val="28"/>
        </w:rPr>
        <w:t xml:space="preserve">145 </w:t>
      </w:r>
      <w:r w:rsidR="00C76FF1" w:rsidRPr="00274507">
        <w:rPr>
          <w:b/>
          <w:sz w:val="28"/>
          <w:szCs w:val="28"/>
        </w:rPr>
        <w:t>de 19 de julio de 2011</w:t>
      </w:r>
      <w:r w:rsidR="00631CDF" w:rsidRPr="00274507">
        <w:rPr>
          <w:b/>
          <w:sz w:val="28"/>
          <w:szCs w:val="28"/>
        </w:rPr>
        <w:t>,</w:t>
      </w:r>
      <w:r w:rsidR="00DA5294" w:rsidRPr="00274507">
        <w:rPr>
          <w:b/>
          <w:sz w:val="28"/>
          <w:szCs w:val="28"/>
        </w:rPr>
        <w:t xml:space="preserve"> </w:t>
      </w:r>
      <w:r w:rsidR="00C76FF1" w:rsidRPr="00274507">
        <w:rPr>
          <w:sz w:val="28"/>
          <w:szCs w:val="28"/>
        </w:rPr>
        <w:t xml:space="preserve">este Tribunal </w:t>
      </w:r>
      <w:r w:rsidR="003E7E5B" w:rsidRPr="00274507">
        <w:rPr>
          <w:sz w:val="28"/>
          <w:szCs w:val="28"/>
        </w:rPr>
        <w:t>dispus</w:t>
      </w:r>
      <w:r w:rsidR="00B54CC1" w:rsidRPr="00274507">
        <w:rPr>
          <w:sz w:val="28"/>
          <w:szCs w:val="28"/>
        </w:rPr>
        <w:t>o</w:t>
      </w:r>
      <w:r w:rsidR="0069664F" w:rsidRPr="00274507">
        <w:rPr>
          <w:sz w:val="28"/>
          <w:szCs w:val="28"/>
        </w:rPr>
        <w:t xml:space="preserve"> que pese a que en la </w:t>
      </w:r>
      <w:r w:rsidR="007D28F4" w:rsidRPr="00274507">
        <w:rPr>
          <w:sz w:val="28"/>
          <w:szCs w:val="28"/>
        </w:rPr>
        <w:t xml:space="preserve">providencia de 13 de julio de 2009 </w:t>
      </w:r>
      <w:r w:rsidR="0069664F" w:rsidRPr="00274507">
        <w:rPr>
          <w:sz w:val="28"/>
          <w:szCs w:val="28"/>
        </w:rPr>
        <w:t>a través de la cual se a</w:t>
      </w:r>
      <w:r w:rsidR="007D28F4" w:rsidRPr="00274507">
        <w:rPr>
          <w:sz w:val="28"/>
          <w:szCs w:val="28"/>
        </w:rPr>
        <w:t xml:space="preserve">dvirtió al </w:t>
      </w:r>
      <w:r w:rsidR="00EA3B58" w:rsidRPr="00274507">
        <w:rPr>
          <w:sz w:val="28"/>
          <w:szCs w:val="28"/>
        </w:rPr>
        <w:t xml:space="preserve">ente regulador </w:t>
      </w:r>
      <w:r w:rsidR="007D28F4" w:rsidRPr="00274507">
        <w:rPr>
          <w:sz w:val="28"/>
          <w:szCs w:val="28"/>
        </w:rPr>
        <w:t xml:space="preserve">que </w:t>
      </w:r>
      <w:r w:rsidR="00EA3B58" w:rsidRPr="00274507">
        <w:rPr>
          <w:sz w:val="28"/>
          <w:szCs w:val="28"/>
        </w:rPr>
        <w:t xml:space="preserve">implementara otras metodologías y definiera </w:t>
      </w:r>
      <w:r w:rsidR="001F4EB5" w:rsidRPr="00274507">
        <w:rPr>
          <w:sz w:val="28"/>
          <w:szCs w:val="28"/>
        </w:rPr>
        <w:t xml:space="preserve">fuentes de información y criterios diferentes a los recobros </w:t>
      </w:r>
      <w:r w:rsidR="007D28F4" w:rsidRPr="00274507">
        <w:rPr>
          <w:sz w:val="28"/>
          <w:szCs w:val="28"/>
        </w:rPr>
        <w:t xml:space="preserve">para </w:t>
      </w:r>
      <w:r w:rsidR="001F4EB5" w:rsidRPr="00274507">
        <w:rPr>
          <w:sz w:val="28"/>
          <w:szCs w:val="28"/>
        </w:rPr>
        <w:t xml:space="preserve">que </w:t>
      </w:r>
      <w:r w:rsidR="007D28F4" w:rsidRPr="00274507">
        <w:rPr>
          <w:sz w:val="28"/>
          <w:szCs w:val="28"/>
        </w:rPr>
        <w:t>realizar</w:t>
      </w:r>
      <w:r w:rsidR="001F4EB5" w:rsidRPr="00274507">
        <w:rPr>
          <w:sz w:val="28"/>
          <w:szCs w:val="28"/>
        </w:rPr>
        <w:t>a</w:t>
      </w:r>
      <w:r w:rsidR="007D28F4" w:rsidRPr="00274507">
        <w:rPr>
          <w:sz w:val="28"/>
          <w:szCs w:val="28"/>
        </w:rPr>
        <w:t xml:space="preserve"> la medición de las tutelas</w:t>
      </w:r>
      <w:r w:rsidR="001F4EB5" w:rsidRPr="00274507">
        <w:rPr>
          <w:sz w:val="28"/>
          <w:szCs w:val="28"/>
        </w:rPr>
        <w:t xml:space="preserve"> y resolviera</w:t>
      </w:r>
      <w:r w:rsidR="007D28F4" w:rsidRPr="00274507">
        <w:rPr>
          <w:sz w:val="28"/>
          <w:szCs w:val="28"/>
        </w:rPr>
        <w:t xml:space="preserve"> </w:t>
      </w:r>
      <w:r w:rsidR="00230382" w:rsidRPr="00274507">
        <w:rPr>
          <w:sz w:val="28"/>
          <w:szCs w:val="28"/>
        </w:rPr>
        <w:t>los problemas jurídicos</w:t>
      </w:r>
      <w:r w:rsidR="00EA3B58" w:rsidRPr="00274507">
        <w:rPr>
          <w:sz w:val="28"/>
          <w:szCs w:val="28"/>
        </w:rPr>
        <w:t xml:space="preserve"> contenidos en la T-760 de 2008. Sin embargo</w:t>
      </w:r>
      <w:r w:rsidR="00631CDF" w:rsidRPr="00274507">
        <w:rPr>
          <w:sz w:val="28"/>
          <w:szCs w:val="28"/>
        </w:rPr>
        <w:t>,</w:t>
      </w:r>
      <w:r w:rsidR="00EA3B58" w:rsidRPr="00274507">
        <w:rPr>
          <w:sz w:val="28"/>
          <w:szCs w:val="28"/>
        </w:rPr>
        <w:t xml:space="preserve"> como </w:t>
      </w:r>
      <w:r w:rsidR="00631CDF" w:rsidRPr="00274507">
        <w:rPr>
          <w:sz w:val="28"/>
          <w:szCs w:val="28"/>
        </w:rPr>
        <w:t>persistió en</w:t>
      </w:r>
      <w:r w:rsidR="00E144D6" w:rsidRPr="00274507">
        <w:rPr>
          <w:sz w:val="28"/>
          <w:szCs w:val="28"/>
        </w:rPr>
        <w:t xml:space="preserve">  usar</w:t>
      </w:r>
      <w:r w:rsidR="0069664F" w:rsidRPr="00274507">
        <w:rPr>
          <w:sz w:val="28"/>
          <w:szCs w:val="28"/>
        </w:rPr>
        <w:t xml:space="preserve"> </w:t>
      </w:r>
      <w:r w:rsidR="00EA3B58" w:rsidRPr="00274507">
        <w:rPr>
          <w:sz w:val="28"/>
          <w:szCs w:val="28"/>
        </w:rPr>
        <w:t xml:space="preserve">los registros de recobros </w:t>
      </w:r>
      <w:r w:rsidR="0069664F" w:rsidRPr="00274507">
        <w:rPr>
          <w:sz w:val="28"/>
          <w:szCs w:val="28"/>
        </w:rPr>
        <w:t>como</w:t>
      </w:r>
      <w:r w:rsidR="00EA3B58" w:rsidRPr="00274507">
        <w:rPr>
          <w:sz w:val="28"/>
          <w:szCs w:val="28"/>
        </w:rPr>
        <w:t xml:space="preserve"> los de</w:t>
      </w:r>
      <w:r w:rsidR="0069664F" w:rsidRPr="00274507">
        <w:rPr>
          <w:sz w:val="28"/>
          <w:szCs w:val="28"/>
        </w:rPr>
        <w:t xml:space="preserve"> las tutelas en las que actuaba como</w:t>
      </w:r>
      <w:r w:rsidR="00EA3B58" w:rsidRPr="00274507">
        <w:rPr>
          <w:sz w:val="28"/>
          <w:szCs w:val="28"/>
        </w:rPr>
        <w:t xml:space="preserve"> parte demandada</w:t>
      </w:r>
      <w:r w:rsidR="00BE4EC0" w:rsidRPr="00274507">
        <w:rPr>
          <w:sz w:val="28"/>
          <w:szCs w:val="28"/>
        </w:rPr>
        <w:t>,</w:t>
      </w:r>
      <w:r w:rsidR="00F3065E" w:rsidRPr="00274507">
        <w:rPr>
          <w:sz w:val="28"/>
          <w:szCs w:val="28"/>
        </w:rPr>
        <w:t xml:space="preserve"> le </w:t>
      </w:r>
      <w:r w:rsidR="00C76FF1" w:rsidRPr="00274507">
        <w:rPr>
          <w:sz w:val="28"/>
          <w:szCs w:val="28"/>
        </w:rPr>
        <w:t xml:space="preserve">ordenó </w:t>
      </w:r>
      <w:r w:rsidR="00460AD4" w:rsidRPr="00274507">
        <w:rPr>
          <w:sz w:val="28"/>
          <w:szCs w:val="28"/>
        </w:rPr>
        <w:t>que</w:t>
      </w:r>
      <w:r w:rsidR="0069664F" w:rsidRPr="00274507">
        <w:rPr>
          <w:sz w:val="28"/>
          <w:szCs w:val="28"/>
        </w:rPr>
        <w:t xml:space="preserve">: </w:t>
      </w:r>
      <w:r w:rsidR="00460AD4" w:rsidRPr="00274507">
        <w:rPr>
          <w:sz w:val="28"/>
          <w:szCs w:val="28"/>
        </w:rPr>
        <w:t xml:space="preserve">utilizara </w:t>
      </w:r>
      <w:r w:rsidR="00BE4EC0" w:rsidRPr="00274507">
        <w:rPr>
          <w:sz w:val="28"/>
          <w:szCs w:val="28"/>
        </w:rPr>
        <w:t xml:space="preserve">las </w:t>
      </w:r>
      <w:r w:rsidR="00C76FF1" w:rsidRPr="00274507">
        <w:rPr>
          <w:sz w:val="28"/>
          <w:szCs w:val="28"/>
        </w:rPr>
        <w:t>medidas,</w:t>
      </w:r>
      <w:r w:rsidR="00BE4EC0" w:rsidRPr="00274507">
        <w:rPr>
          <w:sz w:val="28"/>
          <w:szCs w:val="28"/>
        </w:rPr>
        <w:t xml:space="preserve"> los</w:t>
      </w:r>
      <w:r w:rsidR="00C76FF1" w:rsidRPr="00274507">
        <w:rPr>
          <w:sz w:val="28"/>
          <w:szCs w:val="28"/>
        </w:rPr>
        <w:t xml:space="preserve"> recursos y </w:t>
      </w:r>
      <w:r w:rsidR="00BE4EC0" w:rsidRPr="00274507">
        <w:rPr>
          <w:sz w:val="28"/>
          <w:szCs w:val="28"/>
        </w:rPr>
        <w:t xml:space="preserve">el </w:t>
      </w:r>
      <w:r w:rsidR="00E144D6" w:rsidRPr="00274507">
        <w:rPr>
          <w:sz w:val="28"/>
          <w:szCs w:val="28"/>
        </w:rPr>
        <w:t xml:space="preserve">personal </w:t>
      </w:r>
      <w:r w:rsidR="00BE4EC0" w:rsidRPr="00274507">
        <w:rPr>
          <w:sz w:val="28"/>
          <w:szCs w:val="28"/>
        </w:rPr>
        <w:t xml:space="preserve">idóneo </w:t>
      </w:r>
      <w:r w:rsidR="00C76FF1" w:rsidRPr="00274507">
        <w:rPr>
          <w:sz w:val="28"/>
          <w:szCs w:val="28"/>
        </w:rPr>
        <w:t xml:space="preserve">para </w:t>
      </w:r>
      <w:r w:rsidR="00F6756A" w:rsidRPr="00274507">
        <w:rPr>
          <w:sz w:val="28"/>
          <w:szCs w:val="28"/>
        </w:rPr>
        <w:t xml:space="preserve">que los informes que presentara en adelante se soportaran bajo </w:t>
      </w:r>
      <w:r w:rsidR="00BE4EC0" w:rsidRPr="00274507">
        <w:rPr>
          <w:sz w:val="28"/>
          <w:szCs w:val="28"/>
        </w:rPr>
        <w:t>indicadores que p</w:t>
      </w:r>
      <w:r w:rsidR="00C76FF1" w:rsidRPr="00274507">
        <w:rPr>
          <w:sz w:val="28"/>
          <w:szCs w:val="28"/>
        </w:rPr>
        <w:t>ermitieran una medición completa</w:t>
      </w:r>
      <w:r w:rsidR="00BE4EC0" w:rsidRPr="00274507">
        <w:rPr>
          <w:sz w:val="28"/>
          <w:szCs w:val="28"/>
        </w:rPr>
        <w:t xml:space="preserve">, confiable y precisa de las </w:t>
      </w:r>
      <w:r w:rsidR="00C76FF1" w:rsidRPr="00274507">
        <w:rPr>
          <w:sz w:val="28"/>
          <w:szCs w:val="28"/>
        </w:rPr>
        <w:t xml:space="preserve"> acciones de tutelas</w:t>
      </w:r>
      <w:r w:rsidR="00BE4EC0" w:rsidRPr="00274507">
        <w:rPr>
          <w:sz w:val="28"/>
          <w:szCs w:val="28"/>
        </w:rPr>
        <w:t xml:space="preserve"> </w:t>
      </w:r>
      <w:r w:rsidR="0069664F" w:rsidRPr="00274507">
        <w:rPr>
          <w:sz w:val="28"/>
          <w:szCs w:val="28"/>
        </w:rPr>
        <w:t xml:space="preserve">y </w:t>
      </w:r>
      <w:r w:rsidR="00BE4EC0" w:rsidRPr="00274507">
        <w:rPr>
          <w:sz w:val="28"/>
          <w:szCs w:val="28"/>
        </w:rPr>
        <w:t>que</w:t>
      </w:r>
      <w:r w:rsidR="00E2146B" w:rsidRPr="00274507">
        <w:rPr>
          <w:sz w:val="28"/>
          <w:szCs w:val="28"/>
        </w:rPr>
        <w:t xml:space="preserve"> la </w:t>
      </w:r>
      <w:r w:rsidR="00A85A3D" w:rsidRPr="00274507">
        <w:rPr>
          <w:sz w:val="28"/>
          <w:szCs w:val="28"/>
        </w:rPr>
        <w:t>fuente</w:t>
      </w:r>
      <w:r w:rsidR="00E2146B" w:rsidRPr="00274507">
        <w:rPr>
          <w:sz w:val="28"/>
          <w:szCs w:val="28"/>
        </w:rPr>
        <w:t xml:space="preserve"> de información </w:t>
      </w:r>
      <w:r w:rsidR="00A85A3D" w:rsidRPr="00274507">
        <w:rPr>
          <w:sz w:val="28"/>
          <w:szCs w:val="28"/>
        </w:rPr>
        <w:t>fuera la derivada de</w:t>
      </w:r>
      <w:r w:rsidR="00E2146B" w:rsidRPr="00274507">
        <w:rPr>
          <w:sz w:val="28"/>
          <w:szCs w:val="28"/>
        </w:rPr>
        <w:t xml:space="preserve"> </w:t>
      </w:r>
      <w:r w:rsidR="00EA3B58" w:rsidRPr="00274507">
        <w:rPr>
          <w:sz w:val="28"/>
          <w:szCs w:val="28"/>
        </w:rPr>
        <w:t xml:space="preserve">los expedientes que obraban en </w:t>
      </w:r>
      <w:r w:rsidR="00C76FF1" w:rsidRPr="00274507">
        <w:rPr>
          <w:sz w:val="28"/>
          <w:szCs w:val="28"/>
        </w:rPr>
        <w:t>la Corte</w:t>
      </w:r>
      <w:r w:rsidR="00E2146B" w:rsidRPr="00274507">
        <w:rPr>
          <w:sz w:val="28"/>
          <w:szCs w:val="28"/>
        </w:rPr>
        <w:t>, sin perjuicio de las demás metodologías que pudiera</w:t>
      </w:r>
      <w:r w:rsidR="0006580C" w:rsidRPr="00274507">
        <w:rPr>
          <w:sz w:val="28"/>
          <w:szCs w:val="28"/>
        </w:rPr>
        <w:t xml:space="preserve"> aplica</w:t>
      </w:r>
      <w:r w:rsidR="00BE4EC0" w:rsidRPr="00274507">
        <w:rPr>
          <w:sz w:val="28"/>
          <w:szCs w:val="28"/>
        </w:rPr>
        <w:t>r</w:t>
      </w:r>
      <w:r w:rsidR="00E2146B" w:rsidRPr="00274507">
        <w:rPr>
          <w:sz w:val="28"/>
          <w:szCs w:val="28"/>
        </w:rPr>
        <w:t xml:space="preserve"> para complementar el análisis requerido</w:t>
      </w:r>
      <w:r w:rsidR="00C76FF1" w:rsidRPr="00274507">
        <w:rPr>
          <w:sz w:val="28"/>
          <w:szCs w:val="28"/>
        </w:rPr>
        <w:t>.</w:t>
      </w:r>
    </w:p>
    <w:p w:rsidR="00E2146B" w:rsidRPr="00274507" w:rsidRDefault="00E2146B" w:rsidP="00274507">
      <w:pPr>
        <w:pStyle w:val="Prrafodelista"/>
        <w:widowControl w:val="0"/>
        <w:tabs>
          <w:tab w:val="left" w:pos="567"/>
        </w:tabs>
        <w:autoSpaceDE w:val="0"/>
        <w:autoSpaceDN w:val="0"/>
        <w:adjustRightInd w:val="0"/>
        <w:ind w:left="0"/>
        <w:jc w:val="both"/>
        <w:rPr>
          <w:sz w:val="28"/>
          <w:szCs w:val="28"/>
        </w:rPr>
      </w:pPr>
    </w:p>
    <w:p w:rsidR="0047262B"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 xml:space="preserve">En </w:t>
      </w:r>
      <w:r w:rsidR="00F3065E" w:rsidRPr="00274507">
        <w:rPr>
          <w:sz w:val="28"/>
          <w:szCs w:val="28"/>
        </w:rPr>
        <w:t>cumplimiento de la providencia</w:t>
      </w:r>
      <w:r w:rsidR="00846C5C" w:rsidRPr="00274507">
        <w:rPr>
          <w:sz w:val="28"/>
          <w:szCs w:val="28"/>
        </w:rPr>
        <w:t>,</w:t>
      </w:r>
      <w:r w:rsidRPr="00274507">
        <w:rPr>
          <w:sz w:val="28"/>
          <w:szCs w:val="28"/>
        </w:rPr>
        <w:t xml:space="preserve"> el 2 de febrero de 2012</w:t>
      </w:r>
      <w:r w:rsidRPr="00274507">
        <w:rPr>
          <w:rStyle w:val="Refdenotaalpie"/>
          <w:sz w:val="28"/>
          <w:szCs w:val="28"/>
        </w:rPr>
        <w:footnoteReference w:id="55"/>
      </w:r>
      <w:r w:rsidRPr="00274507">
        <w:rPr>
          <w:sz w:val="28"/>
          <w:szCs w:val="28"/>
        </w:rPr>
        <w:t xml:space="preserve"> el </w:t>
      </w:r>
      <w:r w:rsidR="00B753C8" w:rsidRPr="00274507">
        <w:rPr>
          <w:sz w:val="28"/>
          <w:szCs w:val="28"/>
        </w:rPr>
        <w:t xml:space="preserve">Ministerio </w:t>
      </w:r>
      <w:r w:rsidR="007B1CE7" w:rsidRPr="00274507">
        <w:rPr>
          <w:sz w:val="28"/>
          <w:szCs w:val="28"/>
        </w:rPr>
        <w:t>de Salud</w:t>
      </w:r>
      <w:r w:rsidR="007B1CE7" w:rsidRPr="00274507">
        <w:rPr>
          <w:rStyle w:val="Refdenotaalpie"/>
          <w:sz w:val="28"/>
          <w:szCs w:val="28"/>
          <w:shd w:val="clear" w:color="auto" w:fill="FFFFFF"/>
        </w:rPr>
        <w:footnoteReference w:id="56"/>
      </w:r>
      <w:r w:rsidR="0006580C" w:rsidRPr="00274507">
        <w:rPr>
          <w:sz w:val="28"/>
          <w:szCs w:val="28"/>
          <w:shd w:val="clear" w:color="auto" w:fill="FFFFFF"/>
        </w:rPr>
        <w:t xml:space="preserve"> i</w:t>
      </w:r>
      <w:r w:rsidR="00EA3B58" w:rsidRPr="00274507">
        <w:rPr>
          <w:sz w:val="28"/>
          <w:szCs w:val="28"/>
          <w:shd w:val="clear" w:color="auto" w:fill="FFFFFF"/>
        </w:rPr>
        <w:t>nform</w:t>
      </w:r>
      <w:r w:rsidR="00846C5C" w:rsidRPr="00274507">
        <w:rPr>
          <w:sz w:val="28"/>
          <w:szCs w:val="28"/>
          <w:shd w:val="clear" w:color="auto" w:fill="FFFFFF"/>
        </w:rPr>
        <w:t>ó que</w:t>
      </w:r>
      <w:r w:rsidR="007B1CE7" w:rsidRPr="00274507">
        <w:rPr>
          <w:sz w:val="28"/>
          <w:szCs w:val="28"/>
        </w:rPr>
        <w:t xml:space="preserve"> </w:t>
      </w:r>
      <w:r w:rsidR="00B753C8" w:rsidRPr="00274507">
        <w:rPr>
          <w:sz w:val="28"/>
          <w:szCs w:val="28"/>
        </w:rPr>
        <w:t xml:space="preserve">contrató a un grupo de </w:t>
      </w:r>
      <w:r w:rsidRPr="00274507">
        <w:rPr>
          <w:sz w:val="28"/>
          <w:szCs w:val="28"/>
        </w:rPr>
        <w:t xml:space="preserve">investigadores de la Universidad de los Andes </w:t>
      </w:r>
      <w:r w:rsidR="00B753C8" w:rsidRPr="00274507">
        <w:rPr>
          <w:sz w:val="28"/>
          <w:szCs w:val="28"/>
        </w:rPr>
        <w:t>para la elaboración de un estudio</w:t>
      </w:r>
      <w:r w:rsidR="00EA3B58" w:rsidRPr="00274507">
        <w:rPr>
          <w:sz w:val="28"/>
          <w:szCs w:val="28"/>
        </w:rPr>
        <w:t xml:space="preserve"> especializado, razón por la cual </w:t>
      </w:r>
      <w:r w:rsidR="000D0778" w:rsidRPr="00274507">
        <w:rPr>
          <w:sz w:val="28"/>
          <w:szCs w:val="28"/>
        </w:rPr>
        <w:t>allegó copia del bosquejo del “</w:t>
      </w:r>
      <w:r w:rsidR="000D0778" w:rsidRPr="00274507">
        <w:rPr>
          <w:i/>
          <w:sz w:val="28"/>
          <w:szCs w:val="28"/>
        </w:rPr>
        <w:t>Análisis descriptivo de las tutelas que invocan el derecho a la salud y que llegan a la Corte Constitucional Colombiana</w:t>
      </w:r>
      <w:r w:rsidR="000D0778" w:rsidRPr="00274507">
        <w:rPr>
          <w:sz w:val="28"/>
          <w:szCs w:val="28"/>
        </w:rPr>
        <w:t>”</w:t>
      </w:r>
      <w:r w:rsidR="00EA3B58" w:rsidRPr="00274507">
        <w:rPr>
          <w:sz w:val="28"/>
          <w:szCs w:val="28"/>
        </w:rPr>
        <w:t>, que sería implementado en el nuevo informe. Aunado a</w:t>
      </w:r>
      <w:r w:rsidR="00F3065E" w:rsidRPr="00274507">
        <w:rPr>
          <w:sz w:val="28"/>
          <w:szCs w:val="28"/>
        </w:rPr>
        <w:t xml:space="preserve"> ello</w:t>
      </w:r>
      <w:r w:rsidR="0069664F" w:rsidRPr="00274507">
        <w:rPr>
          <w:sz w:val="28"/>
          <w:szCs w:val="28"/>
        </w:rPr>
        <w:t>,</w:t>
      </w:r>
      <w:r w:rsidR="00B753C8" w:rsidRPr="00274507">
        <w:rPr>
          <w:sz w:val="28"/>
          <w:szCs w:val="28"/>
        </w:rPr>
        <w:t xml:space="preserve"> solicitó a la Sala Plena la autorización</w:t>
      </w:r>
      <w:r w:rsidR="00B753C8" w:rsidRPr="00274507">
        <w:rPr>
          <w:rStyle w:val="Refdenotaalpie"/>
          <w:sz w:val="28"/>
          <w:szCs w:val="28"/>
        </w:rPr>
        <w:footnoteReference w:id="57"/>
      </w:r>
      <w:r w:rsidR="00B753C8" w:rsidRPr="00274507">
        <w:rPr>
          <w:sz w:val="28"/>
          <w:szCs w:val="28"/>
        </w:rPr>
        <w:t xml:space="preserve"> para su ingreso</w:t>
      </w:r>
      <w:r w:rsidR="00846C5C" w:rsidRPr="00274507">
        <w:rPr>
          <w:sz w:val="28"/>
          <w:szCs w:val="28"/>
        </w:rPr>
        <w:t>, con el propósito de revisar los expedientes</w:t>
      </w:r>
      <w:r w:rsidR="0006580C" w:rsidRPr="00274507">
        <w:rPr>
          <w:sz w:val="28"/>
          <w:szCs w:val="28"/>
        </w:rPr>
        <w:t xml:space="preserve"> y llevar a cabo los estudios estadísticos pertinentes a dar cumplimiento a la orden trigésima</w:t>
      </w:r>
      <w:r w:rsidR="00B753C8" w:rsidRPr="00274507">
        <w:rPr>
          <w:sz w:val="28"/>
          <w:szCs w:val="28"/>
        </w:rPr>
        <w:t>. Este proceso se llevó a cabo desde febrero de 201</w:t>
      </w:r>
      <w:r w:rsidR="000D0778" w:rsidRPr="00274507">
        <w:rPr>
          <w:sz w:val="28"/>
          <w:szCs w:val="28"/>
        </w:rPr>
        <w:t>2 hasta el 31 de enero de 2016.</w:t>
      </w:r>
      <w:r w:rsidR="00846C5C" w:rsidRPr="00274507">
        <w:rPr>
          <w:sz w:val="28"/>
          <w:szCs w:val="28"/>
        </w:rPr>
        <w:t xml:space="preserve"> </w:t>
      </w:r>
    </w:p>
    <w:p w:rsidR="000D629B" w:rsidRPr="00274507" w:rsidRDefault="000D629B" w:rsidP="00274507">
      <w:pPr>
        <w:widowControl w:val="0"/>
        <w:tabs>
          <w:tab w:val="left" w:pos="426"/>
        </w:tabs>
        <w:autoSpaceDE w:val="0"/>
        <w:autoSpaceDN w:val="0"/>
        <w:adjustRightInd w:val="0"/>
        <w:jc w:val="both"/>
        <w:rPr>
          <w:sz w:val="28"/>
          <w:szCs w:val="28"/>
        </w:rPr>
      </w:pPr>
    </w:p>
    <w:p w:rsidR="00594FE9"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.5</w:t>
      </w:r>
      <w:r w:rsidR="000D629B" w:rsidRPr="00274507">
        <w:rPr>
          <w:sz w:val="28"/>
          <w:szCs w:val="28"/>
        </w:rPr>
        <w:t>.</w:t>
      </w:r>
      <w:r w:rsidR="00C76FF1" w:rsidRPr="00274507">
        <w:rPr>
          <w:sz w:val="28"/>
          <w:szCs w:val="28"/>
        </w:rPr>
        <w:t xml:space="preserve"> A través de la providencia </w:t>
      </w:r>
      <w:r w:rsidR="00C76FF1" w:rsidRPr="00274507">
        <w:rPr>
          <w:b/>
          <w:sz w:val="28"/>
          <w:szCs w:val="28"/>
        </w:rPr>
        <w:t>de 6 de Junio de 2012</w:t>
      </w:r>
      <w:r w:rsidR="00C76FF1" w:rsidRPr="00274507">
        <w:rPr>
          <w:rStyle w:val="Refdenotaalpie"/>
          <w:sz w:val="28"/>
          <w:szCs w:val="28"/>
        </w:rPr>
        <w:footnoteReference w:id="58"/>
      </w:r>
      <w:r w:rsidR="00281107" w:rsidRPr="00274507">
        <w:rPr>
          <w:sz w:val="28"/>
          <w:szCs w:val="28"/>
        </w:rPr>
        <w:t xml:space="preserve"> </w:t>
      </w:r>
      <w:r w:rsidR="00C76FF1" w:rsidRPr="00274507">
        <w:rPr>
          <w:sz w:val="28"/>
          <w:szCs w:val="28"/>
        </w:rPr>
        <w:t>esta Corporación requirió al Ministerio</w:t>
      </w:r>
      <w:r w:rsidR="00281107" w:rsidRPr="00274507">
        <w:rPr>
          <w:sz w:val="28"/>
          <w:szCs w:val="28"/>
        </w:rPr>
        <w:t xml:space="preserve"> de Salud </w:t>
      </w:r>
      <w:r w:rsidR="009E6B07" w:rsidRPr="00274507">
        <w:rPr>
          <w:sz w:val="28"/>
          <w:szCs w:val="28"/>
        </w:rPr>
        <w:t xml:space="preserve">a fin de que </w:t>
      </w:r>
      <w:r w:rsidR="00DA4798" w:rsidRPr="00274507">
        <w:rPr>
          <w:sz w:val="28"/>
          <w:szCs w:val="28"/>
        </w:rPr>
        <w:t xml:space="preserve">presentara </w:t>
      </w:r>
      <w:r w:rsidR="00C76FF1" w:rsidRPr="00274507">
        <w:rPr>
          <w:sz w:val="28"/>
          <w:szCs w:val="28"/>
        </w:rPr>
        <w:t>el informe</w:t>
      </w:r>
      <w:r w:rsidR="00594FE9" w:rsidRPr="00274507">
        <w:rPr>
          <w:sz w:val="28"/>
          <w:szCs w:val="28"/>
        </w:rPr>
        <w:t xml:space="preserve"> </w:t>
      </w:r>
      <w:r w:rsidR="00DA4798" w:rsidRPr="00274507">
        <w:rPr>
          <w:sz w:val="28"/>
          <w:szCs w:val="28"/>
        </w:rPr>
        <w:t xml:space="preserve">elaborado con los datos contenidos en </w:t>
      </w:r>
      <w:r w:rsidR="00C76FF1" w:rsidRPr="00274507">
        <w:rPr>
          <w:sz w:val="28"/>
          <w:szCs w:val="28"/>
        </w:rPr>
        <w:t>los expedientes de tutela</w:t>
      </w:r>
      <w:r w:rsidR="00594FE9" w:rsidRPr="00274507">
        <w:rPr>
          <w:sz w:val="28"/>
          <w:szCs w:val="28"/>
        </w:rPr>
        <w:t xml:space="preserve"> </w:t>
      </w:r>
      <w:r w:rsidR="00DA4798" w:rsidRPr="00274507">
        <w:rPr>
          <w:sz w:val="28"/>
          <w:szCs w:val="28"/>
        </w:rPr>
        <w:t>q</w:t>
      </w:r>
      <w:r w:rsidR="00281107" w:rsidRPr="00274507">
        <w:rPr>
          <w:sz w:val="28"/>
          <w:szCs w:val="28"/>
        </w:rPr>
        <w:t xml:space="preserve">ue </w:t>
      </w:r>
      <w:r w:rsidR="00594FE9" w:rsidRPr="00274507">
        <w:rPr>
          <w:sz w:val="28"/>
          <w:szCs w:val="28"/>
        </w:rPr>
        <w:t>reposab</w:t>
      </w:r>
      <w:r w:rsidR="00281107" w:rsidRPr="00274507">
        <w:rPr>
          <w:sz w:val="28"/>
          <w:szCs w:val="28"/>
        </w:rPr>
        <w:t>an en la Corte</w:t>
      </w:r>
      <w:r w:rsidR="007E3DFC" w:rsidRPr="00274507">
        <w:rPr>
          <w:sz w:val="28"/>
          <w:szCs w:val="28"/>
        </w:rPr>
        <w:t xml:space="preserve"> Constitucional</w:t>
      </w:r>
      <w:r w:rsidR="00281107" w:rsidRPr="00274507">
        <w:rPr>
          <w:sz w:val="28"/>
          <w:szCs w:val="28"/>
        </w:rPr>
        <w:t xml:space="preserve">. </w:t>
      </w:r>
    </w:p>
    <w:p w:rsidR="00651CED" w:rsidRPr="00274507" w:rsidRDefault="00651CED" w:rsidP="00274507">
      <w:pPr>
        <w:widowControl w:val="0"/>
        <w:tabs>
          <w:tab w:val="left" w:pos="426"/>
        </w:tabs>
        <w:autoSpaceDE w:val="0"/>
        <w:autoSpaceDN w:val="0"/>
        <w:adjustRightInd w:val="0"/>
        <w:jc w:val="both"/>
        <w:rPr>
          <w:sz w:val="28"/>
          <w:szCs w:val="28"/>
        </w:rPr>
      </w:pPr>
    </w:p>
    <w:p w:rsidR="00C76FF1" w:rsidRPr="00274507" w:rsidRDefault="00281107" w:rsidP="00274507">
      <w:pPr>
        <w:widowControl w:val="0"/>
        <w:tabs>
          <w:tab w:val="left" w:pos="426"/>
        </w:tabs>
        <w:autoSpaceDE w:val="0"/>
        <w:autoSpaceDN w:val="0"/>
        <w:adjustRightInd w:val="0"/>
        <w:jc w:val="both"/>
        <w:rPr>
          <w:color w:val="000000" w:themeColor="text1"/>
          <w:sz w:val="28"/>
          <w:szCs w:val="28"/>
        </w:rPr>
      </w:pPr>
      <w:r w:rsidRPr="00274507">
        <w:rPr>
          <w:color w:val="000000" w:themeColor="text1"/>
          <w:sz w:val="28"/>
          <w:szCs w:val="28"/>
        </w:rPr>
        <w:t>E</w:t>
      </w:r>
      <w:r w:rsidR="00594FE9" w:rsidRPr="00274507">
        <w:rPr>
          <w:color w:val="000000" w:themeColor="text1"/>
          <w:sz w:val="28"/>
          <w:szCs w:val="28"/>
        </w:rPr>
        <w:t>l 24 de agosto de 2012</w:t>
      </w:r>
      <w:r w:rsidR="00F6331C" w:rsidRPr="00274507">
        <w:rPr>
          <w:rStyle w:val="Refdenotaalpie"/>
          <w:color w:val="000000" w:themeColor="text1"/>
          <w:sz w:val="28"/>
          <w:szCs w:val="28"/>
        </w:rPr>
        <w:footnoteReference w:id="59"/>
      </w:r>
      <w:r w:rsidR="00594FE9" w:rsidRPr="00274507">
        <w:rPr>
          <w:color w:val="000000" w:themeColor="text1"/>
          <w:sz w:val="28"/>
          <w:szCs w:val="28"/>
        </w:rPr>
        <w:t xml:space="preserve"> </w:t>
      </w:r>
      <w:r w:rsidR="00F3065E" w:rsidRPr="00274507">
        <w:rPr>
          <w:color w:val="000000" w:themeColor="text1"/>
          <w:sz w:val="28"/>
          <w:szCs w:val="28"/>
        </w:rPr>
        <w:t>el ente regulador</w:t>
      </w:r>
      <w:r w:rsidR="007E3DFC" w:rsidRPr="00274507">
        <w:rPr>
          <w:color w:val="000000" w:themeColor="text1"/>
          <w:sz w:val="28"/>
          <w:szCs w:val="28"/>
        </w:rPr>
        <w:t>,</w:t>
      </w:r>
      <w:r w:rsidR="00594FE9" w:rsidRPr="00274507">
        <w:rPr>
          <w:color w:val="000000" w:themeColor="text1"/>
          <w:sz w:val="28"/>
          <w:szCs w:val="28"/>
        </w:rPr>
        <w:t xml:space="preserve"> </w:t>
      </w:r>
      <w:r w:rsidR="00C76FF1" w:rsidRPr="00274507">
        <w:rPr>
          <w:color w:val="000000" w:themeColor="text1"/>
          <w:sz w:val="28"/>
          <w:szCs w:val="28"/>
        </w:rPr>
        <w:t>remitió el documento que contenía de forma parcial el “</w:t>
      </w:r>
      <w:r w:rsidR="00C76FF1" w:rsidRPr="00274507">
        <w:rPr>
          <w:i/>
          <w:color w:val="000000" w:themeColor="text1"/>
          <w:sz w:val="28"/>
          <w:szCs w:val="28"/>
        </w:rPr>
        <w:t>Análisis descriptivo de las tutelas que involucran el servicio de salud en el primer trimestre 2012</w:t>
      </w:r>
      <w:r w:rsidR="006567B6" w:rsidRPr="00274507">
        <w:rPr>
          <w:color w:val="000000" w:themeColor="text1"/>
          <w:sz w:val="28"/>
          <w:szCs w:val="28"/>
        </w:rPr>
        <w:t xml:space="preserve">”, </w:t>
      </w:r>
      <w:r w:rsidR="00594FE9" w:rsidRPr="00274507">
        <w:rPr>
          <w:color w:val="000000" w:themeColor="text1"/>
          <w:sz w:val="28"/>
          <w:szCs w:val="28"/>
        </w:rPr>
        <w:t>advirti</w:t>
      </w:r>
      <w:r w:rsidR="006567B6" w:rsidRPr="00274507">
        <w:rPr>
          <w:color w:val="000000" w:themeColor="text1"/>
          <w:sz w:val="28"/>
          <w:szCs w:val="28"/>
        </w:rPr>
        <w:t>endo que implementó</w:t>
      </w:r>
      <w:r w:rsidR="00594FE9" w:rsidRPr="00274507">
        <w:rPr>
          <w:color w:val="000000" w:themeColor="text1"/>
          <w:sz w:val="28"/>
          <w:szCs w:val="28"/>
        </w:rPr>
        <w:t xml:space="preserve"> </w:t>
      </w:r>
      <w:r w:rsidR="00881A39" w:rsidRPr="00274507">
        <w:rPr>
          <w:color w:val="000000" w:themeColor="text1"/>
          <w:sz w:val="28"/>
          <w:szCs w:val="28"/>
        </w:rPr>
        <w:t>l</w:t>
      </w:r>
      <w:r w:rsidR="00594FE9" w:rsidRPr="00274507">
        <w:rPr>
          <w:color w:val="000000" w:themeColor="text1"/>
          <w:sz w:val="28"/>
          <w:szCs w:val="28"/>
        </w:rPr>
        <w:t>a nueva metodología de “</w:t>
      </w:r>
      <w:r w:rsidR="00594FE9" w:rsidRPr="00274507">
        <w:rPr>
          <w:i/>
          <w:color w:val="000000" w:themeColor="text1"/>
          <w:sz w:val="28"/>
          <w:szCs w:val="28"/>
        </w:rPr>
        <w:t>estudio piloto</w:t>
      </w:r>
      <w:r w:rsidR="00594FE9" w:rsidRPr="00274507">
        <w:rPr>
          <w:color w:val="000000" w:themeColor="text1"/>
          <w:sz w:val="28"/>
          <w:szCs w:val="28"/>
        </w:rPr>
        <w:t xml:space="preserve">” donde </w:t>
      </w:r>
      <w:r w:rsidR="00734A61" w:rsidRPr="00274507">
        <w:rPr>
          <w:color w:val="000000" w:themeColor="text1"/>
          <w:sz w:val="28"/>
          <w:szCs w:val="28"/>
        </w:rPr>
        <w:t>tomó</w:t>
      </w:r>
      <w:r w:rsidR="00881A39" w:rsidRPr="00274507">
        <w:rPr>
          <w:color w:val="000000" w:themeColor="text1"/>
          <w:sz w:val="28"/>
          <w:szCs w:val="28"/>
        </w:rPr>
        <w:t xml:space="preserve"> una muestra de 1.540 tutelas, e</w:t>
      </w:r>
      <w:r w:rsidR="005B4788" w:rsidRPr="00274507">
        <w:rPr>
          <w:color w:val="000000" w:themeColor="text1"/>
          <w:sz w:val="28"/>
          <w:szCs w:val="28"/>
        </w:rPr>
        <w:t xml:space="preserve">n una </w:t>
      </w:r>
      <w:r w:rsidR="00881A39" w:rsidRPr="00274507">
        <w:rPr>
          <w:color w:val="000000" w:themeColor="text1"/>
          <w:sz w:val="28"/>
          <w:szCs w:val="28"/>
        </w:rPr>
        <w:t>tasa representativa</w:t>
      </w:r>
      <w:r w:rsidR="005B4788" w:rsidRPr="00274507">
        <w:rPr>
          <w:color w:val="000000" w:themeColor="text1"/>
          <w:sz w:val="28"/>
          <w:szCs w:val="28"/>
        </w:rPr>
        <w:t xml:space="preserve"> d</w:t>
      </w:r>
      <w:r w:rsidR="00881A39" w:rsidRPr="00274507">
        <w:rPr>
          <w:color w:val="000000" w:themeColor="text1"/>
          <w:sz w:val="28"/>
          <w:szCs w:val="28"/>
        </w:rPr>
        <w:t xml:space="preserve">el 3% del total de la población </w:t>
      </w:r>
      <w:r w:rsidR="00531476" w:rsidRPr="00274507">
        <w:rPr>
          <w:color w:val="000000" w:themeColor="text1"/>
          <w:sz w:val="28"/>
          <w:szCs w:val="28"/>
        </w:rPr>
        <w:t xml:space="preserve">y evidenció </w:t>
      </w:r>
      <w:r w:rsidR="00881A39" w:rsidRPr="00274507">
        <w:rPr>
          <w:color w:val="000000" w:themeColor="text1"/>
          <w:sz w:val="28"/>
          <w:szCs w:val="28"/>
        </w:rPr>
        <w:t xml:space="preserve">que </w:t>
      </w:r>
      <w:r w:rsidR="007E3DFC" w:rsidRPr="00274507">
        <w:rPr>
          <w:color w:val="000000" w:themeColor="text1"/>
          <w:sz w:val="28"/>
          <w:szCs w:val="28"/>
        </w:rPr>
        <w:t xml:space="preserve">el estudio arrojaba </w:t>
      </w:r>
      <w:r w:rsidR="00881A39" w:rsidRPr="00274507">
        <w:rPr>
          <w:color w:val="000000" w:themeColor="text1"/>
          <w:sz w:val="28"/>
          <w:szCs w:val="28"/>
        </w:rPr>
        <w:t>u</w:t>
      </w:r>
      <w:r w:rsidR="005B4788" w:rsidRPr="00274507">
        <w:rPr>
          <w:color w:val="000000" w:themeColor="text1"/>
          <w:sz w:val="28"/>
          <w:szCs w:val="28"/>
        </w:rPr>
        <w:t xml:space="preserve">n nivel de confianza del 95%. </w:t>
      </w:r>
      <w:r w:rsidR="00734A61" w:rsidRPr="00274507">
        <w:rPr>
          <w:color w:val="000000" w:themeColor="text1"/>
          <w:sz w:val="28"/>
          <w:szCs w:val="28"/>
        </w:rPr>
        <w:t xml:space="preserve">De igual manera, </w:t>
      </w:r>
      <w:r w:rsidR="00531476" w:rsidRPr="00274507">
        <w:rPr>
          <w:color w:val="000000" w:themeColor="text1"/>
          <w:sz w:val="28"/>
          <w:szCs w:val="28"/>
        </w:rPr>
        <w:t>precisó que</w:t>
      </w:r>
      <w:r w:rsidR="00881A39" w:rsidRPr="00274507">
        <w:rPr>
          <w:color w:val="000000" w:themeColor="text1"/>
          <w:sz w:val="28"/>
          <w:szCs w:val="28"/>
        </w:rPr>
        <w:t xml:space="preserve"> su análisis se basó en la construcción de v</w:t>
      </w:r>
      <w:r w:rsidR="005B4788" w:rsidRPr="00274507">
        <w:rPr>
          <w:color w:val="000000" w:themeColor="text1"/>
          <w:sz w:val="28"/>
          <w:szCs w:val="28"/>
        </w:rPr>
        <w:t xml:space="preserve">ariables e indicadores que le permitieron caracterizar las acciones y relacionarlas </w:t>
      </w:r>
      <w:r w:rsidR="007E3DFC" w:rsidRPr="00274507">
        <w:rPr>
          <w:color w:val="000000" w:themeColor="text1"/>
          <w:sz w:val="28"/>
          <w:szCs w:val="28"/>
        </w:rPr>
        <w:t>co</w:t>
      </w:r>
      <w:r w:rsidR="00881A39" w:rsidRPr="00274507">
        <w:rPr>
          <w:color w:val="000000" w:themeColor="text1"/>
          <w:sz w:val="28"/>
          <w:szCs w:val="28"/>
        </w:rPr>
        <w:t xml:space="preserve">n la </w:t>
      </w:r>
      <w:r w:rsidR="00531476" w:rsidRPr="00274507">
        <w:rPr>
          <w:color w:val="000000" w:themeColor="text1"/>
          <w:sz w:val="28"/>
          <w:szCs w:val="28"/>
        </w:rPr>
        <w:t>s</w:t>
      </w:r>
      <w:r w:rsidR="00E42CBC" w:rsidRPr="00274507">
        <w:rPr>
          <w:color w:val="000000" w:themeColor="text1"/>
          <w:sz w:val="28"/>
          <w:szCs w:val="28"/>
        </w:rPr>
        <w:t>olución</w:t>
      </w:r>
      <w:r w:rsidR="00881A39" w:rsidRPr="00274507">
        <w:rPr>
          <w:color w:val="000000" w:themeColor="text1"/>
          <w:sz w:val="28"/>
          <w:szCs w:val="28"/>
        </w:rPr>
        <w:t xml:space="preserve"> de</w:t>
      </w:r>
      <w:r w:rsidR="005B4788" w:rsidRPr="00274507">
        <w:rPr>
          <w:color w:val="000000" w:themeColor="text1"/>
          <w:sz w:val="28"/>
          <w:szCs w:val="28"/>
        </w:rPr>
        <w:t xml:space="preserve"> los problemas jurídicos de la </w:t>
      </w:r>
      <w:r w:rsidR="00734A61" w:rsidRPr="00274507">
        <w:rPr>
          <w:color w:val="000000" w:themeColor="text1"/>
          <w:sz w:val="28"/>
          <w:szCs w:val="28"/>
        </w:rPr>
        <w:t xml:space="preserve">sentencia </w:t>
      </w:r>
      <w:r w:rsidR="005B4788" w:rsidRPr="00274507">
        <w:rPr>
          <w:color w:val="000000" w:themeColor="text1"/>
          <w:sz w:val="28"/>
          <w:szCs w:val="28"/>
        </w:rPr>
        <w:t>T-760 de 2008.</w:t>
      </w:r>
    </w:p>
    <w:p w:rsidR="00C76FF1" w:rsidRPr="00274507" w:rsidRDefault="00C76FF1" w:rsidP="00274507">
      <w:pPr>
        <w:widowControl w:val="0"/>
        <w:tabs>
          <w:tab w:val="left" w:pos="426"/>
        </w:tabs>
        <w:autoSpaceDE w:val="0"/>
        <w:autoSpaceDN w:val="0"/>
        <w:adjustRightInd w:val="0"/>
        <w:jc w:val="both"/>
        <w:rPr>
          <w:color w:val="000000" w:themeColor="text1"/>
          <w:sz w:val="28"/>
          <w:szCs w:val="28"/>
        </w:rPr>
      </w:pPr>
    </w:p>
    <w:p w:rsidR="00D64577" w:rsidRPr="00274507" w:rsidRDefault="000A51A3" w:rsidP="00274507">
      <w:pPr>
        <w:widowControl w:val="0"/>
        <w:tabs>
          <w:tab w:val="left" w:pos="426"/>
        </w:tabs>
        <w:autoSpaceDE w:val="0"/>
        <w:autoSpaceDN w:val="0"/>
        <w:adjustRightInd w:val="0"/>
        <w:jc w:val="both"/>
        <w:rPr>
          <w:color w:val="000000" w:themeColor="text1"/>
          <w:sz w:val="28"/>
          <w:szCs w:val="28"/>
        </w:rPr>
      </w:pPr>
      <w:r w:rsidRPr="00274507">
        <w:rPr>
          <w:color w:val="000000" w:themeColor="text1"/>
          <w:sz w:val="28"/>
          <w:szCs w:val="28"/>
        </w:rPr>
        <w:t>4</w:t>
      </w:r>
      <w:r w:rsidR="000D629B" w:rsidRPr="00274507">
        <w:rPr>
          <w:color w:val="000000" w:themeColor="text1"/>
          <w:sz w:val="28"/>
          <w:szCs w:val="28"/>
        </w:rPr>
        <w:t>.</w:t>
      </w:r>
      <w:r w:rsidR="00F55E3F" w:rsidRPr="00274507">
        <w:rPr>
          <w:color w:val="000000" w:themeColor="text1"/>
          <w:sz w:val="28"/>
          <w:szCs w:val="28"/>
        </w:rPr>
        <w:t>6</w:t>
      </w:r>
      <w:r w:rsidR="000D629B" w:rsidRPr="00274507">
        <w:rPr>
          <w:color w:val="000000" w:themeColor="text1"/>
          <w:sz w:val="28"/>
          <w:szCs w:val="28"/>
        </w:rPr>
        <w:t>.</w:t>
      </w:r>
      <w:r w:rsidR="000D629B" w:rsidRPr="00274507">
        <w:rPr>
          <w:b/>
          <w:color w:val="000000" w:themeColor="text1"/>
          <w:sz w:val="28"/>
          <w:szCs w:val="28"/>
        </w:rPr>
        <w:t xml:space="preserve"> </w:t>
      </w:r>
      <w:r w:rsidR="004764F7" w:rsidRPr="00274507">
        <w:rPr>
          <w:color w:val="000000" w:themeColor="text1"/>
          <w:sz w:val="28"/>
          <w:szCs w:val="28"/>
        </w:rPr>
        <w:t xml:space="preserve">Mediante </w:t>
      </w:r>
      <w:r w:rsidR="00C76FF1" w:rsidRPr="00274507">
        <w:rPr>
          <w:color w:val="000000" w:themeColor="text1"/>
          <w:sz w:val="28"/>
          <w:szCs w:val="28"/>
        </w:rPr>
        <w:t xml:space="preserve">Auto de </w:t>
      </w:r>
      <w:r w:rsidR="00C76FF1" w:rsidRPr="00274507">
        <w:rPr>
          <w:b/>
          <w:color w:val="000000" w:themeColor="text1"/>
          <w:sz w:val="28"/>
          <w:szCs w:val="28"/>
        </w:rPr>
        <w:t>5 de junio de 2013</w:t>
      </w:r>
      <w:r w:rsidR="00C76FF1" w:rsidRPr="00274507">
        <w:rPr>
          <w:color w:val="000000" w:themeColor="text1"/>
          <w:sz w:val="28"/>
          <w:szCs w:val="28"/>
        </w:rPr>
        <w:t xml:space="preserve"> la Sala </w:t>
      </w:r>
      <w:r w:rsidR="004764F7" w:rsidRPr="00274507">
        <w:rPr>
          <w:color w:val="000000" w:themeColor="text1"/>
          <w:sz w:val="28"/>
          <w:szCs w:val="28"/>
        </w:rPr>
        <w:t xml:space="preserve">Especial de Seguimiento </w:t>
      </w:r>
      <w:r w:rsidR="00C76FF1" w:rsidRPr="00274507">
        <w:rPr>
          <w:color w:val="000000" w:themeColor="text1"/>
          <w:sz w:val="28"/>
          <w:szCs w:val="28"/>
        </w:rPr>
        <w:t xml:space="preserve">solicitó </w:t>
      </w:r>
      <w:r w:rsidR="00C76FF1" w:rsidRPr="00274507">
        <w:rPr>
          <w:sz w:val="28"/>
          <w:szCs w:val="28"/>
        </w:rPr>
        <w:t>concepto de los peritos</w:t>
      </w:r>
      <w:r w:rsidR="00C76FF1" w:rsidRPr="00274507">
        <w:rPr>
          <w:rStyle w:val="Refdenotaalpie"/>
          <w:sz w:val="28"/>
          <w:szCs w:val="28"/>
        </w:rPr>
        <w:footnoteReference w:id="60"/>
      </w:r>
      <w:r w:rsidR="00C76FF1" w:rsidRPr="00274507">
        <w:rPr>
          <w:sz w:val="28"/>
          <w:szCs w:val="28"/>
        </w:rPr>
        <w:t xml:space="preserve"> y de los grupos de seguimiento</w:t>
      </w:r>
      <w:r w:rsidR="00C76FF1" w:rsidRPr="00274507">
        <w:rPr>
          <w:rStyle w:val="Refdenotaalpie"/>
          <w:sz w:val="28"/>
          <w:szCs w:val="28"/>
        </w:rPr>
        <w:footnoteReference w:id="61"/>
      </w:r>
      <w:r w:rsidR="00C76FF1" w:rsidRPr="00274507">
        <w:rPr>
          <w:sz w:val="28"/>
          <w:szCs w:val="28"/>
        </w:rPr>
        <w:t xml:space="preserve">, respecto del quinto informe </w:t>
      </w:r>
      <w:r w:rsidR="00F3065E" w:rsidRPr="00274507">
        <w:rPr>
          <w:sz w:val="28"/>
          <w:szCs w:val="28"/>
        </w:rPr>
        <w:t xml:space="preserve">presentado por el Ministerio de Salud </w:t>
      </w:r>
      <w:r w:rsidR="00C76FF1" w:rsidRPr="00274507">
        <w:rPr>
          <w:sz w:val="28"/>
          <w:szCs w:val="28"/>
        </w:rPr>
        <w:t>con el fin de que emitieran</w:t>
      </w:r>
      <w:r w:rsidR="00E85E78" w:rsidRPr="00274507">
        <w:rPr>
          <w:sz w:val="28"/>
          <w:szCs w:val="28"/>
        </w:rPr>
        <w:t xml:space="preserve"> respuesta </w:t>
      </w:r>
      <w:r w:rsidR="00992E20" w:rsidRPr="00274507">
        <w:rPr>
          <w:sz w:val="28"/>
          <w:szCs w:val="28"/>
        </w:rPr>
        <w:t>a los interrogantes pr</w:t>
      </w:r>
      <w:r w:rsidR="00FF5DC3" w:rsidRPr="00274507">
        <w:rPr>
          <w:sz w:val="28"/>
          <w:szCs w:val="28"/>
        </w:rPr>
        <w:t>opuestos en la parte motiva de dicha</w:t>
      </w:r>
      <w:r w:rsidR="00992E20" w:rsidRPr="00274507">
        <w:rPr>
          <w:sz w:val="28"/>
          <w:szCs w:val="28"/>
        </w:rPr>
        <w:t xml:space="preserve"> providencia</w:t>
      </w:r>
      <w:r w:rsidR="00FF5DC3" w:rsidRPr="00274507">
        <w:rPr>
          <w:sz w:val="28"/>
          <w:szCs w:val="28"/>
        </w:rPr>
        <w:t>, en lo referente a la metodología</w:t>
      </w:r>
      <w:r w:rsidR="007E1EC2" w:rsidRPr="00274507">
        <w:rPr>
          <w:sz w:val="28"/>
          <w:szCs w:val="28"/>
        </w:rPr>
        <w:t xml:space="preserve"> allí implementada</w:t>
      </w:r>
      <w:r w:rsidR="00992E20" w:rsidRPr="00274507">
        <w:rPr>
          <w:sz w:val="28"/>
          <w:szCs w:val="28"/>
        </w:rPr>
        <w:t>.</w:t>
      </w:r>
    </w:p>
    <w:p w:rsidR="00C76FF1" w:rsidRPr="00274507" w:rsidRDefault="00C76FF1" w:rsidP="00274507">
      <w:pPr>
        <w:widowControl w:val="0"/>
        <w:tabs>
          <w:tab w:val="left" w:pos="426"/>
        </w:tabs>
        <w:autoSpaceDE w:val="0"/>
        <w:autoSpaceDN w:val="0"/>
        <w:adjustRightInd w:val="0"/>
        <w:jc w:val="both"/>
        <w:rPr>
          <w:sz w:val="28"/>
          <w:szCs w:val="28"/>
        </w:rPr>
      </w:pPr>
    </w:p>
    <w:p w:rsidR="00FF5DC3"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0D629B" w:rsidRPr="00274507">
        <w:rPr>
          <w:sz w:val="28"/>
          <w:szCs w:val="28"/>
        </w:rPr>
        <w:t>.</w:t>
      </w:r>
      <w:r w:rsidR="00F55E3F" w:rsidRPr="00274507">
        <w:rPr>
          <w:sz w:val="28"/>
          <w:szCs w:val="28"/>
        </w:rPr>
        <w:t>6</w:t>
      </w:r>
      <w:r w:rsidR="00C76FF1" w:rsidRPr="00274507">
        <w:rPr>
          <w:sz w:val="28"/>
          <w:szCs w:val="28"/>
        </w:rPr>
        <w:t>.1.</w:t>
      </w:r>
      <w:r w:rsidR="00B5715C" w:rsidRPr="00274507">
        <w:rPr>
          <w:sz w:val="28"/>
          <w:szCs w:val="28"/>
        </w:rPr>
        <w:t xml:space="preserve"> </w:t>
      </w:r>
      <w:r w:rsidR="00992E20" w:rsidRPr="00274507">
        <w:rPr>
          <w:sz w:val="28"/>
          <w:szCs w:val="28"/>
        </w:rPr>
        <w:t xml:space="preserve">El 5 de julio de 2013 </w:t>
      </w:r>
      <w:r w:rsidR="00C76FF1" w:rsidRPr="00274507">
        <w:rPr>
          <w:sz w:val="28"/>
          <w:szCs w:val="28"/>
        </w:rPr>
        <w:t>la Asociación Colombiana de Empresa de Medicina Integral</w:t>
      </w:r>
      <w:r w:rsidR="001B42EC" w:rsidRPr="00274507">
        <w:rPr>
          <w:sz w:val="28"/>
          <w:szCs w:val="28"/>
        </w:rPr>
        <w:t xml:space="preserve"> </w:t>
      </w:r>
      <w:r w:rsidR="00E9699E" w:rsidRPr="00274507">
        <w:rPr>
          <w:sz w:val="28"/>
          <w:szCs w:val="28"/>
        </w:rPr>
        <w:t>-</w:t>
      </w:r>
      <w:r w:rsidR="00C76FF1" w:rsidRPr="00274507">
        <w:rPr>
          <w:sz w:val="28"/>
          <w:szCs w:val="28"/>
        </w:rPr>
        <w:t>Acemi</w:t>
      </w:r>
      <w:r w:rsidR="00E9699E" w:rsidRPr="00274507">
        <w:rPr>
          <w:sz w:val="28"/>
          <w:szCs w:val="28"/>
        </w:rPr>
        <w:t>-</w:t>
      </w:r>
      <w:r w:rsidR="00C76FF1" w:rsidRPr="00274507">
        <w:rPr>
          <w:sz w:val="28"/>
          <w:szCs w:val="28"/>
        </w:rPr>
        <w:t>, Asociación Nacional de Cajas de Compensación F</w:t>
      </w:r>
      <w:r w:rsidR="00E9699E" w:rsidRPr="00274507">
        <w:rPr>
          <w:sz w:val="28"/>
          <w:szCs w:val="28"/>
        </w:rPr>
        <w:t>amiliar</w:t>
      </w:r>
      <w:r w:rsidR="007E1EC2" w:rsidRPr="00274507">
        <w:rPr>
          <w:sz w:val="28"/>
          <w:szCs w:val="28"/>
        </w:rPr>
        <w:t xml:space="preserve"> </w:t>
      </w:r>
      <w:r w:rsidR="00E9699E" w:rsidRPr="00274507">
        <w:rPr>
          <w:sz w:val="28"/>
          <w:szCs w:val="28"/>
        </w:rPr>
        <w:t>-</w:t>
      </w:r>
      <w:r w:rsidR="00992E20" w:rsidRPr="00274507">
        <w:rPr>
          <w:sz w:val="28"/>
          <w:szCs w:val="28"/>
        </w:rPr>
        <w:t>Asocajas</w:t>
      </w:r>
      <w:r w:rsidR="00E9699E" w:rsidRPr="00274507">
        <w:rPr>
          <w:sz w:val="28"/>
          <w:szCs w:val="28"/>
        </w:rPr>
        <w:t>-</w:t>
      </w:r>
      <w:r w:rsidR="00992E20" w:rsidRPr="00274507">
        <w:rPr>
          <w:sz w:val="28"/>
          <w:szCs w:val="28"/>
        </w:rPr>
        <w:t xml:space="preserve"> </w:t>
      </w:r>
      <w:r w:rsidR="00B5715C" w:rsidRPr="00274507">
        <w:rPr>
          <w:sz w:val="28"/>
          <w:szCs w:val="28"/>
        </w:rPr>
        <w:t>y Gestarsalud de forma conjunta</w:t>
      </w:r>
      <w:r w:rsidR="00C76FF1" w:rsidRPr="00274507">
        <w:rPr>
          <w:rStyle w:val="Refdenotaalpie"/>
          <w:sz w:val="28"/>
          <w:szCs w:val="28"/>
        </w:rPr>
        <w:footnoteReference w:id="62"/>
      </w:r>
      <w:r w:rsidR="00B5715C" w:rsidRPr="00274507">
        <w:rPr>
          <w:sz w:val="28"/>
          <w:szCs w:val="28"/>
        </w:rPr>
        <w:t>, hicieron las siguientes precisiones</w:t>
      </w:r>
      <w:r w:rsidR="00FF5DC3" w:rsidRPr="00274507">
        <w:rPr>
          <w:sz w:val="28"/>
          <w:szCs w:val="28"/>
        </w:rPr>
        <w:t>:</w:t>
      </w:r>
    </w:p>
    <w:p w:rsidR="00F55E3F" w:rsidRPr="00274507" w:rsidRDefault="00F55E3F" w:rsidP="00274507">
      <w:pPr>
        <w:widowControl w:val="0"/>
        <w:tabs>
          <w:tab w:val="left" w:pos="426"/>
        </w:tabs>
        <w:autoSpaceDE w:val="0"/>
        <w:autoSpaceDN w:val="0"/>
        <w:adjustRightInd w:val="0"/>
        <w:jc w:val="both"/>
        <w:rPr>
          <w:sz w:val="28"/>
          <w:szCs w:val="28"/>
        </w:rPr>
      </w:pPr>
    </w:p>
    <w:p w:rsidR="001B42EC" w:rsidRPr="00274507" w:rsidRDefault="00F55E3F" w:rsidP="00274507">
      <w:pPr>
        <w:widowControl w:val="0"/>
        <w:tabs>
          <w:tab w:val="left" w:pos="426"/>
        </w:tabs>
        <w:autoSpaceDE w:val="0"/>
        <w:autoSpaceDN w:val="0"/>
        <w:adjustRightInd w:val="0"/>
        <w:jc w:val="both"/>
        <w:rPr>
          <w:sz w:val="28"/>
          <w:szCs w:val="28"/>
        </w:rPr>
      </w:pPr>
      <w:r w:rsidRPr="00274507">
        <w:rPr>
          <w:sz w:val="28"/>
          <w:szCs w:val="28"/>
        </w:rPr>
        <w:t xml:space="preserve">4.6.1.1. </w:t>
      </w:r>
      <w:r w:rsidR="001B42EC" w:rsidRPr="00274507">
        <w:rPr>
          <w:sz w:val="28"/>
          <w:szCs w:val="28"/>
        </w:rPr>
        <w:t>Como aspectos generales resaltaron:</w:t>
      </w:r>
      <w:r w:rsidR="004B5F23" w:rsidRPr="00274507">
        <w:rPr>
          <w:sz w:val="28"/>
          <w:szCs w:val="28"/>
        </w:rPr>
        <w:t xml:space="preserve"> </w:t>
      </w:r>
    </w:p>
    <w:p w:rsidR="00F3065E" w:rsidRPr="00274507" w:rsidRDefault="00F3065E" w:rsidP="00274507">
      <w:pPr>
        <w:widowControl w:val="0"/>
        <w:tabs>
          <w:tab w:val="left" w:pos="426"/>
        </w:tabs>
        <w:autoSpaceDE w:val="0"/>
        <w:autoSpaceDN w:val="0"/>
        <w:adjustRightInd w:val="0"/>
        <w:jc w:val="both"/>
        <w:rPr>
          <w:sz w:val="28"/>
          <w:szCs w:val="28"/>
        </w:rPr>
      </w:pPr>
    </w:p>
    <w:p w:rsidR="001B42EC" w:rsidRPr="00274507" w:rsidRDefault="001B42EC" w:rsidP="00274507">
      <w:pPr>
        <w:widowControl w:val="0"/>
        <w:tabs>
          <w:tab w:val="left" w:pos="426"/>
        </w:tabs>
        <w:autoSpaceDE w:val="0"/>
        <w:autoSpaceDN w:val="0"/>
        <w:adjustRightInd w:val="0"/>
        <w:ind w:left="426"/>
        <w:jc w:val="both"/>
        <w:rPr>
          <w:sz w:val="28"/>
          <w:szCs w:val="28"/>
        </w:rPr>
      </w:pPr>
      <w:r w:rsidRPr="00274507">
        <w:rPr>
          <w:sz w:val="28"/>
          <w:szCs w:val="28"/>
        </w:rPr>
        <w:t xml:space="preserve">i) </w:t>
      </w:r>
      <w:r w:rsidR="00A3207B" w:rsidRPr="00274507">
        <w:rPr>
          <w:sz w:val="28"/>
          <w:szCs w:val="28"/>
        </w:rPr>
        <w:t>R</w:t>
      </w:r>
      <w:r w:rsidRPr="00274507">
        <w:rPr>
          <w:sz w:val="28"/>
          <w:szCs w:val="28"/>
        </w:rPr>
        <w:t>especto a la ausencia de regulación en materia de capacidad de pago, evidenciaron que la clasificación por quintiles según el ingreso base de cotización a los accionantes</w:t>
      </w:r>
      <w:r w:rsidR="00F3065E" w:rsidRPr="00274507">
        <w:rPr>
          <w:sz w:val="28"/>
          <w:szCs w:val="28"/>
        </w:rPr>
        <w:t>,</w:t>
      </w:r>
      <w:r w:rsidRPr="00274507">
        <w:rPr>
          <w:sz w:val="28"/>
          <w:szCs w:val="28"/>
        </w:rPr>
        <w:t xml:space="preserve"> el 22% pertenecían al quintil superior, en el 31% al segundo y el 3% al primero, con lo cual evidenciaron que los usuarios que más recursos tenían fueron quiénes más acudieron al amparo, situación que resultaba alarmante, </w:t>
      </w:r>
      <w:r w:rsidR="00F3065E" w:rsidRPr="00274507">
        <w:rPr>
          <w:sz w:val="28"/>
          <w:szCs w:val="28"/>
        </w:rPr>
        <w:t>máxime que para la fecha</w:t>
      </w:r>
      <w:r w:rsidRPr="00274507">
        <w:rPr>
          <w:sz w:val="28"/>
          <w:szCs w:val="28"/>
        </w:rPr>
        <w:t xml:space="preserve"> los Comités tenían una imposibilidad para analizar tal condición en los afiliados.</w:t>
      </w:r>
    </w:p>
    <w:p w:rsidR="001B42EC" w:rsidRPr="00274507" w:rsidRDefault="001B42EC" w:rsidP="00274507">
      <w:pPr>
        <w:widowControl w:val="0"/>
        <w:tabs>
          <w:tab w:val="left" w:pos="426"/>
        </w:tabs>
        <w:autoSpaceDE w:val="0"/>
        <w:autoSpaceDN w:val="0"/>
        <w:adjustRightInd w:val="0"/>
        <w:ind w:left="426"/>
        <w:jc w:val="both"/>
        <w:rPr>
          <w:sz w:val="28"/>
          <w:szCs w:val="28"/>
        </w:rPr>
      </w:pPr>
      <w:r w:rsidRPr="00274507">
        <w:rPr>
          <w:sz w:val="28"/>
          <w:szCs w:val="28"/>
        </w:rPr>
        <w:t>ii) Necesidad de eliminar los Comités Técnico Científicos.  Reiteraron que el 93% de los c</w:t>
      </w:r>
      <w:r w:rsidR="00F3065E" w:rsidRPr="00274507">
        <w:rPr>
          <w:sz w:val="28"/>
          <w:szCs w:val="28"/>
        </w:rPr>
        <w:t xml:space="preserve">onceptos que niegan servicios </w:t>
      </w:r>
      <w:r w:rsidRPr="00274507">
        <w:rPr>
          <w:sz w:val="28"/>
          <w:szCs w:val="28"/>
        </w:rPr>
        <w:t>son concedidos por fallo de tutela en primera o segunda instancia</w:t>
      </w:r>
      <w:r w:rsidR="00F3065E" w:rsidRPr="00274507">
        <w:rPr>
          <w:sz w:val="28"/>
          <w:szCs w:val="28"/>
        </w:rPr>
        <w:t>,</w:t>
      </w:r>
      <w:r w:rsidRPr="00274507">
        <w:rPr>
          <w:sz w:val="28"/>
          <w:szCs w:val="28"/>
        </w:rPr>
        <w:t xml:space="preserve"> y que en la mayoría no son tenidos en cuenta por lo que considera</w:t>
      </w:r>
      <w:r w:rsidR="00A3207B" w:rsidRPr="00274507">
        <w:rPr>
          <w:sz w:val="28"/>
          <w:szCs w:val="28"/>
        </w:rPr>
        <w:t>ro</w:t>
      </w:r>
      <w:r w:rsidRPr="00274507">
        <w:rPr>
          <w:sz w:val="28"/>
          <w:szCs w:val="28"/>
        </w:rPr>
        <w:t xml:space="preserve">n que son innecesarios los Comités y ratificaron la urgencia de crear una instancia mediante la cual se resolvieran dichos conflictos de </w:t>
      </w:r>
      <w:r w:rsidR="00A3207B" w:rsidRPr="00274507">
        <w:rPr>
          <w:sz w:val="28"/>
          <w:szCs w:val="28"/>
        </w:rPr>
        <w:t xml:space="preserve">manera que fuera ajena </w:t>
      </w:r>
      <w:r w:rsidRPr="00274507">
        <w:rPr>
          <w:sz w:val="28"/>
          <w:szCs w:val="28"/>
        </w:rPr>
        <w:t>a las EPS, como la Junta Técnico Científica de Pares</w:t>
      </w:r>
      <w:r w:rsidRPr="00274507">
        <w:rPr>
          <w:rStyle w:val="Refdenotaalpie"/>
          <w:sz w:val="28"/>
          <w:szCs w:val="28"/>
        </w:rPr>
        <w:footnoteReference w:id="63"/>
      </w:r>
      <w:r w:rsidRPr="00274507">
        <w:rPr>
          <w:sz w:val="28"/>
          <w:szCs w:val="28"/>
        </w:rPr>
        <w:t>.</w:t>
      </w:r>
    </w:p>
    <w:p w:rsidR="001B42EC" w:rsidRPr="00274507" w:rsidRDefault="001B42EC" w:rsidP="00274507">
      <w:pPr>
        <w:widowControl w:val="0"/>
        <w:tabs>
          <w:tab w:val="left" w:pos="426"/>
        </w:tabs>
        <w:autoSpaceDE w:val="0"/>
        <w:autoSpaceDN w:val="0"/>
        <w:adjustRightInd w:val="0"/>
        <w:ind w:left="426"/>
        <w:jc w:val="both"/>
        <w:rPr>
          <w:sz w:val="28"/>
          <w:szCs w:val="28"/>
        </w:rPr>
      </w:pPr>
      <w:r w:rsidRPr="00274507">
        <w:rPr>
          <w:sz w:val="28"/>
          <w:szCs w:val="28"/>
        </w:rPr>
        <w:t xml:space="preserve">iii) Indicaron que el Ministerio de Salud debió realizar una diferenciación del estudio por regímenes ya que las coberturas del POS y las condiciones de operación fueron distintas hasta el 30 de junio de 2012. </w:t>
      </w:r>
    </w:p>
    <w:p w:rsidR="001B42EC" w:rsidRPr="00274507" w:rsidRDefault="001B42EC" w:rsidP="00274507">
      <w:pPr>
        <w:widowControl w:val="0"/>
        <w:tabs>
          <w:tab w:val="left" w:pos="426"/>
        </w:tabs>
        <w:autoSpaceDE w:val="0"/>
        <w:autoSpaceDN w:val="0"/>
        <w:adjustRightInd w:val="0"/>
        <w:ind w:left="426"/>
        <w:jc w:val="both"/>
        <w:rPr>
          <w:sz w:val="28"/>
          <w:szCs w:val="28"/>
        </w:rPr>
      </w:pPr>
    </w:p>
    <w:p w:rsidR="00864F63"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.6.</w:t>
      </w:r>
      <w:r w:rsidR="001B42EC" w:rsidRPr="00274507">
        <w:rPr>
          <w:sz w:val="28"/>
          <w:szCs w:val="28"/>
        </w:rPr>
        <w:t>1.2. Sobre el s</w:t>
      </w:r>
      <w:r w:rsidR="009A0ED4" w:rsidRPr="00274507">
        <w:rPr>
          <w:sz w:val="28"/>
          <w:szCs w:val="28"/>
        </w:rPr>
        <w:t>uministro de prestaciones que no deben ser asumidas con recursos del sect</w:t>
      </w:r>
      <w:r w:rsidR="00F3065E" w:rsidRPr="00274507">
        <w:rPr>
          <w:sz w:val="28"/>
          <w:szCs w:val="28"/>
        </w:rPr>
        <w:t>or salud</w:t>
      </w:r>
      <w:r w:rsidR="006B7BAD" w:rsidRPr="00274507">
        <w:rPr>
          <w:sz w:val="28"/>
          <w:szCs w:val="28"/>
        </w:rPr>
        <w:t>, indicaron</w:t>
      </w:r>
      <w:r w:rsidR="001B42EC" w:rsidRPr="00274507">
        <w:rPr>
          <w:sz w:val="28"/>
          <w:szCs w:val="28"/>
        </w:rPr>
        <w:t xml:space="preserve"> los siguientes aspectos</w:t>
      </w:r>
      <w:r w:rsidR="000D629B" w:rsidRPr="00274507">
        <w:rPr>
          <w:sz w:val="28"/>
          <w:szCs w:val="28"/>
        </w:rPr>
        <w:t>:</w:t>
      </w:r>
    </w:p>
    <w:p w:rsidR="00F3065E" w:rsidRPr="00274507" w:rsidRDefault="00F3065E" w:rsidP="00274507">
      <w:pPr>
        <w:widowControl w:val="0"/>
        <w:tabs>
          <w:tab w:val="left" w:pos="426"/>
        </w:tabs>
        <w:autoSpaceDE w:val="0"/>
        <w:autoSpaceDN w:val="0"/>
        <w:adjustRightInd w:val="0"/>
        <w:jc w:val="both"/>
        <w:rPr>
          <w:sz w:val="28"/>
          <w:szCs w:val="28"/>
        </w:rPr>
      </w:pPr>
    </w:p>
    <w:p w:rsidR="009A0ED4" w:rsidRPr="00274507" w:rsidRDefault="009A0ED4" w:rsidP="00274507">
      <w:pPr>
        <w:widowControl w:val="0"/>
        <w:tabs>
          <w:tab w:val="left" w:pos="426"/>
        </w:tabs>
        <w:autoSpaceDE w:val="0"/>
        <w:autoSpaceDN w:val="0"/>
        <w:adjustRightInd w:val="0"/>
        <w:ind w:left="426"/>
        <w:jc w:val="both"/>
        <w:rPr>
          <w:sz w:val="28"/>
          <w:szCs w:val="28"/>
        </w:rPr>
      </w:pPr>
      <w:r w:rsidRPr="00274507">
        <w:rPr>
          <w:sz w:val="28"/>
          <w:szCs w:val="28"/>
        </w:rPr>
        <w:t>i) Necesidad de diferenciar los servicios que no son “considerados de salud”</w:t>
      </w:r>
      <w:r w:rsidRPr="00274507">
        <w:rPr>
          <w:rStyle w:val="Refdenotaalpie"/>
          <w:sz w:val="28"/>
          <w:szCs w:val="28"/>
        </w:rPr>
        <w:footnoteReference w:id="64"/>
      </w:r>
      <w:r w:rsidRPr="00274507">
        <w:rPr>
          <w:sz w:val="28"/>
          <w:szCs w:val="28"/>
        </w:rPr>
        <w:t>, los “asociados a salud”</w:t>
      </w:r>
      <w:r w:rsidRPr="00274507">
        <w:rPr>
          <w:rStyle w:val="Refdenotaalpie"/>
          <w:sz w:val="28"/>
          <w:szCs w:val="28"/>
        </w:rPr>
        <w:footnoteReference w:id="65"/>
      </w:r>
      <w:r w:rsidR="00E9699E" w:rsidRPr="00274507">
        <w:rPr>
          <w:sz w:val="28"/>
          <w:szCs w:val="28"/>
        </w:rPr>
        <w:t xml:space="preserve"> y demás complementarios</w:t>
      </w:r>
      <w:r w:rsidRPr="00274507">
        <w:rPr>
          <w:rStyle w:val="Refdenotaalpie"/>
          <w:sz w:val="28"/>
          <w:szCs w:val="28"/>
        </w:rPr>
        <w:footnoteReference w:id="66"/>
      </w:r>
      <w:r w:rsidR="00411B00" w:rsidRPr="00274507">
        <w:rPr>
          <w:sz w:val="28"/>
          <w:szCs w:val="28"/>
        </w:rPr>
        <w:t xml:space="preserve">. </w:t>
      </w:r>
    </w:p>
    <w:p w:rsidR="009A0ED4" w:rsidRPr="00274507" w:rsidRDefault="009A0ED4" w:rsidP="00274507">
      <w:pPr>
        <w:widowControl w:val="0"/>
        <w:tabs>
          <w:tab w:val="left" w:pos="426"/>
        </w:tabs>
        <w:autoSpaceDE w:val="0"/>
        <w:autoSpaceDN w:val="0"/>
        <w:adjustRightInd w:val="0"/>
        <w:ind w:left="426"/>
        <w:jc w:val="both"/>
        <w:rPr>
          <w:sz w:val="28"/>
          <w:szCs w:val="28"/>
        </w:rPr>
      </w:pPr>
      <w:r w:rsidRPr="00274507">
        <w:rPr>
          <w:sz w:val="28"/>
          <w:szCs w:val="28"/>
        </w:rPr>
        <w:t>ii) Cuando se requieran medicamentos que no poseen registro INVIMA, no pueden s</w:t>
      </w:r>
      <w:r w:rsidR="00E9699E" w:rsidRPr="00274507">
        <w:rPr>
          <w:sz w:val="28"/>
          <w:szCs w:val="28"/>
        </w:rPr>
        <w:t>er autorizados por los Comités</w:t>
      </w:r>
      <w:r w:rsidR="00E9699E" w:rsidRPr="00274507">
        <w:rPr>
          <w:rStyle w:val="Refdenotaalpie"/>
          <w:sz w:val="28"/>
          <w:szCs w:val="28"/>
        </w:rPr>
        <w:footnoteReference w:id="67"/>
      </w:r>
      <w:r w:rsidR="00E9699E" w:rsidRPr="00274507">
        <w:rPr>
          <w:sz w:val="28"/>
          <w:szCs w:val="28"/>
        </w:rPr>
        <w:t>.</w:t>
      </w:r>
    </w:p>
    <w:p w:rsidR="000D629B" w:rsidRPr="00274507" w:rsidRDefault="000D629B" w:rsidP="00274507">
      <w:pPr>
        <w:widowControl w:val="0"/>
        <w:tabs>
          <w:tab w:val="left" w:pos="426"/>
        </w:tabs>
        <w:autoSpaceDE w:val="0"/>
        <w:autoSpaceDN w:val="0"/>
        <w:adjustRightInd w:val="0"/>
        <w:jc w:val="both"/>
        <w:rPr>
          <w:sz w:val="28"/>
          <w:szCs w:val="28"/>
        </w:rPr>
      </w:pPr>
    </w:p>
    <w:p w:rsidR="00864F63"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.6</w:t>
      </w:r>
      <w:r w:rsidR="001B42EC" w:rsidRPr="00274507">
        <w:rPr>
          <w:sz w:val="28"/>
          <w:szCs w:val="28"/>
        </w:rPr>
        <w:t>.1.3. En relación con las t</w:t>
      </w:r>
      <w:r w:rsidR="006B7BAD" w:rsidRPr="00274507">
        <w:rPr>
          <w:sz w:val="28"/>
          <w:szCs w:val="28"/>
        </w:rPr>
        <w:t>utelas que ordenaron</w:t>
      </w:r>
      <w:r w:rsidR="00707030" w:rsidRPr="00274507">
        <w:rPr>
          <w:sz w:val="28"/>
          <w:szCs w:val="28"/>
        </w:rPr>
        <w:t xml:space="preserve"> contenidos POS-Tie</w:t>
      </w:r>
      <w:r w:rsidR="000D629B" w:rsidRPr="00274507">
        <w:rPr>
          <w:sz w:val="28"/>
          <w:szCs w:val="28"/>
        </w:rPr>
        <w:t>mpos de provisión de servicios</w:t>
      </w:r>
      <w:r w:rsidR="001B42EC" w:rsidRPr="00274507">
        <w:rPr>
          <w:sz w:val="28"/>
          <w:szCs w:val="28"/>
        </w:rPr>
        <w:t>, señalaron que</w:t>
      </w:r>
      <w:r w:rsidR="000D629B" w:rsidRPr="00274507">
        <w:rPr>
          <w:sz w:val="28"/>
          <w:szCs w:val="28"/>
        </w:rPr>
        <w:t>:</w:t>
      </w:r>
    </w:p>
    <w:p w:rsidR="002E5F57" w:rsidRPr="00274507" w:rsidRDefault="002E5F57" w:rsidP="00274507">
      <w:pPr>
        <w:widowControl w:val="0"/>
        <w:tabs>
          <w:tab w:val="left" w:pos="426"/>
        </w:tabs>
        <w:autoSpaceDE w:val="0"/>
        <w:autoSpaceDN w:val="0"/>
        <w:adjustRightInd w:val="0"/>
        <w:ind w:left="426"/>
        <w:jc w:val="both"/>
        <w:rPr>
          <w:sz w:val="28"/>
          <w:szCs w:val="28"/>
        </w:rPr>
      </w:pPr>
    </w:p>
    <w:p w:rsidR="00B11CB1" w:rsidRPr="00274507" w:rsidRDefault="00B11CB1" w:rsidP="00274507">
      <w:pPr>
        <w:widowControl w:val="0"/>
        <w:tabs>
          <w:tab w:val="left" w:pos="426"/>
        </w:tabs>
        <w:autoSpaceDE w:val="0"/>
        <w:autoSpaceDN w:val="0"/>
        <w:adjustRightInd w:val="0"/>
        <w:ind w:left="426"/>
        <w:jc w:val="both"/>
        <w:rPr>
          <w:sz w:val="28"/>
          <w:szCs w:val="28"/>
        </w:rPr>
      </w:pPr>
      <w:r w:rsidRPr="00274507">
        <w:rPr>
          <w:sz w:val="28"/>
          <w:szCs w:val="28"/>
        </w:rPr>
        <w:t xml:space="preserve">i) </w:t>
      </w:r>
      <w:r w:rsidR="00B52BD3" w:rsidRPr="00274507">
        <w:rPr>
          <w:sz w:val="28"/>
          <w:szCs w:val="28"/>
        </w:rPr>
        <w:t>Según el informe del Ministerio de Salud “…</w:t>
      </w:r>
      <w:r w:rsidR="00B52BD3" w:rsidRPr="00274507">
        <w:rPr>
          <w:i/>
          <w:sz w:val="28"/>
          <w:szCs w:val="28"/>
        </w:rPr>
        <w:t>entre el 43% y el 40.5% de las demandas fueron por conceptos ya contenidos en el plan de beneficios</w:t>
      </w:r>
      <w:r w:rsidR="008402D9" w:rsidRPr="00274507">
        <w:rPr>
          <w:sz w:val="28"/>
          <w:szCs w:val="28"/>
        </w:rPr>
        <w:t xml:space="preserve">…”, </w:t>
      </w:r>
      <w:r w:rsidR="00B52BD3" w:rsidRPr="00274507">
        <w:rPr>
          <w:sz w:val="28"/>
          <w:szCs w:val="28"/>
        </w:rPr>
        <w:t>el “…</w:t>
      </w:r>
      <w:r w:rsidR="00B52BD3" w:rsidRPr="00274507">
        <w:rPr>
          <w:i/>
          <w:sz w:val="28"/>
          <w:szCs w:val="28"/>
        </w:rPr>
        <w:t>75% de las tutelas por servicios que se encuentran en el POS se deben a problemas en la oportunidad de la prestación</w:t>
      </w:r>
      <w:r w:rsidR="00B52BD3" w:rsidRPr="00274507">
        <w:rPr>
          <w:sz w:val="28"/>
          <w:szCs w:val="28"/>
        </w:rPr>
        <w:t>…”</w:t>
      </w:r>
      <w:r w:rsidR="00C70808" w:rsidRPr="00274507">
        <w:rPr>
          <w:sz w:val="28"/>
          <w:szCs w:val="28"/>
        </w:rPr>
        <w:t xml:space="preserve"> y que el “</w:t>
      </w:r>
      <w:r w:rsidR="00C70808" w:rsidRPr="00274507">
        <w:rPr>
          <w:i/>
          <w:sz w:val="28"/>
          <w:szCs w:val="28"/>
        </w:rPr>
        <w:t>34.36% de las tutelas, clasificadas por problemas específicos, obedecen al fallo en el tiempo de provisión</w:t>
      </w:r>
      <w:r w:rsidR="006B7BAD" w:rsidRPr="00274507">
        <w:rPr>
          <w:sz w:val="28"/>
          <w:szCs w:val="28"/>
        </w:rPr>
        <w:t>…”</w:t>
      </w:r>
      <w:r w:rsidR="00C70808" w:rsidRPr="00274507">
        <w:rPr>
          <w:sz w:val="28"/>
          <w:szCs w:val="28"/>
        </w:rPr>
        <w:t xml:space="preserve"> Por lo anterior, advirtieron que tales afirmaciones deben obtener un análisis más profu</w:t>
      </w:r>
      <w:r w:rsidR="007E06DF" w:rsidRPr="00274507">
        <w:rPr>
          <w:sz w:val="28"/>
          <w:szCs w:val="28"/>
        </w:rPr>
        <w:t>ndo</w:t>
      </w:r>
      <w:r w:rsidR="00F3065E" w:rsidRPr="00274507">
        <w:rPr>
          <w:sz w:val="28"/>
          <w:szCs w:val="28"/>
        </w:rPr>
        <w:t xml:space="preserve">, </w:t>
      </w:r>
      <w:r w:rsidR="007E06DF" w:rsidRPr="00274507">
        <w:rPr>
          <w:sz w:val="28"/>
          <w:szCs w:val="28"/>
        </w:rPr>
        <w:t>ya que pueden obedecer a</w:t>
      </w:r>
      <w:r w:rsidR="00C70808" w:rsidRPr="00274507">
        <w:rPr>
          <w:sz w:val="28"/>
          <w:szCs w:val="28"/>
        </w:rPr>
        <w:t xml:space="preserve"> insuficiencia de infraestructura y/o de profesionales de la salud, lo cual refleja deficiencias en la oportunidad de</w:t>
      </w:r>
      <w:r w:rsidR="00F3065E" w:rsidRPr="00274507">
        <w:rPr>
          <w:sz w:val="28"/>
          <w:szCs w:val="28"/>
        </w:rPr>
        <w:t xml:space="preserve"> la prestación del servicio,</w:t>
      </w:r>
      <w:r w:rsidR="00C70808" w:rsidRPr="00274507">
        <w:rPr>
          <w:sz w:val="28"/>
          <w:szCs w:val="28"/>
        </w:rPr>
        <w:t xml:space="preserve"> demora injustificada por parte de la EPS e IPS</w:t>
      </w:r>
      <w:r w:rsidR="008402D9" w:rsidRPr="00274507">
        <w:rPr>
          <w:sz w:val="28"/>
          <w:szCs w:val="28"/>
        </w:rPr>
        <w:t xml:space="preserve"> o porque</w:t>
      </w:r>
      <w:r w:rsidR="007E06DF" w:rsidRPr="00274507">
        <w:rPr>
          <w:sz w:val="28"/>
          <w:szCs w:val="28"/>
        </w:rPr>
        <w:t xml:space="preserve"> </w:t>
      </w:r>
      <w:r w:rsidR="00C70808" w:rsidRPr="00274507">
        <w:rPr>
          <w:sz w:val="28"/>
          <w:szCs w:val="28"/>
        </w:rPr>
        <w:t>el pac</w:t>
      </w:r>
      <w:r w:rsidR="00F3065E" w:rsidRPr="00274507">
        <w:rPr>
          <w:sz w:val="28"/>
          <w:szCs w:val="28"/>
        </w:rPr>
        <w:t>iente requiere atención urgente</w:t>
      </w:r>
      <w:r w:rsidR="009A200A" w:rsidRPr="00274507">
        <w:rPr>
          <w:sz w:val="28"/>
          <w:szCs w:val="28"/>
        </w:rPr>
        <w:t>.</w:t>
      </w:r>
    </w:p>
    <w:p w:rsidR="00E9699E" w:rsidRPr="00274507" w:rsidRDefault="00B11CB1" w:rsidP="00274507">
      <w:pPr>
        <w:widowControl w:val="0"/>
        <w:tabs>
          <w:tab w:val="left" w:pos="426"/>
        </w:tabs>
        <w:autoSpaceDE w:val="0"/>
        <w:autoSpaceDN w:val="0"/>
        <w:adjustRightInd w:val="0"/>
        <w:ind w:left="426"/>
        <w:jc w:val="both"/>
        <w:rPr>
          <w:sz w:val="28"/>
          <w:szCs w:val="28"/>
        </w:rPr>
      </w:pPr>
      <w:r w:rsidRPr="00274507">
        <w:rPr>
          <w:sz w:val="28"/>
          <w:szCs w:val="28"/>
        </w:rPr>
        <w:t xml:space="preserve">ii) </w:t>
      </w:r>
      <w:r w:rsidR="001B42EC" w:rsidRPr="00274507">
        <w:rPr>
          <w:sz w:val="28"/>
          <w:szCs w:val="28"/>
        </w:rPr>
        <w:t>L</w:t>
      </w:r>
      <w:r w:rsidRPr="00274507">
        <w:rPr>
          <w:sz w:val="28"/>
          <w:szCs w:val="28"/>
        </w:rPr>
        <w:t>a oferta de profesionales</w:t>
      </w:r>
      <w:r w:rsidR="00C76FF1" w:rsidRPr="00274507">
        <w:rPr>
          <w:sz w:val="28"/>
          <w:szCs w:val="28"/>
        </w:rPr>
        <w:t xml:space="preserve"> </w:t>
      </w:r>
      <w:r w:rsidR="00EB5AD5" w:rsidRPr="00274507">
        <w:rPr>
          <w:sz w:val="28"/>
          <w:szCs w:val="28"/>
        </w:rPr>
        <w:t>es reducida</w:t>
      </w:r>
      <w:r w:rsidR="00567D24" w:rsidRPr="00274507">
        <w:rPr>
          <w:sz w:val="28"/>
          <w:szCs w:val="28"/>
        </w:rPr>
        <w:t xml:space="preserve"> lo que impacta directamente en la continuidad y oportunidad de los tratamientos requeridos por </w:t>
      </w:r>
      <w:r w:rsidR="00EB5AD5" w:rsidRPr="00274507">
        <w:rPr>
          <w:sz w:val="28"/>
          <w:szCs w:val="28"/>
        </w:rPr>
        <w:t xml:space="preserve">parte de </w:t>
      </w:r>
      <w:r w:rsidRPr="00274507">
        <w:rPr>
          <w:sz w:val="28"/>
          <w:szCs w:val="28"/>
        </w:rPr>
        <w:t>los pacientes</w:t>
      </w:r>
      <w:r w:rsidR="00E9699E" w:rsidRPr="00274507">
        <w:rPr>
          <w:rStyle w:val="Refdenotaalpie"/>
          <w:sz w:val="28"/>
          <w:szCs w:val="28"/>
        </w:rPr>
        <w:footnoteReference w:id="68"/>
      </w:r>
      <w:r w:rsidR="00E9699E" w:rsidRPr="00274507">
        <w:rPr>
          <w:sz w:val="28"/>
          <w:szCs w:val="28"/>
        </w:rPr>
        <w:t xml:space="preserve">.  </w:t>
      </w:r>
    </w:p>
    <w:p w:rsidR="00D517CB" w:rsidRPr="00274507" w:rsidRDefault="00B11CB1" w:rsidP="00274507">
      <w:pPr>
        <w:widowControl w:val="0"/>
        <w:tabs>
          <w:tab w:val="left" w:pos="426"/>
        </w:tabs>
        <w:autoSpaceDE w:val="0"/>
        <w:autoSpaceDN w:val="0"/>
        <w:adjustRightInd w:val="0"/>
        <w:ind w:left="426"/>
        <w:jc w:val="both"/>
        <w:rPr>
          <w:sz w:val="28"/>
          <w:szCs w:val="28"/>
        </w:rPr>
      </w:pPr>
      <w:r w:rsidRPr="00274507">
        <w:rPr>
          <w:sz w:val="28"/>
          <w:szCs w:val="28"/>
        </w:rPr>
        <w:t>iii) I</w:t>
      </w:r>
      <w:r w:rsidR="00E9699E" w:rsidRPr="00274507">
        <w:rPr>
          <w:sz w:val="28"/>
          <w:szCs w:val="28"/>
        </w:rPr>
        <w:t>nsuficiencia de red</w:t>
      </w:r>
      <w:r w:rsidR="00E9699E" w:rsidRPr="00274507">
        <w:rPr>
          <w:rStyle w:val="Refdenotaalpie"/>
          <w:sz w:val="28"/>
          <w:szCs w:val="28"/>
        </w:rPr>
        <w:footnoteReference w:id="69"/>
      </w:r>
      <w:r w:rsidR="00E9699E" w:rsidRPr="00274507">
        <w:rPr>
          <w:sz w:val="28"/>
          <w:szCs w:val="28"/>
        </w:rPr>
        <w:t xml:space="preserve">. </w:t>
      </w:r>
      <w:r w:rsidR="00A06429" w:rsidRPr="00274507">
        <w:rPr>
          <w:sz w:val="28"/>
          <w:szCs w:val="28"/>
        </w:rPr>
        <w:t xml:space="preserve"> </w:t>
      </w:r>
    </w:p>
    <w:p w:rsidR="00B01D39" w:rsidRPr="00274507" w:rsidRDefault="00B01D39" w:rsidP="00274507">
      <w:pPr>
        <w:widowControl w:val="0"/>
        <w:tabs>
          <w:tab w:val="left" w:pos="426"/>
        </w:tabs>
        <w:autoSpaceDE w:val="0"/>
        <w:autoSpaceDN w:val="0"/>
        <w:adjustRightInd w:val="0"/>
        <w:ind w:left="426"/>
        <w:jc w:val="both"/>
        <w:rPr>
          <w:sz w:val="28"/>
          <w:szCs w:val="28"/>
        </w:rPr>
      </w:pPr>
    </w:p>
    <w:p w:rsidR="00060E4E"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.6</w:t>
      </w:r>
      <w:r w:rsidR="001B42EC" w:rsidRPr="00274507">
        <w:rPr>
          <w:sz w:val="28"/>
          <w:szCs w:val="28"/>
        </w:rPr>
        <w:t>.1.4. Respecto a los s</w:t>
      </w:r>
      <w:r w:rsidR="00D517CB" w:rsidRPr="00274507">
        <w:rPr>
          <w:sz w:val="28"/>
          <w:szCs w:val="28"/>
        </w:rPr>
        <w:t>ervicios prescritos por profesionales que no hacen parte de la red</w:t>
      </w:r>
      <w:r w:rsidR="001B42EC" w:rsidRPr="00274507">
        <w:rPr>
          <w:sz w:val="28"/>
          <w:szCs w:val="28"/>
        </w:rPr>
        <w:t xml:space="preserve"> advirtieron lo siguiente</w:t>
      </w:r>
      <w:r w:rsidR="000D629B" w:rsidRPr="00274507">
        <w:rPr>
          <w:sz w:val="28"/>
          <w:szCs w:val="28"/>
        </w:rPr>
        <w:t>:</w:t>
      </w:r>
    </w:p>
    <w:p w:rsidR="002E5F57" w:rsidRPr="00274507" w:rsidRDefault="002E5F57" w:rsidP="00274507">
      <w:pPr>
        <w:widowControl w:val="0"/>
        <w:tabs>
          <w:tab w:val="left" w:pos="426"/>
        </w:tabs>
        <w:autoSpaceDE w:val="0"/>
        <w:autoSpaceDN w:val="0"/>
        <w:adjustRightInd w:val="0"/>
        <w:jc w:val="both"/>
        <w:rPr>
          <w:sz w:val="28"/>
          <w:szCs w:val="28"/>
        </w:rPr>
      </w:pPr>
    </w:p>
    <w:p w:rsidR="00D517CB" w:rsidRPr="00274507" w:rsidRDefault="00656429" w:rsidP="00274507">
      <w:pPr>
        <w:widowControl w:val="0"/>
        <w:tabs>
          <w:tab w:val="left" w:pos="426"/>
        </w:tabs>
        <w:autoSpaceDE w:val="0"/>
        <w:autoSpaceDN w:val="0"/>
        <w:adjustRightInd w:val="0"/>
        <w:ind w:left="426"/>
        <w:jc w:val="both"/>
        <w:rPr>
          <w:sz w:val="28"/>
          <w:szCs w:val="28"/>
        </w:rPr>
      </w:pPr>
      <w:r w:rsidRPr="00274507">
        <w:rPr>
          <w:sz w:val="28"/>
          <w:szCs w:val="28"/>
        </w:rPr>
        <w:t>i) N</w:t>
      </w:r>
      <w:r w:rsidR="00D517CB" w:rsidRPr="00274507">
        <w:rPr>
          <w:sz w:val="28"/>
          <w:szCs w:val="28"/>
        </w:rPr>
        <w:t>o comparte</w:t>
      </w:r>
      <w:r w:rsidR="001B42EC" w:rsidRPr="00274507">
        <w:rPr>
          <w:sz w:val="28"/>
          <w:szCs w:val="28"/>
        </w:rPr>
        <w:t>n</w:t>
      </w:r>
      <w:r w:rsidR="007A06F4" w:rsidRPr="00274507">
        <w:rPr>
          <w:sz w:val="28"/>
          <w:szCs w:val="28"/>
        </w:rPr>
        <w:t xml:space="preserve"> los parámetros utilizados para la medida, respecto a las EPS que negar</w:t>
      </w:r>
      <w:r w:rsidR="00D517CB" w:rsidRPr="00274507">
        <w:rPr>
          <w:sz w:val="28"/>
          <w:szCs w:val="28"/>
        </w:rPr>
        <w:t>o</w:t>
      </w:r>
      <w:r w:rsidR="007A06F4" w:rsidRPr="00274507">
        <w:rPr>
          <w:sz w:val="28"/>
          <w:szCs w:val="28"/>
        </w:rPr>
        <w:t>n en forma considerable</w:t>
      </w:r>
      <w:r w:rsidR="00D517CB" w:rsidRPr="00274507">
        <w:rPr>
          <w:sz w:val="28"/>
          <w:szCs w:val="28"/>
        </w:rPr>
        <w:t xml:space="preserve"> servicios </w:t>
      </w:r>
      <w:r w:rsidR="007A06F4" w:rsidRPr="00274507">
        <w:rPr>
          <w:sz w:val="28"/>
          <w:szCs w:val="28"/>
        </w:rPr>
        <w:t>no POS ordenados</w:t>
      </w:r>
      <w:r w:rsidR="00D517CB" w:rsidRPr="00274507">
        <w:rPr>
          <w:sz w:val="28"/>
          <w:szCs w:val="28"/>
        </w:rPr>
        <w:t xml:space="preserve"> por profesionales no adscritos</w:t>
      </w:r>
      <w:r w:rsidR="007A06F4" w:rsidRPr="00274507">
        <w:rPr>
          <w:sz w:val="28"/>
          <w:szCs w:val="28"/>
        </w:rPr>
        <w:t xml:space="preserve"> a la red</w:t>
      </w:r>
      <w:r w:rsidR="00E9699E" w:rsidRPr="00274507">
        <w:rPr>
          <w:rStyle w:val="Refdenotaalpie"/>
          <w:sz w:val="28"/>
          <w:szCs w:val="28"/>
        </w:rPr>
        <w:footnoteReference w:id="70"/>
      </w:r>
      <w:r w:rsidR="00D517CB" w:rsidRPr="00274507">
        <w:rPr>
          <w:sz w:val="28"/>
          <w:szCs w:val="28"/>
        </w:rPr>
        <w:t>.</w:t>
      </w:r>
    </w:p>
    <w:p w:rsidR="000D629B" w:rsidRPr="00274507" w:rsidRDefault="007E06DF" w:rsidP="00274507">
      <w:pPr>
        <w:widowControl w:val="0"/>
        <w:tabs>
          <w:tab w:val="left" w:pos="426"/>
        </w:tabs>
        <w:autoSpaceDE w:val="0"/>
        <w:autoSpaceDN w:val="0"/>
        <w:adjustRightInd w:val="0"/>
        <w:ind w:left="426"/>
        <w:jc w:val="both"/>
        <w:rPr>
          <w:sz w:val="28"/>
          <w:szCs w:val="28"/>
        </w:rPr>
      </w:pPr>
      <w:r w:rsidRPr="00274507">
        <w:rPr>
          <w:sz w:val="28"/>
          <w:szCs w:val="28"/>
        </w:rPr>
        <w:t xml:space="preserve">ii) </w:t>
      </w:r>
      <w:r w:rsidR="001B42EC" w:rsidRPr="00274507">
        <w:rPr>
          <w:sz w:val="28"/>
          <w:szCs w:val="28"/>
        </w:rPr>
        <w:t>En cuanto a los m</w:t>
      </w:r>
      <w:r w:rsidRPr="00274507">
        <w:rPr>
          <w:sz w:val="28"/>
          <w:szCs w:val="28"/>
        </w:rPr>
        <w:t>edicamentos</w:t>
      </w:r>
      <w:r w:rsidR="001B42EC" w:rsidRPr="00274507">
        <w:rPr>
          <w:sz w:val="28"/>
          <w:szCs w:val="28"/>
        </w:rPr>
        <w:t xml:space="preserve"> de marca </w:t>
      </w:r>
      <w:r w:rsidR="00D517CB" w:rsidRPr="00274507">
        <w:rPr>
          <w:sz w:val="28"/>
          <w:szCs w:val="28"/>
        </w:rPr>
        <w:t>enunciaron dos aspectos: i) la norma exige que el médico formule con el nombre del principio activo y</w:t>
      </w:r>
      <w:r w:rsidR="007A06F4" w:rsidRPr="00274507">
        <w:rPr>
          <w:sz w:val="28"/>
          <w:szCs w:val="28"/>
        </w:rPr>
        <w:t>a que</w:t>
      </w:r>
      <w:r w:rsidR="00D517CB" w:rsidRPr="00274507">
        <w:rPr>
          <w:sz w:val="28"/>
          <w:szCs w:val="28"/>
        </w:rPr>
        <w:t xml:space="preserve"> la lista del POS se basa en esta denominación común internacional; y ii) la solicitud explícita de una marca </w:t>
      </w:r>
      <w:r w:rsidR="007E1EC2" w:rsidRPr="00274507">
        <w:rPr>
          <w:sz w:val="28"/>
          <w:szCs w:val="28"/>
        </w:rPr>
        <w:t xml:space="preserve">hace que </w:t>
      </w:r>
      <w:r w:rsidR="00D517CB" w:rsidRPr="00274507">
        <w:rPr>
          <w:sz w:val="28"/>
          <w:szCs w:val="28"/>
        </w:rPr>
        <w:t>el medicamento</w:t>
      </w:r>
      <w:r w:rsidR="007E1EC2" w:rsidRPr="00274507">
        <w:rPr>
          <w:sz w:val="28"/>
          <w:szCs w:val="28"/>
        </w:rPr>
        <w:t xml:space="preserve"> clasifica</w:t>
      </w:r>
      <w:r w:rsidR="00D517CB" w:rsidRPr="00274507">
        <w:rPr>
          <w:sz w:val="28"/>
          <w:szCs w:val="28"/>
        </w:rPr>
        <w:t xml:space="preserve"> como no POS aunque su principio activo se encuentre </w:t>
      </w:r>
      <w:r w:rsidR="00E9699E" w:rsidRPr="00274507">
        <w:rPr>
          <w:sz w:val="28"/>
          <w:szCs w:val="28"/>
        </w:rPr>
        <w:t>en el plan obligatorio de salud</w:t>
      </w:r>
      <w:r w:rsidR="00FE77EB" w:rsidRPr="00274507">
        <w:rPr>
          <w:rStyle w:val="Refdenotaalpie"/>
          <w:sz w:val="28"/>
          <w:szCs w:val="28"/>
        </w:rPr>
        <w:footnoteReference w:id="71"/>
      </w:r>
      <w:r w:rsidR="00FE77EB" w:rsidRPr="00274507">
        <w:rPr>
          <w:sz w:val="28"/>
          <w:szCs w:val="28"/>
        </w:rPr>
        <w:t xml:space="preserve">. </w:t>
      </w:r>
    </w:p>
    <w:p w:rsidR="00F3065E" w:rsidRPr="00274507" w:rsidRDefault="00F3065E" w:rsidP="00274507">
      <w:pPr>
        <w:widowControl w:val="0"/>
        <w:tabs>
          <w:tab w:val="left" w:pos="426"/>
        </w:tabs>
        <w:autoSpaceDE w:val="0"/>
        <w:autoSpaceDN w:val="0"/>
        <w:adjustRightInd w:val="0"/>
        <w:ind w:left="426"/>
        <w:jc w:val="both"/>
        <w:rPr>
          <w:b/>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.6</w:t>
      </w:r>
      <w:r w:rsidR="000D629B" w:rsidRPr="00274507">
        <w:rPr>
          <w:sz w:val="28"/>
          <w:szCs w:val="28"/>
        </w:rPr>
        <w:t xml:space="preserve">.2. </w:t>
      </w:r>
      <w:r w:rsidR="00C76FF1" w:rsidRPr="00274507">
        <w:rPr>
          <w:sz w:val="28"/>
          <w:szCs w:val="28"/>
        </w:rPr>
        <w:t>El 19 de julio de 2013</w:t>
      </w:r>
      <w:r w:rsidR="001B42EC" w:rsidRPr="00274507">
        <w:rPr>
          <w:rStyle w:val="Refdenotaalpie"/>
          <w:sz w:val="28"/>
          <w:szCs w:val="28"/>
        </w:rPr>
        <w:footnoteReference w:id="72"/>
      </w:r>
      <w:r w:rsidR="00C76FF1" w:rsidRPr="00274507">
        <w:rPr>
          <w:sz w:val="28"/>
          <w:szCs w:val="28"/>
        </w:rPr>
        <w:t xml:space="preserve"> </w:t>
      </w:r>
      <w:r w:rsidR="0053015D" w:rsidRPr="00274507">
        <w:rPr>
          <w:sz w:val="28"/>
          <w:szCs w:val="28"/>
        </w:rPr>
        <w:t>el “</w:t>
      </w:r>
      <w:r w:rsidR="00C76FF1" w:rsidRPr="00274507">
        <w:rPr>
          <w:i/>
          <w:sz w:val="28"/>
          <w:szCs w:val="28"/>
        </w:rPr>
        <w:t>Proyecto Así Vamos en Salud</w:t>
      </w:r>
      <w:r w:rsidR="0053015D" w:rsidRPr="00274507">
        <w:rPr>
          <w:sz w:val="28"/>
          <w:szCs w:val="28"/>
        </w:rPr>
        <w:t>” las observaciones respecto al quinto informe y</w:t>
      </w:r>
      <w:r w:rsidR="00EC5A39" w:rsidRPr="00274507">
        <w:rPr>
          <w:sz w:val="28"/>
          <w:szCs w:val="28"/>
        </w:rPr>
        <w:t xml:space="preserve"> </w:t>
      </w:r>
      <w:r w:rsidR="00656429" w:rsidRPr="00274507">
        <w:rPr>
          <w:sz w:val="28"/>
          <w:szCs w:val="28"/>
        </w:rPr>
        <w:t>recomend</w:t>
      </w:r>
      <w:r w:rsidR="00EC5A39" w:rsidRPr="00274507">
        <w:rPr>
          <w:sz w:val="28"/>
          <w:szCs w:val="28"/>
        </w:rPr>
        <w:t>ó</w:t>
      </w:r>
      <w:r w:rsidR="00656429" w:rsidRPr="00274507">
        <w:rPr>
          <w:sz w:val="28"/>
          <w:szCs w:val="28"/>
        </w:rPr>
        <w:t xml:space="preserve"> algunos parámetros que posiblemente podía aplicar el Ministerio sobre los indicadores </w:t>
      </w:r>
      <w:r w:rsidR="00EC5A39" w:rsidRPr="00274507">
        <w:rPr>
          <w:sz w:val="28"/>
          <w:szCs w:val="28"/>
        </w:rPr>
        <w:t xml:space="preserve"> </w:t>
      </w:r>
      <w:r w:rsidR="00480DC8" w:rsidRPr="00274507">
        <w:rPr>
          <w:sz w:val="28"/>
          <w:szCs w:val="28"/>
        </w:rPr>
        <w:t>sobre</w:t>
      </w:r>
      <w:r w:rsidR="00EC5A39" w:rsidRPr="00274507">
        <w:rPr>
          <w:sz w:val="28"/>
          <w:szCs w:val="28"/>
        </w:rPr>
        <w:t xml:space="preserve"> el</w:t>
      </w:r>
      <w:r w:rsidR="00480DC8" w:rsidRPr="00274507">
        <w:rPr>
          <w:sz w:val="28"/>
          <w:szCs w:val="28"/>
        </w:rPr>
        <w:t xml:space="preserve"> goce efectivo del derecho a la salud</w:t>
      </w:r>
      <w:r w:rsidR="007E06DF" w:rsidRPr="00274507">
        <w:rPr>
          <w:rStyle w:val="Refdenotaalpie"/>
          <w:sz w:val="28"/>
          <w:szCs w:val="28"/>
        </w:rPr>
        <w:footnoteReference w:id="73"/>
      </w:r>
      <w:r w:rsidR="007E06DF" w:rsidRPr="00274507">
        <w:rPr>
          <w:sz w:val="28"/>
          <w:szCs w:val="28"/>
        </w:rPr>
        <w:t>.</w:t>
      </w:r>
    </w:p>
    <w:p w:rsidR="0052613C" w:rsidRPr="00274507" w:rsidRDefault="0052613C" w:rsidP="00274507">
      <w:pPr>
        <w:widowControl w:val="0"/>
        <w:tabs>
          <w:tab w:val="left" w:pos="426"/>
        </w:tabs>
        <w:autoSpaceDE w:val="0"/>
        <w:autoSpaceDN w:val="0"/>
        <w:adjustRightInd w:val="0"/>
        <w:jc w:val="both"/>
        <w:rPr>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.6</w:t>
      </w:r>
      <w:r w:rsidR="000D629B" w:rsidRPr="00274507">
        <w:rPr>
          <w:sz w:val="28"/>
          <w:szCs w:val="28"/>
        </w:rPr>
        <w:t xml:space="preserve">.3. </w:t>
      </w:r>
      <w:r w:rsidR="005F5645" w:rsidRPr="00274507">
        <w:rPr>
          <w:sz w:val="28"/>
          <w:szCs w:val="28"/>
        </w:rPr>
        <w:t>E</w:t>
      </w:r>
      <w:r w:rsidR="00C76FF1" w:rsidRPr="00274507">
        <w:rPr>
          <w:sz w:val="28"/>
          <w:szCs w:val="28"/>
        </w:rPr>
        <w:t>l 25 de julio de 2013</w:t>
      </w:r>
      <w:r w:rsidR="001B42EC" w:rsidRPr="00274507">
        <w:rPr>
          <w:rStyle w:val="Refdenotaalpie"/>
          <w:sz w:val="28"/>
          <w:szCs w:val="28"/>
        </w:rPr>
        <w:footnoteReference w:id="74"/>
      </w:r>
      <w:r w:rsidR="001B42EC" w:rsidRPr="00274507">
        <w:rPr>
          <w:sz w:val="28"/>
          <w:szCs w:val="28"/>
        </w:rPr>
        <w:t xml:space="preserve"> </w:t>
      </w:r>
      <w:r w:rsidR="00C76FF1" w:rsidRPr="00274507">
        <w:rPr>
          <w:sz w:val="28"/>
          <w:szCs w:val="28"/>
        </w:rPr>
        <w:t xml:space="preserve"> la </w:t>
      </w:r>
      <w:r w:rsidR="00A904F1" w:rsidRPr="00274507">
        <w:rPr>
          <w:sz w:val="28"/>
          <w:szCs w:val="28"/>
        </w:rPr>
        <w:t>Comisión de Seguimiento a la sentencia T-760 de 2008 y de reforma estructural del Siste</w:t>
      </w:r>
      <w:r w:rsidR="00E01A25" w:rsidRPr="00274507">
        <w:rPr>
          <w:sz w:val="28"/>
          <w:szCs w:val="28"/>
        </w:rPr>
        <w:t>ma de Salud y Seguridad Social -</w:t>
      </w:r>
      <w:r w:rsidR="00A904F1" w:rsidRPr="00274507">
        <w:rPr>
          <w:sz w:val="28"/>
          <w:szCs w:val="28"/>
        </w:rPr>
        <w:t>CSR</w:t>
      </w:r>
      <w:r w:rsidR="00222E2B" w:rsidRPr="00274507">
        <w:rPr>
          <w:sz w:val="28"/>
          <w:szCs w:val="28"/>
        </w:rPr>
        <w:t xml:space="preserve">- </w:t>
      </w:r>
      <w:r w:rsidR="00656429" w:rsidRPr="00274507">
        <w:rPr>
          <w:sz w:val="28"/>
          <w:szCs w:val="28"/>
        </w:rPr>
        <w:t xml:space="preserve">y Fundación para </w:t>
      </w:r>
      <w:r w:rsidR="00A904F1" w:rsidRPr="00274507">
        <w:rPr>
          <w:sz w:val="28"/>
          <w:szCs w:val="28"/>
        </w:rPr>
        <w:t xml:space="preserve">la Investigación y Desarrollo </w:t>
      </w:r>
      <w:r w:rsidR="00E01A25" w:rsidRPr="00274507">
        <w:rPr>
          <w:sz w:val="28"/>
          <w:szCs w:val="28"/>
        </w:rPr>
        <w:t>de la Salud y Seguridad Social -</w:t>
      </w:r>
      <w:r w:rsidR="00A904F1" w:rsidRPr="00274507">
        <w:rPr>
          <w:sz w:val="28"/>
          <w:szCs w:val="28"/>
        </w:rPr>
        <w:t xml:space="preserve">Fedesalud- </w:t>
      </w:r>
      <w:r w:rsidR="00C76FF1" w:rsidRPr="00274507">
        <w:rPr>
          <w:sz w:val="28"/>
          <w:szCs w:val="28"/>
        </w:rPr>
        <w:t>presentaron concepto</w:t>
      </w:r>
      <w:r w:rsidR="001B42EC" w:rsidRPr="00274507">
        <w:rPr>
          <w:sz w:val="28"/>
          <w:szCs w:val="28"/>
        </w:rPr>
        <w:t xml:space="preserve"> </w:t>
      </w:r>
      <w:r w:rsidR="00290B21" w:rsidRPr="00274507">
        <w:rPr>
          <w:sz w:val="28"/>
          <w:szCs w:val="28"/>
        </w:rPr>
        <w:t>de forma conjunta</w:t>
      </w:r>
      <w:r w:rsidR="00F04D21" w:rsidRPr="00274507">
        <w:rPr>
          <w:sz w:val="28"/>
          <w:szCs w:val="28"/>
        </w:rPr>
        <w:t xml:space="preserve">. </w:t>
      </w:r>
      <w:r w:rsidR="00FE77EB" w:rsidRPr="00274507">
        <w:rPr>
          <w:sz w:val="28"/>
          <w:szCs w:val="28"/>
        </w:rPr>
        <w:t xml:space="preserve">Indicaron </w:t>
      </w:r>
      <w:r w:rsidR="00CF7E51" w:rsidRPr="00274507">
        <w:rPr>
          <w:sz w:val="28"/>
          <w:szCs w:val="28"/>
        </w:rPr>
        <w:t xml:space="preserve">que </w:t>
      </w:r>
      <w:r w:rsidR="00222E2B" w:rsidRPr="00274507">
        <w:rPr>
          <w:sz w:val="28"/>
          <w:szCs w:val="28"/>
        </w:rPr>
        <w:t>en el informe se identific</w:t>
      </w:r>
      <w:r w:rsidR="00B7681C" w:rsidRPr="00274507">
        <w:rPr>
          <w:sz w:val="28"/>
          <w:szCs w:val="28"/>
        </w:rPr>
        <w:t>aron</w:t>
      </w:r>
      <w:r w:rsidR="00222E2B" w:rsidRPr="00274507">
        <w:rPr>
          <w:sz w:val="28"/>
          <w:szCs w:val="28"/>
        </w:rPr>
        <w:t xml:space="preserve"> la</w:t>
      </w:r>
      <w:r w:rsidR="0008623E" w:rsidRPr="00274507">
        <w:rPr>
          <w:sz w:val="28"/>
          <w:szCs w:val="28"/>
        </w:rPr>
        <w:t>s</w:t>
      </w:r>
      <w:r w:rsidR="00222E2B" w:rsidRPr="00274507">
        <w:rPr>
          <w:sz w:val="28"/>
          <w:szCs w:val="28"/>
        </w:rPr>
        <w:t xml:space="preserve"> categoría</w:t>
      </w:r>
      <w:r w:rsidR="0008623E" w:rsidRPr="00274507">
        <w:rPr>
          <w:sz w:val="28"/>
          <w:szCs w:val="28"/>
        </w:rPr>
        <w:t>s</w:t>
      </w:r>
      <w:r w:rsidR="00222E2B" w:rsidRPr="00274507">
        <w:rPr>
          <w:sz w:val="28"/>
          <w:szCs w:val="28"/>
        </w:rPr>
        <w:t xml:space="preserve"> de solicitud por tratamiento integral </w:t>
      </w:r>
      <w:r w:rsidR="0008623E" w:rsidRPr="00274507">
        <w:rPr>
          <w:sz w:val="28"/>
          <w:szCs w:val="28"/>
        </w:rPr>
        <w:t>que correspondi</w:t>
      </w:r>
      <w:r w:rsidR="00B7681C" w:rsidRPr="00274507">
        <w:rPr>
          <w:sz w:val="28"/>
          <w:szCs w:val="28"/>
        </w:rPr>
        <w:t>eron</w:t>
      </w:r>
      <w:r w:rsidR="0008623E" w:rsidRPr="00274507">
        <w:rPr>
          <w:sz w:val="28"/>
          <w:szCs w:val="28"/>
        </w:rPr>
        <w:t xml:space="preserve"> al </w:t>
      </w:r>
      <w:r w:rsidR="00B7681C" w:rsidRPr="00274507">
        <w:rPr>
          <w:sz w:val="28"/>
          <w:szCs w:val="28"/>
        </w:rPr>
        <w:t>23</w:t>
      </w:r>
      <w:r w:rsidR="00C76FF1" w:rsidRPr="00274507">
        <w:rPr>
          <w:sz w:val="28"/>
          <w:szCs w:val="28"/>
        </w:rPr>
        <w:t>% de las</w:t>
      </w:r>
      <w:r w:rsidR="00CF7E51" w:rsidRPr="00274507">
        <w:rPr>
          <w:sz w:val="28"/>
          <w:szCs w:val="28"/>
        </w:rPr>
        <w:t xml:space="preserve"> tutelas</w:t>
      </w:r>
      <w:r w:rsidR="0008623E" w:rsidRPr="00274507">
        <w:rPr>
          <w:sz w:val="28"/>
          <w:szCs w:val="28"/>
        </w:rPr>
        <w:t xml:space="preserve"> analizadas, otra</w:t>
      </w:r>
      <w:r w:rsidR="00C76FF1" w:rsidRPr="00274507">
        <w:rPr>
          <w:sz w:val="28"/>
          <w:szCs w:val="28"/>
        </w:rPr>
        <w:t xml:space="preserve"> </w:t>
      </w:r>
      <w:r w:rsidR="00CF7E51" w:rsidRPr="00274507">
        <w:rPr>
          <w:sz w:val="28"/>
          <w:szCs w:val="28"/>
        </w:rPr>
        <w:t xml:space="preserve"> por servicios no contenidos en el POS </w:t>
      </w:r>
      <w:r w:rsidR="0008623E" w:rsidRPr="00274507">
        <w:rPr>
          <w:sz w:val="28"/>
          <w:szCs w:val="28"/>
        </w:rPr>
        <w:t xml:space="preserve">con el 28% </w:t>
      </w:r>
      <w:r w:rsidR="00C76FF1" w:rsidRPr="00274507">
        <w:rPr>
          <w:sz w:val="28"/>
          <w:szCs w:val="28"/>
        </w:rPr>
        <w:t xml:space="preserve">y </w:t>
      </w:r>
      <w:r w:rsidR="00CF7E51" w:rsidRPr="00274507">
        <w:rPr>
          <w:sz w:val="28"/>
          <w:szCs w:val="28"/>
        </w:rPr>
        <w:t>por contenidos en el POS</w:t>
      </w:r>
      <w:r w:rsidR="0008623E" w:rsidRPr="00274507">
        <w:rPr>
          <w:sz w:val="28"/>
          <w:szCs w:val="28"/>
        </w:rPr>
        <w:t xml:space="preserve"> con el 42%</w:t>
      </w:r>
      <w:r w:rsidR="00F3065E" w:rsidRPr="00274507">
        <w:rPr>
          <w:sz w:val="28"/>
          <w:szCs w:val="28"/>
        </w:rPr>
        <w:t>. A</w:t>
      </w:r>
      <w:r w:rsidR="00B7681C" w:rsidRPr="00274507">
        <w:rPr>
          <w:sz w:val="28"/>
          <w:szCs w:val="28"/>
        </w:rPr>
        <w:t>sí mismo, que</w:t>
      </w:r>
      <w:r w:rsidR="0008623E" w:rsidRPr="00274507">
        <w:rPr>
          <w:sz w:val="28"/>
          <w:szCs w:val="28"/>
        </w:rPr>
        <w:t xml:space="preserve"> </w:t>
      </w:r>
      <w:r w:rsidR="00CF7E51" w:rsidRPr="00274507">
        <w:rPr>
          <w:sz w:val="28"/>
          <w:szCs w:val="28"/>
        </w:rPr>
        <w:t>el</w:t>
      </w:r>
      <w:r w:rsidR="00B7681C" w:rsidRPr="00274507">
        <w:rPr>
          <w:sz w:val="28"/>
          <w:szCs w:val="28"/>
        </w:rPr>
        <w:t xml:space="preserve"> problema general que se reclamó</w:t>
      </w:r>
      <w:r w:rsidR="00CF7E51" w:rsidRPr="00274507">
        <w:rPr>
          <w:sz w:val="28"/>
          <w:szCs w:val="28"/>
        </w:rPr>
        <w:t xml:space="preserve"> con mayor frecuencia </w:t>
      </w:r>
      <w:r w:rsidR="00B7681C" w:rsidRPr="00274507">
        <w:rPr>
          <w:sz w:val="28"/>
          <w:szCs w:val="28"/>
        </w:rPr>
        <w:t xml:space="preserve">fue por </w:t>
      </w:r>
      <w:r w:rsidR="00CF7E51" w:rsidRPr="00274507">
        <w:rPr>
          <w:sz w:val="28"/>
          <w:szCs w:val="28"/>
        </w:rPr>
        <w:t>“…</w:t>
      </w:r>
      <w:r w:rsidR="00C76FF1" w:rsidRPr="00274507">
        <w:rPr>
          <w:i/>
          <w:sz w:val="28"/>
          <w:szCs w:val="28"/>
        </w:rPr>
        <w:t>tutelas que demandan servicios No contenidos en el Plan Obligatorio de Salud (51%), seguidos por tutelas que demandan servicios contenidos… (42%)…”</w:t>
      </w:r>
      <w:r w:rsidR="0076194F" w:rsidRPr="00274507">
        <w:rPr>
          <w:sz w:val="28"/>
          <w:szCs w:val="28"/>
        </w:rPr>
        <w:t>, pero la afirmación respecto a los contenidos no pos requeridos, resulta disímil</w:t>
      </w:r>
      <w:r w:rsidR="00B7681C" w:rsidRPr="00274507">
        <w:rPr>
          <w:sz w:val="28"/>
          <w:szCs w:val="28"/>
        </w:rPr>
        <w:t>.</w:t>
      </w:r>
    </w:p>
    <w:p w:rsidR="000D629B" w:rsidRPr="00274507" w:rsidRDefault="000D629B" w:rsidP="00274507">
      <w:pPr>
        <w:widowControl w:val="0"/>
        <w:tabs>
          <w:tab w:val="left" w:pos="426"/>
        </w:tabs>
        <w:autoSpaceDE w:val="0"/>
        <w:autoSpaceDN w:val="0"/>
        <w:adjustRightInd w:val="0"/>
        <w:jc w:val="both"/>
        <w:rPr>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.7</w:t>
      </w:r>
      <w:r w:rsidR="000D629B" w:rsidRPr="00274507">
        <w:rPr>
          <w:sz w:val="28"/>
          <w:szCs w:val="28"/>
        </w:rPr>
        <w:t xml:space="preserve">. </w:t>
      </w:r>
      <w:r w:rsidR="00C76FF1" w:rsidRPr="00274507">
        <w:rPr>
          <w:sz w:val="28"/>
          <w:szCs w:val="28"/>
        </w:rPr>
        <w:t xml:space="preserve">Mediante </w:t>
      </w:r>
      <w:r w:rsidR="00C76FF1" w:rsidRPr="00274507">
        <w:rPr>
          <w:b/>
          <w:sz w:val="28"/>
          <w:szCs w:val="28"/>
        </w:rPr>
        <w:t>Auto de 30 de julio de 2013</w:t>
      </w:r>
      <w:r w:rsidR="00C76FF1" w:rsidRPr="00274507">
        <w:rPr>
          <w:sz w:val="28"/>
          <w:szCs w:val="28"/>
        </w:rPr>
        <w:t>, esta Corte requir</w:t>
      </w:r>
      <w:r w:rsidR="0076194F" w:rsidRPr="00274507">
        <w:rPr>
          <w:sz w:val="28"/>
          <w:szCs w:val="28"/>
        </w:rPr>
        <w:t xml:space="preserve">ió al Ministerio </w:t>
      </w:r>
      <w:r w:rsidR="00C76FF1" w:rsidRPr="00274507">
        <w:rPr>
          <w:sz w:val="28"/>
          <w:szCs w:val="28"/>
        </w:rPr>
        <w:t>de Salud con el fin de que suministrara información detallada respecto de la solicitud de a</w:t>
      </w:r>
      <w:r w:rsidR="0076194F" w:rsidRPr="00274507">
        <w:rPr>
          <w:sz w:val="28"/>
          <w:szCs w:val="28"/>
        </w:rPr>
        <w:t>utorización de ingreso de varios</w:t>
      </w:r>
      <w:r w:rsidR="00C76FF1" w:rsidRPr="00274507">
        <w:rPr>
          <w:sz w:val="28"/>
          <w:szCs w:val="28"/>
        </w:rPr>
        <w:t xml:space="preserve"> investigadores</w:t>
      </w:r>
      <w:r w:rsidR="006505A6" w:rsidRPr="00274507">
        <w:rPr>
          <w:sz w:val="28"/>
          <w:szCs w:val="28"/>
        </w:rPr>
        <w:t xml:space="preserve"> contratados</w:t>
      </w:r>
      <w:r w:rsidR="00C76FF1" w:rsidRPr="00274507">
        <w:rPr>
          <w:sz w:val="28"/>
          <w:szCs w:val="28"/>
        </w:rPr>
        <w:t xml:space="preserve"> para “</w:t>
      </w:r>
      <w:r w:rsidR="00C76FF1" w:rsidRPr="00274507">
        <w:rPr>
          <w:i/>
          <w:sz w:val="28"/>
          <w:szCs w:val="28"/>
        </w:rPr>
        <w:t>examinar los expedientes que se encuentran en los archivos de la Corte Constitucional</w:t>
      </w:r>
      <w:r w:rsidR="006505A6" w:rsidRPr="00274507">
        <w:rPr>
          <w:sz w:val="28"/>
          <w:szCs w:val="28"/>
        </w:rPr>
        <w:t>”</w:t>
      </w:r>
      <w:r w:rsidR="0076194F" w:rsidRPr="00274507">
        <w:rPr>
          <w:sz w:val="28"/>
          <w:szCs w:val="28"/>
        </w:rPr>
        <w:t xml:space="preserve"> e identificará</w:t>
      </w:r>
      <w:r w:rsidR="006505A6" w:rsidRPr="00274507">
        <w:rPr>
          <w:sz w:val="28"/>
          <w:szCs w:val="28"/>
        </w:rPr>
        <w:t xml:space="preserve"> la información que sería objeto de levantamiento, los datos concretos y la fecha de los registros</w:t>
      </w:r>
      <w:r w:rsidR="00FB670A" w:rsidRPr="00274507">
        <w:rPr>
          <w:sz w:val="28"/>
          <w:szCs w:val="28"/>
        </w:rPr>
        <w:t xml:space="preserve"> que pretendían ser consul</w:t>
      </w:r>
      <w:r w:rsidR="0076194F" w:rsidRPr="00274507">
        <w:rPr>
          <w:sz w:val="28"/>
          <w:szCs w:val="28"/>
        </w:rPr>
        <w:t>tados. Ad</w:t>
      </w:r>
      <w:r w:rsidR="006505A6" w:rsidRPr="00274507">
        <w:rPr>
          <w:sz w:val="28"/>
          <w:szCs w:val="28"/>
        </w:rPr>
        <w:t>emás</w:t>
      </w:r>
      <w:r w:rsidR="00FB670A" w:rsidRPr="00274507">
        <w:rPr>
          <w:sz w:val="28"/>
          <w:szCs w:val="28"/>
        </w:rPr>
        <w:t>,</w:t>
      </w:r>
      <w:r w:rsidR="001B42EC" w:rsidRPr="00274507">
        <w:rPr>
          <w:sz w:val="28"/>
          <w:szCs w:val="28"/>
        </w:rPr>
        <w:t xml:space="preserve"> se le requirió para</w:t>
      </w:r>
      <w:r w:rsidR="006505A6" w:rsidRPr="00274507">
        <w:rPr>
          <w:sz w:val="28"/>
          <w:szCs w:val="28"/>
        </w:rPr>
        <w:t xml:space="preserve"> que </w:t>
      </w:r>
      <w:r w:rsidR="00C76FF1" w:rsidRPr="00274507">
        <w:rPr>
          <w:sz w:val="28"/>
          <w:szCs w:val="28"/>
        </w:rPr>
        <w:t>al</w:t>
      </w:r>
      <w:r w:rsidR="006505A6" w:rsidRPr="00274507">
        <w:rPr>
          <w:sz w:val="28"/>
          <w:szCs w:val="28"/>
        </w:rPr>
        <w:t>legara el formulario que enunció</w:t>
      </w:r>
      <w:r w:rsidR="00C76FF1" w:rsidRPr="00274507">
        <w:rPr>
          <w:sz w:val="28"/>
          <w:szCs w:val="28"/>
        </w:rPr>
        <w:t xml:space="preserve"> en la</w:t>
      </w:r>
      <w:r w:rsidR="006505A6" w:rsidRPr="00274507">
        <w:rPr>
          <w:sz w:val="28"/>
          <w:szCs w:val="28"/>
        </w:rPr>
        <w:t xml:space="preserve"> misma</w:t>
      </w:r>
      <w:r w:rsidR="00C76FF1" w:rsidRPr="00274507">
        <w:rPr>
          <w:sz w:val="28"/>
          <w:szCs w:val="28"/>
        </w:rPr>
        <w:t xml:space="preserve"> petición</w:t>
      </w:r>
      <w:r w:rsidR="006505A6" w:rsidRPr="00274507">
        <w:rPr>
          <w:sz w:val="28"/>
          <w:szCs w:val="28"/>
        </w:rPr>
        <w:t xml:space="preserve"> y la propuesta del</w:t>
      </w:r>
      <w:r w:rsidR="00C76FF1" w:rsidRPr="00274507">
        <w:rPr>
          <w:sz w:val="28"/>
          <w:szCs w:val="28"/>
        </w:rPr>
        <w:t xml:space="preserve"> cronograma </w:t>
      </w:r>
      <w:r w:rsidR="006505A6" w:rsidRPr="00274507">
        <w:rPr>
          <w:sz w:val="28"/>
          <w:szCs w:val="28"/>
        </w:rPr>
        <w:t>de trabajo</w:t>
      </w:r>
      <w:r w:rsidR="00C76FF1" w:rsidRPr="00274507">
        <w:rPr>
          <w:sz w:val="28"/>
          <w:szCs w:val="28"/>
        </w:rPr>
        <w:t>.</w:t>
      </w:r>
    </w:p>
    <w:p w:rsidR="000A51A3" w:rsidRPr="00274507" w:rsidRDefault="000A51A3" w:rsidP="00274507">
      <w:pPr>
        <w:widowControl w:val="0"/>
        <w:tabs>
          <w:tab w:val="left" w:pos="426"/>
        </w:tabs>
        <w:autoSpaceDE w:val="0"/>
        <w:autoSpaceDN w:val="0"/>
        <w:adjustRightInd w:val="0"/>
        <w:jc w:val="both"/>
        <w:rPr>
          <w:sz w:val="28"/>
          <w:szCs w:val="28"/>
        </w:rPr>
      </w:pPr>
    </w:p>
    <w:p w:rsidR="004B5F23"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 xml:space="preserve">El </w:t>
      </w:r>
      <w:r w:rsidR="00C76FF1" w:rsidRPr="00274507">
        <w:rPr>
          <w:sz w:val="28"/>
          <w:szCs w:val="28"/>
        </w:rPr>
        <w:t>9 de agosto de 2013</w:t>
      </w:r>
      <w:r w:rsidR="00C76FF1" w:rsidRPr="00274507">
        <w:rPr>
          <w:rStyle w:val="Refdenotaalpie"/>
          <w:sz w:val="28"/>
          <w:szCs w:val="28"/>
        </w:rPr>
        <w:footnoteReference w:id="75"/>
      </w:r>
      <w:r w:rsidR="00C76FF1" w:rsidRPr="00274507">
        <w:rPr>
          <w:sz w:val="28"/>
          <w:szCs w:val="28"/>
        </w:rPr>
        <w:t xml:space="preserve"> el Ministerio</w:t>
      </w:r>
      <w:r w:rsidR="009917D8" w:rsidRPr="00274507">
        <w:rPr>
          <w:sz w:val="28"/>
          <w:szCs w:val="28"/>
        </w:rPr>
        <w:t xml:space="preserve"> de Salud</w:t>
      </w:r>
      <w:r w:rsidR="00C76FF1" w:rsidRPr="00274507">
        <w:rPr>
          <w:sz w:val="28"/>
          <w:szCs w:val="28"/>
        </w:rPr>
        <w:t xml:space="preserve"> indicó que con la información corresp</w:t>
      </w:r>
      <w:r w:rsidR="00FB670A" w:rsidRPr="00274507">
        <w:rPr>
          <w:sz w:val="28"/>
          <w:szCs w:val="28"/>
        </w:rPr>
        <w:t>ondiente</w:t>
      </w:r>
      <w:r w:rsidR="00D53C3C" w:rsidRPr="00274507">
        <w:rPr>
          <w:sz w:val="28"/>
          <w:szCs w:val="28"/>
        </w:rPr>
        <w:t xml:space="preserve"> al año 2013</w:t>
      </w:r>
      <w:r w:rsidR="0076194F" w:rsidRPr="00274507">
        <w:rPr>
          <w:sz w:val="28"/>
          <w:szCs w:val="28"/>
        </w:rPr>
        <w:t xml:space="preserve"> </w:t>
      </w:r>
      <w:r w:rsidR="00D53C3C" w:rsidRPr="00274507">
        <w:rPr>
          <w:sz w:val="28"/>
          <w:szCs w:val="28"/>
        </w:rPr>
        <w:t>pretendía</w:t>
      </w:r>
      <w:r w:rsidR="009917D8" w:rsidRPr="00274507">
        <w:rPr>
          <w:sz w:val="28"/>
          <w:szCs w:val="28"/>
        </w:rPr>
        <w:t xml:space="preserve"> construir </w:t>
      </w:r>
      <w:r w:rsidR="00C76FF1" w:rsidRPr="00274507">
        <w:rPr>
          <w:sz w:val="28"/>
          <w:szCs w:val="28"/>
        </w:rPr>
        <w:t xml:space="preserve">unos indicadores </w:t>
      </w:r>
      <w:r w:rsidR="002052A1" w:rsidRPr="00274507">
        <w:rPr>
          <w:sz w:val="28"/>
          <w:szCs w:val="28"/>
        </w:rPr>
        <w:t>relacionados</w:t>
      </w:r>
      <w:r w:rsidR="00C76FF1" w:rsidRPr="00274507">
        <w:rPr>
          <w:sz w:val="28"/>
          <w:szCs w:val="28"/>
        </w:rPr>
        <w:t xml:space="preserve"> con: i) caracterización de </w:t>
      </w:r>
      <w:r w:rsidR="0076194F" w:rsidRPr="00274507">
        <w:rPr>
          <w:sz w:val="28"/>
          <w:szCs w:val="28"/>
        </w:rPr>
        <w:t xml:space="preserve">la </w:t>
      </w:r>
      <w:r w:rsidR="00C76FF1" w:rsidRPr="00274507">
        <w:rPr>
          <w:sz w:val="28"/>
          <w:szCs w:val="28"/>
        </w:rPr>
        <w:t>tutela (código, sexo, edad, fecha de nacimiento, régimen, fecha de admisión, departamento); ii) demandante (primer y segundo apellido, primer y segundo nombre, documento de identidad, nombre); iii) autoridad demandada (código y nombre) y; iv) concepto (tipo, nombre, fallo CTC, fallo primera instancia, motivo del fallo, motivo para negación, problema general, problema específico, fa</w:t>
      </w:r>
      <w:r w:rsidR="0076194F" w:rsidRPr="00274507">
        <w:rPr>
          <w:sz w:val="28"/>
          <w:szCs w:val="28"/>
        </w:rPr>
        <w:t>llo segunda instancia, opinión j</w:t>
      </w:r>
      <w:r w:rsidR="00C76FF1" w:rsidRPr="00274507">
        <w:rPr>
          <w:sz w:val="28"/>
          <w:szCs w:val="28"/>
        </w:rPr>
        <w:t xml:space="preserve">uez </w:t>
      </w:r>
      <w:r w:rsidR="0076194F" w:rsidRPr="00274507">
        <w:rPr>
          <w:sz w:val="28"/>
          <w:szCs w:val="28"/>
        </w:rPr>
        <w:t>–POS-</w:t>
      </w:r>
      <w:r w:rsidR="00C76FF1" w:rsidRPr="00274507">
        <w:rPr>
          <w:sz w:val="28"/>
          <w:szCs w:val="28"/>
        </w:rPr>
        <w:t xml:space="preserve"> aprobación de recobro, contenido POS)</w:t>
      </w:r>
      <w:r w:rsidR="002052A1" w:rsidRPr="00274507">
        <w:rPr>
          <w:sz w:val="28"/>
          <w:szCs w:val="28"/>
        </w:rPr>
        <w:t>, que le permitía</w:t>
      </w:r>
      <w:r w:rsidR="009917D8" w:rsidRPr="00274507">
        <w:rPr>
          <w:sz w:val="28"/>
          <w:szCs w:val="28"/>
        </w:rPr>
        <w:t>n</w:t>
      </w:r>
      <w:r w:rsidR="0076194F" w:rsidRPr="00274507">
        <w:rPr>
          <w:sz w:val="28"/>
          <w:szCs w:val="28"/>
        </w:rPr>
        <w:t xml:space="preserve"> obtener una información clara</w:t>
      </w:r>
      <w:r w:rsidR="009917D8" w:rsidRPr="00274507">
        <w:rPr>
          <w:sz w:val="28"/>
          <w:szCs w:val="28"/>
        </w:rPr>
        <w:t>, precisa y concreta de cada uno de los expedien</w:t>
      </w:r>
      <w:r w:rsidR="00930B7B" w:rsidRPr="00274507">
        <w:rPr>
          <w:sz w:val="28"/>
          <w:szCs w:val="28"/>
        </w:rPr>
        <w:t xml:space="preserve">tes revisados </w:t>
      </w:r>
      <w:r w:rsidR="0076194F" w:rsidRPr="00274507">
        <w:rPr>
          <w:sz w:val="28"/>
          <w:szCs w:val="28"/>
        </w:rPr>
        <w:t xml:space="preserve">y </w:t>
      </w:r>
      <w:r w:rsidR="00930B7B" w:rsidRPr="00274507">
        <w:rPr>
          <w:sz w:val="28"/>
          <w:szCs w:val="28"/>
        </w:rPr>
        <w:t>la construcción de nuevas variables</w:t>
      </w:r>
      <w:r w:rsidR="00930B7B" w:rsidRPr="00274507">
        <w:rPr>
          <w:rStyle w:val="Refdenotaalpie"/>
          <w:sz w:val="28"/>
          <w:szCs w:val="28"/>
        </w:rPr>
        <w:footnoteReference w:id="76"/>
      </w:r>
      <w:r w:rsidR="00930B7B" w:rsidRPr="00274507">
        <w:rPr>
          <w:sz w:val="28"/>
          <w:szCs w:val="28"/>
        </w:rPr>
        <w:t xml:space="preserve"> </w:t>
      </w:r>
      <w:r w:rsidR="00C76FF1" w:rsidRPr="00274507">
        <w:rPr>
          <w:sz w:val="28"/>
          <w:szCs w:val="28"/>
        </w:rPr>
        <w:t xml:space="preserve">para resolver los problemas jurídicos contenidos </w:t>
      </w:r>
      <w:r w:rsidR="00930B7B" w:rsidRPr="00274507">
        <w:rPr>
          <w:sz w:val="28"/>
          <w:szCs w:val="28"/>
        </w:rPr>
        <w:t xml:space="preserve">en la sentencia T-760 de 2008. </w:t>
      </w:r>
    </w:p>
    <w:p w:rsidR="004B5F23" w:rsidRPr="00274507" w:rsidRDefault="004B5F23" w:rsidP="00274507">
      <w:pPr>
        <w:widowControl w:val="0"/>
        <w:tabs>
          <w:tab w:val="left" w:pos="426"/>
        </w:tabs>
        <w:autoSpaceDE w:val="0"/>
        <w:autoSpaceDN w:val="0"/>
        <w:adjustRightInd w:val="0"/>
        <w:jc w:val="both"/>
        <w:rPr>
          <w:b/>
          <w:sz w:val="28"/>
          <w:szCs w:val="28"/>
        </w:rPr>
      </w:pPr>
    </w:p>
    <w:p w:rsidR="004B5F23"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.8</w:t>
      </w:r>
      <w:r w:rsidR="000D629B" w:rsidRPr="00274507">
        <w:rPr>
          <w:sz w:val="28"/>
          <w:szCs w:val="28"/>
        </w:rPr>
        <w:t xml:space="preserve">. </w:t>
      </w:r>
      <w:r w:rsidR="00C76FF1" w:rsidRPr="00274507">
        <w:rPr>
          <w:sz w:val="28"/>
          <w:szCs w:val="28"/>
        </w:rPr>
        <w:t xml:space="preserve">En </w:t>
      </w:r>
      <w:r w:rsidR="00C76FF1" w:rsidRPr="00274507">
        <w:rPr>
          <w:b/>
          <w:sz w:val="28"/>
          <w:szCs w:val="28"/>
        </w:rPr>
        <w:t>Auto de 9 de septiembre de 2013</w:t>
      </w:r>
      <w:r w:rsidR="00C76FF1" w:rsidRPr="00274507">
        <w:rPr>
          <w:rStyle w:val="Refdenotaalpie"/>
          <w:sz w:val="28"/>
          <w:szCs w:val="28"/>
        </w:rPr>
        <w:footnoteReference w:id="77"/>
      </w:r>
      <w:r w:rsidR="00C76FF1" w:rsidRPr="00274507">
        <w:rPr>
          <w:sz w:val="28"/>
          <w:szCs w:val="28"/>
        </w:rPr>
        <w:t xml:space="preserve"> este Tribunal </w:t>
      </w:r>
      <w:r w:rsidR="009917D8" w:rsidRPr="00274507">
        <w:rPr>
          <w:sz w:val="28"/>
          <w:szCs w:val="28"/>
        </w:rPr>
        <w:t>requirió</w:t>
      </w:r>
      <w:r w:rsidR="00132388" w:rsidRPr="00274507">
        <w:rPr>
          <w:sz w:val="28"/>
          <w:szCs w:val="28"/>
        </w:rPr>
        <w:t xml:space="preserve"> nuevamente</w:t>
      </w:r>
      <w:r w:rsidR="0076194F" w:rsidRPr="00274507">
        <w:rPr>
          <w:sz w:val="28"/>
          <w:szCs w:val="28"/>
        </w:rPr>
        <w:t xml:space="preserve"> al Ministerio </w:t>
      </w:r>
      <w:r w:rsidR="002052A1" w:rsidRPr="00274507">
        <w:rPr>
          <w:sz w:val="28"/>
          <w:szCs w:val="28"/>
        </w:rPr>
        <w:t xml:space="preserve">de Salud para </w:t>
      </w:r>
      <w:r w:rsidR="00C76FF1" w:rsidRPr="00274507">
        <w:rPr>
          <w:sz w:val="28"/>
          <w:szCs w:val="28"/>
        </w:rPr>
        <w:t>que</w:t>
      </w:r>
      <w:r w:rsidR="00A00AF9" w:rsidRPr="00274507">
        <w:rPr>
          <w:sz w:val="28"/>
          <w:szCs w:val="28"/>
        </w:rPr>
        <w:t xml:space="preserve"> se pronunciara sobre cada una de las </w:t>
      </w:r>
      <w:r w:rsidR="00C76FF1" w:rsidRPr="00274507">
        <w:rPr>
          <w:sz w:val="28"/>
          <w:szCs w:val="28"/>
        </w:rPr>
        <w:t xml:space="preserve">observaciones </w:t>
      </w:r>
      <w:r w:rsidR="009917D8" w:rsidRPr="00274507">
        <w:rPr>
          <w:sz w:val="28"/>
          <w:szCs w:val="28"/>
        </w:rPr>
        <w:t>efectuadas</w:t>
      </w:r>
      <w:r w:rsidR="00A00AF9" w:rsidRPr="00274507">
        <w:rPr>
          <w:sz w:val="28"/>
          <w:szCs w:val="28"/>
        </w:rPr>
        <w:t xml:space="preserve"> por los peritos al quinto informe</w:t>
      </w:r>
      <w:r w:rsidR="00132388" w:rsidRPr="00274507">
        <w:rPr>
          <w:sz w:val="28"/>
          <w:szCs w:val="28"/>
        </w:rPr>
        <w:t xml:space="preserve"> presentad</w:t>
      </w:r>
      <w:r w:rsidR="00C67B48" w:rsidRPr="00274507">
        <w:rPr>
          <w:sz w:val="28"/>
          <w:szCs w:val="28"/>
        </w:rPr>
        <w:t>o</w:t>
      </w:r>
      <w:r w:rsidR="002052A1" w:rsidRPr="00274507">
        <w:rPr>
          <w:sz w:val="28"/>
          <w:szCs w:val="28"/>
        </w:rPr>
        <w:t xml:space="preserve">. De igual manera, </w:t>
      </w:r>
      <w:r w:rsidR="00132388" w:rsidRPr="00274507">
        <w:rPr>
          <w:sz w:val="28"/>
          <w:szCs w:val="28"/>
        </w:rPr>
        <w:t>solicitó</w:t>
      </w:r>
      <w:r w:rsidR="002052A1" w:rsidRPr="00274507">
        <w:rPr>
          <w:sz w:val="28"/>
          <w:szCs w:val="28"/>
        </w:rPr>
        <w:t xml:space="preserve"> que</w:t>
      </w:r>
      <w:r w:rsidR="008D1D6A" w:rsidRPr="00274507">
        <w:rPr>
          <w:sz w:val="28"/>
          <w:szCs w:val="28"/>
        </w:rPr>
        <w:t xml:space="preserve"> </w:t>
      </w:r>
      <w:r w:rsidR="00487152" w:rsidRPr="00274507">
        <w:rPr>
          <w:sz w:val="28"/>
          <w:szCs w:val="28"/>
        </w:rPr>
        <w:t>e</w:t>
      </w:r>
      <w:r w:rsidR="00132388" w:rsidRPr="00274507">
        <w:rPr>
          <w:sz w:val="28"/>
          <w:szCs w:val="28"/>
        </w:rPr>
        <w:t>xplicar</w:t>
      </w:r>
      <w:r w:rsidR="002052A1" w:rsidRPr="00274507">
        <w:rPr>
          <w:sz w:val="28"/>
          <w:szCs w:val="28"/>
        </w:rPr>
        <w:t>a</w:t>
      </w:r>
      <w:r w:rsidR="00C76FF1" w:rsidRPr="00274507">
        <w:rPr>
          <w:sz w:val="28"/>
          <w:szCs w:val="28"/>
        </w:rPr>
        <w:t xml:space="preserve"> las razones por las cuales increment</w:t>
      </w:r>
      <w:r w:rsidR="0076194F" w:rsidRPr="00274507">
        <w:rPr>
          <w:sz w:val="28"/>
          <w:szCs w:val="28"/>
        </w:rPr>
        <w:t>aron las acciones de tutela en</w:t>
      </w:r>
      <w:r w:rsidR="00C76FF1" w:rsidRPr="00274507">
        <w:rPr>
          <w:sz w:val="28"/>
          <w:szCs w:val="28"/>
        </w:rPr>
        <w:t xml:space="preserve"> el 2012</w:t>
      </w:r>
      <w:r w:rsidR="002052A1" w:rsidRPr="00274507">
        <w:rPr>
          <w:sz w:val="28"/>
          <w:szCs w:val="28"/>
        </w:rPr>
        <w:t xml:space="preserve"> y </w:t>
      </w:r>
      <w:r w:rsidR="00582099" w:rsidRPr="00274507">
        <w:rPr>
          <w:sz w:val="28"/>
          <w:szCs w:val="28"/>
        </w:rPr>
        <w:t>enunciara</w:t>
      </w:r>
      <w:r w:rsidR="00C76FF1" w:rsidRPr="00274507">
        <w:rPr>
          <w:sz w:val="28"/>
          <w:szCs w:val="28"/>
        </w:rPr>
        <w:t xml:space="preserve"> los indicadores de goce efectivo del derecho de salud </w:t>
      </w:r>
      <w:r w:rsidR="0076194F" w:rsidRPr="00274507">
        <w:rPr>
          <w:sz w:val="28"/>
          <w:szCs w:val="28"/>
        </w:rPr>
        <w:t>en orden a</w:t>
      </w:r>
      <w:r w:rsidR="008D1D6A" w:rsidRPr="00274507">
        <w:rPr>
          <w:sz w:val="28"/>
          <w:szCs w:val="28"/>
        </w:rPr>
        <w:t xml:space="preserve"> efectuar </w:t>
      </w:r>
      <w:r w:rsidR="00C76FF1" w:rsidRPr="00274507">
        <w:rPr>
          <w:sz w:val="28"/>
          <w:szCs w:val="28"/>
        </w:rPr>
        <w:t>el análisis</w:t>
      </w:r>
      <w:r w:rsidR="004B5F23" w:rsidRPr="00274507">
        <w:rPr>
          <w:sz w:val="28"/>
          <w:szCs w:val="28"/>
        </w:rPr>
        <w:t xml:space="preserve"> de la medición de las tutelas.</w:t>
      </w:r>
    </w:p>
    <w:p w:rsidR="000A51A3" w:rsidRPr="00274507" w:rsidRDefault="000A51A3" w:rsidP="00274507">
      <w:pPr>
        <w:widowControl w:val="0"/>
        <w:tabs>
          <w:tab w:val="left" w:pos="426"/>
        </w:tabs>
        <w:autoSpaceDE w:val="0"/>
        <w:autoSpaceDN w:val="0"/>
        <w:adjustRightInd w:val="0"/>
        <w:jc w:val="both"/>
        <w:rPr>
          <w:sz w:val="28"/>
          <w:szCs w:val="28"/>
        </w:rPr>
      </w:pPr>
    </w:p>
    <w:p w:rsidR="002E5F57"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En cumplimiento de lo anterior, el 25 de septiembre de 2013</w:t>
      </w:r>
      <w:r w:rsidRPr="00274507">
        <w:rPr>
          <w:rStyle w:val="Refdenotaalpie"/>
          <w:sz w:val="28"/>
          <w:szCs w:val="28"/>
        </w:rPr>
        <w:footnoteReference w:id="78"/>
      </w:r>
      <w:r w:rsidRPr="00274507">
        <w:rPr>
          <w:sz w:val="28"/>
          <w:szCs w:val="28"/>
        </w:rPr>
        <w:t xml:space="preserve"> el </w:t>
      </w:r>
      <w:r w:rsidR="00487152" w:rsidRPr="00274507">
        <w:rPr>
          <w:sz w:val="28"/>
          <w:szCs w:val="28"/>
        </w:rPr>
        <w:t xml:space="preserve">Ministerio de Salud </w:t>
      </w:r>
      <w:r w:rsidRPr="00274507">
        <w:rPr>
          <w:sz w:val="28"/>
          <w:szCs w:val="28"/>
        </w:rPr>
        <w:t>precisó lo siguiente:</w:t>
      </w:r>
    </w:p>
    <w:p w:rsidR="0076194F" w:rsidRPr="00274507" w:rsidRDefault="0076194F" w:rsidP="00274507">
      <w:pPr>
        <w:widowControl w:val="0"/>
        <w:tabs>
          <w:tab w:val="left" w:pos="426"/>
        </w:tabs>
        <w:autoSpaceDE w:val="0"/>
        <w:autoSpaceDN w:val="0"/>
        <w:adjustRightInd w:val="0"/>
        <w:jc w:val="both"/>
        <w:rPr>
          <w:sz w:val="28"/>
          <w:szCs w:val="28"/>
        </w:rPr>
      </w:pPr>
    </w:p>
    <w:tbl>
      <w:tblPr>
        <w:tblStyle w:val="Tablaconcuadrcula"/>
        <w:tblW w:w="0" w:type="auto"/>
        <w:tblLook w:val="04A0" w:firstRow="1" w:lastRow="0" w:firstColumn="1" w:lastColumn="0" w:noHBand="0" w:noVBand="1"/>
      </w:tblPr>
      <w:tblGrid>
        <w:gridCol w:w="2263"/>
        <w:gridCol w:w="6850"/>
      </w:tblGrid>
      <w:tr w:rsidR="00C76FF1" w:rsidRPr="00274507" w:rsidTr="00C76FF1">
        <w:tc>
          <w:tcPr>
            <w:tcW w:w="2263"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Comentarios sobre la metodología del informe</w:t>
            </w:r>
          </w:p>
        </w:tc>
        <w:tc>
          <w:tcPr>
            <w:tcW w:w="6850"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b/>
                <w:sz w:val="28"/>
                <w:szCs w:val="28"/>
              </w:rPr>
              <w:t>1.</w:t>
            </w:r>
            <w:r w:rsidRPr="00274507">
              <w:rPr>
                <w:sz w:val="28"/>
                <w:szCs w:val="28"/>
              </w:rPr>
              <w:t xml:space="preserve"> La metodología usada en el quinto informe tiene el objetivo de identificar la representatividad de los problemas jurídicos de la sentencia T-760 de 2008 dentro del universo del litigio y reconocer si ha perdido importancia o si han surgido nuevos, obteniendo una perspectiva general del impacto de las decisiones y poder analizar la reducción de las tutelas.</w:t>
            </w:r>
          </w:p>
          <w:p w:rsidR="00C76FF1" w:rsidRPr="00274507" w:rsidRDefault="00C76FF1" w:rsidP="00274507">
            <w:pPr>
              <w:widowControl w:val="0"/>
              <w:tabs>
                <w:tab w:val="left" w:pos="426"/>
              </w:tabs>
              <w:autoSpaceDE w:val="0"/>
              <w:autoSpaceDN w:val="0"/>
              <w:adjustRightInd w:val="0"/>
              <w:jc w:val="both"/>
              <w:rPr>
                <w:sz w:val="28"/>
                <w:szCs w:val="28"/>
              </w:rPr>
            </w:pPr>
            <w:r w:rsidRPr="00274507">
              <w:rPr>
                <w:b/>
                <w:sz w:val="28"/>
                <w:szCs w:val="28"/>
              </w:rPr>
              <w:t>2.</w:t>
            </w:r>
            <w:r w:rsidR="0076194F" w:rsidRPr="00274507">
              <w:rPr>
                <w:sz w:val="28"/>
                <w:szCs w:val="28"/>
              </w:rPr>
              <w:t xml:space="preserve"> Reconoce limitaciones </w:t>
            </w:r>
            <w:r w:rsidRPr="00274507">
              <w:rPr>
                <w:sz w:val="28"/>
                <w:szCs w:val="28"/>
              </w:rPr>
              <w:t>para comparar los informes anteriores al quinto, por lo que desarrolló una metodología que no puede ap</w:t>
            </w:r>
            <w:r w:rsidR="0076194F" w:rsidRPr="00274507">
              <w:rPr>
                <w:sz w:val="28"/>
                <w:szCs w:val="28"/>
              </w:rPr>
              <w:t>licarse de forma retroactiva, sin embargo</w:t>
            </w:r>
            <w:r w:rsidRPr="00274507">
              <w:rPr>
                <w:sz w:val="28"/>
                <w:szCs w:val="28"/>
              </w:rPr>
              <w:t>, se encuentra analizando alternativas que permitan calificar la evolución y reducción de tutelas en el marco de los problemas jurídicos de la T-760 de 2008, así como establece</w:t>
            </w:r>
            <w:r w:rsidR="00930B7B" w:rsidRPr="00274507">
              <w:rPr>
                <w:sz w:val="28"/>
                <w:szCs w:val="28"/>
              </w:rPr>
              <w:t>r</w:t>
            </w:r>
            <w:r w:rsidRPr="00274507">
              <w:rPr>
                <w:sz w:val="28"/>
                <w:szCs w:val="28"/>
              </w:rPr>
              <w:t xml:space="preserve"> la elaboración de indicadores de goce efectivo.</w:t>
            </w:r>
          </w:p>
          <w:p w:rsidR="00C76FF1" w:rsidRPr="00274507" w:rsidRDefault="00C76FF1" w:rsidP="00274507">
            <w:pPr>
              <w:widowControl w:val="0"/>
              <w:tabs>
                <w:tab w:val="left" w:pos="426"/>
              </w:tabs>
              <w:autoSpaceDE w:val="0"/>
              <w:autoSpaceDN w:val="0"/>
              <w:adjustRightInd w:val="0"/>
              <w:jc w:val="both"/>
              <w:rPr>
                <w:sz w:val="28"/>
                <w:szCs w:val="28"/>
              </w:rPr>
            </w:pPr>
            <w:r w:rsidRPr="00274507">
              <w:rPr>
                <w:b/>
                <w:sz w:val="28"/>
                <w:szCs w:val="28"/>
              </w:rPr>
              <w:t>3.</w:t>
            </w:r>
            <w:r w:rsidRPr="00274507">
              <w:rPr>
                <w:sz w:val="28"/>
                <w:szCs w:val="28"/>
              </w:rPr>
              <w:t xml:space="preserve"> En la medición de las tutelas se tuvieron en cuenta otros indicadores como la equidad y la atención integral y variables so</w:t>
            </w:r>
            <w:r w:rsidR="00E01A25" w:rsidRPr="00274507">
              <w:rPr>
                <w:sz w:val="28"/>
                <w:szCs w:val="28"/>
              </w:rPr>
              <w:t>bre la cobertura, aseguramiento y</w:t>
            </w:r>
            <w:r w:rsidRPr="00274507">
              <w:rPr>
                <w:sz w:val="28"/>
                <w:szCs w:val="28"/>
              </w:rPr>
              <w:t xml:space="preserve"> barreras de acceso  desde el goce efectivo.</w:t>
            </w:r>
          </w:p>
        </w:tc>
      </w:tr>
      <w:tr w:rsidR="00C76FF1" w:rsidRPr="00274507" w:rsidTr="00C76FF1">
        <w:tc>
          <w:tcPr>
            <w:tcW w:w="2263"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Comentarios de fondo sobre las razones que explican el aumento o disminución de las tutelas</w:t>
            </w:r>
          </w:p>
          <w:p w:rsidR="00C76FF1" w:rsidRPr="00274507" w:rsidRDefault="00C76FF1" w:rsidP="00274507">
            <w:pPr>
              <w:widowControl w:val="0"/>
              <w:tabs>
                <w:tab w:val="left" w:pos="426"/>
              </w:tabs>
              <w:autoSpaceDE w:val="0"/>
              <w:autoSpaceDN w:val="0"/>
              <w:adjustRightInd w:val="0"/>
              <w:jc w:val="both"/>
              <w:rPr>
                <w:sz w:val="28"/>
                <w:szCs w:val="28"/>
              </w:rPr>
            </w:pPr>
          </w:p>
          <w:p w:rsidR="00C76FF1" w:rsidRPr="00274507" w:rsidRDefault="00C76FF1" w:rsidP="00274507">
            <w:pPr>
              <w:widowControl w:val="0"/>
              <w:tabs>
                <w:tab w:val="left" w:pos="426"/>
              </w:tabs>
              <w:autoSpaceDE w:val="0"/>
              <w:autoSpaceDN w:val="0"/>
              <w:adjustRightInd w:val="0"/>
              <w:jc w:val="both"/>
              <w:rPr>
                <w:sz w:val="28"/>
                <w:szCs w:val="28"/>
              </w:rPr>
            </w:pPr>
          </w:p>
          <w:p w:rsidR="00C76FF1" w:rsidRPr="00274507" w:rsidRDefault="00C76FF1" w:rsidP="00274507">
            <w:pPr>
              <w:widowControl w:val="0"/>
              <w:tabs>
                <w:tab w:val="left" w:pos="426"/>
              </w:tabs>
              <w:autoSpaceDE w:val="0"/>
              <w:autoSpaceDN w:val="0"/>
              <w:adjustRightInd w:val="0"/>
              <w:jc w:val="both"/>
              <w:rPr>
                <w:sz w:val="28"/>
                <w:szCs w:val="28"/>
              </w:rPr>
            </w:pPr>
          </w:p>
          <w:p w:rsidR="00C76FF1" w:rsidRPr="00274507" w:rsidRDefault="00C76FF1" w:rsidP="00274507">
            <w:pPr>
              <w:widowControl w:val="0"/>
              <w:tabs>
                <w:tab w:val="left" w:pos="426"/>
              </w:tabs>
              <w:autoSpaceDE w:val="0"/>
              <w:autoSpaceDN w:val="0"/>
              <w:adjustRightInd w:val="0"/>
              <w:jc w:val="both"/>
              <w:rPr>
                <w:sz w:val="28"/>
                <w:szCs w:val="28"/>
              </w:rPr>
            </w:pPr>
          </w:p>
          <w:p w:rsidR="00C76FF1" w:rsidRPr="00274507" w:rsidRDefault="00C76FF1" w:rsidP="00274507">
            <w:pPr>
              <w:widowControl w:val="0"/>
              <w:tabs>
                <w:tab w:val="left" w:pos="426"/>
              </w:tabs>
              <w:autoSpaceDE w:val="0"/>
              <w:autoSpaceDN w:val="0"/>
              <w:adjustRightInd w:val="0"/>
              <w:jc w:val="both"/>
              <w:rPr>
                <w:sz w:val="28"/>
                <w:szCs w:val="28"/>
              </w:rPr>
            </w:pPr>
          </w:p>
        </w:tc>
        <w:tc>
          <w:tcPr>
            <w:tcW w:w="6850"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b/>
                <w:sz w:val="28"/>
                <w:szCs w:val="28"/>
              </w:rPr>
              <w:t xml:space="preserve">1. </w:t>
            </w:r>
            <w:r w:rsidRPr="00274507">
              <w:rPr>
                <w:sz w:val="28"/>
                <w:szCs w:val="28"/>
              </w:rPr>
              <w:t>El Ministerio se ha encargado de dar a conocer el contenido de los servicios POS y su delimitación, además de gestionar la implementación de políticas con base en nuevos lineamientos como los incluidos en la Ley Ordinaria,  en los Acuerdos del 29 al 34 emitidos por la CRES y en las Resoluciones 2977 y 4251 de 2012</w:t>
            </w:r>
            <w:r w:rsidR="00795A06" w:rsidRPr="00274507">
              <w:rPr>
                <w:sz w:val="28"/>
                <w:szCs w:val="28"/>
              </w:rPr>
              <w:t>.</w:t>
            </w:r>
            <w:r w:rsidR="0077263A" w:rsidRPr="00274507">
              <w:rPr>
                <w:rStyle w:val="Refdenotaalpie"/>
                <w:sz w:val="28"/>
                <w:szCs w:val="28"/>
              </w:rPr>
              <w:footnoteReference w:id="79"/>
            </w:r>
            <w:r w:rsidRPr="00274507">
              <w:rPr>
                <w:sz w:val="28"/>
                <w:szCs w:val="28"/>
              </w:rPr>
              <w:t xml:space="preserve"> </w:t>
            </w:r>
          </w:p>
          <w:p w:rsidR="00C76FF1" w:rsidRPr="00274507" w:rsidRDefault="00C76FF1" w:rsidP="00274507">
            <w:pPr>
              <w:widowControl w:val="0"/>
              <w:tabs>
                <w:tab w:val="left" w:pos="426"/>
              </w:tabs>
              <w:autoSpaceDE w:val="0"/>
              <w:autoSpaceDN w:val="0"/>
              <w:adjustRightInd w:val="0"/>
              <w:jc w:val="both"/>
              <w:rPr>
                <w:sz w:val="28"/>
                <w:szCs w:val="28"/>
              </w:rPr>
            </w:pPr>
            <w:r w:rsidRPr="00274507">
              <w:rPr>
                <w:b/>
                <w:sz w:val="28"/>
                <w:szCs w:val="28"/>
              </w:rPr>
              <w:t>2.</w:t>
            </w:r>
            <w:r w:rsidRPr="00274507">
              <w:rPr>
                <w:sz w:val="28"/>
                <w:szCs w:val="28"/>
              </w:rPr>
              <w:t xml:space="preserve"> Dadas las dificultades para garantizar el acceso adecuado y oportuno</w:t>
            </w:r>
            <w:r w:rsidR="0076194F" w:rsidRPr="00274507">
              <w:rPr>
                <w:sz w:val="28"/>
                <w:szCs w:val="28"/>
              </w:rPr>
              <w:t xml:space="preserve"> de </w:t>
            </w:r>
            <w:r w:rsidRPr="00274507">
              <w:rPr>
                <w:sz w:val="28"/>
                <w:szCs w:val="28"/>
              </w:rPr>
              <w:t>la prestación de servicios de salud en la población, en especial por demoras en la</w:t>
            </w:r>
            <w:r w:rsidR="00E01A25" w:rsidRPr="00274507">
              <w:rPr>
                <w:sz w:val="28"/>
                <w:szCs w:val="28"/>
              </w:rPr>
              <w:t>s</w:t>
            </w:r>
            <w:r w:rsidRPr="00274507">
              <w:rPr>
                <w:sz w:val="28"/>
                <w:szCs w:val="28"/>
              </w:rPr>
              <w:t xml:space="preserve"> </w:t>
            </w:r>
            <w:r w:rsidR="00E01A25" w:rsidRPr="00274507">
              <w:rPr>
                <w:sz w:val="28"/>
                <w:szCs w:val="28"/>
              </w:rPr>
              <w:t>atenciones</w:t>
            </w:r>
            <w:r w:rsidRPr="00274507">
              <w:rPr>
                <w:sz w:val="28"/>
                <w:szCs w:val="28"/>
              </w:rPr>
              <w:t xml:space="preserve"> generadas por causas estructurales y no por negación del mismo, aduce que con la expedición de la </w:t>
            </w:r>
            <w:r w:rsidR="00E42CBC" w:rsidRPr="00274507">
              <w:rPr>
                <w:sz w:val="28"/>
                <w:szCs w:val="28"/>
              </w:rPr>
              <w:t>Resolución</w:t>
            </w:r>
            <w:r w:rsidRPr="00274507">
              <w:rPr>
                <w:sz w:val="28"/>
                <w:szCs w:val="28"/>
              </w:rPr>
              <w:t xml:space="preserve"> 1552 de 2013</w:t>
            </w:r>
            <w:r w:rsidR="0077263A" w:rsidRPr="00274507">
              <w:rPr>
                <w:rStyle w:val="Refdenotaalpie"/>
                <w:sz w:val="28"/>
                <w:szCs w:val="28"/>
              </w:rPr>
              <w:footnoteReference w:id="80"/>
            </w:r>
            <w:r w:rsidRPr="00274507">
              <w:rPr>
                <w:sz w:val="28"/>
                <w:szCs w:val="28"/>
              </w:rPr>
              <w:t>; la Circular 056 de 2009</w:t>
            </w:r>
            <w:r w:rsidRPr="00274507">
              <w:rPr>
                <w:rStyle w:val="Refdenotaalpie"/>
                <w:sz w:val="28"/>
                <w:szCs w:val="28"/>
              </w:rPr>
              <w:footnoteReference w:id="81"/>
            </w:r>
            <w:r w:rsidRPr="00274507">
              <w:rPr>
                <w:sz w:val="28"/>
                <w:szCs w:val="28"/>
              </w:rPr>
              <w:t>, la</w:t>
            </w:r>
            <w:r w:rsidR="0077263A" w:rsidRPr="00274507">
              <w:rPr>
                <w:sz w:val="28"/>
                <w:szCs w:val="28"/>
              </w:rPr>
              <w:t xml:space="preserve"> realización de varios estudios</w:t>
            </w:r>
            <w:r w:rsidR="0077263A" w:rsidRPr="00274507">
              <w:rPr>
                <w:rStyle w:val="Refdenotaalpie"/>
                <w:sz w:val="28"/>
                <w:szCs w:val="28"/>
              </w:rPr>
              <w:footnoteReference w:id="82"/>
            </w:r>
            <w:r w:rsidR="0077263A" w:rsidRPr="00274507">
              <w:rPr>
                <w:sz w:val="28"/>
                <w:szCs w:val="28"/>
              </w:rPr>
              <w:t>; l</w:t>
            </w:r>
            <w:r w:rsidRPr="00274507">
              <w:rPr>
                <w:sz w:val="28"/>
                <w:szCs w:val="28"/>
              </w:rPr>
              <w:t xml:space="preserve">a </w:t>
            </w:r>
            <w:r w:rsidR="00E42CBC" w:rsidRPr="00274507">
              <w:rPr>
                <w:sz w:val="28"/>
                <w:szCs w:val="28"/>
              </w:rPr>
              <w:t>Resolución</w:t>
            </w:r>
            <w:r w:rsidRPr="00274507">
              <w:rPr>
                <w:sz w:val="28"/>
                <w:szCs w:val="28"/>
              </w:rPr>
              <w:t xml:space="preserve"> 1441 de 2013</w:t>
            </w:r>
            <w:r w:rsidRPr="00274507">
              <w:rPr>
                <w:rStyle w:val="Refdenotaalpie"/>
                <w:sz w:val="28"/>
                <w:szCs w:val="28"/>
              </w:rPr>
              <w:footnoteReference w:id="83"/>
            </w:r>
            <w:r w:rsidRPr="00274507">
              <w:rPr>
                <w:sz w:val="28"/>
                <w:szCs w:val="28"/>
              </w:rPr>
              <w:t xml:space="preserve"> y el proyecto de Ley ordinaria  2010-2013 Senado, </w:t>
            </w:r>
            <w:r w:rsidR="0077263A" w:rsidRPr="00274507">
              <w:rPr>
                <w:sz w:val="28"/>
                <w:szCs w:val="28"/>
              </w:rPr>
              <w:t xml:space="preserve">mediante la cual </w:t>
            </w:r>
            <w:r w:rsidRPr="00274507">
              <w:rPr>
                <w:sz w:val="28"/>
                <w:szCs w:val="28"/>
              </w:rPr>
              <w:t>se busca reformar el SGSSS y  la necesidad de generar, desarrollar y profundizar mecanismos como las Áreas de Gestión Sanitaria</w:t>
            </w:r>
            <w:r w:rsidRPr="00274507">
              <w:rPr>
                <w:rStyle w:val="Refdenotaalpie"/>
                <w:sz w:val="28"/>
                <w:szCs w:val="28"/>
              </w:rPr>
              <w:footnoteReference w:id="84"/>
            </w:r>
            <w:r w:rsidRPr="00274507">
              <w:rPr>
                <w:sz w:val="28"/>
                <w:szCs w:val="28"/>
              </w:rPr>
              <w:t xml:space="preserve"> y las Redes de Prestadoras de Servicios de Salud</w:t>
            </w:r>
            <w:r w:rsidRPr="00274507">
              <w:rPr>
                <w:rStyle w:val="Refdenotaalpie"/>
                <w:sz w:val="28"/>
                <w:szCs w:val="28"/>
              </w:rPr>
              <w:footnoteReference w:id="85"/>
            </w:r>
            <w:r w:rsidRPr="00274507">
              <w:rPr>
                <w:sz w:val="28"/>
                <w:szCs w:val="28"/>
              </w:rPr>
              <w:t>.</w:t>
            </w:r>
          </w:p>
          <w:p w:rsidR="00C76FF1" w:rsidRPr="00274507" w:rsidRDefault="00C76FF1" w:rsidP="00274507">
            <w:pPr>
              <w:widowControl w:val="0"/>
              <w:tabs>
                <w:tab w:val="left" w:pos="426"/>
              </w:tabs>
              <w:autoSpaceDE w:val="0"/>
              <w:autoSpaceDN w:val="0"/>
              <w:adjustRightInd w:val="0"/>
              <w:jc w:val="both"/>
              <w:rPr>
                <w:sz w:val="28"/>
                <w:szCs w:val="28"/>
              </w:rPr>
            </w:pPr>
            <w:r w:rsidRPr="00274507">
              <w:rPr>
                <w:b/>
                <w:sz w:val="28"/>
                <w:szCs w:val="28"/>
              </w:rPr>
              <w:t xml:space="preserve">3. </w:t>
            </w:r>
            <w:r w:rsidRPr="00274507">
              <w:rPr>
                <w:sz w:val="28"/>
                <w:szCs w:val="28"/>
              </w:rPr>
              <w:t xml:space="preserve">El Ministerio trabaja en una </w:t>
            </w:r>
            <w:r w:rsidR="00E42CBC" w:rsidRPr="00274507">
              <w:rPr>
                <w:sz w:val="28"/>
                <w:szCs w:val="28"/>
              </w:rPr>
              <w:t>Resolución</w:t>
            </w:r>
            <w:r w:rsidRPr="00274507">
              <w:rPr>
                <w:sz w:val="28"/>
                <w:szCs w:val="28"/>
              </w:rPr>
              <w:t xml:space="preserve"> que establezca pagos compartidos para tecnologías en salud no incluidas en el POS por parte de los usuarios</w:t>
            </w:r>
            <w:r w:rsidR="0077263A" w:rsidRPr="00274507">
              <w:rPr>
                <w:rStyle w:val="Refdenotaalpie"/>
                <w:sz w:val="28"/>
                <w:szCs w:val="28"/>
              </w:rPr>
              <w:footnoteReference w:id="86"/>
            </w:r>
            <w:r w:rsidR="0077263A" w:rsidRPr="00274507">
              <w:rPr>
                <w:sz w:val="28"/>
                <w:szCs w:val="28"/>
              </w:rPr>
              <w:t>.</w:t>
            </w:r>
          </w:p>
        </w:tc>
      </w:tr>
      <w:tr w:rsidR="00C76FF1" w:rsidRPr="00274507" w:rsidTr="00C76FF1">
        <w:tc>
          <w:tcPr>
            <w:tcW w:w="2263"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Acciones para la consolidación del cumplimiento de la orden 30.</w:t>
            </w:r>
          </w:p>
        </w:tc>
        <w:tc>
          <w:tcPr>
            <w:tcW w:w="6850"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 xml:space="preserve">A pesar de que el Ministerio ha presentado varios informes desde la expedición de la sentencia T-760 de 2008, </w:t>
            </w:r>
            <w:r w:rsidR="00DD15C3" w:rsidRPr="00274507">
              <w:rPr>
                <w:sz w:val="28"/>
                <w:szCs w:val="28"/>
              </w:rPr>
              <w:t>todavía</w:t>
            </w:r>
            <w:r w:rsidRPr="00274507">
              <w:rPr>
                <w:sz w:val="28"/>
                <w:szCs w:val="28"/>
              </w:rPr>
              <w:t xml:space="preserve"> no dispone de una línea de base de información para analizar la evolución de los problemas jur</w:t>
            </w:r>
            <w:r w:rsidR="0077263A" w:rsidRPr="00274507">
              <w:rPr>
                <w:sz w:val="28"/>
                <w:szCs w:val="28"/>
              </w:rPr>
              <w:t>ídicos analizados por la Corte</w:t>
            </w:r>
            <w:r w:rsidR="0077263A" w:rsidRPr="00274507">
              <w:rPr>
                <w:rStyle w:val="Refdenotaalpie"/>
                <w:sz w:val="28"/>
                <w:szCs w:val="28"/>
              </w:rPr>
              <w:footnoteReference w:id="87"/>
            </w:r>
            <w:r w:rsidR="0077263A" w:rsidRPr="00274507">
              <w:rPr>
                <w:sz w:val="28"/>
                <w:szCs w:val="28"/>
              </w:rPr>
              <w:t>.</w:t>
            </w:r>
          </w:p>
        </w:tc>
      </w:tr>
    </w:tbl>
    <w:p w:rsidR="0076194F" w:rsidRPr="00274507" w:rsidRDefault="0076194F" w:rsidP="00274507">
      <w:pPr>
        <w:widowControl w:val="0"/>
        <w:tabs>
          <w:tab w:val="left" w:pos="426"/>
        </w:tabs>
        <w:autoSpaceDE w:val="0"/>
        <w:autoSpaceDN w:val="0"/>
        <w:adjustRightInd w:val="0"/>
        <w:jc w:val="both"/>
        <w:rPr>
          <w:b/>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F55E3F" w:rsidRPr="00274507">
        <w:rPr>
          <w:sz w:val="28"/>
          <w:szCs w:val="28"/>
        </w:rPr>
        <w:t>.9</w:t>
      </w:r>
      <w:r w:rsidR="000D629B" w:rsidRPr="00274507">
        <w:rPr>
          <w:sz w:val="28"/>
          <w:szCs w:val="28"/>
        </w:rPr>
        <w:t>.</w:t>
      </w:r>
      <w:r w:rsidR="00C76FF1" w:rsidRPr="00274507">
        <w:rPr>
          <w:sz w:val="28"/>
          <w:szCs w:val="28"/>
        </w:rPr>
        <w:t xml:space="preserve"> </w:t>
      </w:r>
      <w:r w:rsidR="00C76FF1" w:rsidRPr="00274507">
        <w:rPr>
          <w:b/>
          <w:sz w:val="28"/>
          <w:szCs w:val="28"/>
        </w:rPr>
        <w:t>El 5 de septiembre de 2014</w:t>
      </w:r>
      <w:r w:rsidR="00C76FF1" w:rsidRPr="00274507">
        <w:rPr>
          <w:rStyle w:val="Refdenotaalpie"/>
          <w:sz w:val="28"/>
          <w:szCs w:val="28"/>
        </w:rPr>
        <w:footnoteReference w:id="88"/>
      </w:r>
      <w:r w:rsidR="00C76FF1" w:rsidRPr="00274507">
        <w:rPr>
          <w:sz w:val="28"/>
          <w:szCs w:val="28"/>
        </w:rPr>
        <w:t xml:space="preserve"> esta Sala </w:t>
      </w:r>
      <w:r w:rsidR="0076194F" w:rsidRPr="00274507">
        <w:rPr>
          <w:sz w:val="28"/>
          <w:szCs w:val="28"/>
        </w:rPr>
        <w:t xml:space="preserve">Especial </w:t>
      </w:r>
      <w:r w:rsidR="00C76FF1" w:rsidRPr="00274507">
        <w:rPr>
          <w:sz w:val="28"/>
          <w:szCs w:val="28"/>
        </w:rPr>
        <w:t xml:space="preserve">requirió </w:t>
      </w:r>
      <w:r w:rsidR="0076194F" w:rsidRPr="00274507">
        <w:rPr>
          <w:sz w:val="28"/>
          <w:szCs w:val="28"/>
        </w:rPr>
        <w:t>información d</w:t>
      </w:r>
      <w:r w:rsidR="00F43D76" w:rsidRPr="00274507">
        <w:rPr>
          <w:sz w:val="28"/>
          <w:szCs w:val="28"/>
        </w:rPr>
        <w:t xml:space="preserve">e parte del Ministerio de Salud, la Procuraduría General de la Nación y la Defensoría del Pueblo para atender algunos interrogantes </w:t>
      </w:r>
      <w:r w:rsidR="0076194F" w:rsidRPr="00274507">
        <w:rPr>
          <w:sz w:val="28"/>
          <w:szCs w:val="28"/>
        </w:rPr>
        <w:t>relaci</w:t>
      </w:r>
      <w:r w:rsidR="00F43D76" w:rsidRPr="00274507">
        <w:rPr>
          <w:sz w:val="28"/>
          <w:szCs w:val="28"/>
        </w:rPr>
        <w:t>onados</w:t>
      </w:r>
      <w:r w:rsidR="0076194F" w:rsidRPr="00274507">
        <w:rPr>
          <w:sz w:val="28"/>
          <w:szCs w:val="28"/>
        </w:rPr>
        <w:t xml:space="preserve"> con el cumplimiento de la orden trigésima</w:t>
      </w:r>
      <w:r w:rsidR="00F43D76" w:rsidRPr="00274507">
        <w:rPr>
          <w:sz w:val="28"/>
          <w:szCs w:val="28"/>
        </w:rPr>
        <w:t>. También</w:t>
      </w:r>
      <w:r w:rsidR="0076194F" w:rsidRPr="00274507">
        <w:rPr>
          <w:sz w:val="28"/>
          <w:szCs w:val="28"/>
        </w:rPr>
        <w:t xml:space="preserve"> solicitó </w:t>
      </w:r>
      <w:r w:rsidR="00C76FF1" w:rsidRPr="00274507">
        <w:rPr>
          <w:sz w:val="28"/>
          <w:szCs w:val="28"/>
        </w:rPr>
        <w:t>concepto</w:t>
      </w:r>
      <w:r w:rsidR="0076194F" w:rsidRPr="00274507">
        <w:rPr>
          <w:sz w:val="28"/>
          <w:szCs w:val="28"/>
        </w:rPr>
        <w:t xml:space="preserve"> por parte de los</w:t>
      </w:r>
      <w:r w:rsidR="00C76FF1" w:rsidRPr="00274507">
        <w:rPr>
          <w:sz w:val="28"/>
          <w:szCs w:val="28"/>
        </w:rPr>
        <w:t xml:space="preserve"> peritos constitucionales voluntarios res</w:t>
      </w:r>
      <w:r w:rsidR="002A76F4" w:rsidRPr="00274507">
        <w:rPr>
          <w:sz w:val="28"/>
          <w:szCs w:val="28"/>
        </w:rPr>
        <w:t>pecto d</w:t>
      </w:r>
      <w:r w:rsidR="00C76FF1" w:rsidRPr="00274507">
        <w:rPr>
          <w:sz w:val="28"/>
          <w:szCs w:val="28"/>
        </w:rPr>
        <w:t>el sexto informe allegado por el</w:t>
      </w:r>
      <w:r w:rsidR="004C3F0E" w:rsidRPr="00274507">
        <w:rPr>
          <w:sz w:val="28"/>
          <w:szCs w:val="28"/>
        </w:rPr>
        <w:t xml:space="preserve"> ente ministerial</w:t>
      </w:r>
      <w:r w:rsidR="0076194F" w:rsidRPr="00274507">
        <w:rPr>
          <w:sz w:val="28"/>
          <w:szCs w:val="28"/>
        </w:rPr>
        <w:t xml:space="preserve">. Además le </w:t>
      </w:r>
      <w:r w:rsidR="00C76FF1" w:rsidRPr="00274507">
        <w:rPr>
          <w:sz w:val="28"/>
          <w:szCs w:val="28"/>
        </w:rPr>
        <w:t xml:space="preserve">solicitó </w:t>
      </w:r>
      <w:r w:rsidR="0076194F" w:rsidRPr="00274507">
        <w:rPr>
          <w:sz w:val="28"/>
          <w:szCs w:val="28"/>
        </w:rPr>
        <w:t>a</w:t>
      </w:r>
      <w:r w:rsidR="00C76FF1" w:rsidRPr="00274507">
        <w:rPr>
          <w:sz w:val="28"/>
          <w:szCs w:val="28"/>
        </w:rPr>
        <w:t xml:space="preserve">. </w:t>
      </w:r>
    </w:p>
    <w:p w:rsidR="00C76FF1" w:rsidRPr="00274507" w:rsidRDefault="00C76FF1" w:rsidP="00274507">
      <w:pPr>
        <w:widowControl w:val="0"/>
        <w:tabs>
          <w:tab w:val="left" w:pos="426"/>
        </w:tabs>
        <w:autoSpaceDE w:val="0"/>
        <w:autoSpaceDN w:val="0"/>
        <w:adjustRightInd w:val="0"/>
        <w:jc w:val="both"/>
        <w:rPr>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0D629B" w:rsidRPr="00274507">
        <w:rPr>
          <w:sz w:val="28"/>
          <w:szCs w:val="28"/>
        </w:rPr>
        <w:t>.</w:t>
      </w:r>
      <w:r w:rsidR="00F55E3F" w:rsidRPr="00274507">
        <w:rPr>
          <w:sz w:val="28"/>
          <w:szCs w:val="28"/>
        </w:rPr>
        <w:t>9</w:t>
      </w:r>
      <w:r w:rsidR="00C76FF1" w:rsidRPr="00274507">
        <w:rPr>
          <w:sz w:val="28"/>
          <w:szCs w:val="28"/>
        </w:rPr>
        <w:t>.1.</w:t>
      </w:r>
      <w:r w:rsidR="00A23076" w:rsidRPr="00274507">
        <w:rPr>
          <w:sz w:val="28"/>
          <w:szCs w:val="28"/>
        </w:rPr>
        <w:t xml:space="preserve"> </w:t>
      </w:r>
      <w:r w:rsidR="00C76FF1" w:rsidRPr="00274507">
        <w:rPr>
          <w:sz w:val="28"/>
          <w:szCs w:val="28"/>
        </w:rPr>
        <w:t xml:space="preserve">En respuesta de lo anterior, el </w:t>
      </w:r>
      <w:r w:rsidR="00946169" w:rsidRPr="00274507">
        <w:rPr>
          <w:sz w:val="28"/>
          <w:szCs w:val="28"/>
        </w:rPr>
        <w:t xml:space="preserve">23 de septiembre de 2014 el Ministerio </w:t>
      </w:r>
      <w:r w:rsidR="00C76FF1" w:rsidRPr="00274507">
        <w:rPr>
          <w:sz w:val="28"/>
          <w:szCs w:val="28"/>
        </w:rPr>
        <w:t>de Salud</w:t>
      </w:r>
      <w:r w:rsidR="00C76FF1" w:rsidRPr="00274507">
        <w:rPr>
          <w:rStyle w:val="Refdenotaalpie"/>
          <w:sz w:val="28"/>
          <w:szCs w:val="28"/>
        </w:rPr>
        <w:footnoteReference w:id="89"/>
      </w:r>
      <w:r w:rsidR="002A76F4" w:rsidRPr="00274507">
        <w:rPr>
          <w:sz w:val="28"/>
          <w:szCs w:val="28"/>
        </w:rPr>
        <w:t xml:space="preserve"> atendió los requerimientos así</w:t>
      </w:r>
      <w:r w:rsidR="00C76FF1" w:rsidRPr="00274507">
        <w:rPr>
          <w:sz w:val="28"/>
          <w:szCs w:val="28"/>
        </w:rPr>
        <w:t>:</w:t>
      </w:r>
    </w:p>
    <w:p w:rsidR="00864F63" w:rsidRPr="00274507" w:rsidRDefault="00864F63" w:rsidP="00274507">
      <w:pPr>
        <w:widowControl w:val="0"/>
        <w:tabs>
          <w:tab w:val="left" w:pos="426"/>
        </w:tabs>
        <w:autoSpaceDE w:val="0"/>
        <w:autoSpaceDN w:val="0"/>
        <w:adjustRightInd w:val="0"/>
        <w:jc w:val="both"/>
        <w:rPr>
          <w:sz w:val="28"/>
          <w:szCs w:val="28"/>
        </w:rPr>
      </w:pPr>
    </w:p>
    <w:tbl>
      <w:tblPr>
        <w:tblStyle w:val="Tablaconcuadrcula"/>
        <w:tblW w:w="0" w:type="auto"/>
        <w:tblLook w:val="04A0" w:firstRow="1" w:lastRow="0" w:firstColumn="1" w:lastColumn="0" w:noHBand="0" w:noVBand="1"/>
      </w:tblPr>
      <w:tblGrid>
        <w:gridCol w:w="4556"/>
        <w:gridCol w:w="4557"/>
      </w:tblGrid>
      <w:tr w:rsidR="00C76FF1" w:rsidRPr="00274507" w:rsidTr="00864F63">
        <w:tc>
          <w:tcPr>
            <w:tcW w:w="4556" w:type="dxa"/>
          </w:tcPr>
          <w:p w:rsidR="00C76FF1" w:rsidRPr="00274507" w:rsidRDefault="00C76FF1" w:rsidP="00274507">
            <w:pPr>
              <w:pStyle w:val="Prrafodelista"/>
              <w:tabs>
                <w:tab w:val="left" w:pos="567"/>
              </w:tabs>
              <w:ind w:left="0"/>
              <w:contextualSpacing/>
              <w:jc w:val="center"/>
              <w:rPr>
                <w:b/>
                <w:bCs/>
                <w:sz w:val="28"/>
                <w:szCs w:val="28"/>
              </w:rPr>
            </w:pPr>
            <w:r w:rsidRPr="00274507">
              <w:rPr>
                <w:b/>
                <w:bCs/>
                <w:sz w:val="28"/>
                <w:szCs w:val="28"/>
              </w:rPr>
              <w:t>Preguntas</w:t>
            </w:r>
          </w:p>
        </w:tc>
        <w:tc>
          <w:tcPr>
            <w:tcW w:w="4557"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Respuestas</w:t>
            </w:r>
          </w:p>
        </w:tc>
      </w:tr>
      <w:tr w:rsidR="00C76FF1" w:rsidRPr="00274507" w:rsidTr="00864F63">
        <w:tc>
          <w:tcPr>
            <w:tcW w:w="4556" w:type="dxa"/>
          </w:tcPr>
          <w:p w:rsidR="00C76FF1" w:rsidRPr="00274507" w:rsidRDefault="00C76FF1" w:rsidP="00274507">
            <w:pPr>
              <w:tabs>
                <w:tab w:val="left" w:pos="567"/>
              </w:tabs>
              <w:contextualSpacing/>
              <w:jc w:val="both"/>
              <w:rPr>
                <w:bCs/>
                <w:sz w:val="28"/>
                <w:szCs w:val="28"/>
              </w:rPr>
            </w:pPr>
            <w:r w:rsidRPr="00274507">
              <w:rPr>
                <w:bCs/>
                <w:sz w:val="28"/>
                <w:szCs w:val="28"/>
              </w:rPr>
              <w:t>¿Qué recursos (personal, institucional, material, etc.) ha dispuesto, a la fecha, para el recaudo y análisis de la información necesaria para medir el número de acciones de tutela interpuestas relacionadas con cada uno de los problemas jurídicos abordados en la Sentencia T-760 de 2008?</w:t>
            </w:r>
          </w:p>
          <w:p w:rsidR="00C76FF1" w:rsidRPr="00274507" w:rsidRDefault="00C76FF1" w:rsidP="00274507">
            <w:pPr>
              <w:widowControl w:val="0"/>
              <w:tabs>
                <w:tab w:val="left" w:pos="426"/>
              </w:tabs>
              <w:autoSpaceDE w:val="0"/>
              <w:autoSpaceDN w:val="0"/>
              <w:adjustRightInd w:val="0"/>
              <w:jc w:val="both"/>
              <w:rPr>
                <w:sz w:val="28"/>
                <w:szCs w:val="28"/>
              </w:rPr>
            </w:pPr>
          </w:p>
        </w:tc>
        <w:tc>
          <w:tcPr>
            <w:tcW w:w="4557"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Existe una estrategia diseñada para recolectar la información de las tutelas que obran en la Corte, por parte de los investigadores asignados por el Ministerio, quienes asisten a las instalaciones los días martes, miércoles y jueves de cada semana, dotadas con un computador portátil y un escáner.</w:t>
            </w:r>
          </w:p>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En el Ministerio se cuenta con un grupo de acciones constitucionales, conformado por 4 profesionales en derecho y 10 estudiantes de la misma área</w:t>
            </w:r>
            <w:r w:rsidR="0077263A" w:rsidRPr="00274507">
              <w:rPr>
                <w:rStyle w:val="Refdenotaalpie"/>
                <w:sz w:val="28"/>
                <w:szCs w:val="28"/>
              </w:rPr>
              <w:footnoteReference w:id="90"/>
            </w:r>
            <w:r w:rsidR="0077263A" w:rsidRPr="00274507">
              <w:rPr>
                <w:sz w:val="28"/>
                <w:szCs w:val="28"/>
              </w:rPr>
              <w:t>.</w:t>
            </w:r>
            <w:r w:rsidRPr="00274507">
              <w:rPr>
                <w:sz w:val="28"/>
                <w:szCs w:val="28"/>
              </w:rPr>
              <w:t xml:space="preserve"> </w:t>
            </w:r>
          </w:p>
        </w:tc>
      </w:tr>
      <w:tr w:rsidR="00C76FF1" w:rsidRPr="00274507" w:rsidTr="00864F63">
        <w:tc>
          <w:tcPr>
            <w:tcW w:w="4556" w:type="dxa"/>
          </w:tcPr>
          <w:p w:rsidR="00C76FF1" w:rsidRPr="00274507" w:rsidRDefault="00C76FF1" w:rsidP="00274507">
            <w:pPr>
              <w:tabs>
                <w:tab w:val="left" w:pos="567"/>
              </w:tabs>
              <w:contextualSpacing/>
              <w:jc w:val="both"/>
              <w:rPr>
                <w:bCs/>
                <w:sz w:val="28"/>
                <w:szCs w:val="28"/>
              </w:rPr>
            </w:pPr>
            <w:r w:rsidRPr="00274507">
              <w:rPr>
                <w:bCs/>
                <w:sz w:val="28"/>
                <w:szCs w:val="28"/>
              </w:rPr>
              <w:t>¿Qué medidas ha adoptado, desde 2009 a la fecha, en aras de corregir las fallas de información y del sistema de salud identificadas a partir del estudio de los datos recaudados en virtud del cumplimiento a la orden trigésima?</w:t>
            </w:r>
          </w:p>
          <w:p w:rsidR="00C76FF1" w:rsidRPr="00274507" w:rsidRDefault="00C76FF1" w:rsidP="00274507">
            <w:pPr>
              <w:widowControl w:val="0"/>
              <w:tabs>
                <w:tab w:val="left" w:pos="426"/>
              </w:tabs>
              <w:autoSpaceDE w:val="0"/>
              <w:autoSpaceDN w:val="0"/>
              <w:adjustRightInd w:val="0"/>
              <w:jc w:val="both"/>
              <w:rPr>
                <w:sz w:val="28"/>
                <w:szCs w:val="28"/>
              </w:rPr>
            </w:pPr>
          </w:p>
        </w:tc>
        <w:tc>
          <w:tcPr>
            <w:tcW w:w="4557" w:type="dxa"/>
          </w:tcPr>
          <w:p w:rsidR="00C76FF1" w:rsidRPr="00274507" w:rsidRDefault="00C76FF1" w:rsidP="00274507">
            <w:pPr>
              <w:pStyle w:val="Prrafodelista"/>
              <w:widowControl w:val="0"/>
              <w:numPr>
                <w:ilvl w:val="3"/>
                <w:numId w:val="2"/>
              </w:numPr>
              <w:tabs>
                <w:tab w:val="clear" w:pos="2880"/>
                <w:tab w:val="left" w:pos="426"/>
              </w:tabs>
              <w:autoSpaceDE w:val="0"/>
              <w:autoSpaceDN w:val="0"/>
              <w:adjustRightInd w:val="0"/>
              <w:ind w:left="9" w:hanging="2729"/>
              <w:jc w:val="both"/>
              <w:rPr>
                <w:sz w:val="28"/>
                <w:szCs w:val="28"/>
              </w:rPr>
            </w:pPr>
            <w:r w:rsidRPr="00274507">
              <w:rPr>
                <w:sz w:val="28"/>
                <w:szCs w:val="28"/>
              </w:rPr>
              <w:t>1. Corregir las fallas del sistema a través de la unificación de los planes de beneficios entre el régimen subsidiado y contributivo, que a partir de julio de 2012 igualó las condiciones de la población.</w:t>
            </w:r>
          </w:p>
          <w:p w:rsidR="00C76FF1" w:rsidRPr="00274507" w:rsidRDefault="00C76FF1" w:rsidP="00274507">
            <w:pPr>
              <w:pStyle w:val="Prrafodelista"/>
              <w:widowControl w:val="0"/>
              <w:numPr>
                <w:ilvl w:val="3"/>
                <w:numId w:val="2"/>
              </w:numPr>
              <w:tabs>
                <w:tab w:val="clear" w:pos="2880"/>
                <w:tab w:val="left" w:pos="426"/>
              </w:tabs>
              <w:autoSpaceDE w:val="0"/>
              <w:autoSpaceDN w:val="0"/>
              <w:adjustRightInd w:val="0"/>
              <w:ind w:left="9" w:hanging="2729"/>
              <w:jc w:val="both"/>
              <w:rPr>
                <w:sz w:val="28"/>
                <w:szCs w:val="28"/>
              </w:rPr>
            </w:pPr>
            <w:r w:rsidRPr="00274507">
              <w:rPr>
                <w:sz w:val="28"/>
                <w:szCs w:val="28"/>
              </w:rPr>
              <w:t>2. Actualizaciones integrales de los planes de beneficios que han llevado a la inclusión de servicios, en mejora de la cobertura de salud.</w:t>
            </w:r>
          </w:p>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 xml:space="preserve">3. En la </w:t>
            </w:r>
            <w:r w:rsidR="00E42CBC" w:rsidRPr="00274507">
              <w:rPr>
                <w:sz w:val="28"/>
                <w:szCs w:val="28"/>
              </w:rPr>
              <w:t>Resolución</w:t>
            </w:r>
            <w:r w:rsidRPr="00274507">
              <w:rPr>
                <w:sz w:val="28"/>
                <w:szCs w:val="28"/>
              </w:rPr>
              <w:t xml:space="preserve"> 5521 de 2013</w:t>
            </w:r>
            <w:r w:rsidRPr="00274507">
              <w:rPr>
                <w:rStyle w:val="Refdenotaalpie"/>
                <w:sz w:val="28"/>
                <w:szCs w:val="28"/>
              </w:rPr>
              <w:footnoteReference w:id="91"/>
            </w:r>
            <w:r w:rsidR="0077263A" w:rsidRPr="00274507">
              <w:rPr>
                <w:sz w:val="28"/>
                <w:szCs w:val="28"/>
              </w:rPr>
              <w:t xml:space="preserve">, </w:t>
            </w:r>
            <w:r w:rsidRPr="00274507">
              <w:rPr>
                <w:sz w:val="28"/>
                <w:szCs w:val="28"/>
              </w:rPr>
              <w:t>se adoptaron medidas para atacar al</w:t>
            </w:r>
            <w:r w:rsidR="00D83F94" w:rsidRPr="00274507">
              <w:rPr>
                <w:sz w:val="28"/>
                <w:szCs w:val="28"/>
              </w:rPr>
              <w:t>gunas de las fallas del sistema</w:t>
            </w:r>
            <w:r w:rsidR="00D83F94" w:rsidRPr="00274507">
              <w:rPr>
                <w:rStyle w:val="Refdenotaalpie"/>
                <w:sz w:val="28"/>
                <w:szCs w:val="28"/>
              </w:rPr>
              <w:footnoteReference w:id="92"/>
            </w:r>
            <w:r w:rsidR="00D83F94" w:rsidRPr="00274507">
              <w:rPr>
                <w:sz w:val="28"/>
                <w:szCs w:val="28"/>
              </w:rPr>
              <w:t>.</w:t>
            </w:r>
          </w:p>
        </w:tc>
      </w:tr>
      <w:tr w:rsidR="00C76FF1" w:rsidRPr="00274507" w:rsidTr="00864F63">
        <w:tc>
          <w:tcPr>
            <w:tcW w:w="4556" w:type="dxa"/>
          </w:tcPr>
          <w:p w:rsidR="00C76FF1" w:rsidRPr="00274507" w:rsidRDefault="00C76FF1" w:rsidP="00274507">
            <w:pPr>
              <w:tabs>
                <w:tab w:val="left" w:pos="567"/>
              </w:tabs>
              <w:contextualSpacing/>
              <w:jc w:val="both"/>
              <w:rPr>
                <w:bCs/>
                <w:sz w:val="28"/>
                <w:szCs w:val="28"/>
              </w:rPr>
            </w:pPr>
            <w:r w:rsidRPr="00274507">
              <w:rPr>
                <w:bCs/>
                <w:sz w:val="28"/>
                <w:szCs w:val="28"/>
              </w:rPr>
              <w:t>Teniendo en cuenta la respuesta dada al Auto de 9 de septiembre de 2013, en la que reconoció que con la inclusión de algunas de las propuestas de los Grupos de Seguimiento podría mejorarse la calidad de las conclusiones de los estudios que se adelantan en virtud del ordinal trigésimo, ¿qué modificaciones a metodología fueron plasm</w:t>
            </w:r>
            <w:r w:rsidR="00D83F94" w:rsidRPr="00274507">
              <w:rPr>
                <w:bCs/>
                <w:sz w:val="28"/>
                <w:szCs w:val="28"/>
              </w:rPr>
              <w:t>adas en el sexto informe anual?</w:t>
            </w:r>
          </w:p>
        </w:tc>
        <w:tc>
          <w:tcPr>
            <w:tcW w:w="4557" w:type="dxa"/>
          </w:tcPr>
          <w:p w:rsidR="00C76FF1" w:rsidRPr="00274507" w:rsidRDefault="00C76FF1" w:rsidP="00274507">
            <w:pPr>
              <w:pStyle w:val="Prrafodelista"/>
              <w:widowControl w:val="0"/>
              <w:numPr>
                <w:ilvl w:val="6"/>
                <w:numId w:val="2"/>
              </w:numPr>
              <w:tabs>
                <w:tab w:val="clear" w:pos="5040"/>
                <w:tab w:val="num" w:pos="313"/>
                <w:tab w:val="left" w:pos="426"/>
              </w:tabs>
              <w:autoSpaceDE w:val="0"/>
              <w:autoSpaceDN w:val="0"/>
              <w:adjustRightInd w:val="0"/>
              <w:ind w:left="29" w:hanging="29"/>
              <w:jc w:val="both"/>
              <w:rPr>
                <w:sz w:val="28"/>
                <w:szCs w:val="28"/>
              </w:rPr>
            </w:pPr>
            <w:r w:rsidRPr="00274507">
              <w:rPr>
                <w:sz w:val="28"/>
                <w:szCs w:val="28"/>
              </w:rPr>
              <w:t>El Ministerio efectúo un convenio con la Defensoría del Pueblo para compartir la información para la construcción de los informes de la serie “</w:t>
            </w:r>
            <w:r w:rsidRPr="00274507">
              <w:rPr>
                <w:i/>
                <w:sz w:val="28"/>
                <w:szCs w:val="28"/>
              </w:rPr>
              <w:t>la tutela y el derecho a la salud</w:t>
            </w:r>
            <w:r w:rsidRPr="00274507">
              <w:rPr>
                <w:sz w:val="28"/>
                <w:szCs w:val="28"/>
              </w:rPr>
              <w:t>” con el fin de mejorar los análisis futuros.</w:t>
            </w:r>
          </w:p>
          <w:p w:rsidR="00C76FF1" w:rsidRPr="00274507" w:rsidRDefault="00C76FF1" w:rsidP="00274507">
            <w:pPr>
              <w:pStyle w:val="Prrafodelista"/>
              <w:widowControl w:val="0"/>
              <w:numPr>
                <w:ilvl w:val="6"/>
                <w:numId w:val="2"/>
              </w:numPr>
              <w:tabs>
                <w:tab w:val="clear" w:pos="5040"/>
                <w:tab w:val="num" w:pos="313"/>
                <w:tab w:val="left" w:pos="426"/>
              </w:tabs>
              <w:autoSpaceDE w:val="0"/>
              <w:autoSpaceDN w:val="0"/>
              <w:adjustRightInd w:val="0"/>
              <w:ind w:left="29" w:hanging="29"/>
              <w:jc w:val="both"/>
              <w:rPr>
                <w:sz w:val="28"/>
                <w:szCs w:val="28"/>
              </w:rPr>
            </w:pPr>
            <w:r w:rsidRPr="00274507">
              <w:rPr>
                <w:sz w:val="28"/>
                <w:szCs w:val="28"/>
              </w:rPr>
              <w:t>Desarrolló una nueva metodología de muestreo estratificado por Departamentos.</w:t>
            </w:r>
          </w:p>
        </w:tc>
      </w:tr>
    </w:tbl>
    <w:p w:rsidR="00864F63" w:rsidRPr="00274507" w:rsidRDefault="00864F63" w:rsidP="00274507">
      <w:pPr>
        <w:widowControl w:val="0"/>
        <w:tabs>
          <w:tab w:val="left" w:pos="426"/>
        </w:tabs>
        <w:autoSpaceDE w:val="0"/>
        <w:autoSpaceDN w:val="0"/>
        <w:adjustRightInd w:val="0"/>
        <w:jc w:val="both"/>
        <w:rPr>
          <w:sz w:val="28"/>
          <w:szCs w:val="28"/>
        </w:rPr>
      </w:pPr>
    </w:p>
    <w:p w:rsidR="00D52D60"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0D629B" w:rsidRPr="00274507">
        <w:rPr>
          <w:sz w:val="28"/>
          <w:szCs w:val="28"/>
        </w:rPr>
        <w:t>.</w:t>
      </w:r>
      <w:r w:rsidR="00F55E3F" w:rsidRPr="00274507">
        <w:rPr>
          <w:sz w:val="28"/>
          <w:szCs w:val="28"/>
        </w:rPr>
        <w:t>9</w:t>
      </w:r>
      <w:r w:rsidR="000D629B" w:rsidRPr="00274507">
        <w:rPr>
          <w:sz w:val="28"/>
          <w:szCs w:val="28"/>
        </w:rPr>
        <w:t>.2</w:t>
      </w:r>
      <w:r w:rsidR="00C76FF1" w:rsidRPr="00274507">
        <w:rPr>
          <w:sz w:val="28"/>
          <w:szCs w:val="28"/>
        </w:rPr>
        <w:t>.</w:t>
      </w:r>
      <w:r w:rsidR="002A76F4" w:rsidRPr="00274507">
        <w:rPr>
          <w:sz w:val="28"/>
          <w:szCs w:val="28"/>
        </w:rPr>
        <w:t xml:space="preserve"> </w:t>
      </w:r>
      <w:r w:rsidR="005C2B88" w:rsidRPr="00274507">
        <w:rPr>
          <w:sz w:val="28"/>
          <w:szCs w:val="28"/>
        </w:rPr>
        <w:t>E</w:t>
      </w:r>
      <w:r w:rsidR="00C76FF1" w:rsidRPr="00274507">
        <w:rPr>
          <w:sz w:val="28"/>
          <w:szCs w:val="28"/>
        </w:rPr>
        <w:t>l 7 de octubre de 2014 la Defensoría del Pueblo</w:t>
      </w:r>
      <w:r w:rsidR="00C76FF1" w:rsidRPr="00274507">
        <w:rPr>
          <w:rStyle w:val="Refdenotaalpie"/>
          <w:sz w:val="28"/>
          <w:szCs w:val="28"/>
        </w:rPr>
        <w:footnoteReference w:id="93"/>
      </w:r>
      <w:r w:rsidR="00C76FF1" w:rsidRPr="00274507">
        <w:rPr>
          <w:sz w:val="28"/>
          <w:szCs w:val="28"/>
        </w:rPr>
        <w:t xml:space="preserve"> indicó </w:t>
      </w:r>
      <w:r w:rsidR="00946169" w:rsidRPr="00274507">
        <w:rPr>
          <w:sz w:val="28"/>
          <w:szCs w:val="28"/>
        </w:rPr>
        <w:t>que en ninguno de los cinco</w:t>
      </w:r>
      <w:r w:rsidR="00C76FF1" w:rsidRPr="00274507">
        <w:rPr>
          <w:sz w:val="28"/>
          <w:szCs w:val="28"/>
        </w:rPr>
        <w:t xml:space="preserve"> informes presentados por el Ministerio</w:t>
      </w:r>
      <w:r w:rsidR="002D3DB1" w:rsidRPr="00274507">
        <w:rPr>
          <w:sz w:val="28"/>
          <w:szCs w:val="28"/>
        </w:rPr>
        <w:t xml:space="preserve"> de Salud</w:t>
      </w:r>
      <w:r w:rsidR="00C76FF1" w:rsidRPr="00274507">
        <w:rPr>
          <w:sz w:val="28"/>
          <w:szCs w:val="28"/>
        </w:rPr>
        <w:t xml:space="preserve"> </w:t>
      </w:r>
      <w:r w:rsidR="00D52D60" w:rsidRPr="00274507">
        <w:rPr>
          <w:sz w:val="28"/>
          <w:szCs w:val="28"/>
        </w:rPr>
        <w:t xml:space="preserve">se podían </w:t>
      </w:r>
      <w:r w:rsidR="00C76FF1" w:rsidRPr="00274507">
        <w:rPr>
          <w:sz w:val="28"/>
          <w:szCs w:val="28"/>
        </w:rPr>
        <w:t>comparar los resultados</w:t>
      </w:r>
      <w:r w:rsidR="00D52D60" w:rsidRPr="00274507">
        <w:rPr>
          <w:sz w:val="28"/>
          <w:szCs w:val="28"/>
        </w:rPr>
        <w:t xml:space="preserve"> respecto al</w:t>
      </w:r>
      <w:r w:rsidR="002A76F4" w:rsidRPr="00274507">
        <w:rPr>
          <w:sz w:val="28"/>
          <w:szCs w:val="28"/>
        </w:rPr>
        <w:t xml:space="preserve"> aumento o disminución de las acciones de tutela presentadas por servicios de salud</w:t>
      </w:r>
      <w:r w:rsidR="004F5365" w:rsidRPr="00274507">
        <w:rPr>
          <w:sz w:val="28"/>
          <w:szCs w:val="28"/>
        </w:rPr>
        <w:t xml:space="preserve">. </w:t>
      </w:r>
      <w:r w:rsidR="00D52D60" w:rsidRPr="00274507">
        <w:rPr>
          <w:sz w:val="28"/>
          <w:szCs w:val="28"/>
        </w:rPr>
        <w:t>En consecuencia, r</w:t>
      </w:r>
      <w:r w:rsidR="00C76FF1" w:rsidRPr="00274507">
        <w:rPr>
          <w:sz w:val="28"/>
          <w:szCs w:val="28"/>
        </w:rPr>
        <w:t>ecomendó conformar un grupo permanente que acudiera a la base de datos de la Corte Constitucional para seleccionar la muestra, así como impulsar a la estandarización y modernización de la</w:t>
      </w:r>
      <w:r w:rsidR="00B331C7" w:rsidRPr="00274507">
        <w:rPr>
          <w:sz w:val="28"/>
          <w:szCs w:val="28"/>
        </w:rPr>
        <w:t xml:space="preserve"> misma</w:t>
      </w:r>
      <w:r w:rsidR="004F5365" w:rsidRPr="00274507">
        <w:rPr>
          <w:sz w:val="28"/>
          <w:szCs w:val="28"/>
        </w:rPr>
        <w:t xml:space="preserve">, advirtiendo que </w:t>
      </w:r>
      <w:r w:rsidR="00D52D60" w:rsidRPr="00274507">
        <w:rPr>
          <w:sz w:val="28"/>
          <w:szCs w:val="28"/>
        </w:rPr>
        <w:t>es allí donde se encontraba</w:t>
      </w:r>
      <w:r w:rsidR="00C76FF1" w:rsidRPr="00274507">
        <w:rPr>
          <w:sz w:val="28"/>
          <w:szCs w:val="28"/>
        </w:rPr>
        <w:t xml:space="preserve"> el valor</w:t>
      </w:r>
      <w:r w:rsidR="00946169" w:rsidRPr="00274507">
        <w:rPr>
          <w:sz w:val="28"/>
          <w:szCs w:val="28"/>
        </w:rPr>
        <w:t xml:space="preserve"> absoluto del número de tutelas</w:t>
      </w:r>
      <w:r w:rsidR="00C76FF1" w:rsidRPr="00274507">
        <w:rPr>
          <w:sz w:val="28"/>
          <w:szCs w:val="28"/>
        </w:rPr>
        <w:t xml:space="preserve"> al ser la única</w:t>
      </w:r>
      <w:r w:rsidR="00D52D60" w:rsidRPr="00274507">
        <w:rPr>
          <w:sz w:val="28"/>
          <w:szCs w:val="28"/>
        </w:rPr>
        <w:t xml:space="preserve"> fuente</w:t>
      </w:r>
      <w:r w:rsidR="00C76FF1" w:rsidRPr="00274507">
        <w:rPr>
          <w:sz w:val="28"/>
          <w:szCs w:val="28"/>
        </w:rPr>
        <w:t xml:space="preserve"> </w:t>
      </w:r>
      <w:r w:rsidR="00D52D60" w:rsidRPr="00274507">
        <w:rPr>
          <w:sz w:val="28"/>
          <w:szCs w:val="28"/>
        </w:rPr>
        <w:t xml:space="preserve">disponible para tal fin. </w:t>
      </w:r>
    </w:p>
    <w:p w:rsidR="00D52D60" w:rsidRPr="00274507" w:rsidRDefault="00D52D60" w:rsidP="00274507">
      <w:pPr>
        <w:widowControl w:val="0"/>
        <w:tabs>
          <w:tab w:val="left" w:pos="426"/>
        </w:tabs>
        <w:autoSpaceDE w:val="0"/>
        <w:autoSpaceDN w:val="0"/>
        <w:adjustRightInd w:val="0"/>
        <w:jc w:val="both"/>
        <w:rPr>
          <w:sz w:val="28"/>
          <w:szCs w:val="28"/>
        </w:rPr>
      </w:pPr>
    </w:p>
    <w:p w:rsidR="00C76FF1" w:rsidRPr="00274507" w:rsidRDefault="00D52D60" w:rsidP="00274507">
      <w:pPr>
        <w:widowControl w:val="0"/>
        <w:tabs>
          <w:tab w:val="left" w:pos="426"/>
        </w:tabs>
        <w:autoSpaceDE w:val="0"/>
        <w:autoSpaceDN w:val="0"/>
        <w:adjustRightInd w:val="0"/>
        <w:jc w:val="both"/>
        <w:rPr>
          <w:sz w:val="28"/>
          <w:szCs w:val="28"/>
        </w:rPr>
      </w:pPr>
      <w:r w:rsidRPr="00274507">
        <w:rPr>
          <w:sz w:val="28"/>
          <w:szCs w:val="28"/>
        </w:rPr>
        <w:t xml:space="preserve">De esta manera, consideró importante </w:t>
      </w:r>
      <w:r w:rsidR="00C76FF1" w:rsidRPr="00274507">
        <w:rPr>
          <w:sz w:val="28"/>
          <w:szCs w:val="28"/>
        </w:rPr>
        <w:t>l</w:t>
      </w:r>
      <w:r w:rsidR="00946169" w:rsidRPr="00274507">
        <w:rPr>
          <w:sz w:val="28"/>
          <w:szCs w:val="28"/>
        </w:rPr>
        <w:t>a necesidad de presentar los resultados de los informes de cumplimiento mediante la a</w:t>
      </w:r>
      <w:r w:rsidR="00C76FF1" w:rsidRPr="00274507">
        <w:rPr>
          <w:sz w:val="28"/>
          <w:szCs w:val="28"/>
        </w:rPr>
        <w:t xml:space="preserve">udiencia </w:t>
      </w:r>
      <w:r w:rsidR="00946169" w:rsidRPr="00274507">
        <w:rPr>
          <w:sz w:val="28"/>
          <w:szCs w:val="28"/>
        </w:rPr>
        <w:t>p</w:t>
      </w:r>
      <w:r w:rsidR="00C76FF1" w:rsidRPr="00274507">
        <w:rPr>
          <w:sz w:val="28"/>
          <w:szCs w:val="28"/>
        </w:rPr>
        <w:t xml:space="preserve">ública </w:t>
      </w:r>
      <w:r w:rsidR="00946169" w:rsidRPr="00274507">
        <w:rPr>
          <w:sz w:val="28"/>
          <w:szCs w:val="28"/>
        </w:rPr>
        <w:t xml:space="preserve">nacional de rendición de cuentas, implementando acciones regulatorias de la misma </w:t>
      </w:r>
      <w:r w:rsidR="00C76FF1" w:rsidRPr="00274507">
        <w:rPr>
          <w:sz w:val="28"/>
          <w:szCs w:val="28"/>
        </w:rPr>
        <w:t>para garantizar el goce efectivo del derecho a la salud, al igual que difundir la información en las EPS y usuarios para dar a conocer públicamente y a la sociedad su interés para apropiarse del caso.</w:t>
      </w:r>
    </w:p>
    <w:p w:rsidR="00E1729E" w:rsidRPr="00274507" w:rsidRDefault="00E1729E" w:rsidP="00274507">
      <w:pPr>
        <w:widowControl w:val="0"/>
        <w:tabs>
          <w:tab w:val="left" w:pos="426"/>
        </w:tabs>
        <w:autoSpaceDE w:val="0"/>
        <w:autoSpaceDN w:val="0"/>
        <w:adjustRightInd w:val="0"/>
        <w:jc w:val="both"/>
        <w:rPr>
          <w:b/>
          <w:sz w:val="28"/>
          <w:szCs w:val="28"/>
        </w:rPr>
      </w:pPr>
    </w:p>
    <w:p w:rsidR="00C76FF1" w:rsidRPr="00274507" w:rsidRDefault="000A51A3" w:rsidP="00274507">
      <w:pPr>
        <w:widowControl w:val="0"/>
        <w:tabs>
          <w:tab w:val="left" w:pos="426"/>
        </w:tabs>
        <w:autoSpaceDE w:val="0"/>
        <w:autoSpaceDN w:val="0"/>
        <w:adjustRightInd w:val="0"/>
        <w:jc w:val="both"/>
        <w:rPr>
          <w:sz w:val="28"/>
          <w:szCs w:val="28"/>
        </w:rPr>
      </w:pPr>
      <w:r w:rsidRPr="00274507">
        <w:rPr>
          <w:sz w:val="28"/>
          <w:szCs w:val="28"/>
        </w:rPr>
        <w:t>4</w:t>
      </w:r>
      <w:r w:rsidR="000D629B" w:rsidRPr="00274507">
        <w:rPr>
          <w:sz w:val="28"/>
          <w:szCs w:val="28"/>
        </w:rPr>
        <w:t>.</w:t>
      </w:r>
      <w:r w:rsidR="00F55E3F" w:rsidRPr="00274507">
        <w:rPr>
          <w:sz w:val="28"/>
          <w:szCs w:val="28"/>
        </w:rPr>
        <w:t>9</w:t>
      </w:r>
      <w:r w:rsidR="000D629B" w:rsidRPr="00274507">
        <w:rPr>
          <w:sz w:val="28"/>
          <w:szCs w:val="28"/>
        </w:rPr>
        <w:t>.3</w:t>
      </w:r>
      <w:r w:rsidR="005C2B88" w:rsidRPr="00274507">
        <w:rPr>
          <w:b/>
          <w:sz w:val="28"/>
          <w:szCs w:val="28"/>
        </w:rPr>
        <w:t xml:space="preserve"> </w:t>
      </w:r>
      <w:r w:rsidR="005C2B88" w:rsidRPr="00274507">
        <w:rPr>
          <w:sz w:val="28"/>
          <w:szCs w:val="28"/>
        </w:rPr>
        <w:t>P</w:t>
      </w:r>
      <w:r w:rsidR="00C76FF1" w:rsidRPr="00274507">
        <w:rPr>
          <w:sz w:val="28"/>
          <w:szCs w:val="28"/>
        </w:rPr>
        <w:t>ara los días 2, 3 y 10 de octubre de 2014 los peritos constitucionales voluntarios Acemi</w:t>
      </w:r>
      <w:r w:rsidR="00C76FF1" w:rsidRPr="00274507">
        <w:rPr>
          <w:rStyle w:val="Refdenotaalpie"/>
          <w:sz w:val="28"/>
          <w:szCs w:val="28"/>
        </w:rPr>
        <w:footnoteReference w:id="94"/>
      </w:r>
      <w:r w:rsidR="00C76FF1" w:rsidRPr="00274507">
        <w:rPr>
          <w:sz w:val="28"/>
          <w:szCs w:val="28"/>
        </w:rPr>
        <w:t>, Gestarsalud</w:t>
      </w:r>
      <w:r w:rsidR="00C76FF1" w:rsidRPr="00274507">
        <w:rPr>
          <w:rStyle w:val="Refdenotaalpie"/>
          <w:sz w:val="28"/>
          <w:szCs w:val="28"/>
        </w:rPr>
        <w:footnoteReference w:id="95"/>
      </w:r>
      <w:r w:rsidR="00582099" w:rsidRPr="00274507">
        <w:rPr>
          <w:sz w:val="28"/>
          <w:szCs w:val="28"/>
        </w:rPr>
        <w:t>, CS</w:t>
      </w:r>
      <w:r w:rsidR="00C76FF1" w:rsidRPr="00274507">
        <w:rPr>
          <w:sz w:val="28"/>
          <w:szCs w:val="28"/>
        </w:rPr>
        <w:t>R</w:t>
      </w:r>
      <w:r w:rsidR="00C76FF1" w:rsidRPr="00274507">
        <w:rPr>
          <w:rStyle w:val="Refdenotaalpie"/>
          <w:sz w:val="28"/>
          <w:szCs w:val="28"/>
        </w:rPr>
        <w:footnoteReference w:id="96"/>
      </w:r>
      <w:r w:rsidR="00C76FF1" w:rsidRPr="00274507">
        <w:rPr>
          <w:sz w:val="28"/>
          <w:szCs w:val="28"/>
        </w:rPr>
        <w:t xml:space="preserve"> y Así Vamos en Salud</w:t>
      </w:r>
      <w:r w:rsidR="00C76FF1" w:rsidRPr="00274507">
        <w:rPr>
          <w:rStyle w:val="Refdenotaalpie"/>
          <w:sz w:val="28"/>
          <w:szCs w:val="28"/>
        </w:rPr>
        <w:footnoteReference w:id="97"/>
      </w:r>
      <w:r w:rsidR="00C76FF1" w:rsidRPr="00274507">
        <w:rPr>
          <w:sz w:val="28"/>
          <w:szCs w:val="28"/>
        </w:rPr>
        <w:t xml:space="preserve">, </w:t>
      </w:r>
      <w:r w:rsidR="00946169" w:rsidRPr="00274507">
        <w:rPr>
          <w:sz w:val="28"/>
          <w:szCs w:val="28"/>
        </w:rPr>
        <w:t>respecto a sí, de los informes presentados a la fecha se podría establecer una línea base y a qué año correspondería,</w:t>
      </w:r>
      <w:r w:rsidR="00D52D60" w:rsidRPr="00274507">
        <w:rPr>
          <w:sz w:val="28"/>
          <w:szCs w:val="28"/>
        </w:rPr>
        <w:t xml:space="preserve"> en ese sentido,</w:t>
      </w:r>
      <w:r w:rsidR="00946169" w:rsidRPr="00274507">
        <w:rPr>
          <w:sz w:val="28"/>
          <w:szCs w:val="28"/>
        </w:rPr>
        <w:t xml:space="preserve"> advirtieron</w:t>
      </w:r>
      <w:r w:rsidR="00D52D60" w:rsidRPr="00274507">
        <w:rPr>
          <w:sz w:val="28"/>
          <w:szCs w:val="28"/>
        </w:rPr>
        <w:t xml:space="preserve"> lo siguiente</w:t>
      </w:r>
      <w:r w:rsidR="00B261A7" w:rsidRPr="00274507">
        <w:rPr>
          <w:bCs/>
          <w:sz w:val="28"/>
          <w:szCs w:val="28"/>
        </w:rPr>
        <w:t>:</w:t>
      </w:r>
    </w:p>
    <w:p w:rsidR="00D83F94" w:rsidRPr="00274507" w:rsidRDefault="00D83F94" w:rsidP="00274507">
      <w:pPr>
        <w:widowControl w:val="0"/>
        <w:tabs>
          <w:tab w:val="left" w:pos="426"/>
        </w:tabs>
        <w:autoSpaceDE w:val="0"/>
        <w:autoSpaceDN w:val="0"/>
        <w:adjustRightInd w:val="0"/>
        <w:jc w:val="both"/>
        <w:rPr>
          <w:bCs/>
          <w:sz w:val="28"/>
          <w:szCs w:val="28"/>
        </w:rPr>
      </w:pPr>
    </w:p>
    <w:tbl>
      <w:tblPr>
        <w:tblStyle w:val="Tablaconcuadrcula"/>
        <w:tblW w:w="0" w:type="auto"/>
        <w:tblInd w:w="-5" w:type="dxa"/>
        <w:tblLook w:val="04A0" w:firstRow="1" w:lastRow="0" w:firstColumn="1" w:lastColumn="0" w:noHBand="0" w:noVBand="1"/>
      </w:tblPr>
      <w:tblGrid>
        <w:gridCol w:w="2835"/>
        <w:gridCol w:w="6238"/>
      </w:tblGrid>
      <w:tr w:rsidR="00C76FF1" w:rsidRPr="00274507" w:rsidTr="00641997">
        <w:trPr>
          <w:trHeight w:val="307"/>
        </w:trPr>
        <w:tc>
          <w:tcPr>
            <w:tcW w:w="2835"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Peritos</w:t>
            </w:r>
          </w:p>
        </w:tc>
        <w:tc>
          <w:tcPr>
            <w:tcW w:w="6238" w:type="dxa"/>
          </w:tcPr>
          <w:p w:rsidR="00C76FF1" w:rsidRPr="00274507" w:rsidRDefault="00C76FF1" w:rsidP="00274507">
            <w:pPr>
              <w:widowControl w:val="0"/>
              <w:tabs>
                <w:tab w:val="left" w:pos="426"/>
              </w:tabs>
              <w:autoSpaceDE w:val="0"/>
              <w:autoSpaceDN w:val="0"/>
              <w:adjustRightInd w:val="0"/>
              <w:jc w:val="center"/>
              <w:rPr>
                <w:b/>
                <w:sz w:val="28"/>
                <w:szCs w:val="28"/>
              </w:rPr>
            </w:pPr>
            <w:r w:rsidRPr="00274507">
              <w:rPr>
                <w:b/>
                <w:sz w:val="28"/>
                <w:szCs w:val="28"/>
              </w:rPr>
              <w:t>Respuestas</w:t>
            </w:r>
          </w:p>
        </w:tc>
      </w:tr>
      <w:tr w:rsidR="00C76FF1" w:rsidRPr="00274507" w:rsidTr="00641997">
        <w:tc>
          <w:tcPr>
            <w:tcW w:w="2835" w:type="dxa"/>
          </w:tcPr>
          <w:p w:rsidR="00C76FF1" w:rsidRPr="00274507" w:rsidRDefault="00746928" w:rsidP="00274507">
            <w:pPr>
              <w:widowControl w:val="0"/>
              <w:tabs>
                <w:tab w:val="left" w:pos="426"/>
              </w:tabs>
              <w:autoSpaceDE w:val="0"/>
              <w:autoSpaceDN w:val="0"/>
              <w:adjustRightInd w:val="0"/>
              <w:jc w:val="both"/>
              <w:rPr>
                <w:sz w:val="28"/>
                <w:szCs w:val="28"/>
              </w:rPr>
            </w:pPr>
            <w:r w:rsidRPr="00274507">
              <w:rPr>
                <w:bCs/>
                <w:sz w:val="28"/>
                <w:szCs w:val="28"/>
                <w:shd w:val="clear" w:color="auto" w:fill="FFFFFF"/>
              </w:rPr>
              <w:t>Asociación Colombiana de Empresas de Medicina Integral</w:t>
            </w:r>
            <w:r w:rsidR="004B5F23" w:rsidRPr="00274507">
              <w:rPr>
                <w:sz w:val="28"/>
                <w:szCs w:val="28"/>
                <w:shd w:val="clear" w:color="auto" w:fill="FFFFFF"/>
              </w:rPr>
              <w:t xml:space="preserve"> -A</w:t>
            </w:r>
            <w:r w:rsidR="00582099" w:rsidRPr="00274507">
              <w:rPr>
                <w:bCs/>
                <w:sz w:val="28"/>
                <w:szCs w:val="28"/>
                <w:shd w:val="clear" w:color="auto" w:fill="FFFFFF"/>
              </w:rPr>
              <w:t>cemi</w:t>
            </w:r>
            <w:r w:rsidRPr="00274507">
              <w:rPr>
                <w:sz w:val="28"/>
                <w:szCs w:val="28"/>
                <w:shd w:val="clear" w:color="auto" w:fill="FFFFFF"/>
              </w:rPr>
              <w:t>- </w:t>
            </w:r>
          </w:p>
        </w:tc>
        <w:tc>
          <w:tcPr>
            <w:tcW w:w="6238"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El quint</w:t>
            </w:r>
            <w:r w:rsidR="00F90B66" w:rsidRPr="00274507">
              <w:rPr>
                <w:sz w:val="28"/>
                <w:szCs w:val="28"/>
              </w:rPr>
              <w:t>o informe puede</w:t>
            </w:r>
            <w:r w:rsidRPr="00274507">
              <w:rPr>
                <w:sz w:val="28"/>
                <w:szCs w:val="28"/>
              </w:rPr>
              <w:t xml:space="preserve"> ser utilizado como línea de base porque estableció una metodología técnicamente elaborada para calcular la muestra con la información contenida en los expedientes de la Corte Constitucional.</w:t>
            </w:r>
          </w:p>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Con la ampliación de las variables que definan de forma exacta las causas de las tutelas, el seguimiento estandarizado a las variables y pretensiones para la formulaci</w:t>
            </w:r>
            <w:r w:rsidR="00F90B66" w:rsidRPr="00274507">
              <w:rPr>
                <w:sz w:val="28"/>
                <w:szCs w:val="28"/>
              </w:rPr>
              <w:t xml:space="preserve">ón de una política pública, está </w:t>
            </w:r>
            <w:r w:rsidRPr="00274507">
              <w:rPr>
                <w:sz w:val="28"/>
                <w:szCs w:val="28"/>
              </w:rPr>
              <w:t>mejorar</w:t>
            </w:r>
            <w:r w:rsidR="00F90B66" w:rsidRPr="00274507">
              <w:rPr>
                <w:sz w:val="28"/>
                <w:szCs w:val="28"/>
              </w:rPr>
              <w:t>ía</w:t>
            </w:r>
            <w:r w:rsidRPr="00274507">
              <w:rPr>
                <w:sz w:val="28"/>
                <w:szCs w:val="28"/>
              </w:rPr>
              <w:t>.</w:t>
            </w:r>
          </w:p>
        </w:tc>
      </w:tr>
      <w:tr w:rsidR="00C76FF1" w:rsidRPr="00274507" w:rsidTr="00641997">
        <w:tc>
          <w:tcPr>
            <w:tcW w:w="2835" w:type="dxa"/>
          </w:tcPr>
          <w:p w:rsidR="00C76FF1" w:rsidRPr="00274507" w:rsidRDefault="00746928" w:rsidP="00274507">
            <w:pPr>
              <w:widowControl w:val="0"/>
              <w:tabs>
                <w:tab w:val="left" w:pos="426"/>
              </w:tabs>
              <w:autoSpaceDE w:val="0"/>
              <w:autoSpaceDN w:val="0"/>
              <w:adjustRightInd w:val="0"/>
              <w:jc w:val="both"/>
              <w:rPr>
                <w:sz w:val="28"/>
                <w:szCs w:val="28"/>
              </w:rPr>
            </w:pPr>
            <w:r w:rsidRPr="00274507">
              <w:rPr>
                <w:sz w:val="28"/>
                <w:szCs w:val="28"/>
                <w:shd w:val="clear" w:color="auto" w:fill="FFFFFF"/>
              </w:rPr>
              <w:t>Asociación de Empresas Gestoras del Aseguramiento de la Salud</w:t>
            </w:r>
            <w:r w:rsidR="004B5F23" w:rsidRPr="00274507">
              <w:rPr>
                <w:sz w:val="28"/>
                <w:szCs w:val="28"/>
                <w:shd w:val="clear" w:color="auto" w:fill="FFFFFF"/>
              </w:rPr>
              <w:t xml:space="preserve"> </w:t>
            </w:r>
            <w:r w:rsidRPr="00274507">
              <w:rPr>
                <w:sz w:val="28"/>
                <w:szCs w:val="28"/>
                <w:shd w:val="clear" w:color="auto" w:fill="FFFFFF"/>
              </w:rPr>
              <w:t>-</w:t>
            </w:r>
            <w:r w:rsidR="00C76FF1" w:rsidRPr="00274507">
              <w:rPr>
                <w:sz w:val="28"/>
                <w:szCs w:val="28"/>
              </w:rPr>
              <w:t>G</w:t>
            </w:r>
            <w:r w:rsidRPr="00274507">
              <w:rPr>
                <w:sz w:val="28"/>
                <w:szCs w:val="28"/>
              </w:rPr>
              <w:t>estarsalud-</w:t>
            </w:r>
          </w:p>
        </w:tc>
        <w:tc>
          <w:tcPr>
            <w:tcW w:w="6238"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 xml:space="preserve">En los resultados del estudio </w:t>
            </w:r>
            <w:r w:rsidR="00F90B66" w:rsidRPr="00274507">
              <w:rPr>
                <w:sz w:val="28"/>
                <w:szCs w:val="28"/>
              </w:rPr>
              <w:t>no se encontró un análisis</w:t>
            </w:r>
            <w:r w:rsidRPr="00274507">
              <w:rPr>
                <w:sz w:val="28"/>
                <w:szCs w:val="28"/>
              </w:rPr>
              <w:t xml:space="preserve"> respecto a la unificación y a</w:t>
            </w:r>
            <w:r w:rsidR="00946169" w:rsidRPr="00274507">
              <w:rPr>
                <w:sz w:val="28"/>
                <w:szCs w:val="28"/>
              </w:rPr>
              <w:t>ctualización integral del POS. Lo anterior</w:t>
            </w:r>
            <w:r w:rsidRPr="00274507">
              <w:rPr>
                <w:sz w:val="28"/>
                <w:szCs w:val="28"/>
              </w:rPr>
              <w:t xml:space="preserve"> para identi</w:t>
            </w:r>
            <w:r w:rsidR="00F90B66" w:rsidRPr="00274507">
              <w:rPr>
                <w:sz w:val="28"/>
                <w:szCs w:val="28"/>
              </w:rPr>
              <w:t xml:space="preserve">ficar las tutelas que se incoaron </w:t>
            </w:r>
            <w:r w:rsidRPr="00274507">
              <w:rPr>
                <w:sz w:val="28"/>
                <w:szCs w:val="28"/>
              </w:rPr>
              <w:t>por servicios qu</w:t>
            </w:r>
            <w:r w:rsidR="00F90B66" w:rsidRPr="00274507">
              <w:rPr>
                <w:sz w:val="28"/>
                <w:szCs w:val="28"/>
              </w:rPr>
              <w:t>e no eran para ese momento</w:t>
            </w:r>
            <w:r w:rsidRPr="00274507">
              <w:rPr>
                <w:sz w:val="28"/>
                <w:szCs w:val="28"/>
              </w:rPr>
              <w:t xml:space="preserve"> compete</w:t>
            </w:r>
            <w:r w:rsidR="00D83F94" w:rsidRPr="00274507">
              <w:rPr>
                <w:sz w:val="28"/>
                <w:szCs w:val="28"/>
              </w:rPr>
              <w:t>ncia de la EPS.</w:t>
            </w:r>
          </w:p>
        </w:tc>
      </w:tr>
      <w:tr w:rsidR="00C76FF1" w:rsidRPr="00274507" w:rsidTr="00641997">
        <w:tc>
          <w:tcPr>
            <w:tcW w:w="2835" w:type="dxa"/>
          </w:tcPr>
          <w:p w:rsidR="00C76FF1" w:rsidRPr="00274507" w:rsidRDefault="00746928" w:rsidP="00274507">
            <w:pPr>
              <w:widowControl w:val="0"/>
              <w:tabs>
                <w:tab w:val="left" w:pos="426"/>
              </w:tabs>
              <w:autoSpaceDE w:val="0"/>
              <w:autoSpaceDN w:val="0"/>
              <w:adjustRightInd w:val="0"/>
              <w:jc w:val="both"/>
              <w:rPr>
                <w:sz w:val="28"/>
                <w:szCs w:val="28"/>
              </w:rPr>
            </w:pPr>
            <w:r w:rsidRPr="00274507">
              <w:rPr>
                <w:sz w:val="28"/>
                <w:szCs w:val="28"/>
              </w:rPr>
              <w:t>Proyecto “</w:t>
            </w:r>
            <w:r w:rsidRPr="00274507">
              <w:rPr>
                <w:i/>
                <w:sz w:val="28"/>
                <w:szCs w:val="28"/>
              </w:rPr>
              <w:t>Así Vamos en Colombia</w:t>
            </w:r>
            <w:r w:rsidRPr="00274507">
              <w:rPr>
                <w:sz w:val="28"/>
                <w:szCs w:val="28"/>
              </w:rPr>
              <w:t>”</w:t>
            </w:r>
          </w:p>
        </w:tc>
        <w:tc>
          <w:tcPr>
            <w:tcW w:w="6238"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 xml:space="preserve">Los informes presentados del 2009 al 2012 se fundan en las solicitudes de recobros </w:t>
            </w:r>
            <w:r w:rsidR="00F90B66" w:rsidRPr="00274507">
              <w:rPr>
                <w:sz w:val="28"/>
                <w:szCs w:val="28"/>
              </w:rPr>
              <w:t>efectuadas por la EPS ante el Fosyga, por lo que no constituyen</w:t>
            </w:r>
            <w:r w:rsidRPr="00274507">
              <w:rPr>
                <w:sz w:val="28"/>
                <w:szCs w:val="28"/>
              </w:rPr>
              <w:t xml:space="preserve"> una base representativa del universo de las tutelas en salud.</w:t>
            </w:r>
          </w:p>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En el quinto informe que corresponde al año 2013 elaboró una muestra representativa de los expedientes que reposa</w:t>
            </w:r>
            <w:r w:rsidR="001F5001" w:rsidRPr="00274507">
              <w:rPr>
                <w:sz w:val="28"/>
                <w:szCs w:val="28"/>
              </w:rPr>
              <w:t>ban</w:t>
            </w:r>
            <w:r w:rsidRPr="00274507">
              <w:rPr>
                <w:sz w:val="28"/>
                <w:szCs w:val="28"/>
              </w:rPr>
              <w:t xml:space="preserve"> en la Corte</w:t>
            </w:r>
            <w:r w:rsidR="001F5001" w:rsidRPr="00274507">
              <w:rPr>
                <w:sz w:val="28"/>
                <w:szCs w:val="28"/>
              </w:rPr>
              <w:t xml:space="preserve">, además de la realización de </w:t>
            </w:r>
            <w:r w:rsidRPr="00274507">
              <w:rPr>
                <w:sz w:val="28"/>
                <w:szCs w:val="28"/>
              </w:rPr>
              <w:t>una desagregación de los problemas jurídicos contenido</w:t>
            </w:r>
            <w:r w:rsidR="001F5001" w:rsidRPr="00274507">
              <w:rPr>
                <w:sz w:val="28"/>
                <w:szCs w:val="28"/>
              </w:rPr>
              <w:t>s en la sentencia T-760 de 2008</w:t>
            </w:r>
            <w:r w:rsidRPr="00274507">
              <w:rPr>
                <w:sz w:val="28"/>
                <w:szCs w:val="28"/>
              </w:rPr>
              <w:t>.</w:t>
            </w:r>
          </w:p>
          <w:p w:rsidR="00C76FF1" w:rsidRPr="00274507" w:rsidRDefault="00946169" w:rsidP="00274507">
            <w:pPr>
              <w:widowControl w:val="0"/>
              <w:tabs>
                <w:tab w:val="left" w:pos="426"/>
              </w:tabs>
              <w:autoSpaceDE w:val="0"/>
              <w:autoSpaceDN w:val="0"/>
              <w:adjustRightInd w:val="0"/>
              <w:jc w:val="both"/>
              <w:rPr>
                <w:sz w:val="28"/>
                <w:szCs w:val="28"/>
              </w:rPr>
            </w:pPr>
            <w:r w:rsidRPr="00274507">
              <w:rPr>
                <w:sz w:val="28"/>
                <w:szCs w:val="28"/>
              </w:rPr>
              <w:t xml:space="preserve">En el sexto informe </w:t>
            </w:r>
            <w:r w:rsidR="00C76FF1" w:rsidRPr="00274507">
              <w:rPr>
                <w:sz w:val="28"/>
                <w:szCs w:val="28"/>
              </w:rPr>
              <w:t xml:space="preserve">se </w:t>
            </w:r>
            <w:r w:rsidR="001F5001" w:rsidRPr="00274507">
              <w:rPr>
                <w:sz w:val="28"/>
                <w:szCs w:val="28"/>
              </w:rPr>
              <w:t xml:space="preserve">evidenciaron </w:t>
            </w:r>
            <w:r w:rsidR="00C76FF1" w:rsidRPr="00274507">
              <w:rPr>
                <w:sz w:val="28"/>
                <w:szCs w:val="28"/>
              </w:rPr>
              <w:t>algunas dificultades</w:t>
            </w:r>
            <w:r w:rsidR="001F5001" w:rsidRPr="00274507">
              <w:rPr>
                <w:sz w:val="28"/>
                <w:szCs w:val="28"/>
              </w:rPr>
              <w:t xml:space="preserve"> co</w:t>
            </w:r>
            <w:r w:rsidR="00C76FF1" w:rsidRPr="00274507">
              <w:rPr>
                <w:sz w:val="28"/>
                <w:szCs w:val="28"/>
              </w:rPr>
              <w:t xml:space="preserve">n la representatividad de la muestra, sin embargo, </w:t>
            </w:r>
            <w:r w:rsidR="001F5001" w:rsidRPr="00274507">
              <w:rPr>
                <w:sz w:val="28"/>
                <w:szCs w:val="28"/>
              </w:rPr>
              <w:t>como</w:t>
            </w:r>
            <w:r w:rsidR="00C76FF1" w:rsidRPr="00274507">
              <w:rPr>
                <w:sz w:val="28"/>
                <w:szCs w:val="28"/>
              </w:rPr>
              <w:t xml:space="preserve"> fue obtenida de la base de datos de la Defensoría del Pueblo y de la Corte, </w:t>
            </w:r>
            <w:r w:rsidR="001F5001" w:rsidRPr="00274507">
              <w:rPr>
                <w:sz w:val="28"/>
                <w:szCs w:val="28"/>
              </w:rPr>
              <w:t>la misma al ser mejorada podría ser utilizada como la línea base requerida</w:t>
            </w:r>
            <w:r w:rsidR="00C76FF1" w:rsidRPr="00274507">
              <w:rPr>
                <w:sz w:val="28"/>
                <w:szCs w:val="28"/>
              </w:rPr>
              <w:t>.</w:t>
            </w:r>
          </w:p>
          <w:p w:rsidR="00C76FF1" w:rsidRPr="00274507" w:rsidRDefault="001F5001" w:rsidP="00274507">
            <w:pPr>
              <w:widowControl w:val="0"/>
              <w:tabs>
                <w:tab w:val="left" w:pos="426"/>
              </w:tabs>
              <w:autoSpaceDE w:val="0"/>
              <w:autoSpaceDN w:val="0"/>
              <w:adjustRightInd w:val="0"/>
              <w:jc w:val="both"/>
              <w:rPr>
                <w:sz w:val="28"/>
                <w:szCs w:val="28"/>
              </w:rPr>
            </w:pPr>
            <w:r w:rsidRPr="00274507">
              <w:rPr>
                <w:sz w:val="28"/>
                <w:szCs w:val="28"/>
              </w:rPr>
              <w:t>Recomendó</w:t>
            </w:r>
            <w:r w:rsidR="00C76FF1" w:rsidRPr="00274507">
              <w:rPr>
                <w:sz w:val="28"/>
                <w:szCs w:val="28"/>
              </w:rPr>
              <w:t xml:space="preserve"> realizar un análisis comparativo de las tutelas en salud preferiblemente desde el 2008 para</w:t>
            </w:r>
            <w:r w:rsidRPr="00274507">
              <w:rPr>
                <w:sz w:val="28"/>
                <w:szCs w:val="28"/>
              </w:rPr>
              <w:t xml:space="preserve"> que obtuviera </w:t>
            </w:r>
            <w:r w:rsidR="00C76FF1" w:rsidRPr="00274507">
              <w:rPr>
                <w:sz w:val="28"/>
                <w:szCs w:val="28"/>
              </w:rPr>
              <w:t>un contexto del comportamiento de las tutelas en el tiempo.</w:t>
            </w:r>
          </w:p>
        </w:tc>
      </w:tr>
      <w:tr w:rsidR="00C76FF1" w:rsidRPr="00274507" w:rsidTr="00641997">
        <w:tc>
          <w:tcPr>
            <w:tcW w:w="2835" w:type="dxa"/>
          </w:tcPr>
          <w:p w:rsidR="00C76FF1" w:rsidRPr="00274507" w:rsidRDefault="00746928" w:rsidP="00274507">
            <w:pPr>
              <w:widowControl w:val="0"/>
              <w:tabs>
                <w:tab w:val="left" w:pos="426"/>
              </w:tabs>
              <w:autoSpaceDE w:val="0"/>
              <w:autoSpaceDN w:val="0"/>
              <w:adjustRightInd w:val="0"/>
              <w:jc w:val="both"/>
              <w:rPr>
                <w:sz w:val="28"/>
                <w:szCs w:val="28"/>
              </w:rPr>
            </w:pPr>
            <w:r w:rsidRPr="00274507">
              <w:rPr>
                <w:sz w:val="28"/>
                <w:szCs w:val="28"/>
              </w:rPr>
              <w:t>Comisión de Seguimiento a la Sentencia T-760 De 2008 y de Reforma E</w:t>
            </w:r>
            <w:r w:rsidR="00582099" w:rsidRPr="00274507">
              <w:rPr>
                <w:sz w:val="28"/>
                <w:szCs w:val="28"/>
              </w:rPr>
              <w:t>structural al Sistema de Salud -</w:t>
            </w:r>
            <w:r w:rsidR="00C76FF1" w:rsidRPr="00274507">
              <w:rPr>
                <w:sz w:val="28"/>
                <w:szCs w:val="28"/>
              </w:rPr>
              <w:t>CSR</w:t>
            </w:r>
            <w:r w:rsidRPr="00274507">
              <w:rPr>
                <w:sz w:val="28"/>
                <w:szCs w:val="28"/>
              </w:rPr>
              <w:t>-</w:t>
            </w:r>
          </w:p>
        </w:tc>
        <w:tc>
          <w:tcPr>
            <w:tcW w:w="6238" w:type="dxa"/>
          </w:tcPr>
          <w:p w:rsidR="00C76FF1" w:rsidRPr="00274507" w:rsidRDefault="00C76FF1" w:rsidP="00274507">
            <w:pPr>
              <w:widowControl w:val="0"/>
              <w:tabs>
                <w:tab w:val="left" w:pos="426"/>
              </w:tabs>
              <w:autoSpaceDE w:val="0"/>
              <w:autoSpaceDN w:val="0"/>
              <w:adjustRightInd w:val="0"/>
              <w:jc w:val="both"/>
              <w:rPr>
                <w:sz w:val="28"/>
                <w:szCs w:val="28"/>
              </w:rPr>
            </w:pPr>
            <w:r w:rsidRPr="00274507">
              <w:rPr>
                <w:sz w:val="28"/>
                <w:szCs w:val="28"/>
              </w:rPr>
              <w:t>Precisó que no han sido suficient</w:t>
            </w:r>
            <w:r w:rsidR="001F5001" w:rsidRPr="00274507">
              <w:rPr>
                <w:sz w:val="28"/>
                <w:szCs w:val="28"/>
              </w:rPr>
              <w:t>es los informes para establecer</w:t>
            </w:r>
            <w:r w:rsidRPr="00274507">
              <w:rPr>
                <w:sz w:val="28"/>
                <w:szCs w:val="28"/>
              </w:rPr>
              <w:t xml:space="preserve">la </w:t>
            </w:r>
            <w:r w:rsidR="001F5001" w:rsidRPr="00274507">
              <w:rPr>
                <w:sz w:val="28"/>
                <w:szCs w:val="28"/>
              </w:rPr>
              <w:t>y dar cumplimiento al mandato</w:t>
            </w:r>
            <w:r w:rsidRPr="00274507">
              <w:rPr>
                <w:sz w:val="28"/>
                <w:szCs w:val="28"/>
              </w:rPr>
              <w:t>. Así mismo</w:t>
            </w:r>
            <w:r w:rsidR="00DE15BF" w:rsidRPr="00274507">
              <w:rPr>
                <w:sz w:val="28"/>
                <w:szCs w:val="28"/>
              </w:rPr>
              <w:t>,</w:t>
            </w:r>
            <w:r w:rsidRPr="00274507">
              <w:rPr>
                <w:sz w:val="28"/>
                <w:szCs w:val="28"/>
              </w:rPr>
              <w:t xml:space="preserve"> señaló que se </w:t>
            </w:r>
            <w:r w:rsidR="001F5001" w:rsidRPr="00274507">
              <w:rPr>
                <w:sz w:val="28"/>
                <w:szCs w:val="28"/>
              </w:rPr>
              <w:t xml:space="preserve">debería </w:t>
            </w:r>
            <w:r w:rsidRPr="00274507">
              <w:rPr>
                <w:sz w:val="28"/>
                <w:szCs w:val="28"/>
              </w:rPr>
              <w:t xml:space="preserve">aplicar un criterio histórico desde 1992, fecha en la que se originó el mecanismo de protección </w:t>
            </w:r>
            <w:r w:rsidR="001F5001" w:rsidRPr="00274507">
              <w:rPr>
                <w:sz w:val="28"/>
                <w:szCs w:val="28"/>
              </w:rPr>
              <w:t>de los derechos fundamentales y</w:t>
            </w:r>
            <w:r w:rsidRPr="00274507">
              <w:rPr>
                <w:sz w:val="28"/>
                <w:szCs w:val="28"/>
              </w:rPr>
              <w:t xml:space="preserve"> realizar un análisis sobre el impac</w:t>
            </w:r>
            <w:r w:rsidR="00D83F94" w:rsidRPr="00274507">
              <w:rPr>
                <w:sz w:val="28"/>
                <w:szCs w:val="28"/>
              </w:rPr>
              <w:t>to de las tutelas para el 2008.</w:t>
            </w:r>
          </w:p>
        </w:tc>
      </w:tr>
    </w:tbl>
    <w:p w:rsidR="00946169" w:rsidRPr="00274507" w:rsidRDefault="00946169" w:rsidP="00274507">
      <w:pPr>
        <w:jc w:val="both"/>
        <w:rPr>
          <w:b/>
          <w:bCs/>
          <w:sz w:val="28"/>
          <w:szCs w:val="28"/>
        </w:rPr>
      </w:pPr>
    </w:p>
    <w:p w:rsidR="00C76FF1" w:rsidRPr="00274507" w:rsidRDefault="000A51A3" w:rsidP="00274507">
      <w:pPr>
        <w:jc w:val="both"/>
        <w:rPr>
          <w:sz w:val="28"/>
          <w:szCs w:val="28"/>
        </w:rPr>
      </w:pPr>
      <w:r w:rsidRPr="00274507">
        <w:rPr>
          <w:sz w:val="28"/>
          <w:szCs w:val="28"/>
        </w:rPr>
        <w:t>4</w:t>
      </w:r>
      <w:r w:rsidR="00582099" w:rsidRPr="00274507">
        <w:rPr>
          <w:sz w:val="28"/>
          <w:szCs w:val="28"/>
        </w:rPr>
        <w:t>.</w:t>
      </w:r>
      <w:r w:rsidR="00F55E3F" w:rsidRPr="00274507">
        <w:rPr>
          <w:sz w:val="28"/>
          <w:szCs w:val="28"/>
        </w:rPr>
        <w:t>10</w:t>
      </w:r>
      <w:r w:rsidR="000B57AC" w:rsidRPr="00274507">
        <w:rPr>
          <w:sz w:val="28"/>
          <w:szCs w:val="28"/>
        </w:rPr>
        <w:t>.</w:t>
      </w:r>
      <w:r w:rsidR="000B57AC" w:rsidRPr="00274507">
        <w:rPr>
          <w:b/>
          <w:sz w:val="28"/>
          <w:szCs w:val="28"/>
        </w:rPr>
        <w:t xml:space="preserve"> </w:t>
      </w:r>
      <w:r w:rsidR="000B57AC" w:rsidRPr="00274507">
        <w:rPr>
          <w:sz w:val="28"/>
          <w:szCs w:val="28"/>
        </w:rPr>
        <w:t xml:space="preserve">El </w:t>
      </w:r>
      <w:r w:rsidR="00C76FF1" w:rsidRPr="00274507">
        <w:rPr>
          <w:b/>
          <w:sz w:val="28"/>
          <w:szCs w:val="28"/>
        </w:rPr>
        <w:t>13 de octubre de 2015</w:t>
      </w:r>
      <w:r w:rsidR="00946169" w:rsidRPr="00274507">
        <w:rPr>
          <w:sz w:val="28"/>
          <w:szCs w:val="28"/>
        </w:rPr>
        <w:t xml:space="preserve"> la Corte </w:t>
      </w:r>
      <w:r w:rsidR="00C76FF1" w:rsidRPr="00274507">
        <w:rPr>
          <w:sz w:val="28"/>
          <w:szCs w:val="28"/>
        </w:rPr>
        <w:t>celebró sesión técnica</w:t>
      </w:r>
      <w:r w:rsidR="00C76FF1" w:rsidRPr="00274507">
        <w:rPr>
          <w:rStyle w:val="Refdenotaalpie"/>
          <w:bCs/>
          <w:sz w:val="28"/>
          <w:szCs w:val="28"/>
        </w:rPr>
        <w:footnoteReference w:id="98"/>
      </w:r>
      <w:r w:rsidR="00946169" w:rsidRPr="00274507">
        <w:rPr>
          <w:sz w:val="28"/>
          <w:szCs w:val="28"/>
        </w:rPr>
        <w:t>con el Ministerio de Salud, la Defensor</w:t>
      </w:r>
      <w:r w:rsidR="00874938" w:rsidRPr="00274507">
        <w:rPr>
          <w:sz w:val="28"/>
          <w:szCs w:val="28"/>
        </w:rPr>
        <w:t xml:space="preserve">ía del Pueblo y </w:t>
      </w:r>
      <w:r w:rsidR="00946169" w:rsidRPr="00274507">
        <w:rPr>
          <w:sz w:val="28"/>
          <w:szCs w:val="28"/>
        </w:rPr>
        <w:t xml:space="preserve"> </w:t>
      </w:r>
      <w:r w:rsidR="00F75A68" w:rsidRPr="00274507">
        <w:rPr>
          <w:sz w:val="28"/>
          <w:szCs w:val="28"/>
        </w:rPr>
        <w:t xml:space="preserve">los </w:t>
      </w:r>
      <w:r w:rsidR="00946169" w:rsidRPr="00274507">
        <w:rPr>
          <w:sz w:val="28"/>
          <w:szCs w:val="28"/>
        </w:rPr>
        <w:t xml:space="preserve">peritos constitucionales de la Universidad de los Andes y </w:t>
      </w:r>
      <w:r w:rsidR="00F75A68" w:rsidRPr="00274507">
        <w:rPr>
          <w:sz w:val="28"/>
          <w:szCs w:val="28"/>
        </w:rPr>
        <w:t xml:space="preserve">el Grupo de Seguimiento </w:t>
      </w:r>
      <w:r w:rsidR="00946169" w:rsidRPr="00274507">
        <w:rPr>
          <w:sz w:val="28"/>
          <w:szCs w:val="28"/>
        </w:rPr>
        <w:t>“</w:t>
      </w:r>
      <w:r w:rsidR="00946169" w:rsidRPr="00274507">
        <w:rPr>
          <w:i/>
          <w:sz w:val="28"/>
          <w:szCs w:val="28"/>
        </w:rPr>
        <w:t xml:space="preserve">Así Vamos en </w:t>
      </w:r>
      <w:r w:rsidR="00946169" w:rsidRPr="00274507">
        <w:rPr>
          <w:sz w:val="28"/>
          <w:szCs w:val="28"/>
        </w:rPr>
        <w:t>Salud”</w:t>
      </w:r>
      <w:r w:rsidR="00874938" w:rsidRPr="00274507">
        <w:rPr>
          <w:sz w:val="28"/>
          <w:szCs w:val="28"/>
        </w:rPr>
        <w:t xml:space="preserve">, </w:t>
      </w:r>
      <w:r w:rsidR="00C76FF1" w:rsidRPr="00274507">
        <w:rPr>
          <w:sz w:val="28"/>
          <w:szCs w:val="28"/>
        </w:rPr>
        <w:t xml:space="preserve">en la que </w:t>
      </w:r>
      <w:r w:rsidR="00E86B3C" w:rsidRPr="00274507">
        <w:rPr>
          <w:sz w:val="28"/>
          <w:szCs w:val="28"/>
        </w:rPr>
        <w:t>se</w:t>
      </w:r>
      <w:r w:rsidR="00582099" w:rsidRPr="00274507">
        <w:rPr>
          <w:sz w:val="28"/>
          <w:szCs w:val="28"/>
        </w:rPr>
        <w:t xml:space="preserve"> </w:t>
      </w:r>
      <w:r w:rsidR="00946169" w:rsidRPr="00274507">
        <w:rPr>
          <w:sz w:val="28"/>
          <w:szCs w:val="28"/>
        </w:rPr>
        <w:t xml:space="preserve">analizó </w:t>
      </w:r>
      <w:r w:rsidR="00E86B3C" w:rsidRPr="00274507">
        <w:rPr>
          <w:sz w:val="28"/>
          <w:szCs w:val="28"/>
        </w:rPr>
        <w:t>sí los</w:t>
      </w:r>
      <w:r w:rsidR="00A703FB" w:rsidRPr="00274507">
        <w:rPr>
          <w:sz w:val="28"/>
          <w:szCs w:val="28"/>
        </w:rPr>
        <w:t xml:space="preserve"> cálculo</w:t>
      </w:r>
      <w:r w:rsidR="00E86B3C" w:rsidRPr="00274507">
        <w:rPr>
          <w:sz w:val="28"/>
          <w:szCs w:val="28"/>
        </w:rPr>
        <w:t>s</w:t>
      </w:r>
      <w:r w:rsidR="00946169" w:rsidRPr="00274507">
        <w:rPr>
          <w:sz w:val="28"/>
          <w:szCs w:val="28"/>
        </w:rPr>
        <w:t xml:space="preserve"> realizados en </w:t>
      </w:r>
      <w:r w:rsidR="00A703FB" w:rsidRPr="00274507">
        <w:rPr>
          <w:sz w:val="28"/>
          <w:szCs w:val="28"/>
        </w:rPr>
        <w:t>e</w:t>
      </w:r>
      <w:r w:rsidR="00E86B3C" w:rsidRPr="00274507">
        <w:rPr>
          <w:sz w:val="28"/>
          <w:szCs w:val="28"/>
        </w:rPr>
        <w:t xml:space="preserve">l estudio de cada </w:t>
      </w:r>
      <w:r w:rsidR="00946169" w:rsidRPr="00274507">
        <w:rPr>
          <w:sz w:val="28"/>
          <w:szCs w:val="28"/>
        </w:rPr>
        <w:t>expediente de tutela permitía</w:t>
      </w:r>
      <w:r w:rsidR="00E86B3C" w:rsidRPr="00274507">
        <w:rPr>
          <w:sz w:val="28"/>
          <w:szCs w:val="28"/>
        </w:rPr>
        <w:t>n</w:t>
      </w:r>
      <w:r w:rsidR="00582099" w:rsidRPr="00274507">
        <w:rPr>
          <w:sz w:val="28"/>
          <w:szCs w:val="28"/>
        </w:rPr>
        <w:t xml:space="preserve"> obtener resultados precisos respecto del aumento o la disminución de las tutelas durante </w:t>
      </w:r>
      <w:r w:rsidR="00E86B3C" w:rsidRPr="00274507">
        <w:rPr>
          <w:sz w:val="28"/>
          <w:szCs w:val="28"/>
        </w:rPr>
        <w:t>l</w:t>
      </w:r>
      <w:r w:rsidR="00582099" w:rsidRPr="00274507">
        <w:rPr>
          <w:sz w:val="28"/>
          <w:szCs w:val="28"/>
        </w:rPr>
        <w:t>os</w:t>
      </w:r>
      <w:r w:rsidR="00E86B3C" w:rsidRPr="00274507">
        <w:rPr>
          <w:sz w:val="28"/>
          <w:szCs w:val="28"/>
        </w:rPr>
        <w:t xml:space="preserve"> periodo</w:t>
      </w:r>
      <w:r w:rsidR="00582099" w:rsidRPr="00274507">
        <w:rPr>
          <w:sz w:val="28"/>
          <w:szCs w:val="28"/>
        </w:rPr>
        <w:t>s</w:t>
      </w:r>
      <w:r w:rsidR="00E86B3C" w:rsidRPr="00274507">
        <w:rPr>
          <w:sz w:val="28"/>
          <w:szCs w:val="28"/>
        </w:rPr>
        <w:t xml:space="preserve"> analizado</w:t>
      </w:r>
      <w:r w:rsidR="00582099" w:rsidRPr="00274507">
        <w:rPr>
          <w:sz w:val="28"/>
          <w:szCs w:val="28"/>
        </w:rPr>
        <w:t>s. Además, s</w:t>
      </w:r>
      <w:r w:rsidR="000859F8" w:rsidRPr="00274507">
        <w:rPr>
          <w:sz w:val="28"/>
          <w:szCs w:val="28"/>
        </w:rPr>
        <w:t xml:space="preserve">í a partir de los análisis fue </w:t>
      </w:r>
      <w:r w:rsidR="00874938" w:rsidRPr="00274507">
        <w:rPr>
          <w:sz w:val="28"/>
          <w:szCs w:val="28"/>
        </w:rPr>
        <w:t xml:space="preserve">posible </w:t>
      </w:r>
      <w:r w:rsidR="000859F8" w:rsidRPr="00274507">
        <w:rPr>
          <w:sz w:val="28"/>
          <w:szCs w:val="28"/>
        </w:rPr>
        <w:t>desarrollar</w:t>
      </w:r>
      <w:r w:rsidR="00E86B3C" w:rsidRPr="00274507">
        <w:rPr>
          <w:sz w:val="28"/>
          <w:szCs w:val="28"/>
        </w:rPr>
        <w:t xml:space="preserve"> cada uno de </w:t>
      </w:r>
      <w:r w:rsidR="00A703FB" w:rsidRPr="00274507">
        <w:rPr>
          <w:sz w:val="28"/>
          <w:szCs w:val="28"/>
        </w:rPr>
        <w:t xml:space="preserve">los </w:t>
      </w:r>
      <w:r w:rsidR="00C76FF1" w:rsidRPr="00274507">
        <w:rPr>
          <w:sz w:val="28"/>
          <w:szCs w:val="28"/>
        </w:rPr>
        <w:t>problemas jurídicos establecidos</w:t>
      </w:r>
      <w:r w:rsidR="000859F8" w:rsidRPr="00274507">
        <w:rPr>
          <w:sz w:val="28"/>
          <w:szCs w:val="28"/>
        </w:rPr>
        <w:t xml:space="preserve"> en la sentencia T-760 de 2008,</w:t>
      </w:r>
      <w:r w:rsidR="007D7DF1" w:rsidRPr="00274507">
        <w:rPr>
          <w:sz w:val="28"/>
          <w:szCs w:val="28"/>
        </w:rPr>
        <w:t xml:space="preserve"> identificando</w:t>
      </w:r>
      <w:r w:rsidR="000859F8" w:rsidRPr="00274507">
        <w:rPr>
          <w:sz w:val="28"/>
          <w:szCs w:val="28"/>
        </w:rPr>
        <w:t xml:space="preserve"> las</w:t>
      </w:r>
      <w:r w:rsidR="007D7DF1" w:rsidRPr="00274507">
        <w:rPr>
          <w:sz w:val="28"/>
          <w:szCs w:val="28"/>
        </w:rPr>
        <w:t xml:space="preserve"> </w:t>
      </w:r>
      <w:r w:rsidR="00A703FB" w:rsidRPr="00274507">
        <w:rPr>
          <w:sz w:val="28"/>
          <w:szCs w:val="28"/>
        </w:rPr>
        <w:t xml:space="preserve">dificultades </w:t>
      </w:r>
      <w:r w:rsidR="00E86B3C" w:rsidRPr="00274507">
        <w:rPr>
          <w:sz w:val="28"/>
          <w:szCs w:val="28"/>
        </w:rPr>
        <w:t>de</w:t>
      </w:r>
      <w:r w:rsidR="00A703FB" w:rsidRPr="00274507">
        <w:rPr>
          <w:sz w:val="28"/>
          <w:szCs w:val="28"/>
        </w:rPr>
        <w:t xml:space="preserve"> la </w:t>
      </w:r>
      <w:r w:rsidR="000859F8" w:rsidRPr="00274507">
        <w:rPr>
          <w:sz w:val="28"/>
          <w:szCs w:val="28"/>
        </w:rPr>
        <w:t>metodología, los</w:t>
      </w:r>
      <w:r w:rsidR="00A703FB" w:rsidRPr="00274507">
        <w:rPr>
          <w:sz w:val="28"/>
          <w:szCs w:val="28"/>
        </w:rPr>
        <w:t xml:space="preserve"> avances y </w:t>
      </w:r>
      <w:r w:rsidR="007D7DF1" w:rsidRPr="00274507">
        <w:rPr>
          <w:sz w:val="28"/>
          <w:szCs w:val="28"/>
        </w:rPr>
        <w:t>las</w:t>
      </w:r>
      <w:r w:rsidR="004B5F23" w:rsidRPr="00274507">
        <w:rPr>
          <w:sz w:val="28"/>
          <w:szCs w:val="28"/>
        </w:rPr>
        <w:t xml:space="preserve"> </w:t>
      </w:r>
      <w:r w:rsidR="007D7DF1" w:rsidRPr="00274507">
        <w:rPr>
          <w:sz w:val="28"/>
          <w:szCs w:val="28"/>
        </w:rPr>
        <w:t>recomendaciones</w:t>
      </w:r>
      <w:r w:rsidR="00C76FF1" w:rsidRPr="00274507">
        <w:rPr>
          <w:sz w:val="28"/>
          <w:szCs w:val="28"/>
        </w:rPr>
        <w:t xml:space="preserve"> para </w:t>
      </w:r>
      <w:r w:rsidR="00A703FB" w:rsidRPr="00274507">
        <w:rPr>
          <w:sz w:val="28"/>
          <w:szCs w:val="28"/>
        </w:rPr>
        <w:t xml:space="preserve">la construcción </w:t>
      </w:r>
      <w:r w:rsidR="000859F8" w:rsidRPr="00274507">
        <w:rPr>
          <w:sz w:val="28"/>
          <w:szCs w:val="28"/>
        </w:rPr>
        <w:t xml:space="preserve">y presentación adecuada </w:t>
      </w:r>
      <w:r w:rsidR="00A703FB" w:rsidRPr="00274507">
        <w:rPr>
          <w:sz w:val="28"/>
          <w:szCs w:val="28"/>
        </w:rPr>
        <w:t>de los informes futuros</w:t>
      </w:r>
      <w:r w:rsidR="00025FE6" w:rsidRPr="00274507">
        <w:rPr>
          <w:sz w:val="28"/>
          <w:szCs w:val="28"/>
        </w:rPr>
        <w:t>.</w:t>
      </w:r>
    </w:p>
    <w:p w:rsidR="000B57AC" w:rsidRPr="00274507" w:rsidRDefault="000B57AC" w:rsidP="00274507">
      <w:pPr>
        <w:tabs>
          <w:tab w:val="left" w:pos="1800"/>
        </w:tabs>
        <w:overflowPunct w:val="0"/>
        <w:autoSpaceDE w:val="0"/>
        <w:autoSpaceDN w:val="0"/>
        <w:adjustRightInd w:val="0"/>
        <w:ind w:right="-40"/>
        <w:jc w:val="both"/>
        <w:rPr>
          <w:bCs/>
          <w:sz w:val="28"/>
          <w:szCs w:val="28"/>
        </w:rPr>
      </w:pPr>
    </w:p>
    <w:p w:rsidR="00C76FF1" w:rsidRPr="00274507" w:rsidRDefault="000A51A3" w:rsidP="00274507">
      <w:pPr>
        <w:tabs>
          <w:tab w:val="left" w:pos="1800"/>
        </w:tabs>
        <w:overflowPunct w:val="0"/>
        <w:autoSpaceDE w:val="0"/>
        <w:autoSpaceDN w:val="0"/>
        <w:adjustRightInd w:val="0"/>
        <w:ind w:right="-40"/>
        <w:jc w:val="both"/>
        <w:rPr>
          <w:b/>
          <w:bCs/>
          <w:sz w:val="28"/>
          <w:szCs w:val="28"/>
        </w:rPr>
      </w:pPr>
      <w:r w:rsidRPr="00274507">
        <w:rPr>
          <w:bCs/>
          <w:sz w:val="28"/>
          <w:szCs w:val="28"/>
        </w:rPr>
        <w:t>4</w:t>
      </w:r>
      <w:r w:rsidR="000B57AC" w:rsidRPr="00274507">
        <w:rPr>
          <w:bCs/>
          <w:sz w:val="28"/>
          <w:szCs w:val="28"/>
        </w:rPr>
        <w:t>.</w:t>
      </w:r>
      <w:r w:rsidR="00F55E3F" w:rsidRPr="00274507">
        <w:rPr>
          <w:bCs/>
          <w:sz w:val="28"/>
          <w:szCs w:val="28"/>
        </w:rPr>
        <w:t>11</w:t>
      </w:r>
      <w:r w:rsidR="00C76FF1" w:rsidRPr="00274507">
        <w:rPr>
          <w:bCs/>
          <w:sz w:val="28"/>
          <w:szCs w:val="28"/>
        </w:rPr>
        <w:t>.</w:t>
      </w:r>
      <w:r w:rsidR="007D7DF1" w:rsidRPr="00274507">
        <w:rPr>
          <w:bCs/>
          <w:sz w:val="28"/>
          <w:szCs w:val="28"/>
        </w:rPr>
        <w:t xml:space="preserve"> Mediante</w:t>
      </w:r>
      <w:r w:rsidR="00C76FF1" w:rsidRPr="00274507">
        <w:rPr>
          <w:b/>
          <w:bCs/>
          <w:sz w:val="28"/>
          <w:szCs w:val="28"/>
        </w:rPr>
        <w:t xml:space="preserve"> Auto de 29 de julio de 2016</w:t>
      </w:r>
      <w:r w:rsidR="00C76FF1" w:rsidRPr="00274507">
        <w:rPr>
          <w:rStyle w:val="Refdenotaalpie"/>
          <w:bCs/>
          <w:sz w:val="28"/>
          <w:szCs w:val="28"/>
        </w:rPr>
        <w:footnoteReference w:id="99"/>
      </w:r>
      <w:r w:rsidR="00C76FF1" w:rsidRPr="00274507">
        <w:rPr>
          <w:bCs/>
          <w:sz w:val="28"/>
          <w:szCs w:val="28"/>
        </w:rPr>
        <w:t xml:space="preserve">, </w:t>
      </w:r>
      <w:r w:rsidR="00F75A68" w:rsidRPr="00274507">
        <w:rPr>
          <w:bCs/>
          <w:sz w:val="28"/>
          <w:szCs w:val="28"/>
        </w:rPr>
        <w:t xml:space="preserve">este Tribunal </w:t>
      </w:r>
      <w:r w:rsidR="00C76FF1" w:rsidRPr="00274507">
        <w:rPr>
          <w:sz w:val="28"/>
          <w:szCs w:val="28"/>
          <w:lang w:val="es-ES_tradnl"/>
        </w:rPr>
        <w:t>solicitó concepto de Peritos Constitucionales Voluntarios</w:t>
      </w:r>
      <w:r w:rsidR="00C76FF1" w:rsidRPr="00274507">
        <w:rPr>
          <w:rStyle w:val="Refdenotaalpie"/>
          <w:sz w:val="28"/>
          <w:szCs w:val="28"/>
          <w:lang w:val="es-ES_tradnl"/>
        </w:rPr>
        <w:footnoteReference w:id="100"/>
      </w:r>
      <w:r w:rsidR="00C76FF1" w:rsidRPr="00274507">
        <w:rPr>
          <w:sz w:val="28"/>
          <w:szCs w:val="28"/>
          <w:lang w:val="es-ES_tradnl"/>
        </w:rPr>
        <w:t>, así como a los Grupos de Seguimiento</w:t>
      </w:r>
      <w:r w:rsidR="00C76FF1" w:rsidRPr="00274507">
        <w:rPr>
          <w:rStyle w:val="Refdenotaalpie"/>
          <w:sz w:val="28"/>
          <w:szCs w:val="28"/>
          <w:lang w:val="es-ES_tradnl"/>
        </w:rPr>
        <w:footnoteReference w:id="101"/>
      </w:r>
      <w:r w:rsidR="00C76FF1" w:rsidRPr="00274507">
        <w:rPr>
          <w:sz w:val="28"/>
          <w:szCs w:val="28"/>
          <w:lang w:val="es-ES_tradnl"/>
        </w:rPr>
        <w:t xml:space="preserve"> respecto de la metodología implementada en los informes sexto, séptimo y octavo parcial, </w:t>
      </w:r>
      <w:r w:rsidR="00874938" w:rsidRPr="00274507">
        <w:rPr>
          <w:sz w:val="28"/>
          <w:szCs w:val="28"/>
          <w:lang w:val="es-ES_tradnl"/>
        </w:rPr>
        <w:t xml:space="preserve">así como </w:t>
      </w:r>
      <w:r w:rsidR="00C76FF1" w:rsidRPr="00274507">
        <w:rPr>
          <w:sz w:val="28"/>
          <w:szCs w:val="28"/>
          <w:lang w:val="es-ES_tradnl"/>
        </w:rPr>
        <w:t xml:space="preserve">los avances, </w:t>
      </w:r>
      <w:r w:rsidR="00874938" w:rsidRPr="00274507">
        <w:rPr>
          <w:sz w:val="28"/>
          <w:szCs w:val="28"/>
          <w:lang w:val="es-ES_tradnl"/>
        </w:rPr>
        <w:t>limitaciones, además de requerir</w:t>
      </w:r>
      <w:r w:rsidR="00C76FF1" w:rsidRPr="00274507">
        <w:rPr>
          <w:sz w:val="28"/>
          <w:szCs w:val="28"/>
          <w:lang w:val="es-ES_tradnl"/>
        </w:rPr>
        <w:t xml:space="preserve"> información al Ministerio de Salud y Protección Social sobre la gestión y medidas implementadas en aras de dar cumplimiento a la orden trigésima.</w:t>
      </w:r>
      <w:r w:rsidR="00874938" w:rsidRPr="00274507">
        <w:rPr>
          <w:sz w:val="28"/>
          <w:szCs w:val="28"/>
          <w:lang w:val="es-ES_tradnl"/>
        </w:rPr>
        <w:t xml:space="preserve"> También</w:t>
      </w:r>
      <w:r w:rsidR="002F0F23" w:rsidRPr="00274507">
        <w:rPr>
          <w:sz w:val="28"/>
          <w:szCs w:val="28"/>
          <w:lang w:val="es-ES_tradnl"/>
        </w:rPr>
        <w:t xml:space="preserve"> planteó algunos interrogantes a efectos de ser desarrollados por dichos grupos y autoridades, </w:t>
      </w:r>
      <w:r w:rsidR="00874938" w:rsidRPr="00274507">
        <w:rPr>
          <w:sz w:val="28"/>
          <w:szCs w:val="28"/>
          <w:lang w:val="es-ES_tradnl"/>
        </w:rPr>
        <w:t xml:space="preserve">para </w:t>
      </w:r>
      <w:r w:rsidR="002F0F23" w:rsidRPr="00274507">
        <w:rPr>
          <w:sz w:val="28"/>
          <w:szCs w:val="28"/>
          <w:lang w:val="es-ES_tradnl"/>
        </w:rPr>
        <w:t xml:space="preserve">obtener </w:t>
      </w:r>
      <w:r w:rsidR="00874938" w:rsidRPr="00274507">
        <w:rPr>
          <w:sz w:val="28"/>
          <w:szCs w:val="28"/>
          <w:lang w:val="es-ES_tradnl"/>
        </w:rPr>
        <w:t xml:space="preserve">respuestas claras que corroboren la actuación adelantada por el Ministerio </w:t>
      </w:r>
      <w:r w:rsidR="002F0F23" w:rsidRPr="00274507">
        <w:rPr>
          <w:sz w:val="28"/>
          <w:szCs w:val="28"/>
          <w:lang w:val="es-ES_tradnl"/>
        </w:rPr>
        <w:t>de Salud</w:t>
      </w:r>
      <w:r w:rsidR="00874938" w:rsidRPr="00274507">
        <w:rPr>
          <w:sz w:val="28"/>
          <w:szCs w:val="28"/>
          <w:lang w:val="es-ES_tradnl"/>
        </w:rPr>
        <w:t xml:space="preserve"> en el cumplimiento del mandato constitucional.</w:t>
      </w:r>
    </w:p>
    <w:p w:rsidR="00C76FF1" w:rsidRPr="00274507" w:rsidRDefault="00C76FF1" w:rsidP="00274507">
      <w:pPr>
        <w:jc w:val="both"/>
        <w:rPr>
          <w:sz w:val="28"/>
          <w:szCs w:val="28"/>
        </w:rPr>
      </w:pPr>
    </w:p>
    <w:p w:rsidR="00F75A68" w:rsidRPr="00274507" w:rsidRDefault="000A51A3" w:rsidP="00274507">
      <w:pPr>
        <w:jc w:val="both"/>
        <w:rPr>
          <w:sz w:val="28"/>
          <w:szCs w:val="28"/>
        </w:rPr>
      </w:pPr>
      <w:r w:rsidRPr="00274507">
        <w:rPr>
          <w:sz w:val="28"/>
          <w:szCs w:val="28"/>
        </w:rPr>
        <w:t>4</w:t>
      </w:r>
      <w:r w:rsidR="001355AE" w:rsidRPr="00274507">
        <w:rPr>
          <w:sz w:val="28"/>
          <w:szCs w:val="28"/>
        </w:rPr>
        <w:t>.</w:t>
      </w:r>
      <w:r w:rsidR="00F55E3F" w:rsidRPr="00274507">
        <w:rPr>
          <w:sz w:val="28"/>
          <w:szCs w:val="28"/>
        </w:rPr>
        <w:t>11</w:t>
      </w:r>
      <w:r w:rsidR="000B57AC" w:rsidRPr="00274507">
        <w:rPr>
          <w:sz w:val="28"/>
          <w:szCs w:val="28"/>
        </w:rPr>
        <w:t>.</w:t>
      </w:r>
      <w:r w:rsidR="00C76FF1" w:rsidRPr="00274507">
        <w:rPr>
          <w:sz w:val="28"/>
          <w:szCs w:val="28"/>
        </w:rPr>
        <w:t>1</w:t>
      </w:r>
      <w:r w:rsidR="000B57AC" w:rsidRPr="00274507">
        <w:rPr>
          <w:sz w:val="28"/>
          <w:szCs w:val="28"/>
        </w:rPr>
        <w:t>.</w:t>
      </w:r>
      <w:r w:rsidR="00C76FF1" w:rsidRPr="00274507">
        <w:rPr>
          <w:sz w:val="28"/>
          <w:szCs w:val="28"/>
        </w:rPr>
        <w:t xml:space="preserve"> </w:t>
      </w:r>
      <w:r w:rsidR="00874938" w:rsidRPr="00274507">
        <w:rPr>
          <w:sz w:val="28"/>
          <w:szCs w:val="28"/>
        </w:rPr>
        <w:t xml:space="preserve">El programa </w:t>
      </w:r>
      <w:r w:rsidR="007E401D" w:rsidRPr="00274507">
        <w:rPr>
          <w:sz w:val="28"/>
          <w:szCs w:val="28"/>
        </w:rPr>
        <w:t>“</w:t>
      </w:r>
      <w:r w:rsidR="00C76FF1" w:rsidRPr="00274507">
        <w:rPr>
          <w:i/>
          <w:sz w:val="28"/>
          <w:szCs w:val="28"/>
        </w:rPr>
        <w:t>Así Vamos en Salud</w:t>
      </w:r>
      <w:r w:rsidR="007E401D" w:rsidRPr="00274507">
        <w:rPr>
          <w:sz w:val="28"/>
          <w:szCs w:val="28"/>
        </w:rPr>
        <w:t>”</w:t>
      </w:r>
      <w:r w:rsidR="00C76FF1" w:rsidRPr="00274507">
        <w:rPr>
          <w:rStyle w:val="Refdenotaalpie"/>
          <w:sz w:val="28"/>
          <w:szCs w:val="28"/>
        </w:rPr>
        <w:footnoteReference w:id="102"/>
      </w:r>
      <w:r w:rsidR="007602CA" w:rsidRPr="00274507">
        <w:rPr>
          <w:sz w:val="28"/>
          <w:szCs w:val="28"/>
        </w:rPr>
        <w:t>, i</w:t>
      </w:r>
      <w:r w:rsidR="00342710" w:rsidRPr="00274507">
        <w:rPr>
          <w:sz w:val="28"/>
          <w:szCs w:val="28"/>
        </w:rPr>
        <w:t xml:space="preserve">ndicó </w:t>
      </w:r>
      <w:r w:rsidR="00874938" w:rsidRPr="00274507">
        <w:rPr>
          <w:sz w:val="28"/>
          <w:szCs w:val="28"/>
        </w:rPr>
        <w:t>que l</w:t>
      </w:r>
      <w:r w:rsidR="00342710" w:rsidRPr="00274507">
        <w:rPr>
          <w:sz w:val="28"/>
          <w:szCs w:val="28"/>
        </w:rPr>
        <w:t>a metodología de “</w:t>
      </w:r>
      <w:r w:rsidR="00342710" w:rsidRPr="00274507">
        <w:rPr>
          <w:i/>
          <w:sz w:val="28"/>
          <w:szCs w:val="28"/>
        </w:rPr>
        <w:t>muestreo aleatorio estratificado por departamento con asignación proporcional</w:t>
      </w:r>
      <w:r w:rsidR="00342710" w:rsidRPr="00274507">
        <w:rPr>
          <w:sz w:val="28"/>
          <w:szCs w:val="28"/>
        </w:rPr>
        <w:t>” fue la misma empleada por los estudios que efectúan anualmente la Defensoría del Pueblo y que de igual manera utilizó la base de datos de los expedientes que obraban en l</w:t>
      </w:r>
      <w:r w:rsidR="00F75A68" w:rsidRPr="00274507">
        <w:rPr>
          <w:sz w:val="28"/>
          <w:szCs w:val="28"/>
        </w:rPr>
        <w:t>a Corte, lo cual significa que existe avance en el contenido de los informes.</w:t>
      </w:r>
      <w:r w:rsidR="0003611A" w:rsidRPr="00274507">
        <w:rPr>
          <w:sz w:val="28"/>
          <w:szCs w:val="28"/>
        </w:rPr>
        <w:t xml:space="preserve"> </w:t>
      </w:r>
      <w:r w:rsidR="007602CA" w:rsidRPr="00274507">
        <w:rPr>
          <w:sz w:val="28"/>
          <w:szCs w:val="28"/>
        </w:rPr>
        <w:t>A</w:t>
      </w:r>
      <w:r w:rsidR="0003611A" w:rsidRPr="00274507">
        <w:rPr>
          <w:sz w:val="28"/>
          <w:szCs w:val="28"/>
        </w:rPr>
        <w:t xml:space="preserve">dvirtió como limitación </w:t>
      </w:r>
      <w:r w:rsidR="00874938" w:rsidRPr="00274507">
        <w:rPr>
          <w:sz w:val="28"/>
          <w:szCs w:val="28"/>
        </w:rPr>
        <w:t>la imposibilidad de obtener información más precisa en cada expediente de tutela analizado, tal como la capacidad económica del peticionario, por ello le</w:t>
      </w:r>
      <w:r w:rsidR="00771CBE" w:rsidRPr="00274507">
        <w:rPr>
          <w:sz w:val="28"/>
          <w:szCs w:val="28"/>
        </w:rPr>
        <w:t xml:space="preserve"> </w:t>
      </w:r>
      <w:r w:rsidR="00874938" w:rsidRPr="00274507">
        <w:rPr>
          <w:sz w:val="28"/>
          <w:szCs w:val="28"/>
        </w:rPr>
        <w:t>recomendó implementa</w:t>
      </w:r>
      <w:r w:rsidR="00F75A68" w:rsidRPr="00274507">
        <w:rPr>
          <w:sz w:val="28"/>
          <w:szCs w:val="28"/>
        </w:rPr>
        <w:t>r una herramienta que le permitiera superar las inconsistencias</w:t>
      </w:r>
      <w:r w:rsidR="00874938" w:rsidRPr="00274507">
        <w:rPr>
          <w:sz w:val="28"/>
          <w:szCs w:val="28"/>
        </w:rPr>
        <w:t xml:space="preserve"> y así tener un informe más detallado</w:t>
      </w:r>
      <w:r w:rsidR="007E401D" w:rsidRPr="00274507">
        <w:rPr>
          <w:rStyle w:val="Refdenotaalpie"/>
          <w:sz w:val="28"/>
          <w:szCs w:val="28"/>
        </w:rPr>
        <w:footnoteReference w:id="103"/>
      </w:r>
      <w:r w:rsidR="00771CBE" w:rsidRPr="00274507">
        <w:rPr>
          <w:sz w:val="28"/>
          <w:szCs w:val="28"/>
        </w:rPr>
        <w:t>.</w:t>
      </w:r>
    </w:p>
    <w:p w:rsidR="001355AE" w:rsidRPr="00274507" w:rsidRDefault="00B840BE" w:rsidP="00274507">
      <w:pPr>
        <w:jc w:val="both"/>
        <w:rPr>
          <w:sz w:val="28"/>
          <w:szCs w:val="28"/>
        </w:rPr>
      </w:pPr>
      <w:r w:rsidRPr="00274507">
        <w:rPr>
          <w:rFonts w:eastAsia="MS Mincho"/>
          <w:bCs/>
          <w:sz w:val="28"/>
          <w:szCs w:val="28"/>
          <w:lang w:eastAsia="en-US"/>
        </w:rPr>
        <w:t>Respecto a</w:t>
      </w:r>
      <w:r w:rsidR="005D7C2C" w:rsidRPr="00274507">
        <w:rPr>
          <w:rFonts w:eastAsia="MS Mincho"/>
          <w:bCs/>
          <w:sz w:val="28"/>
          <w:szCs w:val="28"/>
          <w:lang w:eastAsia="en-US"/>
        </w:rPr>
        <w:t xml:space="preserve"> las </w:t>
      </w:r>
      <w:r w:rsidR="002A4F38" w:rsidRPr="00274507">
        <w:rPr>
          <w:rFonts w:eastAsia="MS Mincho"/>
          <w:bCs/>
          <w:sz w:val="28"/>
          <w:szCs w:val="28"/>
          <w:lang w:eastAsia="en-US"/>
        </w:rPr>
        <w:t>estrategias de divulgación</w:t>
      </w:r>
      <w:r w:rsidR="005D7C2C" w:rsidRPr="00274507">
        <w:rPr>
          <w:rFonts w:eastAsia="MS Mincho"/>
          <w:bCs/>
          <w:sz w:val="28"/>
          <w:szCs w:val="28"/>
          <w:lang w:eastAsia="en-US"/>
        </w:rPr>
        <w:t>, i</w:t>
      </w:r>
      <w:r w:rsidR="002A4F38" w:rsidRPr="00274507">
        <w:rPr>
          <w:rFonts w:eastAsia="MS Mincho"/>
          <w:bCs/>
          <w:sz w:val="28"/>
          <w:szCs w:val="28"/>
          <w:lang w:eastAsia="en-US"/>
        </w:rPr>
        <w:t>ndicó que tal como fue expuesto en la respuesta contenida en el Oficio No.OPTB-888/2014</w:t>
      </w:r>
      <w:r w:rsidR="005A39A8" w:rsidRPr="00274507">
        <w:rPr>
          <w:rFonts w:eastAsia="MS Mincho"/>
          <w:bCs/>
          <w:sz w:val="28"/>
          <w:szCs w:val="28"/>
          <w:lang w:eastAsia="en-US"/>
        </w:rPr>
        <w:t xml:space="preserve"> (sin fecha)</w:t>
      </w:r>
      <w:r w:rsidR="002A4F38" w:rsidRPr="00274507">
        <w:rPr>
          <w:rFonts w:eastAsia="MS Mincho"/>
          <w:bCs/>
          <w:sz w:val="28"/>
          <w:szCs w:val="28"/>
          <w:lang w:eastAsia="en-US"/>
        </w:rPr>
        <w:t xml:space="preserve">, </w:t>
      </w:r>
      <w:r w:rsidR="007A6D4E" w:rsidRPr="00274507">
        <w:rPr>
          <w:rFonts w:eastAsia="MS Mincho"/>
          <w:bCs/>
          <w:sz w:val="28"/>
          <w:szCs w:val="28"/>
          <w:lang w:eastAsia="en-US"/>
        </w:rPr>
        <w:t xml:space="preserve">el Ministerio de Salud debería realizar </w:t>
      </w:r>
      <w:r w:rsidR="002A4F38" w:rsidRPr="00274507">
        <w:rPr>
          <w:rFonts w:eastAsia="MS Mincho"/>
          <w:bCs/>
          <w:sz w:val="28"/>
          <w:szCs w:val="28"/>
          <w:lang w:eastAsia="en-US"/>
        </w:rPr>
        <w:t xml:space="preserve">reuniones de socialización de resultados que involucren representantes de la sociedad civil como </w:t>
      </w:r>
      <w:r w:rsidR="00F75A68" w:rsidRPr="00274507">
        <w:rPr>
          <w:rFonts w:eastAsia="MS Mincho"/>
          <w:bCs/>
          <w:sz w:val="28"/>
          <w:szCs w:val="28"/>
          <w:lang w:eastAsia="en-US"/>
        </w:rPr>
        <w:t xml:space="preserve">la </w:t>
      </w:r>
      <w:r w:rsidR="002A4F38" w:rsidRPr="00274507">
        <w:rPr>
          <w:rFonts w:eastAsia="MS Mincho"/>
          <w:bCs/>
          <w:sz w:val="28"/>
          <w:szCs w:val="28"/>
          <w:lang w:eastAsia="en-US"/>
        </w:rPr>
        <w:t>academia, asociaciones de pacientes y de usuarios del sistema de salud,</w:t>
      </w:r>
      <w:r w:rsidR="007E401D" w:rsidRPr="00274507">
        <w:rPr>
          <w:rFonts w:eastAsia="MS Mincho"/>
          <w:bCs/>
          <w:sz w:val="28"/>
          <w:szCs w:val="28"/>
          <w:lang w:eastAsia="en-US"/>
        </w:rPr>
        <w:t xml:space="preserve"> entre otros grupos de interés. </w:t>
      </w:r>
      <w:r w:rsidR="00342292" w:rsidRPr="00274507">
        <w:rPr>
          <w:rFonts w:eastAsia="MS Mincho"/>
          <w:bCs/>
          <w:sz w:val="28"/>
          <w:szCs w:val="28"/>
          <w:lang w:eastAsia="en-US"/>
        </w:rPr>
        <w:t>Además,</w:t>
      </w:r>
      <w:r w:rsidR="007A6D4E" w:rsidRPr="00274507">
        <w:rPr>
          <w:rFonts w:eastAsia="MS Mincho"/>
          <w:bCs/>
          <w:sz w:val="28"/>
          <w:szCs w:val="28"/>
          <w:lang w:eastAsia="en-US"/>
        </w:rPr>
        <w:t xml:space="preserve"> insistió en</w:t>
      </w:r>
      <w:r w:rsidR="00F75A68" w:rsidRPr="00274507">
        <w:rPr>
          <w:rFonts w:eastAsia="MS Mincho"/>
          <w:bCs/>
          <w:sz w:val="28"/>
          <w:szCs w:val="28"/>
          <w:lang w:eastAsia="en-US"/>
        </w:rPr>
        <w:t xml:space="preserve"> la necesidad de</w:t>
      </w:r>
      <w:r w:rsidR="007A6D4E" w:rsidRPr="00274507">
        <w:rPr>
          <w:rFonts w:eastAsia="MS Mincho"/>
          <w:bCs/>
          <w:sz w:val="28"/>
          <w:szCs w:val="28"/>
          <w:lang w:eastAsia="en-US"/>
        </w:rPr>
        <w:t xml:space="preserve"> </w:t>
      </w:r>
      <w:r w:rsidR="00F75A68" w:rsidRPr="00274507">
        <w:rPr>
          <w:rFonts w:eastAsia="MS Mincho"/>
          <w:bCs/>
          <w:sz w:val="28"/>
          <w:szCs w:val="28"/>
          <w:lang w:eastAsia="en-US"/>
        </w:rPr>
        <w:t>publicar y divulgar</w:t>
      </w:r>
      <w:r w:rsidR="00342292" w:rsidRPr="00274507">
        <w:rPr>
          <w:rFonts w:eastAsia="MS Mincho"/>
          <w:bCs/>
          <w:sz w:val="28"/>
          <w:szCs w:val="28"/>
          <w:lang w:eastAsia="en-US"/>
        </w:rPr>
        <w:t xml:space="preserve"> los informes anuales</w:t>
      </w:r>
      <w:r w:rsidR="007E401D" w:rsidRPr="00274507">
        <w:rPr>
          <w:rStyle w:val="Refdenotaalpie"/>
          <w:rFonts w:eastAsia="MS Mincho"/>
          <w:bCs/>
          <w:sz w:val="28"/>
          <w:szCs w:val="28"/>
          <w:lang w:eastAsia="en-US"/>
        </w:rPr>
        <w:footnoteReference w:id="104"/>
      </w:r>
      <w:r w:rsidR="00B01D39" w:rsidRPr="00274507">
        <w:rPr>
          <w:rFonts w:eastAsia="MS Mincho"/>
          <w:bCs/>
          <w:sz w:val="28"/>
          <w:szCs w:val="28"/>
          <w:lang w:eastAsia="en-US"/>
        </w:rPr>
        <w:t xml:space="preserve"> </w:t>
      </w:r>
      <w:r w:rsidR="007A6D4E" w:rsidRPr="00274507">
        <w:rPr>
          <w:rFonts w:eastAsia="MS Mincho"/>
          <w:bCs/>
          <w:sz w:val="28"/>
          <w:szCs w:val="28"/>
          <w:lang w:eastAsia="en-US"/>
        </w:rPr>
        <w:t>a través de los canales de comunicación</w:t>
      </w:r>
      <w:r w:rsidR="005D7C2C" w:rsidRPr="00274507">
        <w:rPr>
          <w:rFonts w:eastAsia="MS Mincho"/>
          <w:bCs/>
          <w:sz w:val="28"/>
          <w:szCs w:val="28"/>
          <w:lang w:eastAsia="en-US"/>
        </w:rPr>
        <w:t xml:space="preserve">. Recomendó </w:t>
      </w:r>
      <w:r w:rsidR="007E401D" w:rsidRPr="00274507">
        <w:rPr>
          <w:rFonts w:eastAsia="MS Mincho"/>
          <w:bCs/>
          <w:sz w:val="28"/>
          <w:szCs w:val="28"/>
          <w:lang w:eastAsia="en-US"/>
        </w:rPr>
        <w:t>crear</w:t>
      </w:r>
      <w:r w:rsidR="005D7C2C" w:rsidRPr="00274507">
        <w:rPr>
          <w:rFonts w:eastAsia="MS Mincho"/>
          <w:bCs/>
          <w:sz w:val="28"/>
          <w:szCs w:val="28"/>
          <w:lang w:eastAsia="en-US"/>
        </w:rPr>
        <w:t xml:space="preserve"> un mini sitio en el que reposará</w:t>
      </w:r>
      <w:r w:rsidR="00342292" w:rsidRPr="00274507">
        <w:rPr>
          <w:rFonts w:eastAsia="MS Mincho"/>
          <w:bCs/>
          <w:sz w:val="28"/>
          <w:szCs w:val="28"/>
          <w:lang w:eastAsia="en-US"/>
        </w:rPr>
        <w:t xml:space="preserve"> toda la información relacionada con el cumplimiento de las órdenes impartidas en la T-760 de 2008.</w:t>
      </w:r>
    </w:p>
    <w:p w:rsidR="001355AE" w:rsidRPr="00274507" w:rsidRDefault="001355AE" w:rsidP="00274507">
      <w:pPr>
        <w:pStyle w:val="Prrafodelista"/>
        <w:ind w:left="1080"/>
        <w:jc w:val="both"/>
        <w:rPr>
          <w:sz w:val="28"/>
          <w:szCs w:val="28"/>
        </w:rPr>
      </w:pPr>
    </w:p>
    <w:p w:rsidR="00FA22F6" w:rsidRPr="00274507" w:rsidRDefault="005D7C2C" w:rsidP="00274507">
      <w:pPr>
        <w:jc w:val="both"/>
        <w:rPr>
          <w:sz w:val="28"/>
          <w:szCs w:val="28"/>
        </w:rPr>
      </w:pPr>
      <w:r w:rsidRPr="00274507">
        <w:rPr>
          <w:rFonts w:eastAsia="MS Mincho"/>
          <w:bCs/>
          <w:sz w:val="28"/>
          <w:szCs w:val="28"/>
          <w:lang w:eastAsia="en-US"/>
        </w:rPr>
        <w:t>Por otra parte, a</w:t>
      </w:r>
      <w:r w:rsidR="00D260D9" w:rsidRPr="00274507">
        <w:rPr>
          <w:rFonts w:eastAsia="MS Mincho"/>
          <w:bCs/>
          <w:sz w:val="28"/>
          <w:szCs w:val="28"/>
          <w:lang w:eastAsia="en-US"/>
        </w:rPr>
        <w:t xml:space="preserve">dvirtió que </w:t>
      </w:r>
      <w:r w:rsidR="005A39A8" w:rsidRPr="00274507">
        <w:rPr>
          <w:rFonts w:eastAsia="MS Mincho"/>
          <w:bCs/>
          <w:sz w:val="28"/>
          <w:szCs w:val="28"/>
          <w:lang w:eastAsia="en-US"/>
        </w:rPr>
        <w:t xml:space="preserve">en </w:t>
      </w:r>
      <w:r w:rsidRPr="00274507">
        <w:rPr>
          <w:rFonts w:eastAsia="MS Mincho"/>
          <w:bCs/>
          <w:sz w:val="28"/>
          <w:szCs w:val="28"/>
          <w:lang w:eastAsia="en-US"/>
        </w:rPr>
        <w:t xml:space="preserve">el séptimo informe, los resultados </w:t>
      </w:r>
      <w:r w:rsidR="007A6D4E" w:rsidRPr="00274507">
        <w:rPr>
          <w:rFonts w:eastAsia="MS Mincho"/>
          <w:bCs/>
          <w:sz w:val="28"/>
          <w:szCs w:val="28"/>
          <w:lang w:eastAsia="en-US"/>
        </w:rPr>
        <w:t xml:space="preserve">fueron </w:t>
      </w:r>
      <w:r w:rsidRPr="00274507">
        <w:rPr>
          <w:rFonts w:eastAsia="MS Mincho"/>
          <w:bCs/>
          <w:sz w:val="28"/>
          <w:szCs w:val="28"/>
          <w:lang w:eastAsia="en-US"/>
        </w:rPr>
        <w:t xml:space="preserve">presentados desde </w:t>
      </w:r>
      <w:r w:rsidR="00D260D9" w:rsidRPr="00274507">
        <w:rPr>
          <w:rFonts w:eastAsia="MS Mincho"/>
          <w:bCs/>
          <w:sz w:val="28"/>
          <w:szCs w:val="28"/>
          <w:lang w:eastAsia="en-US"/>
        </w:rPr>
        <w:t>un panorama general y detallado de las t</w:t>
      </w:r>
      <w:r w:rsidR="007A6D4E" w:rsidRPr="00274507">
        <w:rPr>
          <w:rFonts w:eastAsia="MS Mincho"/>
          <w:bCs/>
          <w:sz w:val="28"/>
          <w:szCs w:val="28"/>
          <w:lang w:eastAsia="en-US"/>
        </w:rPr>
        <w:t>utelas, en los que se establecieron</w:t>
      </w:r>
      <w:r w:rsidR="00EA0EE9" w:rsidRPr="00274507">
        <w:rPr>
          <w:rFonts w:eastAsia="MS Mincho"/>
          <w:bCs/>
          <w:sz w:val="28"/>
          <w:szCs w:val="28"/>
          <w:lang w:eastAsia="en-US"/>
        </w:rPr>
        <w:t>:</w:t>
      </w:r>
      <w:r w:rsidR="00D260D9" w:rsidRPr="00274507">
        <w:rPr>
          <w:rFonts w:eastAsia="MS Mincho"/>
          <w:bCs/>
          <w:sz w:val="28"/>
          <w:szCs w:val="28"/>
          <w:lang w:eastAsia="en-US"/>
        </w:rPr>
        <w:t xml:space="preserve"> i) las situaciones administrativas y ii) circunstancia</w:t>
      </w:r>
      <w:r w:rsidR="00F75A68" w:rsidRPr="00274507">
        <w:rPr>
          <w:rFonts w:eastAsia="MS Mincho"/>
          <w:bCs/>
          <w:sz w:val="28"/>
          <w:szCs w:val="28"/>
          <w:lang w:eastAsia="en-US"/>
        </w:rPr>
        <w:t>s médica, a</w:t>
      </w:r>
      <w:r w:rsidR="00D260D9" w:rsidRPr="00274507">
        <w:rPr>
          <w:rFonts w:eastAsia="MS Mincho"/>
          <w:bCs/>
          <w:sz w:val="28"/>
          <w:szCs w:val="28"/>
          <w:lang w:eastAsia="en-US"/>
        </w:rPr>
        <w:t>unado al análisis de los problemas jurídicos descritos en el mandato constitucional.</w:t>
      </w:r>
      <w:r w:rsidR="007E401D" w:rsidRPr="00274507">
        <w:rPr>
          <w:rFonts w:eastAsia="MS Mincho"/>
          <w:bCs/>
          <w:sz w:val="28"/>
          <w:szCs w:val="28"/>
          <w:lang w:eastAsia="en-US"/>
        </w:rPr>
        <w:t xml:space="preserve"> </w:t>
      </w:r>
      <w:r w:rsidR="00EA0EE9" w:rsidRPr="00274507">
        <w:rPr>
          <w:bCs/>
          <w:sz w:val="28"/>
          <w:szCs w:val="28"/>
        </w:rPr>
        <w:t xml:space="preserve">Teniendo en cuenta lo anterior, señaló que </w:t>
      </w:r>
      <w:r w:rsidR="00FA22F6" w:rsidRPr="00274507">
        <w:rPr>
          <w:bCs/>
          <w:sz w:val="28"/>
          <w:szCs w:val="28"/>
        </w:rPr>
        <w:t>los datos obtenidos para formar la muestra para el año 2014 constituye</w:t>
      </w:r>
      <w:r w:rsidR="005A39A8" w:rsidRPr="00274507">
        <w:rPr>
          <w:bCs/>
          <w:sz w:val="28"/>
          <w:szCs w:val="28"/>
        </w:rPr>
        <w:t>n</w:t>
      </w:r>
      <w:r w:rsidR="00FA22F6" w:rsidRPr="00274507">
        <w:rPr>
          <w:bCs/>
          <w:sz w:val="28"/>
          <w:szCs w:val="28"/>
        </w:rPr>
        <w:t xml:space="preserve"> una nueva línea de base para los próximos informes</w:t>
      </w:r>
      <w:r w:rsidR="007E401D" w:rsidRPr="00274507">
        <w:rPr>
          <w:rStyle w:val="Refdenotaalpie"/>
          <w:bCs/>
          <w:sz w:val="28"/>
          <w:szCs w:val="28"/>
        </w:rPr>
        <w:footnoteReference w:id="105"/>
      </w:r>
      <w:r w:rsidR="00FA22F6" w:rsidRPr="00274507">
        <w:rPr>
          <w:bCs/>
          <w:sz w:val="28"/>
          <w:szCs w:val="28"/>
        </w:rPr>
        <w:t>.</w:t>
      </w:r>
      <w:r w:rsidR="007A6D4E" w:rsidRPr="00274507">
        <w:rPr>
          <w:sz w:val="28"/>
          <w:szCs w:val="28"/>
        </w:rPr>
        <w:t xml:space="preserve"> Finalmente, </w:t>
      </w:r>
      <w:r w:rsidR="00FA22F6" w:rsidRPr="00274507">
        <w:rPr>
          <w:bCs/>
          <w:sz w:val="28"/>
          <w:szCs w:val="28"/>
        </w:rPr>
        <w:t xml:space="preserve">sugirió </w:t>
      </w:r>
      <w:r w:rsidR="000A04AA" w:rsidRPr="00274507">
        <w:rPr>
          <w:bCs/>
          <w:sz w:val="28"/>
          <w:szCs w:val="28"/>
        </w:rPr>
        <w:t>unificar la información sobre el comportamiento de las tutelas</w:t>
      </w:r>
      <w:r w:rsidR="00F75A68" w:rsidRPr="00274507">
        <w:rPr>
          <w:bCs/>
          <w:sz w:val="28"/>
          <w:szCs w:val="28"/>
        </w:rPr>
        <w:t xml:space="preserve"> entre el 2008 y 2015</w:t>
      </w:r>
      <w:r w:rsidR="000A04AA" w:rsidRPr="00274507">
        <w:rPr>
          <w:bCs/>
          <w:sz w:val="28"/>
          <w:szCs w:val="28"/>
        </w:rPr>
        <w:t xml:space="preserve"> en los términos de los indicadores, gráficos y tablas.</w:t>
      </w:r>
    </w:p>
    <w:p w:rsidR="00B840BE" w:rsidRPr="00274507" w:rsidRDefault="00B840BE" w:rsidP="00274507">
      <w:pPr>
        <w:pStyle w:val="Sinespaciado"/>
        <w:jc w:val="both"/>
        <w:rPr>
          <w:rFonts w:eastAsia="MS Mincho"/>
          <w:bCs/>
          <w:sz w:val="28"/>
          <w:szCs w:val="28"/>
          <w:lang w:eastAsia="en-US"/>
        </w:rPr>
      </w:pPr>
    </w:p>
    <w:p w:rsidR="000C4DDD" w:rsidRPr="00274507" w:rsidRDefault="000A51A3" w:rsidP="00274507">
      <w:pPr>
        <w:pStyle w:val="Sinespaciado"/>
        <w:jc w:val="both"/>
        <w:rPr>
          <w:bCs/>
          <w:sz w:val="28"/>
          <w:szCs w:val="28"/>
        </w:rPr>
      </w:pPr>
      <w:r w:rsidRPr="00274507">
        <w:rPr>
          <w:bCs/>
          <w:sz w:val="28"/>
          <w:szCs w:val="28"/>
        </w:rPr>
        <w:t>4</w:t>
      </w:r>
      <w:r w:rsidR="00F55E3F" w:rsidRPr="00274507">
        <w:rPr>
          <w:bCs/>
          <w:sz w:val="28"/>
          <w:szCs w:val="28"/>
        </w:rPr>
        <w:t>.1</w:t>
      </w:r>
      <w:r w:rsidR="00EB1F69" w:rsidRPr="00274507">
        <w:rPr>
          <w:bCs/>
          <w:sz w:val="28"/>
          <w:szCs w:val="28"/>
        </w:rPr>
        <w:t>1</w:t>
      </w:r>
      <w:r w:rsidR="00791603" w:rsidRPr="00274507">
        <w:rPr>
          <w:bCs/>
          <w:sz w:val="28"/>
          <w:szCs w:val="28"/>
        </w:rPr>
        <w:t>.2.</w:t>
      </w:r>
      <w:r w:rsidR="00791603" w:rsidRPr="00274507">
        <w:rPr>
          <w:b/>
          <w:bCs/>
          <w:sz w:val="28"/>
          <w:szCs w:val="28"/>
        </w:rPr>
        <w:t xml:space="preserve"> </w:t>
      </w:r>
      <w:r w:rsidR="00484EA4" w:rsidRPr="00274507">
        <w:rPr>
          <w:bCs/>
          <w:sz w:val="28"/>
          <w:szCs w:val="28"/>
        </w:rPr>
        <w:t>E</w:t>
      </w:r>
      <w:r w:rsidR="00791603" w:rsidRPr="00274507">
        <w:rPr>
          <w:bCs/>
          <w:sz w:val="28"/>
          <w:szCs w:val="28"/>
        </w:rPr>
        <w:t xml:space="preserve">l </w:t>
      </w:r>
      <w:r w:rsidR="008C06B8" w:rsidRPr="00274507">
        <w:rPr>
          <w:bCs/>
          <w:sz w:val="28"/>
          <w:szCs w:val="28"/>
        </w:rPr>
        <w:t>18 de agosto de 2016</w:t>
      </w:r>
      <w:r w:rsidR="001355AE" w:rsidRPr="00274507">
        <w:rPr>
          <w:rStyle w:val="Refdenotaalpie"/>
          <w:bCs/>
          <w:sz w:val="28"/>
          <w:szCs w:val="28"/>
        </w:rPr>
        <w:footnoteReference w:id="106"/>
      </w:r>
      <w:r w:rsidR="001A5BFC" w:rsidRPr="00274507">
        <w:rPr>
          <w:bCs/>
          <w:sz w:val="28"/>
          <w:szCs w:val="28"/>
        </w:rPr>
        <w:t>,</w:t>
      </w:r>
      <w:r w:rsidR="008C06B8" w:rsidRPr="00274507">
        <w:rPr>
          <w:bCs/>
          <w:sz w:val="28"/>
          <w:szCs w:val="28"/>
        </w:rPr>
        <w:t xml:space="preserve"> el </w:t>
      </w:r>
      <w:r w:rsidR="00791603" w:rsidRPr="00274507">
        <w:rPr>
          <w:bCs/>
          <w:sz w:val="28"/>
          <w:szCs w:val="28"/>
        </w:rPr>
        <w:t>Ministerio de Salud</w:t>
      </w:r>
      <w:r w:rsidR="001A5BFC" w:rsidRPr="00274507">
        <w:rPr>
          <w:bCs/>
          <w:sz w:val="28"/>
          <w:szCs w:val="28"/>
        </w:rPr>
        <w:t xml:space="preserve"> informó </w:t>
      </w:r>
      <w:r w:rsidR="007A6D4E" w:rsidRPr="00274507">
        <w:rPr>
          <w:bCs/>
          <w:sz w:val="28"/>
          <w:szCs w:val="28"/>
        </w:rPr>
        <w:t>que respecto a la selección de</w:t>
      </w:r>
      <w:r w:rsidR="000C4DDD" w:rsidRPr="00274507">
        <w:rPr>
          <w:rFonts w:eastAsia="MS Mincho"/>
          <w:bCs/>
          <w:sz w:val="28"/>
          <w:szCs w:val="28"/>
          <w:lang w:eastAsia="en-US"/>
        </w:rPr>
        <w:t xml:space="preserve"> la muestra, recolección de información y esquem</w:t>
      </w:r>
      <w:r w:rsidR="00D2116F" w:rsidRPr="00274507">
        <w:rPr>
          <w:rFonts w:eastAsia="MS Mincho"/>
          <w:bCs/>
          <w:sz w:val="28"/>
          <w:szCs w:val="28"/>
          <w:lang w:eastAsia="en-US"/>
        </w:rPr>
        <w:t xml:space="preserve">a de análisis </w:t>
      </w:r>
      <w:r w:rsidR="00B840BE" w:rsidRPr="00274507">
        <w:rPr>
          <w:rFonts w:eastAsia="MS Mincho"/>
          <w:bCs/>
          <w:sz w:val="28"/>
          <w:szCs w:val="28"/>
          <w:lang w:eastAsia="en-US"/>
        </w:rPr>
        <w:t>se presentó un gran avance</w:t>
      </w:r>
      <w:r w:rsidR="007A6D4E" w:rsidRPr="00274507">
        <w:rPr>
          <w:rFonts w:eastAsia="MS Mincho"/>
          <w:bCs/>
          <w:sz w:val="28"/>
          <w:szCs w:val="28"/>
          <w:lang w:eastAsia="en-US"/>
        </w:rPr>
        <w:t xml:space="preserve">, ya que </w:t>
      </w:r>
      <w:r w:rsidR="000C4DDD" w:rsidRPr="00274507">
        <w:rPr>
          <w:rFonts w:eastAsia="MS Mincho"/>
          <w:bCs/>
          <w:sz w:val="28"/>
          <w:szCs w:val="28"/>
          <w:lang w:eastAsia="en-US"/>
        </w:rPr>
        <w:t xml:space="preserve"> de analizar fuentes propias de recobros </w:t>
      </w:r>
      <w:r w:rsidR="007A6D4E" w:rsidRPr="00274507">
        <w:rPr>
          <w:rFonts w:eastAsia="MS Mincho"/>
          <w:bCs/>
          <w:sz w:val="28"/>
          <w:szCs w:val="28"/>
          <w:lang w:eastAsia="en-US"/>
        </w:rPr>
        <w:t>y tutelas incoadas en su contra según su base de datos interna, ahora revisa las tutelas que reposan</w:t>
      </w:r>
      <w:r w:rsidR="004D1383" w:rsidRPr="00274507">
        <w:rPr>
          <w:rFonts w:eastAsia="MS Mincho"/>
          <w:bCs/>
          <w:sz w:val="28"/>
          <w:szCs w:val="28"/>
          <w:lang w:eastAsia="en-US"/>
        </w:rPr>
        <w:t xml:space="preserve"> en la Corte, por lo que </w:t>
      </w:r>
      <w:r w:rsidR="00D2116F" w:rsidRPr="00274507">
        <w:rPr>
          <w:rFonts w:eastAsia="MS Mincho"/>
          <w:bCs/>
          <w:sz w:val="28"/>
          <w:szCs w:val="28"/>
          <w:lang w:eastAsia="en-US"/>
        </w:rPr>
        <w:t xml:space="preserve">informó </w:t>
      </w:r>
      <w:r w:rsidR="004D1383" w:rsidRPr="00274507">
        <w:rPr>
          <w:rFonts w:eastAsia="MS Mincho"/>
          <w:bCs/>
          <w:sz w:val="28"/>
          <w:szCs w:val="28"/>
          <w:lang w:eastAsia="en-US"/>
        </w:rPr>
        <w:t xml:space="preserve">que ha dispuesto de recurso humano y técnico </w:t>
      </w:r>
      <w:r w:rsidR="00F75A68" w:rsidRPr="00274507">
        <w:rPr>
          <w:rFonts w:eastAsia="MS Mincho"/>
          <w:bCs/>
          <w:sz w:val="28"/>
          <w:szCs w:val="28"/>
          <w:lang w:eastAsia="en-US"/>
        </w:rPr>
        <w:t xml:space="preserve">adecuado </w:t>
      </w:r>
      <w:r w:rsidR="004D1383" w:rsidRPr="00274507">
        <w:rPr>
          <w:rFonts w:eastAsia="MS Mincho"/>
          <w:bCs/>
          <w:sz w:val="28"/>
          <w:szCs w:val="28"/>
          <w:lang w:eastAsia="en-US"/>
        </w:rPr>
        <w:t>para la elaboración de tal actividad en aras de dar cabal cumplimiento a l</w:t>
      </w:r>
      <w:r w:rsidR="007E401D" w:rsidRPr="00274507">
        <w:rPr>
          <w:rFonts w:eastAsia="MS Mincho"/>
          <w:bCs/>
          <w:sz w:val="28"/>
          <w:szCs w:val="28"/>
          <w:lang w:eastAsia="en-US"/>
        </w:rPr>
        <w:t>a orden trigésima</w:t>
      </w:r>
      <w:r w:rsidR="004D1383" w:rsidRPr="00274507">
        <w:rPr>
          <w:rFonts w:eastAsia="MS Mincho"/>
          <w:bCs/>
          <w:sz w:val="28"/>
          <w:szCs w:val="28"/>
          <w:lang w:eastAsia="en-US"/>
        </w:rPr>
        <w:t>.</w:t>
      </w:r>
      <w:r w:rsidR="00E51554" w:rsidRPr="00274507">
        <w:rPr>
          <w:rFonts w:eastAsia="MS Mincho"/>
          <w:bCs/>
          <w:sz w:val="28"/>
          <w:szCs w:val="28"/>
          <w:lang w:eastAsia="en-US"/>
        </w:rPr>
        <w:t xml:space="preserve"> </w:t>
      </w:r>
    </w:p>
    <w:p w:rsidR="00D3763E" w:rsidRPr="00274507" w:rsidRDefault="00D3763E" w:rsidP="00274507">
      <w:pPr>
        <w:pStyle w:val="Sinespaciado"/>
        <w:jc w:val="both"/>
        <w:rPr>
          <w:rFonts w:eastAsia="MS Mincho"/>
          <w:bCs/>
          <w:sz w:val="28"/>
          <w:szCs w:val="28"/>
          <w:lang w:eastAsia="en-US"/>
        </w:rPr>
      </w:pPr>
    </w:p>
    <w:p w:rsidR="00E209B2" w:rsidRPr="00274507" w:rsidRDefault="00E209B2" w:rsidP="00274507">
      <w:pPr>
        <w:pStyle w:val="Prrafodelista"/>
        <w:numPr>
          <w:ilvl w:val="0"/>
          <w:numId w:val="2"/>
        </w:numPr>
        <w:jc w:val="center"/>
        <w:rPr>
          <w:b/>
          <w:bCs/>
          <w:sz w:val="28"/>
          <w:szCs w:val="28"/>
        </w:rPr>
      </w:pPr>
      <w:r w:rsidRPr="00274507">
        <w:rPr>
          <w:b/>
          <w:bCs/>
          <w:sz w:val="28"/>
          <w:szCs w:val="28"/>
        </w:rPr>
        <w:t>CONSIDERACIONES DE LA SALA ESPECIAL DE SEGUIMIENTO</w:t>
      </w:r>
    </w:p>
    <w:p w:rsidR="00E209B2" w:rsidRPr="00274507" w:rsidRDefault="00E209B2" w:rsidP="00274507">
      <w:pPr>
        <w:jc w:val="center"/>
        <w:rPr>
          <w:sz w:val="28"/>
          <w:szCs w:val="28"/>
        </w:rPr>
      </w:pPr>
    </w:p>
    <w:p w:rsidR="00E209B2" w:rsidRPr="00274507" w:rsidRDefault="00E209B2" w:rsidP="00274507">
      <w:pPr>
        <w:numPr>
          <w:ilvl w:val="0"/>
          <w:numId w:val="3"/>
        </w:numPr>
        <w:tabs>
          <w:tab w:val="left" w:pos="426"/>
        </w:tabs>
        <w:ind w:left="0" w:firstLine="0"/>
        <w:jc w:val="both"/>
        <w:rPr>
          <w:b/>
          <w:sz w:val="28"/>
          <w:szCs w:val="28"/>
        </w:rPr>
      </w:pPr>
      <w:r w:rsidRPr="00274507">
        <w:rPr>
          <w:b/>
          <w:sz w:val="28"/>
          <w:szCs w:val="28"/>
        </w:rPr>
        <w:t>Competencia y metodología de la valoración</w:t>
      </w:r>
    </w:p>
    <w:p w:rsidR="00E209B2" w:rsidRPr="00274507" w:rsidRDefault="00E209B2" w:rsidP="00274507">
      <w:pPr>
        <w:tabs>
          <w:tab w:val="left" w:pos="426"/>
        </w:tabs>
        <w:jc w:val="both"/>
        <w:rPr>
          <w:b/>
          <w:sz w:val="28"/>
          <w:szCs w:val="28"/>
        </w:rPr>
      </w:pPr>
    </w:p>
    <w:p w:rsidR="00E209B2" w:rsidRPr="00274507" w:rsidRDefault="00E209B2" w:rsidP="00274507">
      <w:pPr>
        <w:pStyle w:val="Prrafodelista"/>
        <w:numPr>
          <w:ilvl w:val="1"/>
          <w:numId w:val="3"/>
        </w:numPr>
        <w:tabs>
          <w:tab w:val="left" w:pos="567"/>
        </w:tabs>
        <w:autoSpaceDN w:val="0"/>
        <w:ind w:left="0" w:firstLine="0"/>
        <w:jc w:val="both"/>
        <w:rPr>
          <w:sz w:val="28"/>
          <w:szCs w:val="28"/>
        </w:rPr>
      </w:pPr>
      <w:r w:rsidRPr="00274507">
        <w:rPr>
          <w:sz w:val="28"/>
          <w:szCs w:val="28"/>
          <w:lang w:val="es-ES_tradnl"/>
        </w:rPr>
        <w:t xml:space="preserve">Conforme a las atribuciones dadas por la Sala Plena de la Corte Constitucional </w:t>
      </w:r>
      <w:r w:rsidRPr="00274507">
        <w:rPr>
          <w:sz w:val="28"/>
          <w:szCs w:val="28"/>
        </w:rPr>
        <w:t>en sesión del 1° de abril de 2009; el artículo 86 de la Constitución Política; el artículo 25, numeral 2, literal c)</w:t>
      </w:r>
      <w:r w:rsidRPr="00274507">
        <w:rPr>
          <w:rStyle w:val="Refdenotaalpie"/>
          <w:sz w:val="28"/>
          <w:szCs w:val="28"/>
        </w:rPr>
        <w:footnoteReference w:id="107"/>
      </w:r>
      <w:r w:rsidRPr="00274507">
        <w:rPr>
          <w:sz w:val="28"/>
          <w:szCs w:val="28"/>
        </w:rPr>
        <w:t xml:space="preserve"> de la Convención Americana sobre Derechos Humanos</w:t>
      </w:r>
      <w:r w:rsidRPr="00274507">
        <w:rPr>
          <w:rStyle w:val="Refdenotaalpie"/>
          <w:sz w:val="28"/>
          <w:szCs w:val="28"/>
        </w:rPr>
        <w:footnoteReference w:id="108"/>
      </w:r>
      <w:r w:rsidRPr="00274507">
        <w:rPr>
          <w:sz w:val="28"/>
          <w:szCs w:val="28"/>
        </w:rPr>
        <w:t>; y el artículo 27 del Decreto Estatutario 2591 de 1991, esta Sala Especial de Seguimiento es competente para proferir el presente auto.</w:t>
      </w:r>
    </w:p>
    <w:p w:rsidR="00E209B2" w:rsidRPr="00274507" w:rsidRDefault="00E209B2" w:rsidP="00274507">
      <w:pPr>
        <w:tabs>
          <w:tab w:val="left" w:pos="357"/>
        </w:tabs>
        <w:jc w:val="both"/>
        <w:rPr>
          <w:sz w:val="28"/>
          <w:szCs w:val="28"/>
        </w:rPr>
      </w:pPr>
    </w:p>
    <w:p w:rsidR="00145863" w:rsidRPr="00274507" w:rsidRDefault="00E209B2" w:rsidP="00274507">
      <w:pPr>
        <w:pStyle w:val="Prrafodelista"/>
        <w:numPr>
          <w:ilvl w:val="1"/>
          <w:numId w:val="3"/>
        </w:numPr>
        <w:tabs>
          <w:tab w:val="left" w:pos="357"/>
          <w:tab w:val="left" w:pos="567"/>
        </w:tabs>
        <w:autoSpaceDN w:val="0"/>
        <w:ind w:left="0" w:firstLine="0"/>
        <w:jc w:val="both"/>
        <w:rPr>
          <w:sz w:val="28"/>
          <w:szCs w:val="28"/>
        </w:rPr>
      </w:pPr>
      <w:r w:rsidRPr="00274507">
        <w:rPr>
          <w:sz w:val="28"/>
          <w:szCs w:val="28"/>
        </w:rPr>
        <w:t xml:space="preserve">En esta </w:t>
      </w:r>
      <w:r w:rsidRPr="00274507">
        <w:rPr>
          <w:sz w:val="28"/>
          <w:szCs w:val="28"/>
          <w:lang w:val="es-ES_tradnl"/>
        </w:rPr>
        <w:t>oportunidad</w:t>
      </w:r>
      <w:r w:rsidRPr="00274507">
        <w:rPr>
          <w:sz w:val="28"/>
          <w:szCs w:val="28"/>
        </w:rPr>
        <w:t>, la Corte procederá a evaluar el grado de cumplimiento de la orden trigésima de la Sentencia T-760 de 2008, a partir de los informes</w:t>
      </w:r>
      <w:r w:rsidR="00197033" w:rsidRPr="00274507">
        <w:rPr>
          <w:sz w:val="28"/>
          <w:szCs w:val="28"/>
        </w:rPr>
        <w:t xml:space="preserve"> presentados por el Ministerio de Salud</w:t>
      </w:r>
      <w:r w:rsidRPr="00274507">
        <w:rPr>
          <w:sz w:val="28"/>
          <w:szCs w:val="28"/>
        </w:rPr>
        <w:t>,</w:t>
      </w:r>
      <w:r w:rsidR="00014BDA" w:rsidRPr="00274507">
        <w:rPr>
          <w:sz w:val="28"/>
          <w:szCs w:val="28"/>
        </w:rPr>
        <w:t xml:space="preserve"> abordando</w:t>
      </w:r>
      <w:r w:rsidR="00E75982" w:rsidRPr="00274507">
        <w:rPr>
          <w:sz w:val="28"/>
          <w:szCs w:val="28"/>
        </w:rPr>
        <w:t>:</w:t>
      </w:r>
    </w:p>
    <w:p w:rsidR="00145863" w:rsidRPr="00274507" w:rsidRDefault="00145863" w:rsidP="00274507">
      <w:pPr>
        <w:pStyle w:val="Prrafodelista"/>
        <w:tabs>
          <w:tab w:val="left" w:pos="357"/>
          <w:tab w:val="left" w:pos="567"/>
        </w:tabs>
        <w:autoSpaceDN w:val="0"/>
        <w:ind w:left="0"/>
        <w:jc w:val="both"/>
        <w:rPr>
          <w:sz w:val="28"/>
          <w:szCs w:val="28"/>
        </w:rPr>
      </w:pPr>
    </w:p>
    <w:p w:rsidR="00014BDA" w:rsidRPr="00274507" w:rsidRDefault="00014BDA" w:rsidP="00274507">
      <w:pPr>
        <w:pStyle w:val="Prrafodelista"/>
        <w:numPr>
          <w:ilvl w:val="2"/>
          <w:numId w:val="3"/>
        </w:numPr>
        <w:tabs>
          <w:tab w:val="left" w:pos="357"/>
          <w:tab w:val="left" w:pos="567"/>
        </w:tabs>
        <w:autoSpaceDN w:val="0"/>
        <w:jc w:val="both"/>
        <w:rPr>
          <w:sz w:val="28"/>
          <w:szCs w:val="28"/>
        </w:rPr>
      </w:pPr>
      <w:r w:rsidRPr="00274507">
        <w:rPr>
          <w:sz w:val="28"/>
          <w:szCs w:val="28"/>
        </w:rPr>
        <w:t>Los niveles de cumplimiento a las órdenes de la Sentencia T-760 de 2008. Reiteración del Auto 411 de 2015.</w:t>
      </w:r>
    </w:p>
    <w:p w:rsidR="00014BDA" w:rsidRPr="00274507" w:rsidRDefault="00014BDA" w:rsidP="00274507">
      <w:pPr>
        <w:pStyle w:val="Prrafodelista"/>
        <w:numPr>
          <w:ilvl w:val="2"/>
          <w:numId w:val="3"/>
        </w:numPr>
        <w:tabs>
          <w:tab w:val="left" w:pos="357"/>
          <w:tab w:val="left" w:pos="567"/>
        </w:tabs>
        <w:autoSpaceDN w:val="0"/>
        <w:jc w:val="both"/>
        <w:rPr>
          <w:sz w:val="28"/>
          <w:szCs w:val="28"/>
        </w:rPr>
      </w:pPr>
      <w:r w:rsidRPr="00274507">
        <w:rPr>
          <w:sz w:val="28"/>
          <w:szCs w:val="28"/>
        </w:rPr>
        <w:t>El alcance</w:t>
      </w:r>
      <w:r w:rsidRPr="00274507">
        <w:rPr>
          <w:bCs/>
          <w:sz w:val="28"/>
          <w:szCs w:val="28"/>
        </w:rPr>
        <w:t xml:space="preserve"> de la orden trigésima de la Sentencia T-760 de 2008.</w:t>
      </w:r>
    </w:p>
    <w:p w:rsidR="00014BDA" w:rsidRPr="00274507" w:rsidRDefault="00014BDA" w:rsidP="00274507">
      <w:pPr>
        <w:pStyle w:val="Prrafodelista"/>
        <w:numPr>
          <w:ilvl w:val="2"/>
          <w:numId w:val="3"/>
        </w:numPr>
        <w:tabs>
          <w:tab w:val="left" w:pos="357"/>
          <w:tab w:val="left" w:pos="567"/>
        </w:tabs>
        <w:autoSpaceDN w:val="0"/>
        <w:jc w:val="both"/>
        <w:rPr>
          <w:sz w:val="28"/>
          <w:szCs w:val="28"/>
        </w:rPr>
      </w:pPr>
      <w:r w:rsidRPr="00274507">
        <w:rPr>
          <w:bCs/>
          <w:sz w:val="28"/>
          <w:szCs w:val="28"/>
        </w:rPr>
        <w:t xml:space="preserve">El </w:t>
      </w:r>
      <w:r w:rsidR="00415C6F" w:rsidRPr="00274507">
        <w:rPr>
          <w:rFonts w:eastAsia="MS Mincho"/>
          <w:bCs/>
          <w:sz w:val="28"/>
          <w:szCs w:val="28"/>
          <w:lang w:eastAsia="en-US"/>
        </w:rPr>
        <w:t>d</w:t>
      </w:r>
      <w:r w:rsidRPr="00274507">
        <w:rPr>
          <w:rFonts w:eastAsia="MS Mincho"/>
          <w:bCs/>
          <w:sz w:val="28"/>
          <w:szCs w:val="28"/>
          <w:lang w:eastAsia="en-US"/>
        </w:rPr>
        <w:t>esarrollo e implementación de las políticas públicas en Salud.</w:t>
      </w:r>
    </w:p>
    <w:p w:rsidR="00014BDA" w:rsidRPr="00274507" w:rsidRDefault="00415C6F" w:rsidP="00274507">
      <w:pPr>
        <w:pStyle w:val="Prrafodelista"/>
        <w:numPr>
          <w:ilvl w:val="2"/>
          <w:numId w:val="3"/>
        </w:numPr>
        <w:tabs>
          <w:tab w:val="left" w:pos="357"/>
          <w:tab w:val="left" w:pos="567"/>
        </w:tabs>
        <w:autoSpaceDN w:val="0"/>
        <w:jc w:val="both"/>
        <w:rPr>
          <w:sz w:val="28"/>
          <w:szCs w:val="28"/>
        </w:rPr>
      </w:pPr>
      <w:r w:rsidRPr="00274507">
        <w:rPr>
          <w:bCs/>
          <w:sz w:val="28"/>
          <w:szCs w:val="28"/>
        </w:rPr>
        <w:t xml:space="preserve"> El a</w:t>
      </w:r>
      <w:r w:rsidR="00014BDA" w:rsidRPr="00274507">
        <w:rPr>
          <w:bCs/>
          <w:sz w:val="28"/>
          <w:szCs w:val="28"/>
        </w:rPr>
        <w:t>catamiento de la entrega de los informes por parte del Ministerio de Salud ante esta Sala Especial de Seguimiento, la Procuraduría General de la Nación y la Defensoría del Pueblo.</w:t>
      </w:r>
    </w:p>
    <w:p w:rsidR="00145863" w:rsidRPr="00274507" w:rsidRDefault="00014BDA" w:rsidP="00274507">
      <w:pPr>
        <w:pStyle w:val="Prrafodelista"/>
        <w:numPr>
          <w:ilvl w:val="2"/>
          <w:numId w:val="3"/>
        </w:numPr>
        <w:tabs>
          <w:tab w:val="left" w:pos="357"/>
          <w:tab w:val="left" w:pos="567"/>
        </w:tabs>
        <w:autoSpaceDN w:val="0"/>
        <w:jc w:val="both"/>
        <w:rPr>
          <w:sz w:val="28"/>
          <w:szCs w:val="28"/>
        </w:rPr>
      </w:pPr>
      <w:r w:rsidRPr="00274507">
        <w:rPr>
          <w:sz w:val="28"/>
          <w:szCs w:val="28"/>
        </w:rPr>
        <w:t>Los pronunciamientos y gestiones adelantadas por parte de la Defensoría del Pueblo y la Procuraduría General de la Nación, respecto a los informes presentados por el Ministerio de Salud.</w:t>
      </w:r>
    </w:p>
    <w:p w:rsidR="00145863" w:rsidRPr="00274507" w:rsidRDefault="00145863" w:rsidP="00274507">
      <w:pPr>
        <w:pStyle w:val="Prrafodelista"/>
        <w:numPr>
          <w:ilvl w:val="2"/>
          <w:numId w:val="3"/>
        </w:numPr>
        <w:tabs>
          <w:tab w:val="left" w:pos="357"/>
          <w:tab w:val="left" w:pos="567"/>
        </w:tabs>
        <w:autoSpaceDN w:val="0"/>
        <w:jc w:val="both"/>
        <w:rPr>
          <w:sz w:val="28"/>
          <w:szCs w:val="28"/>
        </w:rPr>
      </w:pPr>
      <w:r w:rsidRPr="00274507">
        <w:rPr>
          <w:sz w:val="28"/>
          <w:szCs w:val="28"/>
        </w:rPr>
        <w:t>La medición de las acciones de tutela en el desarrollo de los problemas jurídicos planteados en la sentencia T-760 de 2008.</w:t>
      </w:r>
    </w:p>
    <w:p w:rsidR="00014BDA" w:rsidRPr="00274507" w:rsidRDefault="00415C6F" w:rsidP="00274507">
      <w:pPr>
        <w:pStyle w:val="Prrafodelista"/>
        <w:numPr>
          <w:ilvl w:val="2"/>
          <w:numId w:val="3"/>
        </w:numPr>
        <w:tabs>
          <w:tab w:val="left" w:pos="357"/>
          <w:tab w:val="left" w:pos="567"/>
        </w:tabs>
        <w:autoSpaceDN w:val="0"/>
        <w:jc w:val="both"/>
        <w:rPr>
          <w:sz w:val="28"/>
          <w:szCs w:val="28"/>
        </w:rPr>
      </w:pPr>
      <w:r w:rsidRPr="00274507">
        <w:rPr>
          <w:sz w:val="28"/>
          <w:szCs w:val="28"/>
        </w:rPr>
        <w:t>La v</w:t>
      </w:r>
      <w:r w:rsidR="00145863" w:rsidRPr="00274507">
        <w:rPr>
          <w:sz w:val="28"/>
          <w:szCs w:val="28"/>
        </w:rPr>
        <w:t>aloración de cumplimiento de la orden trigésima.</w:t>
      </w:r>
    </w:p>
    <w:p w:rsidR="00145863" w:rsidRPr="00274507" w:rsidRDefault="00145863" w:rsidP="00274507">
      <w:pPr>
        <w:pStyle w:val="Prrafodelista"/>
        <w:numPr>
          <w:ilvl w:val="2"/>
          <w:numId w:val="3"/>
        </w:numPr>
        <w:tabs>
          <w:tab w:val="left" w:pos="357"/>
          <w:tab w:val="left" w:pos="567"/>
        </w:tabs>
        <w:autoSpaceDN w:val="0"/>
        <w:jc w:val="both"/>
        <w:rPr>
          <w:sz w:val="28"/>
          <w:szCs w:val="28"/>
        </w:rPr>
      </w:pPr>
      <w:r w:rsidRPr="00274507">
        <w:rPr>
          <w:sz w:val="28"/>
          <w:szCs w:val="28"/>
        </w:rPr>
        <w:t>Las medidas a impartir en la valoración de la orden trigésima.</w:t>
      </w:r>
    </w:p>
    <w:p w:rsidR="00E209B2" w:rsidRPr="00274507" w:rsidRDefault="00E209B2" w:rsidP="00274507">
      <w:pPr>
        <w:tabs>
          <w:tab w:val="left" w:pos="567"/>
        </w:tabs>
        <w:autoSpaceDN w:val="0"/>
        <w:jc w:val="both"/>
        <w:rPr>
          <w:sz w:val="28"/>
          <w:szCs w:val="28"/>
        </w:rPr>
      </w:pPr>
    </w:p>
    <w:p w:rsidR="00E209B2" w:rsidRPr="00274507" w:rsidRDefault="00E209B2" w:rsidP="00274507">
      <w:pPr>
        <w:pStyle w:val="Prrafodelista"/>
        <w:numPr>
          <w:ilvl w:val="0"/>
          <w:numId w:val="3"/>
        </w:numPr>
        <w:tabs>
          <w:tab w:val="left" w:pos="567"/>
        </w:tabs>
        <w:autoSpaceDN w:val="0"/>
        <w:jc w:val="both"/>
        <w:rPr>
          <w:sz w:val="28"/>
          <w:szCs w:val="28"/>
        </w:rPr>
      </w:pPr>
      <w:r w:rsidRPr="00274507">
        <w:rPr>
          <w:b/>
          <w:sz w:val="28"/>
          <w:szCs w:val="28"/>
        </w:rPr>
        <w:t>Niveles de cumplimiento a las órdenes de la Sentencia T-760 de 2008. Reiteración del Auto 411 de 2015</w:t>
      </w:r>
      <w:r w:rsidRPr="00274507">
        <w:rPr>
          <w:sz w:val="28"/>
          <w:szCs w:val="28"/>
          <w:vertAlign w:val="superscript"/>
        </w:rPr>
        <w:footnoteReference w:id="109"/>
      </w:r>
      <w:r w:rsidRPr="00274507">
        <w:rPr>
          <w:b/>
          <w:sz w:val="28"/>
          <w:szCs w:val="28"/>
        </w:rPr>
        <w:t>.</w:t>
      </w:r>
    </w:p>
    <w:p w:rsidR="007D7C87" w:rsidRPr="00274507" w:rsidRDefault="007D7C87" w:rsidP="00274507">
      <w:pPr>
        <w:pStyle w:val="Prrafodelista"/>
        <w:tabs>
          <w:tab w:val="left" w:pos="567"/>
        </w:tabs>
        <w:autoSpaceDE w:val="0"/>
        <w:autoSpaceDN w:val="0"/>
        <w:adjustRightInd w:val="0"/>
        <w:ind w:left="0"/>
        <w:jc w:val="both"/>
        <w:rPr>
          <w:b/>
          <w:sz w:val="28"/>
          <w:szCs w:val="28"/>
        </w:rPr>
      </w:pPr>
    </w:p>
    <w:p w:rsidR="007D7C87" w:rsidRPr="00274507" w:rsidRDefault="007D7C87" w:rsidP="00274507">
      <w:pPr>
        <w:jc w:val="both"/>
        <w:rPr>
          <w:snapToGrid w:val="0"/>
          <w:sz w:val="28"/>
          <w:szCs w:val="28"/>
          <w:lang w:eastAsia="es-CO"/>
        </w:rPr>
      </w:pPr>
      <w:r w:rsidRPr="00274507">
        <w:rPr>
          <w:snapToGrid w:val="0"/>
          <w:sz w:val="28"/>
          <w:szCs w:val="28"/>
          <w:lang w:eastAsia="es-CO"/>
        </w:rPr>
        <w:t>2.1. Las órdenes estructurales impartidas en la sentencia T-760 de 2008 implican la intervención judicial excepcional en el diseño y/o implementación de la política pública en salud. Por ende, para lograr su cumplimiento se deberán observar, sin perjuicio de sus elementos característicos, las condiciones básicas determinadas en la jurisprudencia constitucional</w:t>
      </w:r>
      <w:r w:rsidRPr="00274507">
        <w:rPr>
          <w:snapToGrid w:val="0"/>
          <w:sz w:val="28"/>
          <w:szCs w:val="28"/>
          <w:vertAlign w:val="superscript"/>
          <w:lang w:eastAsia="es-CO"/>
        </w:rPr>
        <w:footnoteReference w:id="110"/>
      </w:r>
      <w:r w:rsidRPr="00274507">
        <w:rPr>
          <w:snapToGrid w:val="0"/>
          <w:sz w:val="28"/>
          <w:szCs w:val="28"/>
          <w:lang w:eastAsia="es-CO"/>
        </w:rPr>
        <w:t xml:space="preserve">. </w:t>
      </w:r>
    </w:p>
    <w:p w:rsidR="007D7C87" w:rsidRPr="00274507" w:rsidRDefault="007D7C87" w:rsidP="00274507">
      <w:pPr>
        <w:jc w:val="both"/>
        <w:rPr>
          <w:snapToGrid w:val="0"/>
          <w:sz w:val="28"/>
          <w:szCs w:val="28"/>
          <w:lang w:eastAsia="es-CO"/>
        </w:rPr>
      </w:pPr>
    </w:p>
    <w:p w:rsidR="007D7C87" w:rsidRPr="00274507" w:rsidRDefault="007D7C87" w:rsidP="00274507">
      <w:pPr>
        <w:jc w:val="both"/>
        <w:rPr>
          <w:snapToGrid w:val="0"/>
          <w:sz w:val="28"/>
          <w:szCs w:val="28"/>
          <w:lang w:eastAsia="es-CO"/>
        </w:rPr>
      </w:pPr>
      <w:r w:rsidRPr="00274507">
        <w:rPr>
          <w:snapToGrid w:val="0"/>
          <w:sz w:val="28"/>
          <w:szCs w:val="28"/>
          <w:lang w:eastAsia="es-CO"/>
        </w:rPr>
        <w:t>La primera es que exista efectivamente, es decir, que haga parte de un programa de acción estructurado que permita a la autoridad responsable adoptar las medidas adecuadas y necesarias. Además, debe suponer un cronograma de actividades para su realización y debe ser ejecutado en un tiempo determinado y razonable.</w:t>
      </w:r>
    </w:p>
    <w:p w:rsidR="007D7C87" w:rsidRPr="00274507" w:rsidRDefault="007D7C87" w:rsidP="00274507">
      <w:pPr>
        <w:jc w:val="both"/>
        <w:rPr>
          <w:snapToGrid w:val="0"/>
          <w:sz w:val="28"/>
          <w:szCs w:val="28"/>
          <w:lang w:eastAsia="es-CO"/>
        </w:rPr>
      </w:pPr>
    </w:p>
    <w:p w:rsidR="007D7C87" w:rsidRPr="00274507" w:rsidRDefault="007D7C87" w:rsidP="00274507">
      <w:pPr>
        <w:jc w:val="both"/>
        <w:rPr>
          <w:snapToGrid w:val="0"/>
          <w:sz w:val="28"/>
          <w:szCs w:val="28"/>
          <w:lang w:eastAsia="es-CO"/>
        </w:rPr>
      </w:pPr>
      <w:r w:rsidRPr="00274507">
        <w:rPr>
          <w:snapToGrid w:val="0"/>
          <w:sz w:val="28"/>
          <w:szCs w:val="28"/>
          <w:lang w:eastAsia="es-CO"/>
        </w:rPr>
        <w:t xml:space="preserve">La segunda es que el plan de acción tenga como prioridad garantizar el goce efectivo del derecho. No puede tratarse de una política pública simbólica o formal. La misión del Estado no se reduce a expedir normas que reconozcan en el papel la titularidad de derechos. La racionalidad mínima del texto Superior manda que estén seguidas de acciones reales, dirigidas a facilitar el disfrute y el ejercicio cabal de las atribuciones fundamentales. Se vulnera la Constitución cuando existiendo una ruta se constata que solo está escrita y no ha sido iniciada su ejecución o aunque se esté implementando resulta evidentemente inane, bien porque no es sensible a las verdaderas angustias poblacionales o porque su materialización se ha diferido indefinidamente. </w:t>
      </w:r>
    </w:p>
    <w:p w:rsidR="007D7C87" w:rsidRPr="00274507" w:rsidRDefault="007D7C87" w:rsidP="00274507">
      <w:pPr>
        <w:jc w:val="both"/>
        <w:rPr>
          <w:snapToGrid w:val="0"/>
          <w:sz w:val="28"/>
          <w:szCs w:val="28"/>
          <w:lang w:eastAsia="es-CO"/>
        </w:rPr>
      </w:pPr>
    </w:p>
    <w:p w:rsidR="007D7C87" w:rsidRPr="00274507" w:rsidRDefault="007D7C87" w:rsidP="00274507">
      <w:pPr>
        <w:jc w:val="both"/>
        <w:rPr>
          <w:snapToGrid w:val="0"/>
          <w:sz w:val="28"/>
          <w:szCs w:val="28"/>
          <w:lang w:eastAsia="es-CO"/>
        </w:rPr>
      </w:pPr>
      <w:r w:rsidRPr="00274507">
        <w:rPr>
          <w:snapToGrid w:val="0"/>
          <w:sz w:val="28"/>
          <w:szCs w:val="28"/>
          <w:lang w:eastAsia="es-CO"/>
        </w:rPr>
        <w:t xml:space="preserve">La tercera está dada en que los procesos de decisión, elaboración, implementación y evaluación de la política pública, habrán de permitir una participación democrática efectiva en todas las etapas. Es inaceptable que exista un plan gubernamental que no abra espacios de interacción real a los ciudadanos en las diferentes fases del proceso o aunque los brinde resulten inocuos al limitarse a prever una intervención trivial. </w:t>
      </w:r>
    </w:p>
    <w:p w:rsidR="007D7C87" w:rsidRPr="00274507" w:rsidRDefault="007D7C87" w:rsidP="00274507">
      <w:pPr>
        <w:jc w:val="both"/>
        <w:rPr>
          <w:snapToGrid w:val="0"/>
          <w:sz w:val="28"/>
          <w:szCs w:val="28"/>
          <w:lang w:eastAsia="es-CO"/>
        </w:rPr>
      </w:pPr>
    </w:p>
    <w:p w:rsidR="007D7C87" w:rsidRPr="00274507" w:rsidRDefault="007D7C87" w:rsidP="00274507">
      <w:pPr>
        <w:jc w:val="both"/>
        <w:rPr>
          <w:snapToGrid w:val="0"/>
          <w:sz w:val="28"/>
          <w:szCs w:val="28"/>
          <w:lang w:eastAsia="es-CO"/>
        </w:rPr>
      </w:pPr>
      <w:r w:rsidRPr="00274507">
        <w:rPr>
          <w:snapToGrid w:val="0"/>
          <w:sz w:val="28"/>
          <w:szCs w:val="28"/>
          <w:lang w:eastAsia="es-CO"/>
        </w:rPr>
        <w:t>La Corte Constitucional ha precisado que el adecuado funcionamiento y los buenos resultados de las reformas normativas dependen de que estas se encuentren soportadas en estudios empíricos y de juiciosas reflexiones sobre cuál es el mejor curso de la acción estatal</w:t>
      </w:r>
      <w:r w:rsidRPr="00274507">
        <w:rPr>
          <w:snapToGrid w:val="0"/>
          <w:sz w:val="28"/>
          <w:szCs w:val="28"/>
          <w:vertAlign w:val="superscript"/>
          <w:lang w:eastAsia="es-CO"/>
        </w:rPr>
        <w:footnoteReference w:id="111"/>
      </w:r>
      <w:r w:rsidR="002B19FA" w:rsidRPr="00274507">
        <w:rPr>
          <w:snapToGrid w:val="0"/>
          <w:sz w:val="28"/>
          <w:szCs w:val="28"/>
          <w:lang w:eastAsia="es-CO"/>
        </w:rPr>
        <w:t xml:space="preserve">. </w:t>
      </w:r>
      <w:r w:rsidRPr="00274507">
        <w:rPr>
          <w:snapToGrid w:val="0"/>
          <w:sz w:val="28"/>
          <w:szCs w:val="28"/>
          <w:lang w:eastAsia="es-CO"/>
        </w:rPr>
        <w:t>Siempre habrá que tener en cuenta que una verdadera política pública involucra el cumplimiento de obligaciones de respeto y garantía a los derechos humanos</w:t>
      </w:r>
      <w:r w:rsidRPr="00274507">
        <w:rPr>
          <w:snapToGrid w:val="0"/>
          <w:sz w:val="28"/>
          <w:szCs w:val="28"/>
          <w:vertAlign w:val="superscript"/>
          <w:lang w:eastAsia="es-CO"/>
        </w:rPr>
        <w:footnoteReference w:id="112"/>
      </w:r>
      <w:r w:rsidRPr="00274507">
        <w:rPr>
          <w:snapToGrid w:val="0"/>
          <w:sz w:val="28"/>
          <w:szCs w:val="28"/>
          <w:lang w:eastAsia="es-CO"/>
        </w:rPr>
        <w:t>.  La simple expedición de normas legales o de actos administrativos, la ejecución parcial de políticas públicas y la mera demostración de ajustes presupuestales, no constituyen en modo alguno un motivo suficiente o una razón determinante para dar por superada la falla estructural declarada en la Sentencia</w:t>
      </w:r>
      <w:r w:rsidRPr="00274507">
        <w:rPr>
          <w:snapToGrid w:val="0"/>
          <w:sz w:val="28"/>
          <w:szCs w:val="28"/>
          <w:vertAlign w:val="superscript"/>
          <w:lang w:eastAsia="es-CO"/>
        </w:rPr>
        <w:footnoteReference w:id="113"/>
      </w:r>
      <w:r w:rsidRPr="00274507">
        <w:rPr>
          <w:snapToGrid w:val="0"/>
          <w:sz w:val="28"/>
          <w:szCs w:val="28"/>
          <w:lang w:eastAsia="es-CO"/>
        </w:rPr>
        <w:t xml:space="preserve">.   </w:t>
      </w:r>
    </w:p>
    <w:p w:rsidR="007D7C87" w:rsidRPr="00274507" w:rsidRDefault="007D7C87" w:rsidP="00274507">
      <w:pPr>
        <w:pStyle w:val="Prrafodelista"/>
        <w:tabs>
          <w:tab w:val="left" w:pos="567"/>
        </w:tabs>
        <w:autoSpaceDE w:val="0"/>
        <w:autoSpaceDN w:val="0"/>
        <w:adjustRightInd w:val="0"/>
        <w:ind w:left="0"/>
        <w:jc w:val="both"/>
        <w:rPr>
          <w:sz w:val="28"/>
          <w:szCs w:val="28"/>
        </w:rPr>
      </w:pPr>
    </w:p>
    <w:p w:rsidR="007D7C87" w:rsidRPr="00274507" w:rsidRDefault="007D7C87" w:rsidP="00274507">
      <w:pPr>
        <w:jc w:val="both"/>
        <w:rPr>
          <w:sz w:val="28"/>
          <w:szCs w:val="28"/>
          <w:lang w:eastAsia="es-ES_tradnl"/>
        </w:rPr>
      </w:pPr>
      <w:r w:rsidRPr="00274507">
        <w:rPr>
          <w:snapToGrid w:val="0"/>
          <w:sz w:val="28"/>
          <w:szCs w:val="28"/>
        </w:rPr>
        <w:t>2.2. Durante los ocho años que han transcurrido desde la expedición del fallo objeto de supervisión</w:t>
      </w:r>
      <w:r w:rsidRPr="00274507">
        <w:rPr>
          <w:snapToGrid w:val="0"/>
          <w:sz w:val="28"/>
          <w:szCs w:val="28"/>
          <w:vertAlign w:val="superscript"/>
        </w:rPr>
        <w:footnoteReference w:id="114"/>
      </w:r>
      <w:r w:rsidRPr="00274507">
        <w:rPr>
          <w:snapToGrid w:val="0"/>
          <w:sz w:val="28"/>
          <w:szCs w:val="28"/>
        </w:rPr>
        <w:t>, este Tribunal ha realizado varias valoraciones de cumplimiento de algunas de las órdenes estructurales. En tal sentido, ha declarado incumplimientos generales</w:t>
      </w:r>
      <w:r w:rsidRPr="00274507">
        <w:rPr>
          <w:snapToGrid w:val="0"/>
          <w:sz w:val="28"/>
          <w:szCs w:val="28"/>
          <w:vertAlign w:val="superscript"/>
        </w:rPr>
        <w:footnoteReference w:id="115"/>
      </w:r>
      <w:r w:rsidRPr="00274507">
        <w:rPr>
          <w:snapToGrid w:val="0"/>
          <w:sz w:val="28"/>
          <w:szCs w:val="28"/>
        </w:rPr>
        <w:t>, incumplimientos parciales</w:t>
      </w:r>
      <w:r w:rsidRPr="00274507">
        <w:rPr>
          <w:snapToGrid w:val="0"/>
          <w:sz w:val="28"/>
          <w:szCs w:val="28"/>
          <w:vertAlign w:val="superscript"/>
        </w:rPr>
        <w:footnoteReference w:id="116"/>
      </w:r>
      <w:r w:rsidRPr="00274507">
        <w:rPr>
          <w:snapToGrid w:val="0"/>
          <w:sz w:val="28"/>
          <w:szCs w:val="28"/>
        </w:rPr>
        <w:t>, cumplimientos parciales</w:t>
      </w:r>
      <w:r w:rsidRPr="00274507">
        <w:rPr>
          <w:snapToGrid w:val="0"/>
          <w:sz w:val="28"/>
          <w:szCs w:val="28"/>
          <w:vertAlign w:val="superscript"/>
        </w:rPr>
        <w:footnoteReference w:id="117"/>
      </w:r>
      <w:r w:rsidRPr="00274507">
        <w:rPr>
          <w:snapToGrid w:val="0"/>
          <w:sz w:val="28"/>
          <w:szCs w:val="28"/>
        </w:rPr>
        <w:t xml:space="preserve"> e incluso, el nivel de acatamiento bajo</w:t>
      </w:r>
      <w:r w:rsidRPr="00274507">
        <w:rPr>
          <w:snapToGrid w:val="0"/>
          <w:sz w:val="28"/>
          <w:szCs w:val="28"/>
          <w:vertAlign w:val="superscript"/>
        </w:rPr>
        <w:footnoteReference w:id="118"/>
      </w:r>
      <w:r w:rsidRPr="00274507">
        <w:rPr>
          <w:snapToGrid w:val="0"/>
          <w:sz w:val="28"/>
          <w:szCs w:val="28"/>
        </w:rPr>
        <w:t>, con ocasión del análisis de las gestiones, acciones o medidas adelantadas por las autoridades obligadas. De hecho en el Auto 226 de 2011</w:t>
      </w:r>
      <w:r w:rsidRPr="00274507">
        <w:rPr>
          <w:snapToGrid w:val="0"/>
          <w:sz w:val="28"/>
          <w:szCs w:val="28"/>
          <w:vertAlign w:val="superscript"/>
        </w:rPr>
        <w:footnoteReference w:id="119"/>
      </w:r>
      <w:r w:rsidRPr="00274507">
        <w:rPr>
          <w:snapToGrid w:val="0"/>
          <w:sz w:val="28"/>
          <w:szCs w:val="28"/>
        </w:rPr>
        <w:t xml:space="preserve"> fueron determinados los niveles de acatamiento de la orden decimoséptima y sus correspondientes parámetros de cumplimiento. En aquella oportunidad se determinaron las medidas bajo los cuales se debería hacer esta valoración, que obedecían a </w:t>
      </w:r>
      <w:r w:rsidRPr="00274507">
        <w:rPr>
          <w:b/>
          <w:sz w:val="28"/>
          <w:szCs w:val="28"/>
          <w:lang w:val="es-ES_tradnl"/>
        </w:rPr>
        <w:t>estructura</w:t>
      </w:r>
      <w:r w:rsidRPr="00274507">
        <w:rPr>
          <w:rStyle w:val="Refdenotaalpie"/>
          <w:sz w:val="28"/>
          <w:szCs w:val="28"/>
        </w:rPr>
        <w:footnoteReference w:id="120"/>
      </w:r>
      <w:r w:rsidRPr="00274507">
        <w:rPr>
          <w:sz w:val="28"/>
          <w:szCs w:val="28"/>
          <w:lang w:val="es-ES_tradnl"/>
        </w:rPr>
        <w:t xml:space="preserve">, </w:t>
      </w:r>
      <w:r w:rsidRPr="00274507">
        <w:rPr>
          <w:b/>
          <w:sz w:val="28"/>
          <w:szCs w:val="28"/>
          <w:lang w:val="es-ES_tradnl"/>
        </w:rPr>
        <w:t>proceso</w:t>
      </w:r>
      <w:r w:rsidRPr="00274507">
        <w:rPr>
          <w:rStyle w:val="Refdenotaalpie"/>
          <w:sz w:val="28"/>
          <w:szCs w:val="28"/>
        </w:rPr>
        <w:footnoteReference w:id="121"/>
      </w:r>
      <w:r w:rsidRPr="00274507">
        <w:rPr>
          <w:sz w:val="28"/>
          <w:szCs w:val="28"/>
          <w:lang w:val="es-ES_tradnl"/>
        </w:rPr>
        <w:t xml:space="preserve"> y </w:t>
      </w:r>
      <w:r w:rsidRPr="00274507">
        <w:rPr>
          <w:b/>
          <w:sz w:val="28"/>
          <w:szCs w:val="28"/>
          <w:lang w:val="es-ES_tradnl"/>
        </w:rPr>
        <w:t>resultado</w:t>
      </w:r>
      <w:r w:rsidRPr="00274507">
        <w:rPr>
          <w:rStyle w:val="Refdenotaalpie"/>
          <w:sz w:val="28"/>
          <w:szCs w:val="28"/>
        </w:rPr>
        <w:footnoteReference w:id="122"/>
      </w:r>
      <w:r w:rsidRPr="00274507">
        <w:rPr>
          <w:sz w:val="28"/>
          <w:szCs w:val="28"/>
          <w:lang w:val="es-ES_tradnl"/>
        </w:rPr>
        <w:t xml:space="preserve"> para llevar a cabo la actualización integral del POS por parte del Ministerio de la Protección Social y la Comisión de Regulación en Salud. También fijó los niveles de cumplimiento e incumplimiento que regirían la valoración de dichos lineamientos e </w:t>
      </w:r>
      <w:r w:rsidRPr="00274507">
        <w:rPr>
          <w:sz w:val="28"/>
          <w:szCs w:val="28"/>
          <w:lang w:val="es-ES_tradnl" w:eastAsia="es-ES_tradnl"/>
        </w:rPr>
        <w:t xml:space="preserve">invitó </w:t>
      </w:r>
      <w:r w:rsidRPr="00274507">
        <w:rPr>
          <w:sz w:val="28"/>
          <w:szCs w:val="28"/>
          <w:lang w:val="es-ES_tradnl"/>
        </w:rPr>
        <w:t>al Gobierno Nacional y al Congreso de la República a que implementaran las medidas necesarias para acatar las diferentes órdenes generales impartidas en la sentencia T-760 de 2008, con el fin de avanzar hacia el goce efectivo del derecho fundamental a la salud de la población.</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lang w:val="es-ES_tradnl"/>
        </w:rPr>
      </w:pPr>
      <w:r w:rsidRPr="00274507">
        <w:rPr>
          <w:snapToGrid w:val="0"/>
          <w:sz w:val="28"/>
          <w:szCs w:val="28"/>
        </w:rPr>
        <w:t xml:space="preserve">No obstante, el tiempo que ha implicado el seguimiento obliga a que la Corte los actualice y contextualice respecto de la totalidad de mandatos objeto de supervisión. En este contexto, se profirió el </w:t>
      </w:r>
      <w:r w:rsidRPr="00274507">
        <w:rPr>
          <w:snapToGrid w:val="0"/>
          <w:sz w:val="28"/>
          <w:szCs w:val="28"/>
          <w:lang w:val="es-ES_tradnl"/>
        </w:rPr>
        <w:t xml:space="preserve">Auto 411 de 2015, a través del cual esta Sala estableció los niveles de cumplimiento que seguirá aplicando a </w:t>
      </w:r>
      <w:r w:rsidRPr="00274507">
        <w:rPr>
          <w:snapToGrid w:val="0"/>
          <w:sz w:val="28"/>
          <w:szCs w:val="28"/>
        </w:rPr>
        <w:t>la totalidad de valoraciones de acatamiento que se lleven a cabo respecto de las diferentes órdenes generales impartidas en la sentencia T-760 de 2008 y sus autos de seguimiento.</w:t>
      </w:r>
    </w:p>
    <w:p w:rsidR="007D7C87" w:rsidRPr="00274507" w:rsidRDefault="007D7C87" w:rsidP="00274507">
      <w:pPr>
        <w:tabs>
          <w:tab w:val="left" w:pos="426"/>
        </w:tabs>
        <w:jc w:val="both"/>
        <w:rPr>
          <w:snapToGrid w:val="0"/>
          <w:sz w:val="28"/>
          <w:szCs w:val="28"/>
          <w:lang w:val="es-ES_tradnl"/>
        </w:rPr>
      </w:pPr>
    </w:p>
    <w:p w:rsidR="007D7C87" w:rsidRPr="00274507" w:rsidRDefault="007D7C87" w:rsidP="00274507">
      <w:pPr>
        <w:tabs>
          <w:tab w:val="left" w:pos="426"/>
        </w:tabs>
        <w:jc w:val="both"/>
        <w:rPr>
          <w:sz w:val="28"/>
          <w:szCs w:val="28"/>
        </w:rPr>
      </w:pPr>
      <w:r w:rsidRPr="00274507">
        <w:rPr>
          <w:snapToGrid w:val="0"/>
          <w:sz w:val="28"/>
          <w:szCs w:val="28"/>
          <w:lang w:val="es-ES_tradnl"/>
        </w:rPr>
        <w:t xml:space="preserve">Se advirtió que a pesar que en el </w:t>
      </w:r>
      <w:r w:rsidRPr="00274507">
        <w:rPr>
          <w:sz w:val="28"/>
          <w:szCs w:val="28"/>
        </w:rPr>
        <w:t>Auto 226 de 2011</w:t>
      </w:r>
      <w:r w:rsidRPr="00274507">
        <w:rPr>
          <w:rStyle w:val="Refdenotaalpie"/>
          <w:sz w:val="28"/>
          <w:szCs w:val="28"/>
        </w:rPr>
        <w:footnoteReference w:id="123"/>
      </w:r>
      <w:r w:rsidRPr="00274507">
        <w:rPr>
          <w:sz w:val="28"/>
          <w:szCs w:val="28"/>
        </w:rPr>
        <w:t xml:space="preserve"> fueron determinados los niveles de acatamiento de la orden decimoséptima y sus correspondientes parámetros de cumplimiento, se hizo necesario establecer la </w:t>
      </w:r>
      <w:r w:rsidRPr="00274507">
        <w:rPr>
          <w:i/>
          <w:sz w:val="28"/>
          <w:szCs w:val="28"/>
        </w:rPr>
        <w:t>metodología y matrices de valoración</w:t>
      </w:r>
      <w:r w:rsidRPr="00274507">
        <w:rPr>
          <w:sz w:val="28"/>
          <w:szCs w:val="28"/>
        </w:rPr>
        <w:t xml:space="preserve">, partiendo desde tres aspectos: las medidas, los resultados y los avances. </w:t>
      </w:r>
    </w:p>
    <w:p w:rsidR="007D7C87" w:rsidRPr="00274507" w:rsidRDefault="007D7C87" w:rsidP="00274507">
      <w:pPr>
        <w:jc w:val="both"/>
        <w:rPr>
          <w:sz w:val="28"/>
          <w:szCs w:val="28"/>
        </w:rPr>
      </w:pPr>
    </w:p>
    <w:p w:rsidR="007D7C87" w:rsidRPr="00274507" w:rsidRDefault="007D7C87" w:rsidP="00274507">
      <w:pPr>
        <w:pStyle w:val="Prrafodelista"/>
        <w:tabs>
          <w:tab w:val="left" w:pos="567"/>
        </w:tabs>
        <w:ind w:left="0"/>
        <w:jc w:val="both"/>
        <w:rPr>
          <w:b/>
          <w:sz w:val="28"/>
          <w:szCs w:val="28"/>
        </w:rPr>
      </w:pPr>
      <w:r w:rsidRPr="00274507">
        <w:rPr>
          <w:sz w:val="28"/>
          <w:szCs w:val="28"/>
        </w:rPr>
        <w:t>A partir de allí se conceptualizan 5 categorías de evaluación de cumplimiento: (i) incumplimiento general; (ii) nivel de cumplimiento bajo; (iii) nivel de cumplimiento medio; (iv) nivel de cumplimiento alto; y (v) cumplimiento general</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Lo anterior adquiere su fundamento, a partir de la necesidad de adelantar un examen más riguroso atendiendo el lapso temporal del que ha dispuesto el rector de la política pública para cumplir efectivamente la orden impuesta y que impide estudiar solamente los actos meramente formales acreditados por el Gobierno, toda vez que las determinaciones de este Tribunal se construirán desde la evidencia social.</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Corresponde entonces a la Sala comprobar los resultados concretos que se han logrado en el sistema de salud, de manera que valore el avance en el goce efectivo del derecho de los residentes en el territorio nacional. Bajo este entendido solo se declararía la superación de la problemática estructural cuando el Ejecutivo demuestre: (i) unas transformaciones en el funcionamiento del sector salud; (ii) que esos cambios impliquen con alto grado de certeza la consecución de las condiciones para lograr el goce efectivo y avanzar sosteniblemente; y por último (iii) que esas soluciones tengan la virtud de ser coherentes y duraderas, como lo ha exigido la jurisprudencia de la Corte</w:t>
      </w:r>
      <w:r w:rsidRPr="00274507">
        <w:rPr>
          <w:snapToGrid w:val="0"/>
          <w:sz w:val="28"/>
          <w:szCs w:val="28"/>
          <w:vertAlign w:val="superscript"/>
        </w:rPr>
        <w:footnoteReference w:id="124"/>
      </w:r>
      <w:r w:rsidRPr="00274507">
        <w:rPr>
          <w:snapToGrid w:val="0"/>
          <w:sz w:val="28"/>
          <w:szCs w:val="28"/>
        </w:rPr>
        <w:t>.</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 xml:space="preserve">La Sala Especial esperaría que existieran resultados verificables emanados de cada una de las decisiones cuyo cumplimiento es objeto de monitoreo. Al momento de valorar la ejecución de cada mandato, esta Corporación hará una calificación detenida de las medidas adoptadas y las acciones efectuadas por las autoridades, aunado a que determinará su impacto o efectividad en el sistema. Lo anterior, con fundamento en que la política pública debe construirse desde la realidad social y bajo el empoderamiento de la ciudadanía con el objeto de permitir la participación de los usuarios y la sociedad civil en las decisiones que le afectan. </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 xml:space="preserve">Por consiguiente, la totalidad de valoraciones de acatamiento a futuro se podrán efectuar de manera general sobre la orden y específicamente sobre cada uno de sus elementos constitucionalmente relevantes. </w:t>
      </w:r>
    </w:p>
    <w:p w:rsidR="007D7C87" w:rsidRPr="00274507" w:rsidRDefault="007D7C87" w:rsidP="00274507">
      <w:pPr>
        <w:jc w:val="both"/>
        <w:rPr>
          <w:b/>
          <w:snapToGrid w:val="0"/>
          <w:sz w:val="28"/>
          <w:szCs w:val="28"/>
        </w:rPr>
      </w:pPr>
    </w:p>
    <w:p w:rsidR="007D7C87" w:rsidRPr="00274507" w:rsidRDefault="007D7C87" w:rsidP="00274507">
      <w:pPr>
        <w:jc w:val="both"/>
        <w:rPr>
          <w:b/>
          <w:snapToGrid w:val="0"/>
          <w:sz w:val="28"/>
          <w:szCs w:val="28"/>
        </w:rPr>
      </w:pPr>
      <w:r w:rsidRPr="00274507">
        <w:rPr>
          <w:b/>
          <w:snapToGrid w:val="0"/>
          <w:sz w:val="28"/>
          <w:szCs w:val="28"/>
        </w:rPr>
        <w:t>2.3. Metodología y matrices de valoración:</w:t>
      </w:r>
      <w:r w:rsidRPr="00274507">
        <w:rPr>
          <w:snapToGrid w:val="0"/>
          <w:sz w:val="28"/>
          <w:szCs w:val="28"/>
        </w:rPr>
        <w:t xml:space="preserve"> Como se expuso en el auto 411 de 2015 para adelantar esa evaluación, es necesario analizar la orden desde tres aspectos: las medidas, los resultados y los avances. </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 xml:space="preserve">En primer lugar, se debe estudiar la existencia de </w:t>
      </w:r>
      <w:r w:rsidRPr="00274507">
        <w:rPr>
          <w:b/>
          <w:snapToGrid w:val="0"/>
          <w:sz w:val="28"/>
          <w:szCs w:val="28"/>
        </w:rPr>
        <w:t xml:space="preserve">MEDIDAS </w:t>
      </w:r>
      <w:r w:rsidRPr="00274507">
        <w:rPr>
          <w:snapToGrid w:val="0"/>
          <w:sz w:val="28"/>
          <w:szCs w:val="28"/>
        </w:rPr>
        <w:t>y si las mismas son conducentes o no de lo cual dependerá el nivel de cumplimiento decretado, como se expone:</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Matriz núm. 1</w:t>
      </w:r>
    </w:p>
    <w:p w:rsidR="007D7C87" w:rsidRPr="00274507" w:rsidRDefault="007D7C87" w:rsidP="00274507">
      <w:pPr>
        <w:jc w:val="both"/>
        <w:rPr>
          <w:snapToGrid w:val="0"/>
          <w:sz w:val="28"/>
          <w:szCs w:val="28"/>
        </w:rPr>
      </w:pPr>
    </w:p>
    <w:tbl>
      <w:tblPr>
        <w:tblW w:w="9214" w:type="dxa"/>
        <w:tblInd w:w="-10" w:type="dxa"/>
        <w:tblCellMar>
          <w:left w:w="70" w:type="dxa"/>
          <w:right w:w="70" w:type="dxa"/>
        </w:tblCellMar>
        <w:tblLook w:val="04A0" w:firstRow="1" w:lastRow="0" w:firstColumn="1" w:lastColumn="0" w:noHBand="0" w:noVBand="1"/>
      </w:tblPr>
      <w:tblGrid>
        <w:gridCol w:w="389"/>
        <w:gridCol w:w="1457"/>
        <w:gridCol w:w="1599"/>
        <w:gridCol w:w="1457"/>
        <w:gridCol w:w="1457"/>
        <w:gridCol w:w="1457"/>
        <w:gridCol w:w="1457"/>
      </w:tblGrid>
      <w:tr w:rsidR="007D7C87" w:rsidRPr="00274507" w:rsidTr="00012747">
        <w:trPr>
          <w:trHeight w:val="731"/>
        </w:trPr>
        <w:tc>
          <w:tcPr>
            <w:tcW w:w="2084"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7D7C87" w:rsidRPr="00274507" w:rsidRDefault="007D7C87" w:rsidP="00274507">
            <w:pPr>
              <w:jc w:val="both"/>
              <w:rPr>
                <w:b/>
                <w:snapToGrid w:val="0"/>
                <w:sz w:val="28"/>
                <w:szCs w:val="28"/>
              </w:rPr>
            </w:pPr>
            <w:r w:rsidRPr="00274507">
              <w:rPr>
                <w:b/>
                <w:snapToGrid w:val="0"/>
                <w:sz w:val="28"/>
                <w:szCs w:val="28"/>
              </w:rPr>
              <w:t>Elementos a evaluar </w:t>
            </w:r>
          </w:p>
        </w:tc>
        <w:tc>
          <w:tcPr>
            <w:tcW w:w="1507" w:type="dxa"/>
            <w:tcBorders>
              <w:top w:val="single" w:sz="8" w:space="0" w:color="auto"/>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Incumplimiento General</w:t>
            </w:r>
          </w:p>
        </w:tc>
        <w:tc>
          <w:tcPr>
            <w:tcW w:w="1374" w:type="dxa"/>
            <w:tcBorders>
              <w:top w:val="single" w:sz="8" w:space="0" w:color="auto"/>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Bajo</w:t>
            </w:r>
          </w:p>
        </w:tc>
        <w:tc>
          <w:tcPr>
            <w:tcW w:w="1414" w:type="dxa"/>
            <w:tcBorders>
              <w:top w:val="single" w:sz="8" w:space="0" w:color="auto"/>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Medio</w:t>
            </w:r>
          </w:p>
        </w:tc>
        <w:tc>
          <w:tcPr>
            <w:tcW w:w="1418" w:type="dxa"/>
            <w:tcBorders>
              <w:top w:val="single" w:sz="8" w:space="0" w:color="auto"/>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Alto</w:t>
            </w:r>
          </w:p>
        </w:tc>
        <w:tc>
          <w:tcPr>
            <w:tcW w:w="1417" w:type="dxa"/>
            <w:tcBorders>
              <w:top w:val="single" w:sz="8" w:space="0" w:color="auto"/>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Cumplimiento General</w:t>
            </w:r>
          </w:p>
        </w:tc>
      </w:tr>
      <w:tr w:rsidR="007D7C87" w:rsidRPr="00274507" w:rsidTr="00012747">
        <w:trPr>
          <w:trHeight w:val="315"/>
        </w:trPr>
        <w:tc>
          <w:tcPr>
            <w:tcW w:w="376"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7D7C87" w:rsidRPr="00274507" w:rsidRDefault="007D7C87" w:rsidP="00274507">
            <w:pPr>
              <w:jc w:val="both"/>
              <w:rPr>
                <w:b/>
                <w:snapToGrid w:val="0"/>
                <w:sz w:val="28"/>
                <w:szCs w:val="28"/>
              </w:rPr>
            </w:pPr>
            <w:r w:rsidRPr="00274507">
              <w:rPr>
                <w:b/>
                <w:snapToGrid w:val="0"/>
                <w:sz w:val="28"/>
                <w:szCs w:val="28"/>
              </w:rPr>
              <w:t>Medidas</w:t>
            </w:r>
          </w:p>
        </w:tc>
        <w:tc>
          <w:tcPr>
            <w:tcW w:w="1708" w:type="dxa"/>
            <w:tcBorders>
              <w:top w:val="nil"/>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No existen</w:t>
            </w:r>
          </w:p>
        </w:tc>
        <w:tc>
          <w:tcPr>
            <w:tcW w:w="1507" w:type="dxa"/>
            <w:tcBorders>
              <w:top w:val="nil"/>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374" w:type="dxa"/>
            <w:tcBorders>
              <w:top w:val="nil"/>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4" w:type="dxa"/>
            <w:tcBorders>
              <w:top w:val="nil"/>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8" w:type="dxa"/>
            <w:tcBorders>
              <w:top w:val="nil"/>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7" w:type="dxa"/>
            <w:tcBorders>
              <w:top w:val="nil"/>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 </w:t>
            </w:r>
          </w:p>
        </w:tc>
      </w:tr>
      <w:tr w:rsidR="007D7C87" w:rsidRPr="00274507" w:rsidTr="00012747">
        <w:trPr>
          <w:trHeight w:val="315"/>
        </w:trPr>
        <w:tc>
          <w:tcPr>
            <w:tcW w:w="376" w:type="dxa"/>
            <w:vMerge/>
            <w:tcBorders>
              <w:top w:val="nil"/>
              <w:left w:val="single" w:sz="8" w:space="0" w:color="auto"/>
              <w:bottom w:val="single" w:sz="8" w:space="0" w:color="000000"/>
              <w:right w:val="single" w:sz="4" w:space="0" w:color="auto"/>
            </w:tcBorders>
            <w:vAlign w:val="center"/>
            <w:hideMark/>
          </w:tcPr>
          <w:p w:rsidR="007D7C87" w:rsidRPr="00274507" w:rsidRDefault="007D7C87" w:rsidP="00274507">
            <w:pPr>
              <w:jc w:val="both"/>
              <w:rPr>
                <w:b/>
                <w:snapToGrid w:val="0"/>
                <w:sz w:val="28"/>
                <w:szCs w:val="28"/>
              </w:rPr>
            </w:pPr>
          </w:p>
        </w:tc>
        <w:tc>
          <w:tcPr>
            <w:tcW w:w="1708" w:type="dxa"/>
            <w:tcBorders>
              <w:top w:val="nil"/>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Inconducentes</w:t>
            </w:r>
          </w:p>
        </w:tc>
        <w:tc>
          <w:tcPr>
            <w:tcW w:w="1507" w:type="dxa"/>
            <w:tcBorders>
              <w:top w:val="nil"/>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374" w:type="dxa"/>
            <w:tcBorders>
              <w:top w:val="nil"/>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14" w:type="dxa"/>
            <w:tcBorders>
              <w:top w:val="nil"/>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8" w:type="dxa"/>
            <w:tcBorders>
              <w:top w:val="nil"/>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7" w:type="dxa"/>
            <w:tcBorders>
              <w:top w:val="nil"/>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 </w:t>
            </w:r>
          </w:p>
        </w:tc>
      </w:tr>
      <w:tr w:rsidR="007D7C87" w:rsidRPr="00274507" w:rsidTr="00012747">
        <w:trPr>
          <w:trHeight w:val="330"/>
        </w:trPr>
        <w:tc>
          <w:tcPr>
            <w:tcW w:w="376" w:type="dxa"/>
            <w:vMerge/>
            <w:tcBorders>
              <w:top w:val="nil"/>
              <w:left w:val="single" w:sz="8" w:space="0" w:color="auto"/>
              <w:bottom w:val="single" w:sz="8" w:space="0" w:color="000000"/>
              <w:right w:val="single" w:sz="4" w:space="0" w:color="auto"/>
            </w:tcBorders>
            <w:vAlign w:val="center"/>
            <w:hideMark/>
          </w:tcPr>
          <w:p w:rsidR="007D7C87" w:rsidRPr="00274507" w:rsidRDefault="007D7C87" w:rsidP="00274507">
            <w:pPr>
              <w:jc w:val="both"/>
              <w:rPr>
                <w:b/>
                <w:snapToGrid w:val="0"/>
                <w:sz w:val="28"/>
                <w:szCs w:val="28"/>
              </w:rPr>
            </w:pPr>
          </w:p>
        </w:tc>
        <w:tc>
          <w:tcPr>
            <w:tcW w:w="1708" w:type="dxa"/>
            <w:tcBorders>
              <w:top w:val="nil"/>
              <w:left w:val="nil"/>
              <w:bottom w:val="single" w:sz="8"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Conducentes</w:t>
            </w:r>
          </w:p>
        </w:tc>
        <w:tc>
          <w:tcPr>
            <w:tcW w:w="1507" w:type="dxa"/>
            <w:tcBorders>
              <w:top w:val="nil"/>
              <w:left w:val="nil"/>
              <w:bottom w:val="single" w:sz="8"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374" w:type="dxa"/>
            <w:tcBorders>
              <w:top w:val="nil"/>
              <w:left w:val="nil"/>
              <w:bottom w:val="single" w:sz="8"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14" w:type="dxa"/>
            <w:tcBorders>
              <w:top w:val="nil"/>
              <w:left w:val="nil"/>
              <w:bottom w:val="single" w:sz="8"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18" w:type="dxa"/>
            <w:tcBorders>
              <w:top w:val="nil"/>
              <w:left w:val="nil"/>
              <w:bottom w:val="single" w:sz="8"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17" w:type="dxa"/>
            <w:tcBorders>
              <w:top w:val="nil"/>
              <w:left w:val="nil"/>
              <w:bottom w:val="single" w:sz="8"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X</w:t>
            </w:r>
          </w:p>
        </w:tc>
      </w:tr>
    </w:tbl>
    <w:p w:rsidR="007D7C87" w:rsidRPr="00274507" w:rsidRDefault="007D7C87" w:rsidP="00274507">
      <w:pPr>
        <w:jc w:val="both"/>
        <w:rPr>
          <w:snapToGrid w:val="0"/>
          <w:sz w:val="28"/>
          <w:szCs w:val="28"/>
        </w:rPr>
      </w:pPr>
      <w:r w:rsidRPr="00274507">
        <w:rPr>
          <w:snapToGrid w:val="0"/>
          <w:sz w:val="28"/>
          <w:szCs w:val="28"/>
        </w:rPr>
        <w:t xml:space="preserve">Si la situación encuadra en el primer (no existen) o segundo (son inconducentes) supuesto se concluirá inmediatamente el estudio del grado de acatamiento. De lo contrario, si se constata la existencia de medidas conducentes para cumplir el objeto de la orden (3 fila de la matriz núm. 1), se continuará con la revisión de los </w:t>
      </w:r>
      <w:r w:rsidRPr="00274507">
        <w:rPr>
          <w:b/>
          <w:snapToGrid w:val="0"/>
          <w:sz w:val="28"/>
          <w:szCs w:val="28"/>
        </w:rPr>
        <w:t>RESULTADOS</w:t>
      </w:r>
      <w:r w:rsidRPr="00274507">
        <w:rPr>
          <w:snapToGrid w:val="0"/>
          <w:sz w:val="28"/>
          <w:szCs w:val="28"/>
        </w:rPr>
        <w:t>, a saber:</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Matriz núm. 2</w:t>
      </w:r>
    </w:p>
    <w:p w:rsidR="007D7C87" w:rsidRPr="00274507" w:rsidRDefault="007D7C87" w:rsidP="00274507">
      <w:pPr>
        <w:jc w:val="both"/>
        <w:rPr>
          <w:snapToGrid w:val="0"/>
          <w:sz w:val="28"/>
          <w:szCs w:val="28"/>
        </w:rPr>
      </w:pPr>
    </w:p>
    <w:tbl>
      <w:tblPr>
        <w:tblW w:w="9214" w:type="dxa"/>
        <w:tblInd w:w="-10" w:type="dxa"/>
        <w:tblCellMar>
          <w:left w:w="70" w:type="dxa"/>
          <w:right w:w="70" w:type="dxa"/>
        </w:tblCellMar>
        <w:tblLook w:val="04A0" w:firstRow="1" w:lastRow="0" w:firstColumn="1" w:lastColumn="0" w:noHBand="0" w:noVBand="1"/>
      </w:tblPr>
      <w:tblGrid>
        <w:gridCol w:w="393"/>
        <w:gridCol w:w="1366"/>
        <w:gridCol w:w="1618"/>
        <w:gridCol w:w="1474"/>
        <w:gridCol w:w="1474"/>
        <w:gridCol w:w="1474"/>
        <w:gridCol w:w="1474"/>
      </w:tblGrid>
      <w:tr w:rsidR="007D7C87" w:rsidRPr="00274507" w:rsidTr="00012747">
        <w:trPr>
          <w:trHeight w:val="742"/>
        </w:trPr>
        <w:tc>
          <w:tcPr>
            <w:tcW w:w="1869"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7D7C87" w:rsidRPr="00274507" w:rsidRDefault="007D7C87" w:rsidP="00274507">
            <w:pPr>
              <w:jc w:val="both"/>
              <w:rPr>
                <w:b/>
                <w:snapToGrid w:val="0"/>
                <w:sz w:val="28"/>
                <w:szCs w:val="28"/>
              </w:rPr>
            </w:pPr>
            <w:r w:rsidRPr="00274507">
              <w:rPr>
                <w:b/>
                <w:snapToGrid w:val="0"/>
                <w:sz w:val="28"/>
                <w:szCs w:val="28"/>
              </w:rPr>
              <w:t>Elementos a evaluar </w:t>
            </w:r>
          </w:p>
        </w:tc>
        <w:tc>
          <w:tcPr>
            <w:tcW w:w="1666" w:type="dxa"/>
            <w:tcBorders>
              <w:top w:val="single" w:sz="8" w:space="0" w:color="auto"/>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Incumplimiento General</w:t>
            </w:r>
          </w:p>
        </w:tc>
        <w:tc>
          <w:tcPr>
            <w:tcW w:w="1410" w:type="dxa"/>
            <w:tcBorders>
              <w:top w:val="single" w:sz="8" w:space="0" w:color="auto"/>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Bajo</w:t>
            </w:r>
          </w:p>
        </w:tc>
        <w:tc>
          <w:tcPr>
            <w:tcW w:w="1409" w:type="dxa"/>
            <w:tcBorders>
              <w:top w:val="single" w:sz="8" w:space="0" w:color="auto"/>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Medio</w:t>
            </w:r>
          </w:p>
        </w:tc>
        <w:tc>
          <w:tcPr>
            <w:tcW w:w="1410" w:type="dxa"/>
            <w:tcBorders>
              <w:top w:val="single" w:sz="8" w:space="0" w:color="auto"/>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Alto</w:t>
            </w:r>
          </w:p>
        </w:tc>
        <w:tc>
          <w:tcPr>
            <w:tcW w:w="1450" w:type="dxa"/>
            <w:tcBorders>
              <w:top w:val="single" w:sz="8" w:space="0" w:color="auto"/>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Cumplimiento General</w:t>
            </w:r>
          </w:p>
        </w:tc>
      </w:tr>
      <w:tr w:rsidR="007D7C87" w:rsidRPr="00274507" w:rsidTr="00012747">
        <w:trPr>
          <w:trHeight w:val="424"/>
        </w:trPr>
        <w:tc>
          <w:tcPr>
            <w:tcW w:w="377"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7D7C87" w:rsidRPr="00274507" w:rsidRDefault="007D7C87" w:rsidP="00274507">
            <w:pPr>
              <w:jc w:val="both"/>
              <w:rPr>
                <w:b/>
                <w:snapToGrid w:val="0"/>
                <w:sz w:val="28"/>
                <w:szCs w:val="28"/>
              </w:rPr>
            </w:pPr>
            <w:r w:rsidRPr="00274507">
              <w:rPr>
                <w:b/>
                <w:snapToGrid w:val="0"/>
                <w:sz w:val="28"/>
                <w:szCs w:val="28"/>
              </w:rPr>
              <w:t>Resultados</w:t>
            </w:r>
          </w:p>
        </w:tc>
        <w:tc>
          <w:tcPr>
            <w:tcW w:w="1492" w:type="dxa"/>
            <w:tcBorders>
              <w:top w:val="nil"/>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No acreditados</w:t>
            </w:r>
          </w:p>
        </w:tc>
        <w:tc>
          <w:tcPr>
            <w:tcW w:w="1666" w:type="dxa"/>
            <w:tcBorders>
              <w:top w:val="nil"/>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0" w:type="dxa"/>
            <w:tcBorders>
              <w:top w:val="nil"/>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09" w:type="dxa"/>
            <w:tcBorders>
              <w:top w:val="nil"/>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0" w:type="dxa"/>
            <w:tcBorders>
              <w:top w:val="nil"/>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50" w:type="dxa"/>
            <w:tcBorders>
              <w:top w:val="nil"/>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 </w:t>
            </w:r>
          </w:p>
        </w:tc>
      </w:tr>
      <w:tr w:rsidR="007D7C87" w:rsidRPr="00274507" w:rsidTr="00012747">
        <w:trPr>
          <w:trHeight w:val="315"/>
        </w:trPr>
        <w:tc>
          <w:tcPr>
            <w:tcW w:w="377" w:type="dxa"/>
            <w:vMerge/>
            <w:tcBorders>
              <w:top w:val="nil"/>
              <w:left w:val="single" w:sz="8" w:space="0" w:color="auto"/>
              <w:bottom w:val="single" w:sz="8" w:space="0" w:color="000000"/>
              <w:right w:val="single" w:sz="4" w:space="0" w:color="auto"/>
            </w:tcBorders>
            <w:vAlign w:val="center"/>
            <w:hideMark/>
          </w:tcPr>
          <w:p w:rsidR="007D7C87" w:rsidRPr="00274507" w:rsidRDefault="007D7C87" w:rsidP="00274507">
            <w:pPr>
              <w:jc w:val="both"/>
              <w:rPr>
                <w:b/>
                <w:snapToGrid w:val="0"/>
                <w:sz w:val="28"/>
                <w:szCs w:val="28"/>
              </w:rPr>
            </w:pPr>
          </w:p>
        </w:tc>
        <w:tc>
          <w:tcPr>
            <w:tcW w:w="1492" w:type="dxa"/>
            <w:tcBorders>
              <w:top w:val="nil"/>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No permiten evidenciar que se va a superar la problemática</w:t>
            </w:r>
          </w:p>
        </w:tc>
        <w:tc>
          <w:tcPr>
            <w:tcW w:w="1666" w:type="dxa"/>
            <w:tcBorders>
              <w:top w:val="nil"/>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0" w:type="dxa"/>
            <w:tcBorders>
              <w:top w:val="nil"/>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09" w:type="dxa"/>
            <w:tcBorders>
              <w:top w:val="nil"/>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0" w:type="dxa"/>
            <w:tcBorders>
              <w:top w:val="nil"/>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50" w:type="dxa"/>
            <w:tcBorders>
              <w:top w:val="nil"/>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 </w:t>
            </w:r>
          </w:p>
        </w:tc>
      </w:tr>
      <w:tr w:rsidR="007D7C87" w:rsidRPr="00274507" w:rsidTr="00012747">
        <w:trPr>
          <w:trHeight w:val="330"/>
        </w:trPr>
        <w:tc>
          <w:tcPr>
            <w:tcW w:w="377" w:type="dxa"/>
            <w:vMerge/>
            <w:tcBorders>
              <w:top w:val="nil"/>
              <w:left w:val="single" w:sz="8" w:space="0" w:color="auto"/>
              <w:bottom w:val="single" w:sz="8" w:space="0" w:color="000000"/>
              <w:right w:val="single" w:sz="4" w:space="0" w:color="auto"/>
            </w:tcBorders>
            <w:vAlign w:val="center"/>
            <w:hideMark/>
          </w:tcPr>
          <w:p w:rsidR="007D7C87" w:rsidRPr="00274507" w:rsidRDefault="007D7C87" w:rsidP="00274507">
            <w:pPr>
              <w:jc w:val="both"/>
              <w:rPr>
                <w:b/>
                <w:snapToGrid w:val="0"/>
                <w:sz w:val="28"/>
                <w:szCs w:val="28"/>
              </w:rPr>
            </w:pPr>
          </w:p>
        </w:tc>
        <w:tc>
          <w:tcPr>
            <w:tcW w:w="1492" w:type="dxa"/>
            <w:tcBorders>
              <w:top w:val="single" w:sz="4" w:space="0" w:color="auto"/>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Permiten evidenciar que se va a superar la problemática</w:t>
            </w:r>
          </w:p>
        </w:tc>
        <w:tc>
          <w:tcPr>
            <w:tcW w:w="1666" w:type="dxa"/>
            <w:tcBorders>
              <w:top w:val="single" w:sz="4" w:space="0" w:color="auto"/>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0" w:type="dxa"/>
            <w:tcBorders>
              <w:top w:val="single" w:sz="4" w:space="0" w:color="auto"/>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09" w:type="dxa"/>
            <w:tcBorders>
              <w:top w:val="single" w:sz="4" w:space="0" w:color="auto"/>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10" w:type="dxa"/>
            <w:tcBorders>
              <w:top w:val="single" w:sz="4" w:space="0" w:color="auto"/>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50" w:type="dxa"/>
            <w:tcBorders>
              <w:top w:val="single" w:sz="4" w:space="0" w:color="auto"/>
              <w:left w:val="nil"/>
              <w:bottom w:val="single" w:sz="4" w:space="0" w:color="auto"/>
              <w:right w:val="single" w:sz="4"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X</w:t>
            </w:r>
          </w:p>
        </w:tc>
      </w:tr>
    </w:tbl>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 xml:space="preserve">Si los resultados no fueron acreditados o no permiten evidenciar que se vaya a superar la crisis se calificará hasta este aspecto la observancia de la orden. Solo si se llegare a contar con pruebas que permitan deducir que si se va a conjurar la falla (3º fila de la matriz núm. 2), se prosigue a la evaluación de los </w:t>
      </w:r>
      <w:r w:rsidRPr="00274507">
        <w:rPr>
          <w:b/>
          <w:snapToGrid w:val="0"/>
          <w:sz w:val="28"/>
          <w:szCs w:val="28"/>
        </w:rPr>
        <w:t>AVANCES</w:t>
      </w:r>
      <w:r w:rsidRPr="00274507">
        <w:rPr>
          <w:snapToGrid w:val="0"/>
          <w:sz w:val="28"/>
          <w:szCs w:val="28"/>
        </w:rPr>
        <w:t xml:space="preserve"> bajo los siguientes parámetros:</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Matriz núm. 3</w:t>
      </w:r>
    </w:p>
    <w:p w:rsidR="007D7C87" w:rsidRPr="00274507" w:rsidRDefault="007D7C87" w:rsidP="00274507">
      <w:pPr>
        <w:jc w:val="both"/>
        <w:rPr>
          <w:snapToGrid w:val="0"/>
          <w:sz w:val="28"/>
          <w:szCs w:val="28"/>
        </w:rPr>
      </w:pPr>
    </w:p>
    <w:tbl>
      <w:tblPr>
        <w:tblW w:w="9649" w:type="dxa"/>
        <w:jc w:val="center"/>
        <w:tblLayout w:type="fixed"/>
        <w:tblCellMar>
          <w:left w:w="70" w:type="dxa"/>
          <w:right w:w="70" w:type="dxa"/>
        </w:tblCellMar>
        <w:tblLook w:val="04A0" w:firstRow="1" w:lastRow="0" w:firstColumn="1" w:lastColumn="0" w:noHBand="0" w:noVBand="1"/>
      </w:tblPr>
      <w:tblGrid>
        <w:gridCol w:w="171"/>
        <w:gridCol w:w="2127"/>
        <w:gridCol w:w="1559"/>
        <w:gridCol w:w="1559"/>
        <w:gridCol w:w="1418"/>
        <w:gridCol w:w="1417"/>
        <w:gridCol w:w="1398"/>
      </w:tblGrid>
      <w:tr w:rsidR="007D7C87" w:rsidRPr="00274507" w:rsidTr="007D7C87">
        <w:trPr>
          <w:trHeight w:val="945"/>
          <w:jc w:val="center"/>
        </w:trPr>
        <w:tc>
          <w:tcPr>
            <w:tcW w:w="2298"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7D7C87" w:rsidRPr="00274507" w:rsidRDefault="007D7C87" w:rsidP="00274507">
            <w:pPr>
              <w:jc w:val="both"/>
              <w:rPr>
                <w:b/>
                <w:snapToGrid w:val="0"/>
                <w:sz w:val="28"/>
                <w:szCs w:val="28"/>
              </w:rPr>
            </w:pPr>
            <w:r w:rsidRPr="00274507">
              <w:rPr>
                <w:b/>
                <w:snapToGrid w:val="0"/>
                <w:sz w:val="28"/>
                <w:szCs w:val="28"/>
              </w:rPr>
              <w:t>Elementos a evaluar </w:t>
            </w:r>
          </w:p>
        </w:tc>
        <w:tc>
          <w:tcPr>
            <w:tcW w:w="1559" w:type="dxa"/>
            <w:tcBorders>
              <w:top w:val="single" w:sz="8" w:space="0" w:color="auto"/>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Incumplimiento General</w:t>
            </w:r>
          </w:p>
        </w:tc>
        <w:tc>
          <w:tcPr>
            <w:tcW w:w="1559" w:type="dxa"/>
            <w:tcBorders>
              <w:top w:val="single" w:sz="8" w:space="0" w:color="auto"/>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Bajo</w:t>
            </w:r>
          </w:p>
        </w:tc>
        <w:tc>
          <w:tcPr>
            <w:tcW w:w="1418" w:type="dxa"/>
            <w:tcBorders>
              <w:top w:val="single" w:sz="8" w:space="0" w:color="auto"/>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Medio</w:t>
            </w:r>
          </w:p>
        </w:tc>
        <w:tc>
          <w:tcPr>
            <w:tcW w:w="1417" w:type="dxa"/>
            <w:tcBorders>
              <w:top w:val="single" w:sz="8" w:space="0" w:color="auto"/>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Nivel de Cumplimiento Alto</w:t>
            </w:r>
          </w:p>
        </w:tc>
        <w:tc>
          <w:tcPr>
            <w:tcW w:w="1398" w:type="dxa"/>
            <w:tcBorders>
              <w:top w:val="single" w:sz="8" w:space="0" w:color="auto"/>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Cumplimiento General</w:t>
            </w:r>
          </w:p>
        </w:tc>
      </w:tr>
      <w:tr w:rsidR="007D7C87" w:rsidRPr="00274507" w:rsidTr="007D7C87">
        <w:trPr>
          <w:trHeight w:val="315"/>
          <w:jc w:val="center"/>
        </w:trPr>
        <w:tc>
          <w:tcPr>
            <w:tcW w:w="171"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7D7C87" w:rsidRPr="00274507" w:rsidRDefault="007D7C87" w:rsidP="00274507">
            <w:pPr>
              <w:jc w:val="both"/>
              <w:rPr>
                <w:b/>
                <w:snapToGrid w:val="0"/>
                <w:sz w:val="28"/>
                <w:szCs w:val="28"/>
              </w:rPr>
            </w:pPr>
            <w:r w:rsidRPr="00274507">
              <w:rPr>
                <w:b/>
                <w:snapToGrid w:val="0"/>
                <w:sz w:val="28"/>
                <w:szCs w:val="28"/>
              </w:rPr>
              <w:t>Avances</w:t>
            </w:r>
          </w:p>
        </w:tc>
        <w:tc>
          <w:tcPr>
            <w:tcW w:w="2127" w:type="dxa"/>
            <w:tcBorders>
              <w:top w:val="nil"/>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No hay avances significativos</w:t>
            </w:r>
          </w:p>
        </w:tc>
        <w:tc>
          <w:tcPr>
            <w:tcW w:w="1559" w:type="dxa"/>
            <w:tcBorders>
              <w:top w:val="nil"/>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559" w:type="dxa"/>
            <w:tcBorders>
              <w:top w:val="nil"/>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8" w:type="dxa"/>
            <w:tcBorders>
              <w:top w:val="nil"/>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417" w:type="dxa"/>
            <w:tcBorders>
              <w:top w:val="nil"/>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398" w:type="dxa"/>
            <w:tcBorders>
              <w:top w:val="nil"/>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 </w:t>
            </w:r>
          </w:p>
        </w:tc>
      </w:tr>
      <w:tr w:rsidR="007D7C87" w:rsidRPr="00274507" w:rsidTr="007D7C87">
        <w:trPr>
          <w:trHeight w:val="315"/>
          <w:jc w:val="center"/>
        </w:trPr>
        <w:tc>
          <w:tcPr>
            <w:tcW w:w="171" w:type="dxa"/>
            <w:vMerge/>
            <w:tcBorders>
              <w:top w:val="nil"/>
              <w:left w:val="single" w:sz="8" w:space="0" w:color="auto"/>
              <w:bottom w:val="single" w:sz="8" w:space="0" w:color="000000"/>
              <w:right w:val="single" w:sz="4" w:space="0" w:color="auto"/>
            </w:tcBorders>
            <w:vAlign w:val="center"/>
            <w:hideMark/>
          </w:tcPr>
          <w:p w:rsidR="007D7C87" w:rsidRPr="00274507" w:rsidRDefault="007D7C87" w:rsidP="00274507">
            <w:pPr>
              <w:jc w:val="both"/>
              <w:rPr>
                <w:b/>
                <w:snapToGrid w:val="0"/>
                <w:sz w:val="28"/>
                <w:szCs w:val="28"/>
              </w:rPr>
            </w:pPr>
          </w:p>
        </w:tc>
        <w:tc>
          <w:tcPr>
            <w:tcW w:w="2127" w:type="dxa"/>
            <w:tcBorders>
              <w:top w:val="nil"/>
              <w:left w:val="nil"/>
              <w:bottom w:val="single" w:sz="4"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Hay avances significativos, pero no han conjurado en su totalidad la falla</w:t>
            </w:r>
          </w:p>
        </w:tc>
        <w:tc>
          <w:tcPr>
            <w:tcW w:w="1559" w:type="dxa"/>
            <w:tcBorders>
              <w:top w:val="nil"/>
              <w:left w:val="nil"/>
              <w:bottom w:val="single" w:sz="4"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559" w:type="dxa"/>
            <w:tcBorders>
              <w:top w:val="nil"/>
              <w:left w:val="nil"/>
              <w:bottom w:val="single" w:sz="4"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8" w:type="dxa"/>
            <w:tcBorders>
              <w:top w:val="nil"/>
              <w:left w:val="nil"/>
              <w:bottom w:val="single" w:sz="4"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7" w:type="dxa"/>
            <w:tcBorders>
              <w:top w:val="nil"/>
              <w:left w:val="nil"/>
              <w:bottom w:val="single" w:sz="4"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X</w:t>
            </w:r>
          </w:p>
        </w:tc>
        <w:tc>
          <w:tcPr>
            <w:tcW w:w="1398" w:type="dxa"/>
            <w:tcBorders>
              <w:top w:val="nil"/>
              <w:left w:val="nil"/>
              <w:bottom w:val="single" w:sz="4"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 </w:t>
            </w:r>
          </w:p>
        </w:tc>
      </w:tr>
      <w:tr w:rsidR="007D7C87" w:rsidRPr="00274507" w:rsidTr="007D7C87">
        <w:trPr>
          <w:trHeight w:val="330"/>
          <w:jc w:val="center"/>
        </w:trPr>
        <w:tc>
          <w:tcPr>
            <w:tcW w:w="171" w:type="dxa"/>
            <w:vMerge/>
            <w:tcBorders>
              <w:top w:val="nil"/>
              <w:left w:val="single" w:sz="8" w:space="0" w:color="auto"/>
              <w:bottom w:val="single" w:sz="8" w:space="0" w:color="000000"/>
              <w:right w:val="single" w:sz="4" w:space="0" w:color="auto"/>
            </w:tcBorders>
            <w:vAlign w:val="center"/>
            <w:hideMark/>
          </w:tcPr>
          <w:p w:rsidR="007D7C87" w:rsidRPr="00274507" w:rsidRDefault="007D7C87" w:rsidP="00274507">
            <w:pPr>
              <w:jc w:val="both"/>
              <w:rPr>
                <w:b/>
                <w:snapToGrid w:val="0"/>
                <w:sz w:val="28"/>
                <w:szCs w:val="28"/>
              </w:rPr>
            </w:pPr>
          </w:p>
        </w:tc>
        <w:tc>
          <w:tcPr>
            <w:tcW w:w="2127" w:type="dxa"/>
            <w:tcBorders>
              <w:top w:val="nil"/>
              <w:left w:val="nil"/>
              <w:bottom w:val="single" w:sz="8" w:space="0" w:color="auto"/>
              <w:right w:val="single" w:sz="4" w:space="0" w:color="auto"/>
            </w:tcBorders>
            <w:vAlign w:val="center"/>
            <w:hideMark/>
          </w:tcPr>
          <w:p w:rsidR="007D7C87" w:rsidRPr="00274507" w:rsidRDefault="007D7C87" w:rsidP="00274507">
            <w:pPr>
              <w:jc w:val="both"/>
              <w:rPr>
                <w:b/>
                <w:snapToGrid w:val="0"/>
                <w:sz w:val="28"/>
                <w:szCs w:val="28"/>
              </w:rPr>
            </w:pPr>
            <w:r w:rsidRPr="00274507">
              <w:rPr>
                <w:b/>
                <w:snapToGrid w:val="0"/>
                <w:sz w:val="28"/>
                <w:szCs w:val="28"/>
              </w:rPr>
              <w:t>Superaron la falla estructural que dio origen a la orden</w:t>
            </w:r>
          </w:p>
        </w:tc>
        <w:tc>
          <w:tcPr>
            <w:tcW w:w="1559" w:type="dxa"/>
            <w:tcBorders>
              <w:top w:val="nil"/>
              <w:left w:val="nil"/>
              <w:bottom w:val="single" w:sz="8" w:space="0" w:color="auto"/>
              <w:right w:val="single" w:sz="4" w:space="0" w:color="auto"/>
            </w:tcBorders>
            <w:shd w:val="clear" w:color="000000" w:fill="C0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559" w:type="dxa"/>
            <w:tcBorders>
              <w:top w:val="nil"/>
              <w:left w:val="nil"/>
              <w:bottom w:val="single" w:sz="8" w:space="0" w:color="auto"/>
              <w:right w:val="single" w:sz="4" w:space="0" w:color="auto"/>
            </w:tcBorders>
            <w:shd w:val="clear" w:color="000000" w:fill="FF00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8" w:type="dxa"/>
            <w:tcBorders>
              <w:top w:val="nil"/>
              <w:left w:val="nil"/>
              <w:bottom w:val="single" w:sz="8" w:space="0" w:color="auto"/>
              <w:right w:val="single" w:sz="4" w:space="0" w:color="auto"/>
            </w:tcBorders>
            <w:shd w:val="clear" w:color="000000" w:fill="ED7D31"/>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417" w:type="dxa"/>
            <w:tcBorders>
              <w:top w:val="nil"/>
              <w:left w:val="nil"/>
              <w:bottom w:val="single" w:sz="8" w:space="0" w:color="auto"/>
              <w:right w:val="single" w:sz="4" w:space="0" w:color="auto"/>
            </w:tcBorders>
            <w:shd w:val="clear" w:color="000000" w:fill="FFFF00"/>
            <w:vAlign w:val="center"/>
            <w:hideMark/>
          </w:tcPr>
          <w:p w:rsidR="007D7C87" w:rsidRPr="00274507" w:rsidRDefault="007D7C87" w:rsidP="00274507">
            <w:pPr>
              <w:jc w:val="both"/>
              <w:rPr>
                <w:b/>
                <w:snapToGrid w:val="0"/>
                <w:sz w:val="28"/>
                <w:szCs w:val="28"/>
              </w:rPr>
            </w:pPr>
            <w:r w:rsidRPr="00274507">
              <w:rPr>
                <w:b/>
                <w:snapToGrid w:val="0"/>
                <w:sz w:val="28"/>
                <w:szCs w:val="28"/>
              </w:rPr>
              <w:t> </w:t>
            </w:r>
          </w:p>
        </w:tc>
        <w:tc>
          <w:tcPr>
            <w:tcW w:w="1398" w:type="dxa"/>
            <w:tcBorders>
              <w:top w:val="nil"/>
              <w:left w:val="nil"/>
              <w:bottom w:val="single" w:sz="8" w:space="0" w:color="auto"/>
              <w:right w:val="single" w:sz="8" w:space="0" w:color="auto"/>
            </w:tcBorders>
            <w:shd w:val="clear" w:color="000000" w:fill="70AD47"/>
            <w:vAlign w:val="center"/>
            <w:hideMark/>
          </w:tcPr>
          <w:p w:rsidR="007D7C87" w:rsidRPr="00274507" w:rsidRDefault="007D7C87" w:rsidP="00274507">
            <w:pPr>
              <w:jc w:val="both"/>
              <w:rPr>
                <w:b/>
                <w:snapToGrid w:val="0"/>
                <w:sz w:val="28"/>
                <w:szCs w:val="28"/>
              </w:rPr>
            </w:pPr>
            <w:r w:rsidRPr="00274507">
              <w:rPr>
                <w:b/>
                <w:snapToGrid w:val="0"/>
                <w:sz w:val="28"/>
                <w:szCs w:val="28"/>
              </w:rPr>
              <w:t>X</w:t>
            </w:r>
          </w:p>
        </w:tc>
      </w:tr>
    </w:tbl>
    <w:p w:rsidR="007D7C87" w:rsidRPr="00274507" w:rsidRDefault="007D7C87" w:rsidP="00274507">
      <w:pPr>
        <w:jc w:val="both"/>
        <w:rPr>
          <w:snapToGrid w:val="0"/>
          <w:sz w:val="28"/>
          <w:szCs w:val="28"/>
        </w:rPr>
      </w:pPr>
    </w:p>
    <w:p w:rsidR="007D7C87" w:rsidRPr="00274507" w:rsidRDefault="007D7C87" w:rsidP="00274507">
      <w:pPr>
        <w:pStyle w:val="Prrafodelista"/>
        <w:numPr>
          <w:ilvl w:val="1"/>
          <w:numId w:val="21"/>
        </w:numPr>
        <w:tabs>
          <w:tab w:val="left" w:pos="426"/>
        </w:tabs>
        <w:ind w:left="0" w:firstLine="0"/>
        <w:jc w:val="both"/>
        <w:rPr>
          <w:snapToGrid w:val="0"/>
          <w:sz w:val="28"/>
          <w:szCs w:val="28"/>
        </w:rPr>
      </w:pPr>
      <w:r w:rsidRPr="00274507">
        <w:rPr>
          <w:snapToGrid w:val="0"/>
          <w:sz w:val="28"/>
          <w:szCs w:val="28"/>
        </w:rPr>
        <w:t>Bajo tales precisiones, a continuación se proceden a conceptualizar las cinco (5) categorías de evaluación de cumplimiento, las cuales serán aplicadas en la medida en que sean compatibles con el contenido y alcance del mandato supervisado:</w:t>
      </w:r>
    </w:p>
    <w:p w:rsidR="007D7C87" w:rsidRPr="00274507" w:rsidRDefault="007D7C87" w:rsidP="00274507">
      <w:pPr>
        <w:jc w:val="both"/>
        <w:rPr>
          <w:snapToGrid w:val="0"/>
          <w:sz w:val="28"/>
          <w:szCs w:val="28"/>
        </w:rPr>
      </w:pPr>
    </w:p>
    <w:p w:rsidR="007D7C87" w:rsidRPr="00274507" w:rsidRDefault="007D7C87" w:rsidP="00274507">
      <w:pPr>
        <w:pStyle w:val="Prrafodelista"/>
        <w:numPr>
          <w:ilvl w:val="2"/>
          <w:numId w:val="21"/>
        </w:numPr>
        <w:tabs>
          <w:tab w:val="left" w:pos="426"/>
        </w:tabs>
        <w:ind w:left="0" w:firstLine="0"/>
        <w:jc w:val="both"/>
        <w:rPr>
          <w:snapToGrid w:val="0"/>
          <w:sz w:val="28"/>
          <w:szCs w:val="28"/>
        </w:rPr>
      </w:pPr>
      <w:r w:rsidRPr="00274507">
        <w:rPr>
          <w:b/>
          <w:snapToGrid w:val="0"/>
          <w:sz w:val="28"/>
          <w:szCs w:val="28"/>
        </w:rPr>
        <w:t>Incumplimiento General</w:t>
      </w:r>
      <w:r w:rsidRPr="00274507">
        <w:rPr>
          <w:snapToGrid w:val="0"/>
          <w:sz w:val="28"/>
          <w:szCs w:val="28"/>
        </w:rPr>
        <w:t>. Este nivel se declarará si revisado el estado actual de la orden se constata la inexistencia de medidas adoptadas por la autoridad obligada, con la finalidad de superar la problemática estructural que dio origen al mandato judicial.</w:t>
      </w:r>
      <w:r w:rsidRPr="00274507">
        <w:rPr>
          <w:b/>
          <w:snapToGrid w:val="0"/>
          <w:sz w:val="28"/>
          <w:szCs w:val="28"/>
        </w:rPr>
        <w:t xml:space="preserve"> </w:t>
      </w:r>
    </w:p>
    <w:p w:rsidR="007D7C87" w:rsidRPr="00274507" w:rsidRDefault="007D7C87" w:rsidP="00274507">
      <w:pPr>
        <w:jc w:val="both"/>
        <w:rPr>
          <w:b/>
          <w:snapToGrid w:val="0"/>
          <w:sz w:val="28"/>
          <w:szCs w:val="28"/>
        </w:rPr>
      </w:pPr>
    </w:p>
    <w:p w:rsidR="007D7C87" w:rsidRPr="00274507" w:rsidRDefault="007D7C87" w:rsidP="00274507">
      <w:pPr>
        <w:numPr>
          <w:ilvl w:val="2"/>
          <w:numId w:val="21"/>
        </w:numPr>
        <w:tabs>
          <w:tab w:val="left" w:pos="709"/>
        </w:tabs>
        <w:ind w:left="0" w:firstLine="0"/>
        <w:jc w:val="both"/>
        <w:rPr>
          <w:b/>
          <w:snapToGrid w:val="0"/>
          <w:sz w:val="28"/>
          <w:szCs w:val="28"/>
        </w:rPr>
      </w:pPr>
      <w:r w:rsidRPr="00274507">
        <w:rPr>
          <w:b/>
          <w:snapToGrid w:val="0"/>
          <w:sz w:val="28"/>
          <w:szCs w:val="28"/>
        </w:rPr>
        <w:t xml:space="preserve">Nivel de Cumplimiento Bajo. </w:t>
      </w:r>
      <w:r w:rsidRPr="00274507">
        <w:rPr>
          <w:snapToGrid w:val="0"/>
          <w:sz w:val="28"/>
          <w:szCs w:val="28"/>
        </w:rPr>
        <w:t>Se presenta cuando la autoridad obligada haya adoptado algunas medidas con el fin de cumplir la Sentencia T-760 de 2008 y concurra cualquiera de los siguientes supuestos:</w:t>
      </w:r>
    </w:p>
    <w:p w:rsidR="007D7C87" w:rsidRPr="00274507" w:rsidRDefault="007D7C87" w:rsidP="00274507">
      <w:pPr>
        <w:jc w:val="both"/>
        <w:rPr>
          <w:snapToGrid w:val="0"/>
          <w:sz w:val="28"/>
          <w:szCs w:val="28"/>
        </w:rPr>
      </w:pPr>
    </w:p>
    <w:p w:rsidR="007D7C87" w:rsidRPr="00274507" w:rsidRDefault="007D7C87" w:rsidP="00274507">
      <w:pPr>
        <w:numPr>
          <w:ilvl w:val="0"/>
          <w:numId w:val="20"/>
        </w:numPr>
        <w:tabs>
          <w:tab w:val="left" w:pos="284"/>
        </w:tabs>
        <w:ind w:left="0" w:hanging="11"/>
        <w:jc w:val="both"/>
        <w:rPr>
          <w:snapToGrid w:val="0"/>
          <w:sz w:val="28"/>
          <w:szCs w:val="28"/>
        </w:rPr>
      </w:pPr>
      <w:r w:rsidRPr="00274507">
        <w:rPr>
          <w:snapToGrid w:val="0"/>
          <w:sz w:val="28"/>
          <w:szCs w:val="28"/>
        </w:rPr>
        <w:t xml:space="preserve"> Las medidas adoptadas son inconducentes para el cumplimiento de la orden estructural, es decir, no son compatibles con los elementos del mandato. </w:t>
      </w:r>
    </w:p>
    <w:p w:rsidR="007D7C87" w:rsidRPr="00274507" w:rsidRDefault="007D7C87" w:rsidP="00274507">
      <w:pPr>
        <w:numPr>
          <w:ilvl w:val="0"/>
          <w:numId w:val="20"/>
        </w:numPr>
        <w:tabs>
          <w:tab w:val="left" w:pos="426"/>
        </w:tabs>
        <w:ind w:left="0" w:hanging="11"/>
        <w:jc w:val="both"/>
        <w:rPr>
          <w:snapToGrid w:val="0"/>
          <w:sz w:val="28"/>
          <w:szCs w:val="28"/>
        </w:rPr>
      </w:pPr>
      <w:r w:rsidRPr="00274507">
        <w:rPr>
          <w:snapToGrid w:val="0"/>
          <w:sz w:val="28"/>
          <w:szCs w:val="28"/>
        </w:rPr>
        <w:t>Las medidas son conducentes para el acatamiento de la disposición examinada, esto es, abordan acciones en torno a los requerimientos propios de la orden, no obstante, la autoridad obligada no acreditó sus resultados</w:t>
      </w:r>
      <w:r w:rsidRPr="00274507">
        <w:rPr>
          <w:snapToGrid w:val="0"/>
          <w:sz w:val="28"/>
          <w:szCs w:val="28"/>
          <w:vertAlign w:val="superscript"/>
        </w:rPr>
        <w:footnoteReference w:id="125"/>
      </w:r>
      <w:r w:rsidRPr="00274507">
        <w:rPr>
          <w:snapToGrid w:val="0"/>
          <w:sz w:val="28"/>
          <w:szCs w:val="28"/>
        </w:rPr>
        <w:t xml:space="preserve"> en el sistema de salud.</w:t>
      </w:r>
    </w:p>
    <w:p w:rsidR="007D7C87" w:rsidRPr="00274507" w:rsidRDefault="007D7C87" w:rsidP="00274507">
      <w:pPr>
        <w:ind w:hanging="11"/>
        <w:jc w:val="both"/>
        <w:rPr>
          <w:snapToGrid w:val="0"/>
          <w:sz w:val="28"/>
          <w:szCs w:val="28"/>
        </w:rPr>
      </w:pPr>
    </w:p>
    <w:p w:rsidR="007D7C87" w:rsidRPr="00274507" w:rsidRDefault="007D7C87" w:rsidP="00274507">
      <w:pPr>
        <w:numPr>
          <w:ilvl w:val="0"/>
          <w:numId w:val="20"/>
        </w:numPr>
        <w:tabs>
          <w:tab w:val="left" w:pos="426"/>
        </w:tabs>
        <w:ind w:left="0" w:hanging="11"/>
        <w:jc w:val="both"/>
        <w:rPr>
          <w:snapToGrid w:val="0"/>
          <w:sz w:val="28"/>
          <w:szCs w:val="28"/>
        </w:rPr>
      </w:pPr>
      <w:r w:rsidRPr="00274507">
        <w:rPr>
          <w:snapToGrid w:val="0"/>
          <w:sz w:val="28"/>
          <w:szCs w:val="28"/>
        </w:rPr>
        <w:t xml:space="preserve"> Las medidas son conducentes y sus resultados fueron informados por la autoridad obligada a la Sala Especial. Sin embargo, a partir de dicho reporte se advierte la inexistencia de avances reales</w:t>
      </w:r>
      <w:r w:rsidRPr="00274507">
        <w:rPr>
          <w:snapToGrid w:val="0"/>
          <w:sz w:val="28"/>
          <w:szCs w:val="28"/>
          <w:vertAlign w:val="superscript"/>
        </w:rPr>
        <w:footnoteReference w:id="126"/>
      </w:r>
      <w:r w:rsidRPr="00274507">
        <w:rPr>
          <w:snapToGrid w:val="0"/>
          <w:sz w:val="28"/>
          <w:szCs w:val="28"/>
        </w:rPr>
        <w:t xml:space="preserve">, por lo que no es razonable esperar que se obtenga la satisfacción del mandato analizado, es decir, la superación de la falla estructural. </w:t>
      </w:r>
    </w:p>
    <w:p w:rsidR="007D7C87" w:rsidRPr="00274507" w:rsidRDefault="007D7C87" w:rsidP="00274507">
      <w:pPr>
        <w:jc w:val="both"/>
        <w:rPr>
          <w:snapToGrid w:val="0"/>
          <w:sz w:val="28"/>
          <w:szCs w:val="28"/>
        </w:rPr>
      </w:pPr>
    </w:p>
    <w:p w:rsidR="007D7C87" w:rsidRPr="00274507" w:rsidRDefault="007D7C87" w:rsidP="00274507">
      <w:pPr>
        <w:pStyle w:val="Prrafodelista"/>
        <w:numPr>
          <w:ilvl w:val="2"/>
          <w:numId w:val="21"/>
        </w:numPr>
        <w:ind w:left="0" w:firstLine="0"/>
        <w:jc w:val="both"/>
        <w:rPr>
          <w:snapToGrid w:val="0"/>
          <w:sz w:val="28"/>
          <w:szCs w:val="28"/>
        </w:rPr>
      </w:pPr>
      <w:r w:rsidRPr="00274507">
        <w:rPr>
          <w:b/>
          <w:snapToGrid w:val="0"/>
          <w:sz w:val="28"/>
          <w:szCs w:val="28"/>
        </w:rPr>
        <w:t>Nivel de Cumplimiento Medio</w:t>
      </w:r>
      <w:r w:rsidRPr="00274507">
        <w:rPr>
          <w:snapToGrid w:val="0"/>
          <w:sz w:val="28"/>
          <w:szCs w:val="28"/>
        </w:rPr>
        <w:t>. Se procederá a decretar el nivel de cumplimiento medio cuando pese a que el obligado adoptó las medidas conducentes, reportó los resultados a la Corte y estos muestran avances en la implementación de la política, dichas mejoras no son suficientes sino que se muestran parciales para superar la falla estructural</w:t>
      </w:r>
      <w:r w:rsidRPr="00274507">
        <w:rPr>
          <w:snapToGrid w:val="0"/>
          <w:sz w:val="28"/>
          <w:szCs w:val="28"/>
          <w:lang w:val="es-ES_tradnl"/>
        </w:rPr>
        <w:t xml:space="preserve"> que dio origen a la orden objeto de supervisión.</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Al declarar la existencia de este nivel, la Corte dará un plazo razonable al término del cual se verificará nuevamente el acatamiento de la orden.</w:t>
      </w:r>
    </w:p>
    <w:p w:rsidR="007D7C87" w:rsidRPr="00274507" w:rsidRDefault="007D7C87" w:rsidP="00274507">
      <w:pPr>
        <w:jc w:val="both"/>
        <w:rPr>
          <w:snapToGrid w:val="0"/>
          <w:sz w:val="28"/>
          <w:szCs w:val="28"/>
        </w:rPr>
      </w:pPr>
    </w:p>
    <w:p w:rsidR="007D7C87" w:rsidRPr="00274507" w:rsidRDefault="007D7C87" w:rsidP="00274507">
      <w:pPr>
        <w:numPr>
          <w:ilvl w:val="2"/>
          <w:numId w:val="21"/>
        </w:numPr>
        <w:ind w:left="0" w:firstLine="0"/>
        <w:jc w:val="both"/>
        <w:rPr>
          <w:snapToGrid w:val="0"/>
          <w:sz w:val="28"/>
          <w:szCs w:val="28"/>
        </w:rPr>
      </w:pPr>
      <w:r w:rsidRPr="00274507">
        <w:rPr>
          <w:b/>
          <w:snapToGrid w:val="0"/>
          <w:sz w:val="28"/>
          <w:szCs w:val="28"/>
        </w:rPr>
        <w:t>Nivel de Cumplimiento Alto</w:t>
      </w:r>
      <w:r w:rsidRPr="00274507">
        <w:rPr>
          <w:snapToGrid w:val="0"/>
          <w:sz w:val="28"/>
          <w:szCs w:val="28"/>
        </w:rPr>
        <w:t>. Procederá la declaratoria del nivel de cumplimiento alto cuando:</w:t>
      </w:r>
      <w:r w:rsidRPr="00274507">
        <w:rPr>
          <w:i/>
          <w:snapToGrid w:val="0"/>
          <w:sz w:val="28"/>
          <w:szCs w:val="28"/>
        </w:rPr>
        <w:t xml:space="preserve"> </w:t>
      </w:r>
      <w:r w:rsidRPr="00274507">
        <w:rPr>
          <w:snapToGrid w:val="0"/>
          <w:sz w:val="28"/>
          <w:szCs w:val="28"/>
        </w:rPr>
        <w:t xml:space="preserve">(i) existen las medidas adecuadas para el acatamiento de la disposición examinada; (ii) se reporten los resultados concretos a la Sala Especial por parte de la autoridad obligada; (iii) </w:t>
      </w:r>
      <w:r w:rsidRPr="00274507">
        <w:rPr>
          <w:snapToGrid w:val="0"/>
          <w:sz w:val="28"/>
          <w:szCs w:val="28"/>
          <w:lang w:val="es-ES_tradnl"/>
        </w:rPr>
        <w:t>los avances evidenciados son suficientes, progresivos, sostenibles y significativos para el cumplimiento de la orden;</w:t>
      </w:r>
      <w:r w:rsidRPr="00274507">
        <w:rPr>
          <w:snapToGrid w:val="0"/>
          <w:sz w:val="28"/>
          <w:szCs w:val="28"/>
        </w:rPr>
        <w:t xml:space="preserve"> (iv)</w:t>
      </w:r>
      <w:r w:rsidRPr="00274507">
        <w:rPr>
          <w:snapToGrid w:val="0"/>
          <w:sz w:val="28"/>
          <w:szCs w:val="28"/>
          <w:lang w:val="es-ES_tradnl"/>
        </w:rPr>
        <w:t xml:space="preserve"> </w:t>
      </w:r>
      <w:r w:rsidRPr="00274507">
        <w:rPr>
          <w:snapToGrid w:val="0"/>
          <w:sz w:val="28"/>
          <w:szCs w:val="28"/>
        </w:rPr>
        <w:t>es razonable que la problemática que dio lugar a la orden valorada se pueda superar; y</w:t>
      </w:r>
      <w:r w:rsidRPr="00274507">
        <w:rPr>
          <w:snapToGrid w:val="0"/>
          <w:sz w:val="28"/>
          <w:szCs w:val="28"/>
          <w:lang w:val="es-ES_tradnl"/>
        </w:rPr>
        <w:t xml:space="preserve"> (v) falte por culminar o no se ha logrado la totalidad de la ejecución de</w:t>
      </w:r>
      <w:r w:rsidRPr="00274507">
        <w:rPr>
          <w:snapToGrid w:val="0"/>
          <w:sz w:val="28"/>
          <w:szCs w:val="28"/>
        </w:rPr>
        <w:t>l mandato analizado.</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Habiéndose declarado el</w:t>
      </w:r>
      <w:r w:rsidRPr="00274507">
        <w:rPr>
          <w:i/>
          <w:snapToGrid w:val="0"/>
          <w:sz w:val="28"/>
          <w:szCs w:val="28"/>
        </w:rPr>
        <w:t xml:space="preserve"> nivel de cumplimiento alto </w:t>
      </w:r>
      <w:r w:rsidRPr="00274507">
        <w:rPr>
          <w:snapToGrid w:val="0"/>
          <w:sz w:val="28"/>
          <w:szCs w:val="28"/>
        </w:rPr>
        <w:t xml:space="preserve"> de la orden, se podrá trasladar el ciclo de supervisión, mediante la </w:t>
      </w:r>
      <w:r w:rsidRPr="00274507">
        <w:rPr>
          <w:b/>
          <w:snapToGrid w:val="0"/>
          <w:sz w:val="28"/>
          <w:szCs w:val="28"/>
        </w:rPr>
        <w:t>SUSPENSIÓN DEL SEGUIMIENTO</w:t>
      </w:r>
      <w:r w:rsidRPr="00274507">
        <w:rPr>
          <w:snapToGrid w:val="0"/>
          <w:sz w:val="28"/>
          <w:szCs w:val="28"/>
        </w:rPr>
        <w:t xml:space="preserve"> por parte de la Corte Constitucional, para que sea entregado a la Procuraduría General de Nación</w:t>
      </w:r>
      <w:r w:rsidRPr="00274507">
        <w:rPr>
          <w:snapToGrid w:val="0"/>
          <w:sz w:val="28"/>
          <w:szCs w:val="28"/>
          <w:vertAlign w:val="superscript"/>
        </w:rPr>
        <w:footnoteReference w:id="127"/>
      </w:r>
      <w:r w:rsidRPr="00274507">
        <w:rPr>
          <w:snapToGrid w:val="0"/>
          <w:sz w:val="28"/>
          <w:szCs w:val="28"/>
        </w:rPr>
        <w:t xml:space="preserve"> y/o la Defensoría del Pueblo, a fin de que continúen con la verificación de la ejecución de la política pública a la que circunscribe el mandato estructural, bajo informes periódicos presentados a la Sala Plena por un tiempo hasta tanto se acate de forma general la orden examinada o la Corte decida reanudar el trámite suspendido.</w:t>
      </w:r>
    </w:p>
    <w:p w:rsidR="007D7C87" w:rsidRPr="00274507" w:rsidRDefault="007D7C87" w:rsidP="00274507">
      <w:pPr>
        <w:jc w:val="both"/>
        <w:rPr>
          <w:snapToGrid w:val="0"/>
          <w:sz w:val="28"/>
          <w:szCs w:val="28"/>
        </w:rPr>
      </w:pPr>
    </w:p>
    <w:p w:rsidR="007D7C87" w:rsidRPr="00274507" w:rsidRDefault="007D7C87" w:rsidP="00274507">
      <w:pPr>
        <w:numPr>
          <w:ilvl w:val="2"/>
          <w:numId w:val="21"/>
        </w:numPr>
        <w:ind w:left="0" w:firstLine="0"/>
        <w:jc w:val="both"/>
        <w:rPr>
          <w:snapToGrid w:val="0"/>
          <w:sz w:val="28"/>
          <w:szCs w:val="28"/>
        </w:rPr>
      </w:pPr>
      <w:r w:rsidRPr="00274507">
        <w:rPr>
          <w:b/>
          <w:snapToGrid w:val="0"/>
          <w:sz w:val="28"/>
          <w:szCs w:val="28"/>
        </w:rPr>
        <w:t>Cumplimiento General</w:t>
      </w:r>
      <w:r w:rsidRPr="00274507">
        <w:rPr>
          <w:snapToGrid w:val="0"/>
          <w:sz w:val="28"/>
          <w:szCs w:val="28"/>
        </w:rPr>
        <w:t>. La declaratoria de este nivel de cumplimiento se circunscribe a que al momento de realizar la valoración, la Sala colija que las medidas son adecuadas para el acatamiento de la disposición examinada y que sus resultados son suficientes</w:t>
      </w:r>
      <w:r w:rsidRPr="00274507">
        <w:rPr>
          <w:snapToGrid w:val="0"/>
          <w:sz w:val="28"/>
          <w:szCs w:val="28"/>
          <w:lang w:val="es-ES_tradnl"/>
        </w:rPr>
        <w:t>, progresivos, sostenibles, significativos</w:t>
      </w:r>
      <w:r w:rsidRPr="00274507">
        <w:rPr>
          <w:snapToGrid w:val="0"/>
          <w:sz w:val="28"/>
          <w:szCs w:val="28"/>
        </w:rPr>
        <w:t xml:space="preserve"> y logran, en su totalidad, los cometidos del mandato analizado, esto es, la superación continua de la falla estructural que motivó la expedición de la orden. Aunado a lo anterior, se esperaría que el sistema haya apropiado instrumentos para confrontar anomalías similares a las que provocaron la Sentencia T-760, que se presenten en el futuro.</w:t>
      </w:r>
      <w:r w:rsidR="00CF2BDE" w:rsidRPr="00274507">
        <w:rPr>
          <w:snapToGrid w:val="0"/>
          <w:sz w:val="28"/>
          <w:szCs w:val="28"/>
        </w:rPr>
        <w:t xml:space="preserve"> </w:t>
      </w:r>
      <w:r w:rsidRPr="00274507">
        <w:rPr>
          <w:snapToGrid w:val="0"/>
          <w:sz w:val="28"/>
          <w:szCs w:val="28"/>
        </w:rPr>
        <w:t xml:space="preserve">Este nivel de cumplimiento, conllevaría concluir el ciclo de supervisión mediante el </w:t>
      </w:r>
      <w:r w:rsidRPr="00274507">
        <w:rPr>
          <w:b/>
          <w:snapToGrid w:val="0"/>
          <w:sz w:val="28"/>
          <w:szCs w:val="28"/>
        </w:rPr>
        <w:t>CESE DEL SEGUIMIENTO</w:t>
      </w:r>
      <w:r w:rsidRPr="00274507">
        <w:rPr>
          <w:snapToGrid w:val="0"/>
          <w:sz w:val="28"/>
          <w:szCs w:val="28"/>
        </w:rPr>
        <w:t xml:space="preserve"> por parte de la Corte Constitucional ante la obtención de los resultados pretendidos por el fallo objeto de supervisión.</w:t>
      </w:r>
    </w:p>
    <w:p w:rsidR="00CF2BDE" w:rsidRPr="00274507" w:rsidRDefault="00CF2BDE" w:rsidP="00274507">
      <w:pPr>
        <w:jc w:val="both"/>
        <w:rPr>
          <w:snapToGrid w:val="0"/>
          <w:sz w:val="28"/>
          <w:szCs w:val="28"/>
        </w:rPr>
      </w:pPr>
    </w:p>
    <w:p w:rsidR="007D7C87" w:rsidRPr="00274507" w:rsidRDefault="007D7C87" w:rsidP="00274507">
      <w:pPr>
        <w:numPr>
          <w:ilvl w:val="1"/>
          <w:numId w:val="21"/>
        </w:numPr>
        <w:tabs>
          <w:tab w:val="left" w:pos="426"/>
        </w:tabs>
        <w:ind w:left="0" w:firstLine="0"/>
        <w:jc w:val="both"/>
        <w:rPr>
          <w:snapToGrid w:val="0"/>
          <w:sz w:val="28"/>
          <w:szCs w:val="28"/>
        </w:rPr>
      </w:pPr>
      <w:r w:rsidRPr="00274507">
        <w:rPr>
          <w:snapToGrid w:val="0"/>
          <w:sz w:val="28"/>
          <w:szCs w:val="28"/>
        </w:rPr>
        <w:t xml:space="preserve"> El trámite de supervisión también podrá </w:t>
      </w:r>
      <w:r w:rsidRPr="00274507">
        <w:rPr>
          <w:b/>
          <w:snapToGrid w:val="0"/>
          <w:sz w:val="28"/>
          <w:szCs w:val="28"/>
        </w:rPr>
        <w:t xml:space="preserve">CESARSE </w:t>
      </w:r>
      <w:r w:rsidRPr="00274507">
        <w:rPr>
          <w:snapToGrid w:val="0"/>
          <w:sz w:val="28"/>
          <w:szCs w:val="28"/>
        </w:rPr>
        <w:t xml:space="preserve">respecto de cualquier orden que haya sido valorada con </w:t>
      </w:r>
      <w:r w:rsidRPr="00274507">
        <w:rPr>
          <w:i/>
          <w:snapToGrid w:val="0"/>
          <w:sz w:val="28"/>
          <w:szCs w:val="28"/>
        </w:rPr>
        <w:t>incumplimiento,</w:t>
      </w:r>
      <w:r w:rsidRPr="00274507">
        <w:rPr>
          <w:snapToGrid w:val="0"/>
          <w:sz w:val="28"/>
          <w:szCs w:val="28"/>
        </w:rPr>
        <w:t xml:space="preserve"> </w:t>
      </w:r>
      <w:r w:rsidRPr="00274507">
        <w:rPr>
          <w:i/>
          <w:snapToGrid w:val="0"/>
          <w:sz w:val="28"/>
          <w:szCs w:val="28"/>
        </w:rPr>
        <w:t>nivel de cumplimiento bajo y medio,</w:t>
      </w:r>
      <w:r w:rsidRPr="00274507">
        <w:rPr>
          <w:snapToGrid w:val="0"/>
          <w:sz w:val="28"/>
          <w:szCs w:val="28"/>
        </w:rPr>
        <w:t xml:space="preserve"> cuando el mandato haya perdido los fundamentos de hecho o de derecho que le dieron lugar o cuando se haya agotado su vigencia temporal. Este último supuesto se refiere a las órdenes cuya ejecución estaba limitada en el tiempo, es decir, de una fecha determinada a otra igual.  Este último supuesto se refiere a las órdenes cuya ejecución estaba limitada en el tiempo, es decir, de una fecha determinada a otra igual, siempre que se permita determinar la superación material del motivo que dio lugar a lo ordenado y no continúe ejerciendo efectos jurídicos. </w:t>
      </w:r>
    </w:p>
    <w:p w:rsidR="007D7C87" w:rsidRPr="00274507" w:rsidRDefault="007D7C87" w:rsidP="00274507">
      <w:pPr>
        <w:jc w:val="both"/>
        <w:rPr>
          <w:b/>
          <w:snapToGrid w:val="0"/>
          <w:sz w:val="28"/>
          <w:szCs w:val="28"/>
        </w:rPr>
      </w:pPr>
    </w:p>
    <w:p w:rsidR="007D7C87" w:rsidRPr="00274507" w:rsidRDefault="007D7C87" w:rsidP="00274507">
      <w:pPr>
        <w:numPr>
          <w:ilvl w:val="1"/>
          <w:numId w:val="21"/>
        </w:numPr>
        <w:tabs>
          <w:tab w:val="left" w:pos="426"/>
        </w:tabs>
        <w:ind w:left="0" w:firstLine="0"/>
        <w:jc w:val="both"/>
        <w:rPr>
          <w:b/>
          <w:snapToGrid w:val="0"/>
          <w:sz w:val="28"/>
          <w:szCs w:val="28"/>
        </w:rPr>
      </w:pPr>
      <w:r w:rsidRPr="00274507">
        <w:rPr>
          <w:b/>
          <w:snapToGrid w:val="0"/>
          <w:sz w:val="28"/>
          <w:szCs w:val="28"/>
        </w:rPr>
        <w:t xml:space="preserve"> </w:t>
      </w:r>
      <w:r w:rsidRPr="00274507">
        <w:rPr>
          <w:snapToGrid w:val="0"/>
          <w:sz w:val="28"/>
          <w:szCs w:val="28"/>
        </w:rPr>
        <w:t xml:space="preserve">Este Tribunal resalta que en caso de que las autoridades obligadas persistan en un </w:t>
      </w:r>
      <w:r w:rsidRPr="00274507">
        <w:rPr>
          <w:i/>
          <w:snapToGrid w:val="0"/>
          <w:sz w:val="28"/>
          <w:szCs w:val="28"/>
        </w:rPr>
        <w:t>incumplimiento general o en los niveles de acatamiento bajo y medio</w:t>
      </w:r>
      <w:r w:rsidRPr="00274507">
        <w:rPr>
          <w:snapToGrid w:val="0"/>
          <w:sz w:val="28"/>
          <w:szCs w:val="28"/>
        </w:rPr>
        <w:t>, la Corte hará uso de las diferentes herramientas de origen constitucional y/o legal para hacer efectivas sus órdenes, en aras de evitar la secuencia de incumplimientos y conseguir avances progresivos y significativos en el goce efectivo del derecho por la población colombiana. En tal contexto, la Sala podrá valerse de un control y seguimiento más riguroso para alcanzar los objetivos constitucionales, como adoptar medidas restaurativas, de reemplazo, sancionatorias o cualquier otra que estime pertinente.</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 xml:space="preserve">Aunado a lo anterior, se destaca el rol que debe cumplir la Procuraduría General de Nación en la vigilancia de la Sentencia T-760 de 2008, de tal forma que en uso de sus competencias constitucionales y legales, ante la declaratoria de los </w:t>
      </w:r>
      <w:r w:rsidRPr="00274507">
        <w:rPr>
          <w:i/>
          <w:snapToGrid w:val="0"/>
          <w:sz w:val="28"/>
          <w:szCs w:val="28"/>
        </w:rPr>
        <w:t>niveles de cumplimiento bajo y medio</w:t>
      </w:r>
      <w:r w:rsidRPr="00274507">
        <w:rPr>
          <w:snapToGrid w:val="0"/>
          <w:sz w:val="28"/>
          <w:szCs w:val="28"/>
        </w:rPr>
        <w:t>, deberá realizar un acompañamiento con enfoque preventivo</w:t>
      </w:r>
      <w:r w:rsidRPr="00274507">
        <w:rPr>
          <w:snapToGrid w:val="0"/>
          <w:sz w:val="28"/>
          <w:szCs w:val="28"/>
          <w:vertAlign w:val="superscript"/>
        </w:rPr>
        <w:footnoteReference w:id="128"/>
      </w:r>
      <w:r w:rsidRPr="00274507">
        <w:rPr>
          <w:snapToGrid w:val="0"/>
          <w:sz w:val="28"/>
          <w:szCs w:val="28"/>
        </w:rPr>
        <w:t xml:space="preserve"> a las entidades concernidas en la ejecución de las determinaciones adoptadas por esta Corporación. Su intervención debe ser oportuna y activa para el logro de los fines sociales y esenciales del Estado. </w:t>
      </w:r>
    </w:p>
    <w:p w:rsidR="007D7C87" w:rsidRPr="00274507" w:rsidRDefault="007D7C87" w:rsidP="00274507">
      <w:pPr>
        <w:jc w:val="both"/>
        <w:rPr>
          <w:snapToGrid w:val="0"/>
          <w:sz w:val="28"/>
          <w:szCs w:val="28"/>
        </w:rPr>
      </w:pPr>
    </w:p>
    <w:p w:rsidR="007D7C87" w:rsidRPr="00274507" w:rsidRDefault="007D7C87" w:rsidP="00274507">
      <w:pPr>
        <w:jc w:val="both"/>
        <w:rPr>
          <w:snapToGrid w:val="0"/>
          <w:sz w:val="28"/>
          <w:szCs w:val="28"/>
        </w:rPr>
      </w:pPr>
      <w:r w:rsidRPr="00274507">
        <w:rPr>
          <w:snapToGrid w:val="0"/>
          <w:sz w:val="28"/>
          <w:szCs w:val="28"/>
        </w:rPr>
        <w:t>Igualmente, deberá ejercer la facultad disciplinaria</w:t>
      </w:r>
      <w:r w:rsidRPr="00274507">
        <w:rPr>
          <w:snapToGrid w:val="0"/>
          <w:sz w:val="28"/>
          <w:szCs w:val="28"/>
          <w:vertAlign w:val="superscript"/>
        </w:rPr>
        <w:footnoteReference w:id="129"/>
      </w:r>
      <w:r w:rsidRPr="00274507">
        <w:rPr>
          <w:snapToGrid w:val="0"/>
          <w:sz w:val="28"/>
          <w:szCs w:val="28"/>
        </w:rPr>
        <w:t xml:space="preserve"> para investigar y sancionar las conductas omisivas que hayan dado origen a dicha declaración. Todo lo anterior, sin perjuicio de las decisiones que continúe profiriendo la Sala Especial mientras se mantenga el trámite de supervisión.</w:t>
      </w:r>
    </w:p>
    <w:p w:rsidR="00930B4D" w:rsidRPr="00274507" w:rsidRDefault="00930B4D" w:rsidP="00274507">
      <w:pPr>
        <w:tabs>
          <w:tab w:val="left" w:pos="567"/>
        </w:tabs>
        <w:jc w:val="both"/>
        <w:rPr>
          <w:b/>
          <w:bCs/>
          <w:sz w:val="28"/>
          <w:szCs w:val="28"/>
        </w:rPr>
      </w:pPr>
    </w:p>
    <w:p w:rsidR="00930B4D" w:rsidRPr="00274507" w:rsidRDefault="002E364B" w:rsidP="00274507">
      <w:pPr>
        <w:pStyle w:val="Prrafodelista"/>
        <w:numPr>
          <w:ilvl w:val="0"/>
          <w:numId w:val="21"/>
        </w:numPr>
        <w:tabs>
          <w:tab w:val="left" w:pos="284"/>
        </w:tabs>
        <w:jc w:val="both"/>
        <w:rPr>
          <w:b/>
          <w:bCs/>
          <w:sz w:val="28"/>
          <w:szCs w:val="28"/>
        </w:rPr>
      </w:pPr>
      <w:r w:rsidRPr="00274507">
        <w:rPr>
          <w:b/>
          <w:sz w:val="28"/>
          <w:szCs w:val="28"/>
        </w:rPr>
        <w:t>Alcance</w:t>
      </w:r>
      <w:r w:rsidR="00575583" w:rsidRPr="00274507">
        <w:rPr>
          <w:b/>
          <w:bCs/>
          <w:sz w:val="28"/>
          <w:szCs w:val="28"/>
        </w:rPr>
        <w:t xml:space="preserve"> de la orden trigésima</w:t>
      </w:r>
      <w:r w:rsidRPr="00274507">
        <w:rPr>
          <w:b/>
          <w:bCs/>
          <w:sz w:val="28"/>
          <w:szCs w:val="28"/>
        </w:rPr>
        <w:t xml:space="preserve"> de la Sentencia T-760 de 2008</w:t>
      </w:r>
      <w:r w:rsidR="009D09B9" w:rsidRPr="00274507">
        <w:rPr>
          <w:b/>
          <w:bCs/>
          <w:sz w:val="28"/>
          <w:szCs w:val="28"/>
        </w:rPr>
        <w:t>.</w:t>
      </w:r>
    </w:p>
    <w:p w:rsidR="001B68CD" w:rsidRPr="00274507" w:rsidRDefault="001B68CD" w:rsidP="00274507">
      <w:pPr>
        <w:tabs>
          <w:tab w:val="left" w:pos="567"/>
        </w:tabs>
        <w:jc w:val="both"/>
        <w:rPr>
          <w:sz w:val="28"/>
          <w:szCs w:val="28"/>
        </w:rPr>
      </w:pPr>
    </w:p>
    <w:p w:rsidR="00890A56" w:rsidRPr="00274507" w:rsidRDefault="001B68CD" w:rsidP="00274507">
      <w:pPr>
        <w:tabs>
          <w:tab w:val="left" w:pos="567"/>
        </w:tabs>
        <w:jc w:val="both"/>
        <w:rPr>
          <w:sz w:val="28"/>
          <w:szCs w:val="28"/>
        </w:rPr>
      </w:pPr>
      <w:r w:rsidRPr="00274507">
        <w:rPr>
          <w:sz w:val="28"/>
          <w:szCs w:val="28"/>
        </w:rPr>
        <w:t>En e</w:t>
      </w:r>
      <w:r w:rsidR="00012747" w:rsidRPr="00274507">
        <w:rPr>
          <w:sz w:val="28"/>
          <w:szCs w:val="28"/>
        </w:rPr>
        <w:t xml:space="preserve">l ordinal trigésimo de la </w:t>
      </w:r>
      <w:r w:rsidR="00375195" w:rsidRPr="00274507">
        <w:rPr>
          <w:sz w:val="28"/>
          <w:szCs w:val="28"/>
        </w:rPr>
        <w:t>sentencia T</w:t>
      </w:r>
      <w:r w:rsidR="00012747" w:rsidRPr="00274507">
        <w:rPr>
          <w:sz w:val="28"/>
          <w:szCs w:val="28"/>
        </w:rPr>
        <w:t xml:space="preserve">-760 de 2008 </w:t>
      </w:r>
      <w:r w:rsidR="004A3A88" w:rsidRPr="00274507">
        <w:rPr>
          <w:sz w:val="28"/>
          <w:szCs w:val="28"/>
        </w:rPr>
        <w:t xml:space="preserve">este Tribunal </w:t>
      </w:r>
      <w:r w:rsidR="002E364B" w:rsidRPr="00274507">
        <w:rPr>
          <w:sz w:val="28"/>
          <w:szCs w:val="28"/>
        </w:rPr>
        <w:t>dispuso</w:t>
      </w:r>
      <w:r w:rsidR="00012747" w:rsidRPr="00274507">
        <w:rPr>
          <w:sz w:val="28"/>
          <w:szCs w:val="28"/>
        </w:rPr>
        <w:t xml:space="preserve"> </w:t>
      </w:r>
      <w:r w:rsidR="002F444E" w:rsidRPr="00274507">
        <w:rPr>
          <w:sz w:val="28"/>
          <w:szCs w:val="28"/>
        </w:rPr>
        <w:t>que el Ministerio de Salud debía presentar un informe anual con el propósito de medir el número de</w:t>
      </w:r>
      <w:r w:rsidR="00012747" w:rsidRPr="00274507">
        <w:rPr>
          <w:sz w:val="28"/>
          <w:szCs w:val="28"/>
        </w:rPr>
        <w:t xml:space="preserve"> acciones de tutela</w:t>
      </w:r>
      <w:r w:rsidRPr="00274507">
        <w:rPr>
          <w:sz w:val="28"/>
          <w:szCs w:val="28"/>
        </w:rPr>
        <w:t>s</w:t>
      </w:r>
      <w:r w:rsidR="00012747" w:rsidRPr="00274507">
        <w:rPr>
          <w:sz w:val="28"/>
          <w:szCs w:val="28"/>
        </w:rPr>
        <w:t xml:space="preserve"> que resolvieran</w:t>
      </w:r>
      <w:r w:rsidR="002F444E" w:rsidRPr="00274507">
        <w:rPr>
          <w:sz w:val="28"/>
          <w:szCs w:val="28"/>
        </w:rPr>
        <w:t xml:space="preserve"> los problemas jurídico</w:t>
      </w:r>
      <w:r w:rsidR="00012747" w:rsidRPr="00274507">
        <w:rPr>
          <w:sz w:val="28"/>
          <w:szCs w:val="28"/>
        </w:rPr>
        <w:t>s establecidos en dicho fallo</w:t>
      </w:r>
      <w:r w:rsidR="00D84DA6" w:rsidRPr="00274507">
        <w:rPr>
          <w:sz w:val="28"/>
          <w:szCs w:val="28"/>
        </w:rPr>
        <w:t>,</w:t>
      </w:r>
      <w:r w:rsidR="004A3A88" w:rsidRPr="00274507">
        <w:rPr>
          <w:sz w:val="28"/>
          <w:szCs w:val="28"/>
        </w:rPr>
        <w:t xml:space="preserve"> con el fin de determinar el aumento o disminución de l</w:t>
      </w:r>
      <w:r w:rsidR="00012747" w:rsidRPr="00274507">
        <w:rPr>
          <w:sz w:val="28"/>
          <w:szCs w:val="28"/>
        </w:rPr>
        <w:t>as solicitudes de amparo constitucional</w:t>
      </w:r>
      <w:r w:rsidR="007749E2" w:rsidRPr="00274507">
        <w:rPr>
          <w:sz w:val="28"/>
          <w:szCs w:val="28"/>
        </w:rPr>
        <w:t>. L</w:t>
      </w:r>
      <w:r w:rsidR="004A3A88" w:rsidRPr="00274507">
        <w:rPr>
          <w:sz w:val="28"/>
          <w:szCs w:val="28"/>
        </w:rPr>
        <w:t>o anterior, para poder evaluar las fallas del servicio en la prestación de</w:t>
      </w:r>
      <w:r w:rsidR="00F75A68" w:rsidRPr="00274507">
        <w:rPr>
          <w:sz w:val="28"/>
          <w:szCs w:val="28"/>
        </w:rPr>
        <w:t>l servicio de</w:t>
      </w:r>
      <w:r w:rsidR="004A3A88" w:rsidRPr="00274507">
        <w:rPr>
          <w:sz w:val="28"/>
          <w:szCs w:val="28"/>
        </w:rPr>
        <w:t xml:space="preserve"> salud e implementar políticas para superarlas hasta garantizar el goce efectivo del derecho</w:t>
      </w:r>
      <w:r w:rsidR="00012747" w:rsidRPr="00274507">
        <w:rPr>
          <w:sz w:val="28"/>
          <w:szCs w:val="28"/>
        </w:rPr>
        <w:t>. E</w:t>
      </w:r>
      <w:r w:rsidR="00C93480" w:rsidRPr="00274507">
        <w:rPr>
          <w:sz w:val="28"/>
          <w:szCs w:val="28"/>
        </w:rPr>
        <w:t>n ese orden precisó:</w:t>
      </w:r>
    </w:p>
    <w:p w:rsidR="00C93480" w:rsidRPr="00274507" w:rsidRDefault="00C93480" w:rsidP="00274507">
      <w:pPr>
        <w:tabs>
          <w:tab w:val="left" w:pos="567"/>
        </w:tabs>
        <w:jc w:val="both"/>
        <w:rPr>
          <w:sz w:val="28"/>
          <w:szCs w:val="28"/>
        </w:rPr>
      </w:pPr>
    </w:p>
    <w:p w:rsidR="00C93480" w:rsidRPr="00274507" w:rsidRDefault="00C93480" w:rsidP="00274507">
      <w:pPr>
        <w:tabs>
          <w:tab w:val="left" w:pos="567"/>
        </w:tabs>
        <w:ind w:left="567"/>
        <w:jc w:val="both"/>
        <w:rPr>
          <w:sz w:val="28"/>
          <w:szCs w:val="28"/>
        </w:rPr>
      </w:pPr>
      <w:r w:rsidRPr="00274507">
        <w:rPr>
          <w:sz w:val="28"/>
          <w:szCs w:val="28"/>
        </w:rPr>
        <w:t>“</w:t>
      </w:r>
      <w:r w:rsidR="009C4528" w:rsidRPr="00274507">
        <w:rPr>
          <w:sz w:val="28"/>
          <w:szCs w:val="28"/>
        </w:rPr>
        <w:t>…</w:t>
      </w:r>
      <w:r w:rsidR="00D341E4" w:rsidRPr="00274507">
        <w:rPr>
          <w:sz w:val="28"/>
          <w:szCs w:val="28"/>
        </w:rPr>
        <w:t xml:space="preserve"> </w:t>
      </w:r>
      <w:r w:rsidR="00D341E4" w:rsidRPr="00274507">
        <w:rPr>
          <w:i/>
          <w:sz w:val="28"/>
          <w:szCs w:val="28"/>
        </w:rPr>
        <w:t>S</w:t>
      </w:r>
      <w:r w:rsidRPr="00274507">
        <w:rPr>
          <w:i/>
          <w:sz w:val="28"/>
          <w:szCs w:val="28"/>
        </w:rPr>
        <w:t xml:space="preserve">in duda, adoptar las regulaciones que suplan los vacíos constatados en esta providencia es un paso indispensable para cumplir lo ordenado. No obstante desde el punto de vista de los usuarios del sistema de salud, lo esencial es que tales regulaciones remuevan los obstáculos para acceder a los servicios de salud, supriman los </w:t>
      </w:r>
      <w:r w:rsidR="00D341E4" w:rsidRPr="00274507">
        <w:rPr>
          <w:i/>
          <w:sz w:val="28"/>
          <w:szCs w:val="28"/>
        </w:rPr>
        <w:t>desincentivos</w:t>
      </w:r>
      <w:r w:rsidRPr="00274507">
        <w:rPr>
          <w:i/>
          <w:sz w:val="28"/>
          <w:szCs w:val="28"/>
        </w:rPr>
        <w:t xml:space="preserve"> que han conducido a los graves problemas analizados en esta sentencia y, en general, establezcan un marco de reglas de juego en las cuales los titulares del derecho a la salud puedan gozar de éste de manera oportuna, continua, eficaz. Ello significa que con el tiempo dejará de ser necesaria la interposición de tutelas como parte de un trámite adicional para acceder libre y autónomamente a un servicio de salud oportuno de calidad y eficiente</w:t>
      </w:r>
      <w:r w:rsidR="00D341E4" w:rsidRPr="00274507">
        <w:rPr>
          <w:sz w:val="28"/>
          <w:szCs w:val="28"/>
        </w:rPr>
        <w:t>…</w:t>
      </w:r>
      <w:r w:rsidRPr="00274507">
        <w:rPr>
          <w:sz w:val="28"/>
          <w:szCs w:val="28"/>
        </w:rPr>
        <w:t>”</w:t>
      </w:r>
      <w:r w:rsidR="00881ABB" w:rsidRPr="00274507">
        <w:rPr>
          <w:rStyle w:val="Refdenotaalpie"/>
          <w:sz w:val="28"/>
          <w:szCs w:val="28"/>
        </w:rPr>
        <w:footnoteReference w:id="130"/>
      </w:r>
    </w:p>
    <w:p w:rsidR="002E364B" w:rsidRPr="00274507" w:rsidRDefault="00890A56" w:rsidP="00274507">
      <w:pPr>
        <w:tabs>
          <w:tab w:val="left" w:pos="567"/>
        </w:tabs>
        <w:jc w:val="both"/>
        <w:rPr>
          <w:sz w:val="28"/>
          <w:szCs w:val="28"/>
        </w:rPr>
      </w:pPr>
      <w:r w:rsidRPr="00274507">
        <w:rPr>
          <w:sz w:val="28"/>
          <w:szCs w:val="28"/>
        </w:rPr>
        <w:t xml:space="preserve"> </w:t>
      </w:r>
    </w:p>
    <w:p w:rsidR="001B68CD" w:rsidRPr="00274507" w:rsidRDefault="00881ABB" w:rsidP="00274507">
      <w:pPr>
        <w:tabs>
          <w:tab w:val="left" w:pos="567"/>
        </w:tabs>
        <w:jc w:val="both"/>
        <w:rPr>
          <w:sz w:val="28"/>
          <w:szCs w:val="28"/>
        </w:rPr>
      </w:pPr>
      <w:r w:rsidRPr="00274507">
        <w:rPr>
          <w:sz w:val="28"/>
          <w:szCs w:val="28"/>
        </w:rPr>
        <w:t>Es decir, l</w:t>
      </w:r>
      <w:r w:rsidR="00890A56" w:rsidRPr="00274507">
        <w:rPr>
          <w:sz w:val="28"/>
          <w:szCs w:val="28"/>
        </w:rPr>
        <w:t>a Corte pretendía</w:t>
      </w:r>
      <w:r w:rsidR="002E364B" w:rsidRPr="00274507">
        <w:rPr>
          <w:sz w:val="28"/>
          <w:szCs w:val="28"/>
        </w:rPr>
        <w:t xml:space="preserve"> que </w:t>
      </w:r>
      <w:r w:rsidR="00890A56" w:rsidRPr="00274507">
        <w:rPr>
          <w:sz w:val="28"/>
          <w:szCs w:val="28"/>
        </w:rPr>
        <w:t>una</w:t>
      </w:r>
      <w:r w:rsidR="00F75A68" w:rsidRPr="00274507">
        <w:rPr>
          <w:sz w:val="28"/>
          <w:szCs w:val="28"/>
        </w:rPr>
        <w:t xml:space="preserve"> vez analizadas las acciones interpuestas</w:t>
      </w:r>
      <w:r w:rsidR="00890A56" w:rsidRPr="00274507">
        <w:rPr>
          <w:sz w:val="28"/>
          <w:szCs w:val="28"/>
        </w:rPr>
        <w:t xml:space="preserve"> en cada año,</w:t>
      </w:r>
      <w:r w:rsidR="00113CFC" w:rsidRPr="00274507">
        <w:rPr>
          <w:sz w:val="28"/>
          <w:szCs w:val="28"/>
        </w:rPr>
        <w:t xml:space="preserve"> de acuerdo con los ejes temáticos desarrollados, se identificaran </w:t>
      </w:r>
      <w:r w:rsidR="00F75A68" w:rsidRPr="00274507">
        <w:rPr>
          <w:sz w:val="28"/>
          <w:szCs w:val="28"/>
        </w:rPr>
        <w:t xml:space="preserve">los </w:t>
      </w:r>
      <w:r w:rsidR="00113CFC" w:rsidRPr="00274507">
        <w:rPr>
          <w:sz w:val="28"/>
          <w:szCs w:val="28"/>
        </w:rPr>
        <w:t>problema</w:t>
      </w:r>
      <w:r w:rsidR="00F75A68" w:rsidRPr="00274507">
        <w:rPr>
          <w:sz w:val="28"/>
          <w:szCs w:val="28"/>
        </w:rPr>
        <w:t>s</w:t>
      </w:r>
      <w:r w:rsidR="00113CFC" w:rsidRPr="00274507">
        <w:rPr>
          <w:sz w:val="28"/>
          <w:szCs w:val="28"/>
        </w:rPr>
        <w:t xml:space="preserve"> jurídico</w:t>
      </w:r>
      <w:r w:rsidR="00F75A68" w:rsidRPr="00274507">
        <w:rPr>
          <w:sz w:val="28"/>
          <w:szCs w:val="28"/>
        </w:rPr>
        <w:t>s</w:t>
      </w:r>
      <w:r w:rsidR="00113CFC" w:rsidRPr="00274507">
        <w:rPr>
          <w:sz w:val="28"/>
          <w:szCs w:val="28"/>
        </w:rPr>
        <w:t xml:space="preserve"> </w:t>
      </w:r>
      <w:r w:rsidR="00F75A68" w:rsidRPr="00274507">
        <w:rPr>
          <w:sz w:val="28"/>
          <w:szCs w:val="28"/>
        </w:rPr>
        <w:t xml:space="preserve">y </w:t>
      </w:r>
      <w:r w:rsidR="00113CFC" w:rsidRPr="00274507">
        <w:rPr>
          <w:sz w:val="28"/>
          <w:szCs w:val="28"/>
        </w:rPr>
        <w:t xml:space="preserve">las herramientas adecuadas para resolverlos, encontrando </w:t>
      </w:r>
      <w:r w:rsidR="00F75A68" w:rsidRPr="00274507">
        <w:rPr>
          <w:sz w:val="28"/>
          <w:szCs w:val="28"/>
        </w:rPr>
        <w:t xml:space="preserve">así soluciones efectivas </w:t>
      </w:r>
      <w:r w:rsidR="00113CFC" w:rsidRPr="00274507">
        <w:rPr>
          <w:sz w:val="28"/>
          <w:szCs w:val="28"/>
        </w:rPr>
        <w:t>a</w:t>
      </w:r>
      <w:r w:rsidR="00F75A68" w:rsidRPr="00274507">
        <w:rPr>
          <w:sz w:val="28"/>
          <w:szCs w:val="28"/>
        </w:rPr>
        <w:t>l sistema</w:t>
      </w:r>
      <w:r w:rsidR="00113CFC" w:rsidRPr="00274507">
        <w:rPr>
          <w:sz w:val="28"/>
          <w:szCs w:val="28"/>
        </w:rPr>
        <w:t>.</w:t>
      </w:r>
      <w:r w:rsidR="00D84DA6" w:rsidRPr="00274507">
        <w:rPr>
          <w:sz w:val="28"/>
          <w:szCs w:val="28"/>
        </w:rPr>
        <w:t xml:space="preserve"> </w:t>
      </w:r>
    </w:p>
    <w:p w:rsidR="001B68CD" w:rsidRPr="00274507" w:rsidRDefault="001B68CD" w:rsidP="00274507">
      <w:pPr>
        <w:tabs>
          <w:tab w:val="left" w:pos="567"/>
        </w:tabs>
        <w:jc w:val="both"/>
        <w:rPr>
          <w:sz w:val="28"/>
          <w:szCs w:val="28"/>
        </w:rPr>
      </w:pPr>
    </w:p>
    <w:p w:rsidR="003E05F6" w:rsidRPr="00274507" w:rsidRDefault="002104E1" w:rsidP="00274507">
      <w:pPr>
        <w:tabs>
          <w:tab w:val="left" w:pos="567"/>
        </w:tabs>
        <w:jc w:val="both"/>
        <w:rPr>
          <w:sz w:val="28"/>
          <w:szCs w:val="28"/>
        </w:rPr>
      </w:pPr>
      <w:r w:rsidRPr="00274507">
        <w:rPr>
          <w:sz w:val="28"/>
          <w:szCs w:val="28"/>
        </w:rPr>
        <w:t>De este modo</w:t>
      </w:r>
      <w:r w:rsidR="00375195" w:rsidRPr="00274507">
        <w:rPr>
          <w:sz w:val="28"/>
          <w:szCs w:val="28"/>
        </w:rPr>
        <w:t>, el mandato referenciado tiene estricta relación con los presupuestos desarrollados</w:t>
      </w:r>
      <w:r w:rsidR="00C67459" w:rsidRPr="00274507">
        <w:rPr>
          <w:sz w:val="28"/>
          <w:szCs w:val="28"/>
        </w:rPr>
        <w:t xml:space="preserve"> por esta Sala</w:t>
      </w:r>
      <w:r w:rsidR="001B68CD" w:rsidRPr="00274507">
        <w:rPr>
          <w:sz w:val="28"/>
          <w:szCs w:val="28"/>
        </w:rPr>
        <w:t>,</w:t>
      </w:r>
      <w:r w:rsidR="00C67459" w:rsidRPr="00274507">
        <w:rPr>
          <w:sz w:val="28"/>
          <w:szCs w:val="28"/>
        </w:rPr>
        <w:t xml:space="preserve"> en los que se advirtió que la multiplicida</w:t>
      </w:r>
      <w:r w:rsidR="00004007" w:rsidRPr="00274507">
        <w:rPr>
          <w:sz w:val="28"/>
          <w:szCs w:val="28"/>
        </w:rPr>
        <w:t>d de falencias generadas en el s</w:t>
      </w:r>
      <w:r w:rsidR="00C67459" w:rsidRPr="00274507">
        <w:rPr>
          <w:sz w:val="28"/>
          <w:szCs w:val="28"/>
        </w:rPr>
        <w:t xml:space="preserve">istema de </w:t>
      </w:r>
      <w:r w:rsidR="00004007" w:rsidRPr="00274507">
        <w:rPr>
          <w:sz w:val="28"/>
          <w:szCs w:val="28"/>
        </w:rPr>
        <w:t>s</w:t>
      </w:r>
      <w:r w:rsidR="00D53258" w:rsidRPr="00274507">
        <w:rPr>
          <w:sz w:val="28"/>
          <w:szCs w:val="28"/>
        </w:rPr>
        <w:t xml:space="preserve">alud </w:t>
      </w:r>
      <w:r w:rsidR="00C67459" w:rsidRPr="00274507">
        <w:rPr>
          <w:sz w:val="28"/>
          <w:szCs w:val="28"/>
        </w:rPr>
        <w:t>ocasiona la vulneración de</w:t>
      </w:r>
      <w:r w:rsidR="00D53258" w:rsidRPr="00274507">
        <w:rPr>
          <w:sz w:val="28"/>
          <w:szCs w:val="28"/>
        </w:rPr>
        <w:t>l</w:t>
      </w:r>
      <w:r w:rsidR="00C67459" w:rsidRPr="00274507">
        <w:rPr>
          <w:sz w:val="28"/>
          <w:szCs w:val="28"/>
        </w:rPr>
        <w:t xml:space="preserve"> derecho a los afiliados</w:t>
      </w:r>
      <w:r w:rsidR="00D53258" w:rsidRPr="00274507">
        <w:rPr>
          <w:sz w:val="28"/>
          <w:szCs w:val="28"/>
        </w:rPr>
        <w:t>,</w:t>
      </w:r>
      <w:r w:rsidR="003E05F6" w:rsidRPr="00274507">
        <w:rPr>
          <w:sz w:val="28"/>
          <w:szCs w:val="28"/>
        </w:rPr>
        <w:t xml:space="preserve"> ya sea </w:t>
      </w:r>
      <w:r w:rsidR="00D53258" w:rsidRPr="00274507">
        <w:rPr>
          <w:sz w:val="28"/>
          <w:szCs w:val="28"/>
        </w:rPr>
        <w:t>por la negación, dila</w:t>
      </w:r>
      <w:r w:rsidR="00C67459" w:rsidRPr="00274507">
        <w:rPr>
          <w:sz w:val="28"/>
          <w:szCs w:val="28"/>
        </w:rPr>
        <w:t>ción o exclusión</w:t>
      </w:r>
      <w:r w:rsidR="003E05F6" w:rsidRPr="00274507">
        <w:rPr>
          <w:sz w:val="28"/>
          <w:szCs w:val="28"/>
        </w:rPr>
        <w:t xml:space="preserve"> de servicios</w:t>
      </w:r>
      <w:r w:rsidR="001B68CD" w:rsidRPr="00274507">
        <w:rPr>
          <w:sz w:val="28"/>
          <w:szCs w:val="28"/>
        </w:rPr>
        <w:t>. A</w:t>
      </w:r>
      <w:r w:rsidR="00C67459" w:rsidRPr="00274507">
        <w:rPr>
          <w:sz w:val="28"/>
          <w:szCs w:val="28"/>
        </w:rPr>
        <w:t>unado a ello las falla</w:t>
      </w:r>
      <w:r w:rsidR="003E05F6" w:rsidRPr="00274507">
        <w:rPr>
          <w:sz w:val="28"/>
          <w:szCs w:val="28"/>
        </w:rPr>
        <w:t>s administrativas</w:t>
      </w:r>
      <w:r w:rsidR="001B68CD" w:rsidRPr="00274507">
        <w:rPr>
          <w:sz w:val="28"/>
          <w:szCs w:val="28"/>
        </w:rPr>
        <w:t xml:space="preserve"> y financ</w:t>
      </w:r>
      <w:r w:rsidR="00F75A68" w:rsidRPr="00274507">
        <w:rPr>
          <w:sz w:val="28"/>
          <w:szCs w:val="28"/>
        </w:rPr>
        <w:t>ieras, constituían</w:t>
      </w:r>
      <w:r w:rsidR="001B68CD" w:rsidRPr="00274507">
        <w:rPr>
          <w:sz w:val="28"/>
          <w:szCs w:val="28"/>
        </w:rPr>
        <w:t xml:space="preserve"> </w:t>
      </w:r>
      <w:r w:rsidR="00C67459" w:rsidRPr="00274507">
        <w:rPr>
          <w:sz w:val="28"/>
          <w:szCs w:val="28"/>
        </w:rPr>
        <w:t>barreras en el acceso a los servicios contemplados en los planes de beneficios que ya habían sido financiados por el Estado</w:t>
      </w:r>
      <w:r w:rsidR="00C67459" w:rsidRPr="00274507">
        <w:rPr>
          <w:rStyle w:val="Refdenotaalpie"/>
          <w:sz w:val="28"/>
          <w:szCs w:val="28"/>
        </w:rPr>
        <w:footnoteReference w:id="131"/>
      </w:r>
      <w:r w:rsidR="00C67459" w:rsidRPr="00274507">
        <w:rPr>
          <w:sz w:val="28"/>
          <w:szCs w:val="28"/>
        </w:rPr>
        <w:t xml:space="preserve">. </w:t>
      </w:r>
    </w:p>
    <w:p w:rsidR="003E05F6" w:rsidRPr="00274507" w:rsidRDefault="003E05F6" w:rsidP="00274507">
      <w:pPr>
        <w:tabs>
          <w:tab w:val="left" w:pos="567"/>
        </w:tabs>
        <w:jc w:val="both"/>
        <w:rPr>
          <w:sz w:val="28"/>
          <w:szCs w:val="28"/>
        </w:rPr>
      </w:pPr>
    </w:p>
    <w:p w:rsidR="002104E1" w:rsidRPr="00274507" w:rsidRDefault="00C67459" w:rsidP="00274507">
      <w:pPr>
        <w:tabs>
          <w:tab w:val="left" w:pos="567"/>
        </w:tabs>
        <w:jc w:val="both"/>
        <w:rPr>
          <w:sz w:val="28"/>
          <w:szCs w:val="28"/>
        </w:rPr>
      </w:pPr>
      <w:r w:rsidRPr="00274507">
        <w:rPr>
          <w:sz w:val="28"/>
          <w:szCs w:val="28"/>
        </w:rPr>
        <w:t>La omisión en el cumplimiento eficaz de las funciones de las entidades qu</w:t>
      </w:r>
      <w:r w:rsidR="00D53258" w:rsidRPr="00274507">
        <w:rPr>
          <w:sz w:val="28"/>
          <w:szCs w:val="28"/>
        </w:rPr>
        <w:t>e tenían a cargo la dirección,</w:t>
      </w:r>
      <w:r w:rsidRPr="00274507">
        <w:rPr>
          <w:sz w:val="28"/>
          <w:szCs w:val="28"/>
        </w:rPr>
        <w:t xml:space="preserve"> control y vigilancia del sistema de salud</w:t>
      </w:r>
      <w:r w:rsidRPr="00274507">
        <w:rPr>
          <w:rStyle w:val="Refdenotaalpie"/>
          <w:sz w:val="28"/>
          <w:szCs w:val="28"/>
        </w:rPr>
        <w:footnoteReference w:id="132"/>
      </w:r>
      <w:r w:rsidRPr="00274507">
        <w:rPr>
          <w:sz w:val="28"/>
          <w:szCs w:val="28"/>
        </w:rPr>
        <w:t>, generó un constante problema en el</w:t>
      </w:r>
      <w:r w:rsidR="00D84DA6" w:rsidRPr="00274507">
        <w:rPr>
          <w:sz w:val="28"/>
          <w:szCs w:val="28"/>
        </w:rPr>
        <w:t xml:space="preserve"> mismo</w:t>
      </w:r>
      <w:r w:rsidRPr="00274507">
        <w:rPr>
          <w:sz w:val="28"/>
          <w:szCs w:val="28"/>
        </w:rPr>
        <w:t>, por lo que, luego de desarrollar el análisis de cada caso particular y de los campos elemen</w:t>
      </w:r>
      <w:r w:rsidR="00004007" w:rsidRPr="00274507">
        <w:rPr>
          <w:sz w:val="28"/>
          <w:szCs w:val="28"/>
        </w:rPr>
        <w:t>tales susceptibles de cambios para</w:t>
      </w:r>
      <w:r w:rsidRPr="00274507">
        <w:rPr>
          <w:sz w:val="28"/>
          <w:szCs w:val="28"/>
        </w:rPr>
        <w:t xml:space="preserve"> mejora</w:t>
      </w:r>
      <w:r w:rsidR="00004007" w:rsidRPr="00274507">
        <w:rPr>
          <w:sz w:val="28"/>
          <w:szCs w:val="28"/>
        </w:rPr>
        <w:t>r</w:t>
      </w:r>
      <w:r w:rsidRPr="00274507">
        <w:rPr>
          <w:sz w:val="28"/>
          <w:szCs w:val="28"/>
        </w:rPr>
        <w:t xml:space="preserve"> la prestación del servi</w:t>
      </w:r>
      <w:r w:rsidR="00897737" w:rsidRPr="00274507">
        <w:rPr>
          <w:sz w:val="28"/>
          <w:szCs w:val="28"/>
        </w:rPr>
        <w:t>cio</w:t>
      </w:r>
      <w:r w:rsidR="00004007" w:rsidRPr="00274507">
        <w:rPr>
          <w:sz w:val="28"/>
          <w:szCs w:val="28"/>
        </w:rPr>
        <w:t>,</w:t>
      </w:r>
      <w:r w:rsidR="00897737" w:rsidRPr="00274507">
        <w:rPr>
          <w:sz w:val="28"/>
          <w:szCs w:val="28"/>
        </w:rPr>
        <w:t xml:space="preserve"> se destacaron una serie de ó</w:t>
      </w:r>
      <w:r w:rsidRPr="00274507">
        <w:rPr>
          <w:sz w:val="28"/>
          <w:szCs w:val="28"/>
        </w:rPr>
        <w:t xml:space="preserve">rdenes con el fin de remover cada uno de los obstáculos </w:t>
      </w:r>
      <w:r w:rsidR="001B68CD" w:rsidRPr="00274507">
        <w:rPr>
          <w:sz w:val="28"/>
          <w:szCs w:val="28"/>
        </w:rPr>
        <w:t xml:space="preserve">allí </w:t>
      </w:r>
      <w:r w:rsidRPr="00274507">
        <w:rPr>
          <w:sz w:val="28"/>
          <w:szCs w:val="28"/>
        </w:rPr>
        <w:t>descritos.</w:t>
      </w:r>
    </w:p>
    <w:p w:rsidR="000769FD" w:rsidRPr="00274507" w:rsidRDefault="000769FD" w:rsidP="00274507">
      <w:pPr>
        <w:tabs>
          <w:tab w:val="left" w:pos="567"/>
        </w:tabs>
        <w:jc w:val="both"/>
        <w:rPr>
          <w:sz w:val="28"/>
          <w:szCs w:val="28"/>
        </w:rPr>
      </w:pPr>
    </w:p>
    <w:p w:rsidR="00C67459" w:rsidRPr="00274507" w:rsidRDefault="00C67459" w:rsidP="00274507">
      <w:pPr>
        <w:tabs>
          <w:tab w:val="left" w:pos="567"/>
        </w:tabs>
        <w:jc w:val="both"/>
        <w:rPr>
          <w:sz w:val="28"/>
          <w:szCs w:val="28"/>
        </w:rPr>
      </w:pPr>
      <w:r w:rsidRPr="00274507">
        <w:rPr>
          <w:sz w:val="28"/>
          <w:szCs w:val="28"/>
        </w:rPr>
        <w:t>Este Tribunal</w:t>
      </w:r>
      <w:r w:rsidR="001B68CD" w:rsidRPr="00274507">
        <w:rPr>
          <w:sz w:val="28"/>
          <w:szCs w:val="28"/>
        </w:rPr>
        <w:t>,</w:t>
      </w:r>
      <w:r w:rsidRPr="00274507">
        <w:rPr>
          <w:sz w:val="28"/>
          <w:szCs w:val="28"/>
        </w:rPr>
        <w:t xml:space="preserve"> </w:t>
      </w:r>
      <w:r w:rsidR="003E05F6" w:rsidRPr="00274507">
        <w:rPr>
          <w:sz w:val="28"/>
          <w:szCs w:val="28"/>
        </w:rPr>
        <w:t xml:space="preserve">en aras de velar por la construcción de un Sistema de Seguridad Social en Salud eficaz, oportuno y accesible a toda la población con el </w:t>
      </w:r>
      <w:r w:rsidR="001B68CD" w:rsidRPr="00274507">
        <w:rPr>
          <w:sz w:val="28"/>
          <w:szCs w:val="28"/>
        </w:rPr>
        <w:t>fin garante</w:t>
      </w:r>
      <w:r w:rsidR="00F75A68" w:rsidRPr="00274507">
        <w:rPr>
          <w:sz w:val="28"/>
          <w:szCs w:val="28"/>
        </w:rPr>
        <w:t xml:space="preserve"> del derecho</w:t>
      </w:r>
      <w:r w:rsidR="001B68CD" w:rsidRPr="00274507">
        <w:rPr>
          <w:sz w:val="28"/>
          <w:szCs w:val="28"/>
        </w:rPr>
        <w:t xml:space="preserve"> previsto en</w:t>
      </w:r>
      <w:r w:rsidR="00004007" w:rsidRPr="00274507">
        <w:rPr>
          <w:sz w:val="28"/>
          <w:szCs w:val="28"/>
        </w:rPr>
        <w:t xml:space="preserve"> la Carta Política, puntualmente </w:t>
      </w:r>
      <w:r w:rsidRPr="00274507">
        <w:rPr>
          <w:sz w:val="28"/>
          <w:szCs w:val="28"/>
        </w:rPr>
        <w:t>manifestó:</w:t>
      </w:r>
    </w:p>
    <w:p w:rsidR="00995FF7" w:rsidRPr="00274507" w:rsidRDefault="00995FF7" w:rsidP="00274507">
      <w:pPr>
        <w:ind w:right="51"/>
        <w:jc w:val="both"/>
        <w:rPr>
          <w:i/>
          <w:sz w:val="28"/>
          <w:szCs w:val="28"/>
        </w:rPr>
      </w:pPr>
    </w:p>
    <w:p w:rsidR="00930B4D" w:rsidRPr="00274507" w:rsidRDefault="00C67459" w:rsidP="00274507">
      <w:pPr>
        <w:ind w:left="567" w:right="51"/>
        <w:jc w:val="both"/>
        <w:rPr>
          <w:rFonts w:eastAsia="SimSun"/>
          <w:kern w:val="28"/>
          <w:sz w:val="28"/>
          <w:szCs w:val="28"/>
        </w:rPr>
      </w:pPr>
      <w:r w:rsidRPr="00274507">
        <w:rPr>
          <w:sz w:val="28"/>
          <w:szCs w:val="28"/>
        </w:rPr>
        <w:t>“…</w:t>
      </w:r>
      <w:r w:rsidRPr="00274507">
        <w:rPr>
          <w:rFonts w:eastAsia="SimSun"/>
          <w:i/>
          <w:kern w:val="28"/>
          <w:sz w:val="28"/>
          <w:szCs w:val="28"/>
        </w:rPr>
        <w:t>La problematización de los casos concretos explicada en el aparte anterior, más allá de describir situaciones particulares de usuarios del sistema de salud refleja un problema estructural del Sistema de Seguridad Social en Salud generado, entre otros, por diversas fallas en la regulación. Como lo ha señalado la Corte Constitucional, el derecho a la salud de las personas en los casos concretos depende</w:t>
      </w:r>
      <w:r w:rsidR="00BB242C" w:rsidRPr="00274507">
        <w:rPr>
          <w:rFonts w:eastAsia="SimSun"/>
          <w:i/>
          <w:kern w:val="28"/>
          <w:sz w:val="28"/>
          <w:szCs w:val="28"/>
        </w:rPr>
        <w:t xml:space="preserve">, </w:t>
      </w:r>
      <w:r w:rsidRPr="00274507">
        <w:rPr>
          <w:rFonts w:eastAsia="SimSun"/>
          <w:i/>
          <w:kern w:val="28"/>
          <w:sz w:val="28"/>
          <w:szCs w:val="28"/>
        </w:rPr>
        <w:t xml:space="preserve">‘(…) </w:t>
      </w:r>
      <w:r w:rsidRPr="00274507">
        <w:rPr>
          <w:rFonts w:eastAsia="SimSun"/>
          <w:i/>
          <w:iCs/>
          <w:kern w:val="28"/>
          <w:sz w:val="28"/>
          <w:szCs w:val="28"/>
        </w:rPr>
        <w:t>entre otros factores, de la existencia de un marco normativo adecuado del sistema de seguridad social en salud. Es decir, para poder garantizar el goce efectivo del derecho a la salud, el Estado debe expedir las reglas necesarias e idóneas para organizar el Sistema. Carecer de ellas o tener unas inadecuadas puede ser tan grave como carecer de recursos para atender a los pacientes</w:t>
      </w:r>
      <w:r w:rsidRPr="00274507">
        <w:rPr>
          <w:rFonts w:eastAsia="SimSun"/>
          <w:iCs/>
          <w:kern w:val="28"/>
          <w:sz w:val="28"/>
          <w:szCs w:val="28"/>
        </w:rPr>
        <w:t>.</w:t>
      </w:r>
      <w:r w:rsidRPr="00274507">
        <w:rPr>
          <w:rFonts w:eastAsia="SimSun"/>
          <w:kern w:val="28"/>
          <w:sz w:val="28"/>
          <w:szCs w:val="28"/>
        </w:rPr>
        <w:t>’</w:t>
      </w:r>
      <w:r w:rsidRPr="00274507">
        <w:rPr>
          <w:sz w:val="28"/>
          <w:szCs w:val="28"/>
          <w:vertAlign w:val="superscript"/>
        </w:rPr>
        <w:footnoteReference w:id="133"/>
      </w:r>
    </w:p>
    <w:p w:rsidR="00930B4D" w:rsidRPr="00274507" w:rsidRDefault="00930B4D" w:rsidP="00274507">
      <w:pPr>
        <w:ind w:left="567" w:right="51"/>
        <w:jc w:val="both"/>
        <w:rPr>
          <w:rFonts w:eastAsia="SimSun"/>
          <w:kern w:val="28"/>
          <w:sz w:val="28"/>
          <w:szCs w:val="28"/>
        </w:rPr>
      </w:pPr>
    </w:p>
    <w:p w:rsidR="00F646A6" w:rsidRPr="00274507" w:rsidRDefault="00C67459" w:rsidP="00274507">
      <w:pPr>
        <w:ind w:left="567" w:right="51"/>
        <w:jc w:val="both"/>
        <w:rPr>
          <w:rFonts w:eastAsia="SimSun"/>
          <w:kern w:val="28"/>
          <w:sz w:val="28"/>
          <w:szCs w:val="28"/>
        </w:rPr>
      </w:pPr>
      <w:r w:rsidRPr="00274507">
        <w:rPr>
          <w:rFonts w:eastAsia="SimSun"/>
          <w:i/>
          <w:kern w:val="28"/>
          <w:sz w:val="28"/>
          <w:szCs w:val="28"/>
        </w:rPr>
        <w:t>Por esta razón, la adopción de órdenes encaminadas únicamente a resolver los casos concretos es insuficiente ya que, además de que las mismas situaciones se siguen presentando reiteradamente, el número de tutelas para acceder a servicios de salud tiene una sólida tendencia a crecer, como lo muestra el siguiente cuadro basado en un informe adelantado por la Defensoría del Pueblo</w:t>
      </w:r>
      <w:r w:rsidRPr="00274507">
        <w:rPr>
          <w:rFonts w:eastAsia="SimSun"/>
          <w:kern w:val="28"/>
          <w:sz w:val="28"/>
          <w:szCs w:val="28"/>
        </w:rPr>
        <w:t>…”</w:t>
      </w:r>
      <w:r w:rsidRPr="00274507">
        <w:rPr>
          <w:rFonts w:eastAsia="SimSun"/>
          <w:kern w:val="28"/>
          <w:sz w:val="28"/>
          <w:szCs w:val="28"/>
          <w:vertAlign w:val="superscript"/>
        </w:rPr>
        <w:footnoteReference w:id="134"/>
      </w:r>
    </w:p>
    <w:p w:rsidR="00375195" w:rsidRPr="00274507" w:rsidRDefault="00C67459" w:rsidP="00274507">
      <w:pPr>
        <w:tabs>
          <w:tab w:val="left" w:pos="567"/>
        </w:tabs>
        <w:jc w:val="both"/>
        <w:rPr>
          <w:color w:val="000000"/>
          <w:sz w:val="28"/>
          <w:szCs w:val="28"/>
        </w:rPr>
      </w:pPr>
      <w:r w:rsidRPr="00274507">
        <w:rPr>
          <w:color w:val="000000"/>
          <w:sz w:val="28"/>
          <w:szCs w:val="28"/>
        </w:rPr>
        <w:t>En ese sentido, col</w:t>
      </w:r>
      <w:r w:rsidR="00712187" w:rsidRPr="00274507">
        <w:rPr>
          <w:color w:val="000000"/>
          <w:sz w:val="28"/>
          <w:szCs w:val="28"/>
        </w:rPr>
        <w:t xml:space="preserve">igió que las medidas impartidas conminan </w:t>
      </w:r>
      <w:r w:rsidR="00D84DA6" w:rsidRPr="00274507">
        <w:rPr>
          <w:color w:val="000000"/>
          <w:sz w:val="28"/>
          <w:szCs w:val="28"/>
        </w:rPr>
        <w:t xml:space="preserve">a las autoridades </w:t>
      </w:r>
      <w:r w:rsidRPr="00274507">
        <w:rPr>
          <w:color w:val="000000"/>
          <w:sz w:val="28"/>
          <w:szCs w:val="28"/>
        </w:rPr>
        <w:t xml:space="preserve">competentes </w:t>
      </w:r>
      <w:r w:rsidR="00712187" w:rsidRPr="00274507">
        <w:rPr>
          <w:color w:val="000000"/>
          <w:sz w:val="28"/>
          <w:szCs w:val="28"/>
        </w:rPr>
        <w:t>en la regulación para</w:t>
      </w:r>
      <w:r w:rsidR="00F75A68" w:rsidRPr="00274507">
        <w:rPr>
          <w:color w:val="000000"/>
          <w:sz w:val="28"/>
          <w:szCs w:val="28"/>
        </w:rPr>
        <w:t xml:space="preserve"> el acceso efectivo corrigiendo</w:t>
      </w:r>
      <w:r w:rsidRPr="00274507">
        <w:rPr>
          <w:color w:val="000000"/>
          <w:sz w:val="28"/>
          <w:szCs w:val="28"/>
        </w:rPr>
        <w:t xml:space="preserve"> las fallas</w:t>
      </w:r>
      <w:r w:rsidR="001B68CD" w:rsidRPr="00274507">
        <w:rPr>
          <w:color w:val="000000"/>
          <w:sz w:val="28"/>
          <w:szCs w:val="28"/>
        </w:rPr>
        <w:t xml:space="preserve"> del sistema de fo</w:t>
      </w:r>
      <w:r w:rsidR="00712187" w:rsidRPr="00274507">
        <w:rPr>
          <w:color w:val="000000"/>
          <w:sz w:val="28"/>
          <w:szCs w:val="28"/>
        </w:rPr>
        <w:t>rma definitiva</w:t>
      </w:r>
      <w:r w:rsidR="001B68CD" w:rsidRPr="00274507">
        <w:rPr>
          <w:color w:val="000000"/>
          <w:sz w:val="28"/>
          <w:szCs w:val="28"/>
        </w:rPr>
        <w:t xml:space="preserve">. Como fundamento de lo anterior, </w:t>
      </w:r>
      <w:r w:rsidR="00DC341D" w:rsidRPr="00274507">
        <w:rPr>
          <w:color w:val="000000"/>
          <w:sz w:val="28"/>
          <w:szCs w:val="28"/>
        </w:rPr>
        <w:t xml:space="preserve">refirió que </w:t>
      </w:r>
      <w:r w:rsidRPr="00274507">
        <w:rPr>
          <w:sz w:val="28"/>
          <w:szCs w:val="28"/>
        </w:rPr>
        <w:t>“</w:t>
      </w:r>
      <w:r w:rsidR="00285282" w:rsidRPr="00274507">
        <w:rPr>
          <w:sz w:val="28"/>
          <w:szCs w:val="28"/>
        </w:rPr>
        <w:t>…</w:t>
      </w:r>
      <w:r w:rsidR="00460F94" w:rsidRPr="00274507">
        <w:rPr>
          <w:sz w:val="28"/>
          <w:szCs w:val="28"/>
        </w:rPr>
        <w:t xml:space="preserve"> </w:t>
      </w:r>
      <w:r w:rsidR="00DC341D" w:rsidRPr="00274507">
        <w:rPr>
          <w:i/>
          <w:sz w:val="28"/>
          <w:szCs w:val="28"/>
        </w:rPr>
        <w:t>l</w:t>
      </w:r>
      <w:r w:rsidRPr="00274507">
        <w:rPr>
          <w:i/>
          <w:sz w:val="28"/>
          <w:szCs w:val="28"/>
        </w:rPr>
        <w:t>a fundamentalidad del derecho a la salud exige que las autoridades de regulación adopten las determinaciones para protegerlo, para evitar que se repitan durante largos años las mismas violaciones del mismo y para garantizar el goce efectivo del derecho por todos los usuarios del sistema de seguridad social en salud, creado ya hace 15 años</w:t>
      </w:r>
      <w:r w:rsidR="00460F94" w:rsidRPr="00274507">
        <w:rPr>
          <w:sz w:val="28"/>
          <w:szCs w:val="28"/>
        </w:rPr>
        <w:t>…</w:t>
      </w:r>
      <w:r w:rsidR="00285282" w:rsidRPr="00274507">
        <w:rPr>
          <w:sz w:val="28"/>
          <w:szCs w:val="28"/>
        </w:rPr>
        <w:t>”</w:t>
      </w:r>
      <w:r w:rsidRPr="00274507">
        <w:rPr>
          <w:rStyle w:val="Refdenotaalpie"/>
          <w:sz w:val="28"/>
          <w:szCs w:val="28"/>
        </w:rPr>
        <w:footnoteReference w:id="135"/>
      </w:r>
    </w:p>
    <w:p w:rsidR="005C0E72" w:rsidRPr="00274507" w:rsidRDefault="005C0E72" w:rsidP="00274507">
      <w:pPr>
        <w:tabs>
          <w:tab w:val="left" w:pos="8222"/>
        </w:tabs>
        <w:ind w:left="567" w:right="51"/>
        <w:jc w:val="both"/>
        <w:rPr>
          <w:i/>
          <w:sz w:val="28"/>
          <w:szCs w:val="28"/>
        </w:rPr>
      </w:pPr>
    </w:p>
    <w:p w:rsidR="006D293E" w:rsidRPr="00274507" w:rsidRDefault="002E364B" w:rsidP="00274507">
      <w:pPr>
        <w:tabs>
          <w:tab w:val="left" w:pos="567"/>
        </w:tabs>
        <w:jc w:val="both"/>
        <w:rPr>
          <w:sz w:val="28"/>
          <w:szCs w:val="28"/>
        </w:rPr>
      </w:pPr>
      <w:r w:rsidRPr="00274507">
        <w:rPr>
          <w:sz w:val="28"/>
          <w:szCs w:val="28"/>
        </w:rPr>
        <w:t xml:space="preserve">Ahora bien, </w:t>
      </w:r>
      <w:r w:rsidR="007C594C" w:rsidRPr="00274507">
        <w:rPr>
          <w:sz w:val="28"/>
          <w:szCs w:val="28"/>
        </w:rPr>
        <w:t xml:space="preserve">dicho mandato </w:t>
      </w:r>
      <w:r w:rsidR="00004007" w:rsidRPr="00274507">
        <w:rPr>
          <w:sz w:val="28"/>
          <w:szCs w:val="28"/>
        </w:rPr>
        <w:t xml:space="preserve">supone </w:t>
      </w:r>
      <w:r w:rsidR="00F75A68" w:rsidRPr="00274507">
        <w:rPr>
          <w:sz w:val="28"/>
          <w:szCs w:val="28"/>
        </w:rPr>
        <w:t xml:space="preserve">la </w:t>
      </w:r>
      <w:r w:rsidR="00DC131A" w:rsidRPr="00274507">
        <w:rPr>
          <w:sz w:val="28"/>
          <w:szCs w:val="28"/>
        </w:rPr>
        <w:t>entrega</w:t>
      </w:r>
      <w:r w:rsidR="00F75A68" w:rsidRPr="00274507">
        <w:rPr>
          <w:sz w:val="28"/>
          <w:szCs w:val="28"/>
        </w:rPr>
        <w:t xml:space="preserve"> de unos</w:t>
      </w:r>
      <w:r w:rsidRPr="00274507">
        <w:rPr>
          <w:sz w:val="28"/>
          <w:szCs w:val="28"/>
        </w:rPr>
        <w:t xml:space="preserve"> informes</w:t>
      </w:r>
      <w:r w:rsidR="00DF2D3E" w:rsidRPr="00274507">
        <w:rPr>
          <w:sz w:val="28"/>
          <w:szCs w:val="28"/>
        </w:rPr>
        <w:t xml:space="preserve"> anual</w:t>
      </w:r>
      <w:r w:rsidR="00F75A68" w:rsidRPr="00274507">
        <w:rPr>
          <w:sz w:val="28"/>
          <w:szCs w:val="28"/>
        </w:rPr>
        <w:t>es</w:t>
      </w:r>
      <w:r w:rsidRPr="00274507">
        <w:rPr>
          <w:sz w:val="28"/>
          <w:szCs w:val="28"/>
        </w:rPr>
        <w:t>,</w:t>
      </w:r>
      <w:r w:rsidR="00F75A68" w:rsidRPr="00274507">
        <w:rPr>
          <w:sz w:val="28"/>
          <w:szCs w:val="28"/>
        </w:rPr>
        <w:t xml:space="preserve"> que </w:t>
      </w:r>
      <w:r w:rsidR="00BC7B7B" w:rsidRPr="00274507">
        <w:rPr>
          <w:sz w:val="28"/>
          <w:szCs w:val="28"/>
        </w:rPr>
        <w:t>contengan la medición de las acciones de tutelas presentando un</w:t>
      </w:r>
      <w:r w:rsidR="00DC131A" w:rsidRPr="00274507">
        <w:rPr>
          <w:sz w:val="28"/>
          <w:szCs w:val="28"/>
        </w:rPr>
        <w:t xml:space="preserve"> análisis de resultados</w:t>
      </w:r>
      <w:r w:rsidR="00C10E15" w:rsidRPr="00274507">
        <w:rPr>
          <w:sz w:val="28"/>
          <w:szCs w:val="28"/>
        </w:rPr>
        <w:t xml:space="preserve">, la </w:t>
      </w:r>
      <w:r w:rsidR="001B68CD" w:rsidRPr="00274507">
        <w:rPr>
          <w:sz w:val="28"/>
          <w:szCs w:val="28"/>
        </w:rPr>
        <w:t>r</w:t>
      </w:r>
      <w:r w:rsidR="00E42CBC" w:rsidRPr="00274507">
        <w:rPr>
          <w:sz w:val="28"/>
          <w:szCs w:val="28"/>
        </w:rPr>
        <w:t>esolución</w:t>
      </w:r>
      <w:r w:rsidR="00C10E15" w:rsidRPr="00274507">
        <w:rPr>
          <w:sz w:val="28"/>
          <w:szCs w:val="28"/>
        </w:rPr>
        <w:t xml:space="preserve"> de los problemas jurídicos descritos</w:t>
      </w:r>
      <w:r w:rsidR="00DC131A" w:rsidRPr="00274507">
        <w:rPr>
          <w:sz w:val="28"/>
          <w:szCs w:val="28"/>
        </w:rPr>
        <w:t xml:space="preserve"> y la puesta en marcha de nuevas </w:t>
      </w:r>
      <w:r w:rsidR="00B01D39" w:rsidRPr="00274507">
        <w:rPr>
          <w:sz w:val="28"/>
          <w:szCs w:val="28"/>
        </w:rPr>
        <w:t>medidas qu</w:t>
      </w:r>
      <w:r w:rsidR="006D293E" w:rsidRPr="00274507">
        <w:rPr>
          <w:sz w:val="28"/>
          <w:szCs w:val="28"/>
        </w:rPr>
        <w:t>e superen los obstáculos de los afiliados al sistema</w:t>
      </w:r>
      <w:r w:rsidR="00BC7B7B" w:rsidRPr="00274507">
        <w:rPr>
          <w:sz w:val="28"/>
          <w:szCs w:val="28"/>
        </w:rPr>
        <w:t>. Así</w:t>
      </w:r>
      <w:r w:rsidR="006D293E" w:rsidRPr="00274507">
        <w:rPr>
          <w:sz w:val="28"/>
          <w:szCs w:val="28"/>
        </w:rPr>
        <w:t>,</w:t>
      </w:r>
      <w:r w:rsidR="00004007" w:rsidRPr="00274507">
        <w:rPr>
          <w:sz w:val="28"/>
          <w:szCs w:val="28"/>
        </w:rPr>
        <w:t xml:space="preserve"> se entenderá cumplido</w:t>
      </w:r>
      <w:r w:rsidR="006D293E" w:rsidRPr="00274507">
        <w:rPr>
          <w:sz w:val="28"/>
          <w:szCs w:val="28"/>
        </w:rPr>
        <w:t xml:space="preserve"> en el momento en que se demuestre una reducción considerable de las tutelas </w:t>
      </w:r>
      <w:r w:rsidR="00F47E55" w:rsidRPr="00274507">
        <w:rPr>
          <w:sz w:val="28"/>
          <w:szCs w:val="28"/>
        </w:rPr>
        <w:t xml:space="preserve">y </w:t>
      </w:r>
      <w:r w:rsidR="006D293E" w:rsidRPr="00274507">
        <w:rPr>
          <w:sz w:val="28"/>
          <w:szCs w:val="28"/>
        </w:rPr>
        <w:t>junto con el cumplimiento de los demás mandatos</w:t>
      </w:r>
      <w:r w:rsidR="001B68CD" w:rsidRPr="00274507">
        <w:rPr>
          <w:sz w:val="28"/>
          <w:szCs w:val="28"/>
        </w:rPr>
        <w:t>,</w:t>
      </w:r>
      <w:r w:rsidR="00027331" w:rsidRPr="00274507">
        <w:rPr>
          <w:sz w:val="28"/>
          <w:szCs w:val="28"/>
        </w:rPr>
        <w:t xml:space="preserve"> la eliminación de las contingencias </w:t>
      </w:r>
      <w:r w:rsidR="00F47E55" w:rsidRPr="00274507">
        <w:rPr>
          <w:sz w:val="28"/>
          <w:szCs w:val="28"/>
        </w:rPr>
        <w:t>evidenciadas en la sentencia T-760 de 2008.</w:t>
      </w:r>
      <w:r w:rsidR="006D293E" w:rsidRPr="00274507">
        <w:rPr>
          <w:sz w:val="28"/>
          <w:szCs w:val="28"/>
        </w:rPr>
        <w:t xml:space="preserve"> </w:t>
      </w:r>
    </w:p>
    <w:p w:rsidR="00027331" w:rsidRPr="00274507" w:rsidRDefault="00027331" w:rsidP="00274507">
      <w:pPr>
        <w:tabs>
          <w:tab w:val="left" w:pos="567"/>
        </w:tabs>
        <w:jc w:val="both"/>
        <w:rPr>
          <w:sz w:val="28"/>
          <w:szCs w:val="28"/>
        </w:rPr>
      </w:pPr>
    </w:p>
    <w:p w:rsidR="002E364B" w:rsidRPr="00274507" w:rsidRDefault="000A51A3" w:rsidP="00274507">
      <w:pPr>
        <w:tabs>
          <w:tab w:val="left" w:pos="567"/>
        </w:tabs>
        <w:jc w:val="both"/>
        <w:rPr>
          <w:sz w:val="28"/>
          <w:szCs w:val="28"/>
        </w:rPr>
      </w:pPr>
      <w:r w:rsidRPr="00274507">
        <w:rPr>
          <w:sz w:val="28"/>
          <w:szCs w:val="28"/>
        </w:rPr>
        <w:t>3</w:t>
      </w:r>
      <w:r w:rsidR="00DD6286" w:rsidRPr="00274507">
        <w:rPr>
          <w:sz w:val="28"/>
          <w:szCs w:val="28"/>
        </w:rPr>
        <w:t>.1.</w:t>
      </w:r>
      <w:r w:rsidR="006D293E" w:rsidRPr="00274507">
        <w:rPr>
          <w:sz w:val="28"/>
          <w:szCs w:val="28"/>
        </w:rPr>
        <w:t xml:space="preserve"> Por lo </w:t>
      </w:r>
      <w:r w:rsidR="00B322CD" w:rsidRPr="00274507">
        <w:rPr>
          <w:sz w:val="28"/>
          <w:szCs w:val="28"/>
        </w:rPr>
        <w:t xml:space="preserve">anterior, </w:t>
      </w:r>
      <w:r w:rsidR="006D293E" w:rsidRPr="00274507">
        <w:rPr>
          <w:sz w:val="28"/>
          <w:szCs w:val="28"/>
        </w:rPr>
        <w:t xml:space="preserve">este Tribunal </w:t>
      </w:r>
      <w:r w:rsidR="00B322CD" w:rsidRPr="00274507">
        <w:rPr>
          <w:sz w:val="28"/>
          <w:szCs w:val="28"/>
        </w:rPr>
        <w:t>prevé que para el cumplimien</w:t>
      </w:r>
      <w:r w:rsidR="00BF6945" w:rsidRPr="00274507">
        <w:rPr>
          <w:sz w:val="28"/>
          <w:szCs w:val="28"/>
        </w:rPr>
        <w:t>to de la orden trigésima</w:t>
      </w:r>
      <w:r w:rsidR="004E2B92" w:rsidRPr="00274507">
        <w:rPr>
          <w:sz w:val="28"/>
          <w:szCs w:val="28"/>
        </w:rPr>
        <w:t xml:space="preserve"> se</w:t>
      </w:r>
      <w:r w:rsidR="00E32AB2" w:rsidRPr="00274507">
        <w:rPr>
          <w:sz w:val="28"/>
          <w:szCs w:val="28"/>
        </w:rPr>
        <w:t xml:space="preserve"> debe</w:t>
      </w:r>
      <w:r w:rsidR="0048501B" w:rsidRPr="00274507">
        <w:rPr>
          <w:sz w:val="28"/>
          <w:szCs w:val="28"/>
        </w:rPr>
        <w:t>n</w:t>
      </w:r>
      <w:r w:rsidR="00E32AB2" w:rsidRPr="00274507">
        <w:rPr>
          <w:sz w:val="28"/>
          <w:szCs w:val="28"/>
        </w:rPr>
        <w:t xml:space="preserve"> acreditar </w:t>
      </w:r>
      <w:r w:rsidR="00EA6A5D" w:rsidRPr="00274507">
        <w:rPr>
          <w:sz w:val="28"/>
          <w:szCs w:val="28"/>
        </w:rPr>
        <w:t xml:space="preserve">los siguientes </w:t>
      </w:r>
      <w:r w:rsidR="00E32AB2" w:rsidRPr="00274507">
        <w:rPr>
          <w:sz w:val="28"/>
          <w:szCs w:val="28"/>
        </w:rPr>
        <w:t>requisitos formales y materiales:</w:t>
      </w:r>
      <w:r w:rsidR="00B322CD" w:rsidRPr="00274507">
        <w:rPr>
          <w:sz w:val="28"/>
          <w:szCs w:val="28"/>
        </w:rPr>
        <w:t xml:space="preserve"> </w:t>
      </w:r>
    </w:p>
    <w:p w:rsidR="002E364B" w:rsidRPr="00274507" w:rsidRDefault="002E364B" w:rsidP="00274507">
      <w:pPr>
        <w:tabs>
          <w:tab w:val="left" w:pos="567"/>
        </w:tabs>
        <w:jc w:val="both"/>
        <w:rPr>
          <w:sz w:val="28"/>
          <w:szCs w:val="28"/>
        </w:rPr>
      </w:pPr>
    </w:p>
    <w:p w:rsidR="00E32AB2" w:rsidRPr="00274507" w:rsidRDefault="00E32AB2" w:rsidP="00274507">
      <w:pPr>
        <w:pStyle w:val="Prrafodelista"/>
        <w:numPr>
          <w:ilvl w:val="2"/>
          <w:numId w:val="31"/>
        </w:numPr>
        <w:tabs>
          <w:tab w:val="left" w:pos="567"/>
        </w:tabs>
        <w:jc w:val="both"/>
        <w:rPr>
          <w:sz w:val="28"/>
          <w:szCs w:val="28"/>
        </w:rPr>
      </w:pPr>
      <w:r w:rsidRPr="00274507">
        <w:rPr>
          <w:sz w:val="28"/>
          <w:szCs w:val="28"/>
        </w:rPr>
        <w:t>Requisitos formales:</w:t>
      </w:r>
    </w:p>
    <w:p w:rsidR="00E32AB2" w:rsidRPr="00274507" w:rsidRDefault="00E32AB2" w:rsidP="00274507">
      <w:pPr>
        <w:pStyle w:val="Prrafodelista"/>
        <w:tabs>
          <w:tab w:val="left" w:pos="567"/>
        </w:tabs>
        <w:ind w:left="720"/>
        <w:jc w:val="both"/>
        <w:rPr>
          <w:sz w:val="28"/>
          <w:szCs w:val="28"/>
        </w:rPr>
      </w:pPr>
    </w:p>
    <w:p w:rsidR="00E32AB2" w:rsidRPr="00274507" w:rsidRDefault="00E32AB2" w:rsidP="00274507">
      <w:pPr>
        <w:pStyle w:val="Prrafodelista"/>
        <w:numPr>
          <w:ilvl w:val="0"/>
          <w:numId w:val="22"/>
        </w:numPr>
        <w:tabs>
          <w:tab w:val="left" w:pos="357"/>
          <w:tab w:val="left" w:pos="567"/>
        </w:tabs>
        <w:autoSpaceDN w:val="0"/>
        <w:jc w:val="both"/>
        <w:rPr>
          <w:sz w:val="28"/>
          <w:szCs w:val="28"/>
        </w:rPr>
      </w:pPr>
      <w:r w:rsidRPr="00274507">
        <w:rPr>
          <w:sz w:val="28"/>
          <w:szCs w:val="28"/>
        </w:rPr>
        <w:t xml:space="preserve">        </w:t>
      </w:r>
      <w:r w:rsidR="008A5948" w:rsidRPr="00274507">
        <w:rPr>
          <w:sz w:val="28"/>
          <w:szCs w:val="28"/>
        </w:rPr>
        <w:t>E</w:t>
      </w:r>
      <w:r w:rsidR="00415C6F" w:rsidRPr="00274507">
        <w:rPr>
          <w:sz w:val="28"/>
          <w:szCs w:val="28"/>
        </w:rPr>
        <w:t xml:space="preserve">ntrega oportuna de los </w:t>
      </w:r>
      <w:r w:rsidRPr="00274507">
        <w:rPr>
          <w:sz w:val="28"/>
          <w:szCs w:val="28"/>
        </w:rPr>
        <w:t xml:space="preserve">informes </w:t>
      </w:r>
      <w:r w:rsidR="00415C6F" w:rsidRPr="00274507">
        <w:rPr>
          <w:sz w:val="28"/>
          <w:szCs w:val="28"/>
        </w:rPr>
        <w:t xml:space="preserve">requeridos por la orden por parte del </w:t>
      </w:r>
      <w:r w:rsidRPr="00274507">
        <w:rPr>
          <w:sz w:val="28"/>
          <w:szCs w:val="28"/>
        </w:rPr>
        <w:t xml:space="preserve">Ministerio de Salud, </w:t>
      </w:r>
      <w:r w:rsidR="008A5948" w:rsidRPr="00274507">
        <w:rPr>
          <w:sz w:val="28"/>
          <w:szCs w:val="28"/>
        </w:rPr>
        <w:t>cada</w:t>
      </w:r>
      <w:r w:rsidRPr="00274507">
        <w:rPr>
          <w:sz w:val="28"/>
          <w:szCs w:val="28"/>
        </w:rPr>
        <w:t xml:space="preserve"> 1º de febrero.</w:t>
      </w:r>
    </w:p>
    <w:p w:rsidR="00E32AB2" w:rsidRPr="00274507" w:rsidRDefault="008A5948" w:rsidP="00274507">
      <w:pPr>
        <w:pStyle w:val="Prrafodelista"/>
        <w:numPr>
          <w:ilvl w:val="0"/>
          <w:numId w:val="22"/>
        </w:numPr>
        <w:tabs>
          <w:tab w:val="left" w:pos="357"/>
          <w:tab w:val="left" w:pos="567"/>
        </w:tabs>
        <w:autoSpaceDN w:val="0"/>
        <w:jc w:val="both"/>
        <w:rPr>
          <w:sz w:val="28"/>
          <w:szCs w:val="28"/>
        </w:rPr>
      </w:pPr>
      <w:r w:rsidRPr="00274507">
        <w:rPr>
          <w:sz w:val="28"/>
          <w:szCs w:val="28"/>
        </w:rPr>
        <w:t xml:space="preserve">La entrega de los ocho informes </w:t>
      </w:r>
      <w:r w:rsidR="00E32AB2" w:rsidRPr="00274507">
        <w:rPr>
          <w:sz w:val="28"/>
          <w:szCs w:val="28"/>
        </w:rPr>
        <w:t>ante la Defensoría del Pueblo y la Pr</w:t>
      </w:r>
      <w:r w:rsidRPr="00274507">
        <w:rPr>
          <w:sz w:val="28"/>
          <w:szCs w:val="28"/>
        </w:rPr>
        <w:t>ocuraduría General de la Nación,</w:t>
      </w:r>
      <w:r w:rsidR="00415C6F" w:rsidRPr="00274507">
        <w:rPr>
          <w:sz w:val="28"/>
          <w:szCs w:val="28"/>
        </w:rPr>
        <w:t xml:space="preserve"> dentro del plazo establecido</w:t>
      </w:r>
      <w:r w:rsidRPr="00274507">
        <w:rPr>
          <w:sz w:val="28"/>
          <w:szCs w:val="28"/>
        </w:rPr>
        <w:t>.</w:t>
      </w:r>
    </w:p>
    <w:p w:rsidR="008A5948" w:rsidRPr="00274507" w:rsidRDefault="008A5948" w:rsidP="00274507">
      <w:pPr>
        <w:tabs>
          <w:tab w:val="left" w:pos="357"/>
          <w:tab w:val="left" w:pos="567"/>
        </w:tabs>
        <w:autoSpaceDN w:val="0"/>
        <w:jc w:val="both"/>
        <w:rPr>
          <w:sz w:val="28"/>
          <w:szCs w:val="28"/>
        </w:rPr>
      </w:pPr>
    </w:p>
    <w:p w:rsidR="00336636" w:rsidRPr="00274507" w:rsidRDefault="008A5948" w:rsidP="00274507">
      <w:pPr>
        <w:pStyle w:val="Prrafodelista"/>
        <w:numPr>
          <w:ilvl w:val="2"/>
          <w:numId w:val="29"/>
        </w:numPr>
        <w:tabs>
          <w:tab w:val="left" w:pos="357"/>
          <w:tab w:val="left" w:pos="567"/>
        </w:tabs>
        <w:autoSpaceDN w:val="0"/>
        <w:jc w:val="both"/>
        <w:rPr>
          <w:sz w:val="28"/>
          <w:szCs w:val="28"/>
        </w:rPr>
      </w:pPr>
      <w:r w:rsidRPr="00274507">
        <w:rPr>
          <w:sz w:val="28"/>
          <w:szCs w:val="28"/>
        </w:rPr>
        <w:t>Requisitos materiales:</w:t>
      </w:r>
    </w:p>
    <w:p w:rsidR="00D87DCC" w:rsidRPr="00274507" w:rsidRDefault="00D87DCC" w:rsidP="00274507">
      <w:pPr>
        <w:tabs>
          <w:tab w:val="left" w:pos="357"/>
          <w:tab w:val="left" w:pos="567"/>
        </w:tabs>
        <w:autoSpaceDN w:val="0"/>
        <w:jc w:val="both"/>
        <w:rPr>
          <w:sz w:val="28"/>
          <w:szCs w:val="28"/>
        </w:rPr>
      </w:pPr>
    </w:p>
    <w:p w:rsidR="00336636" w:rsidRPr="00274507" w:rsidRDefault="00336636" w:rsidP="00274507">
      <w:pPr>
        <w:pStyle w:val="Prrafodelista"/>
        <w:numPr>
          <w:ilvl w:val="0"/>
          <w:numId w:val="22"/>
        </w:numPr>
        <w:tabs>
          <w:tab w:val="left" w:pos="357"/>
          <w:tab w:val="left" w:pos="567"/>
        </w:tabs>
        <w:autoSpaceDN w:val="0"/>
        <w:jc w:val="both"/>
        <w:rPr>
          <w:sz w:val="28"/>
          <w:szCs w:val="28"/>
        </w:rPr>
      </w:pPr>
      <w:r w:rsidRPr="00274507">
        <w:rPr>
          <w:sz w:val="28"/>
          <w:szCs w:val="28"/>
        </w:rPr>
        <w:t>Los pronunciamientos y gestiones adelantadas por parte de la Defensoría del Pueblo y la Procuraduría General de la Nación, respecto a los informes presentados por el Ministerio de Salud y su incidencia en el cumplimiento de la orden trigésima.</w:t>
      </w:r>
    </w:p>
    <w:p w:rsidR="00FD38C8" w:rsidRPr="00274507" w:rsidRDefault="008A5948" w:rsidP="00274507">
      <w:pPr>
        <w:pStyle w:val="Prrafodelista"/>
        <w:numPr>
          <w:ilvl w:val="0"/>
          <w:numId w:val="22"/>
        </w:numPr>
        <w:tabs>
          <w:tab w:val="left" w:pos="357"/>
          <w:tab w:val="left" w:pos="567"/>
        </w:tabs>
        <w:autoSpaceDN w:val="0"/>
        <w:jc w:val="both"/>
        <w:rPr>
          <w:sz w:val="28"/>
          <w:szCs w:val="28"/>
        </w:rPr>
      </w:pPr>
      <w:r w:rsidRPr="00274507">
        <w:rPr>
          <w:sz w:val="28"/>
          <w:szCs w:val="28"/>
        </w:rPr>
        <w:t>La medición de las acciones de tutela que resuelvan los problemas jurídicos de la T-760 de 2008.</w:t>
      </w:r>
    </w:p>
    <w:p w:rsidR="00FD38C8" w:rsidRPr="00274507" w:rsidRDefault="00FD38C8" w:rsidP="00274507">
      <w:pPr>
        <w:pStyle w:val="Prrafodelista"/>
        <w:numPr>
          <w:ilvl w:val="0"/>
          <w:numId w:val="22"/>
        </w:numPr>
        <w:tabs>
          <w:tab w:val="left" w:pos="357"/>
          <w:tab w:val="left" w:pos="567"/>
        </w:tabs>
        <w:autoSpaceDN w:val="0"/>
        <w:jc w:val="both"/>
        <w:rPr>
          <w:sz w:val="28"/>
          <w:szCs w:val="28"/>
        </w:rPr>
      </w:pPr>
      <w:r w:rsidRPr="00274507">
        <w:rPr>
          <w:sz w:val="28"/>
          <w:szCs w:val="28"/>
        </w:rPr>
        <w:t>Las razones por las cuales han</w:t>
      </w:r>
      <w:r w:rsidR="00EA6A5D" w:rsidRPr="00274507">
        <w:rPr>
          <w:sz w:val="28"/>
          <w:szCs w:val="28"/>
        </w:rPr>
        <w:t xml:space="preserve"> aumentado o</w:t>
      </w:r>
      <w:r w:rsidRPr="00274507">
        <w:rPr>
          <w:sz w:val="28"/>
          <w:szCs w:val="28"/>
        </w:rPr>
        <w:t xml:space="preserve"> disminuido las acciones de tutela.</w:t>
      </w:r>
    </w:p>
    <w:p w:rsidR="00EC4DA5" w:rsidRPr="00274507" w:rsidRDefault="00EC4DA5" w:rsidP="00274507">
      <w:pPr>
        <w:pStyle w:val="Prrafodelista"/>
        <w:numPr>
          <w:ilvl w:val="0"/>
          <w:numId w:val="22"/>
        </w:numPr>
        <w:tabs>
          <w:tab w:val="left" w:pos="357"/>
          <w:tab w:val="left" w:pos="567"/>
        </w:tabs>
        <w:autoSpaceDN w:val="0"/>
        <w:jc w:val="both"/>
        <w:rPr>
          <w:sz w:val="28"/>
          <w:szCs w:val="28"/>
        </w:rPr>
      </w:pPr>
      <w:r w:rsidRPr="00274507">
        <w:rPr>
          <w:sz w:val="28"/>
          <w:szCs w:val="28"/>
        </w:rPr>
        <w:t>Las medidas que ha implementado el Ministerio de Salud y sus resultados.</w:t>
      </w:r>
    </w:p>
    <w:p w:rsidR="00336636" w:rsidRPr="00274507" w:rsidRDefault="00336636" w:rsidP="00274507">
      <w:pPr>
        <w:tabs>
          <w:tab w:val="left" w:pos="357"/>
          <w:tab w:val="left" w:pos="567"/>
        </w:tabs>
        <w:autoSpaceDN w:val="0"/>
        <w:jc w:val="both"/>
        <w:rPr>
          <w:sz w:val="28"/>
          <w:szCs w:val="28"/>
        </w:rPr>
      </w:pPr>
    </w:p>
    <w:p w:rsidR="00EC4DA5" w:rsidRPr="00274507" w:rsidRDefault="00336636" w:rsidP="00274507">
      <w:pPr>
        <w:tabs>
          <w:tab w:val="left" w:pos="357"/>
          <w:tab w:val="left" w:pos="567"/>
        </w:tabs>
        <w:autoSpaceDN w:val="0"/>
        <w:jc w:val="both"/>
        <w:rPr>
          <w:sz w:val="28"/>
          <w:szCs w:val="28"/>
        </w:rPr>
      </w:pPr>
      <w:r w:rsidRPr="00274507">
        <w:rPr>
          <w:sz w:val="28"/>
          <w:szCs w:val="28"/>
        </w:rPr>
        <w:t>De igual forma, para evaluar el cumplimiento material de la orden,</w:t>
      </w:r>
      <w:r w:rsidR="00EC4DA5" w:rsidRPr="00274507">
        <w:rPr>
          <w:sz w:val="28"/>
          <w:szCs w:val="28"/>
        </w:rPr>
        <w:t xml:space="preserve"> respecto al contenido de los ocho informes presentados ante esta Sala Especial de Seguimiento,</w:t>
      </w:r>
      <w:r w:rsidRPr="00274507">
        <w:rPr>
          <w:sz w:val="28"/>
          <w:szCs w:val="28"/>
        </w:rPr>
        <w:t xml:space="preserve"> se tendrán en cuenta los siguientes presupuestos de verificaci</w:t>
      </w:r>
      <w:r w:rsidR="00EC4DA5" w:rsidRPr="00274507">
        <w:rPr>
          <w:sz w:val="28"/>
          <w:szCs w:val="28"/>
        </w:rPr>
        <w:t>ón:</w:t>
      </w:r>
    </w:p>
    <w:p w:rsidR="00EC4DA5" w:rsidRPr="00274507" w:rsidRDefault="00EC4DA5" w:rsidP="00274507">
      <w:pPr>
        <w:tabs>
          <w:tab w:val="left" w:pos="357"/>
          <w:tab w:val="left" w:pos="567"/>
        </w:tabs>
        <w:autoSpaceDN w:val="0"/>
        <w:jc w:val="both"/>
        <w:rPr>
          <w:sz w:val="28"/>
          <w:szCs w:val="28"/>
        </w:rPr>
      </w:pPr>
    </w:p>
    <w:p w:rsidR="00EC4DA5" w:rsidRPr="00274507" w:rsidRDefault="00EC4DA5" w:rsidP="00274507">
      <w:pPr>
        <w:pStyle w:val="Prrafodelista"/>
        <w:numPr>
          <w:ilvl w:val="0"/>
          <w:numId w:val="23"/>
        </w:numPr>
        <w:tabs>
          <w:tab w:val="left" w:pos="357"/>
          <w:tab w:val="left" w:pos="567"/>
        </w:tabs>
        <w:autoSpaceDN w:val="0"/>
        <w:jc w:val="both"/>
        <w:rPr>
          <w:sz w:val="28"/>
          <w:szCs w:val="28"/>
        </w:rPr>
      </w:pPr>
      <w:r w:rsidRPr="00274507">
        <w:rPr>
          <w:sz w:val="28"/>
          <w:szCs w:val="28"/>
        </w:rPr>
        <w:t xml:space="preserve">        El contenido debe ser claro, preciso y concreto para cada año analizado.</w:t>
      </w:r>
    </w:p>
    <w:p w:rsidR="00336636" w:rsidRPr="00274507" w:rsidRDefault="00336636" w:rsidP="00274507">
      <w:pPr>
        <w:pStyle w:val="Prrafodelista"/>
        <w:numPr>
          <w:ilvl w:val="0"/>
          <w:numId w:val="23"/>
        </w:numPr>
        <w:tabs>
          <w:tab w:val="left" w:pos="357"/>
          <w:tab w:val="left" w:pos="567"/>
        </w:tabs>
        <w:autoSpaceDN w:val="0"/>
        <w:jc w:val="both"/>
        <w:rPr>
          <w:color w:val="2E74B5" w:themeColor="accent1" w:themeShade="BF"/>
          <w:sz w:val="28"/>
          <w:szCs w:val="28"/>
          <w:u w:val="single"/>
        </w:rPr>
      </w:pPr>
      <w:r w:rsidRPr="00274507">
        <w:rPr>
          <w:sz w:val="28"/>
          <w:szCs w:val="28"/>
        </w:rPr>
        <w:t xml:space="preserve">Las metodologías implementadas </w:t>
      </w:r>
      <w:r w:rsidR="00A314F8" w:rsidRPr="00274507">
        <w:rPr>
          <w:sz w:val="28"/>
          <w:szCs w:val="28"/>
        </w:rPr>
        <w:t xml:space="preserve">para </w:t>
      </w:r>
      <w:r w:rsidRPr="00274507">
        <w:rPr>
          <w:sz w:val="28"/>
          <w:szCs w:val="28"/>
        </w:rPr>
        <w:t>la selección de la muestra.</w:t>
      </w:r>
    </w:p>
    <w:p w:rsidR="00336636" w:rsidRPr="00274507" w:rsidRDefault="00336636" w:rsidP="00274507">
      <w:pPr>
        <w:pStyle w:val="Prrafodelista"/>
        <w:numPr>
          <w:ilvl w:val="0"/>
          <w:numId w:val="23"/>
        </w:numPr>
        <w:tabs>
          <w:tab w:val="left" w:pos="357"/>
          <w:tab w:val="left" w:pos="567"/>
        </w:tabs>
        <w:autoSpaceDN w:val="0"/>
        <w:jc w:val="both"/>
        <w:rPr>
          <w:sz w:val="28"/>
          <w:szCs w:val="28"/>
        </w:rPr>
      </w:pPr>
      <w:r w:rsidRPr="00274507">
        <w:rPr>
          <w:sz w:val="28"/>
          <w:szCs w:val="28"/>
        </w:rPr>
        <w:t xml:space="preserve">La caracterización y variables usadas para </w:t>
      </w:r>
      <w:r w:rsidR="00EC4DA5" w:rsidRPr="00274507">
        <w:rPr>
          <w:sz w:val="28"/>
          <w:szCs w:val="28"/>
        </w:rPr>
        <w:t>la identificación de</w:t>
      </w:r>
      <w:r w:rsidRPr="00274507">
        <w:rPr>
          <w:sz w:val="28"/>
          <w:szCs w:val="28"/>
        </w:rPr>
        <w:t xml:space="preserve"> las tutelas y</w:t>
      </w:r>
      <w:r w:rsidR="00EC4DA5" w:rsidRPr="00274507">
        <w:rPr>
          <w:sz w:val="28"/>
          <w:szCs w:val="28"/>
        </w:rPr>
        <w:t xml:space="preserve"> </w:t>
      </w:r>
      <w:r w:rsidRPr="00274507">
        <w:rPr>
          <w:sz w:val="28"/>
          <w:szCs w:val="28"/>
        </w:rPr>
        <w:t>las principales causas por las cuales los usuarios acuden a dicho amparo.</w:t>
      </w:r>
    </w:p>
    <w:p w:rsidR="00336636" w:rsidRPr="00274507" w:rsidRDefault="00336636" w:rsidP="00274507">
      <w:pPr>
        <w:pStyle w:val="Prrafodelista"/>
        <w:numPr>
          <w:ilvl w:val="0"/>
          <w:numId w:val="23"/>
        </w:numPr>
        <w:tabs>
          <w:tab w:val="left" w:pos="357"/>
          <w:tab w:val="left" w:pos="567"/>
        </w:tabs>
        <w:autoSpaceDN w:val="0"/>
        <w:jc w:val="both"/>
        <w:rPr>
          <w:sz w:val="28"/>
          <w:szCs w:val="28"/>
        </w:rPr>
      </w:pPr>
      <w:r w:rsidRPr="00274507">
        <w:rPr>
          <w:sz w:val="28"/>
          <w:szCs w:val="28"/>
        </w:rPr>
        <w:t>La existencia de los indicadores de goce efectivo del derecho (GED) como herramienta de evaluación de la actuación de los actores del sistema.</w:t>
      </w:r>
    </w:p>
    <w:p w:rsidR="00336636" w:rsidRPr="00274507" w:rsidRDefault="00336636" w:rsidP="00274507">
      <w:pPr>
        <w:pStyle w:val="Prrafodelista"/>
        <w:tabs>
          <w:tab w:val="left" w:pos="357"/>
          <w:tab w:val="left" w:pos="567"/>
        </w:tabs>
        <w:autoSpaceDN w:val="0"/>
        <w:ind w:left="1080"/>
        <w:jc w:val="both"/>
        <w:rPr>
          <w:sz w:val="28"/>
          <w:szCs w:val="28"/>
        </w:rPr>
      </w:pPr>
    </w:p>
    <w:p w:rsidR="006A33AD" w:rsidRPr="00274507" w:rsidRDefault="00EC4DA5" w:rsidP="00274507">
      <w:pPr>
        <w:tabs>
          <w:tab w:val="left" w:pos="567"/>
        </w:tabs>
        <w:jc w:val="both"/>
        <w:rPr>
          <w:sz w:val="28"/>
          <w:szCs w:val="28"/>
        </w:rPr>
      </w:pPr>
      <w:r w:rsidRPr="00274507">
        <w:rPr>
          <w:sz w:val="28"/>
          <w:szCs w:val="28"/>
        </w:rPr>
        <w:t>Una vez analizado lo anterior, este Tribunal procederá a decidir lo que en derecho corresponda, respecto al nivel de cumplimiento de la orden trigésima por parte del Ministerio de S</w:t>
      </w:r>
      <w:r w:rsidR="002B19FA" w:rsidRPr="00274507">
        <w:rPr>
          <w:sz w:val="28"/>
          <w:szCs w:val="28"/>
        </w:rPr>
        <w:t>alud y de la Protección Social.</w:t>
      </w:r>
    </w:p>
    <w:p w:rsidR="006A33AD" w:rsidRPr="00274507" w:rsidRDefault="006A33AD" w:rsidP="00274507">
      <w:pPr>
        <w:tabs>
          <w:tab w:val="left" w:pos="567"/>
        </w:tabs>
        <w:jc w:val="both"/>
        <w:rPr>
          <w:sz w:val="28"/>
          <w:szCs w:val="28"/>
        </w:rPr>
      </w:pPr>
    </w:p>
    <w:p w:rsidR="00256AF6" w:rsidRPr="00274507" w:rsidRDefault="00014BDA" w:rsidP="00274507">
      <w:pPr>
        <w:pStyle w:val="Prrafodelista"/>
        <w:numPr>
          <w:ilvl w:val="0"/>
          <w:numId w:val="29"/>
        </w:numPr>
        <w:tabs>
          <w:tab w:val="left" w:pos="426"/>
          <w:tab w:val="left" w:pos="1080"/>
        </w:tabs>
        <w:jc w:val="both"/>
        <w:rPr>
          <w:b/>
          <w:bCs/>
          <w:sz w:val="28"/>
          <w:szCs w:val="28"/>
        </w:rPr>
      </w:pPr>
      <w:r w:rsidRPr="00274507">
        <w:rPr>
          <w:b/>
          <w:bCs/>
          <w:sz w:val="28"/>
          <w:szCs w:val="28"/>
        </w:rPr>
        <w:t>Acatamiento de la</w:t>
      </w:r>
      <w:r w:rsidR="00D15DB2" w:rsidRPr="00274507">
        <w:rPr>
          <w:b/>
          <w:bCs/>
          <w:sz w:val="28"/>
          <w:szCs w:val="28"/>
        </w:rPr>
        <w:t xml:space="preserve"> entrega de los informes por</w:t>
      </w:r>
      <w:r w:rsidR="000C0886" w:rsidRPr="00274507">
        <w:rPr>
          <w:b/>
          <w:bCs/>
          <w:sz w:val="28"/>
          <w:szCs w:val="28"/>
        </w:rPr>
        <w:t xml:space="preserve"> parte del Ministerio de Salud </w:t>
      </w:r>
      <w:r w:rsidR="00256AF6" w:rsidRPr="00274507">
        <w:rPr>
          <w:b/>
          <w:bCs/>
          <w:sz w:val="28"/>
          <w:szCs w:val="28"/>
        </w:rPr>
        <w:t>ante</w:t>
      </w:r>
      <w:r w:rsidR="00D87DCC" w:rsidRPr="00274507">
        <w:rPr>
          <w:b/>
          <w:bCs/>
          <w:sz w:val="28"/>
          <w:szCs w:val="28"/>
        </w:rPr>
        <w:t xml:space="preserve"> esta Sala Especial de Seguimiento</w:t>
      </w:r>
      <w:r w:rsidR="00256AF6" w:rsidRPr="00274507">
        <w:rPr>
          <w:b/>
          <w:bCs/>
          <w:sz w:val="28"/>
          <w:szCs w:val="28"/>
        </w:rPr>
        <w:t>.</w:t>
      </w:r>
    </w:p>
    <w:p w:rsidR="00256AF6" w:rsidRPr="00274507" w:rsidRDefault="00256AF6" w:rsidP="00274507">
      <w:pPr>
        <w:pStyle w:val="Prrafodelista"/>
        <w:tabs>
          <w:tab w:val="left" w:pos="426"/>
          <w:tab w:val="left" w:pos="1080"/>
        </w:tabs>
        <w:ind w:left="0"/>
        <w:jc w:val="both"/>
        <w:rPr>
          <w:b/>
          <w:bCs/>
          <w:sz w:val="28"/>
          <w:szCs w:val="28"/>
        </w:rPr>
      </w:pPr>
    </w:p>
    <w:p w:rsidR="00256AF6" w:rsidRPr="00274507" w:rsidRDefault="00256AF6" w:rsidP="00274507">
      <w:pPr>
        <w:tabs>
          <w:tab w:val="left" w:pos="567"/>
          <w:tab w:val="left" w:pos="1080"/>
        </w:tabs>
        <w:jc w:val="both"/>
        <w:rPr>
          <w:sz w:val="28"/>
          <w:szCs w:val="28"/>
        </w:rPr>
      </w:pPr>
      <w:r w:rsidRPr="00274507">
        <w:rPr>
          <w:sz w:val="28"/>
          <w:szCs w:val="28"/>
        </w:rPr>
        <w:t>En la orden trigésima se dispuso que el Ministerio debía</w:t>
      </w:r>
      <w:r w:rsidR="0032126B" w:rsidRPr="00274507">
        <w:rPr>
          <w:sz w:val="28"/>
          <w:szCs w:val="28"/>
        </w:rPr>
        <w:t xml:space="preserve"> </w:t>
      </w:r>
      <w:r w:rsidRPr="00274507">
        <w:rPr>
          <w:sz w:val="28"/>
          <w:szCs w:val="28"/>
        </w:rPr>
        <w:t xml:space="preserve">presentar </w:t>
      </w:r>
      <w:r w:rsidR="00D6342E" w:rsidRPr="00274507">
        <w:rPr>
          <w:sz w:val="28"/>
          <w:szCs w:val="28"/>
        </w:rPr>
        <w:t xml:space="preserve">ante este Tribunal </w:t>
      </w:r>
      <w:r w:rsidRPr="00274507">
        <w:rPr>
          <w:sz w:val="28"/>
          <w:szCs w:val="28"/>
        </w:rPr>
        <w:t>un informe</w:t>
      </w:r>
      <w:r w:rsidR="00D6342E" w:rsidRPr="00274507">
        <w:rPr>
          <w:sz w:val="28"/>
          <w:szCs w:val="28"/>
        </w:rPr>
        <w:t xml:space="preserve"> anual</w:t>
      </w:r>
      <w:r w:rsidRPr="00274507">
        <w:rPr>
          <w:sz w:val="28"/>
          <w:szCs w:val="28"/>
        </w:rPr>
        <w:t xml:space="preserve"> </w:t>
      </w:r>
      <w:r w:rsidR="00EA6A5D" w:rsidRPr="00274507">
        <w:rPr>
          <w:sz w:val="28"/>
          <w:szCs w:val="28"/>
        </w:rPr>
        <w:t>de medición de las tutelas</w:t>
      </w:r>
      <w:r w:rsidRPr="00274507">
        <w:rPr>
          <w:sz w:val="28"/>
          <w:szCs w:val="28"/>
        </w:rPr>
        <w:t>, teniendo como fecha de entrega el 1º</w:t>
      </w:r>
      <w:r w:rsidR="00A60AA4" w:rsidRPr="00274507">
        <w:rPr>
          <w:sz w:val="28"/>
          <w:szCs w:val="28"/>
        </w:rPr>
        <w:t xml:space="preserve"> de</w:t>
      </w:r>
      <w:r w:rsidRPr="00274507">
        <w:rPr>
          <w:sz w:val="28"/>
          <w:szCs w:val="28"/>
        </w:rPr>
        <w:t xml:space="preserve"> febrero de 2009</w:t>
      </w:r>
      <w:r w:rsidR="00EA6A5D" w:rsidRPr="00274507">
        <w:rPr>
          <w:sz w:val="28"/>
          <w:szCs w:val="28"/>
        </w:rPr>
        <w:t xml:space="preserve"> de cada anualidad</w:t>
      </w:r>
      <w:r w:rsidR="00D87DCC" w:rsidRPr="00274507">
        <w:rPr>
          <w:sz w:val="28"/>
          <w:szCs w:val="28"/>
        </w:rPr>
        <w:t>.</w:t>
      </w:r>
    </w:p>
    <w:p w:rsidR="00D87DCC" w:rsidRPr="00274507" w:rsidRDefault="00D87DCC" w:rsidP="00274507">
      <w:pPr>
        <w:jc w:val="both"/>
        <w:rPr>
          <w:sz w:val="28"/>
          <w:szCs w:val="28"/>
        </w:rPr>
      </w:pPr>
    </w:p>
    <w:p w:rsidR="000C0886" w:rsidRPr="00274507" w:rsidRDefault="000C0886" w:rsidP="00274507">
      <w:pPr>
        <w:jc w:val="both"/>
        <w:rPr>
          <w:sz w:val="28"/>
          <w:szCs w:val="28"/>
        </w:rPr>
      </w:pPr>
      <w:r w:rsidRPr="00274507">
        <w:rPr>
          <w:sz w:val="28"/>
          <w:szCs w:val="28"/>
        </w:rPr>
        <w:t xml:space="preserve">Como consecuencia, </w:t>
      </w:r>
      <w:r w:rsidR="00D87DCC" w:rsidRPr="00274507">
        <w:rPr>
          <w:sz w:val="28"/>
          <w:szCs w:val="28"/>
        </w:rPr>
        <w:t xml:space="preserve">se </w:t>
      </w:r>
      <w:r w:rsidRPr="00274507">
        <w:rPr>
          <w:sz w:val="28"/>
          <w:szCs w:val="28"/>
        </w:rPr>
        <w:t>ha</w:t>
      </w:r>
      <w:r w:rsidR="00D87DCC" w:rsidRPr="00274507">
        <w:rPr>
          <w:sz w:val="28"/>
          <w:szCs w:val="28"/>
        </w:rPr>
        <w:t>n</w:t>
      </w:r>
      <w:r w:rsidRPr="00274507">
        <w:rPr>
          <w:sz w:val="28"/>
          <w:szCs w:val="28"/>
        </w:rPr>
        <w:t xml:space="preserve"> presentado ocho (8) informes a saber, así:</w:t>
      </w:r>
    </w:p>
    <w:p w:rsidR="000C0886" w:rsidRPr="00274507" w:rsidRDefault="000C0886" w:rsidP="00274507">
      <w:pPr>
        <w:jc w:val="both"/>
        <w:rPr>
          <w:sz w:val="28"/>
          <w:szCs w:val="28"/>
        </w:rPr>
      </w:pPr>
    </w:p>
    <w:tbl>
      <w:tblPr>
        <w:tblStyle w:val="Tablaconcuadrcula"/>
        <w:tblW w:w="0" w:type="auto"/>
        <w:tblLook w:val="04A0" w:firstRow="1" w:lastRow="0" w:firstColumn="1" w:lastColumn="0" w:noHBand="0" w:noVBand="1"/>
      </w:tblPr>
      <w:tblGrid>
        <w:gridCol w:w="2122"/>
        <w:gridCol w:w="3685"/>
        <w:gridCol w:w="3306"/>
      </w:tblGrid>
      <w:tr w:rsidR="000C0886" w:rsidRPr="00274507" w:rsidTr="00F41272">
        <w:tc>
          <w:tcPr>
            <w:tcW w:w="2122" w:type="dxa"/>
          </w:tcPr>
          <w:p w:rsidR="000C0886" w:rsidRPr="00274507" w:rsidRDefault="000C0886" w:rsidP="00274507">
            <w:pPr>
              <w:jc w:val="center"/>
              <w:rPr>
                <w:b/>
                <w:sz w:val="28"/>
                <w:szCs w:val="28"/>
              </w:rPr>
            </w:pPr>
            <w:r w:rsidRPr="00274507">
              <w:rPr>
                <w:b/>
                <w:sz w:val="28"/>
                <w:szCs w:val="28"/>
              </w:rPr>
              <w:t>Informe</w:t>
            </w:r>
          </w:p>
          <w:p w:rsidR="000C0886" w:rsidRPr="00274507" w:rsidRDefault="000C0886" w:rsidP="00274507">
            <w:pPr>
              <w:jc w:val="center"/>
              <w:rPr>
                <w:b/>
                <w:sz w:val="28"/>
                <w:szCs w:val="28"/>
              </w:rPr>
            </w:pPr>
          </w:p>
        </w:tc>
        <w:tc>
          <w:tcPr>
            <w:tcW w:w="3685" w:type="dxa"/>
          </w:tcPr>
          <w:p w:rsidR="000C0886" w:rsidRPr="00274507" w:rsidRDefault="000C0886" w:rsidP="00274507">
            <w:pPr>
              <w:jc w:val="center"/>
              <w:rPr>
                <w:b/>
                <w:sz w:val="28"/>
                <w:szCs w:val="28"/>
              </w:rPr>
            </w:pPr>
            <w:r w:rsidRPr="00274507">
              <w:rPr>
                <w:b/>
                <w:sz w:val="28"/>
                <w:szCs w:val="28"/>
              </w:rPr>
              <w:t>Fecha</w:t>
            </w:r>
          </w:p>
        </w:tc>
        <w:tc>
          <w:tcPr>
            <w:tcW w:w="3306" w:type="dxa"/>
          </w:tcPr>
          <w:p w:rsidR="000C0886" w:rsidRPr="00274507" w:rsidRDefault="000C0886" w:rsidP="00274507">
            <w:pPr>
              <w:jc w:val="both"/>
              <w:rPr>
                <w:b/>
                <w:sz w:val="28"/>
                <w:szCs w:val="28"/>
              </w:rPr>
            </w:pPr>
            <w:r w:rsidRPr="00274507">
              <w:rPr>
                <w:b/>
                <w:sz w:val="28"/>
                <w:szCs w:val="28"/>
              </w:rPr>
              <w:t>Periodo analizado</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I</w:t>
            </w:r>
            <w:r w:rsidRPr="00274507">
              <w:rPr>
                <w:rStyle w:val="Refdenotaalpie"/>
                <w:sz w:val="28"/>
                <w:szCs w:val="28"/>
              </w:rPr>
              <w:footnoteReference w:id="136"/>
            </w:r>
          </w:p>
        </w:tc>
        <w:tc>
          <w:tcPr>
            <w:tcW w:w="3685" w:type="dxa"/>
          </w:tcPr>
          <w:p w:rsidR="000C0886" w:rsidRPr="00274507" w:rsidRDefault="000C0886" w:rsidP="00274507">
            <w:pPr>
              <w:jc w:val="both"/>
              <w:rPr>
                <w:sz w:val="28"/>
                <w:szCs w:val="28"/>
              </w:rPr>
            </w:pPr>
            <w:r w:rsidRPr="00274507">
              <w:rPr>
                <w:sz w:val="28"/>
                <w:szCs w:val="28"/>
              </w:rPr>
              <w:t>30 de enero de 2009</w:t>
            </w:r>
          </w:p>
        </w:tc>
        <w:tc>
          <w:tcPr>
            <w:tcW w:w="3306" w:type="dxa"/>
          </w:tcPr>
          <w:p w:rsidR="000C0886" w:rsidRPr="00274507" w:rsidRDefault="000C0886" w:rsidP="00274507">
            <w:pPr>
              <w:jc w:val="both"/>
              <w:rPr>
                <w:sz w:val="28"/>
                <w:szCs w:val="28"/>
              </w:rPr>
            </w:pPr>
            <w:r w:rsidRPr="00274507">
              <w:rPr>
                <w:sz w:val="28"/>
                <w:szCs w:val="28"/>
              </w:rPr>
              <w:t>Solicitudes de recobro para el 2009</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II</w:t>
            </w:r>
            <w:r w:rsidRPr="00274507">
              <w:rPr>
                <w:rStyle w:val="Refdenotaalpie"/>
                <w:sz w:val="28"/>
                <w:szCs w:val="28"/>
              </w:rPr>
              <w:footnoteReference w:id="137"/>
            </w:r>
          </w:p>
        </w:tc>
        <w:tc>
          <w:tcPr>
            <w:tcW w:w="3685" w:type="dxa"/>
          </w:tcPr>
          <w:p w:rsidR="000C0886" w:rsidRPr="00274507" w:rsidRDefault="000C0886" w:rsidP="00274507">
            <w:pPr>
              <w:jc w:val="both"/>
              <w:rPr>
                <w:sz w:val="28"/>
                <w:szCs w:val="28"/>
              </w:rPr>
            </w:pPr>
            <w:r w:rsidRPr="00274507">
              <w:rPr>
                <w:sz w:val="28"/>
                <w:szCs w:val="28"/>
              </w:rPr>
              <w:t>17 de agosto de 2010</w:t>
            </w:r>
          </w:p>
        </w:tc>
        <w:tc>
          <w:tcPr>
            <w:tcW w:w="3306" w:type="dxa"/>
          </w:tcPr>
          <w:p w:rsidR="000C0886" w:rsidRPr="00274507" w:rsidRDefault="000C0886" w:rsidP="00274507">
            <w:pPr>
              <w:jc w:val="both"/>
              <w:rPr>
                <w:sz w:val="28"/>
                <w:szCs w:val="28"/>
              </w:rPr>
            </w:pPr>
            <w:r w:rsidRPr="00274507">
              <w:rPr>
                <w:sz w:val="28"/>
                <w:szCs w:val="28"/>
              </w:rPr>
              <w:t xml:space="preserve">Tutelas en las que se ordenó el recobro presentados entre el 2008-2010 </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III</w:t>
            </w:r>
            <w:r w:rsidRPr="00274507">
              <w:rPr>
                <w:rStyle w:val="Refdenotaalpie"/>
                <w:sz w:val="28"/>
                <w:szCs w:val="28"/>
              </w:rPr>
              <w:footnoteReference w:id="138"/>
            </w:r>
          </w:p>
        </w:tc>
        <w:tc>
          <w:tcPr>
            <w:tcW w:w="3685" w:type="dxa"/>
          </w:tcPr>
          <w:p w:rsidR="000C0886" w:rsidRPr="00274507" w:rsidRDefault="000C0886" w:rsidP="00274507">
            <w:pPr>
              <w:jc w:val="both"/>
              <w:rPr>
                <w:sz w:val="28"/>
                <w:szCs w:val="28"/>
              </w:rPr>
            </w:pPr>
            <w:r w:rsidRPr="00274507">
              <w:rPr>
                <w:sz w:val="28"/>
                <w:szCs w:val="28"/>
              </w:rPr>
              <w:t>4 de octubre de 2011</w:t>
            </w:r>
          </w:p>
        </w:tc>
        <w:tc>
          <w:tcPr>
            <w:tcW w:w="3306" w:type="dxa"/>
          </w:tcPr>
          <w:p w:rsidR="000C0886" w:rsidRPr="00274507" w:rsidRDefault="000C0886" w:rsidP="00274507">
            <w:pPr>
              <w:jc w:val="both"/>
              <w:rPr>
                <w:sz w:val="28"/>
                <w:szCs w:val="28"/>
              </w:rPr>
            </w:pPr>
            <w:r w:rsidRPr="00274507">
              <w:rPr>
                <w:sz w:val="28"/>
                <w:szCs w:val="28"/>
              </w:rPr>
              <w:t>Junio de 2010 a mayo de 2011</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IV</w:t>
            </w:r>
            <w:r w:rsidRPr="00274507">
              <w:rPr>
                <w:rStyle w:val="Refdenotaalpie"/>
                <w:sz w:val="28"/>
                <w:szCs w:val="28"/>
              </w:rPr>
              <w:footnoteReference w:id="139"/>
            </w:r>
          </w:p>
        </w:tc>
        <w:tc>
          <w:tcPr>
            <w:tcW w:w="3685" w:type="dxa"/>
          </w:tcPr>
          <w:p w:rsidR="000C0886" w:rsidRPr="00274507" w:rsidRDefault="000C0886" w:rsidP="00274507">
            <w:pPr>
              <w:jc w:val="both"/>
              <w:rPr>
                <w:sz w:val="28"/>
                <w:szCs w:val="28"/>
              </w:rPr>
            </w:pPr>
            <w:r w:rsidRPr="00274507">
              <w:rPr>
                <w:sz w:val="28"/>
                <w:szCs w:val="28"/>
              </w:rPr>
              <w:t>22 de febrero de 2012</w:t>
            </w:r>
          </w:p>
        </w:tc>
        <w:tc>
          <w:tcPr>
            <w:tcW w:w="3306" w:type="dxa"/>
          </w:tcPr>
          <w:p w:rsidR="000C0886" w:rsidRPr="00274507" w:rsidRDefault="000C0886" w:rsidP="00274507">
            <w:pPr>
              <w:jc w:val="both"/>
              <w:rPr>
                <w:sz w:val="28"/>
                <w:szCs w:val="28"/>
              </w:rPr>
            </w:pPr>
            <w:r w:rsidRPr="00274507">
              <w:rPr>
                <w:sz w:val="28"/>
                <w:szCs w:val="28"/>
              </w:rPr>
              <w:t>Información del periodo comprendido entre el 1º de junio de 2011 y el 31 de enero de 2012.</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V</w:t>
            </w:r>
            <w:r w:rsidRPr="00274507">
              <w:rPr>
                <w:rStyle w:val="Refdenotaalpie"/>
                <w:sz w:val="28"/>
                <w:szCs w:val="28"/>
              </w:rPr>
              <w:footnoteReference w:id="140"/>
            </w:r>
          </w:p>
        </w:tc>
        <w:tc>
          <w:tcPr>
            <w:tcW w:w="3685" w:type="dxa"/>
          </w:tcPr>
          <w:p w:rsidR="000C0886" w:rsidRPr="00274507" w:rsidRDefault="00F41272" w:rsidP="00274507">
            <w:pPr>
              <w:jc w:val="both"/>
              <w:rPr>
                <w:sz w:val="28"/>
                <w:szCs w:val="28"/>
              </w:rPr>
            </w:pPr>
            <w:r w:rsidRPr="00274507">
              <w:rPr>
                <w:sz w:val="28"/>
                <w:szCs w:val="28"/>
              </w:rPr>
              <w:t xml:space="preserve">24 de agosto de 2012 </w:t>
            </w:r>
            <w:r w:rsidR="000C0886" w:rsidRPr="00274507">
              <w:rPr>
                <w:sz w:val="28"/>
                <w:szCs w:val="28"/>
              </w:rPr>
              <w:t>(parcial)</w:t>
            </w:r>
          </w:p>
          <w:p w:rsidR="000C0886" w:rsidRPr="00274507" w:rsidRDefault="00F41272" w:rsidP="00274507">
            <w:pPr>
              <w:jc w:val="both"/>
              <w:rPr>
                <w:sz w:val="28"/>
                <w:szCs w:val="28"/>
              </w:rPr>
            </w:pPr>
            <w:r w:rsidRPr="00274507">
              <w:rPr>
                <w:sz w:val="28"/>
                <w:szCs w:val="28"/>
              </w:rPr>
              <w:t xml:space="preserve">1º de febrero de 2013 </w:t>
            </w:r>
            <w:r w:rsidR="000C0886" w:rsidRPr="00274507">
              <w:rPr>
                <w:sz w:val="28"/>
                <w:szCs w:val="28"/>
              </w:rPr>
              <w:t>(completo)</w:t>
            </w:r>
          </w:p>
        </w:tc>
        <w:tc>
          <w:tcPr>
            <w:tcW w:w="3306" w:type="dxa"/>
          </w:tcPr>
          <w:p w:rsidR="000C0886" w:rsidRPr="00274507" w:rsidRDefault="000C0886" w:rsidP="00274507">
            <w:pPr>
              <w:jc w:val="both"/>
              <w:rPr>
                <w:sz w:val="28"/>
                <w:szCs w:val="28"/>
              </w:rPr>
            </w:pPr>
            <w:r w:rsidRPr="00274507">
              <w:rPr>
                <w:sz w:val="28"/>
                <w:szCs w:val="28"/>
              </w:rPr>
              <w:t>Año 2012.</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VI</w:t>
            </w:r>
            <w:r w:rsidRPr="00274507">
              <w:rPr>
                <w:rStyle w:val="Refdenotaalpie"/>
                <w:sz w:val="28"/>
                <w:szCs w:val="28"/>
              </w:rPr>
              <w:footnoteReference w:id="141"/>
            </w:r>
          </w:p>
        </w:tc>
        <w:tc>
          <w:tcPr>
            <w:tcW w:w="3685" w:type="dxa"/>
          </w:tcPr>
          <w:p w:rsidR="000C0886" w:rsidRPr="00274507" w:rsidRDefault="00F41272" w:rsidP="00274507">
            <w:pPr>
              <w:jc w:val="both"/>
              <w:rPr>
                <w:sz w:val="28"/>
                <w:szCs w:val="28"/>
              </w:rPr>
            </w:pPr>
            <w:r w:rsidRPr="00274507">
              <w:rPr>
                <w:sz w:val="28"/>
                <w:szCs w:val="28"/>
              </w:rPr>
              <w:t xml:space="preserve">14 de marzo de 2014 </w:t>
            </w:r>
            <w:r w:rsidR="000C0886" w:rsidRPr="00274507">
              <w:rPr>
                <w:sz w:val="28"/>
                <w:szCs w:val="28"/>
              </w:rPr>
              <w:t>(informe parcial)</w:t>
            </w:r>
          </w:p>
          <w:p w:rsidR="000C0886" w:rsidRPr="00274507" w:rsidRDefault="000C0886" w:rsidP="00274507">
            <w:pPr>
              <w:jc w:val="both"/>
              <w:rPr>
                <w:sz w:val="28"/>
                <w:szCs w:val="28"/>
              </w:rPr>
            </w:pPr>
            <w:r w:rsidRPr="00274507">
              <w:rPr>
                <w:sz w:val="28"/>
                <w:szCs w:val="28"/>
              </w:rPr>
              <w:t>13 d</w:t>
            </w:r>
            <w:r w:rsidR="00F41272" w:rsidRPr="00274507">
              <w:rPr>
                <w:sz w:val="28"/>
                <w:szCs w:val="28"/>
              </w:rPr>
              <w:t xml:space="preserve">e noviembre de 2014 </w:t>
            </w:r>
            <w:r w:rsidRPr="00274507">
              <w:rPr>
                <w:sz w:val="28"/>
                <w:szCs w:val="28"/>
              </w:rPr>
              <w:t>(completo)</w:t>
            </w:r>
          </w:p>
        </w:tc>
        <w:tc>
          <w:tcPr>
            <w:tcW w:w="3306" w:type="dxa"/>
          </w:tcPr>
          <w:p w:rsidR="000C0886" w:rsidRPr="00274507" w:rsidRDefault="000C0886" w:rsidP="00274507">
            <w:pPr>
              <w:jc w:val="both"/>
              <w:rPr>
                <w:sz w:val="28"/>
                <w:szCs w:val="28"/>
              </w:rPr>
            </w:pPr>
            <w:r w:rsidRPr="00274507">
              <w:rPr>
                <w:sz w:val="28"/>
                <w:szCs w:val="28"/>
              </w:rPr>
              <w:t>Informe comparativo para el periodo 2010-2013</w:t>
            </w:r>
          </w:p>
        </w:tc>
      </w:tr>
      <w:tr w:rsidR="000C0886" w:rsidRPr="00274507" w:rsidTr="00F41272">
        <w:tc>
          <w:tcPr>
            <w:tcW w:w="2122" w:type="dxa"/>
          </w:tcPr>
          <w:p w:rsidR="000C0886" w:rsidRPr="00274507" w:rsidRDefault="000C0886" w:rsidP="00274507">
            <w:pPr>
              <w:jc w:val="center"/>
              <w:rPr>
                <w:sz w:val="28"/>
                <w:szCs w:val="28"/>
              </w:rPr>
            </w:pPr>
            <w:r w:rsidRPr="00274507">
              <w:rPr>
                <w:sz w:val="28"/>
                <w:szCs w:val="28"/>
              </w:rPr>
              <w:t>VII</w:t>
            </w:r>
            <w:r w:rsidRPr="00274507">
              <w:rPr>
                <w:rStyle w:val="Refdenotaalpie"/>
                <w:sz w:val="28"/>
                <w:szCs w:val="28"/>
              </w:rPr>
              <w:footnoteReference w:id="142"/>
            </w:r>
          </w:p>
        </w:tc>
        <w:tc>
          <w:tcPr>
            <w:tcW w:w="3685" w:type="dxa"/>
          </w:tcPr>
          <w:p w:rsidR="000C0886" w:rsidRPr="00274507" w:rsidRDefault="000C0886" w:rsidP="00274507">
            <w:pPr>
              <w:pStyle w:val="Prrafodelista"/>
              <w:numPr>
                <w:ilvl w:val="0"/>
                <w:numId w:val="24"/>
              </w:numPr>
              <w:tabs>
                <w:tab w:val="left" w:pos="175"/>
              </w:tabs>
              <w:ind w:left="0" w:firstLine="33"/>
              <w:jc w:val="both"/>
              <w:rPr>
                <w:sz w:val="28"/>
                <w:szCs w:val="28"/>
              </w:rPr>
            </w:pPr>
            <w:r w:rsidRPr="00274507">
              <w:rPr>
                <w:sz w:val="28"/>
                <w:szCs w:val="28"/>
              </w:rPr>
              <w:t>de febrero de 2015</w:t>
            </w:r>
            <w:r w:rsidR="00F41272" w:rsidRPr="00274507">
              <w:rPr>
                <w:sz w:val="28"/>
                <w:szCs w:val="28"/>
              </w:rPr>
              <w:t xml:space="preserve"> </w:t>
            </w:r>
            <w:r w:rsidRPr="00274507">
              <w:rPr>
                <w:sz w:val="28"/>
                <w:szCs w:val="28"/>
              </w:rPr>
              <w:t>(parcial)</w:t>
            </w:r>
          </w:p>
          <w:p w:rsidR="000C0886" w:rsidRPr="00274507" w:rsidRDefault="000C0886" w:rsidP="00274507">
            <w:pPr>
              <w:jc w:val="both"/>
              <w:rPr>
                <w:sz w:val="28"/>
                <w:szCs w:val="28"/>
              </w:rPr>
            </w:pPr>
            <w:r w:rsidRPr="00274507">
              <w:rPr>
                <w:sz w:val="28"/>
                <w:szCs w:val="28"/>
              </w:rPr>
              <w:t>2</w:t>
            </w:r>
            <w:r w:rsidR="00F41272" w:rsidRPr="00274507">
              <w:rPr>
                <w:sz w:val="28"/>
                <w:szCs w:val="28"/>
              </w:rPr>
              <w:t xml:space="preserve">1 de agosto de 2015 </w:t>
            </w:r>
            <w:r w:rsidRPr="00274507">
              <w:rPr>
                <w:sz w:val="28"/>
                <w:szCs w:val="28"/>
              </w:rPr>
              <w:t>(informe completo)</w:t>
            </w:r>
          </w:p>
        </w:tc>
        <w:tc>
          <w:tcPr>
            <w:tcW w:w="3306" w:type="dxa"/>
          </w:tcPr>
          <w:p w:rsidR="000C0886" w:rsidRPr="00274507" w:rsidRDefault="000C0886" w:rsidP="00274507">
            <w:pPr>
              <w:jc w:val="both"/>
              <w:rPr>
                <w:sz w:val="28"/>
                <w:szCs w:val="28"/>
              </w:rPr>
            </w:pPr>
            <w:r w:rsidRPr="00274507">
              <w:rPr>
                <w:sz w:val="28"/>
                <w:szCs w:val="28"/>
              </w:rPr>
              <w:t>Año 2014</w:t>
            </w:r>
          </w:p>
        </w:tc>
      </w:tr>
      <w:tr w:rsidR="000C0886" w:rsidRPr="00274507" w:rsidTr="00F41272">
        <w:trPr>
          <w:trHeight w:val="913"/>
        </w:trPr>
        <w:tc>
          <w:tcPr>
            <w:tcW w:w="2122" w:type="dxa"/>
          </w:tcPr>
          <w:p w:rsidR="000C0886" w:rsidRPr="00274507" w:rsidRDefault="000C0886" w:rsidP="00274507">
            <w:pPr>
              <w:jc w:val="center"/>
              <w:rPr>
                <w:sz w:val="28"/>
                <w:szCs w:val="28"/>
              </w:rPr>
            </w:pPr>
          </w:p>
          <w:p w:rsidR="000C0886" w:rsidRPr="00274507" w:rsidRDefault="000C0886" w:rsidP="00274507">
            <w:pPr>
              <w:jc w:val="center"/>
              <w:rPr>
                <w:sz w:val="28"/>
                <w:szCs w:val="28"/>
              </w:rPr>
            </w:pPr>
          </w:p>
          <w:p w:rsidR="000C0886" w:rsidRPr="00274507" w:rsidRDefault="000C0886" w:rsidP="00274507">
            <w:pPr>
              <w:jc w:val="center"/>
              <w:rPr>
                <w:sz w:val="28"/>
                <w:szCs w:val="28"/>
              </w:rPr>
            </w:pPr>
            <w:r w:rsidRPr="00274507">
              <w:rPr>
                <w:sz w:val="28"/>
                <w:szCs w:val="28"/>
              </w:rPr>
              <w:t>VIII</w:t>
            </w:r>
            <w:r w:rsidRPr="00274507">
              <w:rPr>
                <w:rStyle w:val="Refdenotaalpie"/>
                <w:sz w:val="28"/>
                <w:szCs w:val="28"/>
              </w:rPr>
              <w:footnoteReference w:id="143"/>
            </w:r>
          </w:p>
        </w:tc>
        <w:tc>
          <w:tcPr>
            <w:tcW w:w="3685" w:type="dxa"/>
          </w:tcPr>
          <w:p w:rsidR="000C0886" w:rsidRPr="00274507" w:rsidRDefault="003F7CA0" w:rsidP="00274507">
            <w:pPr>
              <w:jc w:val="both"/>
              <w:rPr>
                <w:sz w:val="28"/>
                <w:szCs w:val="28"/>
              </w:rPr>
            </w:pPr>
            <w:r w:rsidRPr="00274507">
              <w:rPr>
                <w:sz w:val="28"/>
                <w:szCs w:val="28"/>
              </w:rPr>
              <w:t>1º de febrero y 9 de junio de 2016</w:t>
            </w:r>
            <w:r w:rsidR="00F41272" w:rsidRPr="00274507">
              <w:rPr>
                <w:sz w:val="28"/>
                <w:szCs w:val="28"/>
              </w:rPr>
              <w:t xml:space="preserve"> </w:t>
            </w:r>
            <w:r w:rsidR="000C0886" w:rsidRPr="00274507">
              <w:rPr>
                <w:sz w:val="28"/>
                <w:szCs w:val="28"/>
              </w:rPr>
              <w:t>(parcial)</w:t>
            </w:r>
          </w:p>
          <w:p w:rsidR="000C0886" w:rsidRPr="00274507" w:rsidRDefault="00F41272" w:rsidP="00274507">
            <w:pPr>
              <w:jc w:val="both"/>
              <w:rPr>
                <w:sz w:val="28"/>
                <w:szCs w:val="28"/>
              </w:rPr>
            </w:pPr>
            <w:r w:rsidRPr="00274507">
              <w:rPr>
                <w:sz w:val="28"/>
                <w:szCs w:val="28"/>
              </w:rPr>
              <w:t>1º de agosto de 2016 (completo)</w:t>
            </w:r>
          </w:p>
        </w:tc>
        <w:tc>
          <w:tcPr>
            <w:tcW w:w="3306" w:type="dxa"/>
          </w:tcPr>
          <w:p w:rsidR="000C0886" w:rsidRPr="00274507" w:rsidRDefault="000C0886" w:rsidP="00274507">
            <w:pPr>
              <w:jc w:val="both"/>
              <w:rPr>
                <w:sz w:val="28"/>
                <w:szCs w:val="28"/>
              </w:rPr>
            </w:pPr>
            <w:r w:rsidRPr="00274507">
              <w:rPr>
                <w:sz w:val="28"/>
                <w:szCs w:val="28"/>
              </w:rPr>
              <w:t>Año 2015</w:t>
            </w:r>
          </w:p>
        </w:tc>
      </w:tr>
    </w:tbl>
    <w:p w:rsidR="00F41272" w:rsidRPr="00274507" w:rsidRDefault="00F41272" w:rsidP="00274507">
      <w:pPr>
        <w:pStyle w:val="Prrafodelista"/>
        <w:tabs>
          <w:tab w:val="left" w:pos="567"/>
          <w:tab w:val="left" w:pos="1080"/>
        </w:tabs>
        <w:ind w:left="0"/>
        <w:jc w:val="both"/>
        <w:rPr>
          <w:sz w:val="28"/>
          <w:szCs w:val="28"/>
        </w:rPr>
      </w:pPr>
    </w:p>
    <w:p w:rsidR="00197D15" w:rsidRPr="00274507" w:rsidRDefault="000C0886" w:rsidP="00274507">
      <w:pPr>
        <w:pStyle w:val="Prrafodelista"/>
        <w:tabs>
          <w:tab w:val="left" w:pos="567"/>
          <w:tab w:val="left" w:pos="1080"/>
        </w:tabs>
        <w:ind w:left="0"/>
        <w:jc w:val="both"/>
        <w:rPr>
          <w:sz w:val="28"/>
          <w:szCs w:val="28"/>
        </w:rPr>
      </w:pPr>
      <w:r w:rsidRPr="00274507">
        <w:rPr>
          <w:sz w:val="28"/>
          <w:szCs w:val="28"/>
        </w:rPr>
        <w:t>A partir de lo expuesto, la Sala observa que</w:t>
      </w:r>
      <w:r w:rsidR="00B67BF1" w:rsidRPr="00274507">
        <w:rPr>
          <w:sz w:val="28"/>
          <w:szCs w:val="28"/>
        </w:rPr>
        <w:t xml:space="preserve"> dos (I y V) de los ocho informes fueron presentados dentro del término establecido y de forma completa</w:t>
      </w:r>
      <w:r w:rsidR="00EA6A5D" w:rsidRPr="00274507">
        <w:rPr>
          <w:sz w:val="28"/>
          <w:szCs w:val="28"/>
        </w:rPr>
        <w:t>,</w:t>
      </w:r>
      <w:r w:rsidR="00B67BF1" w:rsidRPr="00274507">
        <w:rPr>
          <w:sz w:val="28"/>
          <w:szCs w:val="28"/>
        </w:rPr>
        <w:t xml:space="preserve"> los </w:t>
      </w:r>
      <w:r w:rsidR="00D15DB2" w:rsidRPr="00274507">
        <w:rPr>
          <w:sz w:val="28"/>
          <w:szCs w:val="28"/>
        </w:rPr>
        <w:t>seis</w:t>
      </w:r>
      <w:r w:rsidR="00EA6A5D" w:rsidRPr="00274507">
        <w:rPr>
          <w:sz w:val="28"/>
          <w:szCs w:val="28"/>
        </w:rPr>
        <w:t xml:space="preserve"> restantes, algu</w:t>
      </w:r>
      <w:r w:rsidR="00B67BF1" w:rsidRPr="00274507">
        <w:rPr>
          <w:sz w:val="28"/>
          <w:szCs w:val="28"/>
        </w:rPr>
        <w:t xml:space="preserve">nos </w:t>
      </w:r>
      <w:r w:rsidR="00D15DB2" w:rsidRPr="00274507">
        <w:rPr>
          <w:sz w:val="28"/>
          <w:szCs w:val="28"/>
        </w:rPr>
        <w:t xml:space="preserve">fueron extemporáneos </w:t>
      </w:r>
      <w:r w:rsidR="00B67BF1" w:rsidRPr="00274507">
        <w:rPr>
          <w:sz w:val="28"/>
          <w:szCs w:val="28"/>
        </w:rPr>
        <w:t xml:space="preserve"> </w:t>
      </w:r>
      <w:r w:rsidR="00D15DB2" w:rsidRPr="00274507">
        <w:rPr>
          <w:sz w:val="28"/>
          <w:szCs w:val="28"/>
        </w:rPr>
        <w:t xml:space="preserve">(II, III y IV) y los demás (VI, VII y VIII) radicados </w:t>
      </w:r>
      <w:r w:rsidR="00795397" w:rsidRPr="00274507">
        <w:rPr>
          <w:sz w:val="28"/>
          <w:szCs w:val="28"/>
        </w:rPr>
        <w:t xml:space="preserve">a tiempo respecto a </w:t>
      </w:r>
      <w:r w:rsidR="00D15DB2" w:rsidRPr="00274507">
        <w:rPr>
          <w:sz w:val="28"/>
          <w:szCs w:val="28"/>
        </w:rPr>
        <w:t xml:space="preserve">los reportes </w:t>
      </w:r>
      <w:r w:rsidR="00B67BF1" w:rsidRPr="00274507">
        <w:rPr>
          <w:sz w:val="28"/>
          <w:szCs w:val="28"/>
        </w:rPr>
        <w:t>parcial</w:t>
      </w:r>
      <w:r w:rsidR="00795397" w:rsidRPr="00274507">
        <w:rPr>
          <w:sz w:val="28"/>
          <w:szCs w:val="28"/>
        </w:rPr>
        <w:t>es y</w:t>
      </w:r>
      <w:r w:rsidR="00EA6A5D" w:rsidRPr="00274507">
        <w:rPr>
          <w:sz w:val="28"/>
          <w:szCs w:val="28"/>
        </w:rPr>
        <w:t xml:space="preserve"> extemporáneos los definitivos, razón por la cual</w:t>
      </w:r>
      <w:r w:rsidR="00795397" w:rsidRPr="00274507">
        <w:rPr>
          <w:sz w:val="28"/>
          <w:szCs w:val="28"/>
        </w:rPr>
        <w:t>, no se evidencia el cumplimiento de la fecha establecida para la presentación de los mismos</w:t>
      </w:r>
      <w:r w:rsidR="00EA6A5D" w:rsidRPr="00274507">
        <w:rPr>
          <w:sz w:val="28"/>
          <w:szCs w:val="28"/>
        </w:rPr>
        <w:t>, por parte del ente regulador</w:t>
      </w:r>
      <w:r w:rsidR="00795397" w:rsidRPr="00274507">
        <w:rPr>
          <w:sz w:val="28"/>
          <w:szCs w:val="28"/>
        </w:rPr>
        <w:t xml:space="preserve">. </w:t>
      </w:r>
    </w:p>
    <w:p w:rsidR="00B170D2" w:rsidRPr="00274507" w:rsidRDefault="00B170D2" w:rsidP="00274507">
      <w:pPr>
        <w:pStyle w:val="Prrafodelista"/>
        <w:tabs>
          <w:tab w:val="left" w:pos="567"/>
          <w:tab w:val="left" w:pos="1080"/>
        </w:tabs>
        <w:ind w:left="0"/>
        <w:jc w:val="both"/>
        <w:rPr>
          <w:sz w:val="28"/>
          <w:szCs w:val="28"/>
        </w:rPr>
      </w:pPr>
    </w:p>
    <w:p w:rsidR="00D45AF4" w:rsidRPr="00274507" w:rsidRDefault="00EA6A5D" w:rsidP="00274507">
      <w:pPr>
        <w:pStyle w:val="Prrafodelista"/>
        <w:tabs>
          <w:tab w:val="left" w:pos="567"/>
          <w:tab w:val="left" w:pos="1080"/>
        </w:tabs>
        <w:ind w:left="0"/>
        <w:jc w:val="both"/>
        <w:rPr>
          <w:sz w:val="28"/>
          <w:szCs w:val="28"/>
        </w:rPr>
      </w:pPr>
      <w:r w:rsidRPr="00274507">
        <w:rPr>
          <w:sz w:val="28"/>
          <w:szCs w:val="28"/>
        </w:rPr>
        <w:t>Como justificación de lo anterior, e</w:t>
      </w:r>
      <w:r w:rsidR="00197D15" w:rsidRPr="00274507">
        <w:rPr>
          <w:sz w:val="28"/>
          <w:szCs w:val="28"/>
        </w:rPr>
        <w:t>l Ministerio de Salud en algunas ocasiones, advirtió la imposibilidad de presentar a tiempo los reportes,</w:t>
      </w:r>
      <w:r w:rsidRPr="00274507">
        <w:rPr>
          <w:sz w:val="28"/>
          <w:szCs w:val="28"/>
        </w:rPr>
        <w:t xml:space="preserve"> como consecuencia de la implementación de</w:t>
      </w:r>
      <w:r w:rsidR="00795397" w:rsidRPr="00274507">
        <w:rPr>
          <w:sz w:val="28"/>
          <w:szCs w:val="28"/>
        </w:rPr>
        <w:t xml:space="preserve"> </w:t>
      </w:r>
      <w:r w:rsidRPr="00274507">
        <w:rPr>
          <w:sz w:val="28"/>
          <w:szCs w:val="28"/>
        </w:rPr>
        <w:t xml:space="preserve">nuevos estándares de calidad y </w:t>
      </w:r>
      <w:r w:rsidR="00795397" w:rsidRPr="00274507">
        <w:rPr>
          <w:sz w:val="28"/>
          <w:szCs w:val="28"/>
        </w:rPr>
        <w:t>mejoramiento de los instrumentos de recaudo de</w:t>
      </w:r>
      <w:r w:rsidRPr="00274507">
        <w:rPr>
          <w:sz w:val="28"/>
          <w:szCs w:val="28"/>
        </w:rPr>
        <w:t xml:space="preserve"> la</w:t>
      </w:r>
      <w:r w:rsidR="00795397" w:rsidRPr="00274507">
        <w:rPr>
          <w:sz w:val="28"/>
          <w:szCs w:val="28"/>
        </w:rPr>
        <w:t xml:space="preserve"> información </w:t>
      </w:r>
      <w:r w:rsidRPr="00274507">
        <w:rPr>
          <w:sz w:val="28"/>
          <w:szCs w:val="28"/>
        </w:rPr>
        <w:t xml:space="preserve">que hacía parte de los informes </w:t>
      </w:r>
      <w:r w:rsidR="00795397" w:rsidRPr="00274507">
        <w:rPr>
          <w:sz w:val="28"/>
          <w:szCs w:val="28"/>
        </w:rPr>
        <w:t>ante este Tribunal</w:t>
      </w:r>
      <w:r w:rsidR="00197D15" w:rsidRPr="00274507">
        <w:rPr>
          <w:sz w:val="28"/>
          <w:szCs w:val="28"/>
        </w:rPr>
        <w:t xml:space="preserve">, condiciones que no son suficientes para modificar o ampliar el término previsto en la sentencia T-760 de 2008. </w:t>
      </w:r>
      <w:r w:rsidR="00795397" w:rsidRPr="00274507">
        <w:rPr>
          <w:sz w:val="28"/>
          <w:szCs w:val="28"/>
        </w:rPr>
        <w:t xml:space="preserve">Lo anterior, </w:t>
      </w:r>
      <w:r w:rsidRPr="00274507">
        <w:rPr>
          <w:sz w:val="28"/>
          <w:szCs w:val="28"/>
        </w:rPr>
        <w:t xml:space="preserve">ya había sido </w:t>
      </w:r>
      <w:r w:rsidR="00197D15" w:rsidRPr="00274507">
        <w:rPr>
          <w:sz w:val="28"/>
          <w:szCs w:val="28"/>
        </w:rPr>
        <w:t>expuesto</w:t>
      </w:r>
      <w:r w:rsidRPr="00274507">
        <w:rPr>
          <w:sz w:val="28"/>
          <w:szCs w:val="28"/>
        </w:rPr>
        <w:t xml:space="preserve"> por esta Sala Especial</w:t>
      </w:r>
      <w:r w:rsidR="00197D15" w:rsidRPr="00274507">
        <w:rPr>
          <w:sz w:val="28"/>
          <w:szCs w:val="28"/>
        </w:rPr>
        <w:t xml:space="preserve"> en </w:t>
      </w:r>
      <w:r w:rsidR="00D45AF4" w:rsidRPr="00274507">
        <w:rPr>
          <w:sz w:val="28"/>
          <w:szCs w:val="28"/>
        </w:rPr>
        <w:t>el A</w:t>
      </w:r>
      <w:r w:rsidR="00197D15" w:rsidRPr="00274507">
        <w:rPr>
          <w:sz w:val="28"/>
          <w:szCs w:val="28"/>
        </w:rPr>
        <w:t xml:space="preserve">uto 041 </w:t>
      </w:r>
      <w:r w:rsidRPr="00274507">
        <w:rPr>
          <w:sz w:val="28"/>
          <w:szCs w:val="28"/>
        </w:rPr>
        <w:t>de 2014, considerando</w:t>
      </w:r>
      <w:r w:rsidR="00197D15" w:rsidRPr="00274507">
        <w:rPr>
          <w:sz w:val="28"/>
          <w:szCs w:val="28"/>
        </w:rPr>
        <w:t xml:space="preserve"> que los c</w:t>
      </w:r>
      <w:r w:rsidR="00D45AF4" w:rsidRPr="00274507">
        <w:rPr>
          <w:sz w:val="28"/>
          <w:szCs w:val="28"/>
        </w:rPr>
        <w:t>ambios que pudiera realizar el Ministerio</w:t>
      </w:r>
      <w:r w:rsidR="004C3F0E" w:rsidRPr="00274507">
        <w:rPr>
          <w:sz w:val="28"/>
          <w:szCs w:val="28"/>
        </w:rPr>
        <w:t xml:space="preserve"> de Salud</w:t>
      </w:r>
      <w:r w:rsidR="00D45AF4" w:rsidRPr="00274507">
        <w:rPr>
          <w:sz w:val="28"/>
          <w:szCs w:val="28"/>
        </w:rPr>
        <w:t xml:space="preserve"> en el procedimiento, </w:t>
      </w:r>
      <w:r w:rsidR="00197D15" w:rsidRPr="00274507">
        <w:rPr>
          <w:sz w:val="28"/>
          <w:szCs w:val="28"/>
        </w:rPr>
        <w:t>recaudo y análisis de la información,</w:t>
      </w:r>
      <w:r w:rsidR="00D45AF4" w:rsidRPr="00274507">
        <w:rPr>
          <w:sz w:val="28"/>
          <w:szCs w:val="28"/>
        </w:rPr>
        <w:t xml:space="preserve"> as</w:t>
      </w:r>
      <w:r w:rsidR="00795397" w:rsidRPr="00274507">
        <w:rPr>
          <w:sz w:val="28"/>
          <w:szCs w:val="28"/>
        </w:rPr>
        <w:t>í como</w:t>
      </w:r>
      <w:r w:rsidR="00197D15" w:rsidRPr="00274507">
        <w:rPr>
          <w:sz w:val="28"/>
          <w:szCs w:val="28"/>
        </w:rPr>
        <w:t xml:space="preserve"> la identificación de las fuentes de información, la consolidación de los datos y la metodo</w:t>
      </w:r>
      <w:r w:rsidR="00795397" w:rsidRPr="00274507">
        <w:rPr>
          <w:sz w:val="28"/>
          <w:szCs w:val="28"/>
        </w:rPr>
        <w:t xml:space="preserve">logía a aplicar no, son </w:t>
      </w:r>
      <w:r w:rsidR="00197D15" w:rsidRPr="00274507">
        <w:rPr>
          <w:sz w:val="28"/>
          <w:szCs w:val="28"/>
        </w:rPr>
        <w:t xml:space="preserve"> circunstancias consideradas como nuevas o imprevistas </w:t>
      </w:r>
      <w:r w:rsidR="004C3F0E" w:rsidRPr="00274507">
        <w:rPr>
          <w:sz w:val="28"/>
          <w:szCs w:val="28"/>
        </w:rPr>
        <w:t xml:space="preserve">por dicho ministerio </w:t>
      </w:r>
      <w:r w:rsidR="0017247E" w:rsidRPr="00274507">
        <w:rPr>
          <w:sz w:val="28"/>
          <w:szCs w:val="28"/>
        </w:rPr>
        <w:t>que amerite</w:t>
      </w:r>
      <w:r w:rsidR="00795397" w:rsidRPr="00274507">
        <w:rPr>
          <w:sz w:val="28"/>
          <w:szCs w:val="28"/>
        </w:rPr>
        <w:t xml:space="preserve"> el cambio de la fecha establecida</w:t>
      </w:r>
      <w:r w:rsidR="00D45AF4" w:rsidRPr="00274507">
        <w:rPr>
          <w:sz w:val="28"/>
          <w:szCs w:val="28"/>
        </w:rPr>
        <w:t xml:space="preserve">. </w:t>
      </w:r>
    </w:p>
    <w:p w:rsidR="00D45AF4" w:rsidRPr="00274507" w:rsidRDefault="00D45AF4" w:rsidP="00274507">
      <w:pPr>
        <w:pStyle w:val="Prrafodelista"/>
        <w:tabs>
          <w:tab w:val="left" w:pos="567"/>
          <w:tab w:val="left" w:pos="1080"/>
        </w:tabs>
        <w:ind w:left="0"/>
        <w:jc w:val="both"/>
        <w:rPr>
          <w:sz w:val="28"/>
          <w:szCs w:val="28"/>
        </w:rPr>
      </w:pPr>
    </w:p>
    <w:p w:rsidR="00197D15" w:rsidRPr="00274507" w:rsidRDefault="00D45AF4" w:rsidP="00274507">
      <w:pPr>
        <w:pStyle w:val="Prrafodelista"/>
        <w:tabs>
          <w:tab w:val="left" w:pos="567"/>
          <w:tab w:val="left" w:pos="1080"/>
        </w:tabs>
        <w:ind w:left="0"/>
        <w:jc w:val="both"/>
        <w:rPr>
          <w:sz w:val="28"/>
          <w:szCs w:val="28"/>
        </w:rPr>
      </w:pPr>
      <w:r w:rsidRPr="00274507">
        <w:rPr>
          <w:sz w:val="28"/>
          <w:szCs w:val="28"/>
        </w:rPr>
        <w:t xml:space="preserve">Así, </w:t>
      </w:r>
      <w:r w:rsidR="00CD33D5" w:rsidRPr="00274507">
        <w:rPr>
          <w:sz w:val="28"/>
          <w:szCs w:val="28"/>
        </w:rPr>
        <w:t xml:space="preserve">este Tribunal </w:t>
      </w:r>
      <w:r w:rsidRPr="00274507">
        <w:rPr>
          <w:sz w:val="28"/>
          <w:szCs w:val="28"/>
        </w:rPr>
        <w:t>reitera que las situaciones que puedan surgir en el desarrollo del cumplimiento de la orden no pueden ser justificación en la presentación extemporánea de los informes,</w:t>
      </w:r>
      <w:r w:rsidR="00CD33D5" w:rsidRPr="00274507">
        <w:rPr>
          <w:sz w:val="28"/>
          <w:szCs w:val="28"/>
        </w:rPr>
        <w:t xml:space="preserve"> tampoco los habilita para presentar reportes </w:t>
      </w:r>
      <w:r w:rsidRPr="00274507">
        <w:rPr>
          <w:sz w:val="28"/>
          <w:szCs w:val="28"/>
        </w:rPr>
        <w:t>parcial</w:t>
      </w:r>
      <w:r w:rsidR="00CD33D5" w:rsidRPr="00274507">
        <w:rPr>
          <w:sz w:val="28"/>
          <w:szCs w:val="28"/>
        </w:rPr>
        <w:t>es</w:t>
      </w:r>
      <w:r w:rsidRPr="00274507">
        <w:rPr>
          <w:sz w:val="28"/>
          <w:szCs w:val="28"/>
        </w:rPr>
        <w:t xml:space="preserve"> ya que la entidad gubernamental, en el ejercicio de su función debe aplicar el principio de planeación y eficacia </w:t>
      </w:r>
      <w:r w:rsidRPr="00274507">
        <w:rPr>
          <w:rStyle w:val="Refdenotaalpie"/>
          <w:sz w:val="28"/>
          <w:szCs w:val="28"/>
        </w:rPr>
        <w:footnoteReference w:id="144"/>
      </w:r>
      <w:r w:rsidRPr="00274507">
        <w:rPr>
          <w:sz w:val="28"/>
          <w:szCs w:val="28"/>
        </w:rPr>
        <w:t xml:space="preserve">que suponen la elaboración de herramientas adecuadas en los casos en que se presenten obstáculos </w:t>
      </w:r>
      <w:r w:rsidR="0017247E" w:rsidRPr="00274507">
        <w:rPr>
          <w:sz w:val="28"/>
          <w:szCs w:val="28"/>
        </w:rPr>
        <w:t>para lograr satisfactoriamente con l</w:t>
      </w:r>
      <w:r w:rsidRPr="00274507">
        <w:rPr>
          <w:sz w:val="28"/>
          <w:szCs w:val="28"/>
        </w:rPr>
        <w:t xml:space="preserve">a labor encomendada, máxime si se trata </w:t>
      </w:r>
      <w:r w:rsidR="00C741AE" w:rsidRPr="00274507">
        <w:rPr>
          <w:sz w:val="28"/>
          <w:szCs w:val="28"/>
        </w:rPr>
        <w:t>de circunstanci</w:t>
      </w:r>
      <w:r w:rsidR="003A4840" w:rsidRPr="00274507">
        <w:rPr>
          <w:sz w:val="28"/>
          <w:szCs w:val="28"/>
        </w:rPr>
        <w:t>as relacionadas con la adecuada organización funcional de un grupo de trabajo</w:t>
      </w:r>
      <w:r w:rsidR="00710275" w:rsidRPr="00274507">
        <w:rPr>
          <w:sz w:val="28"/>
          <w:szCs w:val="28"/>
        </w:rPr>
        <w:t xml:space="preserve"> asignado por el mismo</w:t>
      </w:r>
      <w:r w:rsidR="003A4840" w:rsidRPr="00274507">
        <w:rPr>
          <w:sz w:val="28"/>
          <w:szCs w:val="28"/>
        </w:rPr>
        <w:t>.</w:t>
      </w:r>
    </w:p>
    <w:p w:rsidR="00D45AF4" w:rsidRPr="00274507" w:rsidRDefault="00D45AF4" w:rsidP="00274507">
      <w:pPr>
        <w:pStyle w:val="Prrafodelista"/>
        <w:tabs>
          <w:tab w:val="left" w:pos="567"/>
          <w:tab w:val="left" w:pos="1080"/>
        </w:tabs>
        <w:ind w:left="0"/>
        <w:jc w:val="both"/>
        <w:rPr>
          <w:sz w:val="28"/>
          <w:szCs w:val="28"/>
        </w:rPr>
      </w:pPr>
    </w:p>
    <w:p w:rsidR="000C0886" w:rsidRPr="00274507" w:rsidRDefault="0092304E" w:rsidP="00274507">
      <w:pPr>
        <w:pStyle w:val="Prrafodelista"/>
        <w:tabs>
          <w:tab w:val="left" w:pos="567"/>
          <w:tab w:val="left" w:pos="1080"/>
        </w:tabs>
        <w:ind w:left="0"/>
        <w:jc w:val="both"/>
        <w:rPr>
          <w:sz w:val="28"/>
          <w:szCs w:val="28"/>
        </w:rPr>
      </w:pPr>
      <w:r w:rsidRPr="00274507">
        <w:rPr>
          <w:sz w:val="28"/>
          <w:szCs w:val="28"/>
        </w:rPr>
        <w:t xml:space="preserve">Como quiera que los </w:t>
      </w:r>
      <w:r w:rsidR="000C0886" w:rsidRPr="00274507">
        <w:rPr>
          <w:sz w:val="28"/>
          <w:szCs w:val="28"/>
        </w:rPr>
        <w:t xml:space="preserve">análisis </w:t>
      </w:r>
      <w:r w:rsidRPr="00274507">
        <w:rPr>
          <w:sz w:val="28"/>
          <w:szCs w:val="28"/>
        </w:rPr>
        <w:t xml:space="preserve">que presente </w:t>
      </w:r>
      <w:r w:rsidR="00197D15" w:rsidRPr="00274507">
        <w:rPr>
          <w:sz w:val="28"/>
          <w:szCs w:val="28"/>
        </w:rPr>
        <w:t>a futuro</w:t>
      </w:r>
      <w:r w:rsidRPr="00274507">
        <w:rPr>
          <w:sz w:val="28"/>
          <w:szCs w:val="28"/>
        </w:rPr>
        <w:t xml:space="preserve"> el</w:t>
      </w:r>
      <w:r w:rsidR="004C3F0E" w:rsidRPr="00274507">
        <w:rPr>
          <w:sz w:val="28"/>
          <w:szCs w:val="28"/>
        </w:rPr>
        <w:t xml:space="preserve"> órgano ministerial</w:t>
      </w:r>
      <w:r w:rsidR="00197D15" w:rsidRPr="00274507">
        <w:rPr>
          <w:sz w:val="28"/>
          <w:szCs w:val="28"/>
        </w:rPr>
        <w:t>, debe</w:t>
      </w:r>
      <w:r w:rsidRPr="00274507">
        <w:rPr>
          <w:sz w:val="28"/>
          <w:szCs w:val="28"/>
        </w:rPr>
        <w:t>n</w:t>
      </w:r>
      <w:r w:rsidR="00197D15" w:rsidRPr="00274507">
        <w:rPr>
          <w:sz w:val="28"/>
          <w:szCs w:val="28"/>
        </w:rPr>
        <w:t xml:space="preserve"> ser </w:t>
      </w:r>
      <w:r w:rsidR="000C0886" w:rsidRPr="00274507">
        <w:rPr>
          <w:sz w:val="28"/>
          <w:szCs w:val="28"/>
        </w:rPr>
        <w:t>dentro del término establecido en la sentencia T-760 de 2008</w:t>
      </w:r>
      <w:r w:rsidR="003A4840" w:rsidRPr="00274507">
        <w:rPr>
          <w:sz w:val="28"/>
          <w:szCs w:val="28"/>
        </w:rPr>
        <w:t xml:space="preserve">, </w:t>
      </w:r>
      <w:r w:rsidR="000C0886" w:rsidRPr="00274507">
        <w:rPr>
          <w:sz w:val="28"/>
          <w:szCs w:val="28"/>
        </w:rPr>
        <w:t>es decir</w:t>
      </w:r>
      <w:r w:rsidR="003A4840" w:rsidRPr="00274507">
        <w:rPr>
          <w:sz w:val="28"/>
          <w:szCs w:val="28"/>
        </w:rPr>
        <w:t>,</w:t>
      </w:r>
      <w:r w:rsidR="000C0886" w:rsidRPr="00274507">
        <w:rPr>
          <w:sz w:val="28"/>
          <w:szCs w:val="28"/>
        </w:rPr>
        <w:t xml:space="preserve"> para el 1º de febrer</w:t>
      </w:r>
      <w:r w:rsidR="00CD33D5" w:rsidRPr="00274507">
        <w:rPr>
          <w:sz w:val="28"/>
          <w:szCs w:val="28"/>
        </w:rPr>
        <w:t>o de cada año,</w:t>
      </w:r>
      <w:r w:rsidRPr="00274507">
        <w:rPr>
          <w:sz w:val="28"/>
          <w:szCs w:val="28"/>
        </w:rPr>
        <w:t xml:space="preserve"> </w:t>
      </w:r>
      <w:r w:rsidR="0017247E" w:rsidRPr="00274507">
        <w:rPr>
          <w:sz w:val="28"/>
          <w:szCs w:val="28"/>
        </w:rPr>
        <w:t xml:space="preserve">surge la obligación de </w:t>
      </w:r>
      <w:r w:rsidRPr="00274507">
        <w:rPr>
          <w:sz w:val="28"/>
          <w:szCs w:val="28"/>
        </w:rPr>
        <w:t>adelanta</w:t>
      </w:r>
      <w:r w:rsidR="0017247E" w:rsidRPr="00274507">
        <w:rPr>
          <w:sz w:val="28"/>
          <w:szCs w:val="28"/>
        </w:rPr>
        <w:t>r</w:t>
      </w:r>
      <w:r w:rsidR="00CD33D5" w:rsidRPr="00274507">
        <w:rPr>
          <w:sz w:val="28"/>
          <w:szCs w:val="28"/>
        </w:rPr>
        <w:t xml:space="preserve"> las acciones pertinentes para</w:t>
      </w:r>
      <w:r w:rsidRPr="00274507">
        <w:rPr>
          <w:sz w:val="28"/>
          <w:szCs w:val="28"/>
        </w:rPr>
        <w:t xml:space="preserve"> cumplir satisfactoriamente</w:t>
      </w:r>
      <w:r w:rsidR="00CD33D5" w:rsidRPr="00274507">
        <w:rPr>
          <w:sz w:val="28"/>
          <w:szCs w:val="28"/>
        </w:rPr>
        <w:t xml:space="preserve"> el término previsto</w:t>
      </w:r>
      <w:r w:rsidR="0017247E" w:rsidRPr="00274507">
        <w:rPr>
          <w:sz w:val="28"/>
          <w:szCs w:val="28"/>
        </w:rPr>
        <w:t>, d</w:t>
      </w:r>
      <w:r w:rsidRPr="00274507">
        <w:rPr>
          <w:sz w:val="28"/>
          <w:szCs w:val="28"/>
        </w:rPr>
        <w:t xml:space="preserve">e modo que, las contingencias administrativas o funcionales, no pueden ser excusa para entregar el reporte </w:t>
      </w:r>
      <w:r w:rsidR="0087246A" w:rsidRPr="00274507">
        <w:rPr>
          <w:sz w:val="28"/>
          <w:szCs w:val="28"/>
        </w:rPr>
        <w:t>de forma completa por cada año analizado,</w:t>
      </w:r>
      <w:r w:rsidR="000C0886" w:rsidRPr="00274507">
        <w:rPr>
          <w:sz w:val="28"/>
          <w:szCs w:val="28"/>
        </w:rPr>
        <w:t xml:space="preserve"> máxime si se tiene en cuenta que los expedientes de la Corte pueden ser revisados desde el 11 de enero hasta el 19 de diciembre de cada año conforme a la vacancia judicial, </w:t>
      </w:r>
      <w:r w:rsidR="0087246A" w:rsidRPr="00274507">
        <w:rPr>
          <w:sz w:val="28"/>
          <w:szCs w:val="28"/>
        </w:rPr>
        <w:t xml:space="preserve">lo </w:t>
      </w:r>
      <w:r w:rsidR="000C0886" w:rsidRPr="00274507">
        <w:rPr>
          <w:sz w:val="28"/>
          <w:szCs w:val="28"/>
        </w:rPr>
        <w:t>que</w:t>
      </w:r>
      <w:r w:rsidR="0087246A" w:rsidRPr="00274507">
        <w:rPr>
          <w:sz w:val="28"/>
          <w:szCs w:val="28"/>
        </w:rPr>
        <w:t xml:space="preserve"> significa que</w:t>
      </w:r>
      <w:r w:rsidRPr="00274507">
        <w:rPr>
          <w:sz w:val="28"/>
          <w:szCs w:val="28"/>
        </w:rPr>
        <w:t xml:space="preserve"> si establece una herramienta bajo una programación anual adecuada de su grupo de trabajo,</w:t>
      </w:r>
      <w:r w:rsidR="000C0886" w:rsidRPr="00274507">
        <w:rPr>
          <w:sz w:val="28"/>
          <w:szCs w:val="28"/>
        </w:rPr>
        <w:t xml:space="preserve"> se tendrá un término aproximado de mes y medio para </w:t>
      </w:r>
      <w:r w:rsidR="00CD33D5" w:rsidRPr="00274507">
        <w:rPr>
          <w:sz w:val="28"/>
          <w:szCs w:val="28"/>
        </w:rPr>
        <w:t>corrobo</w:t>
      </w:r>
      <w:r w:rsidR="003F6775" w:rsidRPr="00274507">
        <w:rPr>
          <w:sz w:val="28"/>
          <w:szCs w:val="28"/>
        </w:rPr>
        <w:t>rar toda la información anual</w:t>
      </w:r>
      <w:r w:rsidR="00CD33D5" w:rsidRPr="00274507">
        <w:rPr>
          <w:sz w:val="28"/>
          <w:szCs w:val="28"/>
        </w:rPr>
        <w:t xml:space="preserve"> en un </w:t>
      </w:r>
      <w:r w:rsidR="000C0886" w:rsidRPr="00274507">
        <w:rPr>
          <w:sz w:val="28"/>
          <w:szCs w:val="28"/>
        </w:rPr>
        <w:t>informe final</w:t>
      </w:r>
      <w:r w:rsidR="0087246A" w:rsidRPr="00274507">
        <w:rPr>
          <w:sz w:val="28"/>
          <w:szCs w:val="28"/>
        </w:rPr>
        <w:t xml:space="preserve"> y cumplir con dicho mandato</w:t>
      </w:r>
      <w:r w:rsidR="000C0886" w:rsidRPr="00274507">
        <w:rPr>
          <w:sz w:val="28"/>
          <w:szCs w:val="28"/>
        </w:rPr>
        <w:t>.</w:t>
      </w:r>
    </w:p>
    <w:p w:rsidR="00D15DB2" w:rsidRPr="00274507" w:rsidRDefault="00D15DB2" w:rsidP="00274507">
      <w:pPr>
        <w:tabs>
          <w:tab w:val="left" w:pos="567"/>
          <w:tab w:val="left" w:pos="1080"/>
        </w:tabs>
        <w:jc w:val="both"/>
        <w:rPr>
          <w:b/>
          <w:sz w:val="28"/>
          <w:szCs w:val="28"/>
        </w:rPr>
      </w:pPr>
    </w:p>
    <w:p w:rsidR="00795397" w:rsidRPr="00274507" w:rsidRDefault="00795397" w:rsidP="00274507">
      <w:pPr>
        <w:pStyle w:val="Prrafodelista"/>
        <w:numPr>
          <w:ilvl w:val="0"/>
          <w:numId w:val="29"/>
        </w:numPr>
        <w:tabs>
          <w:tab w:val="left" w:pos="357"/>
          <w:tab w:val="left" w:pos="567"/>
        </w:tabs>
        <w:autoSpaceDN w:val="0"/>
        <w:jc w:val="both"/>
        <w:rPr>
          <w:b/>
          <w:sz w:val="28"/>
          <w:szCs w:val="28"/>
        </w:rPr>
      </w:pPr>
      <w:r w:rsidRPr="00274507">
        <w:rPr>
          <w:b/>
          <w:sz w:val="28"/>
          <w:szCs w:val="28"/>
        </w:rPr>
        <w:t>La entrega de los ocho informes por parte del Ministerio de Salud ante la Defensoría del Pueblo y la Procuraduría General de la Nación.</w:t>
      </w:r>
    </w:p>
    <w:p w:rsidR="00FA088E" w:rsidRPr="00274507" w:rsidRDefault="00FA088E" w:rsidP="00274507">
      <w:pPr>
        <w:pStyle w:val="Prrafodelista"/>
        <w:tabs>
          <w:tab w:val="left" w:pos="357"/>
          <w:tab w:val="left" w:pos="567"/>
        </w:tabs>
        <w:autoSpaceDN w:val="0"/>
        <w:ind w:left="408"/>
        <w:jc w:val="both"/>
        <w:rPr>
          <w:b/>
          <w:sz w:val="28"/>
          <w:szCs w:val="28"/>
        </w:rPr>
      </w:pPr>
    </w:p>
    <w:p w:rsidR="00256AF6" w:rsidRPr="00274507" w:rsidRDefault="00795397" w:rsidP="00274507">
      <w:pPr>
        <w:jc w:val="both"/>
        <w:rPr>
          <w:sz w:val="28"/>
          <w:szCs w:val="28"/>
        </w:rPr>
      </w:pPr>
      <w:r w:rsidRPr="00274507">
        <w:rPr>
          <w:sz w:val="28"/>
          <w:szCs w:val="28"/>
        </w:rPr>
        <w:t>En contestación al requerimiento efectuado por esta Corte</w:t>
      </w:r>
      <w:r w:rsidR="00BE3EA7" w:rsidRPr="00274507">
        <w:rPr>
          <w:sz w:val="28"/>
          <w:szCs w:val="28"/>
        </w:rPr>
        <w:t xml:space="preserve"> el 5 de septiembre de 2014</w:t>
      </w:r>
      <w:r w:rsidRPr="00274507">
        <w:rPr>
          <w:sz w:val="28"/>
          <w:szCs w:val="28"/>
        </w:rPr>
        <w:t xml:space="preserve">, a las autoridades referenciadas, se obtuvo </w:t>
      </w:r>
      <w:r w:rsidR="00B47EFF" w:rsidRPr="00274507">
        <w:rPr>
          <w:sz w:val="28"/>
          <w:szCs w:val="28"/>
        </w:rPr>
        <w:t>lo siguiente</w:t>
      </w:r>
      <w:r w:rsidR="00256AF6" w:rsidRPr="00274507">
        <w:rPr>
          <w:sz w:val="28"/>
          <w:szCs w:val="28"/>
        </w:rPr>
        <w:t>:</w:t>
      </w:r>
    </w:p>
    <w:p w:rsidR="00AE0FF9" w:rsidRPr="00274507" w:rsidRDefault="00AE0FF9" w:rsidP="00274507">
      <w:pPr>
        <w:jc w:val="both"/>
        <w:rPr>
          <w:sz w:val="28"/>
          <w:szCs w:val="28"/>
        </w:rPr>
      </w:pPr>
    </w:p>
    <w:tbl>
      <w:tblPr>
        <w:tblStyle w:val="Tablaconcuadrcula"/>
        <w:tblW w:w="0" w:type="auto"/>
        <w:tblLook w:val="04A0" w:firstRow="1" w:lastRow="0" w:firstColumn="1" w:lastColumn="0" w:noHBand="0" w:noVBand="1"/>
      </w:tblPr>
      <w:tblGrid>
        <w:gridCol w:w="2689"/>
        <w:gridCol w:w="3543"/>
        <w:gridCol w:w="2819"/>
      </w:tblGrid>
      <w:tr w:rsidR="00256AF6" w:rsidRPr="00274507" w:rsidTr="004C3F0E">
        <w:tc>
          <w:tcPr>
            <w:tcW w:w="2689" w:type="dxa"/>
          </w:tcPr>
          <w:p w:rsidR="00256AF6" w:rsidRPr="00274507" w:rsidRDefault="00256AF6" w:rsidP="00274507">
            <w:pPr>
              <w:widowControl w:val="0"/>
              <w:tabs>
                <w:tab w:val="left" w:pos="426"/>
              </w:tabs>
              <w:autoSpaceDE w:val="0"/>
              <w:autoSpaceDN w:val="0"/>
              <w:adjustRightInd w:val="0"/>
              <w:jc w:val="center"/>
              <w:rPr>
                <w:b/>
                <w:sz w:val="28"/>
                <w:szCs w:val="28"/>
              </w:rPr>
            </w:pPr>
            <w:r w:rsidRPr="00274507">
              <w:rPr>
                <w:b/>
                <w:sz w:val="28"/>
                <w:szCs w:val="28"/>
              </w:rPr>
              <w:t>Interrogantes</w:t>
            </w:r>
          </w:p>
        </w:tc>
        <w:tc>
          <w:tcPr>
            <w:tcW w:w="3543" w:type="dxa"/>
          </w:tcPr>
          <w:p w:rsidR="00256AF6" w:rsidRPr="00274507" w:rsidRDefault="00256AF6" w:rsidP="00274507">
            <w:pPr>
              <w:widowControl w:val="0"/>
              <w:tabs>
                <w:tab w:val="left" w:pos="426"/>
              </w:tabs>
              <w:autoSpaceDE w:val="0"/>
              <w:autoSpaceDN w:val="0"/>
              <w:adjustRightInd w:val="0"/>
              <w:jc w:val="center"/>
              <w:rPr>
                <w:b/>
                <w:sz w:val="28"/>
                <w:szCs w:val="28"/>
              </w:rPr>
            </w:pPr>
            <w:r w:rsidRPr="00274507">
              <w:rPr>
                <w:b/>
                <w:sz w:val="28"/>
                <w:szCs w:val="28"/>
              </w:rPr>
              <w:t>Procuraduría General de la Nación</w:t>
            </w:r>
            <w:r w:rsidR="00D6342E" w:rsidRPr="00274507">
              <w:rPr>
                <w:rStyle w:val="Refdenotaalpie"/>
                <w:b/>
                <w:sz w:val="28"/>
                <w:szCs w:val="28"/>
              </w:rPr>
              <w:footnoteReference w:id="145"/>
            </w:r>
          </w:p>
        </w:tc>
        <w:tc>
          <w:tcPr>
            <w:tcW w:w="2819" w:type="dxa"/>
          </w:tcPr>
          <w:p w:rsidR="00256AF6" w:rsidRPr="00274507" w:rsidRDefault="00256AF6" w:rsidP="00274507">
            <w:pPr>
              <w:widowControl w:val="0"/>
              <w:tabs>
                <w:tab w:val="left" w:pos="426"/>
              </w:tabs>
              <w:autoSpaceDE w:val="0"/>
              <w:autoSpaceDN w:val="0"/>
              <w:adjustRightInd w:val="0"/>
              <w:jc w:val="center"/>
              <w:rPr>
                <w:b/>
                <w:sz w:val="28"/>
                <w:szCs w:val="28"/>
              </w:rPr>
            </w:pPr>
            <w:r w:rsidRPr="00274507">
              <w:rPr>
                <w:b/>
                <w:sz w:val="28"/>
                <w:szCs w:val="28"/>
              </w:rPr>
              <w:t>Defensoría del Pueblo</w:t>
            </w:r>
            <w:r w:rsidR="00446DFB" w:rsidRPr="00274507">
              <w:rPr>
                <w:rStyle w:val="Refdenotaalpie"/>
                <w:b/>
                <w:sz w:val="28"/>
                <w:szCs w:val="28"/>
              </w:rPr>
              <w:footnoteReference w:id="146"/>
            </w:r>
          </w:p>
        </w:tc>
      </w:tr>
      <w:tr w:rsidR="00256AF6" w:rsidRPr="00274507" w:rsidTr="004C3F0E">
        <w:trPr>
          <w:trHeight w:val="1408"/>
        </w:trPr>
        <w:tc>
          <w:tcPr>
            <w:tcW w:w="2689" w:type="dxa"/>
          </w:tcPr>
          <w:p w:rsidR="00256AF6" w:rsidRPr="00274507" w:rsidRDefault="00256AF6" w:rsidP="00274507">
            <w:pPr>
              <w:widowControl w:val="0"/>
              <w:tabs>
                <w:tab w:val="left" w:pos="426"/>
              </w:tabs>
              <w:autoSpaceDE w:val="0"/>
              <w:autoSpaceDN w:val="0"/>
              <w:adjustRightInd w:val="0"/>
              <w:jc w:val="both"/>
              <w:rPr>
                <w:sz w:val="28"/>
                <w:szCs w:val="28"/>
              </w:rPr>
            </w:pPr>
            <w:r w:rsidRPr="00274507">
              <w:rPr>
                <w:sz w:val="28"/>
                <w:szCs w:val="28"/>
              </w:rPr>
              <w:t>¿Cuántos informes han recibido del Ministerio de Salud y Protección Social en cumplimiento de lo dispuesto en la orden trigésima de la Sentencia T-760 de 2008?</w:t>
            </w:r>
          </w:p>
        </w:tc>
        <w:tc>
          <w:tcPr>
            <w:tcW w:w="3543" w:type="dxa"/>
          </w:tcPr>
          <w:p w:rsidR="00256AF6" w:rsidRPr="00274507" w:rsidRDefault="00256AF6" w:rsidP="00274507">
            <w:pPr>
              <w:widowControl w:val="0"/>
              <w:tabs>
                <w:tab w:val="left" w:pos="426"/>
              </w:tabs>
              <w:autoSpaceDE w:val="0"/>
              <w:autoSpaceDN w:val="0"/>
              <w:adjustRightInd w:val="0"/>
              <w:jc w:val="both"/>
              <w:rPr>
                <w:sz w:val="28"/>
                <w:szCs w:val="28"/>
              </w:rPr>
            </w:pPr>
            <w:r w:rsidRPr="00274507">
              <w:rPr>
                <w:sz w:val="28"/>
                <w:szCs w:val="28"/>
              </w:rPr>
              <w:t>Fueron recibidos 4 informes</w:t>
            </w:r>
          </w:p>
        </w:tc>
        <w:tc>
          <w:tcPr>
            <w:tcW w:w="2819" w:type="dxa"/>
          </w:tcPr>
          <w:p w:rsidR="00256AF6" w:rsidRPr="00274507" w:rsidRDefault="00256AF6" w:rsidP="00274507">
            <w:pPr>
              <w:widowControl w:val="0"/>
              <w:tabs>
                <w:tab w:val="left" w:pos="426"/>
              </w:tabs>
              <w:autoSpaceDE w:val="0"/>
              <w:autoSpaceDN w:val="0"/>
              <w:adjustRightInd w:val="0"/>
              <w:jc w:val="both"/>
              <w:rPr>
                <w:sz w:val="28"/>
                <w:szCs w:val="28"/>
              </w:rPr>
            </w:pPr>
            <w:r w:rsidRPr="00274507">
              <w:rPr>
                <w:sz w:val="28"/>
                <w:szCs w:val="28"/>
              </w:rPr>
              <w:t>Desde el año 2009, ha recibido 5 informes.</w:t>
            </w:r>
          </w:p>
        </w:tc>
      </w:tr>
      <w:tr w:rsidR="00256AF6" w:rsidRPr="00274507" w:rsidTr="004C3F0E">
        <w:trPr>
          <w:trHeight w:val="1371"/>
        </w:trPr>
        <w:tc>
          <w:tcPr>
            <w:tcW w:w="2689" w:type="dxa"/>
          </w:tcPr>
          <w:p w:rsidR="00256AF6" w:rsidRPr="00274507" w:rsidRDefault="00256AF6" w:rsidP="00274507">
            <w:pPr>
              <w:widowControl w:val="0"/>
              <w:tabs>
                <w:tab w:val="left" w:pos="426"/>
              </w:tabs>
              <w:autoSpaceDE w:val="0"/>
              <w:autoSpaceDN w:val="0"/>
              <w:adjustRightInd w:val="0"/>
              <w:jc w:val="both"/>
              <w:rPr>
                <w:sz w:val="28"/>
                <w:szCs w:val="28"/>
              </w:rPr>
            </w:pPr>
            <w:r w:rsidRPr="00274507">
              <w:rPr>
                <w:sz w:val="28"/>
                <w:szCs w:val="28"/>
              </w:rPr>
              <w:t>¿En qué fechas les fueron remitidos dichos documentos?</w:t>
            </w:r>
          </w:p>
        </w:tc>
        <w:tc>
          <w:tcPr>
            <w:tcW w:w="3543" w:type="dxa"/>
          </w:tcPr>
          <w:p w:rsidR="00A43472" w:rsidRPr="00274507" w:rsidRDefault="00AE0FF9" w:rsidP="00274507">
            <w:pPr>
              <w:pStyle w:val="Prrafodelista"/>
              <w:widowControl w:val="0"/>
              <w:numPr>
                <w:ilvl w:val="0"/>
                <w:numId w:val="19"/>
              </w:numPr>
              <w:tabs>
                <w:tab w:val="left" w:pos="426"/>
              </w:tabs>
              <w:autoSpaceDE w:val="0"/>
              <w:autoSpaceDN w:val="0"/>
              <w:adjustRightInd w:val="0"/>
              <w:jc w:val="both"/>
              <w:rPr>
                <w:sz w:val="28"/>
                <w:szCs w:val="28"/>
              </w:rPr>
            </w:pPr>
            <w:r w:rsidRPr="00274507">
              <w:rPr>
                <w:sz w:val="28"/>
                <w:szCs w:val="28"/>
              </w:rPr>
              <w:t>30 de enero de 2009</w:t>
            </w:r>
          </w:p>
          <w:p w:rsidR="00A43472" w:rsidRPr="00274507" w:rsidRDefault="00AE0FF9" w:rsidP="00274507">
            <w:pPr>
              <w:pStyle w:val="Prrafodelista"/>
              <w:widowControl w:val="0"/>
              <w:numPr>
                <w:ilvl w:val="0"/>
                <w:numId w:val="19"/>
              </w:numPr>
              <w:tabs>
                <w:tab w:val="left" w:pos="426"/>
              </w:tabs>
              <w:autoSpaceDE w:val="0"/>
              <w:autoSpaceDN w:val="0"/>
              <w:adjustRightInd w:val="0"/>
              <w:jc w:val="both"/>
              <w:rPr>
                <w:sz w:val="28"/>
                <w:szCs w:val="28"/>
              </w:rPr>
            </w:pPr>
            <w:r w:rsidRPr="00274507">
              <w:rPr>
                <w:sz w:val="28"/>
                <w:szCs w:val="28"/>
              </w:rPr>
              <w:t>no reporto en el 2010</w:t>
            </w:r>
          </w:p>
          <w:p w:rsidR="00A43472" w:rsidRPr="00274507" w:rsidRDefault="00AE0FF9" w:rsidP="00274507">
            <w:pPr>
              <w:pStyle w:val="Prrafodelista"/>
              <w:widowControl w:val="0"/>
              <w:numPr>
                <w:ilvl w:val="0"/>
                <w:numId w:val="19"/>
              </w:numPr>
              <w:tabs>
                <w:tab w:val="left" w:pos="426"/>
              </w:tabs>
              <w:autoSpaceDE w:val="0"/>
              <w:autoSpaceDN w:val="0"/>
              <w:adjustRightInd w:val="0"/>
              <w:jc w:val="both"/>
              <w:rPr>
                <w:sz w:val="28"/>
                <w:szCs w:val="28"/>
              </w:rPr>
            </w:pPr>
            <w:r w:rsidRPr="00274507">
              <w:rPr>
                <w:sz w:val="28"/>
                <w:szCs w:val="28"/>
              </w:rPr>
              <w:t>5 de octubre de 2011</w:t>
            </w:r>
          </w:p>
          <w:p w:rsidR="00A43472" w:rsidRPr="00274507" w:rsidRDefault="00AE0FF9" w:rsidP="00274507">
            <w:pPr>
              <w:pStyle w:val="Prrafodelista"/>
              <w:widowControl w:val="0"/>
              <w:numPr>
                <w:ilvl w:val="0"/>
                <w:numId w:val="19"/>
              </w:numPr>
              <w:tabs>
                <w:tab w:val="left" w:pos="426"/>
              </w:tabs>
              <w:autoSpaceDE w:val="0"/>
              <w:autoSpaceDN w:val="0"/>
              <w:adjustRightInd w:val="0"/>
              <w:jc w:val="both"/>
              <w:rPr>
                <w:sz w:val="28"/>
                <w:szCs w:val="28"/>
              </w:rPr>
            </w:pPr>
            <w:r w:rsidRPr="00274507">
              <w:rPr>
                <w:sz w:val="28"/>
                <w:szCs w:val="28"/>
              </w:rPr>
              <w:t>21 de febrero de 2012</w:t>
            </w:r>
          </w:p>
          <w:p w:rsidR="00A43472" w:rsidRPr="00274507" w:rsidRDefault="00AE0FF9" w:rsidP="00274507">
            <w:pPr>
              <w:pStyle w:val="Prrafodelista"/>
              <w:widowControl w:val="0"/>
              <w:numPr>
                <w:ilvl w:val="0"/>
                <w:numId w:val="19"/>
              </w:numPr>
              <w:tabs>
                <w:tab w:val="left" w:pos="426"/>
              </w:tabs>
              <w:autoSpaceDE w:val="0"/>
              <w:autoSpaceDN w:val="0"/>
              <w:adjustRightInd w:val="0"/>
              <w:jc w:val="both"/>
              <w:rPr>
                <w:sz w:val="28"/>
                <w:szCs w:val="28"/>
              </w:rPr>
            </w:pPr>
            <w:r w:rsidRPr="00274507">
              <w:rPr>
                <w:sz w:val="28"/>
                <w:szCs w:val="28"/>
              </w:rPr>
              <w:t>En el 2013 no reportó</w:t>
            </w:r>
          </w:p>
          <w:p w:rsidR="00256AF6" w:rsidRPr="00274507" w:rsidRDefault="00AE0FF9" w:rsidP="00274507">
            <w:pPr>
              <w:pStyle w:val="Prrafodelista"/>
              <w:widowControl w:val="0"/>
              <w:numPr>
                <w:ilvl w:val="0"/>
                <w:numId w:val="19"/>
              </w:numPr>
              <w:tabs>
                <w:tab w:val="left" w:pos="426"/>
              </w:tabs>
              <w:autoSpaceDE w:val="0"/>
              <w:autoSpaceDN w:val="0"/>
              <w:adjustRightInd w:val="0"/>
              <w:jc w:val="both"/>
              <w:rPr>
                <w:sz w:val="28"/>
                <w:szCs w:val="28"/>
              </w:rPr>
            </w:pPr>
            <w:r w:rsidRPr="00274507">
              <w:rPr>
                <w:sz w:val="28"/>
                <w:szCs w:val="28"/>
              </w:rPr>
              <w:t>19 de marzo de 2014</w:t>
            </w:r>
          </w:p>
        </w:tc>
        <w:tc>
          <w:tcPr>
            <w:tcW w:w="2819" w:type="dxa"/>
          </w:tcPr>
          <w:p w:rsidR="00256AF6" w:rsidRPr="00274507" w:rsidRDefault="00AE0FF9" w:rsidP="00274507">
            <w:pPr>
              <w:pStyle w:val="Prrafodelista"/>
              <w:widowControl w:val="0"/>
              <w:numPr>
                <w:ilvl w:val="0"/>
                <w:numId w:val="11"/>
              </w:numPr>
              <w:tabs>
                <w:tab w:val="left" w:pos="176"/>
              </w:tabs>
              <w:autoSpaceDE w:val="0"/>
              <w:autoSpaceDN w:val="0"/>
              <w:adjustRightInd w:val="0"/>
              <w:ind w:left="885" w:hanging="709"/>
              <w:jc w:val="both"/>
              <w:rPr>
                <w:sz w:val="28"/>
                <w:szCs w:val="28"/>
              </w:rPr>
            </w:pPr>
            <w:r w:rsidRPr="00274507">
              <w:rPr>
                <w:sz w:val="28"/>
                <w:szCs w:val="28"/>
              </w:rPr>
              <w:t xml:space="preserve">  1º de febrero de 2009</w:t>
            </w:r>
          </w:p>
          <w:p w:rsidR="00256AF6" w:rsidRPr="00274507" w:rsidRDefault="00AE0FF9" w:rsidP="00274507">
            <w:pPr>
              <w:pStyle w:val="Prrafodelista"/>
              <w:widowControl w:val="0"/>
              <w:numPr>
                <w:ilvl w:val="0"/>
                <w:numId w:val="11"/>
              </w:numPr>
              <w:tabs>
                <w:tab w:val="left" w:pos="176"/>
              </w:tabs>
              <w:autoSpaceDE w:val="0"/>
              <w:autoSpaceDN w:val="0"/>
              <w:adjustRightInd w:val="0"/>
              <w:ind w:hanging="1339"/>
              <w:jc w:val="both"/>
              <w:rPr>
                <w:sz w:val="28"/>
                <w:szCs w:val="28"/>
              </w:rPr>
            </w:pPr>
            <w:r w:rsidRPr="00274507">
              <w:rPr>
                <w:sz w:val="28"/>
                <w:szCs w:val="28"/>
              </w:rPr>
              <w:t xml:space="preserve">  24 de septiembre de 2009</w:t>
            </w:r>
          </w:p>
          <w:p w:rsidR="00256AF6" w:rsidRPr="00274507" w:rsidRDefault="00AE0FF9" w:rsidP="00274507">
            <w:pPr>
              <w:pStyle w:val="Prrafodelista"/>
              <w:widowControl w:val="0"/>
              <w:numPr>
                <w:ilvl w:val="0"/>
                <w:numId w:val="11"/>
              </w:numPr>
              <w:tabs>
                <w:tab w:val="left" w:pos="176"/>
              </w:tabs>
              <w:autoSpaceDE w:val="0"/>
              <w:autoSpaceDN w:val="0"/>
              <w:adjustRightInd w:val="0"/>
              <w:ind w:hanging="1339"/>
              <w:jc w:val="both"/>
              <w:rPr>
                <w:sz w:val="28"/>
                <w:szCs w:val="28"/>
              </w:rPr>
            </w:pPr>
            <w:r w:rsidRPr="00274507">
              <w:rPr>
                <w:sz w:val="28"/>
                <w:szCs w:val="28"/>
              </w:rPr>
              <w:t xml:space="preserve">  17 de junio de 2011</w:t>
            </w:r>
          </w:p>
          <w:p w:rsidR="00256AF6" w:rsidRPr="00274507" w:rsidRDefault="00AE0FF9" w:rsidP="00274507">
            <w:pPr>
              <w:pStyle w:val="Prrafodelista"/>
              <w:widowControl w:val="0"/>
              <w:numPr>
                <w:ilvl w:val="0"/>
                <w:numId w:val="11"/>
              </w:numPr>
              <w:tabs>
                <w:tab w:val="left" w:pos="176"/>
              </w:tabs>
              <w:autoSpaceDE w:val="0"/>
              <w:autoSpaceDN w:val="0"/>
              <w:adjustRightInd w:val="0"/>
              <w:ind w:left="459" w:hanging="283"/>
              <w:jc w:val="both"/>
              <w:rPr>
                <w:sz w:val="28"/>
                <w:szCs w:val="28"/>
              </w:rPr>
            </w:pPr>
            <w:r w:rsidRPr="00274507">
              <w:rPr>
                <w:sz w:val="28"/>
                <w:szCs w:val="28"/>
              </w:rPr>
              <w:t xml:space="preserve">  en el 2012 no fue presentado</w:t>
            </w:r>
          </w:p>
          <w:p w:rsidR="00256AF6" w:rsidRPr="00274507" w:rsidRDefault="00AE0FF9" w:rsidP="00274507">
            <w:pPr>
              <w:pStyle w:val="Prrafodelista"/>
              <w:widowControl w:val="0"/>
              <w:numPr>
                <w:ilvl w:val="0"/>
                <w:numId w:val="11"/>
              </w:numPr>
              <w:tabs>
                <w:tab w:val="left" w:pos="176"/>
              </w:tabs>
              <w:autoSpaceDE w:val="0"/>
              <w:autoSpaceDN w:val="0"/>
              <w:adjustRightInd w:val="0"/>
              <w:ind w:hanging="1339"/>
              <w:jc w:val="both"/>
              <w:rPr>
                <w:sz w:val="28"/>
                <w:szCs w:val="28"/>
              </w:rPr>
            </w:pPr>
            <w:r w:rsidRPr="00274507">
              <w:rPr>
                <w:sz w:val="28"/>
                <w:szCs w:val="28"/>
              </w:rPr>
              <w:t xml:space="preserve">  16 de julio de 2013</w:t>
            </w:r>
          </w:p>
          <w:p w:rsidR="00256AF6" w:rsidRPr="00274507" w:rsidRDefault="00AE0FF9" w:rsidP="00274507">
            <w:pPr>
              <w:pStyle w:val="Prrafodelista"/>
              <w:widowControl w:val="0"/>
              <w:numPr>
                <w:ilvl w:val="0"/>
                <w:numId w:val="11"/>
              </w:numPr>
              <w:tabs>
                <w:tab w:val="left" w:pos="176"/>
              </w:tabs>
              <w:autoSpaceDE w:val="0"/>
              <w:autoSpaceDN w:val="0"/>
              <w:adjustRightInd w:val="0"/>
              <w:ind w:left="459" w:hanging="283"/>
              <w:jc w:val="both"/>
              <w:rPr>
                <w:sz w:val="28"/>
                <w:szCs w:val="28"/>
              </w:rPr>
            </w:pPr>
            <w:r w:rsidRPr="00274507">
              <w:rPr>
                <w:sz w:val="28"/>
                <w:szCs w:val="28"/>
              </w:rPr>
              <w:t xml:space="preserve">  19 de marzo de 2014</w:t>
            </w:r>
          </w:p>
        </w:tc>
      </w:tr>
    </w:tbl>
    <w:p w:rsidR="00256AF6" w:rsidRPr="00274507" w:rsidRDefault="00256AF6" w:rsidP="00274507">
      <w:pPr>
        <w:pStyle w:val="Prrafodelista"/>
        <w:jc w:val="both"/>
        <w:rPr>
          <w:sz w:val="28"/>
          <w:szCs w:val="28"/>
        </w:rPr>
      </w:pPr>
    </w:p>
    <w:p w:rsidR="00F208C3" w:rsidRPr="00274507" w:rsidRDefault="00CD33D5" w:rsidP="00274507">
      <w:pPr>
        <w:jc w:val="both"/>
        <w:rPr>
          <w:sz w:val="28"/>
          <w:szCs w:val="28"/>
        </w:rPr>
      </w:pPr>
      <w:r w:rsidRPr="00274507">
        <w:rPr>
          <w:sz w:val="28"/>
          <w:szCs w:val="28"/>
        </w:rPr>
        <w:t>E</w:t>
      </w:r>
      <w:r w:rsidR="00B47EFF" w:rsidRPr="00274507">
        <w:rPr>
          <w:sz w:val="28"/>
          <w:szCs w:val="28"/>
        </w:rPr>
        <w:t xml:space="preserve">ste Tribunal </w:t>
      </w:r>
      <w:r w:rsidR="006D293E" w:rsidRPr="00274507">
        <w:rPr>
          <w:sz w:val="28"/>
          <w:szCs w:val="28"/>
        </w:rPr>
        <w:t xml:space="preserve">infiere que </w:t>
      </w:r>
      <w:r w:rsidR="00256AF6" w:rsidRPr="00274507">
        <w:rPr>
          <w:sz w:val="28"/>
          <w:szCs w:val="28"/>
        </w:rPr>
        <w:t xml:space="preserve">el Ministerio </w:t>
      </w:r>
      <w:r w:rsidR="0087246A" w:rsidRPr="00274507">
        <w:rPr>
          <w:sz w:val="28"/>
          <w:szCs w:val="28"/>
        </w:rPr>
        <w:t>de Salud</w:t>
      </w:r>
      <w:r w:rsidR="00BE3EA7" w:rsidRPr="00274507">
        <w:rPr>
          <w:sz w:val="28"/>
          <w:szCs w:val="28"/>
        </w:rPr>
        <w:t xml:space="preserve"> </w:t>
      </w:r>
      <w:r w:rsidRPr="00274507">
        <w:rPr>
          <w:sz w:val="28"/>
          <w:szCs w:val="28"/>
        </w:rPr>
        <w:t xml:space="preserve">no </w:t>
      </w:r>
      <w:r w:rsidR="00256AF6" w:rsidRPr="00274507">
        <w:rPr>
          <w:sz w:val="28"/>
          <w:szCs w:val="28"/>
        </w:rPr>
        <w:t>ha cumplido</w:t>
      </w:r>
      <w:r w:rsidR="000C0886" w:rsidRPr="00274507">
        <w:rPr>
          <w:sz w:val="28"/>
          <w:szCs w:val="28"/>
        </w:rPr>
        <w:t xml:space="preserve"> </w:t>
      </w:r>
      <w:r w:rsidR="00B50241" w:rsidRPr="00274507">
        <w:rPr>
          <w:sz w:val="28"/>
          <w:szCs w:val="28"/>
        </w:rPr>
        <w:t>con</w:t>
      </w:r>
      <w:r w:rsidR="00256AF6" w:rsidRPr="00274507">
        <w:rPr>
          <w:sz w:val="28"/>
          <w:szCs w:val="28"/>
        </w:rPr>
        <w:t xml:space="preserve"> l</w:t>
      </w:r>
      <w:r w:rsidR="000C0886" w:rsidRPr="00274507">
        <w:rPr>
          <w:sz w:val="28"/>
          <w:szCs w:val="28"/>
        </w:rPr>
        <w:t>a disposición referida a la entrega de los informes</w:t>
      </w:r>
      <w:r w:rsidRPr="00274507">
        <w:rPr>
          <w:sz w:val="28"/>
          <w:szCs w:val="28"/>
        </w:rPr>
        <w:t xml:space="preserve"> anuales</w:t>
      </w:r>
      <w:r w:rsidR="000C0886" w:rsidRPr="00274507">
        <w:rPr>
          <w:sz w:val="28"/>
          <w:szCs w:val="28"/>
        </w:rPr>
        <w:t xml:space="preserve">, </w:t>
      </w:r>
      <w:r w:rsidR="00BE3EA7" w:rsidRPr="00274507">
        <w:rPr>
          <w:sz w:val="28"/>
          <w:szCs w:val="28"/>
        </w:rPr>
        <w:t>ya que según expone la Procuraduría General de la Nación para el 2014, se habían presentado sólo cuatro informes. De igual forma, la Defensoría del Pueblo manifestó haber recibido cinco</w:t>
      </w:r>
      <w:r w:rsidR="004E6E3C" w:rsidRPr="00274507">
        <w:rPr>
          <w:sz w:val="28"/>
          <w:szCs w:val="28"/>
        </w:rPr>
        <w:t xml:space="preserve"> y de los reportes</w:t>
      </w:r>
      <w:r w:rsidRPr="00274507">
        <w:rPr>
          <w:sz w:val="28"/>
          <w:szCs w:val="28"/>
        </w:rPr>
        <w:t xml:space="preserve"> allegados </w:t>
      </w:r>
      <w:r w:rsidR="008E4A4A" w:rsidRPr="00274507">
        <w:rPr>
          <w:sz w:val="28"/>
          <w:szCs w:val="28"/>
        </w:rPr>
        <w:t xml:space="preserve">a este Tribunal </w:t>
      </w:r>
      <w:r w:rsidR="00F208C3" w:rsidRPr="00274507">
        <w:rPr>
          <w:sz w:val="28"/>
          <w:szCs w:val="28"/>
        </w:rPr>
        <w:t>se puede constatar que recibió uno más, correspondiente al</w:t>
      </w:r>
      <w:r w:rsidR="008E4A4A" w:rsidRPr="00274507">
        <w:rPr>
          <w:sz w:val="28"/>
          <w:szCs w:val="28"/>
        </w:rPr>
        <w:t xml:space="preserve"> del 2015, es decir, </w:t>
      </w:r>
      <w:r w:rsidR="00F208C3" w:rsidRPr="00274507">
        <w:rPr>
          <w:sz w:val="28"/>
          <w:szCs w:val="28"/>
        </w:rPr>
        <w:t>séptimo</w:t>
      </w:r>
      <w:r w:rsidR="00BE3EA7" w:rsidRPr="00274507">
        <w:rPr>
          <w:sz w:val="28"/>
          <w:szCs w:val="28"/>
        </w:rPr>
        <w:t>. A esta fecha, no es claro afirmar si</w:t>
      </w:r>
      <w:r w:rsidR="00F208C3" w:rsidRPr="00274507">
        <w:rPr>
          <w:sz w:val="28"/>
          <w:szCs w:val="28"/>
        </w:rPr>
        <w:t xml:space="preserve"> a la Procuraduría</w:t>
      </w:r>
      <w:r w:rsidR="00BE3EA7" w:rsidRPr="00274507">
        <w:rPr>
          <w:sz w:val="28"/>
          <w:szCs w:val="28"/>
        </w:rPr>
        <w:t xml:space="preserve"> </w:t>
      </w:r>
      <w:r w:rsidR="00F208C3" w:rsidRPr="00274507">
        <w:rPr>
          <w:sz w:val="28"/>
          <w:szCs w:val="28"/>
        </w:rPr>
        <w:t xml:space="preserve">fueron remitidos los informes de los años 2015 y 2016. </w:t>
      </w:r>
    </w:p>
    <w:p w:rsidR="00F208C3" w:rsidRPr="00274507" w:rsidRDefault="00F208C3" w:rsidP="00274507">
      <w:pPr>
        <w:jc w:val="both"/>
        <w:rPr>
          <w:sz w:val="28"/>
          <w:szCs w:val="28"/>
        </w:rPr>
      </w:pPr>
    </w:p>
    <w:p w:rsidR="00256AF6" w:rsidRPr="00274507" w:rsidRDefault="008E4A4A" w:rsidP="00274507">
      <w:pPr>
        <w:jc w:val="both"/>
        <w:rPr>
          <w:sz w:val="28"/>
          <w:szCs w:val="28"/>
        </w:rPr>
      </w:pPr>
      <w:r w:rsidRPr="00274507">
        <w:rPr>
          <w:sz w:val="28"/>
          <w:szCs w:val="28"/>
        </w:rPr>
        <w:t>Además</w:t>
      </w:r>
      <w:r w:rsidR="00FA088E" w:rsidRPr="00274507">
        <w:rPr>
          <w:sz w:val="28"/>
          <w:szCs w:val="28"/>
        </w:rPr>
        <w:t xml:space="preserve">, </w:t>
      </w:r>
      <w:r w:rsidRPr="00274507">
        <w:rPr>
          <w:sz w:val="28"/>
          <w:szCs w:val="28"/>
        </w:rPr>
        <w:t xml:space="preserve">no son de conocimiento para </w:t>
      </w:r>
      <w:r w:rsidR="00FA088E" w:rsidRPr="00274507">
        <w:rPr>
          <w:sz w:val="28"/>
          <w:szCs w:val="28"/>
        </w:rPr>
        <w:t>esta Sala Especial, las razones por las cuales se presentaron todos los informes en fechas diferentes a las establecidas en el mandato constitucional,</w:t>
      </w:r>
      <w:r w:rsidR="009951A0" w:rsidRPr="00274507">
        <w:rPr>
          <w:sz w:val="28"/>
          <w:szCs w:val="28"/>
        </w:rPr>
        <w:t xml:space="preserve"> </w:t>
      </w:r>
      <w:r w:rsidRPr="00274507">
        <w:rPr>
          <w:sz w:val="28"/>
          <w:szCs w:val="28"/>
        </w:rPr>
        <w:t xml:space="preserve">ni porque algunos no fueron presentados ante las autoridades correspondientes para su respectivo seguimiento, lo que impide </w:t>
      </w:r>
      <w:r w:rsidR="009951A0" w:rsidRPr="00274507">
        <w:rPr>
          <w:sz w:val="28"/>
          <w:szCs w:val="28"/>
        </w:rPr>
        <w:t xml:space="preserve">emitir pronunciamiento alguno respecto de esa situación. Además, se aclara que el término allí previsto, </w:t>
      </w:r>
      <w:r w:rsidR="00FA088E" w:rsidRPr="00274507">
        <w:rPr>
          <w:sz w:val="28"/>
          <w:szCs w:val="28"/>
        </w:rPr>
        <w:t xml:space="preserve">refería no solo a la entrega que debería realizar el </w:t>
      </w:r>
      <w:r w:rsidR="003277C1" w:rsidRPr="00274507">
        <w:rPr>
          <w:sz w:val="28"/>
          <w:szCs w:val="28"/>
        </w:rPr>
        <w:t xml:space="preserve">Ministerio de Salud </w:t>
      </w:r>
      <w:r w:rsidR="00FA088E" w:rsidRPr="00274507">
        <w:rPr>
          <w:sz w:val="28"/>
          <w:szCs w:val="28"/>
        </w:rPr>
        <w:t xml:space="preserve">ante la Corte, sino que también dispuso el </w:t>
      </w:r>
      <w:r w:rsidR="009951A0" w:rsidRPr="00274507">
        <w:rPr>
          <w:sz w:val="28"/>
          <w:szCs w:val="28"/>
        </w:rPr>
        <w:t>mismo</w:t>
      </w:r>
      <w:r w:rsidR="009D59AD" w:rsidRPr="00274507">
        <w:rPr>
          <w:sz w:val="28"/>
          <w:szCs w:val="28"/>
        </w:rPr>
        <w:t xml:space="preserve"> </w:t>
      </w:r>
      <w:r w:rsidR="00FA088E" w:rsidRPr="00274507">
        <w:rPr>
          <w:sz w:val="28"/>
          <w:szCs w:val="28"/>
        </w:rPr>
        <w:t xml:space="preserve">respecto a la remisión de </w:t>
      </w:r>
      <w:r w:rsidR="003277C1" w:rsidRPr="00274507">
        <w:rPr>
          <w:sz w:val="28"/>
          <w:szCs w:val="28"/>
        </w:rPr>
        <w:t>los informe</w:t>
      </w:r>
      <w:r w:rsidR="00FA088E" w:rsidRPr="00274507">
        <w:rPr>
          <w:sz w:val="28"/>
          <w:szCs w:val="28"/>
        </w:rPr>
        <w:t xml:space="preserve">s </w:t>
      </w:r>
      <w:r w:rsidR="009951A0" w:rsidRPr="00274507">
        <w:rPr>
          <w:sz w:val="28"/>
          <w:szCs w:val="28"/>
        </w:rPr>
        <w:t>a las autoridades competentes para el seguimiento</w:t>
      </w:r>
      <w:r w:rsidR="003277C1" w:rsidRPr="00274507">
        <w:rPr>
          <w:sz w:val="28"/>
          <w:szCs w:val="28"/>
        </w:rPr>
        <w:t xml:space="preserve">, es decir, </w:t>
      </w:r>
      <w:r w:rsidR="006D293E" w:rsidRPr="00274507">
        <w:rPr>
          <w:sz w:val="28"/>
          <w:szCs w:val="28"/>
        </w:rPr>
        <w:t xml:space="preserve"> el 1º de febrero de cada anualidad.</w:t>
      </w:r>
    </w:p>
    <w:p w:rsidR="00F41185" w:rsidRPr="00274507" w:rsidRDefault="00F41185" w:rsidP="00274507">
      <w:pPr>
        <w:tabs>
          <w:tab w:val="left" w:pos="357"/>
          <w:tab w:val="left" w:pos="567"/>
        </w:tabs>
        <w:autoSpaceDN w:val="0"/>
        <w:jc w:val="both"/>
        <w:rPr>
          <w:sz w:val="28"/>
          <w:szCs w:val="28"/>
        </w:rPr>
      </w:pPr>
    </w:p>
    <w:p w:rsidR="00F41185" w:rsidRPr="00274507" w:rsidRDefault="00F41185" w:rsidP="00274507">
      <w:pPr>
        <w:pStyle w:val="Prrafodelista"/>
        <w:numPr>
          <w:ilvl w:val="0"/>
          <w:numId w:val="29"/>
        </w:numPr>
        <w:tabs>
          <w:tab w:val="left" w:pos="357"/>
          <w:tab w:val="left" w:pos="567"/>
        </w:tabs>
        <w:autoSpaceDN w:val="0"/>
        <w:jc w:val="both"/>
        <w:rPr>
          <w:b/>
          <w:sz w:val="28"/>
          <w:szCs w:val="28"/>
        </w:rPr>
      </w:pPr>
      <w:r w:rsidRPr="00274507">
        <w:rPr>
          <w:b/>
          <w:sz w:val="28"/>
          <w:szCs w:val="28"/>
        </w:rPr>
        <w:t xml:space="preserve"> Los pronunciamientos y gestiones adelantadas por parte de la </w:t>
      </w:r>
      <w:r w:rsidR="00B57CF5" w:rsidRPr="00274507">
        <w:rPr>
          <w:b/>
          <w:sz w:val="28"/>
          <w:szCs w:val="28"/>
        </w:rPr>
        <w:t xml:space="preserve">Procuraduría General de la Nación y la </w:t>
      </w:r>
      <w:r w:rsidRPr="00274507">
        <w:rPr>
          <w:b/>
          <w:sz w:val="28"/>
          <w:szCs w:val="28"/>
        </w:rPr>
        <w:t>Defensoría del Pueblo, respecto a los informes presentados por el Ministerio de Salud.</w:t>
      </w:r>
    </w:p>
    <w:p w:rsidR="00F41185" w:rsidRPr="00274507" w:rsidRDefault="00F41185" w:rsidP="00274507">
      <w:pPr>
        <w:jc w:val="both"/>
        <w:rPr>
          <w:sz w:val="28"/>
          <w:szCs w:val="28"/>
        </w:rPr>
      </w:pPr>
    </w:p>
    <w:p w:rsidR="00F41185" w:rsidRPr="00274507" w:rsidRDefault="00F41185" w:rsidP="00274507">
      <w:pPr>
        <w:jc w:val="both"/>
        <w:rPr>
          <w:sz w:val="28"/>
          <w:szCs w:val="28"/>
        </w:rPr>
      </w:pPr>
      <w:r w:rsidRPr="00274507">
        <w:rPr>
          <w:sz w:val="28"/>
          <w:szCs w:val="28"/>
        </w:rPr>
        <w:t>Dentro del margen de cumplimiento de la orden trigésima, la Corte consideró pertinente la intervención de los organismos de con</w:t>
      </w:r>
      <w:r w:rsidR="00325F11" w:rsidRPr="00274507">
        <w:rPr>
          <w:sz w:val="28"/>
          <w:szCs w:val="28"/>
        </w:rPr>
        <w:t>trol, vigilancia y defensa de los derechos fundamentales,</w:t>
      </w:r>
      <w:r w:rsidR="00B57CF5" w:rsidRPr="00274507">
        <w:rPr>
          <w:sz w:val="28"/>
          <w:szCs w:val="28"/>
        </w:rPr>
        <w:t xml:space="preserve"> con el fin que contribuyeran</w:t>
      </w:r>
      <w:r w:rsidR="00325F11" w:rsidRPr="00274507">
        <w:rPr>
          <w:sz w:val="28"/>
          <w:szCs w:val="28"/>
        </w:rPr>
        <w:t xml:space="preserve"> al cumplimiento del mandato y de esa forma </w:t>
      </w:r>
      <w:r w:rsidR="00B57CF5" w:rsidRPr="00274507">
        <w:rPr>
          <w:sz w:val="28"/>
          <w:szCs w:val="28"/>
        </w:rPr>
        <w:t xml:space="preserve">se </w:t>
      </w:r>
      <w:r w:rsidR="00325F11" w:rsidRPr="00274507">
        <w:rPr>
          <w:sz w:val="28"/>
          <w:szCs w:val="28"/>
        </w:rPr>
        <w:t>adoptar</w:t>
      </w:r>
      <w:r w:rsidR="00B57CF5" w:rsidRPr="00274507">
        <w:rPr>
          <w:sz w:val="28"/>
          <w:szCs w:val="28"/>
        </w:rPr>
        <w:t>an</w:t>
      </w:r>
      <w:r w:rsidR="00325F11" w:rsidRPr="00274507">
        <w:rPr>
          <w:sz w:val="28"/>
          <w:szCs w:val="28"/>
        </w:rPr>
        <w:t xml:space="preserve"> las</w:t>
      </w:r>
      <w:r w:rsidR="00B57CF5" w:rsidRPr="00274507">
        <w:rPr>
          <w:sz w:val="28"/>
          <w:szCs w:val="28"/>
        </w:rPr>
        <w:t xml:space="preserve"> decisiones a que hubiera lugar velando</w:t>
      </w:r>
      <w:r w:rsidR="00325F11" w:rsidRPr="00274507">
        <w:rPr>
          <w:sz w:val="28"/>
          <w:szCs w:val="28"/>
        </w:rPr>
        <w:t xml:space="preserve"> por los intereses de los ciudadanos y la garantía del goce efectivo del derecho a la salud.</w:t>
      </w:r>
    </w:p>
    <w:p w:rsidR="00F41185" w:rsidRPr="00274507" w:rsidRDefault="00F41185" w:rsidP="00274507">
      <w:pPr>
        <w:jc w:val="both"/>
        <w:rPr>
          <w:sz w:val="28"/>
          <w:szCs w:val="28"/>
        </w:rPr>
      </w:pPr>
    </w:p>
    <w:p w:rsidR="00F41185" w:rsidRPr="00274507" w:rsidRDefault="00325F11" w:rsidP="00274507">
      <w:pPr>
        <w:jc w:val="both"/>
        <w:rPr>
          <w:sz w:val="28"/>
          <w:szCs w:val="28"/>
        </w:rPr>
      </w:pPr>
      <w:r w:rsidRPr="00274507">
        <w:rPr>
          <w:sz w:val="28"/>
          <w:szCs w:val="28"/>
        </w:rPr>
        <w:t xml:space="preserve">En ese orden, analizará las gestiones adelantadas por: </w:t>
      </w:r>
    </w:p>
    <w:p w:rsidR="00325F11" w:rsidRPr="00274507" w:rsidRDefault="00325F11" w:rsidP="00274507">
      <w:pPr>
        <w:jc w:val="both"/>
        <w:rPr>
          <w:sz w:val="28"/>
          <w:szCs w:val="28"/>
        </w:rPr>
      </w:pPr>
    </w:p>
    <w:p w:rsidR="00325F11" w:rsidRPr="00274507" w:rsidRDefault="009B3B24" w:rsidP="00274507">
      <w:pPr>
        <w:jc w:val="both"/>
        <w:rPr>
          <w:sz w:val="28"/>
          <w:szCs w:val="28"/>
        </w:rPr>
      </w:pPr>
      <w:r w:rsidRPr="00274507">
        <w:rPr>
          <w:sz w:val="28"/>
          <w:szCs w:val="28"/>
        </w:rPr>
        <w:t>6</w:t>
      </w:r>
      <w:r w:rsidR="00325F11" w:rsidRPr="00274507">
        <w:rPr>
          <w:sz w:val="28"/>
          <w:szCs w:val="28"/>
        </w:rPr>
        <w:t>.1. La Procuraduría General de la Nación.</w:t>
      </w:r>
    </w:p>
    <w:p w:rsidR="00F41185" w:rsidRPr="00274507" w:rsidRDefault="00F41185" w:rsidP="00274507">
      <w:pPr>
        <w:jc w:val="both"/>
        <w:rPr>
          <w:sz w:val="28"/>
          <w:szCs w:val="28"/>
        </w:rPr>
      </w:pPr>
    </w:p>
    <w:p w:rsidR="00120C7F" w:rsidRPr="00274507" w:rsidRDefault="00325F11" w:rsidP="00274507">
      <w:pPr>
        <w:jc w:val="both"/>
        <w:rPr>
          <w:sz w:val="28"/>
          <w:szCs w:val="28"/>
        </w:rPr>
      </w:pPr>
      <w:r w:rsidRPr="00274507">
        <w:rPr>
          <w:sz w:val="28"/>
          <w:szCs w:val="28"/>
        </w:rPr>
        <w:t>Desde la expedición de la T-760 de 2008 a la fecha, la Procuraduría no ha remitido voluntariamente algún informe de seguimiento a la orden trigésima</w:t>
      </w:r>
      <w:r w:rsidR="00B57CF5" w:rsidRPr="00274507">
        <w:rPr>
          <w:sz w:val="28"/>
          <w:szCs w:val="28"/>
        </w:rPr>
        <w:t xml:space="preserve"> ante esta Corte</w:t>
      </w:r>
      <w:r w:rsidRPr="00274507">
        <w:rPr>
          <w:sz w:val="28"/>
          <w:szCs w:val="28"/>
        </w:rPr>
        <w:t>. No obstante, en dos requerimientos</w:t>
      </w:r>
      <w:r w:rsidR="00E206E5" w:rsidRPr="00274507">
        <w:rPr>
          <w:rStyle w:val="Refdenotaalpie"/>
          <w:sz w:val="28"/>
          <w:szCs w:val="28"/>
        </w:rPr>
        <w:footnoteReference w:id="147"/>
      </w:r>
      <w:r w:rsidR="00E206E5" w:rsidRPr="00274507">
        <w:rPr>
          <w:sz w:val="28"/>
          <w:szCs w:val="28"/>
        </w:rPr>
        <w:t xml:space="preserve"> </w:t>
      </w:r>
      <w:r w:rsidRPr="00274507">
        <w:rPr>
          <w:sz w:val="28"/>
          <w:szCs w:val="28"/>
        </w:rPr>
        <w:t xml:space="preserve">que efectúo esta Sala Especial, obtuvo información respecto a las actuaciones adelantadas, </w:t>
      </w:r>
      <w:r w:rsidR="00B57CF5" w:rsidRPr="00274507">
        <w:rPr>
          <w:sz w:val="28"/>
          <w:szCs w:val="28"/>
        </w:rPr>
        <w:t xml:space="preserve">de sus </w:t>
      </w:r>
      <w:r w:rsidRPr="00274507">
        <w:rPr>
          <w:sz w:val="28"/>
          <w:szCs w:val="28"/>
        </w:rPr>
        <w:t xml:space="preserve">contenidos </w:t>
      </w:r>
      <w:r w:rsidR="00B57CF5" w:rsidRPr="00274507">
        <w:rPr>
          <w:sz w:val="28"/>
          <w:szCs w:val="28"/>
        </w:rPr>
        <w:t xml:space="preserve">se </w:t>
      </w:r>
      <w:r w:rsidRPr="00274507">
        <w:rPr>
          <w:sz w:val="28"/>
          <w:szCs w:val="28"/>
        </w:rPr>
        <w:t>resalta lo siguiente:</w:t>
      </w:r>
    </w:p>
    <w:p w:rsidR="00E206E5" w:rsidRPr="00274507" w:rsidRDefault="00E206E5" w:rsidP="00274507">
      <w:pPr>
        <w:jc w:val="both"/>
        <w:rPr>
          <w:sz w:val="28"/>
          <w:szCs w:val="28"/>
        </w:rPr>
      </w:pPr>
    </w:p>
    <w:p w:rsidR="00120C7F" w:rsidRPr="00274507" w:rsidRDefault="009B3B24" w:rsidP="00274507">
      <w:pPr>
        <w:widowControl w:val="0"/>
        <w:tabs>
          <w:tab w:val="left" w:pos="567"/>
        </w:tabs>
        <w:autoSpaceDE w:val="0"/>
        <w:autoSpaceDN w:val="0"/>
        <w:adjustRightInd w:val="0"/>
        <w:jc w:val="both"/>
        <w:rPr>
          <w:sz w:val="28"/>
          <w:szCs w:val="28"/>
        </w:rPr>
      </w:pPr>
      <w:r w:rsidRPr="00274507">
        <w:rPr>
          <w:sz w:val="28"/>
          <w:szCs w:val="28"/>
        </w:rPr>
        <w:t>6</w:t>
      </w:r>
      <w:r w:rsidR="00E206E5" w:rsidRPr="00274507">
        <w:rPr>
          <w:sz w:val="28"/>
          <w:szCs w:val="28"/>
        </w:rPr>
        <w:t xml:space="preserve">.1.1. </w:t>
      </w:r>
      <w:r w:rsidR="00B57CF5" w:rsidRPr="00274507">
        <w:rPr>
          <w:sz w:val="28"/>
          <w:szCs w:val="28"/>
        </w:rPr>
        <w:t xml:space="preserve">El </w:t>
      </w:r>
      <w:r w:rsidR="00E206E5" w:rsidRPr="00274507">
        <w:rPr>
          <w:b/>
          <w:sz w:val="28"/>
          <w:szCs w:val="28"/>
        </w:rPr>
        <w:t>30 de julio de 2009</w:t>
      </w:r>
      <w:r w:rsidR="00E206E5" w:rsidRPr="00274507">
        <w:rPr>
          <w:rStyle w:val="Refdenotaalpie"/>
          <w:sz w:val="28"/>
          <w:szCs w:val="28"/>
        </w:rPr>
        <w:footnoteReference w:id="148"/>
      </w:r>
      <w:r w:rsidR="00E206E5" w:rsidRPr="00274507">
        <w:rPr>
          <w:sz w:val="28"/>
          <w:szCs w:val="28"/>
        </w:rPr>
        <w:t>, informó que e</w:t>
      </w:r>
      <w:r w:rsidR="00120C7F" w:rsidRPr="00274507">
        <w:rPr>
          <w:sz w:val="28"/>
          <w:szCs w:val="28"/>
        </w:rPr>
        <w:t>xpidió la Circular 056 de 28 de octubre de 2008</w:t>
      </w:r>
      <w:r w:rsidR="000A0684" w:rsidRPr="00274507">
        <w:rPr>
          <w:rStyle w:val="Refdenotaalpie"/>
          <w:sz w:val="28"/>
          <w:szCs w:val="28"/>
        </w:rPr>
        <w:footnoteReference w:id="149"/>
      </w:r>
      <w:r w:rsidR="00120C7F" w:rsidRPr="00274507">
        <w:rPr>
          <w:sz w:val="28"/>
          <w:szCs w:val="28"/>
        </w:rPr>
        <w:t xml:space="preserve"> mediante la cual impartió órdenes a las Procuradurías Delegadas Preventiva en materia de Derechos Humanos y Asuntos Étnicos, de los Asuntos del Trabajo y la Seguridad Social, de Descentralización y las Entidades Territoriales y para la Función Pública, con el fin de que </w:t>
      </w:r>
      <w:r w:rsidR="000A0684" w:rsidRPr="00274507">
        <w:rPr>
          <w:sz w:val="28"/>
          <w:szCs w:val="28"/>
        </w:rPr>
        <w:t xml:space="preserve">ejercieran </w:t>
      </w:r>
      <w:r w:rsidR="00120C7F" w:rsidRPr="00274507">
        <w:rPr>
          <w:sz w:val="28"/>
          <w:szCs w:val="28"/>
        </w:rPr>
        <w:t>las acciones oportunas para</w:t>
      </w:r>
      <w:r w:rsidR="00B57CF5" w:rsidRPr="00274507">
        <w:rPr>
          <w:sz w:val="28"/>
          <w:szCs w:val="28"/>
        </w:rPr>
        <w:t xml:space="preserve"> que: i) definiera</w:t>
      </w:r>
      <w:r w:rsidR="00120C7F" w:rsidRPr="00274507">
        <w:rPr>
          <w:sz w:val="28"/>
          <w:szCs w:val="28"/>
        </w:rPr>
        <w:t xml:space="preserve"> el cronograma de vencimiento de las órdenes impartidas en la sentencia T-760 de 2008 y ii) establecieran la metodología de trabajo que garantizara la definición de los criterios de seguimiento para las órdenes impartidas y el modelo de articulación y coordinación para el desarrollo de un proceso de seguimiento integral. </w:t>
      </w:r>
      <w:r w:rsidR="000A0684" w:rsidRPr="00274507">
        <w:rPr>
          <w:sz w:val="28"/>
          <w:szCs w:val="28"/>
        </w:rPr>
        <w:t xml:space="preserve">Lo anterior a fin de consolidar los informes de seguimiento y </w:t>
      </w:r>
      <w:r w:rsidR="00B57CF5" w:rsidRPr="00274507">
        <w:rPr>
          <w:sz w:val="28"/>
          <w:szCs w:val="28"/>
        </w:rPr>
        <w:t xml:space="preserve">efectuar su </w:t>
      </w:r>
      <w:r w:rsidR="000A0684" w:rsidRPr="00274507">
        <w:rPr>
          <w:sz w:val="28"/>
          <w:szCs w:val="28"/>
        </w:rPr>
        <w:t>remisión a</w:t>
      </w:r>
      <w:r w:rsidR="00B57CF5" w:rsidRPr="00274507">
        <w:rPr>
          <w:sz w:val="28"/>
          <w:szCs w:val="28"/>
        </w:rPr>
        <w:t>nte esta</w:t>
      </w:r>
      <w:r w:rsidR="000A0684" w:rsidRPr="00274507">
        <w:rPr>
          <w:sz w:val="28"/>
          <w:szCs w:val="28"/>
        </w:rPr>
        <w:t xml:space="preserve"> Corte.</w:t>
      </w:r>
    </w:p>
    <w:p w:rsidR="000A0684" w:rsidRPr="00274507" w:rsidRDefault="000A0684" w:rsidP="00274507">
      <w:pPr>
        <w:widowControl w:val="0"/>
        <w:tabs>
          <w:tab w:val="left" w:pos="567"/>
        </w:tabs>
        <w:autoSpaceDE w:val="0"/>
        <w:autoSpaceDN w:val="0"/>
        <w:adjustRightInd w:val="0"/>
        <w:jc w:val="both"/>
        <w:rPr>
          <w:sz w:val="28"/>
          <w:szCs w:val="28"/>
        </w:rPr>
      </w:pPr>
    </w:p>
    <w:p w:rsidR="000A0684" w:rsidRPr="00274507" w:rsidRDefault="000A0684" w:rsidP="00274507">
      <w:pPr>
        <w:widowControl w:val="0"/>
        <w:tabs>
          <w:tab w:val="left" w:pos="567"/>
        </w:tabs>
        <w:autoSpaceDE w:val="0"/>
        <w:autoSpaceDN w:val="0"/>
        <w:adjustRightInd w:val="0"/>
        <w:jc w:val="both"/>
        <w:rPr>
          <w:sz w:val="28"/>
          <w:szCs w:val="28"/>
        </w:rPr>
      </w:pPr>
      <w:r w:rsidRPr="00274507">
        <w:rPr>
          <w:sz w:val="28"/>
          <w:szCs w:val="28"/>
        </w:rPr>
        <w:t xml:space="preserve">En </w:t>
      </w:r>
      <w:r w:rsidR="00E206E5" w:rsidRPr="00274507">
        <w:rPr>
          <w:sz w:val="28"/>
          <w:szCs w:val="28"/>
        </w:rPr>
        <w:t>cumplimiento de la anterior norma,</w:t>
      </w:r>
      <w:r w:rsidRPr="00274507">
        <w:rPr>
          <w:sz w:val="28"/>
          <w:szCs w:val="28"/>
        </w:rPr>
        <w:t xml:space="preserve"> fue aportado el cronograma</w:t>
      </w:r>
      <w:r w:rsidR="00E206E5" w:rsidRPr="00274507">
        <w:rPr>
          <w:rStyle w:val="Refdenotaalpie"/>
          <w:sz w:val="28"/>
          <w:szCs w:val="28"/>
        </w:rPr>
        <w:footnoteReference w:id="150"/>
      </w:r>
      <w:r w:rsidRPr="00274507">
        <w:rPr>
          <w:sz w:val="28"/>
          <w:szCs w:val="28"/>
        </w:rPr>
        <w:t xml:space="preserve"> </w:t>
      </w:r>
      <w:r w:rsidR="00233FBF" w:rsidRPr="00274507">
        <w:rPr>
          <w:sz w:val="28"/>
          <w:szCs w:val="28"/>
        </w:rPr>
        <w:t>destinado a que las Procuradurías Delegadas realizarán la vigilancia superior con fines preventivos y de control de gestión, mediante la intervención de oficio o de una visita a las entidades obligadas a cumplir lo previsto en la sentencia referenciada. Además determinó que</w:t>
      </w:r>
      <w:r w:rsidR="00B57CF5" w:rsidRPr="00274507">
        <w:rPr>
          <w:sz w:val="28"/>
          <w:szCs w:val="28"/>
        </w:rPr>
        <w:t xml:space="preserve"> si una vez vencido el término de un mes para atender los requerimientos, se realizaría una  </w:t>
      </w:r>
      <w:r w:rsidR="00233FBF" w:rsidRPr="00274507">
        <w:rPr>
          <w:sz w:val="28"/>
          <w:szCs w:val="28"/>
        </w:rPr>
        <w:t>visita. También dispuso que cada delegada debería presentar un informe bimensual, que sería presentado en la primera semana de febrero y mayo, que sería recibido por la Delegada de la Función Pública, quien a su vez realizaría el envío de los respectivos informes de seguimiento a la Corte en los meses allí indicados.</w:t>
      </w:r>
    </w:p>
    <w:p w:rsidR="00AA067F" w:rsidRPr="00274507" w:rsidRDefault="00AA067F" w:rsidP="00274507">
      <w:pPr>
        <w:jc w:val="both"/>
        <w:rPr>
          <w:sz w:val="28"/>
          <w:szCs w:val="28"/>
        </w:rPr>
      </w:pPr>
    </w:p>
    <w:p w:rsidR="00FB0268" w:rsidRPr="00274507" w:rsidRDefault="009B3B24" w:rsidP="00274507">
      <w:pPr>
        <w:widowControl w:val="0"/>
        <w:tabs>
          <w:tab w:val="left" w:pos="426"/>
        </w:tabs>
        <w:autoSpaceDE w:val="0"/>
        <w:autoSpaceDN w:val="0"/>
        <w:adjustRightInd w:val="0"/>
        <w:jc w:val="both"/>
        <w:rPr>
          <w:sz w:val="28"/>
          <w:szCs w:val="28"/>
        </w:rPr>
      </w:pPr>
      <w:r w:rsidRPr="00274507">
        <w:rPr>
          <w:sz w:val="28"/>
          <w:szCs w:val="28"/>
        </w:rPr>
        <w:t>6</w:t>
      </w:r>
      <w:r w:rsidR="00E206E5" w:rsidRPr="00274507">
        <w:rPr>
          <w:sz w:val="28"/>
          <w:szCs w:val="28"/>
        </w:rPr>
        <w:t xml:space="preserve">.1.2. </w:t>
      </w:r>
      <w:r w:rsidR="00E206E5" w:rsidRPr="00274507">
        <w:rPr>
          <w:b/>
          <w:sz w:val="28"/>
          <w:szCs w:val="28"/>
        </w:rPr>
        <w:t>El 18 de septiembre de 2014</w:t>
      </w:r>
      <w:r w:rsidR="00E206E5" w:rsidRPr="00274507">
        <w:rPr>
          <w:rStyle w:val="Refdenotaalpie"/>
          <w:sz w:val="28"/>
          <w:szCs w:val="28"/>
        </w:rPr>
        <w:footnoteReference w:id="151"/>
      </w:r>
      <w:r w:rsidR="00E206E5" w:rsidRPr="00274507">
        <w:rPr>
          <w:sz w:val="28"/>
          <w:szCs w:val="28"/>
        </w:rPr>
        <w:t xml:space="preserve"> </w:t>
      </w:r>
      <w:r w:rsidR="00776A9E" w:rsidRPr="00274507">
        <w:rPr>
          <w:sz w:val="28"/>
          <w:szCs w:val="28"/>
        </w:rPr>
        <w:t xml:space="preserve">la Procuraduría, informó </w:t>
      </w:r>
      <w:r w:rsidR="00FB0268" w:rsidRPr="00274507">
        <w:rPr>
          <w:sz w:val="28"/>
          <w:szCs w:val="28"/>
        </w:rPr>
        <w:t>como gestiones adelantadas respecto a los informes recibidos por parte del Ministerio, la realización de la investigación de “</w:t>
      </w:r>
      <w:r w:rsidR="00FB0268" w:rsidRPr="00274507">
        <w:rPr>
          <w:i/>
          <w:sz w:val="28"/>
          <w:szCs w:val="28"/>
        </w:rPr>
        <w:t>financiamiento del Sistema General de Seguridad Social en Salud/ Seguimiento y Control Preventivo a las Políticas Públicas”</w:t>
      </w:r>
      <w:r w:rsidR="00FB0268" w:rsidRPr="00274507">
        <w:rPr>
          <w:rStyle w:val="Refdenotaalpie"/>
          <w:i/>
          <w:sz w:val="28"/>
          <w:szCs w:val="28"/>
        </w:rPr>
        <w:footnoteReference w:id="152"/>
      </w:r>
      <w:r w:rsidR="00FB0268" w:rsidRPr="00274507">
        <w:rPr>
          <w:i/>
          <w:sz w:val="28"/>
          <w:szCs w:val="28"/>
        </w:rPr>
        <w:t xml:space="preserve"> </w:t>
      </w:r>
      <w:r w:rsidR="00FB0268" w:rsidRPr="00274507">
        <w:rPr>
          <w:sz w:val="28"/>
          <w:szCs w:val="28"/>
        </w:rPr>
        <w:t>con el apoyo del Programa de Derechos Humanos de USAID, operado por MSD Colombia Ltda, labor desarrollada con el Centro de Proyectos para el Desarrollo – Cendex- Unidad Académica de la Pontificia Universidad Javeriana y la Procuraduría Delegada para Asuntos de Trabajo y Seguridad Social, que fue editado en el 2012.</w:t>
      </w:r>
    </w:p>
    <w:p w:rsidR="00FB0268" w:rsidRPr="00274507" w:rsidRDefault="00FB0268" w:rsidP="00274507">
      <w:pPr>
        <w:widowControl w:val="0"/>
        <w:tabs>
          <w:tab w:val="left" w:pos="426"/>
        </w:tabs>
        <w:autoSpaceDE w:val="0"/>
        <w:autoSpaceDN w:val="0"/>
        <w:adjustRightInd w:val="0"/>
        <w:jc w:val="both"/>
        <w:rPr>
          <w:sz w:val="28"/>
          <w:szCs w:val="28"/>
        </w:rPr>
      </w:pPr>
    </w:p>
    <w:p w:rsidR="00FB0268" w:rsidRPr="00274507" w:rsidRDefault="00FB0268" w:rsidP="00274507">
      <w:pPr>
        <w:widowControl w:val="0"/>
        <w:tabs>
          <w:tab w:val="left" w:pos="426"/>
        </w:tabs>
        <w:autoSpaceDE w:val="0"/>
        <w:autoSpaceDN w:val="0"/>
        <w:adjustRightInd w:val="0"/>
        <w:jc w:val="both"/>
        <w:rPr>
          <w:sz w:val="28"/>
          <w:szCs w:val="28"/>
        </w:rPr>
      </w:pPr>
      <w:r w:rsidRPr="00274507">
        <w:rPr>
          <w:sz w:val="28"/>
          <w:szCs w:val="28"/>
        </w:rPr>
        <w:t>Se realizó el estudio de los recursos del sistema general de participaciones, de los entes territoriales, de la administración del Fosyga y de los posibles problemas generados por la corrupción o el uso indebido de estos.</w:t>
      </w:r>
    </w:p>
    <w:p w:rsidR="00AA067F" w:rsidRPr="00274507" w:rsidRDefault="00AA067F" w:rsidP="00274507">
      <w:pPr>
        <w:jc w:val="both"/>
        <w:rPr>
          <w:sz w:val="28"/>
          <w:szCs w:val="28"/>
        </w:rPr>
      </w:pPr>
    </w:p>
    <w:p w:rsidR="00AA067F" w:rsidRPr="00274507" w:rsidRDefault="00FB0268" w:rsidP="00274507">
      <w:pPr>
        <w:jc w:val="both"/>
        <w:rPr>
          <w:sz w:val="28"/>
          <w:szCs w:val="28"/>
        </w:rPr>
      </w:pPr>
      <w:r w:rsidRPr="00274507">
        <w:rPr>
          <w:sz w:val="28"/>
          <w:szCs w:val="28"/>
        </w:rPr>
        <w:t>Por otra parte, informó que efectuó visitas de seguimiento al cumplimiento de la orden trigésima, para lo cual recaudó información</w:t>
      </w:r>
      <w:r w:rsidR="00B57CF5" w:rsidRPr="00274507">
        <w:rPr>
          <w:sz w:val="28"/>
          <w:szCs w:val="28"/>
        </w:rPr>
        <w:t xml:space="preserve"> en una matriz en la que contenía</w:t>
      </w:r>
      <w:r w:rsidRPr="00274507">
        <w:rPr>
          <w:sz w:val="28"/>
          <w:szCs w:val="28"/>
        </w:rPr>
        <w:t xml:space="preserve"> el resumen de las actas de visitas efectuadas el 26 de agosto de 2009, 21 de junio de 2010, 28 de abril de 2011, 3 de diciembre de 2012 y 19 de febrero de 2013.</w:t>
      </w:r>
    </w:p>
    <w:p w:rsidR="00AA067F" w:rsidRPr="00274507" w:rsidRDefault="00AA067F" w:rsidP="00274507">
      <w:pPr>
        <w:jc w:val="both"/>
        <w:rPr>
          <w:sz w:val="28"/>
          <w:szCs w:val="28"/>
        </w:rPr>
      </w:pPr>
    </w:p>
    <w:p w:rsidR="00AA067F" w:rsidRPr="00274507" w:rsidRDefault="009B3B24" w:rsidP="00274507">
      <w:pPr>
        <w:jc w:val="both"/>
        <w:rPr>
          <w:sz w:val="28"/>
          <w:szCs w:val="28"/>
        </w:rPr>
      </w:pPr>
      <w:r w:rsidRPr="00274507">
        <w:rPr>
          <w:sz w:val="28"/>
          <w:szCs w:val="28"/>
        </w:rPr>
        <w:t>6</w:t>
      </w:r>
      <w:r w:rsidR="00730115" w:rsidRPr="00274507">
        <w:rPr>
          <w:sz w:val="28"/>
          <w:szCs w:val="28"/>
        </w:rPr>
        <w:t>.2. De lo anterior, esta Sala de Seguimiento infiere que pese a que la Procuraduría General de la Nación en dos ocasiones informó las gestiones adelantadas respecto al seguimiento de la orden trigésima e inform</w:t>
      </w:r>
      <w:r w:rsidR="003F6775" w:rsidRPr="00274507">
        <w:rPr>
          <w:sz w:val="28"/>
          <w:szCs w:val="28"/>
        </w:rPr>
        <w:t>ó</w:t>
      </w:r>
      <w:r w:rsidR="00730115" w:rsidRPr="00274507">
        <w:rPr>
          <w:sz w:val="28"/>
          <w:szCs w:val="28"/>
        </w:rPr>
        <w:t xml:space="preserve"> de la existencia de una norma reguladora para la prevención del cumplimiento general del mandato constitucional, en ninguna </w:t>
      </w:r>
      <w:r w:rsidR="00194C41" w:rsidRPr="00274507">
        <w:rPr>
          <w:sz w:val="28"/>
          <w:szCs w:val="28"/>
        </w:rPr>
        <w:t xml:space="preserve">oportunidad, esta autoridad </w:t>
      </w:r>
      <w:r w:rsidR="00730115" w:rsidRPr="00274507">
        <w:rPr>
          <w:sz w:val="28"/>
          <w:szCs w:val="28"/>
        </w:rPr>
        <w:t>remitió los informes bimestrales</w:t>
      </w:r>
      <w:r w:rsidR="003F6775" w:rsidRPr="00274507">
        <w:rPr>
          <w:rStyle w:val="Refdenotaalpie"/>
          <w:sz w:val="28"/>
          <w:szCs w:val="28"/>
        </w:rPr>
        <w:footnoteReference w:id="153"/>
      </w:r>
      <w:r w:rsidR="00730115" w:rsidRPr="00274507">
        <w:rPr>
          <w:sz w:val="28"/>
          <w:szCs w:val="28"/>
        </w:rPr>
        <w:t xml:space="preserve"> que serían puestos en conocimiento de esta Corte</w:t>
      </w:r>
      <w:r w:rsidR="00194C41" w:rsidRPr="00274507">
        <w:rPr>
          <w:sz w:val="28"/>
          <w:szCs w:val="28"/>
        </w:rPr>
        <w:t xml:space="preserve"> en observancia de la función constitucional</w:t>
      </w:r>
      <w:r w:rsidR="00730115" w:rsidRPr="00274507">
        <w:rPr>
          <w:sz w:val="28"/>
          <w:szCs w:val="28"/>
        </w:rPr>
        <w:t>.</w:t>
      </w:r>
    </w:p>
    <w:p w:rsidR="00730115" w:rsidRPr="00274507" w:rsidRDefault="00730115" w:rsidP="00274507">
      <w:pPr>
        <w:jc w:val="both"/>
        <w:rPr>
          <w:sz w:val="28"/>
          <w:szCs w:val="28"/>
        </w:rPr>
      </w:pPr>
    </w:p>
    <w:p w:rsidR="006B59D0" w:rsidRPr="00274507" w:rsidRDefault="006B59D0" w:rsidP="00274507">
      <w:pPr>
        <w:jc w:val="both"/>
        <w:rPr>
          <w:sz w:val="28"/>
          <w:szCs w:val="28"/>
        </w:rPr>
      </w:pPr>
      <w:r w:rsidRPr="00274507">
        <w:rPr>
          <w:sz w:val="28"/>
          <w:szCs w:val="28"/>
        </w:rPr>
        <w:t>En consecuencia, no es posible establecer si las gestiones adelantadas por la Procuraduría a través de sus delegadas han sido certeras, veraces y eficaces, ni tampoco sí las mismas han contribuido al cumplimiento de la orden por parte del ente regulador.</w:t>
      </w:r>
    </w:p>
    <w:p w:rsidR="00C56B2E" w:rsidRPr="00274507" w:rsidRDefault="006B59D0" w:rsidP="00274507">
      <w:pPr>
        <w:jc w:val="both"/>
        <w:rPr>
          <w:snapToGrid w:val="0"/>
          <w:sz w:val="28"/>
          <w:szCs w:val="28"/>
        </w:rPr>
      </w:pPr>
      <w:r w:rsidRPr="00274507">
        <w:rPr>
          <w:sz w:val="28"/>
          <w:szCs w:val="28"/>
        </w:rPr>
        <w:t xml:space="preserve">Este Tribunal </w:t>
      </w:r>
      <w:r w:rsidR="00805AD0" w:rsidRPr="00274507">
        <w:rPr>
          <w:sz w:val="28"/>
          <w:szCs w:val="28"/>
        </w:rPr>
        <w:t>reitera</w:t>
      </w:r>
      <w:r w:rsidR="00BD561B" w:rsidRPr="00274507">
        <w:rPr>
          <w:sz w:val="28"/>
          <w:szCs w:val="28"/>
        </w:rPr>
        <w:t xml:space="preserve"> a la entidad su</w:t>
      </w:r>
      <w:r w:rsidR="00C56B2E" w:rsidRPr="00274507">
        <w:rPr>
          <w:sz w:val="28"/>
          <w:szCs w:val="28"/>
        </w:rPr>
        <w:t xml:space="preserve"> debe</w:t>
      </w:r>
      <w:r w:rsidR="00BD561B" w:rsidRPr="00274507">
        <w:rPr>
          <w:sz w:val="28"/>
          <w:szCs w:val="28"/>
        </w:rPr>
        <w:t>r en el ejercicio de la</w:t>
      </w:r>
      <w:r w:rsidR="00C56B2E" w:rsidRPr="00274507">
        <w:rPr>
          <w:sz w:val="28"/>
          <w:szCs w:val="28"/>
        </w:rPr>
        <w:t xml:space="preserve"> </w:t>
      </w:r>
      <w:r w:rsidR="00BD561B" w:rsidRPr="00274507">
        <w:rPr>
          <w:sz w:val="28"/>
          <w:szCs w:val="28"/>
        </w:rPr>
        <w:t>función preventiva</w:t>
      </w:r>
      <w:r w:rsidR="00C56B2E" w:rsidRPr="00274507">
        <w:rPr>
          <w:snapToGrid w:val="0"/>
          <w:sz w:val="28"/>
          <w:szCs w:val="28"/>
          <w:vertAlign w:val="superscript"/>
        </w:rPr>
        <w:footnoteReference w:id="154"/>
      </w:r>
      <w:r w:rsidR="00C56B2E" w:rsidRPr="00274507">
        <w:rPr>
          <w:snapToGrid w:val="0"/>
          <w:sz w:val="28"/>
          <w:szCs w:val="28"/>
        </w:rPr>
        <w:t xml:space="preserve"> en la ejecución de las decisiones adoptadas por esta Corporación</w:t>
      </w:r>
      <w:r w:rsidR="00BD561B" w:rsidRPr="00274507">
        <w:rPr>
          <w:snapToGrid w:val="0"/>
          <w:sz w:val="28"/>
          <w:szCs w:val="28"/>
        </w:rPr>
        <w:t xml:space="preserve">, de igual </w:t>
      </w:r>
      <w:r w:rsidR="000D602C" w:rsidRPr="00274507">
        <w:rPr>
          <w:snapToGrid w:val="0"/>
          <w:sz w:val="28"/>
          <w:szCs w:val="28"/>
        </w:rPr>
        <w:t>forma, la misma fue descrita en la Resolución 132 de 2014</w:t>
      </w:r>
      <w:r w:rsidR="000D602C" w:rsidRPr="00274507">
        <w:rPr>
          <w:rStyle w:val="Refdenotaalpie"/>
          <w:snapToGrid w:val="0"/>
          <w:sz w:val="28"/>
          <w:szCs w:val="28"/>
        </w:rPr>
        <w:footnoteReference w:id="155"/>
      </w:r>
      <w:r w:rsidR="000D602C" w:rsidRPr="00274507">
        <w:rPr>
          <w:snapToGrid w:val="0"/>
          <w:sz w:val="28"/>
          <w:szCs w:val="28"/>
        </w:rPr>
        <w:t>, que determinó el constante apoyo y gestión para garantizar los derechos fundamentales de todos los ciudadanos, en ese sentido, ha sido vinculada en la intervención de las decisiones impartidas en la sentencia T-760 de 2008, para prevenir y corroborar con que las actuaciones</w:t>
      </w:r>
      <w:r w:rsidR="00B40E41" w:rsidRPr="00274507">
        <w:rPr>
          <w:snapToGrid w:val="0"/>
          <w:sz w:val="28"/>
          <w:szCs w:val="28"/>
        </w:rPr>
        <w:t xml:space="preserve"> y las medidas adelantadas</w:t>
      </w:r>
      <w:r w:rsidR="00194C41" w:rsidRPr="00274507">
        <w:rPr>
          <w:snapToGrid w:val="0"/>
          <w:sz w:val="28"/>
          <w:szCs w:val="28"/>
        </w:rPr>
        <w:t xml:space="preserve"> por el Ministerio de Salud, sea</w:t>
      </w:r>
      <w:r w:rsidR="000D602C" w:rsidRPr="00274507">
        <w:rPr>
          <w:snapToGrid w:val="0"/>
          <w:sz w:val="28"/>
          <w:szCs w:val="28"/>
        </w:rPr>
        <w:t>n pertinentes y adecuadas</w:t>
      </w:r>
      <w:r w:rsidR="00B40E41" w:rsidRPr="00274507">
        <w:rPr>
          <w:snapToGrid w:val="0"/>
          <w:sz w:val="28"/>
          <w:szCs w:val="28"/>
        </w:rPr>
        <w:t xml:space="preserve"> para superar las fallas identificadas y velar por </w:t>
      </w:r>
      <w:r w:rsidR="000D602C" w:rsidRPr="00274507">
        <w:rPr>
          <w:snapToGrid w:val="0"/>
          <w:sz w:val="28"/>
          <w:szCs w:val="28"/>
        </w:rPr>
        <w:t>el goce efectivo del derecho a la salud.</w:t>
      </w:r>
    </w:p>
    <w:p w:rsidR="00C56B2E" w:rsidRPr="00274507" w:rsidRDefault="00C56B2E" w:rsidP="00274507">
      <w:pPr>
        <w:jc w:val="both"/>
        <w:rPr>
          <w:snapToGrid w:val="0"/>
          <w:sz w:val="28"/>
          <w:szCs w:val="28"/>
        </w:rPr>
      </w:pPr>
    </w:p>
    <w:p w:rsidR="006B59D0" w:rsidRPr="00274507" w:rsidRDefault="00B40E41" w:rsidP="00274507">
      <w:pPr>
        <w:jc w:val="both"/>
        <w:rPr>
          <w:sz w:val="28"/>
          <w:szCs w:val="28"/>
        </w:rPr>
      </w:pPr>
      <w:r w:rsidRPr="00274507">
        <w:rPr>
          <w:sz w:val="28"/>
          <w:szCs w:val="28"/>
        </w:rPr>
        <w:t xml:space="preserve">Así, </w:t>
      </w:r>
      <w:r w:rsidR="00AE0FF9" w:rsidRPr="00274507">
        <w:rPr>
          <w:sz w:val="28"/>
          <w:szCs w:val="28"/>
        </w:rPr>
        <w:t xml:space="preserve">la Corte recuerda </w:t>
      </w:r>
      <w:r w:rsidRPr="00274507">
        <w:rPr>
          <w:sz w:val="28"/>
          <w:szCs w:val="28"/>
        </w:rPr>
        <w:t>a la Procuraduría</w:t>
      </w:r>
      <w:r w:rsidR="00194C41" w:rsidRPr="00274507">
        <w:rPr>
          <w:sz w:val="28"/>
          <w:szCs w:val="28"/>
        </w:rPr>
        <w:t xml:space="preserve"> su</w:t>
      </w:r>
      <w:r w:rsidRPr="00274507">
        <w:rPr>
          <w:sz w:val="28"/>
          <w:szCs w:val="28"/>
        </w:rPr>
        <w:t xml:space="preserve"> debe</w:t>
      </w:r>
      <w:r w:rsidR="00194C41" w:rsidRPr="00274507">
        <w:rPr>
          <w:sz w:val="28"/>
          <w:szCs w:val="28"/>
        </w:rPr>
        <w:t>r de presentar ante</w:t>
      </w:r>
      <w:r w:rsidRPr="00274507">
        <w:rPr>
          <w:sz w:val="28"/>
          <w:szCs w:val="28"/>
        </w:rPr>
        <w:t xml:space="preserve"> este Tribunal </w:t>
      </w:r>
      <w:r w:rsidR="00A141E5" w:rsidRPr="00274507">
        <w:rPr>
          <w:sz w:val="28"/>
          <w:szCs w:val="28"/>
        </w:rPr>
        <w:t>las actuaciones ejercidas en seguimiento de los informes presentados por el Ministerio de Salud respecto a la medición de las acciones de tutelas, ya que a la fecha no ha sido presentado el primero desde la expedición de la T-760 de 2008. Además,</w:t>
      </w:r>
      <w:r w:rsidR="00805AD0" w:rsidRPr="00274507">
        <w:rPr>
          <w:sz w:val="28"/>
          <w:szCs w:val="28"/>
        </w:rPr>
        <w:t xml:space="preserve"> como se ha manifestado en reiteradas ocasiones</w:t>
      </w:r>
      <w:r w:rsidR="003A329D" w:rsidRPr="00274507">
        <w:rPr>
          <w:rStyle w:val="Refdenotaalpie"/>
          <w:sz w:val="28"/>
          <w:szCs w:val="28"/>
        </w:rPr>
        <w:footnoteReference w:id="156"/>
      </w:r>
      <w:r w:rsidR="00805AD0" w:rsidRPr="00274507">
        <w:rPr>
          <w:sz w:val="28"/>
          <w:szCs w:val="28"/>
        </w:rPr>
        <w:t>, el cumplimiento de la orden no solo refiere a la presentación material de un informe, sino que su contenido debe ser claro y completo respecto a la gestión de seguimiento adelantada en el cumplimiento del mandato trigésimo, indicando así el</w:t>
      </w:r>
      <w:r w:rsidR="00A141E5" w:rsidRPr="00274507">
        <w:rPr>
          <w:sz w:val="28"/>
          <w:szCs w:val="28"/>
        </w:rPr>
        <w:t xml:space="preserve"> cronograma</w:t>
      </w:r>
      <w:r w:rsidR="00805AD0" w:rsidRPr="00274507">
        <w:rPr>
          <w:sz w:val="28"/>
          <w:szCs w:val="28"/>
        </w:rPr>
        <w:t xml:space="preserve"> de sus labores</w:t>
      </w:r>
      <w:r w:rsidR="00A141E5" w:rsidRPr="00274507">
        <w:rPr>
          <w:sz w:val="28"/>
          <w:szCs w:val="28"/>
        </w:rPr>
        <w:t>, los re</w:t>
      </w:r>
      <w:r w:rsidR="004C3F0E" w:rsidRPr="00274507">
        <w:rPr>
          <w:sz w:val="28"/>
          <w:szCs w:val="28"/>
        </w:rPr>
        <w:t>querimientos que ha efectuado a dicho ministerio</w:t>
      </w:r>
      <w:r w:rsidR="00A141E5" w:rsidRPr="00274507">
        <w:rPr>
          <w:sz w:val="28"/>
          <w:szCs w:val="28"/>
        </w:rPr>
        <w:t>, las visitas realizadas, los c</w:t>
      </w:r>
      <w:r w:rsidR="004E6E3C" w:rsidRPr="00274507">
        <w:rPr>
          <w:sz w:val="28"/>
          <w:szCs w:val="28"/>
        </w:rPr>
        <w:t xml:space="preserve">onceptos derivados de cada reporte </w:t>
      </w:r>
      <w:r w:rsidR="00A141E5" w:rsidRPr="00274507">
        <w:rPr>
          <w:sz w:val="28"/>
          <w:szCs w:val="28"/>
        </w:rPr>
        <w:t>y las recomendac</w:t>
      </w:r>
      <w:r w:rsidR="004E6E3C" w:rsidRPr="00274507">
        <w:rPr>
          <w:sz w:val="28"/>
          <w:szCs w:val="28"/>
        </w:rPr>
        <w:t xml:space="preserve">iones emitidas. También deberá señalar </w:t>
      </w:r>
      <w:r w:rsidR="00A141E5" w:rsidRPr="00274507">
        <w:rPr>
          <w:sz w:val="28"/>
          <w:szCs w:val="28"/>
        </w:rPr>
        <w:t>las herramientas útiles elaboradas para colabo</w:t>
      </w:r>
      <w:r w:rsidR="00805AD0" w:rsidRPr="00274507">
        <w:rPr>
          <w:sz w:val="28"/>
          <w:szCs w:val="28"/>
        </w:rPr>
        <w:t>rar con el cumplimiento total del mandato</w:t>
      </w:r>
      <w:r w:rsidR="00A141E5" w:rsidRPr="00274507">
        <w:rPr>
          <w:sz w:val="28"/>
          <w:szCs w:val="28"/>
        </w:rPr>
        <w:t>.</w:t>
      </w:r>
    </w:p>
    <w:p w:rsidR="00A141E5" w:rsidRPr="00274507" w:rsidRDefault="00A141E5" w:rsidP="00274507">
      <w:pPr>
        <w:jc w:val="both"/>
        <w:rPr>
          <w:sz w:val="28"/>
          <w:szCs w:val="28"/>
        </w:rPr>
      </w:pPr>
    </w:p>
    <w:p w:rsidR="00AA067F" w:rsidRPr="00274507" w:rsidRDefault="009B3B24" w:rsidP="00274507">
      <w:pPr>
        <w:jc w:val="both"/>
        <w:rPr>
          <w:sz w:val="28"/>
          <w:szCs w:val="28"/>
        </w:rPr>
      </w:pPr>
      <w:r w:rsidRPr="00274507">
        <w:rPr>
          <w:sz w:val="28"/>
          <w:szCs w:val="28"/>
        </w:rPr>
        <w:t>6</w:t>
      </w:r>
      <w:r w:rsidR="00A141E5" w:rsidRPr="00274507">
        <w:rPr>
          <w:sz w:val="28"/>
          <w:szCs w:val="28"/>
        </w:rPr>
        <w:t>.3. La Defensoría del Pueblo.</w:t>
      </w:r>
    </w:p>
    <w:p w:rsidR="00A141E5" w:rsidRPr="00274507" w:rsidRDefault="00A141E5" w:rsidP="00274507">
      <w:pPr>
        <w:jc w:val="both"/>
        <w:rPr>
          <w:sz w:val="28"/>
          <w:szCs w:val="28"/>
        </w:rPr>
      </w:pPr>
    </w:p>
    <w:p w:rsidR="003E4041" w:rsidRPr="00274507" w:rsidRDefault="00A141E5" w:rsidP="00274507">
      <w:pPr>
        <w:jc w:val="both"/>
        <w:rPr>
          <w:sz w:val="28"/>
          <w:szCs w:val="28"/>
        </w:rPr>
      </w:pPr>
      <w:r w:rsidRPr="00274507">
        <w:rPr>
          <w:sz w:val="28"/>
          <w:szCs w:val="28"/>
        </w:rPr>
        <w:t>Por su parte, tal como se expuso en el acápite</w:t>
      </w:r>
      <w:r w:rsidR="003E4041" w:rsidRPr="00274507">
        <w:rPr>
          <w:sz w:val="28"/>
          <w:szCs w:val="28"/>
        </w:rPr>
        <w:t xml:space="preserve"> núm. 3</w:t>
      </w:r>
      <w:r w:rsidRPr="00274507">
        <w:rPr>
          <w:sz w:val="28"/>
          <w:szCs w:val="28"/>
        </w:rPr>
        <w:t xml:space="preserve"> de los antecedentes</w:t>
      </w:r>
      <w:r w:rsidR="003E4041" w:rsidRPr="00274507">
        <w:rPr>
          <w:sz w:val="28"/>
          <w:szCs w:val="28"/>
        </w:rPr>
        <w:t xml:space="preserve"> de esta providencia</w:t>
      </w:r>
      <w:r w:rsidRPr="00274507">
        <w:rPr>
          <w:sz w:val="28"/>
          <w:szCs w:val="28"/>
        </w:rPr>
        <w:t xml:space="preserve">, en cumplimiento del seguimiento de la orden trigésima, la Defensoría ha presentado ante esta </w:t>
      </w:r>
      <w:r w:rsidR="00B47EFF" w:rsidRPr="00274507">
        <w:rPr>
          <w:sz w:val="28"/>
          <w:szCs w:val="28"/>
        </w:rPr>
        <w:t>Corte,</w:t>
      </w:r>
      <w:r w:rsidR="00A92B6D" w:rsidRPr="00274507">
        <w:rPr>
          <w:sz w:val="28"/>
          <w:szCs w:val="28"/>
        </w:rPr>
        <w:t xml:space="preserve"> </w:t>
      </w:r>
      <w:r w:rsidR="00FA088E" w:rsidRPr="00274507">
        <w:rPr>
          <w:sz w:val="28"/>
          <w:szCs w:val="28"/>
        </w:rPr>
        <w:t>siete informes</w:t>
      </w:r>
      <w:r w:rsidR="003E4041" w:rsidRPr="00274507">
        <w:rPr>
          <w:sz w:val="28"/>
          <w:szCs w:val="28"/>
        </w:rPr>
        <w:t xml:space="preserve"> de seguimiento, dentro de los cuales desarrolló: i) el contenido de cada uno de los informes presentados por parte del ente regulador; ii) los aspectos positivos y negativos en los mismos; iii) los resultados relacionados con el aumento o disminución de las tutelas para cada año analizado y la diferenciación con el estudio anual</w:t>
      </w:r>
      <w:r w:rsidR="00365E46" w:rsidRPr="00274507">
        <w:rPr>
          <w:sz w:val="28"/>
          <w:szCs w:val="28"/>
        </w:rPr>
        <w:t xml:space="preserve"> realizado por su parte respecto a </w:t>
      </w:r>
      <w:r w:rsidR="003E4041" w:rsidRPr="00274507">
        <w:rPr>
          <w:sz w:val="28"/>
          <w:szCs w:val="28"/>
        </w:rPr>
        <w:t xml:space="preserve">la tutela y </w:t>
      </w:r>
      <w:r w:rsidR="00365E46" w:rsidRPr="00274507">
        <w:rPr>
          <w:sz w:val="28"/>
          <w:szCs w:val="28"/>
        </w:rPr>
        <w:t xml:space="preserve">los derechos a la salud y a </w:t>
      </w:r>
      <w:r w:rsidR="003E4041" w:rsidRPr="00274507">
        <w:rPr>
          <w:sz w:val="28"/>
          <w:szCs w:val="28"/>
        </w:rPr>
        <w:t>la seguridad social</w:t>
      </w:r>
      <w:r w:rsidR="00365E46" w:rsidRPr="00274507">
        <w:rPr>
          <w:sz w:val="28"/>
          <w:szCs w:val="28"/>
        </w:rPr>
        <w:t>; iv) los avances en el cumplimiento de la orden trigésima y v) las recomendaciones para mejorar la presentación de los informes.</w:t>
      </w:r>
    </w:p>
    <w:p w:rsidR="00365E46" w:rsidRPr="00274507" w:rsidRDefault="00365E46" w:rsidP="00274507">
      <w:pPr>
        <w:jc w:val="both"/>
        <w:rPr>
          <w:sz w:val="28"/>
          <w:szCs w:val="28"/>
        </w:rPr>
      </w:pPr>
    </w:p>
    <w:p w:rsidR="00365E46" w:rsidRDefault="00365E46" w:rsidP="00274507">
      <w:pPr>
        <w:jc w:val="both"/>
        <w:rPr>
          <w:sz w:val="28"/>
          <w:szCs w:val="28"/>
        </w:rPr>
      </w:pPr>
      <w:r w:rsidRPr="00274507">
        <w:rPr>
          <w:sz w:val="28"/>
          <w:szCs w:val="28"/>
        </w:rPr>
        <w:t>Lo anterior, fue desarrollado, tal como se evidencia en los reportes de seguimiento allegados al plenario</w:t>
      </w:r>
      <w:r w:rsidR="00194C41" w:rsidRPr="00274507">
        <w:rPr>
          <w:sz w:val="28"/>
          <w:szCs w:val="28"/>
        </w:rPr>
        <w:t xml:space="preserve"> conociendo </w:t>
      </w:r>
      <w:r w:rsidR="00E52C72" w:rsidRPr="00274507">
        <w:rPr>
          <w:sz w:val="28"/>
          <w:szCs w:val="28"/>
        </w:rPr>
        <w:t>de fondo los temas evidenciados en cada caso</w:t>
      </w:r>
      <w:r w:rsidRPr="00274507">
        <w:rPr>
          <w:sz w:val="28"/>
          <w:szCs w:val="28"/>
        </w:rPr>
        <w:t xml:space="preserve">. También fueron aportados los oficios mediante los cuales la Defensoría del Pueblo requería constantemente al </w:t>
      </w:r>
      <w:r w:rsidR="004C3F0E" w:rsidRPr="00274507">
        <w:rPr>
          <w:sz w:val="28"/>
          <w:szCs w:val="28"/>
        </w:rPr>
        <w:t xml:space="preserve">órgano ministerial </w:t>
      </w:r>
      <w:r w:rsidRPr="00274507">
        <w:rPr>
          <w:sz w:val="28"/>
          <w:szCs w:val="28"/>
        </w:rPr>
        <w:t>con el propósito de recordarle su labor de instruirlo y acompañarlo en el cumplimiento de la</w:t>
      </w:r>
      <w:r w:rsidR="00194C41" w:rsidRPr="00274507">
        <w:rPr>
          <w:sz w:val="28"/>
          <w:szCs w:val="28"/>
        </w:rPr>
        <w:t xml:space="preserve"> orden</w:t>
      </w:r>
      <w:r w:rsidRPr="00274507">
        <w:rPr>
          <w:sz w:val="28"/>
          <w:szCs w:val="28"/>
        </w:rPr>
        <w:t>, así como las gestiones adelantadas, los mecanismos y las herramientas utilizadas para la construcción eficaz de los mismos.</w:t>
      </w:r>
    </w:p>
    <w:p w:rsidR="009559BA" w:rsidRPr="00274507" w:rsidRDefault="009559BA" w:rsidP="00274507">
      <w:pPr>
        <w:jc w:val="both"/>
        <w:rPr>
          <w:sz w:val="28"/>
          <w:szCs w:val="28"/>
        </w:rPr>
      </w:pPr>
    </w:p>
    <w:p w:rsidR="00586B0A" w:rsidRPr="00274507" w:rsidRDefault="00365E46" w:rsidP="00274507">
      <w:pPr>
        <w:jc w:val="both"/>
        <w:rPr>
          <w:sz w:val="28"/>
          <w:szCs w:val="28"/>
        </w:rPr>
      </w:pPr>
      <w:r w:rsidRPr="00274507">
        <w:rPr>
          <w:sz w:val="28"/>
          <w:szCs w:val="28"/>
        </w:rPr>
        <w:t xml:space="preserve">En ese sentido, este Tribunal considera pertinente </w:t>
      </w:r>
      <w:r w:rsidR="00A92B6D" w:rsidRPr="00274507">
        <w:rPr>
          <w:sz w:val="28"/>
          <w:szCs w:val="28"/>
        </w:rPr>
        <w:t>exalta</w:t>
      </w:r>
      <w:r w:rsidRPr="00274507">
        <w:rPr>
          <w:sz w:val="28"/>
          <w:szCs w:val="28"/>
        </w:rPr>
        <w:t>r</w:t>
      </w:r>
      <w:r w:rsidR="00A92B6D" w:rsidRPr="00274507">
        <w:rPr>
          <w:sz w:val="28"/>
          <w:szCs w:val="28"/>
        </w:rPr>
        <w:t xml:space="preserve"> </w:t>
      </w:r>
      <w:r w:rsidR="00446DFB" w:rsidRPr="00274507">
        <w:rPr>
          <w:sz w:val="28"/>
          <w:szCs w:val="28"/>
        </w:rPr>
        <w:t xml:space="preserve">la intervención continua y activa adelantada </w:t>
      </w:r>
      <w:r w:rsidR="00A92B6D" w:rsidRPr="00274507">
        <w:rPr>
          <w:sz w:val="28"/>
          <w:szCs w:val="28"/>
        </w:rPr>
        <w:t xml:space="preserve">por la Defensoría del Pueblo </w:t>
      </w:r>
      <w:r w:rsidR="00446DFB" w:rsidRPr="00274507">
        <w:rPr>
          <w:sz w:val="28"/>
          <w:szCs w:val="28"/>
        </w:rPr>
        <w:t xml:space="preserve">con el propósito de acompañar el </w:t>
      </w:r>
      <w:r w:rsidR="0087246A" w:rsidRPr="00274507">
        <w:rPr>
          <w:sz w:val="28"/>
          <w:szCs w:val="28"/>
        </w:rPr>
        <w:t xml:space="preserve">acatamiento </w:t>
      </w:r>
      <w:r w:rsidR="00446DFB" w:rsidRPr="00274507">
        <w:rPr>
          <w:sz w:val="28"/>
          <w:szCs w:val="28"/>
        </w:rPr>
        <w:t xml:space="preserve">de las órdenes impartidas en la </w:t>
      </w:r>
      <w:r w:rsidR="00B50241" w:rsidRPr="00274507">
        <w:rPr>
          <w:sz w:val="28"/>
          <w:szCs w:val="28"/>
        </w:rPr>
        <w:t xml:space="preserve">sentencia </w:t>
      </w:r>
      <w:r w:rsidR="00446DFB" w:rsidRPr="00274507">
        <w:rPr>
          <w:sz w:val="28"/>
          <w:szCs w:val="28"/>
        </w:rPr>
        <w:t>T-760 de 2008</w:t>
      </w:r>
      <w:r w:rsidR="00B47EFF" w:rsidRPr="00274507">
        <w:rPr>
          <w:sz w:val="28"/>
          <w:szCs w:val="28"/>
        </w:rPr>
        <w:t>, en la que ha aporta</w:t>
      </w:r>
      <w:r w:rsidR="006D293E" w:rsidRPr="00274507">
        <w:rPr>
          <w:sz w:val="28"/>
          <w:szCs w:val="28"/>
        </w:rPr>
        <w:t>do su</w:t>
      </w:r>
      <w:r w:rsidR="001D6B5C" w:rsidRPr="00274507">
        <w:rPr>
          <w:sz w:val="28"/>
          <w:szCs w:val="28"/>
        </w:rPr>
        <w:t>s</w:t>
      </w:r>
      <w:r w:rsidR="006D293E" w:rsidRPr="00274507">
        <w:rPr>
          <w:sz w:val="28"/>
          <w:szCs w:val="28"/>
        </w:rPr>
        <w:t xml:space="preserve"> conceptos en cada situación</w:t>
      </w:r>
      <w:r w:rsidRPr="00274507">
        <w:rPr>
          <w:sz w:val="28"/>
          <w:szCs w:val="28"/>
        </w:rPr>
        <w:t xml:space="preserve">, valorando en cada año los informes del Ministerio, evaluando las falencias </w:t>
      </w:r>
      <w:r w:rsidR="00E52C72" w:rsidRPr="00274507">
        <w:rPr>
          <w:sz w:val="28"/>
          <w:szCs w:val="28"/>
        </w:rPr>
        <w:t xml:space="preserve">y </w:t>
      </w:r>
      <w:r w:rsidRPr="00274507">
        <w:rPr>
          <w:sz w:val="28"/>
          <w:szCs w:val="28"/>
        </w:rPr>
        <w:t>recomendando los medios para superarlas</w:t>
      </w:r>
      <w:r w:rsidR="00586B0A" w:rsidRPr="00274507">
        <w:rPr>
          <w:sz w:val="28"/>
          <w:szCs w:val="28"/>
        </w:rPr>
        <w:t>.</w:t>
      </w:r>
      <w:r w:rsidR="00B47EFF" w:rsidRPr="00274507">
        <w:rPr>
          <w:sz w:val="28"/>
          <w:szCs w:val="28"/>
        </w:rPr>
        <w:t xml:space="preserve"> Razón por la cual se reconoce el esfuerzo y dedicación de su labor, así como el apoyo conjunto con el fin único de poder garantizar el goce efectivo del derecho </w:t>
      </w:r>
      <w:r w:rsidRPr="00274507">
        <w:rPr>
          <w:sz w:val="28"/>
          <w:szCs w:val="28"/>
        </w:rPr>
        <w:t xml:space="preserve">a la salud </w:t>
      </w:r>
      <w:r w:rsidR="00B47EFF" w:rsidRPr="00274507">
        <w:rPr>
          <w:sz w:val="28"/>
          <w:szCs w:val="28"/>
        </w:rPr>
        <w:t>de todos los colombianos.</w:t>
      </w:r>
      <w:r w:rsidR="00E265BF" w:rsidRPr="00274507">
        <w:rPr>
          <w:sz w:val="28"/>
          <w:szCs w:val="28"/>
        </w:rPr>
        <w:t xml:space="preserve"> </w:t>
      </w:r>
    </w:p>
    <w:p w:rsidR="00E265BF" w:rsidRPr="00274507" w:rsidRDefault="00E265BF" w:rsidP="00274507">
      <w:pPr>
        <w:jc w:val="both"/>
        <w:rPr>
          <w:sz w:val="28"/>
          <w:szCs w:val="28"/>
        </w:rPr>
      </w:pPr>
    </w:p>
    <w:p w:rsidR="00E265BF" w:rsidRPr="00274507" w:rsidRDefault="00E265BF" w:rsidP="00274507">
      <w:pPr>
        <w:jc w:val="both"/>
        <w:rPr>
          <w:sz w:val="28"/>
          <w:szCs w:val="28"/>
        </w:rPr>
      </w:pPr>
      <w:r w:rsidRPr="00274507">
        <w:rPr>
          <w:sz w:val="28"/>
          <w:szCs w:val="28"/>
        </w:rPr>
        <w:t>Es así como existe la necesidad que de la mano, se continúe realizando la ardua labor de velar por las garantías de los usuarios del sistema, teniendo como fin último la superación de las fallas y con ella la disminución, del amparo constitucional.</w:t>
      </w:r>
    </w:p>
    <w:p w:rsidR="00FB313E" w:rsidRPr="00274507" w:rsidRDefault="00FB313E" w:rsidP="00274507">
      <w:pPr>
        <w:jc w:val="both"/>
        <w:rPr>
          <w:sz w:val="28"/>
          <w:szCs w:val="28"/>
        </w:rPr>
      </w:pPr>
    </w:p>
    <w:p w:rsidR="00FB313E" w:rsidRPr="00274507" w:rsidRDefault="00FB313E" w:rsidP="00274507">
      <w:pPr>
        <w:pStyle w:val="Prrafodelista"/>
        <w:numPr>
          <w:ilvl w:val="0"/>
          <w:numId w:val="29"/>
        </w:numPr>
        <w:tabs>
          <w:tab w:val="left" w:pos="0"/>
          <w:tab w:val="left" w:pos="357"/>
        </w:tabs>
        <w:autoSpaceDN w:val="0"/>
        <w:ind w:left="0" w:firstLine="0"/>
        <w:jc w:val="both"/>
        <w:rPr>
          <w:b/>
          <w:sz w:val="28"/>
          <w:szCs w:val="28"/>
        </w:rPr>
      </w:pPr>
      <w:r w:rsidRPr="00274507">
        <w:rPr>
          <w:b/>
          <w:sz w:val="28"/>
          <w:szCs w:val="28"/>
        </w:rPr>
        <w:t>La medició</w:t>
      </w:r>
      <w:r w:rsidR="00145863" w:rsidRPr="00274507">
        <w:rPr>
          <w:b/>
          <w:sz w:val="28"/>
          <w:szCs w:val="28"/>
        </w:rPr>
        <w:t xml:space="preserve">n de las acciones de tutela en el desarrollo de los </w:t>
      </w:r>
      <w:r w:rsidRPr="00274507">
        <w:rPr>
          <w:b/>
          <w:sz w:val="28"/>
          <w:szCs w:val="28"/>
        </w:rPr>
        <w:t>problemas jurídicos</w:t>
      </w:r>
      <w:r w:rsidR="00014BDA" w:rsidRPr="00274507">
        <w:rPr>
          <w:b/>
          <w:sz w:val="28"/>
          <w:szCs w:val="28"/>
        </w:rPr>
        <w:t xml:space="preserve"> </w:t>
      </w:r>
      <w:r w:rsidR="00145863" w:rsidRPr="00274507">
        <w:rPr>
          <w:b/>
          <w:sz w:val="28"/>
          <w:szCs w:val="28"/>
        </w:rPr>
        <w:t xml:space="preserve">planteados </w:t>
      </w:r>
      <w:r w:rsidR="00014BDA" w:rsidRPr="00274507">
        <w:rPr>
          <w:b/>
          <w:sz w:val="28"/>
          <w:szCs w:val="28"/>
        </w:rPr>
        <w:t xml:space="preserve">en la sentencia </w:t>
      </w:r>
      <w:r w:rsidRPr="00274507">
        <w:rPr>
          <w:b/>
          <w:sz w:val="28"/>
          <w:szCs w:val="28"/>
        </w:rPr>
        <w:t>T-760 de 2008.</w:t>
      </w:r>
    </w:p>
    <w:p w:rsidR="00FB313E" w:rsidRPr="00274507" w:rsidRDefault="00FB313E" w:rsidP="00274507">
      <w:pPr>
        <w:tabs>
          <w:tab w:val="left" w:pos="357"/>
          <w:tab w:val="left" w:pos="567"/>
        </w:tabs>
        <w:autoSpaceDN w:val="0"/>
        <w:jc w:val="both"/>
        <w:rPr>
          <w:b/>
          <w:sz w:val="28"/>
          <w:szCs w:val="28"/>
        </w:rPr>
      </w:pPr>
    </w:p>
    <w:p w:rsidR="00145863" w:rsidRPr="00274507" w:rsidRDefault="00145863" w:rsidP="00274507">
      <w:pPr>
        <w:widowControl w:val="0"/>
        <w:tabs>
          <w:tab w:val="left" w:pos="426"/>
        </w:tabs>
        <w:autoSpaceDE w:val="0"/>
        <w:autoSpaceDN w:val="0"/>
        <w:adjustRightInd w:val="0"/>
        <w:jc w:val="both"/>
        <w:rPr>
          <w:sz w:val="28"/>
          <w:szCs w:val="28"/>
        </w:rPr>
      </w:pPr>
      <w:r w:rsidRPr="00274507">
        <w:rPr>
          <w:sz w:val="28"/>
          <w:szCs w:val="28"/>
        </w:rPr>
        <w:t xml:space="preserve">Esta Sala Especial de Seguimiento en aras de continuar con el análisis pertinente al cumplimiento del mandato trigésimo, ahondará en el contenido de los ocho informes presentados por parte del Ministerio de Salud, los cuales estarán sujetos a los siguientes presupuestos:  </w:t>
      </w:r>
    </w:p>
    <w:p w:rsidR="00FB313E" w:rsidRPr="00274507" w:rsidRDefault="00FB313E" w:rsidP="00274507">
      <w:pPr>
        <w:widowControl w:val="0"/>
        <w:tabs>
          <w:tab w:val="left" w:pos="426"/>
        </w:tabs>
        <w:autoSpaceDE w:val="0"/>
        <w:autoSpaceDN w:val="0"/>
        <w:adjustRightInd w:val="0"/>
        <w:jc w:val="both"/>
        <w:rPr>
          <w:sz w:val="28"/>
          <w:szCs w:val="28"/>
        </w:rPr>
      </w:pPr>
    </w:p>
    <w:p w:rsidR="002136B6" w:rsidRPr="00274507" w:rsidRDefault="000309F6" w:rsidP="00274507">
      <w:pPr>
        <w:jc w:val="both"/>
        <w:rPr>
          <w:b/>
          <w:sz w:val="28"/>
          <w:szCs w:val="28"/>
        </w:rPr>
      </w:pPr>
      <w:r w:rsidRPr="00274507">
        <w:rPr>
          <w:b/>
          <w:sz w:val="28"/>
          <w:szCs w:val="28"/>
        </w:rPr>
        <w:t>7</w:t>
      </w:r>
      <w:r w:rsidR="00AE4EF3" w:rsidRPr="00274507">
        <w:rPr>
          <w:b/>
          <w:sz w:val="28"/>
          <w:szCs w:val="28"/>
        </w:rPr>
        <w:t xml:space="preserve">.1. </w:t>
      </w:r>
      <w:r w:rsidR="00145863" w:rsidRPr="00274507">
        <w:rPr>
          <w:b/>
          <w:sz w:val="28"/>
          <w:szCs w:val="28"/>
        </w:rPr>
        <w:t>Aspectos relevantes de los i</w:t>
      </w:r>
      <w:r w:rsidR="0007447C" w:rsidRPr="00274507">
        <w:rPr>
          <w:b/>
          <w:sz w:val="28"/>
          <w:szCs w:val="28"/>
        </w:rPr>
        <w:t>nformes primero (1°) a</w:t>
      </w:r>
      <w:r w:rsidR="00266A26" w:rsidRPr="00274507">
        <w:rPr>
          <w:b/>
          <w:sz w:val="28"/>
          <w:szCs w:val="28"/>
        </w:rPr>
        <w:t xml:space="preserve"> octavo (8</w:t>
      </w:r>
      <w:r w:rsidR="00643048" w:rsidRPr="00274507">
        <w:rPr>
          <w:b/>
          <w:sz w:val="28"/>
          <w:szCs w:val="28"/>
        </w:rPr>
        <w:t>°)</w:t>
      </w:r>
      <w:r w:rsidR="00AE4EF3" w:rsidRPr="00274507">
        <w:rPr>
          <w:b/>
          <w:sz w:val="28"/>
          <w:szCs w:val="28"/>
        </w:rPr>
        <w:t>.</w:t>
      </w:r>
    </w:p>
    <w:p w:rsidR="005C0E72" w:rsidRPr="00274507" w:rsidRDefault="005C0E72" w:rsidP="00274507">
      <w:pPr>
        <w:pStyle w:val="Prrafodelista"/>
        <w:ind w:left="360"/>
        <w:jc w:val="both"/>
        <w:rPr>
          <w:b/>
          <w:sz w:val="28"/>
          <w:szCs w:val="28"/>
        </w:rPr>
      </w:pPr>
    </w:p>
    <w:p w:rsidR="00AC7B86" w:rsidRPr="00274507" w:rsidRDefault="000309F6" w:rsidP="00274507">
      <w:pPr>
        <w:jc w:val="both"/>
        <w:rPr>
          <w:rFonts w:eastAsia="Malgun Gothic"/>
          <w:sz w:val="28"/>
          <w:szCs w:val="28"/>
        </w:rPr>
      </w:pPr>
      <w:r w:rsidRPr="00274507">
        <w:rPr>
          <w:b/>
          <w:sz w:val="28"/>
          <w:szCs w:val="28"/>
        </w:rPr>
        <w:t>7</w:t>
      </w:r>
      <w:r w:rsidR="00321086" w:rsidRPr="00274507">
        <w:rPr>
          <w:b/>
          <w:sz w:val="28"/>
          <w:szCs w:val="28"/>
        </w:rPr>
        <w:t>.1.</w:t>
      </w:r>
      <w:r w:rsidR="00AE4EF3" w:rsidRPr="00274507">
        <w:rPr>
          <w:b/>
          <w:sz w:val="28"/>
          <w:szCs w:val="28"/>
        </w:rPr>
        <w:t>1.</w:t>
      </w:r>
      <w:r w:rsidR="00321086" w:rsidRPr="00274507">
        <w:rPr>
          <w:sz w:val="28"/>
          <w:szCs w:val="28"/>
        </w:rPr>
        <w:t xml:space="preserve"> </w:t>
      </w:r>
      <w:r w:rsidR="002136B6" w:rsidRPr="00274507">
        <w:rPr>
          <w:sz w:val="28"/>
          <w:szCs w:val="28"/>
        </w:rPr>
        <w:t>I</w:t>
      </w:r>
      <w:r w:rsidR="00A434A9" w:rsidRPr="00274507">
        <w:rPr>
          <w:sz w:val="28"/>
          <w:szCs w:val="28"/>
        </w:rPr>
        <w:t>nicialmente en los reportes del</w:t>
      </w:r>
      <w:r w:rsidR="008D792E" w:rsidRPr="00274507">
        <w:rPr>
          <w:sz w:val="28"/>
          <w:szCs w:val="28"/>
        </w:rPr>
        <w:t xml:space="preserve"> 1</w:t>
      </w:r>
      <w:r w:rsidR="002136B6" w:rsidRPr="00274507">
        <w:rPr>
          <w:sz w:val="28"/>
          <w:szCs w:val="28"/>
        </w:rPr>
        <w:t>º a</w:t>
      </w:r>
      <w:r w:rsidR="00A434A9" w:rsidRPr="00274507">
        <w:rPr>
          <w:sz w:val="28"/>
          <w:szCs w:val="28"/>
        </w:rPr>
        <w:t>l</w:t>
      </w:r>
      <w:r w:rsidR="002136B6" w:rsidRPr="00274507">
        <w:rPr>
          <w:sz w:val="28"/>
          <w:szCs w:val="28"/>
        </w:rPr>
        <w:t xml:space="preserve"> 4º </w:t>
      </w:r>
      <w:r w:rsidR="00AE4EF3" w:rsidRPr="00274507">
        <w:rPr>
          <w:sz w:val="28"/>
          <w:szCs w:val="28"/>
        </w:rPr>
        <w:t xml:space="preserve"> correspondientes a los años 2008 a 2011, el ente regulador</w:t>
      </w:r>
      <w:r w:rsidR="00AC7B86" w:rsidRPr="00274507">
        <w:rPr>
          <w:sz w:val="28"/>
          <w:szCs w:val="28"/>
        </w:rPr>
        <w:t xml:space="preserve"> </w:t>
      </w:r>
      <w:r w:rsidR="00B2511A" w:rsidRPr="00274507">
        <w:rPr>
          <w:sz w:val="28"/>
          <w:szCs w:val="28"/>
        </w:rPr>
        <w:t xml:space="preserve">se basó en los datos contenidos </w:t>
      </w:r>
      <w:r w:rsidR="00A434A9" w:rsidRPr="00274507">
        <w:rPr>
          <w:sz w:val="28"/>
          <w:szCs w:val="28"/>
        </w:rPr>
        <w:t>en los registros de</w:t>
      </w:r>
      <w:r w:rsidR="002136B6" w:rsidRPr="00274507">
        <w:rPr>
          <w:sz w:val="28"/>
          <w:szCs w:val="28"/>
        </w:rPr>
        <w:t xml:space="preserve"> las solicitudes de recobros</w:t>
      </w:r>
      <w:r w:rsidR="00F96595" w:rsidRPr="00274507">
        <w:rPr>
          <w:sz w:val="28"/>
          <w:szCs w:val="28"/>
        </w:rPr>
        <w:t>,</w:t>
      </w:r>
      <w:r w:rsidR="002136B6" w:rsidRPr="00274507">
        <w:rPr>
          <w:sz w:val="28"/>
          <w:szCs w:val="28"/>
        </w:rPr>
        <w:t xml:space="preserve"> efectuadas por el reconocimiento de servicios, insumos, medicamentos y</w:t>
      </w:r>
      <w:r w:rsidR="003F62CF" w:rsidRPr="00274507">
        <w:rPr>
          <w:sz w:val="28"/>
          <w:szCs w:val="28"/>
        </w:rPr>
        <w:t xml:space="preserve"> tratamientos ordenados por vía</w:t>
      </w:r>
      <w:r w:rsidR="002136B6" w:rsidRPr="00274507">
        <w:rPr>
          <w:sz w:val="28"/>
          <w:szCs w:val="28"/>
        </w:rPr>
        <w:t xml:space="preserve"> ju</w:t>
      </w:r>
      <w:r w:rsidR="003F62CF" w:rsidRPr="00274507">
        <w:rPr>
          <w:sz w:val="28"/>
          <w:szCs w:val="28"/>
        </w:rPr>
        <w:t>dicial</w:t>
      </w:r>
      <w:r w:rsidR="000D15FD" w:rsidRPr="00274507">
        <w:rPr>
          <w:sz w:val="28"/>
          <w:szCs w:val="28"/>
        </w:rPr>
        <w:t xml:space="preserve"> o tramitadas ante los comités </w:t>
      </w:r>
      <w:r w:rsidR="003B3BFE" w:rsidRPr="00274507">
        <w:rPr>
          <w:sz w:val="28"/>
          <w:szCs w:val="28"/>
        </w:rPr>
        <w:t>técnicos científicos</w:t>
      </w:r>
      <w:r w:rsidR="002136B6" w:rsidRPr="00274507">
        <w:rPr>
          <w:sz w:val="28"/>
          <w:szCs w:val="28"/>
        </w:rPr>
        <w:t>.</w:t>
      </w:r>
      <w:r w:rsidR="002C5E77" w:rsidRPr="00274507">
        <w:rPr>
          <w:sz w:val="28"/>
          <w:szCs w:val="28"/>
        </w:rPr>
        <w:t xml:space="preserve"> En otros términos,</w:t>
      </w:r>
      <w:r w:rsidR="00AC7B86" w:rsidRPr="00274507">
        <w:rPr>
          <w:sz w:val="28"/>
          <w:szCs w:val="28"/>
        </w:rPr>
        <w:t xml:space="preserve"> solo se obtuvo una proyecci</w:t>
      </w:r>
      <w:r w:rsidR="00AC7B86" w:rsidRPr="00274507">
        <w:rPr>
          <w:rFonts w:eastAsia="Malgun Gothic"/>
          <w:sz w:val="28"/>
          <w:szCs w:val="28"/>
        </w:rPr>
        <w:t>ón de las acciones derivadas de los fall</w:t>
      </w:r>
      <w:r w:rsidR="00B2511A" w:rsidRPr="00274507">
        <w:rPr>
          <w:rFonts w:eastAsia="Malgun Gothic"/>
          <w:sz w:val="28"/>
          <w:szCs w:val="28"/>
        </w:rPr>
        <w:t xml:space="preserve">os que ordenaban los recobros por </w:t>
      </w:r>
      <w:r w:rsidR="00AC7B86" w:rsidRPr="00274507">
        <w:rPr>
          <w:rFonts w:eastAsia="Malgun Gothic"/>
          <w:sz w:val="28"/>
          <w:szCs w:val="28"/>
        </w:rPr>
        <w:t xml:space="preserve">la prestación de un servicio no POS. </w:t>
      </w:r>
    </w:p>
    <w:p w:rsidR="00334A82" w:rsidRPr="00274507" w:rsidRDefault="00334A82" w:rsidP="00274507">
      <w:pPr>
        <w:jc w:val="both"/>
        <w:rPr>
          <w:rFonts w:eastAsia="Malgun Gothic"/>
          <w:sz w:val="28"/>
          <w:szCs w:val="28"/>
        </w:rPr>
      </w:pPr>
    </w:p>
    <w:p w:rsidR="00266A26" w:rsidRPr="00274507" w:rsidRDefault="009537C1" w:rsidP="00274507">
      <w:pPr>
        <w:jc w:val="both"/>
        <w:rPr>
          <w:sz w:val="28"/>
          <w:szCs w:val="28"/>
          <w:shd w:val="clear" w:color="auto" w:fill="FFFFFF"/>
        </w:rPr>
      </w:pPr>
      <w:r w:rsidRPr="00274507">
        <w:rPr>
          <w:rFonts w:eastAsia="Malgun Gothic"/>
          <w:sz w:val="28"/>
          <w:szCs w:val="28"/>
        </w:rPr>
        <w:t>En primera medida, esta</w:t>
      </w:r>
      <w:r w:rsidR="00266A26" w:rsidRPr="00274507">
        <w:rPr>
          <w:rFonts w:eastAsia="Malgun Gothic"/>
          <w:sz w:val="28"/>
          <w:szCs w:val="28"/>
        </w:rPr>
        <w:t xml:space="preserve"> Sala precisa que el recobro</w:t>
      </w:r>
      <w:r w:rsidR="00B2511A" w:rsidRPr="00274507">
        <w:rPr>
          <w:rFonts w:eastAsia="Malgun Gothic"/>
          <w:sz w:val="28"/>
          <w:szCs w:val="28"/>
        </w:rPr>
        <w:t xml:space="preserve"> enten</w:t>
      </w:r>
      <w:r w:rsidR="005D7213" w:rsidRPr="00274507">
        <w:rPr>
          <w:rFonts w:eastAsia="Malgun Gothic"/>
          <w:sz w:val="28"/>
          <w:szCs w:val="28"/>
        </w:rPr>
        <w:t xml:space="preserve">dido como </w:t>
      </w:r>
      <w:r w:rsidR="00A434A9" w:rsidRPr="00274507">
        <w:rPr>
          <w:rFonts w:eastAsia="Malgun Gothic"/>
          <w:sz w:val="28"/>
          <w:szCs w:val="28"/>
        </w:rPr>
        <w:t xml:space="preserve">el pago por el reconocimiento de </w:t>
      </w:r>
      <w:r w:rsidR="005D7213" w:rsidRPr="00274507">
        <w:rPr>
          <w:sz w:val="28"/>
          <w:szCs w:val="28"/>
          <w:shd w:val="clear" w:color="auto" w:fill="FFFFFF"/>
        </w:rPr>
        <w:t>las</w:t>
      </w:r>
      <w:r w:rsidR="007B2D13" w:rsidRPr="00274507">
        <w:rPr>
          <w:sz w:val="28"/>
          <w:szCs w:val="28"/>
          <w:shd w:val="clear" w:color="auto" w:fill="FFFFFF"/>
        </w:rPr>
        <w:t xml:space="preserve"> tecnologías en salud no incluidas en el POS</w:t>
      </w:r>
      <w:r w:rsidR="007B2D13" w:rsidRPr="00274507">
        <w:rPr>
          <w:rFonts w:eastAsia="Malgun Gothic"/>
          <w:sz w:val="28"/>
          <w:szCs w:val="28"/>
        </w:rPr>
        <w:t xml:space="preserve"> </w:t>
      </w:r>
      <w:r w:rsidR="00A434A9" w:rsidRPr="00274507">
        <w:rPr>
          <w:sz w:val="28"/>
          <w:szCs w:val="28"/>
          <w:shd w:val="clear" w:color="auto" w:fill="FFFFFF"/>
        </w:rPr>
        <w:t xml:space="preserve">a </w:t>
      </w:r>
      <w:r w:rsidR="007B2D13" w:rsidRPr="00274507">
        <w:rPr>
          <w:sz w:val="28"/>
          <w:szCs w:val="28"/>
          <w:shd w:val="clear" w:color="auto" w:fill="FFFFFF"/>
        </w:rPr>
        <w:t xml:space="preserve">cargo del Fosyga, </w:t>
      </w:r>
      <w:r w:rsidR="008D52C5" w:rsidRPr="00274507">
        <w:rPr>
          <w:sz w:val="28"/>
          <w:szCs w:val="28"/>
          <w:shd w:val="clear" w:color="auto" w:fill="FFFFFF"/>
        </w:rPr>
        <w:t xml:space="preserve">solicitadas por </w:t>
      </w:r>
      <w:r w:rsidR="007B2D13" w:rsidRPr="00274507">
        <w:rPr>
          <w:sz w:val="28"/>
          <w:szCs w:val="28"/>
          <w:shd w:val="clear" w:color="auto" w:fill="FFFFFF"/>
        </w:rPr>
        <w:t>las EPS, IPS y Secretarías de Salud en cumplimiento de un fallo judicial o por</w:t>
      </w:r>
      <w:r w:rsidR="008D52C5" w:rsidRPr="00274507">
        <w:rPr>
          <w:sz w:val="28"/>
          <w:szCs w:val="28"/>
          <w:shd w:val="clear" w:color="auto" w:fill="FFFFFF"/>
        </w:rPr>
        <w:t xml:space="preserve"> autorización d</w:t>
      </w:r>
      <w:r w:rsidR="00B30A7A" w:rsidRPr="00274507">
        <w:rPr>
          <w:sz w:val="28"/>
          <w:szCs w:val="28"/>
          <w:shd w:val="clear" w:color="auto" w:fill="FFFFFF"/>
        </w:rPr>
        <w:t>el Comité Técnico Científico</w:t>
      </w:r>
      <w:r w:rsidR="00A434A9" w:rsidRPr="00274507">
        <w:rPr>
          <w:sz w:val="28"/>
          <w:szCs w:val="28"/>
          <w:shd w:val="clear" w:color="auto" w:fill="FFFFFF"/>
        </w:rPr>
        <w:t xml:space="preserve">, </w:t>
      </w:r>
      <w:r w:rsidR="008D52C5" w:rsidRPr="00274507">
        <w:rPr>
          <w:sz w:val="28"/>
          <w:szCs w:val="28"/>
          <w:shd w:val="clear" w:color="auto" w:fill="FFFFFF"/>
        </w:rPr>
        <w:t xml:space="preserve">es </w:t>
      </w:r>
      <w:r w:rsidR="00465BF1" w:rsidRPr="00274507">
        <w:rPr>
          <w:sz w:val="28"/>
          <w:szCs w:val="28"/>
          <w:shd w:val="clear" w:color="auto" w:fill="FFFFFF"/>
        </w:rPr>
        <w:t xml:space="preserve">considerado </w:t>
      </w:r>
      <w:r w:rsidR="008D52C5" w:rsidRPr="00274507">
        <w:rPr>
          <w:sz w:val="28"/>
          <w:szCs w:val="28"/>
          <w:shd w:val="clear" w:color="auto" w:fill="FFFFFF"/>
        </w:rPr>
        <w:t>un procedimien</w:t>
      </w:r>
      <w:r w:rsidRPr="00274507">
        <w:rPr>
          <w:sz w:val="28"/>
          <w:szCs w:val="28"/>
          <w:shd w:val="clear" w:color="auto" w:fill="FFFFFF"/>
        </w:rPr>
        <w:t>to administrativo que se deriva de la prestación</w:t>
      </w:r>
      <w:r w:rsidR="008D52C5" w:rsidRPr="00274507">
        <w:rPr>
          <w:sz w:val="28"/>
          <w:szCs w:val="28"/>
          <w:shd w:val="clear" w:color="auto" w:fill="FFFFFF"/>
        </w:rPr>
        <w:t xml:space="preserve"> de los servicios </w:t>
      </w:r>
      <w:r w:rsidR="00A434A9" w:rsidRPr="00274507">
        <w:rPr>
          <w:sz w:val="28"/>
          <w:szCs w:val="28"/>
          <w:shd w:val="clear" w:color="auto" w:fill="FFFFFF"/>
        </w:rPr>
        <w:t>requerido</w:t>
      </w:r>
      <w:r w:rsidR="00266A26" w:rsidRPr="00274507">
        <w:rPr>
          <w:sz w:val="28"/>
          <w:szCs w:val="28"/>
          <w:shd w:val="clear" w:color="auto" w:fill="FFFFFF"/>
        </w:rPr>
        <w:t xml:space="preserve">s por los usuarios del sistema. </w:t>
      </w:r>
    </w:p>
    <w:p w:rsidR="00266A26" w:rsidRPr="00274507" w:rsidRDefault="00266A26" w:rsidP="00274507">
      <w:pPr>
        <w:jc w:val="both"/>
        <w:rPr>
          <w:sz w:val="28"/>
          <w:szCs w:val="28"/>
          <w:shd w:val="clear" w:color="auto" w:fill="FFFFFF"/>
        </w:rPr>
      </w:pPr>
    </w:p>
    <w:p w:rsidR="00A60BFA" w:rsidRPr="00274507" w:rsidRDefault="00EE33D6" w:rsidP="00274507">
      <w:pPr>
        <w:jc w:val="both"/>
        <w:rPr>
          <w:sz w:val="28"/>
          <w:szCs w:val="28"/>
          <w:shd w:val="clear" w:color="auto" w:fill="FFFFFF"/>
        </w:rPr>
      </w:pPr>
      <w:r w:rsidRPr="00274507">
        <w:rPr>
          <w:sz w:val="28"/>
          <w:szCs w:val="28"/>
          <w:shd w:val="clear" w:color="auto" w:fill="FFFFFF"/>
        </w:rPr>
        <w:t xml:space="preserve">Así, indicó </w:t>
      </w:r>
      <w:r w:rsidR="00C277B8" w:rsidRPr="00274507">
        <w:rPr>
          <w:sz w:val="28"/>
          <w:szCs w:val="28"/>
          <w:shd w:val="clear" w:color="auto" w:fill="FFFFFF"/>
        </w:rPr>
        <w:t>los recobros teniendo en cuenta la fecha de expedición del fallo en el que se ordenó el mismo y de los cuales observó un aumento, así:</w:t>
      </w:r>
    </w:p>
    <w:p w:rsidR="00EE33D6" w:rsidRPr="00274507" w:rsidRDefault="00EE33D6" w:rsidP="00274507">
      <w:pPr>
        <w:jc w:val="both"/>
        <w:rPr>
          <w:sz w:val="28"/>
          <w:szCs w:val="28"/>
          <w:shd w:val="clear" w:color="auto" w:fill="FFFFFF"/>
        </w:rPr>
      </w:pPr>
    </w:p>
    <w:tbl>
      <w:tblPr>
        <w:tblStyle w:val="Tablaconcuadrcula"/>
        <w:tblW w:w="0" w:type="auto"/>
        <w:tblLook w:val="04A0" w:firstRow="1" w:lastRow="0" w:firstColumn="1" w:lastColumn="0" w:noHBand="0" w:noVBand="1"/>
      </w:tblPr>
      <w:tblGrid>
        <w:gridCol w:w="1425"/>
        <w:gridCol w:w="2398"/>
        <w:gridCol w:w="2551"/>
        <w:gridCol w:w="2693"/>
      </w:tblGrid>
      <w:tr w:rsidR="00C277B8" w:rsidRPr="00274507" w:rsidTr="00C277B8">
        <w:tc>
          <w:tcPr>
            <w:tcW w:w="1425" w:type="dxa"/>
          </w:tcPr>
          <w:p w:rsidR="00C277B8" w:rsidRPr="00274507" w:rsidRDefault="00C277B8" w:rsidP="00274507">
            <w:pPr>
              <w:jc w:val="center"/>
              <w:rPr>
                <w:b/>
                <w:sz w:val="28"/>
                <w:szCs w:val="28"/>
                <w:shd w:val="clear" w:color="auto" w:fill="FFFFFF"/>
              </w:rPr>
            </w:pPr>
            <w:r w:rsidRPr="00274507">
              <w:rPr>
                <w:b/>
                <w:sz w:val="28"/>
                <w:szCs w:val="28"/>
                <w:shd w:val="clear" w:color="auto" w:fill="FFFFFF"/>
              </w:rPr>
              <w:t xml:space="preserve">Año </w:t>
            </w:r>
          </w:p>
        </w:tc>
        <w:tc>
          <w:tcPr>
            <w:tcW w:w="2398" w:type="dxa"/>
          </w:tcPr>
          <w:p w:rsidR="00C277B8" w:rsidRPr="00274507" w:rsidRDefault="00C277B8" w:rsidP="00274507">
            <w:pPr>
              <w:jc w:val="center"/>
              <w:rPr>
                <w:b/>
                <w:sz w:val="28"/>
                <w:szCs w:val="28"/>
                <w:shd w:val="clear" w:color="auto" w:fill="FFFFFF"/>
              </w:rPr>
            </w:pPr>
            <w:r w:rsidRPr="00274507">
              <w:rPr>
                <w:b/>
                <w:sz w:val="28"/>
                <w:szCs w:val="28"/>
                <w:shd w:val="clear" w:color="auto" w:fill="FFFFFF"/>
              </w:rPr>
              <w:t>No. Solicitudes de Recobro</w:t>
            </w:r>
          </w:p>
        </w:tc>
        <w:tc>
          <w:tcPr>
            <w:tcW w:w="2551" w:type="dxa"/>
          </w:tcPr>
          <w:p w:rsidR="00C277B8" w:rsidRPr="00274507" w:rsidRDefault="00C277B8" w:rsidP="00274507">
            <w:pPr>
              <w:jc w:val="center"/>
              <w:rPr>
                <w:b/>
                <w:sz w:val="28"/>
                <w:szCs w:val="28"/>
                <w:shd w:val="clear" w:color="auto" w:fill="FFFFFF"/>
              </w:rPr>
            </w:pPr>
            <w:r w:rsidRPr="00274507">
              <w:rPr>
                <w:b/>
                <w:sz w:val="28"/>
                <w:szCs w:val="28"/>
                <w:shd w:val="clear" w:color="auto" w:fill="FFFFFF"/>
              </w:rPr>
              <w:t>Antes de la Sentencia T-760 de 2008</w:t>
            </w:r>
          </w:p>
        </w:tc>
        <w:tc>
          <w:tcPr>
            <w:tcW w:w="2693" w:type="dxa"/>
          </w:tcPr>
          <w:p w:rsidR="00C277B8" w:rsidRPr="00274507" w:rsidRDefault="00C277B8" w:rsidP="00274507">
            <w:pPr>
              <w:jc w:val="center"/>
              <w:rPr>
                <w:b/>
                <w:sz w:val="28"/>
                <w:szCs w:val="28"/>
                <w:shd w:val="clear" w:color="auto" w:fill="FFFFFF"/>
              </w:rPr>
            </w:pPr>
            <w:r w:rsidRPr="00274507">
              <w:rPr>
                <w:b/>
                <w:sz w:val="28"/>
                <w:szCs w:val="28"/>
                <w:shd w:val="clear" w:color="auto" w:fill="FFFFFF"/>
              </w:rPr>
              <w:t>Después de la Sentencia T-760 de 2008</w:t>
            </w:r>
          </w:p>
        </w:tc>
      </w:tr>
      <w:tr w:rsidR="00C277B8" w:rsidRPr="00274507" w:rsidTr="00C277B8">
        <w:tc>
          <w:tcPr>
            <w:tcW w:w="1425" w:type="dxa"/>
          </w:tcPr>
          <w:p w:rsidR="00C277B8" w:rsidRPr="00274507" w:rsidRDefault="00C277B8" w:rsidP="00274507">
            <w:pPr>
              <w:jc w:val="both"/>
              <w:rPr>
                <w:sz w:val="28"/>
                <w:szCs w:val="28"/>
                <w:shd w:val="clear" w:color="auto" w:fill="FFFFFF"/>
              </w:rPr>
            </w:pPr>
            <w:r w:rsidRPr="00274507">
              <w:rPr>
                <w:sz w:val="28"/>
                <w:szCs w:val="28"/>
                <w:shd w:val="clear" w:color="auto" w:fill="FFFFFF"/>
              </w:rPr>
              <w:t>2009</w:t>
            </w:r>
          </w:p>
        </w:tc>
        <w:tc>
          <w:tcPr>
            <w:tcW w:w="2398" w:type="dxa"/>
          </w:tcPr>
          <w:p w:rsidR="00C277B8" w:rsidRPr="00274507" w:rsidRDefault="00C277B8" w:rsidP="00274507">
            <w:pPr>
              <w:jc w:val="both"/>
              <w:rPr>
                <w:sz w:val="28"/>
                <w:szCs w:val="28"/>
                <w:shd w:val="clear" w:color="auto" w:fill="FFFFFF"/>
              </w:rPr>
            </w:pPr>
            <w:r w:rsidRPr="00274507">
              <w:rPr>
                <w:sz w:val="28"/>
                <w:szCs w:val="28"/>
                <w:shd w:val="clear" w:color="auto" w:fill="FFFFFF"/>
              </w:rPr>
              <w:t>1.016.816</w:t>
            </w:r>
          </w:p>
        </w:tc>
        <w:tc>
          <w:tcPr>
            <w:tcW w:w="2551" w:type="dxa"/>
          </w:tcPr>
          <w:p w:rsidR="00C277B8" w:rsidRPr="00274507" w:rsidRDefault="00C277B8" w:rsidP="00274507">
            <w:pPr>
              <w:jc w:val="both"/>
              <w:rPr>
                <w:sz w:val="28"/>
                <w:szCs w:val="28"/>
                <w:shd w:val="clear" w:color="auto" w:fill="FFFFFF"/>
              </w:rPr>
            </w:pPr>
            <w:r w:rsidRPr="00274507">
              <w:rPr>
                <w:sz w:val="28"/>
                <w:szCs w:val="28"/>
                <w:shd w:val="clear" w:color="auto" w:fill="FFFFFF"/>
              </w:rPr>
              <w:t>183.154</w:t>
            </w:r>
          </w:p>
        </w:tc>
        <w:tc>
          <w:tcPr>
            <w:tcW w:w="2693" w:type="dxa"/>
          </w:tcPr>
          <w:p w:rsidR="00C277B8" w:rsidRPr="00274507" w:rsidRDefault="00C277B8" w:rsidP="00274507">
            <w:pPr>
              <w:jc w:val="both"/>
              <w:rPr>
                <w:sz w:val="28"/>
                <w:szCs w:val="28"/>
                <w:shd w:val="clear" w:color="auto" w:fill="FFFFFF"/>
              </w:rPr>
            </w:pPr>
            <w:r w:rsidRPr="00274507">
              <w:rPr>
                <w:sz w:val="28"/>
                <w:szCs w:val="28"/>
                <w:shd w:val="clear" w:color="auto" w:fill="FFFFFF"/>
              </w:rPr>
              <w:t>27.523</w:t>
            </w:r>
          </w:p>
        </w:tc>
      </w:tr>
      <w:tr w:rsidR="00C277B8" w:rsidRPr="00274507" w:rsidTr="00C277B8">
        <w:tc>
          <w:tcPr>
            <w:tcW w:w="1425" w:type="dxa"/>
          </w:tcPr>
          <w:p w:rsidR="00C277B8" w:rsidRPr="00274507" w:rsidRDefault="00C277B8" w:rsidP="00274507">
            <w:pPr>
              <w:jc w:val="both"/>
              <w:rPr>
                <w:sz w:val="28"/>
                <w:szCs w:val="28"/>
                <w:shd w:val="clear" w:color="auto" w:fill="FFFFFF"/>
              </w:rPr>
            </w:pPr>
            <w:r w:rsidRPr="00274507">
              <w:rPr>
                <w:sz w:val="28"/>
                <w:szCs w:val="28"/>
                <w:shd w:val="clear" w:color="auto" w:fill="FFFFFF"/>
              </w:rPr>
              <w:t>2010</w:t>
            </w:r>
          </w:p>
        </w:tc>
        <w:tc>
          <w:tcPr>
            <w:tcW w:w="2398" w:type="dxa"/>
          </w:tcPr>
          <w:p w:rsidR="00C277B8" w:rsidRPr="00274507" w:rsidRDefault="00C277B8" w:rsidP="00274507">
            <w:pPr>
              <w:jc w:val="both"/>
              <w:rPr>
                <w:sz w:val="28"/>
                <w:szCs w:val="28"/>
                <w:shd w:val="clear" w:color="auto" w:fill="FFFFFF"/>
              </w:rPr>
            </w:pPr>
            <w:r w:rsidRPr="00274507">
              <w:rPr>
                <w:sz w:val="28"/>
                <w:szCs w:val="28"/>
                <w:shd w:val="clear" w:color="auto" w:fill="FFFFFF"/>
              </w:rPr>
              <w:t>373.455</w:t>
            </w:r>
          </w:p>
        </w:tc>
        <w:tc>
          <w:tcPr>
            <w:tcW w:w="2551" w:type="dxa"/>
          </w:tcPr>
          <w:p w:rsidR="00C277B8" w:rsidRPr="00274507" w:rsidRDefault="00C277B8" w:rsidP="00274507">
            <w:pPr>
              <w:jc w:val="both"/>
              <w:rPr>
                <w:sz w:val="28"/>
                <w:szCs w:val="28"/>
                <w:shd w:val="clear" w:color="auto" w:fill="FFFFFF"/>
              </w:rPr>
            </w:pPr>
            <w:r w:rsidRPr="00274507">
              <w:rPr>
                <w:sz w:val="28"/>
                <w:szCs w:val="28"/>
                <w:shd w:val="clear" w:color="auto" w:fill="FFFFFF"/>
              </w:rPr>
              <w:t>52.009</w:t>
            </w:r>
          </w:p>
        </w:tc>
        <w:tc>
          <w:tcPr>
            <w:tcW w:w="2693" w:type="dxa"/>
          </w:tcPr>
          <w:p w:rsidR="00C277B8" w:rsidRPr="00274507" w:rsidRDefault="00C277B8" w:rsidP="00274507">
            <w:pPr>
              <w:jc w:val="both"/>
              <w:rPr>
                <w:sz w:val="28"/>
                <w:szCs w:val="28"/>
                <w:shd w:val="clear" w:color="auto" w:fill="FFFFFF"/>
              </w:rPr>
            </w:pPr>
            <w:r w:rsidRPr="00274507">
              <w:rPr>
                <w:sz w:val="28"/>
                <w:szCs w:val="28"/>
                <w:shd w:val="clear" w:color="auto" w:fill="FFFFFF"/>
              </w:rPr>
              <w:t>11.423</w:t>
            </w:r>
          </w:p>
        </w:tc>
      </w:tr>
    </w:tbl>
    <w:p w:rsidR="00EE33D6" w:rsidRPr="00274507" w:rsidRDefault="00EE33D6" w:rsidP="00274507">
      <w:pPr>
        <w:jc w:val="both"/>
        <w:rPr>
          <w:sz w:val="28"/>
          <w:szCs w:val="28"/>
          <w:shd w:val="clear" w:color="auto" w:fill="FFFFFF"/>
        </w:rPr>
      </w:pPr>
    </w:p>
    <w:p w:rsidR="00BD4911" w:rsidRPr="00274507" w:rsidRDefault="00266A26" w:rsidP="00274507">
      <w:pPr>
        <w:jc w:val="both"/>
        <w:rPr>
          <w:rFonts w:eastAsia="Malgun Gothic"/>
          <w:sz w:val="28"/>
          <w:szCs w:val="28"/>
        </w:rPr>
      </w:pPr>
      <w:r w:rsidRPr="00274507">
        <w:rPr>
          <w:rFonts w:eastAsia="Malgun Gothic"/>
          <w:sz w:val="28"/>
          <w:szCs w:val="28"/>
        </w:rPr>
        <w:t>Respecto a los anter</w:t>
      </w:r>
      <w:r w:rsidR="00BD4911" w:rsidRPr="00274507">
        <w:rPr>
          <w:rFonts w:eastAsia="Malgun Gothic"/>
          <w:sz w:val="28"/>
          <w:szCs w:val="28"/>
        </w:rPr>
        <w:t>iores informes</w:t>
      </w:r>
      <w:r w:rsidRPr="00274507">
        <w:rPr>
          <w:rFonts w:eastAsia="Malgun Gothic"/>
          <w:sz w:val="28"/>
          <w:szCs w:val="28"/>
        </w:rPr>
        <w:t>,</w:t>
      </w:r>
      <w:r w:rsidR="00BD4911" w:rsidRPr="00274507">
        <w:rPr>
          <w:rFonts w:eastAsia="Malgun Gothic"/>
          <w:sz w:val="28"/>
          <w:szCs w:val="28"/>
        </w:rPr>
        <w:t xml:space="preserve"> la Defensoría del Pueblo </w:t>
      </w:r>
      <w:r w:rsidR="00F3552D" w:rsidRPr="00274507">
        <w:rPr>
          <w:rFonts w:eastAsia="Malgun Gothic"/>
          <w:sz w:val="28"/>
          <w:szCs w:val="28"/>
        </w:rPr>
        <w:t>presentó dos reportes de seguimiento</w:t>
      </w:r>
      <w:r w:rsidR="00F3552D" w:rsidRPr="00274507">
        <w:rPr>
          <w:rStyle w:val="Refdenotaalpie"/>
          <w:rFonts w:eastAsia="Malgun Gothic"/>
          <w:sz w:val="28"/>
          <w:szCs w:val="28"/>
        </w:rPr>
        <w:footnoteReference w:id="157"/>
      </w:r>
      <w:r w:rsidR="00F3552D" w:rsidRPr="00274507">
        <w:rPr>
          <w:rFonts w:eastAsia="Malgun Gothic"/>
          <w:sz w:val="28"/>
          <w:szCs w:val="28"/>
        </w:rPr>
        <w:t xml:space="preserve">  en los que </w:t>
      </w:r>
      <w:r w:rsidR="00BD4911" w:rsidRPr="00274507">
        <w:rPr>
          <w:rFonts w:eastAsia="Malgun Gothic"/>
          <w:sz w:val="28"/>
          <w:szCs w:val="28"/>
        </w:rPr>
        <w:t>precisó que el mecanismo utilizado por el Ministerio de Salud para construir los informes de medición de las tutelas, no fue adecuado ya que las solicitudes de recobro hacían parte del total de una cuantificación, por ello, le recomendó que analizará los expedientes de tutela que reposaban en la Corte.</w:t>
      </w:r>
    </w:p>
    <w:p w:rsidR="006032ED" w:rsidRPr="00274507" w:rsidRDefault="006032ED" w:rsidP="00274507">
      <w:pPr>
        <w:jc w:val="both"/>
        <w:rPr>
          <w:rFonts w:eastAsia="Malgun Gothic"/>
          <w:sz w:val="28"/>
          <w:szCs w:val="28"/>
        </w:rPr>
      </w:pPr>
    </w:p>
    <w:p w:rsidR="00BD4911" w:rsidRPr="00274507" w:rsidRDefault="00BD4911" w:rsidP="00274507">
      <w:pPr>
        <w:jc w:val="both"/>
        <w:rPr>
          <w:rFonts w:eastAsia="Malgun Gothic"/>
          <w:sz w:val="28"/>
          <w:szCs w:val="28"/>
        </w:rPr>
      </w:pPr>
      <w:r w:rsidRPr="00274507">
        <w:rPr>
          <w:rFonts w:eastAsia="Malgun Gothic"/>
          <w:sz w:val="28"/>
          <w:szCs w:val="28"/>
        </w:rPr>
        <w:t xml:space="preserve">Aunado a lo anterior, </w:t>
      </w:r>
      <w:r w:rsidR="004D1846" w:rsidRPr="00274507">
        <w:rPr>
          <w:rFonts w:eastAsia="Malgun Gothic"/>
          <w:sz w:val="28"/>
          <w:szCs w:val="28"/>
        </w:rPr>
        <w:t xml:space="preserve"> consideró que para el 2009 aumentaron las solicitudes de recobro, así como las tutelas por servicios POS tal como lo evidenció en el estudio adelantado por la entidad y consideró que no fue suficiente el estudio presentado para esa época por parte del ente regulador.</w:t>
      </w:r>
    </w:p>
    <w:p w:rsidR="004D1846" w:rsidRPr="00274507" w:rsidRDefault="004D1846" w:rsidP="00274507">
      <w:pPr>
        <w:jc w:val="both"/>
        <w:rPr>
          <w:rFonts w:eastAsia="Malgun Gothic"/>
          <w:sz w:val="28"/>
          <w:szCs w:val="28"/>
        </w:rPr>
      </w:pPr>
    </w:p>
    <w:p w:rsidR="004D1846" w:rsidRPr="00274507" w:rsidRDefault="004D1846" w:rsidP="00274507">
      <w:pPr>
        <w:jc w:val="both"/>
        <w:rPr>
          <w:rFonts w:eastAsia="Malgun Gothic"/>
          <w:sz w:val="28"/>
          <w:szCs w:val="28"/>
        </w:rPr>
      </w:pPr>
      <w:r w:rsidRPr="00274507">
        <w:rPr>
          <w:rFonts w:eastAsia="Malgun Gothic"/>
          <w:sz w:val="28"/>
          <w:szCs w:val="28"/>
        </w:rPr>
        <w:t>De igual forma, para el informe presentado en el año 2010 consideró que utilizar la base datos de recobros y de los procesos judiciales adelantados en su contra no fueron herramientas suficientes para lograr el cumplimiento de la orden, por lo que sugirió</w:t>
      </w:r>
      <w:r w:rsidR="00194C41" w:rsidRPr="00274507">
        <w:rPr>
          <w:rFonts w:eastAsia="Malgun Gothic"/>
          <w:sz w:val="28"/>
          <w:szCs w:val="28"/>
        </w:rPr>
        <w:t xml:space="preserve"> utilizar otra fuente de información desde</w:t>
      </w:r>
      <w:r w:rsidRPr="00274507">
        <w:rPr>
          <w:rFonts w:eastAsia="Malgun Gothic"/>
          <w:sz w:val="28"/>
          <w:szCs w:val="28"/>
        </w:rPr>
        <w:t xml:space="preserve"> un proceso de recolección completo, preciso y confiable </w:t>
      </w:r>
      <w:r w:rsidR="00664130" w:rsidRPr="00274507">
        <w:rPr>
          <w:rFonts w:eastAsia="Malgun Gothic"/>
          <w:sz w:val="28"/>
          <w:szCs w:val="28"/>
        </w:rPr>
        <w:t>de la totalidad de tutelas presentadas a nivel nacional por protección al derecho a la salud.</w:t>
      </w:r>
    </w:p>
    <w:p w:rsidR="00BD4911" w:rsidRPr="00274507" w:rsidRDefault="00BD4911" w:rsidP="00274507">
      <w:pPr>
        <w:jc w:val="both"/>
        <w:rPr>
          <w:rFonts w:eastAsia="Malgun Gothic"/>
          <w:sz w:val="28"/>
          <w:szCs w:val="28"/>
        </w:rPr>
      </w:pPr>
    </w:p>
    <w:p w:rsidR="00BD4911" w:rsidRPr="00274507" w:rsidRDefault="00194C41" w:rsidP="00274507">
      <w:pPr>
        <w:widowControl w:val="0"/>
        <w:tabs>
          <w:tab w:val="left" w:pos="567"/>
        </w:tabs>
        <w:autoSpaceDE w:val="0"/>
        <w:autoSpaceDN w:val="0"/>
        <w:adjustRightInd w:val="0"/>
        <w:jc w:val="both"/>
        <w:rPr>
          <w:sz w:val="28"/>
          <w:szCs w:val="28"/>
        </w:rPr>
      </w:pPr>
      <w:r w:rsidRPr="00274507">
        <w:rPr>
          <w:sz w:val="28"/>
          <w:szCs w:val="28"/>
        </w:rPr>
        <w:t xml:space="preserve">Por su parte, </w:t>
      </w:r>
      <w:r w:rsidR="00BD4911" w:rsidRPr="00274507">
        <w:rPr>
          <w:sz w:val="28"/>
          <w:szCs w:val="28"/>
        </w:rPr>
        <w:t>en cumplimiento al requerimiento efectuado</w:t>
      </w:r>
      <w:r w:rsidRPr="00274507">
        <w:rPr>
          <w:sz w:val="28"/>
          <w:szCs w:val="28"/>
        </w:rPr>
        <w:t xml:space="preserve"> por esta Corte</w:t>
      </w:r>
      <w:r w:rsidR="00BD4911" w:rsidRPr="00274507">
        <w:rPr>
          <w:sz w:val="28"/>
          <w:szCs w:val="28"/>
        </w:rPr>
        <w:t>, la Procuraduría General de la Nación advirtió</w:t>
      </w:r>
      <w:r w:rsidRPr="00274507">
        <w:rPr>
          <w:sz w:val="28"/>
          <w:szCs w:val="28"/>
        </w:rPr>
        <w:t xml:space="preserve"> que el 30 de enero de 2009 el </w:t>
      </w:r>
      <w:r w:rsidR="00BD4911" w:rsidRPr="00274507">
        <w:rPr>
          <w:sz w:val="28"/>
          <w:szCs w:val="28"/>
        </w:rPr>
        <w:t xml:space="preserve"> Ministerio de</w:t>
      </w:r>
      <w:r w:rsidRPr="00274507">
        <w:rPr>
          <w:sz w:val="28"/>
          <w:szCs w:val="28"/>
        </w:rPr>
        <w:t xml:space="preserve"> Salud</w:t>
      </w:r>
      <w:r w:rsidR="00BD4911" w:rsidRPr="00274507">
        <w:rPr>
          <w:sz w:val="28"/>
          <w:szCs w:val="28"/>
        </w:rPr>
        <w:t>, presentó un informe con datos obtenidos de las solicitudes de recobro radicadas por las EPS en cumplimiento de lo ordenado en los fallos de tutela dentro de los que se requirió algún servicio de salud tales como insumo</w:t>
      </w:r>
      <w:r w:rsidRPr="00274507">
        <w:rPr>
          <w:sz w:val="28"/>
          <w:szCs w:val="28"/>
        </w:rPr>
        <w:t>s</w:t>
      </w:r>
      <w:r w:rsidR="00BD4911" w:rsidRPr="00274507">
        <w:rPr>
          <w:sz w:val="28"/>
          <w:szCs w:val="28"/>
        </w:rPr>
        <w:t>, medicamento</w:t>
      </w:r>
      <w:r w:rsidRPr="00274507">
        <w:rPr>
          <w:sz w:val="28"/>
          <w:szCs w:val="28"/>
        </w:rPr>
        <w:t>s</w:t>
      </w:r>
      <w:r w:rsidR="00BD4911" w:rsidRPr="00274507">
        <w:rPr>
          <w:sz w:val="28"/>
          <w:szCs w:val="28"/>
        </w:rPr>
        <w:t xml:space="preserve"> o procedimiento</w:t>
      </w:r>
      <w:r w:rsidRPr="00274507">
        <w:rPr>
          <w:sz w:val="28"/>
          <w:szCs w:val="28"/>
        </w:rPr>
        <w:t>s</w:t>
      </w:r>
      <w:r w:rsidR="00BD4911" w:rsidRPr="00274507">
        <w:rPr>
          <w:sz w:val="28"/>
          <w:szCs w:val="28"/>
        </w:rPr>
        <w:t xml:space="preserve"> no POS. De acuerdo con la información contenida precisó que para el 2008 los recobros aumentaron considerablemente ya que durante el periodo comprendido entre enero y agosto se radicaron 51.391 y a finales del año, es decir, entre septiembre y noviembre se evidenciaron 91.391 solicitudes. También señaló que en relación con los recobros tramitados ante el Comité Técnico</w:t>
      </w:r>
      <w:r w:rsidRPr="00274507">
        <w:rPr>
          <w:sz w:val="28"/>
          <w:szCs w:val="28"/>
        </w:rPr>
        <w:t xml:space="preserve"> Científico y en cumplimiento de</w:t>
      </w:r>
      <w:r w:rsidR="00BD4911" w:rsidRPr="00274507">
        <w:rPr>
          <w:sz w:val="28"/>
          <w:szCs w:val="28"/>
        </w:rPr>
        <w:t xml:space="preserve"> las órdenes judiciales entre julio y noviembre de 2008 aumentaron, sin embargo, concluyó que del análisis aportado no se pudo medir el número de acciones de tutela ni comparar los factores mínimos de su posible reducción o aumento.</w:t>
      </w:r>
    </w:p>
    <w:p w:rsidR="00EE33D6" w:rsidRPr="00274507" w:rsidRDefault="00EE33D6" w:rsidP="00274507">
      <w:pPr>
        <w:jc w:val="both"/>
        <w:rPr>
          <w:rFonts w:eastAsia="Malgun Gothic"/>
          <w:sz w:val="28"/>
          <w:szCs w:val="28"/>
        </w:rPr>
      </w:pPr>
    </w:p>
    <w:p w:rsidR="00EE33D6" w:rsidRPr="00274507" w:rsidRDefault="00EE33D6" w:rsidP="00274507">
      <w:pPr>
        <w:jc w:val="both"/>
        <w:rPr>
          <w:sz w:val="28"/>
          <w:szCs w:val="28"/>
          <w:shd w:val="clear" w:color="auto" w:fill="FFFFFF"/>
        </w:rPr>
      </w:pPr>
      <w:r w:rsidRPr="00274507">
        <w:rPr>
          <w:sz w:val="28"/>
          <w:szCs w:val="28"/>
          <w:shd w:val="clear" w:color="auto" w:fill="FFFFFF"/>
        </w:rPr>
        <w:t xml:space="preserve">Como para dicho informe, el Ministerio de Salud solo referenció el número de solicitudes por recobro, este Tribunal evidencia que de la misma no es posible </w:t>
      </w:r>
      <w:r w:rsidR="00194C41" w:rsidRPr="00274507">
        <w:rPr>
          <w:sz w:val="28"/>
          <w:szCs w:val="28"/>
          <w:shd w:val="clear" w:color="auto" w:fill="FFFFFF"/>
        </w:rPr>
        <w:t>determina</w:t>
      </w:r>
      <w:r w:rsidRPr="00274507">
        <w:rPr>
          <w:sz w:val="28"/>
          <w:szCs w:val="28"/>
          <w:shd w:val="clear" w:color="auto" w:fill="FFFFFF"/>
        </w:rPr>
        <w:t xml:space="preserve">r por lo menos </w:t>
      </w:r>
      <w:r w:rsidR="00330268" w:rsidRPr="00274507">
        <w:rPr>
          <w:sz w:val="28"/>
          <w:szCs w:val="28"/>
          <w:shd w:val="clear" w:color="auto" w:fill="FFFFFF"/>
        </w:rPr>
        <w:t xml:space="preserve">la condición de las tutelas por las cuales se presentaban los recobros y sí las mismas a partir del mandato constitucional aumentaron o disminuyeron, tampoco se relacionaban </w:t>
      </w:r>
      <w:r w:rsidRPr="00274507">
        <w:rPr>
          <w:sz w:val="28"/>
          <w:szCs w:val="28"/>
          <w:shd w:val="clear" w:color="auto" w:fill="FFFFFF"/>
        </w:rPr>
        <w:t xml:space="preserve">las tecnologías por las cuales la mayoría de los pacientes recurrían a su reclamo, </w:t>
      </w:r>
      <w:r w:rsidR="00330268" w:rsidRPr="00274507">
        <w:rPr>
          <w:sz w:val="28"/>
          <w:szCs w:val="28"/>
          <w:shd w:val="clear" w:color="auto" w:fill="FFFFFF"/>
        </w:rPr>
        <w:t xml:space="preserve">ni </w:t>
      </w:r>
      <w:r w:rsidRPr="00274507">
        <w:rPr>
          <w:sz w:val="28"/>
          <w:szCs w:val="28"/>
          <w:shd w:val="clear" w:color="auto" w:fill="FFFFFF"/>
        </w:rPr>
        <w:t>la representación de esas tutelas respecto a las demás presentadas por otras causas y en las que no se ordenaba el recobro. Lo anterior, en parte por carecer de la</w:t>
      </w:r>
      <w:r w:rsidR="004C3F0E" w:rsidRPr="00274507">
        <w:rPr>
          <w:sz w:val="28"/>
          <w:szCs w:val="28"/>
          <w:shd w:val="clear" w:color="auto" w:fill="FFFFFF"/>
        </w:rPr>
        <w:t xml:space="preserve"> información referenciada por dicho ministerio</w:t>
      </w:r>
      <w:r w:rsidRPr="00274507">
        <w:rPr>
          <w:sz w:val="28"/>
          <w:szCs w:val="28"/>
          <w:shd w:val="clear" w:color="auto" w:fill="FFFFFF"/>
        </w:rPr>
        <w:t>, ya que no allego como soporte los reclamos y los fallos de tutela. Así, se advierte que tener una base de datos en las que se registren las solicitudes de recobros puede ser útil pero no exclusivo en el análisis requerido</w:t>
      </w:r>
      <w:r w:rsidRPr="00274507">
        <w:rPr>
          <w:sz w:val="28"/>
          <w:szCs w:val="28"/>
        </w:rPr>
        <w:t>.</w:t>
      </w:r>
    </w:p>
    <w:p w:rsidR="00EE33D6" w:rsidRPr="00274507" w:rsidRDefault="00EE33D6" w:rsidP="00274507">
      <w:pPr>
        <w:jc w:val="both"/>
        <w:rPr>
          <w:sz w:val="28"/>
          <w:szCs w:val="28"/>
          <w:shd w:val="clear" w:color="auto" w:fill="FFFFFF"/>
        </w:rPr>
      </w:pPr>
    </w:p>
    <w:p w:rsidR="00EE33D6" w:rsidRPr="00274507" w:rsidRDefault="00330268" w:rsidP="00274507">
      <w:pPr>
        <w:jc w:val="both"/>
        <w:rPr>
          <w:sz w:val="28"/>
          <w:szCs w:val="28"/>
          <w:shd w:val="clear" w:color="auto" w:fill="FFFFFF"/>
        </w:rPr>
      </w:pPr>
      <w:r w:rsidRPr="00274507">
        <w:rPr>
          <w:sz w:val="28"/>
          <w:szCs w:val="28"/>
          <w:shd w:val="clear" w:color="auto" w:fill="FFFFFF"/>
        </w:rPr>
        <w:t xml:space="preserve">Además, el Ministerio de Salud alude el aumento de los recobros a la expedición </w:t>
      </w:r>
      <w:r w:rsidR="003B6B7E" w:rsidRPr="00274507">
        <w:rPr>
          <w:sz w:val="28"/>
          <w:szCs w:val="28"/>
          <w:shd w:val="clear" w:color="auto" w:fill="FFFFFF"/>
        </w:rPr>
        <w:t>de las Resoluciones</w:t>
      </w:r>
      <w:r w:rsidR="003B6B7E" w:rsidRPr="00274507">
        <w:rPr>
          <w:color w:val="000000"/>
          <w:sz w:val="28"/>
          <w:szCs w:val="28"/>
          <w:shd w:val="clear" w:color="auto" w:fill="FFFFFF"/>
        </w:rPr>
        <w:t xml:space="preserve"> 3099 y 3754 de 2008,</w:t>
      </w:r>
      <w:r w:rsidRPr="00274507">
        <w:rPr>
          <w:sz w:val="28"/>
          <w:szCs w:val="28"/>
          <w:shd w:val="clear" w:color="auto" w:fill="FFFFFF"/>
        </w:rPr>
        <w:t xml:space="preserve"> mediante la</w:t>
      </w:r>
      <w:r w:rsidR="003B6B7E" w:rsidRPr="00274507">
        <w:rPr>
          <w:sz w:val="28"/>
          <w:szCs w:val="28"/>
          <w:shd w:val="clear" w:color="auto" w:fill="FFFFFF"/>
        </w:rPr>
        <w:t>s</w:t>
      </w:r>
      <w:r w:rsidRPr="00274507">
        <w:rPr>
          <w:sz w:val="28"/>
          <w:szCs w:val="28"/>
          <w:shd w:val="clear" w:color="auto" w:fill="FFFFFF"/>
        </w:rPr>
        <w:t xml:space="preserve"> cual</w:t>
      </w:r>
      <w:r w:rsidR="003B6B7E" w:rsidRPr="00274507">
        <w:rPr>
          <w:sz w:val="28"/>
          <w:szCs w:val="28"/>
          <w:shd w:val="clear" w:color="auto" w:fill="FFFFFF"/>
        </w:rPr>
        <w:t>es</w:t>
      </w:r>
      <w:r w:rsidRPr="00274507">
        <w:rPr>
          <w:sz w:val="28"/>
          <w:szCs w:val="28"/>
          <w:shd w:val="clear" w:color="auto" w:fill="FFFFFF"/>
        </w:rPr>
        <w:t xml:space="preserve"> se pretendía cumplir con lo previsto por la Corte en la sentencia T</w:t>
      </w:r>
      <w:r w:rsidR="003B6B7E" w:rsidRPr="00274507">
        <w:rPr>
          <w:sz w:val="28"/>
          <w:szCs w:val="28"/>
          <w:shd w:val="clear" w:color="auto" w:fill="FFFFFF"/>
        </w:rPr>
        <w:t>-760 de 2008 en lo relacionado con</w:t>
      </w:r>
      <w:r w:rsidRPr="00274507">
        <w:rPr>
          <w:sz w:val="28"/>
          <w:szCs w:val="28"/>
          <w:shd w:val="clear" w:color="auto" w:fill="FFFFFF"/>
        </w:rPr>
        <w:t xml:space="preserve"> </w:t>
      </w:r>
      <w:r w:rsidRPr="00274507">
        <w:rPr>
          <w:color w:val="000000"/>
          <w:sz w:val="28"/>
          <w:szCs w:val="28"/>
          <w:shd w:val="clear" w:color="auto" w:fill="FFFFFF"/>
        </w:rPr>
        <w:t xml:space="preserve">la adopción de las medidas necesarias para garantizar la ampliación de las reglas vigentes del Comité Técnico-Científico para la aprobación de los servicios de salud no incluidos en el plan obligatorio de salud, distintos a medicamentos, y las relacionadas con el derecho al recobro de servicios médicos no </w:t>
      </w:r>
      <w:r w:rsidR="00194C41" w:rsidRPr="00274507">
        <w:rPr>
          <w:color w:val="000000"/>
          <w:sz w:val="28"/>
          <w:szCs w:val="28"/>
          <w:shd w:val="clear" w:color="auto" w:fill="FFFFFF"/>
        </w:rPr>
        <w:t xml:space="preserve">Pos </w:t>
      </w:r>
      <w:r w:rsidRPr="00274507">
        <w:rPr>
          <w:color w:val="000000"/>
          <w:sz w:val="28"/>
          <w:szCs w:val="28"/>
          <w:shd w:val="clear" w:color="auto" w:fill="FFFFFF"/>
        </w:rPr>
        <w:t>ante el Fosyga y las Entidades Territoriales;</w:t>
      </w:r>
      <w:r w:rsidR="00687EFC" w:rsidRPr="00274507">
        <w:rPr>
          <w:color w:val="000000"/>
          <w:sz w:val="28"/>
          <w:szCs w:val="28"/>
          <w:shd w:val="clear" w:color="auto" w:fill="FFFFFF"/>
        </w:rPr>
        <w:t xml:space="preserve"> afirmación que resulta acorde con los resultados, sin embargo, esta Sala evidencia si fue reglamentado el procedimiento de los recobros por</w:t>
      </w:r>
      <w:r w:rsidR="00194C41" w:rsidRPr="00274507">
        <w:rPr>
          <w:color w:val="000000"/>
          <w:sz w:val="28"/>
          <w:szCs w:val="28"/>
          <w:shd w:val="clear" w:color="auto" w:fill="FFFFFF"/>
        </w:rPr>
        <w:t xml:space="preserve"> dichas</w:t>
      </w:r>
      <w:r w:rsidR="00687EFC" w:rsidRPr="00274507">
        <w:rPr>
          <w:color w:val="000000"/>
          <w:sz w:val="28"/>
          <w:szCs w:val="28"/>
          <w:shd w:val="clear" w:color="auto" w:fill="FFFFFF"/>
        </w:rPr>
        <w:t xml:space="preserve"> tecnologías no POS y se amplió la cobertura de servic</w:t>
      </w:r>
      <w:r w:rsidR="00194C41" w:rsidRPr="00274507">
        <w:rPr>
          <w:color w:val="000000"/>
          <w:sz w:val="28"/>
          <w:szCs w:val="28"/>
          <w:shd w:val="clear" w:color="auto" w:fill="FFFFFF"/>
        </w:rPr>
        <w:t xml:space="preserve">ios aprobados por los Comités, </w:t>
      </w:r>
      <w:r w:rsidR="00687EFC" w:rsidRPr="00274507">
        <w:rPr>
          <w:color w:val="000000"/>
          <w:sz w:val="28"/>
          <w:szCs w:val="28"/>
          <w:shd w:val="clear" w:color="auto" w:fill="FFFFFF"/>
        </w:rPr>
        <w:t>significaría que las acciones de tutela para ese momento hubiesen disminuido, lo cual no pudo evidenciarse porque se reitera, el Ministerio no contaba con dicha información ni fue presentada en sus reportes, lo que imposibilita realizar un estudio desde esa perspectiva.</w:t>
      </w:r>
    </w:p>
    <w:p w:rsidR="00EE33D6" w:rsidRPr="00274507" w:rsidRDefault="00EE33D6" w:rsidP="00274507">
      <w:pPr>
        <w:jc w:val="both"/>
        <w:rPr>
          <w:sz w:val="28"/>
          <w:szCs w:val="28"/>
          <w:shd w:val="clear" w:color="auto" w:fill="FFFFFF"/>
        </w:rPr>
      </w:pPr>
    </w:p>
    <w:p w:rsidR="00EE33D6" w:rsidRPr="00274507" w:rsidRDefault="00EE33D6" w:rsidP="00274507">
      <w:pPr>
        <w:jc w:val="both"/>
        <w:rPr>
          <w:rFonts w:eastAsia="Malgun Gothic"/>
          <w:sz w:val="28"/>
          <w:szCs w:val="28"/>
        </w:rPr>
      </w:pPr>
      <w:r w:rsidRPr="00274507">
        <w:rPr>
          <w:sz w:val="28"/>
          <w:szCs w:val="28"/>
          <w:shd w:val="clear" w:color="auto" w:fill="FFFFFF"/>
        </w:rPr>
        <w:t>En este sentido, el análisis presentado entre los años 2008 a 2011, derivado de las solicitudes, pese a que el recobro ante el Fosyga ordenado por un juez de Tutela como consecuencia de la interpretación restrictiva del POS, constituye el desarrollo de uno de los problemas jurídicos establecidos en el mandato constitucional, pero no el cumplimiento total del mismo, porque no representa la totalidad de las acciones evaluadas para cada año</w:t>
      </w:r>
      <w:r w:rsidR="00194C41" w:rsidRPr="00274507">
        <w:rPr>
          <w:sz w:val="28"/>
          <w:szCs w:val="28"/>
          <w:shd w:val="clear" w:color="auto" w:fill="FFFFFF"/>
        </w:rPr>
        <w:t xml:space="preserve"> por lo que los resultados allí no pueden generalizarse. </w:t>
      </w:r>
    </w:p>
    <w:p w:rsidR="00EE33D6" w:rsidRPr="00274507" w:rsidRDefault="00EE33D6" w:rsidP="00274507">
      <w:pPr>
        <w:jc w:val="both"/>
        <w:rPr>
          <w:rFonts w:eastAsia="Malgun Gothic"/>
          <w:sz w:val="28"/>
          <w:szCs w:val="28"/>
        </w:rPr>
      </w:pPr>
    </w:p>
    <w:p w:rsidR="005C0E72" w:rsidRPr="00274507" w:rsidRDefault="00EE33D6" w:rsidP="00274507">
      <w:pPr>
        <w:jc w:val="both"/>
        <w:rPr>
          <w:sz w:val="28"/>
          <w:szCs w:val="28"/>
        </w:rPr>
      </w:pPr>
      <w:r w:rsidRPr="00274507">
        <w:rPr>
          <w:rFonts w:eastAsia="Malgun Gothic"/>
          <w:sz w:val="28"/>
          <w:szCs w:val="28"/>
        </w:rPr>
        <w:t>En ese orden, e</w:t>
      </w:r>
      <w:r w:rsidR="00194C41" w:rsidRPr="00274507">
        <w:rPr>
          <w:rFonts w:eastAsia="Malgun Gothic"/>
          <w:sz w:val="28"/>
          <w:szCs w:val="28"/>
        </w:rPr>
        <w:t>sta Sala Especial considera que</w:t>
      </w:r>
      <w:r w:rsidR="00343923" w:rsidRPr="00274507">
        <w:rPr>
          <w:rFonts w:eastAsia="Malgun Gothic"/>
          <w:sz w:val="28"/>
          <w:szCs w:val="28"/>
        </w:rPr>
        <w:t xml:space="preserve"> los reportes </w:t>
      </w:r>
      <w:r w:rsidR="001D6498" w:rsidRPr="00274507">
        <w:rPr>
          <w:rFonts w:eastAsia="Malgun Gothic"/>
          <w:sz w:val="28"/>
          <w:szCs w:val="28"/>
        </w:rPr>
        <w:t xml:space="preserve">acreditados por el ente </w:t>
      </w:r>
      <w:r w:rsidR="004C3F0E" w:rsidRPr="00274507">
        <w:rPr>
          <w:rFonts w:eastAsia="Malgun Gothic"/>
          <w:sz w:val="28"/>
          <w:szCs w:val="28"/>
        </w:rPr>
        <w:t xml:space="preserve">ministerial </w:t>
      </w:r>
      <w:r w:rsidR="00343923" w:rsidRPr="00274507">
        <w:rPr>
          <w:rFonts w:eastAsia="Malgun Gothic"/>
          <w:sz w:val="28"/>
          <w:szCs w:val="28"/>
        </w:rPr>
        <w:t>no pueden servir de base para análisis futuros en la línea del t</w:t>
      </w:r>
      <w:r w:rsidR="00771556" w:rsidRPr="00274507">
        <w:rPr>
          <w:rFonts w:eastAsia="Malgun Gothic"/>
          <w:sz w:val="28"/>
          <w:szCs w:val="28"/>
        </w:rPr>
        <w:t>iempo</w:t>
      </w:r>
      <w:r w:rsidR="00343923" w:rsidRPr="00274507">
        <w:rPr>
          <w:rFonts w:eastAsia="Malgun Gothic"/>
          <w:sz w:val="28"/>
          <w:szCs w:val="28"/>
        </w:rPr>
        <w:t>, debido a</w:t>
      </w:r>
      <w:r w:rsidR="001D6498" w:rsidRPr="00274507">
        <w:rPr>
          <w:rFonts w:eastAsia="Malgun Gothic"/>
          <w:sz w:val="28"/>
          <w:szCs w:val="28"/>
        </w:rPr>
        <w:t xml:space="preserve"> que solo incluyó datos de recobr</w:t>
      </w:r>
      <w:r w:rsidR="003F62CF" w:rsidRPr="00274507">
        <w:rPr>
          <w:rFonts w:eastAsia="Malgun Gothic"/>
          <w:sz w:val="28"/>
          <w:szCs w:val="28"/>
        </w:rPr>
        <w:t xml:space="preserve">os, por lo que se concluye </w:t>
      </w:r>
      <w:r w:rsidR="00CB0276" w:rsidRPr="00274507">
        <w:rPr>
          <w:rFonts w:eastAsia="Malgun Gothic"/>
          <w:sz w:val="28"/>
          <w:szCs w:val="28"/>
        </w:rPr>
        <w:t xml:space="preserve">que la </w:t>
      </w:r>
      <w:r w:rsidR="00CB0276" w:rsidRPr="00274507">
        <w:rPr>
          <w:sz w:val="28"/>
          <w:szCs w:val="28"/>
        </w:rPr>
        <w:t xml:space="preserve">metodología propuesta no fue </w:t>
      </w:r>
      <w:r w:rsidR="001D6498" w:rsidRPr="00274507">
        <w:rPr>
          <w:sz w:val="28"/>
          <w:szCs w:val="28"/>
        </w:rPr>
        <w:t xml:space="preserve">la más </w:t>
      </w:r>
      <w:r w:rsidR="00CB0276" w:rsidRPr="00274507">
        <w:rPr>
          <w:sz w:val="28"/>
          <w:szCs w:val="28"/>
        </w:rPr>
        <w:t>adecuada</w:t>
      </w:r>
      <w:r w:rsidR="00B7202A" w:rsidRPr="00274507">
        <w:rPr>
          <w:sz w:val="28"/>
          <w:szCs w:val="28"/>
        </w:rPr>
        <w:t xml:space="preserve"> porque no realizó el análisis de todas las tutelas presentadas para los años analizados, su aumento o disminución y la clasificación según cada problema jurídico expuesto en la T-760 de 2008, con el propósito de evidenciar las fallas continuas e ide</w:t>
      </w:r>
      <w:r w:rsidR="00D327B8" w:rsidRPr="00274507">
        <w:rPr>
          <w:sz w:val="28"/>
          <w:szCs w:val="28"/>
        </w:rPr>
        <w:t>ntificar medidas eficaces para err</w:t>
      </w:r>
      <w:r w:rsidR="00B7202A" w:rsidRPr="00274507">
        <w:rPr>
          <w:sz w:val="28"/>
          <w:szCs w:val="28"/>
        </w:rPr>
        <w:t>adicarlas del sistema</w:t>
      </w:r>
      <w:r w:rsidR="001D6498" w:rsidRPr="00274507">
        <w:rPr>
          <w:sz w:val="28"/>
          <w:szCs w:val="28"/>
        </w:rPr>
        <w:t xml:space="preserve">. En consecuencia no se evidenció un </w:t>
      </w:r>
      <w:r w:rsidR="00974545" w:rsidRPr="00274507">
        <w:rPr>
          <w:sz w:val="28"/>
          <w:szCs w:val="28"/>
        </w:rPr>
        <w:t>avance</w:t>
      </w:r>
      <w:r w:rsidR="001D6498" w:rsidRPr="00274507">
        <w:rPr>
          <w:sz w:val="28"/>
          <w:szCs w:val="28"/>
        </w:rPr>
        <w:t xml:space="preserve"> en los informes 1º a 4º en el</w:t>
      </w:r>
      <w:r w:rsidR="00CB0276" w:rsidRPr="00274507">
        <w:rPr>
          <w:sz w:val="28"/>
          <w:szCs w:val="28"/>
        </w:rPr>
        <w:t xml:space="preserve"> cumplimiento del mandato</w:t>
      </w:r>
      <w:r w:rsidR="00A5530D" w:rsidRPr="00274507">
        <w:rPr>
          <w:sz w:val="28"/>
          <w:szCs w:val="28"/>
        </w:rPr>
        <w:t xml:space="preserve"> </w:t>
      </w:r>
      <w:r w:rsidR="001D6498" w:rsidRPr="00274507">
        <w:rPr>
          <w:sz w:val="28"/>
          <w:szCs w:val="28"/>
        </w:rPr>
        <w:t>constitucional.</w:t>
      </w:r>
    </w:p>
    <w:p w:rsidR="001D6498" w:rsidRPr="00274507" w:rsidRDefault="001D6498" w:rsidP="00274507">
      <w:pPr>
        <w:jc w:val="both"/>
        <w:rPr>
          <w:sz w:val="28"/>
          <w:szCs w:val="28"/>
        </w:rPr>
      </w:pPr>
    </w:p>
    <w:p w:rsidR="00AB68F1" w:rsidRPr="00274507" w:rsidRDefault="000309F6" w:rsidP="00274507">
      <w:pPr>
        <w:pStyle w:val="Prrafodelista"/>
        <w:widowControl w:val="0"/>
        <w:tabs>
          <w:tab w:val="left" w:pos="567"/>
        </w:tabs>
        <w:autoSpaceDE w:val="0"/>
        <w:autoSpaceDN w:val="0"/>
        <w:adjustRightInd w:val="0"/>
        <w:ind w:left="0"/>
        <w:jc w:val="both"/>
        <w:rPr>
          <w:sz w:val="28"/>
          <w:szCs w:val="28"/>
        </w:rPr>
      </w:pPr>
      <w:r w:rsidRPr="00274507">
        <w:rPr>
          <w:b/>
          <w:sz w:val="28"/>
          <w:szCs w:val="28"/>
        </w:rPr>
        <w:t>7</w:t>
      </w:r>
      <w:r w:rsidR="00B7202A" w:rsidRPr="00274507">
        <w:rPr>
          <w:b/>
          <w:sz w:val="28"/>
          <w:szCs w:val="28"/>
        </w:rPr>
        <w:t>.1.2.</w:t>
      </w:r>
      <w:r w:rsidR="00AB68F1" w:rsidRPr="00274507">
        <w:rPr>
          <w:sz w:val="28"/>
          <w:szCs w:val="28"/>
        </w:rPr>
        <w:t xml:space="preserve"> </w:t>
      </w:r>
      <w:r w:rsidR="00321086" w:rsidRPr="00274507">
        <w:rPr>
          <w:sz w:val="28"/>
          <w:szCs w:val="28"/>
        </w:rPr>
        <w:t>En los informes 5º, 6º y 7º</w:t>
      </w:r>
      <w:r w:rsidR="00B7202A" w:rsidRPr="00274507">
        <w:rPr>
          <w:sz w:val="28"/>
          <w:szCs w:val="28"/>
        </w:rPr>
        <w:t xml:space="preserve"> correspondientes a los años 2012, 2013 y 2014 </w:t>
      </w:r>
      <w:r w:rsidR="001B307E" w:rsidRPr="00274507">
        <w:rPr>
          <w:sz w:val="28"/>
          <w:szCs w:val="28"/>
        </w:rPr>
        <w:t xml:space="preserve">como resultado de los </w:t>
      </w:r>
      <w:r w:rsidR="00321086" w:rsidRPr="00274507">
        <w:rPr>
          <w:sz w:val="28"/>
          <w:szCs w:val="28"/>
        </w:rPr>
        <w:t>requerimient</w:t>
      </w:r>
      <w:r w:rsidR="00A5530D" w:rsidRPr="00274507">
        <w:rPr>
          <w:sz w:val="28"/>
          <w:szCs w:val="28"/>
        </w:rPr>
        <w:t>os efectuados por esta Sala</w:t>
      </w:r>
      <w:r w:rsidR="003F62CF" w:rsidRPr="00274507">
        <w:rPr>
          <w:sz w:val="28"/>
          <w:szCs w:val="28"/>
        </w:rPr>
        <w:t>,</w:t>
      </w:r>
      <w:r w:rsidR="00A5530D" w:rsidRPr="00274507">
        <w:rPr>
          <w:sz w:val="28"/>
          <w:szCs w:val="28"/>
        </w:rPr>
        <w:t xml:space="preserve"> en relación</w:t>
      </w:r>
      <w:r w:rsidR="00321086" w:rsidRPr="00274507">
        <w:rPr>
          <w:sz w:val="28"/>
          <w:szCs w:val="28"/>
        </w:rPr>
        <w:t xml:space="preserve"> con </w:t>
      </w:r>
      <w:r w:rsidR="0031033F" w:rsidRPr="00274507">
        <w:rPr>
          <w:sz w:val="28"/>
          <w:szCs w:val="28"/>
        </w:rPr>
        <w:t xml:space="preserve">la </w:t>
      </w:r>
      <w:r w:rsidR="00A5530D" w:rsidRPr="00274507">
        <w:rPr>
          <w:sz w:val="28"/>
          <w:szCs w:val="28"/>
        </w:rPr>
        <w:t xml:space="preserve">adopción </w:t>
      </w:r>
      <w:r w:rsidR="0031033F" w:rsidRPr="00274507">
        <w:rPr>
          <w:sz w:val="28"/>
          <w:szCs w:val="28"/>
        </w:rPr>
        <w:t>de criterios e indicadores que permit</w:t>
      </w:r>
      <w:r w:rsidR="00364725" w:rsidRPr="00274507">
        <w:rPr>
          <w:sz w:val="28"/>
          <w:szCs w:val="28"/>
        </w:rPr>
        <w:t xml:space="preserve">ieran </w:t>
      </w:r>
      <w:r w:rsidR="0031033F" w:rsidRPr="00274507">
        <w:rPr>
          <w:sz w:val="28"/>
          <w:szCs w:val="28"/>
        </w:rPr>
        <w:t>una medición completa, confiable y precisa del número de accion</w:t>
      </w:r>
      <w:r w:rsidR="00FB473E" w:rsidRPr="00274507">
        <w:rPr>
          <w:sz w:val="28"/>
          <w:szCs w:val="28"/>
        </w:rPr>
        <w:t>es de tutela</w:t>
      </w:r>
      <w:r w:rsidR="001B307E" w:rsidRPr="00274507">
        <w:rPr>
          <w:sz w:val="28"/>
          <w:szCs w:val="28"/>
        </w:rPr>
        <w:t xml:space="preserve">, el Ministerio </w:t>
      </w:r>
      <w:r w:rsidR="003F62CF" w:rsidRPr="00274507">
        <w:rPr>
          <w:sz w:val="28"/>
          <w:szCs w:val="28"/>
        </w:rPr>
        <w:t xml:space="preserve">de Salud </w:t>
      </w:r>
      <w:r w:rsidR="001B307E" w:rsidRPr="00274507">
        <w:rPr>
          <w:sz w:val="28"/>
          <w:szCs w:val="28"/>
        </w:rPr>
        <w:t>utilizó</w:t>
      </w:r>
      <w:r w:rsidR="00FB473E" w:rsidRPr="00274507">
        <w:rPr>
          <w:sz w:val="28"/>
          <w:szCs w:val="28"/>
        </w:rPr>
        <w:t xml:space="preserve"> como base</w:t>
      </w:r>
      <w:r w:rsidR="003F62CF" w:rsidRPr="00274507">
        <w:rPr>
          <w:sz w:val="28"/>
          <w:szCs w:val="28"/>
        </w:rPr>
        <w:t xml:space="preserve"> de información </w:t>
      </w:r>
      <w:r w:rsidR="00FB473E" w:rsidRPr="00274507">
        <w:rPr>
          <w:sz w:val="28"/>
          <w:szCs w:val="28"/>
        </w:rPr>
        <w:t>los expedientes que reposan en la Corte</w:t>
      </w:r>
      <w:r w:rsidR="00A5530D" w:rsidRPr="00274507">
        <w:rPr>
          <w:sz w:val="28"/>
          <w:szCs w:val="28"/>
        </w:rPr>
        <w:t>. En esa misma medida</w:t>
      </w:r>
      <w:r w:rsidR="001B307E" w:rsidRPr="00274507">
        <w:rPr>
          <w:sz w:val="28"/>
          <w:szCs w:val="28"/>
        </w:rPr>
        <w:t xml:space="preserve"> </w:t>
      </w:r>
      <w:r w:rsidR="00FB473E" w:rsidRPr="00274507">
        <w:rPr>
          <w:sz w:val="28"/>
          <w:szCs w:val="28"/>
        </w:rPr>
        <w:t>a</w:t>
      </w:r>
      <w:r w:rsidR="00C46375" w:rsidRPr="00274507">
        <w:rPr>
          <w:sz w:val="28"/>
          <w:szCs w:val="28"/>
        </w:rPr>
        <w:t xml:space="preserve"> inicios del 2013 </w:t>
      </w:r>
      <w:r w:rsidR="00FB473E" w:rsidRPr="00274507">
        <w:rPr>
          <w:sz w:val="28"/>
          <w:szCs w:val="28"/>
        </w:rPr>
        <w:t>implementó una</w:t>
      </w:r>
      <w:r w:rsidR="00C46375" w:rsidRPr="00274507">
        <w:rPr>
          <w:sz w:val="28"/>
          <w:szCs w:val="28"/>
        </w:rPr>
        <w:t xml:space="preserve"> nueva metodología para la presentación de los informes</w:t>
      </w:r>
      <w:r w:rsidR="00C46375" w:rsidRPr="00274507">
        <w:rPr>
          <w:rStyle w:val="Refdenotaalpie"/>
          <w:sz w:val="28"/>
          <w:szCs w:val="28"/>
        </w:rPr>
        <w:footnoteReference w:id="158"/>
      </w:r>
      <w:r w:rsidR="00C46375" w:rsidRPr="00274507">
        <w:rPr>
          <w:sz w:val="28"/>
          <w:szCs w:val="28"/>
        </w:rPr>
        <w:t>, a tr</w:t>
      </w:r>
      <w:r w:rsidR="00AB68F1" w:rsidRPr="00274507">
        <w:rPr>
          <w:sz w:val="28"/>
          <w:szCs w:val="28"/>
        </w:rPr>
        <w:t>avés de un análisis descriptivo.</w:t>
      </w:r>
    </w:p>
    <w:p w:rsidR="00BD4911" w:rsidRPr="00274507" w:rsidRDefault="00BD4911" w:rsidP="00274507">
      <w:pPr>
        <w:pStyle w:val="Prrafodelista"/>
        <w:widowControl w:val="0"/>
        <w:tabs>
          <w:tab w:val="left" w:pos="567"/>
        </w:tabs>
        <w:autoSpaceDE w:val="0"/>
        <w:autoSpaceDN w:val="0"/>
        <w:adjustRightInd w:val="0"/>
        <w:ind w:left="0"/>
        <w:jc w:val="both"/>
        <w:rPr>
          <w:sz w:val="28"/>
          <w:szCs w:val="28"/>
        </w:rPr>
      </w:pPr>
    </w:p>
    <w:p w:rsidR="00AB68F1" w:rsidRPr="00274507" w:rsidRDefault="000309F6" w:rsidP="00274507">
      <w:pPr>
        <w:pStyle w:val="Prrafodelista"/>
        <w:widowControl w:val="0"/>
        <w:tabs>
          <w:tab w:val="left" w:pos="567"/>
        </w:tabs>
        <w:autoSpaceDE w:val="0"/>
        <w:autoSpaceDN w:val="0"/>
        <w:adjustRightInd w:val="0"/>
        <w:ind w:left="0"/>
        <w:jc w:val="both"/>
        <w:rPr>
          <w:sz w:val="28"/>
          <w:szCs w:val="28"/>
        </w:rPr>
      </w:pPr>
      <w:r w:rsidRPr="00274507">
        <w:rPr>
          <w:b/>
          <w:sz w:val="28"/>
          <w:szCs w:val="28"/>
        </w:rPr>
        <w:t>7.1.2.1.</w:t>
      </w:r>
      <w:r w:rsidR="00AD5681" w:rsidRPr="00274507">
        <w:rPr>
          <w:b/>
          <w:sz w:val="28"/>
          <w:szCs w:val="28"/>
        </w:rPr>
        <w:t xml:space="preserve"> </w:t>
      </w:r>
      <w:r w:rsidR="0040672B" w:rsidRPr="00274507">
        <w:rPr>
          <w:sz w:val="28"/>
          <w:szCs w:val="28"/>
        </w:rPr>
        <w:t>Del 5º informe el Ministerio</w:t>
      </w:r>
      <w:r w:rsidR="003F62CF" w:rsidRPr="00274507">
        <w:rPr>
          <w:sz w:val="28"/>
          <w:szCs w:val="28"/>
        </w:rPr>
        <w:t xml:space="preserve"> de Salud </w:t>
      </w:r>
      <w:r w:rsidR="00AB68F1" w:rsidRPr="00274507">
        <w:rPr>
          <w:sz w:val="28"/>
          <w:szCs w:val="28"/>
        </w:rPr>
        <w:t>una vez</w:t>
      </w:r>
      <w:r w:rsidR="00C46375" w:rsidRPr="00274507">
        <w:rPr>
          <w:sz w:val="28"/>
          <w:szCs w:val="28"/>
        </w:rPr>
        <w:t xml:space="preserve"> </w:t>
      </w:r>
      <w:r w:rsidR="00771556" w:rsidRPr="00274507">
        <w:rPr>
          <w:sz w:val="28"/>
          <w:szCs w:val="28"/>
        </w:rPr>
        <w:t xml:space="preserve">se </w:t>
      </w:r>
      <w:r w:rsidR="00AB68F1" w:rsidRPr="00274507">
        <w:rPr>
          <w:sz w:val="28"/>
          <w:szCs w:val="28"/>
        </w:rPr>
        <w:t>obtuvo l</w:t>
      </w:r>
      <w:r w:rsidR="00C46375" w:rsidRPr="00274507">
        <w:rPr>
          <w:sz w:val="28"/>
          <w:szCs w:val="28"/>
        </w:rPr>
        <w:t>a muestra representativa de 1</w:t>
      </w:r>
      <w:r w:rsidR="00252C27" w:rsidRPr="00274507">
        <w:rPr>
          <w:sz w:val="28"/>
          <w:szCs w:val="28"/>
        </w:rPr>
        <w:t>.</w:t>
      </w:r>
      <w:r w:rsidR="00C46375" w:rsidRPr="00274507">
        <w:rPr>
          <w:sz w:val="28"/>
          <w:szCs w:val="28"/>
        </w:rPr>
        <w:t xml:space="preserve">060 </w:t>
      </w:r>
      <w:r w:rsidR="003F62CF" w:rsidRPr="00274507">
        <w:rPr>
          <w:sz w:val="28"/>
          <w:szCs w:val="28"/>
        </w:rPr>
        <w:t xml:space="preserve">expedientes, </w:t>
      </w:r>
      <w:r w:rsidR="00AB68F1" w:rsidRPr="00274507">
        <w:rPr>
          <w:sz w:val="28"/>
          <w:szCs w:val="28"/>
        </w:rPr>
        <w:t>desarrolló el análisis conforme a la caracterización de la</w:t>
      </w:r>
      <w:r w:rsidR="003F62CF" w:rsidRPr="00274507">
        <w:rPr>
          <w:sz w:val="28"/>
          <w:szCs w:val="28"/>
        </w:rPr>
        <w:t>s</w:t>
      </w:r>
      <w:r w:rsidR="00AB68F1" w:rsidRPr="00274507">
        <w:rPr>
          <w:sz w:val="28"/>
          <w:szCs w:val="28"/>
        </w:rPr>
        <w:t xml:space="preserve"> tutela</w:t>
      </w:r>
      <w:r w:rsidR="003F62CF" w:rsidRPr="00274507">
        <w:rPr>
          <w:sz w:val="28"/>
          <w:szCs w:val="28"/>
        </w:rPr>
        <w:t>s</w:t>
      </w:r>
      <w:r w:rsidR="00AB68F1" w:rsidRPr="00274507">
        <w:rPr>
          <w:sz w:val="28"/>
          <w:szCs w:val="28"/>
        </w:rPr>
        <w:t xml:space="preserve"> (código, sexo, edad, régimen, interposición y departamento), demandante (nombres y apellidos), demandados (código, nombre) y concepto (tipo, nombre y código), lo </w:t>
      </w:r>
      <w:r w:rsidR="00387FBF" w:rsidRPr="00274507">
        <w:rPr>
          <w:sz w:val="28"/>
          <w:szCs w:val="28"/>
        </w:rPr>
        <w:t xml:space="preserve">cual fue </w:t>
      </w:r>
      <w:r w:rsidR="00AB68F1" w:rsidRPr="00274507">
        <w:rPr>
          <w:sz w:val="28"/>
          <w:szCs w:val="28"/>
        </w:rPr>
        <w:t>diligenciado mediante un formu</w:t>
      </w:r>
      <w:r w:rsidR="00387FBF" w:rsidRPr="00274507">
        <w:rPr>
          <w:sz w:val="28"/>
          <w:szCs w:val="28"/>
        </w:rPr>
        <w:t>lario</w:t>
      </w:r>
      <w:r w:rsidR="003F62CF" w:rsidRPr="00274507">
        <w:rPr>
          <w:sz w:val="28"/>
          <w:szCs w:val="28"/>
        </w:rPr>
        <w:t>,</w:t>
      </w:r>
      <w:r w:rsidR="00387FBF" w:rsidRPr="00274507">
        <w:rPr>
          <w:sz w:val="28"/>
          <w:szCs w:val="28"/>
        </w:rPr>
        <w:t xml:space="preserve"> por parte de cada uno de los investigadores asignados para tal labor.</w:t>
      </w:r>
    </w:p>
    <w:p w:rsidR="00387FBF" w:rsidRPr="00274507" w:rsidRDefault="00387FBF" w:rsidP="00274507">
      <w:pPr>
        <w:pStyle w:val="Prrafodelista"/>
        <w:widowControl w:val="0"/>
        <w:tabs>
          <w:tab w:val="left" w:pos="567"/>
        </w:tabs>
        <w:autoSpaceDE w:val="0"/>
        <w:autoSpaceDN w:val="0"/>
        <w:adjustRightInd w:val="0"/>
        <w:ind w:left="0"/>
        <w:jc w:val="both"/>
        <w:rPr>
          <w:sz w:val="28"/>
          <w:szCs w:val="28"/>
        </w:rPr>
      </w:pPr>
    </w:p>
    <w:p w:rsidR="00CC08B9" w:rsidRPr="00274507" w:rsidRDefault="00CC08B9" w:rsidP="00274507">
      <w:pPr>
        <w:jc w:val="both"/>
        <w:rPr>
          <w:sz w:val="28"/>
          <w:szCs w:val="28"/>
        </w:rPr>
      </w:pPr>
      <w:r w:rsidRPr="00274507">
        <w:rPr>
          <w:sz w:val="28"/>
          <w:szCs w:val="28"/>
        </w:rPr>
        <w:t>Para este informe, como conceptos generales</w:t>
      </w:r>
      <w:r w:rsidR="003F62CF" w:rsidRPr="00274507">
        <w:rPr>
          <w:sz w:val="28"/>
          <w:szCs w:val="28"/>
        </w:rPr>
        <w:t>,</w:t>
      </w:r>
      <w:r w:rsidRPr="00274507">
        <w:rPr>
          <w:sz w:val="28"/>
          <w:szCs w:val="28"/>
        </w:rPr>
        <w:t xml:space="preserve"> los peritos</w:t>
      </w:r>
      <w:r w:rsidR="00FA168C" w:rsidRPr="00274507">
        <w:rPr>
          <w:sz w:val="28"/>
          <w:szCs w:val="28"/>
        </w:rPr>
        <w:t xml:space="preserve"> CSR y Fedesalud </w:t>
      </w:r>
      <w:r w:rsidR="00FA168C" w:rsidRPr="00274507">
        <w:rPr>
          <w:rStyle w:val="Refdenotaalpie"/>
          <w:sz w:val="28"/>
          <w:szCs w:val="28"/>
        </w:rPr>
        <w:footnoteReference w:id="159"/>
      </w:r>
      <w:r w:rsidRPr="00274507">
        <w:rPr>
          <w:sz w:val="28"/>
          <w:szCs w:val="28"/>
        </w:rPr>
        <w:t xml:space="preserve"> incluyeron la limitación del derecho a la salud</w:t>
      </w:r>
      <w:r w:rsidR="003F62CF" w:rsidRPr="00274507">
        <w:rPr>
          <w:sz w:val="28"/>
          <w:szCs w:val="28"/>
        </w:rPr>
        <w:t>,</w:t>
      </w:r>
      <w:r w:rsidRPr="00274507">
        <w:rPr>
          <w:sz w:val="28"/>
          <w:szCs w:val="28"/>
        </w:rPr>
        <w:t xml:space="preserve"> en las prestaciones POS</w:t>
      </w:r>
      <w:r w:rsidR="003F62CF" w:rsidRPr="00274507">
        <w:rPr>
          <w:sz w:val="28"/>
          <w:szCs w:val="28"/>
        </w:rPr>
        <w:t xml:space="preserve"> (</w:t>
      </w:r>
      <w:r w:rsidRPr="00274507">
        <w:rPr>
          <w:sz w:val="28"/>
          <w:szCs w:val="28"/>
        </w:rPr>
        <w:t>servicios como viáticos, transportes y continuidad en el servicio</w:t>
      </w:r>
      <w:r w:rsidR="003F62CF" w:rsidRPr="00274507">
        <w:rPr>
          <w:sz w:val="28"/>
          <w:szCs w:val="28"/>
        </w:rPr>
        <w:t xml:space="preserve">), que aparecen </w:t>
      </w:r>
      <w:r w:rsidRPr="00274507">
        <w:rPr>
          <w:sz w:val="28"/>
          <w:szCs w:val="28"/>
        </w:rPr>
        <w:t xml:space="preserve"> </w:t>
      </w:r>
      <w:r w:rsidR="001D6498" w:rsidRPr="00274507">
        <w:rPr>
          <w:sz w:val="28"/>
          <w:szCs w:val="28"/>
        </w:rPr>
        <w:t>en la “</w:t>
      </w:r>
      <w:r w:rsidRPr="00274507">
        <w:rPr>
          <w:sz w:val="28"/>
          <w:szCs w:val="28"/>
        </w:rPr>
        <w:t>zona gris</w:t>
      </w:r>
      <w:r w:rsidR="001D6498" w:rsidRPr="00274507">
        <w:rPr>
          <w:sz w:val="28"/>
          <w:szCs w:val="28"/>
        </w:rPr>
        <w:t>”</w:t>
      </w:r>
      <w:r w:rsidRPr="00274507">
        <w:rPr>
          <w:sz w:val="28"/>
          <w:szCs w:val="28"/>
        </w:rPr>
        <w:t>. De igual forma, advirtieron los siguientes inconvenientes:</w:t>
      </w:r>
    </w:p>
    <w:p w:rsidR="00CC08B9" w:rsidRPr="00274507" w:rsidRDefault="00CC08B9" w:rsidP="00274507">
      <w:pPr>
        <w:widowControl w:val="0"/>
        <w:tabs>
          <w:tab w:val="left" w:pos="426"/>
        </w:tabs>
        <w:autoSpaceDE w:val="0"/>
        <w:autoSpaceDN w:val="0"/>
        <w:adjustRightInd w:val="0"/>
        <w:jc w:val="both"/>
        <w:rPr>
          <w:sz w:val="28"/>
          <w:szCs w:val="28"/>
        </w:rPr>
      </w:pPr>
    </w:p>
    <w:p w:rsidR="00CC08B9" w:rsidRPr="00274507" w:rsidRDefault="00CC08B9" w:rsidP="00274507">
      <w:pPr>
        <w:pStyle w:val="Prrafodelista"/>
        <w:widowControl w:val="0"/>
        <w:numPr>
          <w:ilvl w:val="0"/>
          <w:numId w:val="16"/>
        </w:numPr>
        <w:tabs>
          <w:tab w:val="left" w:pos="426"/>
        </w:tabs>
        <w:autoSpaceDE w:val="0"/>
        <w:autoSpaceDN w:val="0"/>
        <w:adjustRightInd w:val="0"/>
        <w:ind w:left="709" w:hanging="349"/>
        <w:jc w:val="both"/>
        <w:rPr>
          <w:sz w:val="28"/>
          <w:szCs w:val="28"/>
        </w:rPr>
      </w:pPr>
      <w:r w:rsidRPr="00274507">
        <w:rPr>
          <w:sz w:val="28"/>
          <w:szCs w:val="28"/>
        </w:rPr>
        <w:t xml:space="preserve">    La Cartera de Salud no ha logrado dar cumplimiento a los contenidos propuestos en la orden trigésima ya que persisten l</w:t>
      </w:r>
      <w:r w:rsidR="00CB5CD2" w:rsidRPr="00274507">
        <w:rPr>
          <w:sz w:val="28"/>
          <w:szCs w:val="28"/>
        </w:rPr>
        <w:t xml:space="preserve">as fallas </w:t>
      </w:r>
      <w:r w:rsidRPr="00274507">
        <w:rPr>
          <w:sz w:val="28"/>
          <w:szCs w:val="28"/>
        </w:rPr>
        <w:t>en el sistema de salud</w:t>
      </w:r>
      <w:r w:rsidR="00CB5CD2" w:rsidRPr="00274507">
        <w:rPr>
          <w:sz w:val="28"/>
          <w:szCs w:val="28"/>
        </w:rPr>
        <w:t xml:space="preserve"> respecto a la prestación oportuna del servicio y la negación del mismo, que </w:t>
      </w:r>
      <w:r w:rsidRPr="00274507">
        <w:rPr>
          <w:sz w:val="28"/>
          <w:szCs w:val="28"/>
        </w:rPr>
        <w:t>precipita a los ciudadanos a continuar con la presentación de las acciones de tutela.</w:t>
      </w:r>
    </w:p>
    <w:p w:rsidR="00CC08B9" w:rsidRPr="00274507" w:rsidRDefault="00CC08B9" w:rsidP="00274507">
      <w:pPr>
        <w:pStyle w:val="Prrafodelista"/>
        <w:widowControl w:val="0"/>
        <w:numPr>
          <w:ilvl w:val="0"/>
          <w:numId w:val="16"/>
        </w:numPr>
        <w:tabs>
          <w:tab w:val="left" w:pos="426"/>
        </w:tabs>
        <w:autoSpaceDE w:val="0"/>
        <w:autoSpaceDN w:val="0"/>
        <w:adjustRightInd w:val="0"/>
        <w:ind w:left="709" w:hanging="349"/>
        <w:jc w:val="both"/>
        <w:rPr>
          <w:sz w:val="28"/>
          <w:szCs w:val="28"/>
        </w:rPr>
      </w:pPr>
      <w:r w:rsidRPr="00274507">
        <w:rPr>
          <w:sz w:val="28"/>
          <w:szCs w:val="28"/>
        </w:rPr>
        <w:t xml:space="preserve">    No se evidenció que las decisiones emitidas por la Corte Constitucional en lo que refiere a la salud, </w:t>
      </w:r>
      <w:r w:rsidR="00CB5CD2" w:rsidRPr="00274507">
        <w:rPr>
          <w:sz w:val="28"/>
          <w:szCs w:val="28"/>
        </w:rPr>
        <w:t xml:space="preserve">en cuanto a la atención integral del servicio de salud </w:t>
      </w:r>
      <w:r w:rsidRPr="00274507">
        <w:rPr>
          <w:sz w:val="28"/>
          <w:szCs w:val="28"/>
        </w:rPr>
        <w:t>hayan sido implementadas, involucradas o articuladas en las políticas por parte del ente ministerial</w:t>
      </w:r>
      <w:r w:rsidR="00CB5CD2" w:rsidRPr="00274507">
        <w:rPr>
          <w:sz w:val="28"/>
          <w:szCs w:val="28"/>
        </w:rPr>
        <w:t>, con miras a obtener la disminución de las tutelas.</w:t>
      </w:r>
    </w:p>
    <w:p w:rsidR="00CC08B9" w:rsidRPr="00274507" w:rsidRDefault="00CC08B9" w:rsidP="00274507">
      <w:pPr>
        <w:pStyle w:val="Prrafodelista"/>
        <w:widowControl w:val="0"/>
        <w:numPr>
          <w:ilvl w:val="0"/>
          <w:numId w:val="16"/>
        </w:numPr>
        <w:tabs>
          <w:tab w:val="left" w:pos="426"/>
        </w:tabs>
        <w:autoSpaceDE w:val="0"/>
        <w:autoSpaceDN w:val="0"/>
        <w:adjustRightInd w:val="0"/>
        <w:ind w:left="709" w:hanging="349"/>
        <w:jc w:val="both"/>
        <w:rPr>
          <w:sz w:val="28"/>
          <w:szCs w:val="28"/>
        </w:rPr>
      </w:pPr>
      <w:r w:rsidRPr="00274507">
        <w:rPr>
          <w:sz w:val="28"/>
          <w:szCs w:val="28"/>
        </w:rPr>
        <w:t xml:space="preserve">     Los informes de los años 2008 a 2011 contienen una metodología diferente, por lo que no pueden ser comparables.</w:t>
      </w:r>
    </w:p>
    <w:p w:rsidR="00CC08B9" w:rsidRPr="00274507" w:rsidRDefault="00CC08B9" w:rsidP="00274507">
      <w:pPr>
        <w:pStyle w:val="Prrafodelista"/>
        <w:widowControl w:val="0"/>
        <w:numPr>
          <w:ilvl w:val="0"/>
          <w:numId w:val="16"/>
        </w:numPr>
        <w:tabs>
          <w:tab w:val="left" w:pos="426"/>
        </w:tabs>
        <w:autoSpaceDE w:val="0"/>
        <w:autoSpaceDN w:val="0"/>
        <w:adjustRightInd w:val="0"/>
        <w:ind w:left="709" w:hanging="349"/>
        <w:jc w:val="both"/>
        <w:rPr>
          <w:sz w:val="28"/>
          <w:szCs w:val="28"/>
        </w:rPr>
      </w:pPr>
      <w:r w:rsidRPr="00274507">
        <w:rPr>
          <w:sz w:val="28"/>
          <w:szCs w:val="28"/>
        </w:rPr>
        <w:t xml:space="preserve">     En el análisis existe ausencia respecto al desarrollo del contenido del artículo 127 de la Ley 1438 de 2011, a través del cual se creó la Junta Técnica Científica de Pares, que para el caso en que se requiera servicios y/o medicamentos con urgencia es quién debe autorizarlos sin</w:t>
      </w:r>
      <w:r w:rsidR="003F62CF" w:rsidRPr="00274507">
        <w:rPr>
          <w:sz w:val="28"/>
          <w:szCs w:val="28"/>
        </w:rPr>
        <w:t xml:space="preserve"> previo concepto de los Comités.</w:t>
      </w:r>
      <w:r w:rsidRPr="00274507">
        <w:rPr>
          <w:sz w:val="28"/>
          <w:szCs w:val="28"/>
        </w:rPr>
        <w:t xml:space="preserve"> </w:t>
      </w:r>
    </w:p>
    <w:p w:rsidR="00CC08B9" w:rsidRPr="00274507" w:rsidRDefault="00CC08B9" w:rsidP="00274507">
      <w:pPr>
        <w:pStyle w:val="Prrafodelista"/>
        <w:widowControl w:val="0"/>
        <w:numPr>
          <w:ilvl w:val="0"/>
          <w:numId w:val="16"/>
        </w:numPr>
        <w:tabs>
          <w:tab w:val="left" w:pos="426"/>
        </w:tabs>
        <w:autoSpaceDE w:val="0"/>
        <w:autoSpaceDN w:val="0"/>
        <w:adjustRightInd w:val="0"/>
        <w:ind w:left="709" w:hanging="349"/>
        <w:jc w:val="both"/>
        <w:rPr>
          <w:sz w:val="28"/>
          <w:szCs w:val="28"/>
        </w:rPr>
      </w:pPr>
      <w:r w:rsidRPr="00274507">
        <w:rPr>
          <w:sz w:val="28"/>
          <w:szCs w:val="28"/>
        </w:rPr>
        <w:t xml:space="preserve">    Se debe trabajar con datos precisos y no con proyecciones para poder determinar el aumento o la disminución de las tutelas. </w:t>
      </w:r>
    </w:p>
    <w:p w:rsidR="00CC08B9" w:rsidRPr="00274507" w:rsidRDefault="00CC08B9" w:rsidP="00274507">
      <w:pPr>
        <w:pStyle w:val="Prrafodelista"/>
        <w:widowControl w:val="0"/>
        <w:numPr>
          <w:ilvl w:val="0"/>
          <w:numId w:val="16"/>
        </w:numPr>
        <w:tabs>
          <w:tab w:val="left" w:pos="426"/>
        </w:tabs>
        <w:autoSpaceDE w:val="0"/>
        <w:autoSpaceDN w:val="0"/>
        <w:adjustRightInd w:val="0"/>
        <w:ind w:left="709" w:hanging="349"/>
        <w:jc w:val="both"/>
        <w:rPr>
          <w:sz w:val="28"/>
          <w:szCs w:val="28"/>
        </w:rPr>
      </w:pPr>
      <w:r w:rsidRPr="00274507">
        <w:rPr>
          <w:sz w:val="28"/>
          <w:szCs w:val="28"/>
        </w:rPr>
        <w:t xml:space="preserve">    El periodo durante el cual se concluyó que existió una disminución de tutelas coincide con la entrada en vigencia del Acuerdo 28 de noviembre de 2011</w:t>
      </w:r>
      <w:r w:rsidR="00CB5CD2" w:rsidRPr="00274507">
        <w:rPr>
          <w:rStyle w:val="Refdenotaalpie"/>
          <w:sz w:val="28"/>
          <w:szCs w:val="28"/>
        </w:rPr>
        <w:footnoteReference w:id="160"/>
      </w:r>
      <w:r w:rsidR="00CB5CD2" w:rsidRPr="00274507">
        <w:rPr>
          <w:sz w:val="28"/>
          <w:szCs w:val="28"/>
        </w:rPr>
        <w:t xml:space="preserve"> de la Comisión de Regulación en Salud</w:t>
      </w:r>
      <w:r w:rsidR="00CB5CD2" w:rsidRPr="00274507">
        <w:rPr>
          <w:rStyle w:val="Refdenotaalpie"/>
          <w:sz w:val="28"/>
          <w:szCs w:val="28"/>
        </w:rPr>
        <w:footnoteReference w:id="161"/>
      </w:r>
      <w:r w:rsidR="00CB5CD2" w:rsidRPr="00274507">
        <w:rPr>
          <w:sz w:val="28"/>
          <w:szCs w:val="28"/>
        </w:rPr>
        <w:t>,</w:t>
      </w:r>
      <w:r w:rsidRPr="00274507">
        <w:rPr>
          <w:sz w:val="28"/>
          <w:szCs w:val="28"/>
        </w:rPr>
        <w:t xml:space="preserve"> empero, no existe metodología que realizara seguimiento de las tecnologías en salud, previo a la expedición de dicha norma.</w:t>
      </w:r>
    </w:p>
    <w:p w:rsidR="00CC08B9" w:rsidRPr="00274507" w:rsidRDefault="00CC08B9" w:rsidP="00274507">
      <w:pPr>
        <w:pStyle w:val="Prrafodelista"/>
        <w:widowControl w:val="0"/>
        <w:numPr>
          <w:ilvl w:val="0"/>
          <w:numId w:val="16"/>
        </w:numPr>
        <w:tabs>
          <w:tab w:val="left" w:pos="426"/>
        </w:tabs>
        <w:autoSpaceDE w:val="0"/>
        <w:autoSpaceDN w:val="0"/>
        <w:adjustRightInd w:val="0"/>
        <w:jc w:val="both"/>
        <w:rPr>
          <w:sz w:val="28"/>
          <w:szCs w:val="28"/>
        </w:rPr>
      </w:pPr>
      <w:r w:rsidRPr="00274507">
        <w:rPr>
          <w:sz w:val="28"/>
          <w:szCs w:val="28"/>
        </w:rPr>
        <w:t xml:space="preserve">    No se puede inferir si las acciones incoadas para la protección del derecho a la salud desde el 2012 a la fecha, han disminuido o aumentado. </w:t>
      </w:r>
    </w:p>
    <w:p w:rsidR="00CC08B9" w:rsidRPr="00274507" w:rsidRDefault="00CC08B9" w:rsidP="00274507">
      <w:pPr>
        <w:widowControl w:val="0"/>
        <w:tabs>
          <w:tab w:val="left" w:pos="426"/>
        </w:tabs>
        <w:autoSpaceDE w:val="0"/>
        <w:autoSpaceDN w:val="0"/>
        <w:adjustRightInd w:val="0"/>
        <w:jc w:val="both"/>
        <w:rPr>
          <w:sz w:val="28"/>
          <w:szCs w:val="28"/>
        </w:rPr>
      </w:pPr>
    </w:p>
    <w:p w:rsidR="00FA168C" w:rsidRPr="00274507" w:rsidRDefault="00076B1E" w:rsidP="00274507">
      <w:pPr>
        <w:pStyle w:val="Prrafodelista"/>
        <w:widowControl w:val="0"/>
        <w:tabs>
          <w:tab w:val="left" w:pos="567"/>
        </w:tabs>
        <w:autoSpaceDE w:val="0"/>
        <w:autoSpaceDN w:val="0"/>
        <w:adjustRightInd w:val="0"/>
        <w:ind w:left="0"/>
        <w:jc w:val="both"/>
        <w:rPr>
          <w:sz w:val="28"/>
          <w:szCs w:val="28"/>
        </w:rPr>
      </w:pPr>
      <w:r w:rsidRPr="00274507">
        <w:rPr>
          <w:sz w:val="28"/>
          <w:szCs w:val="28"/>
        </w:rPr>
        <w:t>Ahora bien, en el informe presentado esta Sala evidenci</w:t>
      </w:r>
      <w:r w:rsidR="00E74D87" w:rsidRPr="00274507">
        <w:rPr>
          <w:sz w:val="28"/>
          <w:szCs w:val="28"/>
        </w:rPr>
        <w:t xml:space="preserve">ó que en </w:t>
      </w:r>
      <w:r w:rsidR="00FA168C" w:rsidRPr="00274507">
        <w:rPr>
          <w:sz w:val="28"/>
          <w:szCs w:val="28"/>
        </w:rPr>
        <w:t>el desarrollo del concepto de “equidad”</w:t>
      </w:r>
      <w:r w:rsidR="00CF0B98" w:rsidRPr="00274507">
        <w:rPr>
          <w:rStyle w:val="Refdenotaalpie"/>
          <w:sz w:val="28"/>
          <w:szCs w:val="28"/>
        </w:rPr>
        <w:footnoteReference w:id="162"/>
      </w:r>
      <w:r w:rsidR="00CF0B98" w:rsidRPr="00274507">
        <w:rPr>
          <w:sz w:val="28"/>
          <w:szCs w:val="28"/>
        </w:rPr>
        <w:t xml:space="preserve">, </w:t>
      </w:r>
      <w:r w:rsidR="00FA168C" w:rsidRPr="00274507">
        <w:rPr>
          <w:sz w:val="28"/>
          <w:szCs w:val="28"/>
        </w:rPr>
        <w:t xml:space="preserve">el Ministerio de Salud </w:t>
      </w:r>
      <w:r w:rsidR="00CF0B98" w:rsidRPr="00274507">
        <w:rPr>
          <w:sz w:val="28"/>
          <w:szCs w:val="28"/>
        </w:rPr>
        <w:t xml:space="preserve">pretendía identificar las características económicas y sociales de los sujetos (solo </w:t>
      </w:r>
      <w:r w:rsidR="00A83D93" w:rsidRPr="00274507">
        <w:rPr>
          <w:sz w:val="28"/>
          <w:szCs w:val="28"/>
        </w:rPr>
        <w:t xml:space="preserve">de </w:t>
      </w:r>
      <w:r w:rsidR="00CF0B98" w:rsidRPr="00274507">
        <w:rPr>
          <w:sz w:val="28"/>
          <w:szCs w:val="28"/>
        </w:rPr>
        <w:t xml:space="preserve">662) </w:t>
      </w:r>
      <w:r w:rsidR="003F62CF" w:rsidRPr="00274507">
        <w:rPr>
          <w:sz w:val="28"/>
          <w:szCs w:val="28"/>
        </w:rPr>
        <w:t>participantes de</w:t>
      </w:r>
      <w:r w:rsidR="00CB5CD2" w:rsidRPr="00274507">
        <w:rPr>
          <w:sz w:val="28"/>
          <w:szCs w:val="28"/>
        </w:rPr>
        <w:t xml:space="preserve"> la muestra. A</w:t>
      </w:r>
      <w:r w:rsidR="00CF0B98" w:rsidRPr="00274507">
        <w:rPr>
          <w:sz w:val="28"/>
          <w:szCs w:val="28"/>
        </w:rPr>
        <w:t>sí, la clasificó en</w:t>
      </w:r>
      <w:r w:rsidR="00FA168C" w:rsidRPr="00274507">
        <w:rPr>
          <w:sz w:val="28"/>
          <w:szCs w:val="28"/>
        </w:rPr>
        <w:t xml:space="preserve"> quintiles de acue</w:t>
      </w:r>
      <w:r w:rsidR="00CF0B98" w:rsidRPr="00274507">
        <w:rPr>
          <w:sz w:val="28"/>
          <w:szCs w:val="28"/>
        </w:rPr>
        <w:t>rdo con la base de cotización</w:t>
      </w:r>
      <w:r w:rsidR="00FA168C" w:rsidRPr="00274507">
        <w:rPr>
          <w:sz w:val="28"/>
          <w:szCs w:val="28"/>
        </w:rPr>
        <w:t xml:space="preserve"> </w:t>
      </w:r>
      <w:r w:rsidR="00CF0B98" w:rsidRPr="00274507">
        <w:rPr>
          <w:sz w:val="28"/>
          <w:szCs w:val="28"/>
        </w:rPr>
        <w:t>y manifestó que el 32%  hacía</w:t>
      </w:r>
      <w:r w:rsidR="00FA168C" w:rsidRPr="00274507">
        <w:rPr>
          <w:sz w:val="28"/>
          <w:szCs w:val="28"/>
        </w:rPr>
        <w:t>n parte de los quintiles 1º y 2º, es decir</w:t>
      </w:r>
      <w:r w:rsidR="00CF0B98" w:rsidRPr="00274507">
        <w:rPr>
          <w:sz w:val="28"/>
          <w:szCs w:val="28"/>
        </w:rPr>
        <w:t>,</w:t>
      </w:r>
      <w:r w:rsidR="00FA168C" w:rsidRPr="00274507">
        <w:rPr>
          <w:sz w:val="28"/>
          <w:szCs w:val="28"/>
        </w:rPr>
        <w:t xml:space="preserve"> que las personas que pertenec</w:t>
      </w:r>
      <w:r w:rsidR="00CF0B98" w:rsidRPr="00274507">
        <w:rPr>
          <w:sz w:val="28"/>
          <w:szCs w:val="28"/>
        </w:rPr>
        <w:t>ía</w:t>
      </w:r>
      <w:r w:rsidR="00FA168C" w:rsidRPr="00274507">
        <w:rPr>
          <w:sz w:val="28"/>
          <w:szCs w:val="28"/>
        </w:rPr>
        <w:t>n al régimen contributivo</w:t>
      </w:r>
      <w:r w:rsidR="00CF0B98" w:rsidRPr="00274507">
        <w:rPr>
          <w:sz w:val="28"/>
          <w:szCs w:val="28"/>
        </w:rPr>
        <w:t xml:space="preserve"> eran las que p</w:t>
      </w:r>
      <w:r w:rsidR="003F62CF" w:rsidRPr="00274507">
        <w:rPr>
          <w:sz w:val="28"/>
          <w:szCs w:val="28"/>
        </w:rPr>
        <w:t xml:space="preserve">resentaban el mayor número de </w:t>
      </w:r>
      <w:r w:rsidR="00CF0B98" w:rsidRPr="00274507">
        <w:rPr>
          <w:sz w:val="28"/>
          <w:szCs w:val="28"/>
        </w:rPr>
        <w:t>acciones</w:t>
      </w:r>
      <w:r w:rsidR="00FA168C" w:rsidRPr="00274507">
        <w:rPr>
          <w:sz w:val="28"/>
          <w:szCs w:val="28"/>
        </w:rPr>
        <w:t>.</w:t>
      </w:r>
      <w:r w:rsidR="00324341" w:rsidRPr="00274507">
        <w:rPr>
          <w:sz w:val="28"/>
          <w:szCs w:val="28"/>
        </w:rPr>
        <w:t xml:space="preserve"> </w:t>
      </w:r>
      <w:r w:rsidR="00CF0B98" w:rsidRPr="00274507">
        <w:rPr>
          <w:sz w:val="28"/>
          <w:szCs w:val="28"/>
        </w:rPr>
        <w:t>Lo anterior, l</w:t>
      </w:r>
      <w:r w:rsidR="00FA168C" w:rsidRPr="00274507">
        <w:rPr>
          <w:sz w:val="28"/>
          <w:szCs w:val="28"/>
        </w:rPr>
        <w:t>lama la atención</w:t>
      </w:r>
      <w:r w:rsidR="00CF0B98" w:rsidRPr="00274507">
        <w:rPr>
          <w:sz w:val="28"/>
          <w:szCs w:val="28"/>
        </w:rPr>
        <w:t xml:space="preserve"> a este Tribunal,</w:t>
      </w:r>
      <w:r w:rsidR="00FA168C" w:rsidRPr="00274507">
        <w:rPr>
          <w:sz w:val="28"/>
          <w:szCs w:val="28"/>
        </w:rPr>
        <w:t xml:space="preserve"> </w:t>
      </w:r>
      <w:r w:rsidR="00CB5CD2" w:rsidRPr="00274507">
        <w:rPr>
          <w:sz w:val="28"/>
          <w:szCs w:val="28"/>
        </w:rPr>
        <w:t>ya que</w:t>
      </w:r>
      <w:r w:rsidR="00CF0B98" w:rsidRPr="00274507">
        <w:rPr>
          <w:sz w:val="28"/>
          <w:szCs w:val="28"/>
        </w:rPr>
        <w:t xml:space="preserve">, en principio </w:t>
      </w:r>
      <w:r w:rsidR="00FA168C" w:rsidRPr="00274507">
        <w:rPr>
          <w:sz w:val="28"/>
          <w:szCs w:val="28"/>
        </w:rPr>
        <w:t xml:space="preserve">la muestra obtenida fue de 1.060 acciones lo que quiere decir que sobre la totalidad de esta debió realizarse el análisis, de lo contrario no podría </w:t>
      </w:r>
      <w:r w:rsidR="00CF0B98" w:rsidRPr="00274507">
        <w:rPr>
          <w:sz w:val="28"/>
          <w:szCs w:val="28"/>
        </w:rPr>
        <w:t xml:space="preserve">haber generalizado dicha tendencia </w:t>
      </w:r>
      <w:r w:rsidR="003F62CF" w:rsidRPr="00274507">
        <w:rPr>
          <w:sz w:val="28"/>
          <w:szCs w:val="28"/>
        </w:rPr>
        <w:t>como muestra representativa</w:t>
      </w:r>
      <w:r w:rsidR="00CF0B98" w:rsidRPr="00274507">
        <w:rPr>
          <w:sz w:val="28"/>
          <w:szCs w:val="28"/>
        </w:rPr>
        <w:t xml:space="preserve">, ya que </w:t>
      </w:r>
      <w:r w:rsidR="00FA168C" w:rsidRPr="00274507">
        <w:rPr>
          <w:sz w:val="28"/>
          <w:szCs w:val="28"/>
        </w:rPr>
        <w:t>alteraría los resultados</w:t>
      </w:r>
      <w:r w:rsidR="00CF0B98" w:rsidRPr="00274507">
        <w:rPr>
          <w:sz w:val="28"/>
          <w:szCs w:val="28"/>
        </w:rPr>
        <w:t xml:space="preserve"> y l</w:t>
      </w:r>
      <w:r w:rsidR="004B7BBA" w:rsidRPr="00274507">
        <w:rPr>
          <w:sz w:val="28"/>
          <w:szCs w:val="28"/>
        </w:rPr>
        <w:t>os mismos, se tornarían</w:t>
      </w:r>
      <w:r w:rsidR="00CF0B98" w:rsidRPr="00274507">
        <w:rPr>
          <w:sz w:val="28"/>
          <w:szCs w:val="28"/>
        </w:rPr>
        <w:t xml:space="preserve"> imprecisos</w:t>
      </w:r>
      <w:r w:rsidR="00FA168C" w:rsidRPr="00274507">
        <w:rPr>
          <w:sz w:val="28"/>
          <w:szCs w:val="28"/>
        </w:rPr>
        <w:t>.</w:t>
      </w:r>
    </w:p>
    <w:p w:rsidR="00324341" w:rsidRPr="00274507" w:rsidRDefault="00324341" w:rsidP="00274507">
      <w:pPr>
        <w:pStyle w:val="Prrafodelista"/>
        <w:widowControl w:val="0"/>
        <w:tabs>
          <w:tab w:val="left" w:pos="567"/>
        </w:tabs>
        <w:autoSpaceDE w:val="0"/>
        <w:autoSpaceDN w:val="0"/>
        <w:adjustRightInd w:val="0"/>
        <w:ind w:left="0"/>
        <w:jc w:val="both"/>
        <w:rPr>
          <w:sz w:val="28"/>
          <w:szCs w:val="28"/>
        </w:rPr>
      </w:pPr>
    </w:p>
    <w:p w:rsidR="00324341" w:rsidRPr="00274507" w:rsidRDefault="00324341" w:rsidP="00274507">
      <w:pPr>
        <w:pStyle w:val="Prrafodelista"/>
        <w:widowControl w:val="0"/>
        <w:tabs>
          <w:tab w:val="left" w:pos="567"/>
        </w:tabs>
        <w:autoSpaceDE w:val="0"/>
        <w:autoSpaceDN w:val="0"/>
        <w:adjustRightInd w:val="0"/>
        <w:ind w:left="0"/>
        <w:jc w:val="both"/>
        <w:rPr>
          <w:sz w:val="28"/>
          <w:szCs w:val="28"/>
        </w:rPr>
      </w:pPr>
      <w:r w:rsidRPr="00274507">
        <w:rPr>
          <w:sz w:val="28"/>
          <w:szCs w:val="28"/>
        </w:rPr>
        <w:t>Lo anterior, fue advertido por</w:t>
      </w:r>
      <w:r w:rsidR="00CB5CD2" w:rsidRPr="00274507">
        <w:rPr>
          <w:sz w:val="28"/>
          <w:szCs w:val="28"/>
        </w:rPr>
        <w:t xml:space="preserve"> la </w:t>
      </w:r>
      <w:r w:rsidRPr="00274507">
        <w:rPr>
          <w:sz w:val="28"/>
          <w:szCs w:val="28"/>
        </w:rPr>
        <w:t>CSR y Fedesalud</w:t>
      </w:r>
      <w:r w:rsidRPr="00274507">
        <w:rPr>
          <w:rStyle w:val="Refdenotaalpie"/>
          <w:sz w:val="28"/>
          <w:szCs w:val="28"/>
        </w:rPr>
        <w:footnoteReference w:id="163"/>
      </w:r>
      <w:r w:rsidR="003F62CF" w:rsidRPr="00274507">
        <w:rPr>
          <w:sz w:val="28"/>
          <w:szCs w:val="28"/>
        </w:rPr>
        <w:t xml:space="preserve">, que </w:t>
      </w:r>
      <w:r w:rsidRPr="00274507">
        <w:rPr>
          <w:sz w:val="28"/>
          <w:szCs w:val="28"/>
        </w:rPr>
        <w:t xml:space="preserve">recomendaron efectuar una técnica que permitiera diligenciar la información de otra forma </w:t>
      </w:r>
      <w:r w:rsidR="003F62CF" w:rsidRPr="00274507">
        <w:rPr>
          <w:sz w:val="28"/>
          <w:szCs w:val="28"/>
        </w:rPr>
        <w:t>y así</w:t>
      </w:r>
      <w:r w:rsidRPr="00274507">
        <w:rPr>
          <w:sz w:val="28"/>
          <w:szCs w:val="28"/>
        </w:rPr>
        <w:t xml:space="preserve"> obtener los resultados en la totalidad de la muestra y no de una parte.</w:t>
      </w:r>
    </w:p>
    <w:p w:rsidR="00324341" w:rsidRPr="00274507" w:rsidRDefault="00324341" w:rsidP="00274507">
      <w:pPr>
        <w:pStyle w:val="Prrafodelista"/>
        <w:widowControl w:val="0"/>
        <w:tabs>
          <w:tab w:val="left" w:pos="567"/>
        </w:tabs>
        <w:autoSpaceDE w:val="0"/>
        <w:autoSpaceDN w:val="0"/>
        <w:adjustRightInd w:val="0"/>
        <w:ind w:left="0"/>
        <w:jc w:val="both"/>
        <w:rPr>
          <w:sz w:val="28"/>
          <w:szCs w:val="28"/>
        </w:rPr>
      </w:pPr>
    </w:p>
    <w:p w:rsidR="00324341" w:rsidRPr="00274507" w:rsidRDefault="00324341" w:rsidP="00274507">
      <w:pPr>
        <w:pStyle w:val="Prrafodelista"/>
        <w:widowControl w:val="0"/>
        <w:tabs>
          <w:tab w:val="left" w:pos="567"/>
        </w:tabs>
        <w:autoSpaceDE w:val="0"/>
        <w:autoSpaceDN w:val="0"/>
        <w:adjustRightInd w:val="0"/>
        <w:ind w:left="0"/>
        <w:jc w:val="both"/>
        <w:rPr>
          <w:sz w:val="28"/>
          <w:szCs w:val="28"/>
        </w:rPr>
      </w:pPr>
      <w:r w:rsidRPr="00274507">
        <w:rPr>
          <w:sz w:val="28"/>
          <w:szCs w:val="28"/>
        </w:rPr>
        <w:t xml:space="preserve">En ese sentido, este Tribunal advierte, que </w:t>
      </w:r>
      <w:r w:rsidR="00D10002" w:rsidRPr="00274507">
        <w:rPr>
          <w:sz w:val="28"/>
          <w:szCs w:val="28"/>
        </w:rPr>
        <w:t xml:space="preserve">sí lo que pretendía era generalizar los resultados, debió </w:t>
      </w:r>
      <w:r w:rsidR="00CB5CD2" w:rsidRPr="00274507">
        <w:rPr>
          <w:sz w:val="28"/>
          <w:szCs w:val="28"/>
        </w:rPr>
        <w:t xml:space="preserve">estudiar </w:t>
      </w:r>
      <w:r w:rsidR="00D10002" w:rsidRPr="00274507">
        <w:rPr>
          <w:sz w:val="28"/>
          <w:szCs w:val="28"/>
        </w:rPr>
        <w:t xml:space="preserve">esa </w:t>
      </w:r>
      <w:r w:rsidRPr="00274507">
        <w:rPr>
          <w:sz w:val="28"/>
          <w:szCs w:val="28"/>
        </w:rPr>
        <w:t xml:space="preserve">variable del ingreso base de liquidación </w:t>
      </w:r>
      <w:r w:rsidR="00D10002" w:rsidRPr="00274507">
        <w:rPr>
          <w:sz w:val="28"/>
          <w:szCs w:val="28"/>
        </w:rPr>
        <w:t xml:space="preserve"> en </w:t>
      </w:r>
      <w:r w:rsidR="00FA168C" w:rsidRPr="00274507">
        <w:rPr>
          <w:sz w:val="28"/>
          <w:szCs w:val="28"/>
        </w:rPr>
        <w:t>cada</w:t>
      </w:r>
      <w:r w:rsidR="00D10002" w:rsidRPr="00274507">
        <w:rPr>
          <w:sz w:val="28"/>
          <w:szCs w:val="28"/>
        </w:rPr>
        <w:t xml:space="preserve"> uno de los accionantes</w:t>
      </w:r>
      <w:r w:rsidR="00D731F0" w:rsidRPr="00274507">
        <w:rPr>
          <w:sz w:val="28"/>
          <w:szCs w:val="28"/>
        </w:rPr>
        <w:t xml:space="preserve"> y no de forma parcial</w:t>
      </w:r>
      <w:r w:rsidR="00D10002" w:rsidRPr="00274507">
        <w:rPr>
          <w:sz w:val="28"/>
          <w:szCs w:val="28"/>
        </w:rPr>
        <w:t xml:space="preserve"> y no como lo manifestó </w:t>
      </w:r>
      <w:r w:rsidR="002D5842" w:rsidRPr="00274507">
        <w:rPr>
          <w:sz w:val="28"/>
          <w:szCs w:val="28"/>
        </w:rPr>
        <w:t xml:space="preserve">el Ministerio </w:t>
      </w:r>
      <w:r w:rsidR="00326851" w:rsidRPr="00274507">
        <w:rPr>
          <w:sz w:val="28"/>
          <w:szCs w:val="28"/>
        </w:rPr>
        <w:t xml:space="preserve">de Salud </w:t>
      </w:r>
      <w:r w:rsidR="002D5842" w:rsidRPr="00274507">
        <w:rPr>
          <w:sz w:val="28"/>
          <w:szCs w:val="28"/>
        </w:rPr>
        <w:t xml:space="preserve">que </w:t>
      </w:r>
      <w:r w:rsidR="00D10002" w:rsidRPr="00274507">
        <w:rPr>
          <w:sz w:val="28"/>
          <w:szCs w:val="28"/>
        </w:rPr>
        <w:t xml:space="preserve"> es </w:t>
      </w:r>
      <w:r w:rsidR="00FA168C" w:rsidRPr="00274507">
        <w:rPr>
          <w:sz w:val="28"/>
          <w:szCs w:val="28"/>
        </w:rPr>
        <w:t>“…</w:t>
      </w:r>
      <w:r w:rsidR="00FA168C" w:rsidRPr="00274507">
        <w:rPr>
          <w:i/>
          <w:sz w:val="28"/>
          <w:szCs w:val="28"/>
        </w:rPr>
        <w:t>un tema que amerita investigaciones más profundas</w:t>
      </w:r>
      <w:r w:rsidR="00FA168C" w:rsidRPr="00274507">
        <w:rPr>
          <w:sz w:val="28"/>
          <w:szCs w:val="28"/>
        </w:rPr>
        <w:t>…”</w:t>
      </w:r>
      <w:r w:rsidR="00D10002" w:rsidRPr="00274507">
        <w:rPr>
          <w:sz w:val="28"/>
          <w:szCs w:val="28"/>
        </w:rPr>
        <w:t xml:space="preserve">, con lo que </w:t>
      </w:r>
      <w:r w:rsidR="00D731F0" w:rsidRPr="00274507">
        <w:rPr>
          <w:sz w:val="28"/>
          <w:szCs w:val="28"/>
        </w:rPr>
        <w:t xml:space="preserve">demostró </w:t>
      </w:r>
      <w:r w:rsidRPr="00274507">
        <w:rPr>
          <w:sz w:val="28"/>
          <w:szCs w:val="28"/>
        </w:rPr>
        <w:t>q</w:t>
      </w:r>
      <w:r w:rsidR="00D731F0" w:rsidRPr="00274507">
        <w:rPr>
          <w:sz w:val="28"/>
          <w:szCs w:val="28"/>
        </w:rPr>
        <w:t xml:space="preserve">ue la </w:t>
      </w:r>
      <w:r w:rsidR="00D10002" w:rsidRPr="00274507">
        <w:rPr>
          <w:sz w:val="28"/>
          <w:szCs w:val="28"/>
        </w:rPr>
        <w:t xml:space="preserve">información relacionada con dicho aspecto no fue </w:t>
      </w:r>
      <w:r w:rsidR="00D731F0" w:rsidRPr="00274507">
        <w:rPr>
          <w:sz w:val="28"/>
          <w:szCs w:val="28"/>
        </w:rPr>
        <w:t>clara, específica y útil</w:t>
      </w:r>
      <w:r w:rsidR="00D10002" w:rsidRPr="00274507">
        <w:rPr>
          <w:sz w:val="28"/>
          <w:szCs w:val="28"/>
        </w:rPr>
        <w:t>, en la medición de las acciones de tutela</w:t>
      </w:r>
      <w:r w:rsidR="00FA168C" w:rsidRPr="00274507">
        <w:rPr>
          <w:sz w:val="28"/>
          <w:szCs w:val="28"/>
        </w:rPr>
        <w:t xml:space="preserve">. </w:t>
      </w:r>
    </w:p>
    <w:p w:rsidR="00324341" w:rsidRPr="00274507" w:rsidRDefault="00324341" w:rsidP="00274507">
      <w:pPr>
        <w:pStyle w:val="Prrafodelista"/>
        <w:widowControl w:val="0"/>
        <w:tabs>
          <w:tab w:val="left" w:pos="567"/>
        </w:tabs>
        <w:autoSpaceDE w:val="0"/>
        <w:autoSpaceDN w:val="0"/>
        <w:adjustRightInd w:val="0"/>
        <w:ind w:left="0"/>
        <w:jc w:val="both"/>
        <w:rPr>
          <w:sz w:val="28"/>
          <w:szCs w:val="28"/>
        </w:rPr>
      </w:pPr>
    </w:p>
    <w:p w:rsidR="00FA168C" w:rsidRPr="00274507" w:rsidRDefault="00E74D87" w:rsidP="00274507">
      <w:pPr>
        <w:jc w:val="both"/>
        <w:rPr>
          <w:sz w:val="28"/>
          <w:szCs w:val="28"/>
        </w:rPr>
      </w:pPr>
      <w:r w:rsidRPr="00274507">
        <w:rPr>
          <w:sz w:val="28"/>
          <w:szCs w:val="28"/>
        </w:rPr>
        <w:t>Por otra parte, e</w:t>
      </w:r>
      <w:r w:rsidR="00D731F0" w:rsidRPr="00274507">
        <w:rPr>
          <w:sz w:val="28"/>
          <w:szCs w:val="28"/>
        </w:rPr>
        <w:t>n el título del desarr</w:t>
      </w:r>
      <w:r w:rsidR="00FA168C" w:rsidRPr="00274507">
        <w:rPr>
          <w:sz w:val="28"/>
          <w:szCs w:val="28"/>
        </w:rPr>
        <w:t>ollo de los problemas generales</w:t>
      </w:r>
      <w:r w:rsidR="00D731F0" w:rsidRPr="00274507">
        <w:rPr>
          <w:sz w:val="28"/>
          <w:szCs w:val="28"/>
        </w:rPr>
        <w:t>,</w:t>
      </w:r>
      <w:r w:rsidR="002D5842" w:rsidRPr="00274507">
        <w:rPr>
          <w:sz w:val="28"/>
          <w:szCs w:val="28"/>
        </w:rPr>
        <w:t xml:space="preserve"> </w:t>
      </w:r>
      <w:r w:rsidR="004C3F0E" w:rsidRPr="00274507">
        <w:rPr>
          <w:sz w:val="28"/>
          <w:szCs w:val="28"/>
        </w:rPr>
        <w:t xml:space="preserve">dicho ministerio </w:t>
      </w:r>
      <w:r w:rsidR="00D731F0" w:rsidRPr="00274507">
        <w:rPr>
          <w:sz w:val="28"/>
          <w:szCs w:val="28"/>
        </w:rPr>
        <w:t>precisó que los servicios más</w:t>
      </w:r>
      <w:r w:rsidR="00FA168C" w:rsidRPr="00274507">
        <w:rPr>
          <w:sz w:val="28"/>
          <w:szCs w:val="28"/>
        </w:rPr>
        <w:t xml:space="preserve"> demandados para el 2012, </w:t>
      </w:r>
      <w:r w:rsidR="00D731F0" w:rsidRPr="00274507">
        <w:rPr>
          <w:sz w:val="28"/>
          <w:szCs w:val="28"/>
        </w:rPr>
        <w:t xml:space="preserve">fueron por </w:t>
      </w:r>
      <w:r w:rsidR="00FA168C" w:rsidRPr="00274507">
        <w:rPr>
          <w:sz w:val="28"/>
          <w:szCs w:val="28"/>
        </w:rPr>
        <w:t>tratamiento integral</w:t>
      </w:r>
      <w:r w:rsidR="002D5842" w:rsidRPr="00274507">
        <w:rPr>
          <w:sz w:val="28"/>
          <w:szCs w:val="28"/>
        </w:rPr>
        <w:t>,</w:t>
      </w:r>
      <w:r w:rsidR="00D731F0" w:rsidRPr="00274507">
        <w:rPr>
          <w:sz w:val="28"/>
          <w:szCs w:val="28"/>
        </w:rPr>
        <w:t xml:space="preserve"> que</w:t>
      </w:r>
      <w:r w:rsidR="00FA168C" w:rsidRPr="00274507">
        <w:rPr>
          <w:sz w:val="28"/>
          <w:szCs w:val="28"/>
        </w:rPr>
        <w:t xml:space="preserve"> alc</w:t>
      </w:r>
      <w:r w:rsidR="00D731F0" w:rsidRPr="00274507">
        <w:rPr>
          <w:sz w:val="28"/>
          <w:szCs w:val="28"/>
        </w:rPr>
        <w:t>anzó una representación del 51%</w:t>
      </w:r>
      <w:r w:rsidR="002D5842" w:rsidRPr="00274507">
        <w:rPr>
          <w:sz w:val="28"/>
          <w:szCs w:val="28"/>
        </w:rPr>
        <w:t xml:space="preserve"> de la totalidad</w:t>
      </w:r>
      <w:r w:rsidR="00326851" w:rsidRPr="00274507">
        <w:rPr>
          <w:sz w:val="28"/>
          <w:szCs w:val="28"/>
        </w:rPr>
        <w:t>. S</w:t>
      </w:r>
      <w:r w:rsidR="00D731F0" w:rsidRPr="00274507">
        <w:rPr>
          <w:sz w:val="28"/>
          <w:szCs w:val="28"/>
        </w:rPr>
        <w:t xml:space="preserve">in embargo, </w:t>
      </w:r>
      <w:r w:rsidR="00FA168C" w:rsidRPr="00274507">
        <w:rPr>
          <w:sz w:val="28"/>
          <w:szCs w:val="28"/>
        </w:rPr>
        <w:t xml:space="preserve">la anterior afirmación </w:t>
      </w:r>
      <w:r w:rsidR="00326851" w:rsidRPr="00274507">
        <w:rPr>
          <w:sz w:val="28"/>
          <w:szCs w:val="28"/>
        </w:rPr>
        <w:t>no tiene fundamen</w:t>
      </w:r>
      <w:r w:rsidR="00D731F0" w:rsidRPr="00274507">
        <w:rPr>
          <w:sz w:val="28"/>
          <w:szCs w:val="28"/>
        </w:rPr>
        <w:t>to alguno. Así, este Tribunal advierte</w:t>
      </w:r>
      <w:r w:rsidR="002D5842" w:rsidRPr="00274507">
        <w:rPr>
          <w:sz w:val="28"/>
          <w:szCs w:val="28"/>
        </w:rPr>
        <w:t xml:space="preserve"> que no se realizó </w:t>
      </w:r>
      <w:r w:rsidR="004B7EDF" w:rsidRPr="00274507">
        <w:rPr>
          <w:sz w:val="28"/>
          <w:szCs w:val="28"/>
        </w:rPr>
        <w:t>una descripción específica de dicho servicio,</w:t>
      </w:r>
      <w:r w:rsidR="002D5842" w:rsidRPr="00274507">
        <w:rPr>
          <w:sz w:val="28"/>
          <w:szCs w:val="28"/>
        </w:rPr>
        <w:t xml:space="preserve"> lo cual es un resultado que carece de confiabilidad. Además se resalta que </w:t>
      </w:r>
      <w:r w:rsidRPr="00274507">
        <w:rPr>
          <w:sz w:val="28"/>
          <w:szCs w:val="28"/>
        </w:rPr>
        <w:t>l</w:t>
      </w:r>
      <w:r w:rsidR="00791F66" w:rsidRPr="00274507">
        <w:rPr>
          <w:sz w:val="28"/>
          <w:szCs w:val="28"/>
        </w:rPr>
        <w:t xml:space="preserve">a caracterización que realice el </w:t>
      </w:r>
      <w:r w:rsidR="004C3F0E" w:rsidRPr="00274507">
        <w:rPr>
          <w:sz w:val="28"/>
          <w:szCs w:val="28"/>
        </w:rPr>
        <w:t xml:space="preserve">órgano ministerial </w:t>
      </w:r>
      <w:r w:rsidR="00791F66" w:rsidRPr="00274507">
        <w:rPr>
          <w:sz w:val="28"/>
          <w:szCs w:val="28"/>
        </w:rPr>
        <w:t>a la</w:t>
      </w:r>
      <w:r w:rsidR="00326851" w:rsidRPr="00274507">
        <w:rPr>
          <w:sz w:val="28"/>
          <w:szCs w:val="28"/>
        </w:rPr>
        <w:t>s acciones de tutela analizadas</w:t>
      </w:r>
      <w:r w:rsidR="00791F66" w:rsidRPr="00274507">
        <w:rPr>
          <w:sz w:val="28"/>
          <w:szCs w:val="28"/>
        </w:rPr>
        <w:t xml:space="preserve"> deben ser concretas, ya que de tal condición </w:t>
      </w:r>
      <w:r w:rsidRPr="00274507">
        <w:rPr>
          <w:sz w:val="28"/>
          <w:szCs w:val="28"/>
        </w:rPr>
        <w:t>depende el obtener datos reales</w:t>
      </w:r>
      <w:r w:rsidR="002D5842" w:rsidRPr="00274507">
        <w:rPr>
          <w:sz w:val="28"/>
          <w:szCs w:val="28"/>
        </w:rPr>
        <w:t>.</w:t>
      </w:r>
      <w:r w:rsidRPr="00274507">
        <w:rPr>
          <w:sz w:val="28"/>
          <w:szCs w:val="28"/>
        </w:rPr>
        <w:t xml:space="preserve"> </w:t>
      </w:r>
      <w:r w:rsidR="00FA168C" w:rsidRPr="00274507">
        <w:rPr>
          <w:sz w:val="28"/>
          <w:szCs w:val="28"/>
        </w:rPr>
        <w:t xml:space="preserve"> </w:t>
      </w:r>
    </w:p>
    <w:p w:rsidR="00E74D87" w:rsidRPr="00274507" w:rsidRDefault="00E74D87" w:rsidP="00274507">
      <w:pPr>
        <w:jc w:val="both"/>
        <w:rPr>
          <w:sz w:val="28"/>
          <w:szCs w:val="28"/>
        </w:rPr>
      </w:pPr>
    </w:p>
    <w:p w:rsidR="00E74D87" w:rsidRPr="00274507" w:rsidRDefault="002D5842" w:rsidP="00274507">
      <w:pPr>
        <w:jc w:val="both"/>
        <w:rPr>
          <w:sz w:val="28"/>
          <w:szCs w:val="28"/>
        </w:rPr>
      </w:pPr>
      <w:r w:rsidRPr="00274507">
        <w:rPr>
          <w:sz w:val="28"/>
          <w:szCs w:val="28"/>
        </w:rPr>
        <w:t>No obstante</w:t>
      </w:r>
      <w:r w:rsidR="00E74D87" w:rsidRPr="00274507">
        <w:rPr>
          <w:sz w:val="28"/>
          <w:szCs w:val="28"/>
        </w:rPr>
        <w:t xml:space="preserve">, </w:t>
      </w:r>
      <w:r w:rsidR="00FA168C" w:rsidRPr="00274507">
        <w:rPr>
          <w:sz w:val="28"/>
          <w:szCs w:val="28"/>
        </w:rPr>
        <w:t>esta Sala</w:t>
      </w:r>
      <w:r w:rsidRPr="00274507">
        <w:rPr>
          <w:sz w:val="28"/>
          <w:szCs w:val="28"/>
        </w:rPr>
        <w:t xml:space="preserve"> para</w:t>
      </w:r>
      <w:r w:rsidR="007801BF" w:rsidRPr="00274507">
        <w:rPr>
          <w:sz w:val="28"/>
          <w:szCs w:val="28"/>
        </w:rPr>
        <w:t xml:space="preserve"> el 5º informe se evidenció</w:t>
      </w:r>
      <w:r w:rsidR="001B307E" w:rsidRPr="00274507">
        <w:rPr>
          <w:sz w:val="28"/>
          <w:szCs w:val="28"/>
        </w:rPr>
        <w:t xml:space="preserve"> un avance considerable ya </w:t>
      </w:r>
      <w:r w:rsidR="00E74D87" w:rsidRPr="00274507">
        <w:rPr>
          <w:sz w:val="28"/>
          <w:szCs w:val="28"/>
        </w:rPr>
        <w:t xml:space="preserve">que el </w:t>
      </w:r>
      <w:r w:rsidR="001725B4" w:rsidRPr="00274507">
        <w:rPr>
          <w:sz w:val="28"/>
          <w:szCs w:val="28"/>
        </w:rPr>
        <w:t>dejó</w:t>
      </w:r>
      <w:r w:rsidR="00E74D87" w:rsidRPr="00274507">
        <w:rPr>
          <w:sz w:val="28"/>
          <w:szCs w:val="28"/>
        </w:rPr>
        <w:t xml:space="preserve"> de </w:t>
      </w:r>
      <w:r w:rsidR="001B307E" w:rsidRPr="00274507">
        <w:rPr>
          <w:sz w:val="28"/>
          <w:szCs w:val="28"/>
        </w:rPr>
        <w:t>lado los registros de los recobros</w:t>
      </w:r>
      <w:r w:rsidR="007801BF" w:rsidRPr="00274507">
        <w:rPr>
          <w:sz w:val="28"/>
          <w:szCs w:val="28"/>
        </w:rPr>
        <w:t xml:space="preserve"> como fuente de información y ahondó </w:t>
      </w:r>
      <w:r w:rsidR="001B307E" w:rsidRPr="00274507">
        <w:rPr>
          <w:sz w:val="28"/>
          <w:szCs w:val="28"/>
        </w:rPr>
        <w:t>en el estudio de los expedientes de tutelas que ob</w:t>
      </w:r>
      <w:r w:rsidR="007801BF" w:rsidRPr="00274507">
        <w:rPr>
          <w:sz w:val="28"/>
          <w:szCs w:val="28"/>
        </w:rPr>
        <w:t>raban</w:t>
      </w:r>
      <w:r w:rsidRPr="00274507">
        <w:rPr>
          <w:sz w:val="28"/>
          <w:szCs w:val="28"/>
        </w:rPr>
        <w:t xml:space="preserve"> en la Corte.</w:t>
      </w:r>
    </w:p>
    <w:p w:rsidR="000309F6" w:rsidRPr="00274507" w:rsidRDefault="000309F6" w:rsidP="00274507">
      <w:pPr>
        <w:jc w:val="both"/>
        <w:rPr>
          <w:b/>
          <w:sz w:val="28"/>
          <w:szCs w:val="28"/>
        </w:rPr>
      </w:pPr>
    </w:p>
    <w:p w:rsidR="001725B4" w:rsidRPr="00274507" w:rsidRDefault="000309F6" w:rsidP="00274507">
      <w:pPr>
        <w:jc w:val="both"/>
        <w:rPr>
          <w:sz w:val="28"/>
          <w:szCs w:val="28"/>
        </w:rPr>
      </w:pPr>
      <w:r w:rsidRPr="00274507">
        <w:rPr>
          <w:b/>
          <w:sz w:val="28"/>
          <w:szCs w:val="28"/>
        </w:rPr>
        <w:t xml:space="preserve">7.1.2.2. </w:t>
      </w:r>
      <w:r w:rsidR="00FF7824" w:rsidRPr="00274507">
        <w:rPr>
          <w:sz w:val="28"/>
          <w:szCs w:val="28"/>
        </w:rPr>
        <w:t>En el</w:t>
      </w:r>
      <w:r w:rsidR="00EF054D" w:rsidRPr="00274507">
        <w:rPr>
          <w:sz w:val="28"/>
          <w:szCs w:val="28"/>
        </w:rPr>
        <w:t xml:space="preserve"> 6°</w:t>
      </w:r>
      <w:r w:rsidR="00E74D87" w:rsidRPr="00274507">
        <w:rPr>
          <w:sz w:val="28"/>
          <w:szCs w:val="28"/>
        </w:rPr>
        <w:t xml:space="preserve"> informe,</w:t>
      </w:r>
      <w:r w:rsidR="00EF054D" w:rsidRPr="00274507">
        <w:rPr>
          <w:sz w:val="28"/>
          <w:szCs w:val="28"/>
        </w:rPr>
        <w:t xml:space="preserve"> </w:t>
      </w:r>
      <w:r w:rsidR="0040672B" w:rsidRPr="00274507">
        <w:rPr>
          <w:sz w:val="28"/>
          <w:szCs w:val="28"/>
        </w:rPr>
        <w:t xml:space="preserve">el Ministerio </w:t>
      </w:r>
      <w:r w:rsidR="00FF7824" w:rsidRPr="00274507">
        <w:rPr>
          <w:sz w:val="28"/>
          <w:szCs w:val="28"/>
        </w:rPr>
        <w:t>de Salud</w:t>
      </w:r>
      <w:r w:rsidR="002F7FA6" w:rsidRPr="00274507">
        <w:rPr>
          <w:sz w:val="28"/>
          <w:szCs w:val="28"/>
        </w:rPr>
        <w:t xml:space="preserve"> </w:t>
      </w:r>
      <w:r w:rsidR="002B6F7E" w:rsidRPr="00274507">
        <w:rPr>
          <w:sz w:val="28"/>
          <w:szCs w:val="28"/>
        </w:rPr>
        <w:t xml:space="preserve">presentó un análisis comparativo obtenido de estudios efectuados por la Universidad de los Andes, la Defensoría del Pueblo y otros datos propios, referenciando los resultados en un contexto general y detallado, dentro del cual </w:t>
      </w:r>
      <w:r w:rsidR="00E6757B" w:rsidRPr="00274507">
        <w:rPr>
          <w:sz w:val="28"/>
          <w:szCs w:val="28"/>
        </w:rPr>
        <w:t xml:space="preserve">manifestó </w:t>
      </w:r>
      <w:r w:rsidR="002F7FA6" w:rsidRPr="00274507">
        <w:rPr>
          <w:sz w:val="28"/>
          <w:szCs w:val="28"/>
        </w:rPr>
        <w:t>que “…</w:t>
      </w:r>
      <w:r w:rsidR="002F7FA6" w:rsidRPr="00274507">
        <w:rPr>
          <w:i/>
          <w:sz w:val="28"/>
          <w:szCs w:val="28"/>
        </w:rPr>
        <w:t xml:space="preserve">el desaceleramiento del crecimiento de la tutela es </w:t>
      </w:r>
      <w:r w:rsidR="001725B4" w:rsidRPr="00274507">
        <w:rPr>
          <w:i/>
          <w:sz w:val="28"/>
          <w:szCs w:val="28"/>
        </w:rPr>
        <w:t>aún</w:t>
      </w:r>
      <w:r w:rsidR="002F7FA6" w:rsidRPr="00274507">
        <w:rPr>
          <w:i/>
          <w:sz w:val="28"/>
          <w:szCs w:val="28"/>
        </w:rPr>
        <w:t xml:space="preserve"> menos acentuado si se usa como referente el número de afiliados al sistema y sí se compara con la situación que existía en el momento en que fue adoptada la sentencia T-760 de 20008. En efecto mientras en 2008, 36 de cada 10.000 afiliados acudía a los jueces para acceder a servicios, en 2013 esta cifra se redujo a 26.7 por cada 10.000…</w:t>
      </w:r>
      <w:r w:rsidR="002F7FA6" w:rsidRPr="00274507">
        <w:rPr>
          <w:sz w:val="28"/>
          <w:szCs w:val="28"/>
        </w:rPr>
        <w:t>”</w:t>
      </w:r>
      <w:r w:rsidR="0077733C" w:rsidRPr="00274507">
        <w:rPr>
          <w:sz w:val="28"/>
          <w:szCs w:val="28"/>
        </w:rPr>
        <w:t>.</w:t>
      </w:r>
      <w:r w:rsidR="001725B4" w:rsidRPr="00274507">
        <w:rPr>
          <w:sz w:val="28"/>
          <w:szCs w:val="28"/>
        </w:rPr>
        <w:t xml:space="preserve"> Sin embargo, advirtió que el derecho a la salud continúa siendo la causa recurrente del litigio y el único mecanismo para acceder a los servicios requeridos.</w:t>
      </w:r>
    </w:p>
    <w:p w:rsidR="001725B4" w:rsidRPr="00274507" w:rsidRDefault="001725B4" w:rsidP="00274507">
      <w:pPr>
        <w:jc w:val="both"/>
        <w:rPr>
          <w:sz w:val="28"/>
          <w:szCs w:val="28"/>
        </w:rPr>
      </w:pPr>
    </w:p>
    <w:p w:rsidR="0077733C" w:rsidRPr="00274507" w:rsidRDefault="00E029C1" w:rsidP="00274507">
      <w:pPr>
        <w:jc w:val="both"/>
        <w:rPr>
          <w:sz w:val="28"/>
          <w:szCs w:val="28"/>
        </w:rPr>
      </w:pPr>
      <w:r w:rsidRPr="00274507">
        <w:rPr>
          <w:sz w:val="28"/>
          <w:szCs w:val="28"/>
        </w:rPr>
        <w:t>De igual manera,</w:t>
      </w:r>
      <w:r w:rsidR="00E6757B" w:rsidRPr="00274507">
        <w:rPr>
          <w:sz w:val="28"/>
          <w:szCs w:val="28"/>
        </w:rPr>
        <w:t xml:space="preserve"> advirtió</w:t>
      </w:r>
      <w:r w:rsidR="001725B4" w:rsidRPr="00274507">
        <w:rPr>
          <w:sz w:val="28"/>
          <w:szCs w:val="28"/>
        </w:rPr>
        <w:t xml:space="preserve"> la evolución de las tutelas por</w:t>
      </w:r>
      <w:r w:rsidR="002178DF" w:rsidRPr="00274507">
        <w:rPr>
          <w:sz w:val="28"/>
          <w:szCs w:val="28"/>
        </w:rPr>
        <w:t xml:space="preserve"> la solicitud de</w:t>
      </w:r>
      <w:r w:rsidR="0077733C" w:rsidRPr="00274507">
        <w:rPr>
          <w:sz w:val="28"/>
          <w:szCs w:val="28"/>
        </w:rPr>
        <w:t xml:space="preserve"> servicios</w:t>
      </w:r>
      <w:r w:rsidR="001725B4" w:rsidRPr="00274507">
        <w:rPr>
          <w:sz w:val="28"/>
          <w:szCs w:val="28"/>
        </w:rPr>
        <w:t xml:space="preserve">, así las </w:t>
      </w:r>
      <w:r w:rsidR="0077733C" w:rsidRPr="00274507">
        <w:rPr>
          <w:sz w:val="28"/>
          <w:szCs w:val="28"/>
        </w:rPr>
        <w:t xml:space="preserve">cirugías, exámenes y medicamentos </w:t>
      </w:r>
      <w:r w:rsidR="001725B4" w:rsidRPr="00274507">
        <w:rPr>
          <w:sz w:val="28"/>
          <w:szCs w:val="28"/>
        </w:rPr>
        <w:t xml:space="preserve">afirmó que </w:t>
      </w:r>
      <w:r w:rsidR="0077733C" w:rsidRPr="00274507">
        <w:rPr>
          <w:sz w:val="28"/>
          <w:szCs w:val="28"/>
        </w:rPr>
        <w:t>tienden a disminuir y por el contrario las citas médicas, insumos y tr</w:t>
      </w:r>
      <w:r w:rsidR="001725B4" w:rsidRPr="00274507">
        <w:rPr>
          <w:sz w:val="28"/>
          <w:szCs w:val="28"/>
        </w:rPr>
        <w:t>ámites han aumentado. Así entre el 2010 y 2013 indicó que la tutelas por medicamentos representó un 39,8</w:t>
      </w:r>
      <w:r w:rsidR="0080110C" w:rsidRPr="00274507">
        <w:rPr>
          <w:sz w:val="28"/>
          <w:szCs w:val="28"/>
        </w:rPr>
        <w:t>%, pero reitera que persisten las solicitudes por medicamentos POS a lo que alude que</w:t>
      </w:r>
      <w:r w:rsidR="002178DF" w:rsidRPr="00274507">
        <w:rPr>
          <w:sz w:val="28"/>
          <w:szCs w:val="28"/>
        </w:rPr>
        <w:t>:</w:t>
      </w:r>
      <w:r w:rsidR="0077733C" w:rsidRPr="00274507">
        <w:rPr>
          <w:sz w:val="28"/>
          <w:szCs w:val="28"/>
        </w:rPr>
        <w:t xml:space="preserve"> “…</w:t>
      </w:r>
      <w:r w:rsidR="0077733C" w:rsidRPr="00274507">
        <w:rPr>
          <w:i/>
          <w:sz w:val="28"/>
          <w:szCs w:val="28"/>
        </w:rPr>
        <w:t>es necesario tener información más detallada de los expedientes para poder determinar si estos casos resuelven problemas de abastecimiento, problemas de oportunidad, simples abusos de los aseguradores o debates sobre la provisión de medicamento de marca</w:t>
      </w:r>
      <w:r w:rsidR="0077733C" w:rsidRPr="00274507">
        <w:rPr>
          <w:sz w:val="28"/>
          <w:szCs w:val="28"/>
        </w:rPr>
        <w:t>…”</w:t>
      </w:r>
      <w:r w:rsidR="00562521" w:rsidRPr="00274507">
        <w:rPr>
          <w:sz w:val="28"/>
          <w:szCs w:val="28"/>
        </w:rPr>
        <w:t>.</w:t>
      </w:r>
      <w:r w:rsidR="0080110C" w:rsidRPr="00274507">
        <w:rPr>
          <w:sz w:val="28"/>
          <w:szCs w:val="28"/>
        </w:rPr>
        <w:t xml:space="preserve"> También evidenció que el 15% de los medicamentos requeridos por vía judicial no están relacionados con los principios activos básicos para proteger la salud de las personas, ya que se solicitaron formulas alimenticias enriquecidas para suplir necesidades alimenticias en enfermedades neurológicas complejas, usadas como complemento alimenticio en pediatría y sustitutos metabólicos en alteraciones del sistema endocrino.</w:t>
      </w:r>
    </w:p>
    <w:p w:rsidR="00FF7824" w:rsidRPr="00274507" w:rsidRDefault="00FF7824" w:rsidP="00274507">
      <w:pPr>
        <w:jc w:val="both"/>
        <w:rPr>
          <w:sz w:val="28"/>
          <w:szCs w:val="28"/>
        </w:rPr>
      </w:pPr>
    </w:p>
    <w:p w:rsidR="0077733C" w:rsidRPr="00274507" w:rsidRDefault="0077733C" w:rsidP="00274507">
      <w:pPr>
        <w:jc w:val="both"/>
        <w:rPr>
          <w:sz w:val="28"/>
          <w:szCs w:val="28"/>
        </w:rPr>
      </w:pPr>
      <w:r w:rsidRPr="00274507">
        <w:rPr>
          <w:sz w:val="28"/>
          <w:szCs w:val="28"/>
        </w:rPr>
        <w:t>Así mis</w:t>
      </w:r>
      <w:r w:rsidR="009B104A" w:rsidRPr="00274507">
        <w:rPr>
          <w:sz w:val="28"/>
          <w:szCs w:val="28"/>
        </w:rPr>
        <w:t>mo, concluyó</w:t>
      </w:r>
      <w:r w:rsidRPr="00274507">
        <w:rPr>
          <w:sz w:val="28"/>
          <w:szCs w:val="28"/>
        </w:rPr>
        <w:t xml:space="preserve"> que entre el 2010 y 2013 aumentaron las tutelas por trámites ante las EPS</w:t>
      </w:r>
      <w:r w:rsidR="009E5FF7" w:rsidRPr="00274507">
        <w:rPr>
          <w:sz w:val="28"/>
          <w:szCs w:val="28"/>
        </w:rPr>
        <w:t xml:space="preserve"> como alojamiento, transporte y viáticos, representado en el 36.4% de los más demandados</w:t>
      </w:r>
      <w:r w:rsidR="00A339E1" w:rsidRPr="00274507">
        <w:rPr>
          <w:sz w:val="28"/>
          <w:szCs w:val="28"/>
        </w:rPr>
        <w:t>. También indic</w:t>
      </w:r>
      <w:r w:rsidR="00AD5681" w:rsidRPr="00274507">
        <w:rPr>
          <w:sz w:val="28"/>
          <w:szCs w:val="28"/>
        </w:rPr>
        <w:t>ó las tutelas por exoneración de copagos, cambio de EPS, no pago o pago inoportuno de prestaciones sociales</w:t>
      </w:r>
      <w:r w:rsidRPr="00274507">
        <w:rPr>
          <w:sz w:val="28"/>
          <w:szCs w:val="28"/>
        </w:rPr>
        <w:t xml:space="preserve"> y advirtió que “</w:t>
      </w:r>
      <w:r w:rsidRPr="00274507">
        <w:rPr>
          <w:i/>
          <w:sz w:val="28"/>
          <w:szCs w:val="28"/>
        </w:rPr>
        <w:t>el crecimiento observado en este tipo de tutelas señala un cambio en los motivos por los cuales se acude a la tutela, y contribuye a explicar por qué su número total no disminuye</w:t>
      </w:r>
      <w:r w:rsidRPr="00274507">
        <w:rPr>
          <w:sz w:val="28"/>
          <w:szCs w:val="28"/>
        </w:rPr>
        <w:t>…”.</w:t>
      </w:r>
      <w:r w:rsidR="00D17BB7" w:rsidRPr="00274507">
        <w:rPr>
          <w:sz w:val="28"/>
          <w:szCs w:val="28"/>
        </w:rPr>
        <w:t xml:space="preserve"> </w:t>
      </w:r>
      <w:r w:rsidR="009B104A" w:rsidRPr="00274507">
        <w:rPr>
          <w:sz w:val="28"/>
          <w:szCs w:val="28"/>
        </w:rPr>
        <w:t xml:space="preserve">Por último, indicó </w:t>
      </w:r>
      <w:r w:rsidR="00D17BB7" w:rsidRPr="00274507">
        <w:rPr>
          <w:sz w:val="28"/>
          <w:szCs w:val="28"/>
        </w:rPr>
        <w:t>que te</w:t>
      </w:r>
      <w:r w:rsidR="009B104A" w:rsidRPr="00274507">
        <w:rPr>
          <w:sz w:val="28"/>
          <w:szCs w:val="28"/>
        </w:rPr>
        <w:t>mas como el tra</w:t>
      </w:r>
      <w:r w:rsidR="003D3A3B" w:rsidRPr="00274507">
        <w:rPr>
          <w:sz w:val="28"/>
          <w:szCs w:val="28"/>
        </w:rPr>
        <w:t>n</w:t>
      </w:r>
      <w:r w:rsidR="009B104A" w:rsidRPr="00274507">
        <w:rPr>
          <w:sz w:val="28"/>
          <w:szCs w:val="28"/>
        </w:rPr>
        <w:t xml:space="preserve">sporte </w:t>
      </w:r>
      <w:r w:rsidR="00D17BB7" w:rsidRPr="00274507">
        <w:rPr>
          <w:sz w:val="28"/>
          <w:szCs w:val="28"/>
        </w:rPr>
        <w:t>se escapan de la órbita de su competencia y que las solicitudes por tratamiento integral no son estadísticamente significativas, lo que</w:t>
      </w:r>
      <w:r w:rsidR="008D249D" w:rsidRPr="00274507">
        <w:rPr>
          <w:sz w:val="28"/>
          <w:szCs w:val="28"/>
        </w:rPr>
        <w:t xml:space="preserve"> supone a su juicio</w:t>
      </w:r>
      <w:r w:rsidR="007D4EAC" w:rsidRPr="00274507">
        <w:rPr>
          <w:sz w:val="28"/>
          <w:szCs w:val="28"/>
        </w:rPr>
        <w:t>,</w:t>
      </w:r>
      <w:r w:rsidR="008D249D" w:rsidRPr="00274507">
        <w:rPr>
          <w:sz w:val="28"/>
          <w:szCs w:val="28"/>
        </w:rPr>
        <w:t xml:space="preserve"> </w:t>
      </w:r>
      <w:r w:rsidR="00D17BB7" w:rsidRPr="00274507">
        <w:rPr>
          <w:sz w:val="28"/>
          <w:szCs w:val="28"/>
        </w:rPr>
        <w:t>una efectividad en las medi</w:t>
      </w:r>
      <w:r w:rsidR="003D3A3B" w:rsidRPr="00274507">
        <w:rPr>
          <w:sz w:val="28"/>
          <w:szCs w:val="28"/>
        </w:rPr>
        <w:t>d</w:t>
      </w:r>
      <w:r w:rsidR="00D17BB7" w:rsidRPr="00274507">
        <w:rPr>
          <w:sz w:val="28"/>
          <w:szCs w:val="28"/>
        </w:rPr>
        <w:t>as adoptadas y un cambio en los motivos para solicitar la tutela.</w:t>
      </w:r>
    </w:p>
    <w:p w:rsidR="00D17BB7" w:rsidRPr="00274507" w:rsidRDefault="00D17BB7" w:rsidP="00274507">
      <w:pPr>
        <w:jc w:val="both"/>
        <w:rPr>
          <w:sz w:val="28"/>
          <w:szCs w:val="28"/>
        </w:rPr>
      </w:pPr>
    </w:p>
    <w:p w:rsidR="003A244B" w:rsidRPr="00274507" w:rsidRDefault="003A244B" w:rsidP="00274507">
      <w:pPr>
        <w:jc w:val="both"/>
        <w:rPr>
          <w:sz w:val="28"/>
          <w:szCs w:val="28"/>
        </w:rPr>
      </w:pPr>
      <w:r w:rsidRPr="00274507">
        <w:rPr>
          <w:sz w:val="28"/>
          <w:szCs w:val="28"/>
        </w:rPr>
        <w:t>En consecuencia, e</w:t>
      </w:r>
      <w:r w:rsidR="006949E0" w:rsidRPr="00274507">
        <w:rPr>
          <w:sz w:val="28"/>
          <w:szCs w:val="28"/>
        </w:rPr>
        <w:t>sta Sala considera que</w:t>
      </w:r>
      <w:r w:rsidR="003D3A3B" w:rsidRPr="00274507">
        <w:rPr>
          <w:sz w:val="28"/>
          <w:szCs w:val="28"/>
        </w:rPr>
        <w:t xml:space="preserve"> los resultados de dicho análisis son útiles</w:t>
      </w:r>
      <w:r w:rsidR="00872EFE" w:rsidRPr="00274507">
        <w:rPr>
          <w:sz w:val="28"/>
          <w:szCs w:val="28"/>
        </w:rPr>
        <w:t xml:space="preserve"> </w:t>
      </w:r>
      <w:r w:rsidR="00454BF7" w:rsidRPr="00274507">
        <w:rPr>
          <w:sz w:val="28"/>
          <w:szCs w:val="28"/>
        </w:rPr>
        <w:t>para visualizar el comportamiento general de las acciones de tutelas</w:t>
      </w:r>
      <w:r w:rsidR="003D3A3B" w:rsidRPr="00274507">
        <w:rPr>
          <w:sz w:val="28"/>
          <w:szCs w:val="28"/>
        </w:rPr>
        <w:t xml:space="preserve">, respecto al número que se incoaron, pero no desde la </w:t>
      </w:r>
      <w:r w:rsidR="00252C27" w:rsidRPr="00274507">
        <w:rPr>
          <w:sz w:val="28"/>
          <w:szCs w:val="28"/>
        </w:rPr>
        <w:t xml:space="preserve">perspectiva </w:t>
      </w:r>
      <w:r w:rsidR="00D17BB7" w:rsidRPr="00274507">
        <w:rPr>
          <w:sz w:val="28"/>
          <w:szCs w:val="28"/>
        </w:rPr>
        <w:t>del cumplimiento de la orden trigésima</w:t>
      </w:r>
      <w:r w:rsidR="00872EFE" w:rsidRPr="00274507">
        <w:rPr>
          <w:sz w:val="28"/>
          <w:szCs w:val="28"/>
        </w:rPr>
        <w:t xml:space="preserve">, </w:t>
      </w:r>
      <w:r w:rsidR="003D3A3B" w:rsidRPr="00274507">
        <w:rPr>
          <w:sz w:val="28"/>
          <w:szCs w:val="28"/>
        </w:rPr>
        <w:t xml:space="preserve">es decir, el comportamiento para evaluar el aumento o </w:t>
      </w:r>
      <w:r w:rsidR="00D17BB7" w:rsidRPr="00274507">
        <w:rPr>
          <w:sz w:val="28"/>
          <w:szCs w:val="28"/>
        </w:rPr>
        <w:t>disminución</w:t>
      </w:r>
      <w:r w:rsidR="003D3A3B" w:rsidRPr="00274507">
        <w:rPr>
          <w:sz w:val="28"/>
          <w:szCs w:val="28"/>
        </w:rPr>
        <w:t>, las principales causas por las cuales se invoca, el desarrollo de los problemas jurídicos y las posibles medidas a adoptar para superar las fallas allí evidenciadas</w:t>
      </w:r>
      <w:r w:rsidR="00454BF7" w:rsidRPr="00274507">
        <w:rPr>
          <w:sz w:val="28"/>
          <w:szCs w:val="28"/>
        </w:rPr>
        <w:t>.</w:t>
      </w:r>
    </w:p>
    <w:p w:rsidR="007D4EAC" w:rsidRPr="00274507" w:rsidRDefault="007D4EAC" w:rsidP="00274507">
      <w:pPr>
        <w:jc w:val="both"/>
        <w:rPr>
          <w:sz w:val="28"/>
          <w:szCs w:val="28"/>
        </w:rPr>
      </w:pPr>
    </w:p>
    <w:p w:rsidR="00233412" w:rsidRPr="00274507" w:rsidRDefault="000309F6" w:rsidP="00274507">
      <w:pPr>
        <w:jc w:val="both"/>
        <w:rPr>
          <w:sz w:val="28"/>
          <w:szCs w:val="28"/>
        </w:rPr>
      </w:pPr>
      <w:r w:rsidRPr="00274507">
        <w:rPr>
          <w:b/>
          <w:sz w:val="28"/>
          <w:szCs w:val="28"/>
        </w:rPr>
        <w:t xml:space="preserve">7.1.2.3. </w:t>
      </w:r>
      <w:r w:rsidR="00454BF7" w:rsidRPr="00274507">
        <w:rPr>
          <w:sz w:val="28"/>
          <w:szCs w:val="28"/>
        </w:rPr>
        <w:t xml:space="preserve">Del informe 7º resulta </w:t>
      </w:r>
      <w:r w:rsidR="00EE16E4" w:rsidRPr="00274507">
        <w:rPr>
          <w:sz w:val="28"/>
          <w:szCs w:val="28"/>
        </w:rPr>
        <w:t xml:space="preserve">relevante el mejoramiento en </w:t>
      </w:r>
      <w:r w:rsidR="008D7759" w:rsidRPr="00274507">
        <w:rPr>
          <w:sz w:val="28"/>
          <w:szCs w:val="28"/>
        </w:rPr>
        <w:t xml:space="preserve">la presentación del </w:t>
      </w:r>
      <w:r w:rsidR="00EE16E4" w:rsidRPr="00274507">
        <w:rPr>
          <w:sz w:val="28"/>
          <w:szCs w:val="28"/>
        </w:rPr>
        <w:t>análisis</w:t>
      </w:r>
      <w:r w:rsidR="008D7759" w:rsidRPr="00274507">
        <w:rPr>
          <w:sz w:val="28"/>
          <w:szCs w:val="28"/>
        </w:rPr>
        <w:t xml:space="preserve"> de las tutelas incoadas para el año 2014</w:t>
      </w:r>
      <w:r w:rsidR="00EE16E4" w:rsidRPr="00274507">
        <w:rPr>
          <w:sz w:val="28"/>
          <w:szCs w:val="28"/>
        </w:rPr>
        <w:t>,</w:t>
      </w:r>
      <w:r w:rsidR="008D7759" w:rsidRPr="00274507">
        <w:rPr>
          <w:sz w:val="28"/>
          <w:szCs w:val="28"/>
        </w:rPr>
        <w:t xml:space="preserve"> </w:t>
      </w:r>
      <w:r w:rsidR="00967441" w:rsidRPr="00274507">
        <w:rPr>
          <w:sz w:val="28"/>
          <w:szCs w:val="28"/>
        </w:rPr>
        <w:t>que desarrolló una</w:t>
      </w:r>
      <w:r w:rsidR="00EE16E4" w:rsidRPr="00274507">
        <w:rPr>
          <w:sz w:val="28"/>
          <w:szCs w:val="28"/>
        </w:rPr>
        <w:t xml:space="preserve"> metodología de muestreo probalístico estratificado</w:t>
      </w:r>
      <w:r w:rsidR="003628E7" w:rsidRPr="00274507">
        <w:rPr>
          <w:rStyle w:val="Refdenotaalpie"/>
          <w:sz w:val="28"/>
          <w:szCs w:val="28"/>
        </w:rPr>
        <w:footnoteReference w:id="164"/>
      </w:r>
      <w:r w:rsidR="00967441" w:rsidRPr="00274507">
        <w:rPr>
          <w:sz w:val="28"/>
          <w:szCs w:val="28"/>
        </w:rPr>
        <w:t xml:space="preserve"> </w:t>
      </w:r>
      <w:r w:rsidR="00D233B6" w:rsidRPr="00274507">
        <w:rPr>
          <w:sz w:val="28"/>
          <w:szCs w:val="28"/>
        </w:rPr>
        <w:t>e identificó</w:t>
      </w:r>
      <w:r w:rsidR="008D7759" w:rsidRPr="00274507">
        <w:rPr>
          <w:sz w:val="28"/>
          <w:szCs w:val="28"/>
        </w:rPr>
        <w:t xml:space="preserve"> 2.041 acciones</w:t>
      </w:r>
      <w:r w:rsidR="00AD5681" w:rsidRPr="00274507">
        <w:rPr>
          <w:sz w:val="28"/>
          <w:szCs w:val="28"/>
        </w:rPr>
        <w:t>. D</w:t>
      </w:r>
      <w:r w:rsidR="008D7759" w:rsidRPr="00274507">
        <w:rPr>
          <w:sz w:val="28"/>
          <w:szCs w:val="28"/>
        </w:rPr>
        <w:t>esde esa perspectiva realizó una división de los servicios requeridos no POS y solic</w:t>
      </w:r>
      <w:r w:rsidR="00D233B6" w:rsidRPr="00274507">
        <w:rPr>
          <w:sz w:val="28"/>
          <w:szCs w:val="28"/>
        </w:rPr>
        <w:t>itudes de tratamiento integral, refiriendo par</w:t>
      </w:r>
      <w:r w:rsidR="00A171CF" w:rsidRPr="00274507">
        <w:rPr>
          <w:sz w:val="28"/>
          <w:szCs w:val="28"/>
        </w:rPr>
        <w:t>a este último 611 solicitudes, pero no fueron descritas</w:t>
      </w:r>
      <w:r w:rsidR="00233412" w:rsidRPr="00274507">
        <w:rPr>
          <w:sz w:val="28"/>
          <w:szCs w:val="28"/>
        </w:rPr>
        <w:t xml:space="preserve"> de forma co</w:t>
      </w:r>
      <w:r w:rsidR="007D4EAC" w:rsidRPr="00274507">
        <w:rPr>
          <w:sz w:val="28"/>
          <w:szCs w:val="28"/>
        </w:rPr>
        <w:t>ncreta en</w:t>
      </w:r>
      <w:r w:rsidR="00233412" w:rsidRPr="00274507">
        <w:rPr>
          <w:sz w:val="28"/>
          <w:szCs w:val="28"/>
        </w:rPr>
        <w:t xml:space="preserve"> indica</w:t>
      </w:r>
      <w:r w:rsidR="00AD5681" w:rsidRPr="00274507">
        <w:rPr>
          <w:sz w:val="28"/>
          <w:szCs w:val="28"/>
        </w:rPr>
        <w:t>r cuá</w:t>
      </w:r>
      <w:r w:rsidR="007D4EAC" w:rsidRPr="00274507">
        <w:rPr>
          <w:sz w:val="28"/>
          <w:szCs w:val="28"/>
        </w:rPr>
        <w:t>les fueron</w:t>
      </w:r>
      <w:r w:rsidR="00233412" w:rsidRPr="00274507">
        <w:rPr>
          <w:sz w:val="28"/>
          <w:szCs w:val="28"/>
        </w:rPr>
        <w:t xml:space="preserve"> las condicion</w:t>
      </w:r>
      <w:r w:rsidR="00A171CF" w:rsidRPr="00274507">
        <w:rPr>
          <w:sz w:val="28"/>
          <w:szCs w:val="28"/>
        </w:rPr>
        <w:t xml:space="preserve">es de los pacientes que requierieron este tratamiento, su estado de salud, </w:t>
      </w:r>
      <w:r w:rsidR="000A355E" w:rsidRPr="00274507">
        <w:rPr>
          <w:sz w:val="28"/>
          <w:szCs w:val="28"/>
        </w:rPr>
        <w:t xml:space="preserve">los </w:t>
      </w:r>
      <w:r w:rsidR="005F1094" w:rsidRPr="00274507">
        <w:rPr>
          <w:sz w:val="28"/>
          <w:szCs w:val="28"/>
        </w:rPr>
        <w:t>diagnósticos</w:t>
      </w:r>
      <w:r w:rsidR="00233412" w:rsidRPr="00274507">
        <w:rPr>
          <w:sz w:val="28"/>
          <w:szCs w:val="28"/>
        </w:rPr>
        <w:t xml:space="preserve"> que más acuden a este servicio y demás características de cada situación.</w:t>
      </w:r>
    </w:p>
    <w:p w:rsidR="008D7759" w:rsidRPr="00274507" w:rsidRDefault="008D7759" w:rsidP="00274507">
      <w:pPr>
        <w:jc w:val="both"/>
        <w:rPr>
          <w:sz w:val="28"/>
          <w:szCs w:val="28"/>
        </w:rPr>
      </w:pPr>
    </w:p>
    <w:p w:rsidR="005F1094" w:rsidRPr="00274507" w:rsidRDefault="00AD5681" w:rsidP="00274507">
      <w:pPr>
        <w:jc w:val="both"/>
        <w:rPr>
          <w:sz w:val="28"/>
          <w:szCs w:val="28"/>
        </w:rPr>
      </w:pPr>
      <w:r w:rsidRPr="00274507">
        <w:rPr>
          <w:sz w:val="28"/>
          <w:szCs w:val="28"/>
        </w:rPr>
        <w:t xml:space="preserve">Este Tribunal evidencia </w:t>
      </w:r>
      <w:r w:rsidR="00697564" w:rsidRPr="00274507">
        <w:rPr>
          <w:sz w:val="28"/>
          <w:szCs w:val="28"/>
        </w:rPr>
        <w:t xml:space="preserve">falencias en </w:t>
      </w:r>
      <w:r w:rsidR="005F1094" w:rsidRPr="00274507">
        <w:rPr>
          <w:sz w:val="28"/>
          <w:szCs w:val="28"/>
        </w:rPr>
        <w:t>la clasificación que efectuó en</w:t>
      </w:r>
      <w:r w:rsidR="00233412" w:rsidRPr="00274507">
        <w:rPr>
          <w:sz w:val="28"/>
          <w:szCs w:val="28"/>
        </w:rPr>
        <w:t xml:space="preserve"> torno</w:t>
      </w:r>
      <w:r w:rsidR="005F1094" w:rsidRPr="00274507">
        <w:rPr>
          <w:sz w:val="28"/>
          <w:szCs w:val="28"/>
        </w:rPr>
        <w:t xml:space="preserve"> a los medicamentos, ya que a pesar de indicar que de la totalidad de la muestra se obtuvieron 408 casos, </w:t>
      </w:r>
      <w:r w:rsidR="00A171CF" w:rsidRPr="00274507">
        <w:rPr>
          <w:sz w:val="28"/>
          <w:szCs w:val="28"/>
        </w:rPr>
        <w:t xml:space="preserve">no evidenció </w:t>
      </w:r>
      <w:r w:rsidR="005F1094" w:rsidRPr="00274507">
        <w:rPr>
          <w:sz w:val="28"/>
          <w:szCs w:val="28"/>
        </w:rPr>
        <w:t>la clase de f</w:t>
      </w:r>
      <w:r w:rsidR="00233412" w:rsidRPr="00274507">
        <w:rPr>
          <w:sz w:val="28"/>
          <w:szCs w:val="28"/>
        </w:rPr>
        <w:t xml:space="preserve">ármacos solicitados, </w:t>
      </w:r>
      <w:r w:rsidR="005F1094" w:rsidRPr="00274507">
        <w:rPr>
          <w:sz w:val="28"/>
          <w:szCs w:val="28"/>
        </w:rPr>
        <w:t>la urgencia, el dictamen, las c</w:t>
      </w:r>
      <w:r w:rsidR="00233412" w:rsidRPr="00274507">
        <w:rPr>
          <w:sz w:val="28"/>
          <w:szCs w:val="28"/>
        </w:rPr>
        <w:t xml:space="preserve">ondiciones de los pacientes, la </w:t>
      </w:r>
      <w:r w:rsidR="00A171CF" w:rsidRPr="00274507">
        <w:rPr>
          <w:sz w:val="28"/>
          <w:szCs w:val="28"/>
        </w:rPr>
        <w:t xml:space="preserve">causa principal por la que acudieron, si estaban incluidos; </w:t>
      </w:r>
      <w:r w:rsidR="00697564" w:rsidRPr="00274507">
        <w:rPr>
          <w:sz w:val="28"/>
          <w:szCs w:val="28"/>
        </w:rPr>
        <w:t>su prescripción genérica o comercial. Por lo anterior, l</w:t>
      </w:r>
      <w:r w:rsidR="005F1094" w:rsidRPr="00274507">
        <w:rPr>
          <w:sz w:val="28"/>
          <w:szCs w:val="28"/>
        </w:rPr>
        <w:t xml:space="preserve">a ausencia de dichos caracteres dificulta la claridad </w:t>
      </w:r>
      <w:r w:rsidR="00697564" w:rsidRPr="00274507">
        <w:rPr>
          <w:sz w:val="28"/>
          <w:szCs w:val="28"/>
        </w:rPr>
        <w:t xml:space="preserve">y </w:t>
      </w:r>
      <w:r w:rsidR="00011EA0" w:rsidRPr="00274507">
        <w:rPr>
          <w:sz w:val="28"/>
          <w:szCs w:val="28"/>
        </w:rPr>
        <w:t>su</w:t>
      </w:r>
      <w:r w:rsidR="005F1094" w:rsidRPr="00274507">
        <w:rPr>
          <w:sz w:val="28"/>
          <w:szCs w:val="28"/>
        </w:rPr>
        <w:t xml:space="preserve"> evaluaci</w:t>
      </w:r>
      <w:r w:rsidR="00697564" w:rsidRPr="00274507">
        <w:rPr>
          <w:sz w:val="28"/>
          <w:szCs w:val="28"/>
        </w:rPr>
        <w:t>ón, en relación a</w:t>
      </w:r>
      <w:r w:rsidR="005F1094" w:rsidRPr="00274507">
        <w:rPr>
          <w:sz w:val="28"/>
          <w:szCs w:val="28"/>
        </w:rPr>
        <w:t>l aumento o disminución de la</w:t>
      </w:r>
      <w:r w:rsidR="00011EA0" w:rsidRPr="00274507">
        <w:rPr>
          <w:sz w:val="28"/>
          <w:szCs w:val="28"/>
        </w:rPr>
        <w:t>s</w:t>
      </w:r>
      <w:r w:rsidR="005F1094" w:rsidRPr="00274507">
        <w:rPr>
          <w:sz w:val="28"/>
          <w:szCs w:val="28"/>
        </w:rPr>
        <w:t xml:space="preserve"> acci</w:t>
      </w:r>
      <w:r w:rsidR="00011EA0" w:rsidRPr="00274507">
        <w:rPr>
          <w:sz w:val="28"/>
          <w:szCs w:val="28"/>
        </w:rPr>
        <w:t>ones</w:t>
      </w:r>
      <w:r w:rsidR="00697564" w:rsidRPr="00274507">
        <w:rPr>
          <w:sz w:val="28"/>
          <w:szCs w:val="28"/>
        </w:rPr>
        <w:t xml:space="preserve"> invocadas</w:t>
      </w:r>
      <w:r w:rsidR="005F1094" w:rsidRPr="00274507">
        <w:rPr>
          <w:sz w:val="28"/>
          <w:szCs w:val="28"/>
        </w:rPr>
        <w:t xml:space="preserve"> </w:t>
      </w:r>
      <w:r w:rsidR="00697564" w:rsidRPr="00274507">
        <w:rPr>
          <w:sz w:val="28"/>
          <w:szCs w:val="28"/>
        </w:rPr>
        <w:t>por algún medicamento requerido</w:t>
      </w:r>
      <w:r w:rsidR="005F1094" w:rsidRPr="00274507">
        <w:rPr>
          <w:sz w:val="28"/>
          <w:szCs w:val="28"/>
        </w:rPr>
        <w:t>.</w:t>
      </w:r>
    </w:p>
    <w:p w:rsidR="00DD6286" w:rsidRPr="00274507" w:rsidRDefault="00DD6286" w:rsidP="00274507">
      <w:pPr>
        <w:jc w:val="both"/>
        <w:rPr>
          <w:sz w:val="28"/>
          <w:szCs w:val="28"/>
        </w:rPr>
      </w:pPr>
    </w:p>
    <w:p w:rsidR="00E7736B" w:rsidRPr="00274507" w:rsidRDefault="00697564" w:rsidP="00274507">
      <w:pPr>
        <w:jc w:val="both"/>
        <w:rPr>
          <w:sz w:val="28"/>
          <w:szCs w:val="28"/>
        </w:rPr>
      </w:pPr>
      <w:r w:rsidRPr="00274507">
        <w:rPr>
          <w:sz w:val="28"/>
          <w:szCs w:val="28"/>
        </w:rPr>
        <w:t>En otra variable</w:t>
      </w:r>
      <w:r w:rsidR="003A0F21" w:rsidRPr="00274507">
        <w:rPr>
          <w:sz w:val="28"/>
          <w:szCs w:val="28"/>
        </w:rPr>
        <w:t>, señaló</w:t>
      </w:r>
      <w:r w:rsidR="00251D58" w:rsidRPr="00274507">
        <w:rPr>
          <w:sz w:val="28"/>
          <w:szCs w:val="28"/>
        </w:rPr>
        <w:t xml:space="preserve"> que el 12% de las solicitudes son requeridas por </w:t>
      </w:r>
      <w:r w:rsidR="00C04F85" w:rsidRPr="00274507">
        <w:rPr>
          <w:sz w:val="28"/>
          <w:szCs w:val="28"/>
        </w:rPr>
        <w:t xml:space="preserve">negación de servicios supeditados al pago de las cuotas moderadoras, </w:t>
      </w:r>
      <w:r w:rsidR="00AD5681" w:rsidRPr="00274507">
        <w:rPr>
          <w:sz w:val="28"/>
          <w:szCs w:val="28"/>
        </w:rPr>
        <w:t xml:space="preserve">lo cual </w:t>
      </w:r>
      <w:r w:rsidR="00C97D50" w:rsidRPr="00274507">
        <w:rPr>
          <w:sz w:val="28"/>
          <w:szCs w:val="28"/>
        </w:rPr>
        <w:t>para ese momento resultó</w:t>
      </w:r>
      <w:r w:rsidR="00C04F85" w:rsidRPr="00274507">
        <w:rPr>
          <w:sz w:val="28"/>
          <w:szCs w:val="28"/>
        </w:rPr>
        <w:t xml:space="preserve"> interesante para el Ministerio </w:t>
      </w:r>
      <w:r w:rsidR="00E7736B" w:rsidRPr="00274507">
        <w:rPr>
          <w:sz w:val="28"/>
          <w:szCs w:val="28"/>
        </w:rPr>
        <w:t xml:space="preserve">de Salud el </w:t>
      </w:r>
      <w:r w:rsidR="00C04F85" w:rsidRPr="00274507">
        <w:rPr>
          <w:sz w:val="28"/>
          <w:szCs w:val="28"/>
        </w:rPr>
        <w:t>efectuar un análisis a futuro que permit</w:t>
      </w:r>
      <w:r w:rsidR="00E7736B" w:rsidRPr="00274507">
        <w:rPr>
          <w:sz w:val="28"/>
          <w:szCs w:val="28"/>
        </w:rPr>
        <w:t>iera determinar c</w:t>
      </w:r>
      <w:r w:rsidR="00AD5681" w:rsidRPr="00274507">
        <w:rPr>
          <w:sz w:val="28"/>
          <w:szCs w:val="28"/>
        </w:rPr>
        <w:t>uántos accionantes pertenecían</w:t>
      </w:r>
      <w:r w:rsidR="00E7736B" w:rsidRPr="00274507">
        <w:rPr>
          <w:sz w:val="28"/>
          <w:szCs w:val="28"/>
        </w:rPr>
        <w:t xml:space="preserve"> a los </w:t>
      </w:r>
      <w:r w:rsidR="00AD5681" w:rsidRPr="00274507">
        <w:rPr>
          <w:sz w:val="28"/>
          <w:szCs w:val="28"/>
        </w:rPr>
        <w:t>niveles 1 y 2 del Sisbe</w:t>
      </w:r>
      <w:r w:rsidR="00C04F85" w:rsidRPr="00274507">
        <w:rPr>
          <w:sz w:val="28"/>
          <w:szCs w:val="28"/>
        </w:rPr>
        <w:t>n</w:t>
      </w:r>
      <w:r w:rsidR="00A171CF" w:rsidRPr="00274507">
        <w:rPr>
          <w:sz w:val="28"/>
          <w:szCs w:val="28"/>
        </w:rPr>
        <w:t xml:space="preserve"> y estaban</w:t>
      </w:r>
      <w:r w:rsidR="00E7736B" w:rsidRPr="00274507">
        <w:rPr>
          <w:sz w:val="28"/>
          <w:szCs w:val="28"/>
        </w:rPr>
        <w:t xml:space="preserve"> </w:t>
      </w:r>
      <w:r w:rsidR="00297B51" w:rsidRPr="00274507">
        <w:rPr>
          <w:sz w:val="28"/>
          <w:szCs w:val="28"/>
        </w:rPr>
        <w:t>exentos de</w:t>
      </w:r>
      <w:r w:rsidR="00E7736B" w:rsidRPr="00274507">
        <w:rPr>
          <w:sz w:val="28"/>
          <w:szCs w:val="28"/>
        </w:rPr>
        <w:t xml:space="preserve"> realizar</w:t>
      </w:r>
      <w:r w:rsidR="00297B51" w:rsidRPr="00274507">
        <w:rPr>
          <w:sz w:val="28"/>
          <w:szCs w:val="28"/>
        </w:rPr>
        <w:t xml:space="preserve"> dicho pago</w:t>
      </w:r>
      <w:r w:rsidR="00E7736B" w:rsidRPr="00274507">
        <w:rPr>
          <w:sz w:val="28"/>
          <w:szCs w:val="28"/>
        </w:rPr>
        <w:t xml:space="preserve">. En relación con la anterior afirmación, esta Corporación </w:t>
      </w:r>
      <w:r w:rsidR="00A171CF" w:rsidRPr="00274507">
        <w:rPr>
          <w:sz w:val="28"/>
          <w:szCs w:val="28"/>
        </w:rPr>
        <w:t>cuestionó</w:t>
      </w:r>
      <w:r w:rsidR="00C04F85" w:rsidRPr="00274507">
        <w:rPr>
          <w:sz w:val="28"/>
          <w:szCs w:val="28"/>
        </w:rPr>
        <w:t xml:space="preserve"> a dicha autorida</w:t>
      </w:r>
      <w:r w:rsidR="00E7736B" w:rsidRPr="00274507">
        <w:rPr>
          <w:sz w:val="28"/>
          <w:szCs w:val="28"/>
        </w:rPr>
        <w:t>d</w:t>
      </w:r>
      <w:r w:rsidR="00C04F85" w:rsidRPr="00274507">
        <w:rPr>
          <w:sz w:val="28"/>
          <w:szCs w:val="28"/>
        </w:rPr>
        <w:t xml:space="preserve">, ya que </w:t>
      </w:r>
      <w:r w:rsidR="00E7736B" w:rsidRPr="00274507">
        <w:rPr>
          <w:sz w:val="28"/>
          <w:szCs w:val="28"/>
        </w:rPr>
        <w:t xml:space="preserve">genera incertidumbre el hecho que luego de presentar siete informes y continuar con la construcción de los mismos a través de los cuales se valora </w:t>
      </w:r>
      <w:r w:rsidR="00C04F85" w:rsidRPr="00274507">
        <w:rPr>
          <w:sz w:val="28"/>
          <w:szCs w:val="28"/>
        </w:rPr>
        <w:t>el cumplimiento del mandato</w:t>
      </w:r>
      <w:r w:rsidR="00E7736B" w:rsidRPr="00274507">
        <w:rPr>
          <w:sz w:val="28"/>
          <w:szCs w:val="28"/>
        </w:rPr>
        <w:t xml:space="preserve"> trigésimo, </w:t>
      </w:r>
      <w:r w:rsidR="007A394B" w:rsidRPr="00274507">
        <w:rPr>
          <w:sz w:val="28"/>
          <w:szCs w:val="28"/>
        </w:rPr>
        <w:t>no evidencien resultados certeros respecto a la medición de las tutelas.</w:t>
      </w:r>
    </w:p>
    <w:p w:rsidR="007A394B" w:rsidRPr="00274507" w:rsidRDefault="007A394B" w:rsidP="00274507">
      <w:pPr>
        <w:jc w:val="both"/>
        <w:rPr>
          <w:sz w:val="28"/>
          <w:szCs w:val="28"/>
        </w:rPr>
      </w:pPr>
    </w:p>
    <w:p w:rsidR="00A171CF" w:rsidRPr="00274507" w:rsidRDefault="00E7736B" w:rsidP="00274507">
      <w:pPr>
        <w:jc w:val="both"/>
        <w:rPr>
          <w:sz w:val="28"/>
          <w:szCs w:val="28"/>
        </w:rPr>
      </w:pPr>
      <w:r w:rsidRPr="00274507">
        <w:rPr>
          <w:sz w:val="28"/>
          <w:szCs w:val="28"/>
        </w:rPr>
        <w:t xml:space="preserve">En ese aspecto, </w:t>
      </w:r>
      <w:r w:rsidR="000C01A6" w:rsidRPr="00274507">
        <w:rPr>
          <w:sz w:val="28"/>
          <w:szCs w:val="28"/>
        </w:rPr>
        <w:t xml:space="preserve">esta Sala precisa que </w:t>
      </w:r>
      <w:r w:rsidRPr="00274507">
        <w:rPr>
          <w:sz w:val="28"/>
          <w:szCs w:val="28"/>
        </w:rPr>
        <w:t>par</w:t>
      </w:r>
      <w:r w:rsidR="000C01A6" w:rsidRPr="00274507">
        <w:rPr>
          <w:sz w:val="28"/>
          <w:szCs w:val="28"/>
        </w:rPr>
        <w:t xml:space="preserve">eciera irrelevante por parte del Ministerio de </w:t>
      </w:r>
      <w:r w:rsidRPr="00274507">
        <w:rPr>
          <w:sz w:val="28"/>
          <w:szCs w:val="28"/>
        </w:rPr>
        <w:t xml:space="preserve">Salud </w:t>
      </w:r>
      <w:r w:rsidR="00191AF6" w:rsidRPr="00274507">
        <w:rPr>
          <w:sz w:val="28"/>
          <w:szCs w:val="28"/>
        </w:rPr>
        <w:t>la necesidad de crear medidas y</w:t>
      </w:r>
      <w:r w:rsidR="00C04F85" w:rsidRPr="00274507">
        <w:rPr>
          <w:sz w:val="28"/>
          <w:szCs w:val="28"/>
        </w:rPr>
        <w:t xml:space="preserve"> acciones inmediatas para la superación de</w:t>
      </w:r>
      <w:r w:rsidRPr="00274507">
        <w:rPr>
          <w:sz w:val="28"/>
          <w:szCs w:val="28"/>
        </w:rPr>
        <w:t xml:space="preserve"> cualquier obstáculo que afronte a </w:t>
      </w:r>
      <w:r w:rsidR="00C04F85" w:rsidRPr="00274507">
        <w:rPr>
          <w:sz w:val="28"/>
          <w:szCs w:val="28"/>
        </w:rPr>
        <w:t>diario</w:t>
      </w:r>
      <w:r w:rsidRPr="00274507">
        <w:rPr>
          <w:sz w:val="28"/>
          <w:szCs w:val="28"/>
        </w:rPr>
        <w:t xml:space="preserve"> un paciente</w:t>
      </w:r>
      <w:r w:rsidR="00C04F85" w:rsidRPr="00274507">
        <w:rPr>
          <w:sz w:val="28"/>
          <w:szCs w:val="28"/>
        </w:rPr>
        <w:t>, ¿e</w:t>
      </w:r>
      <w:r w:rsidR="00D327B8" w:rsidRPr="00274507">
        <w:rPr>
          <w:sz w:val="28"/>
          <w:szCs w:val="28"/>
        </w:rPr>
        <w:t xml:space="preserve">s </w:t>
      </w:r>
      <w:r w:rsidR="00CD0641" w:rsidRPr="00274507">
        <w:rPr>
          <w:sz w:val="28"/>
          <w:szCs w:val="28"/>
        </w:rPr>
        <w:t>acaso para dicha autoridad un</w:t>
      </w:r>
      <w:r w:rsidR="00D327B8" w:rsidRPr="00274507">
        <w:rPr>
          <w:sz w:val="28"/>
          <w:szCs w:val="28"/>
        </w:rPr>
        <w:t xml:space="preserve"> requisito meramente decorativo el </w:t>
      </w:r>
      <w:r w:rsidR="00C04F85" w:rsidRPr="00274507">
        <w:rPr>
          <w:sz w:val="28"/>
          <w:szCs w:val="28"/>
        </w:rPr>
        <w:t xml:space="preserve">dispuesto en la sentencia T-760 de 2008? </w:t>
      </w:r>
      <w:r w:rsidR="00297B51" w:rsidRPr="00274507">
        <w:rPr>
          <w:sz w:val="28"/>
          <w:szCs w:val="28"/>
        </w:rPr>
        <w:t>¿</w:t>
      </w:r>
      <w:r w:rsidR="00C04F85" w:rsidRPr="00274507">
        <w:rPr>
          <w:sz w:val="28"/>
          <w:szCs w:val="28"/>
        </w:rPr>
        <w:t>No observa la magnitud del problema</w:t>
      </w:r>
      <w:r w:rsidR="00297B51" w:rsidRPr="00274507">
        <w:rPr>
          <w:sz w:val="28"/>
          <w:szCs w:val="28"/>
        </w:rPr>
        <w:t xml:space="preserve"> y el impacto social que genera</w:t>
      </w:r>
      <w:r w:rsidR="00C04F85" w:rsidRPr="00274507">
        <w:rPr>
          <w:sz w:val="28"/>
          <w:szCs w:val="28"/>
        </w:rPr>
        <w:t xml:space="preserve"> un sistema deficiente</w:t>
      </w:r>
      <w:r w:rsidR="00297B51" w:rsidRPr="00274507">
        <w:rPr>
          <w:sz w:val="28"/>
          <w:szCs w:val="28"/>
        </w:rPr>
        <w:t>?</w:t>
      </w:r>
      <w:r w:rsidR="007A394B" w:rsidRPr="00274507">
        <w:rPr>
          <w:sz w:val="28"/>
          <w:szCs w:val="28"/>
        </w:rPr>
        <w:t xml:space="preserve"> Es decir, </w:t>
      </w:r>
      <w:r w:rsidR="00297B51" w:rsidRPr="00274507">
        <w:rPr>
          <w:sz w:val="28"/>
          <w:szCs w:val="28"/>
        </w:rPr>
        <w:t xml:space="preserve">que solo </w:t>
      </w:r>
      <w:r w:rsidR="00C04F85" w:rsidRPr="00274507">
        <w:rPr>
          <w:sz w:val="28"/>
          <w:szCs w:val="28"/>
        </w:rPr>
        <w:t xml:space="preserve">se centra en </w:t>
      </w:r>
      <w:r w:rsidR="00297B51" w:rsidRPr="00274507">
        <w:rPr>
          <w:sz w:val="28"/>
          <w:szCs w:val="28"/>
        </w:rPr>
        <w:t xml:space="preserve">presentar informes incompletos los cuales impiden una visión concreta </w:t>
      </w:r>
      <w:r w:rsidR="00A171CF" w:rsidRPr="00274507">
        <w:rPr>
          <w:sz w:val="28"/>
          <w:szCs w:val="28"/>
        </w:rPr>
        <w:t xml:space="preserve">de las principales fallas, </w:t>
      </w:r>
      <w:r w:rsidR="00297B51" w:rsidRPr="00274507">
        <w:rPr>
          <w:sz w:val="28"/>
          <w:szCs w:val="28"/>
        </w:rPr>
        <w:t>supeditándolas</w:t>
      </w:r>
      <w:r w:rsidR="007A394B" w:rsidRPr="00274507">
        <w:rPr>
          <w:sz w:val="28"/>
          <w:szCs w:val="28"/>
        </w:rPr>
        <w:t xml:space="preserve"> a “temas interesantes” para ser desarrolladas a </w:t>
      </w:r>
      <w:r w:rsidR="00297B51" w:rsidRPr="00274507">
        <w:rPr>
          <w:sz w:val="28"/>
          <w:szCs w:val="28"/>
        </w:rPr>
        <w:t>fu</w:t>
      </w:r>
      <w:r w:rsidR="007A394B" w:rsidRPr="00274507">
        <w:rPr>
          <w:sz w:val="28"/>
          <w:szCs w:val="28"/>
        </w:rPr>
        <w:t xml:space="preserve">turo. </w:t>
      </w:r>
    </w:p>
    <w:p w:rsidR="00A171CF" w:rsidRPr="00274507" w:rsidRDefault="00A171CF" w:rsidP="00274507">
      <w:pPr>
        <w:jc w:val="both"/>
        <w:rPr>
          <w:color w:val="2E74B5" w:themeColor="accent1" w:themeShade="BF"/>
          <w:sz w:val="28"/>
          <w:szCs w:val="28"/>
        </w:rPr>
      </w:pPr>
    </w:p>
    <w:p w:rsidR="00EF054D" w:rsidRPr="00274507" w:rsidRDefault="00297B51" w:rsidP="00274507">
      <w:pPr>
        <w:jc w:val="both"/>
        <w:rPr>
          <w:sz w:val="28"/>
          <w:szCs w:val="28"/>
        </w:rPr>
      </w:pPr>
      <w:r w:rsidRPr="00274507">
        <w:rPr>
          <w:sz w:val="28"/>
          <w:szCs w:val="28"/>
        </w:rPr>
        <w:t xml:space="preserve">Por lo anterior, esta Corporación considera que </w:t>
      </w:r>
      <w:r w:rsidR="00A171CF" w:rsidRPr="00274507">
        <w:rPr>
          <w:sz w:val="28"/>
          <w:szCs w:val="28"/>
        </w:rPr>
        <w:t xml:space="preserve">a la fecha del </w:t>
      </w:r>
      <w:r w:rsidR="003E72E3" w:rsidRPr="00274507">
        <w:rPr>
          <w:sz w:val="28"/>
          <w:szCs w:val="28"/>
        </w:rPr>
        <w:t>informe</w:t>
      </w:r>
      <w:r w:rsidR="000C01A6" w:rsidRPr="00274507">
        <w:rPr>
          <w:sz w:val="28"/>
          <w:szCs w:val="28"/>
        </w:rPr>
        <w:t xml:space="preserve"> </w:t>
      </w:r>
      <w:r w:rsidRPr="00274507">
        <w:rPr>
          <w:sz w:val="28"/>
          <w:szCs w:val="28"/>
        </w:rPr>
        <w:t>persist</w:t>
      </w:r>
      <w:r w:rsidR="00A171CF" w:rsidRPr="00274507">
        <w:rPr>
          <w:sz w:val="28"/>
          <w:szCs w:val="28"/>
        </w:rPr>
        <w:t>ía</w:t>
      </w:r>
      <w:r w:rsidR="003A0A8A" w:rsidRPr="00274507">
        <w:rPr>
          <w:sz w:val="28"/>
          <w:szCs w:val="28"/>
        </w:rPr>
        <w:t>n</w:t>
      </w:r>
      <w:r w:rsidRPr="00274507">
        <w:rPr>
          <w:sz w:val="28"/>
          <w:szCs w:val="28"/>
        </w:rPr>
        <w:t xml:space="preserve"> los inconvenientes en </w:t>
      </w:r>
      <w:r w:rsidR="003E72E3" w:rsidRPr="00274507">
        <w:rPr>
          <w:sz w:val="28"/>
          <w:szCs w:val="28"/>
        </w:rPr>
        <w:t>el estudio y profundización en</w:t>
      </w:r>
      <w:r w:rsidRPr="00274507">
        <w:rPr>
          <w:sz w:val="28"/>
          <w:szCs w:val="28"/>
        </w:rPr>
        <w:t xml:space="preserve"> cada caso se</w:t>
      </w:r>
      <w:r w:rsidR="00EF054D" w:rsidRPr="00274507">
        <w:rPr>
          <w:sz w:val="28"/>
          <w:szCs w:val="28"/>
        </w:rPr>
        <w:t>gún los problemas jurídico</w:t>
      </w:r>
      <w:r w:rsidR="00450D9E" w:rsidRPr="00274507">
        <w:rPr>
          <w:sz w:val="28"/>
          <w:szCs w:val="28"/>
        </w:rPr>
        <w:t>s referidos en la T-760 de 2008</w:t>
      </w:r>
      <w:r w:rsidR="00EF054D" w:rsidRPr="00274507">
        <w:rPr>
          <w:sz w:val="28"/>
          <w:szCs w:val="28"/>
        </w:rPr>
        <w:t xml:space="preserve">. </w:t>
      </w:r>
      <w:r w:rsidR="003A0A8A" w:rsidRPr="00274507">
        <w:rPr>
          <w:sz w:val="28"/>
          <w:szCs w:val="28"/>
        </w:rPr>
        <w:t xml:space="preserve">También, respecto al estudio de cada motivo o causa por las cuales acuden los usuarios del sistema y </w:t>
      </w:r>
      <w:r w:rsidR="00450D9E" w:rsidRPr="00274507">
        <w:rPr>
          <w:sz w:val="28"/>
          <w:szCs w:val="28"/>
        </w:rPr>
        <w:t>la relación de aumento o la disminución de las acciones de tutelas en salud.</w:t>
      </w:r>
    </w:p>
    <w:p w:rsidR="00DF73E3" w:rsidRPr="00274507" w:rsidRDefault="00DF73E3" w:rsidP="00274507">
      <w:pPr>
        <w:jc w:val="both"/>
        <w:rPr>
          <w:b/>
          <w:sz w:val="28"/>
          <w:szCs w:val="28"/>
        </w:rPr>
      </w:pPr>
    </w:p>
    <w:p w:rsidR="00266A26" w:rsidRPr="00274507" w:rsidRDefault="000309F6" w:rsidP="00274507">
      <w:pPr>
        <w:jc w:val="both"/>
        <w:rPr>
          <w:sz w:val="28"/>
          <w:szCs w:val="28"/>
        </w:rPr>
      </w:pPr>
      <w:r w:rsidRPr="00274507">
        <w:rPr>
          <w:b/>
          <w:sz w:val="28"/>
          <w:szCs w:val="28"/>
        </w:rPr>
        <w:t>7</w:t>
      </w:r>
      <w:r w:rsidR="006767D7" w:rsidRPr="00274507">
        <w:rPr>
          <w:b/>
          <w:sz w:val="28"/>
          <w:szCs w:val="28"/>
        </w:rPr>
        <w:t xml:space="preserve">.1.3. </w:t>
      </w:r>
      <w:r w:rsidR="006767D7" w:rsidRPr="00274507">
        <w:rPr>
          <w:sz w:val="28"/>
          <w:szCs w:val="28"/>
        </w:rPr>
        <w:t xml:space="preserve">Del octavo informe sobre las tutelas correspondientes al año 2015, esta Sala Especial realizará el análisis desde la perspectiva del contenido del informe, la metodología para la selección de la muestra, la caracterización de las tutelas, el aumento o disminución de las tutelas, el desarrollo de los problemas jurídicos y las tutelas incoadas por los mismos. Lo anterior, teniendo como punto de referencia, los anteriores reportes y las intervenciones de las autoridades correspondientes, de los peritos y grupos de seguimiento voluntarios. </w:t>
      </w:r>
    </w:p>
    <w:p w:rsidR="006767D7" w:rsidRPr="00274507" w:rsidRDefault="006767D7" w:rsidP="00274507">
      <w:pPr>
        <w:jc w:val="both"/>
        <w:rPr>
          <w:sz w:val="28"/>
          <w:szCs w:val="28"/>
        </w:rPr>
      </w:pPr>
    </w:p>
    <w:p w:rsidR="008E36ED" w:rsidRPr="00274507" w:rsidRDefault="000309F6" w:rsidP="00274507">
      <w:pPr>
        <w:tabs>
          <w:tab w:val="left" w:pos="567"/>
        </w:tabs>
        <w:jc w:val="both"/>
        <w:rPr>
          <w:sz w:val="28"/>
          <w:szCs w:val="28"/>
        </w:rPr>
      </w:pPr>
      <w:r w:rsidRPr="00274507">
        <w:rPr>
          <w:b/>
          <w:sz w:val="28"/>
          <w:szCs w:val="28"/>
        </w:rPr>
        <w:t>7.2</w:t>
      </w:r>
      <w:r w:rsidR="005C0E72" w:rsidRPr="00274507">
        <w:rPr>
          <w:b/>
          <w:sz w:val="28"/>
          <w:szCs w:val="28"/>
        </w:rPr>
        <w:t xml:space="preserve">. </w:t>
      </w:r>
      <w:r w:rsidR="00A76CB8" w:rsidRPr="00274507">
        <w:rPr>
          <w:b/>
          <w:sz w:val="28"/>
          <w:szCs w:val="28"/>
        </w:rPr>
        <w:t xml:space="preserve"> Análisis de </w:t>
      </w:r>
      <w:r w:rsidR="00A30C40" w:rsidRPr="00274507">
        <w:rPr>
          <w:b/>
          <w:sz w:val="28"/>
          <w:szCs w:val="28"/>
        </w:rPr>
        <w:t>la</w:t>
      </w:r>
      <w:r w:rsidR="00994EA3" w:rsidRPr="00274507">
        <w:rPr>
          <w:b/>
          <w:sz w:val="28"/>
          <w:szCs w:val="28"/>
        </w:rPr>
        <w:t xml:space="preserve"> metodología</w:t>
      </w:r>
      <w:r w:rsidR="00E16E5E" w:rsidRPr="00274507">
        <w:rPr>
          <w:b/>
          <w:sz w:val="28"/>
          <w:szCs w:val="28"/>
        </w:rPr>
        <w:t xml:space="preserve"> aplicada</w:t>
      </w:r>
      <w:r w:rsidR="00F57380" w:rsidRPr="00274507">
        <w:rPr>
          <w:b/>
          <w:sz w:val="28"/>
          <w:szCs w:val="28"/>
        </w:rPr>
        <w:t xml:space="preserve"> en la selección de la muestra</w:t>
      </w:r>
      <w:r w:rsidR="005C374E" w:rsidRPr="00274507">
        <w:rPr>
          <w:b/>
          <w:sz w:val="28"/>
          <w:szCs w:val="28"/>
        </w:rPr>
        <w:t>.</w:t>
      </w:r>
    </w:p>
    <w:p w:rsidR="00E16E5E" w:rsidRPr="00274507" w:rsidRDefault="00E16E5E" w:rsidP="00274507">
      <w:pPr>
        <w:tabs>
          <w:tab w:val="left" w:pos="567"/>
        </w:tabs>
        <w:jc w:val="both"/>
        <w:rPr>
          <w:sz w:val="28"/>
          <w:szCs w:val="28"/>
        </w:rPr>
      </w:pPr>
    </w:p>
    <w:p w:rsidR="00F41272" w:rsidRPr="00274507" w:rsidRDefault="00787DE2" w:rsidP="00274507">
      <w:pPr>
        <w:tabs>
          <w:tab w:val="left" w:pos="567"/>
        </w:tabs>
        <w:jc w:val="both"/>
        <w:rPr>
          <w:sz w:val="28"/>
          <w:szCs w:val="28"/>
        </w:rPr>
      </w:pPr>
      <w:r w:rsidRPr="00274507">
        <w:rPr>
          <w:sz w:val="28"/>
          <w:szCs w:val="28"/>
        </w:rPr>
        <w:t>Desde la presentación de los informes 5º al 8º correspondientes a los años 2012 a 2015</w:t>
      </w:r>
      <w:r w:rsidR="00D7443C" w:rsidRPr="00274507">
        <w:rPr>
          <w:sz w:val="28"/>
          <w:szCs w:val="28"/>
        </w:rPr>
        <w:t>,</w:t>
      </w:r>
      <w:r w:rsidRPr="00274507">
        <w:rPr>
          <w:sz w:val="28"/>
          <w:szCs w:val="28"/>
        </w:rPr>
        <w:t xml:space="preserve"> </w:t>
      </w:r>
      <w:r w:rsidR="00D7443C" w:rsidRPr="00274507">
        <w:rPr>
          <w:sz w:val="28"/>
          <w:szCs w:val="28"/>
        </w:rPr>
        <w:t xml:space="preserve">el Ministerio de Salud realizó el análisis de las tutelas a partir de los expedientes que obraban en la Corte, como principal </w:t>
      </w:r>
      <w:r w:rsidR="00A76CB8" w:rsidRPr="00274507">
        <w:rPr>
          <w:sz w:val="28"/>
          <w:szCs w:val="28"/>
        </w:rPr>
        <w:t xml:space="preserve">fuente </w:t>
      </w:r>
      <w:r w:rsidR="00E96E1D" w:rsidRPr="00274507">
        <w:rPr>
          <w:sz w:val="28"/>
          <w:szCs w:val="28"/>
        </w:rPr>
        <w:t xml:space="preserve">de </w:t>
      </w:r>
      <w:r w:rsidR="00D7443C" w:rsidRPr="00274507">
        <w:rPr>
          <w:sz w:val="28"/>
          <w:szCs w:val="28"/>
        </w:rPr>
        <w:t>información</w:t>
      </w:r>
      <w:r w:rsidR="00A76CB8" w:rsidRPr="00274507">
        <w:rPr>
          <w:sz w:val="28"/>
          <w:szCs w:val="28"/>
        </w:rPr>
        <w:t xml:space="preserve">, a partir de </w:t>
      </w:r>
      <w:r w:rsidR="00D7443C" w:rsidRPr="00274507">
        <w:rPr>
          <w:sz w:val="28"/>
          <w:szCs w:val="28"/>
        </w:rPr>
        <w:t xml:space="preserve">ello implementó diferentes metodologías para encontrar la </w:t>
      </w:r>
      <w:r w:rsidR="00A76CB8" w:rsidRPr="00274507">
        <w:rPr>
          <w:sz w:val="28"/>
          <w:szCs w:val="28"/>
        </w:rPr>
        <w:t>muestra</w:t>
      </w:r>
      <w:r w:rsidR="007D76DA" w:rsidRPr="00274507">
        <w:rPr>
          <w:rStyle w:val="Refdenotaalpie"/>
          <w:sz w:val="28"/>
          <w:szCs w:val="28"/>
        </w:rPr>
        <w:footnoteReference w:id="165"/>
      </w:r>
      <w:r w:rsidR="00194C41" w:rsidRPr="00274507">
        <w:rPr>
          <w:sz w:val="28"/>
          <w:szCs w:val="28"/>
        </w:rPr>
        <w:t>,</w:t>
      </w:r>
      <w:r w:rsidR="00D7443C" w:rsidRPr="00274507">
        <w:rPr>
          <w:sz w:val="28"/>
          <w:szCs w:val="28"/>
        </w:rPr>
        <w:t xml:space="preserve"> identificar las principales características y variables, evaluar el comportamiento de las tutelas en salud y obtener resultados favorables que contribuyeran al cumpl</w:t>
      </w:r>
      <w:r w:rsidR="0008586B" w:rsidRPr="00274507">
        <w:rPr>
          <w:sz w:val="28"/>
          <w:szCs w:val="28"/>
        </w:rPr>
        <w:t xml:space="preserve">imiento de la orden trigésima. </w:t>
      </w:r>
    </w:p>
    <w:p w:rsidR="00F41272" w:rsidRPr="00274507" w:rsidRDefault="00F41272" w:rsidP="00274507">
      <w:pPr>
        <w:tabs>
          <w:tab w:val="left" w:pos="567"/>
        </w:tabs>
        <w:jc w:val="both"/>
        <w:rPr>
          <w:sz w:val="28"/>
          <w:szCs w:val="28"/>
        </w:rPr>
      </w:pPr>
    </w:p>
    <w:p w:rsidR="00A76CB8" w:rsidRPr="00274507" w:rsidRDefault="00D7443C" w:rsidP="00274507">
      <w:pPr>
        <w:tabs>
          <w:tab w:val="left" w:pos="567"/>
        </w:tabs>
        <w:jc w:val="both"/>
        <w:rPr>
          <w:sz w:val="28"/>
          <w:szCs w:val="28"/>
        </w:rPr>
      </w:pPr>
      <w:r w:rsidRPr="00274507">
        <w:rPr>
          <w:sz w:val="28"/>
          <w:szCs w:val="28"/>
        </w:rPr>
        <w:t xml:space="preserve">En este acápite, esta Sala </w:t>
      </w:r>
      <w:r w:rsidR="00E96E1D" w:rsidRPr="00274507">
        <w:rPr>
          <w:sz w:val="28"/>
          <w:szCs w:val="28"/>
        </w:rPr>
        <w:t xml:space="preserve">desarrollará el análisis a partir de las muestras seleccionadas por el ente regulador, </w:t>
      </w:r>
      <w:r w:rsidRPr="00274507">
        <w:rPr>
          <w:sz w:val="28"/>
          <w:szCs w:val="28"/>
        </w:rPr>
        <w:t xml:space="preserve">para lograr determinar </w:t>
      </w:r>
      <w:r w:rsidR="00E96E1D" w:rsidRPr="00274507">
        <w:rPr>
          <w:sz w:val="28"/>
          <w:szCs w:val="28"/>
        </w:rPr>
        <w:t>¿si la muestra</w:t>
      </w:r>
      <w:r w:rsidRPr="00274507">
        <w:rPr>
          <w:sz w:val="28"/>
          <w:szCs w:val="28"/>
        </w:rPr>
        <w:t xml:space="preserve"> seleccionada</w:t>
      </w:r>
      <w:r w:rsidR="00E96E1D" w:rsidRPr="00274507">
        <w:rPr>
          <w:sz w:val="28"/>
          <w:szCs w:val="28"/>
        </w:rPr>
        <w:t xml:space="preserve"> es representativa del universo de las tutelas?</w:t>
      </w:r>
    </w:p>
    <w:p w:rsidR="00F41272" w:rsidRPr="00274507" w:rsidRDefault="00F41272" w:rsidP="00274507">
      <w:pPr>
        <w:tabs>
          <w:tab w:val="left" w:pos="567"/>
        </w:tabs>
        <w:jc w:val="both"/>
        <w:rPr>
          <w:sz w:val="28"/>
          <w:szCs w:val="28"/>
        </w:rPr>
      </w:pPr>
    </w:p>
    <w:p w:rsidR="00A76CB8" w:rsidRPr="00274507" w:rsidRDefault="00A76CB8" w:rsidP="00274507">
      <w:pPr>
        <w:tabs>
          <w:tab w:val="left" w:pos="567"/>
        </w:tabs>
        <w:jc w:val="both"/>
        <w:rPr>
          <w:sz w:val="28"/>
          <w:szCs w:val="28"/>
        </w:rPr>
      </w:pPr>
    </w:p>
    <w:p w:rsidR="002E5F57" w:rsidRPr="00274507" w:rsidRDefault="002E5F57" w:rsidP="00274507">
      <w:pPr>
        <w:tabs>
          <w:tab w:val="left" w:pos="567"/>
        </w:tabs>
        <w:jc w:val="both"/>
        <w:rPr>
          <w:sz w:val="28"/>
          <w:szCs w:val="28"/>
        </w:rPr>
      </w:pPr>
    </w:p>
    <w:p w:rsidR="005C374E" w:rsidRPr="00274507" w:rsidRDefault="000309F6" w:rsidP="00274507">
      <w:pPr>
        <w:tabs>
          <w:tab w:val="left" w:pos="567"/>
        </w:tabs>
        <w:jc w:val="both"/>
        <w:rPr>
          <w:sz w:val="28"/>
          <w:szCs w:val="28"/>
        </w:rPr>
      </w:pPr>
      <w:r w:rsidRPr="00274507">
        <w:rPr>
          <w:b/>
          <w:sz w:val="28"/>
          <w:szCs w:val="28"/>
        </w:rPr>
        <w:t>7</w:t>
      </w:r>
      <w:r w:rsidR="00946010" w:rsidRPr="00274507">
        <w:rPr>
          <w:b/>
          <w:sz w:val="28"/>
          <w:szCs w:val="28"/>
        </w:rPr>
        <w:t>.2.1.</w:t>
      </w:r>
      <w:r w:rsidR="00946010" w:rsidRPr="00274507">
        <w:rPr>
          <w:sz w:val="28"/>
          <w:szCs w:val="28"/>
        </w:rPr>
        <w:t xml:space="preserve"> </w:t>
      </w:r>
      <w:r w:rsidR="00D7443C" w:rsidRPr="00274507">
        <w:rPr>
          <w:sz w:val="28"/>
          <w:szCs w:val="28"/>
        </w:rPr>
        <w:t xml:space="preserve">En ese orden, </w:t>
      </w:r>
      <w:r w:rsidR="00A76CB8" w:rsidRPr="00274507">
        <w:rPr>
          <w:sz w:val="28"/>
          <w:szCs w:val="28"/>
        </w:rPr>
        <w:t>para la presen</w:t>
      </w:r>
      <w:r w:rsidR="00D7443C" w:rsidRPr="00274507">
        <w:rPr>
          <w:sz w:val="28"/>
          <w:szCs w:val="28"/>
        </w:rPr>
        <w:t xml:space="preserve">tación de los </w:t>
      </w:r>
      <w:r w:rsidR="004E6E3C" w:rsidRPr="00274507">
        <w:rPr>
          <w:sz w:val="28"/>
          <w:szCs w:val="28"/>
        </w:rPr>
        <w:t xml:space="preserve">reportes </w:t>
      </w:r>
      <w:r w:rsidR="00D7443C" w:rsidRPr="00274507">
        <w:rPr>
          <w:sz w:val="28"/>
          <w:szCs w:val="28"/>
        </w:rPr>
        <w:t xml:space="preserve">1º a 4º </w:t>
      </w:r>
      <w:r w:rsidR="00946010" w:rsidRPr="00274507">
        <w:rPr>
          <w:sz w:val="28"/>
          <w:szCs w:val="28"/>
        </w:rPr>
        <w:t xml:space="preserve">el Ministerio de Salud </w:t>
      </w:r>
      <w:r w:rsidR="00E16E5E" w:rsidRPr="00274507">
        <w:rPr>
          <w:sz w:val="28"/>
          <w:szCs w:val="28"/>
        </w:rPr>
        <w:t>r</w:t>
      </w:r>
      <w:r w:rsidR="00D1166B" w:rsidRPr="00274507">
        <w:rPr>
          <w:sz w:val="28"/>
          <w:szCs w:val="28"/>
        </w:rPr>
        <w:t>ecolectó la</w:t>
      </w:r>
      <w:r w:rsidR="00A76CB8" w:rsidRPr="00274507">
        <w:rPr>
          <w:sz w:val="28"/>
          <w:szCs w:val="28"/>
        </w:rPr>
        <w:t xml:space="preserve"> información a partir de lo</w:t>
      </w:r>
      <w:r w:rsidR="00D1166B" w:rsidRPr="00274507">
        <w:rPr>
          <w:sz w:val="28"/>
          <w:szCs w:val="28"/>
        </w:rPr>
        <w:t>s</w:t>
      </w:r>
      <w:r w:rsidR="00A76CB8" w:rsidRPr="00274507">
        <w:rPr>
          <w:sz w:val="28"/>
          <w:szCs w:val="28"/>
        </w:rPr>
        <w:t xml:space="preserve"> datos</w:t>
      </w:r>
      <w:r w:rsidR="00D1166B" w:rsidRPr="00274507">
        <w:rPr>
          <w:sz w:val="28"/>
          <w:szCs w:val="28"/>
        </w:rPr>
        <w:t xml:space="preserve"> </w:t>
      </w:r>
      <w:r w:rsidR="00A76CB8" w:rsidRPr="00274507">
        <w:rPr>
          <w:sz w:val="28"/>
          <w:szCs w:val="28"/>
        </w:rPr>
        <w:t>estadístico</w:t>
      </w:r>
      <w:r w:rsidR="005C374E" w:rsidRPr="00274507">
        <w:rPr>
          <w:sz w:val="28"/>
          <w:szCs w:val="28"/>
        </w:rPr>
        <w:t xml:space="preserve">s </w:t>
      </w:r>
      <w:r w:rsidR="00A76CB8" w:rsidRPr="00274507">
        <w:rPr>
          <w:sz w:val="28"/>
          <w:szCs w:val="28"/>
        </w:rPr>
        <w:t xml:space="preserve">contenidos en los </w:t>
      </w:r>
      <w:r w:rsidR="005C374E" w:rsidRPr="00274507">
        <w:rPr>
          <w:sz w:val="28"/>
          <w:szCs w:val="28"/>
        </w:rPr>
        <w:t>recobros, por lo que realizaba una sumatoria y verificaba el valor previo y posterior a la expedición de la T-760 de 2008</w:t>
      </w:r>
      <w:r w:rsidR="00D1166B" w:rsidRPr="00274507">
        <w:rPr>
          <w:sz w:val="28"/>
          <w:szCs w:val="28"/>
        </w:rPr>
        <w:t xml:space="preserve"> obteniendo así los resultados</w:t>
      </w:r>
      <w:r w:rsidR="005C374E" w:rsidRPr="00274507">
        <w:rPr>
          <w:sz w:val="28"/>
          <w:szCs w:val="28"/>
        </w:rPr>
        <w:t>.</w:t>
      </w:r>
      <w:r w:rsidR="00D1166B" w:rsidRPr="00274507">
        <w:rPr>
          <w:sz w:val="28"/>
          <w:szCs w:val="28"/>
        </w:rPr>
        <w:t xml:space="preserve"> L</w:t>
      </w:r>
      <w:r w:rsidR="005C374E" w:rsidRPr="00274507">
        <w:rPr>
          <w:sz w:val="28"/>
          <w:szCs w:val="28"/>
        </w:rPr>
        <w:t>uego</w:t>
      </w:r>
      <w:r w:rsidR="00D1166B" w:rsidRPr="00274507">
        <w:rPr>
          <w:sz w:val="28"/>
          <w:szCs w:val="28"/>
        </w:rPr>
        <w:t>,</w:t>
      </w:r>
      <w:r w:rsidR="005C374E" w:rsidRPr="00274507">
        <w:rPr>
          <w:sz w:val="28"/>
          <w:szCs w:val="28"/>
        </w:rPr>
        <w:t xml:space="preserve"> incluyó en sus reportes las tutelas en las que era participe en calidad de demandando</w:t>
      </w:r>
      <w:r w:rsidR="00D1166B" w:rsidRPr="00274507">
        <w:rPr>
          <w:sz w:val="28"/>
          <w:szCs w:val="28"/>
        </w:rPr>
        <w:t xml:space="preserve"> y unificó el mismo con la información obtenida de los recobros, </w:t>
      </w:r>
      <w:r w:rsidR="005C374E" w:rsidRPr="00274507">
        <w:rPr>
          <w:sz w:val="28"/>
          <w:szCs w:val="28"/>
        </w:rPr>
        <w:t>dando a</w:t>
      </w:r>
      <w:r w:rsidR="00D1166B" w:rsidRPr="00274507">
        <w:rPr>
          <w:sz w:val="28"/>
          <w:szCs w:val="28"/>
        </w:rPr>
        <w:t>sí a</w:t>
      </w:r>
      <w:r w:rsidR="005C374E" w:rsidRPr="00274507">
        <w:rPr>
          <w:sz w:val="28"/>
          <w:szCs w:val="28"/>
        </w:rPr>
        <w:t xml:space="preserve"> conocer solo un porcentaje pequeño del universo de las tutelas incoadas.</w:t>
      </w:r>
    </w:p>
    <w:p w:rsidR="00DC341D" w:rsidRPr="00274507" w:rsidRDefault="00DC341D" w:rsidP="00274507">
      <w:pPr>
        <w:tabs>
          <w:tab w:val="left" w:pos="567"/>
        </w:tabs>
        <w:jc w:val="both"/>
        <w:rPr>
          <w:sz w:val="28"/>
          <w:szCs w:val="28"/>
        </w:rPr>
      </w:pPr>
    </w:p>
    <w:p w:rsidR="005C374E" w:rsidRPr="00274507" w:rsidRDefault="00D05C0C" w:rsidP="00274507">
      <w:pPr>
        <w:tabs>
          <w:tab w:val="left" w:pos="567"/>
        </w:tabs>
        <w:jc w:val="both"/>
        <w:rPr>
          <w:sz w:val="28"/>
          <w:szCs w:val="28"/>
        </w:rPr>
      </w:pPr>
      <w:r w:rsidRPr="00274507">
        <w:rPr>
          <w:b/>
          <w:sz w:val="28"/>
          <w:szCs w:val="28"/>
        </w:rPr>
        <w:t>7</w:t>
      </w:r>
      <w:r w:rsidR="00946010" w:rsidRPr="00274507">
        <w:rPr>
          <w:b/>
          <w:sz w:val="28"/>
          <w:szCs w:val="28"/>
        </w:rPr>
        <w:t>.2.2.</w:t>
      </w:r>
      <w:r w:rsidR="00946010" w:rsidRPr="00274507">
        <w:rPr>
          <w:sz w:val="28"/>
          <w:szCs w:val="28"/>
        </w:rPr>
        <w:t xml:space="preserve"> </w:t>
      </w:r>
      <w:r w:rsidR="00537D6F" w:rsidRPr="00274507">
        <w:rPr>
          <w:sz w:val="28"/>
          <w:szCs w:val="28"/>
        </w:rPr>
        <w:t>Al observar que el anterior método no era pertinente para dar cumplimiento a lo ordenado,</w:t>
      </w:r>
      <w:r w:rsidR="00E10B87" w:rsidRPr="00274507">
        <w:rPr>
          <w:sz w:val="28"/>
          <w:szCs w:val="28"/>
        </w:rPr>
        <w:t xml:space="preserve"> en su quinto informe</w:t>
      </w:r>
      <w:r w:rsidR="0040672B" w:rsidRPr="00274507">
        <w:rPr>
          <w:sz w:val="28"/>
          <w:szCs w:val="28"/>
        </w:rPr>
        <w:t xml:space="preserve">, el Ministerio </w:t>
      </w:r>
      <w:r w:rsidR="00A046D5" w:rsidRPr="00274507">
        <w:rPr>
          <w:sz w:val="28"/>
          <w:szCs w:val="28"/>
        </w:rPr>
        <w:t>de Salud</w:t>
      </w:r>
      <w:r w:rsidR="00E10B87" w:rsidRPr="00274507">
        <w:rPr>
          <w:sz w:val="28"/>
          <w:szCs w:val="28"/>
        </w:rPr>
        <w:t xml:space="preserve"> </w:t>
      </w:r>
      <w:r w:rsidR="00445A05" w:rsidRPr="00274507">
        <w:rPr>
          <w:sz w:val="28"/>
          <w:szCs w:val="28"/>
        </w:rPr>
        <w:t xml:space="preserve">implementó el </w:t>
      </w:r>
      <w:r w:rsidR="00E10B87" w:rsidRPr="00274507">
        <w:rPr>
          <w:sz w:val="28"/>
          <w:szCs w:val="28"/>
        </w:rPr>
        <w:t>“</w:t>
      </w:r>
      <w:r w:rsidR="00E10B87" w:rsidRPr="00274507">
        <w:rPr>
          <w:i/>
          <w:sz w:val="28"/>
          <w:szCs w:val="28"/>
        </w:rPr>
        <w:t>muestreo sistemático</w:t>
      </w:r>
      <w:r w:rsidR="00E10B87" w:rsidRPr="00274507">
        <w:rPr>
          <w:sz w:val="28"/>
          <w:szCs w:val="28"/>
        </w:rPr>
        <w:t xml:space="preserve">” el cual fue </w:t>
      </w:r>
      <w:r w:rsidR="00A046D5" w:rsidRPr="00274507">
        <w:rPr>
          <w:sz w:val="28"/>
          <w:szCs w:val="28"/>
        </w:rPr>
        <w:t>objeto de discusi</w:t>
      </w:r>
      <w:r w:rsidR="00445A05" w:rsidRPr="00274507">
        <w:rPr>
          <w:sz w:val="28"/>
          <w:szCs w:val="28"/>
        </w:rPr>
        <w:t>ón ante los peritos y esta Sala, así:</w:t>
      </w:r>
    </w:p>
    <w:p w:rsidR="00A046D5" w:rsidRPr="00274507" w:rsidRDefault="00A046D5" w:rsidP="00274507">
      <w:pPr>
        <w:tabs>
          <w:tab w:val="left" w:pos="567"/>
        </w:tabs>
        <w:jc w:val="both"/>
        <w:rPr>
          <w:sz w:val="28"/>
          <w:szCs w:val="28"/>
        </w:rPr>
      </w:pPr>
    </w:p>
    <w:p w:rsidR="00A046D5" w:rsidRPr="00274507" w:rsidRDefault="00A85CE4" w:rsidP="00274507">
      <w:pPr>
        <w:tabs>
          <w:tab w:val="left" w:pos="567"/>
        </w:tabs>
        <w:jc w:val="both"/>
        <w:rPr>
          <w:sz w:val="28"/>
          <w:szCs w:val="28"/>
        </w:rPr>
      </w:pPr>
      <w:r w:rsidRPr="00274507">
        <w:rPr>
          <w:sz w:val="28"/>
          <w:szCs w:val="28"/>
        </w:rPr>
        <w:t>El p</w:t>
      </w:r>
      <w:r w:rsidR="00A046D5" w:rsidRPr="00274507">
        <w:rPr>
          <w:sz w:val="28"/>
          <w:szCs w:val="28"/>
        </w:rPr>
        <w:t>royecto “</w:t>
      </w:r>
      <w:r w:rsidR="00A046D5" w:rsidRPr="00274507">
        <w:rPr>
          <w:i/>
          <w:sz w:val="28"/>
          <w:szCs w:val="28"/>
        </w:rPr>
        <w:t>Así vamos en salud</w:t>
      </w:r>
      <w:r w:rsidR="00A046D5" w:rsidRPr="00274507">
        <w:rPr>
          <w:sz w:val="28"/>
          <w:szCs w:val="28"/>
        </w:rPr>
        <w:t>”</w:t>
      </w:r>
      <w:r w:rsidR="00A046D5" w:rsidRPr="00274507">
        <w:rPr>
          <w:rStyle w:val="Refdenotaalpie"/>
          <w:sz w:val="28"/>
          <w:szCs w:val="28"/>
        </w:rPr>
        <w:footnoteReference w:id="166"/>
      </w:r>
      <w:r w:rsidR="00A046D5" w:rsidRPr="00274507">
        <w:rPr>
          <w:sz w:val="28"/>
          <w:szCs w:val="28"/>
        </w:rPr>
        <w:t xml:space="preserve"> estableció que el tamaño de la muestra  fue acorde y representativa para el tipo de estudio efectuado. </w:t>
      </w:r>
      <w:r w:rsidR="00445A05" w:rsidRPr="00274507">
        <w:rPr>
          <w:sz w:val="28"/>
          <w:szCs w:val="28"/>
        </w:rPr>
        <w:t xml:space="preserve">De igual forma, </w:t>
      </w:r>
      <w:r w:rsidR="00A046D5" w:rsidRPr="00274507">
        <w:rPr>
          <w:sz w:val="28"/>
          <w:szCs w:val="28"/>
        </w:rPr>
        <w:t>CSR y Fedesalud en su concepto</w:t>
      </w:r>
      <w:r w:rsidR="00A046D5" w:rsidRPr="00274507">
        <w:rPr>
          <w:rStyle w:val="Refdenotaalpie"/>
          <w:sz w:val="28"/>
          <w:szCs w:val="28"/>
        </w:rPr>
        <w:footnoteReference w:id="167"/>
      </w:r>
      <w:r w:rsidR="00147C99" w:rsidRPr="00274507">
        <w:rPr>
          <w:sz w:val="28"/>
          <w:szCs w:val="28"/>
        </w:rPr>
        <w:t xml:space="preserve"> </w:t>
      </w:r>
      <w:r w:rsidR="00A046D5" w:rsidRPr="00274507">
        <w:rPr>
          <w:sz w:val="28"/>
          <w:szCs w:val="28"/>
        </w:rPr>
        <w:t>recomendaron utilizar la técnica de “</w:t>
      </w:r>
      <w:r w:rsidR="00A046D5" w:rsidRPr="00274507">
        <w:rPr>
          <w:i/>
          <w:sz w:val="28"/>
          <w:szCs w:val="28"/>
        </w:rPr>
        <w:t>muestreo estratificado</w:t>
      </w:r>
      <w:r w:rsidR="00A046D5" w:rsidRPr="00274507">
        <w:rPr>
          <w:sz w:val="28"/>
          <w:szCs w:val="28"/>
        </w:rPr>
        <w:t>”</w:t>
      </w:r>
      <w:r w:rsidR="00A046D5" w:rsidRPr="00274507">
        <w:rPr>
          <w:rStyle w:val="Refdenotaalpie"/>
          <w:sz w:val="28"/>
          <w:szCs w:val="28"/>
        </w:rPr>
        <w:footnoteReference w:id="168"/>
      </w:r>
      <w:r w:rsidR="00A046D5" w:rsidRPr="00274507">
        <w:rPr>
          <w:i/>
          <w:sz w:val="28"/>
          <w:szCs w:val="28"/>
        </w:rPr>
        <w:t xml:space="preserve"> </w:t>
      </w:r>
      <w:r w:rsidR="00A046D5" w:rsidRPr="00274507">
        <w:rPr>
          <w:sz w:val="28"/>
          <w:szCs w:val="28"/>
        </w:rPr>
        <w:t xml:space="preserve">en el que se obtuviera la representación de la muestra por estratos según características de distribución de la población. Además consideraron pertinente la distribución territorial de las tutelas para la caracterización de cada una de estas y obtener información más concreta. </w:t>
      </w:r>
    </w:p>
    <w:p w:rsidR="00A046D5" w:rsidRPr="00274507" w:rsidRDefault="00A046D5" w:rsidP="00274507">
      <w:pPr>
        <w:widowControl w:val="0"/>
        <w:tabs>
          <w:tab w:val="left" w:pos="426"/>
        </w:tabs>
        <w:autoSpaceDE w:val="0"/>
        <w:autoSpaceDN w:val="0"/>
        <w:adjustRightInd w:val="0"/>
        <w:jc w:val="both"/>
        <w:rPr>
          <w:i/>
          <w:sz w:val="28"/>
          <w:szCs w:val="28"/>
        </w:rPr>
      </w:pPr>
    </w:p>
    <w:p w:rsidR="00A046D5" w:rsidRPr="00274507" w:rsidRDefault="00A046D5" w:rsidP="00274507">
      <w:pPr>
        <w:widowControl w:val="0"/>
        <w:tabs>
          <w:tab w:val="left" w:pos="426"/>
        </w:tabs>
        <w:autoSpaceDE w:val="0"/>
        <w:autoSpaceDN w:val="0"/>
        <w:adjustRightInd w:val="0"/>
        <w:jc w:val="both"/>
        <w:rPr>
          <w:sz w:val="28"/>
          <w:szCs w:val="28"/>
        </w:rPr>
      </w:pPr>
      <w:r w:rsidRPr="00274507">
        <w:rPr>
          <w:sz w:val="28"/>
          <w:szCs w:val="28"/>
        </w:rPr>
        <w:t>Igualmente, Acemi, Asocajas y Gestarsalud</w:t>
      </w:r>
      <w:r w:rsidRPr="00274507">
        <w:rPr>
          <w:rStyle w:val="Refdenotaalpie"/>
          <w:sz w:val="28"/>
          <w:szCs w:val="28"/>
        </w:rPr>
        <w:footnoteReference w:id="169"/>
      </w:r>
      <w:r w:rsidR="00147C99" w:rsidRPr="00274507">
        <w:rPr>
          <w:sz w:val="28"/>
          <w:szCs w:val="28"/>
        </w:rPr>
        <w:t xml:space="preserve"> advirtieron que no se po</w:t>
      </w:r>
      <w:r w:rsidRPr="00274507">
        <w:rPr>
          <w:sz w:val="28"/>
          <w:szCs w:val="28"/>
        </w:rPr>
        <w:t>d</w:t>
      </w:r>
      <w:r w:rsidR="00147C99" w:rsidRPr="00274507">
        <w:rPr>
          <w:sz w:val="28"/>
          <w:szCs w:val="28"/>
        </w:rPr>
        <w:t>ía determinar si la muestra era</w:t>
      </w:r>
      <w:r w:rsidRPr="00274507">
        <w:rPr>
          <w:sz w:val="28"/>
          <w:szCs w:val="28"/>
        </w:rPr>
        <w:t xml:space="preserve"> representativa, ya que no se precisó si fue elaborada para cada uno de los problemas jurídicos contenido</w:t>
      </w:r>
      <w:r w:rsidR="00147C99" w:rsidRPr="00274507">
        <w:rPr>
          <w:sz w:val="28"/>
          <w:szCs w:val="28"/>
        </w:rPr>
        <w:t>s en la sentencia T-760 de 2008 ni se</w:t>
      </w:r>
      <w:r w:rsidRPr="00274507">
        <w:rPr>
          <w:sz w:val="28"/>
          <w:szCs w:val="28"/>
        </w:rPr>
        <w:t xml:space="preserve"> indicaron las razones por las cuales se efectúo la recolección de la información contenida en los expedientes </w:t>
      </w:r>
      <w:r w:rsidR="00147C99" w:rsidRPr="00274507">
        <w:rPr>
          <w:sz w:val="28"/>
          <w:szCs w:val="28"/>
        </w:rPr>
        <w:t xml:space="preserve">solo para </w:t>
      </w:r>
      <w:r w:rsidR="00C010EA" w:rsidRPr="00274507">
        <w:rPr>
          <w:sz w:val="28"/>
          <w:szCs w:val="28"/>
        </w:rPr>
        <w:t>dos momentos de</w:t>
      </w:r>
      <w:r w:rsidRPr="00274507">
        <w:rPr>
          <w:sz w:val="28"/>
          <w:szCs w:val="28"/>
        </w:rPr>
        <w:t>l año (abril –mayo y octubre-diciembre).</w:t>
      </w:r>
    </w:p>
    <w:p w:rsidR="00A85CE4" w:rsidRPr="00274507" w:rsidRDefault="00A85CE4" w:rsidP="00274507">
      <w:pPr>
        <w:tabs>
          <w:tab w:val="left" w:pos="567"/>
        </w:tabs>
        <w:jc w:val="both"/>
        <w:rPr>
          <w:sz w:val="28"/>
          <w:szCs w:val="28"/>
        </w:rPr>
      </w:pPr>
    </w:p>
    <w:p w:rsidR="00537D6F" w:rsidRPr="00274507" w:rsidRDefault="00D05C0C" w:rsidP="00274507">
      <w:pPr>
        <w:tabs>
          <w:tab w:val="left" w:pos="567"/>
        </w:tabs>
        <w:jc w:val="both"/>
        <w:rPr>
          <w:sz w:val="28"/>
          <w:szCs w:val="28"/>
        </w:rPr>
      </w:pPr>
      <w:r w:rsidRPr="00274507">
        <w:rPr>
          <w:b/>
          <w:sz w:val="28"/>
          <w:szCs w:val="28"/>
        </w:rPr>
        <w:t>7</w:t>
      </w:r>
      <w:r w:rsidR="00946010" w:rsidRPr="00274507">
        <w:rPr>
          <w:b/>
          <w:sz w:val="28"/>
          <w:szCs w:val="28"/>
        </w:rPr>
        <w:t>.2.3.</w:t>
      </w:r>
      <w:r w:rsidR="00946010" w:rsidRPr="00274507">
        <w:rPr>
          <w:sz w:val="28"/>
          <w:szCs w:val="28"/>
        </w:rPr>
        <w:t xml:space="preserve"> </w:t>
      </w:r>
      <w:r w:rsidR="00147C99" w:rsidRPr="00274507">
        <w:rPr>
          <w:sz w:val="28"/>
          <w:szCs w:val="28"/>
        </w:rPr>
        <w:t>Posteriormente, en</w:t>
      </w:r>
      <w:r w:rsidR="00A56B56" w:rsidRPr="00274507">
        <w:rPr>
          <w:sz w:val="28"/>
          <w:szCs w:val="28"/>
        </w:rPr>
        <w:t xml:space="preserve"> el sexto informe, el Ministerio de Salud </w:t>
      </w:r>
      <w:r w:rsidR="00537D6F" w:rsidRPr="00274507">
        <w:rPr>
          <w:sz w:val="28"/>
          <w:szCs w:val="28"/>
        </w:rPr>
        <w:t>optó por realizar una propuesta de estudio de los expedientes que obraban en la Corte</w:t>
      </w:r>
      <w:r w:rsidR="00C010EA" w:rsidRPr="00274507">
        <w:rPr>
          <w:sz w:val="28"/>
          <w:szCs w:val="28"/>
        </w:rPr>
        <w:t>,</w:t>
      </w:r>
      <w:r w:rsidR="00A046D5" w:rsidRPr="00274507">
        <w:rPr>
          <w:sz w:val="28"/>
          <w:szCs w:val="28"/>
        </w:rPr>
        <w:t xml:space="preserve"> </w:t>
      </w:r>
      <w:r w:rsidR="00537D6F" w:rsidRPr="00274507">
        <w:rPr>
          <w:sz w:val="28"/>
          <w:szCs w:val="28"/>
        </w:rPr>
        <w:t>en raz</w:t>
      </w:r>
      <w:r w:rsidR="00E97DB3" w:rsidRPr="00274507">
        <w:rPr>
          <w:sz w:val="28"/>
          <w:szCs w:val="28"/>
        </w:rPr>
        <w:t>ón de los artículos 31</w:t>
      </w:r>
      <w:r w:rsidR="00E97DB3" w:rsidRPr="00274507">
        <w:rPr>
          <w:rStyle w:val="Refdenotaalpie"/>
          <w:sz w:val="28"/>
          <w:szCs w:val="28"/>
        </w:rPr>
        <w:footnoteReference w:id="170"/>
      </w:r>
      <w:r w:rsidR="00E97DB3" w:rsidRPr="00274507">
        <w:rPr>
          <w:sz w:val="28"/>
          <w:szCs w:val="28"/>
        </w:rPr>
        <w:t>, 32</w:t>
      </w:r>
      <w:r w:rsidR="00E97DB3" w:rsidRPr="00274507">
        <w:rPr>
          <w:rStyle w:val="Refdenotaalpie"/>
          <w:sz w:val="28"/>
          <w:szCs w:val="28"/>
        </w:rPr>
        <w:footnoteReference w:id="171"/>
      </w:r>
      <w:r w:rsidR="00E97DB3" w:rsidRPr="00274507">
        <w:rPr>
          <w:sz w:val="28"/>
          <w:szCs w:val="28"/>
        </w:rPr>
        <w:t xml:space="preserve"> y 33</w:t>
      </w:r>
      <w:r w:rsidR="00903ED4" w:rsidRPr="00274507">
        <w:rPr>
          <w:rStyle w:val="Refdenotaalpie"/>
          <w:sz w:val="28"/>
          <w:szCs w:val="28"/>
        </w:rPr>
        <w:footnoteReference w:id="172"/>
      </w:r>
      <w:r w:rsidR="00E97DB3" w:rsidRPr="00274507">
        <w:rPr>
          <w:sz w:val="28"/>
          <w:szCs w:val="28"/>
        </w:rPr>
        <w:t xml:space="preserve"> del Decreto 2591 de 1991</w:t>
      </w:r>
      <w:r w:rsidR="00903ED4" w:rsidRPr="00274507">
        <w:rPr>
          <w:sz w:val="28"/>
          <w:szCs w:val="28"/>
        </w:rPr>
        <w:t>, es decir por la eventual revisión de las acciones de tut</w:t>
      </w:r>
      <w:r w:rsidR="00E10B87" w:rsidRPr="00274507">
        <w:rPr>
          <w:sz w:val="28"/>
          <w:szCs w:val="28"/>
        </w:rPr>
        <w:t>ela, en ese sentido se recopilarían</w:t>
      </w:r>
      <w:r w:rsidR="00903ED4" w:rsidRPr="00274507">
        <w:rPr>
          <w:sz w:val="28"/>
          <w:szCs w:val="28"/>
        </w:rPr>
        <w:t xml:space="preserve"> en su gran mayoría todos los amparos presentados a nivel nacional, </w:t>
      </w:r>
      <w:r w:rsidR="00A046D5" w:rsidRPr="00274507">
        <w:rPr>
          <w:sz w:val="28"/>
          <w:szCs w:val="28"/>
        </w:rPr>
        <w:t>mediante una propuesta de “</w:t>
      </w:r>
      <w:r w:rsidR="00A046D5" w:rsidRPr="00274507">
        <w:rPr>
          <w:i/>
          <w:sz w:val="28"/>
          <w:szCs w:val="28"/>
        </w:rPr>
        <w:t>muestreo estratificado</w:t>
      </w:r>
      <w:r w:rsidR="00A046D5" w:rsidRPr="00274507">
        <w:rPr>
          <w:sz w:val="28"/>
          <w:szCs w:val="28"/>
        </w:rPr>
        <w:t>”</w:t>
      </w:r>
      <w:r w:rsidR="00903ED4" w:rsidRPr="00274507">
        <w:rPr>
          <w:sz w:val="28"/>
          <w:szCs w:val="28"/>
        </w:rPr>
        <w:t xml:space="preserve">. </w:t>
      </w:r>
    </w:p>
    <w:p w:rsidR="00903ED4" w:rsidRPr="00274507" w:rsidRDefault="00903ED4" w:rsidP="00274507">
      <w:pPr>
        <w:tabs>
          <w:tab w:val="left" w:pos="567"/>
        </w:tabs>
        <w:jc w:val="both"/>
        <w:rPr>
          <w:sz w:val="28"/>
          <w:szCs w:val="28"/>
        </w:rPr>
      </w:pPr>
    </w:p>
    <w:p w:rsidR="00147C99" w:rsidRPr="00274507" w:rsidRDefault="00D05C0C" w:rsidP="00274507">
      <w:pPr>
        <w:widowControl w:val="0"/>
        <w:tabs>
          <w:tab w:val="left" w:pos="426"/>
        </w:tabs>
        <w:autoSpaceDE w:val="0"/>
        <w:autoSpaceDN w:val="0"/>
        <w:adjustRightInd w:val="0"/>
        <w:jc w:val="both"/>
        <w:rPr>
          <w:sz w:val="28"/>
          <w:szCs w:val="28"/>
        </w:rPr>
      </w:pPr>
      <w:r w:rsidRPr="00274507">
        <w:rPr>
          <w:b/>
          <w:sz w:val="28"/>
          <w:szCs w:val="28"/>
        </w:rPr>
        <w:t>7</w:t>
      </w:r>
      <w:r w:rsidR="00946010" w:rsidRPr="00274507">
        <w:rPr>
          <w:b/>
          <w:sz w:val="28"/>
          <w:szCs w:val="28"/>
        </w:rPr>
        <w:t>.2.4.</w:t>
      </w:r>
      <w:r w:rsidR="00946010" w:rsidRPr="00274507">
        <w:rPr>
          <w:sz w:val="28"/>
          <w:szCs w:val="28"/>
        </w:rPr>
        <w:t xml:space="preserve"> </w:t>
      </w:r>
      <w:r w:rsidR="00A85CE4" w:rsidRPr="00274507">
        <w:rPr>
          <w:sz w:val="28"/>
          <w:szCs w:val="28"/>
        </w:rPr>
        <w:t>En su segundo concepto</w:t>
      </w:r>
      <w:r w:rsidR="00A85CE4" w:rsidRPr="00274507">
        <w:rPr>
          <w:rStyle w:val="Refdenotaalpie"/>
          <w:sz w:val="28"/>
          <w:szCs w:val="28"/>
        </w:rPr>
        <w:footnoteReference w:id="173"/>
      </w:r>
      <w:r w:rsidR="00A85CE4" w:rsidRPr="00274507">
        <w:rPr>
          <w:sz w:val="28"/>
          <w:szCs w:val="28"/>
        </w:rPr>
        <w:t xml:space="preserve"> en relación con la</w:t>
      </w:r>
      <w:r w:rsidR="0008586B" w:rsidRPr="00274507">
        <w:rPr>
          <w:sz w:val="28"/>
          <w:szCs w:val="28"/>
        </w:rPr>
        <w:t xml:space="preserve"> metodología implementada por el Ministerio </w:t>
      </w:r>
      <w:r w:rsidR="00147C99" w:rsidRPr="00274507">
        <w:rPr>
          <w:sz w:val="28"/>
          <w:szCs w:val="28"/>
        </w:rPr>
        <w:t>de Salud, los peritos indicaron: i) Acemi precisó que la metodología de muestreo estratificado es la adecuada, pero que no se podía concluir que los resultados se obtuvieron de una muestra representativa del universo de tutelas; ii) Gestarsalud advirtió que la muestra no es representativa del universo de las tutelas en materia de salud porque se desconocen los criterios utilizados para obtenerla; iii) proyecto “</w:t>
      </w:r>
      <w:r w:rsidR="00147C99" w:rsidRPr="00274507">
        <w:rPr>
          <w:i/>
          <w:sz w:val="28"/>
          <w:szCs w:val="28"/>
        </w:rPr>
        <w:t xml:space="preserve">Así Vamos en Salud” </w:t>
      </w:r>
      <w:r w:rsidR="00147C99" w:rsidRPr="00274507">
        <w:rPr>
          <w:sz w:val="28"/>
          <w:szCs w:val="28"/>
        </w:rPr>
        <w:t>se</w:t>
      </w:r>
      <w:r w:rsidR="00CF7316" w:rsidRPr="00274507">
        <w:rPr>
          <w:sz w:val="28"/>
          <w:szCs w:val="28"/>
        </w:rPr>
        <w:t xml:space="preserve">ñaló que </w:t>
      </w:r>
      <w:r w:rsidR="00147C99" w:rsidRPr="00274507">
        <w:rPr>
          <w:sz w:val="28"/>
          <w:szCs w:val="28"/>
        </w:rPr>
        <w:t xml:space="preserve">es representativa ya que goza de amplia legitimidad, porque a pesar de la ausencia de una </w:t>
      </w:r>
      <w:r w:rsidR="00CF7316" w:rsidRPr="00274507">
        <w:rPr>
          <w:sz w:val="28"/>
          <w:szCs w:val="28"/>
        </w:rPr>
        <w:t>fuente de información propia, tuvo en cuenta los expedientes de tutela que reposaban en</w:t>
      </w:r>
      <w:r w:rsidR="00147C99" w:rsidRPr="00274507">
        <w:rPr>
          <w:sz w:val="28"/>
          <w:szCs w:val="28"/>
        </w:rPr>
        <w:t xml:space="preserve"> la Corte Constitucional para </w:t>
      </w:r>
      <w:r w:rsidR="00CF7316" w:rsidRPr="00274507">
        <w:rPr>
          <w:sz w:val="28"/>
          <w:szCs w:val="28"/>
        </w:rPr>
        <w:t>el año 2013 y de los estudios efectuados por la</w:t>
      </w:r>
      <w:r w:rsidR="00147C99" w:rsidRPr="00274507">
        <w:rPr>
          <w:sz w:val="28"/>
          <w:szCs w:val="28"/>
        </w:rPr>
        <w:t xml:space="preserve"> Defensoría del Pueblo </w:t>
      </w:r>
      <w:r w:rsidR="00CF7316" w:rsidRPr="00274507">
        <w:rPr>
          <w:sz w:val="28"/>
          <w:szCs w:val="28"/>
        </w:rPr>
        <w:t xml:space="preserve">entre 2010 y 2012; iv) CSR describió </w:t>
      </w:r>
      <w:r w:rsidR="008F1935" w:rsidRPr="00274507">
        <w:rPr>
          <w:sz w:val="28"/>
          <w:szCs w:val="28"/>
        </w:rPr>
        <w:t xml:space="preserve">que el </w:t>
      </w:r>
      <w:r w:rsidR="00CF7316" w:rsidRPr="00274507">
        <w:rPr>
          <w:sz w:val="28"/>
          <w:szCs w:val="28"/>
        </w:rPr>
        <w:t>informe da cuenta de un universo de tutelas más amplio al que precisó en los informes pasados, sin embargo, el análisis debe ser dirigido a los problemas jurídicos establecidos en la Sentencia T-760 de 2008 y a las dificultades normativas para poder realizar un análisis comparativo en el tiempo.</w:t>
      </w:r>
    </w:p>
    <w:p w:rsidR="008F1935" w:rsidRPr="00274507" w:rsidRDefault="008F1935" w:rsidP="00274507">
      <w:pPr>
        <w:jc w:val="both"/>
        <w:rPr>
          <w:bCs/>
          <w:sz w:val="28"/>
          <w:szCs w:val="28"/>
        </w:rPr>
      </w:pPr>
    </w:p>
    <w:p w:rsidR="00A85CE4" w:rsidRPr="00274507" w:rsidRDefault="00A85CE4" w:rsidP="00274507">
      <w:pPr>
        <w:jc w:val="both"/>
        <w:rPr>
          <w:sz w:val="28"/>
          <w:szCs w:val="28"/>
        </w:rPr>
      </w:pPr>
      <w:r w:rsidRPr="00274507">
        <w:rPr>
          <w:sz w:val="28"/>
          <w:szCs w:val="28"/>
        </w:rPr>
        <w:t xml:space="preserve">Además, </w:t>
      </w:r>
      <w:r w:rsidR="00743545" w:rsidRPr="00274507">
        <w:rPr>
          <w:sz w:val="28"/>
          <w:szCs w:val="28"/>
        </w:rPr>
        <w:t xml:space="preserve">el </w:t>
      </w:r>
      <w:r w:rsidRPr="00274507">
        <w:rPr>
          <w:sz w:val="28"/>
          <w:szCs w:val="28"/>
        </w:rPr>
        <w:t>proyecto “</w:t>
      </w:r>
      <w:r w:rsidRPr="00274507">
        <w:rPr>
          <w:i/>
          <w:sz w:val="28"/>
          <w:szCs w:val="28"/>
        </w:rPr>
        <w:t>Así Vamos en Salud</w:t>
      </w:r>
      <w:r w:rsidRPr="00274507">
        <w:rPr>
          <w:sz w:val="28"/>
          <w:szCs w:val="28"/>
        </w:rPr>
        <w:t>”</w:t>
      </w:r>
      <w:r w:rsidRPr="00274507">
        <w:rPr>
          <w:rStyle w:val="Refdenotaalpie"/>
          <w:sz w:val="28"/>
          <w:szCs w:val="28"/>
        </w:rPr>
        <w:footnoteReference w:id="174"/>
      </w:r>
      <w:r w:rsidR="008F1935" w:rsidRPr="00274507">
        <w:rPr>
          <w:sz w:val="28"/>
          <w:szCs w:val="28"/>
        </w:rPr>
        <w:t xml:space="preserve"> precisó </w:t>
      </w:r>
      <w:r w:rsidRPr="00274507">
        <w:rPr>
          <w:sz w:val="28"/>
          <w:szCs w:val="28"/>
        </w:rPr>
        <w:t>que la metodología de “</w:t>
      </w:r>
      <w:r w:rsidRPr="00274507">
        <w:rPr>
          <w:i/>
          <w:sz w:val="28"/>
          <w:szCs w:val="28"/>
        </w:rPr>
        <w:t>muestreo aleatorio estratificado por departamento con asignación proporcional</w:t>
      </w:r>
      <w:r w:rsidRPr="00274507">
        <w:rPr>
          <w:sz w:val="28"/>
          <w:szCs w:val="28"/>
        </w:rPr>
        <w:t>” fue la misma empleada por los estudios que efectúan anualmente la Defensoría del Pueblo y que de igual manera utilizó la base de datos de los expedientes que obraban en la Corte. También señaló que el análisis comparativo pudo subsanar algunos de los errores en que incurrió en la presentación de informes anteriores como el impedimento para evaluar las acciones en el tiempo, por lo que presentó el análisis por: i) tipo de documento; ii) trámites y razones administrativas, sociales y económicas; iii) según distribución geográfica; iv) entidades más demandadas; v) por incertidumbre de sí el servicio es POS o no Pos; vi) por servicios incluidos en el POS; vii) según régimen de afiliación; viii) por servicios no incluidos en el POS; ix) en menores de edad y por insumos médico quirúrgicos. Considerando que se destacó la inclusión de los servicios prestados y requeridos por vía judicial, creando una perspectiva del comportamiento durante el periodo analizado 2010-2013.</w:t>
      </w:r>
    </w:p>
    <w:p w:rsidR="00A85CE4" w:rsidRPr="00274507" w:rsidRDefault="00A85CE4" w:rsidP="00274507">
      <w:pPr>
        <w:jc w:val="both"/>
        <w:rPr>
          <w:sz w:val="28"/>
          <w:szCs w:val="28"/>
        </w:rPr>
      </w:pPr>
    </w:p>
    <w:p w:rsidR="00A85CE4" w:rsidRPr="00274507" w:rsidRDefault="008F1935" w:rsidP="00274507">
      <w:pPr>
        <w:pStyle w:val="Sinespaciado"/>
        <w:jc w:val="both"/>
        <w:rPr>
          <w:rFonts w:eastAsia="MS Mincho"/>
          <w:bCs/>
          <w:sz w:val="28"/>
          <w:szCs w:val="28"/>
          <w:lang w:eastAsia="en-US"/>
        </w:rPr>
      </w:pPr>
      <w:r w:rsidRPr="00274507">
        <w:rPr>
          <w:sz w:val="28"/>
          <w:szCs w:val="28"/>
        </w:rPr>
        <w:t>En ese sentido, p</w:t>
      </w:r>
      <w:r w:rsidR="00A85CE4" w:rsidRPr="00274507">
        <w:rPr>
          <w:rFonts w:eastAsia="MS Mincho"/>
          <w:bCs/>
          <w:sz w:val="28"/>
          <w:szCs w:val="28"/>
          <w:lang w:eastAsia="en-US"/>
        </w:rPr>
        <w:t xml:space="preserve">recisó que dicha </w:t>
      </w:r>
      <w:r w:rsidRPr="00274507">
        <w:rPr>
          <w:rFonts w:eastAsia="MS Mincho"/>
          <w:bCs/>
          <w:sz w:val="28"/>
          <w:szCs w:val="28"/>
          <w:lang w:eastAsia="en-US"/>
        </w:rPr>
        <w:t xml:space="preserve">metodología </w:t>
      </w:r>
      <w:r w:rsidR="00A85CE4" w:rsidRPr="00274507">
        <w:rPr>
          <w:rFonts w:eastAsia="MS Mincho"/>
          <w:bCs/>
          <w:sz w:val="28"/>
          <w:szCs w:val="28"/>
          <w:lang w:eastAsia="en-US"/>
        </w:rPr>
        <w:t xml:space="preserve">permite un grado mayor de certeza en la obtención de resultados, sin </w:t>
      </w:r>
      <w:r w:rsidR="000550B0" w:rsidRPr="00274507">
        <w:rPr>
          <w:rFonts w:eastAsia="MS Mincho"/>
          <w:bCs/>
          <w:sz w:val="28"/>
          <w:szCs w:val="28"/>
          <w:lang w:eastAsia="en-US"/>
        </w:rPr>
        <w:t>embargo, tal y como lo aclaró el ente regulador</w:t>
      </w:r>
      <w:r w:rsidR="00A85CE4" w:rsidRPr="00274507">
        <w:rPr>
          <w:rFonts w:eastAsia="MS Mincho"/>
          <w:bCs/>
          <w:sz w:val="28"/>
          <w:szCs w:val="28"/>
          <w:lang w:eastAsia="en-US"/>
        </w:rPr>
        <w:t>, para el muestreo no se obtienen las tutelas durante todos los meses del año, lo cual representa una dificultad que persiste en el análisis. Indicó que la elaboración de los informes al ser obtenida mediante un formato estandarizado que da cuenta de variables para la caracterización de las tutelas y las motivaciones del litigio constituye un gran avance en la consolidación de un sistema de información.</w:t>
      </w:r>
    </w:p>
    <w:p w:rsidR="00386B55" w:rsidRPr="00274507" w:rsidRDefault="00386B55" w:rsidP="00274507">
      <w:pPr>
        <w:pStyle w:val="Sinespaciado"/>
        <w:jc w:val="both"/>
        <w:rPr>
          <w:rFonts w:eastAsia="MS Mincho"/>
          <w:bCs/>
          <w:sz w:val="28"/>
          <w:szCs w:val="28"/>
          <w:lang w:eastAsia="en-US"/>
        </w:rPr>
      </w:pPr>
    </w:p>
    <w:p w:rsidR="00A046D5" w:rsidRPr="00274507" w:rsidRDefault="00D05C0C" w:rsidP="00274507">
      <w:pPr>
        <w:pStyle w:val="Sinespaciado"/>
        <w:jc w:val="both"/>
        <w:rPr>
          <w:rFonts w:eastAsia="MS Mincho"/>
          <w:bCs/>
          <w:sz w:val="28"/>
          <w:szCs w:val="28"/>
          <w:lang w:eastAsia="en-US"/>
        </w:rPr>
      </w:pPr>
      <w:r w:rsidRPr="00274507">
        <w:rPr>
          <w:b/>
          <w:sz w:val="28"/>
          <w:szCs w:val="28"/>
        </w:rPr>
        <w:t>7</w:t>
      </w:r>
      <w:r w:rsidR="00E42B4A" w:rsidRPr="00274507">
        <w:rPr>
          <w:b/>
          <w:sz w:val="28"/>
          <w:szCs w:val="28"/>
        </w:rPr>
        <w:t>.2.5</w:t>
      </w:r>
      <w:r w:rsidR="00946010" w:rsidRPr="00274507">
        <w:rPr>
          <w:b/>
          <w:sz w:val="28"/>
          <w:szCs w:val="28"/>
        </w:rPr>
        <w:t>.</w:t>
      </w:r>
      <w:r w:rsidR="00A85CE4" w:rsidRPr="00274507">
        <w:rPr>
          <w:sz w:val="28"/>
          <w:szCs w:val="28"/>
        </w:rPr>
        <w:t xml:space="preserve"> </w:t>
      </w:r>
      <w:r w:rsidR="00A046D5" w:rsidRPr="00274507">
        <w:rPr>
          <w:sz w:val="28"/>
          <w:szCs w:val="28"/>
        </w:rPr>
        <w:t>En el séptimo informe</w:t>
      </w:r>
      <w:r w:rsidR="008F1935" w:rsidRPr="00274507">
        <w:rPr>
          <w:sz w:val="28"/>
          <w:szCs w:val="28"/>
        </w:rPr>
        <w:t>, l</w:t>
      </w:r>
      <w:r w:rsidR="00A046D5" w:rsidRPr="00274507">
        <w:rPr>
          <w:sz w:val="28"/>
          <w:szCs w:val="28"/>
        </w:rPr>
        <w:t>a metodología utilizada fue de “</w:t>
      </w:r>
      <w:r w:rsidR="00A046D5" w:rsidRPr="00274507">
        <w:rPr>
          <w:i/>
          <w:sz w:val="28"/>
          <w:szCs w:val="28"/>
        </w:rPr>
        <w:t>muestreo probabilístico estratificado</w:t>
      </w:r>
      <w:r w:rsidR="00A046D5" w:rsidRPr="00274507">
        <w:rPr>
          <w:sz w:val="28"/>
          <w:szCs w:val="28"/>
        </w:rPr>
        <w:t xml:space="preserve">” basado en la recolección de datos de cada una de las tutelas que para el año 2014 relacionaron la vulneración del derecho a la salud, registradas en la base de datos de la Corte Constitucional, en la que se precisó que los estratos son los departamentos y estableció una nueva estructura para el recaudo de la información, asegurando que la misma </w:t>
      </w:r>
      <w:r w:rsidR="00A046D5" w:rsidRPr="00274507">
        <w:rPr>
          <w:sz w:val="28"/>
          <w:szCs w:val="28"/>
          <w:lang w:val="es-ES"/>
        </w:rPr>
        <w:t>permitiera obtener una información acertada sobre el comportamiento de cada una de las tutelas analizadas y la complejidad de cada litigio.</w:t>
      </w:r>
    </w:p>
    <w:p w:rsidR="00A046D5" w:rsidRPr="00274507" w:rsidRDefault="00A046D5" w:rsidP="00274507">
      <w:pPr>
        <w:pStyle w:val="Sinespaciado"/>
        <w:jc w:val="both"/>
        <w:rPr>
          <w:sz w:val="28"/>
          <w:szCs w:val="28"/>
          <w:lang w:val="es-ES"/>
        </w:rPr>
      </w:pPr>
    </w:p>
    <w:p w:rsidR="00DC341D" w:rsidRPr="00274507" w:rsidRDefault="00D05C0C" w:rsidP="00274507">
      <w:pPr>
        <w:pStyle w:val="Textonotapie"/>
        <w:jc w:val="both"/>
        <w:rPr>
          <w:bCs/>
          <w:sz w:val="28"/>
          <w:szCs w:val="28"/>
        </w:rPr>
      </w:pPr>
      <w:r w:rsidRPr="00274507">
        <w:rPr>
          <w:b/>
          <w:sz w:val="28"/>
          <w:szCs w:val="28"/>
        </w:rPr>
        <w:t>7</w:t>
      </w:r>
      <w:r w:rsidR="00E42B4A" w:rsidRPr="00274507">
        <w:rPr>
          <w:b/>
          <w:sz w:val="28"/>
          <w:szCs w:val="28"/>
        </w:rPr>
        <w:t>.2.6.</w:t>
      </w:r>
      <w:r w:rsidR="00E42B4A" w:rsidRPr="00274507">
        <w:rPr>
          <w:sz w:val="28"/>
          <w:szCs w:val="28"/>
        </w:rPr>
        <w:t xml:space="preserve"> </w:t>
      </w:r>
      <w:r w:rsidR="00A85CE4" w:rsidRPr="00274507">
        <w:rPr>
          <w:sz w:val="28"/>
          <w:szCs w:val="28"/>
        </w:rPr>
        <w:t>En sesión</w:t>
      </w:r>
      <w:r w:rsidR="00A85CE4" w:rsidRPr="00274507">
        <w:rPr>
          <w:bCs/>
          <w:sz w:val="28"/>
          <w:szCs w:val="28"/>
        </w:rPr>
        <w:t xml:space="preserve"> técnica celebrada el 13 de octubre de 2015</w:t>
      </w:r>
      <w:r w:rsidR="00A85CE4" w:rsidRPr="00274507">
        <w:rPr>
          <w:bCs/>
          <w:sz w:val="28"/>
          <w:szCs w:val="28"/>
          <w:vertAlign w:val="superscript"/>
        </w:rPr>
        <w:footnoteReference w:id="175"/>
      </w:r>
      <w:r w:rsidR="00C010EA" w:rsidRPr="00274507">
        <w:rPr>
          <w:bCs/>
          <w:sz w:val="28"/>
          <w:szCs w:val="28"/>
        </w:rPr>
        <w:t>,</w:t>
      </w:r>
      <w:r w:rsidR="00A85CE4" w:rsidRPr="00274507">
        <w:rPr>
          <w:bCs/>
          <w:sz w:val="28"/>
          <w:szCs w:val="28"/>
        </w:rPr>
        <w:t xml:space="preserve"> se efectúo un análisis del último informe presentado para esa fecha, indicar</w:t>
      </w:r>
      <w:r w:rsidR="00C010EA" w:rsidRPr="00274507">
        <w:rPr>
          <w:bCs/>
          <w:sz w:val="28"/>
          <w:szCs w:val="28"/>
        </w:rPr>
        <w:t>on que la metodología utilizad</w:t>
      </w:r>
      <w:r w:rsidR="00A85CE4" w:rsidRPr="00274507">
        <w:rPr>
          <w:bCs/>
          <w:sz w:val="28"/>
          <w:szCs w:val="28"/>
        </w:rPr>
        <w:t>a</w:t>
      </w:r>
      <w:r w:rsidR="00C010EA" w:rsidRPr="00274507">
        <w:rPr>
          <w:bCs/>
          <w:sz w:val="28"/>
          <w:szCs w:val="28"/>
        </w:rPr>
        <w:t xml:space="preserve"> en </w:t>
      </w:r>
      <w:r w:rsidR="00A85CE4" w:rsidRPr="00274507">
        <w:rPr>
          <w:bCs/>
          <w:sz w:val="28"/>
          <w:szCs w:val="28"/>
        </w:rPr>
        <w:t xml:space="preserve"> los expedientes analizados</w:t>
      </w:r>
      <w:r w:rsidR="00826E30" w:rsidRPr="00274507">
        <w:rPr>
          <w:bCs/>
          <w:sz w:val="28"/>
          <w:szCs w:val="28"/>
          <w:vertAlign w:val="superscript"/>
        </w:rPr>
        <w:t xml:space="preserve"> </w:t>
      </w:r>
      <w:r w:rsidR="00C010EA" w:rsidRPr="00274507">
        <w:rPr>
          <w:bCs/>
          <w:sz w:val="28"/>
          <w:szCs w:val="28"/>
        </w:rPr>
        <w:t>era</w:t>
      </w:r>
      <w:r w:rsidR="00A85CE4" w:rsidRPr="00274507">
        <w:rPr>
          <w:bCs/>
          <w:sz w:val="28"/>
          <w:szCs w:val="28"/>
        </w:rPr>
        <w:t xml:space="preserve"> a</w:t>
      </w:r>
      <w:r w:rsidR="00C010EA" w:rsidRPr="00274507">
        <w:rPr>
          <w:bCs/>
          <w:sz w:val="28"/>
          <w:szCs w:val="28"/>
        </w:rPr>
        <w:t>decuada por lo que l</w:t>
      </w:r>
      <w:r w:rsidR="00A85CE4" w:rsidRPr="00274507">
        <w:rPr>
          <w:bCs/>
          <w:sz w:val="28"/>
          <w:szCs w:val="28"/>
        </w:rPr>
        <w:t xml:space="preserve">os </w:t>
      </w:r>
      <w:r w:rsidR="00C010EA" w:rsidRPr="00274507">
        <w:rPr>
          <w:bCs/>
          <w:sz w:val="28"/>
          <w:szCs w:val="28"/>
        </w:rPr>
        <w:t xml:space="preserve">resultados obtenidos, constituían una </w:t>
      </w:r>
      <w:r w:rsidR="00A85CE4" w:rsidRPr="00274507">
        <w:rPr>
          <w:bCs/>
          <w:sz w:val="28"/>
          <w:szCs w:val="28"/>
        </w:rPr>
        <w:t>muestra representativa del universo de las tutelas</w:t>
      </w:r>
      <w:r w:rsidR="00A85CE4" w:rsidRPr="00274507">
        <w:rPr>
          <w:bCs/>
          <w:sz w:val="28"/>
          <w:szCs w:val="28"/>
          <w:vertAlign w:val="superscript"/>
        </w:rPr>
        <w:footnoteReference w:id="176"/>
      </w:r>
      <w:r w:rsidR="00A85CE4" w:rsidRPr="00274507">
        <w:rPr>
          <w:bCs/>
          <w:sz w:val="28"/>
          <w:szCs w:val="28"/>
        </w:rPr>
        <w:t>.</w:t>
      </w:r>
      <w:r w:rsidR="00826E30" w:rsidRPr="00274507">
        <w:rPr>
          <w:bCs/>
          <w:sz w:val="28"/>
          <w:szCs w:val="28"/>
        </w:rPr>
        <w:t xml:space="preserve"> En ese aspecto, del estudio probalístico, se obtuvo una muestra de 2.300 tutelas de un universo de 117.746 tutelas, en un contexto del 9.7% de las demandas no corresponden a litigios en salud, que son excluidas del análisis del informe anterior. </w:t>
      </w:r>
    </w:p>
    <w:p w:rsidR="00F77A59" w:rsidRPr="00274507" w:rsidRDefault="00F77A59" w:rsidP="00274507">
      <w:pPr>
        <w:pStyle w:val="Textonotapie"/>
        <w:jc w:val="both"/>
        <w:rPr>
          <w:bCs/>
          <w:sz w:val="28"/>
          <w:szCs w:val="28"/>
        </w:rPr>
      </w:pPr>
    </w:p>
    <w:p w:rsidR="00A046D5" w:rsidRPr="00274507" w:rsidRDefault="00D05C0C" w:rsidP="00274507">
      <w:pPr>
        <w:tabs>
          <w:tab w:val="left" w:pos="1800"/>
        </w:tabs>
        <w:overflowPunct w:val="0"/>
        <w:autoSpaceDE w:val="0"/>
        <w:autoSpaceDN w:val="0"/>
        <w:adjustRightInd w:val="0"/>
        <w:ind w:right="-40"/>
        <w:jc w:val="both"/>
        <w:rPr>
          <w:color w:val="000000" w:themeColor="text1"/>
          <w:sz w:val="28"/>
          <w:szCs w:val="28"/>
          <w:lang w:val="es-ES_tradnl"/>
        </w:rPr>
      </w:pPr>
      <w:r w:rsidRPr="00274507">
        <w:rPr>
          <w:b/>
          <w:sz w:val="28"/>
          <w:szCs w:val="28"/>
          <w:lang w:val="es-ES"/>
        </w:rPr>
        <w:t>7</w:t>
      </w:r>
      <w:r w:rsidR="00E42B4A" w:rsidRPr="00274507">
        <w:rPr>
          <w:b/>
          <w:sz w:val="28"/>
          <w:szCs w:val="28"/>
          <w:lang w:val="es-ES"/>
        </w:rPr>
        <w:t>.2.7.</w:t>
      </w:r>
      <w:r w:rsidR="00E42B4A" w:rsidRPr="00274507">
        <w:rPr>
          <w:sz w:val="28"/>
          <w:szCs w:val="28"/>
          <w:lang w:val="es-ES"/>
        </w:rPr>
        <w:t xml:space="preserve"> El Ministerio de Salud present</w:t>
      </w:r>
      <w:r w:rsidR="00A254C3" w:rsidRPr="00274507">
        <w:rPr>
          <w:sz w:val="28"/>
          <w:szCs w:val="28"/>
          <w:lang w:val="es-ES"/>
        </w:rPr>
        <w:t>ó dos</w:t>
      </w:r>
      <w:r w:rsidR="00E42B4A" w:rsidRPr="00274507">
        <w:rPr>
          <w:sz w:val="28"/>
          <w:szCs w:val="28"/>
          <w:lang w:val="es-ES"/>
        </w:rPr>
        <w:t xml:space="preserve"> informes</w:t>
      </w:r>
      <w:r w:rsidR="00A254C3" w:rsidRPr="00274507">
        <w:rPr>
          <w:sz w:val="28"/>
          <w:szCs w:val="28"/>
          <w:lang w:val="es-ES"/>
        </w:rPr>
        <w:t xml:space="preserve"> parciales </w:t>
      </w:r>
      <w:r w:rsidR="00E42B4A" w:rsidRPr="00274507">
        <w:rPr>
          <w:sz w:val="28"/>
          <w:szCs w:val="28"/>
          <w:lang w:val="es-ES"/>
        </w:rPr>
        <w:t>correspondientes al análisis de las tute</w:t>
      </w:r>
      <w:r w:rsidR="00A254C3" w:rsidRPr="00274507">
        <w:rPr>
          <w:sz w:val="28"/>
          <w:szCs w:val="28"/>
          <w:lang w:val="es-ES"/>
        </w:rPr>
        <w:t>las presentadas en el año 2015,</w:t>
      </w:r>
      <w:r w:rsidR="001F67CC" w:rsidRPr="00274507">
        <w:rPr>
          <w:sz w:val="28"/>
          <w:szCs w:val="28"/>
          <w:lang w:val="es-ES"/>
        </w:rPr>
        <w:t xml:space="preserve"> considerado para esta Sala como el  8º, </w:t>
      </w:r>
      <w:r w:rsidR="004D3EA9" w:rsidRPr="00274507">
        <w:rPr>
          <w:sz w:val="28"/>
          <w:szCs w:val="28"/>
          <w:lang w:val="es-ES"/>
        </w:rPr>
        <w:t>el primero, preliminar</w:t>
      </w:r>
      <w:r w:rsidR="00A254C3" w:rsidRPr="00274507">
        <w:rPr>
          <w:sz w:val="28"/>
          <w:szCs w:val="28"/>
          <w:lang w:val="es-ES"/>
        </w:rPr>
        <w:t xml:space="preserve"> </w:t>
      </w:r>
      <w:r w:rsidR="00826E30" w:rsidRPr="00274507">
        <w:rPr>
          <w:color w:val="000000" w:themeColor="text1"/>
          <w:sz w:val="28"/>
          <w:szCs w:val="28"/>
        </w:rPr>
        <w:t>de</w:t>
      </w:r>
      <w:r w:rsidR="00A254C3" w:rsidRPr="00274507">
        <w:rPr>
          <w:color w:val="000000" w:themeColor="text1"/>
          <w:sz w:val="28"/>
          <w:szCs w:val="28"/>
        </w:rPr>
        <w:t xml:space="preserve"> 9 de junio</w:t>
      </w:r>
      <w:r w:rsidR="00826E30" w:rsidRPr="00274507">
        <w:rPr>
          <w:rStyle w:val="Refdenotaalpie"/>
          <w:color w:val="000000" w:themeColor="text1"/>
          <w:sz w:val="28"/>
          <w:szCs w:val="28"/>
        </w:rPr>
        <w:footnoteReference w:id="177"/>
      </w:r>
      <w:r w:rsidR="00826E30" w:rsidRPr="00274507">
        <w:rPr>
          <w:color w:val="000000" w:themeColor="text1"/>
          <w:sz w:val="28"/>
          <w:szCs w:val="28"/>
        </w:rPr>
        <w:t xml:space="preserve"> </w:t>
      </w:r>
      <w:r w:rsidR="00A254C3" w:rsidRPr="00274507">
        <w:rPr>
          <w:color w:val="000000" w:themeColor="text1"/>
          <w:sz w:val="28"/>
          <w:szCs w:val="28"/>
        </w:rPr>
        <w:t>de 2016 y</w:t>
      </w:r>
      <w:r w:rsidR="004D3EA9" w:rsidRPr="00274507">
        <w:rPr>
          <w:color w:val="000000" w:themeColor="text1"/>
          <w:sz w:val="28"/>
          <w:szCs w:val="28"/>
        </w:rPr>
        <w:t xml:space="preserve"> el segundo</w:t>
      </w:r>
      <w:r w:rsidR="00A254C3" w:rsidRPr="00274507">
        <w:rPr>
          <w:color w:val="000000" w:themeColor="text1"/>
          <w:sz w:val="28"/>
          <w:szCs w:val="28"/>
        </w:rPr>
        <w:t xml:space="preserve"> </w:t>
      </w:r>
      <w:r w:rsidR="00A046D5" w:rsidRPr="00274507">
        <w:rPr>
          <w:color w:val="000000" w:themeColor="text1"/>
          <w:sz w:val="28"/>
          <w:szCs w:val="28"/>
        </w:rPr>
        <w:t>de</w:t>
      </w:r>
      <w:r w:rsidR="004D3EA9" w:rsidRPr="00274507">
        <w:rPr>
          <w:color w:val="000000" w:themeColor="text1"/>
          <w:sz w:val="28"/>
          <w:szCs w:val="28"/>
        </w:rPr>
        <w:t>l</w:t>
      </w:r>
      <w:r w:rsidR="00A046D5" w:rsidRPr="00274507">
        <w:rPr>
          <w:color w:val="000000" w:themeColor="text1"/>
          <w:sz w:val="28"/>
          <w:szCs w:val="28"/>
        </w:rPr>
        <w:t xml:space="preserve"> 1º de agosto de 2016</w:t>
      </w:r>
      <w:r w:rsidR="00A254C3" w:rsidRPr="00274507">
        <w:rPr>
          <w:rStyle w:val="Refdenotaalpie"/>
          <w:color w:val="000000" w:themeColor="text1"/>
          <w:sz w:val="28"/>
          <w:szCs w:val="28"/>
        </w:rPr>
        <w:footnoteReference w:id="178"/>
      </w:r>
      <w:r w:rsidR="00A254C3" w:rsidRPr="00274507">
        <w:rPr>
          <w:color w:val="000000" w:themeColor="text1"/>
          <w:sz w:val="28"/>
          <w:szCs w:val="28"/>
        </w:rPr>
        <w:t xml:space="preserve"> que contenía los resultados finales de la medición de las acciones.</w:t>
      </w:r>
    </w:p>
    <w:p w:rsidR="00A046D5" w:rsidRPr="00274507" w:rsidRDefault="00A046D5" w:rsidP="00274507">
      <w:pPr>
        <w:jc w:val="both"/>
        <w:rPr>
          <w:sz w:val="28"/>
          <w:szCs w:val="28"/>
        </w:rPr>
      </w:pPr>
    </w:p>
    <w:p w:rsidR="00A046D5" w:rsidRPr="00274507" w:rsidRDefault="001F67CC" w:rsidP="00274507">
      <w:pPr>
        <w:tabs>
          <w:tab w:val="left" w:pos="567"/>
        </w:tabs>
        <w:jc w:val="both"/>
        <w:rPr>
          <w:sz w:val="28"/>
          <w:szCs w:val="28"/>
        </w:rPr>
      </w:pPr>
      <w:r w:rsidRPr="00274507">
        <w:rPr>
          <w:sz w:val="28"/>
          <w:szCs w:val="28"/>
        </w:rPr>
        <w:t>En el contenido del mismo, el ente regulador identificó la metodología de “</w:t>
      </w:r>
      <w:r w:rsidRPr="00274507">
        <w:rPr>
          <w:i/>
          <w:sz w:val="28"/>
          <w:szCs w:val="28"/>
        </w:rPr>
        <w:t>muestreo probabilístico estratificado</w:t>
      </w:r>
      <w:r w:rsidRPr="00274507">
        <w:rPr>
          <w:sz w:val="28"/>
          <w:szCs w:val="28"/>
        </w:rPr>
        <w:t>”, advirtiendo que la</w:t>
      </w:r>
      <w:r w:rsidR="00A046D5" w:rsidRPr="00274507">
        <w:rPr>
          <w:sz w:val="28"/>
          <w:szCs w:val="28"/>
        </w:rPr>
        <w:t xml:space="preserve"> información fue recolectada a través de un formato estandarizado diseñado para responder cuatro preguntas en cada uno de los expedientes</w:t>
      </w:r>
      <w:r w:rsidR="00826E30" w:rsidRPr="00274507">
        <w:rPr>
          <w:sz w:val="28"/>
          <w:szCs w:val="28"/>
        </w:rPr>
        <w:t>,</w:t>
      </w:r>
      <w:r w:rsidR="00A046D5" w:rsidRPr="00274507">
        <w:rPr>
          <w:sz w:val="28"/>
          <w:szCs w:val="28"/>
        </w:rPr>
        <w:t xml:space="preserve"> así:</w:t>
      </w:r>
    </w:p>
    <w:p w:rsidR="00A046D5" w:rsidRPr="00274507" w:rsidRDefault="00A046D5" w:rsidP="00274507">
      <w:pPr>
        <w:jc w:val="both"/>
        <w:rPr>
          <w:sz w:val="28"/>
          <w:szCs w:val="28"/>
        </w:rPr>
      </w:pPr>
    </w:p>
    <w:tbl>
      <w:tblPr>
        <w:tblStyle w:val="Tablaconcuadrcula"/>
        <w:tblW w:w="0" w:type="auto"/>
        <w:tblLook w:val="04A0" w:firstRow="1" w:lastRow="0" w:firstColumn="1" w:lastColumn="0" w:noHBand="0" w:noVBand="1"/>
      </w:tblPr>
      <w:tblGrid>
        <w:gridCol w:w="2303"/>
        <w:gridCol w:w="2977"/>
        <w:gridCol w:w="3873"/>
      </w:tblGrid>
      <w:tr w:rsidR="00A046D5" w:rsidRPr="00274507" w:rsidTr="00D730F6">
        <w:tc>
          <w:tcPr>
            <w:tcW w:w="2263" w:type="dxa"/>
          </w:tcPr>
          <w:p w:rsidR="00A046D5" w:rsidRPr="00274507" w:rsidRDefault="00A046D5" w:rsidP="00274507">
            <w:pPr>
              <w:jc w:val="center"/>
              <w:rPr>
                <w:b/>
                <w:sz w:val="28"/>
                <w:szCs w:val="28"/>
              </w:rPr>
            </w:pPr>
            <w:r w:rsidRPr="00274507">
              <w:rPr>
                <w:b/>
                <w:sz w:val="28"/>
                <w:szCs w:val="28"/>
              </w:rPr>
              <w:t>Modulo</w:t>
            </w:r>
          </w:p>
        </w:tc>
        <w:tc>
          <w:tcPr>
            <w:tcW w:w="2977" w:type="dxa"/>
          </w:tcPr>
          <w:p w:rsidR="00A046D5" w:rsidRPr="00274507" w:rsidRDefault="00A046D5" w:rsidP="00274507">
            <w:pPr>
              <w:jc w:val="center"/>
              <w:rPr>
                <w:b/>
                <w:sz w:val="28"/>
                <w:szCs w:val="28"/>
              </w:rPr>
            </w:pPr>
            <w:r w:rsidRPr="00274507">
              <w:rPr>
                <w:b/>
                <w:sz w:val="28"/>
                <w:szCs w:val="28"/>
              </w:rPr>
              <w:t>Preguntas</w:t>
            </w:r>
          </w:p>
        </w:tc>
        <w:tc>
          <w:tcPr>
            <w:tcW w:w="3873" w:type="dxa"/>
          </w:tcPr>
          <w:p w:rsidR="00A046D5" w:rsidRPr="00274507" w:rsidRDefault="00A046D5" w:rsidP="00274507">
            <w:pPr>
              <w:jc w:val="center"/>
              <w:rPr>
                <w:b/>
                <w:sz w:val="28"/>
                <w:szCs w:val="28"/>
              </w:rPr>
            </w:pPr>
            <w:r w:rsidRPr="00274507">
              <w:rPr>
                <w:b/>
                <w:sz w:val="28"/>
                <w:szCs w:val="28"/>
              </w:rPr>
              <w:t>Principales variables recolectadas</w:t>
            </w:r>
          </w:p>
        </w:tc>
      </w:tr>
      <w:tr w:rsidR="00A046D5" w:rsidRPr="00274507" w:rsidTr="00D730F6">
        <w:tc>
          <w:tcPr>
            <w:tcW w:w="2263" w:type="dxa"/>
          </w:tcPr>
          <w:p w:rsidR="00A046D5" w:rsidRPr="00274507" w:rsidRDefault="00A046D5" w:rsidP="00274507">
            <w:pPr>
              <w:pStyle w:val="Prrafodelista"/>
              <w:tabs>
                <w:tab w:val="left" w:pos="454"/>
              </w:tabs>
              <w:ind w:left="171"/>
              <w:jc w:val="center"/>
              <w:rPr>
                <w:sz w:val="28"/>
                <w:szCs w:val="28"/>
              </w:rPr>
            </w:pPr>
          </w:p>
          <w:p w:rsidR="00A046D5" w:rsidRPr="00274507" w:rsidRDefault="00A046D5" w:rsidP="00274507">
            <w:pPr>
              <w:pStyle w:val="Prrafodelista"/>
              <w:tabs>
                <w:tab w:val="left" w:pos="454"/>
              </w:tabs>
              <w:ind w:left="171"/>
              <w:jc w:val="center"/>
              <w:rPr>
                <w:sz w:val="28"/>
                <w:szCs w:val="28"/>
              </w:rPr>
            </w:pPr>
          </w:p>
          <w:p w:rsidR="00A046D5" w:rsidRPr="00274507" w:rsidRDefault="00A046D5" w:rsidP="00274507">
            <w:pPr>
              <w:pStyle w:val="Prrafodelista"/>
              <w:numPr>
                <w:ilvl w:val="0"/>
                <w:numId w:val="13"/>
              </w:numPr>
              <w:tabs>
                <w:tab w:val="left" w:pos="454"/>
              </w:tabs>
              <w:ind w:left="0" w:hanging="124"/>
              <w:jc w:val="center"/>
              <w:rPr>
                <w:sz w:val="28"/>
                <w:szCs w:val="28"/>
              </w:rPr>
            </w:pPr>
            <w:r w:rsidRPr="00274507">
              <w:rPr>
                <w:sz w:val="28"/>
                <w:szCs w:val="28"/>
              </w:rPr>
              <w:t>Caracterización de las tutelas</w:t>
            </w:r>
          </w:p>
        </w:tc>
        <w:tc>
          <w:tcPr>
            <w:tcW w:w="2977" w:type="dxa"/>
          </w:tcPr>
          <w:p w:rsidR="00A046D5" w:rsidRPr="00274507" w:rsidRDefault="00A046D5" w:rsidP="00274507">
            <w:pPr>
              <w:jc w:val="both"/>
              <w:rPr>
                <w:sz w:val="28"/>
                <w:szCs w:val="28"/>
              </w:rPr>
            </w:pPr>
            <w:r w:rsidRPr="00274507">
              <w:rPr>
                <w:sz w:val="28"/>
                <w:szCs w:val="28"/>
              </w:rPr>
              <w:t>1. ¿Cuáles son las características de los tutelantes (régimen, EPS, niveles de ingreso)?</w:t>
            </w:r>
          </w:p>
        </w:tc>
        <w:tc>
          <w:tcPr>
            <w:tcW w:w="3873" w:type="dxa"/>
          </w:tcPr>
          <w:p w:rsidR="00A046D5" w:rsidRPr="00274507" w:rsidRDefault="00A046D5" w:rsidP="00274507">
            <w:pPr>
              <w:jc w:val="both"/>
              <w:rPr>
                <w:sz w:val="28"/>
                <w:szCs w:val="28"/>
              </w:rPr>
            </w:pPr>
            <w:r w:rsidRPr="00274507">
              <w:rPr>
                <w:sz w:val="28"/>
                <w:szCs w:val="28"/>
              </w:rPr>
              <w:t xml:space="preserve">-Identificación de la persona a quien se le tutelan los derechos </w:t>
            </w:r>
          </w:p>
          <w:p w:rsidR="00A046D5" w:rsidRPr="00274507" w:rsidRDefault="00A046D5" w:rsidP="00274507">
            <w:pPr>
              <w:jc w:val="both"/>
              <w:rPr>
                <w:sz w:val="28"/>
                <w:szCs w:val="28"/>
              </w:rPr>
            </w:pPr>
            <w:r w:rsidRPr="00274507">
              <w:rPr>
                <w:sz w:val="28"/>
                <w:szCs w:val="28"/>
              </w:rPr>
              <w:t xml:space="preserve">-Identificación de la persona quien interpone la tutela </w:t>
            </w:r>
          </w:p>
          <w:p w:rsidR="00A046D5" w:rsidRPr="00274507" w:rsidRDefault="00A046D5" w:rsidP="00274507">
            <w:pPr>
              <w:jc w:val="both"/>
              <w:rPr>
                <w:sz w:val="28"/>
                <w:szCs w:val="28"/>
              </w:rPr>
            </w:pPr>
            <w:r w:rsidRPr="00274507">
              <w:rPr>
                <w:sz w:val="28"/>
                <w:szCs w:val="28"/>
              </w:rPr>
              <w:t xml:space="preserve">-Régimen de salud y calidad de afiliación (beneficiario o cotizante) -Fecha de nacimiento y sexo </w:t>
            </w:r>
          </w:p>
          <w:p w:rsidR="00A046D5" w:rsidRPr="00274507" w:rsidRDefault="00A046D5" w:rsidP="00274507">
            <w:pPr>
              <w:jc w:val="both"/>
              <w:rPr>
                <w:sz w:val="28"/>
                <w:szCs w:val="28"/>
              </w:rPr>
            </w:pPr>
            <w:r w:rsidRPr="00274507">
              <w:rPr>
                <w:sz w:val="28"/>
                <w:szCs w:val="28"/>
              </w:rPr>
              <w:t xml:space="preserve">-Vinculación laboral </w:t>
            </w:r>
          </w:p>
          <w:p w:rsidR="00A046D5" w:rsidRPr="00274507" w:rsidRDefault="00A046D5" w:rsidP="00274507">
            <w:pPr>
              <w:jc w:val="both"/>
              <w:rPr>
                <w:sz w:val="28"/>
                <w:szCs w:val="28"/>
              </w:rPr>
            </w:pPr>
            <w:r w:rsidRPr="00274507">
              <w:rPr>
                <w:sz w:val="28"/>
                <w:szCs w:val="28"/>
              </w:rPr>
              <w:t>-Departamento y Municipio</w:t>
            </w:r>
          </w:p>
        </w:tc>
      </w:tr>
      <w:tr w:rsidR="00A046D5" w:rsidRPr="00274507" w:rsidTr="00D730F6">
        <w:trPr>
          <w:trHeight w:val="1079"/>
        </w:trPr>
        <w:tc>
          <w:tcPr>
            <w:tcW w:w="2263" w:type="dxa"/>
            <w:vMerge w:val="restart"/>
          </w:tcPr>
          <w:p w:rsidR="00A046D5" w:rsidRPr="00274507" w:rsidRDefault="00A046D5" w:rsidP="00274507">
            <w:pPr>
              <w:pStyle w:val="Prrafodelista"/>
              <w:tabs>
                <w:tab w:val="left" w:pos="47"/>
                <w:tab w:val="left" w:pos="454"/>
              </w:tabs>
              <w:ind w:left="171"/>
              <w:jc w:val="center"/>
              <w:rPr>
                <w:sz w:val="28"/>
                <w:szCs w:val="28"/>
              </w:rPr>
            </w:pPr>
          </w:p>
          <w:p w:rsidR="00A046D5" w:rsidRPr="00274507" w:rsidRDefault="00A046D5" w:rsidP="00274507">
            <w:pPr>
              <w:tabs>
                <w:tab w:val="left" w:pos="47"/>
                <w:tab w:val="left" w:pos="454"/>
              </w:tabs>
              <w:jc w:val="center"/>
              <w:rPr>
                <w:sz w:val="28"/>
                <w:szCs w:val="28"/>
              </w:rPr>
            </w:pPr>
          </w:p>
          <w:p w:rsidR="00A046D5" w:rsidRPr="00274507" w:rsidRDefault="00A046D5" w:rsidP="00274507">
            <w:pPr>
              <w:pStyle w:val="Prrafodelista"/>
              <w:numPr>
                <w:ilvl w:val="0"/>
                <w:numId w:val="13"/>
              </w:numPr>
              <w:tabs>
                <w:tab w:val="left" w:pos="47"/>
                <w:tab w:val="left" w:pos="454"/>
              </w:tabs>
              <w:ind w:left="171" w:right="-43" w:hanging="284"/>
              <w:jc w:val="center"/>
              <w:rPr>
                <w:sz w:val="28"/>
                <w:szCs w:val="28"/>
              </w:rPr>
            </w:pPr>
            <w:r w:rsidRPr="00274507">
              <w:rPr>
                <w:sz w:val="28"/>
                <w:szCs w:val="28"/>
              </w:rPr>
              <w:t>Análisis detallado de las solicitudes</w:t>
            </w:r>
          </w:p>
        </w:tc>
        <w:tc>
          <w:tcPr>
            <w:tcW w:w="2977" w:type="dxa"/>
          </w:tcPr>
          <w:p w:rsidR="00A046D5" w:rsidRPr="00274507" w:rsidRDefault="00A046D5" w:rsidP="00274507">
            <w:pPr>
              <w:jc w:val="both"/>
              <w:rPr>
                <w:sz w:val="28"/>
                <w:szCs w:val="28"/>
              </w:rPr>
            </w:pPr>
            <w:r w:rsidRPr="00274507">
              <w:rPr>
                <w:sz w:val="28"/>
                <w:szCs w:val="28"/>
              </w:rPr>
              <w:t>2. ¿Cuál es el número de tutelas asociadas a los problemas jurídicos mencionados por la sentencia T-760 para 2014?</w:t>
            </w:r>
          </w:p>
        </w:tc>
        <w:tc>
          <w:tcPr>
            <w:tcW w:w="3873" w:type="dxa"/>
          </w:tcPr>
          <w:p w:rsidR="00A046D5" w:rsidRPr="00274507" w:rsidRDefault="00A046D5" w:rsidP="00274507">
            <w:pPr>
              <w:jc w:val="both"/>
              <w:rPr>
                <w:sz w:val="28"/>
                <w:szCs w:val="28"/>
              </w:rPr>
            </w:pPr>
            <w:r w:rsidRPr="00274507">
              <w:rPr>
                <w:sz w:val="28"/>
                <w:szCs w:val="28"/>
              </w:rPr>
              <w:t>-Tipo de solicitud  -Clasificación de la solicitud enmarcada en los problemas jurídicos de la Sentencia T-760 de 2008.</w:t>
            </w:r>
          </w:p>
        </w:tc>
      </w:tr>
      <w:tr w:rsidR="00A046D5" w:rsidRPr="00274507" w:rsidTr="00D730F6">
        <w:trPr>
          <w:trHeight w:val="158"/>
        </w:trPr>
        <w:tc>
          <w:tcPr>
            <w:tcW w:w="2263" w:type="dxa"/>
            <w:vMerge/>
          </w:tcPr>
          <w:p w:rsidR="00A046D5" w:rsidRPr="00274507" w:rsidRDefault="00A046D5" w:rsidP="00274507">
            <w:pPr>
              <w:pStyle w:val="Prrafodelista"/>
              <w:numPr>
                <w:ilvl w:val="0"/>
                <w:numId w:val="13"/>
              </w:numPr>
              <w:tabs>
                <w:tab w:val="left" w:pos="454"/>
              </w:tabs>
              <w:ind w:hanging="124"/>
              <w:jc w:val="center"/>
              <w:rPr>
                <w:sz w:val="28"/>
                <w:szCs w:val="28"/>
              </w:rPr>
            </w:pPr>
          </w:p>
        </w:tc>
        <w:tc>
          <w:tcPr>
            <w:tcW w:w="2977" w:type="dxa"/>
          </w:tcPr>
          <w:p w:rsidR="00A046D5" w:rsidRPr="00274507" w:rsidRDefault="00A046D5" w:rsidP="00274507">
            <w:pPr>
              <w:jc w:val="both"/>
              <w:rPr>
                <w:sz w:val="28"/>
                <w:szCs w:val="28"/>
              </w:rPr>
            </w:pPr>
            <w:r w:rsidRPr="00274507">
              <w:rPr>
                <w:sz w:val="28"/>
                <w:szCs w:val="28"/>
              </w:rPr>
              <w:t>3. ¿Cuál es la composición de las solicitudes realizadas por los tutelantes en el año 2014?</w:t>
            </w:r>
          </w:p>
        </w:tc>
        <w:tc>
          <w:tcPr>
            <w:tcW w:w="3873" w:type="dxa"/>
          </w:tcPr>
          <w:p w:rsidR="00A046D5" w:rsidRPr="00274507" w:rsidRDefault="00A046D5" w:rsidP="00274507">
            <w:pPr>
              <w:jc w:val="both"/>
              <w:rPr>
                <w:sz w:val="28"/>
                <w:szCs w:val="28"/>
              </w:rPr>
            </w:pPr>
            <w:r w:rsidRPr="00274507">
              <w:rPr>
                <w:sz w:val="28"/>
                <w:szCs w:val="28"/>
              </w:rPr>
              <w:t>-Frecuencia del total de solicitudes (una tutela puede tener varias solicitudes) -Composición de las solicitudes por el tipo de servicios de salud (medicamentos, tratamientos, etc.)</w:t>
            </w:r>
          </w:p>
        </w:tc>
      </w:tr>
      <w:tr w:rsidR="00A046D5" w:rsidRPr="00274507" w:rsidTr="00D730F6">
        <w:tc>
          <w:tcPr>
            <w:tcW w:w="2263" w:type="dxa"/>
          </w:tcPr>
          <w:p w:rsidR="00A046D5" w:rsidRPr="00274507" w:rsidRDefault="00A046D5" w:rsidP="00274507">
            <w:pPr>
              <w:tabs>
                <w:tab w:val="left" w:pos="880"/>
              </w:tabs>
              <w:ind w:left="29" w:hanging="124"/>
              <w:jc w:val="center"/>
              <w:rPr>
                <w:sz w:val="28"/>
                <w:szCs w:val="28"/>
              </w:rPr>
            </w:pPr>
            <w:r w:rsidRPr="00274507">
              <w:rPr>
                <w:sz w:val="28"/>
                <w:szCs w:val="28"/>
              </w:rPr>
              <w:t>C.   Análisis de la decisión judicial</w:t>
            </w:r>
          </w:p>
        </w:tc>
        <w:tc>
          <w:tcPr>
            <w:tcW w:w="2977" w:type="dxa"/>
          </w:tcPr>
          <w:p w:rsidR="00A046D5" w:rsidRPr="00274507" w:rsidRDefault="00A046D5" w:rsidP="00274507">
            <w:pPr>
              <w:jc w:val="both"/>
              <w:rPr>
                <w:sz w:val="28"/>
                <w:szCs w:val="28"/>
              </w:rPr>
            </w:pPr>
            <w:r w:rsidRPr="00274507">
              <w:rPr>
                <w:sz w:val="28"/>
                <w:szCs w:val="28"/>
              </w:rPr>
              <w:t>4. ¿Cuáles son las características de las decisiones judiciales</w:t>
            </w:r>
          </w:p>
        </w:tc>
        <w:tc>
          <w:tcPr>
            <w:tcW w:w="3873" w:type="dxa"/>
          </w:tcPr>
          <w:p w:rsidR="00A046D5" w:rsidRPr="00274507" w:rsidRDefault="00A046D5" w:rsidP="00274507">
            <w:pPr>
              <w:jc w:val="both"/>
              <w:rPr>
                <w:sz w:val="28"/>
                <w:szCs w:val="28"/>
              </w:rPr>
            </w:pPr>
            <w:r w:rsidRPr="00274507">
              <w:rPr>
                <w:sz w:val="28"/>
                <w:szCs w:val="28"/>
              </w:rPr>
              <w:t>-Decisión de primera instancia</w:t>
            </w:r>
          </w:p>
          <w:p w:rsidR="00A046D5" w:rsidRPr="00274507" w:rsidRDefault="00A046D5" w:rsidP="00274507">
            <w:pPr>
              <w:jc w:val="both"/>
              <w:rPr>
                <w:sz w:val="28"/>
                <w:szCs w:val="28"/>
              </w:rPr>
            </w:pPr>
            <w:r w:rsidRPr="00274507">
              <w:rPr>
                <w:sz w:val="28"/>
                <w:szCs w:val="28"/>
              </w:rPr>
              <w:t xml:space="preserve">-Apelación  </w:t>
            </w:r>
          </w:p>
        </w:tc>
      </w:tr>
    </w:tbl>
    <w:p w:rsidR="00386941" w:rsidRPr="00274507" w:rsidRDefault="00386941" w:rsidP="00274507">
      <w:pPr>
        <w:tabs>
          <w:tab w:val="left" w:pos="567"/>
        </w:tabs>
        <w:jc w:val="both"/>
        <w:rPr>
          <w:sz w:val="28"/>
          <w:szCs w:val="28"/>
        </w:rPr>
      </w:pPr>
    </w:p>
    <w:p w:rsidR="00221C57" w:rsidRPr="00274507" w:rsidRDefault="004D3EA9" w:rsidP="00274507">
      <w:pPr>
        <w:tabs>
          <w:tab w:val="left" w:pos="567"/>
        </w:tabs>
        <w:jc w:val="both"/>
        <w:rPr>
          <w:sz w:val="28"/>
          <w:szCs w:val="28"/>
        </w:rPr>
      </w:pPr>
      <w:r w:rsidRPr="00274507">
        <w:rPr>
          <w:sz w:val="28"/>
          <w:szCs w:val="28"/>
        </w:rPr>
        <w:t>P</w:t>
      </w:r>
      <w:r w:rsidR="00221C57" w:rsidRPr="00274507">
        <w:rPr>
          <w:sz w:val="28"/>
          <w:szCs w:val="28"/>
        </w:rPr>
        <w:t>royecto “</w:t>
      </w:r>
      <w:r w:rsidR="00221C57" w:rsidRPr="00274507">
        <w:rPr>
          <w:i/>
          <w:sz w:val="28"/>
          <w:szCs w:val="28"/>
        </w:rPr>
        <w:t>Así vamos en Salud</w:t>
      </w:r>
      <w:r w:rsidR="00221C57" w:rsidRPr="00274507">
        <w:rPr>
          <w:sz w:val="28"/>
          <w:szCs w:val="28"/>
        </w:rPr>
        <w:t xml:space="preserve">”, </w:t>
      </w:r>
      <w:r w:rsidR="008A3CC3" w:rsidRPr="00274507">
        <w:rPr>
          <w:sz w:val="28"/>
          <w:szCs w:val="28"/>
        </w:rPr>
        <w:t xml:space="preserve">en calidad de </w:t>
      </w:r>
      <w:r w:rsidR="00221C57" w:rsidRPr="00274507">
        <w:rPr>
          <w:sz w:val="28"/>
          <w:szCs w:val="28"/>
        </w:rPr>
        <w:t>único perito que atendió el requerimiento efectuado por esta Corporación, precisó que la metodología de “</w:t>
      </w:r>
      <w:r w:rsidR="00221C57" w:rsidRPr="00274507">
        <w:rPr>
          <w:i/>
          <w:sz w:val="28"/>
          <w:szCs w:val="28"/>
        </w:rPr>
        <w:t>muestreo aleatorio estratificado por departamento con asignación proporcional</w:t>
      </w:r>
      <w:r w:rsidR="00221C57" w:rsidRPr="00274507">
        <w:rPr>
          <w:sz w:val="28"/>
          <w:szCs w:val="28"/>
        </w:rPr>
        <w:t>” fue la misma empleada por los estudios que efectúa anualmente la Defensoría del Pueblo, por lo que la considera pertinente y</w:t>
      </w:r>
      <w:r w:rsidR="001F67CC" w:rsidRPr="00274507">
        <w:rPr>
          <w:sz w:val="28"/>
          <w:szCs w:val="28"/>
        </w:rPr>
        <w:t>,</w:t>
      </w:r>
      <w:r w:rsidR="00221C57" w:rsidRPr="00274507">
        <w:rPr>
          <w:sz w:val="28"/>
          <w:szCs w:val="28"/>
        </w:rPr>
        <w:t xml:space="preserve"> a pesar de que r</w:t>
      </w:r>
      <w:r w:rsidR="00221C57" w:rsidRPr="00274507">
        <w:rPr>
          <w:bCs/>
          <w:sz w:val="28"/>
          <w:szCs w:val="28"/>
        </w:rPr>
        <w:t>eiteró la dificultad para la recolección total de la información, consideró que los resultados son muy cercanos a la realidad como consecuencia del diseño de la muestra, por lo que contempló un margen de error inferior al 5%, es decir co</w:t>
      </w:r>
      <w:r w:rsidR="0052315A" w:rsidRPr="00274507">
        <w:rPr>
          <w:bCs/>
          <w:sz w:val="28"/>
          <w:szCs w:val="28"/>
        </w:rPr>
        <w:t>n un nivel de confianza del 95%</w:t>
      </w:r>
      <w:r w:rsidR="00221C57" w:rsidRPr="00274507">
        <w:rPr>
          <w:bCs/>
          <w:sz w:val="28"/>
          <w:szCs w:val="28"/>
        </w:rPr>
        <w:t>.</w:t>
      </w:r>
    </w:p>
    <w:p w:rsidR="004D3EA9" w:rsidRPr="00274507" w:rsidRDefault="004D3EA9" w:rsidP="00274507">
      <w:pPr>
        <w:jc w:val="both"/>
        <w:rPr>
          <w:sz w:val="28"/>
          <w:szCs w:val="28"/>
        </w:rPr>
      </w:pPr>
    </w:p>
    <w:p w:rsidR="00DD6286" w:rsidRDefault="00A85CE4" w:rsidP="00274507">
      <w:pPr>
        <w:jc w:val="both"/>
        <w:rPr>
          <w:sz w:val="28"/>
          <w:szCs w:val="28"/>
        </w:rPr>
      </w:pPr>
      <w:r w:rsidRPr="00274507">
        <w:rPr>
          <w:sz w:val="28"/>
          <w:szCs w:val="28"/>
        </w:rPr>
        <w:t>Una vez realizado el anterior esquema y analizado cada uno de los métodos utilizados por el Ministerio de Salud en los informes presentados durante el trascurso de estos años,</w:t>
      </w:r>
      <w:r w:rsidR="003E2BEA" w:rsidRPr="00274507">
        <w:rPr>
          <w:sz w:val="28"/>
          <w:szCs w:val="28"/>
        </w:rPr>
        <w:t xml:space="preserve"> </w:t>
      </w:r>
      <w:r w:rsidR="008A3CC3" w:rsidRPr="00274507">
        <w:rPr>
          <w:sz w:val="28"/>
          <w:szCs w:val="28"/>
        </w:rPr>
        <w:t xml:space="preserve">esta </w:t>
      </w:r>
      <w:r w:rsidR="003E2BEA" w:rsidRPr="00274507">
        <w:rPr>
          <w:sz w:val="28"/>
          <w:szCs w:val="28"/>
        </w:rPr>
        <w:t xml:space="preserve">Sala </w:t>
      </w:r>
      <w:r w:rsidR="00826E30" w:rsidRPr="00274507">
        <w:rPr>
          <w:sz w:val="28"/>
          <w:szCs w:val="28"/>
        </w:rPr>
        <w:t>observa</w:t>
      </w:r>
      <w:r w:rsidR="008A3CC3" w:rsidRPr="00274507">
        <w:rPr>
          <w:sz w:val="28"/>
          <w:szCs w:val="28"/>
        </w:rPr>
        <w:t xml:space="preserve"> </w:t>
      </w:r>
      <w:r w:rsidRPr="00274507">
        <w:rPr>
          <w:sz w:val="28"/>
          <w:szCs w:val="28"/>
        </w:rPr>
        <w:t xml:space="preserve">un avance </w:t>
      </w:r>
      <w:r w:rsidR="001F67CC" w:rsidRPr="00274507">
        <w:rPr>
          <w:sz w:val="28"/>
          <w:szCs w:val="28"/>
        </w:rPr>
        <w:t>significativo en la elaboración</w:t>
      </w:r>
      <w:r w:rsidRPr="00274507">
        <w:rPr>
          <w:sz w:val="28"/>
          <w:szCs w:val="28"/>
        </w:rPr>
        <w:t xml:space="preserve"> de la metodología</w:t>
      </w:r>
      <w:r w:rsidR="00826E30" w:rsidRPr="00274507">
        <w:rPr>
          <w:sz w:val="28"/>
          <w:szCs w:val="28"/>
        </w:rPr>
        <w:t xml:space="preserve">, ya que al obtenerla </w:t>
      </w:r>
      <w:r w:rsidRPr="00274507">
        <w:rPr>
          <w:sz w:val="28"/>
          <w:szCs w:val="28"/>
        </w:rPr>
        <w:t>se presentan análisis y resultados favorables en la evaluación del comportamiento de las tut</w:t>
      </w:r>
      <w:r w:rsidR="00826E30" w:rsidRPr="00274507">
        <w:rPr>
          <w:sz w:val="28"/>
          <w:szCs w:val="28"/>
        </w:rPr>
        <w:t>elas. Es así como pasó</w:t>
      </w:r>
      <w:r w:rsidRPr="00274507">
        <w:rPr>
          <w:sz w:val="28"/>
          <w:szCs w:val="28"/>
        </w:rPr>
        <w:t xml:space="preserve"> de tener como base las solicitudes de recobros</w:t>
      </w:r>
      <w:r w:rsidR="00A56FAD" w:rsidRPr="00274507">
        <w:rPr>
          <w:sz w:val="28"/>
          <w:szCs w:val="28"/>
        </w:rPr>
        <w:t xml:space="preserve"> por orden judicial a analizar </w:t>
      </w:r>
      <w:r w:rsidRPr="00274507">
        <w:rPr>
          <w:sz w:val="28"/>
          <w:szCs w:val="28"/>
        </w:rPr>
        <w:t>los expedientes que obraban en la Corte, bajo sus respectivas caracterizaciones y variables.</w:t>
      </w:r>
      <w:r w:rsidR="00386941" w:rsidRPr="00274507">
        <w:rPr>
          <w:sz w:val="28"/>
          <w:szCs w:val="28"/>
        </w:rPr>
        <w:t xml:space="preserve"> </w:t>
      </w:r>
      <w:r w:rsidR="001360F7" w:rsidRPr="00274507">
        <w:rPr>
          <w:sz w:val="28"/>
          <w:szCs w:val="28"/>
        </w:rPr>
        <w:t>E</w:t>
      </w:r>
      <w:r w:rsidR="00826E30" w:rsidRPr="00274507">
        <w:rPr>
          <w:sz w:val="28"/>
          <w:szCs w:val="28"/>
        </w:rPr>
        <w:t xml:space="preserve">s preciso reconocer el cambio </w:t>
      </w:r>
      <w:r w:rsidR="001360F7" w:rsidRPr="00274507">
        <w:rPr>
          <w:sz w:val="28"/>
          <w:szCs w:val="28"/>
        </w:rPr>
        <w:t>d</w:t>
      </w:r>
      <w:r w:rsidRPr="00274507">
        <w:rPr>
          <w:sz w:val="28"/>
          <w:szCs w:val="28"/>
        </w:rPr>
        <w:t xml:space="preserve">el primer </w:t>
      </w:r>
      <w:r w:rsidR="001360F7" w:rsidRPr="00274507">
        <w:rPr>
          <w:sz w:val="28"/>
          <w:szCs w:val="28"/>
        </w:rPr>
        <w:t>a</w:t>
      </w:r>
      <w:r w:rsidRPr="00274507">
        <w:rPr>
          <w:sz w:val="28"/>
          <w:szCs w:val="28"/>
        </w:rPr>
        <w:t>l octavo informe</w:t>
      </w:r>
      <w:r w:rsidR="00386941" w:rsidRPr="00274507">
        <w:rPr>
          <w:sz w:val="28"/>
          <w:szCs w:val="28"/>
        </w:rPr>
        <w:t xml:space="preserve">, como se evidencia en la evolución de los conceptos emitidos por los peritos, que al principio la consideraron inoportuna y a la fecha de la presentación </w:t>
      </w:r>
      <w:r w:rsidR="00826E30" w:rsidRPr="00274507">
        <w:rPr>
          <w:sz w:val="28"/>
          <w:szCs w:val="28"/>
        </w:rPr>
        <w:t>de</w:t>
      </w:r>
      <w:r w:rsidR="00A56FAD" w:rsidRPr="00274507">
        <w:rPr>
          <w:sz w:val="28"/>
          <w:szCs w:val="28"/>
        </w:rPr>
        <w:t xml:space="preserve"> los últimos informes </w:t>
      </w:r>
      <w:r w:rsidR="001360F7" w:rsidRPr="00274507">
        <w:rPr>
          <w:sz w:val="28"/>
          <w:szCs w:val="28"/>
        </w:rPr>
        <w:t xml:space="preserve">reconocieron cambios favorables en </w:t>
      </w:r>
      <w:r w:rsidR="00386941" w:rsidRPr="00274507">
        <w:rPr>
          <w:sz w:val="28"/>
          <w:szCs w:val="28"/>
        </w:rPr>
        <w:t>la utilizada</w:t>
      </w:r>
      <w:r w:rsidR="001360F7" w:rsidRPr="00274507">
        <w:rPr>
          <w:sz w:val="28"/>
          <w:szCs w:val="28"/>
        </w:rPr>
        <w:t xml:space="preserve"> para el último reporte</w:t>
      </w:r>
      <w:r w:rsidR="00386941" w:rsidRPr="00274507">
        <w:rPr>
          <w:sz w:val="28"/>
          <w:szCs w:val="28"/>
        </w:rPr>
        <w:t xml:space="preserve">.  </w:t>
      </w:r>
      <w:r w:rsidRPr="00274507">
        <w:rPr>
          <w:sz w:val="28"/>
          <w:szCs w:val="28"/>
        </w:rPr>
        <w:t xml:space="preserve"> </w:t>
      </w:r>
    </w:p>
    <w:p w:rsidR="009559BA" w:rsidRPr="00274507" w:rsidRDefault="009559BA" w:rsidP="00274507">
      <w:pPr>
        <w:jc w:val="both"/>
        <w:rPr>
          <w:sz w:val="28"/>
          <w:szCs w:val="28"/>
        </w:rPr>
      </w:pPr>
    </w:p>
    <w:p w:rsidR="00386941" w:rsidRPr="00274507" w:rsidRDefault="00386941" w:rsidP="00274507">
      <w:pPr>
        <w:jc w:val="both"/>
        <w:rPr>
          <w:sz w:val="28"/>
          <w:szCs w:val="28"/>
        </w:rPr>
      </w:pPr>
      <w:r w:rsidRPr="00274507">
        <w:rPr>
          <w:sz w:val="28"/>
          <w:szCs w:val="28"/>
        </w:rPr>
        <w:t xml:space="preserve">Aunado a lo anterior, en lo que tiene que ver con la representación de la muestra obtenida, desde el </w:t>
      </w:r>
      <w:r w:rsidR="007C4CFF" w:rsidRPr="00274507">
        <w:rPr>
          <w:sz w:val="28"/>
          <w:szCs w:val="28"/>
        </w:rPr>
        <w:t>primer informe</w:t>
      </w:r>
      <w:r w:rsidRPr="00274507">
        <w:rPr>
          <w:sz w:val="28"/>
          <w:szCs w:val="28"/>
        </w:rPr>
        <w:t xml:space="preserve"> al sexto</w:t>
      </w:r>
      <w:r w:rsidR="007C4CFF" w:rsidRPr="00274507">
        <w:rPr>
          <w:sz w:val="28"/>
          <w:szCs w:val="28"/>
        </w:rPr>
        <w:t>,</w:t>
      </w:r>
      <w:r w:rsidRPr="00274507">
        <w:rPr>
          <w:sz w:val="28"/>
          <w:szCs w:val="28"/>
        </w:rPr>
        <w:t xml:space="preserve"> se evidenció que las mismas no eran representativas en el sentido que presentaba muchas limitaciones y carecían de un procedimiento interno eficaz que les permitiera tener la totalidad de las tutelas seleccionadas para sus análisis, evidenciándose que algunos resultados carecían de expedientes que los fundamentaran y generando así dudas.</w:t>
      </w:r>
      <w:r w:rsidR="00C36C9E" w:rsidRPr="00274507">
        <w:rPr>
          <w:sz w:val="28"/>
          <w:szCs w:val="28"/>
        </w:rPr>
        <w:t xml:space="preserve"> Para los informes séptimo y octavo</w:t>
      </w:r>
      <w:r w:rsidRPr="00274507">
        <w:rPr>
          <w:sz w:val="28"/>
          <w:szCs w:val="28"/>
        </w:rPr>
        <w:t>,</w:t>
      </w:r>
      <w:r w:rsidR="00C36C9E" w:rsidRPr="00274507">
        <w:rPr>
          <w:sz w:val="28"/>
          <w:szCs w:val="28"/>
        </w:rPr>
        <w:t xml:space="preserve"> el ente </w:t>
      </w:r>
      <w:r w:rsidR="004C3F0E" w:rsidRPr="00274507">
        <w:rPr>
          <w:sz w:val="28"/>
          <w:szCs w:val="28"/>
        </w:rPr>
        <w:t xml:space="preserve">ministerial </w:t>
      </w:r>
      <w:r w:rsidR="00C36C9E" w:rsidRPr="00274507">
        <w:rPr>
          <w:sz w:val="28"/>
          <w:szCs w:val="28"/>
        </w:rPr>
        <w:t xml:space="preserve">efectúo </w:t>
      </w:r>
      <w:r w:rsidRPr="00274507">
        <w:rPr>
          <w:sz w:val="28"/>
          <w:szCs w:val="28"/>
        </w:rPr>
        <w:t>modificaciones en el proc</w:t>
      </w:r>
      <w:r w:rsidR="00A56FAD" w:rsidRPr="00274507">
        <w:rPr>
          <w:sz w:val="28"/>
          <w:szCs w:val="28"/>
        </w:rPr>
        <w:t xml:space="preserve">eso de selección y </w:t>
      </w:r>
      <w:r w:rsidR="00C36C9E" w:rsidRPr="00274507">
        <w:rPr>
          <w:sz w:val="28"/>
          <w:szCs w:val="28"/>
        </w:rPr>
        <w:t xml:space="preserve">de la caracterización de las tutelas a través de </w:t>
      </w:r>
      <w:r w:rsidRPr="00274507">
        <w:rPr>
          <w:sz w:val="28"/>
          <w:szCs w:val="28"/>
        </w:rPr>
        <w:t>un formato estandarizado</w:t>
      </w:r>
      <w:r w:rsidR="00C36C9E" w:rsidRPr="00274507">
        <w:rPr>
          <w:sz w:val="28"/>
          <w:szCs w:val="28"/>
        </w:rPr>
        <w:t xml:space="preserve">, </w:t>
      </w:r>
      <w:r w:rsidRPr="00274507">
        <w:rPr>
          <w:sz w:val="28"/>
          <w:szCs w:val="28"/>
        </w:rPr>
        <w:t xml:space="preserve"> </w:t>
      </w:r>
      <w:r w:rsidR="00C36C9E" w:rsidRPr="00274507">
        <w:rPr>
          <w:sz w:val="28"/>
          <w:szCs w:val="28"/>
        </w:rPr>
        <w:t xml:space="preserve">lo que permite obtener información de las acciones con mayor certeza. </w:t>
      </w:r>
    </w:p>
    <w:p w:rsidR="00C36C9E" w:rsidRPr="00274507" w:rsidRDefault="00C36C9E" w:rsidP="00274507">
      <w:pPr>
        <w:jc w:val="both"/>
        <w:rPr>
          <w:sz w:val="28"/>
          <w:szCs w:val="28"/>
        </w:rPr>
      </w:pPr>
    </w:p>
    <w:p w:rsidR="0052315A" w:rsidRPr="00274507" w:rsidRDefault="00386941" w:rsidP="00274507">
      <w:pPr>
        <w:jc w:val="both"/>
        <w:rPr>
          <w:sz w:val="28"/>
          <w:szCs w:val="28"/>
        </w:rPr>
      </w:pPr>
      <w:r w:rsidRPr="00274507">
        <w:rPr>
          <w:sz w:val="28"/>
          <w:szCs w:val="28"/>
        </w:rPr>
        <w:t>En ese sentido,</w:t>
      </w:r>
      <w:r w:rsidR="00C36C9E" w:rsidRPr="00274507">
        <w:rPr>
          <w:sz w:val="28"/>
          <w:szCs w:val="28"/>
        </w:rPr>
        <w:t xml:space="preserve"> en la elaboración d</w:t>
      </w:r>
      <w:r w:rsidRPr="00274507">
        <w:rPr>
          <w:sz w:val="28"/>
          <w:szCs w:val="28"/>
        </w:rPr>
        <w:t>el octavo informe</w:t>
      </w:r>
      <w:r w:rsidR="001E5BBE" w:rsidRPr="00274507">
        <w:rPr>
          <w:sz w:val="28"/>
          <w:szCs w:val="28"/>
        </w:rPr>
        <w:t xml:space="preserve"> el Ministerio</w:t>
      </w:r>
      <w:r w:rsidR="00A56FAD" w:rsidRPr="00274507">
        <w:rPr>
          <w:sz w:val="28"/>
          <w:szCs w:val="28"/>
        </w:rPr>
        <w:t xml:space="preserve"> de Salud</w:t>
      </w:r>
      <w:r w:rsidR="001E5BBE" w:rsidRPr="00274507">
        <w:rPr>
          <w:sz w:val="28"/>
          <w:szCs w:val="28"/>
        </w:rPr>
        <w:t xml:space="preserve"> dispuso de un tamaño de muestreo de 5.418 expedientes referidos al derecho a la salud y en la base de datos de la Corte se evidenció que</w:t>
      </w:r>
      <w:r w:rsidRPr="00274507">
        <w:rPr>
          <w:sz w:val="28"/>
          <w:szCs w:val="28"/>
        </w:rPr>
        <w:t xml:space="preserve"> </w:t>
      </w:r>
      <w:r w:rsidR="001E5BBE" w:rsidRPr="00274507">
        <w:rPr>
          <w:sz w:val="28"/>
          <w:szCs w:val="28"/>
        </w:rPr>
        <w:t>para el año 2015 se registr</w:t>
      </w:r>
      <w:r w:rsidR="00857E8F" w:rsidRPr="00274507">
        <w:rPr>
          <w:sz w:val="28"/>
          <w:szCs w:val="28"/>
        </w:rPr>
        <w:t>aron</w:t>
      </w:r>
      <w:r w:rsidR="001E5BBE" w:rsidRPr="00274507">
        <w:rPr>
          <w:sz w:val="28"/>
          <w:szCs w:val="28"/>
        </w:rPr>
        <w:t xml:space="preserve"> 614.520 tutelas, con lo </w:t>
      </w:r>
      <w:r w:rsidR="003E2BEA" w:rsidRPr="00274507">
        <w:rPr>
          <w:sz w:val="28"/>
          <w:szCs w:val="28"/>
        </w:rPr>
        <w:t>que a simple vista</w:t>
      </w:r>
      <w:r w:rsidR="00E602A4" w:rsidRPr="00274507">
        <w:rPr>
          <w:sz w:val="28"/>
          <w:szCs w:val="28"/>
        </w:rPr>
        <w:t xml:space="preserve"> pareciera que la muestra </w:t>
      </w:r>
      <w:r w:rsidR="000550B0" w:rsidRPr="00274507">
        <w:rPr>
          <w:sz w:val="28"/>
          <w:szCs w:val="28"/>
        </w:rPr>
        <w:t xml:space="preserve">allí </w:t>
      </w:r>
      <w:r w:rsidR="00E602A4" w:rsidRPr="00274507">
        <w:rPr>
          <w:sz w:val="28"/>
          <w:szCs w:val="28"/>
        </w:rPr>
        <w:t xml:space="preserve">utilizada </w:t>
      </w:r>
      <w:r w:rsidR="008A3CC3" w:rsidRPr="00274507">
        <w:rPr>
          <w:sz w:val="28"/>
          <w:szCs w:val="28"/>
        </w:rPr>
        <w:t>fue</w:t>
      </w:r>
      <w:r w:rsidR="00E602A4" w:rsidRPr="00274507">
        <w:rPr>
          <w:sz w:val="28"/>
          <w:szCs w:val="28"/>
        </w:rPr>
        <w:t xml:space="preserve"> </w:t>
      </w:r>
      <w:r w:rsidR="008A3CC3" w:rsidRPr="00274507">
        <w:rPr>
          <w:sz w:val="28"/>
          <w:szCs w:val="28"/>
        </w:rPr>
        <w:t>in</w:t>
      </w:r>
      <w:r w:rsidR="00E602A4" w:rsidRPr="00274507">
        <w:rPr>
          <w:sz w:val="28"/>
          <w:szCs w:val="28"/>
        </w:rPr>
        <w:t xml:space="preserve">suficiente </w:t>
      </w:r>
      <w:r w:rsidR="008A3CC3" w:rsidRPr="00274507">
        <w:rPr>
          <w:sz w:val="28"/>
          <w:szCs w:val="28"/>
        </w:rPr>
        <w:t xml:space="preserve">para determinar </w:t>
      </w:r>
      <w:r w:rsidR="00E602A4" w:rsidRPr="00274507">
        <w:rPr>
          <w:sz w:val="28"/>
          <w:szCs w:val="28"/>
        </w:rPr>
        <w:t>el rango de representaci</w:t>
      </w:r>
      <w:r w:rsidR="0052315A" w:rsidRPr="00274507">
        <w:rPr>
          <w:sz w:val="28"/>
          <w:szCs w:val="28"/>
        </w:rPr>
        <w:t>ón de las tutelas registradas para</w:t>
      </w:r>
      <w:r w:rsidR="008A3CC3" w:rsidRPr="00274507">
        <w:rPr>
          <w:sz w:val="28"/>
          <w:szCs w:val="28"/>
        </w:rPr>
        <w:t xml:space="preserve"> el 2015 po</w:t>
      </w:r>
      <w:r w:rsidR="00857E8F" w:rsidRPr="00274507">
        <w:rPr>
          <w:sz w:val="28"/>
          <w:szCs w:val="28"/>
        </w:rPr>
        <w:t>r tratarse de una gran cantidad. S</w:t>
      </w:r>
      <w:r w:rsidR="008A3CC3" w:rsidRPr="00274507">
        <w:rPr>
          <w:sz w:val="28"/>
          <w:szCs w:val="28"/>
        </w:rPr>
        <w:t>in embargo, teniendo en cuenta que</w:t>
      </w:r>
      <w:r w:rsidR="001E5BBE" w:rsidRPr="00274507">
        <w:rPr>
          <w:sz w:val="28"/>
          <w:szCs w:val="28"/>
        </w:rPr>
        <w:t xml:space="preserve"> en los conceptos </w:t>
      </w:r>
      <w:r w:rsidR="00857E8F" w:rsidRPr="00274507">
        <w:rPr>
          <w:sz w:val="28"/>
          <w:szCs w:val="28"/>
        </w:rPr>
        <w:t xml:space="preserve">técnicos </w:t>
      </w:r>
      <w:r w:rsidR="001E5BBE" w:rsidRPr="00274507">
        <w:rPr>
          <w:sz w:val="28"/>
          <w:szCs w:val="28"/>
        </w:rPr>
        <w:t>emitidos por los peritos, a</w:t>
      </w:r>
      <w:r w:rsidR="0052315A" w:rsidRPr="00274507">
        <w:rPr>
          <w:sz w:val="28"/>
          <w:szCs w:val="28"/>
        </w:rPr>
        <w:t>firma</w:t>
      </w:r>
      <w:r w:rsidR="001E5BBE" w:rsidRPr="00274507">
        <w:rPr>
          <w:sz w:val="28"/>
          <w:szCs w:val="28"/>
        </w:rPr>
        <w:t>ron que es representat</w:t>
      </w:r>
      <w:r w:rsidR="00C36C9E" w:rsidRPr="00274507">
        <w:rPr>
          <w:sz w:val="28"/>
          <w:szCs w:val="28"/>
        </w:rPr>
        <w:t>iva del universo de las tutelas</w:t>
      </w:r>
      <w:r w:rsidR="001E5BBE" w:rsidRPr="00274507">
        <w:rPr>
          <w:sz w:val="28"/>
          <w:szCs w:val="28"/>
        </w:rPr>
        <w:t xml:space="preserve"> esta Sala </w:t>
      </w:r>
      <w:r w:rsidR="00C36C9E" w:rsidRPr="00274507">
        <w:rPr>
          <w:sz w:val="28"/>
          <w:szCs w:val="28"/>
        </w:rPr>
        <w:t xml:space="preserve">lo </w:t>
      </w:r>
      <w:r w:rsidR="001E5BBE" w:rsidRPr="00274507">
        <w:rPr>
          <w:sz w:val="28"/>
          <w:szCs w:val="28"/>
        </w:rPr>
        <w:t>tomara e</w:t>
      </w:r>
      <w:r w:rsidR="00A56FAD" w:rsidRPr="00274507">
        <w:rPr>
          <w:sz w:val="28"/>
          <w:szCs w:val="28"/>
        </w:rPr>
        <w:t xml:space="preserve">n cuenta bajo el entendido </w:t>
      </w:r>
      <w:r w:rsidR="001E5BBE" w:rsidRPr="00274507">
        <w:rPr>
          <w:sz w:val="28"/>
          <w:szCs w:val="28"/>
        </w:rPr>
        <w:t xml:space="preserve">que se trata de un </w:t>
      </w:r>
      <w:r w:rsidR="00C36C9E" w:rsidRPr="00274507">
        <w:rPr>
          <w:sz w:val="28"/>
          <w:szCs w:val="28"/>
        </w:rPr>
        <w:t xml:space="preserve">tema </w:t>
      </w:r>
      <w:r w:rsidR="00857E8F" w:rsidRPr="00274507">
        <w:rPr>
          <w:sz w:val="28"/>
          <w:szCs w:val="28"/>
        </w:rPr>
        <w:t xml:space="preserve">especializado que se demuestra por medio de </w:t>
      </w:r>
      <w:r w:rsidR="000F52E7" w:rsidRPr="00274507">
        <w:rPr>
          <w:sz w:val="28"/>
          <w:szCs w:val="28"/>
        </w:rPr>
        <w:t>técnicas</w:t>
      </w:r>
      <w:r w:rsidR="00857E8F" w:rsidRPr="00274507">
        <w:rPr>
          <w:sz w:val="28"/>
          <w:szCs w:val="28"/>
        </w:rPr>
        <w:t xml:space="preserve"> estadísticos</w:t>
      </w:r>
      <w:r w:rsidR="001E5BBE" w:rsidRPr="00274507">
        <w:rPr>
          <w:sz w:val="28"/>
          <w:szCs w:val="28"/>
        </w:rPr>
        <w:t xml:space="preserve"> y</w:t>
      </w:r>
      <w:r w:rsidR="00857E8F" w:rsidRPr="00274507">
        <w:rPr>
          <w:sz w:val="28"/>
          <w:szCs w:val="28"/>
        </w:rPr>
        <w:t>,</w:t>
      </w:r>
      <w:r w:rsidR="001E5BBE" w:rsidRPr="00274507">
        <w:rPr>
          <w:sz w:val="28"/>
          <w:szCs w:val="28"/>
        </w:rPr>
        <w:t xml:space="preserve"> en ese sentido</w:t>
      </w:r>
      <w:r w:rsidR="00857E8F" w:rsidRPr="00274507">
        <w:rPr>
          <w:sz w:val="28"/>
          <w:szCs w:val="28"/>
        </w:rPr>
        <w:t>,</w:t>
      </w:r>
      <w:r w:rsidR="001E5BBE" w:rsidRPr="00274507">
        <w:rPr>
          <w:sz w:val="28"/>
          <w:szCs w:val="28"/>
        </w:rPr>
        <w:t xml:space="preserve"> la Corte requiere de su apoyo para poder encaminar los resultados de los análisis presentados</w:t>
      </w:r>
      <w:r w:rsidR="0052315A" w:rsidRPr="00274507">
        <w:rPr>
          <w:bCs/>
          <w:sz w:val="28"/>
          <w:szCs w:val="28"/>
        </w:rPr>
        <w:t xml:space="preserve">. </w:t>
      </w:r>
    </w:p>
    <w:p w:rsidR="004F2850" w:rsidRPr="00274507" w:rsidRDefault="004F2850" w:rsidP="00274507">
      <w:pPr>
        <w:jc w:val="both"/>
        <w:rPr>
          <w:sz w:val="28"/>
          <w:szCs w:val="28"/>
        </w:rPr>
      </w:pPr>
    </w:p>
    <w:p w:rsidR="003E2BEA" w:rsidRPr="00274507" w:rsidRDefault="0052315A" w:rsidP="00274507">
      <w:pPr>
        <w:jc w:val="both"/>
        <w:rPr>
          <w:bCs/>
          <w:sz w:val="28"/>
          <w:szCs w:val="28"/>
        </w:rPr>
      </w:pPr>
      <w:r w:rsidRPr="00274507">
        <w:rPr>
          <w:bCs/>
          <w:sz w:val="28"/>
          <w:szCs w:val="28"/>
        </w:rPr>
        <w:t xml:space="preserve">No obstante, se reitera que </w:t>
      </w:r>
      <w:r w:rsidR="00DD6286" w:rsidRPr="00274507">
        <w:rPr>
          <w:bCs/>
          <w:sz w:val="28"/>
          <w:szCs w:val="28"/>
        </w:rPr>
        <w:t>aún</w:t>
      </w:r>
      <w:r w:rsidRPr="00274507">
        <w:rPr>
          <w:bCs/>
          <w:sz w:val="28"/>
          <w:szCs w:val="28"/>
        </w:rPr>
        <w:t xml:space="preserve"> persisten algunas dificultades en</w:t>
      </w:r>
      <w:r w:rsidR="004F2850" w:rsidRPr="00274507">
        <w:rPr>
          <w:bCs/>
          <w:sz w:val="28"/>
          <w:szCs w:val="28"/>
        </w:rPr>
        <w:t xml:space="preserve"> la selección de los expedientes y su análisis </w:t>
      </w:r>
      <w:r w:rsidR="00A56FAD" w:rsidRPr="00274507">
        <w:rPr>
          <w:bCs/>
          <w:sz w:val="28"/>
          <w:szCs w:val="28"/>
        </w:rPr>
        <w:t>tal como se expuso, ya sea por falta de</w:t>
      </w:r>
      <w:r w:rsidRPr="00274507">
        <w:rPr>
          <w:bCs/>
          <w:sz w:val="28"/>
          <w:szCs w:val="28"/>
        </w:rPr>
        <w:t xml:space="preserve"> organización o porque las tutelas seleccionadas no correspondieron a situaciones de salud, </w:t>
      </w:r>
      <w:r w:rsidR="00E16E5E" w:rsidRPr="00274507">
        <w:rPr>
          <w:iCs/>
          <w:sz w:val="28"/>
          <w:szCs w:val="28"/>
        </w:rPr>
        <w:t>por dificultades administrativas</w:t>
      </w:r>
      <w:r w:rsidR="000F52E7" w:rsidRPr="00274507">
        <w:rPr>
          <w:iCs/>
          <w:sz w:val="28"/>
          <w:szCs w:val="28"/>
        </w:rPr>
        <w:t>. Q</w:t>
      </w:r>
      <w:r w:rsidR="00E16E5E" w:rsidRPr="00274507">
        <w:rPr>
          <w:iCs/>
          <w:sz w:val="28"/>
          <w:szCs w:val="28"/>
        </w:rPr>
        <w:t>uiere decir lo anterior que el proceso de recolección de la información debe tener una mejor estructura organizacional</w:t>
      </w:r>
      <w:r w:rsidR="00A56FAD" w:rsidRPr="00274507">
        <w:rPr>
          <w:iCs/>
          <w:sz w:val="28"/>
          <w:szCs w:val="28"/>
        </w:rPr>
        <w:t xml:space="preserve"> durante todo el año</w:t>
      </w:r>
      <w:r w:rsidR="00E16E5E" w:rsidRPr="00274507">
        <w:rPr>
          <w:iCs/>
          <w:sz w:val="28"/>
          <w:szCs w:val="28"/>
        </w:rPr>
        <w:t xml:space="preserve"> para poder obtener el total de la muestra solicitada desde el in</w:t>
      </w:r>
      <w:r w:rsidR="00857E8F" w:rsidRPr="00274507">
        <w:rPr>
          <w:iCs/>
          <w:sz w:val="28"/>
          <w:szCs w:val="28"/>
        </w:rPr>
        <w:t xml:space="preserve">icio e implementar las medidas contingentes </w:t>
      </w:r>
      <w:r w:rsidR="00E16E5E" w:rsidRPr="00274507">
        <w:rPr>
          <w:iCs/>
          <w:sz w:val="28"/>
          <w:szCs w:val="28"/>
        </w:rPr>
        <w:t xml:space="preserve">por si se presentan fallas como las enunciadas, </w:t>
      </w:r>
      <w:r w:rsidRPr="00274507">
        <w:rPr>
          <w:bCs/>
          <w:sz w:val="28"/>
          <w:szCs w:val="28"/>
        </w:rPr>
        <w:t xml:space="preserve">empero, a futuro </w:t>
      </w:r>
      <w:r w:rsidR="00E16E5E" w:rsidRPr="00274507">
        <w:rPr>
          <w:bCs/>
          <w:sz w:val="28"/>
          <w:szCs w:val="28"/>
        </w:rPr>
        <w:t xml:space="preserve">estas </w:t>
      </w:r>
      <w:r w:rsidR="00857E8F" w:rsidRPr="00274507">
        <w:rPr>
          <w:bCs/>
          <w:sz w:val="28"/>
          <w:szCs w:val="28"/>
        </w:rPr>
        <w:t>son superables y permitiera</w:t>
      </w:r>
      <w:r w:rsidRPr="00274507">
        <w:rPr>
          <w:bCs/>
          <w:sz w:val="28"/>
          <w:szCs w:val="28"/>
        </w:rPr>
        <w:t>n conocer la realidad del comportamiento de los amparos constitucionales que invocan los usuarios del sistema de salud.</w:t>
      </w:r>
    </w:p>
    <w:p w:rsidR="00991DB2" w:rsidRPr="00274507" w:rsidRDefault="00991DB2" w:rsidP="00274507">
      <w:pPr>
        <w:jc w:val="both"/>
        <w:rPr>
          <w:bCs/>
          <w:sz w:val="28"/>
          <w:szCs w:val="28"/>
        </w:rPr>
      </w:pPr>
    </w:p>
    <w:p w:rsidR="00991DB2" w:rsidRPr="00274507" w:rsidRDefault="00991DB2" w:rsidP="00274507">
      <w:pPr>
        <w:jc w:val="both"/>
        <w:rPr>
          <w:iCs/>
          <w:sz w:val="28"/>
          <w:szCs w:val="28"/>
        </w:rPr>
      </w:pPr>
      <w:r w:rsidRPr="00274507">
        <w:rPr>
          <w:bCs/>
          <w:sz w:val="28"/>
          <w:szCs w:val="28"/>
        </w:rPr>
        <w:t>En consecuencia, el muestreo es suficiente de acuerdo con los parámetros establecidos por el proyecto “</w:t>
      </w:r>
      <w:r w:rsidRPr="00274507">
        <w:rPr>
          <w:bCs/>
          <w:i/>
          <w:sz w:val="28"/>
          <w:szCs w:val="28"/>
        </w:rPr>
        <w:t>Así vamos en salud</w:t>
      </w:r>
      <w:r w:rsidRPr="00274507">
        <w:rPr>
          <w:bCs/>
          <w:sz w:val="28"/>
          <w:szCs w:val="28"/>
        </w:rPr>
        <w:t>”, sin embargo al analizar las caracterizaciones respecto a los problemas jurídicos, esta Sala encuentra falencias en el mismo, por lo que a la fecha no sería suficiente y el Ministerio de Salud deberá reprogramar la técnica de selección con el fin de que pueda abarcar un número más amplio de tutelas en salud y así abarcar la mayoría de los aspectos que est</w:t>
      </w:r>
      <w:r w:rsidR="00D57B97" w:rsidRPr="00274507">
        <w:rPr>
          <w:bCs/>
          <w:sz w:val="28"/>
          <w:szCs w:val="28"/>
        </w:rPr>
        <w:t>e Tribunal considera relevantes para obtener información precisa en los informes futuros.</w:t>
      </w:r>
    </w:p>
    <w:p w:rsidR="00F9114E" w:rsidRPr="00274507" w:rsidRDefault="00F9114E" w:rsidP="00274507">
      <w:pPr>
        <w:jc w:val="both"/>
        <w:rPr>
          <w:b/>
          <w:sz w:val="28"/>
          <w:szCs w:val="28"/>
        </w:rPr>
      </w:pPr>
    </w:p>
    <w:p w:rsidR="006B12A2" w:rsidRPr="00274507" w:rsidRDefault="00D05C0C" w:rsidP="00274507">
      <w:pPr>
        <w:tabs>
          <w:tab w:val="left" w:pos="567"/>
        </w:tabs>
        <w:jc w:val="both"/>
        <w:rPr>
          <w:b/>
          <w:iCs/>
          <w:sz w:val="28"/>
          <w:szCs w:val="28"/>
        </w:rPr>
      </w:pPr>
      <w:r w:rsidRPr="00274507">
        <w:rPr>
          <w:b/>
          <w:iCs/>
          <w:sz w:val="28"/>
          <w:szCs w:val="28"/>
        </w:rPr>
        <w:t>7</w:t>
      </w:r>
      <w:r w:rsidR="00A9401F" w:rsidRPr="00274507">
        <w:rPr>
          <w:b/>
          <w:iCs/>
          <w:sz w:val="28"/>
          <w:szCs w:val="28"/>
        </w:rPr>
        <w:t>.</w:t>
      </w:r>
      <w:r w:rsidR="00412C4F" w:rsidRPr="00274507">
        <w:rPr>
          <w:b/>
          <w:iCs/>
          <w:sz w:val="28"/>
          <w:szCs w:val="28"/>
        </w:rPr>
        <w:t>3.</w:t>
      </w:r>
      <w:r w:rsidR="00A9401F" w:rsidRPr="00274507">
        <w:rPr>
          <w:b/>
          <w:iCs/>
          <w:sz w:val="28"/>
          <w:szCs w:val="28"/>
        </w:rPr>
        <w:t xml:space="preserve"> </w:t>
      </w:r>
      <w:r w:rsidR="004D22F7" w:rsidRPr="00274507">
        <w:rPr>
          <w:b/>
          <w:iCs/>
          <w:sz w:val="28"/>
          <w:szCs w:val="28"/>
        </w:rPr>
        <w:t xml:space="preserve">Estudio </w:t>
      </w:r>
      <w:r w:rsidR="005F4DE7" w:rsidRPr="00274507">
        <w:rPr>
          <w:b/>
          <w:iCs/>
          <w:sz w:val="28"/>
          <w:szCs w:val="28"/>
        </w:rPr>
        <w:t>de los problemas jurídicos planteados en la T-760 de 2008</w:t>
      </w:r>
      <w:r w:rsidR="009B206A" w:rsidRPr="00274507">
        <w:rPr>
          <w:b/>
          <w:iCs/>
          <w:sz w:val="28"/>
          <w:szCs w:val="28"/>
        </w:rPr>
        <w:t>.</w:t>
      </w:r>
    </w:p>
    <w:p w:rsidR="00412C4F" w:rsidRPr="00274507" w:rsidRDefault="00412C4F" w:rsidP="00274507">
      <w:pPr>
        <w:tabs>
          <w:tab w:val="left" w:pos="567"/>
        </w:tabs>
        <w:jc w:val="both"/>
        <w:rPr>
          <w:iCs/>
          <w:sz w:val="28"/>
          <w:szCs w:val="28"/>
        </w:rPr>
      </w:pPr>
    </w:p>
    <w:p w:rsidR="00145863" w:rsidRPr="00274507" w:rsidRDefault="00145863" w:rsidP="00274507">
      <w:pPr>
        <w:widowControl w:val="0"/>
        <w:tabs>
          <w:tab w:val="left" w:pos="426"/>
        </w:tabs>
        <w:autoSpaceDE w:val="0"/>
        <w:autoSpaceDN w:val="0"/>
        <w:adjustRightInd w:val="0"/>
        <w:jc w:val="both"/>
        <w:rPr>
          <w:sz w:val="28"/>
          <w:szCs w:val="28"/>
        </w:rPr>
      </w:pPr>
      <w:r w:rsidRPr="00274507">
        <w:rPr>
          <w:sz w:val="28"/>
          <w:szCs w:val="28"/>
        </w:rPr>
        <w:t>Como fue expuesto en la parte inicial de esta providencia, la sentencia T-760 de 2008 evidenció las fallas estructurales, funcionales y financieras del SGSSS res</w:t>
      </w:r>
      <w:r w:rsidR="007636A8" w:rsidRPr="00274507">
        <w:rPr>
          <w:sz w:val="28"/>
          <w:szCs w:val="28"/>
        </w:rPr>
        <w:t>pecto a cuatro ejes temáticos:</w:t>
      </w:r>
      <w:r w:rsidRPr="00274507">
        <w:rPr>
          <w:sz w:val="28"/>
          <w:szCs w:val="28"/>
        </w:rPr>
        <w:t xml:space="preserve"> i) </w:t>
      </w:r>
      <w:r w:rsidRPr="00274507">
        <w:rPr>
          <w:iCs/>
          <w:sz w:val="28"/>
          <w:szCs w:val="28"/>
        </w:rPr>
        <w:t>Precisión, actualización, unificación y acceso a planes de beneficios; ii) sostenibilidad y flujo de recursos; iii) cobertura universal y iv) medición de acciones de tutela, carta de deberes, derechos y desempeño y divulgación de la sentencia</w:t>
      </w:r>
      <w:r w:rsidRPr="00274507">
        <w:rPr>
          <w:sz w:val="28"/>
          <w:szCs w:val="28"/>
        </w:rPr>
        <w:t>; desarrollando en cada uno de ellos, los problemas jurídicos evidenciados.</w:t>
      </w:r>
    </w:p>
    <w:p w:rsidR="00145863" w:rsidRPr="00274507" w:rsidRDefault="00145863" w:rsidP="00274507">
      <w:pPr>
        <w:tabs>
          <w:tab w:val="left" w:pos="567"/>
        </w:tabs>
        <w:jc w:val="both"/>
        <w:rPr>
          <w:iCs/>
          <w:sz w:val="28"/>
          <w:szCs w:val="28"/>
        </w:rPr>
      </w:pPr>
    </w:p>
    <w:p w:rsidR="007636A8" w:rsidRPr="00274507" w:rsidRDefault="007636A8" w:rsidP="00274507">
      <w:pPr>
        <w:tabs>
          <w:tab w:val="left" w:pos="567"/>
        </w:tabs>
        <w:jc w:val="both"/>
        <w:rPr>
          <w:iCs/>
          <w:sz w:val="28"/>
          <w:szCs w:val="28"/>
        </w:rPr>
      </w:pPr>
      <w:r w:rsidRPr="00274507">
        <w:rPr>
          <w:iCs/>
          <w:sz w:val="28"/>
          <w:szCs w:val="28"/>
        </w:rPr>
        <w:t>En ese sentido esta Sala Especial de Seguimiento analizará el desarrollo de los problemas jurídicos evidenciados inicialmente en el mandato constitucional, teniendo en cuenta que los informes allegados por el ente regulador contienen el comportamiento de las tutelas desde el año 2008 hasta el 2015.</w:t>
      </w:r>
    </w:p>
    <w:p w:rsidR="007636A8" w:rsidRPr="00274507" w:rsidRDefault="007636A8" w:rsidP="00274507">
      <w:pPr>
        <w:tabs>
          <w:tab w:val="left" w:pos="567"/>
        </w:tabs>
        <w:jc w:val="both"/>
        <w:rPr>
          <w:iCs/>
          <w:sz w:val="28"/>
          <w:szCs w:val="28"/>
        </w:rPr>
      </w:pPr>
    </w:p>
    <w:p w:rsidR="00307775" w:rsidRPr="00274507" w:rsidRDefault="00EA5BCC" w:rsidP="00274507">
      <w:pPr>
        <w:tabs>
          <w:tab w:val="left" w:pos="567"/>
        </w:tabs>
        <w:jc w:val="both"/>
        <w:rPr>
          <w:iCs/>
          <w:sz w:val="28"/>
          <w:szCs w:val="28"/>
        </w:rPr>
      </w:pPr>
      <w:r w:rsidRPr="00274507">
        <w:rPr>
          <w:iCs/>
          <w:sz w:val="28"/>
          <w:szCs w:val="28"/>
        </w:rPr>
        <w:t>Al respecto</w:t>
      </w:r>
      <w:r w:rsidR="000D2E34" w:rsidRPr="00274507">
        <w:rPr>
          <w:iCs/>
          <w:sz w:val="28"/>
          <w:szCs w:val="28"/>
        </w:rPr>
        <w:t xml:space="preserve">, el </w:t>
      </w:r>
      <w:r w:rsidR="000343D3" w:rsidRPr="00274507">
        <w:rPr>
          <w:iCs/>
          <w:sz w:val="28"/>
          <w:szCs w:val="28"/>
        </w:rPr>
        <w:t>Ministerio</w:t>
      </w:r>
      <w:r w:rsidR="00800662" w:rsidRPr="00274507">
        <w:rPr>
          <w:iCs/>
          <w:sz w:val="28"/>
          <w:szCs w:val="28"/>
        </w:rPr>
        <w:t xml:space="preserve"> de Salud,</w:t>
      </w:r>
      <w:r w:rsidRPr="00274507">
        <w:rPr>
          <w:iCs/>
          <w:sz w:val="28"/>
          <w:szCs w:val="28"/>
        </w:rPr>
        <w:t xml:space="preserve"> </w:t>
      </w:r>
      <w:r w:rsidR="00D51BFB" w:rsidRPr="00274507">
        <w:rPr>
          <w:iCs/>
          <w:sz w:val="28"/>
          <w:szCs w:val="28"/>
        </w:rPr>
        <w:t xml:space="preserve">en </w:t>
      </w:r>
      <w:r w:rsidRPr="00274507">
        <w:rPr>
          <w:iCs/>
          <w:sz w:val="28"/>
          <w:szCs w:val="28"/>
        </w:rPr>
        <w:t>sus informes report</w:t>
      </w:r>
      <w:r w:rsidR="00307775" w:rsidRPr="00274507">
        <w:rPr>
          <w:iCs/>
          <w:sz w:val="28"/>
          <w:szCs w:val="28"/>
        </w:rPr>
        <w:t>ó los siguientes aspectos:</w:t>
      </w:r>
    </w:p>
    <w:p w:rsidR="00B170D2" w:rsidRPr="00274507" w:rsidRDefault="00B170D2" w:rsidP="00274507">
      <w:pPr>
        <w:tabs>
          <w:tab w:val="left" w:pos="567"/>
        </w:tabs>
        <w:jc w:val="both"/>
        <w:rPr>
          <w:b/>
          <w:iCs/>
          <w:sz w:val="28"/>
          <w:szCs w:val="28"/>
        </w:rPr>
      </w:pPr>
    </w:p>
    <w:p w:rsidR="00D51BFB" w:rsidRPr="00274507" w:rsidRDefault="00D05C0C" w:rsidP="00274507">
      <w:pPr>
        <w:tabs>
          <w:tab w:val="left" w:pos="567"/>
        </w:tabs>
        <w:jc w:val="both"/>
        <w:rPr>
          <w:iCs/>
          <w:sz w:val="28"/>
          <w:szCs w:val="28"/>
        </w:rPr>
      </w:pPr>
      <w:r w:rsidRPr="00274507">
        <w:rPr>
          <w:b/>
          <w:iCs/>
          <w:sz w:val="28"/>
          <w:szCs w:val="28"/>
        </w:rPr>
        <w:t>7</w:t>
      </w:r>
      <w:r w:rsidR="00833FF8" w:rsidRPr="00274507">
        <w:rPr>
          <w:b/>
          <w:iCs/>
          <w:sz w:val="28"/>
          <w:szCs w:val="28"/>
        </w:rPr>
        <w:t>.3.1.</w:t>
      </w:r>
      <w:r w:rsidR="00833FF8" w:rsidRPr="00274507">
        <w:rPr>
          <w:iCs/>
          <w:sz w:val="28"/>
          <w:szCs w:val="28"/>
        </w:rPr>
        <w:t xml:space="preserve"> </w:t>
      </w:r>
      <w:r w:rsidR="00307775" w:rsidRPr="00274507">
        <w:rPr>
          <w:iCs/>
          <w:sz w:val="28"/>
          <w:szCs w:val="28"/>
        </w:rPr>
        <w:t>Informe quinto. S</w:t>
      </w:r>
      <w:r w:rsidR="00D51BFB" w:rsidRPr="00274507">
        <w:rPr>
          <w:iCs/>
          <w:sz w:val="28"/>
          <w:szCs w:val="28"/>
        </w:rPr>
        <w:t>eñaló como análisis de los problemas jurídicos tres elementos</w:t>
      </w:r>
      <w:r w:rsidR="00973513" w:rsidRPr="00274507">
        <w:rPr>
          <w:iCs/>
          <w:sz w:val="28"/>
          <w:szCs w:val="28"/>
        </w:rPr>
        <w:t xml:space="preserve"> así</w:t>
      </w:r>
      <w:r w:rsidR="00D51BFB" w:rsidRPr="00274507">
        <w:rPr>
          <w:iCs/>
          <w:sz w:val="28"/>
          <w:szCs w:val="28"/>
        </w:rPr>
        <w:t xml:space="preserve">: i) clasificación de las tutelas </w:t>
      </w:r>
      <w:r w:rsidR="00973513" w:rsidRPr="00274507">
        <w:rPr>
          <w:iCs/>
          <w:sz w:val="28"/>
          <w:szCs w:val="28"/>
        </w:rPr>
        <w:t>co</w:t>
      </w:r>
      <w:r w:rsidR="00570270" w:rsidRPr="00274507">
        <w:rPr>
          <w:iCs/>
          <w:sz w:val="28"/>
          <w:szCs w:val="28"/>
        </w:rPr>
        <w:t>nforme a los derechos reclamados</w:t>
      </w:r>
      <w:r w:rsidR="00973513" w:rsidRPr="00274507">
        <w:rPr>
          <w:iCs/>
          <w:sz w:val="28"/>
          <w:szCs w:val="28"/>
        </w:rPr>
        <w:t>; ii) identificación del problema jurídico general y iii) clasificación de los problemas por categorías específicas.</w:t>
      </w:r>
    </w:p>
    <w:p w:rsidR="00973513" w:rsidRPr="00274507" w:rsidRDefault="00973513" w:rsidP="00274507">
      <w:pPr>
        <w:tabs>
          <w:tab w:val="left" w:pos="567"/>
        </w:tabs>
        <w:jc w:val="both"/>
        <w:rPr>
          <w:iCs/>
          <w:sz w:val="28"/>
          <w:szCs w:val="28"/>
        </w:rPr>
      </w:pPr>
    </w:p>
    <w:p w:rsidR="00973513" w:rsidRPr="00274507" w:rsidRDefault="00570270" w:rsidP="00274507">
      <w:pPr>
        <w:tabs>
          <w:tab w:val="left" w:pos="567"/>
        </w:tabs>
        <w:jc w:val="both"/>
        <w:rPr>
          <w:iCs/>
          <w:sz w:val="28"/>
          <w:szCs w:val="28"/>
        </w:rPr>
      </w:pPr>
      <w:r w:rsidRPr="00274507">
        <w:rPr>
          <w:iCs/>
          <w:sz w:val="28"/>
          <w:szCs w:val="28"/>
        </w:rPr>
        <w:t>Efectúo una gráfica en la que indicó que el 32% presentaron acciones por derecho a la salud; 15% a la vida digna; 15% a la protección social; 17% a la vida; 5% salud en conexidad con la vida; 4% salud de la niñez; 2% salud de personas de tercera edad y</w:t>
      </w:r>
      <w:r w:rsidR="00EA5BCC" w:rsidRPr="00274507">
        <w:rPr>
          <w:iCs/>
          <w:sz w:val="28"/>
          <w:szCs w:val="28"/>
        </w:rPr>
        <w:t>;</w:t>
      </w:r>
      <w:r w:rsidRPr="00274507">
        <w:rPr>
          <w:iCs/>
          <w:sz w:val="28"/>
          <w:szCs w:val="28"/>
        </w:rPr>
        <w:t xml:space="preserve"> 9% otros.</w:t>
      </w:r>
    </w:p>
    <w:p w:rsidR="00B170D2" w:rsidRPr="00274507" w:rsidRDefault="00B170D2" w:rsidP="00274507">
      <w:pPr>
        <w:tabs>
          <w:tab w:val="left" w:pos="567"/>
        </w:tabs>
        <w:jc w:val="both"/>
        <w:rPr>
          <w:iCs/>
          <w:sz w:val="28"/>
          <w:szCs w:val="28"/>
        </w:rPr>
      </w:pPr>
    </w:p>
    <w:p w:rsidR="00570270" w:rsidRPr="00274507" w:rsidRDefault="00570270" w:rsidP="00274507">
      <w:pPr>
        <w:tabs>
          <w:tab w:val="left" w:pos="567"/>
        </w:tabs>
        <w:jc w:val="both"/>
        <w:rPr>
          <w:iCs/>
          <w:sz w:val="28"/>
          <w:szCs w:val="28"/>
        </w:rPr>
      </w:pPr>
      <w:r w:rsidRPr="00274507">
        <w:rPr>
          <w:iCs/>
          <w:sz w:val="28"/>
          <w:szCs w:val="28"/>
        </w:rPr>
        <w:t>Una vez realizada la anterior clasificación</w:t>
      </w:r>
      <w:r w:rsidR="00386B55" w:rsidRPr="00274507">
        <w:rPr>
          <w:iCs/>
          <w:sz w:val="28"/>
          <w:szCs w:val="28"/>
        </w:rPr>
        <w:t>,</w:t>
      </w:r>
      <w:r w:rsidRPr="00274507">
        <w:rPr>
          <w:iCs/>
          <w:sz w:val="28"/>
          <w:szCs w:val="28"/>
        </w:rPr>
        <w:t xml:space="preserve"> </w:t>
      </w:r>
      <w:r w:rsidR="00412C4F" w:rsidRPr="00274507">
        <w:rPr>
          <w:iCs/>
          <w:sz w:val="28"/>
          <w:szCs w:val="28"/>
        </w:rPr>
        <w:t>los ubicó en los siguientes problemas jurídicos</w:t>
      </w:r>
      <w:r w:rsidRPr="00274507">
        <w:rPr>
          <w:iCs/>
          <w:sz w:val="28"/>
          <w:szCs w:val="28"/>
        </w:rPr>
        <w:t xml:space="preserve">: </w:t>
      </w:r>
    </w:p>
    <w:p w:rsidR="00F9114E" w:rsidRPr="00274507" w:rsidRDefault="00F9114E" w:rsidP="00274507">
      <w:pPr>
        <w:tabs>
          <w:tab w:val="left" w:pos="567"/>
        </w:tabs>
        <w:jc w:val="both"/>
        <w:rPr>
          <w:iCs/>
          <w:sz w:val="28"/>
          <w:szCs w:val="28"/>
        </w:rPr>
      </w:pPr>
    </w:p>
    <w:tbl>
      <w:tblPr>
        <w:tblStyle w:val="Tablaconcuadrcula"/>
        <w:tblW w:w="0" w:type="auto"/>
        <w:tblLook w:val="04A0" w:firstRow="1" w:lastRow="0" w:firstColumn="1" w:lastColumn="0" w:noHBand="0" w:noVBand="1"/>
      </w:tblPr>
      <w:tblGrid>
        <w:gridCol w:w="3037"/>
        <w:gridCol w:w="3038"/>
        <w:gridCol w:w="3038"/>
      </w:tblGrid>
      <w:tr w:rsidR="00570270" w:rsidRPr="00274507" w:rsidTr="00570270">
        <w:tc>
          <w:tcPr>
            <w:tcW w:w="3037" w:type="dxa"/>
          </w:tcPr>
          <w:p w:rsidR="00570270" w:rsidRPr="00274507" w:rsidRDefault="00570270" w:rsidP="00274507">
            <w:pPr>
              <w:tabs>
                <w:tab w:val="left" w:pos="567"/>
              </w:tabs>
              <w:jc w:val="center"/>
              <w:rPr>
                <w:b/>
                <w:iCs/>
                <w:sz w:val="28"/>
                <w:szCs w:val="28"/>
              </w:rPr>
            </w:pPr>
            <w:r w:rsidRPr="00274507">
              <w:rPr>
                <w:b/>
                <w:iCs/>
                <w:sz w:val="28"/>
                <w:szCs w:val="28"/>
              </w:rPr>
              <w:t>Problemas generales</w:t>
            </w:r>
          </w:p>
        </w:tc>
        <w:tc>
          <w:tcPr>
            <w:tcW w:w="3038" w:type="dxa"/>
          </w:tcPr>
          <w:p w:rsidR="00570270" w:rsidRPr="00274507" w:rsidRDefault="00EA5BCC" w:rsidP="00274507">
            <w:pPr>
              <w:tabs>
                <w:tab w:val="left" w:pos="567"/>
              </w:tabs>
              <w:jc w:val="center"/>
              <w:rPr>
                <w:b/>
                <w:iCs/>
                <w:sz w:val="28"/>
                <w:szCs w:val="28"/>
              </w:rPr>
            </w:pPr>
            <w:r w:rsidRPr="00274507">
              <w:rPr>
                <w:b/>
                <w:iCs/>
                <w:sz w:val="28"/>
                <w:szCs w:val="28"/>
              </w:rPr>
              <w:t>Número de S</w:t>
            </w:r>
            <w:r w:rsidR="00570270" w:rsidRPr="00274507">
              <w:rPr>
                <w:b/>
                <w:iCs/>
                <w:sz w:val="28"/>
                <w:szCs w:val="28"/>
              </w:rPr>
              <w:t>olicitudes</w:t>
            </w:r>
          </w:p>
        </w:tc>
        <w:tc>
          <w:tcPr>
            <w:tcW w:w="3038" w:type="dxa"/>
          </w:tcPr>
          <w:p w:rsidR="00570270" w:rsidRPr="00274507" w:rsidRDefault="00570270" w:rsidP="00274507">
            <w:pPr>
              <w:tabs>
                <w:tab w:val="left" w:pos="567"/>
              </w:tabs>
              <w:jc w:val="center"/>
              <w:rPr>
                <w:b/>
                <w:iCs/>
                <w:sz w:val="28"/>
                <w:szCs w:val="28"/>
              </w:rPr>
            </w:pPr>
            <w:r w:rsidRPr="00274507">
              <w:rPr>
                <w:b/>
                <w:iCs/>
                <w:sz w:val="28"/>
                <w:szCs w:val="28"/>
              </w:rPr>
              <w:t>%</w:t>
            </w:r>
          </w:p>
        </w:tc>
      </w:tr>
      <w:tr w:rsidR="00570270" w:rsidRPr="00274507" w:rsidTr="00570270">
        <w:tc>
          <w:tcPr>
            <w:tcW w:w="3037" w:type="dxa"/>
          </w:tcPr>
          <w:p w:rsidR="00570270" w:rsidRPr="00274507" w:rsidRDefault="00E702DA" w:rsidP="00274507">
            <w:pPr>
              <w:tabs>
                <w:tab w:val="left" w:pos="567"/>
              </w:tabs>
              <w:jc w:val="both"/>
              <w:rPr>
                <w:iCs/>
                <w:sz w:val="28"/>
                <w:szCs w:val="28"/>
              </w:rPr>
            </w:pPr>
            <w:r w:rsidRPr="00274507">
              <w:rPr>
                <w:iCs/>
                <w:sz w:val="28"/>
                <w:szCs w:val="28"/>
              </w:rPr>
              <w:t>1.</w:t>
            </w:r>
            <w:r w:rsidR="00570270" w:rsidRPr="00274507">
              <w:rPr>
                <w:iCs/>
                <w:sz w:val="28"/>
                <w:szCs w:val="28"/>
              </w:rPr>
              <w:t>Incertidumbre en relación con los servicios POS</w:t>
            </w:r>
          </w:p>
        </w:tc>
        <w:tc>
          <w:tcPr>
            <w:tcW w:w="3038" w:type="dxa"/>
          </w:tcPr>
          <w:p w:rsidR="00570270" w:rsidRPr="00274507" w:rsidRDefault="00570270" w:rsidP="00274507">
            <w:pPr>
              <w:tabs>
                <w:tab w:val="left" w:pos="567"/>
              </w:tabs>
              <w:jc w:val="center"/>
              <w:rPr>
                <w:iCs/>
                <w:sz w:val="28"/>
                <w:szCs w:val="28"/>
              </w:rPr>
            </w:pPr>
            <w:r w:rsidRPr="00274507">
              <w:rPr>
                <w:iCs/>
                <w:sz w:val="28"/>
                <w:szCs w:val="28"/>
              </w:rPr>
              <w:t>77</w:t>
            </w:r>
          </w:p>
        </w:tc>
        <w:tc>
          <w:tcPr>
            <w:tcW w:w="3038" w:type="dxa"/>
          </w:tcPr>
          <w:p w:rsidR="00570270" w:rsidRPr="00274507" w:rsidRDefault="00570270" w:rsidP="00274507">
            <w:pPr>
              <w:tabs>
                <w:tab w:val="left" w:pos="567"/>
              </w:tabs>
              <w:jc w:val="center"/>
              <w:rPr>
                <w:iCs/>
                <w:sz w:val="28"/>
                <w:szCs w:val="28"/>
              </w:rPr>
            </w:pPr>
            <w:r w:rsidRPr="00274507">
              <w:rPr>
                <w:iCs/>
                <w:sz w:val="28"/>
                <w:szCs w:val="28"/>
              </w:rPr>
              <w:t>2,60</w:t>
            </w:r>
          </w:p>
        </w:tc>
      </w:tr>
      <w:tr w:rsidR="00570270" w:rsidRPr="00274507" w:rsidTr="00570270">
        <w:tc>
          <w:tcPr>
            <w:tcW w:w="3037" w:type="dxa"/>
          </w:tcPr>
          <w:p w:rsidR="00570270" w:rsidRPr="00274507" w:rsidRDefault="00E702DA" w:rsidP="00274507">
            <w:pPr>
              <w:tabs>
                <w:tab w:val="left" w:pos="567"/>
              </w:tabs>
              <w:jc w:val="both"/>
              <w:rPr>
                <w:iCs/>
                <w:sz w:val="28"/>
                <w:szCs w:val="28"/>
              </w:rPr>
            </w:pPr>
            <w:r w:rsidRPr="00274507">
              <w:rPr>
                <w:iCs/>
                <w:sz w:val="28"/>
                <w:szCs w:val="28"/>
              </w:rPr>
              <w:t>2.</w:t>
            </w:r>
            <w:r w:rsidR="00570270" w:rsidRPr="00274507">
              <w:rPr>
                <w:iCs/>
                <w:sz w:val="28"/>
                <w:szCs w:val="28"/>
              </w:rPr>
              <w:t>Servicios contenidos en el POS</w:t>
            </w:r>
          </w:p>
        </w:tc>
        <w:tc>
          <w:tcPr>
            <w:tcW w:w="3038" w:type="dxa"/>
          </w:tcPr>
          <w:p w:rsidR="00570270" w:rsidRPr="00274507" w:rsidRDefault="00570270" w:rsidP="00274507">
            <w:pPr>
              <w:tabs>
                <w:tab w:val="left" w:pos="567"/>
              </w:tabs>
              <w:jc w:val="center"/>
              <w:rPr>
                <w:iCs/>
                <w:sz w:val="28"/>
                <w:szCs w:val="28"/>
              </w:rPr>
            </w:pPr>
            <w:r w:rsidRPr="00274507">
              <w:rPr>
                <w:iCs/>
                <w:sz w:val="28"/>
                <w:szCs w:val="28"/>
              </w:rPr>
              <w:t>1.228</w:t>
            </w:r>
          </w:p>
        </w:tc>
        <w:tc>
          <w:tcPr>
            <w:tcW w:w="3038" w:type="dxa"/>
          </w:tcPr>
          <w:p w:rsidR="00570270" w:rsidRPr="00274507" w:rsidRDefault="00570270" w:rsidP="00274507">
            <w:pPr>
              <w:tabs>
                <w:tab w:val="left" w:pos="567"/>
              </w:tabs>
              <w:jc w:val="center"/>
              <w:rPr>
                <w:iCs/>
                <w:sz w:val="28"/>
                <w:szCs w:val="28"/>
              </w:rPr>
            </w:pPr>
            <w:r w:rsidRPr="00274507">
              <w:rPr>
                <w:iCs/>
                <w:sz w:val="28"/>
                <w:szCs w:val="28"/>
              </w:rPr>
              <w:t>42,02</w:t>
            </w:r>
          </w:p>
        </w:tc>
      </w:tr>
      <w:tr w:rsidR="00570270" w:rsidRPr="00274507" w:rsidTr="00570270">
        <w:tc>
          <w:tcPr>
            <w:tcW w:w="3037" w:type="dxa"/>
          </w:tcPr>
          <w:p w:rsidR="00570270" w:rsidRPr="00274507" w:rsidRDefault="00E702DA" w:rsidP="00274507">
            <w:pPr>
              <w:tabs>
                <w:tab w:val="left" w:pos="567"/>
              </w:tabs>
              <w:jc w:val="both"/>
              <w:rPr>
                <w:iCs/>
                <w:sz w:val="28"/>
                <w:szCs w:val="28"/>
              </w:rPr>
            </w:pPr>
            <w:r w:rsidRPr="00274507">
              <w:rPr>
                <w:iCs/>
                <w:sz w:val="28"/>
                <w:szCs w:val="28"/>
              </w:rPr>
              <w:t>3.</w:t>
            </w:r>
            <w:r w:rsidR="00570270" w:rsidRPr="00274507">
              <w:rPr>
                <w:iCs/>
                <w:sz w:val="28"/>
                <w:szCs w:val="28"/>
              </w:rPr>
              <w:t>Diferencias en los planes de beneficios de los dos regímenes</w:t>
            </w:r>
          </w:p>
        </w:tc>
        <w:tc>
          <w:tcPr>
            <w:tcW w:w="3038" w:type="dxa"/>
          </w:tcPr>
          <w:p w:rsidR="00570270" w:rsidRPr="00274507" w:rsidRDefault="00570270" w:rsidP="00274507">
            <w:pPr>
              <w:tabs>
                <w:tab w:val="left" w:pos="567"/>
              </w:tabs>
              <w:jc w:val="center"/>
              <w:rPr>
                <w:iCs/>
                <w:sz w:val="28"/>
                <w:szCs w:val="28"/>
              </w:rPr>
            </w:pPr>
            <w:r w:rsidRPr="00274507">
              <w:rPr>
                <w:iCs/>
                <w:sz w:val="28"/>
                <w:szCs w:val="28"/>
              </w:rPr>
              <w:t>19</w:t>
            </w:r>
          </w:p>
        </w:tc>
        <w:tc>
          <w:tcPr>
            <w:tcW w:w="3038" w:type="dxa"/>
          </w:tcPr>
          <w:p w:rsidR="00570270" w:rsidRPr="00274507" w:rsidRDefault="00570270" w:rsidP="00274507">
            <w:pPr>
              <w:tabs>
                <w:tab w:val="left" w:pos="567"/>
              </w:tabs>
              <w:jc w:val="center"/>
              <w:rPr>
                <w:iCs/>
                <w:sz w:val="28"/>
                <w:szCs w:val="28"/>
              </w:rPr>
            </w:pPr>
            <w:r w:rsidRPr="00274507">
              <w:rPr>
                <w:iCs/>
                <w:sz w:val="28"/>
                <w:szCs w:val="28"/>
              </w:rPr>
              <w:t>0,65</w:t>
            </w:r>
          </w:p>
        </w:tc>
      </w:tr>
      <w:tr w:rsidR="00570270" w:rsidRPr="00274507" w:rsidTr="00570270">
        <w:tc>
          <w:tcPr>
            <w:tcW w:w="3037" w:type="dxa"/>
          </w:tcPr>
          <w:p w:rsidR="00570270" w:rsidRPr="00274507" w:rsidRDefault="00E702DA" w:rsidP="00274507">
            <w:pPr>
              <w:tabs>
                <w:tab w:val="left" w:pos="567"/>
              </w:tabs>
              <w:jc w:val="both"/>
              <w:rPr>
                <w:iCs/>
                <w:sz w:val="28"/>
                <w:szCs w:val="28"/>
              </w:rPr>
            </w:pPr>
            <w:r w:rsidRPr="00274507">
              <w:rPr>
                <w:iCs/>
                <w:sz w:val="28"/>
                <w:szCs w:val="28"/>
              </w:rPr>
              <w:t>4.</w:t>
            </w:r>
            <w:r w:rsidR="00570270" w:rsidRPr="00274507">
              <w:rPr>
                <w:iCs/>
                <w:sz w:val="28"/>
                <w:szCs w:val="28"/>
              </w:rPr>
              <w:t>Ausencia de mecanismos y regulación</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93</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3,18</w:t>
            </w:r>
          </w:p>
        </w:tc>
      </w:tr>
      <w:tr w:rsidR="00570270" w:rsidRPr="00274507" w:rsidTr="00570270">
        <w:tc>
          <w:tcPr>
            <w:tcW w:w="3037" w:type="dxa"/>
          </w:tcPr>
          <w:p w:rsidR="00570270" w:rsidRPr="00274507" w:rsidRDefault="00E702DA" w:rsidP="00274507">
            <w:pPr>
              <w:tabs>
                <w:tab w:val="left" w:pos="567"/>
              </w:tabs>
              <w:jc w:val="both"/>
              <w:rPr>
                <w:iCs/>
                <w:sz w:val="28"/>
                <w:szCs w:val="28"/>
              </w:rPr>
            </w:pPr>
            <w:r w:rsidRPr="00274507">
              <w:rPr>
                <w:iCs/>
                <w:sz w:val="28"/>
                <w:szCs w:val="28"/>
              </w:rPr>
              <w:t>5.</w:t>
            </w:r>
            <w:r w:rsidR="009D06FB" w:rsidRPr="00274507">
              <w:rPr>
                <w:iCs/>
                <w:sz w:val="28"/>
                <w:szCs w:val="28"/>
              </w:rPr>
              <w:t>Servicios NO contenidos en el POS</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1.488</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50,92</w:t>
            </w:r>
          </w:p>
        </w:tc>
      </w:tr>
      <w:tr w:rsidR="00570270" w:rsidRPr="00274507" w:rsidTr="00570270">
        <w:tc>
          <w:tcPr>
            <w:tcW w:w="3037" w:type="dxa"/>
          </w:tcPr>
          <w:p w:rsidR="00570270" w:rsidRPr="00274507" w:rsidRDefault="00E702DA" w:rsidP="00274507">
            <w:pPr>
              <w:tabs>
                <w:tab w:val="left" w:pos="567"/>
              </w:tabs>
              <w:jc w:val="both"/>
              <w:rPr>
                <w:iCs/>
                <w:sz w:val="28"/>
                <w:szCs w:val="28"/>
              </w:rPr>
            </w:pPr>
            <w:r w:rsidRPr="00274507">
              <w:rPr>
                <w:iCs/>
                <w:sz w:val="28"/>
                <w:szCs w:val="28"/>
              </w:rPr>
              <w:t>6.</w:t>
            </w:r>
            <w:r w:rsidR="009D06FB" w:rsidRPr="00274507">
              <w:rPr>
                <w:iCs/>
                <w:sz w:val="28"/>
                <w:szCs w:val="28"/>
              </w:rPr>
              <w:t>Otros</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17</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0,58</w:t>
            </w:r>
          </w:p>
        </w:tc>
      </w:tr>
      <w:tr w:rsidR="00570270" w:rsidRPr="00274507" w:rsidTr="00570270">
        <w:tc>
          <w:tcPr>
            <w:tcW w:w="3037" w:type="dxa"/>
          </w:tcPr>
          <w:p w:rsidR="00570270" w:rsidRPr="00274507" w:rsidRDefault="009D06FB" w:rsidP="00274507">
            <w:pPr>
              <w:tabs>
                <w:tab w:val="left" w:pos="567"/>
              </w:tabs>
              <w:jc w:val="center"/>
              <w:rPr>
                <w:iCs/>
                <w:sz w:val="28"/>
                <w:szCs w:val="28"/>
              </w:rPr>
            </w:pPr>
            <w:r w:rsidRPr="00274507">
              <w:rPr>
                <w:iCs/>
                <w:sz w:val="28"/>
                <w:szCs w:val="28"/>
              </w:rPr>
              <w:t xml:space="preserve">Total </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2.922</w:t>
            </w:r>
          </w:p>
        </w:tc>
        <w:tc>
          <w:tcPr>
            <w:tcW w:w="3038" w:type="dxa"/>
          </w:tcPr>
          <w:p w:rsidR="00570270" w:rsidRPr="00274507" w:rsidRDefault="009D06FB" w:rsidP="00274507">
            <w:pPr>
              <w:tabs>
                <w:tab w:val="left" w:pos="567"/>
              </w:tabs>
              <w:jc w:val="center"/>
              <w:rPr>
                <w:iCs/>
                <w:sz w:val="28"/>
                <w:szCs w:val="28"/>
              </w:rPr>
            </w:pPr>
            <w:r w:rsidRPr="00274507">
              <w:rPr>
                <w:iCs/>
                <w:sz w:val="28"/>
                <w:szCs w:val="28"/>
              </w:rPr>
              <w:t>100</w:t>
            </w:r>
          </w:p>
        </w:tc>
      </w:tr>
    </w:tbl>
    <w:p w:rsidR="00570270" w:rsidRPr="00274507" w:rsidRDefault="00570270" w:rsidP="00274507">
      <w:pPr>
        <w:tabs>
          <w:tab w:val="left" w:pos="567"/>
        </w:tabs>
        <w:rPr>
          <w:iCs/>
          <w:sz w:val="28"/>
          <w:szCs w:val="28"/>
        </w:rPr>
      </w:pPr>
    </w:p>
    <w:p w:rsidR="009D06FB" w:rsidRPr="00274507" w:rsidRDefault="009D06FB" w:rsidP="00274507">
      <w:pPr>
        <w:tabs>
          <w:tab w:val="left" w:pos="567"/>
        </w:tabs>
        <w:jc w:val="both"/>
        <w:rPr>
          <w:iCs/>
          <w:sz w:val="28"/>
          <w:szCs w:val="28"/>
        </w:rPr>
      </w:pPr>
      <w:r w:rsidRPr="00274507">
        <w:rPr>
          <w:iCs/>
          <w:sz w:val="28"/>
          <w:szCs w:val="28"/>
        </w:rPr>
        <w:t xml:space="preserve">De lo anterior, </w:t>
      </w:r>
      <w:r w:rsidR="00EA5BCC" w:rsidRPr="00274507">
        <w:rPr>
          <w:iCs/>
          <w:sz w:val="28"/>
          <w:szCs w:val="28"/>
        </w:rPr>
        <w:t>el ente regulador concluyó</w:t>
      </w:r>
      <w:r w:rsidRPr="00274507">
        <w:rPr>
          <w:iCs/>
          <w:sz w:val="28"/>
          <w:szCs w:val="28"/>
        </w:rPr>
        <w:t xml:space="preserve"> que el problema general que se reclama con mayor frecuencia es</w:t>
      </w:r>
      <w:r w:rsidR="00F60031" w:rsidRPr="00274507">
        <w:rPr>
          <w:iCs/>
          <w:sz w:val="28"/>
          <w:szCs w:val="28"/>
        </w:rPr>
        <w:t xml:space="preserve">tá relacionado con </w:t>
      </w:r>
      <w:r w:rsidRPr="00274507">
        <w:rPr>
          <w:iCs/>
          <w:sz w:val="28"/>
          <w:szCs w:val="28"/>
        </w:rPr>
        <w:t>servicios no POS con el 54%. Por otra parte, consideró pertinente señalar que para el momento en que efectúo el levantamiento de la información, s</w:t>
      </w:r>
      <w:r w:rsidR="00F60031" w:rsidRPr="00274507">
        <w:rPr>
          <w:iCs/>
          <w:sz w:val="28"/>
          <w:szCs w:val="28"/>
        </w:rPr>
        <w:t>olo s</w:t>
      </w:r>
      <w:r w:rsidRPr="00274507">
        <w:rPr>
          <w:iCs/>
          <w:sz w:val="28"/>
          <w:szCs w:val="28"/>
        </w:rPr>
        <w:t xml:space="preserve">e encontraba vigente la unificación para menores de 18 años y mayores de 60 años. </w:t>
      </w:r>
    </w:p>
    <w:p w:rsidR="00064812" w:rsidRPr="00274507" w:rsidRDefault="00064812" w:rsidP="00274507">
      <w:pPr>
        <w:tabs>
          <w:tab w:val="left" w:pos="567"/>
        </w:tabs>
        <w:jc w:val="both"/>
        <w:rPr>
          <w:iCs/>
          <w:sz w:val="28"/>
          <w:szCs w:val="28"/>
        </w:rPr>
      </w:pPr>
    </w:p>
    <w:p w:rsidR="009D06FB" w:rsidRPr="00274507" w:rsidRDefault="009D06FB" w:rsidP="00274507">
      <w:pPr>
        <w:tabs>
          <w:tab w:val="left" w:pos="567"/>
        </w:tabs>
        <w:jc w:val="both"/>
        <w:rPr>
          <w:iCs/>
          <w:sz w:val="28"/>
          <w:szCs w:val="28"/>
        </w:rPr>
      </w:pPr>
      <w:r w:rsidRPr="00274507">
        <w:rPr>
          <w:iCs/>
          <w:sz w:val="28"/>
          <w:szCs w:val="28"/>
        </w:rPr>
        <w:t>También, adujo que la solicitud de “tratamiento integral” fue clasificada como no POS ya que “</w:t>
      </w:r>
      <w:r w:rsidRPr="00274507">
        <w:rPr>
          <w:i/>
          <w:iCs/>
          <w:sz w:val="28"/>
          <w:szCs w:val="28"/>
        </w:rPr>
        <w:t>no es claro los medicamentos o procedimientos que se solicitan y en la lista del POS no está el manejo integral</w:t>
      </w:r>
      <w:r w:rsidR="00EA5BCC" w:rsidRPr="00274507">
        <w:rPr>
          <w:iCs/>
          <w:sz w:val="28"/>
          <w:szCs w:val="28"/>
        </w:rPr>
        <w:t>” y que</w:t>
      </w:r>
      <w:r w:rsidRPr="00274507">
        <w:rPr>
          <w:iCs/>
          <w:sz w:val="28"/>
          <w:szCs w:val="28"/>
        </w:rPr>
        <w:t xml:space="preserve"> es contraria a la efectuada por la Defensor</w:t>
      </w:r>
      <w:r w:rsidR="00307775" w:rsidRPr="00274507">
        <w:rPr>
          <w:iCs/>
          <w:sz w:val="28"/>
          <w:szCs w:val="28"/>
        </w:rPr>
        <w:t xml:space="preserve">ía del Pueblo. </w:t>
      </w:r>
    </w:p>
    <w:p w:rsidR="00307775" w:rsidRPr="00274507" w:rsidRDefault="00307775" w:rsidP="00274507">
      <w:pPr>
        <w:tabs>
          <w:tab w:val="left" w:pos="567"/>
        </w:tabs>
        <w:jc w:val="both"/>
        <w:rPr>
          <w:iCs/>
          <w:sz w:val="28"/>
          <w:szCs w:val="28"/>
        </w:rPr>
      </w:pPr>
    </w:p>
    <w:p w:rsidR="00307775" w:rsidRPr="00274507" w:rsidRDefault="00EA5BCC" w:rsidP="00274507">
      <w:pPr>
        <w:tabs>
          <w:tab w:val="left" w:pos="567"/>
        </w:tabs>
        <w:jc w:val="both"/>
        <w:rPr>
          <w:iCs/>
          <w:sz w:val="28"/>
          <w:szCs w:val="28"/>
        </w:rPr>
      </w:pPr>
      <w:r w:rsidRPr="00274507">
        <w:rPr>
          <w:iCs/>
          <w:sz w:val="28"/>
          <w:szCs w:val="28"/>
        </w:rPr>
        <w:t>Respecto de</w:t>
      </w:r>
      <w:r w:rsidR="00307775" w:rsidRPr="00274507">
        <w:rPr>
          <w:iCs/>
          <w:sz w:val="28"/>
          <w:szCs w:val="28"/>
        </w:rPr>
        <w:t xml:space="preserve"> los problemas específicos </w:t>
      </w:r>
      <w:r w:rsidR="000550B0" w:rsidRPr="00274507">
        <w:rPr>
          <w:iCs/>
          <w:sz w:val="28"/>
          <w:szCs w:val="28"/>
        </w:rPr>
        <w:t xml:space="preserve">el </w:t>
      </w:r>
      <w:r w:rsidR="004C3F0E" w:rsidRPr="00274507">
        <w:rPr>
          <w:iCs/>
          <w:sz w:val="28"/>
          <w:szCs w:val="28"/>
        </w:rPr>
        <w:t xml:space="preserve">órgano ministerial </w:t>
      </w:r>
      <w:r w:rsidR="00307775" w:rsidRPr="00274507">
        <w:rPr>
          <w:iCs/>
          <w:sz w:val="28"/>
          <w:szCs w:val="28"/>
        </w:rPr>
        <w:t>describió</w:t>
      </w:r>
      <w:r w:rsidR="000550B0" w:rsidRPr="00274507">
        <w:rPr>
          <w:iCs/>
          <w:sz w:val="28"/>
          <w:szCs w:val="28"/>
        </w:rPr>
        <w:t xml:space="preserve"> lo siguiente</w:t>
      </w:r>
      <w:r w:rsidR="00307775" w:rsidRPr="00274507">
        <w:rPr>
          <w:iCs/>
          <w:sz w:val="28"/>
          <w:szCs w:val="28"/>
        </w:rPr>
        <w:t>:</w:t>
      </w:r>
    </w:p>
    <w:p w:rsidR="00064812" w:rsidRPr="00274507" w:rsidRDefault="00064812" w:rsidP="00274507">
      <w:pPr>
        <w:tabs>
          <w:tab w:val="left" w:pos="567"/>
        </w:tabs>
        <w:jc w:val="both"/>
        <w:rPr>
          <w:iCs/>
          <w:sz w:val="28"/>
          <w:szCs w:val="28"/>
        </w:rPr>
      </w:pPr>
    </w:p>
    <w:tbl>
      <w:tblPr>
        <w:tblStyle w:val="Tablaconcuadrcula"/>
        <w:tblW w:w="0" w:type="auto"/>
        <w:tblLook w:val="04A0" w:firstRow="1" w:lastRow="0" w:firstColumn="1" w:lastColumn="0" w:noHBand="0" w:noVBand="1"/>
      </w:tblPr>
      <w:tblGrid>
        <w:gridCol w:w="3037"/>
        <w:gridCol w:w="3038"/>
        <w:gridCol w:w="3038"/>
      </w:tblGrid>
      <w:tr w:rsidR="00307775" w:rsidRPr="00274507" w:rsidTr="00DC341D">
        <w:tc>
          <w:tcPr>
            <w:tcW w:w="3037" w:type="dxa"/>
          </w:tcPr>
          <w:p w:rsidR="00307775" w:rsidRPr="00274507" w:rsidRDefault="00307775" w:rsidP="00274507">
            <w:pPr>
              <w:tabs>
                <w:tab w:val="left" w:pos="567"/>
              </w:tabs>
              <w:jc w:val="center"/>
              <w:rPr>
                <w:b/>
                <w:iCs/>
                <w:sz w:val="28"/>
                <w:szCs w:val="28"/>
              </w:rPr>
            </w:pPr>
            <w:r w:rsidRPr="00274507">
              <w:rPr>
                <w:b/>
                <w:iCs/>
                <w:sz w:val="28"/>
                <w:szCs w:val="28"/>
              </w:rPr>
              <w:t>Problemas específicos</w:t>
            </w:r>
          </w:p>
        </w:tc>
        <w:tc>
          <w:tcPr>
            <w:tcW w:w="3038" w:type="dxa"/>
          </w:tcPr>
          <w:p w:rsidR="00307775" w:rsidRPr="00274507" w:rsidRDefault="00307775" w:rsidP="00274507">
            <w:pPr>
              <w:tabs>
                <w:tab w:val="left" w:pos="567"/>
              </w:tabs>
              <w:jc w:val="center"/>
              <w:rPr>
                <w:b/>
                <w:iCs/>
                <w:sz w:val="28"/>
                <w:szCs w:val="28"/>
              </w:rPr>
            </w:pPr>
            <w:r w:rsidRPr="00274507">
              <w:rPr>
                <w:b/>
                <w:iCs/>
                <w:sz w:val="28"/>
                <w:szCs w:val="28"/>
              </w:rPr>
              <w:t>Solicitudes</w:t>
            </w:r>
          </w:p>
        </w:tc>
        <w:tc>
          <w:tcPr>
            <w:tcW w:w="3038" w:type="dxa"/>
          </w:tcPr>
          <w:p w:rsidR="00307775" w:rsidRPr="00274507" w:rsidRDefault="00307775" w:rsidP="00274507">
            <w:pPr>
              <w:tabs>
                <w:tab w:val="left" w:pos="567"/>
              </w:tabs>
              <w:jc w:val="center"/>
              <w:rPr>
                <w:b/>
                <w:iCs/>
                <w:sz w:val="28"/>
                <w:szCs w:val="28"/>
              </w:rPr>
            </w:pPr>
            <w:r w:rsidRPr="00274507">
              <w:rPr>
                <w:b/>
                <w:iCs/>
                <w:sz w:val="28"/>
                <w:szCs w:val="28"/>
              </w:rPr>
              <w:t>%</w:t>
            </w:r>
          </w:p>
        </w:tc>
      </w:tr>
      <w:tr w:rsidR="00307775" w:rsidRPr="00274507" w:rsidTr="00DC341D">
        <w:tc>
          <w:tcPr>
            <w:tcW w:w="3037" w:type="dxa"/>
          </w:tcPr>
          <w:p w:rsidR="00307775" w:rsidRPr="00274507" w:rsidRDefault="00307775" w:rsidP="00274507">
            <w:pPr>
              <w:tabs>
                <w:tab w:val="left" w:pos="313"/>
              </w:tabs>
              <w:jc w:val="both"/>
              <w:rPr>
                <w:iCs/>
                <w:sz w:val="28"/>
                <w:szCs w:val="28"/>
              </w:rPr>
            </w:pPr>
            <w:r w:rsidRPr="00274507">
              <w:rPr>
                <w:iCs/>
                <w:sz w:val="28"/>
                <w:szCs w:val="28"/>
              </w:rPr>
              <w:t>Negación de servicios  no POS cuando la persona los requiere y no puede pagarlos</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974</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33,33</w:t>
            </w:r>
          </w:p>
        </w:tc>
      </w:tr>
      <w:tr w:rsidR="00307775" w:rsidRPr="00274507" w:rsidTr="00DC341D">
        <w:tc>
          <w:tcPr>
            <w:tcW w:w="3037" w:type="dxa"/>
          </w:tcPr>
          <w:p w:rsidR="00307775" w:rsidRPr="00274507" w:rsidRDefault="00307775" w:rsidP="00274507">
            <w:pPr>
              <w:tabs>
                <w:tab w:val="left" w:pos="567"/>
              </w:tabs>
              <w:jc w:val="both"/>
              <w:rPr>
                <w:iCs/>
                <w:sz w:val="28"/>
                <w:szCs w:val="28"/>
              </w:rPr>
            </w:pPr>
            <w:r w:rsidRPr="00274507">
              <w:rPr>
                <w:iCs/>
                <w:sz w:val="28"/>
                <w:szCs w:val="28"/>
              </w:rPr>
              <w:t>Acceso a los servicios condicionando a cancelación de pago moderador que corresponda legalmente</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243</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8,31</w:t>
            </w:r>
          </w:p>
        </w:tc>
      </w:tr>
      <w:tr w:rsidR="00307775" w:rsidRPr="00274507" w:rsidTr="00DC341D">
        <w:tc>
          <w:tcPr>
            <w:tcW w:w="3037" w:type="dxa"/>
          </w:tcPr>
          <w:p w:rsidR="00307775" w:rsidRPr="00274507" w:rsidRDefault="00307775" w:rsidP="00274507">
            <w:pPr>
              <w:tabs>
                <w:tab w:val="left" w:pos="567"/>
              </w:tabs>
              <w:jc w:val="both"/>
              <w:rPr>
                <w:iCs/>
                <w:sz w:val="28"/>
                <w:szCs w:val="28"/>
              </w:rPr>
            </w:pPr>
            <w:r w:rsidRPr="00274507">
              <w:rPr>
                <w:iCs/>
                <w:sz w:val="28"/>
                <w:szCs w:val="28"/>
              </w:rPr>
              <w:t>Negación de servicios no POS a niñas y niños cuando sus responsables no los pueden costear o su vida no depende de ello</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267</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9,13</w:t>
            </w:r>
          </w:p>
        </w:tc>
      </w:tr>
      <w:tr w:rsidR="00307775" w:rsidRPr="00274507" w:rsidTr="00DC341D">
        <w:tc>
          <w:tcPr>
            <w:tcW w:w="3037" w:type="dxa"/>
          </w:tcPr>
          <w:p w:rsidR="00307775" w:rsidRPr="00274507" w:rsidRDefault="00307775" w:rsidP="00274507">
            <w:pPr>
              <w:tabs>
                <w:tab w:val="left" w:pos="567"/>
              </w:tabs>
              <w:jc w:val="both"/>
              <w:rPr>
                <w:iCs/>
                <w:sz w:val="28"/>
                <w:szCs w:val="28"/>
              </w:rPr>
            </w:pPr>
            <w:r w:rsidRPr="00274507">
              <w:rPr>
                <w:iCs/>
                <w:sz w:val="28"/>
                <w:szCs w:val="28"/>
              </w:rPr>
              <w:t>Negación de servicios ordenados por profesionales no suscritos</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62</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2,12</w:t>
            </w:r>
          </w:p>
        </w:tc>
      </w:tr>
      <w:tr w:rsidR="00307775" w:rsidRPr="00274507" w:rsidTr="00DC341D">
        <w:tc>
          <w:tcPr>
            <w:tcW w:w="3037" w:type="dxa"/>
          </w:tcPr>
          <w:p w:rsidR="00307775" w:rsidRPr="00274507" w:rsidRDefault="00307775" w:rsidP="00274507">
            <w:pPr>
              <w:tabs>
                <w:tab w:val="left" w:pos="567"/>
              </w:tabs>
              <w:jc w:val="both"/>
              <w:rPr>
                <w:iCs/>
                <w:sz w:val="28"/>
                <w:szCs w:val="28"/>
              </w:rPr>
            </w:pPr>
            <w:r w:rsidRPr="00274507">
              <w:rPr>
                <w:iCs/>
                <w:sz w:val="28"/>
                <w:szCs w:val="28"/>
              </w:rPr>
              <w:t>Negación de prestaciones sociales por pago inoportuno</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8</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0,27</w:t>
            </w:r>
          </w:p>
        </w:tc>
      </w:tr>
      <w:tr w:rsidR="00307775" w:rsidRPr="00274507" w:rsidTr="00DC341D">
        <w:tc>
          <w:tcPr>
            <w:tcW w:w="3037" w:type="dxa"/>
          </w:tcPr>
          <w:p w:rsidR="00307775" w:rsidRPr="00274507" w:rsidRDefault="005326EC" w:rsidP="00274507">
            <w:pPr>
              <w:tabs>
                <w:tab w:val="left" w:pos="567"/>
              </w:tabs>
              <w:jc w:val="both"/>
              <w:rPr>
                <w:iCs/>
                <w:sz w:val="28"/>
                <w:szCs w:val="28"/>
              </w:rPr>
            </w:pPr>
            <w:r w:rsidRPr="00274507">
              <w:rPr>
                <w:iCs/>
                <w:sz w:val="28"/>
                <w:szCs w:val="28"/>
              </w:rPr>
              <w:t>Interrupción de suministro de servicios por desempleo</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9</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0,30</w:t>
            </w:r>
          </w:p>
        </w:tc>
      </w:tr>
      <w:tr w:rsidR="00307775" w:rsidRPr="00274507" w:rsidTr="00DC341D">
        <w:tc>
          <w:tcPr>
            <w:tcW w:w="3037" w:type="dxa"/>
          </w:tcPr>
          <w:p w:rsidR="00307775" w:rsidRPr="00274507" w:rsidRDefault="005326EC" w:rsidP="00274507">
            <w:pPr>
              <w:tabs>
                <w:tab w:val="left" w:pos="567"/>
              </w:tabs>
              <w:jc w:val="both"/>
              <w:rPr>
                <w:iCs/>
                <w:sz w:val="28"/>
                <w:szCs w:val="28"/>
              </w:rPr>
            </w:pPr>
            <w:r w:rsidRPr="00274507">
              <w:rPr>
                <w:iCs/>
                <w:sz w:val="28"/>
                <w:szCs w:val="28"/>
              </w:rPr>
              <w:t>Negación de traslado a personas o grupos familiares</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135</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4,62</w:t>
            </w:r>
          </w:p>
        </w:tc>
      </w:tr>
      <w:tr w:rsidR="00307775" w:rsidRPr="00274507" w:rsidTr="00DC341D">
        <w:tc>
          <w:tcPr>
            <w:tcW w:w="3037" w:type="dxa"/>
          </w:tcPr>
          <w:p w:rsidR="00307775" w:rsidRPr="00274507" w:rsidRDefault="005326EC" w:rsidP="00274507">
            <w:pPr>
              <w:tabs>
                <w:tab w:val="left" w:pos="567"/>
              </w:tabs>
              <w:jc w:val="both"/>
              <w:rPr>
                <w:iCs/>
                <w:sz w:val="28"/>
                <w:szCs w:val="28"/>
              </w:rPr>
            </w:pPr>
            <w:r w:rsidRPr="00274507">
              <w:rPr>
                <w:iCs/>
                <w:sz w:val="28"/>
                <w:szCs w:val="28"/>
              </w:rPr>
              <w:t>Negación a responder de fondo una petición para remover un obstáculo</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102</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3,49</w:t>
            </w:r>
          </w:p>
        </w:tc>
      </w:tr>
      <w:tr w:rsidR="00307775" w:rsidRPr="00274507" w:rsidTr="00DC341D">
        <w:tc>
          <w:tcPr>
            <w:tcW w:w="3037" w:type="dxa"/>
          </w:tcPr>
          <w:p w:rsidR="00307775" w:rsidRPr="00274507" w:rsidRDefault="005326EC" w:rsidP="00274507">
            <w:pPr>
              <w:tabs>
                <w:tab w:val="left" w:pos="567"/>
              </w:tabs>
              <w:jc w:val="both"/>
              <w:rPr>
                <w:iCs/>
                <w:sz w:val="28"/>
                <w:szCs w:val="28"/>
              </w:rPr>
            </w:pPr>
            <w:r w:rsidRPr="00274507">
              <w:rPr>
                <w:iCs/>
                <w:sz w:val="28"/>
                <w:szCs w:val="28"/>
              </w:rPr>
              <w:t>Fallo en el tiempo de provisión</w:t>
            </w:r>
            <w:r w:rsidR="007F2846" w:rsidRPr="00274507">
              <w:rPr>
                <w:iCs/>
                <w:sz w:val="28"/>
                <w:szCs w:val="28"/>
              </w:rPr>
              <w:t>.</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1.004</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34,36</w:t>
            </w:r>
          </w:p>
        </w:tc>
      </w:tr>
      <w:tr w:rsidR="00307775" w:rsidRPr="00274507" w:rsidTr="00DC341D">
        <w:tc>
          <w:tcPr>
            <w:tcW w:w="3037" w:type="dxa"/>
          </w:tcPr>
          <w:p w:rsidR="00307775" w:rsidRPr="00274507" w:rsidRDefault="005326EC" w:rsidP="00274507">
            <w:pPr>
              <w:tabs>
                <w:tab w:val="left" w:pos="567"/>
              </w:tabs>
              <w:jc w:val="both"/>
              <w:rPr>
                <w:iCs/>
                <w:sz w:val="28"/>
                <w:szCs w:val="28"/>
              </w:rPr>
            </w:pPr>
            <w:r w:rsidRPr="00274507">
              <w:rPr>
                <w:iCs/>
                <w:sz w:val="28"/>
                <w:szCs w:val="28"/>
              </w:rPr>
              <w:t>Otros</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118</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4,03</w:t>
            </w:r>
          </w:p>
        </w:tc>
      </w:tr>
      <w:tr w:rsidR="00307775" w:rsidRPr="00274507" w:rsidTr="00DC341D">
        <w:tc>
          <w:tcPr>
            <w:tcW w:w="3037" w:type="dxa"/>
          </w:tcPr>
          <w:p w:rsidR="00307775" w:rsidRPr="00274507" w:rsidRDefault="005326EC" w:rsidP="00274507">
            <w:pPr>
              <w:tabs>
                <w:tab w:val="left" w:pos="567"/>
              </w:tabs>
              <w:jc w:val="center"/>
              <w:rPr>
                <w:iCs/>
                <w:sz w:val="28"/>
                <w:szCs w:val="28"/>
              </w:rPr>
            </w:pPr>
            <w:r w:rsidRPr="00274507">
              <w:rPr>
                <w:iCs/>
                <w:sz w:val="28"/>
                <w:szCs w:val="28"/>
              </w:rPr>
              <w:t>Total</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2.922</w:t>
            </w:r>
          </w:p>
        </w:tc>
        <w:tc>
          <w:tcPr>
            <w:tcW w:w="3038" w:type="dxa"/>
          </w:tcPr>
          <w:p w:rsidR="00307775" w:rsidRPr="00274507" w:rsidRDefault="00307775" w:rsidP="00274507">
            <w:pPr>
              <w:tabs>
                <w:tab w:val="left" w:pos="567"/>
              </w:tabs>
              <w:jc w:val="center"/>
              <w:rPr>
                <w:iCs/>
                <w:sz w:val="28"/>
                <w:szCs w:val="28"/>
              </w:rPr>
            </w:pPr>
            <w:r w:rsidRPr="00274507">
              <w:rPr>
                <w:iCs/>
                <w:sz w:val="28"/>
                <w:szCs w:val="28"/>
              </w:rPr>
              <w:t>100</w:t>
            </w:r>
          </w:p>
        </w:tc>
      </w:tr>
    </w:tbl>
    <w:p w:rsidR="00307775" w:rsidRPr="00274507" w:rsidRDefault="00307775" w:rsidP="00274507">
      <w:pPr>
        <w:tabs>
          <w:tab w:val="left" w:pos="567"/>
        </w:tabs>
        <w:jc w:val="both"/>
        <w:rPr>
          <w:iCs/>
          <w:sz w:val="28"/>
          <w:szCs w:val="28"/>
        </w:rPr>
      </w:pPr>
    </w:p>
    <w:p w:rsidR="005326EC" w:rsidRPr="00274507" w:rsidRDefault="00064812" w:rsidP="00274507">
      <w:pPr>
        <w:tabs>
          <w:tab w:val="left" w:pos="567"/>
        </w:tabs>
        <w:jc w:val="both"/>
        <w:rPr>
          <w:iCs/>
          <w:sz w:val="28"/>
          <w:szCs w:val="28"/>
        </w:rPr>
      </w:pPr>
      <w:r w:rsidRPr="00274507">
        <w:rPr>
          <w:iCs/>
          <w:sz w:val="28"/>
          <w:szCs w:val="28"/>
        </w:rPr>
        <w:t>En consecuencia, e</w:t>
      </w:r>
      <w:r w:rsidR="00A20B8E" w:rsidRPr="00274507">
        <w:rPr>
          <w:iCs/>
          <w:sz w:val="28"/>
          <w:szCs w:val="28"/>
        </w:rPr>
        <w:t>videnció un</w:t>
      </w:r>
      <w:r w:rsidR="005326EC" w:rsidRPr="00274507">
        <w:rPr>
          <w:iCs/>
          <w:sz w:val="28"/>
          <w:szCs w:val="28"/>
        </w:rPr>
        <w:t xml:space="preserve"> porcentaje</w:t>
      </w:r>
      <w:r w:rsidR="00A20B8E" w:rsidRPr="00274507">
        <w:rPr>
          <w:iCs/>
          <w:sz w:val="28"/>
          <w:szCs w:val="28"/>
        </w:rPr>
        <w:t xml:space="preserve"> alto</w:t>
      </w:r>
      <w:r w:rsidR="005326EC" w:rsidRPr="00274507">
        <w:rPr>
          <w:iCs/>
          <w:sz w:val="28"/>
          <w:szCs w:val="28"/>
        </w:rPr>
        <w:t xml:space="preserve"> representado dentro de la característica de “</w:t>
      </w:r>
      <w:r w:rsidR="005326EC" w:rsidRPr="00274507">
        <w:rPr>
          <w:i/>
          <w:iCs/>
          <w:sz w:val="28"/>
          <w:szCs w:val="28"/>
        </w:rPr>
        <w:t>oportunidad en el servicio</w:t>
      </w:r>
      <w:r w:rsidR="00A20B8E" w:rsidRPr="00274507">
        <w:rPr>
          <w:iCs/>
          <w:sz w:val="28"/>
          <w:szCs w:val="28"/>
        </w:rPr>
        <w:t xml:space="preserve">”, razón por la cual, </w:t>
      </w:r>
      <w:r w:rsidR="005326EC" w:rsidRPr="00274507">
        <w:rPr>
          <w:iCs/>
          <w:sz w:val="28"/>
          <w:szCs w:val="28"/>
        </w:rPr>
        <w:t>fueron clasificados en otros problemas específicos.</w:t>
      </w:r>
      <w:r w:rsidR="00A20B8E" w:rsidRPr="00274507">
        <w:rPr>
          <w:iCs/>
          <w:sz w:val="28"/>
          <w:szCs w:val="28"/>
        </w:rPr>
        <w:t xml:space="preserve"> Además q</w:t>
      </w:r>
      <w:r w:rsidR="005326EC" w:rsidRPr="00274507">
        <w:rPr>
          <w:iCs/>
          <w:sz w:val="28"/>
          <w:szCs w:val="28"/>
        </w:rPr>
        <w:t>ue en la negación por servicios no POS se incluyó los pañales y cosméticos que</w:t>
      </w:r>
      <w:r w:rsidR="00A20B8E" w:rsidRPr="00274507">
        <w:rPr>
          <w:iCs/>
          <w:sz w:val="28"/>
          <w:szCs w:val="28"/>
        </w:rPr>
        <w:t xml:space="preserve"> hacen parte de las exclusiones. Finalmente, al revisar </w:t>
      </w:r>
      <w:r w:rsidR="005326EC" w:rsidRPr="00274507">
        <w:rPr>
          <w:iCs/>
          <w:sz w:val="28"/>
          <w:szCs w:val="28"/>
        </w:rPr>
        <w:t xml:space="preserve">los problemas </w:t>
      </w:r>
      <w:r w:rsidR="00A20B8E" w:rsidRPr="00274507">
        <w:rPr>
          <w:iCs/>
          <w:sz w:val="28"/>
          <w:szCs w:val="28"/>
        </w:rPr>
        <w:t xml:space="preserve">jurídicos </w:t>
      </w:r>
      <w:r w:rsidR="005326EC" w:rsidRPr="00274507">
        <w:rPr>
          <w:iCs/>
          <w:sz w:val="28"/>
          <w:szCs w:val="28"/>
        </w:rPr>
        <w:t>referentes a los conceptos POS</w:t>
      </w:r>
      <w:r w:rsidR="00A20B8E" w:rsidRPr="00274507">
        <w:rPr>
          <w:iCs/>
          <w:sz w:val="28"/>
          <w:szCs w:val="28"/>
        </w:rPr>
        <w:t xml:space="preserve">, </w:t>
      </w:r>
      <w:r w:rsidR="005326EC" w:rsidRPr="00274507">
        <w:rPr>
          <w:iCs/>
          <w:sz w:val="28"/>
          <w:szCs w:val="28"/>
        </w:rPr>
        <w:t xml:space="preserve">el 75% de </w:t>
      </w:r>
      <w:r w:rsidR="00A20B8E" w:rsidRPr="00274507">
        <w:rPr>
          <w:iCs/>
          <w:sz w:val="28"/>
          <w:szCs w:val="28"/>
        </w:rPr>
        <w:t>estos</w:t>
      </w:r>
      <w:r w:rsidR="00B40888" w:rsidRPr="00274507">
        <w:rPr>
          <w:iCs/>
          <w:sz w:val="28"/>
          <w:szCs w:val="28"/>
        </w:rPr>
        <w:t xml:space="preserve"> se presentaran por</w:t>
      </w:r>
      <w:r w:rsidR="005326EC" w:rsidRPr="00274507">
        <w:rPr>
          <w:iCs/>
          <w:sz w:val="28"/>
          <w:szCs w:val="28"/>
        </w:rPr>
        <w:t xml:space="preserve"> falla</w:t>
      </w:r>
      <w:r w:rsidR="00B40888" w:rsidRPr="00274507">
        <w:rPr>
          <w:iCs/>
          <w:sz w:val="28"/>
          <w:szCs w:val="28"/>
        </w:rPr>
        <w:t>s</w:t>
      </w:r>
      <w:r w:rsidR="005326EC" w:rsidRPr="00274507">
        <w:rPr>
          <w:iCs/>
          <w:sz w:val="28"/>
          <w:szCs w:val="28"/>
        </w:rPr>
        <w:t xml:space="preserve"> en el tiempo de provisi</w:t>
      </w:r>
      <w:r w:rsidR="00D57306" w:rsidRPr="00274507">
        <w:rPr>
          <w:iCs/>
          <w:sz w:val="28"/>
          <w:szCs w:val="28"/>
        </w:rPr>
        <w:t>ón</w:t>
      </w:r>
      <w:r w:rsidR="00B40888" w:rsidRPr="00274507">
        <w:rPr>
          <w:rStyle w:val="Refdenotaalpie"/>
          <w:iCs/>
          <w:sz w:val="28"/>
          <w:szCs w:val="28"/>
        </w:rPr>
        <w:footnoteReference w:id="179"/>
      </w:r>
      <w:r w:rsidR="005326EC" w:rsidRPr="00274507">
        <w:rPr>
          <w:iCs/>
          <w:sz w:val="28"/>
          <w:szCs w:val="28"/>
        </w:rPr>
        <w:t>.</w:t>
      </w:r>
    </w:p>
    <w:p w:rsidR="007636A8" w:rsidRPr="00274507" w:rsidRDefault="007636A8" w:rsidP="00274507">
      <w:pPr>
        <w:tabs>
          <w:tab w:val="left" w:pos="567"/>
        </w:tabs>
        <w:jc w:val="both"/>
        <w:rPr>
          <w:iCs/>
          <w:sz w:val="28"/>
          <w:szCs w:val="28"/>
        </w:rPr>
      </w:pPr>
    </w:p>
    <w:p w:rsidR="0047262B" w:rsidRPr="00274507" w:rsidRDefault="00064812" w:rsidP="00274507">
      <w:pPr>
        <w:pStyle w:val="Prrafodelista"/>
        <w:tabs>
          <w:tab w:val="left" w:pos="567"/>
        </w:tabs>
        <w:ind w:left="0"/>
        <w:jc w:val="both"/>
        <w:rPr>
          <w:sz w:val="28"/>
          <w:szCs w:val="28"/>
        </w:rPr>
      </w:pPr>
      <w:r w:rsidRPr="00274507">
        <w:rPr>
          <w:sz w:val="28"/>
          <w:szCs w:val="28"/>
        </w:rPr>
        <w:t>En ese orden,</w:t>
      </w:r>
      <w:r w:rsidR="0047262B" w:rsidRPr="00274507">
        <w:rPr>
          <w:sz w:val="28"/>
          <w:szCs w:val="28"/>
        </w:rPr>
        <w:t xml:space="preserve"> precisó que el problema jurídico por el cual se </w:t>
      </w:r>
      <w:r w:rsidRPr="00274507">
        <w:rPr>
          <w:sz w:val="28"/>
          <w:szCs w:val="28"/>
        </w:rPr>
        <w:t xml:space="preserve">protege </w:t>
      </w:r>
      <w:r w:rsidR="0047262B" w:rsidRPr="00274507">
        <w:rPr>
          <w:sz w:val="28"/>
          <w:szCs w:val="28"/>
        </w:rPr>
        <w:t>con mayor frecuencia</w:t>
      </w:r>
      <w:r w:rsidR="00743545" w:rsidRPr="00274507">
        <w:rPr>
          <w:sz w:val="28"/>
          <w:szCs w:val="28"/>
        </w:rPr>
        <w:t xml:space="preserve"> está relacionado con el suministro de</w:t>
      </w:r>
      <w:r w:rsidR="0047262B" w:rsidRPr="00274507">
        <w:rPr>
          <w:sz w:val="28"/>
          <w:szCs w:val="28"/>
        </w:rPr>
        <w:t xml:space="preserve"> servicios no POS con un 51%, seguido del 42% por tecnologías, tratamientos e insumos POS, el 3% por incertidumbre en la inclusión y el 1% por diferencias en planes de regímenes.</w:t>
      </w:r>
    </w:p>
    <w:p w:rsidR="0047262B" w:rsidRPr="00274507" w:rsidRDefault="0047262B" w:rsidP="00274507">
      <w:pPr>
        <w:pStyle w:val="Prrafodelista"/>
        <w:tabs>
          <w:tab w:val="left" w:pos="567"/>
        </w:tabs>
        <w:ind w:left="0"/>
        <w:jc w:val="both"/>
        <w:rPr>
          <w:sz w:val="28"/>
          <w:szCs w:val="28"/>
        </w:rPr>
      </w:pPr>
    </w:p>
    <w:p w:rsidR="0047262B" w:rsidRPr="00274507" w:rsidRDefault="0047262B" w:rsidP="00274507">
      <w:pPr>
        <w:pStyle w:val="Prrafodelista"/>
        <w:tabs>
          <w:tab w:val="left" w:pos="567"/>
        </w:tabs>
        <w:ind w:left="0"/>
        <w:jc w:val="both"/>
        <w:rPr>
          <w:sz w:val="28"/>
          <w:szCs w:val="28"/>
        </w:rPr>
      </w:pPr>
      <w:r w:rsidRPr="00274507">
        <w:rPr>
          <w:sz w:val="28"/>
          <w:szCs w:val="28"/>
        </w:rPr>
        <w:t xml:space="preserve">Respecto a los problemas jurídicos específicos, señaló que un 34,9% corresponde a demandas relacionadas con la falla en el tiempo de provisión, seguido del 32,9% por negación del servicio no POS, el 9,2% por negación de servicios no POS a menores de edad y el 8,6% por el no pago de la cuota moderadora. </w:t>
      </w:r>
    </w:p>
    <w:p w:rsidR="00F41272" w:rsidRPr="00274507" w:rsidRDefault="00F41272" w:rsidP="00274507">
      <w:pPr>
        <w:pStyle w:val="Prrafodelista"/>
        <w:tabs>
          <w:tab w:val="left" w:pos="567"/>
        </w:tabs>
        <w:ind w:left="0"/>
        <w:jc w:val="both"/>
        <w:rPr>
          <w:sz w:val="28"/>
          <w:szCs w:val="28"/>
        </w:rPr>
      </w:pPr>
    </w:p>
    <w:p w:rsidR="0047262B" w:rsidRPr="00274507" w:rsidRDefault="0047262B" w:rsidP="00274507">
      <w:pPr>
        <w:pStyle w:val="Prrafodelista"/>
        <w:tabs>
          <w:tab w:val="left" w:pos="567"/>
        </w:tabs>
        <w:ind w:left="0"/>
        <w:jc w:val="both"/>
        <w:rPr>
          <w:sz w:val="28"/>
          <w:szCs w:val="28"/>
        </w:rPr>
      </w:pPr>
      <w:r w:rsidRPr="00274507">
        <w:rPr>
          <w:sz w:val="28"/>
          <w:szCs w:val="28"/>
        </w:rPr>
        <w:t>Indicó que el número de tutelas q</w:t>
      </w:r>
      <w:r w:rsidR="00496B39" w:rsidRPr="00274507">
        <w:rPr>
          <w:sz w:val="28"/>
          <w:szCs w:val="28"/>
        </w:rPr>
        <w:t xml:space="preserve">ue se derivan de la negación de </w:t>
      </w:r>
      <w:r w:rsidRPr="00274507">
        <w:rPr>
          <w:sz w:val="28"/>
          <w:szCs w:val="28"/>
        </w:rPr>
        <w:t xml:space="preserve">medicamentos, procedimientos o insumos POS han disminuido desde la expedición de la sentencia T-760 de 2008, ya que el 75% se deben a circunstancias </w:t>
      </w:r>
      <w:r w:rsidR="00496B39" w:rsidRPr="00274507">
        <w:rPr>
          <w:sz w:val="28"/>
          <w:szCs w:val="28"/>
        </w:rPr>
        <w:t xml:space="preserve">conexas a </w:t>
      </w:r>
      <w:r w:rsidRPr="00274507">
        <w:rPr>
          <w:sz w:val="28"/>
          <w:szCs w:val="28"/>
        </w:rPr>
        <w:t xml:space="preserve">la oportunidad para la prestación del servicio. </w:t>
      </w:r>
    </w:p>
    <w:p w:rsidR="0047262B" w:rsidRPr="00274507" w:rsidRDefault="0047262B" w:rsidP="00274507">
      <w:pPr>
        <w:widowControl w:val="0"/>
        <w:tabs>
          <w:tab w:val="left" w:pos="426"/>
        </w:tabs>
        <w:autoSpaceDE w:val="0"/>
        <w:autoSpaceDN w:val="0"/>
        <w:adjustRightInd w:val="0"/>
        <w:jc w:val="both"/>
        <w:rPr>
          <w:sz w:val="28"/>
          <w:szCs w:val="28"/>
        </w:rPr>
      </w:pPr>
    </w:p>
    <w:p w:rsidR="00496B39" w:rsidRPr="00274507" w:rsidRDefault="00E10BB8" w:rsidP="00274507">
      <w:pPr>
        <w:widowControl w:val="0"/>
        <w:tabs>
          <w:tab w:val="left" w:pos="426"/>
        </w:tabs>
        <w:autoSpaceDE w:val="0"/>
        <w:autoSpaceDN w:val="0"/>
        <w:adjustRightInd w:val="0"/>
        <w:jc w:val="both"/>
        <w:rPr>
          <w:sz w:val="28"/>
          <w:szCs w:val="28"/>
        </w:rPr>
      </w:pPr>
      <w:r w:rsidRPr="00274507">
        <w:rPr>
          <w:sz w:val="28"/>
          <w:szCs w:val="28"/>
        </w:rPr>
        <w:t>Advirti</w:t>
      </w:r>
      <w:r w:rsidR="0047262B" w:rsidRPr="00274507">
        <w:rPr>
          <w:sz w:val="28"/>
          <w:szCs w:val="28"/>
        </w:rPr>
        <w:t>ó una reducción en las tutelas por negac</w:t>
      </w:r>
      <w:r w:rsidR="00496B39" w:rsidRPr="00274507">
        <w:rPr>
          <w:sz w:val="28"/>
          <w:szCs w:val="28"/>
        </w:rPr>
        <w:t xml:space="preserve">ión de </w:t>
      </w:r>
      <w:r w:rsidR="0047262B" w:rsidRPr="00274507">
        <w:rPr>
          <w:sz w:val="28"/>
          <w:szCs w:val="28"/>
        </w:rPr>
        <w:t xml:space="preserve">incapacidades laborales derivadas </w:t>
      </w:r>
      <w:r w:rsidR="00496B39" w:rsidRPr="00274507">
        <w:rPr>
          <w:sz w:val="28"/>
          <w:szCs w:val="28"/>
        </w:rPr>
        <w:t>por retraso en los</w:t>
      </w:r>
      <w:r w:rsidR="0047262B" w:rsidRPr="00274507">
        <w:rPr>
          <w:sz w:val="28"/>
          <w:szCs w:val="28"/>
        </w:rPr>
        <w:t xml:space="preserve"> pagos </w:t>
      </w:r>
      <w:r w:rsidR="00496B39" w:rsidRPr="00274507">
        <w:rPr>
          <w:sz w:val="28"/>
          <w:szCs w:val="28"/>
        </w:rPr>
        <w:t xml:space="preserve">de los aportes, </w:t>
      </w:r>
      <w:r w:rsidR="0047262B" w:rsidRPr="00274507">
        <w:rPr>
          <w:sz w:val="28"/>
          <w:szCs w:val="28"/>
        </w:rPr>
        <w:t>n</w:t>
      </w:r>
      <w:r w:rsidR="00496B39" w:rsidRPr="00274507">
        <w:rPr>
          <w:sz w:val="28"/>
          <w:szCs w:val="28"/>
        </w:rPr>
        <w:t xml:space="preserve">egación de servicios de salud, </w:t>
      </w:r>
      <w:r w:rsidR="0047262B" w:rsidRPr="00274507">
        <w:rPr>
          <w:sz w:val="28"/>
          <w:szCs w:val="28"/>
        </w:rPr>
        <w:t>no pago o in</w:t>
      </w:r>
      <w:r w:rsidR="00496B39" w:rsidRPr="00274507">
        <w:rPr>
          <w:sz w:val="28"/>
          <w:szCs w:val="28"/>
        </w:rPr>
        <w:t>oportuno de la cuota moderador</w:t>
      </w:r>
      <w:r w:rsidR="00F60031" w:rsidRPr="00274507">
        <w:rPr>
          <w:sz w:val="28"/>
          <w:szCs w:val="28"/>
        </w:rPr>
        <w:t>a</w:t>
      </w:r>
      <w:r w:rsidR="00496B39" w:rsidRPr="00274507">
        <w:rPr>
          <w:sz w:val="28"/>
          <w:szCs w:val="28"/>
        </w:rPr>
        <w:t>.</w:t>
      </w:r>
      <w:r w:rsidR="00F60031" w:rsidRPr="00274507">
        <w:rPr>
          <w:sz w:val="28"/>
          <w:szCs w:val="28"/>
        </w:rPr>
        <w:t xml:space="preserve"> Así mismo, </w:t>
      </w:r>
      <w:r w:rsidR="00496B39" w:rsidRPr="00274507">
        <w:rPr>
          <w:sz w:val="28"/>
          <w:szCs w:val="28"/>
        </w:rPr>
        <w:t xml:space="preserve">un aumento en </w:t>
      </w:r>
      <w:r w:rsidR="0047262B" w:rsidRPr="00274507">
        <w:rPr>
          <w:sz w:val="28"/>
          <w:szCs w:val="28"/>
        </w:rPr>
        <w:t xml:space="preserve">la negación de servicios </w:t>
      </w:r>
      <w:r w:rsidR="00496B39" w:rsidRPr="00274507">
        <w:rPr>
          <w:sz w:val="28"/>
          <w:szCs w:val="28"/>
        </w:rPr>
        <w:t xml:space="preserve">prescritos por médicos especialistas no adscritos a la red, </w:t>
      </w:r>
      <w:r w:rsidR="0047262B" w:rsidRPr="00274507">
        <w:rPr>
          <w:sz w:val="28"/>
          <w:szCs w:val="28"/>
        </w:rPr>
        <w:t xml:space="preserve">del 0,5% al 2,9%; el 0,6% </w:t>
      </w:r>
      <w:r w:rsidR="00496B39" w:rsidRPr="00274507">
        <w:rPr>
          <w:sz w:val="28"/>
          <w:szCs w:val="28"/>
        </w:rPr>
        <w:t xml:space="preserve">en las acciones por negación al </w:t>
      </w:r>
      <w:r w:rsidR="0047262B" w:rsidRPr="00274507">
        <w:rPr>
          <w:sz w:val="28"/>
          <w:szCs w:val="28"/>
        </w:rPr>
        <w:t xml:space="preserve">traslado de personas o grupos familiares cuyos miembros padecen </w:t>
      </w:r>
      <w:r w:rsidR="00496B39" w:rsidRPr="00274507">
        <w:rPr>
          <w:sz w:val="28"/>
          <w:szCs w:val="28"/>
        </w:rPr>
        <w:t xml:space="preserve">de </w:t>
      </w:r>
      <w:r w:rsidR="0047262B" w:rsidRPr="00274507">
        <w:rPr>
          <w:sz w:val="28"/>
          <w:szCs w:val="28"/>
        </w:rPr>
        <w:t xml:space="preserve">alguna enfermedad catastrófica y el 1,3% en cuanto a </w:t>
      </w:r>
      <w:r w:rsidR="00496B39" w:rsidRPr="00274507">
        <w:rPr>
          <w:sz w:val="28"/>
          <w:szCs w:val="28"/>
        </w:rPr>
        <w:t xml:space="preserve">la </w:t>
      </w:r>
      <w:r w:rsidR="0047262B" w:rsidRPr="00274507">
        <w:rPr>
          <w:sz w:val="28"/>
          <w:szCs w:val="28"/>
        </w:rPr>
        <w:t>interrupción de</w:t>
      </w:r>
      <w:r w:rsidR="00496B39" w:rsidRPr="00274507">
        <w:rPr>
          <w:sz w:val="28"/>
          <w:szCs w:val="28"/>
        </w:rPr>
        <w:t>l</w:t>
      </w:r>
      <w:r w:rsidR="0047262B" w:rsidRPr="00274507">
        <w:rPr>
          <w:sz w:val="28"/>
          <w:szCs w:val="28"/>
        </w:rPr>
        <w:t xml:space="preserve"> </w:t>
      </w:r>
      <w:r w:rsidR="00496B39" w:rsidRPr="00274507">
        <w:rPr>
          <w:sz w:val="28"/>
          <w:szCs w:val="28"/>
        </w:rPr>
        <w:t>servicio</w:t>
      </w:r>
      <w:r w:rsidR="0047262B" w:rsidRPr="00274507">
        <w:rPr>
          <w:sz w:val="28"/>
          <w:szCs w:val="28"/>
        </w:rPr>
        <w:t xml:space="preserve"> por no pago de aportes en razón a</w:t>
      </w:r>
      <w:r w:rsidR="00496B39" w:rsidRPr="00274507">
        <w:rPr>
          <w:sz w:val="28"/>
          <w:szCs w:val="28"/>
        </w:rPr>
        <w:t xml:space="preserve"> ser desempleado</w:t>
      </w:r>
      <w:r w:rsidR="0047262B" w:rsidRPr="00274507">
        <w:rPr>
          <w:sz w:val="28"/>
          <w:szCs w:val="28"/>
        </w:rPr>
        <w:t xml:space="preserve">. </w:t>
      </w:r>
    </w:p>
    <w:p w:rsidR="0047262B" w:rsidRPr="00274507" w:rsidRDefault="0047262B" w:rsidP="00274507">
      <w:pPr>
        <w:tabs>
          <w:tab w:val="left" w:pos="567"/>
        </w:tabs>
        <w:jc w:val="both"/>
        <w:rPr>
          <w:iCs/>
          <w:sz w:val="28"/>
          <w:szCs w:val="28"/>
        </w:rPr>
      </w:pPr>
    </w:p>
    <w:p w:rsidR="00386B55" w:rsidRPr="00274507" w:rsidRDefault="00CF4618" w:rsidP="00274507">
      <w:pPr>
        <w:widowControl w:val="0"/>
        <w:tabs>
          <w:tab w:val="left" w:pos="426"/>
        </w:tabs>
        <w:autoSpaceDE w:val="0"/>
        <w:autoSpaceDN w:val="0"/>
        <w:adjustRightInd w:val="0"/>
        <w:jc w:val="both"/>
        <w:rPr>
          <w:sz w:val="28"/>
          <w:szCs w:val="28"/>
        </w:rPr>
      </w:pPr>
      <w:r w:rsidRPr="00274507">
        <w:rPr>
          <w:sz w:val="28"/>
          <w:szCs w:val="28"/>
        </w:rPr>
        <w:t>Concluyó</w:t>
      </w:r>
      <w:r w:rsidR="00E10BB8" w:rsidRPr="00274507">
        <w:rPr>
          <w:sz w:val="28"/>
          <w:szCs w:val="28"/>
        </w:rPr>
        <w:t xml:space="preserve"> </w:t>
      </w:r>
      <w:r w:rsidR="00386B55" w:rsidRPr="00274507">
        <w:rPr>
          <w:sz w:val="28"/>
          <w:szCs w:val="28"/>
        </w:rPr>
        <w:t xml:space="preserve">que las tutelas por negación de los servicios no POS para el 2012 disminuyeron aproximadamente en un 36,7%, </w:t>
      </w:r>
      <w:r w:rsidR="00496B39" w:rsidRPr="00274507">
        <w:rPr>
          <w:sz w:val="28"/>
          <w:szCs w:val="28"/>
        </w:rPr>
        <w:t xml:space="preserve">lo </w:t>
      </w:r>
      <w:r w:rsidR="00386B55" w:rsidRPr="00274507">
        <w:rPr>
          <w:sz w:val="28"/>
          <w:szCs w:val="28"/>
        </w:rPr>
        <w:t xml:space="preserve">que coincidió con la entrada en vigencia de la actualización del POS </w:t>
      </w:r>
      <w:r w:rsidR="00496B39" w:rsidRPr="00274507">
        <w:rPr>
          <w:sz w:val="28"/>
          <w:szCs w:val="28"/>
        </w:rPr>
        <w:t>efectuada</w:t>
      </w:r>
      <w:r w:rsidR="00386B55" w:rsidRPr="00274507">
        <w:rPr>
          <w:sz w:val="28"/>
          <w:szCs w:val="28"/>
        </w:rPr>
        <w:t xml:space="preserve"> por la CRES en diciembre de 2012, mediante la cual se incluyeron 197 tecnologías en salud- 128 correspondientes a medicamentos en denominación común, 62 a procedimientos y 7 a dispositivos.</w:t>
      </w:r>
    </w:p>
    <w:p w:rsidR="00D05C0C" w:rsidRPr="00274507" w:rsidRDefault="00D05C0C" w:rsidP="00274507">
      <w:pPr>
        <w:tabs>
          <w:tab w:val="left" w:pos="567"/>
        </w:tabs>
        <w:jc w:val="both"/>
        <w:rPr>
          <w:b/>
          <w:iCs/>
          <w:sz w:val="28"/>
          <w:szCs w:val="28"/>
        </w:rPr>
      </w:pPr>
    </w:p>
    <w:p w:rsidR="004C78CB" w:rsidRPr="00274507" w:rsidRDefault="00EC311C" w:rsidP="00274507">
      <w:pPr>
        <w:tabs>
          <w:tab w:val="left" w:pos="567"/>
        </w:tabs>
        <w:jc w:val="both"/>
        <w:rPr>
          <w:iCs/>
          <w:sz w:val="28"/>
          <w:szCs w:val="28"/>
        </w:rPr>
      </w:pPr>
      <w:r w:rsidRPr="00274507">
        <w:rPr>
          <w:iCs/>
          <w:sz w:val="28"/>
          <w:szCs w:val="28"/>
        </w:rPr>
        <w:t>Respecto al anterior informe, l</w:t>
      </w:r>
      <w:r w:rsidR="00F9114E" w:rsidRPr="00274507">
        <w:rPr>
          <w:iCs/>
          <w:sz w:val="28"/>
          <w:szCs w:val="28"/>
        </w:rPr>
        <w:t xml:space="preserve">os </w:t>
      </w:r>
      <w:r w:rsidRPr="00274507">
        <w:rPr>
          <w:iCs/>
          <w:sz w:val="28"/>
          <w:szCs w:val="28"/>
        </w:rPr>
        <w:t>p</w:t>
      </w:r>
      <w:r w:rsidR="00260B8A" w:rsidRPr="00274507">
        <w:rPr>
          <w:iCs/>
          <w:sz w:val="28"/>
          <w:szCs w:val="28"/>
        </w:rPr>
        <w:t>eritos</w:t>
      </w:r>
      <w:r w:rsidR="009A201C" w:rsidRPr="00274507">
        <w:rPr>
          <w:iCs/>
          <w:sz w:val="28"/>
          <w:szCs w:val="28"/>
        </w:rPr>
        <w:t xml:space="preserve"> constitucionales</w:t>
      </w:r>
      <w:r w:rsidR="004C78CB" w:rsidRPr="00274507">
        <w:rPr>
          <w:iCs/>
          <w:sz w:val="28"/>
          <w:szCs w:val="28"/>
        </w:rPr>
        <w:t xml:space="preserve"> emitieron concepto así:</w:t>
      </w:r>
    </w:p>
    <w:p w:rsidR="004C78CB" w:rsidRPr="00274507" w:rsidRDefault="004C78CB" w:rsidP="00274507">
      <w:pPr>
        <w:tabs>
          <w:tab w:val="left" w:pos="567"/>
        </w:tabs>
        <w:jc w:val="both"/>
        <w:rPr>
          <w:iCs/>
          <w:sz w:val="28"/>
          <w:szCs w:val="28"/>
        </w:rPr>
      </w:pPr>
    </w:p>
    <w:p w:rsidR="00260B8A" w:rsidRPr="00274507" w:rsidRDefault="009A201C" w:rsidP="00274507">
      <w:pPr>
        <w:tabs>
          <w:tab w:val="left" w:pos="567"/>
        </w:tabs>
        <w:jc w:val="both"/>
        <w:rPr>
          <w:sz w:val="28"/>
          <w:szCs w:val="28"/>
        </w:rPr>
      </w:pPr>
      <w:r w:rsidRPr="00274507">
        <w:rPr>
          <w:iCs/>
          <w:sz w:val="28"/>
          <w:szCs w:val="28"/>
        </w:rPr>
        <w:t>Acemi, Asocajas y Gestarsalud de forma conjunta</w:t>
      </w:r>
      <w:r w:rsidRPr="00274507">
        <w:rPr>
          <w:rStyle w:val="Refdenotaalpie"/>
          <w:iCs/>
          <w:sz w:val="28"/>
          <w:szCs w:val="28"/>
        </w:rPr>
        <w:footnoteReference w:id="180"/>
      </w:r>
      <w:r w:rsidR="00F9114E" w:rsidRPr="00274507">
        <w:rPr>
          <w:iCs/>
          <w:sz w:val="28"/>
          <w:szCs w:val="28"/>
        </w:rPr>
        <w:t xml:space="preserve">, </w:t>
      </w:r>
      <w:r w:rsidR="00EC311C" w:rsidRPr="00274507">
        <w:rPr>
          <w:iCs/>
          <w:sz w:val="28"/>
          <w:szCs w:val="28"/>
        </w:rPr>
        <w:t xml:space="preserve">en lo que tiene que ver con </w:t>
      </w:r>
      <w:r w:rsidR="00F9114E" w:rsidRPr="00274507">
        <w:rPr>
          <w:iCs/>
          <w:sz w:val="28"/>
          <w:szCs w:val="28"/>
        </w:rPr>
        <w:t>su incidencia en el desarrollo de los problemas jurídicos</w:t>
      </w:r>
      <w:r w:rsidR="00EC311C" w:rsidRPr="00274507">
        <w:rPr>
          <w:iCs/>
          <w:sz w:val="28"/>
          <w:szCs w:val="28"/>
        </w:rPr>
        <w:t xml:space="preserve">, </w:t>
      </w:r>
      <w:r w:rsidR="00496B39" w:rsidRPr="00274507">
        <w:rPr>
          <w:iCs/>
          <w:sz w:val="28"/>
          <w:szCs w:val="28"/>
        </w:rPr>
        <w:t>e</w:t>
      </w:r>
      <w:r w:rsidR="00260B8A" w:rsidRPr="00274507">
        <w:rPr>
          <w:sz w:val="28"/>
          <w:szCs w:val="28"/>
        </w:rPr>
        <w:t xml:space="preserve">nunciaron que no se formularon indicadores para todos los problemas jurídicos generales y concretos señalados por la Corte, ni se encontró la ficha técnica para cada uno. </w:t>
      </w:r>
    </w:p>
    <w:p w:rsidR="00260B8A" w:rsidRPr="00274507" w:rsidRDefault="00260B8A" w:rsidP="00274507">
      <w:pPr>
        <w:widowControl w:val="0"/>
        <w:tabs>
          <w:tab w:val="left" w:pos="426"/>
        </w:tabs>
        <w:autoSpaceDE w:val="0"/>
        <w:autoSpaceDN w:val="0"/>
        <w:adjustRightInd w:val="0"/>
        <w:jc w:val="both"/>
        <w:rPr>
          <w:sz w:val="28"/>
          <w:szCs w:val="28"/>
        </w:rPr>
      </w:pPr>
    </w:p>
    <w:p w:rsidR="002C7783" w:rsidRPr="00274507" w:rsidRDefault="002C7783" w:rsidP="00274507">
      <w:pPr>
        <w:widowControl w:val="0"/>
        <w:tabs>
          <w:tab w:val="left" w:pos="426"/>
        </w:tabs>
        <w:autoSpaceDE w:val="0"/>
        <w:autoSpaceDN w:val="0"/>
        <w:adjustRightInd w:val="0"/>
        <w:jc w:val="both"/>
        <w:rPr>
          <w:sz w:val="28"/>
          <w:szCs w:val="28"/>
        </w:rPr>
      </w:pPr>
      <w:r w:rsidRPr="00274507">
        <w:rPr>
          <w:sz w:val="28"/>
          <w:szCs w:val="28"/>
        </w:rPr>
        <w:t xml:space="preserve">Aunado a lo anterior, advirtieron que en los análisis presentados por el </w:t>
      </w:r>
      <w:r w:rsidR="00E9699E" w:rsidRPr="00274507">
        <w:rPr>
          <w:sz w:val="28"/>
          <w:szCs w:val="28"/>
        </w:rPr>
        <w:t>Ministerio de Salud no</w:t>
      </w:r>
      <w:r w:rsidRPr="00274507">
        <w:rPr>
          <w:sz w:val="28"/>
          <w:szCs w:val="28"/>
        </w:rPr>
        <w:t xml:space="preserve"> se</w:t>
      </w:r>
      <w:r w:rsidR="00E9699E" w:rsidRPr="00274507">
        <w:rPr>
          <w:sz w:val="28"/>
          <w:szCs w:val="28"/>
        </w:rPr>
        <w:t xml:space="preserve"> logró diferenciar la evolución de los problemas jurídicos planteados por el mandato constitucional, en especial, con relación a la unificación del POS</w:t>
      </w:r>
      <w:r w:rsidR="00E9699E" w:rsidRPr="00274507">
        <w:rPr>
          <w:rStyle w:val="Refdenotaalpie"/>
          <w:sz w:val="28"/>
          <w:szCs w:val="28"/>
        </w:rPr>
        <w:footnoteReference w:id="181"/>
      </w:r>
      <w:r w:rsidRPr="00274507">
        <w:rPr>
          <w:sz w:val="28"/>
          <w:szCs w:val="28"/>
        </w:rPr>
        <w:t>.</w:t>
      </w:r>
      <w:r w:rsidR="00E9699E" w:rsidRPr="00274507">
        <w:rPr>
          <w:sz w:val="28"/>
          <w:szCs w:val="28"/>
        </w:rPr>
        <w:t xml:space="preserve"> De igual manera advirtieron la importancia de conocer si “la negación de servicios no POS” </w:t>
      </w:r>
      <w:r w:rsidRPr="00274507">
        <w:rPr>
          <w:sz w:val="28"/>
          <w:szCs w:val="28"/>
        </w:rPr>
        <w:t>correspondía</w:t>
      </w:r>
      <w:r w:rsidR="00E9699E" w:rsidRPr="00274507">
        <w:rPr>
          <w:sz w:val="28"/>
          <w:szCs w:val="28"/>
        </w:rPr>
        <w:t xml:space="preserve"> a los </w:t>
      </w:r>
      <w:r w:rsidRPr="00274507">
        <w:rPr>
          <w:sz w:val="28"/>
          <w:szCs w:val="28"/>
        </w:rPr>
        <w:t xml:space="preserve">servicios </w:t>
      </w:r>
      <w:r w:rsidR="00E9699E" w:rsidRPr="00274507">
        <w:rPr>
          <w:sz w:val="28"/>
          <w:szCs w:val="28"/>
        </w:rPr>
        <w:t>que</w:t>
      </w:r>
      <w:r w:rsidRPr="00274507">
        <w:rPr>
          <w:sz w:val="28"/>
          <w:szCs w:val="28"/>
        </w:rPr>
        <w:t xml:space="preserve"> realmente</w:t>
      </w:r>
      <w:r w:rsidR="00E9699E" w:rsidRPr="00274507">
        <w:rPr>
          <w:sz w:val="28"/>
          <w:szCs w:val="28"/>
        </w:rPr>
        <w:t xml:space="preserve"> no hacían parte del mismo</w:t>
      </w:r>
      <w:r w:rsidRPr="00274507">
        <w:rPr>
          <w:sz w:val="28"/>
          <w:szCs w:val="28"/>
        </w:rPr>
        <w:t xml:space="preserve"> para esa fecha</w:t>
      </w:r>
      <w:r w:rsidR="00E9699E" w:rsidRPr="00274507">
        <w:rPr>
          <w:sz w:val="28"/>
          <w:szCs w:val="28"/>
        </w:rPr>
        <w:t xml:space="preserve"> y en ese sentido, no sería considerado como un</w:t>
      </w:r>
      <w:r w:rsidRPr="00274507">
        <w:rPr>
          <w:sz w:val="28"/>
          <w:szCs w:val="28"/>
        </w:rPr>
        <w:t>a obligación. Además</w:t>
      </w:r>
      <w:r w:rsidR="00833FF8" w:rsidRPr="00274507">
        <w:rPr>
          <w:sz w:val="28"/>
          <w:szCs w:val="28"/>
        </w:rPr>
        <w:t>,</w:t>
      </w:r>
      <w:r w:rsidRPr="00274507">
        <w:rPr>
          <w:sz w:val="28"/>
          <w:szCs w:val="28"/>
        </w:rPr>
        <w:t xml:space="preserve"> se desconoció si para la obtención de la información derivada de los recobros se relacionaron los de otros </w:t>
      </w:r>
      <w:r w:rsidR="00E9699E" w:rsidRPr="00274507">
        <w:rPr>
          <w:sz w:val="28"/>
          <w:szCs w:val="28"/>
        </w:rPr>
        <w:t xml:space="preserve">Departamentos, Distritos y </w:t>
      </w:r>
      <w:r w:rsidRPr="00274507">
        <w:rPr>
          <w:sz w:val="28"/>
          <w:szCs w:val="28"/>
        </w:rPr>
        <w:t>demás entidades t</w:t>
      </w:r>
      <w:r w:rsidR="00E9699E" w:rsidRPr="00274507">
        <w:rPr>
          <w:sz w:val="28"/>
          <w:szCs w:val="28"/>
        </w:rPr>
        <w:t xml:space="preserve">erritoriales, por lo que, </w:t>
      </w:r>
      <w:r w:rsidRPr="00274507">
        <w:rPr>
          <w:sz w:val="28"/>
          <w:szCs w:val="28"/>
        </w:rPr>
        <w:t xml:space="preserve">consideraron que </w:t>
      </w:r>
      <w:r w:rsidR="00E9699E" w:rsidRPr="00274507">
        <w:rPr>
          <w:sz w:val="28"/>
          <w:szCs w:val="28"/>
        </w:rPr>
        <w:t>los resultados no constitu</w:t>
      </w:r>
      <w:r w:rsidRPr="00274507">
        <w:rPr>
          <w:sz w:val="28"/>
          <w:szCs w:val="28"/>
        </w:rPr>
        <w:t>ían</w:t>
      </w:r>
      <w:r w:rsidR="00E9699E" w:rsidRPr="00274507">
        <w:rPr>
          <w:sz w:val="28"/>
          <w:szCs w:val="28"/>
        </w:rPr>
        <w:t xml:space="preserve"> la realidad de la totalidad de las tutelas. </w:t>
      </w:r>
    </w:p>
    <w:p w:rsidR="002C7783" w:rsidRPr="00274507" w:rsidRDefault="002C7783" w:rsidP="00274507">
      <w:pPr>
        <w:widowControl w:val="0"/>
        <w:tabs>
          <w:tab w:val="left" w:pos="426"/>
        </w:tabs>
        <w:autoSpaceDE w:val="0"/>
        <w:autoSpaceDN w:val="0"/>
        <w:adjustRightInd w:val="0"/>
        <w:jc w:val="both"/>
        <w:rPr>
          <w:sz w:val="28"/>
          <w:szCs w:val="28"/>
        </w:rPr>
      </w:pPr>
    </w:p>
    <w:p w:rsidR="00E9699E" w:rsidRPr="00274507" w:rsidRDefault="00CF4618" w:rsidP="00274507">
      <w:pPr>
        <w:widowControl w:val="0"/>
        <w:tabs>
          <w:tab w:val="left" w:pos="426"/>
        </w:tabs>
        <w:autoSpaceDE w:val="0"/>
        <w:autoSpaceDN w:val="0"/>
        <w:adjustRightInd w:val="0"/>
        <w:jc w:val="both"/>
        <w:rPr>
          <w:sz w:val="28"/>
          <w:szCs w:val="28"/>
        </w:rPr>
      </w:pPr>
      <w:r w:rsidRPr="00274507">
        <w:rPr>
          <w:sz w:val="28"/>
          <w:szCs w:val="28"/>
        </w:rPr>
        <w:t>En consecuencia, recomendaron</w:t>
      </w:r>
      <w:r w:rsidR="00833FF8" w:rsidRPr="00274507">
        <w:rPr>
          <w:sz w:val="28"/>
          <w:szCs w:val="28"/>
        </w:rPr>
        <w:t xml:space="preserve"> al Ministerio </w:t>
      </w:r>
      <w:r w:rsidR="002C7783" w:rsidRPr="00274507">
        <w:rPr>
          <w:sz w:val="28"/>
          <w:szCs w:val="28"/>
        </w:rPr>
        <w:t>de Salud</w:t>
      </w:r>
      <w:r w:rsidR="00E9699E" w:rsidRPr="00274507">
        <w:rPr>
          <w:sz w:val="28"/>
          <w:szCs w:val="28"/>
        </w:rPr>
        <w:t xml:space="preserve"> la posibilidad de apoyarse en otros estudios como los de la Defensoría y de la Universidad de los Andes para avanzar en una mejor comprensión y detalle de cada uno de los informes y análisis de resultados así como la </w:t>
      </w:r>
      <w:r w:rsidRPr="00274507">
        <w:rPr>
          <w:sz w:val="28"/>
          <w:szCs w:val="28"/>
        </w:rPr>
        <w:t>r</w:t>
      </w:r>
      <w:r w:rsidR="00E42CBC" w:rsidRPr="00274507">
        <w:rPr>
          <w:sz w:val="28"/>
          <w:szCs w:val="28"/>
        </w:rPr>
        <w:t>esolución</w:t>
      </w:r>
      <w:r w:rsidR="00E9699E" w:rsidRPr="00274507">
        <w:rPr>
          <w:sz w:val="28"/>
          <w:szCs w:val="28"/>
        </w:rPr>
        <w:t xml:space="preserve"> de los problemas jurídicos contenidos en la T-760 de 2008. </w:t>
      </w:r>
    </w:p>
    <w:p w:rsidR="002C7783" w:rsidRPr="00274507" w:rsidRDefault="002C7783" w:rsidP="00274507">
      <w:pPr>
        <w:tabs>
          <w:tab w:val="left" w:pos="567"/>
        </w:tabs>
        <w:jc w:val="both"/>
        <w:rPr>
          <w:sz w:val="28"/>
          <w:szCs w:val="28"/>
        </w:rPr>
      </w:pPr>
      <w:r w:rsidRPr="00274507">
        <w:rPr>
          <w:sz w:val="28"/>
          <w:szCs w:val="28"/>
        </w:rPr>
        <w:t>Además propusieron los siguientes indicadores para resolver los problemas jurídicos expuestos en la T-760 de 2009, así:</w:t>
      </w:r>
    </w:p>
    <w:p w:rsidR="00A85B58" w:rsidRPr="00274507" w:rsidRDefault="00A85B58" w:rsidP="00274507">
      <w:pPr>
        <w:widowControl w:val="0"/>
        <w:tabs>
          <w:tab w:val="left" w:pos="426"/>
        </w:tabs>
        <w:autoSpaceDE w:val="0"/>
        <w:autoSpaceDN w:val="0"/>
        <w:adjustRightInd w:val="0"/>
        <w:jc w:val="both"/>
        <w:rPr>
          <w:sz w:val="28"/>
          <w:szCs w:val="28"/>
        </w:rPr>
      </w:pPr>
    </w:p>
    <w:tbl>
      <w:tblPr>
        <w:tblStyle w:val="Tablaconcuadrcula"/>
        <w:tblW w:w="0" w:type="auto"/>
        <w:tblLook w:val="04A0" w:firstRow="1" w:lastRow="0" w:firstColumn="1" w:lastColumn="0" w:noHBand="0" w:noVBand="1"/>
      </w:tblPr>
      <w:tblGrid>
        <w:gridCol w:w="4556"/>
        <w:gridCol w:w="4557"/>
      </w:tblGrid>
      <w:tr w:rsidR="002C7783" w:rsidRPr="00274507" w:rsidTr="005024CE">
        <w:tc>
          <w:tcPr>
            <w:tcW w:w="4556" w:type="dxa"/>
          </w:tcPr>
          <w:p w:rsidR="002C7783" w:rsidRPr="00274507" w:rsidRDefault="002C7783" w:rsidP="00274507">
            <w:pPr>
              <w:widowControl w:val="0"/>
              <w:tabs>
                <w:tab w:val="left" w:pos="426"/>
              </w:tabs>
              <w:autoSpaceDE w:val="0"/>
              <w:autoSpaceDN w:val="0"/>
              <w:adjustRightInd w:val="0"/>
              <w:jc w:val="center"/>
              <w:rPr>
                <w:b/>
                <w:sz w:val="28"/>
                <w:szCs w:val="28"/>
              </w:rPr>
            </w:pPr>
            <w:r w:rsidRPr="00274507">
              <w:rPr>
                <w:b/>
                <w:sz w:val="28"/>
                <w:szCs w:val="28"/>
              </w:rPr>
              <w:t>Problemas jurídicos</w:t>
            </w:r>
          </w:p>
        </w:tc>
        <w:tc>
          <w:tcPr>
            <w:tcW w:w="4557" w:type="dxa"/>
          </w:tcPr>
          <w:p w:rsidR="002C7783" w:rsidRPr="00274507" w:rsidRDefault="002C7783" w:rsidP="00274507">
            <w:pPr>
              <w:widowControl w:val="0"/>
              <w:tabs>
                <w:tab w:val="left" w:pos="426"/>
              </w:tabs>
              <w:autoSpaceDE w:val="0"/>
              <w:autoSpaceDN w:val="0"/>
              <w:adjustRightInd w:val="0"/>
              <w:jc w:val="center"/>
              <w:rPr>
                <w:b/>
                <w:sz w:val="28"/>
                <w:szCs w:val="28"/>
              </w:rPr>
            </w:pPr>
            <w:r w:rsidRPr="00274507">
              <w:rPr>
                <w:b/>
                <w:sz w:val="28"/>
                <w:szCs w:val="28"/>
              </w:rPr>
              <w:t>Indicadores</w:t>
            </w:r>
          </w:p>
        </w:tc>
      </w:tr>
      <w:tr w:rsidR="002C7783" w:rsidRPr="00274507" w:rsidTr="005024CE">
        <w:tc>
          <w:tcPr>
            <w:tcW w:w="4556" w:type="dxa"/>
          </w:tcPr>
          <w:p w:rsidR="002C7783" w:rsidRPr="00274507" w:rsidRDefault="002C7783" w:rsidP="00274507">
            <w:pPr>
              <w:shd w:val="clear" w:color="auto" w:fill="FFFFFF"/>
              <w:jc w:val="both"/>
              <w:textAlignment w:val="baseline"/>
              <w:rPr>
                <w:sz w:val="28"/>
                <w:szCs w:val="28"/>
                <w:lang w:val="es-ES"/>
              </w:rPr>
            </w:pPr>
            <w:r w:rsidRPr="00274507">
              <w:rPr>
                <w:sz w:val="28"/>
                <w:szCs w:val="28"/>
                <w:bdr w:val="none" w:sz="0" w:space="0" w:color="auto" w:frame="1"/>
              </w:rPr>
              <w:t xml:space="preserve">¿Desconoce el Estado el derecho a la salud de las personas al permitir que se mantenga la incertidumbre en relación con los servicios incluidos, los no incluidos y los excluidos del plan obligatorio de salud, teniendo en cuenta las controversias que esta incertidumbre produce y su impacto negativo en el acceso oportuno a los servicios de salud? </w:t>
            </w:r>
          </w:p>
        </w:tc>
        <w:tc>
          <w:tcPr>
            <w:tcW w:w="4557" w:type="dxa"/>
          </w:tcPr>
          <w:p w:rsidR="002C7783" w:rsidRPr="00274507" w:rsidRDefault="002C7783" w:rsidP="00274507">
            <w:pPr>
              <w:widowControl w:val="0"/>
              <w:tabs>
                <w:tab w:val="left" w:pos="426"/>
              </w:tabs>
              <w:autoSpaceDE w:val="0"/>
              <w:autoSpaceDN w:val="0"/>
              <w:adjustRightInd w:val="0"/>
              <w:jc w:val="both"/>
              <w:rPr>
                <w:sz w:val="28"/>
                <w:szCs w:val="28"/>
              </w:rPr>
            </w:pPr>
            <w:r w:rsidRPr="00274507">
              <w:rPr>
                <w:sz w:val="28"/>
                <w:szCs w:val="28"/>
              </w:rPr>
              <w:t>% de tutelas debido a incertidumbre en los servicios incluidos en el POS. Propuso la implementación de  medidas para que dichas prestaciones no pueden ser financiadas con cargo a los recursos de salud.</w:t>
            </w:r>
          </w:p>
        </w:tc>
      </w:tr>
      <w:tr w:rsidR="002C7783" w:rsidRPr="00274507" w:rsidTr="005024CE">
        <w:tc>
          <w:tcPr>
            <w:tcW w:w="4556" w:type="dxa"/>
          </w:tcPr>
          <w:p w:rsidR="002C7783" w:rsidRPr="00274507" w:rsidRDefault="002C7783" w:rsidP="00274507">
            <w:pPr>
              <w:shd w:val="clear" w:color="auto" w:fill="FFFFFF"/>
              <w:jc w:val="both"/>
              <w:textAlignment w:val="baseline"/>
              <w:rPr>
                <w:sz w:val="28"/>
                <w:szCs w:val="28"/>
                <w:lang w:val="es-ES"/>
              </w:rPr>
            </w:pPr>
            <w:r w:rsidRPr="00274507">
              <w:rPr>
                <w:sz w:val="28"/>
                <w:szCs w:val="28"/>
                <w:bdr w:val="none" w:sz="0" w:space="0" w:color="auto" w:frame="1"/>
              </w:rPr>
              <w:t>¿Desconoce el Estado el derecho a la salud de las personas, al permitir que la mayoría de las decisiones judiciales que tutelan el acceso a los servicios de salud, tengan que ocuparse de garantizar el acceso a servicios contemplados en los planes obligatorios de salud, ya financiados? </w:t>
            </w:r>
          </w:p>
          <w:p w:rsidR="002C7783" w:rsidRPr="00274507" w:rsidRDefault="002C7783" w:rsidP="00274507">
            <w:pPr>
              <w:widowControl w:val="0"/>
              <w:tabs>
                <w:tab w:val="left" w:pos="426"/>
              </w:tabs>
              <w:autoSpaceDE w:val="0"/>
              <w:autoSpaceDN w:val="0"/>
              <w:adjustRightInd w:val="0"/>
              <w:jc w:val="both"/>
              <w:rPr>
                <w:sz w:val="28"/>
                <w:szCs w:val="28"/>
              </w:rPr>
            </w:pPr>
          </w:p>
        </w:tc>
        <w:tc>
          <w:tcPr>
            <w:tcW w:w="4557" w:type="dxa"/>
          </w:tcPr>
          <w:p w:rsidR="002C7783" w:rsidRPr="00274507" w:rsidRDefault="002C7783" w:rsidP="00274507">
            <w:pPr>
              <w:jc w:val="both"/>
              <w:rPr>
                <w:sz w:val="28"/>
                <w:szCs w:val="28"/>
              </w:rPr>
            </w:pPr>
            <w:r w:rsidRPr="00274507">
              <w:rPr>
                <w:sz w:val="28"/>
                <w:szCs w:val="28"/>
              </w:rPr>
              <w:t>% de tutelas que demandan servicios ya contenidos en el POS. Propusieron que no sean analizadas las acciones incoadas por medicamentos que no cuentan con registro sanitario del INVIMA. </w:t>
            </w:r>
          </w:p>
        </w:tc>
      </w:tr>
      <w:tr w:rsidR="002C7783" w:rsidRPr="00274507" w:rsidTr="005024CE">
        <w:tc>
          <w:tcPr>
            <w:tcW w:w="4556" w:type="dxa"/>
          </w:tcPr>
          <w:p w:rsidR="002C7783" w:rsidRPr="00274507" w:rsidRDefault="002C7783" w:rsidP="00274507">
            <w:pPr>
              <w:widowControl w:val="0"/>
              <w:tabs>
                <w:tab w:val="left" w:pos="426"/>
              </w:tabs>
              <w:autoSpaceDE w:val="0"/>
              <w:autoSpaceDN w:val="0"/>
              <w:adjustRightInd w:val="0"/>
              <w:jc w:val="both"/>
              <w:rPr>
                <w:sz w:val="28"/>
                <w:szCs w:val="28"/>
              </w:rPr>
            </w:pPr>
            <w:r w:rsidRPr="00274507">
              <w:rPr>
                <w:sz w:val="28"/>
                <w:szCs w:val="28"/>
                <w:bdr w:val="none" w:sz="0" w:space="0" w:color="auto" w:frame="1"/>
              </w:rPr>
              <w:t>¿Desconoce el Estado el derecho a la salud de las personas que son beneficiarias del régimen subsidiado, por no haber tomado las medidas para garantizar que puedan acceder a un plan de servicios de salud que no difiera de los contenidos contemplados en el plan obligatorio de salud para el régimen contributivo?</w:t>
            </w:r>
          </w:p>
        </w:tc>
        <w:tc>
          <w:tcPr>
            <w:tcW w:w="4557" w:type="dxa"/>
          </w:tcPr>
          <w:p w:rsidR="002C7783" w:rsidRPr="00274507" w:rsidRDefault="002C7783" w:rsidP="00274507">
            <w:pPr>
              <w:widowControl w:val="0"/>
              <w:tabs>
                <w:tab w:val="left" w:pos="426"/>
              </w:tabs>
              <w:autoSpaceDE w:val="0"/>
              <w:autoSpaceDN w:val="0"/>
              <w:adjustRightInd w:val="0"/>
              <w:jc w:val="both"/>
              <w:rPr>
                <w:sz w:val="28"/>
                <w:szCs w:val="28"/>
              </w:rPr>
            </w:pPr>
            <w:r w:rsidRPr="00274507">
              <w:rPr>
                <w:sz w:val="28"/>
                <w:szCs w:val="28"/>
              </w:rPr>
              <w:t>% de tutelas por diferencias en el POS.</w:t>
            </w:r>
          </w:p>
        </w:tc>
      </w:tr>
      <w:tr w:rsidR="002C7783" w:rsidRPr="00274507" w:rsidTr="005024CE">
        <w:tc>
          <w:tcPr>
            <w:tcW w:w="4556" w:type="dxa"/>
          </w:tcPr>
          <w:p w:rsidR="002C7783" w:rsidRPr="00274507" w:rsidRDefault="002C7783" w:rsidP="00274507">
            <w:pPr>
              <w:shd w:val="clear" w:color="auto" w:fill="FFFFFF"/>
              <w:jc w:val="both"/>
              <w:textAlignment w:val="baseline"/>
              <w:rPr>
                <w:sz w:val="28"/>
                <w:szCs w:val="28"/>
                <w:lang w:val="es-ES"/>
              </w:rPr>
            </w:pPr>
            <w:r w:rsidRPr="00274507">
              <w:rPr>
                <w:sz w:val="28"/>
                <w:szCs w:val="28"/>
                <w:bdr w:val="none" w:sz="0" w:space="0" w:color="auto" w:frame="1"/>
              </w:rPr>
              <w:t xml:space="preserve">¿Desconoce el Estado el derecho a la salud de las personas que requieren con necesidad un servicio de salud, diferente a medicamentos, al no haber fijado y regulado un procedimiento mediante el cual la entidad encargada de garantizar la prestación del servicio garantice el acceso efectivo al mismo? </w:t>
            </w:r>
          </w:p>
          <w:p w:rsidR="002C7783" w:rsidRPr="00274507" w:rsidRDefault="002C7783" w:rsidP="00274507">
            <w:pPr>
              <w:widowControl w:val="0"/>
              <w:tabs>
                <w:tab w:val="left" w:pos="426"/>
              </w:tabs>
              <w:autoSpaceDE w:val="0"/>
              <w:autoSpaceDN w:val="0"/>
              <w:adjustRightInd w:val="0"/>
              <w:jc w:val="both"/>
              <w:rPr>
                <w:sz w:val="28"/>
                <w:szCs w:val="28"/>
              </w:rPr>
            </w:pPr>
          </w:p>
        </w:tc>
        <w:tc>
          <w:tcPr>
            <w:tcW w:w="4557" w:type="dxa"/>
          </w:tcPr>
          <w:p w:rsidR="002C7783" w:rsidRPr="00274507" w:rsidRDefault="002C7783" w:rsidP="00274507">
            <w:pPr>
              <w:widowControl w:val="0"/>
              <w:tabs>
                <w:tab w:val="left" w:pos="426"/>
              </w:tabs>
              <w:autoSpaceDE w:val="0"/>
              <w:autoSpaceDN w:val="0"/>
              <w:adjustRightInd w:val="0"/>
              <w:jc w:val="both"/>
              <w:rPr>
                <w:sz w:val="28"/>
                <w:szCs w:val="28"/>
              </w:rPr>
            </w:pPr>
            <w:r w:rsidRPr="00274507">
              <w:rPr>
                <w:sz w:val="28"/>
                <w:szCs w:val="28"/>
              </w:rPr>
              <w:t>% de tutelas por ausencia de mecanismo y regulación para acceder a servicios de salud. El indicador propuesto no mide fallas de las EPS pero reveló información importante para que el Gobierno adoptara políticas necesarias para garantizar el derecho a la salud de toda la población.</w:t>
            </w:r>
          </w:p>
        </w:tc>
      </w:tr>
    </w:tbl>
    <w:p w:rsidR="002C7783" w:rsidRPr="00274507" w:rsidRDefault="002C7783" w:rsidP="00274507">
      <w:pPr>
        <w:widowControl w:val="0"/>
        <w:tabs>
          <w:tab w:val="left" w:pos="426"/>
        </w:tabs>
        <w:autoSpaceDE w:val="0"/>
        <w:autoSpaceDN w:val="0"/>
        <w:adjustRightInd w:val="0"/>
        <w:jc w:val="both"/>
        <w:rPr>
          <w:sz w:val="28"/>
          <w:szCs w:val="28"/>
        </w:rPr>
      </w:pPr>
    </w:p>
    <w:p w:rsidR="00F04D21" w:rsidRPr="00274507" w:rsidRDefault="00EC311C" w:rsidP="00274507">
      <w:pPr>
        <w:widowControl w:val="0"/>
        <w:tabs>
          <w:tab w:val="left" w:pos="426"/>
        </w:tabs>
        <w:autoSpaceDE w:val="0"/>
        <w:autoSpaceDN w:val="0"/>
        <w:adjustRightInd w:val="0"/>
        <w:jc w:val="both"/>
        <w:rPr>
          <w:sz w:val="28"/>
          <w:szCs w:val="28"/>
        </w:rPr>
      </w:pPr>
      <w:r w:rsidRPr="00274507">
        <w:rPr>
          <w:sz w:val="28"/>
          <w:szCs w:val="28"/>
        </w:rPr>
        <w:t>De igual manera</w:t>
      </w:r>
      <w:r w:rsidR="00833FF8" w:rsidRPr="00274507">
        <w:rPr>
          <w:sz w:val="28"/>
          <w:szCs w:val="28"/>
        </w:rPr>
        <w:t>, la</w:t>
      </w:r>
      <w:r w:rsidRPr="00274507">
        <w:rPr>
          <w:sz w:val="28"/>
          <w:szCs w:val="28"/>
        </w:rPr>
        <w:t xml:space="preserve"> CSR y </w:t>
      </w:r>
      <w:r w:rsidR="00F04D21" w:rsidRPr="00274507">
        <w:rPr>
          <w:sz w:val="28"/>
          <w:szCs w:val="28"/>
        </w:rPr>
        <w:t>Fedesalud presentaron concepto</w:t>
      </w:r>
      <w:r w:rsidR="00F04D21" w:rsidRPr="00274507">
        <w:rPr>
          <w:rStyle w:val="Refdenotaalpie"/>
          <w:sz w:val="28"/>
          <w:szCs w:val="28"/>
        </w:rPr>
        <w:footnoteReference w:id="182"/>
      </w:r>
      <w:r w:rsidR="00833FF8" w:rsidRPr="00274507">
        <w:rPr>
          <w:sz w:val="28"/>
          <w:szCs w:val="28"/>
        </w:rPr>
        <w:t xml:space="preserve"> de forma conjunta, i</w:t>
      </w:r>
      <w:r w:rsidR="00F04D21" w:rsidRPr="00274507">
        <w:rPr>
          <w:sz w:val="28"/>
          <w:szCs w:val="28"/>
        </w:rPr>
        <w:t>ndican</w:t>
      </w:r>
      <w:r w:rsidRPr="00274507">
        <w:rPr>
          <w:sz w:val="28"/>
          <w:szCs w:val="28"/>
        </w:rPr>
        <w:t>do</w:t>
      </w:r>
      <w:r w:rsidR="00F04D21" w:rsidRPr="00274507">
        <w:rPr>
          <w:sz w:val="28"/>
          <w:szCs w:val="28"/>
        </w:rPr>
        <w:t xml:space="preserve"> que en el informe se identificaron las categorías de solicitud</w:t>
      </w:r>
      <w:r w:rsidR="002C7783" w:rsidRPr="00274507">
        <w:rPr>
          <w:sz w:val="28"/>
          <w:szCs w:val="28"/>
        </w:rPr>
        <w:t xml:space="preserve">: i) </w:t>
      </w:r>
      <w:r w:rsidR="00833FF8" w:rsidRPr="00274507">
        <w:rPr>
          <w:sz w:val="28"/>
          <w:szCs w:val="28"/>
        </w:rPr>
        <w:t>p</w:t>
      </w:r>
      <w:r w:rsidR="00F04D21" w:rsidRPr="00274507">
        <w:rPr>
          <w:sz w:val="28"/>
          <w:szCs w:val="28"/>
        </w:rPr>
        <w:t>or tratamiento integral correspondieron al 23% de las tutelas analizad</w:t>
      </w:r>
      <w:r w:rsidR="0056397C" w:rsidRPr="00274507">
        <w:rPr>
          <w:sz w:val="28"/>
          <w:szCs w:val="28"/>
        </w:rPr>
        <w:t>as; ii)</w:t>
      </w:r>
      <w:r w:rsidR="00F04D21" w:rsidRPr="00274507">
        <w:rPr>
          <w:sz w:val="28"/>
          <w:szCs w:val="28"/>
        </w:rPr>
        <w:t xml:space="preserve"> por servicios no contenidos en el POS 28% y </w:t>
      </w:r>
      <w:r w:rsidR="00DB3E15" w:rsidRPr="00274507">
        <w:rPr>
          <w:sz w:val="28"/>
          <w:szCs w:val="28"/>
        </w:rPr>
        <w:t xml:space="preserve">iii) </w:t>
      </w:r>
      <w:r w:rsidR="00F04D21" w:rsidRPr="00274507">
        <w:rPr>
          <w:sz w:val="28"/>
          <w:szCs w:val="28"/>
        </w:rPr>
        <w:t xml:space="preserve">por contenidos en el POS </w:t>
      </w:r>
      <w:r w:rsidR="00DB3E15" w:rsidRPr="00274507">
        <w:rPr>
          <w:sz w:val="28"/>
          <w:szCs w:val="28"/>
        </w:rPr>
        <w:t>42%. Así</w:t>
      </w:r>
      <w:r w:rsidR="00F04D21" w:rsidRPr="00274507">
        <w:rPr>
          <w:sz w:val="28"/>
          <w:szCs w:val="28"/>
        </w:rPr>
        <w:t xml:space="preserve"> mismo, que el problema general que se r</w:t>
      </w:r>
      <w:r w:rsidR="00DB3E15" w:rsidRPr="00274507">
        <w:rPr>
          <w:sz w:val="28"/>
          <w:szCs w:val="28"/>
        </w:rPr>
        <w:t xml:space="preserve">eclamó con mayor frecuencia fue </w:t>
      </w:r>
      <w:r w:rsidR="00F04D21" w:rsidRPr="00274507">
        <w:rPr>
          <w:sz w:val="28"/>
          <w:szCs w:val="28"/>
        </w:rPr>
        <w:t>“…</w:t>
      </w:r>
      <w:r w:rsidR="00F04D21" w:rsidRPr="00274507">
        <w:rPr>
          <w:i/>
          <w:sz w:val="28"/>
          <w:szCs w:val="28"/>
        </w:rPr>
        <w:t>tutelas que demandan servicios No contenidos en el Plan Obligatorio de Salud (51%), seguidos por tutelas que demandan servicios contenidos… (42%)…”</w:t>
      </w:r>
      <w:r w:rsidR="00F04D21" w:rsidRPr="00274507">
        <w:rPr>
          <w:sz w:val="28"/>
          <w:szCs w:val="28"/>
        </w:rPr>
        <w:t>, afirmaciones que se presentaron en el mismo reporte y que generaron dudas en la certeza de los valores allí referenciados.</w:t>
      </w:r>
    </w:p>
    <w:p w:rsidR="00260B8A" w:rsidRPr="00274507" w:rsidRDefault="00260B8A" w:rsidP="00274507">
      <w:pPr>
        <w:tabs>
          <w:tab w:val="left" w:pos="567"/>
        </w:tabs>
        <w:jc w:val="both"/>
        <w:rPr>
          <w:iCs/>
          <w:sz w:val="28"/>
          <w:szCs w:val="28"/>
        </w:rPr>
      </w:pPr>
    </w:p>
    <w:p w:rsidR="00FA168C" w:rsidRPr="00274507" w:rsidRDefault="00EC311C" w:rsidP="00274507">
      <w:pPr>
        <w:jc w:val="both"/>
        <w:rPr>
          <w:sz w:val="28"/>
          <w:szCs w:val="28"/>
        </w:rPr>
      </w:pPr>
      <w:r w:rsidRPr="00274507">
        <w:rPr>
          <w:sz w:val="28"/>
          <w:szCs w:val="28"/>
        </w:rPr>
        <w:t xml:space="preserve">Por otra parte, el proyecto </w:t>
      </w:r>
      <w:r w:rsidR="00FA168C" w:rsidRPr="00274507">
        <w:rPr>
          <w:sz w:val="28"/>
          <w:szCs w:val="28"/>
        </w:rPr>
        <w:t>“</w:t>
      </w:r>
      <w:r w:rsidR="00FA168C" w:rsidRPr="00274507">
        <w:rPr>
          <w:i/>
          <w:sz w:val="28"/>
          <w:szCs w:val="28"/>
        </w:rPr>
        <w:t>Así Vamos en Salud</w:t>
      </w:r>
      <w:r w:rsidR="00FA168C" w:rsidRPr="00274507">
        <w:rPr>
          <w:sz w:val="28"/>
          <w:szCs w:val="28"/>
        </w:rPr>
        <w:t>”</w:t>
      </w:r>
      <w:r w:rsidR="00FA168C" w:rsidRPr="00274507">
        <w:rPr>
          <w:rStyle w:val="Refdenotaalpie"/>
          <w:sz w:val="28"/>
          <w:szCs w:val="28"/>
        </w:rPr>
        <w:footnoteReference w:id="183"/>
      </w:r>
      <w:r w:rsidRPr="00274507">
        <w:rPr>
          <w:sz w:val="28"/>
          <w:szCs w:val="28"/>
        </w:rPr>
        <w:t xml:space="preserve"> indicó que</w:t>
      </w:r>
      <w:r w:rsidR="004C78CB" w:rsidRPr="00274507">
        <w:rPr>
          <w:sz w:val="28"/>
          <w:szCs w:val="28"/>
        </w:rPr>
        <w:t xml:space="preserve"> en el quinto informe se realizó</w:t>
      </w:r>
      <w:r w:rsidRPr="00274507">
        <w:rPr>
          <w:sz w:val="28"/>
          <w:szCs w:val="28"/>
        </w:rPr>
        <w:t xml:space="preserve"> una descripción de los problemas jurídicos y a futuro podrá contribuir con el análisis respectivo al aumento o disminución de las acciones de tutela.</w:t>
      </w:r>
    </w:p>
    <w:p w:rsidR="00833FF8" w:rsidRPr="00274507" w:rsidRDefault="00833FF8" w:rsidP="00274507">
      <w:pPr>
        <w:tabs>
          <w:tab w:val="left" w:pos="567"/>
        </w:tabs>
        <w:jc w:val="both"/>
        <w:rPr>
          <w:sz w:val="28"/>
          <w:szCs w:val="28"/>
        </w:rPr>
      </w:pPr>
    </w:p>
    <w:p w:rsidR="00E605A0" w:rsidRPr="00274507" w:rsidRDefault="00EC311C" w:rsidP="00274507">
      <w:pPr>
        <w:tabs>
          <w:tab w:val="left" w:pos="567"/>
        </w:tabs>
        <w:jc w:val="both"/>
        <w:rPr>
          <w:iCs/>
          <w:sz w:val="28"/>
          <w:szCs w:val="28"/>
        </w:rPr>
      </w:pPr>
      <w:r w:rsidRPr="00274507">
        <w:rPr>
          <w:sz w:val="28"/>
          <w:szCs w:val="28"/>
        </w:rPr>
        <w:t>Teniendo en cuenta lo anterior, e</w:t>
      </w:r>
      <w:r w:rsidR="00E605A0" w:rsidRPr="00274507">
        <w:rPr>
          <w:iCs/>
          <w:sz w:val="28"/>
          <w:szCs w:val="28"/>
        </w:rPr>
        <w:t>sta Sala con</w:t>
      </w:r>
      <w:r w:rsidR="00833FF8" w:rsidRPr="00274507">
        <w:rPr>
          <w:iCs/>
          <w:sz w:val="28"/>
          <w:szCs w:val="28"/>
        </w:rPr>
        <w:t>sidera que en el quinto informe</w:t>
      </w:r>
      <w:r w:rsidR="00E605A0" w:rsidRPr="00274507">
        <w:rPr>
          <w:iCs/>
          <w:sz w:val="28"/>
          <w:szCs w:val="28"/>
        </w:rPr>
        <w:t xml:space="preserve"> se evidenció un avance ya que </w:t>
      </w:r>
      <w:r w:rsidR="00833FF8" w:rsidRPr="00274507">
        <w:rPr>
          <w:iCs/>
          <w:sz w:val="28"/>
          <w:szCs w:val="28"/>
        </w:rPr>
        <w:t>el cambio de fuente de información y de la metodología de selección de la muestra se amplió la información de cada tutela incoada por el derecho a la salud a nivel nacional</w:t>
      </w:r>
      <w:r w:rsidR="00DB3E15" w:rsidRPr="00274507">
        <w:rPr>
          <w:iCs/>
          <w:sz w:val="28"/>
          <w:szCs w:val="28"/>
        </w:rPr>
        <w:t xml:space="preserve">; </w:t>
      </w:r>
      <w:r w:rsidR="00833FF8" w:rsidRPr="00274507">
        <w:rPr>
          <w:iCs/>
          <w:sz w:val="28"/>
          <w:szCs w:val="28"/>
        </w:rPr>
        <w:t>sin embargo, para esa fecha, los resultados fueron presentados cuánticamente de forma parcial y no detallada sobre la caracterización de las tutelas, las principales causas y la medida desde los problemas jurídicos</w:t>
      </w:r>
      <w:r w:rsidR="009E1A6E" w:rsidRPr="00274507">
        <w:rPr>
          <w:iCs/>
          <w:sz w:val="28"/>
          <w:szCs w:val="28"/>
        </w:rPr>
        <w:t>.</w:t>
      </w:r>
    </w:p>
    <w:p w:rsidR="00B170D2" w:rsidRPr="00274507" w:rsidRDefault="00B170D2" w:rsidP="00274507">
      <w:pPr>
        <w:tabs>
          <w:tab w:val="left" w:pos="567"/>
        </w:tabs>
        <w:jc w:val="both"/>
        <w:rPr>
          <w:iCs/>
          <w:sz w:val="28"/>
          <w:szCs w:val="28"/>
        </w:rPr>
      </w:pPr>
    </w:p>
    <w:p w:rsidR="00B170D2" w:rsidRPr="00274507" w:rsidRDefault="00D05C0C" w:rsidP="00274507">
      <w:pPr>
        <w:tabs>
          <w:tab w:val="left" w:pos="567"/>
        </w:tabs>
        <w:jc w:val="both"/>
        <w:rPr>
          <w:iCs/>
          <w:sz w:val="28"/>
          <w:szCs w:val="28"/>
        </w:rPr>
      </w:pPr>
      <w:r w:rsidRPr="00274507">
        <w:rPr>
          <w:b/>
          <w:iCs/>
          <w:sz w:val="28"/>
          <w:szCs w:val="28"/>
        </w:rPr>
        <w:t>7</w:t>
      </w:r>
      <w:r w:rsidR="00833FF8" w:rsidRPr="00274507">
        <w:rPr>
          <w:b/>
          <w:iCs/>
          <w:sz w:val="28"/>
          <w:szCs w:val="28"/>
        </w:rPr>
        <w:t>.3.2.</w:t>
      </w:r>
      <w:r w:rsidR="00990613" w:rsidRPr="00274507">
        <w:rPr>
          <w:iCs/>
          <w:sz w:val="28"/>
          <w:szCs w:val="28"/>
        </w:rPr>
        <w:t xml:space="preserve"> </w:t>
      </w:r>
      <w:r w:rsidR="000A3C2F" w:rsidRPr="00274507">
        <w:rPr>
          <w:iCs/>
          <w:sz w:val="28"/>
          <w:szCs w:val="28"/>
        </w:rPr>
        <w:t>De los informes séptimo y octavo se destaca lo siguiente:</w:t>
      </w:r>
    </w:p>
    <w:p w:rsidR="00B170D2" w:rsidRPr="00274507" w:rsidRDefault="00B170D2" w:rsidP="00274507">
      <w:pPr>
        <w:tabs>
          <w:tab w:val="left" w:pos="567"/>
        </w:tabs>
        <w:jc w:val="both"/>
        <w:rPr>
          <w:iCs/>
          <w:sz w:val="28"/>
          <w:szCs w:val="28"/>
        </w:rPr>
      </w:pPr>
    </w:p>
    <w:tbl>
      <w:tblPr>
        <w:tblStyle w:val="Tablaconcuadrcula"/>
        <w:tblW w:w="0" w:type="auto"/>
        <w:tblLook w:val="04A0" w:firstRow="1" w:lastRow="0" w:firstColumn="1" w:lastColumn="0" w:noHBand="0" w:noVBand="1"/>
      </w:tblPr>
      <w:tblGrid>
        <w:gridCol w:w="2830"/>
        <w:gridCol w:w="3231"/>
        <w:gridCol w:w="3052"/>
      </w:tblGrid>
      <w:tr w:rsidR="001A494D" w:rsidRPr="00274507" w:rsidTr="000A3C2F">
        <w:tc>
          <w:tcPr>
            <w:tcW w:w="2830" w:type="dxa"/>
          </w:tcPr>
          <w:p w:rsidR="001A494D" w:rsidRPr="00274507" w:rsidRDefault="001A494D" w:rsidP="00274507">
            <w:pPr>
              <w:jc w:val="center"/>
              <w:rPr>
                <w:b/>
                <w:sz w:val="28"/>
                <w:szCs w:val="28"/>
              </w:rPr>
            </w:pPr>
            <w:r w:rsidRPr="00274507">
              <w:rPr>
                <w:b/>
                <w:sz w:val="28"/>
                <w:szCs w:val="28"/>
              </w:rPr>
              <w:t>Problemas Jurídicos</w:t>
            </w:r>
          </w:p>
        </w:tc>
        <w:tc>
          <w:tcPr>
            <w:tcW w:w="3231" w:type="dxa"/>
          </w:tcPr>
          <w:p w:rsidR="001A494D" w:rsidRPr="00274507" w:rsidRDefault="000A3C2F" w:rsidP="00274507">
            <w:pPr>
              <w:jc w:val="center"/>
              <w:rPr>
                <w:b/>
                <w:sz w:val="28"/>
                <w:szCs w:val="28"/>
              </w:rPr>
            </w:pPr>
            <w:r w:rsidRPr="00274507">
              <w:rPr>
                <w:b/>
                <w:sz w:val="28"/>
                <w:szCs w:val="28"/>
              </w:rPr>
              <w:t>Séptimo Informe</w:t>
            </w:r>
          </w:p>
        </w:tc>
        <w:tc>
          <w:tcPr>
            <w:tcW w:w="3052" w:type="dxa"/>
          </w:tcPr>
          <w:p w:rsidR="001A494D" w:rsidRPr="00274507" w:rsidRDefault="000A3C2F" w:rsidP="00274507">
            <w:pPr>
              <w:jc w:val="center"/>
              <w:rPr>
                <w:b/>
                <w:sz w:val="28"/>
                <w:szCs w:val="28"/>
              </w:rPr>
            </w:pPr>
            <w:r w:rsidRPr="00274507">
              <w:rPr>
                <w:b/>
                <w:sz w:val="28"/>
                <w:szCs w:val="28"/>
              </w:rPr>
              <w:t>Octavo informe</w:t>
            </w:r>
          </w:p>
        </w:tc>
      </w:tr>
      <w:tr w:rsidR="001A494D" w:rsidRPr="00274507" w:rsidTr="000A3C2F">
        <w:tc>
          <w:tcPr>
            <w:tcW w:w="2830" w:type="dxa"/>
          </w:tcPr>
          <w:p w:rsidR="001A494D" w:rsidRPr="00274507" w:rsidRDefault="001B72C8" w:rsidP="00274507">
            <w:pPr>
              <w:jc w:val="both"/>
              <w:rPr>
                <w:sz w:val="28"/>
                <w:szCs w:val="28"/>
              </w:rPr>
            </w:pPr>
            <w:r w:rsidRPr="00274507">
              <w:rPr>
                <w:sz w:val="28"/>
                <w:szCs w:val="28"/>
              </w:rPr>
              <w:t xml:space="preserve">1. </w:t>
            </w:r>
            <w:r w:rsidR="001A494D" w:rsidRPr="00274507">
              <w:rPr>
                <w:sz w:val="28"/>
                <w:szCs w:val="28"/>
              </w:rPr>
              <w:t>Se niegan a autorizar oportunamente servic</w:t>
            </w:r>
            <w:r w:rsidR="00E8750E" w:rsidRPr="00274507">
              <w:rPr>
                <w:sz w:val="28"/>
                <w:szCs w:val="28"/>
              </w:rPr>
              <w:t>ios de salud incluidos en el POS</w:t>
            </w:r>
            <w:r w:rsidRPr="00274507">
              <w:rPr>
                <w:sz w:val="28"/>
                <w:szCs w:val="28"/>
              </w:rPr>
              <w:t>.</w:t>
            </w:r>
          </w:p>
        </w:tc>
        <w:tc>
          <w:tcPr>
            <w:tcW w:w="3231" w:type="dxa"/>
          </w:tcPr>
          <w:p w:rsidR="001A494D" w:rsidRPr="00274507" w:rsidRDefault="001A494D" w:rsidP="00274507">
            <w:pPr>
              <w:tabs>
                <w:tab w:val="left" w:pos="567"/>
              </w:tabs>
              <w:jc w:val="both"/>
              <w:rPr>
                <w:iCs/>
                <w:sz w:val="28"/>
                <w:szCs w:val="28"/>
              </w:rPr>
            </w:pPr>
            <w:r w:rsidRPr="00274507">
              <w:rPr>
                <w:iCs/>
                <w:sz w:val="28"/>
                <w:szCs w:val="28"/>
              </w:rPr>
              <w:t>Representaron el 60%  (749 tutelas) de los casos analizados, por lo que es la segunda causa por la cual se presentan tutelas.</w:t>
            </w:r>
          </w:p>
          <w:p w:rsidR="001A494D" w:rsidRPr="00274507" w:rsidRDefault="00720375" w:rsidP="00274507">
            <w:pPr>
              <w:tabs>
                <w:tab w:val="left" w:pos="567"/>
              </w:tabs>
              <w:jc w:val="both"/>
              <w:rPr>
                <w:iCs/>
                <w:sz w:val="28"/>
                <w:szCs w:val="28"/>
              </w:rPr>
            </w:pPr>
            <w:r w:rsidRPr="00274507">
              <w:rPr>
                <w:iCs/>
                <w:sz w:val="28"/>
                <w:szCs w:val="28"/>
              </w:rPr>
              <w:t>42% (316</w:t>
            </w:r>
            <w:r w:rsidR="001A494D" w:rsidRPr="00274507">
              <w:rPr>
                <w:iCs/>
                <w:sz w:val="28"/>
                <w:szCs w:val="28"/>
              </w:rPr>
              <w:t>) régimen contributivo.</w:t>
            </w:r>
          </w:p>
          <w:p w:rsidR="001A494D" w:rsidRPr="00274507" w:rsidRDefault="00C03CEE" w:rsidP="00274507">
            <w:pPr>
              <w:tabs>
                <w:tab w:val="left" w:pos="567"/>
              </w:tabs>
              <w:jc w:val="both"/>
              <w:rPr>
                <w:iCs/>
                <w:sz w:val="28"/>
                <w:szCs w:val="28"/>
              </w:rPr>
            </w:pPr>
            <w:r w:rsidRPr="00274507">
              <w:rPr>
                <w:iCs/>
                <w:sz w:val="28"/>
                <w:szCs w:val="28"/>
              </w:rPr>
              <w:t>38% (283</w:t>
            </w:r>
            <w:r w:rsidR="001A494D" w:rsidRPr="00274507">
              <w:rPr>
                <w:iCs/>
                <w:sz w:val="28"/>
                <w:szCs w:val="28"/>
              </w:rPr>
              <w:t>) régimen subsidiado.</w:t>
            </w:r>
          </w:p>
          <w:p w:rsidR="001A494D" w:rsidRPr="00274507" w:rsidRDefault="001A494D" w:rsidP="00274507">
            <w:pPr>
              <w:tabs>
                <w:tab w:val="left" w:pos="567"/>
              </w:tabs>
              <w:jc w:val="both"/>
              <w:rPr>
                <w:iCs/>
                <w:sz w:val="28"/>
                <w:szCs w:val="28"/>
              </w:rPr>
            </w:pPr>
            <w:r w:rsidRPr="00274507">
              <w:rPr>
                <w:iCs/>
                <w:sz w:val="28"/>
                <w:szCs w:val="28"/>
              </w:rPr>
              <w:t>20% (149) no se encontró.</w:t>
            </w:r>
          </w:p>
          <w:p w:rsidR="001A494D" w:rsidRPr="00274507" w:rsidRDefault="001A494D" w:rsidP="00274507">
            <w:pPr>
              <w:tabs>
                <w:tab w:val="left" w:pos="567"/>
              </w:tabs>
              <w:jc w:val="both"/>
              <w:rPr>
                <w:iCs/>
                <w:sz w:val="28"/>
                <w:szCs w:val="28"/>
              </w:rPr>
            </w:pPr>
          </w:p>
          <w:p w:rsidR="001A494D" w:rsidRPr="00274507" w:rsidRDefault="001A494D" w:rsidP="00274507">
            <w:pPr>
              <w:tabs>
                <w:tab w:val="left" w:pos="567"/>
              </w:tabs>
              <w:jc w:val="both"/>
              <w:rPr>
                <w:iCs/>
                <w:sz w:val="28"/>
                <w:szCs w:val="28"/>
              </w:rPr>
            </w:pPr>
            <w:r w:rsidRPr="00274507">
              <w:rPr>
                <w:iCs/>
                <w:sz w:val="28"/>
                <w:szCs w:val="28"/>
              </w:rPr>
              <w:t>No fue posible determinar sí la demora está asociada a la autorización, porque en algunos expedientes no se encuentra soporte físico ni manifestación alguna.</w:t>
            </w:r>
          </w:p>
          <w:p w:rsidR="001A494D" w:rsidRPr="00274507" w:rsidRDefault="001A494D" w:rsidP="00274507">
            <w:pPr>
              <w:jc w:val="both"/>
              <w:rPr>
                <w:sz w:val="28"/>
                <w:szCs w:val="28"/>
              </w:rPr>
            </w:pPr>
            <w:r w:rsidRPr="00274507">
              <w:rPr>
                <w:iCs/>
                <w:sz w:val="28"/>
                <w:szCs w:val="28"/>
              </w:rPr>
              <w:t>Advirtió que para precisar este problema jurídico debería consultar fuentes adicionales a las acciones de tutela, para  contar con información diferente al expediente.</w:t>
            </w:r>
          </w:p>
        </w:tc>
        <w:tc>
          <w:tcPr>
            <w:tcW w:w="3052" w:type="dxa"/>
          </w:tcPr>
          <w:p w:rsidR="001A494D" w:rsidRPr="00274507" w:rsidRDefault="001A494D" w:rsidP="00274507">
            <w:pPr>
              <w:jc w:val="both"/>
              <w:rPr>
                <w:sz w:val="28"/>
                <w:szCs w:val="28"/>
              </w:rPr>
            </w:pPr>
            <w:r w:rsidRPr="00274507">
              <w:rPr>
                <w:sz w:val="28"/>
                <w:szCs w:val="28"/>
              </w:rPr>
              <w:t>Se identificaron 2.290 casos que equivalen al 27% del total de los datos analizados.</w:t>
            </w:r>
          </w:p>
          <w:p w:rsidR="001A494D" w:rsidRPr="00274507" w:rsidRDefault="001A494D" w:rsidP="00274507">
            <w:pPr>
              <w:jc w:val="both"/>
              <w:rPr>
                <w:sz w:val="28"/>
                <w:szCs w:val="28"/>
              </w:rPr>
            </w:pPr>
            <w:r w:rsidRPr="00274507">
              <w:rPr>
                <w:sz w:val="28"/>
                <w:szCs w:val="28"/>
              </w:rPr>
              <w:t>Advirtió que no fue posible determinar si la demora está relacionada con la autorización, advirtiendo que el tramitar de las EPS realiza la solicitud sin que intermedie el afiliado, por lo que obtiene la información de lo manifestado en el escrito</w:t>
            </w:r>
            <w:r w:rsidR="00E10EB4" w:rsidRPr="00274507">
              <w:rPr>
                <w:sz w:val="28"/>
                <w:szCs w:val="28"/>
              </w:rPr>
              <w:t xml:space="preserve"> de tutela o en la contestación</w:t>
            </w:r>
            <w:r w:rsidRPr="00274507">
              <w:rPr>
                <w:sz w:val="28"/>
                <w:szCs w:val="28"/>
              </w:rPr>
              <w:t>, empero, en muchos casos, no se describe la misma.</w:t>
            </w:r>
          </w:p>
          <w:p w:rsidR="001A494D" w:rsidRPr="00274507" w:rsidRDefault="001A494D" w:rsidP="00274507">
            <w:pPr>
              <w:jc w:val="both"/>
              <w:rPr>
                <w:sz w:val="28"/>
                <w:szCs w:val="28"/>
              </w:rPr>
            </w:pPr>
            <w:r w:rsidRPr="00274507">
              <w:rPr>
                <w:sz w:val="28"/>
                <w:szCs w:val="28"/>
              </w:rPr>
              <w:t>i) La EPS Saludcoop es la que presenta mayor demora en el suministro de servicio POS, con 317 casos de los que 197 son por citas médicas. ii) 261 Nueva EPS; iii) 298 Caprecom y iv) 317 Saludcoop.</w:t>
            </w: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2.</w:t>
            </w:r>
            <w:r w:rsidR="001B72C8" w:rsidRPr="00274507">
              <w:rPr>
                <w:sz w:val="28"/>
                <w:szCs w:val="28"/>
              </w:rPr>
              <w:t xml:space="preserve"> </w:t>
            </w:r>
            <w:r w:rsidRPr="00274507">
              <w:rPr>
                <w:sz w:val="28"/>
                <w:szCs w:val="28"/>
              </w:rPr>
              <w:t>Se niegan a autorizar oportunamente servicios de salud excluidos del Pos que se requieren con necesidad y que no pueden ser costeados por el interesado, bien sea porque su costo le resulta impagable dado su nivel de ingreso o porque le impone una carga desproporcionada</w:t>
            </w:r>
          </w:p>
        </w:tc>
        <w:tc>
          <w:tcPr>
            <w:tcW w:w="3231" w:type="dxa"/>
          </w:tcPr>
          <w:p w:rsidR="001A494D" w:rsidRPr="00274507" w:rsidRDefault="001A494D" w:rsidP="00274507">
            <w:pPr>
              <w:tabs>
                <w:tab w:val="left" w:pos="567"/>
              </w:tabs>
              <w:jc w:val="both"/>
              <w:rPr>
                <w:iCs/>
                <w:sz w:val="28"/>
                <w:szCs w:val="28"/>
              </w:rPr>
            </w:pPr>
            <w:r w:rsidRPr="00274507">
              <w:rPr>
                <w:iCs/>
                <w:sz w:val="28"/>
                <w:szCs w:val="28"/>
              </w:rPr>
              <w:t>Para desarrollar este problema debe</w:t>
            </w:r>
            <w:r w:rsidR="001B72C8" w:rsidRPr="00274507">
              <w:rPr>
                <w:iCs/>
                <w:sz w:val="28"/>
                <w:szCs w:val="28"/>
              </w:rPr>
              <w:t>ría tenerse en cuenta:</w:t>
            </w:r>
          </w:p>
          <w:p w:rsidR="001A494D" w:rsidRPr="00274507" w:rsidRDefault="001A494D" w:rsidP="00274507">
            <w:pPr>
              <w:tabs>
                <w:tab w:val="left" w:pos="567"/>
              </w:tabs>
              <w:jc w:val="both"/>
              <w:rPr>
                <w:iCs/>
                <w:sz w:val="28"/>
                <w:szCs w:val="28"/>
              </w:rPr>
            </w:pPr>
            <w:r w:rsidRPr="00274507">
              <w:rPr>
                <w:iCs/>
                <w:sz w:val="28"/>
                <w:szCs w:val="28"/>
              </w:rPr>
              <w:t>i) Inoportunidad. No existe en muchos casos el soporte físico que permita identificar que el servicio es no POS.</w:t>
            </w:r>
          </w:p>
          <w:p w:rsidR="001A494D" w:rsidRPr="00274507" w:rsidRDefault="001A494D" w:rsidP="00274507">
            <w:pPr>
              <w:tabs>
                <w:tab w:val="left" w:pos="567"/>
              </w:tabs>
              <w:jc w:val="both"/>
              <w:rPr>
                <w:iCs/>
                <w:sz w:val="28"/>
                <w:szCs w:val="28"/>
              </w:rPr>
            </w:pPr>
            <w:r w:rsidRPr="00274507">
              <w:rPr>
                <w:iCs/>
                <w:sz w:val="28"/>
                <w:szCs w:val="28"/>
              </w:rPr>
              <w:t>ii) Incapacidad del interesado para costearlo. Se intentó realizar una aproximación del ingreso base de liquidación que solo se puedo efectuar en 653 casos (32%), por lo que no fue posible identificar que los servicios pueden o no ser asumidos por los usuarios.</w:t>
            </w:r>
          </w:p>
          <w:p w:rsidR="001A494D" w:rsidRPr="00274507" w:rsidRDefault="001A494D" w:rsidP="00274507">
            <w:pPr>
              <w:tabs>
                <w:tab w:val="left" w:pos="567"/>
              </w:tabs>
              <w:jc w:val="both"/>
              <w:rPr>
                <w:iCs/>
                <w:sz w:val="28"/>
                <w:szCs w:val="28"/>
              </w:rPr>
            </w:pPr>
            <w:r w:rsidRPr="00274507">
              <w:rPr>
                <w:iCs/>
                <w:sz w:val="28"/>
                <w:szCs w:val="28"/>
              </w:rPr>
              <w:t>iii) Carácter de necesidad. Existen servicios que no pueden ser aprobados por el Comité.</w:t>
            </w:r>
          </w:p>
          <w:p w:rsidR="001A494D" w:rsidRPr="00274507" w:rsidRDefault="001A494D" w:rsidP="00274507">
            <w:pPr>
              <w:tabs>
                <w:tab w:val="left" w:pos="567"/>
              </w:tabs>
              <w:jc w:val="both"/>
              <w:rPr>
                <w:iCs/>
                <w:sz w:val="28"/>
                <w:szCs w:val="28"/>
              </w:rPr>
            </w:pPr>
            <w:r w:rsidRPr="00274507">
              <w:rPr>
                <w:iCs/>
                <w:sz w:val="28"/>
                <w:szCs w:val="28"/>
              </w:rPr>
              <w:t>Existe escasa evidencia en los expedientes analizados y que confluyan los tres elementos para ser analizados en esta categoría.</w:t>
            </w:r>
          </w:p>
          <w:p w:rsidR="001A494D" w:rsidRPr="00274507" w:rsidRDefault="001A494D" w:rsidP="00274507">
            <w:pPr>
              <w:tabs>
                <w:tab w:val="left" w:pos="567"/>
              </w:tabs>
              <w:jc w:val="both"/>
              <w:rPr>
                <w:iCs/>
                <w:sz w:val="28"/>
                <w:szCs w:val="28"/>
              </w:rPr>
            </w:pPr>
          </w:p>
          <w:p w:rsidR="001A494D" w:rsidRPr="00274507" w:rsidRDefault="001B72C8" w:rsidP="00274507">
            <w:pPr>
              <w:tabs>
                <w:tab w:val="left" w:pos="567"/>
              </w:tabs>
              <w:jc w:val="both"/>
              <w:rPr>
                <w:iCs/>
                <w:sz w:val="28"/>
                <w:szCs w:val="28"/>
              </w:rPr>
            </w:pPr>
            <w:r w:rsidRPr="00274507">
              <w:rPr>
                <w:iCs/>
                <w:sz w:val="28"/>
                <w:szCs w:val="28"/>
              </w:rPr>
              <w:t>Detectaron 975 casos</w:t>
            </w:r>
          </w:p>
        </w:tc>
        <w:tc>
          <w:tcPr>
            <w:tcW w:w="3052" w:type="dxa"/>
          </w:tcPr>
          <w:p w:rsidR="001A494D" w:rsidRPr="00274507" w:rsidRDefault="001A494D" w:rsidP="00274507">
            <w:pPr>
              <w:jc w:val="both"/>
              <w:rPr>
                <w:sz w:val="28"/>
                <w:szCs w:val="28"/>
              </w:rPr>
            </w:pPr>
            <w:r w:rsidRPr="00274507">
              <w:rPr>
                <w:sz w:val="28"/>
                <w:szCs w:val="28"/>
              </w:rPr>
              <w:t>Con la información obtenida no es posible determinar: i) oportunidad del servicio (soporte físico de la prescripción no POS); ii) si los servicios pueden ser asumidos por el demandante y iii); la existencia de los servicios excluidos del POS que no pueden ser aprobados por el Comité Técnico Científico, tales como tecnologías en salud que utilicen fines educativos, instructivos y demás que no correspondan al ámbito de salud.</w:t>
            </w:r>
          </w:p>
          <w:p w:rsidR="001A494D" w:rsidRPr="00274507" w:rsidRDefault="001A494D" w:rsidP="00274507">
            <w:pPr>
              <w:jc w:val="both"/>
              <w:rPr>
                <w:sz w:val="28"/>
                <w:szCs w:val="28"/>
              </w:rPr>
            </w:pPr>
            <w:r w:rsidRPr="00274507">
              <w:rPr>
                <w:sz w:val="28"/>
                <w:szCs w:val="28"/>
              </w:rPr>
              <w:t>Obtuvo 2.804 (incluy</w:t>
            </w:r>
            <w:r w:rsidR="00A613D7" w:rsidRPr="00274507">
              <w:rPr>
                <w:sz w:val="28"/>
                <w:szCs w:val="28"/>
              </w:rPr>
              <w:t>ó</w:t>
            </w:r>
            <w:r w:rsidRPr="00274507">
              <w:rPr>
                <w:sz w:val="28"/>
                <w:szCs w:val="28"/>
              </w:rPr>
              <w:t xml:space="preserve"> viáticos).</w:t>
            </w:r>
          </w:p>
          <w:p w:rsidR="001A494D" w:rsidRPr="00274507" w:rsidRDefault="001A494D" w:rsidP="00274507">
            <w:pPr>
              <w:jc w:val="both"/>
              <w:rPr>
                <w:sz w:val="28"/>
                <w:szCs w:val="28"/>
              </w:rPr>
            </w:pPr>
            <w:r w:rsidRPr="00274507">
              <w:rPr>
                <w:sz w:val="28"/>
                <w:szCs w:val="28"/>
              </w:rPr>
              <w:t>431 Nueva EPS.</w:t>
            </w:r>
          </w:p>
          <w:p w:rsidR="001A494D" w:rsidRPr="00274507" w:rsidRDefault="001A494D" w:rsidP="00274507">
            <w:pPr>
              <w:jc w:val="both"/>
              <w:rPr>
                <w:sz w:val="28"/>
                <w:szCs w:val="28"/>
              </w:rPr>
            </w:pPr>
            <w:r w:rsidRPr="00274507">
              <w:rPr>
                <w:sz w:val="28"/>
                <w:szCs w:val="28"/>
              </w:rPr>
              <w:t>320 Saludcoop EPS.</w:t>
            </w:r>
          </w:p>
          <w:p w:rsidR="001A494D" w:rsidRPr="00274507" w:rsidRDefault="001A494D" w:rsidP="00274507">
            <w:pPr>
              <w:jc w:val="both"/>
              <w:rPr>
                <w:sz w:val="28"/>
                <w:szCs w:val="28"/>
              </w:rPr>
            </w:pPr>
            <w:r w:rsidRPr="00274507">
              <w:rPr>
                <w:sz w:val="28"/>
                <w:szCs w:val="28"/>
              </w:rPr>
              <w:t>266 Coomeva.</w:t>
            </w:r>
          </w:p>
          <w:p w:rsidR="001A494D" w:rsidRPr="00274507" w:rsidRDefault="001A494D" w:rsidP="00274507">
            <w:pPr>
              <w:jc w:val="both"/>
              <w:rPr>
                <w:sz w:val="28"/>
                <w:szCs w:val="28"/>
              </w:rPr>
            </w:pPr>
            <w:r w:rsidRPr="00274507">
              <w:rPr>
                <w:sz w:val="28"/>
                <w:szCs w:val="28"/>
              </w:rPr>
              <w:t>187 Caprecom.</w:t>
            </w:r>
          </w:p>
        </w:tc>
      </w:tr>
      <w:tr w:rsidR="001A494D" w:rsidRPr="00274507" w:rsidTr="000A3C2F">
        <w:tc>
          <w:tcPr>
            <w:tcW w:w="2830" w:type="dxa"/>
          </w:tcPr>
          <w:p w:rsidR="001A494D" w:rsidRPr="00274507" w:rsidRDefault="00A56B56" w:rsidP="00274507">
            <w:pPr>
              <w:jc w:val="both"/>
              <w:rPr>
                <w:sz w:val="28"/>
                <w:szCs w:val="28"/>
              </w:rPr>
            </w:pPr>
            <w:r w:rsidRPr="00274507">
              <w:rPr>
                <w:sz w:val="28"/>
                <w:szCs w:val="28"/>
              </w:rPr>
              <w:t xml:space="preserve">3. </w:t>
            </w:r>
            <w:r w:rsidR="001A494D" w:rsidRPr="00274507">
              <w:rPr>
                <w:sz w:val="28"/>
                <w:szCs w:val="28"/>
              </w:rPr>
              <w:t>Se niegan a autorizar oportunamente servicios de salud con el argumento de que la persona no ha presentado la solicitud respectiva ante el Comité Técnico Científico -CTC-</w:t>
            </w:r>
          </w:p>
        </w:tc>
        <w:tc>
          <w:tcPr>
            <w:tcW w:w="3231" w:type="dxa"/>
          </w:tcPr>
          <w:p w:rsidR="001A494D" w:rsidRPr="00274507" w:rsidRDefault="001A494D" w:rsidP="00274507">
            <w:pPr>
              <w:jc w:val="both"/>
              <w:rPr>
                <w:sz w:val="28"/>
                <w:szCs w:val="28"/>
              </w:rPr>
            </w:pPr>
            <w:r w:rsidRPr="00274507">
              <w:rPr>
                <w:iCs/>
                <w:sz w:val="28"/>
                <w:szCs w:val="28"/>
              </w:rPr>
              <w:t>Precisó que este criterio “</w:t>
            </w:r>
            <w:r w:rsidRPr="00274507">
              <w:rPr>
                <w:i/>
                <w:iCs/>
                <w:sz w:val="28"/>
                <w:szCs w:val="28"/>
              </w:rPr>
              <w:t>tiene limitaciones para su verificación</w:t>
            </w:r>
            <w:r w:rsidRPr="00274507">
              <w:rPr>
                <w:iCs/>
                <w:sz w:val="28"/>
                <w:szCs w:val="28"/>
              </w:rPr>
              <w:t>”.</w:t>
            </w:r>
          </w:p>
        </w:tc>
        <w:tc>
          <w:tcPr>
            <w:tcW w:w="3052" w:type="dxa"/>
          </w:tcPr>
          <w:p w:rsidR="001A494D" w:rsidRPr="00274507" w:rsidRDefault="001A494D" w:rsidP="00274507">
            <w:pPr>
              <w:jc w:val="both"/>
              <w:rPr>
                <w:sz w:val="28"/>
                <w:szCs w:val="28"/>
              </w:rPr>
            </w:pPr>
            <w:r w:rsidRPr="00274507">
              <w:rPr>
                <w:sz w:val="28"/>
                <w:szCs w:val="28"/>
              </w:rPr>
              <w:t>Se enmarca en la categoría de solicitud de servicios de salud ordenado por el médico tratante y negado por ser No Pos, no obra en el expediente soporte de trámite ante el Comité.</w:t>
            </w:r>
          </w:p>
          <w:p w:rsidR="001A494D" w:rsidRPr="00274507" w:rsidRDefault="001A494D" w:rsidP="00274507">
            <w:pPr>
              <w:jc w:val="both"/>
              <w:rPr>
                <w:sz w:val="28"/>
                <w:szCs w:val="28"/>
              </w:rPr>
            </w:pPr>
            <w:r w:rsidRPr="00274507">
              <w:rPr>
                <w:sz w:val="28"/>
                <w:szCs w:val="28"/>
              </w:rPr>
              <w:t>Analizó 1.361 tutelas.</w:t>
            </w:r>
          </w:p>
          <w:p w:rsidR="001A494D" w:rsidRPr="00274507" w:rsidRDefault="001A494D" w:rsidP="00274507">
            <w:pPr>
              <w:jc w:val="both"/>
              <w:rPr>
                <w:sz w:val="28"/>
                <w:szCs w:val="28"/>
              </w:rPr>
            </w:pPr>
            <w:r w:rsidRPr="00274507">
              <w:rPr>
                <w:sz w:val="28"/>
                <w:szCs w:val="28"/>
              </w:rPr>
              <w:t>227 Nueva EPS.</w:t>
            </w:r>
          </w:p>
          <w:p w:rsidR="001A494D" w:rsidRPr="00274507" w:rsidRDefault="001A494D" w:rsidP="00274507">
            <w:pPr>
              <w:jc w:val="both"/>
              <w:rPr>
                <w:sz w:val="28"/>
                <w:szCs w:val="28"/>
              </w:rPr>
            </w:pPr>
            <w:r w:rsidRPr="00274507">
              <w:rPr>
                <w:sz w:val="28"/>
                <w:szCs w:val="28"/>
              </w:rPr>
              <w:t>138 Saludcoop.</w:t>
            </w:r>
          </w:p>
          <w:p w:rsidR="001A494D" w:rsidRPr="00274507" w:rsidRDefault="001A494D" w:rsidP="00274507">
            <w:pPr>
              <w:jc w:val="both"/>
              <w:rPr>
                <w:sz w:val="28"/>
                <w:szCs w:val="28"/>
              </w:rPr>
            </w:pPr>
            <w:r w:rsidRPr="00274507">
              <w:rPr>
                <w:sz w:val="28"/>
                <w:szCs w:val="28"/>
              </w:rPr>
              <w:t>115 Coomeva.</w:t>
            </w:r>
          </w:p>
          <w:p w:rsidR="001A494D" w:rsidRPr="00274507" w:rsidRDefault="001A494D" w:rsidP="00274507">
            <w:pPr>
              <w:jc w:val="both"/>
              <w:rPr>
                <w:sz w:val="28"/>
                <w:szCs w:val="28"/>
              </w:rPr>
            </w:pPr>
            <w:r w:rsidRPr="00274507">
              <w:rPr>
                <w:sz w:val="28"/>
                <w:szCs w:val="28"/>
              </w:rPr>
              <w:t>89 Alianza Medellín.</w:t>
            </w: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4. Se niegan a autorizar oportunamente servicios de salud con sujeción al principio de integralidad, entendido éste como el no fraccionamiento de las prestaciones que requiera la persona para recuperar su salud.</w:t>
            </w:r>
          </w:p>
        </w:tc>
        <w:tc>
          <w:tcPr>
            <w:tcW w:w="3231" w:type="dxa"/>
          </w:tcPr>
          <w:p w:rsidR="001A494D" w:rsidRPr="00274507" w:rsidRDefault="001A494D" w:rsidP="00274507">
            <w:pPr>
              <w:tabs>
                <w:tab w:val="left" w:pos="567"/>
              </w:tabs>
              <w:jc w:val="both"/>
              <w:rPr>
                <w:iCs/>
                <w:sz w:val="28"/>
                <w:szCs w:val="28"/>
              </w:rPr>
            </w:pPr>
            <w:r w:rsidRPr="00274507">
              <w:rPr>
                <w:iCs/>
                <w:sz w:val="28"/>
                <w:szCs w:val="28"/>
              </w:rPr>
              <w:t>Precisó que se incluyeron todas las acciones que incluían solicitud de atención integral, empero, advirtió que en el fututo será diferenciado el componente del servicio requerido en cada caso.</w:t>
            </w:r>
          </w:p>
          <w:p w:rsidR="001A494D" w:rsidRPr="00274507" w:rsidRDefault="001A494D" w:rsidP="00274507">
            <w:pPr>
              <w:tabs>
                <w:tab w:val="left" w:pos="567"/>
              </w:tabs>
              <w:jc w:val="both"/>
              <w:rPr>
                <w:iCs/>
                <w:sz w:val="28"/>
                <w:szCs w:val="28"/>
              </w:rPr>
            </w:pPr>
          </w:p>
          <w:p w:rsidR="001A494D" w:rsidRPr="00274507" w:rsidRDefault="001A494D" w:rsidP="00274507">
            <w:pPr>
              <w:tabs>
                <w:tab w:val="left" w:pos="567"/>
              </w:tabs>
              <w:jc w:val="both"/>
              <w:rPr>
                <w:iCs/>
                <w:sz w:val="28"/>
                <w:szCs w:val="28"/>
              </w:rPr>
            </w:pPr>
            <w:r w:rsidRPr="00274507">
              <w:rPr>
                <w:iCs/>
                <w:sz w:val="28"/>
                <w:szCs w:val="28"/>
              </w:rPr>
              <w:t>313 expedientes.</w:t>
            </w:r>
          </w:p>
          <w:p w:rsidR="001A494D" w:rsidRPr="00274507" w:rsidRDefault="001A494D" w:rsidP="00274507">
            <w:pPr>
              <w:tabs>
                <w:tab w:val="left" w:pos="567"/>
              </w:tabs>
              <w:jc w:val="both"/>
              <w:rPr>
                <w:iCs/>
                <w:sz w:val="28"/>
                <w:szCs w:val="28"/>
              </w:rPr>
            </w:pPr>
            <w:r w:rsidRPr="00274507">
              <w:rPr>
                <w:iCs/>
                <w:sz w:val="28"/>
                <w:szCs w:val="28"/>
              </w:rPr>
              <w:t>47% (146 acciones) régimen contributivo.</w:t>
            </w:r>
          </w:p>
          <w:p w:rsidR="001A494D" w:rsidRPr="00274507" w:rsidRDefault="001A494D" w:rsidP="00274507">
            <w:pPr>
              <w:tabs>
                <w:tab w:val="left" w:pos="567"/>
              </w:tabs>
              <w:jc w:val="both"/>
              <w:rPr>
                <w:iCs/>
                <w:sz w:val="28"/>
                <w:szCs w:val="28"/>
              </w:rPr>
            </w:pPr>
            <w:r w:rsidRPr="00274507">
              <w:rPr>
                <w:iCs/>
                <w:sz w:val="28"/>
                <w:szCs w:val="28"/>
              </w:rPr>
              <w:t>39% (121 tutelas) régimen subsidiado.</w:t>
            </w:r>
          </w:p>
          <w:p w:rsidR="001A494D" w:rsidRPr="00274507" w:rsidRDefault="001A494D" w:rsidP="00274507">
            <w:pPr>
              <w:jc w:val="both"/>
              <w:rPr>
                <w:sz w:val="28"/>
                <w:szCs w:val="28"/>
              </w:rPr>
            </w:pPr>
            <w:r w:rsidRPr="00274507">
              <w:rPr>
                <w:iCs/>
                <w:sz w:val="28"/>
                <w:szCs w:val="28"/>
              </w:rPr>
              <w:t>14%  ausencia de información.</w:t>
            </w:r>
          </w:p>
        </w:tc>
        <w:tc>
          <w:tcPr>
            <w:tcW w:w="3052" w:type="dxa"/>
          </w:tcPr>
          <w:p w:rsidR="001A494D" w:rsidRPr="00274507" w:rsidRDefault="001A494D" w:rsidP="00274507">
            <w:pPr>
              <w:jc w:val="both"/>
              <w:rPr>
                <w:sz w:val="28"/>
                <w:szCs w:val="28"/>
              </w:rPr>
            </w:pPr>
            <w:r w:rsidRPr="00274507">
              <w:rPr>
                <w:sz w:val="28"/>
                <w:szCs w:val="28"/>
              </w:rPr>
              <w:t>La integralidad es una garantía del sistema, por lo que los accionantes acuden a la tutela por acceso, oportunidad, eficacia y continuidad.</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Desarrolló el análisis con los siguientes aspectos: i) personas que solicitaron mediante tutela la atención integral; ii) tutelas cuya causa refleja barreras en la continuidad del servicio como la solicitud de que se mantenga un mismo prestador y iii) tutelas en las que solicitaban un traslado para la atención en un nivel mayor de complejidad.</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1.251 casos Régimen Contributivo.</w:t>
            </w:r>
          </w:p>
          <w:p w:rsidR="001A494D" w:rsidRPr="00274507" w:rsidRDefault="001A494D" w:rsidP="00274507">
            <w:pPr>
              <w:jc w:val="both"/>
              <w:rPr>
                <w:sz w:val="28"/>
                <w:szCs w:val="28"/>
              </w:rPr>
            </w:pPr>
            <w:r w:rsidRPr="00274507">
              <w:rPr>
                <w:sz w:val="28"/>
                <w:szCs w:val="28"/>
              </w:rPr>
              <w:t>986 Régimen subsidiado.</w:t>
            </w:r>
          </w:p>
          <w:p w:rsidR="001A494D" w:rsidRPr="00274507" w:rsidRDefault="001A494D" w:rsidP="00274507">
            <w:pPr>
              <w:jc w:val="both"/>
              <w:rPr>
                <w:sz w:val="28"/>
                <w:szCs w:val="28"/>
              </w:rPr>
            </w:pP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5. Se niegan a autorizar oportunamente servicios de salud cuando éstos han sido ordenados por un médico que no se encuentra adscrito a la entidad encargada de garantizar la prestación, pero que es un profesional reconocido que hace parte del sistema de salud y cuyo concepto no fue desvirtuado por la entidad con base en razones científicas que consideren el caso específico del paciente.</w:t>
            </w:r>
          </w:p>
        </w:tc>
        <w:tc>
          <w:tcPr>
            <w:tcW w:w="3231" w:type="dxa"/>
          </w:tcPr>
          <w:p w:rsidR="001A494D" w:rsidRPr="00274507" w:rsidRDefault="001A494D" w:rsidP="00274507">
            <w:pPr>
              <w:tabs>
                <w:tab w:val="left" w:pos="567"/>
              </w:tabs>
              <w:jc w:val="both"/>
              <w:rPr>
                <w:iCs/>
                <w:sz w:val="28"/>
                <w:szCs w:val="28"/>
              </w:rPr>
            </w:pPr>
            <w:r w:rsidRPr="00274507">
              <w:rPr>
                <w:iCs/>
                <w:sz w:val="28"/>
                <w:szCs w:val="28"/>
              </w:rPr>
              <w:t>Indicó que no es posible corroborar si existió un pronunciamiento científico por parte de la entidad, esto para poder determinar si fue desvirtuado el concepto del médico.</w:t>
            </w:r>
          </w:p>
          <w:p w:rsidR="001A494D" w:rsidRPr="00274507" w:rsidRDefault="001A494D" w:rsidP="00274507">
            <w:pPr>
              <w:tabs>
                <w:tab w:val="left" w:pos="567"/>
              </w:tabs>
              <w:jc w:val="both"/>
              <w:rPr>
                <w:iCs/>
                <w:sz w:val="28"/>
                <w:szCs w:val="28"/>
              </w:rPr>
            </w:pPr>
          </w:p>
          <w:p w:rsidR="001A494D" w:rsidRPr="00274507" w:rsidRDefault="001A494D" w:rsidP="00274507">
            <w:pPr>
              <w:tabs>
                <w:tab w:val="left" w:pos="567"/>
              </w:tabs>
              <w:jc w:val="both"/>
              <w:rPr>
                <w:iCs/>
                <w:sz w:val="28"/>
                <w:szCs w:val="28"/>
              </w:rPr>
            </w:pPr>
            <w:r w:rsidRPr="00274507">
              <w:rPr>
                <w:iCs/>
                <w:sz w:val="28"/>
                <w:szCs w:val="28"/>
              </w:rPr>
              <w:t>31 casos.</w:t>
            </w:r>
          </w:p>
          <w:p w:rsidR="001A494D" w:rsidRPr="00274507" w:rsidRDefault="001A494D" w:rsidP="00274507">
            <w:pPr>
              <w:tabs>
                <w:tab w:val="left" w:pos="567"/>
              </w:tabs>
              <w:jc w:val="both"/>
              <w:rPr>
                <w:iCs/>
                <w:sz w:val="28"/>
                <w:szCs w:val="28"/>
              </w:rPr>
            </w:pPr>
          </w:p>
          <w:p w:rsidR="001A494D" w:rsidRPr="00274507" w:rsidRDefault="001A494D" w:rsidP="00274507">
            <w:pPr>
              <w:tabs>
                <w:tab w:val="left" w:pos="567"/>
              </w:tabs>
              <w:jc w:val="both"/>
              <w:rPr>
                <w:iCs/>
                <w:sz w:val="28"/>
                <w:szCs w:val="28"/>
              </w:rPr>
            </w:pPr>
            <w:r w:rsidRPr="00274507">
              <w:rPr>
                <w:iCs/>
                <w:sz w:val="28"/>
                <w:szCs w:val="28"/>
              </w:rPr>
              <w:t>Realizó la clasificación por EPS, así:</w:t>
            </w:r>
          </w:p>
          <w:p w:rsidR="001A494D" w:rsidRPr="00274507" w:rsidRDefault="001A494D" w:rsidP="00274507">
            <w:pPr>
              <w:tabs>
                <w:tab w:val="left" w:pos="567"/>
              </w:tabs>
              <w:jc w:val="both"/>
              <w:rPr>
                <w:iCs/>
                <w:sz w:val="28"/>
                <w:szCs w:val="28"/>
              </w:rPr>
            </w:pPr>
          </w:p>
          <w:p w:rsidR="001A494D" w:rsidRPr="00274507" w:rsidRDefault="001A494D" w:rsidP="00274507">
            <w:pPr>
              <w:jc w:val="both"/>
              <w:rPr>
                <w:sz w:val="28"/>
                <w:szCs w:val="28"/>
              </w:rPr>
            </w:pPr>
            <w:r w:rsidRPr="00274507">
              <w:rPr>
                <w:iCs/>
                <w:sz w:val="28"/>
                <w:szCs w:val="28"/>
              </w:rPr>
              <w:t>Coomeva (5); Nueva EPS (3); Salud Total (3); Caprecom (3); Salud Vida (3); SaludCoop (2); Coomeva y otro(2); Ministerio de Salud y Protección Social (2); Servicio Occidental de Salud EPS S.O.S. (1) Emssanar (1); Cafesalud (1); Golden Group (1); Compensar y otro (1), Salud Vida y otros (1); Nueva EPS y otros (1) y Prepagada (1).</w:t>
            </w:r>
          </w:p>
        </w:tc>
        <w:tc>
          <w:tcPr>
            <w:tcW w:w="3052" w:type="dxa"/>
          </w:tcPr>
          <w:p w:rsidR="001A494D" w:rsidRPr="00274507" w:rsidRDefault="001A494D" w:rsidP="00274507">
            <w:pPr>
              <w:jc w:val="both"/>
              <w:rPr>
                <w:sz w:val="28"/>
                <w:szCs w:val="28"/>
              </w:rPr>
            </w:pPr>
            <w:r w:rsidRPr="00274507">
              <w:rPr>
                <w:sz w:val="28"/>
                <w:szCs w:val="28"/>
              </w:rPr>
              <w:t>Advirtió que no fue posible corroborar sí existió un pronunciamiento científico por parte de la Entidad. Incluyó las acciones bajo el criterio “</w:t>
            </w:r>
            <w:r w:rsidRPr="00274507">
              <w:rPr>
                <w:i/>
                <w:sz w:val="28"/>
                <w:szCs w:val="28"/>
              </w:rPr>
              <w:t>solicitud del servicio que es negado porque fue ordenado por un médico particular no adscrito a la red</w:t>
            </w:r>
            <w:r w:rsidRPr="00274507">
              <w:rPr>
                <w:sz w:val="28"/>
                <w:szCs w:val="28"/>
              </w:rPr>
              <w:t>”.</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29 casos</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Entidades más demandadas:</w:t>
            </w:r>
          </w:p>
          <w:p w:rsidR="001A494D" w:rsidRPr="00274507" w:rsidRDefault="001A494D" w:rsidP="00274507">
            <w:pPr>
              <w:jc w:val="both"/>
              <w:rPr>
                <w:sz w:val="28"/>
                <w:szCs w:val="28"/>
              </w:rPr>
            </w:pPr>
            <w:r w:rsidRPr="00274507">
              <w:rPr>
                <w:sz w:val="28"/>
                <w:szCs w:val="28"/>
              </w:rPr>
              <w:t>6 Coomeva</w:t>
            </w:r>
          </w:p>
          <w:p w:rsidR="001A494D" w:rsidRPr="00274507" w:rsidRDefault="001A494D" w:rsidP="00274507">
            <w:pPr>
              <w:jc w:val="both"/>
              <w:rPr>
                <w:sz w:val="28"/>
                <w:szCs w:val="28"/>
              </w:rPr>
            </w:pPr>
            <w:r w:rsidRPr="00274507">
              <w:rPr>
                <w:sz w:val="28"/>
                <w:szCs w:val="28"/>
              </w:rPr>
              <w:t>4 Saludcoop</w:t>
            </w:r>
          </w:p>
          <w:p w:rsidR="001A494D" w:rsidRPr="00274507" w:rsidRDefault="001A494D" w:rsidP="00274507">
            <w:pPr>
              <w:jc w:val="both"/>
              <w:rPr>
                <w:sz w:val="28"/>
                <w:szCs w:val="28"/>
              </w:rPr>
            </w:pPr>
            <w:r w:rsidRPr="00274507">
              <w:rPr>
                <w:sz w:val="28"/>
                <w:szCs w:val="28"/>
              </w:rPr>
              <w:t>3 Sanitas</w:t>
            </w:r>
          </w:p>
          <w:p w:rsidR="001A494D" w:rsidRPr="00274507" w:rsidRDefault="001A494D" w:rsidP="00274507">
            <w:pPr>
              <w:jc w:val="both"/>
              <w:rPr>
                <w:sz w:val="28"/>
                <w:szCs w:val="28"/>
              </w:rPr>
            </w:pPr>
            <w:r w:rsidRPr="00274507">
              <w:rPr>
                <w:sz w:val="28"/>
                <w:szCs w:val="28"/>
              </w:rPr>
              <w:t>2 Cafesalud</w:t>
            </w:r>
          </w:p>
          <w:p w:rsidR="001A494D" w:rsidRPr="00274507" w:rsidRDefault="001A494D" w:rsidP="00274507">
            <w:pPr>
              <w:jc w:val="both"/>
              <w:rPr>
                <w:sz w:val="28"/>
                <w:szCs w:val="28"/>
              </w:rPr>
            </w:pP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6. Se niegan a autorizar oportunamente servicios de salud de alto costo y para tratar enfermedades catastróficas, así como sus exámenes diagnósticos</w:t>
            </w:r>
          </w:p>
        </w:tc>
        <w:tc>
          <w:tcPr>
            <w:tcW w:w="3231" w:type="dxa"/>
          </w:tcPr>
          <w:p w:rsidR="001A494D" w:rsidRPr="00274507" w:rsidRDefault="000A3C2F" w:rsidP="00274507">
            <w:pPr>
              <w:jc w:val="both"/>
              <w:rPr>
                <w:sz w:val="28"/>
                <w:szCs w:val="28"/>
              </w:rPr>
            </w:pPr>
            <w:r w:rsidRPr="00274507">
              <w:rPr>
                <w:iCs/>
                <w:sz w:val="28"/>
                <w:szCs w:val="28"/>
              </w:rPr>
              <w:t>El criterio tiene limitaciones para su verificación.</w:t>
            </w:r>
          </w:p>
        </w:tc>
        <w:tc>
          <w:tcPr>
            <w:tcW w:w="3052" w:type="dxa"/>
          </w:tcPr>
          <w:p w:rsidR="001A494D" w:rsidRPr="00274507" w:rsidRDefault="001A494D" w:rsidP="00274507">
            <w:pPr>
              <w:jc w:val="both"/>
              <w:rPr>
                <w:sz w:val="28"/>
                <w:szCs w:val="28"/>
              </w:rPr>
            </w:pPr>
            <w:r w:rsidRPr="00274507">
              <w:rPr>
                <w:sz w:val="28"/>
                <w:szCs w:val="28"/>
              </w:rPr>
              <w:t>Se identificaron las tutelas con diagnóstico de alto costo en un 18% equivalente a 986 expedientes de las personas que padecen enfermedad de alto costo, presentaron tutela por demora y negación del servicio No Pos.</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Entidades más accionadas:</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170 Saludcoop</w:t>
            </w:r>
          </w:p>
          <w:p w:rsidR="001A494D" w:rsidRPr="00274507" w:rsidRDefault="001A494D" w:rsidP="00274507">
            <w:pPr>
              <w:jc w:val="both"/>
              <w:rPr>
                <w:sz w:val="28"/>
                <w:szCs w:val="28"/>
              </w:rPr>
            </w:pPr>
            <w:r w:rsidRPr="00274507">
              <w:rPr>
                <w:sz w:val="28"/>
                <w:szCs w:val="28"/>
              </w:rPr>
              <w:t>144 Nueva EPS</w:t>
            </w:r>
          </w:p>
          <w:p w:rsidR="001A494D" w:rsidRPr="00274507" w:rsidRDefault="001A494D" w:rsidP="00274507">
            <w:pPr>
              <w:jc w:val="both"/>
              <w:rPr>
                <w:sz w:val="28"/>
                <w:szCs w:val="28"/>
              </w:rPr>
            </w:pPr>
            <w:r w:rsidRPr="00274507">
              <w:rPr>
                <w:sz w:val="28"/>
                <w:szCs w:val="28"/>
              </w:rPr>
              <w:t>102 Coomeva</w:t>
            </w:r>
          </w:p>
          <w:p w:rsidR="001A494D" w:rsidRPr="00274507" w:rsidRDefault="001A494D" w:rsidP="00274507">
            <w:pPr>
              <w:jc w:val="both"/>
              <w:rPr>
                <w:sz w:val="28"/>
                <w:szCs w:val="28"/>
              </w:rPr>
            </w:pP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7. Se niegan a autorizar oportunamente servicios de salud que requiere un menor para su adecuado desarrollo y que no pueden ser costeados por sus responsables, aun cuando dichos servicios estén excluidos del POS y la vida o la integridad del menor no dependen de su prestación.</w:t>
            </w:r>
          </w:p>
        </w:tc>
        <w:tc>
          <w:tcPr>
            <w:tcW w:w="3231" w:type="dxa"/>
          </w:tcPr>
          <w:p w:rsidR="000A3C2F" w:rsidRPr="00274507" w:rsidRDefault="000A3C2F" w:rsidP="00274507">
            <w:pPr>
              <w:tabs>
                <w:tab w:val="left" w:pos="567"/>
              </w:tabs>
              <w:jc w:val="both"/>
              <w:rPr>
                <w:iCs/>
                <w:sz w:val="28"/>
                <w:szCs w:val="28"/>
              </w:rPr>
            </w:pPr>
            <w:r w:rsidRPr="00274507">
              <w:rPr>
                <w:iCs/>
                <w:sz w:val="28"/>
                <w:szCs w:val="28"/>
              </w:rPr>
              <w:t>356 tutelas.</w:t>
            </w:r>
          </w:p>
          <w:p w:rsidR="000A3C2F" w:rsidRPr="00274507" w:rsidRDefault="000A3C2F" w:rsidP="00274507">
            <w:pPr>
              <w:tabs>
                <w:tab w:val="left" w:pos="567"/>
              </w:tabs>
              <w:jc w:val="both"/>
              <w:rPr>
                <w:iCs/>
                <w:sz w:val="28"/>
                <w:szCs w:val="28"/>
              </w:rPr>
            </w:pPr>
          </w:p>
          <w:p w:rsidR="001A494D" w:rsidRPr="00274507" w:rsidRDefault="000A3C2F" w:rsidP="00274507">
            <w:pPr>
              <w:jc w:val="both"/>
              <w:rPr>
                <w:sz w:val="28"/>
                <w:szCs w:val="28"/>
              </w:rPr>
            </w:pPr>
            <w:r w:rsidRPr="00274507">
              <w:rPr>
                <w:iCs/>
                <w:sz w:val="28"/>
                <w:szCs w:val="28"/>
              </w:rPr>
              <w:t>Las EPS en las que se registró la mayor cantidad de tutelas presentadas en representación de menores fueron: i) Saludcoop (45); ii) Coomeva (38) y iii) Caprecom (22); iv) Caprecom y otro (19); v) Nueva EPS (15); vi) Salud Total (15); vi) Asmet Salud (12); vii) Comparta (10); viii) Saludcoop y otros (10); ix) Cafesalud (10) y x) Emssanar (10).</w:t>
            </w:r>
          </w:p>
        </w:tc>
        <w:tc>
          <w:tcPr>
            <w:tcW w:w="3052" w:type="dxa"/>
          </w:tcPr>
          <w:p w:rsidR="001A494D" w:rsidRPr="00274507" w:rsidRDefault="001A494D" w:rsidP="00274507">
            <w:pPr>
              <w:jc w:val="both"/>
              <w:rPr>
                <w:sz w:val="28"/>
                <w:szCs w:val="28"/>
              </w:rPr>
            </w:pPr>
            <w:r w:rsidRPr="00274507">
              <w:rPr>
                <w:sz w:val="28"/>
                <w:szCs w:val="28"/>
              </w:rPr>
              <w:t>Entre (0-14) años de edad, representan el 12.7% con un equivalente al 689 tutelas. Y las EPS con mayor representación son:</w:t>
            </w:r>
          </w:p>
          <w:p w:rsidR="001A494D" w:rsidRPr="00274507" w:rsidRDefault="001A494D" w:rsidP="00274507">
            <w:pPr>
              <w:jc w:val="both"/>
              <w:rPr>
                <w:sz w:val="28"/>
                <w:szCs w:val="28"/>
              </w:rPr>
            </w:pPr>
            <w:r w:rsidRPr="00274507">
              <w:rPr>
                <w:sz w:val="28"/>
                <w:szCs w:val="28"/>
              </w:rPr>
              <w:t>93 Saludcoop EPS</w:t>
            </w:r>
          </w:p>
          <w:p w:rsidR="001A494D" w:rsidRPr="00274507" w:rsidRDefault="001A494D" w:rsidP="00274507">
            <w:pPr>
              <w:jc w:val="both"/>
              <w:rPr>
                <w:sz w:val="28"/>
                <w:szCs w:val="28"/>
              </w:rPr>
            </w:pPr>
            <w:r w:rsidRPr="00274507">
              <w:rPr>
                <w:sz w:val="28"/>
                <w:szCs w:val="28"/>
              </w:rPr>
              <w:t>73 Coomeva EPS</w:t>
            </w:r>
          </w:p>
          <w:p w:rsidR="001A494D" w:rsidRPr="00274507" w:rsidRDefault="001A494D" w:rsidP="00274507">
            <w:pPr>
              <w:jc w:val="both"/>
              <w:rPr>
                <w:sz w:val="28"/>
                <w:szCs w:val="28"/>
              </w:rPr>
            </w:pPr>
            <w:r w:rsidRPr="00274507">
              <w:rPr>
                <w:sz w:val="28"/>
                <w:szCs w:val="28"/>
              </w:rPr>
              <w:t>60 Alianza Medellín</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Los servicios más demandados por esta población son: i) tratamiento integral (389); ii) viáticos (221); iii) citas médicas (189).</w:t>
            </w: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8. Se niegan a autorizar oportunamente servicios de salud que se requieren con necesidad, supeditando su prestación al pago de una cuota moderadora.</w:t>
            </w:r>
          </w:p>
        </w:tc>
        <w:tc>
          <w:tcPr>
            <w:tcW w:w="3231" w:type="dxa"/>
          </w:tcPr>
          <w:p w:rsidR="000A3C2F" w:rsidRPr="00274507" w:rsidRDefault="000A3C2F" w:rsidP="00274507">
            <w:pPr>
              <w:jc w:val="both"/>
              <w:rPr>
                <w:iCs/>
                <w:sz w:val="28"/>
                <w:szCs w:val="28"/>
              </w:rPr>
            </w:pPr>
            <w:r w:rsidRPr="00274507">
              <w:rPr>
                <w:iCs/>
                <w:sz w:val="28"/>
                <w:szCs w:val="28"/>
              </w:rPr>
              <w:t>Señaló que en la mayoría de ocasiones esta pretensión se encuentra acompañada por otras como, la atención integral.</w:t>
            </w:r>
          </w:p>
          <w:p w:rsidR="000A3C2F" w:rsidRPr="00274507" w:rsidRDefault="000A3C2F" w:rsidP="00274507">
            <w:pPr>
              <w:jc w:val="both"/>
              <w:rPr>
                <w:iCs/>
                <w:sz w:val="28"/>
                <w:szCs w:val="28"/>
              </w:rPr>
            </w:pPr>
          </w:p>
          <w:p w:rsidR="000A3C2F" w:rsidRPr="00274507" w:rsidRDefault="000A3C2F" w:rsidP="00274507">
            <w:pPr>
              <w:jc w:val="both"/>
              <w:rPr>
                <w:iCs/>
                <w:sz w:val="28"/>
                <w:szCs w:val="28"/>
              </w:rPr>
            </w:pPr>
            <w:r w:rsidRPr="00274507">
              <w:rPr>
                <w:iCs/>
                <w:sz w:val="28"/>
                <w:szCs w:val="28"/>
              </w:rPr>
              <w:t>247 casos.</w:t>
            </w:r>
          </w:p>
          <w:p w:rsidR="000A3C2F" w:rsidRPr="00274507" w:rsidRDefault="000A3C2F" w:rsidP="00274507">
            <w:pPr>
              <w:jc w:val="both"/>
              <w:rPr>
                <w:iCs/>
                <w:sz w:val="28"/>
                <w:szCs w:val="28"/>
              </w:rPr>
            </w:pPr>
          </w:p>
          <w:p w:rsidR="000A3C2F" w:rsidRPr="00274507" w:rsidRDefault="000A3C2F" w:rsidP="00274507">
            <w:pPr>
              <w:jc w:val="both"/>
              <w:rPr>
                <w:iCs/>
                <w:sz w:val="28"/>
                <w:szCs w:val="28"/>
              </w:rPr>
            </w:pPr>
            <w:r w:rsidRPr="00274507">
              <w:rPr>
                <w:iCs/>
                <w:sz w:val="28"/>
                <w:szCs w:val="28"/>
              </w:rPr>
              <w:t>Las Entidades más demandadas:</w:t>
            </w:r>
          </w:p>
          <w:p w:rsidR="000A3C2F" w:rsidRPr="00274507" w:rsidRDefault="000A3C2F" w:rsidP="00274507">
            <w:pPr>
              <w:jc w:val="both"/>
              <w:rPr>
                <w:iCs/>
                <w:sz w:val="28"/>
                <w:szCs w:val="28"/>
              </w:rPr>
            </w:pPr>
          </w:p>
          <w:p w:rsidR="001A494D" w:rsidRPr="00274507" w:rsidRDefault="000A3C2F" w:rsidP="00274507">
            <w:pPr>
              <w:jc w:val="both"/>
              <w:rPr>
                <w:sz w:val="28"/>
                <w:szCs w:val="28"/>
              </w:rPr>
            </w:pPr>
            <w:r w:rsidRPr="00274507">
              <w:rPr>
                <w:iCs/>
                <w:sz w:val="28"/>
                <w:szCs w:val="28"/>
              </w:rPr>
              <w:t>i) Nueva EPS (24); ii) Secretaría de Salud (23); iii) Coomeva (20); iv) Caprecom (19); v) Saludcoop EPS (17); vi) Savia Salud EPS y otros (14); vii) Caprecom EPS y otro (9); viii) IPS (8); ix) Salud Total EPS (7); x) Cafesalud (6); xi) Salud Vida EPS (6); xii) Nueva EPS y otros (6); xiii) Emsanar EPS (5); xiv) Saludcoop EPS y otros (5); xv) Asmet Salud EPS (4); xvi) EPS Sura (4); xvii)Servicio Occidental de Salud EPS S.O.S. (4) y xviii) Cafesalud EPS y otro (4).</w:t>
            </w:r>
          </w:p>
        </w:tc>
        <w:tc>
          <w:tcPr>
            <w:tcW w:w="3052" w:type="dxa"/>
          </w:tcPr>
          <w:p w:rsidR="001A494D" w:rsidRPr="00274507" w:rsidRDefault="001A494D" w:rsidP="00274507">
            <w:pPr>
              <w:jc w:val="both"/>
              <w:rPr>
                <w:sz w:val="28"/>
                <w:szCs w:val="28"/>
              </w:rPr>
            </w:pPr>
            <w:r w:rsidRPr="00274507">
              <w:rPr>
                <w:sz w:val="28"/>
                <w:szCs w:val="28"/>
              </w:rPr>
              <w:t>Advirtió que no existe una negación explícita del servicio, sin embargo, identificaron en las que se requiere exención de pagos y servicios adicionales, las cuales registraron 368.</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Entidades más demandadas:</w:t>
            </w:r>
          </w:p>
          <w:p w:rsidR="001A494D" w:rsidRPr="00274507" w:rsidRDefault="001A494D" w:rsidP="00274507">
            <w:pPr>
              <w:jc w:val="both"/>
              <w:rPr>
                <w:sz w:val="28"/>
                <w:szCs w:val="28"/>
              </w:rPr>
            </w:pPr>
            <w:r w:rsidRPr="00274507">
              <w:rPr>
                <w:sz w:val="28"/>
                <w:szCs w:val="28"/>
              </w:rPr>
              <w:t>47 Alianza Medellín</w:t>
            </w:r>
          </w:p>
          <w:p w:rsidR="001A494D" w:rsidRPr="00274507" w:rsidRDefault="001A494D" w:rsidP="00274507">
            <w:pPr>
              <w:jc w:val="both"/>
              <w:rPr>
                <w:sz w:val="28"/>
                <w:szCs w:val="28"/>
              </w:rPr>
            </w:pPr>
            <w:r w:rsidRPr="00274507">
              <w:rPr>
                <w:sz w:val="28"/>
                <w:szCs w:val="28"/>
              </w:rPr>
              <w:t>43 Saludcoop EPS</w:t>
            </w:r>
          </w:p>
          <w:p w:rsidR="001A494D" w:rsidRPr="00274507" w:rsidRDefault="001A494D" w:rsidP="00274507">
            <w:pPr>
              <w:jc w:val="both"/>
              <w:rPr>
                <w:sz w:val="28"/>
                <w:szCs w:val="28"/>
              </w:rPr>
            </w:pPr>
            <w:r w:rsidRPr="00274507">
              <w:rPr>
                <w:sz w:val="28"/>
                <w:szCs w:val="28"/>
              </w:rPr>
              <w:t>32 Coomeva EPS</w:t>
            </w: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9.</w:t>
            </w:r>
            <w:r w:rsidR="001B72C8" w:rsidRPr="00274507">
              <w:rPr>
                <w:sz w:val="28"/>
                <w:szCs w:val="28"/>
              </w:rPr>
              <w:t xml:space="preserve"> </w:t>
            </w:r>
            <w:r w:rsidRPr="00274507">
              <w:rPr>
                <w:sz w:val="28"/>
                <w:szCs w:val="28"/>
              </w:rPr>
              <w:t>Se niegan a autorizar incapacidades laborales derivadas del estado de salud de la persona, con el argumento de que en el pasado no se cumplió con la obligación de cancelar los aportes de salud dentro del plazo establecido para ello.</w:t>
            </w:r>
          </w:p>
        </w:tc>
        <w:tc>
          <w:tcPr>
            <w:tcW w:w="3231" w:type="dxa"/>
          </w:tcPr>
          <w:p w:rsidR="000A3C2F" w:rsidRPr="00274507" w:rsidRDefault="000A3C2F" w:rsidP="00274507">
            <w:pPr>
              <w:jc w:val="both"/>
              <w:rPr>
                <w:iCs/>
                <w:sz w:val="28"/>
                <w:szCs w:val="28"/>
              </w:rPr>
            </w:pPr>
            <w:r w:rsidRPr="00274507">
              <w:rPr>
                <w:iCs/>
                <w:sz w:val="28"/>
                <w:szCs w:val="28"/>
              </w:rPr>
              <w:t>El 3.9% (79 tutelas) analizadas correspondieron a esta categoría, así:</w:t>
            </w:r>
          </w:p>
          <w:p w:rsidR="000A3C2F" w:rsidRPr="00274507" w:rsidRDefault="000A3C2F" w:rsidP="00274507">
            <w:pPr>
              <w:jc w:val="both"/>
              <w:rPr>
                <w:iCs/>
                <w:sz w:val="28"/>
                <w:szCs w:val="28"/>
              </w:rPr>
            </w:pPr>
          </w:p>
          <w:p w:rsidR="001A494D" w:rsidRPr="00274507" w:rsidRDefault="000A3C2F" w:rsidP="00274507">
            <w:pPr>
              <w:jc w:val="both"/>
              <w:rPr>
                <w:sz w:val="28"/>
                <w:szCs w:val="28"/>
              </w:rPr>
            </w:pPr>
            <w:r w:rsidRPr="00274507">
              <w:rPr>
                <w:iCs/>
                <w:sz w:val="28"/>
                <w:szCs w:val="28"/>
              </w:rPr>
              <w:t>i)Coomeva EPS (20); ii) EPS Sura (10); iii) Saludcoop EPS (9); iv) Famisanar EPS (5); v)Coomeva EPS y otro (4); vi) Salud Total EPS y Otros (4); vii) Comfenalco EPS (3); viii) Saludcoop EPS y otros (3); ix) Sanitas EPS (2); x) Salud Total EPS (2); xi) Cruz Blanca EPS (2); xii) Servicio Occidental de Salud EPS S.O.S. (2); xiii) Nueva EPS y otros (2); xiv) IPS (2); xv) Cafesalud EPS (1); xvi) Salud Total EPS (1); xvii) Comfenalco Valle EPS (1); xviii) Compensar EPS (1); xix) Nueva EPS (1); Sura EPS y otros (1); xx) Particular (1); xxi) Fosyga y otros (1); xxii) ARL (1).</w:t>
            </w:r>
          </w:p>
        </w:tc>
        <w:tc>
          <w:tcPr>
            <w:tcW w:w="3052" w:type="dxa"/>
          </w:tcPr>
          <w:p w:rsidR="001A494D" w:rsidRPr="00274507" w:rsidRDefault="001A494D" w:rsidP="00274507">
            <w:pPr>
              <w:jc w:val="both"/>
              <w:rPr>
                <w:sz w:val="28"/>
                <w:szCs w:val="28"/>
              </w:rPr>
            </w:pPr>
            <w:r w:rsidRPr="00274507">
              <w:rPr>
                <w:sz w:val="28"/>
                <w:szCs w:val="28"/>
              </w:rPr>
              <w:t>Fueron incluidas en esta caracterización las licencias de maternidad y paternidad que no fueron otorgadas por mora en el pago de aportes.</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183 casos.</w:t>
            </w:r>
          </w:p>
          <w:p w:rsidR="001A494D" w:rsidRPr="00274507" w:rsidRDefault="001A494D" w:rsidP="00274507">
            <w:pPr>
              <w:jc w:val="both"/>
              <w:rPr>
                <w:sz w:val="28"/>
                <w:szCs w:val="28"/>
              </w:rPr>
            </w:pPr>
            <w:r w:rsidRPr="00274507">
              <w:rPr>
                <w:sz w:val="28"/>
                <w:szCs w:val="28"/>
              </w:rPr>
              <w:t>44 EPS Saludcoop</w:t>
            </w:r>
          </w:p>
          <w:p w:rsidR="001A494D" w:rsidRPr="00274507" w:rsidRDefault="001A494D" w:rsidP="00274507">
            <w:pPr>
              <w:jc w:val="both"/>
              <w:rPr>
                <w:sz w:val="28"/>
                <w:szCs w:val="28"/>
              </w:rPr>
            </w:pPr>
            <w:r w:rsidRPr="00274507">
              <w:rPr>
                <w:sz w:val="28"/>
                <w:szCs w:val="28"/>
              </w:rPr>
              <w:t>42 Coomeva</w:t>
            </w:r>
          </w:p>
          <w:p w:rsidR="001A494D" w:rsidRPr="00274507" w:rsidRDefault="001A494D" w:rsidP="00274507">
            <w:pPr>
              <w:jc w:val="both"/>
              <w:rPr>
                <w:sz w:val="28"/>
                <w:szCs w:val="28"/>
              </w:rPr>
            </w:pPr>
            <w:r w:rsidRPr="00274507">
              <w:rPr>
                <w:sz w:val="28"/>
                <w:szCs w:val="28"/>
              </w:rPr>
              <w:t>33 Salud Total</w:t>
            </w:r>
          </w:p>
        </w:tc>
      </w:tr>
      <w:tr w:rsidR="001A494D" w:rsidRPr="00274507" w:rsidTr="000A3C2F">
        <w:tc>
          <w:tcPr>
            <w:tcW w:w="2830" w:type="dxa"/>
          </w:tcPr>
          <w:p w:rsidR="001A494D" w:rsidRPr="00274507" w:rsidRDefault="001B72C8" w:rsidP="00274507">
            <w:pPr>
              <w:jc w:val="both"/>
              <w:rPr>
                <w:sz w:val="28"/>
                <w:szCs w:val="28"/>
              </w:rPr>
            </w:pPr>
            <w:r w:rsidRPr="00274507">
              <w:rPr>
                <w:sz w:val="28"/>
                <w:szCs w:val="28"/>
              </w:rPr>
              <w:t xml:space="preserve">10. </w:t>
            </w:r>
            <w:r w:rsidR="001A494D" w:rsidRPr="00274507">
              <w:rPr>
                <w:sz w:val="28"/>
                <w:szCs w:val="28"/>
              </w:rPr>
              <w:t>Se niegan a afiliar personas, a pesar de que éstas ya hayan cumplido el tiempo para trasladarse, por el hecho de que dentro de su grupo familiar existe una persona (su hijo, un niño) que padece una enfermedad catastrófica.</w:t>
            </w:r>
          </w:p>
        </w:tc>
        <w:tc>
          <w:tcPr>
            <w:tcW w:w="3231" w:type="dxa"/>
          </w:tcPr>
          <w:p w:rsidR="000A3C2F" w:rsidRPr="00274507" w:rsidRDefault="000A3C2F" w:rsidP="00274507">
            <w:pPr>
              <w:tabs>
                <w:tab w:val="left" w:pos="567"/>
              </w:tabs>
              <w:jc w:val="both"/>
              <w:rPr>
                <w:iCs/>
                <w:sz w:val="28"/>
                <w:szCs w:val="28"/>
              </w:rPr>
            </w:pPr>
            <w:r w:rsidRPr="00274507">
              <w:rPr>
                <w:iCs/>
                <w:sz w:val="28"/>
                <w:szCs w:val="28"/>
              </w:rPr>
              <w:t>8 casos.</w:t>
            </w:r>
          </w:p>
          <w:p w:rsidR="000A3C2F" w:rsidRPr="00274507" w:rsidRDefault="000A3C2F" w:rsidP="00274507">
            <w:pPr>
              <w:tabs>
                <w:tab w:val="left" w:pos="567"/>
              </w:tabs>
              <w:jc w:val="both"/>
              <w:rPr>
                <w:iCs/>
                <w:sz w:val="28"/>
                <w:szCs w:val="28"/>
              </w:rPr>
            </w:pPr>
          </w:p>
          <w:p w:rsidR="000A3C2F" w:rsidRPr="00274507" w:rsidRDefault="000A3C2F" w:rsidP="00274507">
            <w:pPr>
              <w:tabs>
                <w:tab w:val="left" w:pos="567"/>
              </w:tabs>
              <w:jc w:val="both"/>
              <w:rPr>
                <w:iCs/>
                <w:sz w:val="28"/>
                <w:szCs w:val="28"/>
              </w:rPr>
            </w:pPr>
            <w:r w:rsidRPr="00274507">
              <w:rPr>
                <w:iCs/>
                <w:sz w:val="28"/>
                <w:szCs w:val="28"/>
              </w:rPr>
              <w:t>EPS demandadas:</w:t>
            </w:r>
          </w:p>
          <w:p w:rsidR="000A3C2F" w:rsidRPr="00274507" w:rsidRDefault="000A3C2F" w:rsidP="00274507">
            <w:pPr>
              <w:tabs>
                <w:tab w:val="left" w:pos="567"/>
              </w:tabs>
              <w:jc w:val="both"/>
              <w:rPr>
                <w:iCs/>
                <w:sz w:val="28"/>
                <w:szCs w:val="28"/>
              </w:rPr>
            </w:pPr>
          </w:p>
          <w:p w:rsidR="001A494D" w:rsidRPr="00274507" w:rsidRDefault="000A3C2F" w:rsidP="00274507">
            <w:pPr>
              <w:jc w:val="both"/>
              <w:rPr>
                <w:sz w:val="28"/>
                <w:szCs w:val="28"/>
              </w:rPr>
            </w:pPr>
            <w:r w:rsidRPr="00274507">
              <w:rPr>
                <w:iCs/>
                <w:sz w:val="28"/>
                <w:szCs w:val="28"/>
              </w:rPr>
              <w:t>i) Coomeva y otro (2); ii) Coomeva (2); iii) Caprecom y otro (1); iv) Asmet Salud y otro (1); v) Capital Salud y otro (1) y vi) Comfenalco (1).</w:t>
            </w:r>
          </w:p>
        </w:tc>
        <w:tc>
          <w:tcPr>
            <w:tcW w:w="3052" w:type="dxa"/>
          </w:tcPr>
          <w:p w:rsidR="001A494D" w:rsidRPr="00274507" w:rsidRDefault="001A494D" w:rsidP="00274507">
            <w:pPr>
              <w:jc w:val="both"/>
              <w:rPr>
                <w:i/>
                <w:sz w:val="28"/>
                <w:szCs w:val="28"/>
              </w:rPr>
            </w:pPr>
            <w:r w:rsidRPr="00274507">
              <w:rPr>
                <w:sz w:val="28"/>
                <w:szCs w:val="28"/>
              </w:rPr>
              <w:t>1 tutela dirigida contra la EPS Coomeva.</w:t>
            </w:r>
          </w:p>
        </w:tc>
      </w:tr>
      <w:tr w:rsidR="001A494D" w:rsidRPr="00274507" w:rsidTr="000A3C2F">
        <w:tc>
          <w:tcPr>
            <w:tcW w:w="2830" w:type="dxa"/>
          </w:tcPr>
          <w:p w:rsidR="001A494D" w:rsidRPr="00274507" w:rsidRDefault="001B72C8" w:rsidP="00274507">
            <w:pPr>
              <w:jc w:val="both"/>
              <w:rPr>
                <w:sz w:val="28"/>
                <w:szCs w:val="28"/>
              </w:rPr>
            </w:pPr>
            <w:r w:rsidRPr="00274507">
              <w:rPr>
                <w:sz w:val="28"/>
                <w:szCs w:val="28"/>
              </w:rPr>
              <w:t xml:space="preserve">11. </w:t>
            </w:r>
            <w:r w:rsidR="001A494D" w:rsidRPr="00274507">
              <w:rPr>
                <w:sz w:val="28"/>
                <w:szCs w:val="28"/>
              </w:rPr>
              <w:t>Interrumpen el suministro de servicios de salud, porque ya transcurrió un mes luego del momento en que la persona dejó de cotizar, en razón a que ahora es desempleado, antes de que éste haya sido en efecto asumido por otro prestador.</w:t>
            </w:r>
          </w:p>
        </w:tc>
        <w:tc>
          <w:tcPr>
            <w:tcW w:w="3231" w:type="dxa"/>
          </w:tcPr>
          <w:p w:rsidR="000A3C2F" w:rsidRPr="00274507" w:rsidRDefault="000A3C2F" w:rsidP="00274507">
            <w:pPr>
              <w:tabs>
                <w:tab w:val="left" w:pos="567"/>
              </w:tabs>
              <w:jc w:val="both"/>
              <w:rPr>
                <w:iCs/>
                <w:sz w:val="28"/>
                <w:szCs w:val="28"/>
              </w:rPr>
            </w:pPr>
            <w:r w:rsidRPr="00274507">
              <w:rPr>
                <w:iCs/>
                <w:sz w:val="28"/>
                <w:szCs w:val="28"/>
              </w:rPr>
              <w:t>Advirtió que si bien, la cifra de 6 expedientes no es representativa es importante determinar que existen afiliados que quedan en la zona gris en relación con el aseguramiento y por esta razón se encuentra vulnerado el derecho a la salud.</w:t>
            </w:r>
          </w:p>
          <w:p w:rsidR="000A3C2F" w:rsidRPr="00274507" w:rsidRDefault="000A3C2F" w:rsidP="00274507">
            <w:pPr>
              <w:tabs>
                <w:tab w:val="left" w:pos="567"/>
              </w:tabs>
              <w:jc w:val="both"/>
              <w:rPr>
                <w:iCs/>
                <w:sz w:val="28"/>
                <w:szCs w:val="28"/>
              </w:rPr>
            </w:pPr>
          </w:p>
          <w:p w:rsidR="001A494D" w:rsidRPr="00274507" w:rsidRDefault="000A3C2F" w:rsidP="00274507">
            <w:pPr>
              <w:jc w:val="both"/>
              <w:rPr>
                <w:sz w:val="28"/>
                <w:szCs w:val="28"/>
              </w:rPr>
            </w:pPr>
            <w:r w:rsidRPr="00274507">
              <w:rPr>
                <w:iCs/>
                <w:sz w:val="28"/>
                <w:szCs w:val="28"/>
              </w:rPr>
              <w:t>No obstante, esta situación debe desaparecer con la entrada en vigencia del Decreto 3047 de diciembre de 2013.</w:t>
            </w:r>
          </w:p>
        </w:tc>
        <w:tc>
          <w:tcPr>
            <w:tcW w:w="3052" w:type="dxa"/>
          </w:tcPr>
          <w:p w:rsidR="001A494D" w:rsidRPr="00274507" w:rsidRDefault="001A494D" w:rsidP="00274507">
            <w:pPr>
              <w:jc w:val="both"/>
              <w:rPr>
                <w:sz w:val="28"/>
                <w:szCs w:val="28"/>
              </w:rPr>
            </w:pPr>
            <w:r w:rsidRPr="00274507">
              <w:rPr>
                <w:sz w:val="28"/>
                <w:szCs w:val="28"/>
              </w:rPr>
              <w:t xml:space="preserve">Identificadas 29 tutelas advirtiendo que </w:t>
            </w:r>
            <w:r w:rsidR="00DD15C3" w:rsidRPr="00274507">
              <w:rPr>
                <w:sz w:val="28"/>
                <w:szCs w:val="28"/>
              </w:rPr>
              <w:t xml:space="preserve">todavía </w:t>
            </w:r>
            <w:r w:rsidRPr="00274507">
              <w:rPr>
                <w:sz w:val="28"/>
                <w:szCs w:val="28"/>
              </w:rPr>
              <w:t>se encuentran afiliados que se quedan en una zona gris respecto a su aseguramiento y persiste la vulneración del derecho a la salud.</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Con la entrada en vigencia del Decreto 2533 de 2015</w:t>
            </w:r>
            <w:r w:rsidRPr="00274507">
              <w:rPr>
                <w:rStyle w:val="Refdenotaalpie"/>
                <w:sz w:val="28"/>
                <w:szCs w:val="28"/>
              </w:rPr>
              <w:footnoteReference w:id="184"/>
            </w:r>
            <w:r w:rsidRPr="00274507">
              <w:rPr>
                <w:sz w:val="28"/>
                <w:szCs w:val="28"/>
              </w:rPr>
              <w:t xml:space="preserve"> asegura que esta situación tiende a desaparecer.</w:t>
            </w:r>
          </w:p>
          <w:p w:rsidR="001A494D" w:rsidRPr="00274507" w:rsidRDefault="001A494D" w:rsidP="00274507">
            <w:pPr>
              <w:jc w:val="both"/>
              <w:rPr>
                <w:sz w:val="28"/>
                <w:szCs w:val="28"/>
              </w:rPr>
            </w:pPr>
          </w:p>
          <w:p w:rsidR="001A494D" w:rsidRPr="00274507" w:rsidRDefault="001A494D" w:rsidP="00274507">
            <w:pPr>
              <w:jc w:val="both"/>
              <w:rPr>
                <w:sz w:val="28"/>
                <w:szCs w:val="28"/>
              </w:rPr>
            </w:pPr>
            <w:r w:rsidRPr="00274507">
              <w:rPr>
                <w:sz w:val="28"/>
                <w:szCs w:val="28"/>
              </w:rPr>
              <w:t>Las entidades con mayor representación fueron:</w:t>
            </w:r>
          </w:p>
          <w:p w:rsidR="001A494D" w:rsidRPr="00274507" w:rsidRDefault="001A494D" w:rsidP="00274507">
            <w:pPr>
              <w:jc w:val="both"/>
              <w:rPr>
                <w:sz w:val="28"/>
                <w:szCs w:val="28"/>
              </w:rPr>
            </w:pPr>
            <w:r w:rsidRPr="00274507">
              <w:rPr>
                <w:sz w:val="28"/>
                <w:szCs w:val="28"/>
              </w:rPr>
              <w:t>9 Saludcoop</w:t>
            </w:r>
          </w:p>
          <w:p w:rsidR="001A494D" w:rsidRPr="00274507" w:rsidRDefault="001A494D" w:rsidP="00274507">
            <w:pPr>
              <w:jc w:val="both"/>
              <w:rPr>
                <w:sz w:val="28"/>
                <w:szCs w:val="28"/>
              </w:rPr>
            </w:pPr>
            <w:r w:rsidRPr="00274507">
              <w:rPr>
                <w:sz w:val="28"/>
                <w:szCs w:val="28"/>
              </w:rPr>
              <w:t>5 Nueva EPS</w:t>
            </w:r>
          </w:p>
          <w:p w:rsidR="001A494D" w:rsidRPr="00274507" w:rsidRDefault="001A494D" w:rsidP="00274507">
            <w:pPr>
              <w:jc w:val="both"/>
              <w:rPr>
                <w:sz w:val="28"/>
                <w:szCs w:val="28"/>
              </w:rPr>
            </w:pPr>
            <w:r w:rsidRPr="00274507">
              <w:rPr>
                <w:sz w:val="28"/>
                <w:szCs w:val="28"/>
              </w:rPr>
              <w:t>5 Coomeva EPS</w:t>
            </w:r>
          </w:p>
        </w:tc>
      </w:tr>
      <w:tr w:rsidR="001A494D" w:rsidRPr="00274507" w:rsidTr="000A3C2F">
        <w:tc>
          <w:tcPr>
            <w:tcW w:w="2830" w:type="dxa"/>
          </w:tcPr>
          <w:p w:rsidR="001A494D" w:rsidRPr="00274507" w:rsidRDefault="001A494D" w:rsidP="00274507">
            <w:pPr>
              <w:jc w:val="both"/>
              <w:rPr>
                <w:sz w:val="28"/>
                <w:szCs w:val="28"/>
              </w:rPr>
            </w:pPr>
            <w:r w:rsidRPr="00274507">
              <w:rPr>
                <w:sz w:val="28"/>
                <w:szCs w:val="28"/>
              </w:rPr>
              <w:t>12. Cobran copagos a personas que padecen una enfermedad catastrófica o de alto costo</w:t>
            </w:r>
            <w:r w:rsidR="001B72C8" w:rsidRPr="00274507">
              <w:rPr>
                <w:sz w:val="28"/>
                <w:szCs w:val="28"/>
              </w:rPr>
              <w:t>.</w:t>
            </w:r>
          </w:p>
        </w:tc>
        <w:tc>
          <w:tcPr>
            <w:tcW w:w="3231" w:type="dxa"/>
          </w:tcPr>
          <w:p w:rsidR="001A494D" w:rsidRPr="00274507" w:rsidRDefault="000A3C2F" w:rsidP="00274507">
            <w:pPr>
              <w:jc w:val="both"/>
              <w:rPr>
                <w:sz w:val="28"/>
                <w:szCs w:val="28"/>
              </w:rPr>
            </w:pPr>
            <w:r w:rsidRPr="00274507">
              <w:rPr>
                <w:iCs/>
                <w:sz w:val="28"/>
                <w:szCs w:val="28"/>
              </w:rPr>
              <w:t>El criterio tuvo dificultades para el año 2014, pero se ajustó para el 2015</w:t>
            </w:r>
          </w:p>
        </w:tc>
        <w:tc>
          <w:tcPr>
            <w:tcW w:w="3052" w:type="dxa"/>
          </w:tcPr>
          <w:p w:rsidR="001A494D" w:rsidRPr="00274507" w:rsidRDefault="001A494D" w:rsidP="00274507">
            <w:pPr>
              <w:jc w:val="both"/>
              <w:rPr>
                <w:sz w:val="28"/>
                <w:szCs w:val="28"/>
              </w:rPr>
            </w:pPr>
            <w:r w:rsidRPr="00274507">
              <w:rPr>
                <w:sz w:val="28"/>
                <w:szCs w:val="28"/>
              </w:rPr>
              <w:t>El 1% de los pacientes solicita exoneración de copagos, en un margen de 57 casos, la Nueva EPS y Coomeva EPS con 8 casos cada una.</w:t>
            </w:r>
          </w:p>
        </w:tc>
      </w:tr>
    </w:tbl>
    <w:p w:rsidR="00C07EBB" w:rsidRPr="00274507" w:rsidRDefault="00833FF8" w:rsidP="00274507">
      <w:pPr>
        <w:jc w:val="both"/>
        <w:rPr>
          <w:iCs/>
          <w:sz w:val="28"/>
          <w:szCs w:val="28"/>
        </w:rPr>
      </w:pPr>
      <w:r w:rsidRPr="00274507">
        <w:rPr>
          <w:iCs/>
          <w:sz w:val="28"/>
          <w:szCs w:val="28"/>
        </w:rPr>
        <w:t>Luego</w:t>
      </w:r>
      <w:r w:rsidR="00C07EBB" w:rsidRPr="00274507">
        <w:rPr>
          <w:iCs/>
          <w:sz w:val="28"/>
          <w:szCs w:val="28"/>
        </w:rPr>
        <w:t>, e</w:t>
      </w:r>
      <w:r w:rsidR="00C07EBB" w:rsidRPr="00274507">
        <w:rPr>
          <w:bCs/>
          <w:sz w:val="28"/>
          <w:szCs w:val="28"/>
        </w:rPr>
        <w:t>n sesión técnica</w:t>
      </w:r>
      <w:r w:rsidR="006C0F1C" w:rsidRPr="00274507">
        <w:rPr>
          <w:rStyle w:val="Refdenotaalpie"/>
          <w:bCs/>
          <w:sz w:val="28"/>
          <w:szCs w:val="28"/>
        </w:rPr>
        <w:footnoteReference w:id="185"/>
      </w:r>
      <w:r w:rsidR="00C07EBB" w:rsidRPr="00274507">
        <w:rPr>
          <w:bCs/>
          <w:sz w:val="28"/>
          <w:szCs w:val="28"/>
        </w:rPr>
        <w:t xml:space="preserve"> se advirtió que</w:t>
      </w:r>
      <w:r w:rsidR="003D6720" w:rsidRPr="00274507">
        <w:rPr>
          <w:bCs/>
          <w:sz w:val="28"/>
          <w:szCs w:val="28"/>
        </w:rPr>
        <w:t xml:space="preserve"> para poder desarrollar de una mejor forma </w:t>
      </w:r>
      <w:r w:rsidR="00C07EBB" w:rsidRPr="00274507">
        <w:rPr>
          <w:bCs/>
          <w:sz w:val="28"/>
          <w:szCs w:val="28"/>
        </w:rPr>
        <w:t>los problemas jurídicos</w:t>
      </w:r>
      <w:r w:rsidRPr="00274507">
        <w:rPr>
          <w:bCs/>
          <w:sz w:val="28"/>
          <w:szCs w:val="28"/>
        </w:rPr>
        <w:t xml:space="preserve"> planteados en la T-760 de 2008</w:t>
      </w:r>
      <w:r w:rsidR="00C07EBB" w:rsidRPr="00274507">
        <w:rPr>
          <w:bCs/>
          <w:sz w:val="28"/>
          <w:szCs w:val="28"/>
        </w:rPr>
        <w:t xml:space="preserve"> </w:t>
      </w:r>
      <w:r w:rsidR="003D6720" w:rsidRPr="00274507">
        <w:rPr>
          <w:bCs/>
          <w:sz w:val="28"/>
          <w:szCs w:val="28"/>
        </w:rPr>
        <w:t>se debía adecuar la metodología utilizada para los informes futuros, de tal forma que</w:t>
      </w:r>
      <w:r w:rsidR="0013005C" w:rsidRPr="00274507">
        <w:rPr>
          <w:bCs/>
          <w:sz w:val="28"/>
          <w:szCs w:val="28"/>
        </w:rPr>
        <w:t xml:space="preserve"> se evidenciara claramente</w:t>
      </w:r>
      <w:r w:rsidR="00C07EBB" w:rsidRPr="00274507">
        <w:rPr>
          <w:bCs/>
          <w:sz w:val="28"/>
          <w:szCs w:val="28"/>
        </w:rPr>
        <w:t xml:space="preserve"> </w:t>
      </w:r>
      <w:r w:rsidR="0013005C" w:rsidRPr="00274507">
        <w:rPr>
          <w:bCs/>
          <w:sz w:val="28"/>
          <w:szCs w:val="28"/>
        </w:rPr>
        <w:t xml:space="preserve">las causas que generaban cada problema para así resolverlos </w:t>
      </w:r>
      <w:r w:rsidR="00C07EBB" w:rsidRPr="00274507">
        <w:rPr>
          <w:bCs/>
          <w:sz w:val="28"/>
          <w:szCs w:val="28"/>
        </w:rPr>
        <w:t>de fondo y b</w:t>
      </w:r>
      <w:r w:rsidR="0013005C" w:rsidRPr="00274507">
        <w:rPr>
          <w:bCs/>
          <w:sz w:val="28"/>
          <w:szCs w:val="28"/>
        </w:rPr>
        <w:t xml:space="preserve">uscar herramientas que permitieran </w:t>
      </w:r>
      <w:r w:rsidR="00C07EBB" w:rsidRPr="00274507">
        <w:rPr>
          <w:bCs/>
          <w:sz w:val="28"/>
          <w:szCs w:val="28"/>
        </w:rPr>
        <w:t>implementar el acceso efectivo a</w:t>
      </w:r>
      <w:r w:rsidR="0013005C" w:rsidRPr="00274507">
        <w:rPr>
          <w:bCs/>
          <w:sz w:val="28"/>
          <w:szCs w:val="28"/>
        </w:rPr>
        <w:t>l derecho a la salud en el sistema.</w:t>
      </w:r>
    </w:p>
    <w:p w:rsidR="00C07EBB" w:rsidRPr="00274507" w:rsidRDefault="00C07EBB" w:rsidP="00274507">
      <w:pPr>
        <w:tabs>
          <w:tab w:val="left" w:pos="567"/>
        </w:tabs>
        <w:jc w:val="both"/>
        <w:rPr>
          <w:iCs/>
          <w:sz w:val="28"/>
          <w:szCs w:val="28"/>
        </w:rPr>
      </w:pPr>
    </w:p>
    <w:p w:rsidR="004B30AC" w:rsidRPr="00274507" w:rsidRDefault="00D05C0C" w:rsidP="00274507">
      <w:pPr>
        <w:tabs>
          <w:tab w:val="left" w:pos="567"/>
        </w:tabs>
        <w:jc w:val="both"/>
        <w:rPr>
          <w:iCs/>
          <w:sz w:val="28"/>
          <w:szCs w:val="28"/>
        </w:rPr>
      </w:pPr>
      <w:r w:rsidRPr="00274507">
        <w:rPr>
          <w:b/>
          <w:iCs/>
          <w:sz w:val="28"/>
          <w:szCs w:val="28"/>
        </w:rPr>
        <w:t>7</w:t>
      </w:r>
      <w:r w:rsidR="00A613D7" w:rsidRPr="00274507">
        <w:rPr>
          <w:b/>
          <w:iCs/>
          <w:sz w:val="28"/>
          <w:szCs w:val="28"/>
        </w:rPr>
        <w:t>.</w:t>
      </w:r>
      <w:r w:rsidR="00EB7D48" w:rsidRPr="00274507">
        <w:rPr>
          <w:b/>
          <w:iCs/>
          <w:sz w:val="28"/>
          <w:szCs w:val="28"/>
        </w:rPr>
        <w:t>3.3</w:t>
      </w:r>
      <w:r w:rsidR="00833FF8" w:rsidRPr="00274507">
        <w:rPr>
          <w:b/>
          <w:iCs/>
          <w:sz w:val="28"/>
          <w:szCs w:val="28"/>
        </w:rPr>
        <w:t>.</w:t>
      </w:r>
      <w:r w:rsidR="00833FF8" w:rsidRPr="00274507">
        <w:rPr>
          <w:iCs/>
          <w:sz w:val="28"/>
          <w:szCs w:val="28"/>
        </w:rPr>
        <w:t xml:space="preserve"> </w:t>
      </w:r>
      <w:r w:rsidR="00DD6286" w:rsidRPr="00274507">
        <w:rPr>
          <w:iCs/>
          <w:sz w:val="28"/>
          <w:szCs w:val="28"/>
        </w:rPr>
        <w:t>D</w:t>
      </w:r>
      <w:r w:rsidR="00C03CEE" w:rsidRPr="00274507">
        <w:rPr>
          <w:iCs/>
          <w:sz w:val="28"/>
          <w:szCs w:val="28"/>
        </w:rPr>
        <w:t>e los anteriores resultados</w:t>
      </w:r>
      <w:r w:rsidR="00C07EBB" w:rsidRPr="00274507">
        <w:rPr>
          <w:iCs/>
          <w:sz w:val="28"/>
          <w:szCs w:val="28"/>
        </w:rPr>
        <w:t xml:space="preserve"> y teniendo en cuenta las aclaraciones realizadas por los peritos constitucionales</w:t>
      </w:r>
      <w:r w:rsidR="00C03CEE" w:rsidRPr="00274507">
        <w:rPr>
          <w:iCs/>
          <w:sz w:val="28"/>
          <w:szCs w:val="28"/>
        </w:rPr>
        <w:t>, e</w:t>
      </w:r>
      <w:r w:rsidR="003631E9" w:rsidRPr="00274507">
        <w:rPr>
          <w:iCs/>
          <w:sz w:val="28"/>
          <w:szCs w:val="28"/>
        </w:rPr>
        <w:t xml:space="preserve">sta </w:t>
      </w:r>
      <w:r w:rsidR="00A613D7" w:rsidRPr="00274507">
        <w:rPr>
          <w:iCs/>
          <w:sz w:val="28"/>
          <w:szCs w:val="28"/>
        </w:rPr>
        <w:t>Sala Especial de Seguimiento</w:t>
      </w:r>
      <w:r w:rsidR="00DD6286" w:rsidRPr="00274507">
        <w:rPr>
          <w:iCs/>
          <w:sz w:val="28"/>
          <w:szCs w:val="28"/>
        </w:rPr>
        <w:t>,</w:t>
      </w:r>
      <w:r w:rsidR="00C03CEE" w:rsidRPr="00274507">
        <w:rPr>
          <w:iCs/>
          <w:sz w:val="28"/>
          <w:szCs w:val="28"/>
        </w:rPr>
        <w:t xml:space="preserve"> </w:t>
      </w:r>
      <w:r w:rsidR="00800662" w:rsidRPr="00274507">
        <w:rPr>
          <w:iCs/>
          <w:sz w:val="28"/>
          <w:szCs w:val="28"/>
        </w:rPr>
        <w:t>reconoce</w:t>
      </w:r>
      <w:r w:rsidR="00C24F16" w:rsidRPr="00274507">
        <w:rPr>
          <w:iCs/>
          <w:sz w:val="28"/>
          <w:szCs w:val="28"/>
        </w:rPr>
        <w:t xml:space="preserve"> un avance</w:t>
      </w:r>
      <w:r w:rsidR="003631E9" w:rsidRPr="00274507">
        <w:rPr>
          <w:iCs/>
          <w:sz w:val="28"/>
          <w:szCs w:val="28"/>
        </w:rPr>
        <w:t xml:space="preserve"> considerable en cu</w:t>
      </w:r>
      <w:r w:rsidR="00C24F16" w:rsidRPr="00274507">
        <w:rPr>
          <w:iCs/>
          <w:sz w:val="28"/>
          <w:szCs w:val="28"/>
        </w:rPr>
        <w:t>anto a la distinción de los problemas jurídicos</w:t>
      </w:r>
      <w:r w:rsidR="007636A8" w:rsidRPr="00274507">
        <w:rPr>
          <w:iCs/>
          <w:sz w:val="28"/>
          <w:szCs w:val="28"/>
        </w:rPr>
        <w:t xml:space="preserve"> establecidos en la sentencia T-760 de 2008</w:t>
      </w:r>
      <w:r w:rsidR="00C24F16" w:rsidRPr="00274507">
        <w:rPr>
          <w:iCs/>
          <w:sz w:val="28"/>
          <w:szCs w:val="28"/>
        </w:rPr>
        <w:t xml:space="preserve"> y su representación </w:t>
      </w:r>
      <w:r w:rsidR="00C03CEE" w:rsidRPr="00274507">
        <w:rPr>
          <w:iCs/>
          <w:sz w:val="28"/>
          <w:szCs w:val="28"/>
        </w:rPr>
        <w:t xml:space="preserve">en </w:t>
      </w:r>
      <w:r w:rsidR="00C24F16" w:rsidRPr="00274507">
        <w:rPr>
          <w:iCs/>
          <w:sz w:val="28"/>
          <w:szCs w:val="28"/>
        </w:rPr>
        <w:t>las tutelas</w:t>
      </w:r>
      <w:r w:rsidR="00C03CEE" w:rsidRPr="00274507">
        <w:rPr>
          <w:iCs/>
          <w:sz w:val="28"/>
          <w:szCs w:val="28"/>
        </w:rPr>
        <w:t xml:space="preserve"> objeto de estudio</w:t>
      </w:r>
      <w:r w:rsidR="00C24F16" w:rsidRPr="00274507">
        <w:rPr>
          <w:iCs/>
          <w:sz w:val="28"/>
          <w:szCs w:val="28"/>
        </w:rPr>
        <w:t>,</w:t>
      </w:r>
      <w:r w:rsidR="003631E9" w:rsidRPr="00274507">
        <w:rPr>
          <w:iCs/>
          <w:sz w:val="28"/>
          <w:szCs w:val="28"/>
        </w:rPr>
        <w:t xml:space="preserve"> ya que</w:t>
      </w:r>
      <w:r w:rsidR="00C03CEE" w:rsidRPr="00274507">
        <w:rPr>
          <w:iCs/>
          <w:sz w:val="28"/>
          <w:szCs w:val="28"/>
        </w:rPr>
        <w:t xml:space="preserve"> </w:t>
      </w:r>
      <w:r w:rsidR="003631E9" w:rsidRPr="00274507">
        <w:rPr>
          <w:iCs/>
          <w:sz w:val="28"/>
          <w:szCs w:val="28"/>
        </w:rPr>
        <w:t>fueron relacionados</w:t>
      </w:r>
      <w:r w:rsidR="00C03CEE" w:rsidRPr="00274507">
        <w:rPr>
          <w:iCs/>
          <w:sz w:val="28"/>
          <w:szCs w:val="28"/>
        </w:rPr>
        <w:t xml:space="preserve"> y desarrollados de forma concreta en los informes séptimo y octavo, </w:t>
      </w:r>
      <w:r w:rsidR="00A613D7" w:rsidRPr="00274507">
        <w:rPr>
          <w:iCs/>
          <w:sz w:val="28"/>
          <w:szCs w:val="28"/>
        </w:rPr>
        <w:t>donde se</w:t>
      </w:r>
      <w:r w:rsidR="00C03CEE" w:rsidRPr="00274507">
        <w:rPr>
          <w:iCs/>
          <w:sz w:val="28"/>
          <w:szCs w:val="28"/>
        </w:rPr>
        <w:t xml:space="preserve"> puede </w:t>
      </w:r>
      <w:r w:rsidR="00A613D7" w:rsidRPr="00274507">
        <w:rPr>
          <w:iCs/>
          <w:sz w:val="28"/>
          <w:szCs w:val="28"/>
        </w:rPr>
        <w:t xml:space="preserve">cada uno de los aspectos generales </w:t>
      </w:r>
      <w:r w:rsidR="00CF4618" w:rsidRPr="00274507">
        <w:rPr>
          <w:iCs/>
          <w:sz w:val="28"/>
          <w:szCs w:val="28"/>
        </w:rPr>
        <w:t>por los cuales se invocó</w:t>
      </w:r>
      <w:r w:rsidR="00A613D7" w:rsidRPr="00274507">
        <w:rPr>
          <w:iCs/>
          <w:sz w:val="28"/>
          <w:szCs w:val="28"/>
        </w:rPr>
        <w:t xml:space="preserve"> el amparo constitucional, específicamente en el último </w:t>
      </w:r>
      <w:r w:rsidR="004D22F7" w:rsidRPr="00274507">
        <w:rPr>
          <w:iCs/>
          <w:sz w:val="28"/>
          <w:szCs w:val="28"/>
        </w:rPr>
        <w:t>report</w:t>
      </w:r>
      <w:r w:rsidR="00A613D7" w:rsidRPr="00274507">
        <w:rPr>
          <w:iCs/>
          <w:sz w:val="28"/>
          <w:szCs w:val="28"/>
        </w:rPr>
        <w:t>e</w:t>
      </w:r>
      <w:r w:rsidR="00E755B5" w:rsidRPr="00274507">
        <w:rPr>
          <w:iCs/>
          <w:sz w:val="28"/>
          <w:szCs w:val="28"/>
        </w:rPr>
        <w:t>.</w:t>
      </w:r>
    </w:p>
    <w:p w:rsidR="004B30AC" w:rsidRPr="00274507" w:rsidRDefault="004B30AC" w:rsidP="00274507">
      <w:pPr>
        <w:tabs>
          <w:tab w:val="left" w:pos="567"/>
        </w:tabs>
        <w:jc w:val="both"/>
        <w:rPr>
          <w:iCs/>
          <w:sz w:val="28"/>
          <w:szCs w:val="28"/>
        </w:rPr>
      </w:pPr>
    </w:p>
    <w:p w:rsidR="00A9070C" w:rsidRPr="00274507" w:rsidRDefault="00E755B5" w:rsidP="00274507">
      <w:pPr>
        <w:tabs>
          <w:tab w:val="left" w:pos="567"/>
        </w:tabs>
        <w:jc w:val="both"/>
        <w:rPr>
          <w:iCs/>
          <w:sz w:val="28"/>
          <w:szCs w:val="28"/>
        </w:rPr>
      </w:pPr>
      <w:r w:rsidRPr="00274507">
        <w:rPr>
          <w:iCs/>
          <w:sz w:val="28"/>
          <w:szCs w:val="28"/>
        </w:rPr>
        <w:t>C</w:t>
      </w:r>
      <w:r w:rsidR="00DD6286" w:rsidRPr="00274507">
        <w:rPr>
          <w:iCs/>
          <w:sz w:val="28"/>
          <w:szCs w:val="28"/>
        </w:rPr>
        <w:t xml:space="preserve">onsidera </w:t>
      </w:r>
      <w:r w:rsidRPr="00274507">
        <w:rPr>
          <w:iCs/>
          <w:sz w:val="28"/>
          <w:szCs w:val="28"/>
        </w:rPr>
        <w:t xml:space="preserve"> esta Sala Especial </w:t>
      </w:r>
      <w:r w:rsidR="00DD6286" w:rsidRPr="00274507">
        <w:rPr>
          <w:iCs/>
          <w:sz w:val="28"/>
          <w:szCs w:val="28"/>
        </w:rPr>
        <w:t>que</w:t>
      </w:r>
      <w:r w:rsidR="004B30AC" w:rsidRPr="00274507">
        <w:rPr>
          <w:iCs/>
          <w:sz w:val="28"/>
          <w:szCs w:val="28"/>
        </w:rPr>
        <w:t xml:space="preserve"> los resultados obtenidos consisten especialmente en datos </w:t>
      </w:r>
      <w:r w:rsidR="007636A8" w:rsidRPr="00274507">
        <w:rPr>
          <w:iCs/>
          <w:sz w:val="28"/>
          <w:szCs w:val="28"/>
        </w:rPr>
        <w:t>cuantitativos</w:t>
      </w:r>
      <w:r w:rsidR="004B30AC" w:rsidRPr="00274507">
        <w:rPr>
          <w:iCs/>
          <w:sz w:val="28"/>
          <w:szCs w:val="28"/>
        </w:rPr>
        <w:t>, lo cual representa un avance parcial y no total para el desarrollo de cada uno de los problemas jurídicos advertidos</w:t>
      </w:r>
      <w:r w:rsidR="007636A8" w:rsidRPr="00274507">
        <w:rPr>
          <w:iCs/>
          <w:sz w:val="28"/>
          <w:szCs w:val="28"/>
        </w:rPr>
        <w:t xml:space="preserve"> inicialmente y que se relacionaron desde el año 2008 hasta el 2015</w:t>
      </w:r>
      <w:r w:rsidR="004B30AC" w:rsidRPr="00274507">
        <w:rPr>
          <w:iCs/>
          <w:sz w:val="28"/>
          <w:szCs w:val="28"/>
        </w:rPr>
        <w:t xml:space="preserve">. </w:t>
      </w:r>
      <w:r w:rsidR="00CF4618" w:rsidRPr="00274507">
        <w:rPr>
          <w:iCs/>
          <w:sz w:val="28"/>
          <w:szCs w:val="28"/>
        </w:rPr>
        <w:t>En consecuencia</w:t>
      </w:r>
      <w:r w:rsidR="00A9070C" w:rsidRPr="00274507">
        <w:rPr>
          <w:iCs/>
          <w:sz w:val="28"/>
          <w:szCs w:val="28"/>
        </w:rPr>
        <w:t>, esta Sala realiza</w:t>
      </w:r>
      <w:r w:rsidR="00833FF8" w:rsidRPr="00274507">
        <w:rPr>
          <w:iCs/>
          <w:sz w:val="28"/>
          <w:szCs w:val="28"/>
        </w:rPr>
        <w:t>rá</w:t>
      </w:r>
      <w:r w:rsidR="00A9070C" w:rsidRPr="00274507">
        <w:rPr>
          <w:iCs/>
          <w:sz w:val="28"/>
          <w:szCs w:val="28"/>
        </w:rPr>
        <w:t xml:space="preserve"> las siguientes precisiones de acuerdo </w:t>
      </w:r>
      <w:r w:rsidR="00CF4618" w:rsidRPr="00274507">
        <w:rPr>
          <w:iCs/>
          <w:sz w:val="28"/>
          <w:szCs w:val="28"/>
        </w:rPr>
        <w:t>con</w:t>
      </w:r>
      <w:r w:rsidR="00A9070C" w:rsidRPr="00274507">
        <w:rPr>
          <w:iCs/>
          <w:sz w:val="28"/>
          <w:szCs w:val="28"/>
        </w:rPr>
        <w:t xml:space="preserve"> los problemas referenciado</w:t>
      </w:r>
      <w:r w:rsidR="00CF4618" w:rsidRPr="00274507">
        <w:rPr>
          <w:iCs/>
          <w:sz w:val="28"/>
          <w:szCs w:val="28"/>
        </w:rPr>
        <w:t>s por el Ministerio de Salud</w:t>
      </w:r>
      <w:r w:rsidR="00A9070C" w:rsidRPr="00274507">
        <w:rPr>
          <w:iCs/>
          <w:sz w:val="28"/>
          <w:szCs w:val="28"/>
        </w:rPr>
        <w:t>:</w:t>
      </w:r>
    </w:p>
    <w:p w:rsidR="00A9070C" w:rsidRPr="00274507" w:rsidRDefault="00A9070C" w:rsidP="00274507">
      <w:pPr>
        <w:tabs>
          <w:tab w:val="left" w:pos="567"/>
        </w:tabs>
        <w:jc w:val="both"/>
        <w:rPr>
          <w:iCs/>
          <w:sz w:val="28"/>
          <w:szCs w:val="28"/>
        </w:rPr>
      </w:pPr>
    </w:p>
    <w:p w:rsidR="004B30AC" w:rsidRPr="00274507" w:rsidRDefault="00A9070C" w:rsidP="00274507">
      <w:pPr>
        <w:tabs>
          <w:tab w:val="left" w:pos="567"/>
        </w:tabs>
        <w:jc w:val="both"/>
        <w:rPr>
          <w:iCs/>
          <w:sz w:val="28"/>
          <w:szCs w:val="28"/>
        </w:rPr>
      </w:pPr>
      <w:r w:rsidRPr="00274507">
        <w:rPr>
          <w:iCs/>
          <w:sz w:val="28"/>
          <w:szCs w:val="28"/>
        </w:rPr>
        <w:t>i) E</w:t>
      </w:r>
      <w:r w:rsidR="004B30AC" w:rsidRPr="00274507">
        <w:rPr>
          <w:iCs/>
          <w:sz w:val="28"/>
          <w:szCs w:val="28"/>
        </w:rPr>
        <w:t>s</w:t>
      </w:r>
      <w:r w:rsidR="00FB345F" w:rsidRPr="00274507">
        <w:rPr>
          <w:iCs/>
          <w:sz w:val="28"/>
          <w:szCs w:val="28"/>
        </w:rPr>
        <w:t>te Tribunal</w:t>
      </w:r>
      <w:r w:rsidR="00A613D7" w:rsidRPr="00274507">
        <w:rPr>
          <w:iCs/>
          <w:sz w:val="28"/>
          <w:szCs w:val="28"/>
        </w:rPr>
        <w:t xml:space="preserve"> advierte </w:t>
      </w:r>
      <w:r w:rsidR="00FB345F" w:rsidRPr="00274507">
        <w:rPr>
          <w:iCs/>
          <w:sz w:val="28"/>
          <w:szCs w:val="28"/>
        </w:rPr>
        <w:t xml:space="preserve">una falencia, </w:t>
      </w:r>
      <w:r w:rsidR="000550B0" w:rsidRPr="00274507">
        <w:rPr>
          <w:iCs/>
          <w:sz w:val="28"/>
          <w:szCs w:val="28"/>
        </w:rPr>
        <w:t xml:space="preserve">cuando </w:t>
      </w:r>
      <w:r w:rsidR="004C3F0E" w:rsidRPr="00274507">
        <w:rPr>
          <w:iCs/>
          <w:sz w:val="28"/>
          <w:szCs w:val="28"/>
        </w:rPr>
        <w:t xml:space="preserve">dicho ministerio </w:t>
      </w:r>
      <w:r w:rsidR="000550B0" w:rsidRPr="00274507">
        <w:rPr>
          <w:iCs/>
          <w:sz w:val="28"/>
          <w:szCs w:val="28"/>
        </w:rPr>
        <w:t xml:space="preserve">aduce </w:t>
      </w:r>
      <w:r w:rsidRPr="00274507">
        <w:rPr>
          <w:iCs/>
          <w:sz w:val="28"/>
          <w:szCs w:val="28"/>
        </w:rPr>
        <w:t>que</w:t>
      </w:r>
      <w:r w:rsidR="00A613D7" w:rsidRPr="00274507">
        <w:rPr>
          <w:iCs/>
          <w:sz w:val="28"/>
          <w:szCs w:val="28"/>
        </w:rPr>
        <w:t xml:space="preserve"> la mayoría de los servicios requeridos por vía de tutela, radica no en la negación sino en la demora para</w:t>
      </w:r>
      <w:r w:rsidR="00CF4618" w:rsidRPr="00274507">
        <w:rPr>
          <w:iCs/>
          <w:sz w:val="28"/>
          <w:szCs w:val="28"/>
        </w:rPr>
        <w:t xml:space="preserve"> </w:t>
      </w:r>
      <w:r w:rsidR="00A613D7" w:rsidRPr="00274507">
        <w:rPr>
          <w:iCs/>
          <w:sz w:val="28"/>
          <w:szCs w:val="28"/>
        </w:rPr>
        <w:t>su autorizaci</w:t>
      </w:r>
      <w:r w:rsidR="00843ECD" w:rsidRPr="00274507">
        <w:rPr>
          <w:iCs/>
          <w:sz w:val="28"/>
          <w:szCs w:val="28"/>
        </w:rPr>
        <w:t>ón</w:t>
      </w:r>
      <w:r w:rsidR="00CE31B2" w:rsidRPr="00274507">
        <w:rPr>
          <w:iCs/>
          <w:sz w:val="28"/>
          <w:szCs w:val="28"/>
        </w:rPr>
        <w:t xml:space="preserve">, empero, no posee los soportes </w:t>
      </w:r>
      <w:r w:rsidR="00FB345F" w:rsidRPr="00274507">
        <w:rPr>
          <w:iCs/>
          <w:sz w:val="28"/>
          <w:szCs w:val="28"/>
        </w:rPr>
        <w:t>suficientes para compro</w:t>
      </w:r>
      <w:r w:rsidR="00E10EB4" w:rsidRPr="00274507">
        <w:rPr>
          <w:iCs/>
          <w:sz w:val="28"/>
          <w:szCs w:val="28"/>
        </w:rPr>
        <w:t>bar</w:t>
      </w:r>
      <w:r w:rsidR="00E755B5" w:rsidRPr="00274507">
        <w:rPr>
          <w:iCs/>
          <w:sz w:val="28"/>
          <w:szCs w:val="28"/>
        </w:rPr>
        <w:t>la</w:t>
      </w:r>
      <w:r w:rsidRPr="00274507">
        <w:rPr>
          <w:iCs/>
          <w:sz w:val="28"/>
          <w:szCs w:val="28"/>
        </w:rPr>
        <w:t xml:space="preserve">. </w:t>
      </w:r>
      <w:r w:rsidR="00843ECD" w:rsidRPr="00274507">
        <w:rPr>
          <w:iCs/>
          <w:sz w:val="28"/>
          <w:szCs w:val="28"/>
        </w:rPr>
        <w:t xml:space="preserve">Ahora bien, para el informe presentado en </w:t>
      </w:r>
      <w:r w:rsidR="00E10EB4" w:rsidRPr="00274507">
        <w:rPr>
          <w:iCs/>
          <w:sz w:val="28"/>
          <w:szCs w:val="28"/>
        </w:rPr>
        <w:t>el 2014</w:t>
      </w:r>
      <w:r w:rsidR="00E755B5" w:rsidRPr="00274507">
        <w:rPr>
          <w:iCs/>
          <w:sz w:val="28"/>
          <w:szCs w:val="28"/>
        </w:rPr>
        <w:t xml:space="preserve">, </w:t>
      </w:r>
      <w:r w:rsidR="00E10EB4" w:rsidRPr="00274507">
        <w:rPr>
          <w:iCs/>
          <w:sz w:val="28"/>
          <w:szCs w:val="28"/>
        </w:rPr>
        <w:t>advirtió que realizar</w:t>
      </w:r>
      <w:r w:rsidR="00E755B5" w:rsidRPr="00274507">
        <w:rPr>
          <w:iCs/>
          <w:sz w:val="28"/>
          <w:szCs w:val="28"/>
        </w:rPr>
        <w:t>ía las acciones pertinentes y</w:t>
      </w:r>
      <w:r w:rsidR="00E10EB4" w:rsidRPr="00274507">
        <w:rPr>
          <w:iCs/>
          <w:sz w:val="28"/>
          <w:szCs w:val="28"/>
        </w:rPr>
        <w:t xml:space="preserve"> poder </w:t>
      </w:r>
      <w:r w:rsidR="00843ECD" w:rsidRPr="00274507">
        <w:rPr>
          <w:iCs/>
          <w:sz w:val="28"/>
          <w:szCs w:val="28"/>
        </w:rPr>
        <w:t>obtener la</w:t>
      </w:r>
      <w:r w:rsidR="00CE31B2" w:rsidRPr="00274507">
        <w:rPr>
          <w:iCs/>
          <w:sz w:val="28"/>
          <w:szCs w:val="28"/>
        </w:rPr>
        <w:t xml:space="preserve"> información </w:t>
      </w:r>
      <w:r w:rsidR="00843ECD" w:rsidRPr="00274507">
        <w:rPr>
          <w:iCs/>
          <w:sz w:val="28"/>
          <w:szCs w:val="28"/>
        </w:rPr>
        <w:t>precisa qu</w:t>
      </w:r>
      <w:r w:rsidR="00CF4618" w:rsidRPr="00274507">
        <w:rPr>
          <w:iCs/>
          <w:sz w:val="28"/>
          <w:szCs w:val="28"/>
        </w:rPr>
        <w:t>e obtendría</w:t>
      </w:r>
      <w:r w:rsidR="00843ECD" w:rsidRPr="00274507">
        <w:rPr>
          <w:iCs/>
          <w:sz w:val="28"/>
          <w:szCs w:val="28"/>
        </w:rPr>
        <w:t xml:space="preserve"> datos útiles por parte de las EPS, IPS y demás autoridades territoriales,</w:t>
      </w:r>
      <w:r w:rsidR="008A75F9" w:rsidRPr="00274507">
        <w:rPr>
          <w:iCs/>
          <w:sz w:val="28"/>
          <w:szCs w:val="28"/>
        </w:rPr>
        <w:t xml:space="preserve"> pa</w:t>
      </w:r>
      <w:r w:rsidR="00843ECD" w:rsidRPr="00274507">
        <w:rPr>
          <w:iCs/>
          <w:sz w:val="28"/>
          <w:szCs w:val="28"/>
        </w:rPr>
        <w:t>ra comprobar la posible hipótesis</w:t>
      </w:r>
      <w:r w:rsidR="008A75F9" w:rsidRPr="00274507">
        <w:rPr>
          <w:iCs/>
          <w:sz w:val="28"/>
          <w:szCs w:val="28"/>
        </w:rPr>
        <w:t xml:space="preserve"> de la “demora en la prestación del servicio”</w:t>
      </w:r>
      <w:r w:rsidR="00CE31B2" w:rsidRPr="00274507">
        <w:rPr>
          <w:iCs/>
          <w:sz w:val="28"/>
          <w:szCs w:val="28"/>
        </w:rPr>
        <w:t xml:space="preserve">, </w:t>
      </w:r>
      <w:r w:rsidR="008A75F9" w:rsidRPr="00274507">
        <w:rPr>
          <w:iCs/>
          <w:sz w:val="28"/>
          <w:szCs w:val="28"/>
        </w:rPr>
        <w:t xml:space="preserve"> sin embargo, a la fecha, el ente regulador no ha puesto en marcha dicha acción</w:t>
      </w:r>
      <w:r w:rsidR="00CE31B2" w:rsidRPr="00274507">
        <w:rPr>
          <w:iCs/>
          <w:sz w:val="28"/>
          <w:szCs w:val="28"/>
        </w:rPr>
        <w:t>, inobservando que puede ser una herramienta</w:t>
      </w:r>
      <w:r w:rsidR="00CF4618" w:rsidRPr="00274507">
        <w:rPr>
          <w:iCs/>
          <w:sz w:val="28"/>
          <w:szCs w:val="28"/>
        </w:rPr>
        <w:t xml:space="preserve"> indispensable para corroborar y evidenciar la causal </w:t>
      </w:r>
      <w:r w:rsidR="008A75F9" w:rsidRPr="00274507">
        <w:rPr>
          <w:iCs/>
          <w:sz w:val="28"/>
          <w:szCs w:val="28"/>
        </w:rPr>
        <w:t>principal por la que acuden</w:t>
      </w:r>
      <w:r w:rsidR="00CE31B2" w:rsidRPr="00274507">
        <w:rPr>
          <w:iCs/>
          <w:sz w:val="28"/>
          <w:szCs w:val="28"/>
        </w:rPr>
        <w:t>.</w:t>
      </w:r>
    </w:p>
    <w:p w:rsidR="004B30AC" w:rsidRPr="00274507" w:rsidRDefault="004B30AC" w:rsidP="00274507">
      <w:pPr>
        <w:tabs>
          <w:tab w:val="left" w:pos="567"/>
        </w:tabs>
        <w:jc w:val="both"/>
        <w:rPr>
          <w:iCs/>
          <w:sz w:val="28"/>
          <w:szCs w:val="28"/>
        </w:rPr>
      </w:pPr>
    </w:p>
    <w:p w:rsidR="00690732" w:rsidRPr="00274507" w:rsidRDefault="00A9070C" w:rsidP="00274507">
      <w:pPr>
        <w:tabs>
          <w:tab w:val="left" w:pos="567"/>
        </w:tabs>
        <w:jc w:val="both"/>
        <w:rPr>
          <w:iCs/>
          <w:sz w:val="28"/>
          <w:szCs w:val="28"/>
        </w:rPr>
      </w:pPr>
      <w:r w:rsidRPr="00274507">
        <w:rPr>
          <w:iCs/>
          <w:sz w:val="28"/>
          <w:szCs w:val="28"/>
        </w:rPr>
        <w:t xml:space="preserve">ii) </w:t>
      </w:r>
      <w:r w:rsidR="00CE31B2" w:rsidRPr="00274507">
        <w:rPr>
          <w:iCs/>
          <w:sz w:val="28"/>
          <w:szCs w:val="28"/>
        </w:rPr>
        <w:t xml:space="preserve">Respecto </w:t>
      </w:r>
      <w:r w:rsidR="00CE4E3D" w:rsidRPr="00274507">
        <w:rPr>
          <w:iCs/>
          <w:sz w:val="28"/>
          <w:szCs w:val="28"/>
        </w:rPr>
        <w:t>de</w:t>
      </w:r>
      <w:r w:rsidR="00CE31B2" w:rsidRPr="00274507">
        <w:rPr>
          <w:iCs/>
          <w:sz w:val="28"/>
          <w:szCs w:val="28"/>
        </w:rPr>
        <w:t xml:space="preserve"> la prestación de las tecnologías no POS, </w:t>
      </w:r>
      <w:r w:rsidR="00CF4618" w:rsidRPr="00274507">
        <w:rPr>
          <w:iCs/>
          <w:sz w:val="28"/>
          <w:szCs w:val="28"/>
        </w:rPr>
        <w:t xml:space="preserve">este Tribunal indica </w:t>
      </w:r>
      <w:r w:rsidR="00CE31B2" w:rsidRPr="00274507">
        <w:rPr>
          <w:iCs/>
          <w:sz w:val="28"/>
          <w:szCs w:val="28"/>
        </w:rPr>
        <w:t xml:space="preserve">que no es posible determinar el porcentaje que representan esta categoría en las tutelas analizadas, por lo que no se puede obtener un resultado de evolución en ellas. Además, el Ministerio de Salud precisó que no es posible determinar </w:t>
      </w:r>
      <w:r w:rsidR="00690732" w:rsidRPr="00274507">
        <w:rPr>
          <w:iCs/>
          <w:sz w:val="28"/>
          <w:szCs w:val="28"/>
        </w:rPr>
        <w:t xml:space="preserve">en todos los casos relacionados con este problema jurídico, </w:t>
      </w:r>
      <w:r w:rsidR="00CE31B2" w:rsidRPr="00274507">
        <w:rPr>
          <w:iCs/>
          <w:sz w:val="28"/>
          <w:szCs w:val="28"/>
        </w:rPr>
        <w:t xml:space="preserve">la oportunidad en la prestación de dichos servicios, </w:t>
      </w:r>
      <w:r w:rsidR="00690732" w:rsidRPr="00274507">
        <w:rPr>
          <w:iCs/>
          <w:sz w:val="28"/>
          <w:szCs w:val="28"/>
        </w:rPr>
        <w:t>la posibilidad de ser asumidos por los usuarios y la necesidad de los mismos. Bajo ese entendido, se considera que la informaci</w:t>
      </w:r>
      <w:r w:rsidR="00CF4618" w:rsidRPr="00274507">
        <w:rPr>
          <w:iCs/>
          <w:sz w:val="28"/>
          <w:szCs w:val="28"/>
        </w:rPr>
        <w:t>ón allí contenida es incompleta.</w:t>
      </w:r>
    </w:p>
    <w:p w:rsidR="00690732" w:rsidRPr="00274507" w:rsidRDefault="00690732" w:rsidP="00274507">
      <w:pPr>
        <w:tabs>
          <w:tab w:val="left" w:pos="567"/>
        </w:tabs>
        <w:jc w:val="both"/>
        <w:rPr>
          <w:iCs/>
          <w:sz w:val="28"/>
          <w:szCs w:val="28"/>
        </w:rPr>
      </w:pPr>
    </w:p>
    <w:p w:rsidR="00C7519D" w:rsidRPr="00274507" w:rsidRDefault="00A9070C" w:rsidP="00274507">
      <w:pPr>
        <w:tabs>
          <w:tab w:val="left" w:pos="567"/>
        </w:tabs>
        <w:jc w:val="both"/>
        <w:rPr>
          <w:iCs/>
          <w:sz w:val="28"/>
          <w:szCs w:val="28"/>
        </w:rPr>
      </w:pPr>
      <w:r w:rsidRPr="00274507">
        <w:rPr>
          <w:iCs/>
          <w:sz w:val="28"/>
          <w:szCs w:val="28"/>
        </w:rPr>
        <w:t xml:space="preserve">iii) </w:t>
      </w:r>
      <w:r w:rsidR="00690732" w:rsidRPr="00274507">
        <w:rPr>
          <w:iCs/>
          <w:sz w:val="28"/>
          <w:szCs w:val="28"/>
        </w:rPr>
        <w:t xml:space="preserve">En cuanto a la </w:t>
      </w:r>
      <w:r w:rsidR="00C2568D" w:rsidRPr="00274507">
        <w:rPr>
          <w:iCs/>
          <w:sz w:val="28"/>
          <w:szCs w:val="28"/>
        </w:rPr>
        <w:t>negación de un ser</w:t>
      </w:r>
      <w:r w:rsidR="00B01997" w:rsidRPr="00274507">
        <w:rPr>
          <w:iCs/>
          <w:sz w:val="28"/>
          <w:szCs w:val="28"/>
        </w:rPr>
        <w:t>vicio por no haber solicitado su</w:t>
      </w:r>
      <w:r w:rsidR="00E755B5" w:rsidRPr="00274507">
        <w:rPr>
          <w:iCs/>
          <w:sz w:val="28"/>
          <w:szCs w:val="28"/>
        </w:rPr>
        <w:t xml:space="preserve"> autorización ante  el CTC </w:t>
      </w:r>
      <w:r w:rsidR="00E74001" w:rsidRPr="00274507">
        <w:rPr>
          <w:iCs/>
          <w:sz w:val="28"/>
          <w:szCs w:val="28"/>
        </w:rPr>
        <w:t xml:space="preserve">para el año </w:t>
      </w:r>
      <w:r w:rsidR="00C2568D" w:rsidRPr="00274507">
        <w:rPr>
          <w:iCs/>
          <w:sz w:val="28"/>
          <w:szCs w:val="28"/>
        </w:rPr>
        <w:t xml:space="preserve">2014 </w:t>
      </w:r>
      <w:r w:rsidR="00E74001" w:rsidRPr="00274507">
        <w:rPr>
          <w:iCs/>
          <w:sz w:val="28"/>
          <w:szCs w:val="28"/>
        </w:rPr>
        <w:t xml:space="preserve">este concepto </w:t>
      </w:r>
      <w:r w:rsidR="00C2568D" w:rsidRPr="00274507">
        <w:rPr>
          <w:iCs/>
          <w:sz w:val="28"/>
          <w:szCs w:val="28"/>
        </w:rPr>
        <w:t>no fue desarrollad</w:t>
      </w:r>
      <w:r w:rsidR="00E74001" w:rsidRPr="00274507">
        <w:rPr>
          <w:iCs/>
          <w:sz w:val="28"/>
          <w:szCs w:val="28"/>
        </w:rPr>
        <w:t xml:space="preserve">o </w:t>
      </w:r>
      <w:r w:rsidR="00C2568D" w:rsidRPr="00274507">
        <w:rPr>
          <w:iCs/>
          <w:sz w:val="28"/>
          <w:szCs w:val="28"/>
        </w:rPr>
        <w:t xml:space="preserve">y para el </w:t>
      </w:r>
      <w:r w:rsidR="00E74001" w:rsidRPr="00274507">
        <w:rPr>
          <w:iCs/>
          <w:sz w:val="28"/>
          <w:szCs w:val="28"/>
        </w:rPr>
        <w:t xml:space="preserve">2015 realizó el análisis en 1.361 expedientes y señaló como resultados </w:t>
      </w:r>
      <w:r w:rsidR="005560B1" w:rsidRPr="00274507">
        <w:rPr>
          <w:iCs/>
          <w:sz w:val="28"/>
          <w:szCs w:val="28"/>
        </w:rPr>
        <w:t>las EPS m</w:t>
      </w:r>
      <w:r w:rsidR="00E755B5" w:rsidRPr="00274507">
        <w:rPr>
          <w:iCs/>
          <w:sz w:val="28"/>
          <w:szCs w:val="28"/>
        </w:rPr>
        <w:t>ás demandadas. A pesar de ello, no se pudo</w:t>
      </w:r>
      <w:r w:rsidR="00CF5497" w:rsidRPr="00274507">
        <w:rPr>
          <w:iCs/>
          <w:sz w:val="28"/>
          <w:szCs w:val="28"/>
        </w:rPr>
        <w:t xml:space="preserve"> determinar el </w:t>
      </w:r>
      <w:r w:rsidR="005560B1" w:rsidRPr="00274507">
        <w:rPr>
          <w:iCs/>
          <w:sz w:val="28"/>
          <w:szCs w:val="28"/>
        </w:rPr>
        <w:t>porcentaje respectivo en la totalidad de la muestra,</w:t>
      </w:r>
      <w:r w:rsidR="002E3A92" w:rsidRPr="00274507">
        <w:rPr>
          <w:iCs/>
          <w:sz w:val="28"/>
          <w:szCs w:val="28"/>
        </w:rPr>
        <w:t xml:space="preserve"> ni</w:t>
      </w:r>
      <w:r w:rsidR="005560B1" w:rsidRPr="00274507">
        <w:rPr>
          <w:iCs/>
          <w:sz w:val="28"/>
          <w:szCs w:val="28"/>
        </w:rPr>
        <w:t xml:space="preserve"> las causas principales por las que los usuarios acuden sin efectuar el trámite respectivo ante </w:t>
      </w:r>
      <w:r w:rsidR="00C7519D" w:rsidRPr="00274507">
        <w:rPr>
          <w:iCs/>
          <w:sz w:val="28"/>
          <w:szCs w:val="28"/>
        </w:rPr>
        <w:t>el</w:t>
      </w:r>
      <w:r w:rsidR="00CF5497" w:rsidRPr="00274507">
        <w:rPr>
          <w:iCs/>
          <w:sz w:val="28"/>
          <w:szCs w:val="28"/>
        </w:rPr>
        <w:t xml:space="preserve"> Comit</w:t>
      </w:r>
      <w:r w:rsidR="00E755B5" w:rsidRPr="00274507">
        <w:rPr>
          <w:iCs/>
          <w:sz w:val="28"/>
          <w:szCs w:val="28"/>
        </w:rPr>
        <w:t>é, t</w:t>
      </w:r>
      <w:r w:rsidR="002E3A92" w:rsidRPr="00274507">
        <w:rPr>
          <w:iCs/>
          <w:sz w:val="28"/>
          <w:szCs w:val="28"/>
        </w:rPr>
        <w:t xml:space="preserve">ampoco </w:t>
      </w:r>
      <w:r w:rsidR="00E755B5" w:rsidRPr="00274507">
        <w:rPr>
          <w:iCs/>
          <w:sz w:val="28"/>
          <w:szCs w:val="28"/>
        </w:rPr>
        <w:t xml:space="preserve">la </w:t>
      </w:r>
      <w:r w:rsidR="002E3A92" w:rsidRPr="00274507">
        <w:rPr>
          <w:iCs/>
          <w:sz w:val="28"/>
          <w:szCs w:val="28"/>
        </w:rPr>
        <w:t>evolución del comportamiento de las acciones en este aspecto.</w:t>
      </w:r>
    </w:p>
    <w:p w:rsidR="00C7519D" w:rsidRPr="00274507" w:rsidRDefault="00C7519D" w:rsidP="00274507">
      <w:pPr>
        <w:tabs>
          <w:tab w:val="left" w:pos="567"/>
        </w:tabs>
        <w:jc w:val="both"/>
        <w:rPr>
          <w:iCs/>
          <w:sz w:val="28"/>
          <w:szCs w:val="28"/>
        </w:rPr>
      </w:pPr>
    </w:p>
    <w:p w:rsidR="00DB3F4E" w:rsidRPr="00274507" w:rsidRDefault="00AC204D" w:rsidP="00274507">
      <w:pPr>
        <w:tabs>
          <w:tab w:val="left" w:pos="567"/>
        </w:tabs>
        <w:jc w:val="both"/>
        <w:rPr>
          <w:iCs/>
          <w:sz w:val="28"/>
          <w:szCs w:val="28"/>
        </w:rPr>
      </w:pPr>
      <w:r w:rsidRPr="00274507">
        <w:rPr>
          <w:iCs/>
          <w:sz w:val="28"/>
          <w:szCs w:val="28"/>
        </w:rPr>
        <w:t>iv)</w:t>
      </w:r>
      <w:r w:rsidR="009F69A0" w:rsidRPr="00274507">
        <w:rPr>
          <w:iCs/>
          <w:sz w:val="28"/>
          <w:szCs w:val="28"/>
        </w:rPr>
        <w:t xml:space="preserve"> De las tutelas por co</w:t>
      </w:r>
      <w:r w:rsidR="00A9070C" w:rsidRPr="00274507">
        <w:rPr>
          <w:iCs/>
          <w:sz w:val="28"/>
          <w:szCs w:val="28"/>
        </w:rPr>
        <w:t xml:space="preserve">ncepto de tratamiento integral, el ente regulador </w:t>
      </w:r>
      <w:r w:rsidR="009F69A0" w:rsidRPr="00274507">
        <w:rPr>
          <w:iCs/>
          <w:sz w:val="28"/>
          <w:szCs w:val="28"/>
        </w:rPr>
        <w:t xml:space="preserve">identificó un aumento respecto a los casos analizados, </w:t>
      </w:r>
      <w:r w:rsidR="00A9070C" w:rsidRPr="00274507">
        <w:rPr>
          <w:iCs/>
          <w:sz w:val="28"/>
          <w:szCs w:val="28"/>
        </w:rPr>
        <w:t xml:space="preserve">ya que </w:t>
      </w:r>
      <w:r w:rsidR="009F69A0" w:rsidRPr="00274507">
        <w:rPr>
          <w:iCs/>
          <w:sz w:val="28"/>
          <w:szCs w:val="28"/>
        </w:rPr>
        <w:t>para el 2014 fueron 313</w:t>
      </w:r>
      <w:r w:rsidR="00D17EE0" w:rsidRPr="00274507">
        <w:rPr>
          <w:iCs/>
          <w:sz w:val="28"/>
          <w:szCs w:val="28"/>
        </w:rPr>
        <w:t xml:space="preserve"> de los cua</w:t>
      </w:r>
      <w:r w:rsidR="00A9070C" w:rsidRPr="00274507">
        <w:rPr>
          <w:iCs/>
          <w:sz w:val="28"/>
          <w:szCs w:val="28"/>
        </w:rPr>
        <w:t xml:space="preserve">les identificó que </w:t>
      </w:r>
      <w:r w:rsidR="00CF4618" w:rsidRPr="00274507">
        <w:rPr>
          <w:iCs/>
          <w:sz w:val="28"/>
          <w:szCs w:val="28"/>
        </w:rPr>
        <w:t>d</w:t>
      </w:r>
      <w:r w:rsidR="00A9070C" w:rsidRPr="00274507">
        <w:rPr>
          <w:iCs/>
          <w:sz w:val="28"/>
          <w:szCs w:val="28"/>
        </w:rPr>
        <w:t>el 14% de esas no pudo</w:t>
      </w:r>
      <w:r w:rsidR="00D17EE0" w:rsidRPr="00274507">
        <w:rPr>
          <w:iCs/>
          <w:sz w:val="28"/>
          <w:szCs w:val="28"/>
        </w:rPr>
        <w:t xml:space="preserve"> obtener los datos, </w:t>
      </w:r>
      <w:r w:rsidR="00A9070C" w:rsidRPr="00274507">
        <w:rPr>
          <w:iCs/>
          <w:sz w:val="28"/>
          <w:szCs w:val="28"/>
        </w:rPr>
        <w:t xml:space="preserve">por lo que esta Corporación evidencia </w:t>
      </w:r>
      <w:r w:rsidR="00EC691A" w:rsidRPr="00274507">
        <w:rPr>
          <w:iCs/>
          <w:sz w:val="28"/>
          <w:szCs w:val="28"/>
        </w:rPr>
        <w:t>imprecisión en los resultados. As</w:t>
      </w:r>
      <w:r w:rsidR="00A9070C" w:rsidRPr="00274507">
        <w:rPr>
          <w:iCs/>
          <w:sz w:val="28"/>
          <w:szCs w:val="28"/>
        </w:rPr>
        <w:t>í mismo, p</w:t>
      </w:r>
      <w:r w:rsidR="00D17EE0" w:rsidRPr="00274507">
        <w:rPr>
          <w:iCs/>
          <w:sz w:val="28"/>
          <w:szCs w:val="28"/>
        </w:rPr>
        <w:t>ara el año</w:t>
      </w:r>
      <w:r w:rsidR="00A9070C" w:rsidRPr="00274507">
        <w:rPr>
          <w:iCs/>
          <w:sz w:val="28"/>
          <w:szCs w:val="28"/>
        </w:rPr>
        <w:t xml:space="preserve"> 2015 se considera que</w:t>
      </w:r>
      <w:r w:rsidR="00D17EE0" w:rsidRPr="00274507">
        <w:rPr>
          <w:iCs/>
          <w:sz w:val="28"/>
          <w:szCs w:val="28"/>
        </w:rPr>
        <w:t xml:space="preserve"> </w:t>
      </w:r>
      <w:r w:rsidR="00A9070C" w:rsidRPr="00274507">
        <w:rPr>
          <w:iCs/>
          <w:sz w:val="28"/>
          <w:szCs w:val="28"/>
        </w:rPr>
        <w:t xml:space="preserve">en el informe presentado no se </w:t>
      </w:r>
      <w:r w:rsidR="0066765E" w:rsidRPr="00274507">
        <w:rPr>
          <w:iCs/>
          <w:sz w:val="28"/>
          <w:szCs w:val="28"/>
        </w:rPr>
        <w:t>d</w:t>
      </w:r>
      <w:r w:rsidR="00A9070C" w:rsidRPr="00274507">
        <w:rPr>
          <w:iCs/>
          <w:sz w:val="28"/>
          <w:szCs w:val="28"/>
        </w:rPr>
        <w:t>efinieron</w:t>
      </w:r>
      <w:r w:rsidR="0066765E" w:rsidRPr="00274507">
        <w:rPr>
          <w:iCs/>
          <w:sz w:val="28"/>
          <w:szCs w:val="28"/>
        </w:rPr>
        <w:t xml:space="preserve"> cuantas t</w:t>
      </w:r>
      <w:r w:rsidR="00687DB4" w:rsidRPr="00274507">
        <w:rPr>
          <w:iCs/>
          <w:sz w:val="28"/>
          <w:szCs w:val="28"/>
        </w:rPr>
        <w:t>u</w:t>
      </w:r>
      <w:r w:rsidR="00D41CF7" w:rsidRPr="00274507">
        <w:rPr>
          <w:iCs/>
          <w:sz w:val="28"/>
          <w:szCs w:val="28"/>
        </w:rPr>
        <w:t>telas fueron objeto de estudio. Además</w:t>
      </w:r>
      <w:r w:rsidR="00EC691A" w:rsidRPr="00274507">
        <w:rPr>
          <w:iCs/>
          <w:sz w:val="28"/>
          <w:szCs w:val="28"/>
        </w:rPr>
        <w:t>,</w:t>
      </w:r>
      <w:r w:rsidR="00A9070C" w:rsidRPr="00274507">
        <w:rPr>
          <w:iCs/>
          <w:sz w:val="28"/>
          <w:szCs w:val="28"/>
        </w:rPr>
        <w:t xml:space="preserve"> señaló</w:t>
      </w:r>
      <w:r w:rsidR="0066765E" w:rsidRPr="00274507">
        <w:rPr>
          <w:iCs/>
          <w:sz w:val="28"/>
          <w:szCs w:val="28"/>
        </w:rPr>
        <w:t xml:space="preserve"> cifras </w:t>
      </w:r>
      <w:r w:rsidR="00D7284A" w:rsidRPr="00274507">
        <w:rPr>
          <w:iCs/>
          <w:sz w:val="28"/>
          <w:szCs w:val="28"/>
        </w:rPr>
        <w:t>numéricas</w:t>
      </w:r>
      <w:r w:rsidR="00687DB4" w:rsidRPr="00274507">
        <w:rPr>
          <w:iCs/>
          <w:sz w:val="28"/>
          <w:szCs w:val="28"/>
        </w:rPr>
        <w:t xml:space="preserve"> que no son claras</w:t>
      </w:r>
      <w:r w:rsidR="0066765E" w:rsidRPr="00274507">
        <w:rPr>
          <w:iCs/>
          <w:sz w:val="28"/>
          <w:szCs w:val="28"/>
        </w:rPr>
        <w:t>, por ejemplo,</w:t>
      </w:r>
      <w:r w:rsidR="00D7284A" w:rsidRPr="00274507">
        <w:rPr>
          <w:iCs/>
          <w:sz w:val="28"/>
          <w:szCs w:val="28"/>
        </w:rPr>
        <w:t xml:space="preserve"> respecto al número de tutelas por régimen </w:t>
      </w:r>
      <w:r w:rsidR="00B44823" w:rsidRPr="00274507">
        <w:rPr>
          <w:iCs/>
          <w:sz w:val="28"/>
          <w:szCs w:val="28"/>
        </w:rPr>
        <w:t>contributivo señaló</w:t>
      </w:r>
      <w:r w:rsidR="00FD1C97" w:rsidRPr="00274507">
        <w:rPr>
          <w:iCs/>
          <w:sz w:val="28"/>
          <w:szCs w:val="28"/>
        </w:rPr>
        <w:t xml:space="preserve"> 1.251 casos </w:t>
      </w:r>
      <w:r w:rsidR="000327B8" w:rsidRPr="00274507">
        <w:rPr>
          <w:iCs/>
          <w:sz w:val="28"/>
          <w:szCs w:val="28"/>
        </w:rPr>
        <w:t xml:space="preserve">y 986 del régimen subsidiado </w:t>
      </w:r>
      <w:r w:rsidR="00B44823" w:rsidRPr="00274507">
        <w:rPr>
          <w:iCs/>
          <w:sz w:val="28"/>
          <w:szCs w:val="28"/>
        </w:rPr>
        <w:t>y en la gráfica</w:t>
      </w:r>
      <w:r w:rsidR="00710F6A" w:rsidRPr="00274507">
        <w:rPr>
          <w:iCs/>
          <w:sz w:val="28"/>
          <w:szCs w:val="28"/>
        </w:rPr>
        <w:t xml:space="preserve"> identificada con el núm. </w:t>
      </w:r>
      <w:r w:rsidR="000327B8" w:rsidRPr="00274507">
        <w:rPr>
          <w:iCs/>
          <w:sz w:val="28"/>
          <w:szCs w:val="28"/>
        </w:rPr>
        <w:t>21</w:t>
      </w:r>
      <w:r w:rsidR="00B44823" w:rsidRPr="00274507">
        <w:rPr>
          <w:iCs/>
          <w:sz w:val="28"/>
          <w:szCs w:val="28"/>
        </w:rPr>
        <w:t xml:space="preserve"> relacionó</w:t>
      </w:r>
      <w:r w:rsidR="00687DB4" w:rsidRPr="00274507">
        <w:rPr>
          <w:iCs/>
          <w:sz w:val="28"/>
          <w:szCs w:val="28"/>
        </w:rPr>
        <w:t xml:space="preserve"> 1.208 y 970 respectivamente</w:t>
      </w:r>
      <w:r w:rsidR="00EC691A" w:rsidRPr="00274507">
        <w:rPr>
          <w:iCs/>
          <w:sz w:val="28"/>
          <w:szCs w:val="28"/>
        </w:rPr>
        <w:t>. E</w:t>
      </w:r>
      <w:r w:rsidR="000327B8" w:rsidRPr="00274507">
        <w:rPr>
          <w:iCs/>
          <w:sz w:val="28"/>
          <w:szCs w:val="28"/>
        </w:rPr>
        <w:t>n</w:t>
      </w:r>
      <w:r w:rsidR="00687DB4" w:rsidRPr="00274507">
        <w:rPr>
          <w:iCs/>
          <w:sz w:val="28"/>
          <w:szCs w:val="28"/>
        </w:rPr>
        <w:t xml:space="preserve"> el esquema</w:t>
      </w:r>
      <w:r w:rsidR="00710F6A" w:rsidRPr="00274507">
        <w:rPr>
          <w:iCs/>
          <w:sz w:val="28"/>
          <w:szCs w:val="28"/>
        </w:rPr>
        <w:t xml:space="preserve"> núm. </w:t>
      </w:r>
      <w:r w:rsidR="000327B8" w:rsidRPr="00274507">
        <w:rPr>
          <w:iCs/>
          <w:sz w:val="28"/>
          <w:szCs w:val="28"/>
        </w:rPr>
        <w:t>22 indicó</w:t>
      </w:r>
      <w:r w:rsidR="00B44823" w:rsidRPr="00274507">
        <w:rPr>
          <w:iCs/>
          <w:sz w:val="28"/>
          <w:szCs w:val="28"/>
        </w:rPr>
        <w:t xml:space="preserve"> 114</w:t>
      </w:r>
      <w:r w:rsidR="00DB3F4E" w:rsidRPr="00274507">
        <w:rPr>
          <w:iCs/>
          <w:sz w:val="28"/>
          <w:szCs w:val="28"/>
        </w:rPr>
        <w:t xml:space="preserve"> y 112 en cada régimen</w:t>
      </w:r>
      <w:r w:rsidR="00466AB4" w:rsidRPr="00274507">
        <w:rPr>
          <w:iCs/>
          <w:sz w:val="28"/>
          <w:szCs w:val="28"/>
        </w:rPr>
        <w:t xml:space="preserve"> sin distinguir</w:t>
      </w:r>
      <w:r w:rsidR="00687DB4" w:rsidRPr="00274507">
        <w:rPr>
          <w:iCs/>
          <w:sz w:val="28"/>
          <w:szCs w:val="28"/>
        </w:rPr>
        <w:t xml:space="preserve"> a</w:t>
      </w:r>
      <w:r w:rsidR="00D41CF7" w:rsidRPr="00274507">
        <w:rPr>
          <w:iCs/>
          <w:sz w:val="28"/>
          <w:szCs w:val="28"/>
        </w:rPr>
        <w:t xml:space="preserve"> que caracterización correspondía</w:t>
      </w:r>
      <w:r w:rsidR="00DB3F4E" w:rsidRPr="00274507">
        <w:rPr>
          <w:iCs/>
          <w:sz w:val="28"/>
          <w:szCs w:val="28"/>
        </w:rPr>
        <w:t>,</w:t>
      </w:r>
      <w:r w:rsidR="00466AB4" w:rsidRPr="00274507">
        <w:rPr>
          <w:iCs/>
          <w:sz w:val="28"/>
          <w:szCs w:val="28"/>
        </w:rPr>
        <w:t xml:space="preserve"> información con la cual</w:t>
      </w:r>
      <w:r w:rsidR="00DB3F4E" w:rsidRPr="00274507">
        <w:rPr>
          <w:iCs/>
          <w:sz w:val="28"/>
          <w:szCs w:val="28"/>
        </w:rPr>
        <w:t>, no es posible realizar la evaluación de los resultados.</w:t>
      </w:r>
    </w:p>
    <w:p w:rsidR="00DB3F4E" w:rsidRPr="00274507" w:rsidRDefault="00DB3F4E" w:rsidP="00274507">
      <w:pPr>
        <w:tabs>
          <w:tab w:val="left" w:pos="567"/>
        </w:tabs>
        <w:jc w:val="both"/>
        <w:rPr>
          <w:iCs/>
          <w:sz w:val="28"/>
          <w:szCs w:val="28"/>
        </w:rPr>
      </w:pPr>
    </w:p>
    <w:p w:rsidR="00466AB4" w:rsidRPr="00274507" w:rsidRDefault="00466AB4" w:rsidP="00274507">
      <w:pPr>
        <w:tabs>
          <w:tab w:val="left" w:pos="567"/>
        </w:tabs>
        <w:jc w:val="both"/>
        <w:rPr>
          <w:iCs/>
          <w:sz w:val="28"/>
          <w:szCs w:val="28"/>
        </w:rPr>
      </w:pPr>
      <w:r w:rsidRPr="00274507">
        <w:rPr>
          <w:iCs/>
          <w:sz w:val="28"/>
          <w:szCs w:val="28"/>
        </w:rPr>
        <w:t xml:space="preserve">v) De los servicios negados al ser ordenados por médicos no </w:t>
      </w:r>
      <w:r w:rsidR="007F5FBB" w:rsidRPr="00274507">
        <w:rPr>
          <w:iCs/>
          <w:sz w:val="28"/>
          <w:szCs w:val="28"/>
        </w:rPr>
        <w:t xml:space="preserve">adscritos a la red, </w:t>
      </w:r>
      <w:r w:rsidR="00D41CF7" w:rsidRPr="00274507">
        <w:rPr>
          <w:iCs/>
          <w:sz w:val="28"/>
          <w:szCs w:val="28"/>
        </w:rPr>
        <w:t>la Sala evidenció</w:t>
      </w:r>
      <w:r w:rsidR="007F5FBB" w:rsidRPr="00274507">
        <w:rPr>
          <w:iCs/>
          <w:sz w:val="28"/>
          <w:szCs w:val="28"/>
        </w:rPr>
        <w:t xml:space="preserve"> una constante, ya que para el año 2014 obtuvieron 31 casos y 29 en el 2015, sin embargo, precisó que no fue posible corroborar si existió pronunciamiento científico por parte de las EPS, por lo que constituye una información incompleta en el sentido en que no se puede determinar las características y causas por las que se invoca la pro</w:t>
      </w:r>
      <w:r w:rsidR="00D41CF7" w:rsidRPr="00274507">
        <w:rPr>
          <w:iCs/>
          <w:sz w:val="28"/>
          <w:szCs w:val="28"/>
        </w:rPr>
        <w:t xml:space="preserve">tección del derecho a la salud y </w:t>
      </w:r>
      <w:r w:rsidR="007F5FBB" w:rsidRPr="00274507">
        <w:rPr>
          <w:iCs/>
          <w:sz w:val="28"/>
          <w:szCs w:val="28"/>
        </w:rPr>
        <w:t>si están relacionadas con circunstancias administrativas, estructurale</w:t>
      </w:r>
      <w:r w:rsidR="00D41CF7" w:rsidRPr="00274507">
        <w:rPr>
          <w:iCs/>
          <w:sz w:val="28"/>
          <w:szCs w:val="28"/>
        </w:rPr>
        <w:t>s o funcionales de cada entidad</w:t>
      </w:r>
      <w:r w:rsidR="007F5FBB" w:rsidRPr="00274507">
        <w:rPr>
          <w:iCs/>
          <w:sz w:val="28"/>
          <w:szCs w:val="28"/>
        </w:rPr>
        <w:t>.</w:t>
      </w:r>
    </w:p>
    <w:p w:rsidR="007F5FBB" w:rsidRPr="00274507" w:rsidRDefault="007F5FBB" w:rsidP="00274507">
      <w:pPr>
        <w:tabs>
          <w:tab w:val="left" w:pos="567"/>
        </w:tabs>
        <w:jc w:val="both"/>
        <w:rPr>
          <w:iCs/>
          <w:sz w:val="28"/>
          <w:szCs w:val="28"/>
        </w:rPr>
      </w:pPr>
    </w:p>
    <w:p w:rsidR="007F5FBB" w:rsidRPr="00274507" w:rsidRDefault="007F5FBB" w:rsidP="00274507">
      <w:pPr>
        <w:tabs>
          <w:tab w:val="left" w:pos="567"/>
        </w:tabs>
        <w:jc w:val="both"/>
        <w:rPr>
          <w:iCs/>
          <w:sz w:val="28"/>
          <w:szCs w:val="28"/>
        </w:rPr>
      </w:pPr>
      <w:r w:rsidRPr="00274507">
        <w:rPr>
          <w:iCs/>
          <w:sz w:val="28"/>
          <w:szCs w:val="28"/>
        </w:rPr>
        <w:t xml:space="preserve">vi) En lo relacionado con las tutelas por la prestación del servicio oportuna a los menores de edad, </w:t>
      </w:r>
      <w:r w:rsidR="00A9070C" w:rsidRPr="00274507">
        <w:rPr>
          <w:iCs/>
          <w:sz w:val="28"/>
          <w:szCs w:val="28"/>
        </w:rPr>
        <w:t xml:space="preserve">este Tribunal </w:t>
      </w:r>
      <w:r w:rsidRPr="00274507">
        <w:rPr>
          <w:iCs/>
          <w:sz w:val="28"/>
          <w:szCs w:val="28"/>
        </w:rPr>
        <w:t xml:space="preserve">denota que en el año </w:t>
      </w:r>
      <w:r w:rsidR="00193F0E" w:rsidRPr="00274507">
        <w:rPr>
          <w:iCs/>
          <w:sz w:val="28"/>
          <w:szCs w:val="28"/>
        </w:rPr>
        <w:t>2015 estuvo representado por el</w:t>
      </w:r>
      <w:r w:rsidRPr="00274507">
        <w:rPr>
          <w:iCs/>
          <w:sz w:val="28"/>
          <w:szCs w:val="28"/>
        </w:rPr>
        <w:t xml:space="preserve"> 12,7% de las tutelas analizadas, representadas en 689 </w:t>
      </w:r>
      <w:r w:rsidR="00193F0E" w:rsidRPr="00274507">
        <w:rPr>
          <w:iCs/>
          <w:sz w:val="28"/>
          <w:szCs w:val="28"/>
        </w:rPr>
        <w:t>casos, con lo que se evidencia un</w:t>
      </w:r>
      <w:r w:rsidR="00D41CF7" w:rsidRPr="00274507">
        <w:rPr>
          <w:iCs/>
          <w:sz w:val="28"/>
          <w:szCs w:val="28"/>
        </w:rPr>
        <w:t xml:space="preserve"> aumento a los 356 del año 2014</w:t>
      </w:r>
      <w:r w:rsidR="00193F0E" w:rsidRPr="00274507">
        <w:rPr>
          <w:iCs/>
          <w:sz w:val="28"/>
          <w:szCs w:val="28"/>
        </w:rPr>
        <w:t>. Se reconoce un avance en la precisión de los datos al observar que describió las razones por las que más presentan el amparo constitucional.</w:t>
      </w:r>
    </w:p>
    <w:p w:rsidR="00466AB4" w:rsidRPr="00274507" w:rsidRDefault="00466AB4" w:rsidP="00274507">
      <w:pPr>
        <w:tabs>
          <w:tab w:val="left" w:pos="567"/>
        </w:tabs>
        <w:jc w:val="both"/>
        <w:rPr>
          <w:iCs/>
          <w:sz w:val="28"/>
          <w:szCs w:val="28"/>
        </w:rPr>
      </w:pPr>
    </w:p>
    <w:p w:rsidR="00466AB4" w:rsidRPr="00274507" w:rsidRDefault="00193F0E" w:rsidP="00274507">
      <w:pPr>
        <w:tabs>
          <w:tab w:val="left" w:pos="567"/>
        </w:tabs>
        <w:jc w:val="both"/>
        <w:rPr>
          <w:iCs/>
          <w:sz w:val="28"/>
          <w:szCs w:val="28"/>
        </w:rPr>
      </w:pPr>
      <w:r w:rsidRPr="00274507">
        <w:rPr>
          <w:iCs/>
          <w:sz w:val="28"/>
          <w:szCs w:val="28"/>
        </w:rPr>
        <w:t>vii</w:t>
      </w:r>
      <w:r w:rsidR="00283ED9" w:rsidRPr="00274507">
        <w:rPr>
          <w:iCs/>
          <w:sz w:val="28"/>
          <w:szCs w:val="28"/>
        </w:rPr>
        <w:t>) De</w:t>
      </w:r>
      <w:r w:rsidRPr="00274507">
        <w:rPr>
          <w:iCs/>
          <w:sz w:val="28"/>
          <w:szCs w:val="28"/>
        </w:rPr>
        <w:t xml:space="preserve"> los servicios negados por estar supeditados al pago de la cuota</w:t>
      </w:r>
      <w:r w:rsidR="00283ED9" w:rsidRPr="00274507">
        <w:rPr>
          <w:iCs/>
          <w:sz w:val="28"/>
          <w:szCs w:val="28"/>
        </w:rPr>
        <w:t xml:space="preserve"> moderadora, </w:t>
      </w:r>
      <w:r w:rsidR="00A9070C" w:rsidRPr="00274507">
        <w:rPr>
          <w:iCs/>
          <w:sz w:val="28"/>
          <w:szCs w:val="28"/>
        </w:rPr>
        <w:t xml:space="preserve">el Ministerio de Salud señaló como resultados </w:t>
      </w:r>
      <w:r w:rsidR="00283ED9" w:rsidRPr="00274507">
        <w:rPr>
          <w:iCs/>
          <w:sz w:val="28"/>
          <w:szCs w:val="28"/>
        </w:rPr>
        <w:t xml:space="preserve">las EPS más demandadas, </w:t>
      </w:r>
      <w:r w:rsidR="007216F9" w:rsidRPr="00274507">
        <w:rPr>
          <w:iCs/>
          <w:sz w:val="28"/>
          <w:szCs w:val="28"/>
        </w:rPr>
        <w:t xml:space="preserve">no obstante, esta Sala considera que en el mismo no se evidenció </w:t>
      </w:r>
      <w:r w:rsidR="00283ED9" w:rsidRPr="00274507">
        <w:rPr>
          <w:iCs/>
          <w:sz w:val="28"/>
          <w:szCs w:val="28"/>
        </w:rPr>
        <w:t xml:space="preserve"> un porcentaje de representación, ni las causas</w:t>
      </w:r>
      <w:r w:rsidR="007216F9" w:rsidRPr="00274507">
        <w:rPr>
          <w:iCs/>
          <w:sz w:val="28"/>
          <w:szCs w:val="28"/>
        </w:rPr>
        <w:t xml:space="preserve"> </w:t>
      </w:r>
      <w:r w:rsidR="00EC691A" w:rsidRPr="00274507">
        <w:rPr>
          <w:iCs/>
          <w:sz w:val="28"/>
          <w:szCs w:val="28"/>
        </w:rPr>
        <w:t xml:space="preserve">y condiciones de los pacientes. También </w:t>
      </w:r>
      <w:r w:rsidR="00283ED9" w:rsidRPr="00274507">
        <w:rPr>
          <w:iCs/>
          <w:sz w:val="28"/>
          <w:szCs w:val="28"/>
        </w:rPr>
        <w:t>el Ministerio de Salud advirtió que no existe una negación explicita del servicio</w:t>
      </w:r>
      <w:r w:rsidR="00A62D21" w:rsidRPr="00274507">
        <w:rPr>
          <w:iCs/>
          <w:sz w:val="28"/>
          <w:szCs w:val="28"/>
        </w:rPr>
        <w:t xml:space="preserve"> como co</w:t>
      </w:r>
      <w:r w:rsidR="007216F9" w:rsidRPr="00274507">
        <w:rPr>
          <w:iCs/>
          <w:sz w:val="28"/>
          <w:szCs w:val="28"/>
        </w:rPr>
        <w:t>ndicionamiento de</w:t>
      </w:r>
      <w:r w:rsidR="00A62D21" w:rsidRPr="00274507">
        <w:rPr>
          <w:iCs/>
          <w:sz w:val="28"/>
          <w:szCs w:val="28"/>
        </w:rPr>
        <w:t xml:space="preserve">l pago, sin describir al menos de forma sumaria la justificación </w:t>
      </w:r>
      <w:r w:rsidR="00D41CF7" w:rsidRPr="00274507">
        <w:rPr>
          <w:iCs/>
          <w:sz w:val="28"/>
          <w:szCs w:val="28"/>
        </w:rPr>
        <w:t>para haber concluido dicha situación.</w:t>
      </w:r>
    </w:p>
    <w:p w:rsidR="00283ED9" w:rsidRPr="00274507" w:rsidRDefault="00283ED9" w:rsidP="00274507">
      <w:pPr>
        <w:tabs>
          <w:tab w:val="left" w:pos="567"/>
        </w:tabs>
        <w:jc w:val="both"/>
        <w:rPr>
          <w:iCs/>
          <w:sz w:val="28"/>
          <w:szCs w:val="28"/>
        </w:rPr>
      </w:pPr>
    </w:p>
    <w:p w:rsidR="006D2F88" w:rsidRPr="00274507" w:rsidRDefault="006D2F88" w:rsidP="00274507">
      <w:pPr>
        <w:tabs>
          <w:tab w:val="left" w:pos="567"/>
        </w:tabs>
        <w:jc w:val="both"/>
        <w:rPr>
          <w:iCs/>
          <w:sz w:val="28"/>
          <w:szCs w:val="28"/>
        </w:rPr>
      </w:pPr>
      <w:r w:rsidRPr="00274507">
        <w:rPr>
          <w:iCs/>
          <w:sz w:val="28"/>
          <w:szCs w:val="28"/>
        </w:rPr>
        <w:t>Además, con relación al cobro de copagos a personas que padecen alguna enfermedad catastrófica o de alto costo, este Tribunal pudo observar que en el 2014 no se abordó ese aspecto, empero, para</w:t>
      </w:r>
      <w:r w:rsidR="00EC691A" w:rsidRPr="00274507">
        <w:rPr>
          <w:iCs/>
          <w:sz w:val="28"/>
          <w:szCs w:val="28"/>
        </w:rPr>
        <w:t xml:space="preserve"> el 2015 </w:t>
      </w:r>
      <w:r w:rsidRPr="00274507">
        <w:rPr>
          <w:iCs/>
          <w:sz w:val="28"/>
          <w:szCs w:val="28"/>
        </w:rPr>
        <w:t>se identificó que el 18% de las tutelas se presentaron con pacientes de dichas patologías reclamando la exención de copagos representado en 986 expedientes, cifra que no se puede comparar ni evaluar su comportamiento en ocasiones pasadas, al no tener</w:t>
      </w:r>
      <w:r w:rsidR="00D41CF7" w:rsidRPr="00274507">
        <w:rPr>
          <w:iCs/>
          <w:sz w:val="28"/>
          <w:szCs w:val="28"/>
        </w:rPr>
        <w:t xml:space="preserve"> las</w:t>
      </w:r>
      <w:r w:rsidRPr="00274507">
        <w:rPr>
          <w:iCs/>
          <w:sz w:val="28"/>
          <w:szCs w:val="28"/>
        </w:rPr>
        <w:t xml:space="preserve"> mediciones.</w:t>
      </w:r>
    </w:p>
    <w:p w:rsidR="006D2F88" w:rsidRPr="00274507" w:rsidRDefault="006D2F88" w:rsidP="00274507">
      <w:pPr>
        <w:tabs>
          <w:tab w:val="left" w:pos="567"/>
        </w:tabs>
        <w:jc w:val="both"/>
        <w:rPr>
          <w:iCs/>
          <w:sz w:val="28"/>
          <w:szCs w:val="28"/>
        </w:rPr>
      </w:pPr>
    </w:p>
    <w:p w:rsidR="00283ED9" w:rsidRPr="00274507" w:rsidRDefault="00283ED9" w:rsidP="00274507">
      <w:pPr>
        <w:tabs>
          <w:tab w:val="left" w:pos="567"/>
        </w:tabs>
        <w:jc w:val="both"/>
        <w:rPr>
          <w:iCs/>
          <w:sz w:val="28"/>
          <w:szCs w:val="28"/>
        </w:rPr>
      </w:pPr>
      <w:r w:rsidRPr="00274507">
        <w:rPr>
          <w:iCs/>
          <w:sz w:val="28"/>
          <w:szCs w:val="28"/>
        </w:rPr>
        <w:t>viii)</w:t>
      </w:r>
      <w:r w:rsidR="000B4388" w:rsidRPr="00274507">
        <w:rPr>
          <w:iCs/>
          <w:sz w:val="28"/>
          <w:szCs w:val="28"/>
        </w:rPr>
        <w:t xml:space="preserve"> En cuanto a la negación de la autorización de las incapacidades laborales, </w:t>
      </w:r>
      <w:r w:rsidR="00A62D21" w:rsidRPr="00274507">
        <w:rPr>
          <w:iCs/>
          <w:sz w:val="28"/>
          <w:szCs w:val="28"/>
        </w:rPr>
        <w:t xml:space="preserve">el Ministerio de Salud dispuso que </w:t>
      </w:r>
      <w:r w:rsidR="009F6147" w:rsidRPr="00274507">
        <w:rPr>
          <w:iCs/>
          <w:sz w:val="28"/>
          <w:szCs w:val="28"/>
        </w:rPr>
        <w:t xml:space="preserve">en el 2014 se obtuvo 79 casos que representaron el 3.9% del total de las </w:t>
      </w:r>
      <w:r w:rsidR="00A62D21" w:rsidRPr="00274507">
        <w:rPr>
          <w:iCs/>
          <w:sz w:val="28"/>
          <w:szCs w:val="28"/>
        </w:rPr>
        <w:t>acciones estudiadas y para</w:t>
      </w:r>
      <w:r w:rsidR="009F6147" w:rsidRPr="00274507">
        <w:rPr>
          <w:iCs/>
          <w:sz w:val="28"/>
          <w:szCs w:val="28"/>
        </w:rPr>
        <w:t xml:space="preserve"> el 2015 se presentaron 183 casos</w:t>
      </w:r>
      <w:r w:rsidR="00EC691A" w:rsidRPr="00274507">
        <w:rPr>
          <w:iCs/>
          <w:sz w:val="28"/>
          <w:szCs w:val="28"/>
        </w:rPr>
        <w:t>. L</w:t>
      </w:r>
      <w:r w:rsidR="00A62D21" w:rsidRPr="00274507">
        <w:rPr>
          <w:iCs/>
          <w:sz w:val="28"/>
          <w:szCs w:val="28"/>
        </w:rPr>
        <w:t>o anterior, es puesto en conocimiento de esta Sala sin presentar una argumentación del comportamiento de las tutelas invocad</w:t>
      </w:r>
      <w:r w:rsidR="00D41CF7" w:rsidRPr="00274507">
        <w:rPr>
          <w:iCs/>
          <w:sz w:val="28"/>
          <w:szCs w:val="28"/>
        </w:rPr>
        <w:t>as por esta causa, ni siquiera indicar</w:t>
      </w:r>
      <w:r w:rsidR="00A62D21" w:rsidRPr="00274507">
        <w:rPr>
          <w:iCs/>
          <w:sz w:val="28"/>
          <w:szCs w:val="28"/>
        </w:rPr>
        <w:t xml:space="preserve"> el </w:t>
      </w:r>
      <w:r w:rsidR="00D41CF7" w:rsidRPr="00274507">
        <w:rPr>
          <w:iCs/>
          <w:sz w:val="28"/>
          <w:szCs w:val="28"/>
        </w:rPr>
        <w:t xml:space="preserve"> porcentaje</w:t>
      </w:r>
      <w:r w:rsidR="00A62D21" w:rsidRPr="00274507">
        <w:rPr>
          <w:iCs/>
          <w:sz w:val="28"/>
          <w:szCs w:val="28"/>
        </w:rPr>
        <w:t>. En ese sentido, no son claros los estudios obtenidos con la realidad, ni los</w:t>
      </w:r>
      <w:r w:rsidR="00D41CF7" w:rsidRPr="00274507">
        <w:rPr>
          <w:iCs/>
          <w:sz w:val="28"/>
          <w:szCs w:val="28"/>
        </w:rPr>
        <w:t xml:space="preserve"> argumentos</w:t>
      </w:r>
      <w:r w:rsidR="00A62D21" w:rsidRPr="00274507">
        <w:rPr>
          <w:iCs/>
          <w:sz w:val="28"/>
          <w:szCs w:val="28"/>
        </w:rPr>
        <w:t xml:space="preserve"> utilizados en estos casos por parte de las EPS, IPS o entidades territoriales </w:t>
      </w:r>
      <w:r w:rsidR="00D41CF7" w:rsidRPr="00274507">
        <w:rPr>
          <w:iCs/>
          <w:sz w:val="28"/>
          <w:szCs w:val="28"/>
        </w:rPr>
        <w:t>para negarlos</w:t>
      </w:r>
      <w:r w:rsidR="00A62D21" w:rsidRPr="00274507">
        <w:rPr>
          <w:iCs/>
          <w:sz w:val="28"/>
          <w:szCs w:val="28"/>
        </w:rPr>
        <w:t>.</w:t>
      </w:r>
    </w:p>
    <w:p w:rsidR="009F6147" w:rsidRPr="00274507" w:rsidRDefault="009F6147" w:rsidP="00274507">
      <w:pPr>
        <w:tabs>
          <w:tab w:val="left" w:pos="567"/>
        </w:tabs>
        <w:jc w:val="both"/>
        <w:rPr>
          <w:iCs/>
          <w:sz w:val="28"/>
          <w:szCs w:val="28"/>
        </w:rPr>
      </w:pPr>
    </w:p>
    <w:p w:rsidR="00974DD3" w:rsidRPr="00274507" w:rsidRDefault="00974DD3" w:rsidP="00274507">
      <w:pPr>
        <w:tabs>
          <w:tab w:val="left" w:pos="567"/>
        </w:tabs>
        <w:jc w:val="both"/>
        <w:rPr>
          <w:iCs/>
          <w:sz w:val="28"/>
          <w:szCs w:val="28"/>
        </w:rPr>
      </w:pPr>
      <w:r w:rsidRPr="00274507">
        <w:rPr>
          <w:iCs/>
          <w:sz w:val="28"/>
          <w:szCs w:val="28"/>
        </w:rPr>
        <w:t>ix</w:t>
      </w:r>
      <w:r w:rsidR="00BD0B9A" w:rsidRPr="00274507">
        <w:rPr>
          <w:iCs/>
          <w:sz w:val="28"/>
          <w:szCs w:val="28"/>
        </w:rPr>
        <w:t xml:space="preserve">) </w:t>
      </w:r>
      <w:r w:rsidR="0020174B" w:rsidRPr="00274507">
        <w:rPr>
          <w:iCs/>
          <w:sz w:val="28"/>
          <w:szCs w:val="28"/>
        </w:rPr>
        <w:t>Relacionado con l</w:t>
      </w:r>
      <w:r w:rsidRPr="00274507">
        <w:rPr>
          <w:iCs/>
          <w:sz w:val="28"/>
          <w:szCs w:val="28"/>
        </w:rPr>
        <w:t xml:space="preserve">as tutelas </w:t>
      </w:r>
      <w:r w:rsidR="00EC691A" w:rsidRPr="00274507">
        <w:rPr>
          <w:iCs/>
          <w:sz w:val="28"/>
          <w:szCs w:val="28"/>
        </w:rPr>
        <w:t xml:space="preserve">incoadas por inconvenientes en el traslado de la </w:t>
      </w:r>
      <w:r w:rsidR="0020174B" w:rsidRPr="00274507">
        <w:rPr>
          <w:iCs/>
          <w:sz w:val="28"/>
          <w:szCs w:val="28"/>
        </w:rPr>
        <w:t>afiliación</w:t>
      </w:r>
      <w:r w:rsidRPr="00274507">
        <w:rPr>
          <w:iCs/>
          <w:sz w:val="28"/>
          <w:szCs w:val="28"/>
        </w:rPr>
        <w:t xml:space="preserve">, </w:t>
      </w:r>
      <w:r w:rsidR="0020174B" w:rsidRPr="00274507">
        <w:rPr>
          <w:iCs/>
          <w:sz w:val="28"/>
          <w:szCs w:val="28"/>
        </w:rPr>
        <w:t>el Min</w:t>
      </w:r>
      <w:r w:rsidR="004D22F7" w:rsidRPr="00274507">
        <w:rPr>
          <w:iCs/>
          <w:sz w:val="28"/>
          <w:szCs w:val="28"/>
        </w:rPr>
        <w:t>isterio de Salud solo referenció</w:t>
      </w:r>
      <w:r w:rsidRPr="00274507">
        <w:rPr>
          <w:iCs/>
          <w:sz w:val="28"/>
          <w:szCs w:val="28"/>
        </w:rPr>
        <w:t xml:space="preserve"> 1</w:t>
      </w:r>
      <w:r w:rsidR="004D22F7" w:rsidRPr="00274507">
        <w:rPr>
          <w:iCs/>
          <w:sz w:val="28"/>
          <w:szCs w:val="28"/>
        </w:rPr>
        <w:t xml:space="preserve"> caso </w:t>
      </w:r>
      <w:r w:rsidR="0020174B" w:rsidRPr="00274507">
        <w:rPr>
          <w:iCs/>
          <w:sz w:val="28"/>
          <w:szCs w:val="28"/>
        </w:rPr>
        <w:t xml:space="preserve">del cual esta Sala desconoce las causas del usuario para interponer el amparo constitucional. Además se considera que no es una cifra </w:t>
      </w:r>
      <w:r w:rsidR="009606AD" w:rsidRPr="00274507">
        <w:rPr>
          <w:iCs/>
          <w:sz w:val="28"/>
          <w:szCs w:val="28"/>
        </w:rPr>
        <w:t>represent</w:t>
      </w:r>
      <w:r w:rsidR="0020174B" w:rsidRPr="00274507">
        <w:rPr>
          <w:iCs/>
          <w:sz w:val="28"/>
          <w:szCs w:val="28"/>
        </w:rPr>
        <w:t xml:space="preserve">ativa </w:t>
      </w:r>
      <w:r w:rsidR="009606AD" w:rsidRPr="00274507">
        <w:rPr>
          <w:iCs/>
          <w:sz w:val="28"/>
          <w:szCs w:val="28"/>
        </w:rPr>
        <w:t>de</w:t>
      </w:r>
      <w:r w:rsidR="0020174B" w:rsidRPr="00274507">
        <w:rPr>
          <w:iCs/>
          <w:sz w:val="28"/>
          <w:szCs w:val="28"/>
        </w:rPr>
        <w:t xml:space="preserve"> las tutelas, dicha condición genera dudas, ya que no se pudo concluir si se trata de una disminución de las tutelas por esta causa o si existen inconsistencias en la muestra. En ese orden, no puede atribuirse al Ministerio, como este lo reconoció u</w:t>
      </w:r>
      <w:r w:rsidR="009606AD" w:rsidRPr="00274507">
        <w:rPr>
          <w:iCs/>
          <w:sz w:val="28"/>
          <w:szCs w:val="28"/>
        </w:rPr>
        <w:t xml:space="preserve">n mejoramiento en el </w:t>
      </w:r>
      <w:r w:rsidR="00BD0B9A" w:rsidRPr="00274507">
        <w:rPr>
          <w:iCs/>
          <w:sz w:val="28"/>
          <w:szCs w:val="28"/>
        </w:rPr>
        <w:t xml:space="preserve">acceso a través de la </w:t>
      </w:r>
      <w:r w:rsidR="009606AD" w:rsidRPr="00274507">
        <w:rPr>
          <w:bCs/>
          <w:sz w:val="28"/>
          <w:szCs w:val="28"/>
        </w:rPr>
        <w:t>po</w:t>
      </w:r>
      <w:r w:rsidR="0020174B" w:rsidRPr="00274507">
        <w:rPr>
          <w:bCs/>
          <w:sz w:val="28"/>
          <w:szCs w:val="28"/>
        </w:rPr>
        <w:t>rtabilidad nacional en el SGSSS</w:t>
      </w:r>
      <w:r w:rsidR="009733B6" w:rsidRPr="00274507">
        <w:rPr>
          <w:bCs/>
          <w:sz w:val="28"/>
          <w:szCs w:val="28"/>
        </w:rPr>
        <w:t>.</w:t>
      </w:r>
    </w:p>
    <w:p w:rsidR="00BD0B9A" w:rsidRPr="00274507" w:rsidRDefault="00BD0B9A" w:rsidP="00274507">
      <w:pPr>
        <w:tabs>
          <w:tab w:val="left" w:pos="567"/>
        </w:tabs>
        <w:jc w:val="both"/>
        <w:rPr>
          <w:iCs/>
          <w:sz w:val="28"/>
          <w:szCs w:val="28"/>
        </w:rPr>
      </w:pPr>
    </w:p>
    <w:p w:rsidR="005D6F7C" w:rsidRPr="00274507" w:rsidRDefault="00083A51" w:rsidP="00274507">
      <w:pPr>
        <w:tabs>
          <w:tab w:val="left" w:pos="567"/>
        </w:tabs>
        <w:jc w:val="both"/>
        <w:rPr>
          <w:iCs/>
          <w:sz w:val="28"/>
          <w:szCs w:val="28"/>
        </w:rPr>
      </w:pPr>
      <w:r w:rsidRPr="00274507">
        <w:rPr>
          <w:iCs/>
          <w:sz w:val="28"/>
          <w:szCs w:val="28"/>
        </w:rPr>
        <w:t>x) Respecto al problema de</w:t>
      </w:r>
      <w:r w:rsidR="00ED054D" w:rsidRPr="00274507">
        <w:rPr>
          <w:iCs/>
          <w:sz w:val="28"/>
          <w:szCs w:val="28"/>
        </w:rPr>
        <w:t xml:space="preserve"> la interrupción del servicio de salud por dejar de cotizar durante un mes por desempleo y antes de ser asumido por otro empleador, el Ministerio de Salud indicó que para el 2014 se analiza</w:t>
      </w:r>
      <w:r w:rsidR="005D6F7C" w:rsidRPr="00274507">
        <w:rPr>
          <w:iCs/>
          <w:sz w:val="28"/>
          <w:szCs w:val="28"/>
        </w:rPr>
        <w:t xml:space="preserve">ron 6 expedientes, </w:t>
      </w:r>
      <w:r w:rsidRPr="00274507">
        <w:rPr>
          <w:iCs/>
          <w:sz w:val="28"/>
          <w:szCs w:val="28"/>
        </w:rPr>
        <w:t xml:space="preserve">los cuales no constituían una muestra representativa, sin embargo, advirtió que esa condición debería superarse con </w:t>
      </w:r>
      <w:r w:rsidR="005D6F7C" w:rsidRPr="00274507">
        <w:rPr>
          <w:iCs/>
          <w:sz w:val="28"/>
          <w:szCs w:val="28"/>
        </w:rPr>
        <w:t>la ejecución de lo dispue</w:t>
      </w:r>
      <w:r w:rsidRPr="00274507">
        <w:rPr>
          <w:iCs/>
          <w:sz w:val="28"/>
          <w:szCs w:val="28"/>
        </w:rPr>
        <w:t xml:space="preserve">sto en el Decreto 3047 de 2013, pese a ello, </w:t>
      </w:r>
      <w:r w:rsidR="005D6F7C" w:rsidRPr="00274507">
        <w:rPr>
          <w:iCs/>
          <w:sz w:val="28"/>
          <w:szCs w:val="28"/>
        </w:rPr>
        <w:t>para el 2015 id</w:t>
      </w:r>
      <w:r w:rsidRPr="00274507">
        <w:rPr>
          <w:iCs/>
          <w:sz w:val="28"/>
          <w:szCs w:val="28"/>
        </w:rPr>
        <w:t>entificó 29 casos. En consecuencia</w:t>
      </w:r>
      <w:r w:rsidR="00F67487" w:rsidRPr="00274507">
        <w:rPr>
          <w:iCs/>
          <w:sz w:val="28"/>
          <w:szCs w:val="28"/>
        </w:rPr>
        <w:t>,</w:t>
      </w:r>
      <w:r w:rsidRPr="00274507">
        <w:rPr>
          <w:iCs/>
          <w:sz w:val="28"/>
          <w:szCs w:val="28"/>
        </w:rPr>
        <w:t xml:space="preserve"> este Tribunal</w:t>
      </w:r>
      <w:r w:rsidR="005D6F7C" w:rsidRPr="00274507">
        <w:rPr>
          <w:iCs/>
          <w:sz w:val="28"/>
          <w:szCs w:val="28"/>
        </w:rPr>
        <w:t xml:space="preserve"> reitera que </w:t>
      </w:r>
      <w:r w:rsidRPr="00274507">
        <w:rPr>
          <w:iCs/>
          <w:sz w:val="28"/>
          <w:szCs w:val="28"/>
        </w:rPr>
        <w:t>en dicho análisis</w:t>
      </w:r>
      <w:r w:rsidR="00B44DD3" w:rsidRPr="00274507">
        <w:rPr>
          <w:rStyle w:val="Refdenotaalfinal"/>
          <w:iCs/>
          <w:sz w:val="28"/>
          <w:szCs w:val="28"/>
        </w:rPr>
        <w:endnoteReference w:id="1"/>
      </w:r>
      <w:r w:rsidRPr="00274507">
        <w:rPr>
          <w:iCs/>
          <w:sz w:val="28"/>
          <w:szCs w:val="28"/>
        </w:rPr>
        <w:t xml:space="preserve"> </w:t>
      </w:r>
      <w:r w:rsidR="006153F0" w:rsidRPr="00274507">
        <w:rPr>
          <w:iCs/>
          <w:sz w:val="28"/>
          <w:szCs w:val="28"/>
        </w:rPr>
        <w:t xml:space="preserve">no se puede evidenciar un aumento o disminución </w:t>
      </w:r>
      <w:r w:rsidR="00D41CF7" w:rsidRPr="00274507">
        <w:rPr>
          <w:iCs/>
          <w:sz w:val="28"/>
          <w:szCs w:val="28"/>
        </w:rPr>
        <w:t>de las acciones por esta causa</w:t>
      </w:r>
      <w:r w:rsidR="006153F0" w:rsidRPr="00274507">
        <w:rPr>
          <w:iCs/>
          <w:sz w:val="28"/>
          <w:szCs w:val="28"/>
        </w:rPr>
        <w:t>, ni se identificó su representación en las demás tutelas, lo que impide evaluar los</w:t>
      </w:r>
      <w:r w:rsidR="00A76E63" w:rsidRPr="00274507">
        <w:rPr>
          <w:iCs/>
          <w:sz w:val="28"/>
          <w:szCs w:val="28"/>
        </w:rPr>
        <w:t xml:space="preserve"> efectos del mencionado decreto y su incidencia en la presentación del amparo constitucional.</w:t>
      </w:r>
      <w:r w:rsidR="006153F0" w:rsidRPr="00274507">
        <w:rPr>
          <w:iCs/>
          <w:sz w:val="28"/>
          <w:szCs w:val="28"/>
        </w:rPr>
        <w:t xml:space="preserve">  </w:t>
      </w:r>
    </w:p>
    <w:p w:rsidR="007C10B0" w:rsidRPr="00274507" w:rsidRDefault="007C10B0" w:rsidP="00274507">
      <w:pPr>
        <w:tabs>
          <w:tab w:val="left" w:pos="567"/>
        </w:tabs>
        <w:jc w:val="both"/>
        <w:rPr>
          <w:iCs/>
          <w:sz w:val="28"/>
          <w:szCs w:val="28"/>
        </w:rPr>
      </w:pPr>
    </w:p>
    <w:p w:rsidR="00504EBF" w:rsidRPr="00274507" w:rsidRDefault="006D2F88" w:rsidP="00274507">
      <w:pPr>
        <w:tabs>
          <w:tab w:val="left" w:pos="567"/>
        </w:tabs>
        <w:jc w:val="both"/>
        <w:rPr>
          <w:iCs/>
          <w:sz w:val="28"/>
          <w:szCs w:val="28"/>
        </w:rPr>
      </w:pPr>
      <w:r w:rsidRPr="00274507">
        <w:rPr>
          <w:iCs/>
          <w:sz w:val="28"/>
          <w:szCs w:val="28"/>
        </w:rPr>
        <w:t>Ahora bien, una vez abordados los anteriores problemas jurídicos este Tribunal considera</w:t>
      </w:r>
      <w:r w:rsidR="00466278" w:rsidRPr="00274507">
        <w:rPr>
          <w:iCs/>
          <w:sz w:val="28"/>
          <w:szCs w:val="28"/>
        </w:rPr>
        <w:t xml:space="preserve"> que </w:t>
      </w:r>
      <w:r w:rsidRPr="00274507">
        <w:rPr>
          <w:iCs/>
          <w:sz w:val="28"/>
          <w:szCs w:val="28"/>
        </w:rPr>
        <w:t>el Ministerio de Salud incurrió</w:t>
      </w:r>
      <w:r w:rsidR="00E25EAF" w:rsidRPr="00274507">
        <w:rPr>
          <w:iCs/>
          <w:sz w:val="28"/>
          <w:szCs w:val="28"/>
        </w:rPr>
        <w:t xml:space="preserve"> en algunas irregularidades al tratar de resolver</w:t>
      </w:r>
      <w:r w:rsidRPr="00274507">
        <w:rPr>
          <w:iCs/>
          <w:sz w:val="28"/>
          <w:szCs w:val="28"/>
        </w:rPr>
        <w:t xml:space="preserve">los, </w:t>
      </w:r>
      <w:r w:rsidR="00E25EAF" w:rsidRPr="00274507">
        <w:rPr>
          <w:iCs/>
          <w:sz w:val="28"/>
          <w:szCs w:val="28"/>
        </w:rPr>
        <w:t xml:space="preserve">ya que </w:t>
      </w:r>
      <w:r w:rsidR="00D41CF7" w:rsidRPr="00274507">
        <w:rPr>
          <w:iCs/>
          <w:sz w:val="28"/>
          <w:szCs w:val="28"/>
        </w:rPr>
        <w:t>no fue</w:t>
      </w:r>
      <w:r w:rsidR="00466278" w:rsidRPr="00274507">
        <w:rPr>
          <w:iCs/>
          <w:sz w:val="28"/>
          <w:szCs w:val="28"/>
        </w:rPr>
        <w:t xml:space="preserve"> posible determinar cada uno de </w:t>
      </w:r>
      <w:r w:rsidR="00E25EAF" w:rsidRPr="00274507">
        <w:rPr>
          <w:iCs/>
          <w:sz w:val="28"/>
          <w:szCs w:val="28"/>
        </w:rPr>
        <w:t>los aspectos</w:t>
      </w:r>
      <w:r w:rsidR="004A0E93" w:rsidRPr="00274507">
        <w:rPr>
          <w:iCs/>
          <w:sz w:val="28"/>
          <w:szCs w:val="28"/>
        </w:rPr>
        <w:t xml:space="preserve"> contenidos en las peticiones</w:t>
      </w:r>
      <w:r w:rsidRPr="00274507">
        <w:rPr>
          <w:iCs/>
          <w:sz w:val="28"/>
          <w:szCs w:val="28"/>
        </w:rPr>
        <w:t xml:space="preserve">, sus </w:t>
      </w:r>
      <w:r w:rsidR="00E25EAF" w:rsidRPr="00274507">
        <w:rPr>
          <w:iCs/>
          <w:sz w:val="28"/>
          <w:szCs w:val="28"/>
        </w:rPr>
        <w:t>causas</w:t>
      </w:r>
      <w:r w:rsidRPr="00274507">
        <w:rPr>
          <w:iCs/>
          <w:sz w:val="28"/>
          <w:szCs w:val="28"/>
        </w:rPr>
        <w:t xml:space="preserve">, pretensiones, situaciones </w:t>
      </w:r>
      <w:r w:rsidR="00C03069" w:rsidRPr="00274507">
        <w:rPr>
          <w:iCs/>
          <w:sz w:val="28"/>
          <w:szCs w:val="28"/>
        </w:rPr>
        <w:t>jurídicas y fácticas que permitiera</w:t>
      </w:r>
      <w:r w:rsidRPr="00274507">
        <w:rPr>
          <w:iCs/>
          <w:sz w:val="28"/>
          <w:szCs w:val="28"/>
        </w:rPr>
        <w:t xml:space="preserve"> obtener r</w:t>
      </w:r>
      <w:r w:rsidR="00C03069" w:rsidRPr="00274507">
        <w:rPr>
          <w:iCs/>
          <w:sz w:val="28"/>
          <w:szCs w:val="28"/>
        </w:rPr>
        <w:t>esultados claros y comprender el funcio</w:t>
      </w:r>
      <w:r w:rsidRPr="00274507">
        <w:rPr>
          <w:iCs/>
          <w:sz w:val="28"/>
          <w:szCs w:val="28"/>
        </w:rPr>
        <w:t>n</w:t>
      </w:r>
      <w:r w:rsidR="00C03069" w:rsidRPr="00274507">
        <w:rPr>
          <w:iCs/>
          <w:sz w:val="28"/>
          <w:szCs w:val="28"/>
        </w:rPr>
        <w:t xml:space="preserve">amiento </w:t>
      </w:r>
      <w:r w:rsidR="004A0E93" w:rsidRPr="00274507">
        <w:rPr>
          <w:iCs/>
          <w:sz w:val="28"/>
          <w:szCs w:val="28"/>
        </w:rPr>
        <w:t>del sistema.</w:t>
      </w:r>
      <w:r w:rsidR="00C03069" w:rsidRPr="00274507">
        <w:rPr>
          <w:iCs/>
          <w:sz w:val="28"/>
          <w:szCs w:val="28"/>
        </w:rPr>
        <w:t xml:space="preserve">  Tampoco se  evidenció cuáles fueron</w:t>
      </w:r>
      <w:r w:rsidR="004A0E93" w:rsidRPr="00274507">
        <w:rPr>
          <w:iCs/>
          <w:sz w:val="28"/>
          <w:szCs w:val="28"/>
        </w:rPr>
        <w:t xml:space="preserve"> las principa</w:t>
      </w:r>
      <w:r w:rsidR="00C03069" w:rsidRPr="00274507">
        <w:rPr>
          <w:iCs/>
          <w:sz w:val="28"/>
          <w:szCs w:val="28"/>
        </w:rPr>
        <w:t>les conductas en las que incurrieron</w:t>
      </w:r>
      <w:r w:rsidR="004A0E93" w:rsidRPr="00274507">
        <w:rPr>
          <w:iCs/>
          <w:sz w:val="28"/>
          <w:szCs w:val="28"/>
        </w:rPr>
        <w:t xml:space="preserve"> las EPS, IPS y entidades territoriales para vulnerar el derecho a la salud</w:t>
      </w:r>
      <w:r w:rsidR="00C85CE9" w:rsidRPr="00274507">
        <w:rPr>
          <w:iCs/>
          <w:sz w:val="28"/>
          <w:szCs w:val="28"/>
        </w:rPr>
        <w:t xml:space="preserve">. </w:t>
      </w:r>
    </w:p>
    <w:p w:rsidR="00C85CE9" w:rsidRPr="00274507" w:rsidRDefault="00C85CE9" w:rsidP="00274507">
      <w:pPr>
        <w:tabs>
          <w:tab w:val="left" w:pos="567"/>
        </w:tabs>
        <w:jc w:val="both"/>
        <w:rPr>
          <w:iCs/>
          <w:sz w:val="28"/>
          <w:szCs w:val="28"/>
        </w:rPr>
      </w:pPr>
    </w:p>
    <w:p w:rsidR="000A0AFF" w:rsidRPr="00274507" w:rsidRDefault="004C5926" w:rsidP="00274507">
      <w:pPr>
        <w:tabs>
          <w:tab w:val="left" w:pos="567"/>
        </w:tabs>
        <w:jc w:val="both"/>
        <w:rPr>
          <w:iCs/>
          <w:sz w:val="28"/>
          <w:szCs w:val="28"/>
        </w:rPr>
      </w:pPr>
      <w:r w:rsidRPr="00274507">
        <w:rPr>
          <w:iCs/>
          <w:sz w:val="28"/>
          <w:szCs w:val="28"/>
        </w:rPr>
        <w:t>E</w:t>
      </w:r>
      <w:r w:rsidR="001B19DE" w:rsidRPr="00274507">
        <w:rPr>
          <w:iCs/>
          <w:sz w:val="28"/>
          <w:szCs w:val="28"/>
        </w:rPr>
        <w:t>n</w:t>
      </w:r>
      <w:r w:rsidRPr="00274507">
        <w:rPr>
          <w:iCs/>
          <w:sz w:val="28"/>
          <w:szCs w:val="28"/>
        </w:rPr>
        <w:t xml:space="preserve"> </w:t>
      </w:r>
      <w:r w:rsidR="00982500" w:rsidRPr="00274507">
        <w:rPr>
          <w:iCs/>
          <w:sz w:val="28"/>
          <w:szCs w:val="28"/>
        </w:rPr>
        <w:t>otro acápite del análisis</w:t>
      </w:r>
      <w:r w:rsidR="000550B0" w:rsidRPr="00274507">
        <w:rPr>
          <w:iCs/>
          <w:sz w:val="28"/>
          <w:szCs w:val="28"/>
        </w:rPr>
        <w:t xml:space="preserve"> dicho Ministerio</w:t>
      </w:r>
      <w:r w:rsidR="00982500" w:rsidRPr="00274507">
        <w:rPr>
          <w:iCs/>
          <w:sz w:val="28"/>
          <w:szCs w:val="28"/>
        </w:rPr>
        <w:t xml:space="preserve">, precisó que </w:t>
      </w:r>
      <w:r w:rsidR="000A3C2F" w:rsidRPr="00274507">
        <w:rPr>
          <w:iCs/>
          <w:sz w:val="28"/>
          <w:szCs w:val="28"/>
        </w:rPr>
        <w:t>el 51% (1.319</w:t>
      </w:r>
      <w:r w:rsidR="006460E6" w:rsidRPr="00274507">
        <w:rPr>
          <w:iCs/>
          <w:sz w:val="28"/>
          <w:szCs w:val="28"/>
        </w:rPr>
        <w:t xml:space="preserve"> acci</w:t>
      </w:r>
      <w:r w:rsidR="00687DB4" w:rsidRPr="00274507">
        <w:rPr>
          <w:iCs/>
          <w:sz w:val="28"/>
          <w:szCs w:val="28"/>
        </w:rPr>
        <w:t>ones</w:t>
      </w:r>
      <w:r w:rsidR="000A3C2F" w:rsidRPr="00274507">
        <w:rPr>
          <w:iCs/>
          <w:sz w:val="28"/>
          <w:szCs w:val="28"/>
        </w:rPr>
        <w:t>) de las tutelas interpuestas durante el último año obedecieron</w:t>
      </w:r>
      <w:r w:rsidR="00982500" w:rsidRPr="00274507">
        <w:rPr>
          <w:iCs/>
          <w:sz w:val="28"/>
          <w:szCs w:val="28"/>
        </w:rPr>
        <w:t xml:space="preserve"> a prestaciones no POS</w:t>
      </w:r>
      <w:r w:rsidR="000A3C2F" w:rsidRPr="00274507">
        <w:rPr>
          <w:iCs/>
          <w:sz w:val="28"/>
          <w:szCs w:val="28"/>
        </w:rPr>
        <w:t xml:space="preserve"> y a so</w:t>
      </w:r>
      <w:r w:rsidR="00C03069" w:rsidRPr="00274507">
        <w:rPr>
          <w:iCs/>
          <w:sz w:val="28"/>
          <w:szCs w:val="28"/>
        </w:rPr>
        <w:t xml:space="preserve">licitudes de atención integral, de las cuales, </w:t>
      </w:r>
      <w:r w:rsidR="001F6AC9" w:rsidRPr="00274507">
        <w:rPr>
          <w:iCs/>
          <w:sz w:val="28"/>
          <w:szCs w:val="28"/>
        </w:rPr>
        <w:t>e</w:t>
      </w:r>
      <w:r w:rsidR="000A3C2F" w:rsidRPr="00274507">
        <w:rPr>
          <w:iCs/>
          <w:sz w:val="28"/>
          <w:szCs w:val="28"/>
        </w:rPr>
        <w:t>l 49% (1.251 casos) fueron categorizados co</w:t>
      </w:r>
      <w:r w:rsidR="000A0AFF" w:rsidRPr="00274507">
        <w:rPr>
          <w:iCs/>
          <w:sz w:val="28"/>
          <w:szCs w:val="28"/>
        </w:rPr>
        <w:t>mo situaciones administrativas.</w:t>
      </w:r>
    </w:p>
    <w:p w:rsidR="006C0F1C" w:rsidRPr="00274507" w:rsidRDefault="006C0F1C" w:rsidP="00274507">
      <w:pPr>
        <w:tabs>
          <w:tab w:val="left" w:pos="567"/>
        </w:tabs>
        <w:jc w:val="both"/>
        <w:rPr>
          <w:iCs/>
          <w:sz w:val="28"/>
          <w:szCs w:val="28"/>
        </w:rPr>
      </w:pPr>
    </w:p>
    <w:p w:rsidR="00D573DE" w:rsidRPr="00274507" w:rsidRDefault="000A0AFF" w:rsidP="00274507">
      <w:pPr>
        <w:tabs>
          <w:tab w:val="left" w:pos="567"/>
        </w:tabs>
        <w:jc w:val="both"/>
        <w:rPr>
          <w:iCs/>
          <w:sz w:val="28"/>
          <w:szCs w:val="28"/>
        </w:rPr>
      </w:pPr>
      <w:r w:rsidRPr="00274507">
        <w:rPr>
          <w:iCs/>
          <w:sz w:val="28"/>
          <w:szCs w:val="28"/>
        </w:rPr>
        <w:t xml:space="preserve">Aunado a ello </w:t>
      </w:r>
      <w:r w:rsidR="00C03069" w:rsidRPr="00274507">
        <w:rPr>
          <w:iCs/>
          <w:sz w:val="28"/>
          <w:szCs w:val="28"/>
        </w:rPr>
        <w:t>justificó</w:t>
      </w:r>
      <w:r w:rsidR="00E626AE" w:rsidRPr="00274507">
        <w:rPr>
          <w:iCs/>
          <w:sz w:val="28"/>
          <w:szCs w:val="28"/>
        </w:rPr>
        <w:t xml:space="preserve"> </w:t>
      </w:r>
      <w:r w:rsidR="00D573DE" w:rsidRPr="00274507">
        <w:rPr>
          <w:iCs/>
          <w:sz w:val="28"/>
          <w:szCs w:val="28"/>
        </w:rPr>
        <w:t xml:space="preserve">que </w:t>
      </w:r>
      <w:r w:rsidR="00E626AE" w:rsidRPr="00274507">
        <w:rPr>
          <w:iCs/>
          <w:sz w:val="28"/>
          <w:szCs w:val="28"/>
        </w:rPr>
        <w:t xml:space="preserve">la mayoría de las causas </w:t>
      </w:r>
      <w:r w:rsidR="00C03069" w:rsidRPr="00274507">
        <w:rPr>
          <w:iCs/>
          <w:sz w:val="28"/>
          <w:szCs w:val="28"/>
        </w:rPr>
        <w:t>por las cuales se invocó</w:t>
      </w:r>
      <w:r w:rsidR="00504EBF" w:rsidRPr="00274507">
        <w:rPr>
          <w:iCs/>
          <w:sz w:val="28"/>
          <w:szCs w:val="28"/>
        </w:rPr>
        <w:t xml:space="preserve"> el amparo constitucional</w:t>
      </w:r>
      <w:r w:rsidR="00D573DE" w:rsidRPr="00274507">
        <w:rPr>
          <w:iCs/>
          <w:sz w:val="28"/>
          <w:szCs w:val="28"/>
        </w:rPr>
        <w:t xml:space="preserve"> fue</w:t>
      </w:r>
      <w:r w:rsidR="00504EBF" w:rsidRPr="00274507">
        <w:rPr>
          <w:iCs/>
          <w:sz w:val="28"/>
          <w:szCs w:val="28"/>
        </w:rPr>
        <w:t xml:space="preserve"> por </w:t>
      </w:r>
      <w:r w:rsidR="00C24F16" w:rsidRPr="00274507">
        <w:rPr>
          <w:iCs/>
          <w:sz w:val="28"/>
          <w:szCs w:val="28"/>
        </w:rPr>
        <w:t>demora en la prestaci</w:t>
      </w:r>
      <w:r w:rsidR="004E766A" w:rsidRPr="00274507">
        <w:rPr>
          <w:iCs/>
          <w:sz w:val="28"/>
          <w:szCs w:val="28"/>
        </w:rPr>
        <w:t xml:space="preserve">ón del servicio, </w:t>
      </w:r>
      <w:r w:rsidR="00D573DE" w:rsidRPr="00274507">
        <w:rPr>
          <w:iCs/>
          <w:sz w:val="28"/>
          <w:szCs w:val="28"/>
        </w:rPr>
        <w:t>lo cual resulta para esta Sala relevante ya que</w:t>
      </w:r>
      <w:r w:rsidR="004E766A" w:rsidRPr="00274507">
        <w:rPr>
          <w:iCs/>
          <w:sz w:val="28"/>
          <w:szCs w:val="28"/>
        </w:rPr>
        <w:t xml:space="preserve"> no es posible</w:t>
      </w:r>
      <w:r w:rsidR="00D573DE" w:rsidRPr="00274507">
        <w:rPr>
          <w:iCs/>
          <w:sz w:val="28"/>
          <w:szCs w:val="28"/>
        </w:rPr>
        <w:t>,</w:t>
      </w:r>
      <w:r w:rsidR="004E766A" w:rsidRPr="00274507">
        <w:rPr>
          <w:iCs/>
          <w:sz w:val="28"/>
          <w:szCs w:val="28"/>
        </w:rPr>
        <w:t xml:space="preserve"> </w:t>
      </w:r>
      <w:r w:rsidR="00E626AE" w:rsidRPr="00274507">
        <w:rPr>
          <w:iCs/>
          <w:sz w:val="28"/>
          <w:szCs w:val="28"/>
        </w:rPr>
        <w:t xml:space="preserve">que </w:t>
      </w:r>
      <w:r w:rsidR="00504EBF" w:rsidRPr="00274507">
        <w:rPr>
          <w:iCs/>
          <w:sz w:val="28"/>
          <w:szCs w:val="28"/>
        </w:rPr>
        <w:t>luego de</w:t>
      </w:r>
      <w:r w:rsidR="00D573DE" w:rsidRPr="00274507">
        <w:rPr>
          <w:iCs/>
          <w:sz w:val="28"/>
          <w:szCs w:val="28"/>
        </w:rPr>
        <w:t xml:space="preserve"> llegar a dicha conclusión no haya  implementado las herramientas precisas para solucionar esa dificultad en las EPS, IPS y demás entidades territoriales, </w:t>
      </w:r>
      <w:r w:rsidR="00E626AE" w:rsidRPr="00274507">
        <w:rPr>
          <w:iCs/>
          <w:sz w:val="28"/>
          <w:szCs w:val="28"/>
        </w:rPr>
        <w:t>mejora</w:t>
      </w:r>
      <w:r w:rsidR="00D573DE" w:rsidRPr="00274507">
        <w:rPr>
          <w:iCs/>
          <w:sz w:val="28"/>
          <w:szCs w:val="28"/>
        </w:rPr>
        <w:t xml:space="preserve">ndo </w:t>
      </w:r>
      <w:r w:rsidR="00504EBF" w:rsidRPr="00274507">
        <w:rPr>
          <w:iCs/>
          <w:sz w:val="28"/>
          <w:szCs w:val="28"/>
        </w:rPr>
        <w:t xml:space="preserve">la prestación de los servicios </w:t>
      </w:r>
      <w:r w:rsidR="00E626AE" w:rsidRPr="00274507">
        <w:rPr>
          <w:iCs/>
          <w:sz w:val="28"/>
          <w:szCs w:val="28"/>
        </w:rPr>
        <w:t>de salud,</w:t>
      </w:r>
      <w:r w:rsidR="00D573DE" w:rsidRPr="00274507">
        <w:rPr>
          <w:iCs/>
          <w:sz w:val="28"/>
          <w:szCs w:val="28"/>
        </w:rPr>
        <w:t xml:space="preserve"> tal como lo dispuso la sentencia T-</w:t>
      </w:r>
      <w:r w:rsidR="00E626AE" w:rsidRPr="00274507">
        <w:rPr>
          <w:iCs/>
          <w:sz w:val="28"/>
          <w:szCs w:val="28"/>
        </w:rPr>
        <w:t>760 de 2008</w:t>
      </w:r>
      <w:r w:rsidR="00D573DE" w:rsidRPr="00274507">
        <w:rPr>
          <w:iCs/>
          <w:sz w:val="28"/>
          <w:szCs w:val="28"/>
        </w:rPr>
        <w:t xml:space="preserve">. </w:t>
      </w:r>
      <w:r w:rsidR="00C03069" w:rsidRPr="00274507">
        <w:rPr>
          <w:iCs/>
          <w:sz w:val="28"/>
          <w:szCs w:val="28"/>
        </w:rPr>
        <w:t xml:space="preserve">Es necesario advertir por parte de este Tribunal que han </w:t>
      </w:r>
      <w:r w:rsidR="00D573DE" w:rsidRPr="00274507">
        <w:rPr>
          <w:iCs/>
          <w:sz w:val="28"/>
          <w:szCs w:val="28"/>
        </w:rPr>
        <w:t xml:space="preserve">trascurrido </w:t>
      </w:r>
      <w:r w:rsidR="00E626AE" w:rsidRPr="00274507">
        <w:rPr>
          <w:iCs/>
          <w:sz w:val="28"/>
          <w:szCs w:val="28"/>
        </w:rPr>
        <w:t>ocho (8) años des</w:t>
      </w:r>
      <w:r w:rsidR="00D573DE" w:rsidRPr="00274507">
        <w:rPr>
          <w:iCs/>
          <w:sz w:val="28"/>
          <w:szCs w:val="28"/>
        </w:rPr>
        <w:t>de que esta Corporación evidenció las fallas en el s</w:t>
      </w:r>
      <w:r w:rsidR="00DD15C3" w:rsidRPr="00274507">
        <w:rPr>
          <w:iCs/>
          <w:sz w:val="28"/>
          <w:szCs w:val="28"/>
        </w:rPr>
        <w:t xml:space="preserve">istema y es inadmisible que aún </w:t>
      </w:r>
      <w:r w:rsidR="00E626AE" w:rsidRPr="00274507">
        <w:rPr>
          <w:iCs/>
          <w:sz w:val="28"/>
          <w:szCs w:val="28"/>
        </w:rPr>
        <w:t xml:space="preserve">no exista </w:t>
      </w:r>
      <w:r w:rsidR="00D573DE" w:rsidRPr="00274507">
        <w:rPr>
          <w:iCs/>
          <w:sz w:val="28"/>
          <w:szCs w:val="28"/>
        </w:rPr>
        <w:t xml:space="preserve">una </w:t>
      </w:r>
      <w:r w:rsidR="00E626AE" w:rsidRPr="00274507">
        <w:rPr>
          <w:iCs/>
          <w:sz w:val="28"/>
          <w:szCs w:val="28"/>
        </w:rPr>
        <w:t xml:space="preserve">información </w:t>
      </w:r>
      <w:r w:rsidR="00D573DE" w:rsidRPr="00274507">
        <w:rPr>
          <w:iCs/>
          <w:sz w:val="28"/>
          <w:szCs w:val="28"/>
        </w:rPr>
        <w:t xml:space="preserve">clara, precisa, confiable que logre evidenciar </w:t>
      </w:r>
      <w:r w:rsidR="00E626AE" w:rsidRPr="00274507">
        <w:rPr>
          <w:iCs/>
          <w:sz w:val="28"/>
          <w:szCs w:val="28"/>
        </w:rPr>
        <w:t xml:space="preserve">las deficiencias </w:t>
      </w:r>
      <w:r w:rsidR="00C03069" w:rsidRPr="00274507">
        <w:rPr>
          <w:iCs/>
          <w:sz w:val="28"/>
          <w:szCs w:val="28"/>
        </w:rPr>
        <w:t xml:space="preserve">del sistema y </w:t>
      </w:r>
      <w:r w:rsidR="00D573DE" w:rsidRPr="00274507">
        <w:rPr>
          <w:iCs/>
          <w:sz w:val="28"/>
          <w:szCs w:val="28"/>
        </w:rPr>
        <w:t xml:space="preserve">son el sustento de </w:t>
      </w:r>
      <w:r w:rsidR="00C03069" w:rsidRPr="00274507">
        <w:rPr>
          <w:iCs/>
          <w:sz w:val="28"/>
          <w:szCs w:val="28"/>
        </w:rPr>
        <w:t xml:space="preserve">que </w:t>
      </w:r>
      <w:r w:rsidR="00E626AE" w:rsidRPr="00274507">
        <w:rPr>
          <w:iCs/>
          <w:sz w:val="28"/>
          <w:szCs w:val="28"/>
        </w:rPr>
        <w:t>los afiliados</w:t>
      </w:r>
      <w:r w:rsidR="00D573DE" w:rsidRPr="00274507">
        <w:rPr>
          <w:iCs/>
          <w:sz w:val="28"/>
          <w:szCs w:val="28"/>
        </w:rPr>
        <w:t xml:space="preserve"> día a día </w:t>
      </w:r>
      <w:r w:rsidR="00C03069" w:rsidRPr="00274507">
        <w:rPr>
          <w:iCs/>
          <w:sz w:val="28"/>
          <w:szCs w:val="28"/>
        </w:rPr>
        <w:t>acuda</w:t>
      </w:r>
      <w:r w:rsidR="00E626AE" w:rsidRPr="00274507">
        <w:rPr>
          <w:iCs/>
          <w:sz w:val="28"/>
          <w:szCs w:val="28"/>
        </w:rPr>
        <w:t>n al amparo constitucional</w:t>
      </w:r>
      <w:r w:rsidR="00D573DE" w:rsidRPr="00274507">
        <w:rPr>
          <w:iCs/>
          <w:sz w:val="28"/>
          <w:szCs w:val="28"/>
        </w:rPr>
        <w:t xml:space="preserve">. </w:t>
      </w:r>
      <w:r w:rsidR="005024CE" w:rsidRPr="00274507">
        <w:rPr>
          <w:sz w:val="28"/>
          <w:szCs w:val="28"/>
        </w:rPr>
        <w:t>En ese sentido, se reitera la jurisprudencia</w:t>
      </w:r>
      <w:r w:rsidR="005024CE" w:rsidRPr="00274507">
        <w:rPr>
          <w:rStyle w:val="Refdenotaalpie"/>
          <w:sz w:val="28"/>
          <w:szCs w:val="28"/>
        </w:rPr>
        <w:footnoteReference w:id="186"/>
      </w:r>
      <w:r w:rsidR="005024CE" w:rsidRPr="00274507">
        <w:rPr>
          <w:sz w:val="28"/>
          <w:szCs w:val="28"/>
        </w:rPr>
        <w:t xml:space="preserve"> desarrollada en relación con la oportunidad en la prestación del servicio a la salud, </w:t>
      </w:r>
      <w:r w:rsidR="00C03069" w:rsidRPr="00274507">
        <w:rPr>
          <w:sz w:val="28"/>
          <w:szCs w:val="28"/>
        </w:rPr>
        <w:t xml:space="preserve">en la que se dispuso que </w:t>
      </w:r>
      <w:r w:rsidR="005024CE" w:rsidRPr="00274507">
        <w:rPr>
          <w:sz w:val="28"/>
          <w:szCs w:val="28"/>
        </w:rPr>
        <w:t xml:space="preserve">las dilaciones injustificadas imponen al usuario una carga legal que no puede soportar, llevando al deterioro de su salud y afectando directamente </w:t>
      </w:r>
      <w:r w:rsidR="00C03069" w:rsidRPr="00274507">
        <w:rPr>
          <w:sz w:val="28"/>
          <w:szCs w:val="28"/>
        </w:rPr>
        <w:t>este derecho</w:t>
      </w:r>
      <w:r w:rsidR="005024CE" w:rsidRPr="00274507">
        <w:rPr>
          <w:sz w:val="28"/>
          <w:szCs w:val="28"/>
        </w:rPr>
        <w:t xml:space="preserve">. </w:t>
      </w:r>
    </w:p>
    <w:p w:rsidR="00D573DE" w:rsidRPr="00274507" w:rsidRDefault="00D573DE" w:rsidP="00274507">
      <w:pPr>
        <w:tabs>
          <w:tab w:val="left" w:pos="567"/>
        </w:tabs>
        <w:jc w:val="both"/>
        <w:rPr>
          <w:iCs/>
          <w:sz w:val="28"/>
          <w:szCs w:val="28"/>
        </w:rPr>
      </w:pPr>
    </w:p>
    <w:p w:rsidR="00194C41" w:rsidRPr="00274507" w:rsidRDefault="00D05C0C" w:rsidP="00274507">
      <w:pPr>
        <w:tabs>
          <w:tab w:val="left" w:pos="567"/>
        </w:tabs>
        <w:jc w:val="both"/>
        <w:rPr>
          <w:iCs/>
          <w:sz w:val="28"/>
          <w:szCs w:val="28"/>
        </w:rPr>
      </w:pPr>
      <w:r w:rsidRPr="00274507">
        <w:rPr>
          <w:b/>
          <w:iCs/>
          <w:sz w:val="28"/>
          <w:szCs w:val="28"/>
        </w:rPr>
        <w:t>7</w:t>
      </w:r>
      <w:r w:rsidR="004C5926" w:rsidRPr="00274507">
        <w:rPr>
          <w:b/>
          <w:iCs/>
          <w:sz w:val="28"/>
          <w:szCs w:val="28"/>
        </w:rPr>
        <w:t>.</w:t>
      </w:r>
      <w:r w:rsidR="00EB7D48" w:rsidRPr="00274507">
        <w:rPr>
          <w:b/>
          <w:iCs/>
          <w:sz w:val="28"/>
          <w:szCs w:val="28"/>
        </w:rPr>
        <w:t>3.4</w:t>
      </w:r>
      <w:r w:rsidR="004C5926" w:rsidRPr="00274507">
        <w:rPr>
          <w:b/>
          <w:iCs/>
          <w:sz w:val="28"/>
          <w:szCs w:val="28"/>
        </w:rPr>
        <w:t>.</w:t>
      </w:r>
      <w:r w:rsidR="004C5926" w:rsidRPr="00274507">
        <w:rPr>
          <w:iCs/>
          <w:sz w:val="28"/>
          <w:szCs w:val="28"/>
        </w:rPr>
        <w:t xml:space="preserve"> E</w:t>
      </w:r>
      <w:r w:rsidR="00C03069" w:rsidRPr="00274507">
        <w:rPr>
          <w:iCs/>
          <w:sz w:val="28"/>
          <w:szCs w:val="28"/>
        </w:rPr>
        <w:t>n consecuencia, e</w:t>
      </w:r>
      <w:r w:rsidR="004C5926" w:rsidRPr="00274507">
        <w:rPr>
          <w:iCs/>
          <w:sz w:val="28"/>
          <w:szCs w:val="28"/>
        </w:rPr>
        <w:t xml:space="preserve">ste </w:t>
      </w:r>
      <w:r w:rsidR="00E10BB8" w:rsidRPr="00274507">
        <w:rPr>
          <w:iCs/>
          <w:sz w:val="28"/>
          <w:szCs w:val="28"/>
        </w:rPr>
        <w:t>Tribunal</w:t>
      </w:r>
      <w:r w:rsidR="00EB7D48" w:rsidRPr="00274507">
        <w:rPr>
          <w:iCs/>
          <w:sz w:val="28"/>
          <w:szCs w:val="28"/>
        </w:rPr>
        <w:t xml:space="preserve"> considera que la información rend</w:t>
      </w:r>
      <w:r w:rsidR="004D22F7" w:rsidRPr="00274507">
        <w:rPr>
          <w:iCs/>
          <w:sz w:val="28"/>
          <w:szCs w:val="28"/>
        </w:rPr>
        <w:t xml:space="preserve">ida por el Ministerio de Salud </w:t>
      </w:r>
      <w:r w:rsidR="00EB7D48" w:rsidRPr="00274507">
        <w:rPr>
          <w:iCs/>
          <w:sz w:val="28"/>
          <w:szCs w:val="28"/>
        </w:rPr>
        <w:t>no ha atendido la totalidad de los problemas jurídicos señalados en la</w:t>
      </w:r>
      <w:r w:rsidR="001C2FF8" w:rsidRPr="00274507">
        <w:rPr>
          <w:iCs/>
          <w:sz w:val="28"/>
          <w:szCs w:val="28"/>
        </w:rPr>
        <w:t xml:space="preserve"> sentencia</w:t>
      </w:r>
      <w:r w:rsidR="00EB7D48" w:rsidRPr="00274507">
        <w:rPr>
          <w:iCs/>
          <w:sz w:val="28"/>
          <w:szCs w:val="28"/>
        </w:rPr>
        <w:t xml:space="preserve"> T-760 de 2008, </w:t>
      </w:r>
      <w:r w:rsidR="004D22F7" w:rsidRPr="00274507">
        <w:rPr>
          <w:iCs/>
          <w:sz w:val="28"/>
          <w:szCs w:val="28"/>
        </w:rPr>
        <w:t>como se explicó anteriormente</w:t>
      </w:r>
      <w:r w:rsidR="001C2FF8" w:rsidRPr="00274507">
        <w:rPr>
          <w:iCs/>
          <w:sz w:val="28"/>
          <w:szCs w:val="28"/>
        </w:rPr>
        <w:t xml:space="preserve"> se relacionaron unos datos que no son comparables porque no existen reportes, lo cual </w:t>
      </w:r>
      <w:r w:rsidR="00EB7D48" w:rsidRPr="00274507">
        <w:rPr>
          <w:iCs/>
          <w:sz w:val="28"/>
          <w:szCs w:val="28"/>
        </w:rPr>
        <w:t xml:space="preserve"> impide evidenciar</w:t>
      </w:r>
      <w:r w:rsidR="00D573DE" w:rsidRPr="00274507">
        <w:rPr>
          <w:iCs/>
          <w:sz w:val="28"/>
          <w:szCs w:val="28"/>
        </w:rPr>
        <w:t xml:space="preserve"> </w:t>
      </w:r>
      <w:r w:rsidR="00E626AE" w:rsidRPr="00274507">
        <w:rPr>
          <w:iCs/>
          <w:sz w:val="28"/>
          <w:szCs w:val="28"/>
        </w:rPr>
        <w:t xml:space="preserve">una disminución </w:t>
      </w:r>
      <w:r w:rsidR="00EB7D48" w:rsidRPr="00274507">
        <w:rPr>
          <w:iCs/>
          <w:sz w:val="28"/>
          <w:szCs w:val="28"/>
        </w:rPr>
        <w:t>o aumento en la presentación de las</w:t>
      </w:r>
      <w:r w:rsidR="005024CE" w:rsidRPr="00274507">
        <w:rPr>
          <w:iCs/>
          <w:sz w:val="28"/>
          <w:szCs w:val="28"/>
        </w:rPr>
        <w:t xml:space="preserve"> tutelas, </w:t>
      </w:r>
      <w:r w:rsidR="004E6E3C" w:rsidRPr="00274507">
        <w:rPr>
          <w:iCs/>
          <w:sz w:val="28"/>
          <w:szCs w:val="28"/>
        </w:rPr>
        <w:t>siendo este e</w:t>
      </w:r>
      <w:r w:rsidR="005024CE" w:rsidRPr="00274507">
        <w:rPr>
          <w:iCs/>
          <w:sz w:val="28"/>
          <w:szCs w:val="28"/>
        </w:rPr>
        <w:t xml:space="preserve">l fin último del </w:t>
      </w:r>
      <w:r w:rsidR="00C03069" w:rsidRPr="00274507">
        <w:rPr>
          <w:iCs/>
          <w:sz w:val="28"/>
          <w:szCs w:val="28"/>
        </w:rPr>
        <w:t>mandato</w:t>
      </w:r>
      <w:r w:rsidR="00194C41" w:rsidRPr="00274507">
        <w:rPr>
          <w:iCs/>
          <w:sz w:val="28"/>
          <w:szCs w:val="28"/>
        </w:rPr>
        <w:t>. Aunado a ello, aún persisten</w:t>
      </w:r>
      <w:r w:rsidR="001B19DE" w:rsidRPr="00274507">
        <w:rPr>
          <w:iCs/>
          <w:sz w:val="28"/>
          <w:szCs w:val="28"/>
        </w:rPr>
        <w:t xml:space="preserve"> las</w:t>
      </w:r>
      <w:r w:rsidR="00194C41" w:rsidRPr="00274507">
        <w:rPr>
          <w:iCs/>
          <w:sz w:val="28"/>
          <w:szCs w:val="28"/>
        </w:rPr>
        <w:t xml:space="preserve"> </w:t>
      </w:r>
      <w:r w:rsidR="005024CE" w:rsidRPr="00274507">
        <w:rPr>
          <w:iCs/>
          <w:sz w:val="28"/>
          <w:szCs w:val="28"/>
        </w:rPr>
        <w:t>barreras en la prestac</w:t>
      </w:r>
      <w:r w:rsidR="00DD15C3" w:rsidRPr="00274507">
        <w:rPr>
          <w:iCs/>
          <w:sz w:val="28"/>
          <w:szCs w:val="28"/>
        </w:rPr>
        <w:t xml:space="preserve">ión del servicio de salud y </w:t>
      </w:r>
      <w:r w:rsidR="005024CE" w:rsidRPr="00274507">
        <w:rPr>
          <w:iCs/>
          <w:sz w:val="28"/>
          <w:szCs w:val="28"/>
        </w:rPr>
        <w:t xml:space="preserve">continua siendo el </w:t>
      </w:r>
      <w:r w:rsidR="00E626AE" w:rsidRPr="00274507">
        <w:rPr>
          <w:iCs/>
          <w:sz w:val="28"/>
          <w:szCs w:val="28"/>
        </w:rPr>
        <w:t xml:space="preserve">juez </w:t>
      </w:r>
      <w:r w:rsidR="005024CE" w:rsidRPr="00274507">
        <w:rPr>
          <w:iCs/>
          <w:sz w:val="28"/>
          <w:szCs w:val="28"/>
        </w:rPr>
        <w:t xml:space="preserve">de tutela </w:t>
      </w:r>
      <w:r w:rsidR="00E626AE" w:rsidRPr="00274507">
        <w:rPr>
          <w:iCs/>
          <w:sz w:val="28"/>
          <w:szCs w:val="28"/>
        </w:rPr>
        <w:t>el garante del goce efectivo del derecho, cuando se ha i</w:t>
      </w:r>
      <w:r w:rsidR="005024CE" w:rsidRPr="00274507">
        <w:rPr>
          <w:iCs/>
          <w:sz w:val="28"/>
          <w:szCs w:val="28"/>
        </w:rPr>
        <w:t>nsistido reiteradamente que reposa en el Estado</w:t>
      </w:r>
      <w:r w:rsidR="00194C41" w:rsidRPr="00274507">
        <w:rPr>
          <w:iCs/>
          <w:sz w:val="28"/>
          <w:szCs w:val="28"/>
        </w:rPr>
        <w:t xml:space="preserve">, este deber. </w:t>
      </w:r>
    </w:p>
    <w:p w:rsidR="001B19DE" w:rsidRPr="00274507" w:rsidRDefault="001B19DE" w:rsidP="00274507">
      <w:pPr>
        <w:tabs>
          <w:tab w:val="left" w:pos="567"/>
        </w:tabs>
        <w:jc w:val="both"/>
        <w:rPr>
          <w:iCs/>
          <w:sz w:val="28"/>
          <w:szCs w:val="28"/>
        </w:rPr>
      </w:pPr>
    </w:p>
    <w:p w:rsidR="00E420D4" w:rsidRPr="00274507" w:rsidRDefault="00194C41" w:rsidP="00274507">
      <w:pPr>
        <w:tabs>
          <w:tab w:val="left" w:pos="567"/>
        </w:tabs>
        <w:jc w:val="both"/>
        <w:rPr>
          <w:iCs/>
          <w:sz w:val="28"/>
          <w:szCs w:val="28"/>
        </w:rPr>
      </w:pPr>
      <w:r w:rsidRPr="00274507">
        <w:rPr>
          <w:iCs/>
          <w:sz w:val="28"/>
          <w:szCs w:val="28"/>
        </w:rPr>
        <w:t xml:space="preserve">Esta Sala reitera que </w:t>
      </w:r>
      <w:r w:rsidR="00EB2548" w:rsidRPr="00274507">
        <w:rPr>
          <w:sz w:val="28"/>
          <w:szCs w:val="28"/>
        </w:rPr>
        <w:t xml:space="preserve">la oportunidad es un principio rector de los agentes del sistema, con el propósito </w:t>
      </w:r>
      <w:r w:rsidR="004C3D2F" w:rsidRPr="00274507">
        <w:rPr>
          <w:sz w:val="28"/>
          <w:szCs w:val="28"/>
        </w:rPr>
        <w:t xml:space="preserve">de </w:t>
      </w:r>
      <w:r w:rsidR="004717CE" w:rsidRPr="00274507">
        <w:rPr>
          <w:sz w:val="28"/>
          <w:szCs w:val="28"/>
        </w:rPr>
        <w:t xml:space="preserve">que la </w:t>
      </w:r>
      <w:r w:rsidR="004C3D2F" w:rsidRPr="00274507">
        <w:rPr>
          <w:sz w:val="28"/>
          <w:szCs w:val="28"/>
        </w:rPr>
        <w:t>presta</w:t>
      </w:r>
      <w:r w:rsidR="004717CE" w:rsidRPr="00274507">
        <w:rPr>
          <w:sz w:val="28"/>
          <w:szCs w:val="28"/>
        </w:rPr>
        <w:t>ción de</w:t>
      </w:r>
      <w:r w:rsidR="004C3D2F" w:rsidRPr="00274507">
        <w:rPr>
          <w:sz w:val="28"/>
          <w:szCs w:val="28"/>
        </w:rPr>
        <w:t xml:space="preserve"> los servicios </w:t>
      </w:r>
      <w:r w:rsidR="004717CE" w:rsidRPr="00274507">
        <w:rPr>
          <w:sz w:val="28"/>
          <w:szCs w:val="28"/>
        </w:rPr>
        <w:t>sean adecuados</w:t>
      </w:r>
      <w:r w:rsidR="004C3D2F" w:rsidRPr="00274507">
        <w:rPr>
          <w:sz w:val="28"/>
          <w:szCs w:val="28"/>
        </w:rPr>
        <w:t xml:space="preserve"> </w:t>
      </w:r>
      <w:r w:rsidR="004717CE" w:rsidRPr="00274507">
        <w:rPr>
          <w:sz w:val="28"/>
          <w:szCs w:val="28"/>
        </w:rPr>
        <w:t xml:space="preserve">para el momento </w:t>
      </w:r>
      <w:r w:rsidR="004C3D2F" w:rsidRPr="00274507">
        <w:rPr>
          <w:sz w:val="28"/>
          <w:szCs w:val="28"/>
        </w:rPr>
        <w:t>en que sean requeridos por el paciente y no en la fecha en que las EPS, IPS y demás autoridades puedan otorgarlas, condicionando al tiempo lo que por prescripción médica o por n</w:t>
      </w:r>
      <w:r w:rsidR="004717CE" w:rsidRPr="00274507">
        <w:rPr>
          <w:sz w:val="28"/>
          <w:szCs w:val="28"/>
        </w:rPr>
        <w:t>ecesidad del usuario requiere</w:t>
      </w:r>
      <w:r w:rsidR="00C03069" w:rsidRPr="00274507">
        <w:rPr>
          <w:sz w:val="28"/>
          <w:szCs w:val="28"/>
        </w:rPr>
        <w:t xml:space="preserve"> prontamente</w:t>
      </w:r>
      <w:r w:rsidR="004C3D2F" w:rsidRPr="00274507">
        <w:rPr>
          <w:sz w:val="28"/>
          <w:szCs w:val="28"/>
        </w:rPr>
        <w:t>.</w:t>
      </w:r>
      <w:r w:rsidR="00806B61" w:rsidRPr="00274507">
        <w:rPr>
          <w:iCs/>
          <w:sz w:val="28"/>
          <w:szCs w:val="28"/>
        </w:rPr>
        <w:t xml:space="preserve"> Por lo anterior, se indica al</w:t>
      </w:r>
      <w:r w:rsidR="00C03069" w:rsidRPr="00274507">
        <w:rPr>
          <w:sz w:val="28"/>
          <w:szCs w:val="28"/>
        </w:rPr>
        <w:t xml:space="preserve"> ente regulador</w:t>
      </w:r>
      <w:r w:rsidR="005735ED" w:rsidRPr="00274507">
        <w:rPr>
          <w:sz w:val="28"/>
          <w:szCs w:val="28"/>
        </w:rPr>
        <w:t xml:space="preserve"> que el principio de oportunidad en la prestación del servicio no se trata de u</w:t>
      </w:r>
      <w:r w:rsidR="00C03069" w:rsidRPr="00274507">
        <w:rPr>
          <w:sz w:val="28"/>
          <w:szCs w:val="28"/>
        </w:rPr>
        <w:t>na causa que reste importancia</w:t>
      </w:r>
      <w:r w:rsidR="005735ED" w:rsidRPr="00274507">
        <w:rPr>
          <w:sz w:val="28"/>
          <w:szCs w:val="28"/>
        </w:rPr>
        <w:t xml:space="preserve">, por el contrario de la misma se derivan la </w:t>
      </w:r>
      <w:r w:rsidR="004D22F7" w:rsidRPr="00274507">
        <w:rPr>
          <w:sz w:val="28"/>
          <w:szCs w:val="28"/>
        </w:rPr>
        <w:t>mayoría de los inconvenientes a</w:t>
      </w:r>
      <w:r w:rsidR="005735ED" w:rsidRPr="00274507">
        <w:rPr>
          <w:sz w:val="28"/>
          <w:szCs w:val="28"/>
        </w:rPr>
        <w:t xml:space="preserve"> los que a diario se enfrentan los afiliados</w:t>
      </w:r>
      <w:r w:rsidR="00A1323D" w:rsidRPr="00274507">
        <w:rPr>
          <w:sz w:val="28"/>
          <w:szCs w:val="28"/>
        </w:rPr>
        <w:t xml:space="preserve"> inclusive poniendo en riesgo su vida</w:t>
      </w:r>
      <w:r w:rsidR="005735ED" w:rsidRPr="00274507">
        <w:rPr>
          <w:sz w:val="28"/>
          <w:szCs w:val="28"/>
        </w:rPr>
        <w:t>, luego no se entiende, la falta de compromiso y observancia, pa</w:t>
      </w:r>
      <w:r w:rsidR="00A1323D" w:rsidRPr="00274507">
        <w:rPr>
          <w:sz w:val="28"/>
          <w:szCs w:val="28"/>
        </w:rPr>
        <w:t>ra que a la fecha persistan dichos motivos y sin justificaci</w:t>
      </w:r>
      <w:r w:rsidR="00E420D4" w:rsidRPr="00274507">
        <w:rPr>
          <w:sz w:val="28"/>
          <w:szCs w:val="28"/>
        </w:rPr>
        <w:t xml:space="preserve">ón alguna advierta </w:t>
      </w:r>
      <w:r w:rsidR="00A1323D" w:rsidRPr="00274507">
        <w:rPr>
          <w:sz w:val="28"/>
          <w:szCs w:val="28"/>
        </w:rPr>
        <w:t>las presuntas falencias sin desarrollar el contenido</w:t>
      </w:r>
      <w:r w:rsidR="00E420D4" w:rsidRPr="00274507">
        <w:rPr>
          <w:sz w:val="28"/>
          <w:szCs w:val="28"/>
        </w:rPr>
        <w:t xml:space="preserve"> de fondo, </w:t>
      </w:r>
      <w:r w:rsidR="00806B61" w:rsidRPr="00274507">
        <w:rPr>
          <w:sz w:val="28"/>
          <w:szCs w:val="28"/>
        </w:rPr>
        <w:t xml:space="preserve">ni </w:t>
      </w:r>
      <w:r w:rsidR="00E420D4" w:rsidRPr="00274507">
        <w:rPr>
          <w:sz w:val="28"/>
          <w:szCs w:val="28"/>
        </w:rPr>
        <w:t>enc</w:t>
      </w:r>
      <w:r w:rsidR="00806B61" w:rsidRPr="00274507">
        <w:rPr>
          <w:sz w:val="28"/>
          <w:szCs w:val="28"/>
        </w:rPr>
        <w:t>ontrar</w:t>
      </w:r>
      <w:r w:rsidR="006D0036" w:rsidRPr="00274507">
        <w:rPr>
          <w:sz w:val="28"/>
          <w:szCs w:val="28"/>
        </w:rPr>
        <w:t xml:space="preserve"> soluciones prontas y efectivas</w:t>
      </w:r>
      <w:r w:rsidR="00C03069" w:rsidRPr="00274507">
        <w:rPr>
          <w:sz w:val="28"/>
          <w:szCs w:val="28"/>
        </w:rPr>
        <w:t xml:space="preserve"> para superarlas</w:t>
      </w:r>
      <w:r w:rsidR="00E420D4" w:rsidRPr="00274507">
        <w:rPr>
          <w:sz w:val="28"/>
          <w:szCs w:val="28"/>
        </w:rPr>
        <w:t xml:space="preserve">. </w:t>
      </w:r>
    </w:p>
    <w:p w:rsidR="00E420D4" w:rsidRPr="00274507" w:rsidRDefault="00E420D4" w:rsidP="00274507">
      <w:pPr>
        <w:jc w:val="both"/>
        <w:rPr>
          <w:sz w:val="28"/>
          <w:szCs w:val="28"/>
        </w:rPr>
      </w:pPr>
    </w:p>
    <w:p w:rsidR="00C07EBB" w:rsidRPr="00274507" w:rsidRDefault="00A4354A" w:rsidP="00274507">
      <w:pPr>
        <w:jc w:val="both"/>
        <w:rPr>
          <w:sz w:val="28"/>
          <w:szCs w:val="28"/>
        </w:rPr>
      </w:pPr>
      <w:r w:rsidRPr="00274507">
        <w:rPr>
          <w:sz w:val="28"/>
          <w:szCs w:val="28"/>
        </w:rPr>
        <w:t xml:space="preserve">De lo expuesto anteriormente, esta Sala considera que </w:t>
      </w:r>
      <w:r w:rsidR="00E420D4" w:rsidRPr="00274507">
        <w:rPr>
          <w:sz w:val="28"/>
          <w:szCs w:val="28"/>
        </w:rPr>
        <w:t xml:space="preserve">el </w:t>
      </w:r>
      <w:r w:rsidR="00806B61" w:rsidRPr="00274507">
        <w:rPr>
          <w:sz w:val="28"/>
          <w:szCs w:val="28"/>
        </w:rPr>
        <w:t xml:space="preserve">Ministerio de Salud </w:t>
      </w:r>
      <w:r w:rsidR="00E420D4" w:rsidRPr="00274507">
        <w:rPr>
          <w:sz w:val="28"/>
          <w:szCs w:val="28"/>
        </w:rPr>
        <w:t>encarga</w:t>
      </w:r>
      <w:r w:rsidR="00806B61" w:rsidRPr="00274507">
        <w:rPr>
          <w:sz w:val="28"/>
          <w:szCs w:val="28"/>
        </w:rPr>
        <w:t>do</w:t>
      </w:r>
      <w:r w:rsidR="00E420D4" w:rsidRPr="00274507">
        <w:rPr>
          <w:sz w:val="28"/>
          <w:szCs w:val="28"/>
        </w:rPr>
        <w:t xml:space="preserve"> de dirigir y proteger el derecho </w:t>
      </w:r>
      <w:r w:rsidRPr="00274507">
        <w:rPr>
          <w:sz w:val="28"/>
          <w:szCs w:val="28"/>
        </w:rPr>
        <w:t>fundamental de la salud y de cumplir lo dispuesto en</w:t>
      </w:r>
      <w:r w:rsidR="00E420D4" w:rsidRPr="00274507">
        <w:rPr>
          <w:sz w:val="28"/>
          <w:szCs w:val="28"/>
        </w:rPr>
        <w:t xml:space="preserve"> la orden</w:t>
      </w:r>
      <w:r w:rsidRPr="00274507">
        <w:rPr>
          <w:sz w:val="28"/>
          <w:szCs w:val="28"/>
        </w:rPr>
        <w:t xml:space="preserve"> trigésima, </w:t>
      </w:r>
      <w:r w:rsidR="004E6E3C" w:rsidRPr="00274507">
        <w:rPr>
          <w:sz w:val="28"/>
          <w:szCs w:val="28"/>
        </w:rPr>
        <w:t>pareciera que la estima c</w:t>
      </w:r>
      <w:r w:rsidR="007D6362" w:rsidRPr="00274507">
        <w:rPr>
          <w:sz w:val="28"/>
          <w:szCs w:val="28"/>
        </w:rPr>
        <w:t xml:space="preserve">omo </w:t>
      </w:r>
      <w:r w:rsidRPr="00274507">
        <w:rPr>
          <w:sz w:val="28"/>
          <w:szCs w:val="28"/>
        </w:rPr>
        <w:t xml:space="preserve">un requisito </w:t>
      </w:r>
      <w:r w:rsidR="007F5F8F" w:rsidRPr="00274507">
        <w:rPr>
          <w:sz w:val="28"/>
          <w:szCs w:val="28"/>
        </w:rPr>
        <w:t>meramente formal</w:t>
      </w:r>
      <w:r w:rsidR="007D6362" w:rsidRPr="00274507">
        <w:rPr>
          <w:sz w:val="28"/>
          <w:szCs w:val="28"/>
        </w:rPr>
        <w:t xml:space="preserve"> y </w:t>
      </w:r>
      <w:r w:rsidR="00E420D4" w:rsidRPr="00274507">
        <w:rPr>
          <w:sz w:val="28"/>
          <w:szCs w:val="28"/>
        </w:rPr>
        <w:t>no como el proceso requerido para el desarrol</w:t>
      </w:r>
      <w:r w:rsidRPr="00274507">
        <w:rPr>
          <w:sz w:val="28"/>
          <w:szCs w:val="28"/>
        </w:rPr>
        <w:t xml:space="preserve">lo, mejoramiento e </w:t>
      </w:r>
      <w:r w:rsidR="00E420D4" w:rsidRPr="00274507">
        <w:rPr>
          <w:sz w:val="28"/>
          <w:szCs w:val="28"/>
        </w:rPr>
        <w:t xml:space="preserve">implementación de </w:t>
      </w:r>
      <w:r w:rsidRPr="00274507">
        <w:rPr>
          <w:sz w:val="28"/>
          <w:szCs w:val="28"/>
        </w:rPr>
        <w:t xml:space="preserve">medidas </w:t>
      </w:r>
      <w:r w:rsidR="00E420D4" w:rsidRPr="00274507">
        <w:rPr>
          <w:sz w:val="28"/>
          <w:szCs w:val="28"/>
        </w:rPr>
        <w:t>efectivas que abo</w:t>
      </w:r>
      <w:r w:rsidR="00A36C63" w:rsidRPr="00274507">
        <w:rPr>
          <w:sz w:val="28"/>
          <w:szCs w:val="28"/>
        </w:rPr>
        <w:t>rden las principales fallas</w:t>
      </w:r>
      <w:r w:rsidR="00806B61" w:rsidRPr="00274507">
        <w:rPr>
          <w:sz w:val="28"/>
          <w:szCs w:val="28"/>
        </w:rPr>
        <w:t xml:space="preserve"> del sistema</w:t>
      </w:r>
      <w:r w:rsidR="00E420D4" w:rsidRPr="00274507">
        <w:rPr>
          <w:sz w:val="28"/>
          <w:szCs w:val="28"/>
        </w:rPr>
        <w:t xml:space="preserve">, </w:t>
      </w:r>
      <w:r w:rsidR="006D0036" w:rsidRPr="00274507">
        <w:rPr>
          <w:sz w:val="28"/>
          <w:szCs w:val="28"/>
        </w:rPr>
        <w:t>en ese orden</w:t>
      </w:r>
      <w:r w:rsidR="00E420D4" w:rsidRPr="00274507">
        <w:rPr>
          <w:sz w:val="28"/>
          <w:szCs w:val="28"/>
        </w:rPr>
        <w:t xml:space="preserve">, </w:t>
      </w:r>
      <w:r w:rsidR="007D6362" w:rsidRPr="00274507">
        <w:rPr>
          <w:sz w:val="28"/>
          <w:szCs w:val="28"/>
        </w:rPr>
        <w:t xml:space="preserve">pareciera que </w:t>
      </w:r>
      <w:r w:rsidR="00806B61" w:rsidRPr="00274507">
        <w:rPr>
          <w:sz w:val="28"/>
          <w:szCs w:val="28"/>
        </w:rPr>
        <w:t xml:space="preserve">no es su prioridad </w:t>
      </w:r>
      <w:r w:rsidR="006D0036" w:rsidRPr="00274507">
        <w:rPr>
          <w:sz w:val="28"/>
          <w:szCs w:val="28"/>
        </w:rPr>
        <w:t>resolver de forma definitiva</w:t>
      </w:r>
      <w:r w:rsidR="00806B61" w:rsidRPr="00274507">
        <w:rPr>
          <w:sz w:val="28"/>
          <w:szCs w:val="28"/>
        </w:rPr>
        <w:t>, evadiendo la importancia que le merece al ser un fin esencial del Estado que se debe garantizar a todos los colombianos</w:t>
      </w:r>
      <w:r w:rsidR="006D0036" w:rsidRPr="00274507">
        <w:rPr>
          <w:sz w:val="28"/>
          <w:szCs w:val="28"/>
        </w:rPr>
        <w:t>.</w:t>
      </w:r>
    </w:p>
    <w:p w:rsidR="00733A66" w:rsidRPr="00274507" w:rsidRDefault="00733A66" w:rsidP="00274507">
      <w:pPr>
        <w:jc w:val="both"/>
        <w:rPr>
          <w:bCs/>
          <w:sz w:val="28"/>
          <w:szCs w:val="28"/>
        </w:rPr>
      </w:pPr>
    </w:p>
    <w:p w:rsidR="00022230" w:rsidRPr="00274507" w:rsidRDefault="004D22F7" w:rsidP="00274507">
      <w:pPr>
        <w:jc w:val="both"/>
        <w:rPr>
          <w:sz w:val="28"/>
          <w:szCs w:val="28"/>
        </w:rPr>
      </w:pPr>
      <w:r w:rsidRPr="00274507">
        <w:rPr>
          <w:sz w:val="28"/>
          <w:szCs w:val="28"/>
        </w:rPr>
        <w:t>En consecuencia, esta Corporación</w:t>
      </w:r>
      <w:r w:rsidR="00727646" w:rsidRPr="00274507">
        <w:rPr>
          <w:sz w:val="28"/>
          <w:szCs w:val="28"/>
        </w:rPr>
        <w:t xml:space="preserve"> </w:t>
      </w:r>
      <w:r w:rsidR="00110483" w:rsidRPr="00274507">
        <w:rPr>
          <w:sz w:val="28"/>
          <w:szCs w:val="28"/>
        </w:rPr>
        <w:t xml:space="preserve">señala que la metodología </w:t>
      </w:r>
      <w:r w:rsidR="006C0F1C" w:rsidRPr="00274507">
        <w:rPr>
          <w:sz w:val="28"/>
          <w:szCs w:val="28"/>
        </w:rPr>
        <w:t xml:space="preserve">utilizada por </w:t>
      </w:r>
      <w:r w:rsidR="000550B0" w:rsidRPr="00274507">
        <w:rPr>
          <w:sz w:val="28"/>
          <w:szCs w:val="28"/>
        </w:rPr>
        <w:t xml:space="preserve">dicho Ministerio </w:t>
      </w:r>
      <w:r w:rsidR="006C0F1C" w:rsidRPr="00274507">
        <w:rPr>
          <w:sz w:val="28"/>
          <w:szCs w:val="28"/>
        </w:rPr>
        <w:t>desde el inicio hasta el octavo informe mejoró, ya que aplicó un</w:t>
      </w:r>
      <w:r w:rsidR="00110483" w:rsidRPr="00274507">
        <w:rPr>
          <w:sz w:val="28"/>
          <w:szCs w:val="28"/>
        </w:rPr>
        <w:t xml:space="preserve"> sis</w:t>
      </w:r>
      <w:r w:rsidR="006C0F1C" w:rsidRPr="00274507">
        <w:rPr>
          <w:sz w:val="28"/>
          <w:szCs w:val="28"/>
        </w:rPr>
        <w:t xml:space="preserve">tema estadístico que le permitió </w:t>
      </w:r>
      <w:r w:rsidR="00A36C63" w:rsidRPr="00274507">
        <w:rPr>
          <w:sz w:val="28"/>
          <w:szCs w:val="28"/>
        </w:rPr>
        <w:t xml:space="preserve">obtener información </w:t>
      </w:r>
      <w:r w:rsidR="00110483" w:rsidRPr="00274507">
        <w:rPr>
          <w:sz w:val="28"/>
          <w:szCs w:val="28"/>
        </w:rPr>
        <w:t>certera y unos resultad</w:t>
      </w:r>
      <w:r w:rsidR="0060392A" w:rsidRPr="00274507">
        <w:rPr>
          <w:sz w:val="28"/>
          <w:szCs w:val="28"/>
        </w:rPr>
        <w:t>os</w:t>
      </w:r>
      <w:r w:rsidR="00A44A9D" w:rsidRPr="00274507">
        <w:rPr>
          <w:sz w:val="28"/>
          <w:szCs w:val="28"/>
        </w:rPr>
        <w:t xml:space="preserve"> concretos sobre la realidad de las tutelas incoadas</w:t>
      </w:r>
      <w:r w:rsidR="001C2FF8" w:rsidRPr="00274507">
        <w:rPr>
          <w:sz w:val="28"/>
          <w:szCs w:val="28"/>
        </w:rPr>
        <w:t>. S</w:t>
      </w:r>
      <w:r w:rsidR="00AE5BDF" w:rsidRPr="00274507">
        <w:rPr>
          <w:sz w:val="28"/>
          <w:szCs w:val="28"/>
        </w:rPr>
        <w:t xml:space="preserve">in embargo, </w:t>
      </w:r>
      <w:r w:rsidR="006C0F1C" w:rsidRPr="00274507">
        <w:rPr>
          <w:sz w:val="28"/>
          <w:szCs w:val="28"/>
        </w:rPr>
        <w:t xml:space="preserve">a la fecha se evidencia que </w:t>
      </w:r>
      <w:r w:rsidR="00AE5BDF" w:rsidRPr="00274507">
        <w:rPr>
          <w:sz w:val="28"/>
          <w:szCs w:val="28"/>
        </w:rPr>
        <w:t xml:space="preserve">no es posible determinar: i) las causas principales de la demora en la prestación o autorización del servicio; ii) el cumplimiento efectivo de las decisiones judiciales; iii) los problemas internos que acaecen en cada EPS, IPS, Secretarías de Salud y demás </w:t>
      </w:r>
      <w:r w:rsidR="0060392A" w:rsidRPr="00274507">
        <w:rPr>
          <w:sz w:val="28"/>
          <w:szCs w:val="28"/>
        </w:rPr>
        <w:t xml:space="preserve">autoridades territoriales </w:t>
      </w:r>
      <w:r w:rsidR="00AE5BDF" w:rsidRPr="00274507">
        <w:rPr>
          <w:sz w:val="28"/>
          <w:szCs w:val="28"/>
        </w:rPr>
        <w:t xml:space="preserve">que impiden la prestación eficaz de un servicio; iv) la socialización de los resultados a los actores del sistema, así como la participación de expertos en el tema para interactuar con la sociedad y encontrar la solución definitiva de cada problema jurídico; v) la información accesible a través de un micro sitio y vi) el perfil socioeconómico de las personas que presentan las acciones de tutela. </w:t>
      </w:r>
    </w:p>
    <w:p w:rsidR="00022230" w:rsidRPr="00274507" w:rsidRDefault="00022230" w:rsidP="00274507">
      <w:pPr>
        <w:jc w:val="both"/>
        <w:rPr>
          <w:sz w:val="28"/>
          <w:szCs w:val="28"/>
        </w:rPr>
      </w:pPr>
    </w:p>
    <w:p w:rsidR="0052364A" w:rsidRPr="00274507" w:rsidRDefault="001B19DE" w:rsidP="00274507">
      <w:pPr>
        <w:jc w:val="both"/>
        <w:rPr>
          <w:sz w:val="28"/>
          <w:szCs w:val="28"/>
        </w:rPr>
      </w:pPr>
      <w:r w:rsidRPr="00274507">
        <w:rPr>
          <w:sz w:val="28"/>
          <w:szCs w:val="28"/>
        </w:rPr>
        <w:t>Por otra parte, teniendo en cuenta que con la implementación de la Ley Estatutaria 1751 de 2015</w:t>
      </w:r>
      <w:r w:rsidRPr="00274507">
        <w:rPr>
          <w:rStyle w:val="Refdenotaalpie"/>
          <w:sz w:val="28"/>
          <w:szCs w:val="28"/>
        </w:rPr>
        <w:footnoteReference w:id="187"/>
      </w:r>
      <w:r w:rsidR="0052364A" w:rsidRPr="00274507">
        <w:rPr>
          <w:sz w:val="28"/>
          <w:szCs w:val="28"/>
        </w:rPr>
        <w:t xml:space="preserve"> </w:t>
      </w:r>
      <w:r w:rsidR="0052364A" w:rsidRPr="00274507">
        <w:rPr>
          <w:snapToGrid w:val="0"/>
          <w:sz w:val="28"/>
          <w:szCs w:val="28"/>
        </w:rPr>
        <w:t>“</w:t>
      </w:r>
      <w:r w:rsidR="0052364A" w:rsidRPr="00274507">
        <w:rPr>
          <w:i/>
          <w:snapToGrid w:val="0"/>
          <w:sz w:val="28"/>
          <w:szCs w:val="28"/>
        </w:rPr>
        <w:t>Por medio de la cual se regula el derecho fundamental a la salud y se dictan otras disposiciones</w:t>
      </w:r>
      <w:r w:rsidR="0052364A" w:rsidRPr="00274507">
        <w:rPr>
          <w:snapToGrid w:val="0"/>
          <w:sz w:val="28"/>
          <w:szCs w:val="28"/>
        </w:rPr>
        <w:t xml:space="preserve">”, </w:t>
      </w:r>
      <w:r w:rsidRPr="00274507">
        <w:rPr>
          <w:sz w:val="28"/>
          <w:szCs w:val="28"/>
        </w:rPr>
        <w:t xml:space="preserve">la cual entró en vigencia el </w:t>
      </w:r>
      <w:r w:rsidR="00830793" w:rsidRPr="00274507">
        <w:rPr>
          <w:sz w:val="28"/>
          <w:szCs w:val="28"/>
        </w:rPr>
        <w:t>16 de febrero del mismo año, se</w:t>
      </w:r>
      <w:r w:rsidR="00FA24B8" w:rsidRPr="00274507">
        <w:rPr>
          <w:sz w:val="28"/>
          <w:szCs w:val="28"/>
        </w:rPr>
        <w:t xml:space="preserve"> evidencian cambios e</w:t>
      </w:r>
      <w:r w:rsidR="00830793" w:rsidRPr="00274507">
        <w:rPr>
          <w:sz w:val="28"/>
          <w:szCs w:val="28"/>
        </w:rPr>
        <w:t xml:space="preserve">n </w:t>
      </w:r>
      <w:r w:rsidR="00F94848" w:rsidRPr="00274507">
        <w:rPr>
          <w:sz w:val="28"/>
          <w:szCs w:val="28"/>
        </w:rPr>
        <w:t>los problemas jurídicos formulados</w:t>
      </w:r>
      <w:r w:rsidRPr="00274507">
        <w:rPr>
          <w:sz w:val="28"/>
          <w:szCs w:val="28"/>
        </w:rPr>
        <w:t xml:space="preserve"> inicialmente en</w:t>
      </w:r>
      <w:r w:rsidR="00FA24B8" w:rsidRPr="00274507">
        <w:rPr>
          <w:sz w:val="28"/>
          <w:szCs w:val="28"/>
        </w:rPr>
        <w:t xml:space="preserve"> la sentencia T-760 de 2008</w:t>
      </w:r>
      <w:r w:rsidR="00830793" w:rsidRPr="00274507">
        <w:rPr>
          <w:sz w:val="28"/>
          <w:szCs w:val="28"/>
        </w:rPr>
        <w:t xml:space="preserve">. </w:t>
      </w:r>
    </w:p>
    <w:p w:rsidR="00FA24B8" w:rsidRPr="00274507" w:rsidRDefault="00FA24B8" w:rsidP="00274507">
      <w:pPr>
        <w:jc w:val="both"/>
        <w:rPr>
          <w:sz w:val="28"/>
          <w:szCs w:val="28"/>
        </w:rPr>
      </w:pPr>
    </w:p>
    <w:p w:rsidR="0087685E" w:rsidRPr="00274507" w:rsidRDefault="00FA24B8" w:rsidP="00274507">
      <w:pPr>
        <w:jc w:val="both"/>
        <w:rPr>
          <w:snapToGrid w:val="0"/>
          <w:sz w:val="28"/>
          <w:szCs w:val="28"/>
        </w:rPr>
      </w:pPr>
      <w:r w:rsidRPr="00274507">
        <w:rPr>
          <w:sz w:val="28"/>
          <w:szCs w:val="28"/>
        </w:rPr>
        <w:t>L</w:t>
      </w:r>
      <w:r w:rsidR="002F4936" w:rsidRPr="00274507">
        <w:rPr>
          <w:sz w:val="28"/>
          <w:szCs w:val="28"/>
        </w:rPr>
        <w:t xml:space="preserve">a Ley Estatutaria </w:t>
      </w:r>
      <w:r w:rsidR="0052364A" w:rsidRPr="00274507">
        <w:rPr>
          <w:snapToGrid w:val="0"/>
          <w:sz w:val="28"/>
          <w:szCs w:val="28"/>
        </w:rPr>
        <w:t>estableció</w:t>
      </w:r>
      <w:r w:rsidR="00DA7B10" w:rsidRPr="00274507">
        <w:rPr>
          <w:snapToGrid w:val="0"/>
          <w:sz w:val="28"/>
          <w:szCs w:val="28"/>
        </w:rPr>
        <w:t xml:space="preserve"> que el nuevo sistema debe garantizar</w:t>
      </w:r>
      <w:r w:rsidR="0052364A" w:rsidRPr="00274507">
        <w:rPr>
          <w:snapToGrid w:val="0"/>
          <w:sz w:val="28"/>
          <w:szCs w:val="28"/>
        </w:rPr>
        <w:t xml:space="preserve"> </w:t>
      </w:r>
      <w:r w:rsidR="0087685E" w:rsidRPr="00274507">
        <w:rPr>
          <w:snapToGrid w:val="0"/>
          <w:sz w:val="28"/>
          <w:szCs w:val="28"/>
        </w:rPr>
        <w:t xml:space="preserve">la prestación integral del derecho a la salud </w:t>
      </w:r>
      <w:r w:rsidR="00DA7B10" w:rsidRPr="00274507">
        <w:rPr>
          <w:snapToGrid w:val="0"/>
          <w:sz w:val="28"/>
          <w:szCs w:val="28"/>
        </w:rPr>
        <w:t xml:space="preserve">en el que </w:t>
      </w:r>
      <w:r w:rsidR="0087685E" w:rsidRPr="00274507">
        <w:rPr>
          <w:snapToGrid w:val="0"/>
          <w:sz w:val="28"/>
          <w:szCs w:val="28"/>
        </w:rPr>
        <w:t xml:space="preserve">incluya la promoción, prevención, paliación, atención de la enfermedad y rehabilitación de sus secuelas, indicando la </w:t>
      </w:r>
      <w:r w:rsidR="0052364A" w:rsidRPr="00274507">
        <w:rPr>
          <w:snapToGrid w:val="0"/>
          <w:sz w:val="28"/>
          <w:szCs w:val="28"/>
        </w:rPr>
        <w:t xml:space="preserve">actualización del POS </w:t>
      </w:r>
      <w:r w:rsidR="0087685E" w:rsidRPr="00274507">
        <w:rPr>
          <w:snapToGrid w:val="0"/>
          <w:sz w:val="28"/>
          <w:szCs w:val="28"/>
        </w:rPr>
        <w:t xml:space="preserve">bajo los criterios de </w:t>
      </w:r>
      <w:r w:rsidR="0052364A" w:rsidRPr="00274507">
        <w:rPr>
          <w:snapToGrid w:val="0"/>
          <w:sz w:val="28"/>
          <w:szCs w:val="28"/>
        </w:rPr>
        <w:t>exclusiones</w:t>
      </w:r>
      <w:r w:rsidRPr="00274507">
        <w:rPr>
          <w:rStyle w:val="Refdenotaalpie"/>
          <w:snapToGrid w:val="0"/>
          <w:sz w:val="28"/>
          <w:szCs w:val="28"/>
        </w:rPr>
        <w:footnoteReference w:id="188"/>
      </w:r>
      <w:r w:rsidR="002F4936" w:rsidRPr="00274507">
        <w:rPr>
          <w:snapToGrid w:val="0"/>
          <w:sz w:val="28"/>
          <w:szCs w:val="28"/>
        </w:rPr>
        <w:t xml:space="preserve">, es decir, que todas las tecnologías y servicios relacionados con dicho derecho están incluidas. </w:t>
      </w:r>
      <w:r w:rsidRPr="00274507">
        <w:rPr>
          <w:snapToGrid w:val="0"/>
          <w:sz w:val="28"/>
          <w:szCs w:val="28"/>
        </w:rPr>
        <w:t>Bajo esa condición, e</w:t>
      </w:r>
      <w:r w:rsidR="002F4936" w:rsidRPr="00274507">
        <w:rPr>
          <w:snapToGrid w:val="0"/>
          <w:sz w:val="28"/>
          <w:szCs w:val="28"/>
        </w:rPr>
        <w:t>l t</w:t>
      </w:r>
      <w:r w:rsidRPr="00274507">
        <w:rPr>
          <w:snapToGrid w:val="0"/>
          <w:sz w:val="28"/>
          <w:szCs w:val="28"/>
        </w:rPr>
        <w:t xml:space="preserve">érmino que se </w:t>
      </w:r>
      <w:r w:rsidR="004C339E" w:rsidRPr="00274507">
        <w:rPr>
          <w:snapToGrid w:val="0"/>
          <w:sz w:val="28"/>
          <w:szCs w:val="28"/>
        </w:rPr>
        <w:t>dispuso</w:t>
      </w:r>
      <w:r w:rsidR="002F4936" w:rsidRPr="00274507">
        <w:rPr>
          <w:snapToGrid w:val="0"/>
          <w:sz w:val="28"/>
          <w:szCs w:val="28"/>
        </w:rPr>
        <w:t xml:space="preserve"> para implementar el nuevo sistema para la </w:t>
      </w:r>
      <w:r w:rsidR="0087685E" w:rsidRPr="00274507">
        <w:rPr>
          <w:snapToGrid w:val="0"/>
          <w:sz w:val="28"/>
          <w:szCs w:val="28"/>
        </w:rPr>
        <w:t>prestación y atenci</w:t>
      </w:r>
      <w:r w:rsidR="002F4936" w:rsidRPr="00274507">
        <w:rPr>
          <w:snapToGrid w:val="0"/>
          <w:sz w:val="28"/>
          <w:szCs w:val="28"/>
        </w:rPr>
        <w:t>ón a</w:t>
      </w:r>
      <w:r w:rsidR="0087685E" w:rsidRPr="00274507">
        <w:rPr>
          <w:snapToGrid w:val="0"/>
          <w:sz w:val="28"/>
          <w:szCs w:val="28"/>
        </w:rPr>
        <w:t xml:space="preserve"> la salud </w:t>
      </w:r>
      <w:r w:rsidR="002F4936" w:rsidRPr="00274507">
        <w:rPr>
          <w:snapToGrid w:val="0"/>
          <w:sz w:val="28"/>
          <w:szCs w:val="28"/>
        </w:rPr>
        <w:t xml:space="preserve">fue </w:t>
      </w:r>
      <w:r w:rsidR="0087685E" w:rsidRPr="00274507">
        <w:rPr>
          <w:snapToGrid w:val="0"/>
          <w:sz w:val="28"/>
          <w:szCs w:val="28"/>
        </w:rPr>
        <w:t>dentro de los dos años siguientes a la vigencia de la</w:t>
      </w:r>
      <w:r w:rsidR="002F4936" w:rsidRPr="00274507">
        <w:rPr>
          <w:snapToGrid w:val="0"/>
          <w:sz w:val="28"/>
          <w:szCs w:val="28"/>
        </w:rPr>
        <w:t xml:space="preserve"> Ley</w:t>
      </w:r>
      <w:r w:rsidRPr="00274507">
        <w:rPr>
          <w:snapToGrid w:val="0"/>
          <w:sz w:val="28"/>
          <w:szCs w:val="28"/>
        </w:rPr>
        <w:t>,</w:t>
      </w:r>
      <w:r w:rsidR="00F94848" w:rsidRPr="00274507">
        <w:rPr>
          <w:snapToGrid w:val="0"/>
          <w:sz w:val="28"/>
          <w:szCs w:val="28"/>
        </w:rPr>
        <w:t xml:space="preserve"> es decir</w:t>
      </w:r>
      <w:r w:rsidR="004C339E" w:rsidRPr="00274507">
        <w:rPr>
          <w:snapToGrid w:val="0"/>
          <w:sz w:val="28"/>
          <w:szCs w:val="28"/>
        </w:rPr>
        <w:t xml:space="preserve">, </w:t>
      </w:r>
      <w:r w:rsidR="002F4936" w:rsidRPr="00274507">
        <w:rPr>
          <w:snapToGrid w:val="0"/>
          <w:sz w:val="28"/>
          <w:szCs w:val="28"/>
        </w:rPr>
        <w:t>el</w:t>
      </w:r>
      <w:r w:rsidR="0087685E" w:rsidRPr="00274507">
        <w:rPr>
          <w:snapToGrid w:val="0"/>
          <w:sz w:val="28"/>
          <w:szCs w:val="28"/>
        </w:rPr>
        <w:t xml:space="preserve"> plazo m</w:t>
      </w:r>
      <w:r w:rsidR="002F4936" w:rsidRPr="00274507">
        <w:rPr>
          <w:snapToGrid w:val="0"/>
          <w:sz w:val="28"/>
          <w:szCs w:val="28"/>
        </w:rPr>
        <w:t xml:space="preserve">áximo </w:t>
      </w:r>
      <w:r w:rsidRPr="00274507">
        <w:rPr>
          <w:snapToGrid w:val="0"/>
          <w:sz w:val="28"/>
          <w:szCs w:val="28"/>
        </w:rPr>
        <w:t xml:space="preserve">para fijarlo </w:t>
      </w:r>
      <w:r w:rsidR="00F94848" w:rsidRPr="00274507">
        <w:rPr>
          <w:snapToGrid w:val="0"/>
          <w:sz w:val="28"/>
          <w:szCs w:val="28"/>
        </w:rPr>
        <w:t>se cumple</w:t>
      </w:r>
      <w:r w:rsidR="002F4936" w:rsidRPr="00274507">
        <w:rPr>
          <w:snapToGrid w:val="0"/>
          <w:sz w:val="28"/>
          <w:szCs w:val="28"/>
        </w:rPr>
        <w:t xml:space="preserve"> </w:t>
      </w:r>
      <w:r w:rsidR="0087685E" w:rsidRPr="00274507">
        <w:rPr>
          <w:snapToGrid w:val="0"/>
          <w:sz w:val="28"/>
          <w:szCs w:val="28"/>
        </w:rPr>
        <w:t>el 1</w:t>
      </w:r>
      <w:r w:rsidR="0052364A" w:rsidRPr="00274507">
        <w:rPr>
          <w:bCs/>
          <w:snapToGrid w:val="0"/>
          <w:sz w:val="28"/>
          <w:szCs w:val="28"/>
        </w:rPr>
        <w:t>6 de febrero de</w:t>
      </w:r>
      <w:r w:rsidR="002F4936" w:rsidRPr="00274507">
        <w:rPr>
          <w:bCs/>
          <w:snapToGrid w:val="0"/>
          <w:sz w:val="28"/>
          <w:szCs w:val="28"/>
        </w:rPr>
        <w:t>l</w:t>
      </w:r>
      <w:r w:rsidR="0052364A" w:rsidRPr="00274507">
        <w:rPr>
          <w:bCs/>
          <w:snapToGrid w:val="0"/>
          <w:sz w:val="28"/>
          <w:szCs w:val="28"/>
        </w:rPr>
        <w:t xml:space="preserve"> 2017</w:t>
      </w:r>
      <w:r w:rsidR="0052364A" w:rsidRPr="00274507">
        <w:rPr>
          <w:snapToGrid w:val="0"/>
          <w:sz w:val="28"/>
          <w:szCs w:val="28"/>
        </w:rPr>
        <w:t>.</w:t>
      </w:r>
      <w:r w:rsidR="0087685E" w:rsidRPr="00274507">
        <w:rPr>
          <w:snapToGrid w:val="0"/>
          <w:sz w:val="28"/>
          <w:szCs w:val="28"/>
        </w:rPr>
        <w:t xml:space="preserve"> </w:t>
      </w:r>
    </w:p>
    <w:p w:rsidR="0087685E" w:rsidRPr="00274507" w:rsidRDefault="0087685E" w:rsidP="00274507">
      <w:pPr>
        <w:jc w:val="both"/>
        <w:rPr>
          <w:snapToGrid w:val="0"/>
          <w:sz w:val="28"/>
          <w:szCs w:val="28"/>
        </w:rPr>
      </w:pPr>
    </w:p>
    <w:p w:rsidR="00830793" w:rsidRPr="00274507" w:rsidRDefault="00830793" w:rsidP="00274507">
      <w:pPr>
        <w:jc w:val="both"/>
        <w:rPr>
          <w:sz w:val="28"/>
          <w:szCs w:val="28"/>
        </w:rPr>
      </w:pPr>
      <w:r w:rsidRPr="00274507">
        <w:rPr>
          <w:sz w:val="28"/>
          <w:szCs w:val="28"/>
        </w:rPr>
        <w:t xml:space="preserve">En </w:t>
      </w:r>
      <w:r w:rsidR="00DA7B10" w:rsidRPr="00274507">
        <w:rPr>
          <w:sz w:val="28"/>
          <w:szCs w:val="28"/>
        </w:rPr>
        <w:t>ese sentido</w:t>
      </w:r>
      <w:r w:rsidR="002F4936" w:rsidRPr="00274507">
        <w:rPr>
          <w:sz w:val="28"/>
          <w:szCs w:val="28"/>
        </w:rPr>
        <w:t>, este Tribunal advierte que</w:t>
      </w:r>
      <w:r w:rsidR="00DA7B10" w:rsidRPr="00274507">
        <w:rPr>
          <w:sz w:val="28"/>
          <w:szCs w:val="28"/>
        </w:rPr>
        <w:t xml:space="preserve"> los problemas jurídicos </w:t>
      </w:r>
      <w:r w:rsidR="002F4936" w:rsidRPr="00274507">
        <w:rPr>
          <w:sz w:val="28"/>
          <w:szCs w:val="28"/>
        </w:rPr>
        <w:t xml:space="preserve">que en su momento se relacionaron con el eje temático de precisión, actualización y acceso a planes de beneficios </w:t>
      </w:r>
      <w:r w:rsidR="00FA24B8" w:rsidRPr="00274507">
        <w:rPr>
          <w:sz w:val="28"/>
          <w:szCs w:val="28"/>
        </w:rPr>
        <w:t xml:space="preserve">los cuales </w:t>
      </w:r>
      <w:r w:rsidR="00B57225" w:rsidRPr="00274507">
        <w:rPr>
          <w:sz w:val="28"/>
          <w:szCs w:val="28"/>
        </w:rPr>
        <w:t xml:space="preserve">fueron determinados por la negación de servicios que estaban incluidos en el POS y como consecuencia de ello la incertidumbre que tal situación generaba, </w:t>
      </w:r>
      <w:r w:rsidR="002F4936" w:rsidRPr="00274507">
        <w:rPr>
          <w:sz w:val="28"/>
          <w:szCs w:val="28"/>
        </w:rPr>
        <w:t>serán rempla</w:t>
      </w:r>
      <w:r w:rsidR="00702CF9" w:rsidRPr="00274507">
        <w:rPr>
          <w:sz w:val="28"/>
          <w:szCs w:val="28"/>
        </w:rPr>
        <w:t xml:space="preserve">zados por los que surjan a partir del nuevo sistema de exclusiones, es decir, desde el desconocimiento del derecho a la salud por no atender la totalidad de los servicios, procedimientos, insumos, que deben </w:t>
      </w:r>
      <w:r w:rsidR="00B57225" w:rsidRPr="00274507">
        <w:rPr>
          <w:sz w:val="28"/>
          <w:szCs w:val="28"/>
        </w:rPr>
        <w:t>estar</w:t>
      </w:r>
      <w:r w:rsidR="00F94848" w:rsidRPr="00274507">
        <w:rPr>
          <w:sz w:val="28"/>
          <w:szCs w:val="28"/>
        </w:rPr>
        <w:t xml:space="preserve"> cubiertos implícitamente por</w:t>
      </w:r>
      <w:r w:rsidR="00702CF9" w:rsidRPr="00274507">
        <w:rPr>
          <w:sz w:val="28"/>
          <w:szCs w:val="28"/>
        </w:rPr>
        <w:t xml:space="preserve"> el plan</w:t>
      </w:r>
      <w:r w:rsidR="00F94848" w:rsidRPr="00274507">
        <w:rPr>
          <w:sz w:val="28"/>
          <w:szCs w:val="28"/>
        </w:rPr>
        <w:t xml:space="preserve"> de beneficios y contenidas expresamente las tecnologías excluidas.</w:t>
      </w:r>
    </w:p>
    <w:p w:rsidR="00B57225" w:rsidRPr="00274507" w:rsidRDefault="00B57225" w:rsidP="00274507">
      <w:pPr>
        <w:jc w:val="both"/>
        <w:rPr>
          <w:sz w:val="28"/>
          <w:szCs w:val="28"/>
        </w:rPr>
      </w:pPr>
    </w:p>
    <w:p w:rsidR="00211608" w:rsidRPr="00274507" w:rsidRDefault="00211608" w:rsidP="00274507">
      <w:pPr>
        <w:jc w:val="both"/>
        <w:rPr>
          <w:sz w:val="28"/>
          <w:szCs w:val="28"/>
        </w:rPr>
      </w:pPr>
      <w:r w:rsidRPr="00274507">
        <w:rPr>
          <w:sz w:val="28"/>
          <w:szCs w:val="28"/>
        </w:rPr>
        <w:t>En ese orden,  el futuro informe</w:t>
      </w:r>
      <w:r w:rsidR="000C5BDD" w:rsidRPr="00274507">
        <w:rPr>
          <w:sz w:val="28"/>
          <w:szCs w:val="28"/>
        </w:rPr>
        <w:t xml:space="preserve"> que presente </w:t>
      </w:r>
      <w:r w:rsidRPr="00274507">
        <w:rPr>
          <w:sz w:val="28"/>
          <w:szCs w:val="28"/>
        </w:rPr>
        <w:t>el ente regulador deberá estar sujeto a lo dispuesto anteriormente y en ese sentido verificar sí el sistema de exclusión super</w:t>
      </w:r>
      <w:r w:rsidR="000C5BDD" w:rsidRPr="00274507">
        <w:rPr>
          <w:sz w:val="28"/>
          <w:szCs w:val="28"/>
        </w:rPr>
        <w:t xml:space="preserve">a </w:t>
      </w:r>
      <w:r w:rsidRPr="00274507">
        <w:rPr>
          <w:sz w:val="28"/>
          <w:szCs w:val="28"/>
        </w:rPr>
        <w:t>las barreras en la atención de los servicios de salud contenidos en el POS y con ello se evidencia una disminución en la presentación de las tutelas para el año de an</w:t>
      </w:r>
      <w:r w:rsidR="000C5BDD" w:rsidRPr="00274507">
        <w:rPr>
          <w:sz w:val="28"/>
          <w:szCs w:val="28"/>
        </w:rPr>
        <w:t xml:space="preserve">álisis correspondiente al 2017, ya que no será necesaria la intervención del juez de tutela por la </w:t>
      </w:r>
      <w:r w:rsidR="00AD339E" w:rsidRPr="00274507">
        <w:rPr>
          <w:sz w:val="28"/>
          <w:szCs w:val="28"/>
        </w:rPr>
        <w:t>interpretación que realice</w:t>
      </w:r>
      <w:r w:rsidR="00056424" w:rsidRPr="00274507">
        <w:rPr>
          <w:sz w:val="28"/>
          <w:szCs w:val="28"/>
        </w:rPr>
        <w:t xml:space="preserve">n los actores del sistema </w:t>
      </w:r>
      <w:r w:rsidR="000C5BDD" w:rsidRPr="00274507">
        <w:rPr>
          <w:sz w:val="28"/>
          <w:szCs w:val="28"/>
        </w:rPr>
        <w:t xml:space="preserve">sobre </w:t>
      </w:r>
      <w:r w:rsidR="00AD339E" w:rsidRPr="00274507">
        <w:rPr>
          <w:sz w:val="28"/>
          <w:szCs w:val="28"/>
        </w:rPr>
        <w:t xml:space="preserve">la inclusión o no de alguna prestación, </w:t>
      </w:r>
      <w:r w:rsidR="00F94848" w:rsidRPr="00274507">
        <w:rPr>
          <w:sz w:val="28"/>
          <w:szCs w:val="28"/>
        </w:rPr>
        <w:t xml:space="preserve">bajo el entendido que se cumplan </w:t>
      </w:r>
      <w:r w:rsidR="00056424" w:rsidRPr="00274507">
        <w:rPr>
          <w:sz w:val="28"/>
          <w:szCs w:val="28"/>
        </w:rPr>
        <w:t xml:space="preserve">los presupuestos </w:t>
      </w:r>
      <w:r w:rsidR="00EE6576" w:rsidRPr="00274507">
        <w:rPr>
          <w:sz w:val="28"/>
          <w:szCs w:val="28"/>
        </w:rPr>
        <w:t>debidamente prescritos en la Ley</w:t>
      </w:r>
      <w:r w:rsidR="00056424" w:rsidRPr="00274507">
        <w:rPr>
          <w:sz w:val="28"/>
          <w:szCs w:val="28"/>
        </w:rPr>
        <w:t>.</w:t>
      </w:r>
    </w:p>
    <w:p w:rsidR="00211608" w:rsidRPr="00274507" w:rsidRDefault="00211608" w:rsidP="00274507">
      <w:pPr>
        <w:jc w:val="both"/>
        <w:rPr>
          <w:sz w:val="28"/>
          <w:szCs w:val="28"/>
        </w:rPr>
      </w:pPr>
    </w:p>
    <w:p w:rsidR="00830793" w:rsidRPr="00274507" w:rsidRDefault="00211608" w:rsidP="00274507">
      <w:pPr>
        <w:jc w:val="both"/>
        <w:rPr>
          <w:sz w:val="28"/>
          <w:szCs w:val="28"/>
        </w:rPr>
      </w:pPr>
      <w:r w:rsidRPr="00274507">
        <w:rPr>
          <w:sz w:val="28"/>
          <w:szCs w:val="28"/>
        </w:rPr>
        <w:t xml:space="preserve">También se considera pertinente precisar que el fin de la Ley Estatutaria es garantizar la protección </w:t>
      </w:r>
      <w:r w:rsidR="000C5BDD" w:rsidRPr="00274507">
        <w:rPr>
          <w:sz w:val="28"/>
          <w:szCs w:val="28"/>
        </w:rPr>
        <w:t>del derecho fundamental a la</w:t>
      </w:r>
      <w:r w:rsidRPr="00274507">
        <w:rPr>
          <w:sz w:val="28"/>
          <w:szCs w:val="28"/>
        </w:rPr>
        <w:t xml:space="preserve"> salud y los parámetros allí dispuestos deben ser atendidos tanto por el ente regulador como por los demás act</w:t>
      </w:r>
      <w:r w:rsidR="00F94848" w:rsidRPr="00274507">
        <w:rPr>
          <w:sz w:val="28"/>
          <w:szCs w:val="28"/>
        </w:rPr>
        <w:t>ores del sistema, lo que implica que en los problemas relacionados</w:t>
      </w:r>
      <w:r w:rsidRPr="00274507">
        <w:rPr>
          <w:sz w:val="28"/>
          <w:szCs w:val="28"/>
        </w:rPr>
        <w:t xml:space="preserve"> con la atención a los sujetos </w:t>
      </w:r>
      <w:r w:rsidR="00F94848" w:rsidRPr="00274507">
        <w:rPr>
          <w:sz w:val="28"/>
          <w:szCs w:val="28"/>
        </w:rPr>
        <w:t>de especial protección así como</w:t>
      </w:r>
      <w:r w:rsidRPr="00274507">
        <w:rPr>
          <w:sz w:val="28"/>
          <w:szCs w:val="28"/>
        </w:rPr>
        <w:t xml:space="preserve"> los pacientes que sufren de enfermedades catastróficas d</w:t>
      </w:r>
      <w:r w:rsidR="00F94848" w:rsidRPr="00274507">
        <w:rPr>
          <w:sz w:val="28"/>
          <w:szCs w:val="28"/>
        </w:rPr>
        <w:t>ebe ser una situación que tienda a superarse</w:t>
      </w:r>
      <w:r w:rsidRPr="00274507">
        <w:rPr>
          <w:sz w:val="28"/>
          <w:szCs w:val="28"/>
        </w:rPr>
        <w:t xml:space="preserve"> en el sistema de salud.</w:t>
      </w:r>
    </w:p>
    <w:p w:rsidR="00211608" w:rsidRPr="00274507" w:rsidRDefault="00211608" w:rsidP="00274507">
      <w:pPr>
        <w:jc w:val="both"/>
        <w:rPr>
          <w:sz w:val="28"/>
          <w:szCs w:val="28"/>
        </w:rPr>
      </w:pPr>
    </w:p>
    <w:p w:rsidR="00F94848" w:rsidRPr="00274507" w:rsidRDefault="00F94848" w:rsidP="00274507">
      <w:pPr>
        <w:jc w:val="both"/>
        <w:rPr>
          <w:sz w:val="28"/>
          <w:szCs w:val="28"/>
        </w:rPr>
      </w:pPr>
      <w:r w:rsidRPr="00274507">
        <w:rPr>
          <w:sz w:val="28"/>
          <w:szCs w:val="28"/>
        </w:rPr>
        <w:t xml:space="preserve">Así las cosas, implementado el nuevo plan de beneficios acorde con la Ley Estatutaria, se habrán superado los problemas jurídicos relacionados con la incertidumbre sobre el contenido de la canasta de servicios, por lo que se hace imperioso actualizar el objeto del análisis </w:t>
      </w:r>
      <w:r w:rsidR="00DA52A0" w:rsidRPr="00274507">
        <w:rPr>
          <w:sz w:val="28"/>
          <w:szCs w:val="28"/>
        </w:rPr>
        <w:t>en relación con esta temática.</w:t>
      </w:r>
    </w:p>
    <w:p w:rsidR="00DA52A0" w:rsidRPr="00274507" w:rsidRDefault="00DA52A0" w:rsidP="00274507">
      <w:pPr>
        <w:jc w:val="both"/>
        <w:rPr>
          <w:sz w:val="28"/>
          <w:szCs w:val="28"/>
        </w:rPr>
      </w:pPr>
    </w:p>
    <w:p w:rsidR="00DA52A0" w:rsidRPr="00274507" w:rsidRDefault="00DA52A0" w:rsidP="00274507">
      <w:pPr>
        <w:jc w:val="both"/>
        <w:rPr>
          <w:sz w:val="28"/>
          <w:szCs w:val="28"/>
        </w:rPr>
      </w:pPr>
      <w:r w:rsidRPr="00274507">
        <w:rPr>
          <w:sz w:val="28"/>
          <w:szCs w:val="28"/>
        </w:rPr>
        <w:t>Al respecto, con la entrada en vigencia del sistema de exclusiones que regirá a partir de febrero de 2017, en adelante deberá analizarse como mínimo las siguientes variables:</w:t>
      </w:r>
    </w:p>
    <w:p w:rsidR="00DA52A0" w:rsidRPr="00274507" w:rsidRDefault="00DA52A0" w:rsidP="00274507">
      <w:pPr>
        <w:jc w:val="both"/>
        <w:rPr>
          <w:sz w:val="28"/>
          <w:szCs w:val="28"/>
        </w:rPr>
      </w:pPr>
    </w:p>
    <w:p w:rsidR="00DA52A0" w:rsidRPr="00274507" w:rsidRDefault="00DA52A0" w:rsidP="00274507">
      <w:pPr>
        <w:pStyle w:val="Prrafodelista"/>
        <w:numPr>
          <w:ilvl w:val="0"/>
          <w:numId w:val="28"/>
        </w:numPr>
        <w:jc w:val="both"/>
        <w:rPr>
          <w:sz w:val="28"/>
          <w:szCs w:val="28"/>
        </w:rPr>
      </w:pPr>
      <w:r w:rsidRPr="00274507">
        <w:rPr>
          <w:sz w:val="28"/>
          <w:szCs w:val="28"/>
        </w:rPr>
        <w:t xml:space="preserve">¿Desconoce el derecho a la </w:t>
      </w:r>
      <w:r w:rsidR="00E67893" w:rsidRPr="00274507">
        <w:rPr>
          <w:sz w:val="28"/>
          <w:szCs w:val="28"/>
        </w:rPr>
        <w:t xml:space="preserve">salud una EPS o IPS </w:t>
      </w:r>
      <w:r w:rsidRPr="00274507">
        <w:rPr>
          <w:sz w:val="28"/>
          <w:szCs w:val="28"/>
        </w:rPr>
        <w:t>al no prestar los servicios implícitamente incluidos en el nuevo POS?</w:t>
      </w:r>
    </w:p>
    <w:p w:rsidR="00DA52A0" w:rsidRPr="00274507" w:rsidRDefault="00DA52A0" w:rsidP="00274507">
      <w:pPr>
        <w:pStyle w:val="Prrafodelista"/>
        <w:numPr>
          <w:ilvl w:val="0"/>
          <w:numId w:val="28"/>
        </w:numPr>
        <w:jc w:val="both"/>
        <w:rPr>
          <w:sz w:val="28"/>
          <w:szCs w:val="28"/>
        </w:rPr>
      </w:pPr>
      <w:r w:rsidRPr="00274507">
        <w:rPr>
          <w:sz w:val="28"/>
          <w:szCs w:val="28"/>
        </w:rPr>
        <w:t>¿Se desconoce el derecho a la salud del paciente al no implementar en el nuevo sistema las reglas fijadas por la Ley para determinar las exclusiones?</w:t>
      </w:r>
    </w:p>
    <w:p w:rsidR="00DA52A0" w:rsidRPr="00274507" w:rsidRDefault="00DA52A0" w:rsidP="00274507">
      <w:pPr>
        <w:pStyle w:val="Prrafodelista"/>
        <w:ind w:left="1080"/>
        <w:jc w:val="both"/>
        <w:rPr>
          <w:sz w:val="28"/>
          <w:szCs w:val="28"/>
        </w:rPr>
      </w:pPr>
    </w:p>
    <w:p w:rsidR="00DA52A0" w:rsidRPr="00274507" w:rsidRDefault="00211608" w:rsidP="00274507">
      <w:pPr>
        <w:jc w:val="both"/>
        <w:rPr>
          <w:sz w:val="28"/>
          <w:szCs w:val="28"/>
        </w:rPr>
      </w:pPr>
      <w:r w:rsidRPr="00274507">
        <w:rPr>
          <w:sz w:val="28"/>
          <w:szCs w:val="28"/>
        </w:rPr>
        <w:t>En ese sentido esta Sala Especial de Seguimi</w:t>
      </w:r>
      <w:r w:rsidR="0094569B" w:rsidRPr="00274507">
        <w:rPr>
          <w:sz w:val="28"/>
          <w:szCs w:val="28"/>
        </w:rPr>
        <w:t>ento reitera que los</w:t>
      </w:r>
      <w:r w:rsidR="00D6549F" w:rsidRPr="00274507">
        <w:rPr>
          <w:sz w:val="28"/>
          <w:szCs w:val="28"/>
        </w:rPr>
        <w:t xml:space="preserve"> demás</w:t>
      </w:r>
      <w:r w:rsidR="0094569B" w:rsidRPr="00274507">
        <w:rPr>
          <w:sz w:val="28"/>
          <w:szCs w:val="28"/>
        </w:rPr>
        <w:t xml:space="preserve"> problemas jurídicos </w:t>
      </w:r>
      <w:r w:rsidR="00D6549F" w:rsidRPr="00274507">
        <w:rPr>
          <w:sz w:val="28"/>
          <w:szCs w:val="28"/>
        </w:rPr>
        <w:t xml:space="preserve">señalados en la sentencia T-760 de 2008 seguirán siendo evaluados bajo las condiciones </w:t>
      </w:r>
      <w:r w:rsidR="00DA52A0" w:rsidRPr="00274507">
        <w:rPr>
          <w:sz w:val="28"/>
          <w:szCs w:val="28"/>
        </w:rPr>
        <w:t>descritas en el acápite inicial.</w:t>
      </w:r>
    </w:p>
    <w:p w:rsidR="00DA52A0" w:rsidRPr="00274507" w:rsidRDefault="00DA52A0" w:rsidP="00274507">
      <w:pPr>
        <w:jc w:val="both"/>
        <w:rPr>
          <w:sz w:val="28"/>
          <w:szCs w:val="28"/>
          <w:highlight w:val="yellow"/>
        </w:rPr>
      </w:pPr>
    </w:p>
    <w:p w:rsidR="00110483" w:rsidRPr="00274507" w:rsidRDefault="001C2FF8" w:rsidP="00274507">
      <w:pPr>
        <w:jc w:val="both"/>
        <w:rPr>
          <w:sz w:val="28"/>
          <w:szCs w:val="28"/>
        </w:rPr>
      </w:pPr>
      <w:r w:rsidRPr="00274507">
        <w:rPr>
          <w:sz w:val="28"/>
          <w:szCs w:val="28"/>
        </w:rPr>
        <w:t xml:space="preserve">Según lo expuesto </w:t>
      </w:r>
      <w:r w:rsidR="00022230" w:rsidRPr="00274507">
        <w:rPr>
          <w:sz w:val="28"/>
          <w:szCs w:val="28"/>
        </w:rPr>
        <w:t>resulta</w:t>
      </w:r>
      <w:r w:rsidR="003B197B" w:rsidRPr="00274507">
        <w:rPr>
          <w:sz w:val="28"/>
          <w:szCs w:val="28"/>
        </w:rPr>
        <w:t xml:space="preserve"> pertinente</w:t>
      </w:r>
      <w:r w:rsidRPr="00274507">
        <w:rPr>
          <w:sz w:val="28"/>
          <w:szCs w:val="28"/>
        </w:rPr>
        <w:t xml:space="preserve"> indicar al Ministerio </w:t>
      </w:r>
      <w:r w:rsidR="00A85B58" w:rsidRPr="00274507">
        <w:rPr>
          <w:sz w:val="28"/>
          <w:szCs w:val="28"/>
        </w:rPr>
        <w:t>de Salud</w:t>
      </w:r>
      <w:r w:rsidR="00E10BB8" w:rsidRPr="00274507">
        <w:rPr>
          <w:sz w:val="28"/>
          <w:szCs w:val="28"/>
        </w:rPr>
        <w:t xml:space="preserve"> que</w:t>
      </w:r>
      <w:r w:rsidR="00F1446C" w:rsidRPr="00274507">
        <w:rPr>
          <w:sz w:val="28"/>
          <w:szCs w:val="28"/>
        </w:rPr>
        <w:t xml:space="preserve"> debe</w:t>
      </w:r>
      <w:r w:rsidR="00E10BB8" w:rsidRPr="00274507">
        <w:rPr>
          <w:sz w:val="28"/>
          <w:szCs w:val="28"/>
        </w:rPr>
        <w:t xml:space="preserve"> tener en cuenta las recomendaciones </w:t>
      </w:r>
      <w:r w:rsidR="00A85B58" w:rsidRPr="00274507">
        <w:rPr>
          <w:sz w:val="28"/>
          <w:szCs w:val="28"/>
        </w:rPr>
        <w:t>descritas</w:t>
      </w:r>
      <w:r w:rsidR="00806B61" w:rsidRPr="00274507">
        <w:rPr>
          <w:sz w:val="28"/>
          <w:szCs w:val="28"/>
        </w:rPr>
        <w:t>,</w:t>
      </w:r>
      <w:r w:rsidR="00AE5BDF" w:rsidRPr="00274507">
        <w:rPr>
          <w:sz w:val="28"/>
          <w:szCs w:val="28"/>
        </w:rPr>
        <w:t xml:space="preserve"> </w:t>
      </w:r>
      <w:r w:rsidR="00A85B58" w:rsidRPr="00274507">
        <w:rPr>
          <w:sz w:val="28"/>
          <w:szCs w:val="28"/>
        </w:rPr>
        <w:t xml:space="preserve">lo cual </w:t>
      </w:r>
      <w:r w:rsidR="00AE5BDF" w:rsidRPr="00274507">
        <w:rPr>
          <w:sz w:val="28"/>
          <w:szCs w:val="28"/>
        </w:rPr>
        <w:t>constitu</w:t>
      </w:r>
      <w:r w:rsidR="00A85B58" w:rsidRPr="00274507">
        <w:rPr>
          <w:sz w:val="28"/>
          <w:szCs w:val="28"/>
        </w:rPr>
        <w:t>ye</w:t>
      </w:r>
      <w:r w:rsidR="00BF3215" w:rsidRPr="00274507">
        <w:rPr>
          <w:sz w:val="28"/>
          <w:szCs w:val="28"/>
        </w:rPr>
        <w:t xml:space="preserve"> una gran herramienta para resolver de fondo</w:t>
      </w:r>
      <w:r w:rsidR="00AE5BDF" w:rsidRPr="00274507">
        <w:rPr>
          <w:sz w:val="28"/>
          <w:szCs w:val="28"/>
        </w:rPr>
        <w:t xml:space="preserve"> las circunstancias que se presentan de forma reiterada</w:t>
      </w:r>
      <w:r w:rsidR="003B197B" w:rsidRPr="00274507">
        <w:rPr>
          <w:sz w:val="28"/>
          <w:szCs w:val="28"/>
        </w:rPr>
        <w:t xml:space="preserve"> en el sistema</w:t>
      </w:r>
      <w:r w:rsidR="00AE5BDF" w:rsidRPr="00274507">
        <w:rPr>
          <w:sz w:val="28"/>
          <w:szCs w:val="28"/>
        </w:rPr>
        <w:t>.</w:t>
      </w:r>
      <w:r w:rsidR="00022230" w:rsidRPr="00274507">
        <w:rPr>
          <w:sz w:val="28"/>
          <w:szCs w:val="28"/>
        </w:rPr>
        <w:t xml:space="preserve"> </w:t>
      </w:r>
      <w:r w:rsidR="0060392A" w:rsidRPr="00274507">
        <w:rPr>
          <w:sz w:val="28"/>
          <w:szCs w:val="28"/>
        </w:rPr>
        <w:t>Esto</w:t>
      </w:r>
      <w:r w:rsidR="00022230" w:rsidRPr="00274507">
        <w:rPr>
          <w:sz w:val="28"/>
          <w:szCs w:val="28"/>
        </w:rPr>
        <w:t>, bajo el entendido que la intención final del desarrollo de la orden respecto a cada problema jurídico es que las fallas que se evidencien en los mismos respecto a la prestación de cualquier</w:t>
      </w:r>
      <w:r w:rsidR="0060392A" w:rsidRPr="00274507">
        <w:rPr>
          <w:sz w:val="28"/>
          <w:szCs w:val="28"/>
        </w:rPr>
        <w:t xml:space="preserve"> tecnología en salud no sea</w:t>
      </w:r>
      <w:r w:rsidR="00022230" w:rsidRPr="00274507">
        <w:rPr>
          <w:sz w:val="28"/>
          <w:szCs w:val="28"/>
        </w:rPr>
        <w:t xml:space="preserve"> una barrera para los usuarios, sino que por el contrario</w:t>
      </w:r>
      <w:r w:rsidR="0060392A" w:rsidRPr="00274507">
        <w:rPr>
          <w:sz w:val="28"/>
          <w:szCs w:val="28"/>
        </w:rPr>
        <w:t>,</w:t>
      </w:r>
      <w:r w:rsidR="00022230" w:rsidRPr="00274507">
        <w:rPr>
          <w:sz w:val="28"/>
          <w:szCs w:val="28"/>
        </w:rPr>
        <w:t xml:space="preserve"> sean edificados mecanismos alternativos que garanticen con mayor eficiencia el servicio adecuado, pertinente y acertado en cada caso y disminuyan las acciones incoadas por la constante y flagrante vulneración al derecho fundamental a la salud.</w:t>
      </w:r>
    </w:p>
    <w:p w:rsidR="00B170D2" w:rsidRPr="00274507" w:rsidRDefault="00B170D2" w:rsidP="00274507">
      <w:pPr>
        <w:tabs>
          <w:tab w:val="left" w:pos="3417"/>
        </w:tabs>
        <w:jc w:val="both"/>
        <w:rPr>
          <w:sz w:val="28"/>
          <w:szCs w:val="28"/>
        </w:rPr>
      </w:pPr>
    </w:p>
    <w:p w:rsidR="00277C89" w:rsidRPr="00274507" w:rsidRDefault="00D05C0C" w:rsidP="00274507">
      <w:pPr>
        <w:tabs>
          <w:tab w:val="left" w:pos="3417"/>
        </w:tabs>
        <w:jc w:val="both"/>
        <w:rPr>
          <w:b/>
          <w:sz w:val="28"/>
          <w:szCs w:val="28"/>
        </w:rPr>
      </w:pPr>
      <w:r w:rsidRPr="00274507">
        <w:rPr>
          <w:b/>
          <w:sz w:val="28"/>
          <w:szCs w:val="28"/>
        </w:rPr>
        <w:t>7</w:t>
      </w:r>
      <w:r w:rsidR="00D405BD" w:rsidRPr="00274507">
        <w:rPr>
          <w:b/>
          <w:sz w:val="28"/>
          <w:szCs w:val="28"/>
        </w:rPr>
        <w:t>.4</w:t>
      </w:r>
      <w:r w:rsidR="00A9401F" w:rsidRPr="00274507">
        <w:rPr>
          <w:b/>
          <w:sz w:val="28"/>
          <w:szCs w:val="28"/>
        </w:rPr>
        <w:t xml:space="preserve">. </w:t>
      </w:r>
      <w:r w:rsidR="00180CF6" w:rsidRPr="00274507">
        <w:rPr>
          <w:b/>
          <w:sz w:val="28"/>
          <w:szCs w:val="28"/>
        </w:rPr>
        <w:t xml:space="preserve">Tendencia </w:t>
      </w:r>
      <w:r w:rsidR="007F17CC" w:rsidRPr="00274507">
        <w:rPr>
          <w:b/>
          <w:sz w:val="28"/>
          <w:szCs w:val="28"/>
        </w:rPr>
        <w:t xml:space="preserve">creciente en </w:t>
      </w:r>
      <w:r w:rsidR="00F97DF2" w:rsidRPr="00274507">
        <w:rPr>
          <w:b/>
          <w:sz w:val="28"/>
          <w:szCs w:val="28"/>
        </w:rPr>
        <w:t xml:space="preserve">la </w:t>
      </w:r>
      <w:r w:rsidR="007F17CC" w:rsidRPr="00274507">
        <w:rPr>
          <w:b/>
          <w:sz w:val="28"/>
          <w:szCs w:val="28"/>
        </w:rPr>
        <w:t>presentación de acciones de tutelas</w:t>
      </w:r>
      <w:r w:rsidR="00014BDA" w:rsidRPr="00274507">
        <w:rPr>
          <w:b/>
          <w:sz w:val="28"/>
          <w:szCs w:val="28"/>
        </w:rPr>
        <w:t>.</w:t>
      </w:r>
    </w:p>
    <w:p w:rsidR="00167558" w:rsidRPr="00274507" w:rsidRDefault="00167558" w:rsidP="00274507">
      <w:pPr>
        <w:pStyle w:val="Prrafodelista"/>
        <w:tabs>
          <w:tab w:val="left" w:pos="284"/>
          <w:tab w:val="left" w:pos="426"/>
        </w:tabs>
        <w:ind w:left="0"/>
        <w:jc w:val="both"/>
        <w:rPr>
          <w:b/>
          <w:i/>
          <w:sz w:val="28"/>
          <w:szCs w:val="28"/>
        </w:rPr>
      </w:pPr>
    </w:p>
    <w:p w:rsidR="006D48A9" w:rsidRPr="00274507" w:rsidRDefault="00D05C0C" w:rsidP="00274507">
      <w:pPr>
        <w:pStyle w:val="Prrafodelista"/>
        <w:tabs>
          <w:tab w:val="left" w:pos="284"/>
          <w:tab w:val="left" w:pos="426"/>
        </w:tabs>
        <w:ind w:left="0"/>
        <w:jc w:val="both"/>
        <w:rPr>
          <w:sz w:val="28"/>
          <w:szCs w:val="28"/>
        </w:rPr>
      </w:pPr>
      <w:r w:rsidRPr="00274507">
        <w:rPr>
          <w:b/>
          <w:sz w:val="28"/>
          <w:szCs w:val="28"/>
        </w:rPr>
        <w:t>7</w:t>
      </w:r>
      <w:r w:rsidR="00D405BD" w:rsidRPr="00274507">
        <w:rPr>
          <w:b/>
          <w:sz w:val="28"/>
          <w:szCs w:val="28"/>
        </w:rPr>
        <w:t>.4.1</w:t>
      </w:r>
      <w:r w:rsidR="00D31066" w:rsidRPr="00274507">
        <w:rPr>
          <w:b/>
          <w:sz w:val="28"/>
          <w:szCs w:val="28"/>
        </w:rPr>
        <w:t>.</w:t>
      </w:r>
      <w:r w:rsidR="00D31066" w:rsidRPr="00274507">
        <w:rPr>
          <w:sz w:val="28"/>
          <w:szCs w:val="28"/>
        </w:rPr>
        <w:t xml:space="preserve"> </w:t>
      </w:r>
      <w:r w:rsidR="00923D36" w:rsidRPr="00274507">
        <w:rPr>
          <w:sz w:val="28"/>
          <w:szCs w:val="28"/>
        </w:rPr>
        <w:t>En el octavo informe, el Ministerio de Salud efectúo el</w:t>
      </w:r>
      <w:r w:rsidR="00D83F94" w:rsidRPr="00274507">
        <w:rPr>
          <w:sz w:val="28"/>
          <w:szCs w:val="28"/>
        </w:rPr>
        <w:t xml:space="preserve"> análisis desde la perspectiva del panorama general de las tutelas</w:t>
      </w:r>
      <w:r w:rsidR="00923D36" w:rsidRPr="00274507">
        <w:rPr>
          <w:sz w:val="28"/>
          <w:szCs w:val="28"/>
        </w:rPr>
        <w:t>, así:</w:t>
      </w:r>
    </w:p>
    <w:p w:rsidR="00B170D2" w:rsidRPr="00274507" w:rsidRDefault="00B170D2" w:rsidP="00274507">
      <w:pPr>
        <w:jc w:val="center"/>
        <w:rPr>
          <w:b/>
          <w:sz w:val="28"/>
          <w:szCs w:val="28"/>
        </w:rPr>
      </w:pPr>
    </w:p>
    <w:p w:rsidR="00D83F94" w:rsidRPr="00274507" w:rsidRDefault="00D83F94" w:rsidP="00274507">
      <w:pPr>
        <w:jc w:val="center"/>
        <w:rPr>
          <w:b/>
          <w:sz w:val="28"/>
          <w:szCs w:val="28"/>
        </w:rPr>
      </w:pPr>
      <w:r w:rsidRPr="00274507">
        <w:rPr>
          <w:b/>
          <w:sz w:val="28"/>
          <w:szCs w:val="28"/>
        </w:rPr>
        <w:t>La evolución de las acciones de tutela en salud entre el 2000 y 2015</w:t>
      </w:r>
    </w:p>
    <w:p w:rsidR="00B170D2" w:rsidRPr="00274507" w:rsidRDefault="00B170D2" w:rsidP="00274507">
      <w:pPr>
        <w:jc w:val="both"/>
        <w:rPr>
          <w:sz w:val="28"/>
          <w:szCs w:val="28"/>
        </w:rPr>
      </w:pPr>
    </w:p>
    <w:tbl>
      <w:tblPr>
        <w:tblStyle w:val="Tablaconcuadrcula"/>
        <w:tblW w:w="0" w:type="auto"/>
        <w:tblLook w:val="04A0" w:firstRow="1" w:lastRow="0" w:firstColumn="1" w:lastColumn="0" w:noHBand="0" w:noVBand="1"/>
      </w:tblPr>
      <w:tblGrid>
        <w:gridCol w:w="774"/>
        <w:gridCol w:w="1472"/>
        <w:gridCol w:w="1123"/>
        <w:gridCol w:w="1939"/>
        <w:gridCol w:w="2341"/>
        <w:gridCol w:w="1690"/>
      </w:tblGrid>
      <w:tr w:rsidR="00D83F94" w:rsidRPr="00274507" w:rsidTr="00386B55">
        <w:tc>
          <w:tcPr>
            <w:tcW w:w="815" w:type="dxa"/>
          </w:tcPr>
          <w:p w:rsidR="00D83F94" w:rsidRPr="00274507" w:rsidRDefault="00D83F94" w:rsidP="00274507">
            <w:pPr>
              <w:jc w:val="center"/>
              <w:rPr>
                <w:b/>
                <w:sz w:val="28"/>
                <w:szCs w:val="28"/>
              </w:rPr>
            </w:pPr>
            <w:r w:rsidRPr="00274507">
              <w:rPr>
                <w:b/>
                <w:sz w:val="28"/>
                <w:szCs w:val="28"/>
              </w:rPr>
              <w:t>Año</w:t>
            </w:r>
          </w:p>
        </w:tc>
        <w:tc>
          <w:tcPr>
            <w:tcW w:w="1478" w:type="dxa"/>
          </w:tcPr>
          <w:p w:rsidR="00D83F94" w:rsidRPr="00274507" w:rsidRDefault="00D83F94" w:rsidP="00274507">
            <w:pPr>
              <w:jc w:val="center"/>
              <w:rPr>
                <w:b/>
                <w:sz w:val="28"/>
                <w:szCs w:val="28"/>
              </w:rPr>
            </w:pPr>
            <w:r w:rsidRPr="00274507">
              <w:rPr>
                <w:b/>
                <w:sz w:val="28"/>
                <w:szCs w:val="28"/>
              </w:rPr>
              <w:t>Afiliados</w:t>
            </w:r>
          </w:p>
        </w:tc>
        <w:tc>
          <w:tcPr>
            <w:tcW w:w="1147" w:type="dxa"/>
          </w:tcPr>
          <w:p w:rsidR="00D83F94" w:rsidRPr="00274507" w:rsidRDefault="00D83F94" w:rsidP="00274507">
            <w:pPr>
              <w:jc w:val="center"/>
              <w:rPr>
                <w:b/>
                <w:sz w:val="28"/>
                <w:szCs w:val="28"/>
              </w:rPr>
            </w:pPr>
            <w:r w:rsidRPr="00274507">
              <w:rPr>
                <w:b/>
                <w:sz w:val="28"/>
                <w:szCs w:val="28"/>
              </w:rPr>
              <w:t>Tutelas</w:t>
            </w:r>
          </w:p>
        </w:tc>
        <w:tc>
          <w:tcPr>
            <w:tcW w:w="1865" w:type="dxa"/>
          </w:tcPr>
          <w:p w:rsidR="00D83F94" w:rsidRPr="00274507" w:rsidRDefault="00D83F94" w:rsidP="00274507">
            <w:pPr>
              <w:jc w:val="center"/>
              <w:rPr>
                <w:b/>
                <w:sz w:val="28"/>
                <w:szCs w:val="28"/>
              </w:rPr>
            </w:pPr>
            <w:r w:rsidRPr="00274507">
              <w:rPr>
                <w:b/>
                <w:sz w:val="28"/>
                <w:szCs w:val="28"/>
              </w:rPr>
              <w:t>Tasa/Afiliados</w:t>
            </w:r>
          </w:p>
        </w:tc>
        <w:tc>
          <w:tcPr>
            <w:tcW w:w="2207" w:type="dxa"/>
          </w:tcPr>
          <w:p w:rsidR="00D83F94" w:rsidRPr="00274507" w:rsidRDefault="00D83F94" w:rsidP="00274507">
            <w:pPr>
              <w:jc w:val="center"/>
              <w:rPr>
                <w:b/>
                <w:sz w:val="28"/>
                <w:szCs w:val="28"/>
              </w:rPr>
            </w:pPr>
            <w:r w:rsidRPr="00274507">
              <w:rPr>
                <w:b/>
                <w:sz w:val="28"/>
                <w:szCs w:val="28"/>
              </w:rPr>
              <w:t>Crecimiento/Tasa de afiliado</w:t>
            </w:r>
          </w:p>
        </w:tc>
        <w:tc>
          <w:tcPr>
            <w:tcW w:w="1601" w:type="dxa"/>
          </w:tcPr>
          <w:p w:rsidR="00D83F94" w:rsidRPr="00274507" w:rsidRDefault="00D83F94" w:rsidP="00274507">
            <w:pPr>
              <w:jc w:val="center"/>
              <w:rPr>
                <w:b/>
                <w:sz w:val="28"/>
                <w:szCs w:val="28"/>
              </w:rPr>
            </w:pPr>
            <w:r w:rsidRPr="00274507">
              <w:rPr>
                <w:b/>
                <w:sz w:val="28"/>
                <w:szCs w:val="28"/>
              </w:rPr>
              <w:t>Tasa de Crecimiento</w:t>
            </w:r>
          </w:p>
          <w:p w:rsidR="00D83F94" w:rsidRPr="00274507" w:rsidRDefault="00D83F94" w:rsidP="00274507">
            <w:pPr>
              <w:jc w:val="center"/>
              <w:rPr>
                <w:b/>
                <w:sz w:val="28"/>
                <w:szCs w:val="28"/>
              </w:rPr>
            </w:pPr>
            <w:r w:rsidRPr="00274507">
              <w:rPr>
                <w:b/>
                <w:sz w:val="28"/>
                <w:szCs w:val="28"/>
              </w:rPr>
              <w:t>Tutela</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2000</w:t>
            </w:r>
          </w:p>
        </w:tc>
        <w:tc>
          <w:tcPr>
            <w:tcW w:w="1478" w:type="dxa"/>
          </w:tcPr>
          <w:p w:rsidR="00D83F94" w:rsidRPr="00274507" w:rsidRDefault="00D83F94" w:rsidP="00274507">
            <w:pPr>
              <w:jc w:val="center"/>
              <w:rPr>
                <w:sz w:val="28"/>
                <w:szCs w:val="28"/>
              </w:rPr>
            </w:pPr>
            <w:r w:rsidRPr="00274507">
              <w:rPr>
                <w:sz w:val="28"/>
                <w:szCs w:val="28"/>
              </w:rPr>
              <w:t>23.017.680</w:t>
            </w:r>
          </w:p>
        </w:tc>
        <w:tc>
          <w:tcPr>
            <w:tcW w:w="1147" w:type="dxa"/>
          </w:tcPr>
          <w:p w:rsidR="00D83F94" w:rsidRPr="00274507" w:rsidRDefault="00D83F94" w:rsidP="00274507">
            <w:pPr>
              <w:jc w:val="center"/>
              <w:rPr>
                <w:sz w:val="28"/>
                <w:szCs w:val="28"/>
              </w:rPr>
            </w:pPr>
            <w:r w:rsidRPr="00274507">
              <w:rPr>
                <w:sz w:val="28"/>
                <w:szCs w:val="28"/>
              </w:rPr>
              <w:t>24.843</w:t>
            </w:r>
          </w:p>
        </w:tc>
        <w:tc>
          <w:tcPr>
            <w:tcW w:w="1865" w:type="dxa"/>
          </w:tcPr>
          <w:p w:rsidR="00D83F94" w:rsidRPr="00274507" w:rsidRDefault="00D83F94" w:rsidP="00274507">
            <w:pPr>
              <w:jc w:val="center"/>
              <w:rPr>
                <w:sz w:val="28"/>
                <w:szCs w:val="28"/>
              </w:rPr>
            </w:pPr>
            <w:r w:rsidRPr="00274507">
              <w:rPr>
                <w:sz w:val="28"/>
                <w:szCs w:val="28"/>
              </w:rPr>
              <w:t>1,1</w:t>
            </w:r>
          </w:p>
        </w:tc>
        <w:tc>
          <w:tcPr>
            <w:tcW w:w="2207" w:type="dxa"/>
          </w:tcPr>
          <w:p w:rsidR="00D83F94" w:rsidRPr="00274507" w:rsidRDefault="00D83F94" w:rsidP="00274507">
            <w:pPr>
              <w:jc w:val="center"/>
              <w:rPr>
                <w:sz w:val="28"/>
                <w:szCs w:val="28"/>
              </w:rPr>
            </w:pPr>
          </w:p>
        </w:tc>
        <w:tc>
          <w:tcPr>
            <w:tcW w:w="1601" w:type="dxa"/>
          </w:tcPr>
          <w:p w:rsidR="00D83F94" w:rsidRPr="00274507" w:rsidRDefault="00D83F94" w:rsidP="00274507">
            <w:pPr>
              <w:jc w:val="center"/>
              <w:rPr>
                <w:sz w:val="28"/>
                <w:szCs w:val="28"/>
              </w:rPr>
            </w:pP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2001</w:t>
            </w:r>
          </w:p>
        </w:tc>
        <w:tc>
          <w:tcPr>
            <w:tcW w:w="1478" w:type="dxa"/>
          </w:tcPr>
          <w:p w:rsidR="00D83F94" w:rsidRPr="00274507" w:rsidRDefault="00D83F94" w:rsidP="00274507">
            <w:pPr>
              <w:jc w:val="center"/>
              <w:rPr>
                <w:sz w:val="28"/>
                <w:szCs w:val="28"/>
              </w:rPr>
            </w:pPr>
            <w:r w:rsidRPr="00274507">
              <w:rPr>
                <w:sz w:val="28"/>
                <w:szCs w:val="28"/>
              </w:rPr>
              <w:t>23.806.139</w:t>
            </w:r>
          </w:p>
        </w:tc>
        <w:tc>
          <w:tcPr>
            <w:tcW w:w="1147" w:type="dxa"/>
          </w:tcPr>
          <w:p w:rsidR="00D83F94" w:rsidRPr="00274507" w:rsidRDefault="00D83F94" w:rsidP="00274507">
            <w:pPr>
              <w:jc w:val="center"/>
              <w:rPr>
                <w:sz w:val="28"/>
                <w:szCs w:val="28"/>
              </w:rPr>
            </w:pPr>
            <w:r w:rsidRPr="00274507">
              <w:rPr>
                <w:sz w:val="28"/>
                <w:szCs w:val="28"/>
              </w:rPr>
              <w:t>34.319</w:t>
            </w:r>
          </w:p>
        </w:tc>
        <w:tc>
          <w:tcPr>
            <w:tcW w:w="1865" w:type="dxa"/>
          </w:tcPr>
          <w:p w:rsidR="00D83F94" w:rsidRPr="00274507" w:rsidRDefault="00D83F94" w:rsidP="00274507">
            <w:pPr>
              <w:jc w:val="center"/>
              <w:rPr>
                <w:sz w:val="28"/>
                <w:szCs w:val="28"/>
              </w:rPr>
            </w:pPr>
            <w:r w:rsidRPr="00274507">
              <w:rPr>
                <w:sz w:val="28"/>
                <w:szCs w:val="28"/>
              </w:rPr>
              <w:t>1,4</w:t>
            </w:r>
          </w:p>
        </w:tc>
        <w:tc>
          <w:tcPr>
            <w:tcW w:w="2207" w:type="dxa"/>
          </w:tcPr>
          <w:p w:rsidR="00D83F94" w:rsidRPr="00274507" w:rsidRDefault="00D83F94" w:rsidP="00274507">
            <w:pPr>
              <w:jc w:val="center"/>
              <w:rPr>
                <w:sz w:val="28"/>
                <w:szCs w:val="28"/>
              </w:rPr>
            </w:pPr>
            <w:r w:rsidRPr="00274507">
              <w:rPr>
                <w:sz w:val="28"/>
                <w:szCs w:val="28"/>
              </w:rPr>
              <w:t>33,6%</w:t>
            </w:r>
          </w:p>
        </w:tc>
        <w:tc>
          <w:tcPr>
            <w:tcW w:w="1601" w:type="dxa"/>
          </w:tcPr>
          <w:p w:rsidR="00D83F94" w:rsidRPr="00274507" w:rsidRDefault="00D83F94" w:rsidP="00274507">
            <w:pPr>
              <w:jc w:val="center"/>
              <w:rPr>
                <w:sz w:val="28"/>
                <w:szCs w:val="28"/>
              </w:rPr>
            </w:pPr>
            <w:r w:rsidRPr="00274507">
              <w:rPr>
                <w:sz w:val="28"/>
                <w:szCs w:val="28"/>
              </w:rPr>
              <w:t>38,1%</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2002</w:t>
            </w:r>
          </w:p>
        </w:tc>
        <w:tc>
          <w:tcPr>
            <w:tcW w:w="1478" w:type="dxa"/>
          </w:tcPr>
          <w:p w:rsidR="00D83F94" w:rsidRPr="00274507" w:rsidRDefault="00D83F94" w:rsidP="00274507">
            <w:pPr>
              <w:jc w:val="center"/>
              <w:rPr>
                <w:sz w:val="28"/>
                <w:szCs w:val="28"/>
              </w:rPr>
            </w:pPr>
            <w:r w:rsidRPr="00274507">
              <w:rPr>
                <w:sz w:val="28"/>
                <w:szCs w:val="28"/>
              </w:rPr>
              <w:t>24.194.854</w:t>
            </w:r>
          </w:p>
        </w:tc>
        <w:tc>
          <w:tcPr>
            <w:tcW w:w="1147" w:type="dxa"/>
          </w:tcPr>
          <w:p w:rsidR="00D83F94" w:rsidRPr="00274507" w:rsidRDefault="00D83F94" w:rsidP="00274507">
            <w:pPr>
              <w:jc w:val="center"/>
              <w:rPr>
                <w:sz w:val="28"/>
                <w:szCs w:val="28"/>
              </w:rPr>
            </w:pPr>
            <w:r w:rsidRPr="00274507">
              <w:rPr>
                <w:sz w:val="28"/>
                <w:szCs w:val="28"/>
              </w:rPr>
              <w:t>42.734</w:t>
            </w:r>
          </w:p>
        </w:tc>
        <w:tc>
          <w:tcPr>
            <w:tcW w:w="1865" w:type="dxa"/>
          </w:tcPr>
          <w:p w:rsidR="00D83F94" w:rsidRPr="00274507" w:rsidRDefault="00D83F94" w:rsidP="00274507">
            <w:pPr>
              <w:jc w:val="center"/>
              <w:rPr>
                <w:sz w:val="28"/>
                <w:szCs w:val="28"/>
              </w:rPr>
            </w:pPr>
            <w:r w:rsidRPr="00274507">
              <w:rPr>
                <w:sz w:val="28"/>
                <w:szCs w:val="28"/>
              </w:rPr>
              <w:t>1,8</w:t>
            </w:r>
          </w:p>
        </w:tc>
        <w:tc>
          <w:tcPr>
            <w:tcW w:w="2207" w:type="dxa"/>
          </w:tcPr>
          <w:p w:rsidR="00D83F94" w:rsidRPr="00274507" w:rsidRDefault="00D83F94" w:rsidP="00274507">
            <w:pPr>
              <w:jc w:val="center"/>
              <w:rPr>
                <w:sz w:val="28"/>
                <w:szCs w:val="28"/>
              </w:rPr>
            </w:pPr>
            <w:r w:rsidRPr="00274507">
              <w:rPr>
                <w:sz w:val="28"/>
                <w:szCs w:val="28"/>
              </w:rPr>
              <w:t>22,5%</w:t>
            </w:r>
          </w:p>
        </w:tc>
        <w:tc>
          <w:tcPr>
            <w:tcW w:w="1601" w:type="dxa"/>
          </w:tcPr>
          <w:p w:rsidR="00D83F94" w:rsidRPr="00274507" w:rsidRDefault="00D83F94" w:rsidP="00274507">
            <w:pPr>
              <w:jc w:val="center"/>
              <w:rPr>
                <w:sz w:val="28"/>
                <w:szCs w:val="28"/>
              </w:rPr>
            </w:pPr>
            <w:r w:rsidRPr="00274507">
              <w:rPr>
                <w:sz w:val="28"/>
                <w:szCs w:val="28"/>
              </w:rPr>
              <w:t>24,5%</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2003</w:t>
            </w:r>
          </w:p>
        </w:tc>
        <w:tc>
          <w:tcPr>
            <w:tcW w:w="1478" w:type="dxa"/>
          </w:tcPr>
          <w:p w:rsidR="00D83F94" w:rsidRPr="00274507" w:rsidRDefault="00D83F94" w:rsidP="00274507">
            <w:pPr>
              <w:jc w:val="center"/>
              <w:rPr>
                <w:sz w:val="28"/>
                <w:szCs w:val="28"/>
              </w:rPr>
            </w:pPr>
            <w:r w:rsidRPr="00274507">
              <w:rPr>
                <w:sz w:val="28"/>
                <w:szCs w:val="28"/>
              </w:rPr>
              <w:t>25.413.865</w:t>
            </w:r>
          </w:p>
        </w:tc>
        <w:tc>
          <w:tcPr>
            <w:tcW w:w="1147" w:type="dxa"/>
          </w:tcPr>
          <w:p w:rsidR="00D83F94" w:rsidRPr="00274507" w:rsidRDefault="00D83F94" w:rsidP="00274507">
            <w:pPr>
              <w:jc w:val="center"/>
              <w:rPr>
                <w:sz w:val="28"/>
                <w:szCs w:val="28"/>
              </w:rPr>
            </w:pPr>
            <w:r w:rsidRPr="00274507">
              <w:rPr>
                <w:sz w:val="28"/>
                <w:szCs w:val="28"/>
              </w:rPr>
              <w:t>51.944</w:t>
            </w:r>
          </w:p>
        </w:tc>
        <w:tc>
          <w:tcPr>
            <w:tcW w:w="1865" w:type="dxa"/>
          </w:tcPr>
          <w:p w:rsidR="00D83F94" w:rsidRPr="00274507" w:rsidRDefault="00D83F94" w:rsidP="00274507">
            <w:pPr>
              <w:jc w:val="center"/>
              <w:rPr>
                <w:sz w:val="28"/>
                <w:szCs w:val="28"/>
              </w:rPr>
            </w:pPr>
            <w:r w:rsidRPr="00274507">
              <w:rPr>
                <w:sz w:val="28"/>
                <w:szCs w:val="28"/>
              </w:rPr>
              <w:t>2,0</w:t>
            </w:r>
          </w:p>
        </w:tc>
        <w:tc>
          <w:tcPr>
            <w:tcW w:w="2207" w:type="dxa"/>
          </w:tcPr>
          <w:p w:rsidR="00D83F94" w:rsidRPr="00274507" w:rsidRDefault="00D83F94" w:rsidP="00274507">
            <w:pPr>
              <w:jc w:val="center"/>
              <w:rPr>
                <w:sz w:val="28"/>
                <w:szCs w:val="28"/>
              </w:rPr>
            </w:pPr>
            <w:r w:rsidRPr="00274507">
              <w:rPr>
                <w:sz w:val="28"/>
                <w:szCs w:val="28"/>
              </w:rPr>
              <w:t>15,7%</w:t>
            </w:r>
          </w:p>
        </w:tc>
        <w:tc>
          <w:tcPr>
            <w:tcW w:w="1601" w:type="dxa"/>
          </w:tcPr>
          <w:p w:rsidR="00D83F94" w:rsidRPr="00274507" w:rsidRDefault="00D83F94" w:rsidP="00274507">
            <w:pPr>
              <w:jc w:val="center"/>
              <w:rPr>
                <w:sz w:val="28"/>
                <w:szCs w:val="28"/>
              </w:rPr>
            </w:pPr>
            <w:r w:rsidRPr="00274507">
              <w:rPr>
                <w:sz w:val="28"/>
                <w:szCs w:val="28"/>
              </w:rPr>
              <w:t>21,6%</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2004</w:t>
            </w:r>
          </w:p>
        </w:tc>
        <w:tc>
          <w:tcPr>
            <w:tcW w:w="1478" w:type="dxa"/>
          </w:tcPr>
          <w:p w:rsidR="00D83F94" w:rsidRPr="00274507" w:rsidRDefault="00D83F94" w:rsidP="00274507">
            <w:pPr>
              <w:jc w:val="center"/>
              <w:rPr>
                <w:sz w:val="28"/>
                <w:szCs w:val="28"/>
              </w:rPr>
            </w:pPr>
            <w:r w:rsidRPr="00274507">
              <w:rPr>
                <w:sz w:val="28"/>
                <w:szCs w:val="28"/>
              </w:rPr>
              <w:t>30.040.650</w:t>
            </w:r>
          </w:p>
        </w:tc>
        <w:tc>
          <w:tcPr>
            <w:tcW w:w="1147" w:type="dxa"/>
          </w:tcPr>
          <w:p w:rsidR="00D83F94" w:rsidRPr="00274507" w:rsidRDefault="00D83F94" w:rsidP="00274507">
            <w:pPr>
              <w:jc w:val="center"/>
              <w:rPr>
                <w:sz w:val="28"/>
                <w:szCs w:val="28"/>
              </w:rPr>
            </w:pPr>
            <w:r w:rsidRPr="00274507">
              <w:rPr>
                <w:sz w:val="28"/>
                <w:szCs w:val="28"/>
              </w:rPr>
              <w:t>72.033</w:t>
            </w:r>
          </w:p>
        </w:tc>
        <w:tc>
          <w:tcPr>
            <w:tcW w:w="1865" w:type="dxa"/>
          </w:tcPr>
          <w:p w:rsidR="00D83F94" w:rsidRPr="00274507" w:rsidRDefault="00D83F94" w:rsidP="00274507">
            <w:pPr>
              <w:jc w:val="center"/>
              <w:rPr>
                <w:sz w:val="28"/>
                <w:szCs w:val="28"/>
              </w:rPr>
            </w:pPr>
            <w:r w:rsidRPr="00274507">
              <w:rPr>
                <w:sz w:val="28"/>
                <w:szCs w:val="28"/>
              </w:rPr>
              <w:t>2,4</w:t>
            </w:r>
          </w:p>
        </w:tc>
        <w:tc>
          <w:tcPr>
            <w:tcW w:w="2207" w:type="dxa"/>
          </w:tcPr>
          <w:p w:rsidR="00D83F94" w:rsidRPr="00274507" w:rsidRDefault="00D83F94" w:rsidP="00274507">
            <w:pPr>
              <w:jc w:val="center"/>
              <w:rPr>
                <w:sz w:val="28"/>
                <w:szCs w:val="28"/>
              </w:rPr>
            </w:pPr>
            <w:r w:rsidRPr="00274507">
              <w:rPr>
                <w:sz w:val="28"/>
                <w:szCs w:val="28"/>
              </w:rPr>
              <w:t>17,3%</w:t>
            </w:r>
          </w:p>
        </w:tc>
        <w:tc>
          <w:tcPr>
            <w:tcW w:w="1601" w:type="dxa"/>
          </w:tcPr>
          <w:p w:rsidR="00D83F94" w:rsidRPr="00274507" w:rsidRDefault="00D83F94" w:rsidP="00274507">
            <w:pPr>
              <w:jc w:val="center"/>
              <w:rPr>
                <w:sz w:val="28"/>
                <w:szCs w:val="28"/>
              </w:rPr>
            </w:pPr>
            <w:r w:rsidRPr="00274507">
              <w:rPr>
                <w:sz w:val="28"/>
                <w:szCs w:val="28"/>
              </w:rPr>
              <w:t>38,7%</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2005</w:t>
            </w:r>
          </w:p>
        </w:tc>
        <w:tc>
          <w:tcPr>
            <w:tcW w:w="1478" w:type="dxa"/>
          </w:tcPr>
          <w:p w:rsidR="00D83F94" w:rsidRPr="00274507" w:rsidRDefault="00D83F94" w:rsidP="00274507">
            <w:pPr>
              <w:jc w:val="center"/>
              <w:rPr>
                <w:sz w:val="28"/>
                <w:szCs w:val="28"/>
              </w:rPr>
            </w:pPr>
            <w:r w:rsidRPr="00274507">
              <w:rPr>
                <w:sz w:val="28"/>
                <w:szCs w:val="28"/>
              </w:rPr>
              <w:t>33.881.988</w:t>
            </w:r>
          </w:p>
        </w:tc>
        <w:tc>
          <w:tcPr>
            <w:tcW w:w="1147" w:type="dxa"/>
          </w:tcPr>
          <w:p w:rsidR="00D83F94" w:rsidRPr="00274507" w:rsidRDefault="00D83F94" w:rsidP="00274507">
            <w:pPr>
              <w:jc w:val="center"/>
              <w:rPr>
                <w:sz w:val="28"/>
                <w:szCs w:val="28"/>
              </w:rPr>
            </w:pPr>
            <w:r w:rsidRPr="00274507">
              <w:rPr>
                <w:sz w:val="28"/>
                <w:szCs w:val="28"/>
              </w:rPr>
              <w:t>81.017</w:t>
            </w:r>
          </w:p>
        </w:tc>
        <w:tc>
          <w:tcPr>
            <w:tcW w:w="1865" w:type="dxa"/>
          </w:tcPr>
          <w:p w:rsidR="00D83F94" w:rsidRPr="00274507" w:rsidRDefault="00D83F94" w:rsidP="00274507">
            <w:pPr>
              <w:jc w:val="center"/>
              <w:rPr>
                <w:sz w:val="28"/>
                <w:szCs w:val="28"/>
              </w:rPr>
            </w:pPr>
            <w:r w:rsidRPr="00274507">
              <w:rPr>
                <w:sz w:val="28"/>
                <w:szCs w:val="28"/>
              </w:rPr>
              <w:t>2,4</w:t>
            </w:r>
          </w:p>
        </w:tc>
        <w:tc>
          <w:tcPr>
            <w:tcW w:w="2207" w:type="dxa"/>
          </w:tcPr>
          <w:p w:rsidR="00D83F94" w:rsidRPr="00274507" w:rsidRDefault="00D83F94" w:rsidP="00274507">
            <w:pPr>
              <w:jc w:val="center"/>
              <w:rPr>
                <w:sz w:val="28"/>
                <w:szCs w:val="28"/>
              </w:rPr>
            </w:pPr>
            <w:r w:rsidRPr="00274507">
              <w:rPr>
                <w:sz w:val="28"/>
                <w:szCs w:val="28"/>
              </w:rPr>
              <w:t>-0,3%</w:t>
            </w:r>
          </w:p>
        </w:tc>
        <w:tc>
          <w:tcPr>
            <w:tcW w:w="1601" w:type="dxa"/>
          </w:tcPr>
          <w:p w:rsidR="00D83F94" w:rsidRPr="00274507" w:rsidRDefault="00D83F94" w:rsidP="00274507">
            <w:pPr>
              <w:jc w:val="center"/>
              <w:rPr>
                <w:sz w:val="28"/>
                <w:szCs w:val="28"/>
              </w:rPr>
            </w:pPr>
            <w:r w:rsidRPr="00274507">
              <w:rPr>
                <w:sz w:val="28"/>
                <w:szCs w:val="28"/>
              </w:rPr>
              <w:t>12,5%</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2006</w:t>
            </w:r>
          </w:p>
        </w:tc>
        <w:tc>
          <w:tcPr>
            <w:tcW w:w="1478" w:type="dxa"/>
          </w:tcPr>
          <w:p w:rsidR="00D83F94" w:rsidRPr="00274507" w:rsidRDefault="00D83F94" w:rsidP="00274507">
            <w:pPr>
              <w:jc w:val="center"/>
              <w:rPr>
                <w:sz w:val="28"/>
                <w:szCs w:val="28"/>
              </w:rPr>
            </w:pPr>
            <w:r w:rsidRPr="00274507">
              <w:rPr>
                <w:sz w:val="28"/>
                <w:szCs w:val="28"/>
              </w:rPr>
              <w:t>36.461.003</w:t>
            </w:r>
          </w:p>
        </w:tc>
        <w:tc>
          <w:tcPr>
            <w:tcW w:w="1147" w:type="dxa"/>
          </w:tcPr>
          <w:p w:rsidR="00D83F94" w:rsidRPr="00274507" w:rsidRDefault="00D83F94" w:rsidP="00274507">
            <w:pPr>
              <w:jc w:val="center"/>
              <w:rPr>
                <w:sz w:val="28"/>
                <w:szCs w:val="28"/>
              </w:rPr>
            </w:pPr>
            <w:r w:rsidRPr="00274507">
              <w:rPr>
                <w:sz w:val="28"/>
                <w:szCs w:val="28"/>
              </w:rPr>
              <w:t>96.226</w:t>
            </w:r>
          </w:p>
        </w:tc>
        <w:tc>
          <w:tcPr>
            <w:tcW w:w="1865" w:type="dxa"/>
          </w:tcPr>
          <w:p w:rsidR="00D83F94" w:rsidRPr="00274507" w:rsidRDefault="00D83F94" w:rsidP="00274507">
            <w:pPr>
              <w:jc w:val="center"/>
              <w:rPr>
                <w:sz w:val="28"/>
                <w:szCs w:val="28"/>
              </w:rPr>
            </w:pPr>
            <w:r w:rsidRPr="00274507">
              <w:rPr>
                <w:sz w:val="28"/>
                <w:szCs w:val="28"/>
              </w:rPr>
              <w:t>2,6</w:t>
            </w:r>
          </w:p>
        </w:tc>
        <w:tc>
          <w:tcPr>
            <w:tcW w:w="2207" w:type="dxa"/>
          </w:tcPr>
          <w:p w:rsidR="00D83F94" w:rsidRPr="00274507" w:rsidRDefault="00D83F94" w:rsidP="00274507">
            <w:pPr>
              <w:jc w:val="center"/>
              <w:rPr>
                <w:sz w:val="28"/>
                <w:szCs w:val="28"/>
              </w:rPr>
            </w:pPr>
            <w:r w:rsidRPr="00274507">
              <w:rPr>
                <w:sz w:val="28"/>
                <w:szCs w:val="28"/>
              </w:rPr>
              <w:t>10,4%</w:t>
            </w:r>
          </w:p>
        </w:tc>
        <w:tc>
          <w:tcPr>
            <w:tcW w:w="1601" w:type="dxa"/>
          </w:tcPr>
          <w:p w:rsidR="00D83F94" w:rsidRPr="00274507" w:rsidRDefault="00D83F94" w:rsidP="00274507">
            <w:pPr>
              <w:jc w:val="center"/>
              <w:rPr>
                <w:sz w:val="28"/>
                <w:szCs w:val="28"/>
              </w:rPr>
            </w:pPr>
            <w:r w:rsidRPr="00274507">
              <w:rPr>
                <w:sz w:val="28"/>
                <w:szCs w:val="28"/>
              </w:rPr>
              <w:t>18,8%</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2007</w:t>
            </w:r>
          </w:p>
        </w:tc>
        <w:tc>
          <w:tcPr>
            <w:tcW w:w="1478" w:type="dxa"/>
          </w:tcPr>
          <w:p w:rsidR="00D83F94" w:rsidRPr="00274507" w:rsidRDefault="00D83F94" w:rsidP="00274507">
            <w:pPr>
              <w:jc w:val="center"/>
              <w:rPr>
                <w:sz w:val="28"/>
                <w:szCs w:val="28"/>
              </w:rPr>
            </w:pPr>
            <w:r w:rsidRPr="00274507">
              <w:rPr>
                <w:sz w:val="28"/>
                <w:szCs w:val="28"/>
              </w:rPr>
              <w:t>38.655.698</w:t>
            </w:r>
          </w:p>
        </w:tc>
        <w:tc>
          <w:tcPr>
            <w:tcW w:w="1147" w:type="dxa"/>
          </w:tcPr>
          <w:p w:rsidR="00D83F94" w:rsidRPr="00274507" w:rsidRDefault="00D83F94" w:rsidP="00274507">
            <w:pPr>
              <w:jc w:val="center"/>
              <w:rPr>
                <w:sz w:val="28"/>
                <w:szCs w:val="28"/>
              </w:rPr>
            </w:pPr>
            <w:r w:rsidRPr="00274507">
              <w:rPr>
                <w:sz w:val="28"/>
                <w:szCs w:val="28"/>
              </w:rPr>
              <w:t>107.238</w:t>
            </w:r>
          </w:p>
        </w:tc>
        <w:tc>
          <w:tcPr>
            <w:tcW w:w="1865" w:type="dxa"/>
          </w:tcPr>
          <w:p w:rsidR="00D83F94" w:rsidRPr="00274507" w:rsidRDefault="00D83F94" w:rsidP="00274507">
            <w:pPr>
              <w:jc w:val="center"/>
              <w:rPr>
                <w:sz w:val="28"/>
                <w:szCs w:val="28"/>
              </w:rPr>
            </w:pPr>
            <w:r w:rsidRPr="00274507">
              <w:rPr>
                <w:sz w:val="28"/>
                <w:szCs w:val="28"/>
              </w:rPr>
              <w:t>2,8</w:t>
            </w:r>
          </w:p>
        </w:tc>
        <w:tc>
          <w:tcPr>
            <w:tcW w:w="2207" w:type="dxa"/>
          </w:tcPr>
          <w:p w:rsidR="00D83F94" w:rsidRPr="00274507" w:rsidRDefault="00D83F94" w:rsidP="00274507">
            <w:pPr>
              <w:jc w:val="center"/>
              <w:rPr>
                <w:sz w:val="28"/>
                <w:szCs w:val="28"/>
              </w:rPr>
            </w:pPr>
            <w:r w:rsidRPr="00274507">
              <w:rPr>
                <w:sz w:val="28"/>
                <w:szCs w:val="28"/>
              </w:rPr>
              <w:t>5,1%</w:t>
            </w:r>
          </w:p>
        </w:tc>
        <w:tc>
          <w:tcPr>
            <w:tcW w:w="1601" w:type="dxa"/>
          </w:tcPr>
          <w:p w:rsidR="00D83F94" w:rsidRPr="00274507" w:rsidRDefault="00D83F94" w:rsidP="00274507">
            <w:pPr>
              <w:jc w:val="center"/>
              <w:rPr>
                <w:sz w:val="28"/>
                <w:szCs w:val="28"/>
              </w:rPr>
            </w:pPr>
            <w:r w:rsidRPr="00274507">
              <w:rPr>
                <w:sz w:val="28"/>
                <w:szCs w:val="28"/>
              </w:rPr>
              <w:t>11,4%</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2008</w:t>
            </w:r>
          </w:p>
        </w:tc>
        <w:tc>
          <w:tcPr>
            <w:tcW w:w="1478" w:type="dxa"/>
          </w:tcPr>
          <w:p w:rsidR="00D83F94" w:rsidRPr="00274507" w:rsidRDefault="00D83F94" w:rsidP="00274507">
            <w:pPr>
              <w:jc w:val="center"/>
              <w:rPr>
                <w:sz w:val="28"/>
                <w:szCs w:val="28"/>
              </w:rPr>
            </w:pPr>
            <w:r w:rsidRPr="00274507">
              <w:rPr>
                <w:sz w:val="28"/>
                <w:szCs w:val="28"/>
              </w:rPr>
              <w:t>39.561.521</w:t>
            </w:r>
          </w:p>
        </w:tc>
        <w:tc>
          <w:tcPr>
            <w:tcW w:w="1147" w:type="dxa"/>
          </w:tcPr>
          <w:p w:rsidR="00D83F94" w:rsidRPr="00274507" w:rsidRDefault="00D83F94" w:rsidP="00274507">
            <w:pPr>
              <w:jc w:val="center"/>
              <w:rPr>
                <w:sz w:val="28"/>
                <w:szCs w:val="28"/>
              </w:rPr>
            </w:pPr>
            <w:r w:rsidRPr="00274507">
              <w:rPr>
                <w:sz w:val="28"/>
                <w:szCs w:val="28"/>
              </w:rPr>
              <w:t>142.957</w:t>
            </w:r>
          </w:p>
        </w:tc>
        <w:tc>
          <w:tcPr>
            <w:tcW w:w="1865" w:type="dxa"/>
          </w:tcPr>
          <w:p w:rsidR="00D83F94" w:rsidRPr="00274507" w:rsidRDefault="00D83F94" w:rsidP="00274507">
            <w:pPr>
              <w:jc w:val="center"/>
              <w:rPr>
                <w:sz w:val="28"/>
                <w:szCs w:val="28"/>
              </w:rPr>
            </w:pPr>
            <w:r w:rsidRPr="00274507">
              <w:rPr>
                <w:sz w:val="28"/>
                <w:szCs w:val="28"/>
              </w:rPr>
              <w:t>3,6</w:t>
            </w:r>
          </w:p>
        </w:tc>
        <w:tc>
          <w:tcPr>
            <w:tcW w:w="2207" w:type="dxa"/>
          </w:tcPr>
          <w:p w:rsidR="00D83F94" w:rsidRPr="00274507" w:rsidRDefault="00D83F94" w:rsidP="00274507">
            <w:pPr>
              <w:jc w:val="center"/>
              <w:rPr>
                <w:sz w:val="28"/>
                <w:szCs w:val="28"/>
              </w:rPr>
            </w:pPr>
            <w:r w:rsidRPr="00274507">
              <w:rPr>
                <w:sz w:val="28"/>
                <w:szCs w:val="28"/>
              </w:rPr>
              <w:t>30,3%</w:t>
            </w:r>
          </w:p>
        </w:tc>
        <w:tc>
          <w:tcPr>
            <w:tcW w:w="1601" w:type="dxa"/>
          </w:tcPr>
          <w:p w:rsidR="00D83F94" w:rsidRPr="00274507" w:rsidRDefault="00D83F94" w:rsidP="00274507">
            <w:pPr>
              <w:jc w:val="center"/>
              <w:rPr>
                <w:sz w:val="28"/>
                <w:szCs w:val="28"/>
              </w:rPr>
            </w:pPr>
            <w:r w:rsidRPr="00274507">
              <w:rPr>
                <w:sz w:val="28"/>
                <w:szCs w:val="28"/>
              </w:rPr>
              <w:t>33,3%</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2009</w:t>
            </w:r>
          </w:p>
        </w:tc>
        <w:tc>
          <w:tcPr>
            <w:tcW w:w="1478" w:type="dxa"/>
          </w:tcPr>
          <w:p w:rsidR="00D83F94" w:rsidRPr="00274507" w:rsidRDefault="00D83F94" w:rsidP="00274507">
            <w:pPr>
              <w:jc w:val="center"/>
              <w:rPr>
                <w:sz w:val="28"/>
                <w:szCs w:val="28"/>
              </w:rPr>
            </w:pPr>
            <w:r w:rsidRPr="00274507">
              <w:rPr>
                <w:sz w:val="28"/>
                <w:szCs w:val="28"/>
              </w:rPr>
              <w:t>38.681.796</w:t>
            </w:r>
          </w:p>
        </w:tc>
        <w:tc>
          <w:tcPr>
            <w:tcW w:w="1147" w:type="dxa"/>
          </w:tcPr>
          <w:p w:rsidR="00D83F94" w:rsidRPr="00274507" w:rsidRDefault="00D83F94" w:rsidP="00274507">
            <w:pPr>
              <w:jc w:val="center"/>
              <w:rPr>
                <w:sz w:val="28"/>
                <w:szCs w:val="28"/>
              </w:rPr>
            </w:pPr>
            <w:r w:rsidRPr="00274507">
              <w:rPr>
                <w:sz w:val="28"/>
                <w:szCs w:val="28"/>
              </w:rPr>
              <w:t>100.490</w:t>
            </w:r>
          </w:p>
        </w:tc>
        <w:tc>
          <w:tcPr>
            <w:tcW w:w="1865" w:type="dxa"/>
          </w:tcPr>
          <w:p w:rsidR="00D83F94" w:rsidRPr="00274507" w:rsidRDefault="00D83F94" w:rsidP="00274507">
            <w:pPr>
              <w:jc w:val="center"/>
              <w:rPr>
                <w:sz w:val="28"/>
                <w:szCs w:val="28"/>
              </w:rPr>
            </w:pPr>
            <w:r w:rsidRPr="00274507">
              <w:rPr>
                <w:sz w:val="28"/>
                <w:szCs w:val="28"/>
              </w:rPr>
              <w:t>2,6</w:t>
            </w:r>
          </w:p>
        </w:tc>
        <w:tc>
          <w:tcPr>
            <w:tcW w:w="2207" w:type="dxa"/>
          </w:tcPr>
          <w:p w:rsidR="00D83F94" w:rsidRPr="00274507" w:rsidRDefault="00D83F94" w:rsidP="00274507">
            <w:pPr>
              <w:jc w:val="center"/>
              <w:rPr>
                <w:sz w:val="28"/>
                <w:szCs w:val="28"/>
              </w:rPr>
            </w:pPr>
            <w:r w:rsidRPr="00274507">
              <w:rPr>
                <w:sz w:val="28"/>
                <w:szCs w:val="28"/>
              </w:rPr>
              <w:t>28,1%</w:t>
            </w:r>
          </w:p>
        </w:tc>
        <w:tc>
          <w:tcPr>
            <w:tcW w:w="1601" w:type="dxa"/>
          </w:tcPr>
          <w:p w:rsidR="00D83F94" w:rsidRPr="00274507" w:rsidRDefault="00D83F94" w:rsidP="00274507">
            <w:pPr>
              <w:jc w:val="center"/>
              <w:rPr>
                <w:sz w:val="28"/>
                <w:szCs w:val="28"/>
              </w:rPr>
            </w:pPr>
            <w:r w:rsidRPr="00274507">
              <w:rPr>
                <w:sz w:val="28"/>
                <w:szCs w:val="28"/>
              </w:rPr>
              <w:t>29,7%</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2010</w:t>
            </w:r>
          </w:p>
        </w:tc>
        <w:tc>
          <w:tcPr>
            <w:tcW w:w="1478" w:type="dxa"/>
          </w:tcPr>
          <w:p w:rsidR="00D83F94" w:rsidRPr="00274507" w:rsidRDefault="00D83F94" w:rsidP="00274507">
            <w:pPr>
              <w:jc w:val="center"/>
              <w:rPr>
                <w:sz w:val="28"/>
                <w:szCs w:val="28"/>
              </w:rPr>
            </w:pPr>
            <w:r w:rsidRPr="00274507">
              <w:rPr>
                <w:sz w:val="28"/>
                <w:szCs w:val="28"/>
              </w:rPr>
              <w:t>40.047.220</w:t>
            </w:r>
          </w:p>
        </w:tc>
        <w:tc>
          <w:tcPr>
            <w:tcW w:w="1147" w:type="dxa"/>
          </w:tcPr>
          <w:p w:rsidR="00D83F94" w:rsidRPr="00274507" w:rsidRDefault="00D83F94" w:rsidP="00274507">
            <w:pPr>
              <w:jc w:val="center"/>
              <w:rPr>
                <w:sz w:val="28"/>
                <w:szCs w:val="28"/>
              </w:rPr>
            </w:pPr>
            <w:r w:rsidRPr="00274507">
              <w:rPr>
                <w:sz w:val="28"/>
                <w:szCs w:val="28"/>
              </w:rPr>
              <w:t>94.502</w:t>
            </w:r>
          </w:p>
        </w:tc>
        <w:tc>
          <w:tcPr>
            <w:tcW w:w="1865" w:type="dxa"/>
          </w:tcPr>
          <w:p w:rsidR="00D83F94" w:rsidRPr="00274507" w:rsidRDefault="00D83F94" w:rsidP="00274507">
            <w:pPr>
              <w:jc w:val="center"/>
              <w:rPr>
                <w:sz w:val="28"/>
                <w:szCs w:val="28"/>
              </w:rPr>
            </w:pPr>
            <w:r w:rsidRPr="00274507">
              <w:rPr>
                <w:sz w:val="28"/>
                <w:szCs w:val="28"/>
              </w:rPr>
              <w:t>2,4</w:t>
            </w:r>
          </w:p>
        </w:tc>
        <w:tc>
          <w:tcPr>
            <w:tcW w:w="2207" w:type="dxa"/>
          </w:tcPr>
          <w:p w:rsidR="00D83F94" w:rsidRPr="00274507" w:rsidRDefault="00D83F94" w:rsidP="00274507">
            <w:pPr>
              <w:jc w:val="center"/>
              <w:rPr>
                <w:sz w:val="28"/>
                <w:szCs w:val="28"/>
              </w:rPr>
            </w:pPr>
            <w:r w:rsidRPr="00274507">
              <w:rPr>
                <w:sz w:val="28"/>
                <w:szCs w:val="28"/>
              </w:rPr>
              <w:t>-9,2%</w:t>
            </w:r>
          </w:p>
        </w:tc>
        <w:tc>
          <w:tcPr>
            <w:tcW w:w="1601" w:type="dxa"/>
          </w:tcPr>
          <w:p w:rsidR="00D83F94" w:rsidRPr="00274507" w:rsidRDefault="00D83F94" w:rsidP="00274507">
            <w:pPr>
              <w:jc w:val="center"/>
              <w:rPr>
                <w:sz w:val="28"/>
                <w:szCs w:val="28"/>
              </w:rPr>
            </w:pPr>
            <w:r w:rsidRPr="00274507">
              <w:rPr>
                <w:sz w:val="28"/>
                <w:szCs w:val="28"/>
              </w:rPr>
              <w:t>-6,0%</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2011</w:t>
            </w:r>
          </w:p>
        </w:tc>
        <w:tc>
          <w:tcPr>
            <w:tcW w:w="1478" w:type="dxa"/>
          </w:tcPr>
          <w:p w:rsidR="00D83F94" w:rsidRPr="00274507" w:rsidRDefault="00D83F94" w:rsidP="00274507">
            <w:pPr>
              <w:jc w:val="center"/>
              <w:rPr>
                <w:sz w:val="28"/>
                <w:szCs w:val="28"/>
              </w:rPr>
            </w:pPr>
            <w:r w:rsidRPr="00274507">
              <w:rPr>
                <w:sz w:val="28"/>
                <w:szCs w:val="28"/>
              </w:rPr>
              <w:t>41.899.763</w:t>
            </w:r>
          </w:p>
        </w:tc>
        <w:tc>
          <w:tcPr>
            <w:tcW w:w="1147" w:type="dxa"/>
          </w:tcPr>
          <w:p w:rsidR="00D83F94" w:rsidRPr="00274507" w:rsidRDefault="00D83F94" w:rsidP="00274507">
            <w:pPr>
              <w:jc w:val="center"/>
              <w:rPr>
                <w:sz w:val="28"/>
                <w:szCs w:val="28"/>
              </w:rPr>
            </w:pPr>
            <w:r w:rsidRPr="00274507">
              <w:rPr>
                <w:sz w:val="28"/>
                <w:szCs w:val="28"/>
              </w:rPr>
              <w:t>105.947</w:t>
            </w:r>
          </w:p>
        </w:tc>
        <w:tc>
          <w:tcPr>
            <w:tcW w:w="1865" w:type="dxa"/>
          </w:tcPr>
          <w:p w:rsidR="00D83F94" w:rsidRPr="00274507" w:rsidRDefault="00D83F94" w:rsidP="00274507">
            <w:pPr>
              <w:jc w:val="center"/>
              <w:rPr>
                <w:sz w:val="28"/>
                <w:szCs w:val="28"/>
              </w:rPr>
            </w:pPr>
            <w:r w:rsidRPr="00274507">
              <w:rPr>
                <w:sz w:val="28"/>
                <w:szCs w:val="28"/>
              </w:rPr>
              <w:t>2,5</w:t>
            </w:r>
          </w:p>
        </w:tc>
        <w:tc>
          <w:tcPr>
            <w:tcW w:w="2207" w:type="dxa"/>
          </w:tcPr>
          <w:p w:rsidR="00D83F94" w:rsidRPr="00274507" w:rsidRDefault="00D83F94" w:rsidP="00274507">
            <w:pPr>
              <w:jc w:val="center"/>
              <w:rPr>
                <w:sz w:val="28"/>
                <w:szCs w:val="28"/>
              </w:rPr>
            </w:pPr>
            <w:r w:rsidRPr="00274507">
              <w:rPr>
                <w:sz w:val="28"/>
                <w:szCs w:val="28"/>
              </w:rPr>
              <w:t>7,2%</w:t>
            </w:r>
          </w:p>
        </w:tc>
        <w:tc>
          <w:tcPr>
            <w:tcW w:w="1601" w:type="dxa"/>
          </w:tcPr>
          <w:p w:rsidR="00D83F94" w:rsidRPr="00274507" w:rsidRDefault="00D83F94" w:rsidP="00274507">
            <w:pPr>
              <w:jc w:val="center"/>
              <w:rPr>
                <w:sz w:val="28"/>
                <w:szCs w:val="28"/>
              </w:rPr>
            </w:pPr>
            <w:r w:rsidRPr="00274507">
              <w:rPr>
                <w:sz w:val="28"/>
                <w:szCs w:val="28"/>
              </w:rPr>
              <w:t>12,1%</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2012</w:t>
            </w:r>
          </w:p>
        </w:tc>
        <w:tc>
          <w:tcPr>
            <w:tcW w:w="1478" w:type="dxa"/>
          </w:tcPr>
          <w:p w:rsidR="00D83F94" w:rsidRPr="00274507" w:rsidRDefault="00D83F94" w:rsidP="00274507">
            <w:pPr>
              <w:jc w:val="center"/>
              <w:rPr>
                <w:sz w:val="28"/>
                <w:szCs w:val="28"/>
              </w:rPr>
            </w:pPr>
            <w:r w:rsidRPr="00274507">
              <w:rPr>
                <w:sz w:val="28"/>
                <w:szCs w:val="28"/>
              </w:rPr>
              <w:t>42.854.862</w:t>
            </w:r>
          </w:p>
        </w:tc>
        <w:tc>
          <w:tcPr>
            <w:tcW w:w="1147" w:type="dxa"/>
          </w:tcPr>
          <w:p w:rsidR="00D83F94" w:rsidRPr="00274507" w:rsidRDefault="00D83F94" w:rsidP="00274507">
            <w:pPr>
              <w:jc w:val="center"/>
              <w:rPr>
                <w:sz w:val="28"/>
                <w:szCs w:val="28"/>
              </w:rPr>
            </w:pPr>
            <w:r w:rsidRPr="00274507">
              <w:rPr>
                <w:sz w:val="28"/>
                <w:szCs w:val="28"/>
              </w:rPr>
              <w:t>114.313</w:t>
            </w:r>
          </w:p>
        </w:tc>
        <w:tc>
          <w:tcPr>
            <w:tcW w:w="1865" w:type="dxa"/>
          </w:tcPr>
          <w:p w:rsidR="00D83F94" w:rsidRPr="00274507" w:rsidRDefault="00D83F94" w:rsidP="00274507">
            <w:pPr>
              <w:jc w:val="center"/>
              <w:rPr>
                <w:sz w:val="28"/>
                <w:szCs w:val="28"/>
              </w:rPr>
            </w:pPr>
            <w:r w:rsidRPr="00274507">
              <w:rPr>
                <w:sz w:val="28"/>
                <w:szCs w:val="28"/>
              </w:rPr>
              <w:t>2,7</w:t>
            </w:r>
          </w:p>
        </w:tc>
        <w:tc>
          <w:tcPr>
            <w:tcW w:w="2207" w:type="dxa"/>
          </w:tcPr>
          <w:p w:rsidR="00D83F94" w:rsidRPr="00274507" w:rsidRDefault="00D83F94" w:rsidP="00274507">
            <w:pPr>
              <w:jc w:val="center"/>
              <w:rPr>
                <w:sz w:val="28"/>
                <w:szCs w:val="28"/>
              </w:rPr>
            </w:pPr>
            <w:r w:rsidRPr="00274507">
              <w:rPr>
                <w:sz w:val="28"/>
                <w:szCs w:val="28"/>
              </w:rPr>
              <w:t>5,5%</w:t>
            </w:r>
          </w:p>
        </w:tc>
        <w:tc>
          <w:tcPr>
            <w:tcW w:w="1601" w:type="dxa"/>
          </w:tcPr>
          <w:p w:rsidR="00D83F94" w:rsidRPr="00274507" w:rsidRDefault="00D83F94" w:rsidP="00274507">
            <w:pPr>
              <w:jc w:val="center"/>
              <w:rPr>
                <w:sz w:val="28"/>
                <w:szCs w:val="28"/>
              </w:rPr>
            </w:pPr>
            <w:r w:rsidRPr="00274507">
              <w:rPr>
                <w:sz w:val="28"/>
                <w:szCs w:val="28"/>
              </w:rPr>
              <w:t>7,9%</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2013</w:t>
            </w:r>
          </w:p>
        </w:tc>
        <w:tc>
          <w:tcPr>
            <w:tcW w:w="1478" w:type="dxa"/>
          </w:tcPr>
          <w:p w:rsidR="00D83F94" w:rsidRPr="00274507" w:rsidRDefault="00D83F94" w:rsidP="00274507">
            <w:pPr>
              <w:jc w:val="center"/>
              <w:rPr>
                <w:sz w:val="28"/>
                <w:szCs w:val="28"/>
              </w:rPr>
            </w:pPr>
            <w:r w:rsidRPr="00274507">
              <w:rPr>
                <w:sz w:val="28"/>
                <w:szCs w:val="28"/>
              </w:rPr>
              <w:t>42.879.901</w:t>
            </w:r>
          </w:p>
        </w:tc>
        <w:tc>
          <w:tcPr>
            <w:tcW w:w="1147" w:type="dxa"/>
          </w:tcPr>
          <w:p w:rsidR="00D83F94" w:rsidRPr="00274507" w:rsidRDefault="00D83F94" w:rsidP="00274507">
            <w:pPr>
              <w:jc w:val="center"/>
              <w:rPr>
                <w:sz w:val="28"/>
                <w:szCs w:val="28"/>
              </w:rPr>
            </w:pPr>
            <w:r w:rsidRPr="00274507">
              <w:rPr>
                <w:sz w:val="28"/>
                <w:szCs w:val="28"/>
              </w:rPr>
              <w:t>115.147</w:t>
            </w:r>
          </w:p>
        </w:tc>
        <w:tc>
          <w:tcPr>
            <w:tcW w:w="1865" w:type="dxa"/>
          </w:tcPr>
          <w:p w:rsidR="00D83F94" w:rsidRPr="00274507" w:rsidRDefault="00D83F94" w:rsidP="00274507">
            <w:pPr>
              <w:jc w:val="center"/>
              <w:rPr>
                <w:sz w:val="28"/>
                <w:szCs w:val="28"/>
              </w:rPr>
            </w:pPr>
            <w:r w:rsidRPr="00274507">
              <w:rPr>
                <w:sz w:val="28"/>
                <w:szCs w:val="28"/>
              </w:rPr>
              <w:t>2,7</w:t>
            </w:r>
          </w:p>
        </w:tc>
        <w:tc>
          <w:tcPr>
            <w:tcW w:w="2207" w:type="dxa"/>
          </w:tcPr>
          <w:p w:rsidR="00D83F94" w:rsidRPr="00274507" w:rsidRDefault="00D83F94" w:rsidP="00274507">
            <w:pPr>
              <w:jc w:val="center"/>
              <w:rPr>
                <w:sz w:val="28"/>
                <w:szCs w:val="28"/>
              </w:rPr>
            </w:pPr>
            <w:r w:rsidRPr="00274507">
              <w:rPr>
                <w:sz w:val="28"/>
                <w:szCs w:val="28"/>
              </w:rPr>
              <w:t>0,7%</w:t>
            </w:r>
          </w:p>
        </w:tc>
        <w:tc>
          <w:tcPr>
            <w:tcW w:w="1601" w:type="dxa"/>
          </w:tcPr>
          <w:p w:rsidR="00D83F94" w:rsidRPr="00274507" w:rsidRDefault="00D83F94" w:rsidP="00274507">
            <w:pPr>
              <w:jc w:val="center"/>
              <w:rPr>
                <w:sz w:val="28"/>
                <w:szCs w:val="28"/>
              </w:rPr>
            </w:pPr>
            <w:r w:rsidRPr="00274507">
              <w:rPr>
                <w:sz w:val="28"/>
                <w:szCs w:val="28"/>
              </w:rPr>
              <w:t>0,7%</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2014</w:t>
            </w:r>
          </w:p>
        </w:tc>
        <w:tc>
          <w:tcPr>
            <w:tcW w:w="1478" w:type="dxa"/>
          </w:tcPr>
          <w:p w:rsidR="00D83F94" w:rsidRPr="00274507" w:rsidRDefault="00D83F94" w:rsidP="00274507">
            <w:pPr>
              <w:jc w:val="center"/>
              <w:rPr>
                <w:sz w:val="28"/>
                <w:szCs w:val="28"/>
              </w:rPr>
            </w:pPr>
            <w:r w:rsidRPr="00274507">
              <w:rPr>
                <w:sz w:val="28"/>
                <w:szCs w:val="28"/>
              </w:rPr>
              <w:t>43.515.870</w:t>
            </w:r>
          </w:p>
        </w:tc>
        <w:tc>
          <w:tcPr>
            <w:tcW w:w="1147" w:type="dxa"/>
          </w:tcPr>
          <w:p w:rsidR="00D83F94" w:rsidRPr="00274507" w:rsidRDefault="00D83F94" w:rsidP="00274507">
            <w:pPr>
              <w:jc w:val="center"/>
              <w:rPr>
                <w:sz w:val="28"/>
                <w:szCs w:val="28"/>
              </w:rPr>
            </w:pPr>
            <w:r w:rsidRPr="00274507">
              <w:rPr>
                <w:sz w:val="28"/>
                <w:szCs w:val="28"/>
              </w:rPr>
              <w:t>117.746</w:t>
            </w:r>
          </w:p>
        </w:tc>
        <w:tc>
          <w:tcPr>
            <w:tcW w:w="1865" w:type="dxa"/>
          </w:tcPr>
          <w:p w:rsidR="00D83F94" w:rsidRPr="00274507" w:rsidRDefault="00D83F94" w:rsidP="00274507">
            <w:pPr>
              <w:jc w:val="center"/>
              <w:rPr>
                <w:sz w:val="28"/>
                <w:szCs w:val="28"/>
              </w:rPr>
            </w:pPr>
            <w:r w:rsidRPr="00274507">
              <w:rPr>
                <w:sz w:val="28"/>
                <w:szCs w:val="28"/>
              </w:rPr>
              <w:t>2,7</w:t>
            </w:r>
          </w:p>
        </w:tc>
        <w:tc>
          <w:tcPr>
            <w:tcW w:w="2207" w:type="dxa"/>
          </w:tcPr>
          <w:p w:rsidR="00D83F94" w:rsidRPr="00274507" w:rsidRDefault="00D83F94" w:rsidP="00274507">
            <w:pPr>
              <w:jc w:val="center"/>
              <w:rPr>
                <w:sz w:val="28"/>
                <w:szCs w:val="28"/>
              </w:rPr>
            </w:pPr>
            <w:r w:rsidRPr="00274507">
              <w:rPr>
                <w:sz w:val="28"/>
                <w:szCs w:val="28"/>
              </w:rPr>
              <w:t>0,8%</w:t>
            </w:r>
          </w:p>
        </w:tc>
        <w:tc>
          <w:tcPr>
            <w:tcW w:w="1601" w:type="dxa"/>
          </w:tcPr>
          <w:p w:rsidR="00D83F94" w:rsidRPr="00274507" w:rsidRDefault="00D83F94" w:rsidP="00274507">
            <w:pPr>
              <w:jc w:val="center"/>
              <w:rPr>
                <w:sz w:val="28"/>
                <w:szCs w:val="28"/>
              </w:rPr>
            </w:pPr>
            <w:r w:rsidRPr="00274507">
              <w:rPr>
                <w:sz w:val="28"/>
                <w:szCs w:val="28"/>
              </w:rPr>
              <w:t>2,3%</w:t>
            </w:r>
          </w:p>
        </w:tc>
      </w:tr>
      <w:tr w:rsidR="00D83F94" w:rsidRPr="00274507" w:rsidTr="00386B55">
        <w:tc>
          <w:tcPr>
            <w:tcW w:w="815" w:type="dxa"/>
          </w:tcPr>
          <w:p w:rsidR="00D83F94" w:rsidRPr="00274507" w:rsidRDefault="00D83F94" w:rsidP="00274507">
            <w:pPr>
              <w:jc w:val="center"/>
              <w:rPr>
                <w:sz w:val="28"/>
                <w:szCs w:val="28"/>
              </w:rPr>
            </w:pPr>
            <w:r w:rsidRPr="00274507">
              <w:rPr>
                <w:sz w:val="28"/>
                <w:szCs w:val="28"/>
              </w:rPr>
              <w:t>2015</w:t>
            </w:r>
          </w:p>
        </w:tc>
        <w:tc>
          <w:tcPr>
            <w:tcW w:w="1478" w:type="dxa"/>
          </w:tcPr>
          <w:p w:rsidR="00D83F94" w:rsidRPr="00274507" w:rsidRDefault="00D83F94" w:rsidP="00274507">
            <w:pPr>
              <w:jc w:val="center"/>
              <w:rPr>
                <w:sz w:val="28"/>
                <w:szCs w:val="28"/>
              </w:rPr>
            </w:pPr>
            <w:r w:rsidRPr="00274507">
              <w:rPr>
                <w:sz w:val="28"/>
                <w:szCs w:val="28"/>
              </w:rPr>
              <w:t>44.633.177</w:t>
            </w:r>
          </w:p>
        </w:tc>
        <w:tc>
          <w:tcPr>
            <w:tcW w:w="1147" w:type="dxa"/>
          </w:tcPr>
          <w:p w:rsidR="00D83F94" w:rsidRPr="00274507" w:rsidRDefault="00D83F94" w:rsidP="00274507">
            <w:pPr>
              <w:jc w:val="center"/>
              <w:rPr>
                <w:sz w:val="28"/>
                <w:szCs w:val="28"/>
              </w:rPr>
            </w:pPr>
            <w:r w:rsidRPr="00274507">
              <w:rPr>
                <w:sz w:val="28"/>
                <w:szCs w:val="28"/>
              </w:rPr>
              <w:t>150.728</w:t>
            </w:r>
          </w:p>
        </w:tc>
        <w:tc>
          <w:tcPr>
            <w:tcW w:w="1865" w:type="dxa"/>
          </w:tcPr>
          <w:p w:rsidR="00D83F94" w:rsidRPr="00274507" w:rsidRDefault="00D83F94" w:rsidP="00274507">
            <w:pPr>
              <w:jc w:val="center"/>
              <w:rPr>
                <w:sz w:val="28"/>
                <w:szCs w:val="28"/>
              </w:rPr>
            </w:pPr>
            <w:r w:rsidRPr="00274507">
              <w:rPr>
                <w:sz w:val="28"/>
                <w:szCs w:val="28"/>
              </w:rPr>
              <w:t>3,4</w:t>
            </w:r>
          </w:p>
        </w:tc>
        <w:tc>
          <w:tcPr>
            <w:tcW w:w="2207" w:type="dxa"/>
          </w:tcPr>
          <w:p w:rsidR="00D83F94" w:rsidRPr="00274507" w:rsidRDefault="00D83F94" w:rsidP="00274507">
            <w:pPr>
              <w:jc w:val="center"/>
              <w:rPr>
                <w:sz w:val="28"/>
                <w:szCs w:val="28"/>
              </w:rPr>
            </w:pPr>
            <w:r w:rsidRPr="00274507">
              <w:rPr>
                <w:sz w:val="28"/>
                <w:szCs w:val="28"/>
              </w:rPr>
              <w:t>24,8%</w:t>
            </w:r>
          </w:p>
        </w:tc>
        <w:tc>
          <w:tcPr>
            <w:tcW w:w="1601" w:type="dxa"/>
          </w:tcPr>
          <w:p w:rsidR="00D83F94" w:rsidRPr="00274507" w:rsidRDefault="00D83F94" w:rsidP="00274507">
            <w:pPr>
              <w:jc w:val="center"/>
              <w:rPr>
                <w:sz w:val="28"/>
                <w:szCs w:val="28"/>
              </w:rPr>
            </w:pPr>
            <w:r w:rsidRPr="00274507">
              <w:rPr>
                <w:sz w:val="28"/>
                <w:szCs w:val="28"/>
              </w:rPr>
              <w:t>28,0%</w:t>
            </w:r>
          </w:p>
        </w:tc>
      </w:tr>
    </w:tbl>
    <w:p w:rsidR="006936DB" w:rsidRPr="00274507" w:rsidRDefault="006936DB" w:rsidP="00274507">
      <w:pPr>
        <w:jc w:val="both"/>
        <w:rPr>
          <w:sz w:val="28"/>
          <w:szCs w:val="28"/>
        </w:rPr>
      </w:pPr>
    </w:p>
    <w:p w:rsidR="00D83F94" w:rsidRPr="00274507" w:rsidRDefault="00F1446C" w:rsidP="00274507">
      <w:pPr>
        <w:jc w:val="both"/>
        <w:rPr>
          <w:sz w:val="28"/>
          <w:szCs w:val="28"/>
        </w:rPr>
      </w:pPr>
      <w:r w:rsidRPr="00274507">
        <w:rPr>
          <w:sz w:val="28"/>
          <w:szCs w:val="28"/>
        </w:rPr>
        <w:t>De lo anterior, concluyó</w:t>
      </w:r>
      <w:r w:rsidR="004D22F7" w:rsidRPr="00274507">
        <w:rPr>
          <w:sz w:val="28"/>
          <w:szCs w:val="28"/>
        </w:rPr>
        <w:t xml:space="preserve"> el Ministerio</w:t>
      </w:r>
      <w:r w:rsidR="00A808D4" w:rsidRPr="00274507">
        <w:rPr>
          <w:sz w:val="28"/>
          <w:szCs w:val="28"/>
        </w:rPr>
        <w:t xml:space="preserve"> de Salud</w:t>
      </w:r>
      <w:r w:rsidRPr="00274507">
        <w:rPr>
          <w:sz w:val="28"/>
          <w:szCs w:val="28"/>
        </w:rPr>
        <w:t xml:space="preserve"> que entre los años 2000 y 2008 se observó un incremento en el uso del amparo constitucional, alcanzando un pico en el 2008 año en el que se presentaron 142.957 tutelas, que representaron el 41% del total presentadas en el país que equivalía a una tasa del 3,4 tutela</w:t>
      </w:r>
      <w:r w:rsidR="00A808D4" w:rsidRPr="00274507">
        <w:rPr>
          <w:sz w:val="28"/>
          <w:szCs w:val="28"/>
        </w:rPr>
        <w:t>s por cada 1.000 afiliados. E</w:t>
      </w:r>
      <w:r w:rsidRPr="00274507">
        <w:rPr>
          <w:sz w:val="28"/>
          <w:szCs w:val="28"/>
        </w:rPr>
        <w:t>ntre el 2009 y 2011 se evidenció un descenso im</w:t>
      </w:r>
      <w:r w:rsidR="00A808D4" w:rsidRPr="00274507">
        <w:rPr>
          <w:sz w:val="28"/>
          <w:szCs w:val="28"/>
        </w:rPr>
        <w:t xml:space="preserve">portante y para </w:t>
      </w:r>
      <w:r w:rsidRPr="00274507">
        <w:rPr>
          <w:sz w:val="28"/>
          <w:szCs w:val="28"/>
        </w:rPr>
        <w:t xml:space="preserve">los años 212 y 2014, la </w:t>
      </w:r>
      <w:r w:rsidR="00A808D4" w:rsidRPr="00274507">
        <w:rPr>
          <w:sz w:val="28"/>
          <w:szCs w:val="28"/>
        </w:rPr>
        <w:t>tendencia se mantuvo estable en</w:t>
      </w:r>
      <w:r w:rsidRPr="00274507">
        <w:rPr>
          <w:sz w:val="28"/>
          <w:szCs w:val="28"/>
        </w:rPr>
        <w:t xml:space="preserve"> una tasa de 3,7 t</w:t>
      </w:r>
      <w:r w:rsidR="0080443D" w:rsidRPr="00274507">
        <w:rPr>
          <w:sz w:val="28"/>
          <w:szCs w:val="28"/>
        </w:rPr>
        <w:t xml:space="preserve">utelas por cada 1.000 afiliados. </w:t>
      </w:r>
      <w:r w:rsidR="00710F6A" w:rsidRPr="00274507">
        <w:rPr>
          <w:sz w:val="28"/>
          <w:szCs w:val="28"/>
        </w:rPr>
        <w:t>Finalmente que para el 2015 se observó</w:t>
      </w:r>
      <w:r w:rsidR="0080443D" w:rsidRPr="00274507">
        <w:rPr>
          <w:sz w:val="28"/>
          <w:szCs w:val="28"/>
        </w:rPr>
        <w:t xml:space="preserve"> un aumento en el ejercicio de la acción, que alcanzó 150.728 tutelas, que equivale a una tasa de 3,1.</w:t>
      </w:r>
    </w:p>
    <w:p w:rsidR="0080443D" w:rsidRPr="00274507" w:rsidRDefault="0080443D" w:rsidP="00274507">
      <w:pPr>
        <w:jc w:val="both"/>
        <w:rPr>
          <w:sz w:val="28"/>
          <w:szCs w:val="28"/>
        </w:rPr>
      </w:pPr>
    </w:p>
    <w:p w:rsidR="0080443D" w:rsidRPr="00274507" w:rsidRDefault="004D22F7" w:rsidP="00274507">
      <w:pPr>
        <w:jc w:val="both"/>
        <w:rPr>
          <w:sz w:val="28"/>
          <w:szCs w:val="28"/>
        </w:rPr>
      </w:pPr>
      <w:r w:rsidRPr="00274507">
        <w:rPr>
          <w:sz w:val="28"/>
          <w:szCs w:val="28"/>
        </w:rPr>
        <w:t xml:space="preserve">Ahora bien, el ente regulador </w:t>
      </w:r>
      <w:r w:rsidR="00710F6A" w:rsidRPr="00274507">
        <w:rPr>
          <w:sz w:val="28"/>
          <w:szCs w:val="28"/>
        </w:rPr>
        <w:t>a</w:t>
      </w:r>
      <w:r w:rsidR="0080443D" w:rsidRPr="00274507">
        <w:rPr>
          <w:sz w:val="28"/>
          <w:szCs w:val="28"/>
        </w:rPr>
        <w:t>claró que el incremento de las tutelas en salud no puede explicarse de forma aislada porque considera que es un fenómeno que se encuentra sujeto a factores macroeconómicos y sociales que impulsan a que la tutela sea el mecanismo judicial de protección con mayor uso por parte de la población colombiana</w:t>
      </w:r>
      <w:r w:rsidR="00710F6A" w:rsidRPr="00274507">
        <w:rPr>
          <w:sz w:val="28"/>
          <w:szCs w:val="28"/>
        </w:rPr>
        <w:t>, por lo que está representada en un 24,5% respecto a la totalidad presentadas en la anualidad analizada</w:t>
      </w:r>
      <w:r w:rsidR="0080443D" w:rsidRPr="00274507">
        <w:rPr>
          <w:sz w:val="28"/>
          <w:szCs w:val="28"/>
        </w:rPr>
        <w:t>.</w:t>
      </w:r>
    </w:p>
    <w:p w:rsidR="0080443D" w:rsidRPr="00274507" w:rsidRDefault="0080443D" w:rsidP="00274507">
      <w:pPr>
        <w:jc w:val="both"/>
        <w:rPr>
          <w:sz w:val="28"/>
          <w:szCs w:val="28"/>
        </w:rPr>
      </w:pPr>
    </w:p>
    <w:p w:rsidR="00D83F94" w:rsidRPr="00274507" w:rsidRDefault="0080443D" w:rsidP="00274507">
      <w:pPr>
        <w:jc w:val="both"/>
        <w:rPr>
          <w:sz w:val="28"/>
          <w:szCs w:val="28"/>
        </w:rPr>
      </w:pPr>
      <w:r w:rsidRPr="00274507">
        <w:rPr>
          <w:sz w:val="28"/>
          <w:szCs w:val="28"/>
        </w:rPr>
        <w:t xml:space="preserve">Por otro lado, advirtió que </w:t>
      </w:r>
      <w:r w:rsidR="00D31066" w:rsidRPr="00274507">
        <w:rPr>
          <w:sz w:val="28"/>
          <w:szCs w:val="28"/>
        </w:rPr>
        <w:t>los resultados obtenidos de</w:t>
      </w:r>
      <w:r w:rsidRPr="00274507">
        <w:rPr>
          <w:sz w:val="28"/>
          <w:szCs w:val="28"/>
        </w:rPr>
        <w:t xml:space="preserve"> la “</w:t>
      </w:r>
      <w:r w:rsidRPr="00274507">
        <w:rPr>
          <w:i/>
          <w:sz w:val="28"/>
          <w:szCs w:val="28"/>
        </w:rPr>
        <w:t>Encuesta de Evaluación de los Servicios de las EPS-2015</w:t>
      </w:r>
      <w:r w:rsidRPr="00274507">
        <w:rPr>
          <w:sz w:val="28"/>
          <w:szCs w:val="28"/>
        </w:rPr>
        <w:t>”</w:t>
      </w:r>
      <w:r w:rsidRPr="00274507">
        <w:rPr>
          <w:rStyle w:val="Refdenotaalpie"/>
          <w:sz w:val="28"/>
          <w:szCs w:val="28"/>
        </w:rPr>
        <w:footnoteReference w:id="189"/>
      </w:r>
      <w:r w:rsidR="00A808D4" w:rsidRPr="00274507">
        <w:rPr>
          <w:sz w:val="28"/>
          <w:szCs w:val="28"/>
        </w:rPr>
        <w:t xml:space="preserve"> demostrar</w:t>
      </w:r>
      <w:r w:rsidR="00D31066" w:rsidRPr="00274507">
        <w:rPr>
          <w:sz w:val="28"/>
          <w:szCs w:val="28"/>
        </w:rPr>
        <w:t xml:space="preserve"> que en un porcentaje de afiliados del 97,8% del régimen contributivo y el 98,7% del subsidiado</w:t>
      </w:r>
      <w:r w:rsidR="00A808D4" w:rsidRPr="00274507">
        <w:rPr>
          <w:sz w:val="28"/>
          <w:szCs w:val="28"/>
        </w:rPr>
        <w:t>,</w:t>
      </w:r>
      <w:r w:rsidR="00D31066" w:rsidRPr="00274507">
        <w:rPr>
          <w:sz w:val="28"/>
          <w:szCs w:val="28"/>
        </w:rPr>
        <w:t xml:space="preserve"> acceden a los </w:t>
      </w:r>
      <w:r w:rsidR="00A808D4" w:rsidRPr="00274507">
        <w:rPr>
          <w:sz w:val="28"/>
          <w:szCs w:val="28"/>
        </w:rPr>
        <w:t xml:space="preserve">servicios de salud, sin acudir </w:t>
      </w:r>
      <w:r w:rsidR="00D31066" w:rsidRPr="00274507">
        <w:rPr>
          <w:sz w:val="28"/>
          <w:szCs w:val="28"/>
        </w:rPr>
        <w:t>a la vía judicial.</w:t>
      </w:r>
    </w:p>
    <w:p w:rsidR="00F41272" w:rsidRPr="00274507" w:rsidRDefault="00F41272" w:rsidP="00274507">
      <w:pPr>
        <w:jc w:val="both"/>
        <w:rPr>
          <w:sz w:val="28"/>
          <w:szCs w:val="28"/>
        </w:rPr>
      </w:pPr>
    </w:p>
    <w:p w:rsidR="00D31066" w:rsidRPr="00274507" w:rsidRDefault="00D05C0C" w:rsidP="00274507">
      <w:pPr>
        <w:pStyle w:val="Prrafodelista"/>
        <w:tabs>
          <w:tab w:val="left" w:pos="0"/>
          <w:tab w:val="left" w:pos="993"/>
        </w:tabs>
        <w:ind w:left="0"/>
        <w:jc w:val="both"/>
        <w:rPr>
          <w:sz w:val="28"/>
          <w:szCs w:val="28"/>
        </w:rPr>
      </w:pPr>
      <w:r w:rsidRPr="00274507">
        <w:rPr>
          <w:b/>
          <w:sz w:val="28"/>
          <w:szCs w:val="28"/>
        </w:rPr>
        <w:t>7</w:t>
      </w:r>
      <w:r w:rsidR="00D405BD" w:rsidRPr="00274507">
        <w:rPr>
          <w:b/>
          <w:sz w:val="28"/>
          <w:szCs w:val="28"/>
        </w:rPr>
        <w:t>.4.2.</w:t>
      </w:r>
      <w:r w:rsidR="00D31066" w:rsidRPr="00274507">
        <w:rPr>
          <w:sz w:val="28"/>
          <w:szCs w:val="28"/>
        </w:rPr>
        <w:t xml:space="preserve"> De otra parte, la Defensoría del Pueblo en la publicación titulada </w:t>
      </w:r>
      <w:r w:rsidR="00D31066" w:rsidRPr="00274507">
        <w:rPr>
          <w:i/>
          <w:sz w:val="28"/>
          <w:szCs w:val="28"/>
        </w:rPr>
        <w:t>“la tutela y los derechos a la salud y a la seguridad social 2014”</w:t>
      </w:r>
      <w:r w:rsidR="00D31066" w:rsidRPr="00274507">
        <w:rPr>
          <w:sz w:val="28"/>
          <w:szCs w:val="28"/>
        </w:rPr>
        <w:t>, precisó además que para el 2014, así: “…</w:t>
      </w:r>
      <w:r w:rsidR="00D31066" w:rsidRPr="00274507">
        <w:rPr>
          <w:i/>
          <w:sz w:val="28"/>
          <w:szCs w:val="28"/>
        </w:rPr>
        <w:t>de las 498.200 tutelas interpuestas, 118.281 (23,74%) fueron para reclamar algún servicio de salud, constituyéndose como la cifra más alta desde la expedición de la Sentencia T-760 de 2008. Cada 4 minutos se interpone en Colombia una tutela para reclamar servicios de salud (…) Las solicitudes totales en salud aumentaron en 1,82% con relación a 2013. Las más frecuentes fueron: tratamientos (23,90%), medicamentos (16,11%), citas médicas especializadas (12,44%), prótesis, órtesis e insumos médicos (10,24%) y cirugías (9,55%)</w:t>
      </w:r>
      <w:r w:rsidR="00D31066" w:rsidRPr="00274507">
        <w:rPr>
          <w:sz w:val="28"/>
          <w:szCs w:val="28"/>
        </w:rPr>
        <w:t>…”.</w:t>
      </w:r>
      <w:r w:rsidR="00321DD1" w:rsidRPr="00274507">
        <w:rPr>
          <w:sz w:val="28"/>
          <w:szCs w:val="28"/>
        </w:rPr>
        <w:t xml:space="preserve"> </w:t>
      </w:r>
      <w:r w:rsidR="00D31066" w:rsidRPr="00274507">
        <w:rPr>
          <w:sz w:val="28"/>
          <w:szCs w:val="28"/>
        </w:rPr>
        <w:t xml:space="preserve">Para el año </w:t>
      </w:r>
      <w:r w:rsidR="00DD15C3" w:rsidRPr="00274507">
        <w:rPr>
          <w:sz w:val="28"/>
          <w:szCs w:val="28"/>
        </w:rPr>
        <w:t xml:space="preserve">2015, todavía </w:t>
      </w:r>
      <w:r w:rsidR="00D31066" w:rsidRPr="00274507">
        <w:rPr>
          <w:sz w:val="28"/>
          <w:szCs w:val="28"/>
        </w:rPr>
        <w:t>no existe un análisis publ</w:t>
      </w:r>
      <w:r w:rsidR="00321DD1" w:rsidRPr="00274507">
        <w:rPr>
          <w:sz w:val="28"/>
          <w:szCs w:val="28"/>
        </w:rPr>
        <w:t>icado por parte de dicha autoridad.</w:t>
      </w:r>
    </w:p>
    <w:p w:rsidR="00B170D2" w:rsidRPr="00274507" w:rsidRDefault="00B170D2" w:rsidP="00274507">
      <w:pPr>
        <w:pStyle w:val="Prrafodelista"/>
        <w:tabs>
          <w:tab w:val="left" w:pos="0"/>
          <w:tab w:val="left" w:pos="993"/>
        </w:tabs>
        <w:ind w:left="0"/>
        <w:jc w:val="both"/>
        <w:rPr>
          <w:sz w:val="28"/>
          <w:szCs w:val="28"/>
        </w:rPr>
      </w:pPr>
    </w:p>
    <w:p w:rsidR="007F17CC" w:rsidRPr="00274507" w:rsidRDefault="00D05C0C" w:rsidP="00274507">
      <w:pPr>
        <w:pStyle w:val="Prrafodelista"/>
        <w:tabs>
          <w:tab w:val="left" w:pos="284"/>
          <w:tab w:val="left" w:pos="426"/>
        </w:tabs>
        <w:ind w:left="0"/>
        <w:jc w:val="both"/>
        <w:rPr>
          <w:sz w:val="28"/>
          <w:szCs w:val="28"/>
        </w:rPr>
      </w:pPr>
      <w:r w:rsidRPr="00274507">
        <w:rPr>
          <w:b/>
          <w:sz w:val="28"/>
          <w:szCs w:val="28"/>
        </w:rPr>
        <w:t>7</w:t>
      </w:r>
      <w:r w:rsidR="00D405BD" w:rsidRPr="00274507">
        <w:rPr>
          <w:b/>
          <w:sz w:val="28"/>
          <w:szCs w:val="28"/>
        </w:rPr>
        <w:t>.4.3.</w:t>
      </w:r>
      <w:r w:rsidR="00D405BD" w:rsidRPr="00274507">
        <w:rPr>
          <w:sz w:val="28"/>
          <w:szCs w:val="28"/>
        </w:rPr>
        <w:t xml:space="preserve"> </w:t>
      </w:r>
      <w:r w:rsidR="00321DD1" w:rsidRPr="00274507">
        <w:rPr>
          <w:sz w:val="28"/>
          <w:szCs w:val="28"/>
        </w:rPr>
        <w:t>E</w:t>
      </w:r>
      <w:r w:rsidR="00923D36" w:rsidRPr="00274507">
        <w:rPr>
          <w:sz w:val="28"/>
          <w:szCs w:val="28"/>
        </w:rPr>
        <w:t xml:space="preserve">sta Sala </w:t>
      </w:r>
      <w:r w:rsidR="004D22F7" w:rsidRPr="00274507">
        <w:rPr>
          <w:sz w:val="28"/>
          <w:szCs w:val="28"/>
        </w:rPr>
        <w:t xml:space="preserve">Especial </w:t>
      </w:r>
      <w:r w:rsidR="00923D36" w:rsidRPr="00274507">
        <w:rPr>
          <w:sz w:val="28"/>
          <w:szCs w:val="28"/>
        </w:rPr>
        <w:t>de Seguimiento considera que d</w:t>
      </w:r>
      <w:r w:rsidR="00167558" w:rsidRPr="00274507">
        <w:rPr>
          <w:sz w:val="28"/>
          <w:szCs w:val="28"/>
        </w:rPr>
        <w:t xml:space="preserve">e acuerdo </w:t>
      </w:r>
      <w:r w:rsidR="00180CF6" w:rsidRPr="00274507">
        <w:rPr>
          <w:sz w:val="28"/>
          <w:szCs w:val="28"/>
        </w:rPr>
        <w:t xml:space="preserve">con los informes </w:t>
      </w:r>
      <w:r w:rsidR="000550B0" w:rsidRPr="00274507">
        <w:rPr>
          <w:sz w:val="28"/>
          <w:szCs w:val="28"/>
        </w:rPr>
        <w:t>p</w:t>
      </w:r>
      <w:r w:rsidR="004C3F0E" w:rsidRPr="00274507">
        <w:rPr>
          <w:sz w:val="28"/>
          <w:szCs w:val="28"/>
        </w:rPr>
        <w:t>resentados por el ente ministerial</w:t>
      </w:r>
      <w:r w:rsidR="000550B0" w:rsidRPr="00274507">
        <w:rPr>
          <w:sz w:val="28"/>
          <w:szCs w:val="28"/>
        </w:rPr>
        <w:t xml:space="preserve"> </w:t>
      </w:r>
      <w:r w:rsidR="00167558" w:rsidRPr="00274507">
        <w:rPr>
          <w:sz w:val="28"/>
          <w:szCs w:val="28"/>
        </w:rPr>
        <w:t xml:space="preserve">en cumplimiento de la </w:t>
      </w:r>
      <w:r w:rsidR="00180CF6" w:rsidRPr="00274507">
        <w:rPr>
          <w:sz w:val="28"/>
          <w:szCs w:val="28"/>
        </w:rPr>
        <w:t>orden</w:t>
      </w:r>
      <w:r w:rsidR="00167558" w:rsidRPr="00274507">
        <w:rPr>
          <w:sz w:val="28"/>
          <w:szCs w:val="28"/>
        </w:rPr>
        <w:t xml:space="preserve"> trigésima</w:t>
      </w:r>
      <w:r w:rsidR="0068384A" w:rsidRPr="00274507">
        <w:rPr>
          <w:sz w:val="28"/>
          <w:szCs w:val="28"/>
        </w:rPr>
        <w:t xml:space="preserve"> se evidencia </w:t>
      </w:r>
      <w:r w:rsidR="006936DB" w:rsidRPr="00274507">
        <w:rPr>
          <w:sz w:val="28"/>
          <w:szCs w:val="28"/>
        </w:rPr>
        <w:t xml:space="preserve">una </w:t>
      </w:r>
      <w:r w:rsidR="0068384A" w:rsidRPr="00274507">
        <w:rPr>
          <w:sz w:val="28"/>
          <w:szCs w:val="28"/>
        </w:rPr>
        <w:t xml:space="preserve"> </w:t>
      </w:r>
      <w:r w:rsidR="00346BF9" w:rsidRPr="00274507">
        <w:rPr>
          <w:sz w:val="28"/>
          <w:szCs w:val="28"/>
        </w:rPr>
        <w:t xml:space="preserve">tendencia </w:t>
      </w:r>
      <w:r w:rsidR="0068384A" w:rsidRPr="00274507">
        <w:rPr>
          <w:sz w:val="28"/>
          <w:szCs w:val="28"/>
        </w:rPr>
        <w:t xml:space="preserve">creciente </w:t>
      </w:r>
      <w:r w:rsidR="006936DB" w:rsidRPr="00274507">
        <w:rPr>
          <w:sz w:val="28"/>
          <w:szCs w:val="28"/>
        </w:rPr>
        <w:t>en el comportamiento de l</w:t>
      </w:r>
      <w:r w:rsidR="00180CF6" w:rsidRPr="00274507">
        <w:rPr>
          <w:sz w:val="28"/>
          <w:szCs w:val="28"/>
        </w:rPr>
        <w:t>as t</w:t>
      </w:r>
      <w:r w:rsidR="0068384A" w:rsidRPr="00274507">
        <w:rPr>
          <w:sz w:val="28"/>
          <w:szCs w:val="28"/>
        </w:rPr>
        <w:t>utelas</w:t>
      </w:r>
      <w:r w:rsidR="00E62AA7" w:rsidRPr="00274507">
        <w:rPr>
          <w:sz w:val="28"/>
          <w:szCs w:val="28"/>
        </w:rPr>
        <w:t xml:space="preserve"> en salud</w:t>
      </w:r>
      <w:r w:rsidR="0068384A" w:rsidRPr="00274507">
        <w:rPr>
          <w:sz w:val="28"/>
          <w:szCs w:val="28"/>
        </w:rPr>
        <w:t xml:space="preserve"> </w:t>
      </w:r>
      <w:r w:rsidR="006936DB" w:rsidRPr="00274507">
        <w:rPr>
          <w:sz w:val="28"/>
          <w:szCs w:val="28"/>
        </w:rPr>
        <w:t xml:space="preserve">de </w:t>
      </w:r>
      <w:r w:rsidR="00E62AA7" w:rsidRPr="00274507">
        <w:rPr>
          <w:sz w:val="28"/>
          <w:szCs w:val="28"/>
        </w:rPr>
        <w:t>los años analizados</w:t>
      </w:r>
      <w:r w:rsidR="007A65DE" w:rsidRPr="00274507">
        <w:rPr>
          <w:sz w:val="28"/>
          <w:szCs w:val="28"/>
        </w:rPr>
        <w:t>, as</w:t>
      </w:r>
      <w:r w:rsidR="00346BF9" w:rsidRPr="00274507">
        <w:rPr>
          <w:sz w:val="28"/>
          <w:szCs w:val="28"/>
        </w:rPr>
        <w:t>í:</w:t>
      </w:r>
    </w:p>
    <w:p w:rsidR="00CA5A1A" w:rsidRPr="00274507" w:rsidRDefault="00CA5A1A" w:rsidP="00274507">
      <w:pPr>
        <w:pStyle w:val="Prrafodelista"/>
        <w:tabs>
          <w:tab w:val="left" w:pos="284"/>
          <w:tab w:val="left" w:pos="426"/>
        </w:tabs>
        <w:ind w:left="0"/>
        <w:jc w:val="both"/>
        <w:rPr>
          <w:sz w:val="28"/>
          <w:szCs w:val="28"/>
        </w:rPr>
      </w:pPr>
    </w:p>
    <w:p w:rsidR="004D587E" w:rsidRPr="00274507" w:rsidRDefault="00FC49D9" w:rsidP="00274507">
      <w:pPr>
        <w:pStyle w:val="Prrafodelista"/>
        <w:tabs>
          <w:tab w:val="left" w:pos="284"/>
          <w:tab w:val="left" w:pos="426"/>
        </w:tabs>
        <w:ind w:left="0"/>
        <w:jc w:val="both"/>
        <w:rPr>
          <w:sz w:val="28"/>
          <w:szCs w:val="28"/>
        </w:rPr>
      </w:pPr>
      <w:r w:rsidRPr="00FC49D9">
        <w:rPr>
          <w:noProof/>
          <w:sz w:val="28"/>
          <w:szCs w:val="28"/>
          <w:lang w:val="es-ES"/>
        </w:rPr>
        <w:drawing>
          <wp:inline distT="0" distB="0" distL="0" distR="0">
            <wp:extent cx="5705475" cy="2895600"/>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3662" w:rsidRDefault="00103662" w:rsidP="00274507">
      <w:pPr>
        <w:pStyle w:val="Prrafodelista"/>
        <w:tabs>
          <w:tab w:val="left" w:pos="284"/>
          <w:tab w:val="left" w:pos="426"/>
        </w:tabs>
        <w:ind w:left="0"/>
        <w:jc w:val="both"/>
        <w:rPr>
          <w:sz w:val="28"/>
          <w:szCs w:val="28"/>
        </w:rPr>
      </w:pPr>
    </w:p>
    <w:p w:rsidR="00437224" w:rsidRPr="00274507" w:rsidRDefault="005B605E" w:rsidP="00274507">
      <w:pPr>
        <w:pStyle w:val="Prrafodelista"/>
        <w:tabs>
          <w:tab w:val="left" w:pos="284"/>
          <w:tab w:val="left" w:pos="426"/>
        </w:tabs>
        <w:ind w:left="0"/>
        <w:jc w:val="both"/>
        <w:rPr>
          <w:sz w:val="28"/>
          <w:szCs w:val="28"/>
        </w:rPr>
      </w:pPr>
      <w:r w:rsidRPr="00274507">
        <w:rPr>
          <w:sz w:val="28"/>
          <w:szCs w:val="28"/>
        </w:rPr>
        <w:t>En ese sentido, este Tribunal</w:t>
      </w:r>
      <w:r w:rsidR="00346BF9" w:rsidRPr="00274507">
        <w:rPr>
          <w:sz w:val="28"/>
          <w:szCs w:val="28"/>
        </w:rPr>
        <w:t xml:space="preserve"> infiere que </w:t>
      </w:r>
      <w:r w:rsidR="0070176E" w:rsidRPr="00274507">
        <w:rPr>
          <w:sz w:val="28"/>
          <w:szCs w:val="28"/>
        </w:rPr>
        <w:t xml:space="preserve">en el </w:t>
      </w:r>
      <w:r w:rsidR="0068384A" w:rsidRPr="00274507">
        <w:rPr>
          <w:sz w:val="28"/>
          <w:szCs w:val="28"/>
        </w:rPr>
        <w:t xml:space="preserve">año </w:t>
      </w:r>
      <w:r w:rsidR="0070176E" w:rsidRPr="00274507">
        <w:rPr>
          <w:sz w:val="28"/>
          <w:szCs w:val="28"/>
        </w:rPr>
        <w:t xml:space="preserve">2015 </w:t>
      </w:r>
      <w:r w:rsidR="0068384A" w:rsidRPr="00274507">
        <w:rPr>
          <w:sz w:val="28"/>
          <w:szCs w:val="28"/>
        </w:rPr>
        <w:t>el ejercici</w:t>
      </w:r>
      <w:r w:rsidR="0070176E" w:rsidRPr="00274507">
        <w:rPr>
          <w:sz w:val="28"/>
          <w:szCs w:val="28"/>
        </w:rPr>
        <w:t>o de la acción de tutela aumentó</w:t>
      </w:r>
      <w:r w:rsidR="006936DB" w:rsidRPr="00274507">
        <w:rPr>
          <w:sz w:val="28"/>
          <w:szCs w:val="28"/>
        </w:rPr>
        <w:t xml:space="preserve"> de forma considerable</w:t>
      </w:r>
      <w:r w:rsidR="0070176E" w:rsidRPr="00274507">
        <w:rPr>
          <w:sz w:val="28"/>
          <w:szCs w:val="28"/>
        </w:rPr>
        <w:t xml:space="preserve"> lo cual genera dudas respecto de</w:t>
      </w:r>
      <w:r w:rsidR="0068384A" w:rsidRPr="00274507">
        <w:rPr>
          <w:sz w:val="28"/>
          <w:szCs w:val="28"/>
        </w:rPr>
        <w:t>l</w:t>
      </w:r>
      <w:r w:rsidR="00A808D4" w:rsidRPr="00274507">
        <w:rPr>
          <w:sz w:val="28"/>
          <w:szCs w:val="28"/>
        </w:rPr>
        <w:t xml:space="preserve"> buen</w:t>
      </w:r>
      <w:r w:rsidR="0068384A" w:rsidRPr="00274507">
        <w:rPr>
          <w:sz w:val="28"/>
          <w:szCs w:val="28"/>
        </w:rPr>
        <w:t xml:space="preserve"> funcionamiento y prestación del </w:t>
      </w:r>
      <w:r w:rsidR="00A808D4" w:rsidRPr="00274507">
        <w:rPr>
          <w:sz w:val="28"/>
          <w:szCs w:val="28"/>
        </w:rPr>
        <w:t>servicio de salud</w:t>
      </w:r>
      <w:r w:rsidRPr="00274507">
        <w:rPr>
          <w:sz w:val="28"/>
          <w:szCs w:val="28"/>
        </w:rPr>
        <w:t xml:space="preserve"> </w:t>
      </w:r>
      <w:r w:rsidR="00437224" w:rsidRPr="00274507">
        <w:rPr>
          <w:sz w:val="28"/>
          <w:szCs w:val="28"/>
        </w:rPr>
        <w:t>y</w:t>
      </w:r>
      <w:r w:rsidR="0070176E" w:rsidRPr="00274507">
        <w:rPr>
          <w:sz w:val="28"/>
          <w:szCs w:val="28"/>
        </w:rPr>
        <w:t xml:space="preserve"> es alarmante porque</w:t>
      </w:r>
      <w:r w:rsidR="004D22F7" w:rsidRPr="00274507">
        <w:rPr>
          <w:sz w:val="28"/>
          <w:szCs w:val="28"/>
        </w:rPr>
        <w:t xml:space="preserve"> excede el número de acciones solicitadas al momento en que se profiri</w:t>
      </w:r>
      <w:r w:rsidR="00F41272" w:rsidRPr="00274507">
        <w:rPr>
          <w:sz w:val="28"/>
          <w:szCs w:val="28"/>
        </w:rPr>
        <w:t xml:space="preserve">ó la sentencia T-760 de 2008. Por ello se </w:t>
      </w:r>
      <w:r w:rsidR="004D22F7" w:rsidRPr="00274507">
        <w:rPr>
          <w:sz w:val="28"/>
          <w:szCs w:val="28"/>
        </w:rPr>
        <w:t>evidencia que el propósito dispuesto en el mandato relacionado con la disminuci</w:t>
      </w:r>
      <w:r w:rsidR="00F41272" w:rsidRPr="00274507">
        <w:rPr>
          <w:sz w:val="28"/>
          <w:szCs w:val="28"/>
        </w:rPr>
        <w:t>ón de la presentación del</w:t>
      </w:r>
      <w:r w:rsidR="004D22F7" w:rsidRPr="00274507">
        <w:rPr>
          <w:sz w:val="28"/>
          <w:szCs w:val="28"/>
        </w:rPr>
        <w:t xml:space="preserve"> amparo constit</w:t>
      </w:r>
      <w:r w:rsidR="00F41272" w:rsidRPr="00274507">
        <w:rPr>
          <w:sz w:val="28"/>
          <w:szCs w:val="28"/>
        </w:rPr>
        <w:t xml:space="preserve">ucional por servicios de salud </w:t>
      </w:r>
      <w:r w:rsidR="004D22F7" w:rsidRPr="00274507">
        <w:rPr>
          <w:sz w:val="28"/>
          <w:szCs w:val="28"/>
        </w:rPr>
        <w:t xml:space="preserve">no se </w:t>
      </w:r>
      <w:r w:rsidR="00F41272" w:rsidRPr="00274507">
        <w:rPr>
          <w:sz w:val="28"/>
          <w:szCs w:val="28"/>
        </w:rPr>
        <w:t xml:space="preserve">demostró, de lo </w:t>
      </w:r>
      <w:r w:rsidR="004D22F7" w:rsidRPr="00274507">
        <w:rPr>
          <w:sz w:val="28"/>
          <w:szCs w:val="28"/>
        </w:rPr>
        <w:t xml:space="preserve">contrario </w:t>
      </w:r>
      <w:r w:rsidR="00F41272" w:rsidRPr="00274507">
        <w:rPr>
          <w:sz w:val="28"/>
          <w:szCs w:val="28"/>
        </w:rPr>
        <w:t>se registró el</w:t>
      </w:r>
      <w:r w:rsidR="004D22F7" w:rsidRPr="00274507">
        <w:rPr>
          <w:sz w:val="28"/>
          <w:szCs w:val="28"/>
        </w:rPr>
        <w:t xml:space="preserve"> pico más</w:t>
      </w:r>
      <w:r w:rsidR="00F41272" w:rsidRPr="00274507">
        <w:rPr>
          <w:sz w:val="28"/>
          <w:szCs w:val="28"/>
        </w:rPr>
        <w:t xml:space="preserve"> alto en el tiempo analizado</w:t>
      </w:r>
      <w:r w:rsidR="004D22F7" w:rsidRPr="00274507">
        <w:rPr>
          <w:sz w:val="28"/>
          <w:szCs w:val="28"/>
        </w:rPr>
        <w:t>. Por lo que esta Sala considera que en este aspecto no existe un avance sino un retroceso</w:t>
      </w:r>
      <w:r w:rsidR="00F41272" w:rsidRPr="00274507">
        <w:rPr>
          <w:sz w:val="28"/>
          <w:szCs w:val="28"/>
        </w:rPr>
        <w:t>. En ese sentido</w:t>
      </w:r>
      <w:r w:rsidR="004D22F7" w:rsidRPr="00274507">
        <w:rPr>
          <w:sz w:val="28"/>
          <w:szCs w:val="28"/>
        </w:rPr>
        <w:t xml:space="preserve"> las gestiones adelantadas por el Ministerio de Salud no han sido suficientes para cumplir con lo ordenado.</w:t>
      </w:r>
    </w:p>
    <w:p w:rsidR="004D587E" w:rsidRPr="00274507" w:rsidRDefault="004D587E" w:rsidP="00274507">
      <w:pPr>
        <w:pStyle w:val="Prrafodelista"/>
        <w:tabs>
          <w:tab w:val="left" w:pos="284"/>
          <w:tab w:val="left" w:pos="426"/>
        </w:tabs>
        <w:ind w:left="0"/>
        <w:jc w:val="both"/>
        <w:rPr>
          <w:sz w:val="28"/>
          <w:szCs w:val="28"/>
        </w:rPr>
      </w:pPr>
    </w:p>
    <w:p w:rsidR="007B012A" w:rsidRPr="00274507" w:rsidRDefault="00D0452E" w:rsidP="00274507">
      <w:pPr>
        <w:pStyle w:val="Prrafodelista"/>
        <w:tabs>
          <w:tab w:val="left" w:pos="284"/>
          <w:tab w:val="left" w:pos="426"/>
        </w:tabs>
        <w:ind w:left="0"/>
        <w:jc w:val="both"/>
        <w:rPr>
          <w:sz w:val="28"/>
          <w:szCs w:val="28"/>
        </w:rPr>
      </w:pPr>
      <w:r w:rsidRPr="00274507">
        <w:rPr>
          <w:sz w:val="28"/>
          <w:szCs w:val="28"/>
        </w:rPr>
        <w:t>Por otra parte</w:t>
      </w:r>
      <w:r w:rsidR="0070176E" w:rsidRPr="00274507">
        <w:rPr>
          <w:sz w:val="28"/>
          <w:szCs w:val="28"/>
        </w:rPr>
        <w:t xml:space="preserve">, </w:t>
      </w:r>
      <w:r w:rsidRPr="00274507">
        <w:rPr>
          <w:sz w:val="28"/>
          <w:szCs w:val="28"/>
        </w:rPr>
        <w:t xml:space="preserve">considera importante esta Corte resaltar que pese a que </w:t>
      </w:r>
      <w:r w:rsidR="0070176E" w:rsidRPr="00274507">
        <w:rPr>
          <w:sz w:val="28"/>
          <w:szCs w:val="28"/>
        </w:rPr>
        <w:t>l</w:t>
      </w:r>
      <w:r w:rsidR="00E10BB8" w:rsidRPr="00274507">
        <w:rPr>
          <w:sz w:val="28"/>
          <w:szCs w:val="28"/>
        </w:rPr>
        <w:t xml:space="preserve">os datos </w:t>
      </w:r>
      <w:r w:rsidR="004D22F7" w:rsidRPr="00274507">
        <w:rPr>
          <w:sz w:val="28"/>
          <w:szCs w:val="28"/>
        </w:rPr>
        <w:t xml:space="preserve">referidos por el ente regulador </w:t>
      </w:r>
      <w:r w:rsidR="0070176E" w:rsidRPr="00274507">
        <w:rPr>
          <w:sz w:val="28"/>
          <w:szCs w:val="28"/>
        </w:rPr>
        <w:t xml:space="preserve">en el cuadro de “la evolución de las acciones de tutela en salud entre el 2000 y 2015” fueron muy específicos en </w:t>
      </w:r>
      <w:r w:rsidR="007B012A" w:rsidRPr="00274507">
        <w:rPr>
          <w:sz w:val="28"/>
          <w:szCs w:val="28"/>
        </w:rPr>
        <w:t xml:space="preserve">describir </w:t>
      </w:r>
      <w:r w:rsidRPr="00274507">
        <w:rPr>
          <w:sz w:val="28"/>
          <w:szCs w:val="28"/>
        </w:rPr>
        <w:t xml:space="preserve">el número de acciones </w:t>
      </w:r>
      <w:r w:rsidR="0070176E" w:rsidRPr="00274507">
        <w:rPr>
          <w:sz w:val="28"/>
          <w:szCs w:val="28"/>
        </w:rPr>
        <w:t xml:space="preserve">de los años analizados, </w:t>
      </w:r>
      <w:r w:rsidR="007B012A" w:rsidRPr="00274507">
        <w:rPr>
          <w:sz w:val="28"/>
          <w:szCs w:val="28"/>
        </w:rPr>
        <w:t>las tasa</w:t>
      </w:r>
      <w:r w:rsidR="00A808D4" w:rsidRPr="00274507">
        <w:rPr>
          <w:sz w:val="28"/>
          <w:szCs w:val="28"/>
        </w:rPr>
        <w:t>s</w:t>
      </w:r>
      <w:r w:rsidRPr="00274507">
        <w:rPr>
          <w:sz w:val="28"/>
          <w:szCs w:val="28"/>
        </w:rPr>
        <w:t xml:space="preserve"> por afiliado y de crecimiento, </w:t>
      </w:r>
      <w:r w:rsidR="00555855" w:rsidRPr="00274507">
        <w:rPr>
          <w:sz w:val="28"/>
          <w:szCs w:val="28"/>
        </w:rPr>
        <w:t xml:space="preserve">sin embargo, </w:t>
      </w:r>
      <w:r w:rsidRPr="00274507">
        <w:rPr>
          <w:sz w:val="28"/>
          <w:szCs w:val="28"/>
        </w:rPr>
        <w:t>la información</w:t>
      </w:r>
      <w:r w:rsidR="00A808D4" w:rsidRPr="00274507">
        <w:rPr>
          <w:sz w:val="28"/>
          <w:szCs w:val="28"/>
        </w:rPr>
        <w:t xml:space="preserve"> carece </w:t>
      </w:r>
      <w:r w:rsidRPr="00274507">
        <w:rPr>
          <w:sz w:val="28"/>
          <w:szCs w:val="28"/>
        </w:rPr>
        <w:t xml:space="preserve">de algunos datos relevantes, </w:t>
      </w:r>
      <w:r w:rsidR="00A808D4" w:rsidRPr="00274507">
        <w:rPr>
          <w:sz w:val="28"/>
          <w:szCs w:val="28"/>
        </w:rPr>
        <w:t>por ejemplo d</w:t>
      </w:r>
      <w:r w:rsidR="00437224" w:rsidRPr="00274507">
        <w:rPr>
          <w:sz w:val="28"/>
          <w:szCs w:val="28"/>
        </w:rPr>
        <w:t>el porcentaje del to</w:t>
      </w:r>
      <w:r w:rsidRPr="00274507">
        <w:rPr>
          <w:sz w:val="28"/>
          <w:szCs w:val="28"/>
        </w:rPr>
        <w:t xml:space="preserve">tal de los usuarios que solicitaron el amparo constitucional y </w:t>
      </w:r>
      <w:r w:rsidR="0070176E" w:rsidRPr="00274507">
        <w:rPr>
          <w:sz w:val="28"/>
          <w:szCs w:val="28"/>
        </w:rPr>
        <w:t>los servicios requeridos</w:t>
      </w:r>
      <w:r w:rsidRPr="00274507">
        <w:rPr>
          <w:sz w:val="28"/>
          <w:szCs w:val="28"/>
        </w:rPr>
        <w:t xml:space="preserve"> por cada uno de ellos. </w:t>
      </w:r>
    </w:p>
    <w:p w:rsidR="007B012A" w:rsidRPr="00274507" w:rsidRDefault="007B012A" w:rsidP="00274507">
      <w:pPr>
        <w:pStyle w:val="Prrafodelista"/>
        <w:tabs>
          <w:tab w:val="left" w:pos="284"/>
          <w:tab w:val="left" w:pos="426"/>
        </w:tabs>
        <w:ind w:left="0"/>
        <w:jc w:val="both"/>
        <w:rPr>
          <w:sz w:val="28"/>
          <w:szCs w:val="28"/>
        </w:rPr>
      </w:pPr>
    </w:p>
    <w:p w:rsidR="005B605E" w:rsidRPr="00274507" w:rsidRDefault="00D0452E" w:rsidP="00274507">
      <w:pPr>
        <w:pStyle w:val="Prrafodelista"/>
        <w:tabs>
          <w:tab w:val="left" w:pos="284"/>
          <w:tab w:val="left" w:pos="426"/>
        </w:tabs>
        <w:ind w:left="0"/>
        <w:jc w:val="both"/>
        <w:rPr>
          <w:sz w:val="28"/>
          <w:szCs w:val="28"/>
        </w:rPr>
      </w:pPr>
      <w:r w:rsidRPr="00274507">
        <w:rPr>
          <w:sz w:val="28"/>
          <w:szCs w:val="28"/>
        </w:rPr>
        <w:t>Aunado a lo anterior</w:t>
      </w:r>
      <w:r w:rsidR="007B012A" w:rsidRPr="00274507">
        <w:rPr>
          <w:sz w:val="28"/>
          <w:szCs w:val="28"/>
        </w:rPr>
        <w:t>, el Ministerio</w:t>
      </w:r>
      <w:r w:rsidRPr="00274507">
        <w:rPr>
          <w:sz w:val="28"/>
          <w:szCs w:val="28"/>
        </w:rPr>
        <w:t xml:space="preserve"> de Salud</w:t>
      </w:r>
      <w:r w:rsidR="007B012A" w:rsidRPr="00274507">
        <w:rPr>
          <w:sz w:val="28"/>
          <w:szCs w:val="28"/>
        </w:rPr>
        <w:t xml:space="preserve"> aduce que en la última encuesta realizada a los usuarios se encontr</w:t>
      </w:r>
      <w:r w:rsidR="00E5399F" w:rsidRPr="00274507">
        <w:rPr>
          <w:sz w:val="28"/>
          <w:szCs w:val="28"/>
        </w:rPr>
        <w:t>ó que a</w:t>
      </w:r>
      <w:r w:rsidR="007B012A" w:rsidRPr="00274507">
        <w:rPr>
          <w:sz w:val="28"/>
          <w:szCs w:val="28"/>
        </w:rPr>
        <w:t>proxima</w:t>
      </w:r>
      <w:r w:rsidR="00E5399F" w:rsidRPr="00274507">
        <w:rPr>
          <w:sz w:val="28"/>
          <w:szCs w:val="28"/>
        </w:rPr>
        <w:t xml:space="preserve">damente </w:t>
      </w:r>
      <w:r w:rsidR="007B012A" w:rsidRPr="00274507">
        <w:rPr>
          <w:sz w:val="28"/>
          <w:szCs w:val="28"/>
        </w:rPr>
        <w:t xml:space="preserve">el 97% acuden a los servicios </w:t>
      </w:r>
      <w:r w:rsidR="00E5399F" w:rsidRPr="00274507">
        <w:rPr>
          <w:sz w:val="28"/>
          <w:szCs w:val="28"/>
        </w:rPr>
        <w:t>de salud sin haber presentado tutelas, sin emba</w:t>
      </w:r>
      <w:r w:rsidRPr="00274507">
        <w:rPr>
          <w:sz w:val="28"/>
          <w:szCs w:val="28"/>
        </w:rPr>
        <w:t>rgo, para este Tribunal no es completa</w:t>
      </w:r>
      <w:r w:rsidR="00E5399F" w:rsidRPr="00274507">
        <w:rPr>
          <w:sz w:val="28"/>
          <w:szCs w:val="28"/>
        </w:rPr>
        <w:t xml:space="preserve"> tal </w:t>
      </w:r>
      <w:r w:rsidR="00080E11" w:rsidRPr="00274507">
        <w:rPr>
          <w:sz w:val="28"/>
          <w:szCs w:val="28"/>
        </w:rPr>
        <w:t>información y sería necesario abarcar mayor</w:t>
      </w:r>
      <w:r w:rsidR="00A808D4" w:rsidRPr="00274507">
        <w:rPr>
          <w:sz w:val="28"/>
          <w:szCs w:val="28"/>
        </w:rPr>
        <w:t>es aspectos para confirmarla</w:t>
      </w:r>
      <w:r w:rsidR="00080E11" w:rsidRPr="00274507">
        <w:rPr>
          <w:sz w:val="28"/>
          <w:szCs w:val="28"/>
        </w:rPr>
        <w:t xml:space="preserve">, </w:t>
      </w:r>
      <w:r w:rsidRPr="00274507">
        <w:rPr>
          <w:sz w:val="28"/>
          <w:szCs w:val="28"/>
        </w:rPr>
        <w:t>lo cual podría ser usada como una herramienta ef</w:t>
      </w:r>
      <w:r w:rsidR="00A808D4" w:rsidRPr="00274507">
        <w:rPr>
          <w:sz w:val="28"/>
          <w:szCs w:val="28"/>
        </w:rPr>
        <w:t>icaz</w:t>
      </w:r>
      <w:r w:rsidRPr="00274507">
        <w:rPr>
          <w:sz w:val="28"/>
          <w:szCs w:val="28"/>
        </w:rPr>
        <w:t xml:space="preserve"> para demostrar la reducción </w:t>
      </w:r>
      <w:r w:rsidR="00080E11" w:rsidRPr="00274507">
        <w:rPr>
          <w:sz w:val="28"/>
          <w:szCs w:val="28"/>
        </w:rPr>
        <w:t>e</w:t>
      </w:r>
      <w:r w:rsidRPr="00274507">
        <w:rPr>
          <w:sz w:val="28"/>
          <w:szCs w:val="28"/>
        </w:rPr>
        <w:t>n la presentación del amparo constitucional</w:t>
      </w:r>
      <w:r w:rsidR="00080E11" w:rsidRPr="00274507">
        <w:rPr>
          <w:sz w:val="28"/>
          <w:szCs w:val="28"/>
        </w:rPr>
        <w:t>.</w:t>
      </w:r>
    </w:p>
    <w:p w:rsidR="0070176E" w:rsidRPr="00274507" w:rsidRDefault="0070176E" w:rsidP="00274507">
      <w:pPr>
        <w:pStyle w:val="Prrafodelista"/>
        <w:tabs>
          <w:tab w:val="left" w:pos="284"/>
          <w:tab w:val="left" w:pos="426"/>
        </w:tabs>
        <w:ind w:left="0"/>
        <w:jc w:val="both"/>
        <w:rPr>
          <w:sz w:val="28"/>
          <w:szCs w:val="28"/>
        </w:rPr>
      </w:pPr>
    </w:p>
    <w:p w:rsidR="00AB7869" w:rsidRPr="00274507" w:rsidRDefault="005B605E" w:rsidP="00274507">
      <w:pPr>
        <w:tabs>
          <w:tab w:val="left" w:pos="284"/>
          <w:tab w:val="left" w:pos="426"/>
        </w:tabs>
        <w:jc w:val="both"/>
        <w:rPr>
          <w:sz w:val="28"/>
          <w:szCs w:val="28"/>
        </w:rPr>
      </w:pPr>
      <w:r w:rsidRPr="00274507">
        <w:rPr>
          <w:sz w:val="28"/>
          <w:szCs w:val="28"/>
        </w:rPr>
        <w:t xml:space="preserve">En consecuencia, </w:t>
      </w:r>
      <w:r w:rsidR="00080E11" w:rsidRPr="00274507">
        <w:rPr>
          <w:sz w:val="28"/>
          <w:szCs w:val="28"/>
        </w:rPr>
        <w:t xml:space="preserve">esta Sala precisa que el Ministerio de Salud </w:t>
      </w:r>
      <w:r w:rsidRPr="00274507">
        <w:rPr>
          <w:sz w:val="28"/>
          <w:szCs w:val="28"/>
        </w:rPr>
        <w:t>no ha sido claro</w:t>
      </w:r>
      <w:r w:rsidR="00080E11" w:rsidRPr="00274507">
        <w:rPr>
          <w:sz w:val="28"/>
          <w:szCs w:val="28"/>
        </w:rPr>
        <w:t xml:space="preserve"> en la</w:t>
      </w:r>
      <w:r w:rsidRPr="00274507">
        <w:rPr>
          <w:sz w:val="28"/>
          <w:szCs w:val="28"/>
        </w:rPr>
        <w:t xml:space="preserve"> </w:t>
      </w:r>
      <w:r w:rsidR="00080E11" w:rsidRPr="00274507">
        <w:rPr>
          <w:sz w:val="28"/>
          <w:szCs w:val="28"/>
        </w:rPr>
        <w:t>implementación de</w:t>
      </w:r>
      <w:r w:rsidR="00E955BE" w:rsidRPr="00274507">
        <w:rPr>
          <w:sz w:val="28"/>
          <w:szCs w:val="28"/>
        </w:rPr>
        <w:t xml:space="preserve"> nuevas herramientas para la obtenci</w:t>
      </w:r>
      <w:r w:rsidR="002926D6" w:rsidRPr="00274507">
        <w:rPr>
          <w:sz w:val="28"/>
          <w:szCs w:val="28"/>
        </w:rPr>
        <w:t>ó</w:t>
      </w:r>
      <w:r w:rsidR="00E955BE" w:rsidRPr="00274507">
        <w:rPr>
          <w:sz w:val="28"/>
          <w:szCs w:val="28"/>
        </w:rPr>
        <w:t xml:space="preserve">n </w:t>
      </w:r>
      <w:r w:rsidR="00D0452E" w:rsidRPr="00274507">
        <w:rPr>
          <w:sz w:val="28"/>
          <w:szCs w:val="28"/>
        </w:rPr>
        <w:t>y</w:t>
      </w:r>
      <w:r w:rsidR="001918E4" w:rsidRPr="00274507">
        <w:rPr>
          <w:sz w:val="28"/>
          <w:szCs w:val="28"/>
        </w:rPr>
        <w:t xml:space="preserve"> la recolección de la información</w:t>
      </w:r>
      <w:r w:rsidR="00080E11" w:rsidRPr="00274507">
        <w:rPr>
          <w:sz w:val="28"/>
          <w:szCs w:val="28"/>
        </w:rPr>
        <w:t xml:space="preserve"> de forma </w:t>
      </w:r>
      <w:r w:rsidR="00A808D4" w:rsidRPr="00274507">
        <w:rPr>
          <w:sz w:val="28"/>
          <w:szCs w:val="28"/>
        </w:rPr>
        <w:t xml:space="preserve">que </w:t>
      </w:r>
      <w:r w:rsidR="00080E11" w:rsidRPr="00274507">
        <w:rPr>
          <w:sz w:val="28"/>
          <w:szCs w:val="28"/>
        </w:rPr>
        <w:t>construya una pr</w:t>
      </w:r>
      <w:r w:rsidR="001918E4" w:rsidRPr="00274507">
        <w:rPr>
          <w:sz w:val="28"/>
          <w:szCs w:val="28"/>
        </w:rPr>
        <w:t>opia base de</w:t>
      </w:r>
      <w:r w:rsidR="00080E11" w:rsidRPr="00274507">
        <w:rPr>
          <w:sz w:val="28"/>
          <w:szCs w:val="28"/>
        </w:rPr>
        <w:t xml:space="preserve"> datos</w:t>
      </w:r>
      <w:r w:rsidR="00D0452E" w:rsidRPr="00274507">
        <w:rPr>
          <w:sz w:val="28"/>
          <w:szCs w:val="28"/>
        </w:rPr>
        <w:t xml:space="preserve"> clara</w:t>
      </w:r>
      <w:r w:rsidR="00080E11" w:rsidRPr="00274507">
        <w:rPr>
          <w:sz w:val="28"/>
          <w:szCs w:val="28"/>
        </w:rPr>
        <w:t xml:space="preserve"> y</w:t>
      </w:r>
      <w:r w:rsidR="00D0452E" w:rsidRPr="00274507">
        <w:rPr>
          <w:sz w:val="28"/>
          <w:szCs w:val="28"/>
        </w:rPr>
        <w:t xml:space="preserve"> precisa que le permita evidenciar condiciones </w:t>
      </w:r>
      <w:r w:rsidR="00080E11" w:rsidRPr="00274507">
        <w:rPr>
          <w:sz w:val="28"/>
          <w:szCs w:val="28"/>
        </w:rPr>
        <w:t>generales y específicos de las tutelas objeto del estudio estadístico</w:t>
      </w:r>
      <w:r w:rsidR="00AB7869" w:rsidRPr="00274507">
        <w:rPr>
          <w:sz w:val="28"/>
          <w:szCs w:val="28"/>
        </w:rPr>
        <w:t xml:space="preserve"> para poder</w:t>
      </w:r>
      <w:r w:rsidR="00080E11" w:rsidRPr="00274507">
        <w:rPr>
          <w:sz w:val="28"/>
          <w:szCs w:val="28"/>
        </w:rPr>
        <w:t xml:space="preserve"> </w:t>
      </w:r>
      <w:r w:rsidR="001918E4" w:rsidRPr="00274507">
        <w:rPr>
          <w:sz w:val="28"/>
          <w:szCs w:val="28"/>
        </w:rPr>
        <w:t xml:space="preserve">determinar las causas por las </w:t>
      </w:r>
      <w:r w:rsidR="00AB7869" w:rsidRPr="00274507">
        <w:rPr>
          <w:sz w:val="28"/>
          <w:szCs w:val="28"/>
        </w:rPr>
        <w:t>cuales se presentan las tutelas.</w:t>
      </w:r>
    </w:p>
    <w:p w:rsidR="00B170D2" w:rsidRPr="00274507" w:rsidRDefault="00B170D2" w:rsidP="00274507">
      <w:pPr>
        <w:tabs>
          <w:tab w:val="left" w:pos="284"/>
          <w:tab w:val="left" w:pos="426"/>
        </w:tabs>
        <w:jc w:val="both"/>
        <w:rPr>
          <w:sz w:val="28"/>
          <w:szCs w:val="28"/>
        </w:rPr>
      </w:pPr>
    </w:p>
    <w:p w:rsidR="00AB7869" w:rsidRPr="00274507" w:rsidRDefault="00AB7869" w:rsidP="00274507">
      <w:pPr>
        <w:tabs>
          <w:tab w:val="left" w:pos="284"/>
          <w:tab w:val="left" w:pos="426"/>
        </w:tabs>
        <w:jc w:val="both"/>
        <w:rPr>
          <w:sz w:val="28"/>
          <w:szCs w:val="28"/>
        </w:rPr>
      </w:pPr>
      <w:r w:rsidRPr="00274507">
        <w:rPr>
          <w:sz w:val="28"/>
          <w:szCs w:val="28"/>
        </w:rPr>
        <w:t>De igual forma, es</w:t>
      </w:r>
      <w:r w:rsidR="00080E11" w:rsidRPr="00274507">
        <w:rPr>
          <w:sz w:val="28"/>
          <w:szCs w:val="28"/>
        </w:rPr>
        <w:t>te</w:t>
      </w:r>
      <w:r w:rsidR="001918E4" w:rsidRPr="00274507">
        <w:rPr>
          <w:sz w:val="28"/>
          <w:szCs w:val="28"/>
        </w:rPr>
        <w:t xml:space="preserve"> Tribunal</w:t>
      </w:r>
      <w:r w:rsidR="00F97DF2" w:rsidRPr="00274507">
        <w:rPr>
          <w:sz w:val="28"/>
          <w:szCs w:val="28"/>
        </w:rPr>
        <w:t xml:space="preserve"> considera</w:t>
      </w:r>
      <w:r w:rsidR="001918E4" w:rsidRPr="00274507">
        <w:rPr>
          <w:sz w:val="28"/>
          <w:szCs w:val="28"/>
        </w:rPr>
        <w:t xml:space="preserve"> que si bien es cierto, los informes de la Defensoría del Pueblo </w:t>
      </w:r>
      <w:r w:rsidR="00D0452E" w:rsidRPr="00274507">
        <w:rPr>
          <w:sz w:val="28"/>
          <w:szCs w:val="28"/>
        </w:rPr>
        <w:t xml:space="preserve">son </w:t>
      </w:r>
      <w:r w:rsidR="000550B0" w:rsidRPr="00274507">
        <w:rPr>
          <w:sz w:val="28"/>
          <w:szCs w:val="28"/>
        </w:rPr>
        <w:t>una guía para</w:t>
      </w:r>
      <w:r w:rsidR="00FA2A7E" w:rsidRPr="00274507">
        <w:rPr>
          <w:sz w:val="28"/>
          <w:szCs w:val="28"/>
        </w:rPr>
        <w:t xml:space="preserve"> el ente ministerial</w:t>
      </w:r>
      <w:r w:rsidR="001918E4" w:rsidRPr="00274507">
        <w:rPr>
          <w:sz w:val="28"/>
          <w:szCs w:val="28"/>
        </w:rPr>
        <w:t>, también lo es</w:t>
      </w:r>
      <w:r w:rsidR="000F30E8" w:rsidRPr="00274507">
        <w:rPr>
          <w:sz w:val="28"/>
          <w:szCs w:val="28"/>
        </w:rPr>
        <w:t>,</w:t>
      </w:r>
      <w:r w:rsidR="00D0452E" w:rsidRPr="00274507">
        <w:rPr>
          <w:sz w:val="28"/>
          <w:szCs w:val="28"/>
        </w:rPr>
        <w:t xml:space="preserve"> que </w:t>
      </w:r>
      <w:r w:rsidR="001918E4" w:rsidRPr="00274507">
        <w:rPr>
          <w:sz w:val="28"/>
          <w:szCs w:val="28"/>
        </w:rPr>
        <w:t>debe implementar nuevas metodologías</w:t>
      </w:r>
      <w:r w:rsidR="00555855" w:rsidRPr="00274507">
        <w:rPr>
          <w:sz w:val="28"/>
          <w:szCs w:val="28"/>
        </w:rPr>
        <w:t xml:space="preserve"> para </w:t>
      </w:r>
      <w:r w:rsidR="00F75FCA" w:rsidRPr="00274507">
        <w:rPr>
          <w:sz w:val="28"/>
          <w:szCs w:val="28"/>
        </w:rPr>
        <w:t>analizar</w:t>
      </w:r>
      <w:r w:rsidR="00555855" w:rsidRPr="00274507">
        <w:rPr>
          <w:sz w:val="28"/>
          <w:szCs w:val="28"/>
        </w:rPr>
        <w:t xml:space="preserve"> la información</w:t>
      </w:r>
      <w:r w:rsidR="00F75FCA" w:rsidRPr="00274507">
        <w:rPr>
          <w:sz w:val="28"/>
          <w:szCs w:val="28"/>
        </w:rPr>
        <w:t xml:space="preserve"> contenida en</w:t>
      </w:r>
      <w:r w:rsidR="00555855" w:rsidRPr="00274507">
        <w:rPr>
          <w:sz w:val="28"/>
          <w:szCs w:val="28"/>
        </w:rPr>
        <w:t xml:space="preserve"> las tutelas que reposan en la Corte, de forma adecuada conforme a los parámetros requeridos en la orden trigésima. De igual forma, los resultados deben ser específicos respecto a determinar el comportamiento de las acciones</w:t>
      </w:r>
      <w:r w:rsidR="006E235B" w:rsidRPr="00274507">
        <w:rPr>
          <w:sz w:val="28"/>
          <w:szCs w:val="28"/>
        </w:rPr>
        <w:t>. Lo anterior debe estar sustenta</w:t>
      </w:r>
      <w:r w:rsidR="00555855" w:rsidRPr="00274507">
        <w:rPr>
          <w:sz w:val="28"/>
          <w:szCs w:val="28"/>
        </w:rPr>
        <w:t>do con</w:t>
      </w:r>
      <w:r w:rsidR="001918E4" w:rsidRPr="00274507">
        <w:rPr>
          <w:sz w:val="28"/>
          <w:szCs w:val="28"/>
        </w:rPr>
        <w:t xml:space="preserve"> los anexos y estudios</w:t>
      </w:r>
      <w:r w:rsidR="00E23B60" w:rsidRPr="00274507">
        <w:rPr>
          <w:sz w:val="28"/>
          <w:szCs w:val="28"/>
        </w:rPr>
        <w:t xml:space="preserve"> realizados p</w:t>
      </w:r>
      <w:r w:rsidR="006E235B" w:rsidRPr="00274507">
        <w:rPr>
          <w:sz w:val="28"/>
          <w:szCs w:val="28"/>
        </w:rPr>
        <w:t>ara tal fin, ya que dichos</w:t>
      </w:r>
      <w:r w:rsidR="00E23B60" w:rsidRPr="00274507">
        <w:rPr>
          <w:sz w:val="28"/>
          <w:szCs w:val="28"/>
        </w:rPr>
        <w:t xml:space="preserve"> documentos a futuro </w:t>
      </w:r>
      <w:r w:rsidR="006E235B" w:rsidRPr="00274507">
        <w:rPr>
          <w:sz w:val="28"/>
          <w:szCs w:val="28"/>
        </w:rPr>
        <w:t>contribuyen con la próxima</w:t>
      </w:r>
      <w:r w:rsidR="00E23B60" w:rsidRPr="00274507">
        <w:rPr>
          <w:sz w:val="28"/>
          <w:szCs w:val="28"/>
        </w:rPr>
        <w:t xml:space="preserve"> valoración de cumplimiento que realice esta Sala. </w:t>
      </w:r>
    </w:p>
    <w:p w:rsidR="00A519CC" w:rsidRPr="00274507" w:rsidRDefault="00A519CC" w:rsidP="00274507">
      <w:pPr>
        <w:pStyle w:val="Prrafodelista"/>
        <w:tabs>
          <w:tab w:val="left" w:pos="851"/>
        </w:tabs>
        <w:ind w:left="0"/>
        <w:jc w:val="both"/>
        <w:rPr>
          <w:sz w:val="28"/>
          <w:szCs w:val="28"/>
        </w:rPr>
      </w:pPr>
    </w:p>
    <w:p w:rsidR="00331CF7" w:rsidRPr="00274507" w:rsidRDefault="00ED463C" w:rsidP="00274507">
      <w:pPr>
        <w:pStyle w:val="Prrafodelista"/>
        <w:tabs>
          <w:tab w:val="left" w:pos="851"/>
        </w:tabs>
        <w:ind w:left="0"/>
        <w:jc w:val="both"/>
        <w:rPr>
          <w:sz w:val="28"/>
          <w:szCs w:val="28"/>
        </w:rPr>
      </w:pPr>
      <w:r w:rsidRPr="00274507">
        <w:rPr>
          <w:sz w:val="28"/>
          <w:szCs w:val="28"/>
        </w:rPr>
        <w:t xml:space="preserve">Por lo anterior, </w:t>
      </w:r>
      <w:r w:rsidR="00AB7869" w:rsidRPr="00274507">
        <w:rPr>
          <w:sz w:val="28"/>
          <w:szCs w:val="28"/>
        </w:rPr>
        <w:t xml:space="preserve">se </w:t>
      </w:r>
      <w:r w:rsidRPr="00274507">
        <w:rPr>
          <w:sz w:val="28"/>
          <w:szCs w:val="28"/>
        </w:rPr>
        <w:t xml:space="preserve">advierte que debe incluir en sus futuros análisis la mayoría de variables que le permitan determinar con mayor claridad las principales causas por las que recurren los afiliados ante el amparo </w:t>
      </w:r>
      <w:r w:rsidR="00AB7869" w:rsidRPr="00274507">
        <w:rPr>
          <w:sz w:val="28"/>
          <w:szCs w:val="28"/>
        </w:rPr>
        <w:t>de modo qu</w:t>
      </w:r>
      <w:r w:rsidR="00555855" w:rsidRPr="00274507">
        <w:rPr>
          <w:sz w:val="28"/>
          <w:szCs w:val="28"/>
        </w:rPr>
        <w:t>e implemente</w:t>
      </w:r>
      <w:r w:rsidRPr="00274507">
        <w:rPr>
          <w:sz w:val="28"/>
          <w:szCs w:val="28"/>
        </w:rPr>
        <w:t xml:space="preserve"> medidas que disminuyan de forma eficaz la presentación</w:t>
      </w:r>
      <w:r w:rsidR="00AB7869" w:rsidRPr="00274507">
        <w:rPr>
          <w:sz w:val="28"/>
          <w:szCs w:val="28"/>
        </w:rPr>
        <w:t xml:space="preserve"> de tutelas, ya que de acuerdo con</w:t>
      </w:r>
      <w:r w:rsidRPr="00274507">
        <w:rPr>
          <w:sz w:val="28"/>
          <w:szCs w:val="28"/>
        </w:rPr>
        <w:t xml:space="preserve"> los datos obtenidos, actualmente persiste la vulneración al derecho a  la salud po</w:t>
      </w:r>
      <w:r w:rsidR="00AB7869" w:rsidRPr="00274507">
        <w:rPr>
          <w:sz w:val="28"/>
          <w:szCs w:val="28"/>
        </w:rPr>
        <w:t xml:space="preserve">niendo en riesgo la integridad </w:t>
      </w:r>
      <w:r w:rsidR="00555855" w:rsidRPr="00274507">
        <w:rPr>
          <w:sz w:val="28"/>
          <w:szCs w:val="28"/>
        </w:rPr>
        <w:t xml:space="preserve">del paciente </w:t>
      </w:r>
      <w:r w:rsidR="00AB7869" w:rsidRPr="00274507">
        <w:rPr>
          <w:sz w:val="28"/>
          <w:szCs w:val="28"/>
        </w:rPr>
        <w:t>sin que se haya</w:t>
      </w:r>
      <w:r w:rsidR="00331CF7" w:rsidRPr="00274507">
        <w:rPr>
          <w:sz w:val="28"/>
          <w:szCs w:val="28"/>
        </w:rPr>
        <w:t xml:space="preserve"> superado la falla estructural que dio origen a la orden </w:t>
      </w:r>
      <w:r w:rsidR="00331CF7" w:rsidRPr="00274507">
        <w:rPr>
          <w:i/>
          <w:sz w:val="28"/>
          <w:szCs w:val="28"/>
        </w:rPr>
        <w:t>sub examine.</w:t>
      </w:r>
    </w:p>
    <w:p w:rsidR="004D587E" w:rsidRPr="00274507" w:rsidRDefault="004D587E" w:rsidP="00274507">
      <w:pPr>
        <w:jc w:val="both"/>
        <w:rPr>
          <w:rFonts w:eastAsia="Microsoft Yi Baiti"/>
          <w:b/>
          <w:iCs/>
          <w:sz w:val="28"/>
          <w:szCs w:val="28"/>
        </w:rPr>
      </w:pPr>
    </w:p>
    <w:p w:rsidR="004D587E" w:rsidRPr="00274507" w:rsidRDefault="00D05C0C" w:rsidP="00274507">
      <w:pPr>
        <w:jc w:val="both"/>
        <w:rPr>
          <w:rFonts w:eastAsia="Microsoft Yi Baiti"/>
          <w:b/>
          <w:iCs/>
          <w:sz w:val="28"/>
          <w:szCs w:val="28"/>
        </w:rPr>
      </w:pPr>
      <w:r w:rsidRPr="00274507">
        <w:rPr>
          <w:rFonts w:eastAsia="Microsoft Yi Baiti"/>
          <w:b/>
          <w:iCs/>
          <w:sz w:val="28"/>
          <w:szCs w:val="28"/>
        </w:rPr>
        <w:t>7</w:t>
      </w:r>
      <w:r w:rsidR="009D09B9" w:rsidRPr="00274507">
        <w:rPr>
          <w:rFonts w:eastAsia="Microsoft Yi Baiti"/>
          <w:b/>
          <w:iCs/>
          <w:sz w:val="28"/>
          <w:szCs w:val="28"/>
        </w:rPr>
        <w:t>.5</w:t>
      </w:r>
      <w:r w:rsidR="00970B30" w:rsidRPr="00274507">
        <w:rPr>
          <w:rFonts w:eastAsia="Microsoft Yi Baiti"/>
          <w:b/>
          <w:iCs/>
          <w:sz w:val="28"/>
          <w:szCs w:val="28"/>
        </w:rPr>
        <w:t>. El informe desde la perspectiva de los indicadores GED.</w:t>
      </w:r>
    </w:p>
    <w:p w:rsidR="004D587E" w:rsidRPr="00274507" w:rsidRDefault="004D587E" w:rsidP="00274507">
      <w:pPr>
        <w:jc w:val="both"/>
        <w:rPr>
          <w:rFonts w:eastAsia="Microsoft Yi Baiti"/>
          <w:b/>
          <w:iCs/>
          <w:sz w:val="28"/>
          <w:szCs w:val="28"/>
        </w:rPr>
      </w:pPr>
    </w:p>
    <w:p w:rsidR="00970B30" w:rsidRPr="00274507" w:rsidRDefault="00D05C0C" w:rsidP="00274507">
      <w:pPr>
        <w:jc w:val="both"/>
        <w:rPr>
          <w:sz w:val="28"/>
          <w:szCs w:val="28"/>
        </w:rPr>
      </w:pPr>
      <w:r w:rsidRPr="00274507">
        <w:rPr>
          <w:rFonts w:eastAsia="Microsoft Yi Baiti"/>
          <w:b/>
          <w:iCs/>
          <w:sz w:val="28"/>
          <w:szCs w:val="28"/>
        </w:rPr>
        <w:t>7</w:t>
      </w:r>
      <w:r w:rsidR="009D09B9" w:rsidRPr="00274507">
        <w:rPr>
          <w:rFonts w:eastAsia="Microsoft Yi Baiti"/>
          <w:b/>
          <w:iCs/>
          <w:sz w:val="28"/>
          <w:szCs w:val="28"/>
        </w:rPr>
        <w:t>.5</w:t>
      </w:r>
      <w:r w:rsidR="00D405BD" w:rsidRPr="00274507">
        <w:rPr>
          <w:rFonts w:eastAsia="Microsoft Yi Baiti"/>
          <w:b/>
          <w:iCs/>
          <w:sz w:val="28"/>
          <w:szCs w:val="28"/>
        </w:rPr>
        <w:t>.1</w:t>
      </w:r>
      <w:r w:rsidR="00970B30" w:rsidRPr="00274507">
        <w:rPr>
          <w:rFonts w:eastAsia="Microsoft Yi Baiti"/>
          <w:b/>
          <w:iCs/>
          <w:sz w:val="28"/>
          <w:szCs w:val="28"/>
        </w:rPr>
        <w:t>.</w:t>
      </w:r>
      <w:r w:rsidR="00970B30" w:rsidRPr="00274507">
        <w:rPr>
          <w:rFonts w:eastAsia="Microsoft Yi Baiti"/>
          <w:iCs/>
          <w:sz w:val="28"/>
          <w:szCs w:val="28"/>
        </w:rPr>
        <w:t xml:space="preserve"> Los indicadores de gestión, de resultado y otros, fueron establecidos como los parámetros requeridos para evaluar</w:t>
      </w:r>
      <w:r w:rsidR="00970B30" w:rsidRPr="00274507">
        <w:rPr>
          <w:rStyle w:val="Refdenotaalpie"/>
          <w:rFonts w:eastAsia="Microsoft Yi Baiti"/>
          <w:iCs/>
          <w:sz w:val="28"/>
          <w:szCs w:val="28"/>
        </w:rPr>
        <w:footnoteReference w:id="190"/>
      </w:r>
      <w:r w:rsidR="00970B30" w:rsidRPr="00274507">
        <w:rPr>
          <w:rFonts w:eastAsia="Microsoft Yi Baiti"/>
          <w:iCs/>
          <w:sz w:val="28"/>
          <w:szCs w:val="28"/>
        </w:rPr>
        <w:t xml:space="preserve"> los efectos de las políticas públicas en el funcionamiento constante del Sistema de Seguridad Social en Salud y su relación con la labor efectuada por cada una de las EPS e IPS, así como el grado de satisfacción del servicio obtenido por el paciente, con el fin de que el </w:t>
      </w:r>
      <w:r w:rsidR="00970B30" w:rsidRPr="00274507">
        <w:rPr>
          <w:sz w:val="28"/>
          <w:szCs w:val="28"/>
        </w:rPr>
        <w:t>gobierno en ejercicio de su facultad adopte las medidas pertinentes para ejercer el control de calidad del se</w:t>
      </w:r>
      <w:r w:rsidR="00FF7978" w:rsidRPr="00274507">
        <w:rPr>
          <w:sz w:val="28"/>
          <w:szCs w:val="28"/>
        </w:rPr>
        <w:t xml:space="preserve">rvicio de salud. </w:t>
      </w:r>
      <w:r w:rsidR="00970B30" w:rsidRPr="00274507">
        <w:rPr>
          <w:sz w:val="28"/>
          <w:szCs w:val="28"/>
        </w:rPr>
        <w:t>Lo anteri</w:t>
      </w:r>
      <w:r w:rsidR="00FF7978" w:rsidRPr="00274507">
        <w:rPr>
          <w:sz w:val="28"/>
          <w:szCs w:val="28"/>
        </w:rPr>
        <w:t>or, estableciendo parámetros en</w:t>
      </w:r>
      <w:r w:rsidR="00970B30" w:rsidRPr="00274507">
        <w:rPr>
          <w:sz w:val="28"/>
          <w:szCs w:val="28"/>
        </w:rPr>
        <w:t xml:space="preserve"> el desarrollo de un sistema que garantice la calidad y se implementen diferentes mecanismos encaminados a mejorar </w:t>
      </w:r>
      <w:r w:rsidR="00FF7978" w:rsidRPr="00274507">
        <w:rPr>
          <w:sz w:val="28"/>
          <w:szCs w:val="28"/>
        </w:rPr>
        <w:t>su</w:t>
      </w:r>
      <w:r w:rsidR="00970B30" w:rsidRPr="00274507">
        <w:rPr>
          <w:sz w:val="28"/>
          <w:szCs w:val="28"/>
        </w:rPr>
        <w:t xml:space="preserve"> funcionamiento. </w:t>
      </w:r>
    </w:p>
    <w:p w:rsidR="00970B30" w:rsidRPr="00274507" w:rsidRDefault="00970B30" w:rsidP="00274507">
      <w:pPr>
        <w:jc w:val="both"/>
        <w:rPr>
          <w:sz w:val="28"/>
          <w:szCs w:val="28"/>
        </w:rPr>
      </w:pPr>
    </w:p>
    <w:p w:rsidR="00970B30" w:rsidRPr="00274507" w:rsidRDefault="00970B30" w:rsidP="00274507">
      <w:pPr>
        <w:jc w:val="both"/>
        <w:rPr>
          <w:sz w:val="28"/>
          <w:szCs w:val="28"/>
        </w:rPr>
      </w:pPr>
      <w:r w:rsidRPr="00274507">
        <w:rPr>
          <w:sz w:val="28"/>
          <w:szCs w:val="28"/>
        </w:rPr>
        <w:t>A través de la</w:t>
      </w:r>
      <w:r w:rsidR="00FF7978" w:rsidRPr="00274507">
        <w:rPr>
          <w:sz w:val="28"/>
          <w:szCs w:val="28"/>
        </w:rPr>
        <w:t xml:space="preserve"> Ley 1122 de 2007 se reformó el sistema</w:t>
      </w:r>
      <w:r w:rsidR="006936DB" w:rsidRPr="00274507">
        <w:rPr>
          <w:sz w:val="28"/>
          <w:szCs w:val="28"/>
        </w:rPr>
        <w:t xml:space="preserve">, entre otros, </w:t>
      </w:r>
      <w:r w:rsidRPr="00274507">
        <w:rPr>
          <w:sz w:val="28"/>
          <w:szCs w:val="28"/>
        </w:rPr>
        <w:t>se incluyó la evaluación de los actores del sector a través “de indicadores de gestión y resultados en salud y bienestar”</w:t>
      </w:r>
      <w:r w:rsidRPr="00274507">
        <w:rPr>
          <w:rStyle w:val="Refdenotaalpie"/>
          <w:sz w:val="28"/>
          <w:szCs w:val="28"/>
        </w:rPr>
        <w:t xml:space="preserve"> </w:t>
      </w:r>
      <w:r w:rsidRPr="00274507">
        <w:rPr>
          <w:rStyle w:val="Refdenotaalpie"/>
          <w:sz w:val="28"/>
          <w:szCs w:val="28"/>
        </w:rPr>
        <w:footnoteReference w:id="191"/>
      </w:r>
      <w:r w:rsidRPr="00274507">
        <w:rPr>
          <w:sz w:val="28"/>
          <w:szCs w:val="28"/>
        </w:rPr>
        <w:t xml:space="preserve"> de todas las autoridades que operan, perspectiva de evaluación que contribuye a conocer el aporte y funcionamiento de cada uno, así como contribuir en el mejoramiento y la protección del derecho a la salud. </w:t>
      </w:r>
    </w:p>
    <w:p w:rsidR="006936DB" w:rsidRPr="00274507" w:rsidRDefault="006936DB" w:rsidP="00274507">
      <w:pPr>
        <w:jc w:val="both"/>
        <w:rPr>
          <w:sz w:val="28"/>
          <w:szCs w:val="28"/>
        </w:rPr>
      </w:pPr>
    </w:p>
    <w:p w:rsidR="00970B30" w:rsidRPr="00274507" w:rsidRDefault="00970B30" w:rsidP="00274507">
      <w:pPr>
        <w:jc w:val="both"/>
        <w:rPr>
          <w:sz w:val="28"/>
          <w:szCs w:val="28"/>
        </w:rPr>
      </w:pPr>
      <w:r w:rsidRPr="00274507">
        <w:rPr>
          <w:sz w:val="28"/>
          <w:szCs w:val="28"/>
        </w:rPr>
        <w:t>No obstante, a partir de la sentencia T-760 de 2008 la jurisprudencia evidenció la necesidad de realizar la evaluación a partir de los indicadores del goce efectivo del derecho, con el propósito de que una vez obtenidos los resultados se verifiquen los objetivos de las  políticas implementadas.</w:t>
      </w:r>
    </w:p>
    <w:p w:rsidR="00EC17AA" w:rsidRPr="00274507" w:rsidRDefault="00EC17AA" w:rsidP="00274507">
      <w:pPr>
        <w:jc w:val="both"/>
        <w:rPr>
          <w:sz w:val="28"/>
          <w:szCs w:val="28"/>
        </w:rPr>
      </w:pPr>
    </w:p>
    <w:p w:rsidR="00FF7978" w:rsidRPr="00274507" w:rsidRDefault="00970B30" w:rsidP="00274507">
      <w:pPr>
        <w:shd w:val="clear" w:color="auto" w:fill="FFFFFF"/>
        <w:jc w:val="both"/>
        <w:textAlignment w:val="baseline"/>
        <w:rPr>
          <w:sz w:val="28"/>
          <w:szCs w:val="28"/>
          <w:bdr w:val="none" w:sz="0" w:space="0" w:color="auto" w:frame="1"/>
          <w:lang w:val="es-ES_tradnl"/>
        </w:rPr>
      </w:pPr>
      <w:r w:rsidRPr="00274507">
        <w:rPr>
          <w:sz w:val="28"/>
          <w:szCs w:val="28"/>
        </w:rPr>
        <w:t>Este Tribunal efectúo el control de constitucionalidad</w:t>
      </w:r>
      <w:r w:rsidRPr="00274507">
        <w:rPr>
          <w:rStyle w:val="Refdenotaalpie"/>
          <w:sz w:val="28"/>
          <w:szCs w:val="28"/>
        </w:rPr>
        <w:footnoteReference w:id="192"/>
      </w:r>
      <w:r w:rsidRPr="00274507">
        <w:rPr>
          <w:sz w:val="28"/>
          <w:szCs w:val="28"/>
        </w:rPr>
        <w:t xml:space="preserve"> del Proyecto </w:t>
      </w:r>
      <w:r w:rsidRPr="00274507">
        <w:rPr>
          <w:sz w:val="28"/>
          <w:szCs w:val="28"/>
          <w:shd w:val="clear" w:color="auto" w:fill="FFFFFF"/>
        </w:rPr>
        <w:t>de Ley Estatutaria núm. 209 de 2013 Senado y 267 Cámara “</w:t>
      </w:r>
      <w:r w:rsidRPr="00274507">
        <w:rPr>
          <w:i/>
          <w:iCs/>
          <w:sz w:val="28"/>
          <w:szCs w:val="28"/>
          <w:bdr w:val="none" w:sz="0" w:space="0" w:color="auto" w:frame="1"/>
          <w:shd w:val="clear" w:color="auto" w:fill="FFFFFF"/>
        </w:rPr>
        <w:t>por medio de la cual se regula el Derecho Fundamental a la Salud y se dictan otras disposiciones</w:t>
      </w:r>
      <w:r w:rsidRPr="00274507">
        <w:rPr>
          <w:sz w:val="28"/>
          <w:szCs w:val="28"/>
          <w:shd w:val="clear" w:color="auto" w:fill="FFFFFF"/>
        </w:rPr>
        <w:t>”</w:t>
      </w:r>
      <w:r w:rsidRPr="00274507">
        <w:rPr>
          <w:sz w:val="28"/>
          <w:szCs w:val="28"/>
        </w:rPr>
        <w:t xml:space="preserve">, en el que además de otros artículos referente al </w:t>
      </w:r>
      <w:r w:rsidRPr="00274507">
        <w:rPr>
          <w:bCs/>
          <w:sz w:val="28"/>
          <w:szCs w:val="28"/>
          <w:bdr w:val="none" w:sz="0" w:space="0" w:color="auto" w:frame="1"/>
          <w:lang w:val="es-ES_tradnl"/>
        </w:rPr>
        <w:t>7°</w:t>
      </w:r>
      <w:r w:rsidRPr="00274507">
        <w:rPr>
          <w:b/>
          <w:bCs/>
          <w:sz w:val="28"/>
          <w:szCs w:val="28"/>
          <w:bdr w:val="none" w:sz="0" w:space="0" w:color="auto" w:frame="1"/>
          <w:lang w:val="es-ES_tradnl"/>
        </w:rPr>
        <w:t xml:space="preserve">, </w:t>
      </w:r>
      <w:r w:rsidRPr="00274507">
        <w:rPr>
          <w:bCs/>
          <w:sz w:val="28"/>
          <w:szCs w:val="28"/>
          <w:bdr w:val="none" w:sz="0" w:space="0" w:color="auto" w:frame="1"/>
          <w:lang w:val="es-ES_tradnl"/>
        </w:rPr>
        <w:t xml:space="preserve">radica en la iniciativa del </w:t>
      </w:r>
      <w:r w:rsidRPr="00274507">
        <w:rPr>
          <w:sz w:val="28"/>
          <w:szCs w:val="28"/>
          <w:bdr w:val="none" w:sz="0" w:space="0" w:color="auto" w:frame="1"/>
          <w:lang w:val="es-ES_tradnl"/>
        </w:rPr>
        <w:t xml:space="preserve">Ministerio de Salud y Protección Social en la obligación de realizar las evaluaciones anuales y obtener resultados de goce efectivo del derecho y los elementos que lo constituyen y que sean una herramienta para implementar políticas públicas que contribuyan a mejorar las condiciones </w:t>
      </w:r>
      <w:r w:rsidRPr="00274507">
        <w:rPr>
          <w:iCs/>
          <w:color w:val="000000"/>
          <w:sz w:val="28"/>
          <w:szCs w:val="28"/>
          <w:bdr w:val="none" w:sz="0" w:space="0" w:color="auto" w:frame="1"/>
          <w:lang w:val="es-ES_tradnl"/>
        </w:rPr>
        <w:t>de los usuarios.</w:t>
      </w:r>
      <w:r w:rsidRPr="00274507">
        <w:rPr>
          <w:sz w:val="28"/>
          <w:szCs w:val="28"/>
          <w:bdr w:val="none" w:sz="0" w:space="0" w:color="auto" w:frame="1"/>
          <w:lang w:val="es-ES_tradnl"/>
        </w:rPr>
        <w:t xml:space="preserve"> </w:t>
      </w:r>
    </w:p>
    <w:p w:rsidR="00D05C0C" w:rsidRPr="00274507" w:rsidRDefault="00D05C0C" w:rsidP="00274507">
      <w:pPr>
        <w:shd w:val="clear" w:color="auto" w:fill="FFFFFF"/>
        <w:jc w:val="both"/>
        <w:textAlignment w:val="baseline"/>
        <w:rPr>
          <w:sz w:val="28"/>
          <w:szCs w:val="28"/>
          <w:bdr w:val="none" w:sz="0" w:space="0" w:color="auto" w:frame="1"/>
          <w:lang w:val="es-ES_tradnl"/>
        </w:rPr>
      </w:pPr>
    </w:p>
    <w:p w:rsidR="00970B30" w:rsidRPr="00274507" w:rsidRDefault="00970B30" w:rsidP="00274507">
      <w:pPr>
        <w:shd w:val="clear" w:color="auto" w:fill="FFFFFF"/>
        <w:jc w:val="both"/>
        <w:textAlignment w:val="baseline"/>
        <w:rPr>
          <w:i/>
          <w:sz w:val="28"/>
          <w:szCs w:val="28"/>
        </w:rPr>
      </w:pPr>
      <w:r w:rsidRPr="00274507">
        <w:rPr>
          <w:sz w:val="28"/>
          <w:szCs w:val="28"/>
          <w:bdr w:val="none" w:sz="0" w:space="0" w:color="auto" w:frame="1"/>
        </w:rPr>
        <w:t>Aunado a lo anterior, expresó que tal como lo describen las observaciones generales d</w:t>
      </w:r>
      <w:r w:rsidRPr="00274507">
        <w:rPr>
          <w:sz w:val="28"/>
          <w:szCs w:val="28"/>
          <w:bdr w:val="none" w:sz="0" w:space="0" w:color="auto" w:frame="1"/>
          <w:lang w:val="es-ES_tradnl"/>
        </w:rPr>
        <w:t>el Comité de Derechos Económicos Sociales y Culturales</w:t>
      </w:r>
      <w:r w:rsidRPr="00274507">
        <w:rPr>
          <w:rStyle w:val="Refdenotaalpie"/>
          <w:sz w:val="28"/>
          <w:szCs w:val="28"/>
          <w:bdr w:val="none" w:sz="0" w:space="0" w:color="auto" w:frame="1"/>
          <w:lang w:val="es-ES_tradnl"/>
        </w:rPr>
        <w:footnoteReference w:id="193"/>
      </w:r>
      <w:r w:rsidRPr="00274507">
        <w:rPr>
          <w:sz w:val="28"/>
          <w:szCs w:val="28"/>
          <w:bdr w:val="none" w:sz="0" w:space="0" w:color="auto" w:frame="1"/>
          <w:lang w:val="es-ES_tradnl"/>
        </w:rPr>
        <w:t xml:space="preserve">,  cada Estado debe velar por el derecho a la salud, implementando una estrategia nacional   que </w:t>
      </w:r>
      <w:r w:rsidRPr="00274507">
        <w:rPr>
          <w:sz w:val="28"/>
          <w:szCs w:val="28"/>
          <w:shd w:val="clear" w:color="auto" w:fill="FFFFFF"/>
        </w:rPr>
        <w:t xml:space="preserve">deberá </w:t>
      </w:r>
      <w:r w:rsidRPr="00274507">
        <w:rPr>
          <w:i/>
          <w:sz w:val="28"/>
          <w:szCs w:val="28"/>
          <w:shd w:val="clear" w:color="auto" w:fill="FFFFFF"/>
        </w:rPr>
        <w:t>“…</w:t>
      </w:r>
      <w:r w:rsidRPr="00274507">
        <w:rPr>
          <w:i/>
          <w:iCs/>
          <w:sz w:val="28"/>
          <w:szCs w:val="28"/>
          <w:bdr w:val="none" w:sz="0" w:space="0" w:color="auto" w:frame="1"/>
          <w:shd w:val="clear" w:color="auto" w:fill="FFFFFF"/>
        </w:rPr>
        <w:t>identificar los pertinentes indicadores y bases de referencia del derecho a la salud’</w:t>
      </w:r>
      <w:r w:rsidRPr="00274507">
        <w:rPr>
          <w:i/>
          <w:sz w:val="28"/>
          <w:szCs w:val="28"/>
          <w:shd w:val="clear" w:color="auto" w:fill="FFFFFF"/>
        </w:rPr>
        <w:t>. Adicionalmente la Corporación estima que nada atenta contra la Constitución el que dichas evaluaciones sobre resultados se realicen en función de los elementos esenciales del derecho. Para la Corte, el precepto impele a las autoridades a construir los indicadores sobre los resultados del goce efectivo del derecho, explicar su pertinencia y alcance, así como dar cuenta de sus eventuales insuficiencias. Se trata pues, de la incorporación en la Ley, de un deber encaminado a una mejor gestión a favor de la salud…”</w:t>
      </w:r>
      <w:r w:rsidR="006C3B17" w:rsidRPr="00274507">
        <w:rPr>
          <w:i/>
          <w:sz w:val="28"/>
          <w:szCs w:val="28"/>
          <w:shd w:val="clear" w:color="auto" w:fill="FFFFFF"/>
        </w:rPr>
        <w:t>.</w:t>
      </w:r>
    </w:p>
    <w:p w:rsidR="00970B30" w:rsidRPr="00274507" w:rsidRDefault="00970B30" w:rsidP="00274507">
      <w:pPr>
        <w:shd w:val="clear" w:color="auto" w:fill="FFFFFF"/>
        <w:jc w:val="both"/>
        <w:textAlignment w:val="baseline"/>
        <w:rPr>
          <w:sz w:val="28"/>
          <w:szCs w:val="28"/>
          <w:bdr w:val="none" w:sz="0" w:space="0" w:color="auto" w:frame="1"/>
          <w:lang w:val="es-ES_tradnl"/>
        </w:rPr>
      </w:pPr>
    </w:p>
    <w:p w:rsidR="006D48A9" w:rsidRPr="00274507" w:rsidRDefault="00970B30" w:rsidP="00274507">
      <w:pPr>
        <w:shd w:val="clear" w:color="auto" w:fill="FFFFFF"/>
        <w:jc w:val="both"/>
        <w:textAlignment w:val="baseline"/>
        <w:rPr>
          <w:sz w:val="28"/>
          <w:szCs w:val="28"/>
          <w:bdr w:val="none" w:sz="0" w:space="0" w:color="auto" w:frame="1"/>
          <w:lang w:val="es-ES_tradnl"/>
        </w:rPr>
      </w:pPr>
      <w:r w:rsidRPr="00274507">
        <w:rPr>
          <w:sz w:val="28"/>
          <w:szCs w:val="28"/>
          <w:bdr w:val="none" w:sz="0" w:space="0" w:color="auto" w:frame="1"/>
          <w:lang w:val="es-ES_tradnl"/>
        </w:rPr>
        <w:t>De lo anterior</w:t>
      </w:r>
      <w:r w:rsidR="00EC17AA" w:rsidRPr="00274507">
        <w:rPr>
          <w:sz w:val="28"/>
          <w:szCs w:val="28"/>
          <w:bdr w:val="none" w:sz="0" w:space="0" w:color="auto" w:frame="1"/>
          <w:lang w:val="es-ES_tradnl"/>
        </w:rPr>
        <w:t xml:space="preserve">,  </w:t>
      </w:r>
      <w:r w:rsidR="00FF7978" w:rsidRPr="00274507">
        <w:rPr>
          <w:sz w:val="28"/>
          <w:szCs w:val="28"/>
          <w:bdr w:val="none" w:sz="0" w:space="0" w:color="auto" w:frame="1"/>
          <w:lang w:val="es-ES_tradnl"/>
        </w:rPr>
        <w:t xml:space="preserve">esta Sala </w:t>
      </w:r>
      <w:r w:rsidR="00EC17AA" w:rsidRPr="00274507">
        <w:rPr>
          <w:sz w:val="28"/>
          <w:szCs w:val="28"/>
          <w:bdr w:val="none" w:sz="0" w:space="0" w:color="auto" w:frame="1"/>
          <w:lang w:val="es-ES_tradnl"/>
        </w:rPr>
        <w:t xml:space="preserve">evidencia </w:t>
      </w:r>
      <w:r w:rsidRPr="00274507">
        <w:rPr>
          <w:sz w:val="28"/>
          <w:szCs w:val="28"/>
          <w:bdr w:val="none" w:sz="0" w:space="0" w:color="auto" w:frame="1"/>
          <w:lang w:val="es-ES_tradnl"/>
        </w:rPr>
        <w:t xml:space="preserve">la obligación del </w:t>
      </w:r>
      <w:r w:rsidR="00EC17AA" w:rsidRPr="00274507">
        <w:rPr>
          <w:sz w:val="28"/>
          <w:szCs w:val="28"/>
          <w:bdr w:val="none" w:sz="0" w:space="0" w:color="auto" w:frame="1"/>
          <w:lang w:val="es-ES_tradnl"/>
        </w:rPr>
        <w:t>ente regulador de s</w:t>
      </w:r>
      <w:r w:rsidRPr="00274507">
        <w:rPr>
          <w:sz w:val="28"/>
          <w:szCs w:val="28"/>
          <w:bdr w:val="none" w:sz="0" w:space="0" w:color="auto" w:frame="1"/>
          <w:lang w:val="es-ES_tradnl"/>
        </w:rPr>
        <w:t>alud en construir los propios indicadores de su país conforme a las necesidades de la población y una vez obtenidos los resultados de la evaluación</w:t>
      </w:r>
      <w:r w:rsidR="00FF7978" w:rsidRPr="00274507">
        <w:rPr>
          <w:sz w:val="28"/>
          <w:szCs w:val="28"/>
          <w:bdr w:val="none" w:sz="0" w:space="0" w:color="auto" w:frame="1"/>
          <w:lang w:val="es-ES_tradnl"/>
        </w:rPr>
        <w:t>,</w:t>
      </w:r>
      <w:r w:rsidRPr="00274507">
        <w:rPr>
          <w:sz w:val="28"/>
          <w:szCs w:val="28"/>
          <w:bdr w:val="none" w:sz="0" w:space="0" w:color="auto" w:frame="1"/>
          <w:lang w:val="es-ES_tradnl"/>
        </w:rPr>
        <w:t xml:space="preserve"> utilizarlos como base para fijar políticas públicas tendientes a mejorar el derecho a la salud. De igual manera destaca la necesidad de la divulgación</w:t>
      </w:r>
      <w:r w:rsidR="00FF7978" w:rsidRPr="00274507">
        <w:rPr>
          <w:sz w:val="28"/>
          <w:szCs w:val="28"/>
          <w:bdr w:val="none" w:sz="0" w:space="0" w:color="auto" w:frame="1"/>
          <w:lang w:val="es-ES_tradnl"/>
        </w:rPr>
        <w:t xml:space="preserve"> del informe a los actores del s</w:t>
      </w:r>
      <w:r w:rsidRPr="00274507">
        <w:rPr>
          <w:sz w:val="28"/>
          <w:szCs w:val="28"/>
          <w:bdr w:val="none" w:sz="0" w:space="0" w:color="auto" w:frame="1"/>
          <w:lang w:val="es-ES_tradnl"/>
        </w:rPr>
        <w:t>istema garantizando una participación activa.</w:t>
      </w:r>
      <w:r w:rsidR="006D48A9" w:rsidRPr="00274507">
        <w:rPr>
          <w:sz w:val="28"/>
          <w:szCs w:val="28"/>
          <w:bdr w:val="none" w:sz="0" w:space="0" w:color="auto" w:frame="1"/>
          <w:lang w:val="es-ES_tradnl"/>
        </w:rPr>
        <w:t xml:space="preserve"> </w:t>
      </w:r>
    </w:p>
    <w:p w:rsidR="006D48A9" w:rsidRPr="00274507" w:rsidRDefault="006D48A9" w:rsidP="00274507">
      <w:pPr>
        <w:shd w:val="clear" w:color="auto" w:fill="FFFFFF"/>
        <w:jc w:val="both"/>
        <w:textAlignment w:val="baseline"/>
        <w:rPr>
          <w:sz w:val="28"/>
          <w:szCs w:val="28"/>
          <w:bdr w:val="none" w:sz="0" w:space="0" w:color="auto" w:frame="1"/>
          <w:lang w:val="es-ES_tradnl"/>
        </w:rPr>
      </w:pPr>
    </w:p>
    <w:p w:rsidR="00806B61" w:rsidRPr="00274507" w:rsidRDefault="00970B30" w:rsidP="00274507">
      <w:pPr>
        <w:shd w:val="clear" w:color="auto" w:fill="FFFFFF"/>
        <w:jc w:val="both"/>
        <w:textAlignment w:val="baseline"/>
        <w:rPr>
          <w:sz w:val="28"/>
          <w:szCs w:val="28"/>
        </w:rPr>
      </w:pPr>
      <w:r w:rsidRPr="00274507">
        <w:rPr>
          <w:sz w:val="28"/>
          <w:szCs w:val="28"/>
        </w:rPr>
        <w:t xml:space="preserve">En ese sentido, el legislador con la expedición de la Ley 1751 de 2015 Estatutaria de </w:t>
      </w:r>
      <w:r w:rsidR="006936DB" w:rsidRPr="00274507">
        <w:rPr>
          <w:sz w:val="28"/>
          <w:szCs w:val="28"/>
        </w:rPr>
        <w:t>Salud</w:t>
      </w:r>
      <w:r w:rsidRPr="00274507">
        <w:rPr>
          <w:sz w:val="28"/>
          <w:szCs w:val="28"/>
        </w:rPr>
        <w:t>, implementó los indicadores de goce efectivo como una herramienta para la evaluación anual, con el fin de calificar las condiciones de accesibilidad, disponibilidad y aceptabilidad de la prestación del servicio de la comunidad, garantía del derecho y para valorar los efectos del desarrollo de las políticas, al igual que la fijación de nuevas, con el propósito de radicar totalmente las falen</w:t>
      </w:r>
      <w:r w:rsidR="00806B61" w:rsidRPr="00274507">
        <w:rPr>
          <w:sz w:val="28"/>
          <w:szCs w:val="28"/>
        </w:rPr>
        <w:t>cias y limitaciones del sistema.</w:t>
      </w:r>
    </w:p>
    <w:p w:rsidR="00D0452E" w:rsidRPr="00274507" w:rsidRDefault="00D0452E" w:rsidP="00274507">
      <w:pPr>
        <w:shd w:val="clear" w:color="auto" w:fill="FFFFFF"/>
        <w:jc w:val="both"/>
        <w:textAlignment w:val="baseline"/>
        <w:rPr>
          <w:b/>
          <w:sz w:val="28"/>
          <w:szCs w:val="28"/>
          <w:bdr w:val="none" w:sz="0" w:space="0" w:color="auto" w:frame="1"/>
          <w:lang w:val="es-ES" w:eastAsia="es-CO"/>
        </w:rPr>
      </w:pPr>
    </w:p>
    <w:p w:rsidR="00970B30" w:rsidRPr="00274507" w:rsidRDefault="00D05C0C" w:rsidP="00274507">
      <w:pPr>
        <w:shd w:val="clear" w:color="auto" w:fill="FFFFFF"/>
        <w:jc w:val="both"/>
        <w:textAlignment w:val="baseline"/>
        <w:rPr>
          <w:sz w:val="28"/>
          <w:szCs w:val="28"/>
          <w:bdr w:val="none" w:sz="0" w:space="0" w:color="auto" w:frame="1"/>
          <w:lang w:val="es-ES" w:eastAsia="es-CO"/>
        </w:rPr>
      </w:pPr>
      <w:r w:rsidRPr="00274507">
        <w:rPr>
          <w:b/>
          <w:sz w:val="28"/>
          <w:szCs w:val="28"/>
          <w:bdr w:val="none" w:sz="0" w:space="0" w:color="auto" w:frame="1"/>
          <w:lang w:val="es-ES" w:eastAsia="es-CO"/>
        </w:rPr>
        <w:t>7</w:t>
      </w:r>
      <w:r w:rsidR="00D405BD" w:rsidRPr="00274507">
        <w:rPr>
          <w:b/>
          <w:sz w:val="28"/>
          <w:szCs w:val="28"/>
          <w:bdr w:val="none" w:sz="0" w:space="0" w:color="auto" w:frame="1"/>
          <w:lang w:val="es-ES" w:eastAsia="es-CO"/>
        </w:rPr>
        <w:t>.</w:t>
      </w:r>
      <w:r w:rsidR="009D09B9" w:rsidRPr="00274507">
        <w:rPr>
          <w:b/>
          <w:sz w:val="28"/>
          <w:szCs w:val="28"/>
          <w:bdr w:val="none" w:sz="0" w:space="0" w:color="auto" w:frame="1"/>
          <w:lang w:val="es-ES" w:eastAsia="es-CO"/>
        </w:rPr>
        <w:t>5</w:t>
      </w:r>
      <w:r w:rsidR="00D405BD" w:rsidRPr="00274507">
        <w:rPr>
          <w:b/>
          <w:sz w:val="28"/>
          <w:szCs w:val="28"/>
          <w:bdr w:val="none" w:sz="0" w:space="0" w:color="auto" w:frame="1"/>
          <w:lang w:val="es-ES" w:eastAsia="es-CO"/>
        </w:rPr>
        <w:t>.2.</w:t>
      </w:r>
      <w:r w:rsidR="00D405BD" w:rsidRPr="00274507">
        <w:rPr>
          <w:sz w:val="28"/>
          <w:szCs w:val="28"/>
          <w:bdr w:val="none" w:sz="0" w:space="0" w:color="auto" w:frame="1"/>
          <w:lang w:val="es-ES" w:eastAsia="es-CO"/>
        </w:rPr>
        <w:t xml:space="preserve"> </w:t>
      </w:r>
      <w:r w:rsidR="00EC17AA" w:rsidRPr="00274507">
        <w:rPr>
          <w:sz w:val="28"/>
          <w:szCs w:val="28"/>
          <w:bdr w:val="none" w:sz="0" w:space="0" w:color="auto" w:frame="1"/>
          <w:lang w:val="es-ES" w:eastAsia="es-CO"/>
        </w:rPr>
        <w:t xml:space="preserve">Respecto a la utilización de los indicadores de goce efectivo en los informes presentados por el Ministerio de Salud, los </w:t>
      </w:r>
      <w:r w:rsidR="00970B30" w:rsidRPr="00274507">
        <w:rPr>
          <w:sz w:val="28"/>
          <w:szCs w:val="28"/>
          <w:bdr w:val="none" w:sz="0" w:space="0" w:color="auto" w:frame="1"/>
          <w:lang w:val="es-ES" w:eastAsia="es-CO"/>
        </w:rPr>
        <w:t>peritos</w:t>
      </w:r>
      <w:r w:rsidR="00EC17AA" w:rsidRPr="00274507">
        <w:rPr>
          <w:sz w:val="28"/>
          <w:szCs w:val="28"/>
          <w:bdr w:val="none" w:sz="0" w:space="0" w:color="auto" w:frame="1"/>
          <w:lang w:val="es-ES" w:eastAsia="es-CO"/>
        </w:rPr>
        <w:t xml:space="preserve"> emitieron concepto, argumentando lo siguiente:</w:t>
      </w:r>
    </w:p>
    <w:p w:rsidR="00970B30" w:rsidRPr="00274507" w:rsidRDefault="00970B30" w:rsidP="00274507">
      <w:pPr>
        <w:shd w:val="clear" w:color="auto" w:fill="FFFFFF"/>
        <w:jc w:val="both"/>
        <w:textAlignment w:val="baseline"/>
        <w:rPr>
          <w:sz w:val="28"/>
          <w:szCs w:val="28"/>
          <w:bdr w:val="none" w:sz="0" w:space="0" w:color="auto" w:frame="1"/>
          <w:lang w:val="es-ES" w:eastAsia="es-CO"/>
        </w:rPr>
      </w:pPr>
    </w:p>
    <w:p w:rsidR="00970B30" w:rsidRPr="00274507" w:rsidRDefault="00D05C0C" w:rsidP="00274507">
      <w:pPr>
        <w:shd w:val="clear" w:color="auto" w:fill="FFFFFF"/>
        <w:jc w:val="both"/>
        <w:textAlignment w:val="baseline"/>
        <w:rPr>
          <w:sz w:val="28"/>
          <w:szCs w:val="28"/>
          <w:bdr w:val="none" w:sz="0" w:space="0" w:color="auto" w:frame="1"/>
          <w:lang w:val="es-ES" w:eastAsia="es-CO"/>
        </w:rPr>
      </w:pPr>
      <w:r w:rsidRPr="00274507">
        <w:rPr>
          <w:b/>
          <w:sz w:val="28"/>
          <w:szCs w:val="28"/>
          <w:bdr w:val="none" w:sz="0" w:space="0" w:color="auto" w:frame="1"/>
          <w:lang w:val="es-ES" w:eastAsia="es-CO"/>
        </w:rPr>
        <w:t>7</w:t>
      </w:r>
      <w:r w:rsidR="009D09B9" w:rsidRPr="00274507">
        <w:rPr>
          <w:b/>
          <w:sz w:val="28"/>
          <w:szCs w:val="28"/>
          <w:bdr w:val="none" w:sz="0" w:space="0" w:color="auto" w:frame="1"/>
          <w:lang w:val="es-ES" w:eastAsia="es-CO"/>
        </w:rPr>
        <w:t>.5</w:t>
      </w:r>
      <w:r w:rsidR="00D405BD" w:rsidRPr="00274507">
        <w:rPr>
          <w:b/>
          <w:sz w:val="28"/>
          <w:szCs w:val="28"/>
          <w:bdr w:val="none" w:sz="0" w:space="0" w:color="auto" w:frame="1"/>
          <w:lang w:val="es-ES" w:eastAsia="es-CO"/>
        </w:rPr>
        <w:t>.2.1</w:t>
      </w:r>
      <w:r w:rsidR="00970B30" w:rsidRPr="00274507">
        <w:rPr>
          <w:b/>
          <w:sz w:val="28"/>
          <w:szCs w:val="28"/>
          <w:bdr w:val="none" w:sz="0" w:space="0" w:color="auto" w:frame="1"/>
          <w:lang w:val="es-ES" w:eastAsia="es-CO"/>
        </w:rPr>
        <w:t>.</w:t>
      </w:r>
      <w:r w:rsidR="00970B30" w:rsidRPr="00274507">
        <w:rPr>
          <w:sz w:val="28"/>
          <w:szCs w:val="28"/>
          <w:bdr w:val="none" w:sz="0" w:space="0" w:color="auto" w:frame="1"/>
          <w:lang w:val="es-ES" w:eastAsia="es-CO"/>
        </w:rPr>
        <w:t xml:space="preserve"> CSR y Fedesalud</w:t>
      </w:r>
      <w:r w:rsidR="00970B30" w:rsidRPr="00274507">
        <w:rPr>
          <w:rStyle w:val="Refdenotaalpie"/>
          <w:sz w:val="28"/>
          <w:szCs w:val="28"/>
          <w:bdr w:val="none" w:sz="0" w:space="0" w:color="auto" w:frame="1"/>
          <w:lang w:val="es-ES" w:eastAsia="es-CO"/>
        </w:rPr>
        <w:footnoteReference w:id="194"/>
      </w:r>
      <w:r w:rsidR="00EC17AA" w:rsidRPr="00274507">
        <w:rPr>
          <w:sz w:val="28"/>
          <w:szCs w:val="28"/>
          <w:bdr w:val="none" w:sz="0" w:space="0" w:color="auto" w:frame="1"/>
          <w:lang w:val="es-ES" w:eastAsia="es-CO"/>
        </w:rPr>
        <w:t xml:space="preserve"> describieron que el realizar los indicadores GED es una</w:t>
      </w:r>
      <w:r w:rsidR="00970B30" w:rsidRPr="00274507">
        <w:rPr>
          <w:sz w:val="28"/>
          <w:szCs w:val="28"/>
        </w:rPr>
        <w:t xml:space="preserve"> labor</w:t>
      </w:r>
      <w:r w:rsidR="00EC17AA" w:rsidRPr="00274507">
        <w:rPr>
          <w:sz w:val="28"/>
          <w:szCs w:val="28"/>
        </w:rPr>
        <w:t xml:space="preserve"> que</w:t>
      </w:r>
      <w:r w:rsidR="00970B30" w:rsidRPr="00274507">
        <w:rPr>
          <w:sz w:val="28"/>
          <w:szCs w:val="28"/>
        </w:rPr>
        <w:t xml:space="preserve"> debe ser una tarea integral de amplio interés, teniendo en cuenta la base de datos de la Defensoría del Pueblo y del Comité Internacional de Derechos Sociales y Culturales, la observación No.14 de 2000 y sus respectivas revisiones. Advirtieron que deben estar relacionados con las obligaciones del Estado en cuanto a respetar, proteger y garantizar el derecho a la salud, junto con los principios de disponibilidad, accesibilidad, aceptabilidad y calidad del servicio. Lo anterior, aunado a la garantía integral de condiciones y medios que permitan alcanzar el máximo nivel de salud posible en conjunto con los derechos a la vida; a morir dignamente y aceptar o rechazar procedimientos y sufrimientos en procesos de atención; también el crear criterios respecto a la no discriminación racial, étnica de género o económica en materia de salud; al acceso a agua potable y condiciones sanitarias adecuadas; alimentos sanos y nutrición adecuada; vivienda digna, adecuada y saludable; ambiente sano; educación;  y a acceder a bienes y servicios de salud, así como la participación en la adopción e implementación de decisiones en salud en el ámbito institucional, comunitario, local, nacional e internacional.</w:t>
      </w:r>
    </w:p>
    <w:p w:rsidR="00970B30" w:rsidRPr="00274507" w:rsidRDefault="00970B30" w:rsidP="00274507">
      <w:pPr>
        <w:widowControl w:val="0"/>
        <w:tabs>
          <w:tab w:val="left" w:pos="426"/>
        </w:tabs>
        <w:autoSpaceDE w:val="0"/>
        <w:autoSpaceDN w:val="0"/>
        <w:adjustRightInd w:val="0"/>
        <w:ind w:left="426"/>
        <w:jc w:val="both"/>
        <w:rPr>
          <w:sz w:val="28"/>
          <w:szCs w:val="28"/>
        </w:rPr>
      </w:pPr>
    </w:p>
    <w:p w:rsidR="00970B30" w:rsidRPr="00274507" w:rsidRDefault="00970B30" w:rsidP="00274507">
      <w:pPr>
        <w:widowControl w:val="0"/>
        <w:tabs>
          <w:tab w:val="left" w:pos="426"/>
        </w:tabs>
        <w:autoSpaceDE w:val="0"/>
        <w:autoSpaceDN w:val="0"/>
        <w:adjustRightInd w:val="0"/>
        <w:jc w:val="both"/>
        <w:rPr>
          <w:sz w:val="28"/>
          <w:szCs w:val="28"/>
        </w:rPr>
      </w:pPr>
      <w:r w:rsidRPr="00274507">
        <w:rPr>
          <w:sz w:val="28"/>
          <w:szCs w:val="28"/>
        </w:rPr>
        <w:t>De igual manera para el aporte en la construcción de los indicadores de goce efectivo, advirtieron la inclusión de criterios diferenciales respecto a cada población, garantía progresiva del derecho y el desarrollo de las políticas públicas como los “Objetivos de Desarrollo del Milenio” en el que se señaló la i) disminución de la mortalidad infantil; ii) el mejoramiento de la salud materna y iii) Combate al VIH/SIDA, el paludismo y otras enfermedades, de igual respecto a los indicadores de la Organización Mundial de Salud respecto a la mortalidad y situación sanitaria, esperanza de vida, factores de riesgo, carga de la enfermedad y políticas públicas.</w:t>
      </w:r>
    </w:p>
    <w:p w:rsidR="00B170D2" w:rsidRPr="00274507" w:rsidRDefault="00B170D2" w:rsidP="00274507">
      <w:pPr>
        <w:widowControl w:val="0"/>
        <w:tabs>
          <w:tab w:val="left" w:pos="426"/>
        </w:tabs>
        <w:autoSpaceDE w:val="0"/>
        <w:autoSpaceDN w:val="0"/>
        <w:adjustRightInd w:val="0"/>
        <w:jc w:val="both"/>
        <w:rPr>
          <w:sz w:val="28"/>
          <w:szCs w:val="28"/>
        </w:rPr>
      </w:pPr>
    </w:p>
    <w:p w:rsidR="007E06DF" w:rsidRPr="00274507" w:rsidRDefault="00D05C0C" w:rsidP="00274507">
      <w:pPr>
        <w:widowControl w:val="0"/>
        <w:tabs>
          <w:tab w:val="left" w:pos="426"/>
        </w:tabs>
        <w:autoSpaceDE w:val="0"/>
        <w:autoSpaceDN w:val="0"/>
        <w:adjustRightInd w:val="0"/>
        <w:jc w:val="both"/>
        <w:rPr>
          <w:sz w:val="28"/>
          <w:szCs w:val="28"/>
        </w:rPr>
      </w:pPr>
      <w:r w:rsidRPr="00274507">
        <w:rPr>
          <w:b/>
          <w:sz w:val="28"/>
          <w:szCs w:val="28"/>
        </w:rPr>
        <w:t>7</w:t>
      </w:r>
      <w:r w:rsidR="00D405BD" w:rsidRPr="00274507">
        <w:rPr>
          <w:b/>
          <w:sz w:val="28"/>
          <w:szCs w:val="28"/>
        </w:rPr>
        <w:t>.</w:t>
      </w:r>
      <w:r w:rsidR="009D09B9" w:rsidRPr="00274507">
        <w:rPr>
          <w:b/>
          <w:sz w:val="28"/>
          <w:szCs w:val="28"/>
        </w:rPr>
        <w:t>5</w:t>
      </w:r>
      <w:r w:rsidR="00970B30" w:rsidRPr="00274507">
        <w:rPr>
          <w:b/>
          <w:sz w:val="28"/>
          <w:szCs w:val="28"/>
        </w:rPr>
        <w:t>.2.2.</w:t>
      </w:r>
      <w:r w:rsidR="00970B30" w:rsidRPr="00274507">
        <w:rPr>
          <w:sz w:val="28"/>
          <w:szCs w:val="28"/>
        </w:rPr>
        <w:t xml:space="preserve"> Así mismo, el “</w:t>
      </w:r>
      <w:r w:rsidR="00970B30" w:rsidRPr="00274507">
        <w:rPr>
          <w:i/>
          <w:sz w:val="28"/>
          <w:szCs w:val="28"/>
        </w:rPr>
        <w:t>Proyecto Así Vamos en Salud</w:t>
      </w:r>
      <w:r w:rsidR="00970B30" w:rsidRPr="00274507">
        <w:rPr>
          <w:sz w:val="28"/>
          <w:szCs w:val="28"/>
        </w:rPr>
        <w:t>”</w:t>
      </w:r>
      <w:r w:rsidR="00970B30" w:rsidRPr="00274507">
        <w:rPr>
          <w:rStyle w:val="Refdenotaalpie"/>
          <w:sz w:val="28"/>
          <w:szCs w:val="28"/>
        </w:rPr>
        <w:footnoteReference w:id="195"/>
      </w:r>
      <w:r w:rsidR="00970B30" w:rsidRPr="00274507">
        <w:rPr>
          <w:sz w:val="28"/>
          <w:szCs w:val="28"/>
        </w:rPr>
        <w:t xml:space="preserve"> </w:t>
      </w:r>
      <w:r w:rsidR="00641997" w:rsidRPr="00274507">
        <w:rPr>
          <w:sz w:val="28"/>
          <w:szCs w:val="28"/>
        </w:rPr>
        <w:t>Propusieron que para construir los indicadores “goce efectivo del derecho” se debería llegar a un acuerdo social mediante una deliberación pública en un debate abierto teniendo como participes los actores del sistema y a toda la sociedad. De igual manera recomendaron que para la elaboración de los mismos se debería tener como base principal la obligación del Estado para garantizar el derecho a la salud y la disminución de los diferenciales de inequidad, étnicos y socioeconómicos, así: i) Nombre; ii) propósito; iii) definición operacional; iv) fuente de comparación; v) escala de interpretación; vi)frecuencia de la medición; vii)) fuente de datos y viii) responsable por generar el indicador.</w:t>
      </w:r>
      <w:r w:rsidR="00BA1CFC" w:rsidRPr="00274507">
        <w:rPr>
          <w:sz w:val="28"/>
          <w:szCs w:val="28"/>
        </w:rPr>
        <w:t xml:space="preserve"> </w:t>
      </w:r>
      <w:r w:rsidR="00BF3215" w:rsidRPr="00274507">
        <w:rPr>
          <w:sz w:val="28"/>
          <w:szCs w:val="28"/>
        </w:rPr>
        <w:t xml:space="preserve">Además, </w:t>
      </w:r>
      <w:r w:rsidR="00E11338" w:rsidRPr="00274507">
        <w:rPr>
          <w:sz w:val="28"/>
          <w:szCs w:val="28"/>
        </w:rPr>
        <w:t>propuso al Ministerio</w:t>
      </w:r>
      <w:r w:rsidR="00BF3215" w:rsidRPr="00274507">
        <w:rPr>
          <w:sz w:val="28"/>
          <w:szCs w:val="28"/>
        </w:rPr>
        <w:t xml:space="preserve"> de Salud</w:t>
      </w:r>
      <w:r w:rsidR="00E11338" w:rsidRPr="00274507">
        <w:rPr>
          <w:sz w:val="28"/>
          <w:szCs w:val="28"/>
        </w:rPr>
        <w:t xml:space="preserve"> que para la construcción de los indicador</w:t>
      </w:r>
      <w:r w:rsidR="00BA1CFC" w:rsidRPr="00274507">
        <w:rPr>
          <w:sz w:val="28"/>
          <w:szCs w:val="28"/>
        </w:rPr>
        <w:t>es GED debería tener en cuenta</w:t>
      </w:r>
      <w:r w:rsidR="00BA1CFC" w:rsidRPr="00274507">
        <w:rPr>
          <w:rStyle w:val="Refdenotaalpie"/>
          <w:sz w:val="28"/>
          <w:szCs w:val="28"/>
        </w:rPr>
        <w:footnoteReference w:id="196"/>
      </w:r>
      <w:r w:rsidR="00BA1CFC" w:rsidRPr="00274507">
        <w:rPr>
          <w:sz w:val="28"/>
          <w:szCs w:val="28"/>
        </w:rPr>
        <w:t>.</w:t>
      </w:r>
    </w:p>
    <w:p w:rsidR="00BA1CFC" w:rsidRPr="00274507" w:rsidRDefault="00BA1CFC" w:rsidP="00274507">
      <w:pPr>
        <w:widowControl w:val="0"/>
        <w:tabs>
          <w:tab w:val="left" w:pos="426"/>
        </w:tabs>
        <w:autoSpaceDE w:val="0"/>
        <w:autoSpaceDN w:val="0"/>
        <w:adjustRightInd w:val="0"/>
        <w:jc w:val="both"/>
        <w:rPr>
          <w:sz w:val="28"/>
          <w:szCs w:val="28"/>
        </w:rPr>
      </w:pPr>
    </w:p>
    <w:p w:rsidR="00970B30" w:rsidRPr="00274507" w:rsidRDefault="00D05C0C" w:rsidP="00274507">
      <w:pPr>
        <w:shd w:val="clear" w:color="auto" w:fill="FFFFFF"/>
        <w:jc w:val="both"/>
        <w:textAlignment w:val="baseline"/>
        <w:rPr>
          <w:sz w:val="28"/>
          <w:szCs w:val="28"/>
          <w:bdr w:val="none" w:sz="0" w:space="0" w:color="auto" w:frame="1"/>
          <w:lang w:eastAsia="es-CO"/>
        </w:rPr>
      </w:pPr>
      <w:r w:rsidRPr="00274507">
        <w:rPr>
          <w:b/>
          <w:sz w:val="28"/>
          <w:szCs w:val="28"/>
          <w:bdr w:val="none" w:sz="0" w:space="0" w:color="auto" w:frame="1"/>
          <w:lang w:eastAsia="es-CO"/>
        </w:rPr>
        <w:t>7</w:t>
      </w:r>
      <w:r w:rsidR="00D405BD" w:rsidRPr="00274507">
        <w:rPr>
          <w:b/>
          <w:sz w:val="28"/>
          <w:szCs w:val="28"/>
          <w:bdr w:val="none" w:sz="0" w:space="0" w:color="auto" w:frame="1"/>
          <w:lang w:eastAsia="es-CO"/>
        </w:rPr>
        <w:t>.</w:t>
      </w:r>
      <w:r w:rsidR="009D09B9" w:rsidRPr="00274507">
        <w:rPr>
          <w:b/>
          <w:sz w:val="28"/>
          <w:szCs w:val="28"/>
          <w:bdr w:val="none" w:sz="0" w:space="0" w:color="auto" w:frame="1"/>
          <w:lang w:eastAsia="es-CO"/>
        </w:rPr>
        <w:t>5</w:t>
      </w:r>
      <w:r w:rsidR="00D405BD" w:rsidRPr="00274507">
        <w:rPr>
          <w:b/>
          <w:sz w:val="28"/>
          <w:szCs w:val="28"/>
          <w:bdr w:val="none" w:sz="0" w:space="0" w:color="auto" w:frame="1"/>
          <w:lang w:eastAsia="es-CO"/>
        </w:rPr>
        <w:t>.3</w:t>
      </w:r>
      <w:r w:rsidR="00970B30" w:rsidRPr="00274507">
        <w:rPr>
          <w:b/>
          <w:sz w:val="28"/>
          <w:szCs w:val="28"/>
          <w:bdr w:val="none" w:sz="0" w:space="0" w:color="auto" w:frame="1"/>
          <w:lang w:eastAsia="es-CO"/>
        </w:rPr>
        <w:t>.</w:t>
      </w:r>
      <w:r w:rsidR="00970B30" w:rsidRPr="00274507">
        <w:rPr>
          <w:sz w:val="28"/>
          <w:szCs w:val="28"/>
          <w:bdr w:val="none" w:sz="0" w:space="0" w:color="auto" w:frame="1"/>
          <w:lang w:eastAsia="es-CO"/>
        </w:rPr>
        <w:t xml:space="preserve"> </w:t>
      </w:r>
      <w:r w:rsidR="00E11338" w:rsidRPr="00274507">
        <w:rPr>
          <w:sz w:val="28"/>
          <w:szCs w:val="28"/>
          <w:bdr w:val="none" w:sz="0" w:space="0" w:color="auto" w:frame="1"/>
          <w:lang w:eastAsia="es-CO"/>
        </w:rPr>
        <w:t>Esta Sala de Seguimiento evidencia que d</w:t>
      </w:r>
      <w:r w:rsidR="00970B30" w:rsidRPr="00274507">
        <w:rPr>
          <w:sz w:val="28"/>
          <w:szCs w:val="28"/>
          <w:bdr w:val="none" w:sz="0" w:space="0" w:color="auto" w:frame="1"/>
          <w:lang w:eastAsia="es-CO"/>
        </w:rPr>
        <w:t>entro de la estructura organizaciona</w:t>
      </w:r>
      <w:r w:rsidR="000550B0" w:rsidRPr="00274507">
        <w:rPr>
          <w:sz w:val="28"/>
          <w:szCs w:val="28"/>
          <w:bdr w:val="none" w:sz="0" w:space="0" w:color="auto" w:frame="1"/>
          <w:lang w:eastAsia="es-CO"/>
        </w:rPr>
        <w:t xml:space="preserve">l, estructural y funcional del Ministerio de </w:t>
      </w:r>
      <w:r w:rsidR="00FF7978" w:rsidRPr="00274507">
        <w:rPr>
          <w:sz w:val="28"/>
          <w:szCs w:val="28"/>
          <w:bdr w:val="none" w:sz="0" w:space="0" w:color="auto" w:frame="1"/>
          <w:lang w:eastAsia="es-CO"/>
        </w:rPr>
        <w:t>Salud no se encontr</w:t>
      </w:r>
      <w:r w:rsidR="00970B30" w:rsidRPr="00274507">
        <w:rPr>
          <w:sz w:val="28"/>
          <w:szCs w:val="28"/>
          <w:bdr w:val="none" w:sz="0" w:space="0" w:color="auto" w:frame="1"/>
          <w:lang w:eastAsia="es-CO"/>
        </w:rPr>
        <w:t>ó la existencia de los indi</w:t>
      </w:r>
      <w:r w:rsidR="00BF3215" w:rsidRPr="00274507">
        <w:rPr>
          <w:sz w:val="28"/>
          <w:szCs w:val="28"/>
          <w:bdr w:val="none" w:sz="0" w:space="0" w:color="auto" w:frame="1"/>
          <w:lang w:eastAsia="es-CO"/>
        </w:rPr>
        <w:t>cadores</w:t>
      </w:r>
      <w:r w:rsidR="0015214E" w:rsidRPr="00274507">
        <w:rPr>
          <w:sz w:val="28"/>
          <w:szCs w:val="28"/>
          <w:bdr w:val="none" w:sz="0" w:space="0" w:color="auto" w:frame="1"/>
          <w:lang w:eastAsia="es-CO"/>
        </w:rPr>
        <w:t xml:space="preserve"> </w:t>
      </w:r>
      <w:r w:rsidR="0015214E" w:rsidRPr="00274507">
        <w:rPr>
          <w:sz w:val="28"/>
          <w:szCs w:val="28"/>
          <w:bdr w:val="none" w:sz="0" w:space="0" w:color="auto" w:frame="1"/>
          <w:lang w:val="es-ES" w:eastAsia="es-CO"/>
        </w:rPr>
        <w:t>de goce efectivo del derecho (</w:t>
      </w:r>
      <w:r w:rsidR="00BF3215" w:rsidRPr="00274507">
        <w:rPr>
          <w:sz w:val="28"/>
          <w:szCs w:val="28"/>
          <w:bdr w:val="none" w:sz="0" w:space="0" w:color="auto" w:frame="1"/>
          <w:lang w:eastAsia="es-CO"/>
        </w:rPr>
        <w:t>GED</w:t>
      </w:r>
      <w:r w:rsidR="0015214E" w:rsidRPr="00274507">
        <w:rPr>
          <w:sz w:val="28"/>
          <w:szCs w:val="28"/>
          <w:bdr w:val="none" w:sz="0" w:space="0" w:color="auto" w:frame="1"/>
          <w:lang w:eastAsia="es-CO"/>
        </w:rPr>
        <w:t>)</w:t>
      </w:r>
      <w:r w:rsidR="00BF3215" w:rsidRPr="00274507">
        <w:rPr>
          <w:sz w:val="28"/>
          <w:szCs w:val="28"/>
          <w:bdr w:val="none" w:sz="0" w:space="0" w:color="auto" w:frame="1"/>
          <w:lang w:eastAsia="es-CO"/>
        </w:rPr>
        <w:t>, pese a que en los reportes</w:t>
      </w:r>
      <w:r w:rsidR="00970B30" w:rsidRPr="00274507">
        <w:rPr>
          <w:sz w:val="28"/>
          <w:szCs w:val="28"/>
          <w:bdr w:val="none" w:sz="0" w:space="0" w:color="auto" w:frame="1"/>
          <w:lang w:eastAsia="es-CO"/>
        </w:rPr>
        <w:t xml:space="preserve"> enunciados se desarrolló dicho aspecto y se estableció que los mismos constituían los parámetros principales mediante los cuales se debería sujetar la actuación del Estado y de los demás entes territoriales, departamentales y municipales, encargados de garantizar el derecho fundamental de la salud, a toda la población colombiana.</w:t>
      </w:r>
    </w:p>
    <w:p w:rsidR="00970B30" w:rsidRPr="00274507" w:rsidRDefault="00970B30" w:rsidP="00274507">
      <w:pPr>
        <w:shd w:val="clear" w:color="auto" w:fill="FFFFFF"/>
        <w:jc w:val="both"/>
        <w:textAlignment w:val="baseline"/>
        <w:rPr>
          <w:sz w:val="28"/>
          <w:szCs w:val="28"/>
          <w:bdr w:val="none" w:sz="0" w:space="0" w:color="auto" w:frame="1"/>
          <w:lang w:eastAsia="es-CO"/>
        </w:rPr>
      </w:pPr>
    </w:p>
    <w:p w:rsidR="00EA4EDC" w:rsidRPr="00274507" w:rsidRDefault="00D00EEC" w:rsidP="00274507">
      <w:pPr>
        <w:shd w:val="clear" w:color="auto" w:fill="FFFFFF"/>
        <w:jc w:val="both"/>
        <w:textAlignment w:val="baseline"/>
        <w:rPr>
          <w:sz w:val="28"/>
          <w:szCs w:val="28"/>
          <w:bdr w:val="none" w:sz="0" w:space="0" w:color="auto" w:frame="1"/>
          <w:lang w:eastAsia="es-CO"/>
        </w:rPr>
      </w:pPr>
      <w:r w:rsidRPr="00274507">
        <w:rPr>
          <w:sz w:val="28"/>
          <w:szCs w:val="28"/>
          <w:bdr w:val="none" w:sz="0" w:space="0" w:color="auto" w:frame="1"/>
          <w:lang w:eastAsia="es-CO"/>
        </w:rPr>
        <w:t xml:space="preserve">Así mismo, los conceptos emitidos por los peritos son de gran contribución en referencia al tema aquí descrito, en ese sentido, </w:t>
      </w:r>
      <w:r w:rsidR="00E11338" w:rsidRPr="00274507">
        <w:rPr>
          <w:sz w:val="28"/>
          <w:szCs w:val="28"/>
          <w:bdr w:val="none" w:sz="0" w:space="0" w:color="auto" w:frame="1"/>
          <w:lang w:eastAsia="es-CO"/>
        </w:rPr>
        <w:t>se resalta el arduo trabajo que efectúo proyecto “</w:t>
      </w:r>
      <w:r w:rsidR="00E11338" w:rsidRPr="00274507">
        <w:rPr>
          <w:i/>
          <w:sz w:val="28"/>
          <w:szCs w:val="28"/>
          <w:bdr w:val="none" w:sz="0" w:space="0" w:color="auto" w:frame="1"/>
          <w:lang w:eastAsia="es-CO"/>
        </w:rPr>
        <w:t>Así Vamos en Salud</w:t>
      </w:r>
      <w:r w:rsidR="00E11338" w:rsidRPr="00274507">
        <w:rPr>
          <w:sz w:val="28"/>
          <w:szCs w:val="28"/>
          <w:bdr w:val="none" w:sz="0" w:space="0" w:color="auto" w:frame="1"/>
          <w:lang w:eastAsia="es-CO"/>
        </w:rPr>
        <w:t>” al r</w:t>
      </w:r>
      <w:r w:rsidR="00FF7978" w:rsidRPr="00274507">
        <w:rPr>
          <w:sz w:val="28"/>
          <w:szCs w:val="28"/>
          <w:bdr w:val="none" w:sz="0" w:space="0" w:color="auto" w:frame="1"/>
          <w:lang w:eastAsia="es-CO"/>
        </w:rPr>
        <w:t xml:space="preserve">ecomendar al ente regulador </w:t>
      </w:r>
      <w:r w:rsidR="00E11338" w:rsidRPr="00274507">
        <w:rPr>
          <w:sz w:val="28"/>
          <w:szCs w:val="28"/>
          <w:bdr w:val="none" w:sz="0" w:space="0" w:color="auto" w:frame="1"/>
          <w:lang w:eastAsia="es-CO"/>
        </w:rPr>
        <w:t xml:space="preserve">un amplio concepto </w:t>
      </w:r>
      <w:r w:rsidR="00EA4EDC" w:rsidRPr="00274507">
        <w:rPr>
          <w:sz w:val="28"/>
          <w:szCs w:val="28"/>
          <w:bdr w:val="none" w:sz="0" w:space="0" w:color="auto" w:frame="1"/>
          <w:lang w:eastAsia="es-CO"/>
        </w:rPr>
        <w:t>como fundamento para la</w:t>
      </w:r>
      <w:r w:rsidRPr="00274507">
        <w:rPr>
          <w:sz w:val="28"/>
          <w:szCs w:val="28"/>
          <w:bdr w:val="none" w:sz="0" w:space="0" w:color="auto" w:frame="1"/>
          <w:lang w:eastAsia="es-CO"/>
        </w:rPr>
        <w:t xml:space="preserve"> propuesta en la construcción de l</w:t>
      </w:r>
      <w:r w:rsidR="00EA4EDC" w:rsidRPr="00274507">
        <w:rPr>
          <w:sz w:val="28"/>
          <w:szCs w:val="28"/>
          <w:bdr w:val="none" w:sz="0" w:space="0" w:color="auto" w:frame="1"/>
          <w:lang w:eastAsia="es-CO"/>
        </w:rPr>
        <w:t>os indicadores en servicios</w:t>
      </w:r>
      <w:r w:rsidR="00BA02EE" w:rsidRPr="00274507">
        <w:rPr>
          <w:sz w:val="28"/>
          <w:szCs w:val="28"/>
          <w:bdr w:val="none" w:sz="0" w:space="0" w:color="auto" w:frame="1"/>
          <w:lang w:eastAsia="es-CO"/>
        </w:rPr>
        <w:t xml:space="preserve"> de salud</w:t>
      </w:r>
      <w:r w:rsidR="00BA02EE" w:rsidRPr="00274507">
        <w:rPr>
          <w:rStyle w:val="Refdenotaalpie"/>
          <w:sz w:val="28"/>
          <w:szCs w:val="28"/>
        </w:rPr>
        <w:footnoteReference w:id="197"/>
      </w:r>
      <w:r w:rsidR="00BA02EE" w:rsidRPr="00274507">
        <w:rPr>
          <w:sz w:val="28"/>
          <w:szCs w:val="28"/>
        </w:rPr>
        <w:t>,</w:t>
      </w:r>
      <w:r w:rsidRPr="00274507">
        <w:rPr>
          <w:sz w:val="28"/>
          <w:szCs w:val="28"/>
          <w:bdr w:val="none" w:sz="0" w:space="0" w:color="auto" w:frame="1"/>
          <w:lang w:eastAsia="es-CO"/>
        </w:rPr>
        <w:t xml:space="preserve">, empero, </w:t>
      </w:r>
      <w:r w:rsidR="00EA4EDC" w:rsidRPr="00274507">
        <w:rPr>
          <w:sz w:val="28"/>
          <w:szCs w:val="28"/>
          <w:bdr w:val="none" w:sz="0" w:space="0" w:color="auto" w:frame="1"/>
          <w:lang w:eastAsia="es-CO"/>
        </w:rPr>
        <w:t xml:space="preserve">a la fecha no ha sido tenido en cuenta para la elaboración de los mismos, lo que resulta cuestionable, debido </w:t>
      </w:r>
      <w:r w:rsidRPr="00274507">
        <w:rPr>
          <w:sz w:val="28"/>
          <w:szCs w:val="28"/>
          <w:bdr w:val="none" w:sz="0" w:space="0" w:color="auto" w:frame="1"/>
          <w:lang w:eastAsia="es-CO"/>
        </w:rPr>
        <w:t xml:space="preserve">a que tal como se ha reiterado constituyen </w:t>
      </w:r>
      <w:r w:rsidR="00EA4EDC" w:rsidRPr="00274507">
        <w:rPr>
          <w:sz w:val="28"/>
          <w:szCs w:val="28"/>
          <w:bdr w:val="none" w:sz="0" w:space="0" w:color="auto" w:frame="1"/>
          <w:lang w:eastAsia="es-CO"/>
        </w:rPr>
        <w:t>un fundamento esencial para evaluar las gestiones realizadas por los agentes e implementar herramientas que corroboren el efectivo funcionamiento del sistema.</w:t>
      </w:r>
    </w:p>
    <w:p w:rsidR="00E11338" w:rsidRPr="00274507" w:rsidRDefault="00EA4EDC" w:rsidP="00274507">
      <w:pPr>
        <w:shd w:val="clear" w:color="auto" w:fill="FFFFFF"/>
        <w:jc w:val="both"/>
        <w:textAlignment w:val="baseline"/>
        <w:rPr>
          <w:sz w:val="28"/>
          <w:szCs w:val="28"/>
          <w:bdr w:val="none" w:sz="0" w:space="0" w:color="auto" w:frame="1"/>
          <w:lang w:eastAsia="es-CO"/>
        </w:rPr>
      </w:pPr>
      <w:r w:rsidRPr="00274507">
        <w:rPr>
          <w:sz w:val="28"/>
          <w:szCs w:val="28"/>
          <w:bdr w:val="none" w:sz="0" w:space="0" w:color="auto" w:frame="1"/>
          <w:lang w:eastAsia="es-CO"/>
        </w:rPr>
        <w:t xml:space="preserve"> </w:t>
      </w:r>
    </w:p>
    <w:p w:rsidR="00930B7B" w:rsidRPr="00274507" w:rsidRDefault="00EA4EDC" w:rsidP="00274507">
      <w:pPr>
        <w:widowControl w:val="0"/>
        <w:tabs>
          <w:tab w:val="left" w:pos="426"/>
        </w:tabs>
        <w:autoSpaceDE w:val="0"/>
        <w:autoSpaceDN w:val="0"/>
        <w:adjustRightInd w:val="0"/>
        <w:jc w:val="both"/>
        <w:rPr>
          <w:sz w:val="28"/>
          <w:szCs w:val="28"/>
          <w:bdr w:val="none" w:sz="0" w:space="0" w:color="auto" w:frame="1"/>
          <w:lang w:val="es-ES" w:eastAsia="es-CO"/>
        </w:rPr>
      </w:pPr>
      <w:r w:rsidRPr="00274507">
        <w:rPr>
          <w:sz w:val="28"/>
          <w:szCs w:val="28"/>
        </w:rPr>
        <w:t xml:space="preserve">Aunado a lo anterior, el </w:t>
      </w:r>
      <w:r w:rsidR="00B54095" w:rsidRPr="00274507">
        <w:rPr>
          <w:sz w:val="28"/>
          <w:szCs w:val="28"/>
        </w:rPr>
        <w:t>M</w:t>
      </w:r>
      <w:r w:rsidRPr="00274507">
        <w:rPr>
          <w:sz w:val="28"/>
          <w:szCs w:val="28"/>
        </w:rPr>
        <w:t xml:space="preserve">inisterio </w:t>
      </w:r>
      <w:r w:rsidR="00B54095" w:rsidRPr="00274507">
        <w:rPr>
          <w:sz w:val="28"/>
          <w:szCs w:val="28"/>
        </w:rPr>
        <w:t xml:space="preserve">a mediados del año 2012 informó a </w:t>
      </w:r>
      <w:r w:rsidR="00930B7B" w:rsidRPr="00274507">
        <w:rPr>
          <w:sz w:val="28"/>
          <w:szCs w:val="28"/>
        </w:rPr>
        <w:t>pesar de haber presentado un informe en cumplimiento de la orden trigésima</w:t>
      </w:r>
      <w:r w:rsidR="00B54095" w:rsidRPr="00274507">
        <w:rPr>
          <w:sz w:val="28"/>
          <w:szCs w:val="28"/>
        </w:rPr>
        <w:t xml:space="preserve"> en esa anualidad</w:t>
      </w:r>
      <w:r w:rsidR="00930B7B" w:rsidRPr="00274507">
        <w:rPr>
          <w:sz w:val="28"/>
          <w:szCs w:val="28"/>
        </w:rPr>
        <w:t>,</w:t>
      </w:r>
      <w:r w:rsidR="00FF7978" w:rsidRPr="00274507">
        <w:rPr>
          <w:sz w:val="28"/>
          <w:szCs w:val="28"/>
        </w:rPr>
        <w:t xml:space="preserve"> que</w:t>
      </w:r>
      <w:r w:rsidR="00930B7B" w:rsidRPr="00274507">
        <w:rPr>
          <w:sz w:val="28"/>
          <w:szCs w:val="28"/>
        </w:rPr>
        <w:t xml:space="preserve"> el mismo no contenía la totalidad de </w:t>
      </w:r>
      <w:r w:rsidR="00FF7978" w:rsidRPr="00274507">
        <w:rPr>
          <w:sz w:val="28"/>
          <w:szCs w:val="28"/>
        </w:rPr>
        <w:t>indicadores GED porque consideró</w:t>
      </w:r>
      <w:r w:rsidR="00930B7B" w:rsidRPr="00274507">
        <w:rPr>
          <w:sz w:val="28"/>
          <w:szCs w:val="28"/>
        </w:rPr>
        <w:t xml:space="preserve"> que no era el objetivo principal, no obstante, advierte que serán incluidos en los informes futuros. </w:t>
      </w:r>
    </w:p>
    <w:p w:rsidR="00B54095" w:rsidRPr="00274507" w:rsidRDefault="00B54095" w:rsidP="00274507">
      <w:pPr>
        <w:shd w:val="clear" w:color="auto" w:fill="FFFFFF"/>
        <w:jc w:val="both"/>
        <w:textAlignment w:val="baseline"/>
        <w:rPr>
          <w:sz w:val="28"/>
          <w:szCs w:val="28"/>
          <w:bdr w:val="none" w:sz="0" w:space="0" w:color="auto" w:frame="1"/>
          <w:lang w:eastAsia="es-CO"/>
        </w:rPr>
      </w:pPr>
    </w:p>
    <w:p w:rsidR="00B54095" w:rsidRPr="00274507" w:rsidRDefault="00FF7978" w:rsidP="00274507">
      <w:pPr>
        <w:shd w:val="clear" w:color="auto" w:fill="FFFFFF"/>
        <w:jc w:val="both"/>
        <w:textAlignment w:val="baseline"/>
        <w:rPr>
          <w:sz w:val="28"/>
          <w:szCs w:val="28"/>
          <w:bdr w:val="none" w:sz="0" w:space="0" w:color="auto" w:frame="1"/>
          <w:lang w:eastAsia="es-CO"/>
        </w:rPr>
      </w:pPr>
      <w:r w:rsidRPr="00274507">
        <w:rPr>
          <w:sz w:val="28"/>
          <w:szCs w:val="28"/>
          <w:bdr w:val="none" w:sz="0" w:space="0" w:color="auto" w:frame="1"/>
          <w:lang w:eastAsia="es-CO"/>
        </w:rPr>
        <w:t xml:space="preserve">Como consecuencia, </w:t>
      </w:r>
      <w:r w:rsidR="00B54095" w:rsidRPr="00274507">
        <w:rPr>
          <w:sz w:val="28"/>
          <w:szCs w:val="28"/>
          <w:bdr w:val="none" w:sz="0" w:space="0" w:color="auto" w:frame="1"/>
          <w:lang w:eastAsia="es-CO"/>
        </w:rPr>
        <w:t xml:space="preserve">al indagar en la página </w:t>
      </w:r>
      <w:r w:rsidR="00B54095" w:rsidRPr="00274507">
        <w:rPr>
          <w:i/>
          <w:sz w:val="28"/>
          <w:szCs w:val="28"/>
          <w:bdr w:val="none" w:sz="0" w:space="0" w:color="auto" w:frame="1"/>
          <w:lang w:eastAsia="es-CO"/>
        </w:rPr>
        <w:t xml:space="preserve">Web </w:t>
      </w:r>
      <w:r w:rsidR="00B54095" w:rsidRPr="00274507">
        <w:rPr>
          <w:sz w:val="28"/>
          <w:szCs w:val="28"/>
          <w:bdr w:val="none" w:sz="0" w:space="0" w:color="auto" w:frame="1"/>
          <w:lang w:eastAsia="es-CO"/>
        </w:rPr>
        <w:t>del Ministerio</w:t>
      </w:r>
      <w:r w:rsidR="00B54095" w:rsidRPr="00274507">
        <w:rPr>
          <w:rStyle w:val="Refdenotaalpie"/>
          <w:sz w:val="28"/>
          <w:szCs w:val="28"/>
          <w:bdr w:val="none" w:sz="0" w:space="0" w:color="auto" w:frame="1"/>
          <w:lang w:eastAsia="es-CO"/>
        </w:rPr>
        <w:footnoteReference w:id="198"/>
      </w:r>
      <w:r w:rsidR="00B54095" w:rsidRPr="00274507">
        <w:rPr>
          <w:sz w:val="28"/>
          <w:szCs w:val="28"/>
          <w:bdr w:val="none" w:sz="0" w:space="0" w:color="auto" w:frame="1"/>
          <w:lang w:eastAsia="es-CO"/>
        </w:rPr>
        <w:t xml:space="preserve">, se observa lo siguiente: </w:t>
      </w:r>
    </w:p>
    <w:p w:rsidR="00B54095" w:rsidRPr="00274507" w:rsidRDefault="00B54095" w:rsidP="00274507">
      <w:pPr>
        <w:jc w:val="both"/>
        <w:rPr>
          <w:sz w:val="28"/>
          <w:szCs w:val="28"/>
        </w:rPr>
        <w:sectPr w:rsidR="00B54095" w:rsidRPr="00274507" w:rsidSect="003F68E0">
          <w:headerReference w:type="even" r:id="rId10"/>
          <w:headerReference w:type="default" r:id="rId11"/>
          <w:footerReference w:type="even" r:id="rId12"/>
          <w:footerReference w:type="default" r:id="rId13"/>
          <w:pgSz w:w="12242" w:h="18722" w:code="14"/>
          <w:pgMar w:top="1701" w:right="1418" w:bottom="1134" w:left="1701" w:header="709" w:footer="709" w:gutter="0"/>
          <w:cols w:space="708"/>
          <w:titlePg/>
          <w:docGrid w:linePitch="360"/>
        </w:sectPr>
      </w:pPr>
    </w:p>
    <w:p w:rsidR="00B54095" w:rsidRPr="00274507" w:rsidRDefault="00FC49D9" w:rsidP="00274507">
      <w:pPr>
        <w:jc w:val="center"/>
        <w:rPr>
          <w:sz w:val="28"/>
          <w:szCs w:val="28"/>
          <w:lang w:val="es-ES"/>
        </w:rPr>
      </w:pPr>
      <w:r w:rsidRPr="00FC49D9">
        <w:rPr>
          <w:noProof/>
          <w:sz w:val="28"/>
          <w:szCs w:val="28"/>
          <w:lang w:val="es-ES"/>
        </w:rPr>
        <w:drawing>
          <wp:inline distT="0" distB="0" distL="0" distR="0">
            <wp:extent cx="1943100" cy="1209675"/>
            <wp:effectExtent l="0" t="0" r="0" b="0"/>
            <wp:docPr id="3" name="Imagen 6" descr="https://www.minsalud.gov.co/estadisticas/PublishingImages/indic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www.minsalud.gov.co/estadisticas/PublishingImages/indicado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209675"/>
                    </a:xfrm>
                    <a:prstGeom prst="rect">
                      <a:avLst/>
                    </a:prstGeom>
                    <a:noFill/>
                    <a:ln>
                      <a:noFill/>
                    </a:ln>
                  </pic:spPr>
                </pic:pic>
              </a:graphicData>
            </a:graphic>
          </wp:inline>
        </w:drawing>
      </w:r>
    </w:p>
    <w:p w:rsidR="00B54095" w:rsidRPr="00274507" w:rsidRDefault="00B54095" w:rsidP="00274507">
      <w:pPr>
        <w:jc w:val="both"/>
        <w:rPr>
          <w:color w:val="000000" w:themeColor="text1"/>
          <w:sz w:val="28"/>
          <w:szCs w:val="28"/>
          <w:lang w:val="es-ES"/>
        </w:rPr>
        <w:sectPr w:rsidR="00B54095" w:rsidRPr="00274507" w:rsidSect="009B4194">
          <w:type w:val="continuous"/>
          <w:pgSz w:w="12242" w:h="18722" w:code="14"/>
          <w:pgMar w:top="1701" w:right="1418" w:bottom="1134" w:left="1701" w:header="709" w:footer="709" w:gutter="0"/>
          <w:cols w:space="708"/>
          <w:titlePg/>
          <w:docGrid w:linePitch="360"/>
        </w:sectPr>
      </w:pPr>
      <w:r w:rsidRPr="00274507">
        <w:rPr>
          <w:color w:val="000000" w:themeColor="text1"/>
          <w:sz w:val="28"/>
          <w:szCs w:val="28"/>
          <w:lang w:val="es-ES"/>
        </w:rPr>
        <w:t>“…</w:t>
      </w:r>
      <w:r w:rsidRPr="00274507">
        <w:rPr>
          <w:i/>
          <w:color w:val="000000" w:themeColor="text1"/>
          <w:sz w:val="28"/>
          <w:szCs w:val="28"/>
          <w:lang w:val="es-ES"/>
        </w:rPr>
        <w:t>Como primer paso en la construcción del Sistema de Evaluación y Calificación de Actores, el Ministerio de Salud pone a disposición de los ciudadanos los indicadores disponibles por Entidad Promotora de Salud - EPS, Entidades Territorial e Instituciones Prestadoras de Servicios - IPS (en construcción). Con la publicación de estos indicadores esperamos contribuir a que los usuarios cuenten con información fácil de entender, veraz y oportuna</w:t>
      </w:r>
      <w:r w:rsidRPr="00274507">
        <w:rPr>
          <w:color w:val="000000" w:themeColor="text1"/>
          <w:sz w:val="28"/>
          <w:szCs w:val="28"/>
          <w:lang w:val="es-ES"/>
        </w:rPr>
        <w:t>”. </w:t>
      </w:r>
    </w:p>
    <w:p w:rsidR="00930B7B" w:rsidRPr="00274507" w:rsidRDefault="00930B7B" w:rsidP="00274507">
      <w:pPr>
        <w:shd w:val="clear" w:color="auto" w:fill="FFFFFF"/>
        <w:jc w:val="both"/>
        <w:textAlignment w:val="baseline"/>
        <w:rPr>
          <w:sz w:val="28"/>
          <w:szCs w:val="28"/>
          <w:bdr w:val="none" w:sz="0" w:space="0" w:color="auto" w:frame="1"/>
          <w:lang w:val="es-ES" w:eastAsia="es-CO"/>
        </w:rPr>
      </w:pPr>
    </w:p>
    <w:p w:rsidR="00970B30" w:rsidRPr="00274507" w:rsidRDefault="00970B30" w:rsidP="00274507">
      <w:pPr>
        <w:shd w:val="clear" w:color="auto" w:fill="FFFFFF"/>
        <w:jc w:val="both"/>
        <w:textAlignment w:val="baseline"/>
        <w:rPr>
          <w:sz w:val="28"/>
          <w:szCs w:val="28"/>
          <w:bdr w:val="none" w:sz="0" w:space="0" w:color="auto" w:frame="1"/>
          <w:lang w:val="es-ES" w:eastAsia="es-CO"/>
        </w:rPr>
      </w:pPr>
      <w:r w:rsidRPr="00274507">
        <w:rPr>
          <w:sz w:val="28"/>
          <w:szCs w:val="28"/>
          <w:bdr w:val="none" w:sz="0" w:space="0" w:color="auto" w:frame="1"/>
          <w:lang w:val="es-ES" w:eastAsia="es-CO"/>
        </w:rPr>
        <w:t xml:space="preserve">De lo anterior, </w:t>
      </w:r>
      <w:r w:rsidR="00FF7978" w:rsidRPr="00274507">
        <w:rPr>
          <w:sz w:val="28"/>
          <w:szCs w:val="28"/>
          <w:bdr w:val="none" w:sz="0" w:space="0" w:color="auto" w:frame="1"/>
          <w:lang w:val="es-ES" w:eastAsia="es-CO"/>
        </w:rPr>
        <w:t xml:space="preserve">esta Sala de Seguimiento </w:t>
      </w:r>
      <w:r w:rsidRPr="00274507">
        <w:rPr>
          <w:sz w:val="28"/>
          <w:szCs w:val="28"/>
          <w:bdr w:val="none" w:sz="0" w:space="0" w:color="auto" w:frame="1"/>
          <w:lang w:val="es-ES" w:eastAsia="es-CO"/>
        </w:rPr>
        <w:t>infiere que el Ministerio</w:t>
      </w:r>
      <w:r w:rsidR="00D405BD" w:rsidRPr="00274507">
        <w:rPr>
          <w:sz w:val="28"/>
          <w:szCs w:val="28"/>
          <w:bdr w:val="none" w:sz="0" w:space="0" w:color="auto" w:frame="1"/>
          <w:lang w:val="es-ES" w:eastAsia="es-CO"/>
        </w:rPr>
        <w:t xml:space="preserve"> de Salud </w:t>
      </w:r>
      <w:r w:rsidR="00B54095" w:rsidRPr="00274507">
        <w:rPr>
          <w:sz w:val="28"/>
          <w:szCs w:val="28"/>
          <w:bdr w:val="none" w:sz="0" w:space="0" w:color="auto" w:frame="1"/>
          <w:lang w:val="es-ES" w:eastAsia="es-CO"/>
        </w:rPr>
        <w:t>a la fecha</w:t>
      </w:r>
      <w:r w:rsidRPr="00274507">
        <w:rPr>
          <w:sz w:val="28"/>
          <w:szCs w:val="28"/>
          <w:bdr w:val="none" w:sz="0" w:space="0" w:color="auto" w:frame="1"/>
          <w:lang w:val="es-ES" w:eastAsia="es-CO"/>
        </w:rPr>
        <w:t xml:space="preserve"> n</w:t>
      </w:r>
      <w:r w:rsidR="00B54095" w:rsidRPr="00274507">
        <w:rPr>
          <w:sz w:val="28"/>
          <w:szCs w:val="28"/>
          <w:bdr w:val="none" w:sz="0" w:space="0" w:color="auto" w:frame="1"/>
          <w:lang w:val="es-ES" w:eastAsia="es-CO"/>
        </w:rPr>
        <w:t>o ha construido</w:t>
      </w:r>
      <w:r w:rsidRPr="00274507">
        <w:rPr>
          <w:sz w:val="28"/>
          <w:szCs w:val="28"/>
          <w:bdr w:val="none" w:sz="0" w:space="0" w:color="auto" w:frame="1"/>
          <w:lang w:val="es-ES" w:eastAsia="es-CO"/>
        </w:rPr>
        <w:t xml:space="preserve"> los indicadores </w:t>
      </w:r>
      <w:r w:rsidR="0015214E" w:rsidRPr="00274507">
        <w:rPr>
          <w:sz w:val="28"/>
          <w:szCs w:val="28"/>
          <w:bdr w:val="none" w:sz="0" w:space="0" w:color="auto" w:frame="1"/>
          <w:lang w:val="es-ES" w:eastAsia="es-CO"/>
        </w:rPr>
        <w:t>GED</w:t>
      </w:r>
      <w:r w:rsidR="00B54095" w:rsidRPr="00274507">
        <w:rPr>
          <w:sz w:val="28"/>
          <w:szCs w:val="28"/>
          <w:bdr w:val="none" w:sz="0" w:space="0" w:color="auto" w:frame="1"/>
          <w:lang w:val="es-ES" w:eastAsia="es-CO"/>
        </w:rPr>
        <w:t xml:space="preserve"> y</w:t>
      </w:r>
      <w:r w:rsidR="00D405BD" w:rsidRPr="00274507">
        <w:rPr>
          <w:sz w:val="28"/>
          <w:szCs w:val="28"/>
          <w:bdr w:val="none" w:sz="0" w:space="0" w:color="auto" w:frame="1"/>
          <w:lang w:val="es-ES" w:eastAsia="es-CO"/>
        </w:rPr>
        <w:t xml:space="preserve"> que se encuentran </w:t>
      </w:r>
      <w:r w:rsidR="00B54095" w:rsidRPr="00274507">
        <w:rPr>
          <w:sz w:val="28"/>
          <w:szCs w:val="28"/>
          <w:bdr w:val="none" w:sz="0" w:space="0" w:color="auto" w:frame="1"/>
          <w:lang w:val="es-ES" w:eastAsia="es-CO"/>
        </w:rPr>
        <w:t xml:space="preserve"> en</w:t>
      </w:r>
      <w:r w:rsidR="00D405BD" w:rsidRPr="00274507">
        <w:rPr>
          <w:sz w:val="28"/>
          <w:szCs w:val="28"/>
          <w:bdr w:val="none" w:sz="0" w:space="0" w:color="auto" w:frame="1"/>
          <w:lang w:val="es-ES" w:eastAsia="es-CO"/>
        </w:rPr>
        <w:t xml:space="preserve"> su</w:t>
      </w:r>
      <w:r w:rsidR="00B54095" w:rsidRPr="00274507">
        <w:rPr>
          <w:sz w:val="28"/>
          <w:szCs w:val="28"/>
          <w:bdr w:val="none" w:sz="0" w:space="0" w:color="auto" w:frame="1"/>
          <w:lang w:val="es-ES" w:eastAsia="es-CO"/>
        </w:rPr>
        <w:t xml:space="preserve"> elaboración</w:t>
      </w:r>
      <w:r w:rsidRPr="00274507">
        <w:rPr>
          <w:sz w:val="28"/>
          <w:szCs w:val="28"/>
          <w:bdr w:val="none" w:sz="0" w:space="0" w:color="auto" w:frame="1"/>
          <w:lang w:val="es-ES" w:eastAsia="es-CO"/>
        </w:rPr>
        <w:t xml:space="preserve">, </w:t>
      </w:r>
      <w:r w:rsidR="00B54095" w:rsidRPr="00274507">
        <w:rPr>
          <w:sz w:val="28"/>
          <w:szCs w:val="28"/>
          <w:bdr w:val="none" w:sz="0" w:space="0" w:color="auto" w:frame="1"/>
          <w:lang w:val="es-ES" w:eastAsia="es-CO"/>
        </w:rPr>
        <w:t xml:space="preserve">por lo que </w:t>
      </w:r>
      <w:r w:rsidR="00D405BD" w:rsidRPr="00274507">
        <w:rPr>
          <w:sz w:val="28"/>
          <w:szCs w:val="28"/>
          <w:bdr w:val="none" w:sz="0" w:space="0" w:color="auto" w:frame="1"/>
          <w:lang w:val="es-ES" w:eastAsia="es-CO"/>
        </w:rPr>
        <w:t xml:space="preserve">se hace un llamado de atención al ente regulador, ya que los </w:t>
      </w:r>
      <w:r w:rsidR="0015214E" w:rsidRPr="00274507">
        <w:rPr>
          <w:sz w:val="28"/>
          <w:szCs w:val="28"/>
          <w:bdr w:val="none" w:sz="0" w:space="0" w:color="auto" w:frame="1"/>
          <w:lang w:val="es-ES" w:eastAsia="es-CO"/>
        </w:rPr>
        <w:t>mismos</w:t>
      </w:r>
      <w:r w:rsidR="00D405BD" w:rsidRPr="00274507">
        <w:rPr>
          <w:sz w:val="28"/>
          <w:szCs w:val="28"/>
          <w:bdr w:val="none" w:sz="0" w:space="0" w:color="auto" w:frame="1"/>
          <w:lang w:val="es-ES" w:eastAsia="es-CO"/>
        </w:rPr>
        <w:t>, debido a</w:t>
      </w:r>
      <w:r w:rsidRPr="00274507">
        <w:rPr>
          <w:sz w:val="28"/>
          <w:szCs w:val="28"/>
          <w:bdr w:val="none" w:sz="0" w:space="0" w:color="auto" w:frame="1"/>
          <w:lang w:val="es-ES" w:eastAsia="es-CO"/>
        </w:rPr>
        <w:t xml:space="preserve"> la trascendencia</w:t>
      </w:r>
      <w:r w:rsidR="0015214E" w:rsidRPr="00274507">
        <w:rPr>
          <w:sz w:val="28"/>
          <w:szCs w:val="28"/>
          <w:bdr w:val="none" w:sz="0" w:space="0" w:color="auto" w:frame="1"/>
          <w:lang w:val="es-ES" w:eastAsia="es-CO"/>
        </w:rPr>
        <w:t>, tal como lo ha establecido la Ley y la</w:t>
      </w:r>
      <w:r w:rsidRPr="00274507">
        <w:rPr>
          <w:sz w:val="28"/>
          <w:szCs w:val="28"/>
          <w:bdr w:val="none" w:sz="0" w:space="0" w:color="auto" w:frame="1"/>
          <w:lang w:val="es-ES" w:eastAsia="es-CO"/>
        </w:rPr>
        <w:t xml:space="preserve"> Jurisprudencia, deben ser la base para calificar la gestión de los actores a partir de los principios que rig</w:t>
      </w:r>
      <w:r w:rsidR="00D405BD" w:rsidRPr="00274507">
        <w:rPr>
          <w:sz w:val="28"/>
          <w:szCs w:val="28"/>
          <w:bdr w:val="none" w:sz="0" w:space="0" w:color="auto" w:frame="1"/>
          <w:lang w:val="es-ES" w:eastAsia="es-CO"/>
        </w:rPr>
        <w:t>en el buen funcionamiento del SGSSS</w:t>
      </w:r>
      <w:r w:rsidRPr="00274507">
        <w:rPr>
          <w:sz w:val="28"/>
          <w:szCs w:val="28"/>
          <w:bdr w:val="none" w:sz="0" w:space="0" w:color="auto" w:frame="1"/>
          <w:lang w:val="es-ES" w:eastAsia="es-CO"/>
        </w:rPr>
        <w:t xml:space="preserve">. </w:t>
      </w:r>
    </w:p>
    <w:p w:rsidR="00970B30" w:rsidRPr="00274507" w:rsidRDefault="00970B30" w:rsidP="00274507">
      <w:pPr>
        <w:shd w:val="clear" w:color="auto" w:fill="FFFFFF"/>
        <w:jc w:val="both"/>
        <w:textAlignment w:val="baseline"/>
        <w:rPr>
          <w:sz w:val="28"/>
          <w:szCs w:val="28"/>
          <w:bdr w:val="none" w:sz="0" w:space="0" w:color="auto" w:frame="1"/>
          <w:lang w:val="es-ES" w:eastAsia="es-CO"/>
        </w:rPr>
      </w:pPr>
    </w:p>
    <w:p w:rsidR="00200283" w:rsidRPr="00274507" w:rsidRDefault="00970B30" w:rsidP="00274507">
      <w:pPr>
        <w:shd w:val="clear" w:color="auto" w:fill="FFFFFF"/>
        <w:jc w:val="both"/>
        <w:textAlignment w:val="baseline"/>
        <w:rPr>
          <w:sz w:val="28"/>
          <w:szCs w:val="28"/>
          <w:bdr w:val="none" w:sz="0" w:space="0" w:color="auto" w:frame="1"/>
          <w:lang w:val="es-ES" w:eastAsia="es-CO"/>
        </w:rPr>
      </w:pPr>
      <w:r w:rsidRPr="00274507">
        <w:rPr>
          <w:sz w:val="28"/>
          <w:szCs w:val="28"/>
          <w:bdr w:val="none" w:sz="0" w:space="0" w:color="auto" w:frame="1"/>
          <w:lang w:val="es-ES" w:eastAsia="es-CO"/>
        </w:rPr>
        <w:t xml:space="preserve">Aunado a lo anterior, se reitera que para la construcción de estos indicadores tal como se ha evidenciado en los diferentes procesos adoptados por otras </w:t>
      </w:r>
      <w:r w:rsidR="00200283" w:rsidRPr="00274507">
        <w:rPr>
          <w:sz w:val="28"/>
          <w:szCs w:val="28"/>
          <w:bdr w:val="none" w:sz="0" w:space="0" w:color="auto" w:frame="1"/>
          <w:lang w:val="es-ES" w:eastAsia="es-CO"/>
        </w:rPr>
        <w:t>organizaciones internacionales</w:t>
      </w:r>
      <w:r w:rsidRPr="00274507">
        <w:rPr>
          <w:sz w:val="28"/>
          <w:szCs w:val="28"/>
          <w:bdr w:val="none" w:sz="0" w:space="0" w:color="auto" w:frame="1"/>
          <w:lang w:val="es-ES" w:eastAsia="es-CO"/>
        </w:rPr>
        <w:t>, se requiere de un estudio acucioso para evidenciar los principales problemas de salud que afronta la sociedad por sectores territoriales, formular las propuestas</w:t>
      </w:r>
      <w:r w:rsidR="00200283" w:rsidRPr="00274507">
        <w:rPr>
          <w:sz w:val="28"/>
          <w:szCs w:val="28"/>
          <w:bdr w:val="none" w:sz="0" w:space="0" w:color="auto" w:frame="1"/>
          <w:lang w:val="es-ES" w:eastAsia="es-CO"/>
        </w:rPr>
        <w:t xml:space="preserve"> pertinentes. </w:t>
      </w:r>
      <w:r w:rsidRPr="00274507">
        <w:rPr>
          <w:sz w:val="28"/>
          <w:szCs w:val="28"/>
          <w:bdr w:val="none" w:sz="0" w:space="0" w:color="auto" w:frame="1"/>
          <w:lang w:val="es-ES" w:eastAsia="es-CO"/>
        </w:rPr>
        <w:t xml:space="preserve"> </w:t>
      </w:r>
    </w:p>
    <w:p w:rsidR="006D48A9" w:rsidRPr="00274507" w:rsidRDefault="006D48A9" w:rsidP="00274507">
      <w:pPr>
        <w:shd w:val="clear" w:color="auto" w:fill="FFFFFF"/>
        <w:jc w:val="both"/>
        <w:textAlignment w:val="baseline"/>
        <w:rPr>
          <w:sz w:val="28"/>
          <w:szCs w:val="28"/>
          <w:bdr w:val="none" w:sz="0" w:space="0" w:color="auto" w:frame="1"/>
          <w:lang w:val="es-ES" w:eastAsia="es-CO"/>
        </w:rPr>
      </w:pPr>
    </w:p>
    <w:p w:rsidR="00970B30" w:rsidRPr="00274507" w:rsidRDefault="00200283" w:rsidP="00274507">
      <w:pPr>
        <w:shd w:val="clear" w:color="auto" w:fill="FFFFFF"/>
        <w:jc w:val="both"/>
        <w:textAlignment w:val="baseline"/>
        <w:rPr>
          <w:sz w:val="28"/>
          <w:szCs w:val="28"/>
          <w:bdr w:val="none" w:sz="0" w:space="0" w:color="auto" w:frame="1"/>
          <w:lang w:val="es-ES" w:eastAsia="es-CO"/>
        </w:rPr>
      </w:pPr>
      <w:r w:rsidRPr="00274507">
        <w:rPr>
          <w:sz w:val="28"/>
          <w:szCs w:val="28"/>
          <w:bdr w:val="none" w:sz="0" w:space="0" w:color="auto" w:frame="1"/>
          <w:lang w:val="es-ES" w:eastAsia="es-CO"/>
        </w:rPr>
        <w:t>E</w:t>
      </w:r>
      <w:r w:rsidR="00970B30" w:rsidRPr="00274507">
        <w:rPr>
          <w:sz w:val="28"/>
          <w:szCs w:val="28"/>
          <w:bdr w:val="none" w:sz="0" w:space="0" w:color="auto" w:frame="1"/>
          <w:lang w:val="es-ES" w:eastAsia="es-CO"/>
        </w:rPr>
        <w:t xml:space="preserve">l </w:t>
      </w:r>
      <w:r w:rsidR="00970B30" w:rsidRPr="00274507">
        <w:rPr>
          <w:sz w:val="28"/>
          <w:szCs w:val="28"/>
        </w:rPr>
        <w:t>Comité Internacional de Derechos Sociales y Culturales</w:t>
      </w:r>
      <w:r w:rsidR="007B3B22" w:rsidRPr="00274507">
        <w:rPr>
          <w:rStyle w:val="Refdenotaalpie"/>
          <w:sz w:val="28"/>
          <w:szCs w:val="28"/>
        </w:rPr>
        <w:footnoteReference w:id="199"/>
      </w:r>
      <w:r w:rsidR="00970B30" w:rsidRPr="00274507">
        <w:rPr>
          <w:sz w:val="28"/>
          <w:szCs w:val="28"/>
          <w:bdr w:val="none" w:sz="0" w:space="0" w:color="auto" w:frame="1"/>
          <w:shd w:val="clear" w:color="auto" w:fill="FFFFFF"/>
        </w:rPr>
        <w:t xml:space="preserve">, </w:t>
      </w:r>
      <w:r w:rsidRPr="00274507">
        <w:rPr>
          <w:sz w:val="28"/>
          <w:szCs w:val="28"/>
          <w:bdr w:val="none" w:sz="0" w:space="0" w:color="auto" w:frame="1"/>
          <w:shd w:val="clear" w:color="auto" w:fill="FFFFFF"/>
        </w:rPr>
        <w:t xml:space="preserve">ha previsto que </w:t>
      </w:r>
      <w:r w:rsidR="00970B30" w:rsidRPr="00274507">
        <w:rPr>
          <w:sz w:val="28"/>
          <w:szCs w:val="28"/>
          <w:bdr w:val="none" w:sz="0" w:space="0" w:color="auto" w:frame="1"/>
          <w:shd w:val="clear" w:color="auto" w:fill="FFFFFF"/>
        </w:rPr>
        <w:t>la elaboración de dichos indicadores implican una relación di</w:t>
      </w:r>
      <w:r w:rsidR="000E5CA4" w:rsidRPr="00274507">
        <w:rPr>
          <w:sz w:val="28"/>
          <w:szCs w:val="28"/>
          <w:bdr w:val="none" w:sz="0" w:space="0" w:color="auto" w:frame="1"/>
          <w:shd w:val="clear" w:color="auto" w:fill="FFFFFF"/>
        </w:rPr>
        <w:t>recta con las obligaciones del E</w:t>
      </w:r>
      <w:r w:rsidR="00970B30" w:rsidRPr="00274507">
        <w:rPr>
          <w:sz w:val="28"/>
          <w:szCs w:val="28"/>
          <w:bdr w:val="none" w:sz="0" w:space="0" w:color="auto" w:frame="1"/>
          <w:shd w:val="clear" w:color="auto" w:fill="FFFFFF"/>
        </w:rPr>
        <w:t xml:space="preserve">stado, los fines principales, la garantía de los derechos fundamentales en conjunto, los principios constitucionales y </w:t>
      </w:r>
      <w:r w:rsidRPr="00274507">
        <w:rPr>
          <w:sz w:val="28"/>
          <w:szCs w:val="28"/>
          <w:bdr w:val="none" w:sz="0" w:space="0" w:color="auto" w:frame="1"/>
          <w:shd w:val="clear" w:color="auto" w:fill="FFFFFF"/>
        </w:rPr>
        <w:t xml:space="preserve">legales del derecho a la salud. </w:t>
      </w:r>
      <w:r w:rsidR="00590930" w:rsidRPr="00274507">
        <w:rPr>
          <w:sz w:val="28"/>
          <w:szCs w:val="28"/>
          <w:bdr w:val="none" w:sz="0" w:space="0" w:color="auto" w:frame="1"/>
          <w:lang w:val="es-ES" w:eastAsia="es-CO"/>
        </w:rPr>
        <w:t>Además, l</w:t>
      </w:r>
      <w:r w:rsidR="00970B30" w:rsidRPr="00274507">
        <w:rPr>
          <w:sz w:val="28"/>
          <w:szCs w:val="28"/>
        </w:rPr>
        <w:t xml:space="preserve">os indicadores </w:t>
      </w:r>
      <w:r w:rsidR="00590930" w:rsidRPr="00274507">
        <w:rPr>
          <w:sz w:val="28"/>
          <w:szCs w:val="28"/>
        </w:rPr>
        <w:t xml:space="preserve">son un </w:t>
      </w:r>
      <w:r w:rsidR="00970B30" w:rsidRPr="00274507">
        <w:rPr>
          <w:sz w:val="28"/>
          <w:szCs w:val="28"/>
        </w:rPr>
        <w:t>punto de</w:t>
      </w:r>
      <w:r w:rsidR="00590930" w:rsidRPr="00274507">
        <w:rPr>
          <w:sz w:val="28"/>
          <w:szCs w:val="28"/>
        </w:rPr>
        <w:t xml:space="preserve"> referencia en materia de salud, ya que a través de los mismos, se debe efectuar la revisión </w:t>
      </w:r>
      <w:r w:rsidR="00970B30" w:rsidRPr="00274507">
        <w:rPr>
          <w:sz w:val="28"/>
          <w:szCs w:val="28"/>
        </w:rPr>
        <w:t xml:space="preserve">periódica de las leyes </w:t>
      </w:r>
      <w:r w:rsidR="00D70BB8" w:rsidRPr="00274507">
        <w:rPr>
          <w:sz w:val="28"/>
          <w:szCs w:val="28"/>
        </w:rPr>
        <w:t xml:space="preserve">nacionales </w:t>
      </w:r>
      <w:r w:rsidR="00970B30" w:rsidRPr="00274507">
        <w:rPr>
          <w:sz w:val="28"/>
          <w:szCs w:val="28"/>
        </w:rPr>
        <w:t xml:space="preserve">y </w:t>
      </w:r>
      <w:r w:rsidR="00590930" w:rsidRPr="00274507">
        <w:rPr>
          <w:sz w:val="28"/>
          <w:szCs w:val="28"/>
        </w:rPr>
        <w:t>de</w:t>
      </w:r>
      <w:r w:rsidR="00D70BB8" w:rsidRPr="00274507">
        <w:rPr>
          <w:sz w:val="28"/>
          <w:szCs w:val="28"/>
        </w:rPr>
        <w:t xml:space="preserve"> las demás</w:t>
      </w:r>
      <w:r w:rsidR="00590930" w:rsidRPr="00274507">
        <w:rPr>
          <w:sz w:val="28"/>
          <w:szCs w:val="28"/>
        </w:rPr>
        <w:t xml:space="preserve"> </w:t>
      </w:r>
      <w:r w:rsidR="00970B30" w:rsidRPr="00274507">
        <w:rPr>
          <w:sz w:val="28"/>
          <w:szCs w:val="28"/>
        </w:rPr>
        <w:t>políticas de salud</w:t>
      </w:r>
      <w:r w:rsidR="00590930" w:rsidRPr="00274507">
        <w:rPr>
          <w:sz w:val="28"/>
          <w:szCs w:val="28"/>
        </w:rPr>
        <w:t>, con el único fin de supervisarlas,</w:t>
      </w:r>
      <w:r w:rsidR="00970B30" w:rsidRPr="00274507">
        <w:rPr>
          <w:sz w:val="28"/>
          <w:szCs w:val="28"/>
        </w:rPr>
        <w:t xml:space="preserve"> evaluarlas</w:t>
      </w:r>
      <w:r w:rsidR="00590930" w:rsidRPr="00274507">
        <w:rPr>
          <w:sz w:val="28"/>
          <w:szCs w:val="28"/>
        </w:rPr>
        <w:t xml:space="preserve"> y determinar su eficacia en el ámbito real</w:t>
      </w:r>
      <w:r w:rsidR="00970B30" w:rsidRPr="00274507">
        <w:rPr>
          <w:sz w:val="28"/>
          <w:szCs w:val="28"/>
        </w:rPr>
        <w:t xml:space="preserve">. </w:t>
      </w:r>
      <w:r w:rsidR="00D70BB8" w:rsidRPr="00274507">
        <w:rPr>
          <w:sz w:val="28"/>
          <w:szCs w:val="28"/>
          <w:bdr w:val="none" w:sz="0" w:space="0" w:color="auto" w:frame="1"/>
          <w:lang w:val="es-ES" w:eastAsia="es-CO"/>
        </w:rPr>
        <w:t>Aunado a lo anterior, el efecto evaluador es vinculante, de modo que las normas vigentes deben de adecuarse a las internacionales en el aspecto de derechos hu</w:t>
      </w:r>
      <w:r w:rsidRPr="00274507">
        <w:rPr>
          <w:sz w:val="28"/>
          <w:szCs w:val="28"/>
          <w:bdr w:val="none" w:sz="0" w:space="0" w:color="auto" w:frame="1"/>
          <w:lang w:val="es-ES" w:eastAsia="es-CO"/>
        </w:rPr>
        <w:t>manos y en especial de la salud</w:t>
      </w:r>
      <w:r w:rsidR="00D6454B" w:rsidRPr="00274507">
        <w:rPr>
          <w:sz w:val="28"/>
          <w:szCs w:val="28"/>
          <w:bdr w:val="none" w:sz="0" w:space="0" w:color="auto" w:frame="1"/>
          <w:lang w:val="es-ES" w:eastAsia="es-CO"/>
        </w:rPr>
        <w:t xml:space="preserve">. </w:t>
      </w:r>
    </w:p>
    <w:p w:rsidR="00442334" w:rsidRPr="00274507" w:rsidRDefault="00442334" w:rsidP="00274507">
      <w:pPr>
        <w:shd w:val="clear" w:color="auto" w:fill="FFFFFF"/>
        <w:jc w:val="both"/>
        <w:textAlignment w:val="baseline"/>
        <w:rPr>
          <w:sz w:val="28"/>
          <w:szCs w:val="28"/>
          <w:bdr w:val="none" w:sz="0" w:space="0" w:color="auto" w:frame="1"/>
          <w:lang w:val="es-ES" w:eastAsia="es-CO"/>
        </w:rPr>
      </w:pPr>
    </w:p>
    <w:p w:rsidR="00970B30" w:rsidRPr="00274507" w:rsidRDefault="00D6454B" w:rsidP="00274507">
      <w:pPr>
        <w:shd w:val="clear" w:color="auto" w:fill="FFFFFF"/>
        <w:jc w:val="both"/>
        <w:textAlignment w:val="baseline"/>
        <w:rPr>
          <w:sz w:val="28"/>
          <w:szCs w:val="28"/>
          <w:bdr w:val="none" w:sz="0" w:space="0" w:color="auto" w:frame="1"/>
          <w:lang w:val="es-ES" w:eastAsia="es-CO"/>
        </w:rPr>
      </w:pPr>
      <w:r w:rsidRPr="00274507">
        <w:rPr>
          <w:sz w:val="28"/>
          <w:szCs w:val="28"/>
          <w:bdr w:val="none" w:sz="0" w:space="0" w:color="auto" w:frame="1"/>
          <w:lang w:val="es-ES" w:eastAsia="es-CO"/>
        </w:rPr>
        <w:t xml:space="preserve">Bajo ese entendido, los indicadores </w:t>
      </w:r>
      <w:r w:rsidR="000D7B8F" w:rsidRPr="00274507">
        <w:rPr>
          <w:sz w:val="28"/>
          <w:szCs w:val="28"/>
          <w:bdr w:val="none" w:sz="0" w:space="0" w:color="auto" w:frame="1"/>
          <w:lang w:val="es-ES" w:eastAsia="es-CO"/>
        </w:rPr>
        <w:t xml:space="preserve">son </w:t>
      </w:r>
      <w:r w:rsidR="00200283" w:rsidRPr="00274507">
        <w:rPr>
          <w:sz w:val="28"/>
          <w:szCs w:val="28"/>
          <w:bdr w:val="none" w:sz="0" w:space="0" w:color="auto" w:frame="1"/>
          <w:lang w:val="es-ES" w:eastAsia="es-CO"/>
        </w:rPr>
        <w:t xml:space="preserve"> herramientas sobre</w:t>
      </w:r>
      <w:r w:rsidRPr="00274507">
        <w:rPr>
          <w:sz w:val="28"/>
          <w:szCs w:val="28"/>
          <w:bdr w:val="none" w:sz="0" w:space="0" w:color="auto" w:frame="1"/>
          <w:lang w:val="es-ES" w:eastAsia="es-CO"/>
        </w:rPr>
        <w:t xml:space="preserve"> las cuales</w:t>
      </w:r>
      <w:r w:rsidR="000D7B8F" w:rsidRPr="00274507">
        <w:rPr>
          <w:sz w:val="28"/>
          <w:szCs w:val="28"/>
          <w:bdr w:val="none" w:sz="0" w:space="0" w:color="auto" w:frame="1"/>
          <w:lang w:val="es-ES" w:eastAsia="es-CO"/>
        </w:rPr>
        <w:t xml:space="preserve"> también se debe contar con grupos especializados que analicen el impacto en cada territorio, disponiendo para ello de la elaboración de encuestas, obteniendo información de primera mano de los usuarios, para establecer patrones de desarrollo en la misma y alcanzar como lo han dispuesto varias autoridades internacionales “</w:t>
      </w:r>
      <w:r w:rsidR="00FD4898" w:rsidRPr="00274507">
        <w:rPr>
          <w:bCs/>
          <w:i/>
          <w:color w:val="000000"/>
          <w:sz w:val="28"/>
          <w:szCs w:val="28"/>
        </w:rPr>
        <w:t xml:space="preserve">el derecho al disfrute del </w:t>
      </w:r>
      <w:r w:rsidR="00C546E1" w:rsidRPr="00274507">
        <w:rPr>
          <w:bCs/>
          <w:i/>
          <w:color w:val="000000"/>
          <w:sz w:val="28"/>
          <w:szCs w:val="28"/>
        </w:rPr>
        <w:t>más alto nivel posible de salud</w:t>
      </w:r>
      <w:r w:rsidR="000D7B8F" w:rsidRPr="00274507">
        <w:rPr>
          <w:sz w:val="28"/>
          <w:szCs w:val="28"/>
          <w:bdr w:val="none" w:sz="0" w:space="0" w:color="auto" w:frame="1"/>
          <w:lang w:val="es-ES" w:eastAsia="es-CO"/>
        </w:rPr>
        <w:t>”</w:t>
      </w:r>
      <w:r w:rsidR="00FD4898" w:rsidRPr="00274507">
        <w:rPr>
          <w:rStyle w:val="Refdenotaalpie"/>
          <w:sz w:val="28"/>
          <w:szCs w:val="28"/>
          <w:bdr w:val="none" w:sz="0" w:space="0" w:color="auto" w:frame="1"/>
          <w:lang w:val="es-ES" w:eastAsia="es-CO"/>
        </w:rPr>
        <w:footnoteReference w:id="200"/>
      </w:r>
      <w:r w:rsidR="000D7B8F" w:rsidRPr="00274507">
        <w:rPr>
          <w:sz w:val="28"/>
          <w:szCs w:val="28"/>
          <w:bdr w:val="none" w:sz="0" w:space="0" w:color="auto" w:frame="1"/>
          <w:lang w:val="es-ES" w:eastAsia="es-CO"/>
        </w:rPr>
        <w:t>.</w:t>
      </w:r>
    </w:p>
    <w:p w:rsidR="00970B30" w:rsidRPr="00274507" w:rsidRDefault="00970B30" w:rsidP="00274507">
      <w:pPr>
        <w:jc w:val="both"/>
        <w:rPr>
          <w:b/>
          <w:sz w:val="28"/>
          <w:szCs w:val="28"/>
        </w:rPr>
      </w:pPr>
    </w:p>
    <w:p w:rsidR="00EA73EA" w:rsidRPr="00274507" w:rsidRDefault="00FD4898" w:rsidP="00274507">
      <w:pPr>
        <w:jc w:val="both"/>
        <w:rPr>
          <w:sz w:val="28"/>
          <w:szCs w:val="28"/>
        </w:rPr>
      </w:pPr>
      <w:r w:rsidRPr="00274507">
        <w:rPr>
          <w:sz w:val="28"/>
          <w:szCs w:val="28"/>
        </w:rPr>
        <w:t xml:space="preserve">En ese sentido se advierte que el análisis que se obtenga, serán considerados como avances o problemas </w:t>
      </w:r>
      <w:r w:rsidR="00200283" w:rsidRPr="00274507">
        <w:rPr>
          <w:sz w:val="28"/>
          <w:szCs w:val="28"/>
        </w:rPr>
        <w:t>que se reportan en la prestación del servicio</w:t>
      </w:r>
      <w:r w:rsidRPr="00274507">
        <w:rPr>
          <w:sz w:val="28"/>
          <w:szCs w:val="28"/>
        </w:rPr>
        <w:t>, tales como enfermedades crónicas,  epidemiológicas, respiratorias, gástricas, infecciosas, los virus que se propagan con mayor facilidad, problemas de desnutrición, mortalidad, natalidad, discapacidades</w:t>
      </w:r>
      <w:r w:rsidR="00EA73EA" w:rsidRPr="00274507">
        <w:rPr>
          <w:sz w:val="28"/>
          <w:szCs w:val="28"/>
        </w:rPr>
        <w:t>, salud reproductiva y demás</w:t>
      </w:r>
      <w:r w:rsidRPr="00274507">
        <w:rPr>
          <w:sz w:val="28"/>
          <w:szCs w:val="28"/>
        </w:rPr>
        <w:t>,</w:t>
      </w:r>
      <w:r w:rsidR="00EA73EA" w:rsidRPr="00274507">
        <w:rPr>
          <w:sz w:val="28"/>
          <w:szCs w:val="28"/>
        </w:rPr>
        <w:t xml:space="preserve"> según las condiciones sanitarias, territoriales, de habitación, demográficas, políticas, culturales, étnicas, entre otras, que permiten determinar la situación de cada uno, evidenciar los grupos más vulnerables, los que sufren algún tipo de discriminación ya sea por cualquier condición, para acceder a ellos de modo que puedan controlar cada una de las situaciones, superarlas y garantizar el goce del derecho a cargo del Estado.</w:t>
      </w:r>
    </w:p>
    <w:p w:rsidR="00EA73EA" w:rsidRPr="00274507" w:rsidRDefault="00EA73EA" w:rsidP="00274507">
      <w:pPr>
        <w:jc w:val="both"/>
        <w:rPr>
          <w:sz w:val="28"/>
          <w:szCs w:val="28"/>
        </w:rPr>
      </w:pPr>
    </w:p>
    <w:p w:rsidR="00970B30" w:rsidRPr="00274507" w:rsidRDefault="00EA73EA" w:rsidP="00274507">
      <w:pPr>
        <w:jc w:val="both"/>
        <w:rPr>
          <w:sz w:val="28"/>
          <w:szCs w:val="28"/>
        </w:rPr>
      </w:pPr>
      <w:r w:rsidRPr="00274507">
        <w:rPr>
          <w:sz w:val="28"/>
          <w:szCs w:val="28"/>
        </w:rPr>
        <w:t>Así mismo, ha de analizarse las condiciones desde la perspectiva del funcionamiento, acceso y prestación efectiva de los servicios a través del sistema, los estándares de promoción,</w:t>
      </w:r>
      <w:r w:rsidR="00970B30" w:rsidRPr="00274507">
        <w:rPr>
          <w:sz w:val="28"/>
          <w:szCs w:val="28"/>
        </w:rPr>
        <w:t xml:space="preserve"> prevención, </w:t>
      </w:r>
      <w:r w:rsidRPr="00274507">
        <w:rPr>
          <w:sz w:val="28"/>
          <w:szCs w:val="28"/>
        </w:rPr>
        <w:t xml:space="preserve">desarrollo, </w:t>
      </w:r>
      <w:r w:rsidR="00970B30" w:rsidRPr="00274507">
        <w:rPr>
          <w:sz w:val="28"/>
          <w:szCs w:val="28"/>
        </w:rPr>
        <w:t>curación, rehabilitación</w:t>
      </w:r>
      <w:r w:rsidRPr="00274507">
        <w:rPr>
          <w:sz w:val="28"/>
          <w:szCs w:val="28"/>
        </w:rPr>
        <w:t>, tratamiento</w:t>
      </w:r>
      <w:r w:rsidR="00970B30" w:rsidRPr="00274507">
        <w:rPr>
          <w:sz w:val="28"/>
          <w:szCs w:val="28"/>
        </w:rPr>
        <w:t xml:space="preserve"> y acompañamiento a las personas y comunidades que </w:t>
      </w:r>
      <w:r w:rsidRPr="00274507">
        <w:rPr>
          <w:sz w:val="28"/>
          <w:szCs w:val="28"/>
        </w:rPr>
        <w:t xml:space="preserve">registran con el mayor índice de </w:t>
      </w:r>
      <w:r w:rsidR="00970B30" w:rsidRPr="00274507">
        <w:rPr>
          <w:sz w:val="28"/>
          <w:szCs w:val="28"/>
        </w:rPr>
        <w:t xml:space="preserve">problemas de salud </w:t>
      </w:r>
      <w:r w:rsidRPr="00274507">
        <w:rPr>
          <w:sz w:val="28"/>
          <w:szCs w:val="28"/>
        </w:rPr>
        <w:t xml:space="preserve">así como la futura </w:t>
      </w:r>
      <w:r w:rsidR="00970B30" w:rsidRPr="00274507">
        <w:rPr>
          <w:sz w:val="28"/>
          <w:szCs w:val="28"/>
        </w:rPr>
        <w:t>orientación de los recursos socioeconómicos, el desarrollo y la aplicación de las políticas y los programas públicos</w:t>
      </w:r>
      <w:r w:rsidRPr="00274507">
        <w:rPr>
          <w:sz w:val="28"/>
          <w:szCs w:val="28"/>
        </w:rPr>
        <w:t xml:space="preserve"> que pueda ejercer el Estado a través de los actores del sistema y bajo el principio de integridad.</w:t>
      </w:r>
    </w:p>
    <w:p w:rsidR="006C3B17" w:rsidRPr="00274507" w:rsidRDefault="006C3B17" w:rsidP="00274507">
      <w:pPr>
        <w:jc w:val="both"/>
        <w:rPr>
          <w:b/>
          <w:sz w:val="28"/>
          <w:szCs w:val="28"/>
        </w:rPr>
      </w:pPr>
    </w:p>
    <w:p w:rsidR="000D7B8F" w:rsidRPr="00274507" w:rsidRDefault="000D7B8F" w:rsidP="00274507">
      <w:pPr>
        <w:shd w:val="clear" w:color="auto" w:fill="FFFFFF"/>
        <w:jc w:val="both"/>
        <w:textAlignment w:val="baseline"/>
        <w:rPr>
          <w:sz w:val="28"/>
          <w:szCs w:val="28"/>
          <w:bdr w:val="none" w:sz="0" w:space="0" w:color="auto" w:frame="1"/>
          <w:lang w:val="es-ES" w:eastAsia="es-CO"/>
        </w:rPr>
      </w:pPr>
      <w:r w:rsidRPr="00274507">
        <w:rPr>
          <w:sz w:val="28"/>
          <w:szCs w:val="28"/>
          <w:bdr w:val="none" w:sz="0" w:space="0" w:color="auto" w:frame="1"/>
          <w:lang w:val="es-ES" w:eastAsia="es-CO"/>
        </w:rPr>
        <w:t xml:space="preserve">Por lo anterior, </w:t>
      </w:r>
      <w:r w:rsidR="006F325E" w:rsidRPr="00274507">
        <w:rPr>
          <w:sz w:val="28"/>
          <w:szCs w:val="28"/>
          <w:bdr w:val="none" w:sz="0" w:space="0" w:color="auto" w:frame="1"/>
          <w:lang w:val="es-ES" w:eastAsia="es-CO"/>
        </w:rPr>
        <w:t xml:space="preserve">se </w:t>
      </w:r>
      <w:r w:rsidR="000E5CA4" w:rsidRPr="00274507">
        <w:rPr>
          <w:sz w:val="28"/>
          <w:szCs w:val="28"/>
          <w:bdr w:val="none" w:sz="0" w:space="0" w:color="auto" w:frame="1"/>
          <w:lang w:val="es-ES" w:eastAsia="es-CO"/>
        </w:rPr>
        <w:t xml:space="preserve">recomienda al Ministerio </w:t>
      </w:r>
      <w:r w:rsidR="006F325E" w:rsidRPr="00274507">
        <w:rPr>
          <w:sz w:val="28"/>
          <w:szCs w:val="28"/>
          <w:bdr w:val="none" w:sz="0" w:space="0" w:color="auto" w:frame="1"/>
          <w:lang w:val="es-ES" w:eastAsia="es-CO"/>
        </w:rPr>
        <w:t xml:space="preserve">de Salud </w:t>
      </w:r>
      <w:r w:rsidR="000E5CA4" w:rsidRPr="00274507">
        <w:rPr>
          <w:sz w:val="28"/>
          <w:szCs w:val="28"/>
          <w:bdr w:val="none" w:sz="0" w:space="0" w:color="auto" w:frame="1"/>
          <w:lang w:val="es-ES" w:eastAsia="es-CO"/>
        </w:rPr>
        <w:t xml:space="preserve">que para la construcción de los indicadores GED puede apoyarse en </w:t>
      </w:r>
      <w:r w:rsidRPr="00274507">
        <w:rPr>
          <w:sz w:val="28"/>
          <w:szCs w:val="28"/>
          <w:bdr w:val="none" w:sz="0" w:space="0" w:color="auto" w:frame="1"/>
          <w:lang w:val="es-ES_tradnl"/>
        </w:rPr>
        <w:t>los organismos Internacionales</w:t>
      </w:r>
      <w:r w:rsidRPr="00274507">
        <w:rPr>
          <w:rStyle w:val="Refdenotaalpie"/>
          <w:sz w:val="28"/>
          <w:szCs w:val="28"/>
          <w:bdr w:val="none" w:sz="0" w:space="0" w:color="auto" w:frame="1"/>
          <w:lang w:val="es-ES_tradnl"/>
        </w:rPr>
        <w:footnoteReference w:id="201"/>
      </w:r>
      <w:r w:rsidRPr="00274507">
        <w:rPr>
          <w:sz w:val="28"/>
          <w:szCs w:val="28"/>
          <w:bdr w:val="none" w:sz="0" w:space="0" w:color="auto" w:frame="1"/>
          <w:lang w:val="es-ES_tradnl"/>
        </w:rPr>
        <w:t xml:space="preserve"> como </w:t>
      </w:r>
      <w:r w:rsidRPr="00274507">
        <w:rPr>
          <w:sz w:val="28"/>
          <w:szCs w:val="28"/>
          <w:bdr w:val="none" w:sz="0" w:space="0" w:color="auto" w:frame="1"/>
          <w:shd w:val="clear" w:color="auto" w:fill="FFFFFF"/>
        </w:rPr>
        <w:t>la Organización Mundial de la Salud (OMS), Organización Panamericana de la Salud (OPS),</w:t>
      </w:r>
      <w:r w:rsidRPr="00274507">
        <w:rPr>
          <w:sz w:val="28"/>
          <w:szCs w:val="28"/>
          <w:lang w:eastAsia="es-CO"/>
        </w:rPr>
        <w:t xml:space="preserve"> el Fondo de las Naciones Unidas para la Infancia (UNICEF)</w:t>
      </w:r>
      <w:r w:rsidRPr="00274507">
        <w:rPr>
          <w:sz w:val="28"/>
          <w:szCs w:val="28"/>
          <w:bdr w:val="none" w:sz="0" w:space="0" w:color="auto" w:frame="1"/>
          <w:shd w:val="clear" w:color="auto" w:fill="FFFFFF"/>
        </w:rPr>
        <w:t xml:space="preserve"> y de las demás Instituciones nacionales o internacionales que considere pertinentes, </w:t>
      </w:r>
      <w:r w:rsidR="000E5CA4" w:rsidRPr="00274507">
        <w:rPr>
          <w:sz w:val="28"/>
          <w:szCs w:val="28"/>
          <w:bdr w:val="none" w:sz="0" w:space="0" w:color="auto" w:frame="1"/>
          <w:shd w:val="clear" w:color="auto" w:fill="FFFFFF"/>
        </w:rPr>
        <w:t>con el fin de obtener la mayor información básica real de la situación de la población colombiana y a partir de sus necesidades generar los lineamientos requeridos para garantizar el goce efectivo del d</w:t>
      </w:r>
      <w:r w:rsidRPr="00274507">
        <w:rPr>
          <w:sz w:val="28"/>
          <w:szCs w:val="28"/>
          <w:bdr w:val="none" w:sz="0" w:space="0" w:color="auto" w:frame="1"/>
          <w:shd w:val="clear" w:color="auto" w:fill="FFFFFF"/>
        </w:rPr>
        <w:t xml:space="preserve">erecho a la salud. </w:t>
      </w:r>
    </w:p>
    <w:p w:rsidR="006D48A9" w:rsidRPr="00274507" w:rsidRDefault="006D48A9" w:rsidP="00274507">
      <w:pPr>
        <w:pStyle w:val="Prrafodelista"/>
        <w:tabs>
          <w:tab w:val="left" w:pos="851"/>
        </w:tabs>
        <w:ind w:left="0"/>
        <w:jc w:val="both"/>
        <w:rPr>
          <w:sz w:val="28"/>
          <w:szCs w:val="28"/>
        </w:rPr>
      </w:pPr>
    </w:p>
    <w:p w:rsidR="002E5F07" w:rsidRPr="00274507" w:rsidRDefault="00D05C0C" w:rsidP="00274507">
      <w:pPr>
        <w:pStyle w:val="Prrafodelista"/>
        <w:tabs>
          <w:tab w:val="left" w:pos="709"/>
          <w:tab w:val="left" w:pos="1080"/>
        </w:tabs>
        <w:ind w:left="0"/>
        <w:jc w:val="both"/>
        <w:rPr>
          <w:b/>
          <w:sz w:val="28"/>
          <w:szCs w:val="28"/>
        </w:rPr>
      </w:pPr>
      <w:r w:rsidRPr="00274507">
        <w:rPr>
          <w:b/>
          <w:sz w:val="28"/>
          <w:szCs w:val="28"/>
          <w:lang w:val="es-ES"/>
        </w:rPr>
        <w:t>7</w:t>
      </w:r>
      <w:r w:rsidR="009D09B9" w:rsidRPr="00274507">
        <w:rPr>
          <w:b/>
          <w:sz w:val="28"/>
          <w:szCs w:val="28"/>
          <w:lang w:val="es-ES"/>
        </w:rPr>
        <w:t>.6</w:t>
      </w:r>
      <w:r w:rsidR="008065E5" w:rsidRPr="00274507">
        <w:rPr>
          <w:b/>
          <w:sz w:val="28"/>
          <w:szCs w:val="28"/>
          <w:lang w:val="es-ES"/>
        </w:rPr>
        <w:t>.</w:t>
      </w:r>
      <w:r w:rsidR="008065E5" w:rsidRPr="00274507">
        <w:rPr>
          <w:b/>
          <w:sz w:val="28"/>
          <w:szCs w:val="28"/>
        </w:rPr>
        <w:t xml:space="preserve"> De</w:t>
      </w:r>
      <w:r w:rsidR="00F67705" w:rsidRPr="00274507">
        <w:rPr>
          <w:b/>
          <w:sz w:val="28"/>
          <w:szCs w:val="28"/>
        </w:rPr>
        <w:t xml:space="preserve"> las medidas implementadas </w:t>
      </w:r>
      <w:r w:rsidR="00E34FEA" w:rsidRPr="00274507">
        <w:rPr>
          <w:b/>
          <w:sz w:val="28"/>
          <w:szCs w:val="28"/>
        </w:rPr>
        <w:t>por el Ministerio de Salud y Protección Social</w:t>
      </w:r>
      <w:r w:rsidR="00014BDA" w:rsidRPr="00274507">
        <w:rPr>
          <w:b/>
          <w:sz w:val="28"/>
          <w:szCs w:val="28"/>
        </w:rPr>
        <w:t>.</w:t>
      </w:r>
      <w:r w:rsidR="00E34FEA" w:rsidRPr="00274507">
        <w:rPr>
          <w:b/>
          <w:sz w:val="28"/>
          <w:szCs w:val="28"/>
        </w:rPr>
        <w:t xml:space="preserve"> </w:t>
      </w:r>
    </w:p>
    <w:p w:rsidR="006D48A9" w:rsidRPr="00274507" w:rsidRDefault="006D48A9" w:rsidP="00274507">
      <w:pPr>
        <w:pStyle w:val="Prrafodelista"/>
        <w:tabs>
          <w:tab w:val="left" w:pos="709"/>
          <w:tab w:val="left" w:pos="1080"/>
        </w:tabs>
        <w:ind w:left="0"/>
        <w:jc w:val="both"/>
        <w:rPr>
          <w:b/>
          <w:i/>
          <w:sz w:val="28"/>
          <w:szCs w:val="28"/>
        </w:rPr>
      </w:pPr>
    </w:p>
    <w:p w:rsidR="00A46695" w:rsidRPr="00274507" w:rsidRDefault="00A46695" w:rsidP="00274507">
      <w:pPr>
        <w:tabs>
          <w:tab w:val="left" w:pos="567"/>
        </w:tabs>
        <w:jc w:val="both"/>
        <w:rPr>
          <w:bCs/>
          <w:color w:val="000000" w:themeColor="text1"/>
          <w:sz w:val="28"/>
          <w:szCs w:val="28"/>
        </w:rPr>
      </w:pPr>
      <w:r w:rsidRPr="00274507">
        <w:rPr>
          <w:bCs/>
          <w:color w:val="000000" w:themeColor="text1"/>
          <w:sz w:val="28"/>
          <w:szCs w:val="28"/>
        </w:rPr>
        <w:t>En virtud de lo anterior, el Ministerio de Salud</w:t>
      </w:r>
      <w:r w:rsidRPr="00274507">
        <w:rPr>
          <w:rStyle w:val="Refdenotaalpie"/>
          <w:bCs/>
          <w:color w:val="000000" w:themeColor="text1"/>
          <w:sz w:val="28"/>
          <w:szCs w:val="28"/>
        </w:rPr>
        <w:footnoteReference w:id="202"/>
      </w:r>
      <w:r w:rsidRPr="00274507">
        <w:rPr>
          <w:bCs/>
          <w:color w:val="000000" w:themeColor="text1"/>
          <w:sz w:val="28"/>
          <w:szCs w:val="28"/>
        </w:rPr>
        <w:t xml:space="preserve"> señaló que ha contribuido a la construcción de políticas públicas en salud</w:t>
      </w:r>
      <w:r w:rsidRPr="00274507">
        <w:rPr>
          <w:rFonts w:eastAsia="MS Mincho"/>
          <w:color w:val="000000" w:themeColor="text1"/>
          <w:sz w:val="28"/>
          <w:szCs w:val="28"/>
          <w:lang w:eastAsia="en-US"/>
        </w:rPr>
        <w:t>,</w:t>
      </w:r>
      <w:r w:rsidRPr="00274507">
        <w:rPr>
          <w:rFonts w:eastAsia="MS Mincho"/>
          <w:i/>
          <w:color w:val="000000" w:themeColor="text1"/>
          <w:sz w:val="28"/>
          <w:szCs w:val="28"/>
          <w:lang w:eastAsia="en-US"/>
        </w:rPr>
        <w:t xml:space="preserve"> </w:t>
      </w:r>
      <w:r w:rsidRPr="00274507">
        <w:rPr>
          <w:rFonts w:eastAsia="MS Mincho"/>
          <w:color w:val="000000" w:themeColor="text1"/>
          <w:sz w:val="28"/>
          <w:szCs w:val="28"/>
          <w:lang w:eastAsia="en-US"/>
        </w:rPr>
        <w:t>como las destinadas al aseguramiento de la población general, igualación de planes de beneficios para los regímenes contributivo y subsidiado, giro directo a prestadores de servicios de salud, mejoramiento en el proceso de recobros, regulación de costos de medicamentos, fortalecimiento de sistemas de información, modelo de atención integral en salud, entre otros.</w:t>
      </w:r>
    </w:p>
    <w:p w:rsidR="00A46695" w:rsidRPr="00274507" w:rsidRDefault="00A46695" w:rsidP="00274507">
      <w:pPr>
        <w:jc w:val="both"/>
        <w:rPr>
          <w:rFonts w:eastAsia="MS Mincho"/>
          <w:color w:val="000000" w:themeColor="text1"/>
          <w:sz w:val="28"/>
          <w:szCs w:val="28"/>
          <w:lang w:eastAsia="en-US"/>
        </w:rPr>
      </w:pPr>
    </w:p>
    <w:p w:rsidR="00A46695" w:rsidRPr="00274507" w:rsidRDefault="00A46695" w:rsidP="00274507">
      <w:pPr>
        <w:tabs>
          <w:tab w:val="left" w:pos="567"/>
        </w:tabs>
        <w:jc w:val="both"/>
        <w:rPr>
          <w:bCs/>
          <w:sz w:val="28"/>
          <w:szCs w:val="28"/>
        </w:rPr>
      </w:pPr>
      <w:r w:rsidRPr="00274507">
        <w:rPr>
          <w:bCs/>
          <w:sz w:val="28"/>
          <w:szCs w:val="28"/>
        </w:rPr>
        <w:t>En efecto, en el caso concreto, se precisa que los lineamientos previstos por la Corte Constitucional en la sentencia T-760 de 2008 fueron previstos para implementar las medidas que den como resultado el mejoramiento de las fallas estructurales, funcionales y organizacionales del sistema de salud y el impulso a crear políticas que desde las necesidades básicas de la sociedad, busquen remediarlas de forma definitiva.</w:t>
      </w:r>
    </w:p>
    <w:p w:rsidR="00A46695" w:rsidRPr="00274507" w:rsidRDefault="00A46695" w:rsidP="00274507">
      <w:pPr>
        <w:pStyle w:val="Prrafodelista"/>
        <w:tabs>
          <w:tab w:val="left" w:pos="709"/>
          <w:tab w:val="left" w:pos="1080"/>
        </w:tabs>
        <w:ind w:left="0"/>
        <w:jc w:val="both"/>
        <w:rPr>
          <w:b/>
          <w:i/>
          <w:sz w:val="28"/>
          <w:szCs w:val="28"/>
        </w:rPr>
      </w:pPr>
    </w:p>
    <w:p w:rsidR="000B4305" w:rsidRPr="00274507" w:rsidRDefault="00D05C0C" w:rsidP="00274507">
      <w:pPr>
        <w:jc w:val="both"/>
        <w:rPr>
          <w:bCs/>
          <w:sz w:val="28"/>
          <w:szCs w:val="28"/>
        </w:rPr>
      </w:pPr>
      <w:r w:rsidRPr="00274507">
        <w:rPr>
          <w:b/>
          <w:bCs/>
          <w:sz w:val="28"/>
          <w:szCs w:val="28"/>
        </w:rPr>
        <w:t>7.</w:t>
      </w:r>
      <w:r w:rsidR="009D09B9" w:rsidRPr="00274507">
        <w:rPr>
          <w:b/>
          <w:bCs/>
          <w:sz w:val="28"/>
          <w:szCs w:val="28"/>
        </w:rPr>
        <w:t>6</w:t>
      </w:r>
      <w:r w:rsidR="003E406A" w:rsidRPr="00274507">
        <w:rPr>
          <w:b/>
          <w:bCs/>
          <w:sz w:val="28"/>
          <w:szCs w:val="28"/>
        </w:rPr>
        <w:t>.1</w:t>
      </w:r>
      <w:r w:rsidR="002548A3" w:rsidRPr="00274507">
        <w:rPr>
          <w:b/>
          <w:bCs/>
          <w:sz w:val="28"/>
          <w:szCs w:val="28"/>
        </w:rPr>
        <w:t>.</w:t>
      </w:r>
      <w:r w:rsidR="002548A3" w:rsidRPr="00274507">
        <w:rPr>
          <w:bCs/>
          <w:sz w:val="28"/>
          <w:szCs w:val="28"/>
        </w:rPr>
        <w:t xml:space="preserve"> </w:t>
      </w:r>
      <w:r w:rsidR="000B4305" w:rsidRPr="00274507">
        <w:rPr>
          <w:sz w:val="28"/>
          <w:szCs w:val="28"/>
        </w:rPr>
        <w:t>Del séptimo y octavo informe</w:t>
      </w:r>
      <w:r w:rsidR="000B4305" w:rsidRPr="00274507">
        <w:rPr>
          <w:rStyle w:val="Refdenotaalpie"/>
          <w:sz w:val="28"/>
          <w:szCs w:val="28"/>
        </w:rPr>
        <w:footnoteReference w:id="203"/>
      </w:r>
      <w:r w:rsidR="000B4305" w:rsidRPr="00274507">
        <w:rPr>
          <w:sz w:val="28"/>
          <w:szCs w:val="28"/>
        </w:rPr>
        <w:t>, así como de la contestación emitida en cumplimiento al requerimiento hecho por esta Sala el pasa</w:t>
      </w:r>
      <w:r w:rsidR="007E63E7" w:rsidRPr="00274507">
        <w:rPr>
          <w:sz w:val="28"/>
          <w:szCs w:val="28"/>
        </w:rPr>
        <w:t xml:space="preserve">do 29 de julio del año en curso, </w:t>
      </w:r>
      <w:r w:rsidR="000550B0" w:rsidRPr="00274507">
        <w:rPr>
          <w:sz w:val="28"/>
          <w:szCs w:val="28"/>
        </w:rPr>
        <w:t>el ente regulador adujo</w:t>
      </w:r>
      <w:r w:rsidR="000B4305" w:rsidRPr="00274507">
        <w:rPr>
          <w:sz w:val="28"/>
          <w:szCs w:val="28"/>
        </w:rPr>
        <w:t xml:space="preserve"> como medidas las siguientes:</w:t>
      </w:r>
      <w:r w:rsidR="002036D3" w:rsidRPr="00274507">
        <w:rPr>
          <w:sz w:val="28"/>
          <w:szCs w:val="28"/>
        </w:rPr>
        <w:t xml:space="preserve"> </w:t>
      </w:r>
      <w:r w:rsidR="00FA5B04" w:rsidRPr="00274507">
        <w:rPr>
          <w:sz w:val="28"/>
          <w:szCs w:val="28"/>
        </w:rPr>
        <w:t xml:space="preserve">i) </w:t>
      </w:r>
      <w:r w:rsidR="00D31D50" w:rsidRPr="00274507">
        <w:rPr>
          <w:sz w:val="28"/>
          <w:szCs w:val="28"/>
        </w:rPr>
        <w:t>m</w:t>
      </w:r>
      <w:r w:rsidR="0058183F" w:rsidRPr="00274507">
        <w:rPr>
          <w:bCs/>
          <w:sz w:val="28"/>
          <w:szCs w:val="28"/>
        </w:rPr>
        <w:t xml:space="preserve">ejoramiento en </w:t>
      </w:r>
      <w:r w:rsidR="000B4305" w:rsidRPr="00274507">
        <w:rPr>
          <w:bCs/>
          <w:sz w:val="28"/>
          <w:szCs w:val="28"/>
        </w:rPr>
        <w:t>la portabilidad</w:t>
      </w:r>
      <w:r w:rsidR="002548A3" w:rsidRPr="00274507">
        <w:rPr>
          <w:rStyle w:val="Refdenotaalpie"/>
          <w:bCs/>
          <w:sz w:val="28"/>
          <w:szCs w:val="28"/>
        </w:rPr>
        <w:footnoteReference w:id="204"/>
      </w:r>
      <w:r w:rsidR="0058183F" w:rsidRPr="00274507">
        <w:rPr>
          <w:bCs/>
          <w:sz w:val="28"/>
          <w:szCs w:val="28"/>
        </w:rPr>
        <w:t xml:space="preserve"> y</w:t>
      </w:r>
      <w:r w:rsidR="002548A3" w:rsidRPr="00274507">
        <w:rPr>
          <w:bCs/>
          <w:sz w:val="28"/>
          <w:szCs w:val="28"/>
        </w:rPr>
        <w:t xml:space="preserve"> la movilidad entre regímenes</w:t>
      </w:r>
      <w:r w:rsidR="002548A3" w:rsidRPr="00274507">
        <w:rPr>
          <w:rStyle w:val="Refdenotaalpie"/>
          <w:bCs/>
          <w:sz w:val="28"/>
          <w:szCs w:val="28"/>
        </w:rPr>
        <w:footnoteReference w:id="205"/>
      </w:r>
      <w:r w:rsidR="000B4305" w:rsidRPr="00274507">
        <w:rPr>
          <w:bCs/>
          <w:sz w:val="28"/>
          <w:szCs w:val="28"/>
        </w:rPr>
        <w:t>; modelo de aseguramiento sensible a las características de dispersión poblacional</w:t>
      </w:r>
      <w:r w:rsidR="002548A3" w:rsidRPr="00274507">
        <w:rPr>
          <w:rStyle w:val="Refdenotaalpie"/>
          <w:bCs/>
          <w:sz w:val="28"/>
          <w:szCs w:val="28"/>
        </w:rPr>
        <w:footnoteReference w:id="206"/>
      </w:r>
      <w:r w:rsidR="00200283" w:rsidRPr="00274507">
        <w:rPr>
          <w:bCs/>
          <w:sz w:val="28"/>
          <w:szCs w:val="28"/>
        </w:rPr>
        <w:t>; proces</w:t>
      </w:r>
      <w:r w:rsidR="000B4305" w:rsidRPr="00274507">
        <w:rPr>
          <w:bCs/>
          <w:sz w:val="28"/>
          <w:szCs w:val="28"/>
        </w:rPr>
        <w:t xml:space="preserve">o de </w:t>
      </w:r>
      <w:r w:rsidR="002548A3" w:rsidRPr="00274507">
        <w:rPr>
          <w:bCs/>
          <w:sz w:val="28"/>
          <w:szCs w:val="28"/>
        </w:rPr>
        <w:t>actualización integral del POS</w:t>
      </w:r>
      <w:r w:rsidR="002548A3" w:rsidRPr="00274507">
        <w:rPr>
          <w:rStyle w:val="Refdenotaalpie"/>
          <w:bCs/>
          <w:sz w:val="28"/>
          <w:szCs w:val="28"/>
        </w:rPr>
        <w:footnoteReference w:id="207"/>
      </w:r>
      <w:r w:rsidR="00FA5B04" w:rsidRPr="00274507">
        <w:rPr>
          <w:bCs/>
          <w:sz w:val="28"/>
          <w:szCs w:val="28"/>
        </w:rPr>
        <w:t xml:space="preserve">; ii) </w:t>
      </w:r>
      <w:r w:rsidR="000B4305" w:rsidRPr="00274507">
        <w:rPr>
          <w:bCs/>
          <w:sz w:val="28"/>
          <w:szCs w:val="28"/>
        </w:rPr>
        <w:t>la adopción del valor de la UPC del régimen subsidiado para el 2014 para la población reclusa a cargo del INPEC</w:t>
      </w:r>
      <w:r w:rsidR="002548A3" w:rsidRPr="00274507">
        <w:rPr>
          <w:rStyle w:val="Refdenotaalpie"/>
          <w:bCs/>
          <w:sz w:val="28"/>
          <w:szCs w:val="28"/>
        </w:rPr>
        <w:footnoteReference w:id="208"/>
      </w:r>
      <w:r w:rsidR="002548A3" w:rsidRPr="00274507">
        <w:rPr>
          <w:bCs/>
          <w:sz w:val="28"/>
          <w:szCs w:val="28"/>
        </w:rPr>
        <w:t xml:space="preserve"> </w:t>
      </w:r>
      <w:r w:rsidR="000B4305" w:rsidRPr="00274507">
        <w:rPr>
          <w:bCs/>
          <w:sz w:val="28"/>
          <w:szCs w:val="28"/>
        </w:rPr>
        <w:t>y la determinación de fijar una UPC diferencial indígena, del r</w:t>
      </w:r>
      <w:r w:rsidR="002548A3" w:rsidRPr="00274507">
        <w:rPr>
          <w:bCs/>
          <w:sz w:val="28"/>
          <w:szCs w:val="28"/>
        </w:rPr>
        <w:t>égimen subsidiado para el 2014</w:t>
      </w:r>
      <w:r w:rsidR="002548A3" w:rsidRPr="00274507">
        <w:rPr>
          <w:rStyle w:val="Refdenotaalpie"/>
          <w:bCs/>
          <w:sz w:val="28"/>
          <w:szCs w:val="28"/>
        </w:rPr>
        <w:footnoteReference w:id="209"/>
      </w:r>
      <w:r w:rsidR="000B4305" w:rsidRPr="00274507">
        <w:rPr>
          <w:bCs/>
          <w:sz w:val="28"/>
          <w:szCs w:val="28"/>
        </w:rPr>
        <w:t>.</w:t>
      </w:r>
      <w:r w:rsidR="00FA5B04" w:rsidRPr="00274507">
        <w:rPr>
          <w:bCs/>
          <w:sz w:val="28"/>
          <w:szCs w:val="28"/>
        </w:rPr>
        <w:t xml:space="preserve">  Además, fijar el valor de la UPC de los regímenes subsidiado y contributivo para la vigencia 2015</w:t>
      </w:r>
      <w:r w:rsidR="00FA5B04" w:rsidRPr="00274507">
        <w:rPr>
          <w:rStyle w:val="Refdenotaalpie"/>
          <w:bCs/>
          <w:sz w:val="28"/>
          <w:szCs w:val="28"/>
        </w:rPr>
        <w:footnoteReference w:id="210"/>
      </w:r>
      <w:r w:rsidR="00D31D50" w:rsidRPr="00274507">
        <w:rPr>
          <w:bCs/>
          <w:sz w:val="28"/>
          <w:szCs w:val="28"/>
        </w:rPr>
        <w:t xml:space="preserve"> </w:t>
      </w:r>
      <w:r w:rsidR="00FA5B04" w:rsidRPr="00274507">
        <w:rPr>
          <w:bCs/>
          <w:sz w:val="28"/>
          <w:szCs w:val="28"/>
        </w:rPr>
        <w:t xml:space="preserve">y </w:t>
      </w:r>
      <w:r w:rsidR="00D31D50" w:rsidRPr="00274507">
        <w:rPr>
          <w:bCs/>
          <w:sz w:val="28"/>
          <w:szCs w:val="28"/>
        </w:rPr>
        <w:t>se fij</w:t>
      </w:r>
      <w:r w:rsidR="00FA5B04" w:rsidRPr="00274507">
        <w:rPr>
          <w:bCs/>
          <w:sz w:val="28"/>
          <w:szCs w:val="28"/>
        </w:rPr>
        <w:t>ó el procedimiento de acceso, reporte de prescripción, garantía del suministro, verificación, control, pago y análisis de la información de servicios y tecnologías en salud no cubiertas por el Plan de Beneficios en Salud con cargo a la UPC</w:t>
      </w:r>
      <w:r w:rsidR="00FA5B04" w:rsidRPr="00274507">
        <w:rPr>
          <w:rStyle w:val="Refdenotaalpie"/>
          <w:bCs/>
          <w:sz w:val="28"/>
          <w:szCs w:val="28"/>
        </w:rPr>
        <w:footnoteReference w:id="211"/>
      </w:r>
      <w:r w:rsidR="00FA5B04" w:rsidRPr="00274507">
        <w:rPr>
          <w:bCs/>
          <w:sz w:val="28"/>
          <w:szCs w:val="28"/>
        </w:rPr>
        <w:t xml:space="preserve">; iii) </w:t>
      </w:r>
      <w:r w:rsidR="00291949" w:rsidRPr="00274507">
        <w:rPr>
          <w:bCs/>
          <w:sz w:val="28"/>
          <w:szCs w:val="28"/>
        </w:rPr>
        <w:t>exclusiones del POS</w:t>
      </w:r>
      <w:r w:rsidR="00291949" w:rsidRPr="00274507">
        <w:rPr>
          <w:rStyle w:val="Refdenotaalpie"/>
          <w:bCs/>
          <w:sz w:val="28"/>
          <w:szCs w:val="28"/>
        </w:rPr>
        <w:footnoteReference w:id="212"/>
      </w:r>
      <w:r w:rsidR="00FA5B04" w:rsidRPr="00274507">
        <w:rPr>
          <w:bCs/>
          <w:sz w:val="28"/>
          <w:szCs w:val="28"/>
        </w:rPr>
        <w:t>; iv) u</w:t>
      </w:r>
      <w:r w:rsidR="00FA5B04" w:rsidRPr="00274507">
        <w:rPr>
          <w:sz w:val="28"/>
          <w:szCs w:val="28"/>
        </w:rPr>
        <w:t>nificación d</w:t>
      </w:r>
      <w:r w:rsidR="00BC79F6" w:rsidRPr="00274507">
        <w:rPr>
          <w:sz w:val="28"/>
          <w:szCs w:val="28"/>
        </w:rPr>
        <w:t>el procedimiento de recobros</w:t>
      </w:r>
      <w:r w:rsidR="00BC79F6" w:rsidRPr="00274507">
        <w:rPr>
          <w:rStyle w:val="Refdenotaalpie"/>
          <w:sz w:val="28"/>
          <w:szCs w:val="28"/>
        </w:rPr>
        <w:footnoteReference w:id="213"/>
      </w:r>
      <w:r w:rsidR="00FA5B04" w:rsidRPr="00274507">
        <w:rPr>
          <w:sz w:val="28"/>
          <w:szCs w:val="28"/>
        </w:rPr>
        <w:t xml:space="preserve"> y v) a</w:t>
      </w:r>
      <w:r w:rsidR="00FA5B04" w:rsidRPr="00274507">
        <w:rPr>
          <w:bCs/>
          <w:sz w:val="28"/>
          <w:szCs w:val="28"/>
        </w:rPr>
        <w:t>tención a la comunidad indígena</w:t>
      </w:r>
      <w:r w:rsidR="00FA5B04" w:rsidRPr="00274507">
        <w:rPr>
          <w:rStyle w:val="Refdenotaalpie"/>
          <w:bCs/>
          <w:sz w:val="28"/>
          <w:szCs w:val="28"/>
        </w:rPr>
        <w:footnoteReference w:id="214"/>
      </w:r>
      <w:r w:rsidR="00FA5B04" w:rsidRPr="00274507">
        <w:rPr>
          <w:bCs/>
          <w:sz w:val="28"/>
          <w:szCs w:val="28"/>
        </w:rPr>
        <w:t>.</w:t>
      </w:r>
    </w:p>
    <w:p w:rsidR="000B4305" w:rsidRPr="00274507" w:rsidRDefault="000B4305" w:rsidP="00274507">
      <w:pPr>
        <w:jc w:val="both"/>
        <w:rPr>
          <w:bCs/>
          <w:sz w:val="28"/>
          <w:szCs w:val="28"/>
        </w:rPr>
      </w:pPr>
    </w:p>
    <w:p w:rsidR="000B4305" w:rsidRPr="00274507" w:rsidRDefault="00D05C0C" w:rsidP="00274507">
      <w:pPr>
        <w:jc w:val="both"/>
        <w:rPr>
          <w:bCs/>
          <w:sz w:val="28"/>
          <w:szCs w:val="28"/>
        </w:rPr>
      </w:pPr>
      <w:r w:rsidRPr="00274507">
        <w:rPr>
          <w:b/>
          <w:bCs/>
          <w:sz w:val="28"/>
          <w:szCs w:val="28"/>
        </w:rPr>
        <w:t>7</w:t>
      </w:r>
      <w:r w:rsidR="009D09B9" w:rsidRPr="00274507">
        <w:rPr>
          <w:b/>
          <w:bCs/>
          <w:sz w:val="28"/>
          <w:szCs w:val="28"/>
        </w:rPr>
        <w:t>.6</w:t>
      </w:r>
      <w:r w:rsidR="003E406A" w:rsidRPr="00274507">
        <w:rPr>
          <w:b/>
          <w:bCs/>
          <w:sz w:val="28"/>
          <w:szCs w:val="28"/>
        </w:rPr>
        <w:t>.2.</w:t>
      </w:r>
      <w:r w:rsidR="003E406A" w:rsidRPr="00274507">
        <w:rPr>
          <w:bCs/>
          <w:sz w:val="28"/>
          <w:szCs w:val="28"/>
        </w:rPr>
        <w:t xml:space="preserve"> </w:t>
      </w:r>
      <w:r w:rsidR="00200283" w:rsidRPr="00274507">
        <w:rPr>
          <w:bCs/>
          <w:sz w:val="28"/>
          <w:szCs w:val="28"/>
        </w:rPr>
        <w:t>E</w:t>
      </w:r>
      <w:r w:rsidR="002036D3" w:rsidRPr="00274507">
        <w:rPr>
          <w:bCs/>
          <w:sz w:val="28"/>
          <w:szCs w:val="28"/>
        </w:rPr>
        <w:t xml:space="preserve">sta Sala considera que las anteriores medidas fueron implementadas </w:t>
      </w:r>
      <w:r w:rsidR="0080479E" w:rsidRPr="00274507">
        <w:rPr>
          <w:bCs/>
          <w:sz w:val="28"/>
          <w:szCs w:val="28"/>
        </w:rPr>
        <w:t>para superar las fallas evidenciadas en</w:t>
      </w:r>
      <w:r w:rsidR="000B4305" w:rsidRPr="00274507">
        <w:rPr>
          <w:bCs/>
          <w:sz w:val="28"/>
          <w:szCs w:val="28"/>
        </w:rPr>
        <w:t>: i) el acceso a planes de beneficios (orden 16</w:t>
      </w:r>
      <w:r w:rsidR="000B4305" w:rsidRPr="00274507">
        <w:rPr>
          <w:rStyle w:val="Refdenotaalpie"/>
          <w:bCs/>
          <w:sz w:val="28"/>
          <w:szCs w:val="28"/>
        </w:rPr>
        <w:footnoteReference w:id="215"/>
      </w:r>
      <w:r w:rsidR="000B4305" w:rsidRPr="00274507">
        <w:rPr>
          <w:bCs/>
          <w:sz w:val="28"/>
          <w:szCs w:val="28"/>
        </w:rPr>
        <w:t>); ii) actualización del POS (órdenes 17</w:t>
      </w:r>
      <w:r w:rsidR="000B4305" w:rsidRPr="00274507">
        <w:rPr>
          <w:rStyle w:val="Refdenotaalpie"/>
          <w:bCs/>
          <w:sz w:val="28"/>
          <w:szCs w:val="28"/>
        </w:rPr>
        <w:footnoteReference w:id="216"/>
      </w:r>
      <w:r w:rsidR="000B4305" w:rsidRPr="00274507">
        <w:rPr>
          <w:bCs/>
          <w:sz w:val="28"/>
          <w:szCs w:val="28"/>
        </w:rPr>
        <w:t xml:space="preserve"> y 18</w:t>
      </w:r>
      <w:r w:rsidR="000B4305" w:rsidRPr="00274507">
        <w:rPr>
          <w:rStyle w:val="Refdenotaalpie"/>
          <w:bCs/>
          <w:sz w:val="28"/>
          <w:szCs w:val="28"/>
        </w:rPr>
        <w:footnoteReference w:id="217"/>
      </w:r>
      <w:r w:rsidR="000B4305" w:rsidRPr="00274507">
        <w:rPr>
          <w:bCs/>
          <w:sz w:val="28"/>
          <w:szCs w:val="28"/>
        </w:rPr>
        <w:t>); iii) unificación de planes de beneficios (órdenes 21 y 22); iv) sostenibilidad financiera y flujo de recursos (orden 24); v) recobros (órdenes 25</w:t>
      </w:r>
      <w:r w:rsidR="000B4305" w:rsidRPr="00274507">
        <w:rPr>
          <w:rStyle w:val="Refdenotaalpie"/>
          <w:bCs/>
          <w:sz w:val="28"/>
          <w:szCs w:val="28"/>
        </w:rPr>
        <w:footnoteReference w:id="218"/>
      </w:r>
      <w:r w:rsidR="000B4305" w:rsidRPr="00274507">
        <w:rPr>
          <w:bCs/>
          <w:sz w:val="28"/>
          <w:szCs w:val="28"/>
        </w:rPr>
        <w:t>,26</w:t>
      </w:r>
      <w:r w:rsidR="000B4305" w:rsidRPr="00274507">
        <w:rPr>
          <w:rStyle w:val="Refdenotaalpie"/>
          <w:bCs/>
          <w:sz w:val="28"/>
          <w:szCs w:val="28"/>
        </w:rPr>
        <w:footnoteReference w:id="219"/>
      </w:r>
      <w:r w:rsidR="000B4305" w:rsidRPr="00274507">
        <w:rPr>
          <w:bCs/>
          <w:sz w:val="28"/>
          <w:szCs w:val="28"/>
        </w:rPr>
        <w:t xml:space="preserve"> y 27</w:t>
      </w:r>
      <w:r w:rsidR="000B4305" w:rsidRPr="00274507">
        <w:rPr>
          <w:rStyle w:val="Refdenotaalpie"/>
          <w:bCs/>
          <w:sz w:val="28"/>
          <w:szCs w:val="28"/>
        </w:rPr>
        <w:footnoteReference w:id="220"/>
      </w:r>
      <w:r w:rsidR="000B4305" w:rsidRPr="00274507">
        <w:rPr>
          <w:bCs/>
          <w:sz w:val="28"/>
          <w:szCs w:val="28"/>
        </w:rPr>
        <w:t>) y; vi) cobertura universal (orden 29), más no en relación con el resultado de la medición de las acciones de tutela.</w:t>
      </w:r>
    </w:p>
    <w:p w:rsidR="000B4305" w:rsidRPr="00274507" w:rsidRDefault="000B4305" w:rsidP="00274507">
      <w:pPr>
        <w:jc w:val="both"/>
        <w:rPr>
          <w:bCs/>
          <w:sz w:val="28"/>
          <w:szCs w:val="28"/>
        </w:rPr>
      </w:pPr>
    </w:p>
    <w:p w:rsidR="0080479E" w:rsidRPr="00274507" w:rsidRDefault="0080479E" w:rsidP="00274507">
      <w:pPr>
        <w:jc w:val="both"/>
        <w:rPr>
          <w:iCs/>
          <w:sz w:val="28"/>
          <w:szCs w:val="28"/>
          <w:bdr w:val="none" w:sz="0" w:space="0" w:color="auto" w:frame="1"/>
          <w:shd w:val="clear" w:color="auto" w:fill="FFFFFF"/>
        </w:rPr>
      </w:pPr>
      <w:r w:rsidRPr="00274507">
        <w:rPr>
          <w:sz w:val="28"/>
          <w:szCs w:val="28"/>
        </w:rPr>
        <w:t xml:space="preserve">Este Tribunal no observa </w:t>
      </w:r>
      <w:r w:rsidR="000550B0" w:rsidRPr="00274507">
        <w:rPr>
          <w:sz w:val="28"/>
          <w:szCs w:val="28"/>
        </w:rPr>
        <w:t xml:space="preserve">en qué sentido pretende el Ministerio de Salud </w:t>
      </w:r>
      <w:r w:rsidRPr="00274507">
        <w:rPr>
          <w:sz w:val="28"/>
          <w:szCs w:val="28"/>
        </w:rPr>
        <w:t>que sean tenidas en cuenta las normas referenciadas como un  avance positivo que incida directamente en la orden 30, es decir en la superación de las</w:t>
      </w:r>
      <w:r w:rsidR="00200283" w:rsidRPr="00274507">
        <w:rPr>
          <w:sz w:val="28"/>
          <w:szCs w:val="28"/>
        </w:rPr>
        <w:t xml:space="preserve"> causa</w:t>
      </w:r>
      <w:r w:rsidRPr="00274507">
        <w:rPr>
          <w:sz w:val="28"/>
          <w:szCs w:val="28"/>
        </w:rPr>
        <w:t xml:space="preserve">s principales por las cuales se presentan las acciones de tutela y su disminución, cuando en ninguno de los informes referenció algún caso respecto de las situaciones descritas. </w:t>
      </w:r>
    </w:p>
    <w:p w:rsidR="0080479E" w:rsidRPr="00274507" w:rsidRDefault="0080479E" w:rsidP="00274507">
      <w:pPr>
        <w:jc w:val="both"/>
        <w:rPr>
          <w:iCs/>
          <w:sz w:val="28"/>
          <w:szCs w:val="28"/>
          <w:bdr w:val="none" w:sz="0" w:space="0" w:color="auto" w:frame="1"/>
          <w:shd w:val="clear" w:color="auto" w:fill="FFFFFF"/>
        </w:rPr>
      </w:pPr>
    </w:p>
    <w:p w:rsidR="00F67705" w:rsidRPr="00274507" w:rsidRDefault="0080479E" w:rsidP="00274507">
      <w:pPr>
        <w:jc w:val="both"/>
        <w:rPr>
          <w:i/>
          <w:sz w:val="28"/>
          <w:szCs w:val="28"/>
        </w:rPr>
      </w:pPr>
      <w:r w:rsidRPr="00274507">
        <w:rPr>
          <w:sz w:val="28"/>
          <w:szCs w:val="28"/>
        </w:rPr>
        <w:t xml:space="preserve">Por lo </w:t>
      </w:r>
      <w:r w:rsidR="00A24697" w:rsidRPr="00274507">
        <w:rPr>
          <w:sz w:val="28"/>
          <w:szCs w:val="28"/>
        </w:rPr>
        <w:t>a</w:t>
      </w:r>
      <w:r w:rsidRPr="00274507">
        <w:rPr>
          <w:sz w:val="28"/>
          <w:szCs w:val="28"/>
        </w:rPr>
        <w:t>nterior, se considera que no viene a</w:t>
      </w:r>
      <w:r w:rsidR="00800415" w:rsidRPr="00274507">
        <w:rPr>
          <w:sz w:val="28"/>
          <w:szCs w:val="28"/>
        </w:rPr>
        <w:t>l caso analizar cada una de las mencionadas</w:t>
      </w:r>
      <w:r w:rsidR="00200283" w:rsidRPr="00274507">
        <w:rPr>
          <w:sz w:val="28"/>
          <w:szCs w:val="28"/>
        </w:rPr>
        <w:t xml:space="preserve"> normas</w:t>
      </w:r>
      <w:r w:rsidR="00800415" w:rsidRPr="00274507">
        <w:rPr>
          <w:sz w:val="28"/>
          <w:szCs w:val="28"/>
        </w:rPr>
        <w:t xml:space="preserve"> medidas ya que su implementación, eficacia y regulación no está dirigida al </w:t>
      </w:r>
      <w:r w:rsidR="00A24697" w:rsidRPr="00274507">
        <w:rPr>
          <w:sz w:val="28"/>
          <w:szCs w:val="28"/>
        </w:rPr>
        <w:t xml:space="preserve"> cumplimiento de este </w:t>
      </w:r>
      <w:r w:rsidR="00800415" w:rsidRPr="00274507">
        <w:rPr>
          <w:sz w:val="28"/>
          <w:szCs w:val="28"/>
        </w:rPr>
        <w:t>mandato, cuyo fin último es evaluar el comportamiento de las tutelas, determinar el aumento o disminución, las principales causas por las que acuden y así mejorar las fallas en el servicio. Se reitera, que el caso sería di</w:t>
      </w:r>
      <w:r w:rsidR="000550B0" w:rsidRPr="00274507">
        <w:rPr>
          <w:sz w:val="28"/>
          <w:szCs w:val="28"/>
        </w:rPr>
        <w:t xml:space="preserve">ferente si en los resultados el ente regulador </w:t>
      </w:r>
      <w:r w:rsidR="00800415" w:rsidRPr="00274507">
        <w:rPr>
          <w:sz w:val="28"/>
          <w:szCs w:val="28"/>
        </w:rPr>
        <w:t>hubiera incluido alguno</w:t>
      </w:r>
      <w:r w:rsidR="00CC552B" w:rsidRPr="00274507">
        <w:rPr>
          <w:sz w:val="28"/>
          <w:szCs w:val="28"/>
        </w:rPr>
        <w:t>s</w:t>
      </w:r>
      <w:r w:rsidR="00800415" w:rsidRPr="00274507">
        <w:rPr>
          <w:sz w:val="28"/>
          <w:szCs w:val="28"/>
        </w:rPr>
        <w:t xml:space="preserve">, por ejemplo, cuantas tutelas se presentaron en el 2008 por portabilidad y cuantas en el 2015; o por cuales tecnologías </w:t>
      </w:r>
      <w:r w:rsidR="00CC552B" w:rsidRPr="00274507">
        <w:rPr>
          <w:sz w:val="28"/>
          <w:szCs w:val="28"/>
        </w:rPr>
        <w:t xml:space="preserve">no POS </w:t>
      </w:r>
      <w:r w:rsidR="00800415" w:rsidRPr="00274507">
        <w:rPr>
          <w:sz w:val="28"/>
          <w:szCs w:val="28"/>
        </w:rPr>
        <w:t xml:space="preserve">se presentaron tutelas para el 2009 y si las mismas disminuyeron por </w:t>
      </w:r>
      <w:r w:rsidR="00CC552B" w:rsidRPr="00274507">
        <w:rPr>
          <w:sz w:val="28"/>
          <w:szCs w:val="28"/>
        </w:rPr>
        <w:t>estar</w:t>
      </w:r>
      <w:r w:rsidR="00800415" w:rsidRPr="00274507">
        <w:rPr>
          <w:sz w:val="28"/>
          <w:szCs w:val="28"/>
        </w:rPr>
        <w:t xml:space="preserve"> incluidas para el 2013, </w:t>
      </w:r>
      <w:r w:rsidR="00CC552B" w:rsidRPr="00274507">
        <w:rPr>
          <w:sz w:val="28"/>
          <w:szCs w:val="28"/>
        </w:rPr>
        <w:t xml:space="preserve">empero, como esa información no fue descrita en </w:t>
      </w:r>
      <w:r w:rsidR="00800415" w:rsidRPr="00274507">
        <w:rPr>
          <w:sz w:val="28"/>
          <w:szCs w:val="28"/>
        </w:rPr>
        <w:t xml:space="preserve"> el </w:t>
      </w:r>
      <w:r w:rsidR="00800415" w:rsidRPr="00274507">
        <w:rPr>
          <w:i/>
          <w:sz w:val="28"/>
          <w:szCs w:val="28"/>
        </w:rPr>
        <w:t>sub lite</w:t>
      </w:r>
      <w:r w:rsidR="00CC552B" w:rsidRPr="00274507">
        <w:rPr>
          <w:sz w:val="28"/>
          <w:szCs w:val="28"/>
        </w:rPr>
        <w:t>,</w:t>
      </w:r>
      <w:r w:rsidR="00071AD2" w:rsidRPr="00274507">
        <w:rPr>
          <w:sz w:val="28"/>
          <w:szCs w:val="28"/>
        </w:rPr>
        <w:t xml:space="preserve"> </w:t>
      </w:r>
      <w:r w:rsidR="00A24697" w:rsidRPr="00274507">
        <w:rPr>
          <w:sz w:val="28"/>
          <w:szCs w:val="28"/>
        </w:rPr>
        <w:t>no se pueden e</w:t>
      </w:r>
      <w:r w:rsidR="00200283" w:rsidRPr="00274507">
        <w:rPr>
          <w:sz w:val="28"/>
          <w:szCs w:val="28"/>
        </w:rPr>
        <w:t>valuar como conducentes</w:t>
      </w:r>
      <w:r w:rsidR="00CC552B" w:rsidRPr="00274507">
        <w:rPr>
          <w:sz w:val="28"/>
          <w:szCs w:val="28"/>
        </w:rPr>
        <w:t>.</w:t>
      </w:r>
    </w:p>
    <w:p w:rsidR="00CC552B" w:rsidRPr="00274507" w:rsidRDefault="00CC552B" w:rsidP="00274507">
      <w:pPr>
        <w:jc w:val="both"/>
        <w:rPr>
          <w:i/>
          <w:sz w:val="28"/>
          <w:szCs w:val="28"/>
        </w:rPr>
      </w:pPr>
    </w:p>
    <w:p w:rsidR="00CC552B" w:rsidRPr="00274507" w:rsidRDefault="00CC552B" w:rsidP="00274507">
      <w:pPr>
        <w:pStyle w:val="Prrafodelista"/>
        <w:tabs>
          <w:tab w:val="left" w:pos="851"/>
        </w:tabs>
        <w:ind w:left="0"/>
        <w:jc w:val="both"/>
        <w:rPr>
          <w:sz w:val="28"/>
          <w:szCs w:val="28"/>
        </w:rPr>
      </w:pPr>
      <w:r w:rsidRPr="00274507">
        <w:rPr>
          <w:sz w:val="28"/>
          <w:szCs w:val="28"/>
        </w:rPr>
        <w:t>En ese orden, esta Corte reitera que</w:t>
      </w:r>
      <w:r w:rsidR="004E6E3C" w:rsidRPr="00274507">
        <w:rPr>
          <w:sz w:val="28"/>
          <w:szCs w:val="28"/>
        </w:rPr>
        <w:t xml:space="preserve"> a la fecha los documentos que allegó el ente regulador </w:t>
      </w:r>
      <w:r w:rsidRPr="00274507">
        <w:rPr>
          <w:sz w:val="28"/>
          <w:szCs w:val="28"/>
        </w:rPr>
        <w:t xml:space="preserve">la fecha no puede comparar los resultados antes y después </w:t>
      </w:r>
      <w:r w:rsidR="00200283" w:rsidRPr="00274507">
        <w:rPr>
          <w:sz w:val="28"/>
          <w:szCs w:val="28"/>
        </w:rPr>
        <w:t>de la implementación de la normatividad descrita</w:t>
      </w:r>
      <w:r w:rsidRPr="00274507">
        <w:rPr>
          <w:sz w:val="28"/>
          <w:szCs w:val="28"/>
        </w:rPr>
        <w:t>, debido a que en estos no han relacionado “</w:t>
      </w:r>
      <w:r w:rsidRPr="00274507">
        <w:rPr>
          <w:i/>
          <w:sz w:val="28"/>
          <w:szCs w:val="28"/>
        </w:rPr>
        <w:t>la causa concreta y principal por la cual se interpone una tutela es la solicitud de servicios de salud POS que no han sido negada pero que esta demorado, esta situación puede deberse a determinantes que son internas y externas del aseguramiento en salud</w:t>
      </w:r>
      <w:r w:rsidR="00200283" w:rsidRPr="00274507">
        <w:rPr>
          <w:sz w:val="28"/>
          <w:szCs w:val="28"/>
        </w:rPr>
        <w:t>”</w:t>
      </w:r>
      <w:r w:rsidRPr="00274507">
        <w:rPr>
          <w:sz w:val="28"/>
          <w:szCs w:val="28"/>
        </w:rPr>
        <w:t>.</w:t>
      </w:r>
    </w:p>
    <w:p w:rsidR="00CC552B" w:rsidRPr="00274507" w:rsidRDefault="00CC552B" w:rsidP="00274507">
      <w:pPr>
        <w:pStyle w:val="Prrafodelista"/>
        <w:tabs>
          <w:tab w:val="left" w:pos="851"/>
        </w:tabs>
        <w:ind w:left="0"/>
        <w:jc w:val="both"/>
        <w:rPr>
          <w:sz w:val="28"/>
          <w:szCs w:val="28"/>
        </w:rPr>
      </w:pPr>
    </w:p>
    <w:p w:rsidR="00CC552B" w:rsidRPr="00274507" w:rsidRDefault="00CC552B" w:rsidP="00274507">
      <w:pPr>
        <w:pStyle w:val="Prrafodelista"/>
        <w:tabs>
          <w:tab w:val="left" w:pos="851"/>
        </w:tabs>
        <w:ind w:left="0"/>
        <w:jc w:val="both"/>
        <w:rPr>
          <w:sz w:val="28"/>
          <w:szCs w:val="28"/>
        </w:rPr>
      </w:pPr>
      <w:r w:rsidRPr="00274507">
        <w:rPr>
          <w:sz w:val="28"/>
          <w:szCs w:val="28"/>
        </w:rPr>
        <w:t>Al respecto</w:t>
      </w:r>
      <w:r w:rsidR="003E406A" w:rsidRPr="00274507">
        <w:rPr>
          <w:sz w:val="28"/>
          <w:szCs w:val="28"/>
        </w:rPr>
        <w:t>,</w:t>
      </w:r>
      <w:r w:rsidRPr="00274507">
        <w:rPr>
          <w:sz w:val="28"/>
          <w:szCs w:val="28"/>
        </w:rPr>
        <w:t xml:space="preserve"> esta Corporación ha manifestado en varios pronunciamientos</w:t>
      </w:r>
      <w:r w:rsidRPr="00274507">
        <w:rPr>
          <w:rStyle w:val="Refdenotaalpie"/>
          <w:sz w:val="28"/>
          <w:szCs w:val="28"/>
        </w:rPr>
        <w:footnoteReference w:id="221"/>
      </w:r>
      <w:r w:rsidRPr="00274507">
        <w:rPr>
          <w:sz w:val="28"/>
          <w:szCs w:val="28"/>
        </w:rPr>
        <w:t xml:space="preserve"> </w:t>
      </w:r>
      <w:r w:rsidR="00200283" w:rsidRPr="00274507">
        <w:rPr>
          <w:sz w:val="28"/>
          <w:szCs w:val="28"/>
        </w:rPr>
        <w:t>que</w:t>
      </w:r>
      <w:r w:rsidR="00124085" w:rsidRPr="00274507">
        <w:rPr>
          <w:sz w:val="28"/>
          <w:szCs w:val="28"/>
        </w:rPr>
        <w:t xml:space="preserve"> </w:t>
      </w:r>
      <w:r w:rsidRPr="00274507">
        <w:rPr>
          <w:i/>
          <w:sz w:val="28"/>
          <w:szCs w:val="28"/>
        </w:rPr>
        <w:t>“el derecho a la salud se considerará vulnerado… si se niega o demora su suministro por surtir trámites burocráticos y administrativos que al paciente no le corresponde asumir</w:t>
      </w:r>
      <w:r w:rsidRPr="00274507">
        <w:rPr>
          <w:rStyle w:val="Refdenotaalpie"/>
          <w:i/>
          <w:sz w:val="28"/>
          <w:szCs w:val="28"/>
        </w:rPr>
        <w:footnoteReference w:id="222"/>
      </w:r>
      <w:r w:rsidRPr="00274507">
        <w:rPr>
          <w:i/>
          <w:sz w:val="28"/>
          <w:szCs w:val="28"/>
        </w:rPr>
        <w:t>”</w:t>
      </w:r>
      <w:r w:rsidRPr="00274507">
        <w:rPr>
          <w:rStyle w:val="Refdenotaalpie"/>
          <w:sz w:val="28"/>
          <w:szCs w:val="28"/>
        </w:rPr>
        <w:footnoteReference w:id="223"/>
      </w:r>
      <w:r w:rsidRPr="00274507">
        <w:rPr>
          <w:i/>
          <w:sz w:val="28"/>
          <w:szCs w:val="28"/>
        </w:rPr>
        <w:t xml:space="preserve">. </w:t>
      </w:r>
      <w:r w:rsidRPr="00274507">
        <w:rPr>
          <w:sz w:val="28"/>
          <w:szCs w:val="28"/>
        </w:rPr>
        <w:t>Lo anterior se traduce en que al usuario no se le pueden imponer cargas insoportables que</w:t>
      </w:r>
      <w:r w:rsidRPr="00274507">
        <w:rPr>
          <w:i/>
          <w:sz w:val="28"/>
          <w:szCs w:val="28"/>
        </w:rPr>
        <w:t xml:space="preserve"> </w:t>
      </w:r>
      <w:r w:rsidRPr="00274507">
        <w:rPr>
          <w:sz w:val="28"/>
          <w:szCs w:val="28"/>
        </w:rPr>
        <w:t>le impidan el a</w:t>
      </w:r>
      <w:r w:rsidR="002E5F57" w:rsidRPr="00274507">
        <w:rPr>
          <w:sz w:val="28"/>
          <w:szCs w:val="28"/>
        </w:rPr>
        <w:t xml:space="preserve">cceso a los servicios de salud. </w:t>
      </w:r>
      <w:r w:rsidRPr="00274507">
        <w:rPr>
          <w:sz w:val="28"/>
          <w:szCs w:val="28"/>
        </w:rPr>
        <w:t>En ese sentido, es necesario determinar las causas “</w:t>
      </w:r>
      <w:r w:rsidRPr="00274507">
        <w:rPr>
          <w:i/>
          <w:sz w:val="28"/>
          <w:szCs w:val="28"/>
        </w:rPr>
        <w:t>internas y externas</w:t>
      </w:r>
      <w:r w:rsidRPr="00274507">
        <w:rPr>
          <w:sz w:val="28"/>
          <w:szCs w:val="28"/>
        </w:rPr>
        <w:t>” que alude la Cartera de salud, ya que puede referirse a fallas administrativas por parte de las EPS, IPS y demás Entidades Territoriales que no están siendo valoradas y que a costa de sus intereses este negando los servicios con lo que afecta el goce efectivo del derecho a la salud de los usuarios. Lo anterior</w:t>
      </w:r>
      <w:r w:rsidR="006949B5" w:rsidRPr="00274507">
        <w:rPr>
          <w:sz w:val="28"/>
          <w:szCs w:val="28"/>
        </w:rPr>
        <w:t>,</w:t>
      </w:r>
      <w:r w:rsidRPr="00274507">
        <w:rPr>
          <w:sz w:val="28"/>
          <w:szCs w:val="28"/>
        </w:rPr>
        <w:t xml:space="preserve"> con el propósito de que se evidencien de forma clara y </w:t>
      </w:r>
      <w:r w:rsidR="006949B5" w:rsidRPr="00274507">
        <w:rPr>
          <w:sz w:val="28"/>
          <w:szCs w:val="28"/>
        </w:rPr>
        <w:t>precisa las barreras para poder superarlas.</w:t>
      </w:r>
    </w:p>
    <w:p w:rsidR="00071AD2" w:rsidRPr="00274507" w:rsidRDefault="00071AD2" w:rsidP="00274507">
      <w:pPr>
        <w:jc w:val="both"/>
        <w:rPr>
          <w:bCs/>
          <w:sz w:val="28"/>
          <w:szCs w:val="28"/>
        </w:rPr>
      </w:pPr>
    </w:p>
    <w:p w:rsidR="00E34FEA" w:rsidRPr="00274507" w:rsidRDefault="00D05C0C" w:rsidP="00274507">
      <w:pPr>
        <w:jc w:val="both"/>
        <w:rPr>
          <w:bCs/>
          <w:sz w:val="28"/>
          <w:szCs w:val="28"/>
        </w:rPr>
      </w:pPr>
      <w:r w:rsidRPr="00274507">
        <w:rPr>
          <w:b/>
          <w:bCs/>
          <w:sz w:val="28"/>
          <w:szCs w:val="28"/>
        </w:rPr>
        <w:t>7</w:t>
      </w:r>
      <w:r w:rsidR="009D09B9" w:rsidRPr="00274507">
        <w:rPr>
          <w:b/>
          <w:bCs/>
          <w:sz w:val="28"/>
          <w:szCs w:val="28"/>
        </w:rPr>
        <w:t>.6</w:t>
      </w:r>
      <w:r w:rsidR="003E406A" w:rsidRPr="00274507">
        <w:rPr>
          <w:b/>
          <w:bCs/>
          <w:sz w:val="28"/>
          <w:szCs w:val="28"/>
        </w:rPr>
        <w:t>.</w:t>
      </w:r>
      <w:r w:rsidR="00045C7A" w:rsidRPr="00274507">
        <w:rPr>
          <w:b/>
          <w:bCs/>
          <w:sz w:val="28"/>
          <w:szCs w:val="28"/>
        </w:rPr>
        <w:t>3</w:t>
      </w:r>
      <w:r w:rsidR="00091C9D" w:rsidRPr="00274507">
        <w:rPr>
          <w:b/>
          <w:bCs/>
          <w:sz w:val="28"/>
          <w:szCs w:val="28"/>
        </w:rPr>
        <w:t>.</w:t>
      </w:r>
      <w:r w:rsidR="003E406A" w:rsidRPr="00274507">
        <w:rPr>
          <w:bCs/>
          <w:sz w:val="28"/>
          <w:szCs w:val="28"/>
        </w:rPr>
        <w:t xml:space="preserve"> Ahora bien, el</w:t>
      </w:r>
      <w:r w:rsidR="00FA2A7E" w:rsidRPr="00274507">
        <w:rPr>
          <w:bCs/>
          <w:sz w:val="28"/>
          <w:szCs w:val="28"/>
        </w:rPr>
        <w:t xml:space="preserve"> órgano ministerial</w:t>
      </w:r>
      <w:r w:rsidR="00401D90" w:rsidRPr="00274507">
        <w:rPr>
          <w:bCs/>
          <w:sz w:val="28"/>
          <w:szCs w:val="28"/>
        </w:rPr>
        <w:t xml:space="preserve">, </w:t>
      </w:r>
      <w:r w:rsidR="000B4305" w:rsidRPr="00274507">
        <w:rPr>
          <w:bCs/>
          <w:sz w:val="28"/>
          <w:szCs w:val="28"/>
        </w:rPr>
        <w:t>manifestó las siguientes m</w:t>
      </w:r>
      <w:r w:rsidR="00E34FEA" w:rsidRPr="00274507">
        <w:rPr>
          <w:bCs/>
          <w:sz w:val="28"/>
          <w:szCs w:val="28"/>
        </w:rPr>
        <w:t>edidas</w:t>
      </w:r>
      <w:r w:rsidR="008F182C" w:rsidRPr="00274507">
        <w:rPr>
          <w:bCs/>
          <w:sz w:val="28"/>
          <w:szCs w:val="28"/>
        </w:rPr>
        <w:t xml:space="preserve"> y retos a cumplir en los próximos años</w:t>
      </w:r>
      <w:r w:rsidR="00091C9D" w:rsidRPr="00274507">
        <w:rPr>
          <w:bCs/>
          <w:sz w:val="28"/>
          <w:szCs w:val="28"/>
        </w:rPr>
        <w:t>:</w:t>
      </w:r>
    </w:p>
    <w:p w:rsidR="00091C9D" w:rsidRPr="00274507" w:rsidRDefault="00091C9D" w:rsidP="00274507">
      <w:pPr>
        <w:jc w:val="both"/>
        <w:rPr>
          <w:bCs/>
          <w:sz w:val="28"/>
          <w:szCs w:val="28"/>
        </w:rPr>
      </w:pPr>
    </w:p>
    <w:p w:rsidR="008F182C" w:rsidRPr="00274507" w:rsidRDefault="00E34FEA" w:rsidP="00274507">
      <w:pPr>
        <w:pStyle w:val="Prrafodelista"/>
        <w:numPr>
          <w:ilvl w:val="0"/>
          <w:numId w:val="12"/>
        </w:numPr>
        <w:jc w:val="both"/>
        <w:rPr>
          <w:bCs/>
          <w:sz w:val="28"/>
          <w:szCs w:val="28"/>
        </w:rPr>
      </w:pPr>
      <w:r w:rsidRPr="00274507">
        <w:rPr>
          <w:bCs/>
          <w:sz w:val="28"/>
          <w:szCs w:val="28"/>
        </w:rPr>
        <w:t>Instaurar mecanismos para la afiliación inmediata de los recién nacidos al Sistema.</w:t>
      </w:r>
    </w:p>
    <w:p w:rsidR="00E34FEA" w:rsidRPr="00274507" w:rsidRDefault="00E34FEA" w:rsidP="00274507">
      <w:pPr>
        <w:pStyle w:val="Prrafodelista"/>
        <w:numPr>
          <w:ilvl w:val="0"/>
          <w:numId w:val="12"/>
        </w:numPr>
        <w:jc w:val="both"/>
        <w:rPr>
          <w:bCs/>
          <w:sz w:val="28"/>
          <w:szCs w:val="28"/>
        </w:rPr>
      </w:pPr>
      <w:r w:rsidRPr="00274507">
        <w:rPr>
          <w:bCs/>
          <w:sz w:val="28"/>
          <w:szCs w:val="28"/>
        </w:rPr>
        <w:t>Subsidios parciales y demás mecanismos para garantizar continuidad en el servicio de salud.</w:t>
      </w:r>
    </w:p>
    <w:p w:rsidR="00E34FEA" w:rsidRPr="00274507" w:rsidRDefault="00E34FEA" w:rsidP="00274507">
      <w:pPr>
        <w:pStyle w:val="Prrafodelista"/>
        <w:numPr>
          <w:ilvl w:val="0"/>
          <w:numId w:val="12"/>
        </w:numPr>
        <w:jc w:val="both"/>
        <w:rPr>
          <w:bCs/>
          <w:sz w:val="28"/>
          <w:szCs w:val="28"/>
        </w:rPr>
      </w:pPr>
      <w:r w:rsidRPr="00274507">
        <w:rPr>
          <w:bCs/>
          <w:sz w:val="28"/>
          <w:szCs w:val="28"/>
        </w:rPr>
        <w:t xml:space="preserve">Desarrollar un sistema transaccional en línea de fácil acceso al ciudadano que le permita </w:t>
      </w:r>
      <w:r w:rsidR="00970B30" w:rsidRPr="00274507">
        <w:rPr>
          <w:bCs/>
          <w:sz w:val="28"/>
          <w:szCs w:val="28"/>
        </w:rPr>
        <w:t>informar</w:t>
      </w:r>
      <w:r w:rsidRPr="00274507">
        <w:rPr>
          <w:bCs/>
          <w:sz w:val="28"/>
          <w:szCs w:val="28"/>
        </w:rPr>
        <w:t xml:space="preserve"> novedades y realizar el proce</w:t>
      </w:r>
      <w:r w:rsidR="00970B30" w:rsidRPr="00274507">
        <w:rPr>
          <w:bCs/>
          <w:sz w:val="28"/>
          <w:szCs w:val="28"/>
        </w:rPr>
        <w:t xml:space="preserve">so de </w:t>
      </w:r>
      <w:r w:rsidR="00091C9D" w:rsidRPr="00274507">
        <w:rPr>
          <w:bCs/>
          <w:sz w:val="28"/>
          <w:szCs w:val="28"/>
        </w:rPr>
        <w:t>afiliación</w:t>
      </w:r>
      <w:r w:rsidRPr="00274507">
        <w:rPr>
          <w:bCs/>
          <w:sz w:val="28"/>
          <w:szCs w:val="28"/>
        </w:rPr>
        <w:t xml:space="preserve"> de forma expedita.</w:t>
      </w:r>
    </w:p>
    <w:p w:rsidR="00E34FEA" w:rsidRPr="00274507" w:rsidRDefault="00E34FEA" w:rsidP="00274507">
      <w:pPr>
        <w:pStyle w:val="Prrafodelista"/>
        <w:numPr>
          <w:ilvl w:val="0"/>
          <w:numId w:val="12"/>
        </w:numPr>
        <w:jc w:val="both"/>
        <w:rPr>
          <w:bCs/>
          <w:sz w:val="28"/>
          <w:szCs w:val="28"/>
        </w:rPr>
      </w:pPr>
      <w:r w:rsidRPr="00274507">
        <w:rPr>
          <w:bCs/>
          <w:sz w:val="28"/>
          <w:szCs w:val="28"/>
        </w:rPr>
        <w:t>Ampliación del servicio a los integrantes del núcleo familiar (hijos de parejas del mismo sexo, nietos en caso de fallecimiento de sus padres, ausencia o pérdida de patria potestad, hijos mayores de 18 y menores de 25 que no se encuentren estudiando).</w:t>
      </w:r>
    </w:p>
    <w:p w:rsidR="00E34FEA" w:rsidRPr="00274507" w:rsidRDefault="00E34FEA" w:rsidP="00274507">
      <w:pPr>
        <w:pStyle w:val="Prrafodelista"/>
        <w:numPr>
          <w:ilvl w:val="0"/>
          <w:numId w:val="12"/>
        </w:numPr>
        <w:jc w:val="both"/>
        <w:rPr>
          <w:bCs/>
          <w:sz w:val="28"/>
          <w:szCs w:val="28"/>
        </w:rPr>
      </w:pPr>
      <w:r w:rsidRPr="00274507">
        <w:rPr>
          <w:bCs/>
          <w:sz w:val="28"/>
          <w:szCs w:val="28"/>
        </w:rPr>
        <w:t>Modificación en la atención a la población carcelaria dentro del Sistema</w:t>
      </w:r>
    </w:p>
    <w:p w:rsidR="008F182C" w:rsidRPr="00274507" w:rsidRDefault="008F182C" w:rsidP="00274507">
      <w:pPr>
        <w:pStyle w:val="Prrafodelista"/>
        <w:numPr>
          <w:ilvl w:val="0"/>
          <w:numId w:val="12"/>
        </w:numPr>
        <w:jc w:val="both"/>
        <w:rPr>
          <w:bCs/>
          <w:sz w:val="28"/>
          <w:szCs w:val="28"/>
        </w:rPr>
      </w:pPr>
      <w:r w:rsidRPr="00274507">
        <w:rPr>
          <w:bCs/>
          <w:sz w:val="28"/>
          <w:szCs w:val="28"/>
        </w:rPr>
        <w:t>Diseñar progresivamente un esquema de protección del derecho a la salud basado en exclusiones.</w:t>
      </w:r>
    </w:p>
    <w:p w:rsidR="008F182C" w:rsidRPr="00274507" w:rsidRDefault="008F182C" w:rsidP="00274507">
      <w:pPr>
        <w:pStyle w:val="Prrafodelista"/>
        <w:numPr>
          <w:ilvl w:val="0"/>
          <w:numId w:val="12"/>
        </w:numPr>
        <w:jc w:val="both"/>
        <w:rPr>
          <w:bCs/>
          <w:sz w:val="28"/>
          <w:szCs w:val="28"/>
        </w:rPr>
      </w:pPr>
      <w:r w:rsidRPr="00274507">
        <w:rPr>
          <w:bCs/>
          <w:sz w:val="28"/>
          <w:szCs w:val="28"/>
        </w:rPr>
        <w:t>Definir un mecanismo de exclusiones legítimo que cumpla con los requisitos constitucionales y sea acatado y respetado por la ciudadanía, las autoridades judiciales y los agentes del sector.</w:t>
      </w:r>
    </w:p>
    <w:p w:rsidR="008F182C" w:rsidRPr="00274507" w:rsidRDefault="008F182C" w:rsidP="00274507">
      <w:pPr>
        <w:pStyle w:val="Prrafodelista"/>
        <w:numPr>
          <w:ilvl w:val="0"/>
          <w:numId w:val="12"/>
        </w:numPr>
        <w:jc w:val="both"/>
        <w:rPr>
          <w:bCs/>
          <w:sz w:val="28"/>
          <w:szCs w:val="28"/>
        </w:rPr>
      </w:pPr>
      <w:r w:rsidRPr="00274507">
        <w:rPr>
          <w:bCs/>
          <w:sz w:val="28"/>
          <w:szCs w:val="28"/>
        </w:rPr>
        <w:t>Fortalecer las políticas de transparencia y uso racional de tecnologías en salud en el marco de autorregulación médica.</w:t>
      </w:r>
    </w:p>
    <w:p w:rsidR="008F182C" w:rsidRPr="00274507" w:rsidRDefault="008F182C" w:rsidP="00274507">
      <w:pPr>
        <w:pStyle w:val="Prrafodelista"/>
        <w:numPr>
          <w:ilvl w:val="0"/>
          <w:numId w:val="12"/>
        </w:numPr>
        <w:jc w:val="both"/>
        <w:rPr>
          <w:bCs/>
          <w:sz w:val="28"/>
          <w:szCs w:val="28"/>
        </w:rPr>
      </w:pPr>
      <w:r w:rsidRPr="00274507">
        <w:rPr>
          <w:bCs/>
          <w:sz w:val="28"/>
          <w:szCs w:val="28"/>
        </w:rPr>
        <w:t>Fortalecer la política farmacéutica y control de precios con el liderazgo del Ministerio y Protección Social.</w:t>
      </w:r>
    </w:p>
    <w:p w:rsidR="004B507D" w:rsidRPr="00274507" w:rsidRDefault="004B507D" w:rsidP="00274507">
      <w:pPr>
        <w:pStyle w:val="Prrafodelista"/>
        <w:tabs>
          <w:tab w:val="left" w:pos="851"/>
        </w:tabs>
        <w:ind w:left="0"/>
        <w:jc w:val="both"/>
        <w:rPr>
          <w:sz w:val="28"/>
          <w:szCs w:val="28"/>
        </w:rPr>
      </w:pPr>
    </w:p>
    <w:p w:rsidR="00CC552B" w:rsidRPr="00274507" w:rsidRDefault="00091C9D" w:rsidP="00274507">
      <w:pPr>
        <w:pStyle w:val="Prrafodelista"/>
        <w:tabs>
          <w:tab w:val="left" w:pos="851"/>
        </w:tabs>
        <w:ind w:left="0"/>
        <w:jc w:val="both"/>
        <w:rPr>
          <w:sz w:val="28"/>
          <w:szCs w:val="28"/>
        </w:rPr>
      </w:pPr>
      <w:r w:rsidRPr="00274507">
        <w:rPr>
          <w:sz w:val="28"/>
          <w:szCs w:val="28"/>
        </w:rPr>
        <w:t xml:space="preserve">De lo anterior, considera este </w:t>
      </w:r>
      <w:r w:rsidR="00EF128F" w:rsidRPr="00274507">
        <w:rPr>
          <w:sz w:val="28"/>
          <w:szCs w:val="28"/>
        </w:rPr>
        <w:t>Tribunal que</w:t>
      </w:r>
      <w:r w:rsidR="00CC552B" w:rsidRPr="00274507">
        <w:rPr>
          <w:sz w:val="28"/>
          <w:szCs w:val="28"/>
        </w:rPr>
        <w:t xml:space="preserve"> </w:t>
      </w:r>
      <w:r w:rsidR="00EF128F" w:rsidRPr="00274507">
        <w:rPr>
          <w:sz w:val="28"/>
          <w:szCs w:val="28"/>
        </w:rPr>
        <w:t xml:space="preserve">el Ministerio de Salud </w:t>
      </w:r>
      <w:r w:rsidR="00CC552B" w:rsidRPr="00274507">
        <w:rPr>
          <w:sz w:val="28"/>
          <w:szCs w:val="28"/>
        </w:rPr>
        <w:t>podría demostrar el mejoramiento</w:t>
      </w:r>
      <w:r w:rsidR="00EF128F" w:rsidRPr="00274507">
        <w:rPr>
          <w:sz w:val="28"/>
          <w:szCs w:val="28"/>
        </w:rPr>
        <w:t xml:space="preserve"> en el sistema, sí en los </w:t>
      </w:r>
      <w:r w:rsidR="00CC552B" w:rsidRPr="00274507">
        <w:rPr>
          <w:sz w:val="28"/>
          <w:szCs w:val="28"/>
        </w:rPr>
        <w:t xml:space="preserve">informes futuros, </w:t>
      </w:r>
      <w:r w:rsidR="00EF128F" w:rsidRPr="00274507">
        <w:rPr>
          <w:sz w:val="28"/>
          <w:szCs w:val="28"/>
        </w:rPr>
        <w:t>proyecta las tutelas a partir de dichas características y se puede evaluar la condición anterior y actual de los expedientes allí analizados.</w:t>
      </w:r>
    </w:p>
    <w:p w:rsidR="00CC552B" w:rsidRPr="00274507" w:rsidRDefault="00CC552B" w:rsidP="00274507">
      <w:pPr>
        <w:pStyle w:val="Prrafodelista"/>
        <w:tabs>
          <w:tab w:val="left" w:pos="851"/>
        </w:tabs>
        <w:ind w:left="0"/>
        <w:jc w:val="both"/>
        <w:rPr>
          <w:sz w:val="28"/>
          <w:szCs w:val="28"/>
        </w:rPr>
      </w:pPr>
    </w:p>
    <w:p w:rsidR="00A46695" w:rsidRPr="00274507" w:rsidRDefault="00A46695" w:rsidP="00274507">
      <w:pPr>
        <w:jc w:val="both"/>
        <w:rPr>
          <w:rFonts w:eastAsia="MS Mincho"/>
          <w:color w:val="000000" w:themeColor="text1"/>
          <w:sz w:val="28"/>
          <w:szCs w:val="28"/>
          <w:lang w:eastAsia="en-US"/>
        </w:rPr>
      </w:pPr>
      <w:r w:rsidRPr="00274507">
        <w:rPr>
          <w:rFonts w:eastAsia="MS Mincho"/>
          <w:color w:val="000000" w:themeColor="text1"/>
          <w:sz w:val="28"/>
          <w:szCs w:val="28"/>
          <w:lang w:eastAsia="en-US"/>
        </w:rPr>
        <w:t>Aunado a ello,</w:t>
      </w:r>
      <w:r w:rsidR="00CA2F6D" w:rsidRPr="00274507">
        <w:rPr>
          <w:rFonts w:eastAsia="MS Mincho"/>
          <w:color w:val="000000" w:themeColor="text1"/>
          <w:sz w:val="28"/>
          <w:szCs w:val="28"/>
          <w:lang w:eastAsia="en-US"/>
        </w:rPr>
        <w:t xml:space="preserve"> teniendo en cuenta que</w:t>
      </w:r>
      <w:r w:rsidRPr="00274507">
        <w:rPr>
          <w:rFonts w:eastAsia="MS Mincho"/>
          <w:color w:val="000000" w:themeColor="text1"/>
          <w:sz w:val="28"/>
          <w:szCs w:val="28"/>
          <w:lang w:eastAsia="en-US"/>
        </w:rPr>
        <w:t xml:space="preserve"> se reformó el SGSSS </w:t>
      </w:r>
      <w:r w:rsidR="00F07F46" w:rsidRPr="00274507">
        <w:rPr>
          <w:rFonts w:eastAsia="MS Mincho"/>
          <w:color w:val="000000" w:themeColor="text1"/>
          <w:sz w:val="28"/>
          <w:szCs w:val="28"/>
          <w:lang w:eastAsia="en-US"/>
        </w:rPr>
        <w:t xml:space="preserve">y se pretendió </w:t>
      </w:r>
      <w:r w:rsidRPr="00274507">
        <w:rPr>
          <w:rFonts w:eastAsia="MS Mincho"/>
          <w:color w:val="000000" w:themeColor="text1"/>
          <w:sz w:val="28"/>
          <w:szCs w:val="28"/>
          <w:lang w:eastAsia="en-US"/>
        </w:rPr>
        <w:t xml:space="preserve">fortalecerlo a través de acciones coordinadas entre el Estado las </w:t>
      </w:r>
      <w:r w:rsidR="002E3EE9" w:rsidRPr="00274507">
        <w:rPr>
          <w:rFonts w:eastAsia="MS Mincho"/>
          <w:color w:val="000000" w:themeColor="text1"/>
          <w:sz w:val="28"/>
          <w:szCs w:val="28"/>
          <w:lang w:eastAsia="en-US"/>
        </w:rPr>
        <w:t xml:space="preserve">instituciones y los ciudadanos, se expidió la </w:t>
      </w:r>
      <w:r w:rsidRPr="00274507">
        <w:rPr>
          <w:rFonts w:eastAsia="MS Mincho"/>
          <w:color w:val="000000" w:themeColor="text1"/>
          <w:sz w:val="28"/>
          <w:szCs w:val="28"/>
          <w:lang w:eastAsia="en-US"/>
        </w:rPr>
        <w:t>Ley 1438 de 2011,</w:t>
      </w:r>
      <w:r w:rsidR="002E3EE9" w:rsidRPr="00274507">
        <w:rPr>
          <w:rFonts w:eastAsia="MS Mincho"/>
          <w:color w:val="000000" w:themeColor="text1"/>
          <w:sz w:val="28"/>
          <w:szCs w:val="28"/>
          <w:lang w:eastAsia="en-US"/>
        </w:rPr>
        <w:t xml:space="preserve"> sin embargo, al implementarla </w:t>
      </w:r>
      <w:r w:rsidRPr="00274507">
        <w:rPr>
          <w:rFonts w:eastAsia="MS Mincho"/>
          <w:color w:val="000000" w:themeColor="text1"/>
          <w:sz w:val="28"/>
          <w:szCs w:val="28"/>
          <w:lang w:eastAsia="en-US"/>
        </w:rPr>
        <w:t xml:space="preserve"> no fue suficiente para </w:t>
      </w:r>
      <w:r w:rsidR="00806B61" w:rsidRPr="00274507">
        <w:rPr>
          <w:rFonts w:eastAsia="MS Mincho"/>
          <w:color w:val="000000" w:themeColor="text1"/>
          <w:sz w:val="28"/>
          <w:szCs w:val="28"/>
          <w:lang w:eastAsia="en-US"/>
        </w:rPr>
        <w:t>garantizar el derecho a la salud de los colombianos, ya que las fallas estructurales que se evidenciaron desde la sentencia T-760 de 2008, persistían.</w:t>
      </w:r>
    </w:p>
    <w:p w:rsidR="00806B61" w:rsidRPr="00274507" w:rsidRDefault="00806B61" w:rsidP="00274507">
      <w:pPr>
        <w:jc w:val="both"/>
        <w:rPr>
          <w:rFonts w:eastAsia="MS Mincho"/>
          <w:color w:val="000000" w:themeColor="text1"/>
          <w:sz w:val="28"/>
          <w:szCs w:val="28"/>
          <w:lang w:eastAsia="en-US"/>
        </w:rPr>
      </w:pPr>
    </w:p>
    <w:p w:rsidR="00A46695" w:rsidRPr="00274507" w:rsidRDefault="00806B61" w:rsidP="00274507">
      <w:pPr>
        <w:jc w:val="both"/>
        <w:rPr>
          <w:rFonts w:eastAsia="MS Mincho"/>
          <w:color w:val="000000" w:themeColor="text1"/>
          <w:sz w:val="28"/>
          <w:szCs w:val="28"/>
          <w:lang w:eastAsia="en-US"/>
        </w:rPr>
      </w:pPr>
      <w:r w:rsidRPr="00274507">
        <w:rPr>
          <w:rFonts w:eastAsia="MS Mincho"/>
          <w:color w:val="000000" w:themeColor="text1"/>
          <w:sz w:val="28"/>
          <w:szCs w:val="28"/>
          <w:lang w:eastAsia="en-US"/>
        </w:rPr>
        <w:t xml:space="preserve">Como consecuencia, se expido la </w:t>
      </w:r>
      <w:r w:rsidR="00A46695" w:rsidRPr="00274507">
        <w:rPr>
          <w:rFonts w:eastAsia="MS Mincho"/>
          <w:color w:val="000000" w:themeColor="text1"/>
          <w:sz w:val="28"/>
          <w:szCs w:val="28"/>
          <w:lang w:eastAsia="en-US"/>
        </w:rPr>
        <w:t>Ley Estatutaria 1751 de 2015, mediante la cual se reglamentó el derecho fundamental de la salud y se establecieron una serie de parámetros para: i) diseñar progresivamente un esquema de protección del derecho a la salud basado en exclusiones; ii) definir un mecanismo de exclusiones legítimo que cumpla con los requisitos constitucionales y sea acatado y respetado por la ciudadanía, las autoridades judiciales y los agentes del sector; iii) fortalecer las políticas de transparencia y uso racional de tecnologías en salud en el marco de la autorregulación médica y iv) fortalecer la política farmacéutica y control de precios con el liderazgo del Ministerio.</w:t>
      </w:r>
    </w:p>
    <w:p w:rsidR="00442334" w:rsidRPr="00274507" w:rsidRDefault="00442334" w:rsidP="00274507">
      <w:pPr>
        <w:jc w:val="both"/>
        <w:rPr>
          <w:rFonts w:eastAsia="MS Mincho"/>
          <w:color w:val="000000" w:themeColor="text1"/>
          <w:sz w:val="28"/>
          <w:szCs w:val="28"/>
          <w:lang w:eastAsia="en-US"/>
        </w:rPr>
      </w:pPr>
    </w:p>
    <w:p w:rsidR="00A46695" w:rsidRPr="00274507" w:rsidRDefault="00806B61" w:rsidP="00274507">
      <w:pPr>
        <w:tabs>
          <w:tab w:val="left" w:pos="567"/>
        </w:tabs>
        <w:jc w:val="both"/>
        <w:rPr>
          <w:sz w:val="28"/>
          <w:szCs w:val="28"/>
        </w:rPr>
      </w:pPr>
      <w:r w:rsidRPr="00274507">
        <w:rPr>
          <w:rFonts w:eastAsia="MS Mincho"/>
          <w:color w:val="000000" w:themeColor="text1"/>
          <w:sz w:val="28"/>
          <w:szCs w:val="28"/>
          <w:lang w:eastAsia="en-US"/>
        </w:rPr>
        <w:t>Esta Sala considera que dicha Ley mediante la</w:t>
      </w:r>
      <w:r w:rsidR="00A46695" w:rsidRPr="00274507">
        <w:rPr>
          <w:bCs/>
          <w:sz w:val="28"/>
          <w:szCs w:val="28"/>
        </w:rPr>
        <w:t xml:space="preserve"> cual se reguló el derecho fundamental a la salud, se pretende superar las situaciones que afronta actualmente la sociedad en el sistema, sin embargo, para determinar si es efectiva, debe ser evaluada con el fin de que se observen los resultados favorables a corto, mediano y largo plazo.  </w:t>
      </w:r>
    </w:p>
    <w:p w:rsidR="00A46695" w:rsidRPr="00274507" w:rsidRDefault="00A46695" w:rsidP="00274507">
      <w:pPr>
        <w:pStyle w:val="Prrafodelista"/>
        <w:tabs>
          <w:tab w:val="left" w:pos="851"/>
        </w:tabs>
        <w:ind w:left="0"/>
        <w:jc w:val="both"/>
        <w:rPr>
          <w:sz w:val="28"/>
          <w:szCs w:val="28"/>
        </w:rPr>
      </w:pPr>
    </w:p>
    <w:p w:rsidR="00291949" w:rsidRPr="00274507" w:rsidRDefault="00EF128F" w:rsidP="00274507">
      <w:pPr>
        <w:jc w:val="both"/>
        <w:rPr>
          <w:bCs/>
          <w:sz w:val="28"/>
          <w:szCs w:val="28"/>
        </w:rPr>
      </w:pPr>
      <w:r w:rsidRPr="00274507">
        <w:rPr>
          <w:bCs/>
          <w:sz w:val="28"/>
          <w:szCs w:val="28"/>
        </w:rPr>
        <w:t>De igual forma, sucede con la evaluación de los efectos generados con la expedi</w:t>
      </w:r>
      <w:r w:rsidR="00291949" w:rsidRPr="00274507">
        <w:rPr>
          <w:bCs/>
          <w:sz w:val="28"/>
          <w:szCs w:val="28"/>
        </w:rPr>
        <w:t xml:space="preserve">ción de la Ley 1751 de 2015 </w:t>
      </w:r>
      <w:r w:rsidRPr="00274507">
        <w:rPr>
          <w:bCs/>
          <w:sz w:val="28"/>
          <w:szCs w:val="28"/>
        </w:rPr>
        <w:t xml:space="preserve">mediante la cual </w:t>
      </w:r>
      <w:r w:rsidR="00291949" w:rsidRPr="00274507">
        <w:rPr>
          <w:bCs/>
          <w:sz w:val="28"/>
          <w:szCs w:val="28"/>
        </w:rPr>
        <w:t xml:space="preserve">se reguló el </w:t>
      </w:r>
      <w:r w:rsidRPr="00274507">
        <w:rPr>
          <w:bCs/>
          <w:sz w:val="28"/>
          <w:szCs w:val="28"/>
        </w:rPr>
        <w:t>derecho fundamental de la salud, en la cual se</w:t>
      </w:r>
      <w:r w:rsidR="00291949" w:rsidRPr="00274507">
        <w:rPr>
          <w:bCs/>
          <w:sz w:val="28"/>
          <w:szCs w:val="28"/>
        </w:rPr>
        <w:t xml:space="preserve"> incluyeron conceptos desarrollados en la T-760 de 2008, a partir</w:t>
      </w:r>
      <w:r w:rsidRPr="00274507">
        <w:rPr>
          <w:bCs/>
          <w:sz w:val="28"/>
          <w:szCs w:val="28"/>
        </w:rPr>
        <w:t>,</w:t>
      </w:r>
      <w:r w:rsidR="00291949" w:rsidRPr="00274507">
        <w:rPr>
          <w:bCs/>
          <w:sz w:val="28"/>
          <w:szCs w:val="28"/>
        </w:rPr>
        <w:t xml:space="preserve"> de la cual se implementaron normas para garantizar el goce efectivo del derecho a la salud mediante la atención integral en salud, la continuidad en la afiliación, actualización e incremento de la unidad de pago por capacitación con el fin de permitir a los afiliados el acceso y la disponibilidad de tecnologías excluidas el Pos.</w:t>
      </w:r>
    </w:p>
    <w:p w:rsidR="00291949" w:rsidRPr="00274507" w:rsidRDefault="00291949" w:rsidP="00274507">
      <w:pPr>
        <w:pStyle w:val="Prrafodelista"/>
        <w:tabs>
          <w:tab w:val="left" w:pos="851"/>
        </w:tabs>
        <w:ind w:left="0"/>
        <w:jc w:val="both"/>
        <w:rPr>
          <w:sz w:val="28"/>
          <w:szCs w:val="28"/>
        </w:rPr>
      </w:pPr>
    </w:p>
    <w:p w:rsidR="0090137D" w:rsidRPr="00274507" w:rsidRDefault="00EF128F" w:rsidP="00274507">
      <w:pPr>
        <w:pStyle w:val="Prrafodelista"/>
        <w:tabs>
          <w:tab w:val="left" w:pos="851"/>
        </w:tabs>
        <w:ind w:left="0"/>
        <w:jc w:val="both"/>
        <w:rPr>
          <w:sz w:val="28"/>
          <w:szCs w:val="28"/>
        </w:rPr>
      </w:pPr>
      <w:r w:rsidRPr="00274507">
        <w:rPr>
          <w:sz w:val="28"/>
          <w:szCs w:val="28"/>
        </w:rPr>
        <w:t>Así</w:t>
      </w:r>
      <w:r w:rsidR="000A45C9" w:rsidRPr="00274507">
        <w:rPr>
          <w:sz w:val="28"/>
          <w:szCs w:val="28"/>
        </w:rPr>
        <w:t xml:space="preserve">, con la entrada en vigencia de </w:t>
      </w:r>
      <w:r w:rsidRPr="00274507">
        <w:rPr>
          <w:sz w:val="28"/>
          <w:szCs w:val="28"/>
        </w:rPr>
        <w:t xml:space="preserve">dicha ley </w:t>
      </w:r>
      <w:r w:rsidR="000A45C9" w:rsidRPr="00274507">
        <w:rPr>
          <w:sz w:val="28"/>
          <w:szCs w:val="28"/>
        </w:rPr>
        <w:t>espera que las condiciones estructurales y funcionales de los actores del Sistema sean adecuados de modo que sea superado cualquier obstáculo que enfrenta actualmente los pacientes al reclamar una efectiva prestación del servicio a la salud y el goce del mismo, no obstante, el Ministerio en el informe futuro deberá analizar las causas principales de la negación de cada uno de los servicios requeridos previo y posterior a la enunciada norma, con el fin de comparar el aumento o la disminuc</w:t>
      </w:r>
      <w:r w:rsidR="00200283" w:rsidRPr="00274507">
        <w:rPr>
          <w:sz w:val="28"/>
          <w:szCs w:val="28"/>
        </w:rPr>
        <w:t xml:space="preserve">ión de la demanda de servicios y </w:t>
      </w:r>
      <w:r w:rsidR="000A45C9" w:rsidRPr="00274507">
        <w:rPr>
          <w:sz w:val="28"/>
          <w:szCs w:val="28"/>
        </w:rPr>
        <w:t>con el propósito de demostrar su eficacia y remover cualquier barrera del sistema.</w:t>
      </w:r>
    </w:p>
    <w:p w:rsidR="00B170D2" w:rsidRPr="00274507" w:rsidRDefault="00B170D2" w:rsidP="00274507">
      <w:pPr>
        <w:jc w:val="both"/>
        <w:rPr>
          <w:sz w:val="28"/>
          <w:szCs w:val="28"/>
        </w:rPr>
      </w:pPr>
    </w:p>
    <w:p w:rsidR="00CB6945" w:rsidRPr="00274507" w:rsidRDefault="00D05C0C" w:rsidP="00274507">
      <w:pPr>
        <w:tabs>
          <w:tab w:val="left" w:pos="567"/>
        </w:tabs>
        <w:jc w:val="both"/>
        <w:rPr>
          <w:b/>
          <w:bCs/>
          <w:sz w:val="28"/>
          <w:szCs w:val="28"/>
        </w:rPr>
      </w:pPr>
      <w:r w:rsidRPr="00274507">
        <w:rPr>
          <w:b/>
          <w:bCs/>
          <w:sz w:val="28"/>
          <w:szCs w:val="28"/>
        </w:rPr>
        <w:t>8</w:t>
      </w:r>
      <w:r w:rsidR="006C6C8D" w:rsidRPr="00274507">
        <w:rPr>
          <w:b/>
          <w:bCs/>
          <w:sz w:val="28"/>
          <w:szCs w:val="28"/>
        </w:rPr>
        <w:t xml:space="preserve">. </w:t>
      </w:r>
      <w:r w:rsidR="00442374" w:rsidRPr="00274507">
        <w:rPr>
          <w:b/>
          <w:bCs/>
          <w:sz w:val="28"/>
          <w:szCs w:val="28"/>
        </w:rPr>
        <w:t xml:space="preserve">Valoración de cumplimiento de la orden </w:t>
      </w:r>
      <w:r w:rsidR="00CB6945" w:rsidRPr="00274507">
        <w:rPr>
          <w:b/>
          <w:bCs/>
          <w:sz w:val="28"/>
          <w:szCs w:val="28"/>
        </w:rPr>
        <w:t xml:space="preserve">trigésima. </w:t>
      </w:r>
    </w:p>
    <w:p w:rsidR="006D48A9" w:rsidRPr="00274507" w:rsidRDefault="006D48A9" w:rsidP="00274507">
      <w:pPr>
        <w:tabs>
          <w:tab w:val="left" w:pos="567"/>
        </w:tabs>
        <w:jc w:val="both"/>
        <w:rPr>
          <w:b/>
          <w:bCs/>
          <w:sz w:val="28"/>
          <w:szCs w:val="28"/>
        </w:rPr>
      </w:pPr>
    </w:p>
    <w:p w:rsidR="001D383C" w:rsidRPr="00274507" w:rsidRDefault="00D05C0C" w:rsidP="00274507">
      <w:pPr>
        <w:tabs>
          <w:tab w:val="left" w:pos="0"/>
          <w:tab w:val="left" w:pos="709"/>
        </w:tabs>
        <w:jc w:val="both"/>
        <w:rPr>
          <w:sz w:val="28"/>
          <w:szCs w:val="28"/>
        </w:rPr>
      </w:pPr>
      <w:r w:rsidRPr="00274507">
        <w:rPr>
          <w:sz w:val="28"/>
          <w:szCs w:val="28"/>
        </w:rPr>
        <w:t>8</w:t>
      </w:r>
      <w:r w:rsidR="00877E4F" w:rsidRPr="00274507">
        <w:rPr>
          <w:sz w:val="28"/>
          <w:szCs w:val="28"/>
        </w:rPr>
        <w:t>.1. De</w:t>
      </w:r>
      <w:r w:rsidR="001D383C" w:rsidRPr="00274507">
        <w:rPr>
          <w:sz w:val="28"/>
          <w:szCs w:val="28"/>
        </w:rPr>
        <w:t xml:space="preserve"> las consideraciones anteriorment</w:t>
      </w:r>
      <w:r w:rsidR="001E32D5" w:rsidRPr="00274507">
        <w:rPr>
          <w:sz w:val="28"/>
          <w:szCs w:val="28"/>
        </w:rPr>
        <w:t xml:space="preserve">e expuestas, esta Sala observa </w:t>
      </w:r>
      <w:r w:rsidR="00045C7A" w:rsidRPr="00274507">
        <w:rPr>
          <w:sz w:val="28"/>
          <w:szCs w:val="28"/>
        </w:rPr>
        <w:t xml:space="preserve">que </w:t>
      </w:r>
      <w:r w:rsidR="001D383C" w:rsidRPr="00274507">
        <w:rPr>
          <w:sz w:val="28"/>
          <w:szCs w:val="28"/>
        </w:rPr>
        <w:t>pese a los años que han trascurrido</w:t>
      </w:r>
      <w:r w:rsidR="00045C7A" w:rsidRPr="00274507">
        <w:rPr>
          <w:sz w:val="28"/>
          <w:szCs w:val="28"/>
        </w:rPr>
        <w:t xml:space="preserve"> para el cumplimiento de la orden</w:t>
      </w:r>
      <w:r w:rsidR="001E32D5" w:rsidRPr="00274507">
        <w:rPr>
          <w:sz w:val="28"/>
          <w:szCs w:val="28"/>
        </w:rPr>
        <w:t xml:space="preserve">, </w:t>
      </w:r>
      <w:r w:rsidR="00401D90" w:rsidRPr="00274507">
        <w:rPr>
          <w:sz w:val="28"/>
          <w:szCs w:val="28"/>
        </w:rPr>
        <w:t>las medidas son conducentes para el acatamiento de los ejes temáticos advertidos en la sentencia T-760 de 2008, sin embargo, no abordan las acciones en torno a los requerimientos propios de la orden trigésima, en ese sentido, no acreditan los resultados</w:t>
      </w:r>
      <w:r w:rsidR="00401D90" w:rsidRPr="00274507">
        <w:rPr>
          <w:rStyle w:val="Refdenotaalpie"/>
          <w:sz w:val="28"/>
          <w:szCs w:val="28"/>
        </w:rPr>
        <w:footnoteReference w:id="224"/>
      </w:r>
      <w:r w:rsidR="00401D90" w:rsidRPr="00274507">
        <w:rPr>
          <w:sz w:val="28"/>
          <w:szCs w:val="28"/>
        </w:rPr>
        <w:t xml:space="preserve"> para el cumplimiento de la misma y por el contrario, se observa que persisten las </w:t>
      </w:r>
      <w:r w:rsidR="001D383C" w:rsidRPr="00274507">
        <w:rPr>
          <w:sz w:val="28"/>
          <w:szCs w:val="28"/>
        </w:rPr>
        <w:t>barreras que se imponen a los usuarios y que los insta</w:t>
      </w:r>
      <w:r w:rsidR="00401D90" w:rsidRPr="00274507">
        <w:rPr>
          <w:sz w:val="28"/>
          <w:szCs w:val="28"/>
        </w:rPr>
        <w:t xml:space="preserve"> a presentar acciones de tutela</w:t>
      </w:r>
      <w:r w:rsidR="001D383C" w:rsidRPr="00274507">
        <w:rPr>
          <w:sz w:val="28"/>
          <w:szCs w:val="28"/>
        </w:rPr>
        <w:t>.</w:t>
      </w:r>
    </w:p>
    <w:p w:rsidR="001D383C" w:rsidRPr="00274507" w:rsidRDefault="001D383C" w:rsidP="00274507">
      <w:pPr>
        <w:tabs>
          <w:tab w:val="left" w:pos="567"/>
        </w:tabs>
        <w:jc w:val="both"/>
        <w:rPr>
          <w:sz w:val="28"/>
          <w:szCs w:val="28"/>
        </w:rPr>
      </w:pPr>
    </w:p>
    <w:p w:rsidR="00877E4F" w:rsidRPr="00274507" w:rsidRDefault="00877E4F" w:rsidP="00274507">
      <w:pPr>
        <w:tabs>
          <w:tab w:val="left" w:pos="567"/>
        </w:tabs>
        <w:jc w:val="both"/>
        <w:rPr>
          <w:sz w:val="28"/>
          <w:szCs w:val="28"/>
        </w:rPr>
      </w:pPr>
      <w:r w:rsidRPr="00274507">
        <w:rPr>
          <w:sz w:val="28"/>
          <w:szCs w:val="28"/>
        </w:rPr>
        <w:t xml:space="preserve">Así, pese a que el Ministerio demostró un avance en la metodología implementada para </w:t>
      </w:r>
    </w:p>
    <w:p w:rsidR="00877E4F" w:rsidRPr="00274507" w:rsidRDefault="00877E4F" w:rsidP="00274507">
      <w:pPr>
        <w:tabs>
          <w:tab w:val="left" w:pos="567"/>
        </w:tabs>
        <w:jc w:val="both"/>
        <w:rPr>
          <w:sz w:val="28"/>
          <w:szCs w:val="28"/>
        </w:rPr>
      </w:pPr>
      <w:r w:rsidRPr="00274507">
        <w:rPr>
          <w:sz w:val="28"/>
          <w:szCs w:val="28"/>
        </w:rPr>
        <w:t xml:space="preserve">obtener una muestra representativa con un margen de error mínimo y una caracterización más precisa del estudio de cada expediente analizado para obtener los resultados certeros, </w:t>
      </w:r>
      <w:r w:rsidR="00DD15C3" w:rsidRPr="00274507">
        <w:rPr>
          <w:sz w:val="28"/>
          <w:szCs w:val="28"/>
        </w:rPr>
        <w:t>no es posible aú</w:t>
      </w:r>
      <w:r w:rsidRPr="00274507">
        <w:rPr>
          <w:sz w:val="28"/>
          <w:szCs w:val="28"/>
        </w:rPr>
        <w:t>n determinar que la problemática contenida y desarrollada a lo largo de este temario se vaya a superar, máxime cuando se encuentra condicionada de forma principal a la construcción de los indicadores de goce efectivo del derecho y a la voluntad del ente regulador en adoptar las medidas requeridas y ejecutar las acciones pertinentes a obtener resultados diferentes a los ahora analizados.</w:t>
      </w:r>
    </w:p>
    <w:p w:rsidR="00877E4F" w:rsidRPr="00274507" w:rsidRDefault="00877E4F" w:rsidP="00274507">
      <w:pPr>
        <w:tabs>
          <w:tab w:val="left" w:pos="567"/>
        </w:tabs>
        <w:jc w:val="both"/>
        <w:rPr>
          <w:sz w:val="28"/>
          <w:szCs w:val="28"/>
        </w:rPr>
      </w:pPr>
    </w:p>
    <w:p w:rsidR="00877E4F" w:rsidRPr="00274507" w:rsidRDefault="00877E4F" w:rsidP="00274507">
      <w:pPr>
        <w:tabs>
          <w:tab w:val="left" w:pos="567"/>
        </w:tabs>
        <w:jc w:val="both"/>
        <w:rPr>
          <w:sz w:val="28"/>
          <w:szCs w:val="28"/>
        </w:rPr>
      </w:pPr>
      <w:r w:rsidRPr="00274507">
        <w:rPr>
          <w:sz w:val="28"/>
          <w:szCs w:val="28"/>
        </w:rPr>
        <w:t>Como lo ha señalado la Sala Especial</w:t>
      </w:r>
      <w:r w:rsidRPr="00274507">
        <w:rPr>
          <w:rStyle w:val="Refdenotaalpie"/>
          <w:sz w:val="28"/>
          <w:szCs w:val="28"/>
        </w:rPr>
        <w:footnoteReference w:id="225"/>
      </w:r>
      <w:r w:rsidRPr="00274507">
        <w:rPr>
          <w:sz w:val="28"/>
          <w:szCs w:val="28"/>
        </w:rPr>
        <w:t>, no basta con la observancia formal de los requisitos exigidos, sino que es necesario que haya un cumplimiento material de las disposiciones de la Corte</w:t>
      </w:r>
      <w:r w:rsidRPr="00274507">
        <w:rPr>
          <w:rStyle w:val="Refdenotaalpie"/>
          <w:sz w:val="28"/>
          <w:szCs w:val="28"/>
        </w:rPr>
        <w:footnoteReference w:id="226"/>
      </w:r>
      <w:r w:rsidRPr="00274507">
        <w:rPr>
          <w:sz w:val="28"/>
          <w:szCs w:val="28"/>
        </w:rPr>
        <w:t xml:space="preserve">, que se traduzca en la adopción  de </w:t>
      </w:r>
      <w:r w:rsidR="00691C37" w:rsidRPr="00274507">
        <w:rPr>
          <w:sz w:val="28"/>
          <w:szCs w:val="28"/>
        </w:rPr>
        <w:t xml:space="preserve">políticas públicas </w:t>
      </w:r>
      <w:r w:rsidRPr="00274507">
        <w:rPr>
          <w:sz w:val="28"/>
          <w:szCs w:val="28"/>
        </w:rPr>
        <w:t>eficaces que propicien resultados concretos donde se pueda evidenciar que se ha superado la falla estructural, funcional, administrativo, financiero y demás que dio origen a la providencia objeto de supervisión</w:t>
      </w:r>
    </w:p>
    <w:p w:rsidR="00877E4F" w:rsidRPr="00274507" w:rsidRDefault="00877E4F" w:rsidP="00274507">
      <w:pPr>
        <w:tabs>
          <w:tab w:val="left" w:pos="567"/>
        </w:tabs>
        <w:jc w:val="both"/>
        <w:rPr>
          <w:sz w:val="28"/>
          <w:szCs w:val="28"/>
        </w:rPr>
      </w:pPr>
    </w:p>
    <w:p w:rsidR="00877E4F" w:rsidRPr="00274507" w:rsidRDefault="00D05C0C" w:rsidP="00274507">
      <w:pPr>
        <w:tabs>
          <w:tab w:val="left" w:pos="567"/>
        </w:tabs>
        <w:jc w:val="both"/>
        <w:rPr>
          <w:sz w:val="28"/>
          <w:szCs w:val="28"/>
        </w:rPr>
      </w:pPr>
      <w:r w:rsidRPr="00274507">
        <w:rPr>
          <w:sz w:val="28"/>
          <w:szCs w:val="28"/>
        </w:rPr>
        <w:t>8</w:t>
      </w:r>
      <w:r w:rsidR="00877E4F" w:rsidRPr="00274507">
        <w:rPr>
          <w:sz w:val="28"/>
          <w:szCs w:val="28"/>
        </w:rPr>
        <w:t>.2. En la orden trigésima se establecieron los siguientes aspectos: i) presentar unos informes anuales</w:t>
      </w:r>
      <w:r w:rsidR="00D42D78" w:rsidRPr="00274507">
        <w:rPr>
          <w:sz w:val="28"/>
          <w:szCs w:val="28"/>
        </w:rPr>
        <w:t xml:space="preserve"> ante </w:t>
      </w:r>
      <w:r w:rsidR="00691C37" w:rsidRPr="00274507">
        <w:rPr>
          <w:sz w:val="28"/>
          <w:szCs w:val="28"/>
        </w:rPr>
        <w:t>la Corte</w:t>
      </w:r>
      <w:r w:rsidR="00D42D78" w:rsidRPr="00274507">
        <w:rPr>
          <w:sz w:val="28"/>
          <w:szCs w:val="28"/>
        </w:rPr>
        <w:t xml:space="preserve">, la Procuraduría General de la Nación y la </w:t>
      </w:r>
      <w:r w:rsidR="00BA1CFC" w:rsidRPr="00274507">
        <w:rPr>
          <w:sz w:val="28"/>
          <w:szCs w:val="28"/>
        </w:rPr>
        <w:t>Defensoría</w:t>
      </w:r>
      <w:r w:rsidR="00D42D78" w:rsidRPr="00274507">
        <w:rPr>
          <w:sz w:val="28"/>
          <w:szCs w:val="28"/>
        </w:rPr>
        <w:t xml:space="preserve"> del Pueblo</w:t>
      </w:r>
      <w:r w:rsidR="00877E4F" w:rsidRPr="00274507">
        <w:rPr>
          <w:sz w:val="28"/>
          <w:szCs w:val="28"/>
        </w:rPr>
        <w:t xml:space="preserve"> en el que mida las acciones de tutela que resuelvan los problemas jurídicos mencionados en la sentencia; ii) la reducción de la presentación de tutelas para acceder a los servicios como indicador de cumplimiento de la sentencia y iii)</w:t>
      </w:r>
      <w:r w:rsidR="00D42D78" w:rsidRPr="00274507">
        <w:rPr>
          <w:sz w:val="28"/>
          <w:szCs w:val="28"/>
        </w:rPr>
        <w:t xml:space="preserve"> la obligación de elaborar indicadores para evaluar el sistema de salud desde la perspectiva del goce efectivo del derecho.</w:t>
      </w:r>
    </w:p>
    <w:p w:rsidR="00D42D78" w:rsidRPr="00274507" w:rsidRDefault="00D42D78" w:rsidP="00274507">
      <w:pPr>
        <w:tabs>
          <w:tab w:val="left" w:pos="567"/>
        </w:tabs>
        <w:jc w:val="both"/>
        <w:rPr>
          <w:sz w:val="28"/>
          <w:szCs w:val="28"/>
        </w:rPr>
      </w:pPr>
    </w:p>
    <w:p w:rsidR="00D42D78" w:rsidRPr="00274507" w:rsidRDefault="00D42D78" w:rsidP="00274507">
      <w:pPr>
        <w:tabs>
          <w:tab w:val="left" w:pos="567"/>
        </w:tabs>
        <w:jc w:val="both"/>
        <w:rPr>
          <w:sz w:val="28"/>
          <w:szCs w:val="28"/>
        </w:rPr>
      </w:pPr>
      <w:r w:rsidRPr="00274507">
        <w:rPr>
          <w:sz w:val="28"/>
          <w:szCs w:val="28"/>
        </w:rPr>
        <w:t xml:space="preserve">En primer lugar, </w:t>
      </w:r>
      <w:r w:rsidR="00442374" w:rsidRPr="00274507">
        <w:rPr>
          <w:bCs/>
          <w:sz w:val="28"/>
          <w:szCs w:val="28"/>
        </w:rPr>
        <w:t xml:space="preserve">en lo que tiene que ver con </w:t>
      </w:r>
      <w:r w:rsidR="00442374" w:rsidRPr="00274507">
        <w:rPr>
          <w:b/>
          <w:bCs/>
          <w:sz w:val="28"/>
          <w:szCs w:val="28"/>
        </w:rPr>
        <w:t>la presentación de los informes</w:t>
      </w:r>
      <w:r w:rsidR="00442374" w:rsidRPr="00274507">
        <w:rPr>
          <w:bCs/>
          <w:sz w:val="28"/>
          <w:szCs w:val="28"/>
        </w:rPr>
        <w:t xml:space="preserve"> desde la expedición de la T-760 de 2008</w:t>
      </w:r>
      <w:r w:rsidR="00691C37" w:rsidRPr="00274507">
        <w:rPr>
          <w:bCs/>
          <w:sz w:val="28"/>
          <w:szCs w:val="28"/>
        </w:rPr>
        <w:t>,</w:t>
      </w:r>
      <w:r w:rsidR="00442374" w:rsidRPr="00274507">
        <w:rPr>
          <w:bCs/>
          <w:sz w:val="28"/>
          <w:szCs w:val="28"/>
        </w:rPr>
        <w:t xml:space="preserve"> </w:t>
      </w:r>
      <w:r w:rsidRPr="00274507">
        <w:rPr>
          <w:sz w:val="28"/>
          <w:szCs w:val="28"/>
        </w:rPr>
        <w:t xml:space="preserve">el Ministerio de Salud en el trascurso de los ocho años </w:t>
      </w:r>
      <w:r w:rsidR="00442374" w:rsidRPr="00274507">
        <w:rPr>
          <w:sz w:val="28"/>
          <w:szCs w:val="28"/>
        </w:rPr>
        <w:t xml:space="preserve">los </w:t>
      </w:r>
      <w:r w:rsidRPr="00274507">
        <w:rPr>
          <w:sz w:val="28"/>
          <w:szCs w:val="28"/>
        </w:rPr>
        <w:t>presentó</w:t>
      </w:r>
      <w:r w:rsidR="00D90C96" w:rsidRPr="00274507">
        <w:rPr>
          <w:sz w:val="28"/>
          <w:szCs w:val="28"/>
        </w:rPr>
        <w:t>,</w:t>
      </w:r>
      <w:r w:rsidRPr="00274507">
        <w:rPr>
          <w:sz w:val="28"/>
          <w:szCs w:val="28"/>
        </w:rPr>
        <w:t xml:space="preserve"> unos de forma extemporánea y otros en el término prescrito, en los que </w:t>
      </w:r>
      <w:r w:rsidR="00D90C96" w:rsidRPr="00274507">
        <w:rPr>
          <w:sz w:val="28"/>
          <w:szCs w:val="28"/>
        </w:rPr>
        <w:t xml:space="preserve">se evidencio del 1º al 4º solo el comportamiento de los recobros ordenados por vía judicial; del 5º al 8º se pudo constatar avances ya que opto por analizar los expedientes de tutela y revisarlos bajo estándares estadísticos que le permitieran obtener unos resultados relacionados con los problemas jurídicos descritos en la sentencia T-760 de 2008, sin embargo, estos </w:t>
      </w:r>
      <w:r w:rsidR="00DD15C3" w:rsidRPr="00274507">
        <w:rPr>
          <w:sz w:val="28"/>
          <w:szCs w:val="28"/>
        </w:rPr>
        <w:t>aún</w:t>
      </w:r>
      <w:r w:rsidR="00D90C96" w:rsidRPr="00274507">
        <w:rPr>
          <w:sz w:val="28"/>
          <w:szCs w:val="28"/>
        </w:rPr>
        <w:t xml:space="preserve"> no han sido favorables en la resolución de los mismos.</w:t>
      </w:r>
    </w:p>
    <w:p w:rsidR="00D90C96" w:rsidRPr="00274507" w:rsidRDefault="00D90C96" w:rsidP="00274507">
      <w:pPr>
        <w:tabs>
          <w:tab w:val="left" w:pos="567"/>
        </w:tabs>
        <w:jc w:val="both"/>
        <w:rPr>
          <w:sz w:val="28"/>
          <w:szCs w:val="28"/>
        </w:rPr>
      </w:pPr>
    </w:p>
    <w:p w:rsidR="009F768B" w:rsidRPr="00274507" w:rsidRDefault="009B2C92" w:rsidP="00274507">
      <w:pPr>
        <w:tabs>
          <w:tab w:val="left" w:pos="567"/>
        </w:tabs>
        <w:jc w:val="both"/>
        <w:rPr>
          <w:sz w:val="28"/>
          <w:szCs w:val="28"/>
        </w:rPr>
      </w:pPr>
      <w:r w:rsidRPr="00274507">
        <w:rPr>
          <w:sz w:val="28"/>
          <w:szCs w:val="28"/>
        </w:rPr>
        <w:t xml:space="preserve">Por </w:t>
      </w:r>
      <w:r w:rsidR="009F768B" w:rsidRPr="00274507">
        <w:rPr>
          <w:sz w:val="28"/>
          <w:szCs w:val="28"/>
        </w:rPr>
        <w:t>otra parte, de las afirmaciones expuestas por la Procuraduría General de la Nación solo ha puesto</w:t>
      </w:r>
      <w:r w:rsidR="00691C37" w:rsidRPr="00274507">
        <w:rPr>
          <w:sz w:val="28"/>
          <w:szCs w:val="28"/>
        </w:rPr>
        <w:t xml:space="preserve"> en conocimiento 4 informes y a</w:t>
      </w:r>
      <w:r w:rsidR="009F768B" w:rsidRPr="00274507">
        <w:rPr>
          <w:sz w:val="28"/>
          <w:szCs w:val="28"/>
        </w:rPr>
        <w:t xml:space="preserve"> la Defensoría del Pueblo 5, tal como fue desarrollado en el considerando 5, evidenciándose así un incumplimiento del mandato.</w:t>
      </w:r>
    </w:p>
    <w:p w:rsidR="009F768B" w:rsidRPr="00274507" w:rsidRDefault="009F768B" w:rsidP="00274507">
      <w:pPr>
        <w:tabs>
          <w:tab w:val="left" w:pos="567"/>
        </w:tabs>
        <w:jc w:val="both"/>
        <w:rPr>
          <w:sz w:val="28"/>
          <w:szCs w:val="28"/>
        </w:rPr>
      </w:pPr>
    </w:p>
    <w:p w:rsidR="00877E4F" w:rsidRPr="00274507" w:rsidRDefault="00D90C96" w:rsidP="00274507">
      <w:pPr>
        <w:tabs>
          <w:tab w:val="left" w:pos="567"/>
        </w:tabs>
        <w:jc w:val="both"/>
        <w:rPr>
          <w:sz w:val="28"/>
          <w:szCs w:val="28"/>
        </w:rPr>
      </w:pPr>
      <w:r w:rsidRPr="00274507">
        <w:rPr>
          <w:sz w:val="28"/>
          <w:szCs w:val="28"/>
        </w:rPr>
        <w:t xml:space="preserve">En segundo lugar, en lo que tiene que ver con la </w:t>
      </w:r>
      <w:r w:rsidRPr="00274507">
        <w:rPr>
          <w:b/>
          <w:sz w:val="28"/>
          <w:szCs w:val="28"/>
        </w:rPr>
        <w:t>reducción de las tutelas</w:t>
      </w:r>
      <w:r w:rsidRPr="00274507">
        <w:rPr>
          <w:sz w:val="28"/>
          <w:szCs w:val="28"/>
        </w:rPr>
        <w:t xml:space="preserve"> como incidencia en el cumplimiento del mandato, no se evidenció ya que en el último informe se pudo concluir lo contrario, es decir, un aumento considerable en la presentaci</w:t>
      </w:r>
      <w:r w:rsidR="00442374" w:rsidRPr="00274507">
        <w:rPr>
          <w:sz w:val="28"/>
          <w:szCs w:val="28"/>
        </w:rPr>
        <w:t>ón de las mismas</w:t>
      </w:r>
      <w:r w:rsidRPr="00274507">
        <w:rPr>
          <w:sz w:val="28"/>
          <w:szCs w:val="28"/>
        </w:rPr>
        <w:t xml:space="preserve"> por parte de los usuarios del sistema, en consecuencia, se desconocen cuáles </w:t>
      </w:r>
      <w:r w:rsidR="00691C37" w:rsidRPr="00274507">
        <w:rPr>
          <w:sz w:val="28"/>
          <w:szCs w:val="28"/>
        </w:rPr>
        <w:t xml:space="preserve">han sido </w:t>
      </w:r>
      <w:r w:rsidRPr="00274507">
        <w:rPr>
          <w:sz w:val="28"/>
          <w:szCs w:val="28"/>
        </w:rPr>
        <w:t>las herramientas que ha adoptado la Cartera de Salud para solucionar esta problemática.</w:t>
      </w:r>
    </w:p>
    <w:p w:rsidR="00D90C96" w:rsidRPr="00274507" w:rsidRDefault="00D90C96" w:rsidP="00274507">
      <w:pPr>
        <w:tabs>
          <w:tab w:val="left" w:pos="567"/>
        </w:tabs>
        <w:jc w:val="both"/>
        <w:rPr>
          <w:sz w:val="28"/>
          <w:szCs w:val="28"/>
        </w:rPr>
      </w:pPr>
    </w:p>
    <w:p w:rsidR="00EC4B39" w:rsidRPr="00274507" w:rsidRDefault="009B2C92" w:rsidP="00274507">
      <w:pPr>
        <w:tabs>
          <w:tab w:val="left" w:pos="567"/>
        </w:tabs>
        <w:jc w:val="both"/>
        <w:rPr>
          <w:iCs/>
          <w:sz w:val="28"/>
          <w:szCs w:val="28"/>
        </w:rPr>
      </w:pPr>
      <w:r w:rsidRPr="00274507">
        <w:rPr>
          <w:sz w:val="28"/>
          <w:szCs w:val="28"/>
        </w:rPr>
        <w:t>Aunado a ello, una vez revisado</w:t>
      </w:r>
      <w:r w:rsidR="00EC4B39" w:rsidRPr="00274507">
        <w:rPr>
          <w:sz w:val="28"/>
          <w:szCs w:val="28"/>
        </w:rPr>
        <w:t xml:space="preserve"> los análisis realizados en cada uno de los acápites del informe octavo presentado</w:t>
      </w:r>
      <w:r w:rsidRPr="00274507">
        <w:rPr>
          <w:sz w:val="28"/>
          <w:szCs w:val="28"/>
        </w:rPr>
        <w:t xml:space="preserve"> por el Ministerio de Salud</w:t>
      </w:r>
      <w:r w:rsidR="00EC4B39" w:rsidRPr="00274507">
        <w:rPr>
          <w:sz w:val="28"/>
          <w:szCs w:val="28"/>
        </w:rPr>
        <w:t>, este Tribunal pudo evidenciar que e</w:t>
      </w:r>
      <w:r w:rsidR="002E639D" w:rsidRPr="00274507">
        <w:rPr>
          <w:iCs/>
          <w:sz w:val="28"/>
          <w:szCs w:val="28"/>
        </w:rPr>
        <w:t>xiste un margen de población que no fue objeto de estudio</w:t>
      </w:r>
      <w:r w:rsidR="00612E70" w:rsidRPr="00274507">
        <w:rPr>
          <w:iCs/>
          <w:sz w:val="28"/>
          <w:szCs w:val="28"/>
        </w:rPr>
        <w:t xml:space="preserve"> en el cumplimiento de este mandato, de la cual resultaría relevante obtener información</w:t>
      </w:r>
      <w:r w:rsidR="002E639D" w:rsidRPr="00274507">
        <w:rPr>
          <w:iCs/>
          <w:sz w:val="28"/>
          <w:szCs w:val="28"/>
        </w:rPr>
        <w:t xml:space="preserve">, como la </w:t>
      </w:r>
      <w:r w:rsidR="00EC4B39" w:rsidRPr="00274507">
        <w:rPr>
          <w:iCs/>
          <w:sz w:val="28"/>
          <w:szCs w:val="28"/>
        </w:rPr>
        <w:t>carcelaria, los recién nacidos y los</w:t>
      </w:r>
      <w:r w:rsidRPr="00274507">
        <w:rPr>
          <w:iCs/>
          <w:sz w:val="28"/>
          <w:szCs w:val="28"/>
        </w:rPr>
        <w:t xml:space="preserve"> miembros de comunidades</w:t>
      </w:r>
      <w:r w:rsidR="00EC4B39" w:rsidRPr="00274507">
        <w:rPr>
          <w:iCs/>
          <w:sz w:val="28"/>
          <w:szCs w:val="28"/>
        </w:rPr>
        <w:t xml:space="preserve"> indígenas</w:t>
      </w:r>
      <w:r w:rsidR="00691C37" w:rsidRPr="00274507">
        <w:rPr>
          <w:iCs/>
          <w:sz w:val="28"/>
          <w:szCs w:val="28"/>
        </w:rPr>
        <w:t>, madres gestantes, menores discapacitados, entre otros</w:t>
      </w:r>
      <w:r w:rsidR="002E639D" w:rsidRPr="00274507">
        <w:rPr>
          <w:iCs/>
          <w:sz w:val="28"/>
          <w:szCs w:val="28"/>
        </w:rPr>
        <w:t xml:space="preserve">. </w:t>
      </w:r>
      <w:r w:rsidRPr="00274507">
        <w:rPr>
          <w:iCs/>
          <w:sz w:val="28"/>
          <w:szCs w:val="28"/>
        </w:rPr>
        <w:t xml:space="preserve">Tampoco </w:t>
      </w:r>
      <w:r w:rsidR="00EC4B39" w:rsidRPr="00274507">
        <w:rPr>
          <w:iCs/>
          <w:sz w:val="28"/>
          <w:szCs w:val="28"/>
        </w:rPr>
        <w:t xml:space="preserve">fueron claras </w:t>
      </w:r>
      <w:r w:rsidR="002E639D" w:rsidRPr="00274507">
        <w:rPr>
          <w:iCs/>
          <w:sz w:val="28"/>
          <w:szCs w:val="28"/>
        </w:rPr>
        <w:t>las causas principales por la</w:t>
      </w:r>
      <w:r w:rsidR="00EC4B39" w:rsidRPr="00274507">
        <w:rPr>
          <w:iCs/>
          <w:sz w:val="28"/>
          <w:szCs w:val="28"/>
        </w:rPr>
        <w:t>s que se incoan las acciones que se enmarcan en el servicios de “tratamiento</w:t>
      </w:r>
      <w:r w:rsidR="002E639D" w:rsidRPr="00274507">
        <w:rPr>
          <w:iCs/>
          <w:sz w:val="28"/>
          <w:szCs w:val="28"/>
        </w:rPr>
        <w:t xml:space="preserve"> integral</w:t>
      </w:r>
      <w:r w:rsidR="00EC4B39" w:rsidRPr="00274507">
        <w:rPr>
          <w:iCs/>
          <w:sz w:val="28"/>
          <w:szCs w:val="28"/>
        </w:rPr>
        <w:t>”, ni se identificó la justificación de que la causa principal por la que acuden a la vía judicial los usuarios es por demora en el servicio.</w:t>
      </w:r>
    </w:p>
    <w:p w:rsidR="00EC4B39" w:rsidRPr="00274507" w:rsidRDefault="00EC4B39" w:rsidP="00274507">
      <w:pPr>
        <w:tabs>
          <w:tab w:val="left" w:pos="851"/>
        </w:tabs>
        <w:jc w:val="both"/>
        <w:rPr>
          <w:sz w:val="28"/>
          <w:szCs w:val="28"/>
        </w:rPr>
      </w:pPr>
    </w:p>
    <w:p w:rsidR="00EC4B39" w:rsidRPr="00274507" w:rsidRDefault="00EC4B39" w:rsidP="00274507">
      <w:pPr>
        <w:tabs>
          <w:tab w:val="left" w:pos="567"/>
        </w:tabs>
        <w:jc w:val="both"/>
        <w:rPr>
          <w:sz w:val="28"/>
          <w:szCs w:val="28"/>
        </w:rPr>
      </w:pPr>
      <w:r w:rsidRPr="00274507">
        <w:rPr>
          <w:sz w:val="28"/>
          <w:szCs w:val="28"/>
        </w:rPr>
        <w:t xml:space="preserve">En tercer lugar, referente a la existencia de los </w:t>
      </w:r>
      <w:r w:rsidRPr="00274507">
        <w:rPr>
          <w:b/>
          <w:sz w:val="28"/>
          <w:szCs w:val="28"/>
        </w:rPr>
        <w:t>indicadores GED</w:t>
      </w:r>
      <w:r w:rsidRPr="00274507">
        <w:rPr>
          <w:sz w:val="28"/>
          <w:szCs w:val="28"/>
        </w:rPr>
        <w:t xml:space="preserve"> con los cuales se evalúa el ejercicio de los actores del sistema y constituyen la base del funcionamiento del mismo, como garantía al</w:t>
      </w:r>
      <w:r w:rsidR="00691C37" w:rsidRPr="00274507">
        <w:rPr>
          <w:sz w:val="28"/>
          <w:szCs w:val="28"/>
        </w:rPr>
        <w:t xml:space="preserve"> derecho fundamental a la salud y herramienta en la creación de nuevas políticas públicas,</w:t>
      </w:r>
      <w:r w:rsidRPr="00274507">
        <w:rPr>
          <w:sz w:val="28"/>
          <w:szCs w:val="28"/>
        </w:rPr>
        <w:t xml:space="preserve"> a la fecha no se evidencia que hagan parte del sistema de salud lo cual genera mayores inconvenientes respecto a los resultados en la prestación del servicio.</w:t>
      </w:r>
    </w:p>
    <w:p w:rsidR="00CD0641" w:rsidRPr="00274507" w:rsidRDefault="00CD0641" w:rsidP="00274507">
      <w:pPr>
        <w:tabs>
          <w:tab w:val="left" w:pos="567"/>
        </w:tabs>
        <w:jc w:val="both"/>
        <w:rPr>
          <w:sz w:val="28"/>
          <w:szCs w:val="28"/>
        </w:rPr>
      </w:pPr>
    </w:p>
    <w:p w:rsidR="00EC4B39" w:rsidRPr="00274507" w:rsidRDefault="00EC4B39" w:rsidP="00274507">
      <w:pPr>
        <w:tabs>
          <w:tab w:val="left" w:pos="567"/>
        </w:tabs>
        <w:jc w:val="both"/>
        <w:rPr>
          <w:sz w:val="28"/>
          <w:szCs w:val="28"/>
        </w:rPr>
      </w:pPr>
      <w:r w:rsidRPr="00274507">
        <w:rPr>
          <w:rFonts w:eastAsia="Microsoft Yi Baiti"/>
          <w:iCs/>
          <w:sz w:val="28"/>
          <w:szCs w:val="28"/>
        </w:rPr>
        <w:t>En ese orden, este Tribunal advierte que el cumplimiento de la orden trigésima no s</w:t>
      </w:r>
      <w:r w:rsidR="00D327B8" w:rsidRPr="00274507">
        <w:rPr>
          <w:rFonts w:eastAsia="Microsoft Yi Baiti"/>
          <w:iCs/>
          <w:sz w:val="28"/>
          <w:szCs w:val="28"/>
        </w:rPr>
        <w:t>olo implica un resultado cuantitativo</w:t>
      </w:r>
      <w:r w:rsidRPr="00274507">
        <w:rPr>
          <w:rFonts w:eastAsia="Microsoft Yi Baiti"/>
          <w:iCs/>
          <w:sz w:val="28"/>
          <w:szCs w:val="28"/>
        </w:rPr>
        <w:t xml:space="preserve"> de las acciones de tutela, sino que también requiere el carácter cualitativo ya que debe evaluar el funcionamiento de cada uno de los actores del sistema en la prestación del servicio y las garantías en cada una de las situaciones de los pacientes, en aras de mejorar de forma efectiva las fallas, por lo que la información contenida en cada uno de los expedientes debe ser analizado desde la perspectiva el goce y acceso a la salud, sin importar la condición de cada paciente, por ser este el deber ser del </w:t>
      </w:r>
      <w:r w:rsidR="00691C37" w:rsidRPr="00274507">
        <w:rPr>
          <w:rFonts w:eastAsia="Microsoft Yi Baiti"/>
          <w:iCs/>
          <w:sz w:val="28"/>
          <w:szCs w:val="28"/>
        </w:rPr>
        <w:t>s</w:t>
      </w:r>
      <w:r w:rsidRPr="00274507">
        <w:rPr>
          <w:rFonts w:eastAsia="Microsoft Yi Baiti"/>
          <w:iCs/>
          <w:sz w:val="28"/>
          <w:szCs w:val="28"/>
        </w:rPr>
        <w:t>istema. Por lo que considera esta Sala que si para cada procedimiento y solicitud las personas presentan tutelas, persisten los problemas que dieron origen a la T-760 de 2008.</w:t>
      </w:r>
    </w:p>
    <w:p w:rsidR="00EC4B39" w:rsidRPr="00274507" w:rsidRDefault="00EC4B39" w:rsidP="00274507">
      <w:pPr>
        <w:tabs>
          <w:tab w:val="left" w:pos="567"/>
        </w:tabs>
        <w:jc w:val="both"/>
        <w:rPr>
          <w:sz w:val="28"/>
          <w:szCs w:val="28"/>
        </w:rPr>
      </w:pPr>
    </w:p>
    <w:p w:rsidR="00F41A8B" w:rsidRPr="00274507" w:rsidRDefault="009F768B" w:rsidP="00274507">
      <w:pPr>
        <w:tabs>
          <w:tab w:val="left" w:pos="567"/>
        </w:tabs>
        <w:jc w:val="both"/>
        <w:rPr>
          <w:sz w:val="28"/>
          <w:szCs w:val="28"/>
          <w:lang w:val="es-ES"/>
        </w:rPr>
      </w:pPr>
      <w:r w:rsidRPr="00274507">
        <w:rPr>
          <w:sz w:val="28"/>
          <w:szCs w:val="28"/>
          <w:lang w:val="es-ES"/>
        </w:rPr>
        <w:t>Dicho lo anterior</w:t>
      </w:r>
      <w:r w:rsidR="009B2C92" w:rsidRPr="00274507">
        <w:rPr>
          <w:sz w:val="28"/>
          <w:szCs w:val="28"/>
          <w:lang w:val="es-ES"/>
        </w:rPr>
        <w:t xml:space="preserve">, </w:t>
      </w:r>
      <w:r w:rsidR="00C1255D" w:rsidRPr="00274507">
        <w:rPr>
          <w:sz w:val="28"/>
          <w:szCs w:val="28"/>
          <w:lang w:val="es-ES"/>
        </w:rPr>
        <w:t xml:space="preserve">esta Sala de Seguimiento advierte que </w:t>
      </w:r>
      <w:r w:rsidR="009B2C92" w:rsidRPr="00274507">
        <w:rPr>
          <w:sz w:val="28"/>
          <w:szCs w:val="28"/>
          <w:lang w:val="es-ES"/>
        </w:rPr>
        <w:t xml:space="preserve">aún </w:t>
      </w:r>
      <w:r w:rsidR="009B2C92" w:rsidRPr="00274507">
        <w:rPr>
          <w:sz w:val="28"/>
          <w:szCs w:val="28"/>
          <w:lang w:val="es-ES_tradnl"/>
        </w:rPr>
        <w:t>no se ha logrado la totalidad de la ejecución de</w:t>
      </w:r>
      <w:r w:rsidR="009B2C92" w:rsidRPr="00274507">
        <w:rPr>
          <w:sz w:val="28"/>
          <w:szCs w:val="28"/>
          <w:lang w:val="es-ES"/>
        </w:rPr>
        <w:t>l mandato analizado, por cuanto el Ministerio</w:t>
      </w:r>
      <w:r w:rsidR="000550B0" w:rsidRPr="00274507">
        <w:rPr>
          <w:sz w:val="28"/>
          <w:szCs w:val="28"/>
          <w:lang w:val="es-ES"/>
        </w:rPr>
        <w:t xml:space="preserve"> de Salud</w:t>
      </w:r>
      <w:r w:rsidR="009B2C92" w:rsidRPr="00274507">
        <w:rPr>
          <w:sz w:val="28"/>
          <w:szCs w:val="28"/>
          <w:lang w:val="es-ES"/>
        </w:rPr>
        <w:t xml:space="preserve"> no acreditó</w:t>
      </w:r>
      <w:r w:rsidR="000550B0" w:rsidRPr="00274507">
        <w:rPr>
          <w:sz w:val="28"/>
          <w:szCs w:val="28"/>
          <w:lang w:val="es-ES"/>
        </w:rPr>
        <w:t xml:space="preserve"> el cumplimiento del mandato constitucional </w:t>
      </w:r>
      <w:r w:rsidRPr="00274507">
        <w:rPr>
          <w:sz w:val="28"/>
          <w:szCs w:val="28"/>
          <w:lang w:val="es-ES"/>
        </w:rPr>
        <w:t>en los aspectos relevantes</w:t>
      </w:r>
      <w:r w:rsidR="009B2C92" w:rsidRPr="00274507">
        <w:rPr>
          <w:sz w:val="28"/>
          <w:szCs w:val="28"/>
          <w:lang w:val="es-ES"/>
        </w:rPr>
        <w:t xml:space="preserve">. En consecuencia, y conforme lo indicado en el Auto 411 de 2015, habrá lugar a declarar el </w:t>
      </w:r>
      <w:r w:rsidR="009B2C92" w:rsidRPr="00274507">
        <w:rPr>
          <w:b/>
          <w:sz w:val="28"/>
          <w:szCs w:val="28"/>
          <w:lang w:val="es-ES"/>
        </w:rPr>
        <w:t>nivel de cumplimiento bajo</w:t>
      </w:r>
      <w:r w:rsidR="00691C37" w:rsidRPr="00274507">
        <w:rPr>
          <w:sz w:val="28"/>
          <w:szCs w:val="28"/>
          <w:lang w:val="es-ES"/>
        </w:rPr>
        <w:t xml:space="preserve"> de la orden trigésim</w:t>
      </w:r>
      <w:r w:rsidR="009B2C92" w:rsidRPr="00274507">
        <w:rPr>
          <w:sz w:val="28"/>
          <w:szCs w:val="28"/>
          <w:lang w:val="es-ES"/>
        </w:rPr>
        <w:t xml:space="preserve">a. </w:t>
      </w:r>
      <w:r w:rsidRPr="00274507">
        <w:rPr>
          <w:sz w:val="28"/>
          <w:szCs w:val="28"/>
          <w:lang w:val="es-ES"/>
        </w:rPr>
        <w:t xml:space="preserve"> </w:t>
      </w:r>
    </w:p>
    <w:p w:rsidR="00F41A8B" w:rsidRPr="00274507" w:rsidRDefault="00F41A8B" w:rsidP="00274507">
      <w:pPr>
        <w:tabs>
          <w:tab w:val="left" w:pos="567"/>
        </w:tabs>
        <w:jc w:val="both"/>
        <w:rPr>
          <w:sz w:val="28"/>
          <w:szCs w:val="28"/>
          <w:lang w:val="es-ES"/>
        </w:rPr>
      </w:pPr>
    </w:p>
    <w:p w:rsidR="009B2C92" w:rsidRPr="00274507" w:rsidRDefault="009F768B" w:rsidP="00274507">
      <w:pPr>
        <w:tabs>
          <w:tab w:val="left" w:pos="567"/>
        </w:tabs>
        <w:jc w:val="both"/>
        <w:rPr>
          <w:sz w:val="28"/>
          <w:szCs w:val="28"/>
          <w:lang w:val="es-ES"/>
        </w:rPr>
      </w:pPr>
      <w:r w:rsidRPr="00274507">
        <w:rPr>
          <w:sz w:val="28"/>
          <w:szCs w:val="28"/>
          <w:lang w:val="es-ES"/>
        </w:rPr>
        <w:t>Toda vez que la autoridad</w:t>
      </w:r>
      <w:r w:rsidR="009B2C92" w:rsidRPr="00274507">
        <w:rPr>
          <w:sz w:val="28"/>
          <w:szCs w:val="28"/>
          <w:lang w:val="es-ES"/>
        </w:rPr>
        <w:t xml:space="preserve"> obligada</w:t>
      </w:r>
      <w:r w:rsidRPr="00274507">
        <w:rPr>
          <w:sz w:val="28"/>
          <w:szCs w:val="28"/>
          <w:lang w:val="es-ES"/>
        </w:rPr>
        <w:t xml:space="preserve">, si bien entregó </w:t>
      </w:r>
      <w:r w:rsidR="009B2C92" w:rsidRPr="00274507">
        <w:rPr>
          <w:sz w:val="28"/>
          <w:szCs w:val="28"/>
          <w:lang w:val="es-ES"/>
        </w:rPr>
        <w:t xml:space="preserve">los informes requeridos, </w:t>
      </w:r>
      <w:r w:rsidRPr="00274507">
        <w:rPr>
          <w:sz w:val="28"/>
          <w:szCs w:val="28"/>
          <w:lang w:val="es-ES"/>
        </w:rPr>
        <w:t xml:space="preserve">i) </w:t>
      </w:r>
      <w:r w:rsidR="009B2C92" w:rsidRPr="00274507">
        <w:rPr>
          <w:sz w:val="28"/>
          <w:szCs w:val="28"/>
          <w:lang w:val="es-ES"/>
        </w:rPr>
        <w:t>la mayoría de ellos fueron extemporáneos</w:t>
      </w:r>
      <w:r w:rsidRPr="00274507">
        <w:rPr>
          <w:sz w:val="28"/>
          <w:szCs w:val="28"/>
          <w:lang w:val="es-ES"/>
        </w:rPr>
        <w:t xml:space="preserve"> ante esta Corporación</w:t>
      </w:r>
      <w:r w:rsidR="009B2C92" w:rsidRPr="00274507">
        <w:rPr>
          <w:sz w:val="28"/>
          <w:szCs w:val="28"/>
          <w:lang w:val="es-ES"/>
        </w:rPr>
        <w:t xml:space="preserve"> y </w:t>
      </w:r>
      <w:r w:rsidRPr="00274507">
        <w:rPr>
          <w:sz w:val="28"/>
          <w:szCs w:val="28"/>
          <w:lang w:val="es-ES"/>
        </w:rPr>
        <w:t>a la Procuraduría Gen</w:t>
      </w:r>
      <w:r w:rsidR="00691C37" w:rsidRPr="00274507">
        <w:rPr>
          <w:sz w:val="28"/>
          <w:szCs w:val="28"/>
          <w:lang w:val="es-ES"/>
        </w:rPr>
        <w:t>eral de la Nación y a la Defensoría del Pueblo</w:t>
      </w:r>
      <w:r w:rsidRPr="00274507">
        <w:rPr>
          <w:sz w:val="28"/>
          <w:szCs w:val="28"/>
          <w:lang w:val="es-ES"/>
        </w:rPr>
        <w:t>, algunos no fueron presentados a</w:t>
      </w:r>
      <w:r w:rsidR="00DD15C3" w:rsidRPr="00274507">
        <w:rPr>
          <w:sz w:val="28"/>
          <w:szCs w:val="28"/>
          <w:lang w:val="es-ES"/>
        </w:rPr>
        <w:t>ú</w:t>
      </w:r>
      <w:r w:rsidRPr="00274507">
        <w:rPr>
          <w:sz w:val="28"/>
          <w:szCs w:val="28"/>
          <w:lang w:val="es-ES"/>
        </w:rPr>
        <w:t xml:space="preserve">n </w:t>
      </w:r>
      <w:r w:rsidR="009B2C92" w:rsidRPr="00274507">
        <w:rPr>
          <w:sz w:val="28"/>
          <w:szCs w:val="28"/>
          <w:lang w:val="es-ES"/>
        </w:rPr>
        <w:t>previo requerimiento de</w:t>
      </w:r>
      <w:r w:rsidRPr="00274507">
        <w:rPr>
          <w:sz w:val="28"/>
          <w:szCs w:val="28"/>
          <w:lang w:val="es-ES"/>
        </w:rPr>
        <w:t xml:space="preserve"> dichas entidades; ii) de los resultados analizados en los informes no se evidenció una reducción en la presentación de las tutelas, tampoco se logró determinar </w:t>
      </w:r>
      <w:r w:rsidR="00F41A8B" w:rsidRPr="00274507">
        <w:rPr>
          <w:sz w:val="28"/>
          <w:szCs w:val="28"/>
          <w:lang w:val="es-ES"/>
        </w:rPr>
        <w:t xml:space="preserve">el comportamiento de </w:t>
      </w:r>
      <w:r w:rsidRPr="00274507">
        <w:rPr>
          <w:sz w:val="28"/>
          <w:szCs w:val="28"/>
          <w:lang w:val="es-ES"/>
        </w:rPr>
        <w:t xml:space="preserve">las </w:t>
      </w:r>
      <w:r w:rsidR="00691C37" w:rsidRPr="00274507">
        <w:rPr>
          <w:sz w:val="28"/>
          <w:szCs w:val="28"/>
          <w:lang w:val="es-ES"/>
        </w:rPr>
        <w:t>mism</w:t>
      </w:r>
      <w:r w:rsidRPr="00274507">
        <w:rPr>
          <w:sz w:val="28"/>
          <w:szCs w:val="28"/>
          <w:lang w:val="es-ES"/>
        </w:rPr>
        <w:t>as desde la perspectiva de los problemas jurídicos desarrollados y su resolución; iii) no han sido creados los indicadores de goce efectivo de</w:t>
      </w:r>
      <w:r w:rsidR="00691C37" w:rsidRPr="00274507">
        <w:rPr>
          <w:sz w:val="28"/>
          <w:szCs w:val="28"/>
          <w:lang w:val="es-ES"/>
        </w:rPr>
        <w:t>l</w:t>
      </w:r>
      <w:r w:rsidRPr="00274507">
        <w:rPr>
          <w:sz w:val="28"/>
          <w:szCs w:val="28"/>
          <w:lang w:val="es-ES"/>
        </w:rPr>
        <w:t xml:space="preserve"> derecho para evaluar la gestión de los actores del sistema; iv) </w:t>
      </w:r>
      <w:r w:rsidR="00691C37" w:rsidRPr="00274507">
        <w:rPr>
          <w:sz w:val="28"/>
          <w:szCs w:val="28"/>
          <w:lang w:val="es-ES"/>
        </w:rPr>
        <w:t xml:space="preserve">y como </w:t>
      </w:r>
      <w:r w:rsidRPr="00274507">
        <w:rPr>
          <w:sz w:val="28"/>
          <w:szCs w:val="28"/>
          <w:lang w:val="es-ES"/>
        </w:rPr>
        <w:t>las medida</w:t>
      </w:r>
      <w:r w:rsidR="004C3F0E" w:rsidRPr="00274507">
        <w:rPr>
          <w:sz w:val="28"/>
          <w:szCs w:val="28"/>
          <w:lang w:val="es-ES"/>
        </w:rPr>
        <w:t>s referenciadas por el ente ministerial</w:t>
      </w:r>
      <w:r w:rsidR="00E27D4A" w:rsidRPr="00274507">
        <w:rPr>
          <w:sz w:val="28"/>
          <w:szCs w:val="28"/>
          <w:lang w:val="es-ES"/>
        </w:rPr>
        <w:t>,</w:t>
      </w:r>
      <w:r w:rsidR="00F41A8B" w:rsidRPr="00274507">
        <w:rPr>
          <w:sz w:val="28"/>
          <w:szCs w:val="28"/>
          <w:lang w:val="es-ES"/>
        </w:rPr>
        <w:t xml:space="preserve"> giran en torno al cumplimiento de las demás órdenes, es decir se encuentra condicionada, pueden resultar conducentes para la orden aq</w:t>
      </w:r>
      <w:r w:rsidR="00691C37" w:rsidRPr="00274507">
        <w:rPr>
          <w:sz w:val="28"/>
          <w:szCs w:val="28"/>
          <w:lang w:val="es-ES"/>
        </w:rPr>
        <w:t>uí referenciada, empero desde que acrediten los resultados</w:t>
      </w:r>
      <w:r w:rsidR="00F41A8B" w:rsidRPr="00274507">
        <w:rPr>
          <w:sz w:val="28"/>
          <w:szCs w:val="28"/>
          <w:lang w:val="es-ES"/>
        </w:rPr>
        <w:t>, es decir, deben incluir</w:t>
      </w:r>
      <w:r w:rsidR="00691C37" w:rsidRPr="00274507">
        <w:rPr>
          <w:sz w:val="28"/>
          <w:szCs w:val="28"/>
          <w:lang w:val="es-ES"/>
        </w:rPr>
        <w:t>se en los informes</w:t>
      </w:r>
      <w:r w:rsidR="00F41A8B" w:rsidRPr="00274507">
        <w:rPr>
          <w:sz w:val="28"/>
          <w:szCs w:val="28"/>
          <w:lang w:val="es-ES"/>
        </w:rPr>
        <w:t xml:space="preserve"> antes y después de la implementación de las mismas para así</w:t>
      </w:r>
      <w:r w:rsidR="00E27D4A" w:rsidRPr="00274507">
        <w:rPr>
          <w:sz w:val="28"/>
          <w:szCs w:val="28"/>
          <w:lang w:val="es-ES"/>
        </w:rPr>
        <w:t xml:space="preserve"> determinar su </w:t>
      </w:r>
      <w:r w:rsidRPr="00274507">
        <w:rPr>
          <w:sz w:val="28"/>
          <w:szCs w:val="28"/>
          <w:lang w:val="es-ES"/>
        </w:rPr>
        <w:t xml:space="preserve"> incidencia con la orden </w:t>
      </w:r>
      <w:r w:rsidR="00744F33" w:rsidRPr="00274507">
        <w:rPr>
          <w:sz w:val="28"/>
          <w:szCs w:val="28"/>
          <w:lang w:val="es-ES"/>
        </w:rPr>
        <w:t>trigésima</w:t>
      </w:r>
      <w:r w:rsidRPr="00274507">
        <w:rPr>
          <w:sz w:val="28"/>
          <w:szCs w:val="28"/>
          <w:lang w:val="es-ES"/>
        </w:rPr>
        <w:t>.</w:t>
      </w:r>
      <w:r w:rsidR="00F41A8B" w:rsidRPr="00274507">
        <w:rPr>
          <w:sz w:val="28"/>
          <w:szCs w:val="28"/>
          <w:lang w:val="es-ES"/>
        </w:rPr>
        <w:t xml:space="preserve"> </w:t>
      </w:r>
      <w:r w:rsidR="00691C37" w:rsidRPr="00274507">
        <w:rPr>
          <w:sz w:val="28"/>
          <w:szCs w:val="28"/>
          <w:lang w:val="es-ES"/>
        </w:rPr>
        <w:t>C</w:t>
      </w:r>
      <w:r w:rsidR="00F41A8B" w:rsidRPr="00274507">
        <w:rPr>
          <w:sz w:val="28"/>
          <w:szCs w:val="28"/>
          <w:lang w:val="es-ES"/>
        </w:rPr>
        <w:t>omo lo anterior no ocurrió, a la fecha no son compatibles con los elementos del mandato.</w:t>
      </w:r>
      <w:r w:rsidRPr="00274507">
        <w:rPr>
          <w:sz w:val="28"/>
          <w:szCs w:val="28"/>
          <w:lang w:val="es-ES"/>
        </w:rPr>
        <w:t xml:space="preserve"> Así, se tiene qu</w:t>
      </w:r>
      <w:r w:rsidR="00744F33" w:rsidRPr="00274507">
        <w:rPr>
          <w:sz w:val="28"/>
          <w:szCs w:val="28"/>
          <w:lang w:val="es-ES"/>
        </w:rPr>
        <w:t xml:space="preserve">e lo dispuesto en la orden </w:t>
      </w:r>
      <w:r w:rsidRPr="00274507">
        <w:rPr>
          <w:sz w:val="28"/>
          <w:szCs w:val="28"/>
          <w:lang w:val="es-ES"/>
        </w:rPr>
        <w:t>no</w:t>
      </w:r>
      <w:r w:rsidR="00045C7A" w:rsidRPr="00274507">
        <w:rPr>
          <w:sz w:val="28"/>
          <w:szCs w:val="28"/>
          <w:lang w:val="es-ES"/>
        </w:rPr>
        <w:t xml:space="preserve"> alcanza los requerimientos exigidos en la sentencia T-760 de 2008</w:t>
      </w:r>
      <w:r w:rsidRPr="00274507">
        <w:rPr>
          <w:sz w:val="28"/>
          <w:szCs w:val="28"/>
          <w:lang w:val="es-ES"/>
        </w:rPr>
        <w:t>.</w:t>
      </w:r>
    </w:p>
    <w:p w:rsidR="00442334" w:rsidRPr="00274507" w:rsidRDefault="00442334" w:rsidP="00274507">
      <w:pPr>
        <w:tabs>
          <w:tab w:val="left" w:pos="567"/>
        </w:tabs>
        <w:jc w:val="both"/>
        <w:rPr>
          <w:b/>
          <w:sz w:val="28"/>
          <w:szCs w:val="28"/>
        </w:rPr>
      </w:pPr>
    </w:p>
    <w:p w:rsidR="00C1255D" w:rsidRPr="00274507" w:rsidRDefault="00D05C0C" w:rsidP="00274507">
      <w:pPr>
        <w:jc w:val="both"/>
        <w:rPr>
          <w:b/>
          <w:sz w:val="28"/>
          <w:szCs w:val="28"/>
        </w:rPr>
      </w:pPr>
      <w:r w:rsidRPr="00274507">
        <w:rPr>
          <w:b/>
          <w:sz w:val="28"/>
          <w:szCs w:val="28"/>
        </w:rPr>
        <w:t>9</w:t>
      </w:r>
      <w:r w:rsidR="00C1255D" w:rsidRPr="00274507">
        <w:rPr>
          <w:b/>
          <w:sz w:val="28"/>
          <w:szCs w:val="28"/>
        </w:rPr>
        <w:t>. Medidas a impartir en la valoración de la orden trigésima.</w:t>
      </w:r>
    </w:p>
    <w:p w:rsidR="006D48A9" w:rsidRPr="00274507" w:rsidRDefault="006D48A9" w:rsidP="00274507">
      <w:pPr>
        <w:jc w:val="both"/>
        <w:rPr>
          <w:b/>
          <w:sz w:val="28"/>
          <w:szCs w:val="28"/>
        </w:rPr>
      </w:pPr>
    </w:p>
    <w:p w:rsidR="00C90352" w:rsidRPr="00274507" w:rsidRDefault="00D05C0C" w:rsidP="00274507">
      <w:pPr>
        <w:jc w:val="both"/>
        <w:rPr>
          <w:sz w:val="28"/>
          <w:szCs w:val="28"/>
        </w:rPr>
      </w:pPr>
      <w:r w:rsidRPr="00274507">
        <w:rPr>
          <w:b/>
          <w:sz w:val="28"/>
          <w:szCs w:val="28"/>
        </w:rPr>
        <w:t>9</w:t>
      </w:r>
      <w:r w:rsidR="009E2758" w:rsidRPr="00274507">
        <w:rPr>
          <w:b/>
          <w:sz w:val="28"/>
          <w:szCs w:val="28"/>
        </w:rPr>
        <w:t>.1.</w:t>
      </w:r>
      <w:r w:rsidR="009E2758" w:rsidRPr="00274507">
        <w:rPr>
          <w:sz w:val="28"/>
          <w:szCs w:val="28"/>
        </w:rPr>
        <w:t xml:space="preserve"> </w:t>
      </w:r>
      <w:r w:rsidR="00C1255D" w:rsidRPr="00274507">
        <w:rPr>
          <w:sz w:val="28"/>
          <w:szCs w:val="28"/>
        </w:rPr>
        <w:t>Una vez advertido lo anterior, esta Sala de Seguimiento considera pertinente hacer un llamado de</w:t>
      </w:r>
      <w:r w:rsidR="00A6258C" w:rsidRPr="00274507">
        <w:rPr>
          <w:sz w:val="28"/>
          <w:szCs w:val="28"/>
        </w:rPr>
        <w:t xml:space="preserve"> atención al Ministro d</w:t>
      </w:r>
      <w:r w:rsidR="00C90352" w:rsidRPr="00274507">
        <w:rPr>
          <w:sz w:val="28"/>
          <w:szCs w:val="28"/>
        </w:rPr>
        <w:t>e Salud y Protección Social</w:t>
      </w:r>
      <w:r w:rsidR="00A6258C" w:rsidRPr="00274507">
        <w:rPr>
          <w:sz w:val="28"/>
          <w:szCs w:val="28"/>
        </w:rPr>
        <w:t>, por cuanto</w:t>
      </w:r>
      <w:r w:rsidR="00697695" w:rsidRPr="00274507">
        <w:rPr>
          <w:sz w:val="28"/>
          <w:szCs w:val="28"/>
        </w:rPr>
        <w:t xml:space="preserve"> </w:t>
      </w:r>
      <w:r w:rsidR="004138E8" w:rsidRPr="00274507">
        <w:rPr>
          <w:sz w:val="28"/>
          <w:szCs w:val="28"/>
        </w:rPr>
        <w:t xml:space="preserve">resulta preocupante que </w:t>
      </w:r>
      <w:r w:rsidR="00697695" w:rsidRPr="00274507">
        <w:rPr>
          <w:sz w:val="28"/>
          <w:szCs w:val="28"/>
        </w:rPr>
        <w:t>habiendo tra</w:t>
      </w:r>
      <w:r w:rsidR="00A6258C" w:rsidRPr="00274507">
        <w:rPr>
          <w:sz w:val="28"/>
          <w:szCs w:val="28"/>
        </w:rPr>
        <w:t>n</w:t>
      </w:r>
      <w:r w:rsidR="00697695" w:rsidRPr="00274507">
        <w:rPr>
          <w:sz w:val="28"/>
          <w:szCs w:val="28"/>
        </w:rPr>
        <w:t xml:space="preserve">scurrido </w:t>
      </w:r>
      <w:r w:rsidR="00C90352" w:rsidRPr="00274507">
        <w:rPr>
          <w:sz w:val="28"/>
          <w:szCs w:val="28"/>
        </w:rPr>
        <w:t>ocho</w:t>
      </w:r>
      <w:r w:rsidR="00697695" w:rsidRPr="00274507">
        <w:rPr>
          <w:sz w:val="28"/>
          <w:szCs w:val="28"/>
        </w:rPr>
        <w:t xml:space="preserve"> años desde la expedición de la Sentencia T-760 de 2008, </w:t>
      </w:r>
      <w:r w:rsidR="00045C7A" w:rsidRPr="00274507">
        <w:rPr>
          <w:sz w:val="28"/>
          <w:szCs w:val="28"/>
        </w:rPr>
        <w:t>no exista</w:t>
      </w:r>
      <w:r w:rsidR="00C90352" w:rsidRPr="00274507">
        <w:rPr>
          <w:sz w:val="28"/>
          <w:szCs w:val="28"/>
        </w:rPr>
        <w:t xml:space="preserve"> una política de gestión </w:t>
      </w:r>
      <w:r w:rsidR="00C1255D" w:rsidRPr="00274507">
        <w:rPr>
          <w:sz w:val="28"/>
          <w:szCs w:val="28"/>
        </w:rPr>
        <w:t>al interior de la entidad para crear</w:t>
      </w:r>
      <w:r w:rsidR="00C90352" w:rsidRPr="00274507">
        <w:rPr>
          <w:sz w:val="28"/>
          <w:szCs w:val="28"/>
        </w:rPr>
        <w:t xml:space="preserve"> una base </w:t>
      </w:r>
      <w:r w:rsidR="00C1255D" w:rsidRPr="00274507">
        <w:rPr>
          <w:sz w:val="28"/>
          <w:szCs w:val="28"/>
        </w:rPr>
        <w:t xml:space="preserve">de datos exacta, clara y </w:t>
      </w:r>
      <w:r w:rsidR="00C90352" w:rsidRPr="00274507">
        <w:rPr>
          <w:sz w:val="28"/>
          <w:szCs w:val="28"/>
        </w:rPr>
        <w:t>precisa</w:t>
      </w:r>
      <w:r w:rsidR="00C1255D" w:rsidRPr="00274507">
        <w:rPr>
          <w:sz w:val="28"/>
          <w:szCs w:val="28"/>
        </w:rPr>
        <w:t>, que se alimente de otras</w:t>
      </w:r>
      <w:r w:rsidR="00C90352" w:rsidRPr="00274507">
        <w:rPr>
          <w:sz w:val="28"/>
          <w:szCs w:val="28"/>
        </w:rPr>
        <w:t xml:space="preserve"> fuentes formales</w:t>
      </w:r>
      <w:r w:rsidR="00691C37" w:rsidRPr="00274507">
        <w:rPr>
          <w:sz w:val="28"/>
          <w:szCs w:val="28"/>
        </w:rPr>
        <w:t xml:space="preserve"> que considere pertinentes y</w:t>
      </w:r>
      <w:r w:rsidR="00C1255D" w:rsidRPr="00274507">
        <w:rPr>
          <w:sz w:val="28"/>
          <w:szCs w:val="28"/>
        </w:rPr>
        <w:t xml:space="preserve"> contribuyan a la construcción</w:t>
      </w:r>
      <w:r w:rsidR="00055195" w:rsidRPr="00274507">
        <w:rPr>
          <w:sz w:val="28"/>
          <w:szCs w:val="28"/>
        </w:rPr>
        <w:t xml:space="preserve"> de los informes </w:t>
      </w:r>
      <w:r w:rsidR="00C1255D" w:rsidRPr="00274507">
        <w:rPr>
          <w:sz w:val="28"/>
          <w:szCs w:val="28"/>
        </w:rPr>
        <w:t xml:space="preserve">de </w:t>
      </w:r>
      <w:r w:rsidR="00C90352" w:rsidRPr="00274507">
        <w:rPr>
          <w:sz w:val="28"/>
          <w:szCs w:val="28"/>
        </w:rPr>
        <w:t>medición</w:t>
      </w:r>
      <w:r w:rsidR="00C1255D" w:rsidRPr="00274507">
        <w:rPr>
          <w:sz w:val="28"/>
          <w:szCs w:val="28"/>
        </w:rPr>
        <w:t xml:space="preserve"> de las acciones de tutelas, desde los aspectos generalizados en el acápite anterior.  </w:t>
      </w:r>
    </w:p>
    <w:p w:rsidR="004138E8" w:rsidRPr="00274507" w:rsidRDefault="004138E8" w:rsidP="00274507">
      <w:pPr>
        <w:jc w:val="both"/>
        <w:rPr>
          <w:sz w:val="28"/>
          <w:szCs w:val="28"/>
        </w:rPr>
      </w:pPr>
    </w:p>
    <w:p w:rsidR="00612E70" w:rsidRPr="00274507" w:rsidRDefault="00612E70" w:rsidP="00274507">
      <w:pPr>
        <w:jc w:val="both"/>
        <w:rPr>
          <w:sz w:val="28"/>
          <w:szCs w:val="28"/>
        </w:rPr>
      </w:pPr>
      <w:r w:rsidRPr="00274507">
        <w:rPr>
          <w:sz w:val="28"/>
          <w:szCs w:val="28"/>
        </w:rPr>
        <w:t xml:space="preserve">Por otra parte, </w:t>
      </w:r>
      <w:r w:rsidR="00C1255D" w:rsidRPr="00274507">
        <w:rPr>
          <w:sz w:val="28"/>
          <w:szCs w:val="28"/>
        </w:rPr>
        <w:t xml:space="preserve">tal como lo evidenciaron los peritos </w:t>
      </w:r>
      <w:r w:rsidR="00F41A8B" w:rsidRPr="00274507">
        <w:rPr>
          <w:sz w:val="28"/>
          <w:szCs w:val="28"/>
        </w:rPr>
        <w:t>constitucionales en su momento y así lo dispone esta Sala, es necesario que los resultados obtenidos de los informes anuales sean puestos en conocimiento de todos los actores del sistema, con el fin de poder ejercer</w:t>
      </w:r>
      <w:r w:rsidR="009E2758" w:rsidRPr="00274507">
        <w:rPr>
          <w:sz w:val="28"/>
          <w:szCs w:val="28"/>
        </w:rPr>
        <w:t xml:space="preserve"> un control social. Ello por medio de </w:t>
      </w:r>
      <w:r w:rsidRPr="00274507">
        <w:rPr>
          <w:sz w:val="28"/>
          <w:szCs w:val="28"/>
        </w:rPr>
        <w:t xml:space="preserve"> programas institucionales misionales que den cuenta de los resultados evidentes y significativos en el mejoramiento del acceso efectivo al derecho a la salud.</w:t>
      </w:r>
    </w:p>
    <w:p w:rsidR="00612E70" w:rsidRPr="00274507" w:rsidRDefault="00612E70" w:rsidP="00274507">
      <w:pPr>
        <w:jc w:val="both"/>
        <w:rPr>
          <w:sz w:val="28"/>
          <w:szCs w:val="28"/>
        </w:rPr>
      </w:pPr>
    </w:p>
    <w:p w:rsidR="002844EC" w:rsidRPr="00274507" w:rsidRDefault="00D05C0C" w:rsidP="00274507">
      <w:pPr>
        <w:jc w:val="both"/>
        <w:rPr>
          <w:i/>
          <w:sz w:val="28"/>
          <w:szCs w:val="28"/>
        </w:rPr>
      </w:pPr>
      <w:r w:rsidRPr="00274507">
        <w:rPr>
          <w:b/>
          <w:sz w:val="28"/>
          <w:szCs w:val="28"/>
        </w:rPr>
        <w:t>9</w:t>
      </w:r>
      <w:r w:rsidR="008065E5" w:rsidRPr="00274507">
        <w:rPr>
          <w:b/>
          <w:sz w:val="28"/>
          <w:szCs w:val="28"/>
        </w:rPr>
        <w:t>.2</w:t>
      </w:r>
      <w:r w:rsidR="008065E5" w:rsidRPr="00274507">
        <w:rPr>
          <w:sz w:val="28"/>
          <w:szCs w:val="28"/>
        </w:rPr>
        <w:t xml:space="preserve"> </w:t>
      </w:r>
      <w:r w:rsidR="004138E8" w:rsidRPr="00274507">
        <w:rPr>
          <w:sz w:val="28"/>
          <w:szCs w:val="28"/>
        </w:rPr>
        <w:t>C</w:t>
      </w:r>
      <w:r w:rsidR="00697695" w:rsidRPr="00274507">
        <w:rPr>
          <w:sz w:val="28"/>
          <w:szCs w:val="28"/>
        </w:rPr>
        <w:t xml:space="preserve">omo se evidenció a lo </w:t>
      </w:r>
      <w:r w:rsidR="004138E8" w:rsidRPr="00274507">
        <w:rPr>
          <w:sz w:val="28"/>
          <w:szCs w:val="28"/>
        </w:rPr>
        <w:t>largo de esta decisión, persiste</w:t>
      </w:r>
      <w:r w:rsidR="00697695" w:rsidRPr="00274507">
        <w:rPr>
          <w:sz w:val="28"/>
          <w:szCs w:val="28"/>
        </w:rPr>
        <w:t xml:space="preserve"> la problemática estructural</w:t>
      </w:r>
      <w:r w:rsidR="009E2758" w:rsidRPr="00274507">
        <w:rPr>
          <w:sz w:val="28"/>
          <w:szCs w:val="28"/>
        </w:rPr>
        <w:t xml:space="preserve"> y funcional advertida, por</w:t>
      </w:r>
      <w:r w:rsidR="00C90352" w:rsidRPr="00274507">
        <w:rPr>
          <w:sz w:val="28"/>
          <w:szCs w:val="28"/>
        </w:rPr>
        <w:t xml:space="preserve">que los usuarios del sistema continúan </w:t>
      </w:r>
      <w:r w:rsidR="009E2758" w:rsidRPr="00274507">
        <w:rPr>
          <w:sz w:val="28"/>
          <w:szCs w:val="28"/>
        </w:rPr>
        <w:t>acudiendo ante el juez de tutela como garante</w:t>
      </w:r>
      <w:r w:rsidR="00C90352" w:rsidRPr="00274507">
        <w:rPr>
          <w:sz w:val="28"/>
          <w:szCs w:val="28"/>
        </w:rPr>
        <w:t xml:space="preserve"> del derecho </w:t>
      </w:r>
      <w:r w:rsidR="009E2758" w:rsidRPr="00274507">
        <w:rPr>
          <w:sz w:val="28"/>
          <w:szCs w:val="28"/>
        </w:rPr>
        <w:t xml:space="preserve">fundamental </w:t>
      </w:r>
      <w:r w:rsidR="00C90352" w:rsidRPr="00274507">
        <w:rPr>
          <w:sz w:val="28"/>
          <w:szCs w:val="28"/>
        </w:rPr>
        <w:t>a la salud</w:t>
      </w:r>
      <w:r w:rsidR="00697695" w:rsidRPr="00274507">
        <w:rPr>
          <w:sz w:val="28"/>
          <w:szCs w:val="28"/>
        </w:rPr>
        <w:t>. En tal sentido,</w:t>
      </w:r>
      <w:r w:rsidR="00A6258C" w:rsidRPr="00274507">
        <w:rPr>
          <w:sz w:val="28"/>
          <w:szCs w:val="28"/>
        </w:rPr>
        <w:t xml:space="preserve"> se le prevendrá</w:t>
      </w:r>
      <w:r w:rsidR="00A6258C" w:rsidRPr="00274507">
        <w:rPr>
          <w:rStyle w:val="Refdenotaalpie"/>
          <w:sz w:val="28"/>
          <w:szCs w:val="28"/>
        </w:rPr>
        <w:footnoteReference w:id="227"/>
      </w:r>
      <w:r w:rsidR="00697695" w:rsidRPr="00274507">
        <w:rPr>
          <w:sz w:val="28"/>
          <w:szCs w:val="28"/>
        </w:rPr>
        <w:t xml:space="preserve"> para que</w:t>
      </w:r>
      <w:r w:rsidR="00D54C77" w:rsidRPr="00274507">
        <w:rPr>
          <w:sz w:val="28"/>
          <w:szCs w:val="28"/>
        </w:rPr>
        <w:t>, en adelante,</w:t>
      </w:r>
      <w:r w:rsidR="00697695" w:rsidRPr="00274507">
        <w:rPr>
          <w:sz w:val="28"/>
          <w:szCs w:val="28"/>
        </w:rPr>
        <w:t xml:space="preserve"> </w:t>
      </w:r>
      <w:r w:rsidR="009E2758" w:rsidRPr="00274507">
        <w:rPr>
          <w:sz w:val="28"/>
          <w:szCs w:val="28"/>
        </w:rPr>
        <w:t>asuma</w:t>
      </w:r>
      <w:r w:rsidR="004138E8" w:rsidRPr="00274507">
        <w:rPr>
          <w:sz w:val="28"/>
          <w:szCs w:val="28"/>
        </w:rPr>
        <w:t xml:space="preserve"> como una prioridad la gestión de soluciones que </w:t>
      </w:r>
      <w:r w:rsidR="00697695" w:rsidRPr="00274507">
        <w:rPr>
          <w:sz w:val="28"/>
          <w:szCs w:val="28"/>
        </w:rPr>
        <w:t xml:space="preserve">estén encaminadas a conjurar la </w:t>
      </w:r>
      <w:r w:rsidR="00A6258C" w:rsidRPr="00274507">
        <w:rPr>
          <w:sz w:val="28"/>
          <w:szCs w:val="28"/>
        </w:rPr>
        <w:t>situación puesta de presente en este auto</w:t>
      </w:r>
      <w:r w:rsidR="00697695" w:rsidRPr="00274507">
        <w:rPr>
          <w:sz w:val="28"/>
          <w:szCs w:val="28"/>
        </w:rPr>
        <w:t xml:space="preserve"> </w:t>
      </w:r>
      <w:r w:rsidR="004138E8" w:rsidRPr="00274507">
        <w:rPr>
          <w:sz w:val="28"/>
          <w:szCs w:val="28"/>
        </w:rPr>
        <w:t xml:space="preserve">y se comprometan a </w:t>
      </w:r>
      <w:r w:rsidR="00697695" w:rsidRPr="00274507">
        <w:rPr>
          <w:sz w:val="28"/>
          <w:szCs w:val="28"/>
        </w:rPr>
        <w:t xml:space="preserve">que en la próxima valoración </w:t>
      </w:r>
      <w:r w:rsidR="00A6258C" w:rsidRPr="00274507">
        <w:rPr>
          <w:sz w:val="28"/>
          <w:szCs w:val="28"/>
        </w:rPr>
        <w:t xml:space="preserve">se alcance el cumplimiento alto o general de la orden </w:t>
      </w:r>
      <w:r w:rsidR="004138E8" w:rsidRPr="00274507">
        <w:rPr>
          <w:sz w:val="28"/>
          <w:szCs w:val="28"/>
        </w:rPr>
        <w:t>en mención</w:t>
      </w:r>
      <w:r w:rsidR="00A6258C" w:rsidRPr="00274507">
        <w:rPr>
          <w:i/>
          <w:sz w:val="28"/>
          <w:szCs w:val="28"/>
        </w:rPr>
        <w:t>.</w:t>
      </w:r>
    </w:p>
    <w:p w:rsidR="00A6258C" w:rsidRPr="00274507" w:rsidRDefault="00A6258C" w:rsidP="00274507">
      <w:pPr>
        <w:jc w:val="both"/>
        <w:rPr>
          <w:i/>
          <w:sz w:val="28"/>
          <w:szCs w:val="28"/>
        </w:rPr>
      </w:pPr>
    </w:p>
    <w:p w:rsidR="00B170D2" w:rsidRPr="00274507" w:rsidRDefault="00D05C0C" w:rsidP="00274507">
      <w:pPr>
        <w:jc w:val="both"/>
        <w:rPr>
          <w:sz w:val="28"/>
          <w:szCs w:val="28"/>
        </w:rPr>
      </w:pPr>
      <w:r w:rsidRPr="00274507">
        <w:rPr>
          <w:b/>
          <w:sz w:val="28"/>
          <w:szCs w:val="28"/>
        </w:rPr>
        <w:t>9</w:t>
      </w:r>
      <w:r w:rsidR="009E2758" w:rsidRPr="00274507">
        <w:rPr>
          <w:b/>
          <w:sz w:val="28"/>
          <w:szCs w:val="28"/>
        </w:rPr>
        <w:t>.3.</w:t>
      </w:r>
      <w:r w:rsidR="00B170D2" w:rsidRPr="00274507">
        <w:rPr>
          <w:sz w:val="28"/>
          <w:szCs w:val="28"/>
        </w:rPr>
        <w:t xml:space="preserve"> Por lo anterior se ordenará, </w:t>
      </w:r>
    </w:p>
    <w:p w:rsidR="00B170D2" w:rsidRPr="00274507" w:rsidRDefault="00B170D2" w:rsidP="00274507">
      <w:pPr>
        <w:jc w:val="both"/>
        <w:rPr>
          <w:sz w:val="28"/>
          <w:szCs w:val="28"/>
        </w:rPr>
      </w:pPr>
    </w:p>
    <w:p w:rsidR="004E78F4" w:rsidRPr="00274507" w:rsidRDefault="00B170D2" w:rsidP="00274507">
      <w:pPr>
        <w:jc w:val="both"/>
        <w:rPr>
          <w:sz w:val="28"/>
          <w:szCs w:val="28"/>
        </w:rPr>
      </w:pPr>
      <w:r w:rsidRPr="00274507">
        <w:rPr>
          <w:sz w:val="28"/>
          <w:szCs w:val="28"/>
        </w:rPr>
        <w:t>A</w:t>
      </w:r>
      <w:r w:rsidR="009E2758" w:rsidRPr="00274507">
        <w:rPr>
          <w:sz w:val="28"/>
          <w:szCs w:val="28"/>
        </w:rPr>
        <w:t>l</w:t>
      </w:r>
      <w:r w:rsidR="00A57E5F" w:rsidRPr="00274507">
        <w:rPr>
          <w:sz w:val="28"/>
          <w:szCs w:val="28"/>
        </w:rPr>
        <w:t xml:space="preserve"> </w:t>
      </w:r>
      <w:r w:rsidR="004E78F4" w:rsidRPr="00274507">
        <w:rPr>
          <w:b/>
          <w:sz w:val="28"/>
          <w:szCs w:val="28"/>
        </w:rPr>
        <w:t>Ministerio de Salud y Protección Social</w:t>
      </w:r>
      <w:r w:rsidR="00A57E5F" w:rsidRPr="00274507">
        <w:rPr>
          <w:b/>
          <w:sz w:val="28"/>
          <w:szCs w:val="28"/>
        </w:rPr>
        <w:t>:</w:t>
      </w:r>
    </w:p>
    <w:p w:rsidR="00AA7671" w:rsidRPr="00274507" w:rsidRDefault="00AA7671" w:rsidP="00274507">
      <w:pPr>
        <w:jc w:val="both"/>
        <w:rPr>
          <w:sz w:val="28"/>
          <w:szCs w:val="28"/>
        </w:rPr>
      </w:pPr>
    </w:p>
    <w:p w:rsidR="00691C37" w:rsidRPr="00274507" w:rsidRDefault="00D05C0C" w:rsidP="00274507">
      <w:pPr>
        <w:jc w:val="both"/>
        <w:rPr>
          <w:sz w:val="28"/>
          <w:szCs w:val="28"/>
        </w:rPr>
      </w:pPr>
      <w:r w:rsidRPr="00274507">
        <w:rPr>
          <w:b/>
          <w:sz w:val="28"/>
          <w:szCs w:val="28"/>
        </w:rPr>
        <w:t>9</w:t>
      </w:r>
      <w:r w:rsidR="009E2758" w:rsidRPr="00274507">
        <w:rPr>
          <w:b/>
          <w:sz w:val="28"/>
          <w:szCs w:val="28"/>
        </w:rPr>
        <w:t>.3.1</w:t>
      </w:r>
      <w:r w:rsidR="009E2758" w:rsidRPr="00274507">
        <w:rPr>
          <w:sz w:val="28"/>
          <w:szCs w:val="28"/>
        </w:rPr>
        <w:t xml:space="preserve">. </w:t>
      </w:r>
      <w:r w:rsidR="00116398" w:rsidRPr="00274507">
        <w:rPr>
          <w:b/>
          <w:sz w:val="28"/>
          <w:szCs w:val="28"/>
        </w:rPr>
        <w:t>D</w:t>
      </w:r>
      <w:r w:rsidR="002F2607" w:rsidRPr="00274507">
        <w:rPr>
          <w:b/>
          <w:sz w:val="28"/>
          <w:szCs w:val="28"/>
        </w:rPr>
        <w:t>el Informe</w:t>
      </w:r>
      <w:r w:rsidR="00116398" w:rsidRPr="00274507">
        <w:rPr>
          <w:b/>
          <w:sz w:val="28"/>
          <w:szCs w:val="28"/>
        </w:rPr>
        <w:t xml:space="preserve"> Anual</w:t>
      </w:r>
      <w:r w:rsidR="001909E7" w:rsidRPr="00274507">
        <w:rPr>
          <w:b/>
          <w:sz w:val="28"/>
          <w:szCs w:val="28"/>
        </w:rPr>
        <w:t>:</w:t>
      </w:r>
      <w:r w:rsidR="001909E7" w:rsidRPr="00274507">
        <w:rPr>
          <w:sz w:val="28"/>
          <w:szCs w:val="28"/>
        </w:rPr>
        <w:t xml:space="preserve"> </w:t>
      </w:r>
      <w:r w:rsidR="00116398" w:rsidRPr="00274507">
        <w:rPr>
          <w:sz w:val="28"/>
          <w:szCs w:val="28"/>
        </w:rPr>
        <w:t xml:space="preserve">i) </w:t>
      </w:r>
      <w:r w:rsidR="004440EB" w:rsidRPr="00274507">
        <w:rPr>
          <w:sz w:val="28"/>
          <w:szCs w:val="28"/>
        </w:rPr>
        <w:t>C</w:t>
      </w:r>
      <w:r w:rsidR="00116398" w:rsidRPr="00274507">
        <w:rPr>
          <w:sz w:val="28"/>
          <w:szCs w:val="28"/>
        </w:rPr>
        <w:t>onformar</w:t>
      </w:r>
      <w:r w:rsidR="00C90352" w:rsidRPr="00274507">
        <w:rPr>
          <w:sz w:val="28"/>
          <w:szCs w:val="28"/>
        </w:rPr>
        <w:t xml:space="preserve"> una base de datos</w:t>
      </w:r>
      <w:r w:rsidR="00116398" w:rsidRPr="00274507">
        <w:rPr>
          <w:sz w:val="28"/>
          <w:szCs w:val="28"/>
        </w:rPr>
        <w:t xml:space="preserve"> autónoma</w:t>
      </w:r>
      <w:r w:rsidR="00E67C77" w:rsidRPr="00274507">
        <w:rPr>
          <w:sz w:val="28"/>
          <w:szCs w:val="28"/>
        </w:rPr>
        <w:t>, precisa y eficaz a partir del año</w:t>
      </w:r>
      <w:r w:rsidR="00C90352" w:rsidRPr="00274507">
        <w:rPr>
          <w:sz w:val="28"/>
          <w:szCs w:val="28"/>
        </w:rPr>
        <w:t xml:space="preserve"> 201</w:t>
      </w:r>
      <w:r w:rsidR="009E2758" w:rsidRPr="00274507">
        <w:rPr>
          <w:sz w:val="28"/>
          <w:szCs w:val="28"/>
        </w:rPr>
        <w:t>6</w:t>
      </w:r>
      <w:r w:rsidR="004440EB" w:rsidRPr="00274507">
        <w:rPr>
          <w:sz w:val="28"/>
          <w:szCs w:val="28"/>
        </w:rPr>
        <w:t xml:space="preserve"> y</w:t>
      </w:r>
      <w:r w:rsidR="00E67C77" w:rsidRPr="00274507">
        <w:rPr>
          <w:sz w:val="28"/>
          <w:szCs w:val="28"/>
        </w:rPr>
        <w:t xml:space="preserve"> ii) entregar los informes en la fecha prevista, 1º de febrero de cada año a las autoridades respectivas, es decir, ante la Corte, la Procuraduría General de la Nación y la Defensoría del Pueblo.</w:t>
      </w:r>
    </w:p>
    <w:p w:rsidR="00A57E5F" w:rsidRPr="00274507" w:rsidRDefault="00A57E5F" w:rsidP="00274507">
      <w:pPr>
        <w:jc w:val="both"/>
        <w:rPr>
          <w:sz w:val="28"/>
          <w:szCs w:val="28"/>
        </w:rPr>
      </w:pPr>
    </w:p>
    <w:p w:rsidR="00E67C77" w:rsidRPr="00274507" w:rsidRDefault="00E67C77" w:rsidP="00274507">
      <w:pPr>
        <w:jc w:val="both"/>
        <w:rPr>
          <w:sz w:val="28"/>
          <w:szCs w:val="28"/>
        </w:rPr>
      </w:pPr>
      <w:r w:rsidRPr="00274507">
        <w:rPr>
          <w:b/>
          <w:sz w:val="28"/>
          <w:szCs w:val="28"/>
        </w:rPr>
        <w:t>Del contenido del informe anual</w:t>
      </w:r>
      <w:r w:rsidRPr="00274507">
        <w:rPr>
          <w:sz w:val="28"/>
          <w:szCs w:val="28"/>
        </w:rPr>
        <w:t>: i) mejorar la caracterización de las tutelas examinadas para obtener resultados más específicos; es decir, documento de identidad, raza, sexo, edad, condición económica, etnia, régimen, domicilio, grupo poblacional, condición social, discapacidad, diagnóstico</w:t>
      </w:r>
      <w:r w:rsidR="00691C37" w:rsidRPr="00274507">
        <w:rPr>
          <w:sz w:val="28"/>
          <w:szCs w:val="28"/>
        </w:rPr>
        <w:t>, estado gestante, discapacidad en menores y adultos</w:t>
      </w:r>
      <w:r w:rsidRPr="00274507">
        <w:rPr>
          <w:sz w:val="28"/>
          <w:szCs w:val="28"/>
        </w:rPr>
        <w:t xml:space="preserve"> y demás aspectos que considere relevantes para los análisis; ii) indicar cuál es el porcentaje de usuarios que presentan tutelas en salud y su promedio de radicación por día y mes; iii) evaluar el comportamiento de las acciones de tutelas según cada problema jurídico </w:t>
      </w:r>
      <w:r w:rsidR="00D327B8" w:rsidRPr="00274507">
        <w:rPr>
          <w:sz w:val="28"/>
          <w:szCs w:val="28"/>
        </w:rPr>
        <w:t>teniendo en cuenta l</w:t>
      </w:r>
      <w:r w:rsidR="00DE31B2" w:rsidRPr="00274507">
        <w:rPr>
          <w:sz w:val="28"/>
          <w:szCs w:val="28"/>
        </w:rPr>
        <w:t>o dispuesto en el considerando 7</w:t>
      </w:r>
      <w:r w:rsidR="00D327B8" w:rsidRPr="00274507">
        <w:rPr>
          <w:sz w:val="28"/>
          <w:szCs w:val="28"/>
        </w:rPr>
        <w:t xml:space="preserve">.3.4. de esta providencia </w:t>
      </w:r>
      <w:r w:rsidRPr="00274507">
        <w:rPr>
          <w:sz w:val="28"/>
          <w:szCs w:val="28"/>
        </w:rPr>
        <w:t>y las posibles medidas para la resolución de los mismos; iv) evidenciar las EPS, IPS, Secretarías de Salud y demás entes territoriales más demandados; v)</w:t>
      </w:r>
      <w:r w:rsidR="008B368D" w:rsidRPr="00274507">
        <w:rPr>
          <w:sz w:val="28"/>
          <w:szCs w:val="28"/>
        </w:rPr>
        <w:t xml:space="preserve"> </w:t>
      </w:r>
      <w:r w:rsidR="004440EB" w:rsidRPr="00274507">
        <w:rPr>
          <w:sz w:val="28"/>
          <w:szCs w:val="28"/>
        </w:rPr>
        <w:t xml:space="preserve">identificar </w:t>
      </w:r>
      <w:r w:rsidR="008B368D" w:rsidRPr="00274507">
        <w:rPr>
          <w:sz w:val="28"/>
          <w:szCs w:val="28"/>
        </w:rPr>
        <w:t>las causas principales por las cuales se invoca el amparo describiendo el tipo de medicamentos, procedimientos, insumos y demás tecnologías requeridas; vi) si existe en el marco de causa la “negación del servicio” las razones de la negación, al igual si es por “demora” en el mismo.</w:t>
      </w:r>
    </w:p>
    <w:p w:rsidR="00B170D2" w:rsidRPr="00274507" w:rsidRDefault="00B170D2" w:rsidP="00274507">
      <w:pPr>
        <w:jc w:val="both"/>
        <w:rPr>
          <w:sz w:val="28"/>
          <w:szCs w:val="28"/>
        </w:rPr>
      </w:pPr>
    </w:p>
    <w:p w:rsidR="008B368D" w:rsidRPr="00274507" w:rsidRDefault="008B368D" w:rsidP="00274507">
      <w:pPr>
        <w:tabs>
          <w:tab w:val="left" w:pos="0"/>
          <w:tab w:val="left" w:pos="357"/>
          <w:tab w:val="left" w:pos="709"/>
          <w:tab w:val="left" w:pos="1134"/>
        </w:tabs>
        <w:jc w:val="both"/>
        <w:rPr>
          <w:sz w:val="28"/>
          <w:szCs w:val="28"/>
        </w:rPr>
      </w:pPr>
      <w:r w:rsidRPr="00274507">
        <w:rPr>
          <w:b/>
          <w:sz w:val="28"/>
          <w:szCs w:val="28"/>
        </w:rPr>
        <w:t>De los resultados del informe anual</w:t>
      </w:r>
      <w:r w:rsidR="004440EB" w:rsidRPr="00274507">
        <w:rPr>
          <w:sz w:val="28"/>
          <w:szCs w:val="28"/>
        </w:rPr>
        <w:t>: los resultados</w:t>
      </w:r>
      <w:r w:rsidRPr="00274507">
        <w:rPr>
          <w:sz w:val="28"/>
          <w:szCs w:val="28"/>
        </w:rPr>
        <w:t xml:space="preserve"> deben identificar las principales fallas funcionales, estructurales, financieras y demás en las que incurren los actores del sistema y el comportamiento de las tutelas, es decir, el aumento o la disminución, y la justificación según sea el caso.</w:t>
      </w:r>
      <w:r w:rsidR="00D06380" w:rsidRPr="00274507">
        <w:rPr>
          <w:sz w:val="28"/>
          <w:szCs w:val="28"/>
        </w:rPr>
        <w:t xml:space="preserve"> Se advierte que el fin último del cumplimiento del mandato constitucional es la reducción en la presentación del amparo por parte de los usuarios del sistema.</w:t>
      </w:r>
    </w:p>
    <w:p w:rsidR="00116398" w:rsidRPr="00274507" w:rsidRDefault="008B368D" w:rsidP="00274507">
      <w:pPr>
        <w:tabs>
          <w:tab w:val="left" w:pos="0"/>
          <w:tab w:val="left" w:pos="357"/>
          <w:tab w:val="left" w:pos="709"/>
          <w:tab w:val="left" w:pos="1134"/>
        </w:tabs>
        <w:jc w:val="both"/>
        <w:rPr>
          <w:sz w:val="28"/>
          <w:szCs w:val="28"/>
        </w:rPr>
      </w:pPr>
      <w:r w:rsidRPr="00274507">
        <w:rPr>
          <w:sz w:val="28"/>
          <w:szCs w:val="28"/>
        </w:rPr>
        <w:t xml:space="preserve"> </w:t>
      </w:r>
    </w:p>
    <w:p w:rsidR="00C04F89" w:rsidRPr="00274507" w:rsidRDefault="00C04F89" w:rsidP="00274507">
      <w:pPr>
        <w:tabs>
          <w:tab w:val="left" w:pos="0"/>
          <w:tab w:val="left" w:pos="357"/>
          <w:tab w:val="left" w:pos="709"/>
          <w:tab w:val="left" w:pos="1134"/>
        </w:tabs>
        <w:jc w:val="both"/>
        <w:rPr>
          <w:sz w:val="28"/>
          <w:szCs w:val="28"/>
        </w:rPr>
      </w:pPr>
      <w:r w:rsidRPr="00274507">
        <w:rPr>
          <w:b/>
          <w:sz w:val="28"/>
          <w:szCs w:val="28"/>
        </w:rPr>
        <w:t xml:space="preserve">De las medidas que adopte como resultado del informe. </w:t>
      </w:r>
      <w:r w:rsidRPr="00274507">
        <w:rPr>
          <w:sz w:val="28"/>
          <w:szCs w:val="28"/>
        </w:rPr>
        <w:t>Una vez evaluado lo anterior, el Ministerio de Salud y Protección Social, deberá implementar las medidas correctivas para superar las fallas y obstáculos evidenciados que impiden la prestación efectiva del servici</w:t>
      </w:r>
      <w:r w:rsidR="00691C37" w:rsidRPr="00274507">
        <w:rPr>
          <w:sz w:val="28"/>
          <w:szCs w:val="28"/>
        </w:rPr>
        <w:t xml:space="preserve">o a la salud y la acreditación </w:t>
      </w:r>
      <w:r w:rsidRPr="00274507">
        <w:rPr>
          <w:sz w:val="28"/>
          <w:szCs w:val="28"/>
        </w:rPr>
        <w:t>de dichas actuaciones.</w:t>
      </w:r>
    </w:p>
    <w:p w:rsidR="00C04F89" w:rsidRPr="00274507" w:rsidRDefault="00C04F89" w:rsidP="00274507">
      <w:pPr>
        <w:tabs>
          <w:tab w:val="left" w:pos="567"/>
          <w:tab w:val="left" w:pos="993"/>
        </w:tabs>
        <w:jc w:val="both"/>
        <w:rPr>
          <w:b/>
          <w:sz w:val="28"/>
          <w:szCs w:val="28"/>
        </w:rPr>
      </w:pPr>
    </w:p>
    <w:p w:rsidR="005E13F5" w:rsidRPr="00274507" w:rsidRDefault="00D05C0C" w:rsidP="00274507">
      <w:pPr>
        <w:tabs>
          <w:tab w:val="left" w:pos="0"/>
          <w:tab w:val="left" w:pos="357"/>
          <w:tab w:val="left" w:pos="709"/>
          <w:tab w:val="left" w:pos="1134"/>
        </w:tabs>
        <w:jc w:val="both"/>
        <w:rPr>
          <w:sz w:val="28"/>
          <w:szCs w:val="28"/>
        </w:rPr>
      </w:pPr>
      <w:r w:rsidRPr="00274507">
        <w:rPr>
          <w:b/>
          <w:sz w:val="28"/>
          <w:szCs w:val="28"/>
        </w:rPr>
        <w:t>9</w:t>
      </w:r>
      <w:r w:rsidR="002C75D7" w:rsidRPr="00274507">
        <w:rPr>
          <w:b/>
          <w:sz w:val="28"/>
          <w:szCs w:val="28"/>
        </w:rPr>
        <w:t>.3.2.</w:t>
      </w:r>
      <w:r w:rsidR="002C75D7" w:rsidRPr="00274507">
        <w:rPr>
          <w:sz w:val="28"/>
          <w:szCs w:val="28"/>
        </w:rPr>
        <w:t xml:space="preserve"> El Ministerio de Salud deberá p</w:t>
      </w:r>
      <w:r w:rsidR="00A13CA9" w:rsidRPr="00274507">
        <w:rPr>
          <w:sz w:val="28"/>
          <w:szCs w:val="28"/>
        </w:rPr>
        <w:t xml:space="preserve">romover el conocimiento del informe a la sociedad civil, mediante un mecanismo de participación activa así como su publicación en </w:t>
      </w:r>
      <w:r w:rsidR="009E2758" w:rsidRPr="00274507">
        <w:rPr>
          <w:sz w:val="28"/>
          <w:szCs w:val="28"/>
        </w:rPr>
        <w:t xml:space="preserve">un link que haga parte de la página </w:t>
      </w:r>
      <w:r w:rsidR="00A200FB" w:rsidRPr="00274507">
        <w:rPr>
          <w:i/>
          <w:sz w:val="28"/>
          <w:szCs w:val="28"/>
        </w:rPr>
        <w:t>web</w:t>
      </w:r>
      <w:r w:rsidR="009E2758" w:rsidRPr="00274507">
        <w:rPr>
          <w:i/>
          <w:sz w:val="28"/>
          <w:szCs w:val="28"/>
        </w:rPr>
        <w:t xml:space="preserve"> </w:t>
      </w:r>
      <w:r w:rsidR="009E2758" w:rsidRPr="00274507">
        <w:rPr>
          <w:sz w:val="28"/>
          <w:szCs w:val="28"/>
        </w:rPr>
        <w:t>de la entidad, en el que se reporten para el periodo analizado</w:t>
      </w:r>
      <w:r w:rsidR="00B73A76" w:rsidRPr="00274507">
        <w:rPr>
          <w:sz w:val="28"/>
          <w:szCs w:val="28"/>
        </w:rPr>
        <w:t xml:space="preserve"> los </w:t>
      </w:r>
      <w:r w:rsidR="00B025E1" w:rsidRPr="00274507">
        <w:rPr>
          <w:sz w:val="28"/>
          <w:szCs w:val="28"/>
        </w:rPr>
        <w:t>aspectos expuestos en el núm.</w:t>
      </w:r>
      <w:r w:rsidRPr="00274507">
        <w:rPr>
          <w:sz w:val="28"/>
          <w:szCs w:val="28"/>
        </w:rPr>
        <w:t>9</w:t>
      </w:r>
      <w:r w:rsidR="00B73A76" w:rsidRPr="00274507">
        <w:rPr>
          <w:sz w:val="28"/>
          <w:szCs w:val="28"/>
        </w:rPr>
        <w:t>.3.1.</w:t>
      </w:r>
    </w:p>
    <w:p w:rsidR="00B73A76" w:rsidRPr="00274507" w:rsidRDefault="00B73A76" w:rsidP="00274507">
      <w:pPr>
        <w:tabs>
          <w:tab w:val="left" w:pos="0"/>
          <w:tab w:val="left" w:pos="357"/>
          <w:tab w:val="left" w:pos="709"/>
          <w:tab w:val="left" w:pos="1134"/>
        </w:tabs>
        <w:jc w:val="both"/>
        <w:rPr>
          <w:sz w:val="28"/>
          <w:szCs w:val="28"/>
        </w:rPr>
      </w:pPr>
    </w:p>
    <w:p w:rsidR="00B73A76" w:rsidRPr="00274507" w:rsidRDefault="00D05C0C" w:rsidP="00274507">
      <w:pPr>
        <w:tabs>
          <w:tab w:val="left" w:pos="0"/>
          <w:tab w:val="left" w:pos="357"/>
          <w:tab w:val="left" w:pos="709"/>
          <w:tab w:val="left" w:pos="1134"/>
        </w:tabs>
        <w:jc w:val="both"/>
        <w:rPr>
          <w:sz w:val="28"/>
          <w:szCs w:val="28"/>
        </w:rPr>
      </w:pPr>
      <w:r w:rsidRPr="00274507">
        <w:rPr>
          <w:b/>
          <w:sz w:val="28"/>
          <w:szCs w:val="28"/>
        </w:rPr>
        <w:t>9</w:t>
      </w:r>
      <w:r w:rsidR="00B73A76" w:rsidRPr="00274507">
        <w:rPr>
          <w:b/>
          <w:sz w:val="28"/>
          <w:szCs w:val="28"/>
        </w:rPr>
        <w:t>.3.3.</w:t>
      </w:r>
      <w:r w:rsidR="00B73A76" w:rsidRPr="00274507">
        <w:rPr>
          <w:sz w:val="28"/>
          <w:szCs w:val="28"/>
        </w:rPr>
        <w:t xml:space="preserve"> Ordenar al Ministerio</w:t>
      </w:r>
      <w:r w:rsidR="00691C37" w:rsidRPr="00274507">
        <w:rPr>
          <w:sz w:val="28"/>
          <w:szCs w:val="28"/>
        </w:rPr>
        <w:t xml:space="preserve"> de Salud</w:t>
      </w:r>
      <w:r w:rsidR="00B73A76" w:rsidRPr="00274507">
        <w:rPr>
          <w:sz w:val="28"/>
          <w:szCs w:val="28"/>
        </w:rPr>
        <w:t xml:space="preserve"> a construir los indicadores de goce efectivo del derecho a la salud GED para evaluar la gestión de los actores del sistema</w:t>
      </w:r>
      <w:r w:rsidR="00691C37" w:rsidRPr="00274507">
        <w:rPr>
          <w:sz w:val="28"/>
          <w:szCs w:val="28"/>
        </w:rPr>
        <w:t xml:space="preserve"> y evaluar la creación de las políticas públicas pertinentes a las situaciones sociales evidenciadas</w:t>
      </w:r>
      <w:r w:rsidR="004440EB" w:rsidRPr="00274507">
        <w:rPr>
          <w:sz w:val="28"/>
          <w:szCs w:val="28"/>
        </w:rPr>
        <w:t xml:space="preserve">, </w:t>
      </w:r>
      <w:r w:rsidR="00B73A76" w:rsidRPr="00274507">
        <w:rPr>
          <w:sz w:val="28"/>
          <w:szCs w:val="28"/>
        </w:rPr>
        <w:t>bajo los términos previstos en la consideración núm.</w:t>
      </w:r>
      <w:r w:rsidRPr="00274507">
        <w:rPr>
          <w:sz w:val="28"/>
          <w:szCs w:val="28"/>
        </w:rPr>
        <w:t xml:space="preserve"> 8</w:t>
      </w:r>
      <w:r w:rsidR="00935100" w:rsidRPr="00274507">
        <w:rPr>
          <w:sz w:val="28"/>
          <w:szCs w:val="28"/>
        </w:rPr>
        <w:t xml:space="preserve"> de esta providencia.</w:t>
      </w:r>
    </w:p>
    <w:p w:rsidR="00B73A76" w:rsidRPr="00274507" w:rsidRDefault="00B73A76" w:rsidP="00274507">
      <w:pPr>
        <w:tabs>
          <w:tab w:val="left" w:pos="0"/>
          <w:tab w:val="left" w:pos="357"/>
          <w:tab w:val="left" w:pos="709"/>
          <w:tab w:val="left" w:pos="1134"/>
        </w:tabs>
        <w:jc w:val="both"/>
        <w:rPr>
          <w:sz w:val="28"/>
          <w:szCs w:val="28"/>
        </w:rPr>
      </w:pPr>
    </w:p>
    <w:p w:rsidR="002E364B" w:rsidRPr="00274507" w:rsidRDefault="00384462" w:rsidP="00274507">
      <w:pPr>
        <w:jc w:val="both"/>
        <w:rPr>
          <w:b/>
          <w:sz w:val="28"/>
          <w:szCs w:val="28"/>
        </w:rPr>
      </w:pPr>
      <w:r w:rsidRPr="00274507">
        <w:rPr>
          <w:b/>
          <w:sz w:val="28"/>
          <w:szCs w:val="28"/>
        </w:rPr>
        <w:t>A ot</w:t>
      </w:r>
      <w:r w:rsidR="002E364B" w:rsidRPr="00274507">
        <w:rPr>
          <w:b/>
          <w:sz w:val="28"/>
          <w:szCs w:val="28"/>
        </w:rPr>
        <w:t xml:space="preserve">ras autoridades obligadas </w:t>
      </w:r>
    </w:p>
    <w:p w:rsidR="00B73A76" w:rsidRPr="00274507" w:rsidRDefault="00B73A76" w:rsidP="00274507">
      <w:pPr>
        <w:jc w:val="both"/>
        <w:rPr>
          <w:b/>
          <w:sz w:val="28"/>
          <w:szCs w:val="28"/>
        </w:rPr>
      </w:pPr>
    </w:p>
    <w:p w:rsidR="002E364B" w:rsidRPr="00274507" w:rsidRDefault="00D05C0C" w:rsidP="00274507">
      <w:pPr>
        <w:tabs>
          <w:tab w:val="left" w:pos="851"/>
        </w:tabs>
        <w:jc w:val="both"/>
        <w:rPr>
          <w:sz w:val="28"/>
          <w:szCs w:val="28"/>
          <w:lang w:val="es-ES_tradnl"/>
        </w:rPr>
      </w:pPr>
      <w:r w:rsidRPr="00274507">
        <w:rPr>
          <w:b/>
          <w:sz w:val="28"/>
          <w:szCs w:val="28"/>
        </w:rPr>
        <w:t>9</w:t>
      </w:r>
      <w:r w:rsidR="002B0B59" w:rsidRPr="00274507">
        <w:rPr>
          <w:b/>
          <w:sz w:val="28"/>
          <w:szCs w:val="28"/>
        </w:rPr>
        <w:t>.4</w:t>
      </w:r>
      <w:r w:rsidR="00D57CC7" w:rsidRPr="00274507">
        <w:rPr>
          <w:b/>
          <w:sz w:val="28"/>
          <w:szCs w:val="28"/>
        </w:rPr>
        <w:t>.</w:t>
      </w:r>
      <w:r w:rsidR="00D57CC7" w:rsidRPr="00274507">
        <w:rPr>
          <w:sz w:val="28"/>
          <w:szCs w:val="28"/>
        </w:rPr>
        <w:t xml:space="preserve"> </w:t>
      </w:r>
      <w:r w:rsidR="00B73A76" w:rsidRPr="00274507">
        <w:rPr>
          <w:sz w:val="28"/>
          <w:szCs w:val="28"/>
        </w:rPr>
        <w:t xml:space="preserve">Conminar a </w:t>
      </w:r>
      <w:r w:rsidR="002E364B" w:rsidRPr="00274507">
        <w:rPr>
          <w:sz w:val="28"/>
          <w:szCs w:val="28"/>
        </w:rPr>
        <w:t>la Pro</w:t>
      </w:r>
      <w:r w:rsidR="00F62087" w:rsidRPr="00274507">
        <w:rPr>
          <w:sz w:val="28"/>
          <w:szCs w:val="28"/>
        </w:rPr>
        <w:t xml:space="preserve">curaduría General de la Nación </w:t>
      </w:r>
      <w:r w:rsidR="002E364B" w:rsidRPr="00274507">
        <w:rPr>
          <w:sz w:val="28"/>
          <w:szCs w:val="28"/>
          <w:lang w:val="es-ES_tradnl"/>
        </w:rPr>
        <w:t>para que con base en sus competencias constitucionales, legales y reglamentarias</w:t>
      </w:r>
      <w:r w:rsidR="002E364B" w:rsidRPr="00274507">
        <w:rPr>
          <w:rStyle w:val="Refdenotaalpie"/>
          <w:sz w:val="28"/>
          <w:szCs w:val="28"/>
          <w:lang w:val="es-ES_tradnl"/>
        </w:rPr>
        <w:footnoteReference w:id="228"/>
      </w:r>
      <w:r w:rsidR="002E364B" w:rsidRPr="00274507">
        <w:rPr>
          <w:sz w:val="28"/>
          <w:szCs w:val="28"/>
          <w:lang w:val="es-ES_tradnl"/>
        </w:rPr>
        <w:t xml:space="preserve">, </w:t>
      </w:r>
      <w:r w:rsidR="00ED495C" w:rsidRPr="00274507">
        <w:rPr>
          <w:sz w:val="28"/>
          <w:szCs w:val="28"/>
          <w:lang w:val="es-ES_tradnl"/>
        </w:rPr>
        <w:t>especia</w:t>
      </w:r>
      <w:r w:rsidR="00BA1CFC" w:rsidRPr="00274507">
        <w:rPr>
          <w:sz w:val="28"/>
          <w:szCs w:val="28"/>
          <w:lang w:val="es-ES_tradnl"/>
        </w:rPr>
        <w:t>lmente de la función preventiva y vigilancia en el c</w:t>
      </w:r>
      <w:r w:rsidR="002E364B" w:rsidRPr="00274507">
        <w:rPr>
          <w:sz w:val="28"/>
          <w:szCs w:val="28"/>
          <w:lang w:val="es-ES_tradnl"/>
        </w:rPr>
        <w:t>umplimiento de</w:t>
      </w:r>
      <w:r w:rsidR="00D139E1" w:rsidRPr="00274507">
        <w:rPr>
          <w:sz w:val="28"/>
          <w:szCs w:val="28"/>
          <w:lang w:val="es-ES_tradnl"/>
        </w:rPr>
        <w:t xml:space="preserve"> la orden </w:t>
      </w:r>
      <w:r w:rsidR="00F62087" w:rsidRPr="00274507">
        <w:rPr>
          <w:sz w:val="28"/>
          <w:szCs w:val="28"/>
          <w:lang w:val="es-ES_tradnl"/>
        </w:rPr>
        <w:t xml:space="preserve">trigésima </w:t>
      </w:r>
      <w:r w:rsidR="00D139E1" w:rsidRPr="00274507">
        <w:rPr>
          <w:sz w:val="28"/>
          <w:szCs w:val="28"/>
          <w:lang w:val="es-ES_tradnl"/>
        </w:rPr>
        <w:t xml:space="preserve">y </w:t>
      </w:r>
      <w:r w:rsidR="002E364B" w:rsidRPr="00274507">
        <w:rPr>
          <w:sz w:val="28"/>
          <w:szCs w:val="28"/>
          <w:lang w:val="es-ES_tradnl"/>
        </w:rPr>
        <w:t>este auto de seguimiento</w:t>
      </w:r>
      <w:r w:rsidR="00ED495C" w:rsidRPr="00274507">
        <w:rPr>
          <w:sz w:val="28"/>
          <w:szCs w:val="28"/>
          <w:lang w:val="es-ES_tradnl"/>
        </w:rPr>
        <w:t xml:space="preserve"> por parte de los órganos obligados</w:t>
      </w:r>
      <w:r w:rsidR="00691C37" w:rsidRPr="00274507">
        <w:rPr>
          <w:sz w:val="28"/>
          <w:szCs w:val="28"/>
          <w:lang w:val="es-ES_tradnl"/>
        </w:rPr>
        <w:t xml:space="preserve">. De igual manera, instar a </w:t>
      </w:r>
      <w:r w:rsidR="00F62087" w:rsidRPr="00274507">
        <w:rPr>
          <w:sz w:val="28"/>
          <w:szCs w:val="28"/>
          <w:lang w:val="es-ES_tradnl"/>
        </w:rPr>
        <w:t xml:space="preserve">la Defensoría del Pueblo, </w:t>
      </w:r>
      <w:r w:rsidR="00691C37" w:rsidRPr="00274507">
        <w:rPr>
          <w:sz w:val="28"/>
          <w:szCs w:val="28"/>
          <w:lang w:val="es-ES_tradnl"/>
        </w:rPr>
        <w:t>para que continúe con su labor en lo</w:t>
      </w:r>
      <w:r w:rsidR="00F62087" w:rsidRPr="00274507">
        <w:rPr>
          <w:sz w:val="28"/>
          <w:szCs w:val="28"/>
          <w:lang w:val="es-ES_tradnl"/>
        </w:rPr>
        <w:t xml:space="preserve"> pertinente al</w:t>
      </w:r>
      <w:r w:rsidR="00691C37" w:rsidRPr="00274507">
        <w:rPr>
          <w:sz w:val="28"/>
          <w:szCs w:val="28"/>
          <w:lang w:val="es-ES_tradnl"/>
        </w:rPr>
        <w:t xml:space="preserve"> seguimiento y</w:t>
      </w:r>
      <w:r w:rsidR="00F62087" w:rsidRPr="00274507">
        <w:rPr>
          <w:sz w:val="28"/>
          <w:szCs w:val="28"/>
          <w:lang w:val="es-ES_tradnl"/>
        </w:rPr>
        <w:t xml:space="preserve"> apoyo en la construcción de los informes</w:t>
      </w:r>
      <w:r w:rsidR="002E364B" w:rsidRPr="00274507">
        <w:rPr>
          <w:sz w:val="28"/>
          <w:szCs w:val="28"/>
          <w:lang w:val="es-ES_tradnl"/>
        </w:rPr>
        <w:t xml:space="preserve">. </w:t>
      </w:r>
      <w:r w:rsidR="00BA1CFC" w:rsidRPr="00274507">
        <w:rPr>
          <w:sz w:val="28"/>
          <w:szCs w:val="28"/>
          <w:lang w:val="es-ES_tradnl"/>
        </w:rPr>
        <w:t xml:space="preserve">Lo anterior, en los </w:t>
      </w:r>
      <w:r w:rsidRPr="00274507">
        <w:rPr>
          <w:sz w:val="28"/>
          <w:szCs w:val="28"/>
          <w:lang w:val="es-ES_tradnl"/>
        </w:rPr>
        <w:t>términos del considerando núm. 6.1 y 6.3 respectivamente</w:t>
      </w:r>
      <w:r w:rsidR="00BA1CFC" w:rsidRPr="00274507">
        <w:rPr>
          <w:sz w:val="28"/>
          <w:szCs w:val="28"/>
          <w:lang w:val="es-ES_tradnl"/>
        </w:rPr>
        <w:t>.</w:t>
      </w:r>
    </w:p>
    <w:p w:rsidR="00B93784" w:rsidRPr="00274507" w:rsidRDefault="00B93784" w:rsidP="00274507">
      <w:pPr>
        <w:tabs>
          <w:tab w:val="left" w:pos="851"/>
        </w:tabs>
        <w:jc w:val="both"/>
        <w:rPr>
          <w:sz w:val="28"/>
          <w:szCs w:val="28"/>
        </w:rPr>
      </w:pPr>
    </w:p>
    <w:p w:rsidR="00B025E1" w:rsidRPr="00274507" w:rsidRDefault="00D05C0C" w:rsidP="00274507">
      <w:pPr>
        <w:tabs>
          <w:tab w:val="left" w:pos="851"/>
          <w:tab w:val="left" w:pos="1080"/>
        </w:tabs>
        <w:jc w:val="both"/>
        <w:rPr>
          <w:sz w:val="28"/>
          <w:szCs w:val="28"/>
        </w:rPr>
      </w:pPr>
      <w:r w:rsidRPr="00274507">
        <w:rPr>
          <w:b/>
          <w:sz w:val="28"/>
          <w:szCs w:val="28"/>
        </w:rPr>
        <w:t>9</w:t>
      </w:r>
      <w:r w:rsidR="002B0B59" w:rsidRPr="00274507">
        <w:rPr>
          <w:b/>
          <w:sz w:val="28"/>
          <w:szCs w:val="28"/>
        </w:rPr>
        <w:t>.5.</w:t>
      </w:r>
      <w:r w:rsidR="007D0E82" w:rsidRPr="00274507">
        <w:rPr>
          <w:sz w:val="28"/>
          <w:szCs w:val="28"/>
        </w:rPr>
        <w:t xml:space="preserve"> </w:t>
      </w:r>
      <w:r w:rsidR="00D139E1" w:rsidRPr="00274507">
        <w:rPr>
          <w:sz w:val="28"/>
          <w:szCs w:val="28"/>
        </w:rPr>
        <w:t xml:space="preserve">Finalmente, en orden a las dificultades </w:t>
      </w:r>
      <w:r w:rsidR="00F55692" w:rsidRPr="00274507">
        <w:rPr>
          <w:sz w:val="28"/>
          <w:szCs w:val="28"/>
        </w:rPr>
        <w:t>profunda</w:t>
      </w:r>
      <w:r w:rsidR="00D139E1" w:rsidRPr="00274507">
        <w:rPr>
          <w:sz w:val="28"/>
          <w:szCs w:val="28"/>
        </w:rPr>
        <w:t>s</w:t>
      </w:r>
      <w:r w:rsidR="00F55692" w:rsidRPr="00274507">
        <w:rPr>
          <w:sz w:val="28"/>
          <w:szCs w:val="28"/>
        </w:rPr>
        <w:t xml:space="preserve"> sobre el sistema de salud que inquieta</w:t>
      </w:r>
      <w:r w:rsidR="00D139E1" w:rsidRPr="00274507">
        <w:rPr>
          <w:sz w:val="28"/>
          <w:szCs w:val="28"/>
        </w:rPr>
        <w:t>n</w:t>
      </w:r>
      <w:r w:rsidR="00F55692" w:rsidRPr="00274507">
        <w:rPr>
          <w:sz w:val="28"/>
          <w:szCs w:val="28"/>
        </w:rPr>
        <w:t xml:space="preserve"> a esta Corporación </w:t>
      </w:r>
      <w:r w:rsidR="00A503CC" w:rsidRPr="00274507">
        <w:rPr>
          <w:sz w:val="28"/>
          <w:szCs w:val="28"/>
        </w:rPr>
        <w:t xml:space="preserve">y de la preocupación que le asiste por el no acatamiento de la </w:t>
      </w:r>
      <w:r w:rsidR="00D139E1" w:rsidRPr="00274507">
        <w:rPr>
          <w:sz w:val="28"/>
          <w:szCs w:val="28"/>
        </w:rPr>
        <w:t>orden examinada</w:t>
      </w:r>
      <w:r w:rsidR="00A503CC" w:rsidRPr="00274507">
        <w:rPr>
          <w:sz w:val="28"/>
          <w:szCs w:val="28"/>
        </w:rPr>
        <w:t xml:space="preserve"> transcurridos </w:t>
      </w:r>
      <w:r w:rsidR="00F62087" w:rsidRPr="00274507">
        <w:rPr>
          <w:sz w:val="28"/>
          <w:szCs w:val="28"/>
        </w:rPr>
        <w:t>ocho</w:t>
      </w:r>
      <w:r w:rsidR="00A503CC" w:rsidRPr="00274507">
        <w:rPr>
          <w:sz w:val="28"/>
          <w:szCs w:val="28"/>
        </w:rPr>
        <w:t xml:space="preserve"> años desde </w:t>
      </w:r>
      <w:r w:rsidR="00B67E68" w:rsidRPr="00274507">
        <w:rPr>
          <w:sz w:val="28"/>
          <w:szCs w:val="28"/>
        </w:rPr>
        <w:t xml:space="preserve">su expedición, se dispondrá informar </w:t>
      </w:r>
      <w:r w:rsidR="00A503CC" w:rsidRPr="00274507">
        <w:rPr>
          <w:sz w:val="28"/>
          <w:szCs w:val="28"/>
        </w:rPr>
        <w:t>esta determinación al señor Presidente de la República, al Presidente del Congreso y a los Presidentes de las Comisiones Séptimas Constitucionales Permanentes del Congreso,</w:t>
      </w:r>
      <w:r w:rsidR="00C546E1" w:rsidRPr="00274507">
        <w:rPr>
          <w:sz w:val="28"/>
          <w:szCs w:val="28"/>
        </w:rPr>
        <w:t xml:space="preserve"> </w:t>
      </w:r>
      <w:r w:rsidR="00F85E55" w:rsidRPr="00274507">
        <w:rPr>
          <w:sz w:val="28"/>
          <w:szCs w:val="28"/>
        </w:rPr>
        <w:t xml:space="preserve">que en </w:t>
      </w:r>
      <w:r w:rsidR="00A503CC" w:rsidRPr="00274507">
        <w:rPr>
          <w:sz w:val="28"/>
          <w:szCs w:val="28"/>
        </w:rPr>
        <w:t xml:space="preserve">el ámbito de la </w:t>
      </w:r>
      <w:r w:rsidR="00B67E68" w:rsidRPr="00274507">
        <w:rPr>
          <w:sz w:val="28"/>
          <w:szCs w:val="28"/>
        </w:rPr>
        <w:t>actuación</w:t>
      </w:r>
      <w:r w:rsidR="00A503CC" w:rsidRPr="00274507">
        <w:rPr>
          <w:sz w:val="28"/>
          <w:szCs w:val="28"/>
        </w:rPr>
        <w:t xml:space="preserve"> dialógica</w:t>
      </w:r>
      <w:r w:rsidR="00A503CC" w:rsidRPr="00274507">
        <w:rPr>
          <w:rStyle w:val="Refdenotaalpie"/>
          <w:sz w:val="28"/>
          <w:szCs w:val="28"/>
        </w:rPr>
        <w:footnoteReference w:id="229"/>
      </w:r>
      <w:r w:rsidR="00A503CC" w:rsidRPr="00274507">
        <w:rPr>
          <w:sz w:val="28"/>
          <w:szCs w:val="28"/>
        </w:rPr>
        <w:t xml:space="preserve"> que rige este trámite de verificación</w:t>
      </w:r>
      <w:r w:rsidR="00F85E55" w:rsidRPr="00274507">
        <w:rPr>
          <w:sz w:val="28"/>
          <w:szCs w:val="28"/>
        </w:rPr>
        <w:t>, deben estar enterados por ser sujetos de la configuración y dirección del sistema de salud</w:t>
      </w:r>
      <w:r w:rsidR="00F62087" w:rsidRPr="00274507">
        <w:rPr>
          <w:rStyle w:val="Refdenotaalpie"/>
          <w:sz w:val="28"/>
          <w:szCs w:val="28"/>
        </w:rPr>
        <w:footnoteReference w:id="230"/>
      </w:r>
      <w:r w:rsidR="00A503CC" w:rsidRPr="00274507">
        <w:rPr>
          <w:sz w:val="28"/>
          <w:szCs w:val="28"/>
        </w:rPr>
        <w:t>.</w:t>
      </w:r>
    </w:p>
    <w:p w:rsidR="002E36B7" w:rsidRPr="00274507" w:rsidRDefault="002E36B7" w:rsidP="00274507">
      <w:pPr>
        <w:tabs>
          <w:tab w:val="left" w:pos="3536"/>
        </w:tabs>
        <w:jc w:val="both"/>
        <w:rPr>
          <w:sz w:val="28"/>
          <w:szCs w:val="28"/>
        </w:rPr>
      </w:pPr>
    </w:p>
    <w:p w:rsidR="00D17DF5" w:rsidRPr="00274507" w:rsidRDefault="002E364B" w:rsidP="00274507">
      <w:pPr>
        <w:tabs>
          <w:tab w:val="left" w:pos="3536"/>
        </w:tabs>
        <w:jc w:val="both"/>
        <w:rPr>
          <w:sz w:val="28"/>
          <w:szCs w:val="28"/>
        </w:rPr>
      </w:pPr>
      <w:r w:rsidRPr="00274507">
        <w:rPr>
          <w:sz w:val="28"/>
          <w:szCs w:val="28"/>
        </w:rPr>
        <w:t xml:space="preserve">En mérito de lo expuesto, </w:t>
      </w:r>
      <w:r w:rsidR="00B67E68" w:rsidRPr="00274507">
        <w:rPr>
          <w:sz w:val="28"/>
          <w:szCs w:val="28"/>
        </w:rPr>
        <w:t>la Sala Especial de Seguimient</w:t>
      </w:r>
      <w:r w:rsidR="00B025E1" w:rsidRPr="00274507">
        <w:rPr>
          <w:sz w:val="28"/>
          <w:szCs w:val="28"/>
        </w:rPr>
        <w:t>o a la Sentencia T-760 de 2008,</w:t>
      </w:r>
    </w:p>
    <w:p w:rsidR="002E36B7" w:rsidRPr="00274507" w:rsidRDefault="002E36B7" w:rsidP="00274507">
      <w:pPr>
        <w:widowControl w:val="0"/>
        <w:tabs>
          <w:tab w:val="left" w:pos="426"/>
        </w:tabs>
        <w:autoSpaceDE w:val="0"/>
        <w:autoSpaceDN w:val="0"/>
        <w:adjustRightInd w:val="0"/>
        <w:jc w:val="both"/>
        <w:rPr>
          <w:sz w:val="28"/>
          <w:szCs w:val="28"/>
          <w:lang w:eastAsia="es-ES_tradnl"/>
        </w:rPr>
      </w:pPr>
    </w:p>
    <w:p w:rsidR="00B025E1" w:rsidRPr="00274507" w:rsidRDefault="00B025E1" w:rsidP="00274507">
      <w:pPr>
        <w:widowControl w:val="0"/>
        <w:autoSpaceDE w:val="0"/>
        <w:autoSpaceDN w:val="0"/>
        <w:adjustRightInd w:val="0"/>
        <w:jc w:val="center"/>
        <w:rPr>
          <w:b/>
          <w:bCs/>
          <w:sz w:val="28"/>
          <w:szCs w:val="28"/>
        </w:rPr>
      </w:pPr>
      <w:r w:rsidRPr="00274507">
        <w:rPr>
          <w:b/>
          <w:bCs/>
          <w:sz w:val="28"/>
          <w:szCs w:val="28"/>
        </w:rPr>
        <w:t>III.</w:t>
      </w:r>
      <w:r w:rsidRPr="00274507">
        <w:rPr>
          <w:b/>
          <w:bCs/>
          <w:sz w:val="28"/>
          <w:szCs w:val="28"/>
        </w:rPr>
        <w:tab/>
        <w:t>RESUELVE:</w:t>
      </w:r>
    </w:p>
    <w:p w:rsidR="002E36B7" w:rsidRDefault="002E36B7" w:rsidP="00274507">
      <w:pPr>
        <w:pStyle w:val="Sinespaciado2"/>
        <w:jc w:val="both"/>
        <w:rPr>
          <w:rFonts w:ascii="Times New Roman" w:hAnsi="Times New Roman" w:cs="Times New Roman"/>
          <w:sz w:val="28"/>
          <w:szCs w:val="28"/>
          <w:lang w:eastAsia="es-ES"/>
        </w:rPr>
      </w:pPr>
    </w:p>
    <w:p w:rsidR="00E0403C" w:rsidRPr="00274507" w:rsidRDefault="00E0403C" w:rsidP="00274507">
      <w:pPr>
        <w:pStyle w:val="Sinespaciado2"/>
        <w:jc w:val="both"/>
        <w:rPr>
          <w:rFonts w:ascii="Times New Roman" w:hAnsi="Times New Roman" w:cs="Times New Roman"/>
          <w:sz w:val="28"/>
          <w:szCs w:val="28"/>
          <w:lang w:eastAsia="es-ES"/>
        </w:rPr>
      </w:pPr>
    </w:p>
    <w:p w:rsidR="002E364B" w:rsidRPr="00274507" w:rsidRDefault="002E364B" w:rsidP="00274507">
      <w:pPr>
        <w:pStyle w:val="Sinespaciado2"/>
        <w:jc w:val="both"/>
        <w:rPr>
          <w:rFonts w:ascii="Times New Roman" w:hAnsi="Times New Roman" w:cs="Times New Roman"/>
          <w:sz w:val="28"/>
          <w:szCs w:val="28"/>
          <w:lang w:eastAsia="es-ES"/>
        </w:rPr>
      </w:pPr>
      <w:r w:rsidRPr="00274507">
        <w:rPr>
          <w:rFonts w:ascii="Times New Roman" w:hAnsi="Times New Roman" w:cs="Times New Roman"/>
          <w:b/>
          <w:bCs/>
          <w:sz w:val="28"/>
          <w:szCs w:val="28"/>
          <w:lang w:eastAsia="es-ES"/>
        </w:rPr>
        <w:t xml:space="preserve">PRIMERO.- </w:t>
      </w:r>
      <w:r w:rsidRPr="00274507">
        <w:rPr>
          <w:rFonts w:ascii="Times New Roman" w:hAnsi="Times New Roman" w:cs="Times New Roman"/>
          <w:bCs/>
          <w:sz w:val="28"/>
          <w:szCs w:val="28"/>
          <w:lang w:eastAsia="es-ES"/>
        </w:rPr>
        <w:t>Declarar</w:t>
      </w:r>
      <w:r w:rsidRPr="00274507">
        <w:rPr>
          <w:rFonts w:ascii="Times New Roman" w:hAnsi="Times New Roman" w:cs="Times New Roman"/>
          <w:b/>
          <w:bCs/>
          <w:sz w:val="28"/>
          <w:szCs w:val="28"/>
          <w:lang w:eastAsia="es-ES"/>
        </w:rPr>
        <w:t xml:space="preserve"> </w:t>
      </w:r>
      <w:r w:rsidR="00F8086F" w:rsidRPr="00274507">
        <w:rPr>
          <w:rFonts w:ascii="Times New Roman" w:hAnsi="Times New Roman" w:cs="Times New Roman"/>
          <w:sz w:val="28"/>
          <w:szCs w:val="28"/>
          <w:lang w:eastAsia="es-ES"/>
        </w:rPr>
        <w:t>el</w:t>
      </w:r>
      <w:r w:rsidR="00967216" w:rsidRPr="00274507">
        <w:rPr>
          <w:rFonts w:ascii="Times New Roman" w:hAnsi="Times New Roman" w:cs="Times New Roman"/>
          <w:sz w:val="28"/>
          <w:szCs w:val="28"/>
          <w:lang w:eastAsia="es-ES"/>
        </w:rPr>
        <w:t xml:space="preserve"> nivel de</w:t>
      </w:r>
      <w:r w:rsidR="00F8086F" w:rsidRPr="00274507">
        <w:rPr>
          <w:rFonts w:ascii="Times New Roman" w:hAnsi="Times New Roman" w:cs="Times New Roman"/>
          <w:sz w:val="28"/>
          <w:szCs w:val="28"/>
          <w:lang w:eastAsia="es-ES"/>
        </w:rPr>
        <w:t xml:space="preserve"> </w:t>
      </w:r>
      <w:r w:rsidR="00F62087" w:rsidRPr="00274507">
        <w:rPr>
          <w:rFonts w:ascii="Times New Roman" w:hAnsi="Times New Roman" w:cs="Times New Roman"/>
          <w:b/>
          <w:sz w:val="28"/>
          <w:szCs w:val="28"/>
          <w:lang w:eastAsia="es-ES"/>
        </w:rPr>
        <w:t xml:space="preserve">CUMPLIMIENTO </w:t>
      </w:r>
      <w:r w:rsidR="007D0E82" w:rsidRPr="00274507">
        <w:rPr>
          <w:rFonts w:ascii="Times New Roman" w:hAnsi="Times New Roman" w:cs="Times New Roman"/>
          <w:b/>
          <w:sz w:val="28"/>
          <w:szCs w:val="28"/>
          <w:lang w:eastAsia="es-ES"/>
        </w:rPr>
        <w:t xml:space="preserve">BAJO </w:t>
      </w:r>
      <w:r w:rsidR="00F62087" w:rsidRPr="00274507">
        <w:rPr>
          <w:rFonts w:ascii="Times New Roman" w:hAnsi="Times New Roman" w:cs="Times New Roman"/>
          <w:sz w:val="28"/>
          <w:szCs w:val="28"/>
          <w:lang w:eastAsia="es-ES"/>
        </w:rPr>
        <w:t xml:space="preserve">de la orden trigésima </w:t>
      </w:r>
      <w:r w:rsidRPr="00274507">
        <w:rPr>
          <w:rFonts w:ascii="Times New Roman" w:hAnsi="Times New Roman" w:cs="Times New Roman"/>
          <w:sz w:val="28"/>
          <w:szCs w:val="28"/>
          <w:lang w:eastAsia="es-ES"/>
        </w:rPr>
        <w:t>de la sentencia T-760 de 2008, por los motivos expuestos en la parte considerativa de esta providencia.</w:t>
      </w:r>
    </w:p>
    <w:p w:rsidR="00B025E1" w:rsidRPr="00274507" w:rsidRDefault="00B025E1" w:rsidP="00274507">
      <w:pPr>
        <w:pStyle w:val="Sinespaciado2"/>
        <w:jc w:val="both"/>
        <w:rPr>
          <w:rFonts w:ascii="Times New Roman" w:hAnsi="Times New Roman" w:cs="Times New Roman"/>
          <w:b/>
          <w:bCs/>
          <w:sz w:val="28"/>
          <w:szCs w:val="28"/>
          <w:lang w:eastAsia="es-ES"/>
        </w:rPr>
      </w:pPr>
    </w:p>
    <w:p w:rsidR="00CC378A" w:rsidRPr="00274507" w:rsidRDefault="002E364B" w:rsidP="00274507">
      <w:pPr>
        <w:jc w:val="both"/>
        <w:rPr>
          <w:sz w:val="28"/>
          <w:szCs w:val="28"/>
        </w:rPr>
      </w:pPr>
      <w:r w:rsidRPr="00274507">
        <w:rPr>
          <w:b/>
          <w:bCs/>
          <w:sz w:val="28"/>
          <w:szCs w:val="28"/>
        </w:rPr>
        <w:t xml:space="preserve">SEGUNDO.- </w:t>
      </w:r>
      <w:r w:rsidR="00371861" w:rsidRPr="00274507">
        <w:rPr>
          <w:bCs/>
          <w:sz w:val="28"/>
          <w:szCs w:val="28"/>
        </w:rPr>
        <w:t>L</w:t>
      </w:r>
      <w:r w:rsidR="002F2607" w:rsidRPr="00274507">
        <w:rPr>
          <w:sz w:val="28"/>
          <w:szCs w:val="28"/>
        </w:rPr>
        <w:t xml:space="preserve">lamar la atención al Ministro de Salud y Protección Social, </w:t>
      </w:r>
      <w:r w:rsidR="006A33AD" w:rsidRPr="00274507">
        <w:rPr>
          <w:sz w:val="28"/>
          <w:szCs w:val="28"/>
        </w:rPr>
        <w:t>para que realice actividades y gestiones que permitan obtener resultados veraces en el cumplimiento de la orden trigésima</w:t>
      </w:r>
      <w:r w:rsidR="00B91740" w:rsidRPr="00274507">
        <w:rPr>
          <w:sz w:val="28"/>
          <w:szCs w:val="28"/>
        </w:rPr>
        <w:t xml:space="preserve">, </w:t>
      </w:r>
      <w:r w:rsidR="00494947" w:rsidRPr="00274507">
        <w:rPr>
          <w:sz w:val="28"/>
          <w:szCs w:val="28"/>
        </w:rPr>
        <w:t>por l</w:t>
      </w:r>
      <w:r w:rsidR="00B91740" w:rsidRPr="00274507">
        <w:rPr>
          <w:sz w:val="28"/>
          <w:szCs w:val="28"/>
        </w:rPr>
        <w:t>as consideraciones expuestas anteriormente</w:t>
      </w:r>
      <w:r w:rsidR="006A33AD" w:rsidRPr="00274507">
        <w:rPr>
          <w:sz w:val="28"/>
          <w:szCs w:val="28"/>
        </w:rPr>
        <w:t xml:space="preserve">. </w:t>
      </w:r>
    </w:p>
    <w:p w:rsidR="00B025E1" w:rsidRPr="00274507" w:rsidRDefault="00B025E1" w:rsidP="00274507">
      <w:pPr>
        <w:autoSpaceDE w:val="0"/>
        <w:autoSpaceDN w:val="0"/>
        <w:adjustRightInd w:val="0"/>
        <w:jc w:val="both"/>
        <w:rPr>
          <w:b/>
          <w:bCs/>
          <w:sz w:val="28"/>
          <w:szCs w:val="28"/>
        </w:rPr>
      </w:pPr>
    </w:p>
    <w:p w:rsidR="002E364B" w:rsidRPr="00274507" w:rsidRDefault="002E364B" w:rsidP="00274507">
      <w:pPr>
        <w:autoSpaceDE w:val="0"/>
        <w:autoSpaceDN w:val="0"/>
        <w:adjustRightInd w:val="0"/>
        <w:jc w:val="both"/>
        <w:rPr>
          <w:bCs/>
          <w:color w:val="2E74B5" w:themeColor="accent1" w:themeShade="BF"/>
          <w:sz w:val="28"/>
          <w:szCs w:val="28"/>
          <w:u w:val="single"/>
        </w:rPr>
      </w:pPr>
      <w:r w:rsidRPr="00274507">
        <w:rPr>
          <w:b/>
          <w:bCs/>
          <w:sz w:val="28"/>
          <w:szCs w:val="28"/>
        </w:rPr>
        <w:t xml:space="preserve">TERCERO.- </w:t>
      </w:r>
      <w:r w:rsidR="00371861" w:rsidRPr="00274507">
        <w:rPr>
          <w:bCs/>
          <w:sz w:val="28"/>
          <w:szCs w:val="28"/>
        </w:rPr>
        <w:t>Ordenar al Ministro de Salud y Protección Social que</w:t>
      </w:r>
      <w:r w:rsidR="002F2607" w:rsidRPr="00274507">
        <w:rPr>
          <w:sz w:val="28"/>
          <w:szCs w:val="28"/>
        </w:rPr>
        <w:t xml:space="preserve"> regule la presentación del informe anual </w:t>
      </w:r>
      <w:r w:rsidR="00935100" w:rsidRPr="00274507">
        <w:rPr>
          <w:bCs/>
          <w:sz w:val="28"/>
          <w:szCs w:val="28"/>
        </w:rPr>
        <w:t>en las condiciones fijadas en el</w:t>
      </w:r>
      <w:r w:rsidR="00426FA4" w:rsidRPr="00274507">
        <w:rPr>
          <w:bCs/>
          <w:sz w:val="28"/>
          <w:szCs w:val="28"/>
        </w:rPr>
        <w:t xml:space="preserve"> considerando</w:t>
      </w:r>
      <w:r w:rsidR="00D05C0C" w:rsidRPr="00274507">
        <w:rPr>
          <w:bCs/>
          <w:sz w:val="28"/>
          <w:szCs w:val="28"/>
        </w:rPr>
        <w:t xml:space="preserve"> núm. 9</w:t>
      </w:r>
      <w:r w:rsidR="004440EB" w:rsidRPr="00274507">
        <w:rPr>
          <w:bCs/>
          <w:sz w:val="28"/>
          <w:szCs w:val="28"/>
        </w:rPr>
        <w:t>.3.1</w:t>
      </w:r>
      <w:r w:rsidR="00935100" w:rsidRPr="00274507">
        <w:rPr>
          <w:bCs/>
          <w:sz w:val="28"/>
          <w:szCs w:val="28"/>
        </w:rPr>
        <w:t xml:space="preserve"> de esta decisión, lo anterior, en lo posible, para el</w:t>
      </w:r>
      <w:r w:rsidR="00F75FCA" w:rsidRPr="00274507">
        <w:rPr>
          <w:bCs/>
          <w:sz w:val="28"/>
          <w:szCs w:val="28"/>
        </w:rPr>
        <w:t xml:space="preserve"> informe que se debe entregar </w:t>
      </w:r>
      <w:r w:rsidR="00D327B8" w:rsidRPr="00274507">
        <w:rPr>
          <w:bCs/>
          <w:sz w:val="28"/>
          <w:szCs w:val="28"/>
        </w:rPr>
        <w:t>el 1º de febrero del 2018</w:t>
      </w:r>
      <w:r w:rsidR="00371861" w:rsidRPr="00274507">
        <w:rPr>
          <w:bCs/>
          <w:sz w:val="28"/>
          <w:szCs w:val="28"/>
        </w:rPr>
        <w:t>.</w:t>
      </w:r>
    </w:p>
    <w:p w:rsidR="00B025E1" w:rsidRPr="00274507" w:rsidRDefault="00B025E1" w:rsidP="00274507">
      <w:pPr>
        <w:autoSpaceDE w:val="0"/>
        <w:autoSpaceDN w:val="0"/>
        <w:adjustRightInd w:val="0"/>
        <w:jc w:val="both"/>
        <w:rPr>
          <w:bCs/>
          <w:sz w:val="28"/>
          <w:szCs w:val="28"/>
        </w:rPr>
      </w:pPr>
    </w:p>
    <w:p w:rsidR="00CC378A" w:rsidRPr="00274507" w:rsidRDefault="00B70DDB" w:rsidP="00274507">
      <w:pPr>
        <w:autoSpaceDE w:val="0"/>
        <w:autoSpaceDN w:val="0"/>
        <w:adjustRightInd w:val="0"/>
        <w:jc w:val="both"/>
        <w:rPr>
          <w:bCs/>
          <w:sz w:val="28"/>
          <w:szCs w:val="28"/>
        </w:rPr>
      </w:pPr>
      <w:r w:rsidRPr="00274507">
        <w:rPr>
          <w:b/>
          <w:bCs/>
          <w:sz w:val="28"/>
          <w:szCs w:val="28"/>
        </w:rPr>
        <w:t>CUART</w:t>
      </w:r>
      <w:r w:rsidR="00874D95" w:rsidRPr="00274507">
        <w:rPr>
          <w:b/>
          <w:bCs/>
          <w:sz w:val="28"/>
          <w:szCs w:val="28"/>
        </w:rPr>
        <w:t>O.-</w:t>
      </w:r>
      <w:r w:rsidR="002F2607" w:rsidRPr="00274507">
        <w:rPr>
          <w:sz w:val="28"/>
          <w:szCs w:val="28"/>
        </w:rPr>
        <w:t xml:space="preserve"> </w:t>
      </w:r>
      <w:r w:rsidR="00CC378A" w:rsidRPr="00274507">
        <w:rPr>
          <w:bCs/>
          <w:sz w:val="28"/>
          <w:szCs w:val="28"/>
        </w:rPr>
        <w:t xml:space="preserve">Ordenar al Ministro de Salud y Protección Social que cree los indicadores de goce efectivo (GED) como </w:t>
      </w:r>
      <w:r w:rsidR="00935100" w:rsidRPr="00274507">
        <w:rPr>
          <w:bCs/>
          <w:sz w:val="28"/>
          <w:szCs w:val="28"/>
        </w:rPr>
        <w:t xml:space="preserve">base para la evaluación de la gestión de los actores del </w:t>
      </w:r>
      <w:r w:rsidR="00CC378A" w:rsidRPr="00274507">
        <w:rPr>
          <w:bCs/>
          <w:sz w:val="28"/>
          <w:szCs w:val="28"/>
        </w:rPr>
        <w:t>Sistema Gener</w:t>
      </w:r>
      <w:r w:rsidR="002B0B59" w:rsidRPr="00274507">
        <w:rPr>
          <w:bCs/>
          <w:sz w:val="28"/>
          <w:szCs w:val="28"/>
        </w:rPr>
        <w:t>al de Seguridad Social en Salud, bajo los términos conteni</w:t>
      </w:r>
      <w:r w:rsidR="00D05C0C" w:rsidRPr="00274507">
        <w:rPr>
          <w:bCs/>
          <w:sz w:val="28"/>
          <w:szCs w:val="28"/>
        </w:rPr>
        <w:t>dos en los considerandos 8 y 9</w:t>
      </w:r>
      <w:r w:rsidR="002B0B59" w:rsidRPr="00274507">
        <w:rPr>
          <w:bCs/>
          <w:sz w:val="28"/>
          <w:szCs w:val="28"/>
        </w:rPr>
        <w:t>.3.3.</w:t>
      </w:r>
    </w:p>
    <w:p w:rsidR="00CC378A" w:rsidRPr="00274507" w:rsidRDefault="00CC378A" w:rsidP="00274507">
      <w:pPr>
        <w:autoSpaceDE w:val="0"/>
        <w:autoSpaceDN w:val="0"/>
        <w:adjustRightInd w:val="0"/>
        <w:jc w:val="both"/>
        <w:rPr>
          <w:sz w:val="28"/>
          <w:szCs w:val="28"/>
        </w:rPr>
      </w:pPr>
    </w:p>
    <w:p w:rsidR="000E6DF8" w:rsidRPr="00274507" w:rsidRDefault="00CC378A" w:rsidP="00274507">
      <w:pPr>
        <w:tabs>
          <w:tab w:val="left" w:pos="851"/>
        </w:tabs>
        <w:jc w:val="both"/>
        <w:rPr>
          <w:sz w:val="28"/>
          <w:szCs w:val="28"/>
          <w:lang w:val="es-ES_tradnl"/>
        </w:rPr>
      </w:pPr>
      <w:r w:rsidRPr="00274507">
        <w:rPr>
          <w:b/>
          <w:sz w:val="28"/>
          <w:szCs w:val="28"/>
        </w:rPr>
        <w:t>QUINTO.-</w:t>
      </w:r>
      <w:r w:rsidR="00935100" w:rsidRPr="00274507">
        <w:rPr>
          <w:bCs/>
          <w:sz w:val="28"/>
          <w:szCs w:val="28"/>
        </w:rPr>
        <w:t xml:space="preserve"> Conminar </w:t>
      </w:r>
      <w:r w:rsidR="009F2830" w:rsidRPr="00274507">
        <w:rPr>
          <w:bCs/>
          <w:sz w:val="28"/>
          <w:szCs w:val="28"/>
        </w:rPr>
        <w:t>al P</w:t>
      </w:r>
      <w:r w:rsidR="00935100" w:rsidRPr="00274507">
        <w:rPr>
          <w:bCs/>
          <w:sz w:val="28"/>
          <w:szCs w:val="28"/>
        </w:rPr>
        <w:t>rocurador General de la Nación para q</w:t>
      </w:r>
      <w:r w:rsidR="009F2830" w:rsidRPr="00274507">
        <w:rPr>
          <w:bCs/>
          <w:sz w:val="28"/>
          <w:szCs w:val="28"/>
        </w:rPr>
        <w:t xml:space="preserve">ue vigile y supervise el cumplimiento de la orden </w:t>
      </w:r>
      <w:r w:rsidR="002F2607" w:rsidRPr="00274507">
        <w:rPr>
          <w:bCs/>
          <w:sz w:val="28"/>
          <w:szCs w:val="28"/>
        </w:rPr>
        <w:t xml:space="preserve">trigésima </w:t>
      </w:r>
      <w:r w:rsidR="009F2830" w:rsidRPr="00274507">
        <w:rPr>
          <w:bCs/>
          <w:sz w:val="28"/>
          <w:szCs w:val="28"/>
        </w:rPr>
        <w:t>y de lo aquí ordenado, incluyendo el acompañamiento</w:t>
      </w:r>
      <w:r w:rsidR="008D2AB7" w:rsidRPr="00274507">
        <w:rPr>
          <w:bCs/>
          <w:sz w:val="28"/>
          <w:szCs w:val="28"/>
        </w:rPr>
        <w:t>, prevención y vigilancia</w:t>
      </w:r>
      <w:r w:rsidR="009F2830" w:rsidRPr="00274507">
        <w:rPr>
          <w:bCs/>
          <w:sz w:val="28"/>
          <w:szCs w:val="28"/>
        </w:rPr>
        <w:t xml:space="preserve"> en uso de la función preventiva en relación con las autoridades conce</w:t>
      </w:r>
      <w:r w:rsidR="002B0B59" w:rsidRPr="00274507">
        <w:rPr>
          <w:bCs/>
          <w:sz w:val="28"/>
          <w:szCs w:val="28"/>
        </w:rPr>
        <w:t>rnidas en la presente</w:t>
      </w:r>
      <w:r w:rsidR="00B74E8F" w:rsidRPr="00274507">
        <w:rPr>
          <w:bCs/>
          <w:sz w:val="28"/>
          <w:szCs w:val="28"/>
        </w:rPr>
        <w:t xml:space="preserve"> decisi</w:t>
      </w:r>
      <w:r w:rsidR="00D05C0C" w:rsidRPr="00274507">
        <w:rPr>
          <w:bCs/>
          <w:sz w:val="28"/>
          <w:szCs w:val="28"/>
        </w:rPr>
        <w:t>ón, según considerando 6.1</w:t>
      </w:r>
      <w:r w:rsidR="00B91740" w:rsidRPr="00274507">
        <w:rPr>
          <w:bCs/>
          <w:sz w:val="28"/>
          <w:szCs w:val="28"/>
        </w:rPr>
        <w:t xml:space="preserve"> y </w:t>
      </w:r>
      <w:r w:rsidR="00D05C0C" w:rsidRPr="00274507">
        <w:rPr>
          <w:bCs/>
          <w:sz w:val="28"/>
          <w:szCs w:val="28"/>
        </w:rPr>
        <w:t>9</w:t>
      </w:r>
      <w:r w:rsidR="00B74E8F" w:rsidRPr="00274507">
        <w:rPr>
          <w:bCs/>
          <w:sz w:val="28"/>
          <w:szCs w:val="28"/>
        </w:rPr>
        <w:t>.4.</w:t>
      </w:r>
      <w:r w:rsidR="000E6DF8" w:rsidRPr="00274507">
        <w:rPr>
          <w:bCs/>
          <w:sz w:val="28"/>
          <w:szCs w:val="28"/>
        </w:rPr>
        <w:t xml:space="preserve"> </w:t>
      </w:r>
      <w:r w:rsidR="000E6DF8" w:rsidRPr="00274507">
        <w:rPr>
          <w:sz w:val="28"/>
          <w:szCs w:val="28"/>
          <w:lang w:val="es-ES_tradnl"/>
        </w:rPr>
        <w:t>Así mismo, instar a la Defensoría del Pueblo, para que continúe con su labor en lo pertinente al seguimiento y apoyo en la construcción de los informes en los términos del considerando núm. 6.3 y 9.4 de esta providencia.</w:t>
      </w:r>
    </w:p>
    <w:p w:rsidR="00CC378A" w:rsidRPr="00274507" w:rsidRDefault="00CC378A" w:rsidP="00274507">
      <w:pPr>
        <w:pStyle w:val="Prrafodelista"/>
        <w:tabs>
          <w:tab w:val="left" w:pos="851"/>
        </w:tabs>
        <w:ind w:left="0"/>
        <w:jc w:val="both"/>
        <w:rPr>
          <w:b/>
          <w:bCs/>
          <w:sz w:val="28"/>
          <w:szCs w:val="28"/>
          <w:lang w:val="es-ES"/>
        </w:rPr>
      </w:pPr>
    </w:p>
    <w:p w:rsidR="00E336CE" w:rsidRPr="00274507" w:rsidRDefault="00B74E8F" w:rsidP="00274507">
      <w:pPr>
        <w:pStyle w:val="Sinespaciado2"/>
        <w:jc w:val="both"/>
        <w:rPr>
          <w:rFonts w:ascii="Times New Roman" w:hAnsi="Times New Roman" w:cs="Times New Roman"/>
          <w:sz w:val="28"/>
          <w:szCs w:val="28"/>
        </w:rPr>
      </w:pPr>
      <w:r w:rsidRPr="00274507">
        <w:rPr>
          <w:rFonts w:ascii="Times New Roman" w:hAnsi="Times New Roman" w:cs="Times New Roman"/>
          <w:b/>
          <w:bCs/>
          <w:sz w:val="28"/>
          <w:szCs w:val="28"/>
        </w:rPr>
        <w:t>SEXT</w:t>
      </w:r>
      <w:r w:rsidR="00B70DDB" w:rsidRPr="00274507">
        <w:rPr>
          <w:rFonts w:ascii="Times New Roman" w:hAnsi="Times New Roman" w:cs="Times New Roman"/>
          <w:b/>
          <w:bCs/>
          <w:sz w:val="28"/>
          <w:szCs w:val="28"/>
        </w:rPr>
        <w:t>O</w:t>
      </w:r>
      <w:r w:rsidR="00E336CE" w:rsidRPr="00274507">
        <w:rPr>
          <w:rFonts w:ascii="Times New Roman" w:hAnsi="Times New Roman" w:cs="Times New Roman"/>
          <w:b/>
          <w:bCs/>
          <w:sz w:val="28"/>
          <w:szCs w:val="28"/>
        </w:rPr>
        <w:t>.-</w:t>
      </w:r>
      <w:r w:rsidR="00E336CE" w:rsidRPr="00274507">
        <w:rPr>
          <w:rFonts w:ascii="Times New Roman" w:hAnsi="Times New Roman" w:cs="Times New Roman"/>
          <w:sz w:val="28"/>
          <w:szCs w:val="28"/>
          <w:lang w:val="es-ES"/>
        </w:rPr>
        <w:t xml:space="preserve"> </w:t>
      </w:r>
      <w:r w:rsidR="009F2830" w:rsidRPr="00274507">
        <w:rPr>
          <w:rFonts w:ascii="Times New Roman" w:hAnsi="Times New Roman" w:cs="Times New Roman"/>
          <w:bCs/>
          <w:sz w:val="28"/>
          <w:szCs w:val="28"/>
          <w:lang w:val="es-ES"/>
        </w:rPr>
        <w:t>Informar de esta determinación al señor Presidente de la República, al Presidente del Congreso de la República y a los Presidentes de las Comisiones Séptimas Constitucionales Permanentes del Senado de la República y la Cámara de Representantes.</w:t>
      </w:r>
    </w:p>
    <w:p w:rsidR="009F2830" w:rsidRPr="00274507" w:rsidRDefault="009F2830" w:rsidP="00274507">
      <w:pPr>
        <w:pStyle w:val="Sinespaciado2"/>
        <w:jc w:val="both"/>
        <w:rPr>
          <w:rFonts w:ascii="Times New Roman" w:hAnsi="Times New Roman" w:cs="Times New Roman"/>
          <w:sz w:val="28"/>
          <w:szCs w:val="28"/>
        </w:rPr>
      </w:pPr>
    </w:p>
    <w:p w:rsidR="009F2830" w:rsidRPr="00274507" w:rsidRDefault="00B74E8F" w:rsidP="00274507">
      <w:pPr>
        <w:pStyle w:val="Sinespaciado2"/>
        <w:jc w:val="both"/>
        <w:rPr>
          <w:rFonts w:ascii="Times New Roman" w:hAnsi="Times New Roman" w:cs="Times New Roman"/>
          <w:b/>
          <w:sz w:val="28"/>
          <w:szCs w:val="28"/>
        </w:rPr>
      </w:pPr>
      <w:r w:rsidRPr="00274507">
        <w:rPr>
          <w:rFonts w:ascii="Times New Roman" w:hAnsi="Times New Roman" w:cs="Times New Roman"/>
          <w:b/>
          <w:sz w:val="28"/>
          <w:szCs w:val="28"/>
        </w:rPr>
        <w:t>SÉPTIM</w:t>
      </w:r>
      <w:r w:rsidR="00B70DDB" w:rsidRPr="00274507">
        <w:rPr>
          <w:rFonts w:ascii="Times New Roman" w:hAnsi="Times New Roman" w:cs="Times New Roman"/>
          <w:b/>
          <w:sz w:val="28"/>
          <w:szCs w:val="28"/>
        </w:rPr>
        <w:t>O</w:t>
      </w:r>
      <w:r w:rsidR="009F2830" w:rsidRPr="00274507">
        <w:rPr>
          <w:rFonts w:ascii="Times New Roman" w:hAnsi="Times New Roman" w:cs="Times New Roman"/>
          <w:b/>
          <w:sz w:val="28"/>
          <w:szCs w:val="28"/>
        </w:rPr>
        <w:t xml:space="preserve">.- </w:t>
      </w:r>
      <w:r w:rsidR="009F2830" w:rsidRPr="00274507">
        <w:rPr>
          <w:rFonts w:ascii="Times New Roman" w:hAnsi="Times New Roman" w:cs="Times New Roman"/>
          <w:sz w:val="28"/>
          <w:szCs w:val="28"/>
          <w:lang w:val="es-ES"/>
        </w:rPr>
        <w:t xml:space="preserve">Proceda la Secretaría General de esta Corporación a </w:t>
      </w:r>
      <w:r w:rsidR="009F2830" w:rsidRPr="00274507">
        <w:rPr>
          <w:rFonts w:ascii="Times New Roman" w:hAnsi="Times New Roman" w:cs="Times New Roman"/>
          <w:sz w:val="28"/>
          <w:szCs w:val="28"/>
        </w:rPr>
        <w:t xml:space="preserve">librar las comunicaciones </w:t>
      </w:r>
      <w:r w:rsidR="00E67893" w:rsidRPr="00274507">
        <w:rPr>
          <w:rFonts w:ascii="Times New Roman" w:hAnsi="Times New Roman" w:cs="Times New Roman"/>
          <w:sz w:val="28"/>
          <w:szCs w:val="28"/>
        </w:rPr>
        <w:t>correspondientes</w:t>
      </w:r>
      <w:r w:rsidR="009F2830" w:rsidRPr="00274507">
        <w:rPr>
          <w:rFonts w:ascii="Times New Roman" w:hAnsi="Times New Roman" w:cs="Times New Roman"/>
          <w:sz w:val="28"/>
          <w:szCs w:val="28"/>
        </w:rPr>
        <w:t>, acompañando copia integral de este proveído.</w:t>
      </w:r>
    </w:p>
    <w:p w:rsidR="002E36B7" w:rsidRPr="00274507" w:rsidRDefault="002E36B7" w:rsidP="00274507">
      <w:pPr>
        <w:pStyle w:val="Sinespaciado1"/>
        <w:jc w:val="both"/>
        <w:rPr>
          <w:rFonts w:ascii="Times New Roman" w:hAnsi="Times New Roman" w:cs="Times New Roman"/>
          <w:sz w:val="28"/>
          <w:szCs w:val="28"/>
        </w:rPr>
      </w:pPr>
    </w:p>
    <w:p w:rsidR="002E364B" w:rsidRPr="00274507" w:rsidRDefault="002E364B" w:rsidP="00274507">
      <w:pPr>
        <w:autoSpaceDE w:val="0"/>
        <w:autoSpaceDN w:val="0"/>
        <w:jc w:val="both"/>
        <w:rPr>
          <w:sz w:val="28"/>
          <w:szCs w:val="28"/>
          <w:lang w:val="es-ES"/>
        </w:rPr>
      </w:pPr>
      <w:r w:rsidRPr="00274507">
        <w:rPr>
          <w:sz w:val="28"/>
          <w:szCs w:val="28"/>
        </w:rPr>
        <w:t>Notifíquese, publíquese y cúmplase.</w:t>
      </w:r>
    </w:p>
    <w:p w:rsidR="00426FA4" w:rsidRPr="00E0403C" w:rsidRDefault="00426FA4" w:rsidP="00E0403C">
      <w:pPr>
        <w:jc w:val="center"/>
        <w:rPr>
          <w:i/>
          <w:sz w:val="28"/>
          <w:szCs w:val="28"/>
        </w:rPr>
      </w:pPr>
    </w:p>
    <w:p w:rsidR="00124085" w:rsidRPr="00E0403C" w:rsidRDefault="00124085" w:rsidP="00E0403C">
      <w:pPr>
        <w:jc w:val="center"/>
        <w:rPr>
          <w:i/>
          <w:sz w:val="28"/>
          <w:szCs w:val="28"/>
        </w:rPr>
      </w:pPr>
    </w:p>
    <w:p w:rsidR="002E36B7" w:rsidRPr="00E0403C" w:rsidRDefault="002E36B7" w:rsidP="00E0403C">
      <w:pPr>
        <w:jc w:val="center"/>
        <w:rPr>
          <w:i/>
          <w:sz w:val="28"/>
          <w:szCs w:val="28"/>
        </w:rPr>
      </w:pPr>
    </w:p>
    <w:p w:rsidR="00E336CE" w:rsidRPr="00E0403C" w:rsidRDefault="00E336CE" w:rsidP="00E0403C">
      <w:pPr>
        <w:jc w:val="center"/>
        <w:rPr>
          <w:sz w:val="28"/>
          <w:szCs w:val="28"/>
        </w:rPr>
      </w:pPr>
      <w:r w:rsidRPr="00E0403C">
        <w:rPr>
          <w:sz w:val="28"/>
          <w:szCs w:val="28"/>
        </w:rPr>
        <w:t>JORGE IVÁN PALACIO PALACIO</w:t>
      </w:r>
    </w:p>
    <w:p w:rsidR="00E336CE" w:rsidRPr="00E0403C" w:rsidRDefault="00E336CE" w:rsidP="00E0403C">
      <w:pPr>
        <w:jc w:val="center"/>
        <w:rPr>
          <w:sz w:val="28"/>
          <w:szCs w:val="28"/>
        </w:rPr>
      </w:pPr>
      <w:r w:rsidRPr="00E0403C">
        <w:rPr>
          <w:sz w:val="28"/>
          <w:szCs w:val="28"/>
        </w:rPr>
        <w:t>Magistrado</w:t>
      </w:r>
    </w:p>
    <w:p w:rsidR="00AA1F2C" w:rsidRPr="00E0403C" w:rsidRDefault="00AA1F2C" w:rsidP="00E0403C">
      <w:pPr>
        <w:jc w:val="center"/>
        <w:rPr>
          <w:sz w:val="28"/>
          <w:szCs w:val="28"/>
        </w:rPr>
      </w:pPr>
    </w:p>
    <w:p w:rsidR="00E336CE" w:rsidRPr="00E0403C" w:rsidRDefault="00E336CE" w:rsidP="00E0403C">
      <w:pPr>
        <w:jc w:val="center"/>
        <w:rPr>
          <w:sz w:val="28"/>
          <w:szCs w:val="28"/>
        </w:rPr>
      </w:pPr>
    </w:p>
    <w:p w:rsidR="002E36B7" w:rsidRPr="00E0403C" w:rsidRDefault="002E36B7" w:rsidP="00E0403C">
      <w:pPr>
        <w:jc w:val="center"/>
        <w:rPr>
          <w:sz w:val="28"/>
          <w:szCs w:val="28"/>
        </w:rPr>
      </w:pPr>
    </w:p>
    <w:p w:rsidR="00E336CE" w:rsidRPr="00E0403C" w:rsidRDefault="00E336CE" w:rsidP="00E0403C">
      <w:pPr>
        <w:jc w:val="center"/>
        <w:rPr>
          <w:sz w:val="28"/>
          <w:szCs w:val="28"/>
        </w:rPr>
      </w:pPr>
      <w:r w:rsidRPr="00E0403C">
        <w:rPr>
          <w:sz w:val="28"/>
          <w:szCs w:val="28"/>
        </w:rPr>
        <w:t>GABRIEL EDUARDO MENDOZA MARTELO</w:t>
      </w:r>
    </w:p>
    <w:p w:rsidR="00E336CE" w:rsidRPr="00E0403C" w:rsidRDefault="00E336CE" w:rsidP="00E0403C">
      <w:pPr>
        <w:jc w:val="center"/>
        <w:rPr>
          <w:sz w:val="28"/>
          <w:szCs w:val="28"/>
        </w:rPr>
      </w:pPr>
      <w:r w:rsidRPr="00E0403C">
        <w:rPr>
          <w:sz w:val="28"/>
          <w:szCs w:val="28"/>
        </w:rPr>
        <w:t>Magistrado</w:t>
      </w:r>
    </w:p>
    <w:p w:rsidR="00E336CE" w:rsidRPr="00E0403C" w:rsidRDefault="00E336CE" w:rsidP="00E0403C">
      <w:pPr>
        <w:jc w:val="center"/>
        <w:rPr>
          <w:sz w:val="28"/>
          <w:szCs w:val="28"/>
        </w:rPr>
      </w:pPr>
    </w:p>
    <w:p w:rsidR="00E336CE" w:rsidRPr="00E0403C" w:rsidRDefault="00E336CE" w:rsidP="00E0403C">
      <w:pPr>
        <w:jc w:val="center"/>
        <w:rPr>
          <w:sz w:val="28"/>
          <w:szCs w:val="28"/>
        </w:rPr>
      </w:pPr>
    </w:p>
    <w:p w:rsidR="00783F59" w:rsidRPr="00E0403C" w:rsidRDefault="00783F59" w:rsidP="00E0403C">
      <w:pPr>
        <w:jc w:val="center"/>
        <w:rPr>
          <w:sz w:val="28"/>
          <w:szCs w:val="28"/>
        </w:rPr>
      </w:pPr>
    </w:p>
    <w:p w:rsidR="00783F59" w:rsidRPr="00E0403C" w:rsidRDefault="002C61D3" w:rsidP="00E0403C">
      <w:pPr>
        <w:jc w:val="center"/>
        <w:rPr>
          <w:sz w:val="28"/>
          <w:szCs w:val="28"/>
        </w:rPr>
      </w:pPr>
      <w:r w:rsidRPr="00E0403C">
        <w:rPr>
          <w:snapToGrid w:val="0"/>
          <w:sz w:val="28"/>
          <w:szCs w:val="28"/>
        </w:rPr>
        <w:t>ALEJANDRO LINARES CANTILLO</w:t>
      </w:r>
    </w:p>
    <w:p w:rsidR="00783F59" w:rsidRPr="00E0403C" w:rsidRDefault="002C61D3" w:rsidP="00E0403C">
      <w:pPr>
        <w:jc w:val="center"/>
        <w:rPr>
          <w:sz w:val="28"/>
          <w:szCs w:val="28"/>
        </w:rPr>
      </w:pPr>
      <w:r w:rsidRPr="00E0403C">
        <w:rPr>
          <w:sz w:val="28"/>
          <w:szCs w:val="28"/>
        </w:rPr>
        <w:t>Magistrado</w:t>
      </w:r>
    </w:p>
    <w:p w:rsidR="00E336CE" w:rsidRPr="00E0403C" w:rsidRDefault="00E336CE" w:rsidP="00E0403C">
      <w:pPr>
        <w:jc w:val="center"/>
        <w:rPr>
          <w:sz w:val="28"/>
          <w:szCs w:val="28"/>
        </w:rPr>
      </w:pPr>
    </w:p>
    <w:p w:rsidR="00783F59" w:rsidRPr="00E0403C" w:rsidRDefault="00783F59" w:rsidP="00E0403C">
      <w:pPr>
        <w:jc w:val="center"/>
        <w:rPr>
          <w:sz w:val="28"/>
          <w:szCs w:val="28"/>
        </w:rPr>
      </w:pPr>
    </w:p>
    <w:p w:rsidR="002E36B7" w:rsidRPr="00E0403C" w:rsidRDefault="002E36B7" w:rsidP="00E0403C">
      <w:pPr>
        <w:jc w:val="center"/>
        <w:rPr>
          <w:sz w:val="28"/>
          <w:szCs w:val="28"/>
        </w:rPr>
      </w:pPr>
    </w:p>
    <w:p w:rsidR="00E336CE" w:rsidRPr="00E0403C" w:rsidRDefault="00426FA4" w:rsidP="00E0403C">
      <w:pPr>
        <w:jc w:val="center"/>
        <w:rPr>
          <w:sz w:val="28"/>
          <w:szCs w:val="28"/>
        </w:rPr>
      </w:pPr>
      <w:r w:rsidRPr="00E0403C">
        <w:rPr>
          <w:sz w:val="28"/>
          <w:szCs w:val="28"/>
        </w:rPr>
        <w:t>MARTHA VICTORIA SÁCHICA MÉNDEZ</w:t>
      </w:r>
    </w:p>
    <w:p w:rsidR="00B170D2" w:rsidRPr="00E0403C" w:rsidRDefault="00426FA4" w:rsidP="00E0403C">
      <w:pPr>
        <w:jc w:val="center"/>
        <w:rPr>
          <w:sz w:val="28"/>
          <w:szCs w:val="28"/>
        </w:rPr>
      </w:pPr>
      <w:r w:rsidRPr="00E0403C">
        <w:rPr>
          <w:sz w:val="28"/>
          <w:szCs w:val="28"/>
        </w:rPr>
        <w:t>Secretario General</w:t>
      </w:r>
    </w:p>
    <w:p w:rsidR="00E67893" w:rsidRPr="00274507" w:rsidRDefault="00E67893" w:rsidP="00274507">
      <w:pPr>
        <w:rPr>
          <w:sz w:val="28"/>
          <w:szCs w:val="28"/>
        </w:rPr>
      </w:pPr>
      <w:r w:rsidRPr="00274507">
        <w:rPr>
          <w:sz w:val="28"/>
          <w:szCs w:val="28"/>
        </w:rPr>
        <w:br w:type="page"/>
      </w:r>
    </w:p>
    <w:p w:rsidR="0073552F" w:rsidRPr="00274507" w:rsidRDefault="002E36B7" w:rsidP="00274507">
      <w:pPr>
        <w:tabs>
          <w:tab w:val="left" w:pos="567"/>
        </w:tabs>
        <w:jc w:val="center"/>
        <w:rPr>
          <w:sz w:val="28"/>
          <w:szCs w:val="28"/>
        </w:rPr>
      </w:pPr>
      <w:r w:rsidRPr="00274507">
        <w:rPr>
          <w:sz w:val="28"/>
          <w:szCs w:val="28"/>
        </w:rPr>
        <w:t>A</w:t>
      </w:r>
      <w:r w:rsidR="0073552F" w:rsidRPr="00274507">
        <w:rPr>
          <w:sz w:val="28"/>
          <w:szCs w:val="28"/>
        </w:rPr>
        <w:t>NEXO 1</w:t>
      </w:r>
    </w:p>
    <w:p w:rsidR="0073552F" w:rsidRPr="00274507" w:rsidRDefault="0073552F" w:rsidP="00274507">
      <w:pPr>
        <w:tabs>
          <w:tab w:val="left" w:pos="567"/>
        </w:tabs>
        <w:jc w:val="both"/>
        <w:rPr>
          <w:sz w:val="28"/>
          <w:szCs w:val="28"/>
        </w:rPr>
      </w:pPr>
    </w:p>
    <w:p w:rsidR="0073552F" w:rsidRPr="00274507" w:rsidRDefault="00C4132B" w:rsidP="00274507">
      <w:pPr>
        <w:tabs>
          <w:tab w:val="left" w:pos="567"/>
        </w:tabs>
        <w:jc w:val="both"/>
        <w:rPr>
          <w:sz w:val="28"/>
          <w:szCs w:val="28"/>
        </w:rPr>
      </w:pPr>
      <w:r w:rsidRPr="00274507">
        <w:rPr>
          <w:sz w:val="28"/>
          <w:szCs w:val="28"/>
        </w:rPr>
        <w:t>Tomado del informe presentado el 1º de febrero de 2016</w:t>
      </w:r>
      <w:r w:rsidRPr="00274507">
        <w:rPr>
          <w:rStyle w:val="Refdenotaalpie"/>
          <w:sz w:val="28"/>
          <w:szCs w:val="28"/>
        </w:rPr>
        <w:footnoteReference w:id="231"/>
      </w:r>
      <w:r w:rsidRPr="00274507">
        <w:rPr>
          <w:sz w:val="28"/>
          <w:szCs w:val="28"/>
        </w:rPr>
        <w:t xml:space="preserve"> por el Ministerio de Salud y de la Protección Social, en el que realizó una descripción sobre las tutelas presentadas por D</w:t>
      </w:r>
      <w:r w:rsidR="00D72C0E" w:rsidRPr="00274507">
        <w:rPr>
          <w:sz w:val="28"/>
          <w:szCs w:val="28"/>
        </w:rPr>
        <w:t>epartamentos</w:t>
      </w:r>
      <w:r w:rsidRPr="00274507">
        <w:rPr>
          <w:rStyle w:val="Refdenotaalpie"/>
          <w:sz w:val="28"/>
          <w:szCs w:val="28"/>
        </w:rPr>
        <w:footnoteReference w:id="232"/>
      </w:r>
      <w:r w:rsidRPr="00274507">
        <w:rPr>
          <w:sz w:val="28"/>
          <w:szCs w:val="28"/>
        </w:rPr>
        <w:t>.</w:t>
      </w:r>
    </w:p>
    <w:p w:rsidR="00D72C0E" w:rsidRPr="00274507" w:rsidRDefault="00D72C0E" w:rsidP="00274507">
      <w:pPr>
        <w:tabs>
          <w:tab w:val="left" w:pos="567"/>
        </w:tabs>
        <w:jc w:val="center"/>
        <w:rPr>
          <w:sz w:val="28"/>
          <w:szCs w:val="28"/>
        </w:rPr>
      </w:pPr>
    </w:p>
    <w:tbl>
      <w:tblPr>
        <w:tblW w:w="9062" w:type="dxa"/>
        <w:jc w:val="center"/>
        <w:tblCellMar>
          <w:left w:w="70" w:type="dxa"/>
          <w:right w:w="70" w:type="dxa"/>
        </w:tblCellMar>
        <w:tblLook w:val="04A0" w:firstRow="1" w:lastRow="0" w:firstColumn="1" w:lastColumn="0" w:noHBand="0" w:noVBand="1"/>
      </w:tblPr>
      <w:tblGrid>
        <w:gridCol w:w="3109"/>
        <w:gridCol w:w="2977"/>
        <w:gridCol w:w="2976"/>
      </w:tblGrid>
      <w:tr w:rsidR="0073552F" w:rsidRPr="00274507" w:rsidTr="001B68CD">
        <w:trPr>
          <w:trHeight w:val="315"/>
          <w:jc w:val="center"/>
        </w:trPr>
        <w:tc>
          <w:tcPr>
            <w:tcW w:w="3109" w:type="dxa"/>
            <w:tcBorders>
              <w:top w:val="single" w:sz="8" w:space="0" w:color="auto"/>
              <w:left w:val="single" w:sz="8" w:space="0" w:color="auto"/>
              <w:bottom w:val="single" w:sz="8" w:space="0" w:color="auto"/>
              <w:right w:val="single" w:sz="8" w:space="0" w:color="auto"/>
            </w:tcBorders>
            <w:noWrap/>
            <w:vAlign w:val="bottom"/>
            <w:hideMark/>
          </w:tcPr>
          <w:p w:rsidR="0073552F" w:rsidRPr="00274507" w:rsidRDefault="0073552F" w:rsidP="00274507">
            <w:pPr>
              <w:jc w:val="center"/>
              <w:rPr>
                <w:b/>
                <w:bCs/>
                <w:sz w:val="28"/>
                <w:szCs w:val="28"/>
              </w:rPr>
            </w:pPr>
            <w:r w:rsidRPr="00274507">
              <w:rPr>
                <w:b/>
                <w:bCs/>
                <w:sz w:val="28"/>
                <w:szCs w:val="28"/>
              </w:rPr>
              <w:t>Departamento</w:t>
            </w:r>
          </w:p>
        </w:tc>
        <w:tc>
          <w:tcPr>
            <w:tcW w:w="2977" w:type="dxa"/>
            <w:tcBorders>
              <w:top w:val="single" w:sz="8" w:space="0" w:color="auto"/>
              <w:left w:val="nil"/>
              <w:bottom w:val="single" w:sz="8" w:space="0" w:color="auto"/>
              <w:right w:val="single" w:sz="8" w:space="0" w:color="auto"/>
            </w:tcBorders>
            <w:noWrap/>
            <w:vAlign w:val="bottom"/>
            <w:hideMark/>
          </w:tcPr>
          <w:p w:rsidR="0073552F" w:rsidRPr="00274507" w:rsidRDefault="0073552F" w:rsidP="00274507">
            <w:pPr>
              <w:jc w:val="center"/>
              <w:rPr>
                <w:b/>
                <w:bCs/>
                <w:sz w:val="28"/>
                <w:szCs w:val="28"/>
              </w:rPr>
            </w:pPr>
            <w:r w:rsidRPr="00274507">
              <w:rPr>
                <w:b/>
                <w:bCs/>
                <w:sz w:val="28"/>
                <w:szCs w:val="28"/>
              </w:rPr>
              <w:t>Tutelas Estimadas</w:t>
            </w:r>
          </w:p>
        </w:tc>
        <w:tc>
          <w:tcPr>
            <w:tcW w:w="2976" w:type="dxa"/>
            <w:tcBorders>
              <w:top w:val="single" w:sz="8" w:space="0" w:color="auto"/>
              <w:left w:val="nil"/>
              <w:bottom w:val="single" w:sz="8" w:space="0" w:color="auto"/>
              <w:right w:val="single" w:sz="8" w:space="0" w:color="auto"/>
            </w:tcBorders>
            <w:noWrap/>
            <w:vAlign w:val="bottom"/>
            <w:hideMark/>
          </w:tcPr>
          <w:p w:rsidR="0073552F" w:rsidRPr="00274507" w:rsidRDefault="0073552F" w:rsidP="00274507">
            <w:pPr>
              <w:jc w:val="center"/>
              <w:rPr>
                <w:b/>
                <w:bCs/>
                <w:sz w:val="28"/>
                <w:szCs w:val="28"/>
              </w:rPr>
            </w:pPr>
            <w:r w:rsidRPr="00274507">
              <w:rPr>
                <w:b/>
                <w:bCs/>
                <w:sz w:val="28"/>
                <w:szCs w:val="28"/>
              </w:rPr>
              <w:t>Porcentaje</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ANTIOQUIA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32.539</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21,6</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VALLE DEL CAUCA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17.898</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11,9</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BOGOTÁ</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17.148</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11,4</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CALDAS</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9.477</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6,3</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NORTE DE SANTANDER</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8.170</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5,4</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SANTANDER</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7.920</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5,3</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RISARALDA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6.292</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4,2</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TOLIMA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5.523</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3,7</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CÓRDOBA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4.471</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3,0</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ATLÁNTICO</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3.766</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2,5</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HUILA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3.677</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2,4</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CESAR</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3.637</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2,4</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QUINDÍO</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3.625</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2,4</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CAUCA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3.420</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2,3</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NARIÑO</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3.409</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2,3</w:t>
            </w:r>
          </w:p>
        </w:tc>
      </w:tr>
      <w:tr w:rsidR="0073552F" w:rsidRPr="00274507" w:rsidTr="001B68CD">
        <w:trPr>
          <w:trHeight w:val="315"/>
          <w:jc w:val="center"/>
        </w:trPr>
        <w:tc>
          <w:tcPr>
            <w:tcW w:w="3109" w:type="dxa"/>
            <w:tcBorders>
              <w:top w:val="single" w:sz="2" w:space="0" w:color="auto"/>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BOLIVAR</w:t>
            </w:r>
          </w:p>
        </w:tc>
        <w:tc>
          <w:tcPr>
            <w:tcW w:w="2977" w:type="dxa"/>
            <w:tcBorders>
              <w:top w:val="single" w:sz="2" w:space="0" w:color="auto"/>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3.326</w:t>
            </w:r>
          </w:p>
        </w:tc>
        <w:tc>
          <w:tcPr>
            <w:tcW w:w="2976" w:type="dxa"/>
            <w:tcBorders>
              <w:top w:val="single" w:sz="2" w:space="0" w:color="auto"/>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2,2</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CUNDINAMARCA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2.887</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1,9</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META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2.801</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1,9</w:t>
            </w:r>
          </w:p>
        </w:tc>
      </w:tr>
      <w:tr w:rsidR="0073552F" w:rsidRPr="00274507" w:rsidTr="001B68CD">
        <w:trPr>
          <w:trHeight w:val="315"/>
          <w:jc w:val="center"/>
        </w:trPr>
        <w:tc>
          <w:tcPr>
            <w:tcW w:w="3109" w:type="dxa"/>
            <w:tcBorders>
              <w:top w:val="single" w:sz="2" w:space="0" w:color="auto"/>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BOYACÁ</w:t>
            </w:r>
          </w:p>
        </w:tc>
        <w:tc>
          <w:tcPr>
            <w:tcW w:w="2977" w:type="dxa"/>
            <w:tcBorders>
              <w:top w:val="single" w:sz="2" w:space="0" w:color="auto"/>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2.130</w:t>
            </w:r>
          </w:p>
        </w:tc>
        <w:tc>
          <w:tcPr>
            <w:tcW w:w="2976" w:type="dxa"/>
            <w:tcBorders>
              <w:top w:val="single" w:sz="2" w:space="0" w:color="auto"/>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1,4</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MAGDALENA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1.917</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1,3</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SUCRE</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1.432</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1,0</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ARAUCA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1.164</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0,8</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CAQUETÁ</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1.050</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0,7</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CASANARE</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873</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0,6</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GUAJIRA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714</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0,5</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CHÓCO</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513</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0,3</w:t>
            </w:r>
          </w:p>
        </w:tc>
      </w:tr>
      <w:tr w:rsidR="0073552F" w:rsidRPr="00274507" w:rsidTr="001B68CD">
        <w:trPr>
          <w:trHeight w:val="291"/>
          <w:jc w:val="center"/>
        </w:trPr>
        <w:tc>
          <w:tcPr>
            <w:tcW w:w="3109" w:type="dxa"/>
            <w:tcBorders>
              <w:top w:val="nil"/>
              <w:left w:val="single" w:sz="8" w:space="0" w:color="auto"/>
              <w:bottom w:val="single" w:sz="8" w:space="0" w:color="auto"/>
              <w:right w:val="single" w:sz="8" w:space="0" w:color="auto"/>
            </w:tcBorders>
            <w:vAlign w:val="bottom"/>
            <w:hideMark/>
          </w:tcPr>
          <w:p w:rsidR="0073552F" w:rsidRPr="00274507" w:rsidRDefault="0073552F" w:rsidP="00274507">
            <w:pPr>
              <w:jc w:val="center"/>
              <w:rPr>
                <w:sz w:val="28"/>
                <w:szCs w:val="28"/>
              </w:rPr>
            </w:pPr>
            <w:r w:rsidRPr="00274507">
              <w:rPr>
                <w:sz w:val="28"/>
                <w:szCs w:val="28"/>
              </w:rPr>
              <w:t>SAN ANDRES Y PROVIDENCIA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457</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0,3</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PUTUMAYO</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291</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0,2</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AMAZONAS</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83</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0,1</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GUAVIARE</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83</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0,1</w:t>
            </w:r>
          </w:p>
        </w:tc>
      </w:tr>
      <w:tr w:rsidR="0073552F" w:rsidRPr="00274507" w:rsidTr="001B68CD">
        <w:trPr>
          <w:trHeight w:val="315"/>
          <w:jc w:val="center"/>
        </w:trPr>
        <w:tc>
          <w:tcPr>
            <w:tcW w:w="3109" w:type="dxa"/>
            <w:tcBorders>
              <w:top w:val="nil"/>
              <w:left w:val="single" w:sz="8" w:space="0" w:color="auto"/>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GUAINIA</w:t>
            </w:r>
          </w:p>
        </w:tc>
        <w:tc>
          <w:tcPr>
            <w:tcW w:w="2977"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42</w:t>
            </w:r>
          </w:p>
        </w:tc>
        <w:tc>
          <w:tcPr>
            <w:tcW w:w="2976" w:type="dxa"/>
            <w:tcBorders>
              <w:top w:val="nil"/>
              <w:left w:val="nil"/>
              <w:bottom w:val="single" w:sz="8" w:space="0" w:color="auto"/>
              <w:right w:val="single" w:sz="8" w:space="0" w:color="auto"/>
            </w:tcBorders>
            <w:noWrap/>
            <w:vAlign w:val="bottom"/>
            <w:hideMark/>
          </w:tcPr>
          <w:p w:rsidR="0073552F" w:rsidRPr="00274507" w:rsidRDefault="0073552F" w:rsidP="00274507">
            <w:pPr>
              <w:jc w:val="center"/>
              <w:rPr>
                <w:sz w:val="28"/>
                <w:szCs w:val="28"/>
              </w:rPr>
            </w:pPr>
            <w:r w:rsidRPr="00274507">
              <w:rPr>
                <w:sz w:val="28"/>
                <w:szCs w:val="28"/>
              </w:rPr>
              <w:t>0,0</w:t>
            </w:r>
          </w:p>
        </w:tc>
      </w:tr>
    </w:tbl>
    <w:p w:rsidR="0073552F" w:rsidRPr="00274507" w:rsidRDefault="0073552F" w:rsidP="00274507">
      <w:pPr>
        <w:tabs>
          <w:tab w:val="left" w:pos="567"/>
        </w:tabs>
        <w:jc w:val="center"/>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8D2AB7" w:rsidRPr="00274507" w:rsidRDefault="008D2AB7" w:rsidP="00274507">
      <w:pPr>
        <w:tabs>
          <w:tab w:val="left" w:pos="567"/>
        </w:tabs>
        <w:jc w:val="both"/>
        <w:rPr>
          <w:sz w:val="28"/>
          <w:szCs w:val="28"/>
        </w:rPr>
      </w:pPr>
    </w:p>
    <w:p w:rsidR="008D2AB7" w:rsidRPr="00274507" w:rsidRDefault="00BA1CFC" w:rsidP="00274507">
      <w:pPr>
        <w:tabs>
          <w:tab w:val="left" w:pos="567"/>
        </w:tabs>
        <w:jc w:val="center"/>
        <w:rPr>
          <w:sz w:val="28"/>
          <w:szCs w:val="28"/>
        </w:rPr>
      </w:pPr>
      <w:r w:rsidRPr="00274507">
        <w:rPr>
          <w:sz w:val="28"/>
          <w:szCs w:val="28"/>
        </w:rPr>
        <w:t>ANEXO 2</w:t>
      </w:r>
    </w:p>
    <w:p w:rsidR="00C4132B" w:rsidRPr="00274507" w:rsidRDefault="00C4132B" w:rsidP="00274507">
      <w:pPr>
        <w:tabs>
          <w:tab w:val="left" w:pos="567"/>
        </w:tabs>
        <w:jc w:val="center"/>
        <w:rPr>
          <w:sz w:val="28"/>
          <w:szCs w:val="28"/>
        </w:rPr>
      </w:pPr>
    </w:p>
    <w:p w:rsidR="00C4132B" w:rsidRPr="00274507" w:rsidRDefault="00C4132B" w:rsidP="00274507">
      <w:pPr>
        <w:tabs>
          <w:tab w:val="left" w:pos="567"/>
        </w:tabs>
        <w:jc w:val="both"/>
        <w:rPr>
          <w:sz w:val="28"/>
          <w:szCs w:val="28"/>
        </w:rPr>
      </w:pPr>
      <w:r w:rsidRPr="00274507">
        <w:rPr>
          <w:sz w:val="28"/>
          <w:szCs w:val="28"/>
        </w:rPr>
        <w:t xml:space="preserve"> Tomado del quinto informe presentad e</w:t>
      </w:r>
      <w:r w:rsidRPr="00274507">
        <w:rPr>
          <w:color w:val="000000" w:themeColor="text1"/>
          <w:sz w:val="28"/>
          <w:szCs w:val="28"/>
        </w:rPr>
        <w:t>l 1º de febrero de 2013</w:t>
      </w:r>
      <w:r w:rsidRPr="00274507">
        <w:rPr>
          <w:rStyle w:val="Refdenotaalpie"/>
          <w:color w:val="000000" w:themeColor="text1"/>
          <w:sz w:val="28"/>
          <w:szCs w:val="28"/>
        </w:rPr>
        <w:footnoteReference w:id="233"/>
      </w:r>
      <w:r w:rsidRPr="00274507">
        <w:rPr>
          <w:color w:val="000000" w:themeColor="text1"/>
          <w:sz w:val="28"/>
          <w:szCs w:val="28"/>
        </w:rPr>
        <w:t xml:space="preserve"> por el Ministerio de Salud, denominado “</w:t>
      </w:r>
      <w:r w:rsidRPr="00274507">
        <w:rPr>
          <w:i/>
          <w:color w:val="000000" w:themeColor="text1"/>
          <w:sz w:val="28"/>
          <w:szCs w:val="28"/>
        </w:rPr>
        <w:t>Análisis descriptivo de las tutelas que involucran el servicio de salud en el año 2012</w:t>
      </w:r>
      <w:r w:rsidRPr="00274507">
        <w:rPr>
          <w:color w:val="000000" w:themeColor="text1"/>
          <w:sz w:val="28"/>
          <w:szCs w:val="28"/>
        </w:rPr>
        <w:t>”.</w:t>
      </w:r>
    </w:p>
    <w:p w:rsidR="008D2AB7" w:rsidRPr="00274507" w:rsidRDefault="008D2AB7" w:rsidP="00274507">
      <w:pPr>
        <w:tabs>
          <w:tab w:val="left" w:pos="567"/>
        </w:tabs>
        <w:jc w:val="both"/>
        <w:rPr>
          <w:sz w:val="28"/>
          <w:szCs w:val="28"/>
        </w:rPr>
      </w:pPr>
    </w:p>
    <w:p w:rsidR="00743545" w:rsidRPr="00274507" w:rsidRDefault="00743545" w:rsidP="00274507">
      <w:pPr>
        <w:tabs>
          <w:tab w:val="left" w:pos="567"/>
        </w:tabs>
        <w:jc w:val="both"/>
        <w:rPr>
          <w:sz w:val="28"/>
          <w:szCs w:val="28"/>
        </w:rPr>
      </w:pPr>
    </w:p>
    <w:tbl>
      <w:tblPr>
        <w:tblStyle w:val="Tablaconcuadrcula"/>
        <w:tblW w:w="9639" w:type="dxa"/>
        <w:tblInd w:w="-5" w:type="dxa"/>
        <w:tblLayout w:type="fixed"/>
        <w:tblLook w:val="04A0" w:firstRow="1" w:lastRow="0" w:firstColumn="1" w:lastColumn="0" w:noHBand="0" w:noVBand="1"/>
      </w:tblPr>
      <w:tblGrid>
        <w:gridCol w:w="2410"/>
        <w:gridCol w:w="2552"/>
        <w:gridCol w:w="2268"/>
        <w:gridCol w:w="1559"/>
        <w:gridCol w:w="850"/>
      </w:tblGrid>
      <w:tr w:rsidR="00743545" w:rsidRPr="00274507" w:rsidTr="005024CE">
        <w:tc>
          <w:tcPr>
            <w:tcW w:w="2410" w:type="dxa"/>
          </w:tcPr>
          <w:p w:rsidR="00743545" w:rsidRPr="00274507" w:rsidRDefault="00743545" w:rsidP="00274507">
            <w:pPr>
              <w:pStyle w:val="Prrafodelista"/>
              <w:tabs>
                <w:tab w:val="left" w:pos="567"/>
              </w:tabs>
              <w:ind w:left="0"/>
              <w:jc w:val="center"/>
              <w:rPr>
                <w:b/>
                <w:sz w:val="28"/>
                <w:szCs w:val="28"/>
              </w:rPr>
            </w:pPr>
            <w:r w:rsidRPr="00274507">
              <w:rPr>
                <w:b/>
                <w:sz w:val="28"/>
                <w:szCs w:val="28"/>
              </w:rPr>
              <w:t>Derechos que se demandan</w:t>
            </w:r>
          </w:p>
        </w:tc>
        <w:tc>
          <w:tcPr>
            <w:tcW w:w="2552" w:type="dxa"/>
          </w:tcPr>
          <w:p w:rsidR="00743545" w:rsidRPr="00274507" w:rsidRDefault="00743545" w:rsidP="00274507">
            <w:pPr>
              <w:pStyle w:val="Prrafodelista"/>
              <w:tabs>
                <w:tab w:val="left" w:pos="567"/>
              </w:tabs>
              <w:ind w:left="0"/>
              <w:jc w:val="center"/>
              <w:rPr>
                <w:b/>
                <w:sz w:val="28"/>
                <w:szCs w:val="28"/>
              </w:rPr>
            </w:pPr>
            <w:r w:rsidRPr="00274507">
              <w:rPr>
                <w:b/>
                <w:sz w:val="28"/>
                <w:szCs w:val="28"/>
              </w:rPr>
              <w:t>Problema jurídico general asociado</w:t>
            </w:r>
          </w:p>
        </w:tc>
        <w:tc>
          <w:tcPr>
            <w:tcW w:w="2268" w:type="dxa"/>
          </w:tcPr>
          <w:p w:rsidR="00743545" w:rsidRPr="00274507" w:rsidRDefault="00743545" w:rsidP="00274507">
            <w:pPr>
              <w:pStyle w:val="Prrafodelista"/>
              <w:tabs>
                <w:tab w:val="left" w:pos="567"/>
              </w:tabs>
              <w:ind w:left="0"/>
              <w:jc w:val="center"/>
              <w:rPr>
                <w:b/>
                <w:sz w:val="28"/>
                <w:szCs w:val="28"/>
              </w:rPr>
            </w:pPr>
            <w:r w:rsidRPr="00274507">
              <w:rPr>
                <w:b/>
                <w:sz w:val="28"/>
                <w:szCs w:val="28"/>
              </w:rPr>
              <w:t>Problemas con categorías específicas</w:t>
            </w:r>
          </w:p>
        </w:tc>
        <w:tc>
          <w:tcPr>
            <w:tcW w:w="1559" w:type="dxa"/>
          </w:tcPr>
          <w:p w:rsidR="00743545" w:rsidRPr="00274507" w:rsidRDefault="00743545" w:rsidP="00274507">
            <w:pPr>
              <w:pStyle w:val="Prrafodelista"/>
              <w:tabs>
                <w:tab w:val="left" w:pos="567"/>
              </w:tabs>
              <w:ind w:left="0"/>
              <w:jc w:val="center"/>
              <w:rPr>
                <w:b/>
                <w:sz w:val="28"/>
                <w:szCs w:val="28"/>
              </w:rPr>
            </w:pPr>
            <w:r w:rsidRPr="00274507">
              <w:rPr>
                <w:b/>
                <w:sz w:val="28"/>
                <w:szCs w:val="28"/>
              </w:rPr>
              <w:t>No. solicitudes</w:t>
            </w:r>
          </w:p>
        </w:tc>
        <w:tc>
          <w:tcPr>
            <w:tcW w:w="850" w:type="dxa"/>
          </w:tcPr>
          <w:p w:rsidR="00743545" w:rsidRPr="00274507" w:rsidRDefault="00743545" w:rsidP="00274507">
            <w:pPr>
              <w:pStyle w:val="Prrafodelista"/>
              <w:tabs>
                <w:tab w:val="left" w:pos="567"/>
              </w:tabs>
              <w:ind w:left="0"/>
              <w:jc w:val="center"/>
              <w:rPr>
                <w:b/>
                <w:sz w:val="28"/>
                <w:szCs w:val="28"/>
              </w:rPr>
            </w:pPr>
            <w:r w:rsidRPr="00274507">
              <w:rPr>
                <w:b/>
                <w:sz w:val="28"/>
                <w:szCs w:val="28"/>
              </w:rPr>
              <w:t>%</w:t>
            </w:r>
          </w:p>
        </w:tc>
      </w:tr>
      <w:tr w:rsidR="00743545" w:rsidRPr="00274507" w:rsidTr="005024CE">
        <w:trPr>
          <w:trHeight w:val="1926"/>
        </w:trPr>
        <w:tc>
          <w:tcPr>
            <w:tcW w:w="2410" w:type="dxa"/>
            <w:vMerge w:val="restart"/>
          </w:tcPr>
          <w:p w:rsidR="00743545" w:rsidRPr="00274507" w:rsidRDefault="00743545" w:rsidP="00274507">
            <w:pPr>
              <w:pStyle w:val="Prrafodelista"/>
              <w:numPr>
                <w:ilvl w:val="0"/>
                <w:numId w:val="15"/>
              </w:numPr>
              <w:tabs>
                <w:tab w:val="left" w:pos="567"/>
              </w:tabs>
              <w:jc w:val="both"/>
              <w:rPr>
                <w:sz w:val="28"/>
                <w:szCs w:val="28"/>
              </w:rPr>
            </w:pPr>
            <w:r w:rsidRPr="00274507">
              <w:rPr>
                <w:sz w:val="28"/>
                <w:szCs w:val="28"/>
              </w:rPr>
              <w:t xml:space="preserve">32% Salud </w:t>
            </w:r>
          </w:p>
          <w:p w:rsidR="00743545" w:rsidRPr="00274507" w:rsidRDefault="00743545" w:rsidP="00274507">
            <w:pPr>
              <w:pStyle w:val="Prrafodelista"/>
              <w:numPr>
                <w:ilvl w:val="0"/>
                <w:numId w:val="15"/>
              </w:numPr>
              <w:tabs>
                <w:tab w:val="left" w:pos="567"/>
              </w:tabs>
              <w:jc w:val="both"/>
              <w:rPr>
                <w:sz w:val="28"/>
                <w:szCs w:val="28"/>
              </w:rPr>
            </w:pPr>
            <w:r w:rsidRPr="00274507">
              <w:rPr>
                <w:sz w:val="28"/>
                <w:szCs w:val="28"/>
              </w:rPr>
              <w:t>17% Vida</w:t>
            </w:r>
          </w:p>
          <w:p w:rsidR="00743545" w:rsidRPr="00274507" w:rsidRDefault="00743545" w:rsidP="00274507">
            <w:pPr>
              <w:pStyle w:val="Prrafodelista"/>
              <w:numPr>
                <w:ilvl w:val="0"/>
                <w:numId w:val="15"/>
              </w:numPr>
              <w:ind w:left="602" w:hanging="242"/>
              <w:jc w:val="both"/>
              <w:rPr>
                <w:sz w:val="28"/>
                <w:szCs w:val="28"/>
              </w:rPr>
            </w:pPr>
            <w:r w:rsidRPr="00274507">
              <w:rPr>
                <w:sz w:val="28"/>
                <w:szCs w:val="28"/>
              </w:rPr>
              <w:t>15% Vida digna</w:t>
            </w:r>
          </w:p>
          <w:p w:rsidR="00743545" w:rsidRPr="00274507" w:rsidRDefault="00743545" w:rsidP="00274507">
            <w:pPr>
              <w:pStyle w:val="Prrafodelista"/>
              <w:numPr>
                <w:ilvl w:val="0"/>
                <w:numId w:val="15"/>
              </w:numPr>
              <w:ind w:left="602" w:hanging="242"/>
              <w:jc w:val="both"/>
              <w:rPr>
                <w:sz w:val="28"/>
                <w:szCs w:val="28"/>
              </w:rPr>
            </w:pPr>
            <w:r w:rsidRPr="00274507">
              <w:rPr>
                <w:sz w:val="28"/>
                <w:szCs w:val="28"/>
              </w:rPr>
              <w:t>15% Protección Social</w:t>
            </w:r>
          </w:p>
          <w:p w:rsidR="00743545" w:rsidRPr="00274507" w:rsidRDefault="00743545" w:rsidP="00274507">
            <w:pPr>
              <w:pStyle w:val="Prrafodelista"/>
              <w:numPr>
                <w:ilvl w:val="0"/>
                <w:numId w:val="15"/>
              </w:numPr>
              <w:ind w:left="602" w:hanging="242"/>
              <w:jc w:val="both"/>
              <w:rPr>
                <w:sz w:val="28"/>
                <w:szCs w:val="28"/>
              </w:rPr>
            </w:pPr>
            <w:r w:rsidRPr="00274507">
              <w:rPr>
                <w:sz w:val="28"/>
                <w:szCs w:val="28"/>
              </w:rPr>
              <w:t xml:space="preserve">5% Salud en conexidad    </w:t>
            </w:r>
          </w:p>
          <w:p w:rsidR="00743545" w:rsidRPr="00274507" w:rsidRDefault="00743545" w:rsidP="00274507">
            <w:pPr>
              <w:pStyle w:val="Prrafodelista"/>
              <w:tabs>
                <w:tab w:val="left" w:pos="567"/>
              </w:tabs>
              <w:ind w:left="0"/>
              <w:jc w:val="both"/>
              <w:rPr>
                <w:sz w:val="28"/>
                <w:szCs w:val="28"/>
              </w:rPr>
            </w:pPr>
            <w:r w:rsidRPr="00274507">
              <w:rPr>
                <w:sz w:val="28"/>
                <w:szCs w:val="28"/>
              </w:rPr>
              <w:t xml:space="preserve">        con la vida</w:t>
            </w:r>
          </w:p>
          <w:p w:rsidR="00743545" w:rsidRPr="00274507" w:rsidRDefault="00743545" w:rsidP="00274507">
            <w:pPr>
              <w:pStyle w:val="Prrafodelista"/>
              <w:numPr>
                <w:ilvl w:val="0"/>
                <w:numId w:val="15"/>
              </w:numPr>
              <w:tabs>
                <w:tab w:val="left" w:pos="567"/>
                <w:tab w:val="left" w:pos="602"/>
              </w:tabs>
              <w:jc w:val="both"/>
              <w:rPr>
                <w:sz w:val="28"/>
                <w:szCs w:val="28"/>
              </w:rPr>
            </w:pPr>
            <w:r w:rsidRPr="00274507">
              <w:rPr>
                <w:sz w:val="28"/>
                <w:szCs w:val="28"/>
              </w:rPr>
              <w:t>4% Salud de la niñez</w:t>
            </w:r>
          </w:p>
          <w:p w:rsidR="00743545" w:rsidRPr="00274507" w:rsidRDefault="00743545" w:rsidP="00274507">
            <w:pPr>
              <w:pStyle w:val="Prrafodelista"/>
              <w:numPr>
                <w:ilvl w:val="0"/>
                <w:numId w:val="15"/>
              </w:numPr>
              <w:tabs>
                <w:tab w:val="left" w:pos="567"/>
                <w:tab w:val="left" w:pos="602"/>
              </w:tabs>
              <w:ind w:left="602" w:hanging="242"/>
              <w:jc w:val="both"/>
              <w:rPr>
                <w:sz w:val="28"/>
                <w:szCs w:val="28"/>
              </w:rPr>
            </w:pPr>
            <w:r w:rsidRPr="00274507">
              <w:rPr>
                <w:sz w:val="28"/>
                <w:szCs w:val="28"/>
              </w:rPr>
              <w:t xml:space="preserve">2% Salud de personas </w:t>
            </w:r>
          </w:p>
          <w:p w:rsidR="00743545" w:rsidRPr="00274507" w:rsidRDefault="00743545" w:rsidP="00274507">
            <w:pPr>
              <w:pStyle w:val="Prrafodelista"/>
              <w:tabs>
                <w:tab w:val="left" w:pos="567"/>
              </w:tabs>
              <w:ind w:left="0"/>
              <w:jc w:val="both"/>
              <w:rPr>
                <w:sz w:val="28"/>
                <w:szCs w:val="28"/>
              </w:rPr>
            </w:pPr>
            <w:r w:rsidRPr="00274507">
              <w:rPr>
                <w:sz w:val="28"/>
                <w:szCs w:val="28"/>
              </w:rPr>
              <w:t xml:space="preserve">               de la tercera edad</w:t>
            </w:r>
          </w:p>
          <w:p w:rsidR="00743545" w:rsidRPr="00274507" w:rsidRDefault="00743545" w:rsidP="00274507">
            <w:pPr>
              <w:pStyle w:val="Prrafodelista"/>
              <w:numPr>
                <w:ilvl w:val="0"/>
                <w:numId w:val="15"/>
              </w:numPr>
              <w:tabs>
                <w:tab w:val="left" w:pos="567"/>
                <w:tab w:val="left" w:pos="744"/>
              </w:tabs>
              <w:jc w:val="both"/>
              <w:rPr>
                <w:sz w:val="28"/>
                <w:szCs w:val="28"/>
              </w:rPr>
            </w:pPr>
            <w:r w:rsidRPr="00274507">
              <w:rPr>
                <w:sz w:val="28"/>
                <w:szCs w:val="28"/>
              </w:rPr>
              <w:t>9% Otros</w:t>
            </w:r>
          </w:p>
        </w:tc>
        <w:tc>
          <w:tcPr>
            <w:tcW w:w="2552" w:type="dxa"/>
            <w:vMerge w:val="restart"/>
          </w:tcPr>
          <w:p w:rsidR="00743545" w:rsidRPr="00274507" w:rsidRDefault="00743545" w:rsidP="00274507">
            <w:pPr>
              <w:pStyle w:val="Prrafodelista"/>
              <w:numPr>
                <w:ilvl w:val="0"/>
                <w:numId w:val="14"/>
              </w:numPr>
              <w:tabs>
                <w:tab w:val="left" w:pos="0"/>
                <w:tab w:val="left" w:pos="520"/>
              </w:tabs>
              <w:ind w:left="884"/>
              <w:rPr>
                <w:sz w:val="28"/>
                <w:szCs w:val="28"/>
              </w:rPr>
            </w:pPr>
            <w:r w:rsidRPr="00274507">
              <w:rPr>
                <w:sz w:val="28"/>
                <w:szCs w:val="28"/>
              </w:rPr>
              <w:t>2.60% incertidumbre</w:t>
            </w:r>
          </w:p>
          <w:p w:rsidR="00743545" w:rsidRPr="00274507" w:rsidRDefault="00743545" w:rsidP="00274507">
            <w:pPr>
              <w:tabs>
                <w:tab w:val="left" w:pos="0"/>
                <w:tab w:val="left" w:pos="520"/>
              </w:tabs>
              <w:ind w:left="164"/>
              <w:rPr>
                <w:sz w:val="28"/>
                <w:szCs w:val="28"/>
              </w:rPr>
            </w:pPr>
            <w:r w:rsidRPr="00274507">
              <w:rPr>
                <w:sz w:val="28"/>
                <w:szCs w:val="28"/>
              </w:rPr>
              <w:t xml:space="preserve">        POS</w:t>
            </w:r>
          </w:p>
          <w:p w:rsidR="00743545" w:rsidRPr="00274507" w:rsidRDefault="00743545" w:rsidP="00274507">
            <w:pPr>
              <w:pStyle w:val="Prrafodelista"/>
              <w:numPr>
                <w:ilvl w:val="0"/>
                <w:numId w:val="14"/>
              </w:numPr>
              <w:tabs>
                <w:tab w:val="left" w:pos="0"/>
                <w:tab w:val="left" w:pos="520"/>
              </w:tabs>
              <w:ind w:left="884"/>
              <w:rPr>
                <w:sz w:val="28"/>
                <w:szCs w:val="28"/>
              </w:rPr>
            </w:pPr>
            <w:r w:rsidRPr="00274507">
              <w:rPr>
                <w:sz w:val="28"/>
                <w:szCs w:val="28"/>
              </w:rPr>
              <w:t>42.02% Servicios POS</w:t>
            </w:r>
          </w:p>
          <w:p w:rsidR="00743545" w:rsidRPr="00274507" w:rsidRDefault="00743545" w:rsidP="00274507">
            <w:pPr>
              <w:pStyle w:val="Prrafodelista"/>
              <w:numPr>
                <w:ilvl w:val="0"/>
                <w:numId w:val="14"/>
              </w:numPr>
              <w:tabs>
                <w:tab w:val="left" w:pos="0"/>
                <w:tab w:val="left" w:pos="520"/>
              </w:tabs>
              <w:ind w:left="884"/>
              <w:rPr>
                <w:sz w:val="28"/>
                <w:szCs w:val="28"/>
              </w:rPr>
            </w:pPr>
            <w:r w:rsidRPr="00274507">
              <w:rPr>
                <w:sz w:val="28"/>
                <w:szCs w:val="28"/>
              </w:rPr>
              <w:t>0.65% Diferencia</w:t>
            </w:r>
          </w:p>
          <w:p w:rsidR="00743545" w:rsidRPr="00274507" w:rsidRDefault="00743545" w:rsidP="00274507">
            <w:pPr>
              <w:tabs>
                <w:tab w:val="left" w:pos="0"/>
                <w:tab w:val="left" w:pos="520"/>
              </w:tabs>
              <w:ind w:left="164"/>
              <w:rPr>
                <w:sz w:val="28"/>
                <w:szCs w:val="28"/>
              </w:rPr>
            </w:pPr>
            <w:r w:rsidRPr="00274507">
              <w:rPr>
                <w:sz w:val="28"/>
                <w:szCs w:val="28"/>
              </w:rPr>
              <w:t xml:space="preserve">        regímenes</w:t>
            </w:r>
          </w:p>
          <w:p w:rsidR="00743545" w:rsidRPr="00274507" w:rsidRDefault="00743545" w:rsidP="00274507">
            <w:pPr>
              <w:pStyle w:val="Prrafodelista"/>
              <w:numPr>
                <w:ilvl w:val="0"/>
                <w:numId w:val="14"/>
              </w:numPr>
              <w:tabs>
                <w:tab w:val="left" w:pos="0"/>
                <w:tab w:val="left" w:pos="520"/>
                <w:tab w:val="left" w:pos="567"/>
              </w:tabs>
              <w:ind w:left="884"/>
              <w:jc w:val="both"/>
              <w:rPr>
                <w:sz w:val="28"/>
                <w:szCs w:val="28"/>
              </w:rPr>
            </w:pPr>
            <w:r w:rsidRPr="00274507">
              <w:rPr>
                <w:sz w:val="28"/>
                <w:szCs w:val="28"/>
              </w:rPr>
              <w:t>3.18% ausencia</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mecanismo de              </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regulación</w:t>
            </w:r>
          </w:p>
          <w:p w:rsidR="00743545" w:rsidRPr="00274507" w:rsidRDefault="00743545" w:rsidP="00274507">
            <w:pPr>
              <w:pStyle w:val="Prrafodelista"/>
              <w:numPr>
                <w:ilvl w:val="0"/>
                <w:numId w:val="14"/>
              </w:numPr>
              <w:tabs>
                <w:tab w:val="left" w:pos="0"/>
                <w:tab w:val="left" w:pos="520"/>
                <w:tab w:val="left" w:pos="567"/>
              </w:tabs>
              <w:ind w:left="884"/>
              <w:jc w:val="both"/>
              <w:rPr>
                <w:sz w:val="28"/>
                <w:szCs w:val="28"/>
              </w:rPr>
            </w:pPr>
            <w:r w:rsidRPr="00274507">
              <w:rPr>
                <w:sz w:val="28"/>
                <w:szCs w:val="28"/>
              </w:rPr>
              <w:t>50.92% Servicios No</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Pos</w:t>
            </w:r>
          </w:p>
          <w:p w:rsidR="00743545" w:rsidRPr="00274507" w:rsidRDefault="00743545" w:rsidP="00274507">
            <w:pPr>
              <w:pStyle w:val="Prrafodelista"/>
              <w:numPr>
                <w:ilvl w:val="0"/>
                <w:numId w:val="14"/>
              </w:numPr>
              <w:tabs>
                <w:tab w:val="left" w:pos="0"/>
                <w:tab w:val="left" w:pos="520"/>
                <w:tab w:val="left" w:pos="567"/>
              </w:tabs>
              <w:ind w:left="884"/>
              <w:jc w:val="both"/>
              <w:rPr>
                <w:sz w:val="28"/>
                <w:szCs w:val="28"/>
              </w:rPr>
            </w:pPr>
            <w:r w:rsidRPr="00274507">
              <w:rPr>
                <w:sz w:val="28"/>
                <w:szCs w:val="28"/>
              </w:rPr>
              <w:t>0.58% Otros</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(vigente unificación      </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del plan de beneficios    </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para menores de 18 y  </w:t>
            </w:r>
          </w:p>
          <w:p w:rsidR="00743545" w:rsidRPr="00274507" w:rsidRDefault="00743545" w:rsidP="00274507">
            <w:pPr>
              <w:tabs>
                <w:tab w:val="left" w:pos="0"/>
                <w:tab w:val="left" w:pos="520"/>
                <w:tab w:val="left" w:pos="567"/>
              </w:tabs>
              <w:ind w:left="164"/>
              <w:jc w:val="both"/>
              <w:rPr>
                <w:sz w:val="28"/>
                <w:szCs w:val="28"/>
              </w:rPr>
            </w:pPr>
            <w:r w:rsidRPr="00274507">
              <w:rPr>
                <w:sz w:val="28"/>
                <w:szCs w:val="28"/>
              </w:rPr>
              <w:t xml:space="preserve">       mayores de 60 años)</w:t>
            </w:r>
          </w:p>
        </w:tc>
        <w:tc>
          <w:tcPr>
            <w:tcW w:w="2268" w:type="dxa"/>
          </w:tcPr>
          <w:p w:rsidR="00743545" w:rsidRPr="00274507" w:rsidRDefault="00743545" w:rsidP="00274507">
            <w:pPr>
              <w:tabs>
                <w:tab w:val="left" w:pos="567"/>
              </w:tabs>
              <w:jc w:val="both"/>
              <w:rPr>
                <w:sz w:val="28"/>
                <w:szCs w:val="28"/>
              </w:rPr>
            </w:pPr>
            <w:r w:rsidRPr="00274507">
              <w:rPr>
                <w:sz w:val="28"/>
                <w:szCs w:val="28"/>
              </w:rPr>
              <w:t>Negación de servicios No Pos cuando la persona los requiere y no puede pagarlos.</w:t>
            </w:r>
          </w:p>
        </w:tc>
        <w:tc>
          <w:tcPr>
            <w:tcW w:w="1559" w:type="dxa"/>
          </w:tcPr>
          <w:p w:rsidR="00743545" w:rsidRPr="00274507" w:rsidRDefault="00743545" w:rsidP="00274507">
            <w:pPr>
              <w:tabs>
                <w:tab w:val="left" w:pos="567"/>
              </w:tabs>
              <w:jc w:val="center"/>
              <w:rPr>
                <w:sz w:val="28"/>
                <w:szCs w:val="28"/>
              </w:rPr>
            </w:pPr>
          </w:p>
          <w:p w:rsidR="00743545" w:rsidRPr="00274507" w:rsidRDefault="00743545" w:rsidP="00274507">
            <w:pPr>
              <w:tabs>
                <w:tab w:val="left" w:pos="567"/>
              </w:tabs>
              <w:jc w:val="center"/>
              <w:rPr>
                <w:sz w:val="28"/>
                <w:szCs w:val="28"/>
              </w:rPr>
            </w:pPr>
            <w:r w:rsidRPr="00274507">
              <w:rPr>
                <w:sz w:val="28"/>
                <w:szCs w:val="28"/>
              </w:rPr>
              <w:t>974</w:t>
            </w:r>
          </w:p>
        </w:tc>
        <w:tc>
          <w:tcPr>
            <w:tcW w:w="850" w:type="dxa"/>
          </w:tcPr>
          <w:p w:rsidR="00743545" w:rsidRPr="00274507" w:rsidRDefault="00743545" w:rsidP="00274507">
            <w:pPr>
              <w:tabs>
                <w:tab w:val="left" w:pos="567"/>
              </w:tabs>
              <w:jc w:val="center"/>
              <w:rPr>
                <w:sz w:val="28"/>
                <w:szCs w:val="28"/>
              </w:rPr>
            </w:pPr>
          </w:p>
          <w:p w:rsidR="00743545" w:rsidRPr="00274507" w:rsidRDefault="00743545" w:rsidP="00274507">
            <w:pPr>
              <w:tabs>
                <w:tab w:val="left" w:pos="567"/>
              </w:tabs>
              <w:jc w:val="center"/>
              <w:rPr>
                <w:sz w:val="28"/>
                <w:szCs w:val="28"/>
              </w:rPr>
            </w:pPr>
          </w:p>
          <w:p w:rsidR="00743545" w:rsidRPr="00274507" w:rsidRDefault="00743545" w:rsidP="00274507">
            <w:pPr>
              <w:tabs>
                <w:tab w:val="left" w:pos="567"/>
              </w:tabs>
              <w:jc w:val="center"/>
              <w:rPr>
                <w:sz w:val="28"/>
                <w:szCs w:val="28"/>
              </w:rPr>
            </w:pPr>
          </w:p>
          <w:p w:rsidR="00743545" w:rsidRPr="00274507" w:rsidRDefault="00743545" w:rsidP="00274507">
            <w:pPr>
              <w:tabs>
                <w:tab w:val="left" w:pos="567"/>
              </w:tabs>
              <w:jc w:val="center"/>
              <w:rPr>
                <w:sz w:val="28"/>
                <w:szCs w:val="28"/>
              </w:rPr>
            </w:pPr>
          </w:p>
          <w:p w:rsidR="00743545" w:rsidRPr="00274507" w:rsidRDefault="00743545" w:rsidP="00274507">
            <w:pPr>
              <w:tabs>
                <w:tab w:val="left" w:pos="567"/>
              </w:tabs>
              <w:jc w:val="center"/>
              <w:rPr>
                <w:sz w:val="28"/>
                <w:szCs w:val="28"/>
              </w:rPr>
            </w:pPr>
            <w:r w:rsidRPr="00274507">
              <w:rPr>
                <w:sz w:val="28"/>
                <w:szCs w:val="28"/>
              </w:rPr>
              <w:t>33.3%</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Acceso a los servicios condicionando a cancelación de pago moderador que corresponda legalmente.</w:t>
            </w:r>
          </w:p>
        </w:tc>
        <w:tc>
          <w:tcPr>
            <w:tcW w:w="1559" w:type="dxa"/>
          </w:tcPr>
          <w:p w:rsidR="00743545" w:rsidRPr="00274507" w:rsidRDefault="00743545" w:rsidP="00274507">
            <w:pPr>
              <w:tabs>
                <w:tab w:val="left" w:pos="567"/>
              </w:tabs>
              <w:jc w:val="center"/>
              <w:rPr>
                <w:sz w:val="28"/>
                <w:szCs w:val="28"/>
              </w:rPr>
            </w:pPr>
            <w:r w:rsidRPr="00274507">
              <w:rPr>
                <w:sz w:val="28"/>
                <w:szCs w:val="28"/>
              </w:rPr>
              <w:t>243</w:t>
            </w:r>
          </w:p>
        </w:tc>
        <w:tc>
          <w:tcPr>
            <w:tcW w:w="850" w:type="dxa"/>
          </w:tcPr>
          <w:p w:rsidR="00743545" w:rsidRPr="00274507" w:rsidRDefault="00743545" w:rsidP="00274507">
            <w:pPr>
              <w:tabs>
                <w:tab w:val="left" w:pos="567"/>
              </w:tabs>
              <w:jc w:val="center"/>
              <w:rPr>
                <w:sz w:val="28"/>
                <w:szCs w:val="28"/>
              </w:rPr>
            </w:pPr>
            <w:r w:rsidRPr="00274507">
              <w:rPr>
                <w:sz w:val="28"/>
                <w:szCs w:val="28"/>
              </w:rPr>
              <w:t>8.31%</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Negación de servicios No Pos a niñas y niños cuando sus responsables no los pueden costear o su vida no depende de ello</w:t>
            </w:r>
          </w:p>
        </w:tc>
        <w:tc>
          <w:tcPr>
            <w:tcW w:w="1559" w:type="dxa"/>
          </w:tcPr>
          <w:p w:rsidR="00743545" w:rsidRPr="00274507" w:rsidRDefault="00743545" w:rsidP="00274507">
            <w:pPr>
              <w:tabs>
                <w:tab w:val="left" w:pos="567"/>
              </w:tabs>
              <w:jc w:val="center"/>
              <w:rPr>
                <w:sz w:val="28"/>
                <w:szCs w:val="28"/>
              </w:rPr>
            </w:pPr>
            <w:r w:rsidRPr="00274507">
              <w:rPr>
                <w:sz w:val="28"/>
                <w:szCs w:val="28"/>
              </w:rPr>
              <w:t>267</w:t>
            </w:r>
          </w:p>
        </w:tc>
        <w:tc>
          <w:tcPr>
            <w:tcW w:w="850" w:type="dxa"/>
          </w:tcPr>
          <w:p w:rsidR="00743545" w:rsidRPr="00274507" w:rsidRDefault="00743545" w:rsidP="00274507">
            <w:pPr>
              <w:tabs>
                <w:tab w:val="left" w:pos="567"/>
              </w:tabs>
              <w:jc w:val="center"/>
              <w:rPr>
                <w:sz w:val="28"/>
                <w:szCs w:val="28"/>
              </w:rPr>
            </w:pPr>
            <w:r w:rsidRPr="00274507">
              <w:rPr>
                <w:sz w:val="28"/>
                <w:szCs w:val="28"/>
              </w:rPr>
              <w:t>9.13%</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Negación de servicios ordenados por profesionales no suscritos</w:t>
            </w:r>
          </w:p>
        </w:tc>
        <w:tc>
          <w:tcPr>
            <w:tcW w:w="1559" w:type="dxa"/>
          </w:tcPr>
          <w:p w:rsidR="00743545" w:rsidRPr="00274507" w:rsidRDefault="00743545" w:rsidP="00274507">
            <w:pPr>
              <w:tabs>
                <w:tab w:val="left" w:pos="567"/>
              </w:tabs>
              <w:jc w:val="center"/>
              <w:rPr>
                <w:sz w:val="28"/>
                <w:szCs w:val="28"/>
              </w:rPr>
            </w:pPr>
            <w:r w:rsidRPr="00274507">
              <w:rPr>
                <w:sz w:val="28"/>
                <w:szCs w:val="28"/>
              </w:rPr>
              <w:t>62</w:t>
            </w:r>
          </w:p>
        </w:tc>
        <w:tc>
          <w:tcPr>
            <w:tcW w:w="850" w:type="dxa"/>
          </w:tcPr>
          <w:p w:rsidR="00743545" w:rsidRPr="00274507" w:rsidRDefault="00743545" w:rsidP="00274507">
            <w:pPr>
              <w:tabs>
                <w:tab w:val="left" w:pos="567"/>
              </w:tabs>
              <w:jc w:val="center"/>
              <w:rPr>
                <w:sz w:val="28"/>
                <w:szCs w:val="28"/>
              </w:rPr>
            </w:pPr>
            <w:r w:rsidRPr="00274507">
              <w:rPr>
                <w:sz w:val="28"/>
                <w:szCs w:val="28"/>
              </w:rPr>
              <w:t>2.12%</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Negación de prestaciones sociales por pago inoportuno</w:t>
            </w:r>
          </w:p>
        </w:tc>
        <w:tc>
          <w:tcPr>
            <w:tcW w:w="1559" w:type="dxa"/>
          </w:tcPr>
          <w:p w:rsidR="00743545" w:rsidRPr="00274507" w:rsidRDefault="00743545" w:rsidP="00274507">
            <w:pPr>
              <w:tabs>
                <w:tab w:val="left" w:pos="567"/>
              </w:tabs>
              <w:jc w:val="center"/>
              <w:rPr>
                <w:sz w:val="28"/>
                <w:szCs w:val="28"/>
              </w:rPr>
            </w:pPr>
            <w:r w:rsidRPr="00274507">
              <w:rPr>
                <w:sz w:val="28"/>
                <w:szCs w:val="28"/>
              </w:rPr>
              <w:t>8</w:t>
            </w:r>
          </w:p>
        </w:tc>
        <w:tc>
          <w:tcPr>
            <w:tcW w:w="850" w:type="dxa"/>
          </w:tcPr>
          <w:p w:rsidR="00743545" w:rsidRPr="00274507" w:rsidRDefault="00743545" w:rsidP="00274507">
            <w:pPr>
              <w:tabs>
                <w:tab w:val="left" w:pos="567"/>
              </w:tabs>
              <w:jc w:val="center"/>
              <w:rPr>
                <w:sz w:val="28"/>
                <w:szCs w:val="28"/>
              </w:rPr>
            </w:pPr>
            <w:r w:rsidRPr="00274507">
              <w:rPr>
                <w:sz w:val="28"/>
                <w:szCs w:val="28"/>
              </w:rPr>
              <w:t>0.27%</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Interrupción de servicios por desempleo</w:t>
            </w:r>
          </w:p>
        </w:tc>
        <w:tc>
          <w:tcPr>
            <w:tcW w:w="1559" w:type="dxa"/>
          </w:tcPr>
          <w:p w:rsidR="00743545" w:rsidRPr="00274507" w:rsidRDefault="00743545" w:rsidP="00274507">
            <w:pPr>
              <w:tabs>
                <w:tab w:val="left" w:pos="567"/>
              </w:tabs>
              <w:jc w:val="center"/>
              <w:rPr>
                <w:sz w:val="28"/>
                <w:szCs w:val="28"/>
              </w:rPr>
            </w:pPr>
            <w:r w:rsidRPr="00274507">
              <w:rPr>
                <w:sz w:val="28"/>
                <w:szCs w:val="28"/>
              </w:rPr>
              <w:t>9</w:t>
            </w:r>
          </w:p>
        </w:tc>
        <w:tc>
          <w:tcPr>
            <w:tcW w:w="850" w:type="dxa"/>
          </w:tcPr>
          <w:p w:rsidR="00743545" w:rsidRPr="00274507" w:rsidRDefault="00743545" w:rsidP="00274507">
            <w:pPr>
              <w:tabs>
                <w:tab w:val="left" w:pos="567"/>
              </w:tabs>
              <w:jc w:val="center"/>
              <w:rPr>
                <w:sz w:val="28"/>
                <w:szCs w:val="28"/>
              </w:rPr>
            </w:pPr>
            <w:r w:rsidRPr="00274507">
              <w:rPr>
                <w:sz w:val="28"/>
                <w:szCs w:val="28"/>
              </w:rPr>
              <w:t>0.30%</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Negación de traslado a personas o grupos familiares</w:t>
            </w:r>
          </w:p>
        </w:tc>
        <w:tc>
          <w:tcPr>
            <w:tcW w:w="1559" w:type="dxa"/>
          </w:tcPr>
          <w:p w:rsidR="00743545" w:rsidRPr="00274507" w:rsidRDefault="00743545" w:rsidP="00274507">
            <w:pPr>
              <w:tabs>
                <w:tab w:val="left" w:pos="567"/>
              </w:tabs>
              <w:jc w:val="center"/>
              <w:rPr>
                <w:sz w:val="28"/>
                <w:szCs w:val="28"/>
              </w:rPr>
            </w:pPr>
            <w:r w:rsidRPr="00274507">
              <w:rPr>
                <w:sz w:val="28"/>
                <w:szCs w:val="28"/>
              </w:rPr>
              <w:t>135</w:t>
            </w:r>
          </w:p>
        </w:tc>
        <w:tc>
          <w:tcPr>
            <w:tcW w:w="850" w:type="dxa"/>
          </w:tcPr>
          <w:p w:rsidR="00743545" w:rsidRPr="00274507" w:rsidRDefault="00743545" w:rsidP="00274507">
            <w:pPr>
              <w:tabs>
                <w:tab w:val="left" w:pos="567"/>
              </w:tabs>
              <w:jc w:val="center"/>
              <w:rPr>
                <w:sz w:val="28"/>
                <w:szCs w:val="28"/>
              </w:rPr>
            </w:pPr>
            <w:r w:rsidRPr="00274507">
              <w:rPr>
                <w:sz w:val="28"/>
                <w:szCs w:val="28"/>
              </w:rPr>
              <w:t>4.62%</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Negación a responder de fondo una petición para remover un obstáculo</w:t>
            </w:r>
          </w:p>
        </w:tc>
        <w:tc>
          <w:tcPr>
            <w:tcW w:w="1559" w:type="dxa"/>
          </w:tcPr>
          <w:p w:rsidR="00743545" w:rsidRPr="00274507" w:rsidRDefault="00743545" w:rsidP="00274507">
            <w:pPr>
              <w:tabs>
                <w:tab w:val="left" w:pos="567"/>
              </w:tabs>
              <w:jc w:val="center"/>
              <w:rPr>
                <w:sz w:val="28"/>
                <w:szCs w:val="28"/>
              </w:rPr>
            </w:pPr>
            <w:r w:rsidRPr="00274507">
              <w:rPr>
                <w:sz w:val="28"/>
                <w:szCs w:val="28"/>
              </w:rPr>
              <w:t>102</w:t>
            </w:r>
          </w:p>
        </w:tc>
        <w:tc>
          <w:tcPr>
            <w:tcW w:w="850" w:type="dxa"/>
          </w:tcPr>
          <w:p w:rsidR="00743545" w:rsidRPr="00274507" w:rsidRDefault="00743545" w:rsidP="00274507">
            <w:pPr>
              <w:tabs>
                <w:tab w:val="left" w:pos="567"/>
              </w:tabs>
              <w:jc w:val="center"/>
              <w:rPr>
                <w:sz w:val="28"/>
                <w:szCs w:val="28"/>
              </w:rPr>
            </w:pPr>
            <w:r w:rsidRPr="00274507">
              <w:rPr>
                <w:sz w:val="28"/>
                <w:szCs w:val="28"/>
              </w:rPr>
              <w:t>3.49%</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Fallo en el tiempo de provisión</w:t>
            </w:r>
          </w:p>
        </w:tc>
        <w:tc>
          <w:tcPr>
            <w:tcW w:w="1559" w:type="dxa"/>
          </w:tcPr>
          <w:p w:rsidR="00743545" w:rsidRPr="00274507" w:rsidRDefault="00743545" w:rsidP="00274507">
            <w:pPr>
              <w:tabs>
                <w:tab w:val="left" w:pos="567"/>
              </w:tabs>
              <w:jc w:val="center"/>
              <w:rPr>
                <w:sz w:val="28"/>
                <w:szCs w:val="28"/>
              </w:rPr>
            </w:pPr>
            <w:r w:rsidRPr="00274507">
              <w:rPr>
                <w:sz w:val="28"/>
                <w:szCs w:val="28"/>
              </w:rPr>
              <w:t>1004</w:t>
            </w:r>
          </w:p>
        </w:tc>
        <w:tc>
          <w:tcPr>
            <w:tcW w:w="850" w:type="dxa"/>
          </w:tcPr>
          <w:p w:rsidR="00743545" w:rsidRPr="00274507" w:rsidRDefault="00743545" w:rsidP="00274507">
            <w:pPr>
              <w:tabs>
                <w:tab w:val="left" w:pos="567"/>
              </w:tabs>
              <w:jc w:val="center"/>
              <w:rPr>
                <w:sz w:val="28"/>
                <w:szCs w:val="28"/>
              </w:rPr>
            </w:pPr>
            <w:r w:rsidRPr="00274507">
              <w:rPr>
                <w:sz w:val="28"/>
                <w:szCs w:val="28"/>
              </w:rPr>
              <w:t>34.36%</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both"/>
              <w:rPr>
                <w:sz w:val="28"/>
                <w:szCs w:val="28"/>
              </w:rPr>
            </w:pPr>
            <w:r w:rsidRPr="00274507">
              <w:rPr>
                <w:sz w:val="28"/>
                <w:szCs w:val="28"/>
              </w:rPr>
              <w:t>Otros</w:t>
            </w:r>
          </w:p>
        </w:tc>
        <w:tc>
          <w:tcPr>
            <w:tcW w:w="1559" w:type="dxa"/>
          </w:tcPr>
          <w:p w:rsidR="00743545" w:rsidRPr="00274507" w:rsidRDefault="00743545" w:rsidP="00274507">
            <w:pPr>
              <w:tabs>
                <w:tab w:val="left" w:pos="567"/>
              </w:tabs>
              <w:jc w:val="center"/>
              <w:rPr>
                <w:sz w:val="28"/>
                <w:szCs w:val="28"/>
              </w:rPr>
            </w:pPr>
            <w:r w:rsidRPr="00274507">
              <w:rPr>
                <w:sz w:val="28"/>
                <w:szCs w:val="28"/>
              </w:rPr>
              <w:t>118</w:t>
            </w:r>
          </w:p>
        </w:tc>
        <w:tc>
          <w:tcPr>
            <w:tcW w:w="850" w:type="dxa"/>
          </w:tcPr>
          <w:p w:rsidR="00743545" w:rsidRPr="00274507" w:rsidRDefault="00743545" w:rsidP="00274507">
            <w:pPr>
              <w:tabs>
                <w:tab w:val="left" w:pos="567"/>
              </w:tabs>
              <w:jc w:val="center"/>
              <w:rPr>
                <w:sz w:val="28"/>
                <w:szCs w:val="28"/>
              </w:rPr>
            </w:pPr>
            <w:r w:rsidRPr="00274507">
              <w:rPr>
                <w:sz w:val="28"/>
                <w:szCs w:val="28"/>
              </w:rPr>
              <w:t>4.03%</w:t>
            </w:r>
          </w:p>
        </w:tc>
      </w:tr>
      <w:tr w:rsidR="00743545" w:rsidRPr="00274507" w:rsidTr="005024CE">
        <w:trPr>
          <w:trHeight w:val="215"/>
        </w:trPr>
        <w:tc>
          <w:tcPr>
            <w:tcW w:w="2410" w:type="dxa"/>
            <w:vMerge/>
          </w:tcPr>
          <w:p w:rsidR="00743545" w:rsidRPr="00274507" w:rsidRDefault="00743545" w:rsidP="00274507">
            <w:pPr>
              <w:pStyle w:val="Prrafodelista"/>
              <w:tabs>
                <w:tab w:val="left" w:pos="567"/>
              </w:tabs>
              <w:ind w:left="0"/>
              <w:jc w:val="both"/>
              <w:rPr>
                <w:sz w:val="28"/>
                <w:szCs w:val="28"/>
              </w:rPr>
            </w:pPr>
          </w:p>
        </w:tc>
        <w:tc>
          <w:tcPr>
            <w:tcW w:w="2552" w:type="dxa"/>
            <w:vMerge/>
          </w:tcPr>
          <w:p w:rsidR="00743545" w:rsidRPr="00274507" w:rsidRDefault="00743545" w:rsidP="00274507">
            <w:pPr>
              <w:pStyle w:val="Prrafodelista"/>
              <w:tabs>
                <w:tab w:val="left" w:pos="567"/>
              </w:tabs>
              <w:ind w:left="0"/>
              <w:jc w:val="both"/>
              <w:rPr>
                <w:sz w:val="28"/>
                <w:szCs w:val="28"/>
              </w:rPr>
            </w:pPr>
          </w:p>
        </w:tc>
        <w:tc>
          <w:tcPr>
            <w:tcW w:w="2268" w:type="dxa"/>
          </w:tcPr>
          <w:p w:rsidR="00743545" w:rsidRPr="00274507" w:rsidRDefault="00743545" w:rsidP="00274507">
            <w:pPr>
              <w:tabs>
                <w:tab w:val="left" w:pos="567"/>
              </w:tabs>
              <w:jc w:val="center"/>
              <w:rPr>
                <w:b/>
                <w:sz w:val="28"/>
                <w:szCs w:val="28"/>
              </w:rPr>
            </w:pPr>
            <w:r w:rsidRPr="00274507">
              <w:rPr>
                <w:b/>
                <w:sz w:val="28"/>
                <w:szCs w:val="28"/>
              </w:rPr>
              <w:t>Total</w:t>
            </w:r>
          </w:p>
        </w:tc>
        <w:tc>
          <w:tcPr>
            <w:tcW w:w="1559" w:type="dxa"/>
          </w:tcPr>
          <w:p w:rsidR="00743545" w:rsidRPr="00274507" w:rsidRDefault="00743545" w:rsidP="00274507">
            <w:pPr>
              <w:tabs>
                <w:tab w:val="left" w:pos="567"/>
              </w:tabs>
              <w:jc w:val="center"/>
              <w:rPr>
                <w:b/>
                <w:sz w:val="28"/>
                <w:szCs w:val="28"/>
              </w:rPr>
            </w:pPr>
            <w:r w:rsidRPr="00274507">
              <w:rPr>
                <w:b/>
                <w:sz w:val="28"/>
                <w:szCs w:val="28"/>
              </w:rPr>
              <w:t>2.922</w:t>
            </w:r>
          </w:p>
        </w:tc>
        <w:tc>
          <w:tcPr>
            <w:tcW w:w="850" w:type="dxa"/>
          </w:tcPr>
          <w:p w:rsidR="00743545" w:rsidRPr="00274507" w:rsidRDefault="00743545" w:rsidP="00274507">
            <w:pPr>
              <w:tabs>
                <w:tab w:val="left" w:pos="567"/>
              </w:tabs>
              <w:jc w:val="center"/>
              <w:rPr>
                <w:b/>
                <w:sz w:val="28"/>
                <w:szCs w:val="28"/>
              </w:rPr>
            </w:pPr>
            <w:r w:rsidRPr="00274507">
              <w:rPr>
                <w:b/>
                <w:sz w:val="28"/>
                <w:szCs w:val="28"/>
              </w:rPr>
              <w:t>100</w:t>
            </w:r>
          </w:p>
        </w:tc>
      </w:tr>
    </w:tbl>
    <w:p w:rsidR="00743545" w:rsidRPr="00274507" w:rsidRDefault="00743545" w:rsidP="00274507">
      <w:pPr>
        <w:tabs>
          <w:tab w:val="left" w:pos="567"/>
        </w:tabs>
        <w:jc w:val="both"/>
        <w:rPr>
          <w:sz w:val="28"/>
          <w:szCs w:val="28"/>
        </w:rPr>
      </w:pPr>
    </w:p>
    <w:p w:rsidR="00BA1CFC" w:rsidRPr="00274507" w:rsidRDefault="00BA1CFC" w:rsidP="00274507">
      <w:pPr>
        <w:tabs>
          <w:tab w:val="left" w:pos="567"/>
        </w:tabs>
        <w:rPr>
          <w:sz w:val="28"/>
          <w:szCs w:val="28"/>
        </w:rPr>
      </w:pPr>
    </w:p>
    <w:p w:rsidR="00C4132B" w:rsidRPr="00274507" w:rsidRDefault="00C4132B" w:rsidP="00274507">
      <w:pPr>
        <w:tabs>
          <w:tab w:val="left" w:pos="567"/>
        </w:tabs>
        <w:rPr>
          <w:sz w:val="28"/>
          <w:szCs w:val="28"/>
        </w:rPr>
      </w:pPr>
    </w:p>
    <w:p w:rsidR="00E0403C" w:rsidRDefault="00E0403C" w:rsidP="00274507">
      <w:pPr>
        <w:tabs>
          <w:tab w:val="left" w:pos="567"/>
        </w:tabs>
        <w:rPr>
          <w:sz w:val="28"/>
          <w:szCs w:val="28"/>
        </w:rPr>
      </w:pPr>
      <w:r>
        <w:rPr>
          <w:sz w:val="28"/>
          <w:szCs w:val="28"/>
        </w:rPr>
        <w:br w:type="page"/>
      </w:r>
    </w:p>
    <w:p w:rsidR="00C4132B" w:rsidRPr="00274507" w:rsidRDefault="00C4132B" w:rsidP="00274507">
      <w:pPr>
        <w:tabs>
          <w:tab w:val="left" w:pos="567"/>
        </w:tabs>
        <w:rPr>
          <w:sz w:val="28"/>
          <w:szCs w:val="28"/>
        </w:rPr>
      </w:pPr>
    </w:p>
    <w:p w:rsidR="00BA1CFC" w:rsidRPr="00274507" w:rsidRDefault="00BA1CFC" w:rsidP="00274507">
      <w:pPr>
        <w:tabs>
          <w:tab w:val="left" w:pos="567"/>
        </w:tabs>
        <w:jc w:val="center"/>
        <w:rPr>
          <w:sz w:val="28"/>
          <w:szCs w:val="28"/>
        </w:rPr>
      </w:pPr>
      <w:r w:rsidRPr="00274507">
        <w:rPr>
          <w:sz w:val="28"/>
          <w:szCs w:val="28"/>
        </w:rPr>
        <w:t>ANEXO 3</w:t>
      </w:r>
    </w:p>
    <w:p w:rsidR="00C4132B" w:rsidRPr="00274507" w:rsidRDefault="00C4132B" w:rsidP="00274507">
      <w:pPr>
        <w:tabs>
          <w:tab w:val="left" w:pos="567"/>
        </w:tabs>
        <w:jc w:val="center"/>
        <w:rPr>
          <w:sz w:val="28"/>
          <w:szCs w:val="28"/>
        </w:rPr>
      </w:pPr>
    </w:p>
    <w:p w:rsidR="00C4132B" w:rsidRPr="00274507" w:rsidRDefault="00C4132B" w:rsidP="00274507">
      <w:pPr>
        <w:widowControl w:val="0"/>
        <w:tabs>
          <w:tab w:val="left" w:pos="426"/>
        </w:tabs>
        <w:autoSpaceDE w:val="0"/>
        <w:autoSpaceDN w:val="0"/>
        <w:adjustRightInd w:val="0"/>
        <w:jc w:val="both"/>
        <w:rPr>
          <w:sz w:val="28"/>
          <w:szCs w:val="28"/>
        </w:rPr>
      </w:pPr>
      <w:r w:rsidRPr="00274507">
        <w:rPr>
          <w:sz w:val="28"/>
          <w:szCs w:val="28"/>
        </w:rPr>
        <w:t>El programa “</w:t>
      </w:r>
      <w:r w:rsidRPr="00274507">
        <w:rPr>
          <w:i/>
          <w:sz w:val="28"/>
          <w:szCs w:val="28"/>
        </w:rPr>
        <w:t>Así Vamos en Salud</w:t>
      </w:r>
      <w:r w:rsidRPr="00274507">
        <w:rPr>
          <w:sz w:val="28"/>
          <w:szCs w:val="28"/>
        </w:rPr>
        <w:t>”</w:t>
      </w:r>
      <w:r w:rsidRPr="00274507">
        <w:rPr>
          <w:rStyle w:val="Refdenotaalpie"/>
          <w:sz w:val="28"/>
          <w:szCs w:val="28"/>
        </w:rPr>
        <w:footnoteReference w:id="234"/>
      </w:r>
      <w:r w:rsidRPr="00274507">
        <w:rPr>
          <w:sz w:val="28"/>
          <w:szCs w:val="28"/>
        </w:rPr>
        <w:t xml:space="preserve"> propuso al Ministerio de Salud que para la construcción de los indicadores GED debería tener en cuenta las siguientes categorías e indicadores:</w:t>
      </w:r>
    </w:p>
    <w:p w:rsidR="00C4132B" w:rsidRPr="00274507" w:rsidRDefault="00C4132B" w:rsidP="00274507">
      <w:pPr>
        <w:tabs>
          <w:tab w:val="left" w:pos="567"/>
        </w:tabs>
        <w:jc w:val="center"/>
        <w:rPr>
          <w:sz w:val="28"/>
          <w:szCs w:val="28"/>
        </w:rPr>
      </w:pPr>
    </w:p>
    <w:p w:rsidR="00BA1CFC" w:rsidRPr="00274507" w:rsidRDefault="00BA1CFC" w:rsidP="00274507">
      <w:pPr>
        <w:tabs>
          <w:tab w:val="left" w:pos="567"/>
        </w:tabs>
        <w:jc w:val="both"/>
        <w:rPr>
          <w:sz w:val="28"/>
          <w:szCs w:val="28"/>
        </w:rPr>
      </w:pPr>
    </w:p>
    <w:tbl>
      <w:tblPr>
        <w:tblStyle w:val="Tablaconcuadrcula"/>
        <w:tblW w:w="0" w:type="auto"/>
        <w:tblLook w:val="04A0" w:firstRow="1" w:lastRow="0" w:firstColumn="1" w:lastColumn="0" w:noHBand="0" w:noVBand="1"/>
      </w:tblPr>
      <w:tblGrid>
        <w:gridCol w:w="3964"/>
        <w:gridCol w:w="5149"/>
      </w:tblGrid>
      <w:tr w:rsidR="00BA1CFC" w:rsidRPr="00274507" w:rsidTr="001B68CD">
        <w:tc>
          <w:tcPr>
            <w:tcW w:w="9113" w:type="dxa"/>
            <w:gridSpan w:val="2"/>
          </w:tcPr>
          <w:p w:rsidR="00BA1CFC" w:rsidRPr="00274507" w:rsidRDefault="00BA1CFC" w:rsidP="00274507">
            <w:pPr>
              <w:widowControl w:val="0"/>
              <w:tabs>
                <w:tab w:val="left" w:pos="426"/>
              </w:tabs>
              <w:autoSpaceDE w:val="0"/>
              <w:autoSpaceDN w:val="0"/>
              <w:adjustRightInd w:val="0"/>
              <w:jc w:val="center"/>
              <w:rPr>
                <w:b/>
                <w:sz w:val="28"/>
                <w:szCs w:val="28"/>
              </w:rPr>
            </w:pPr>
            <w:r w:rsidRPr="00274507">
              <w:rPr>
                <w:b/>
                <w:sz w:val="28"/>
                <w:szCs w:val="28"/>
              </w:rPr>
              <w:t>Desde el goce efectivo de servicios médicos</w:t>
            </w:r>
          </w:p>
        </w:tc>
      </w:tr>
      <w:tr w:rsidR="00BA1CFC" w:rsidRPr="00274507" w:rsidTr="001B68CD">
        <w:tc>
          <w:tcPr>
            <w:tcW w:w="3964" w:type="dxa"/>
          </w:tcPr>
          <w:p w:rsidR="00BA1CFC" w:rsidRPr="00274507" w:rsidRDefault="00BA1CFC" w:rsidP="00274507">
            <w:pPr>
              <w:widowControl w:val="0"/>
              <w:tabs>
                <w:tab w:val="left" w:pos="426"/>
              </w:tabs>
              <w:autoSpaceDE w:val="0"/>
              <w:autoSpaceDN w:val="0"/>
              <w:adjustRightInd w:val="0"/>
              <w:jc w:val="center"/>
              <w:rPr>
                <w:b/>
                <w:sz w:val="28"/>
                <w:szCs w:val="28"/>
              </w:rPr>
            </w:pPr>
            <w:r w:rsidRPr="00274507">
              <w:rPr>
                <w:b/>
                <w:sz w:val="28"/>
                <w:szCs w:val="28"/>
              </w:rPr>
              <w:t>Categoría</w:t>
            </w:r>
          </w:p>
        </w:tc>
        <w:tc>
          <w:tcPr>
            <w:tcW w:w="5149" w:type="dxa"/>
          </w:tcPr>
          <w:p w:rsidR="00BA1CFC" w:rsidRPr="00274507" w:rsidRDefault="00BA1CFC" w:rsidP="00274507">
            <w:pPr>
              <w:widowControl w:val="0"/>
              <w:tabs>
                <w:tab w:val="left" w:pos="426"/>
              </w:tabs>
              <w:autoSpaceDE w:val="0"/>
              <w:autoSpaceDN w:val="0"/>
              <w:adjustRightInd w:val="0"/>
              <w:jc w:val="center"/>
              <w:rPr>
                <w:b/>
                <w:sz w:val="28"/>
                <w:szCs w:val="28"/>
              </w:rPr>
            </w:pPr>
            <w:r w:rsidRPr="00274507">
              <w:rPr>
                <w:b/>
                <w:sz w:val="28"/>
                <w:szCs w:val="28"/>
              </w:rPr>
              <w:t>Indicadores propuestos</w:t>
            </w:r>
          </w:p>
        </w:tc>
      </w:tr>
      <w:tr w:rsidR="00BA1CFC" w:rsidRPr="00274507" w:rsidTr="001B68CD">
        <w:tc>
          <w:tcPr>
            <w:tcW w:w="3964" w:type="dxa"/>
          </w:tcPr>
          <w:p w:rsidR="00BA1CFC" w:rsidRPr="00274507" w:rsidRDefault="00BA1CFC" w:rsidP="00274507">
            <w:pPr>
              <w:widowControl w:val="0"/>
              <w:tabs>
                <w:tab w:val="left" w:pos="426"/>
              </w:tabs>
              <w:autoSpaceDE w:val="0"/>
              <w:autoSpaceDN w:val="0"/>
              <w:adjustRightInd w:val="0"/>
              <w:jc w:val="both"/>
              <w:rPr>
                <w:sz w:val="28"/>
                <w:szCs w:val="28"/>
              </w:rPr>
            </w:pPr>
            <w:r w:rsidRPr="00274507">
              <w:rPr>
                <w:sz w:val="28"/>
                <w:szCs w:val="28"/>
              </w:rPr>
              <w:t>Goce de disponibilidad</w:t>
            </w:r>
          </w:p>
        </w:tc>
        <w:tc>
          <w:tcPr>
            <w:tcW w:w="5149" w:type="dxa"/>
          </w:tcPr>
          <w:p w:rsidR="00BA1CFC" w:rsidRPr="00274507" w:rsidRDefault="00BA1CFC" w:rsidP="00274507">
            <w:pPr>
              <w:pStyle w:val="Prrafodelista"/>
              <w:widowControl w:val="0"/>
              <w:numPr>
                <w:ilvl w:val="0"/>
                <w:numId w:val="5"/>
              </w:numPr>
              <w:tabs>
                <w:tab w:val="left" w:pos="426"/>
              </w:tabs>
              <w:autoSpaceDE w:val="0"/>
              <w:autoSpaceDN w:val="0"/>
              <w:adjustRightInd w:val="0"/>
              <w:jc w:val="both"/>
              <w:rPr>
                <w:sz w:val="28"/>
                <w:szCs w:val="28"/>
              </w:rPr>
            </w:pPr>
            <w:r w:rsidRPr="00274507">
              <w:rPr>
                <w:sz w:val="28"/>
                <w:szCs w:val="28"/>
              </w:rPr>
              <w:t>Libre escogencia</w:t>
            </w:r>
          </w:p>
          <w:p w:rsidR="00BA1CFC" w:rsidRPr="00274507" w:rsidRDefault="00BA1CFC" w:rsidP="00274507">
            <w:pPr>
              <w:pStyle w:val="Prrafodelista"/>
              <w:widowControl w:val="0"/>
              <w:numPr>
                <w:ilvl w:val="0"/>
                <w:numId w:val="5"/>
              </w:numPr>
              <w:tabs>
                <w:tab w:val="left" w:pos="426"/>
              </w:tabs>
              <w:autoSpaceDE w:val="0"/>
              <w:autoSpaceDN w:val="0"/>
              <w:adjustRightInd w:val="0"/>
              <w:jc w:val="both"/>
              <w:rPr>
                <w:sz w:val="28"/>
                <w:szCs w:val="28"/>
              </w:rPr>
            </w:pPr>
            <w:r w:rsidRPr="00274507">
              <w:rPr>
                <w:sz w:val="28"/>
                <w:szCs w:val="28"/>
              </w:rPr>
              <w:t>Disponibilidad de Dx</w:t>
            </w:r>
            <w:r w:rsidRPr="00274507">
              <w:rPr>
                <w:rStyle w:val="Refdenotaalpie"/>
                <w:sz w:val="28"/>
                <w:szCs w:val="28"/>
              </w:rPr>
              <w:footnoteReference w:id="235"/>
            </w:r>
            <w:r w:rsidRPr="00274507">
              <w:rPr>
                <w:sz w:val="28"/>
                <w:szCs w:val="28"/>
              </w:rPr>
              <w:t>, Tx</w:t>
            </w:r>
            <w:r w:rsidRPr="00274507">
              <w:rPr>
                <w:rStyle w:val="Refdenotaalpie"/>
                <w:sz w:val="28"/>
                <w:szCs w:val="28"/>
              </w:rPr>
              <w:footnoteReference w:id="236"/>
            </w:r>
            <w:r w:rsidRPr="00274507">
              <w:rPr>
                <w:sz w:val="28"/>
                <w:szCs w:val="28"/>
              </w:rPr>
              <w:t>, medicamentos, procedimientos, hospitalización, etc.</w:t>
            </w:r>
          </w:p>
          <w:p w:rsidR="00BA1CFC" w:rsidRPr="00274507" w:rsidRDefault="00BA1CFC" w:rsidP="00274507">
            <w:pPr>
              <w:pStyle w:val="Prrafodelista"/>
              <w:widowControl w:val="0"/>
              <w:numPr>
                <w:ilvl w:val="0"/>
                <w:numId w:val="5"/>
              </w:numPr>
              <w:tabs>
                <w:tab w:val="left" w:pos="426"/>
              </w:tabs>
              <w:autoSpaceDE w:val="0"/>
              <w:autoSpaceDN w:val="0"/>
              <w:adjustRightInd w:val="0"/>
              <w:jc w:val="both"/>
              <w:rPr>
                <w:sz w:val="28"/>
                <w:szCs w:val="28"/>
              </w:rPr>
            </w:pPr>
            <w:r w:rsidRPr="00274507">
              <w:rPr>
                <w:sz w:val="28"/>
                <w:szCs w:val="28"/>
              </w:rPr>
              <w:t>Disponibilidad de información sobre calidad, costo, limitaciones.</w:t>
            </w:r>
          </w:p>
        </w:tc>
      </w:tr>
      <w:tr w:rsidR="00BA1CFC" w:rsidRPr="00274507" w:rsidTr="001B68CD">
        <w:tc>
          <w:tcPr>
            <w:tcW w:w="3964" w:type="dxa"/>
          </w:tcPr>
          <w:p w:rsidR="00BA1CFC" w:rsidRPr="00274507" w:rsidRDefault="00BA1CFC" w:rsidP="00274507">
            <w:pPr>
              <w:widowControl w:val="0"/>
              <w:tabs>
                <w:tab w:val="left" w:pos="426"/>
              </w:tabs>
              <w:autoSpaceDE w:val="0"/>
              <w:autoSpaceDN w:val="0"/>
              <w:adjustRightInd w:val="0"/>
              <w:jc w:val="both"/>
              <w:rPr>
                <w:sz w:val="28"/>
                <w:szCs w:val="28"/>
              </w:rPr>
            </w:pPr>
            <w:r w:rsidRPr="00274507">
              <w:rPr>
                <w:sz w:val="28"/>
                <w:szCs w:val="28"/>
              </w:rPr>
              <w:t>Goce de acceso</w:t>
            </w:r>
          </w:p>
        </w:tc>
        <w:tc>
          <w:tcPr>
            <w:tcW w:w="5149" w:type="dxa"/>
          </w:tcPr>
          <w:p w:rsidR="00BA1CFC" w:rsidRPr="00274507" w:rsidRDefault="00BA1CFC" w:rsidP="00274507">
            <w:pPr>
              <w:pStyle w:val="Prrafodelista"/>
              <w:widowControl w:val="0"/>
              <w:numPr>
                <w:ilvl w:val="0"/>
                <w:numId w:val="6"/>
              </w:numPr>
              <w:tabs>
                <w:tab w:val="left" w:pos="426"/>
              </w:tabs>
              <w:autoSpaceDE w:val="0"/>
              <w:autoSpaceDN w:val="0"/>
              <w:adjustRightInd w:val="0"/>
              <w:jc w:val="both"/>
              <w:rPr>
                <w:sz w:val="28"/>
                <w:szCs w:val="28"/>
              </w:rPr>
            </w:pPr>
            <w:r w:rsidRPr="00274507">
              <w:rPr>
                <w:sz w:val="28"/>
                <w:szCs w:val="28"/>
              </w:rPr>
              <w:t>Carnetización</w:t>
            </w:r>
          </w:p>
          <w:p w:rsidR="00BA1CFC" w:rsidRPr="00274507" w:rsidRDefault="00BA1CFC" w:rsidP="00274507">
            <w:pPr>
              <w:pStyle w:val="Prrafodelista"/>
              <w:widowControl w:val="0"/>
              <w:numPr>
                <w:ilvl w:val="0"/>
                <w:numId w:val="6"/>
              </w:numPr>
              <w:tabs>
                <w:tab w:val="left" w:pos="426"/>
              </w:tabs>
              <w:autoSpaceDE w:val="0"/>
              <w:autoSpaceDN w:val="0"/>
              <w:adjustRightInd w:val="0"/>
              <w:jc w:val="both"/>
              <w:rPr>
                <w:sz w:val="28"/>
                <w:szCs w:val="28"/>
              </w:rPr>
            </w:pPr>
            <w:r w:rsidRPr="00274507">
              <w:rPr>
                <w:sz w:val="28"/>
                <w:szCs w:val="28"/>
              </w:rPr>
              <w:t>Portabilidad</w:t>
            </w:r>
          </w:p>
          <w:p w:rsidR="00BA1CFC" w:rsidRPr="00274507" w:rsidRDefault="00BA1CFC" w:rsidP="00274507">
            <w:pPr>
              <w:pStyle w:val="Prrafodelista"/>
              <w:widowControl w:val="0"/>
              <w:numPr>
                <w:ilvl w:val="0"/>
                <w:numId w:val="6"/>
              </w:numPr>
              <w:tabs>
                <w:tab w:val="left" w:pos="426"/>
              </w:tabs>
              <w:autoSpaceDE w:val="0"/>
              <w:autoSpaceDN w:val="0"/>
              <w:adjustRightInd w:val="0"/>
              <w:jc w:val="both"/>
              <w:rPr>
                <w:sz w:val="28"/>
                <w:szCs w:val="28"/>
              </w:rPr>
            </w:pPr>
            <w:r w:rsidRPr="00274507">
              <w:rPr>
                <w:sz w:val="28"/>
                <w:szCs w:val="28"/>
              </w:rPr>
              <w:t>No discriminación (edad, etnia, credo, etc.)</w:t>
            </w:r>
          </w:p>
          <w:p w:rsidR="00BA1CFC" w:rsidRPr="00274507" w:rsidRDefault="00BA1CFC" w:rsidP="00274507">
            <w:pPr>
              <w:pStyle w:val="Prrafodelista"/>
              <w:widowControl w:val="0"/>
              <w:numPr>
                <w:ilvl w:val="0"/>
                <w:numId w:val="6"/>
              </w:numPr>
              <w:tabs>
                <w:tab w:val="left" w:pos="426"/>
              </w:tabs>
              <w:autoSpaceDE w:val="0"/>
              <w:autoSpaceDN w:val="0"/>
              <w:adjustRightInd w:val="0"/>
              <w:jc w:val="both"/>
              <w:rPr>
                <w:sz w:val="28"/>
                <w:szCs w:val="28"/>
              </w:rPr>
            </w:pPr>
            <w:r w:rsidRPr="00274507">
              <w:rPr>
                <w:sz w:val="28"/>
                <w:szCs w:val="28"/>
              </w:rPr>
              <w:t>Acceso a métodos anticonceptivos</w:t>
            </w:r>
          </w:p>
        </w:tc>
      </w:tr>
      <w:tr w:rsidR="00BA1CFC" w:rsidRPr="00274507" w:rsidTr="001B68CD">
        <w:tc>
          <w:tcPr>
            <w:tcW w:w="3964" w:type="dxa"/>
          </w:tcPr>
          <w:p w:rsidR="00BA1CFC" w:rsidRPr="00274507" w:rsidRDefault="00BA1CFC" w:rsidP="00274507">
            <w:pPr>
              <w:widowControl w:val="0"/>
              <w:tabs>
                <w:tab w:val="left" w:pos="426"/>
              </w:tabs>
              <w:autoSpaceDE w:val="0"/>
              <w:autoSpaceDN w:val="0"/>
              <w:adjustRightInd w:val="0"/>
              <w:jc w:val="both"/>
              <w:rPr>
                <w:sz w:val="28"/>
                <w:szCs w:val="28"/>
              </w:rPr>
            </w:pPr>
            <w:r w:rsidRPr="00274507">
              <w:rPr>
                <w:sz w:val="28"/>
                <w:szCs w:val="28"/>
              </w:rPr>
              <w:t>Goce de aceptabilidad</w:t>
            </w:r>
          </w:p>
        </w:tc>
        <w:tc>
          <w:tcPr>
            <w:tcW w:w="5149" w:type="dxa"/>
          </w:tcPr>
          <w:p w:rsidR="00BA1CFC" w:rsidRPr="00274507" w:rsidRDefault="00BA1CFC" w:rsidP="00274507">
            <w:pPr>
              <w:pStyle w:val="Prrafodelista"/>
              <w:widowControl w:val="0"/>
              <w:numPr>
                <w:ilvl w:val="0"/>
                <w:numId w:val="7"/>
              </w:numPr>
              <w:tabs>
                <w:tab w:val="left" w:pos="426"/>
              </w:tabs>
              <w:autoSpaceDE w:val="0"/>
              <w:autoSpaceDN w:val="0"/>
              <w:adjustRightInd w:val="0"/>
              <w:jc w:val="both"/>
              <w:rPr>
                <w:sz w:val="28"/>
                <w:szCs w:val="28"/>
              </w:rPr>
            </w:pPr>
            <w:r w:rsidRPr="00274507">
              <w:rPr>
                <w:sz w:val="28"/>
                <w:szCs w:val="28"/>
              </w:rPr>
              <w:t>Manejo confidencial de información</w:t>
            </w:r>
          </w:p>
          <w:p w:rsidR="00BA1CFC" w:rsidRPr="00274507" w:rsidRDefault="00BA1CFC" w:rsidP="00274507">
            <w:pPr>
              <w:pStyle w:val="Prrafodelista"/>
              <w:widowControl w:val="0"/>
              <w:numPr>
                <w:ilvl w:val="0"/>
                <w:numId w:val="7"/>
              </w:numPr>
              <w:tabs>
                <w:tab w:val="left" w:pos="426"/>
              </w:tabs>
              <w:autoSpaceDE w:val="0"/>
              <w:autoSpaceDN w:val="0"/>
              <w:adjustRightInd w:val="0"/>
              <w:jc w:val="both"/>
              <w:rPr>
                <w:sz w:val="28"/>
                <w:szCs w:val="28"/>
              </w:rPr>
            </w:pPr>
            <w:r w:rsidRPr="00274507">
              <w:rPr>
                <w:sz w:val="28"/>
                <w:szCs w:val="28"/>
              </w:rPr>
              <w:t>Derecho a muerte digna</w:t>
            </w:r>
          </w:p>
          <w:p w:rsidR="00BA1CFC" w:rsidRPr="00274507" w:rsidRDefault="00BA1CFC" w:rsidP="00274507">
            <w:pPr>
              <w:pStyle w:val="Prrafodelista"/>
              <w:widowControl w:val="0"/>
              <w:numPr>
                <w:ilvl w:val="0"/>
                <w:numId w:val="7"/>
              </w:numPr>
              <w:tabs>
                <w:tab w:val="left" w:pos="426"/>
              </w:tabs>
              <w:autoSpaceDE w:val="0"/>
              <w:autoSpaceDN w:val="0"/>
              <w:adjustRightInd w:val="0"/>
              <w:jc w:val="both"/>
              <w:rPr>
                <w:sz w:val="28"/>
                <w:szCs w:val="28"/>
              </w:rPr>
            </w:pPr>
            <w:r w:rsidRPr="00274507">
              <w:rPr>
                <w:sz w:val="28"/>
                <w:szCs w:val="28"/>
              </w:rPr>
              <w:t>Consentimiento informado</w:t>
            </w:r>
          </w:p>
          <w:p w:rsidR="00BA1CFC" w:rsidRPr="00274507" w:rsidRDefault="00BA1CFC" w:rsidP="00274507">
            <w:pPr>
              <w:pStyle w:val="Prrafodelista"/>
              <w:widowControl w:val="0"/>
              <w:numPr>
                <w:ilvl w:val="0"/>
                <w:numId w:val="7"/>
              </w:numPr>
              <w:tabs>
                <w:tab w:val="left" w:pos="426"/>
              </w:tabs>
              <w:autoSpaceDE w:val="0"/>
              <w:autoSpaceDN w:val="0"/>
              <w:adjustRightInd w:val="0"/>
              <w:jc w:val="both"/>
              <w:rPr>
                <w:sz w:val="28"/>
                <w:szCs w:val="28"/>
              </w:rPr>
            </w:pPr>
            <w:r w:rsidRPr="00274507">
              <w:rPr>
                <w:sz w:val="28"/>
                <w:szCs w:val="28"/>
              </w:rPr>
              <w:t>Reglas de ética médica</w:t>
            </w:r>
          </w:p>
        </w:tc>
      </w:tr>
      <w:tr w:rsidR="00BA1CFC" w:rsidRPr="00274507" w:rsidTr="001B68CD">
        <w:tc>
          <w:tcPr>
            <w:tcW w:w="3964" w:type="dxa"/>
          </w:tcPr>
          <w:p w:rsidR="00BA1CFC" w:rsidRPr="00274507" w:rsidRDefault="00BA1CFC" w:rsidP="00274507">
            <w:pPr>
              <w:widowControl w:val="0"/>
              <w:tabs>
                <w:tab w:val="left" w:pos="426"/>
              </w:tabs>
              <w:autoSpaceDE w:val="0"/>
              <w:autoSpaceDN w:val="0"/>
              <w:adjustRightInd w:val="0"/>
              <w:jc w:val="both"/>
              <w:rPr>
                <w:sz w:val="28"/>
                <w:szCs w:val="28"/>
              </w:rPr>
            </w:pPr>
            <w:r w:rsidRPr="00274507">
              <w:rPr>
                <w:sz w:val="28"/>
                <w:szCs w:val="28"/>
              </w:rPr>
              <w:t>Goce de calidad</w:t>
            </w:r>
          </w:p>
        </w:tc>
        <w:tc>
          <w:tcPr>
            <w:tcW w:w="5149" w:type="dxa"/>
          </w:tcPr>
          <w:p w:rsidR="00BA1CFC" w:rsidRPr="00274507" w:rsidRDefault="00BA1CFC" w:rsidP="00274507">
            <w:pPr>
              <w:pStyle w:val="Prrafodelista"/>
              <w:widowControl w:val="0"/>
              <w:numPr>
                <w:ilvl w:val="0"/>
                <w:numId w:val="8"/>
              </w:numPr>
              <w:tabs>
                <w:tab w:val="left" w:pos="426"/>
              </w:tabs>
              <w:autoSpaceDE w:val="0"/>
              <w:autoSpaceDN w:val="0"/>
              <w:adjustRightInd w:val="0"/>
              <w:jc w:val="both"/>
              <w:rPr>
                <w:sz w:val="28"/>
                <w:szCs w:val="28"/>
              </w:rPr>
            </w:pPr>
            <w:r w:rsidRPr="00274507">
              <w:rPr>
                <w:sz w:val="28"/>
                <w:szCs w:val="28"/>
              </w:rPr>
              <w:t>Oportunidad del servicio</w:t>
            </w:r>
          </w:p>
          <w:p w:rsidR="00BA1CFC" w:rsidRPr="00274507" w:rsidRDefault="00BA1CFC" w:rsidP="00274507">
            <w:pPr>
              <w:pStyle w:val="Prrafodelista"/>
              <w:widowControl w:val="0"/>
              <w:numPr>
                <w:ilvl w:val="0"/>
                <w:numId w:val="8"/>
              </w:numPr>
              <w:tabs>
                <w:tab w:val="left" w:pos="426"/>
              </w:tabs>
              <w:autoSpaceDE w:val="0"/>
              <w:autoSpaceDN w:val="0"/>
              <w:adjustRightInd w:val="0"/>
              <w:jc w:val="both"/>
              <w:rPr>
                <w:sz w:val="28"/>
                <w:szCs w:val="28"/>
              </w:rPr>
            </w:pPr>
            <w:r w:rsidRPr="00274507">
              <w:rPr>
                <w:sz w:val="28"/>
                <w:szCs w:val="28"/>
              </w:rPr>
              <w:t>Idoneidad profesional</w:t>
            </w:r>
          </w:p>
          <w:p w:rsidR="00BA1CFC" w:rsidRPr="00274507" w:rsidRDefault="00BA1CFC" w:rsidP="00274507">
            <w:pPr>
              <w:pStyle w:val="Prrafodelista"/>
              <w:widowControl w:val="0"/>
              <w:numPr>
                <w:ilvl w:val="0"/>
                <w:numId w:val="8"/>
              </w:numPr>
              <w:tabs>
                <w:tab w:val="left" w:pos="426"/>
              </w:tabs>
              <w:autoSpaceDE w:val="0"/>
              <w:autoSpaceDN w:val="0"/>
              <w:adjustRightInd w:val="0"/>
              <w:jc w:val="both"/>
              <w:rPr>
                <w:sz w:val="28"/>
                <w:szCs w:val="28"/>
              </w:rPr>
            </w:pPr>
            <w:r w:rsidRPr="00274507">
              <w:rPr>
                <w:sz w:val="28"/>
                <w:szCs w:val="28"/>
              </w:rPr>
              <w:t>Establecimientos con servicios de calidad</w:t>
            </w:r>
          </w:p>
          <w:p w:rsidR="00BA1CFC" w:rsidRPr="00274507" w:rsidRDefault="00BA1CFC" w:rsidP="00274507">
            <w:pPr>
              <w:pStyle w:val="Prrafodelista"/>
              <w:widowControl w:val="0"/>
              <w:numPr>
                <w:ilvl w:val="0"/>
                <w:numId w:val="8"/>
              </w:numPr>
              <w:tabs>
                <w:tab w:val="left" w:pos="426"/>
              </w:tabs>
              <w:autoSpaceDE w:val="0"/>
              <w:autoSpaceDN w:val="0"/>
              <w:adjustRightInd w:val="0"/>
              <w:jc w:val="both"/>
              <w:rPr>
                <w:sz w:val="28"/>
                <w:szCs w:val="28"/>
              </w:rPr>
            </w:pPr>
            <w:r w:rsidRPr="00274507">
              <w:rPr>
                <w:sz w:val="28"/>
                <w:szCs w:val="28"/>
              </w:rPr>
              <w:t>Inspección, vigilancia y control.</w:t>
            </w:r>
          </w:p>
        </w:tc>
      </w:tr>
      <w:tr w:rsidR="00BA1CFC" w:rsidRPr="00274507" w:rsidTr="001B68CD">
        <w:tc>
          <w:tcPr>
            <w:tcW w:w="9113" w:type="dxa"/>
            <w:gridSpan w:val="2"/>
          </w:tcPr>
          <w:p w:rsidR="00BA1CFC" w:rsidRPr="00274507" w:rsidRDefault="00BA1CFC" w:rsidP="00274507">
            <w:pPr>
              <w:widowControl w:val="0"/>
              <w:tabs>
                <w:tab w:val="left" w:pos="426"/>
              </w:tabs>
              <w:autoSpaceDE w:val="0"/>
              <w:autoSpaceDN w:val="0"/>
              <w:adjustRightInd w:val="0"/>
              <w:jc w:val="center"/>
              <w:rPr>
                <w:b/>
                <w:sz w:val="28"/>
                <w:szCs w:val="28"/>
              </w:rPr>
            </w:pPr>
            <w:r w:rsidRPr="00274507">
              <w:rPr>
                <w:b/>
                <w:sz w:val="28"/>
                <w:szCs w:val="28"/>
              </w:rPr>
              <w:t>Desde el derecho a la atención médica</w:t>
            </w:r>
          </w:p>
        </w:tc>
      </w:tr>
      <w:tr w:rsidR="00BA1CFC" w:rsidRPr="00274507" w:rsidTr="001B68CD">
        <w:tc>
          <w:tcPr>
            <w:tcW w:w="9113" w:type="dxa"/>
            <w:gridSpan w:val="2"/>
          </w:tcPr>
          <w:p w:rsidR="00BA1CFC" w:rsidRPr="00274507" w:rsidRDefault="00BA1CFC" w:rsidP="00274507">
            <w:pPr>
              <w:widowControl w:val="0"/>
              <w:tabs>
                <w:tab w:val="left" w:pos="426"/>
              </w:tabs>
              <w:autoSpaceDE w:val="0"/>
              <w:autoSpaceDN w:val="0"/>
              <w:adjustRightInd w:val="0"/>
              <w:jc w:val="both"/>
              <w:rPr>
                <w:b/>
                <w:sz w:val="28"/>
                <w:szCs w:val="28"/>
              </w:rPr>
            </w:pPr>
            <w:r w:rsidRPr="00274507">
              <w:rPr>
                <w:b/>
                <w:sz w:val="28"/>
                <w:szCs w:val="28"/>
              </w:rPr>
              <w:t>Indicadores</w:t>
            </w:r>
          </w:p>
        </w:tc>
      </w:tr>
      <w:tr w:rsidR="00BA1CFC" w:rsidRPr="00274507" w:rsidTr="001B68CD">
        <w:tc>
          <w:tcPr>
            <w:tcW w:w="9113" w:type="dxa"/>
            <w:gridSpan w:val="2"/>
          </w:tcPr>
          <w:p w:rsidR="00BA1CFC" w:rsidRPr="00274507" w:rsidRDefault="00BA1CFC" w:rsidP="00274507">
            <w:pPr>
              <w:pStyle w:val="Prrafodelista"/>
              <w:widowControl w:val="0"/>
              <w:numPr>
                <w:ilvl w:val="0"/>
                <w:numId w:val="9"/>
              </w:numPr>
              <w:tabs>
                <w:tab w:val="left" w:pos="426"/>
              </w:tabs>
              <w:autoSpaceDE w:val="0"/>
              <w:autoSpaceDN w:val="0"/>
              <w:adjustRightInd w:val="0"/>
              <w:jc w:val="both"/>
              <w:rPr>
                <w:sz w:val="28"/>
                <w:szCs w:val="28"/>
              </w:rPr>
            </w:pPr>
            <w:r w:rsidRPr="00274507">
              <w:rPr>
                <w:sz w:val="28"/>
                <w:szCs w:val="28"/>
              </w:rPr>
              <w:t>Muertes, enfermedades y complicaciones evitables</w:t>
            </w:r>
          </w:p>
          <w:p w:rsidR="00BA1CFC" w:rsidRPr="00274507" w:rsidRDefault="00BA1CFC" w:rsidP="00274507">
            <w:pPr>
              <w:pStyle w:val="Prrafodelista"/>
              <w:widowControl w:val="0"/>
              <w:numPr>
                <w:ilvl w:val="0"/>
                <w:numId w:val="9"/>
              </w:numPr>
              <w:tabs>
                <w:tab w:val="left" w:pos="426"/>
              </w:tabs>
              <w:autoSpaceDE w:val="0"/>
              <w:autoSpaceDN w:val="0"/>
              <w:adjustRightInd w:val="0"/>
              <w:jc w:val="both"/>
              <w:rPr>
                <w:sz w:val="28"/>
                <w:szCs w:val="28"/>
              </w:rPr>
            </w:pPr>
            <w:r w:rsidRPr="00274507">
              <w:rPr>
                <w:sz w:val="28"/>
                <w:szCs w:val="28"/>
              </w:rPr>
              <w:t>Oportunidad y efectividad del acceso a servicios médicos esenciales</w:t>
            </w:r>
          </w:p>
          <w:p w:rsidR="00BA1CFC" w:rsidRPr="00274507" w:rsidRDefault="00BA1CFC" w:rsidP="00274507">
            <w:pPr>
              <w:pStyle w:val="Prrafodelista"/>
              <w:widowControl w:val="0"/>
              <w:numPr>
                <w:ilvl w:val="0"/>
                <w:numId w:val="9"/>
              </w:numPr>
              <w:tabs>
                <w:tab w:val="left" w:pos="426"/>
              </w:tabs>
              <w:autoSpaceDE w:val="0"/>
              <w:autoSpaceDN w:val="0"/>
              <w:adjustRightInd w:val="0"/>
              <w:jc w:val="both"/>
              <w:rPr>
                <w:sz w:val="28"/>
                <w:szCs w:val="28"/>
              </w:rPr>
            </w:pPr>
            <w:r w:rsidRPr="00274507">
              <w:rPr>
                <w:sz w:val="28"/>
                <w:szCs w:val="28"/>
              </w:rPr>
              <w:t>Calidad del trato por parte del proveedor</w:t>
            </w:r>
          </w:p>
          <w:p w:rsidR="00BA1CFC" w:rsidRPr="00274507" w:rsidRDefault="00BA1CFC" w:rsidP="00274507">
            <w:pPr>
              <w:pStyle w:val="Prrafodelista"/>
              <w:widowControl w:val="0"/>
              <w:numPr>
                <w:ilvl w:val="0"/>
                <w:numId w:val="9"/>
              </w:numPr>
              <w:tabs>
                <w:tab w:val="left" w:pos="426"/>
              </w:tabs>
              <w:autoSpaceDE w:val="0"/>
              <w:autoSpaceDN w:val="0"/>
              <w:adjustRightInd w:val="0"/>
              <w:jc w:val="both"/>
              <w:rPr>
                <w:sz w:val="28"/>
                <w:szCs w:val="28"/>
              </w:rPr>
            </w:pPr>
            <w:r w:rsidRPr="00274507">
              <w:rPr>
                <w:sz w:val="28"/>
                <w:szCs w:val="28"/>
              </w:rPr>
              <w:t>Diagnóstico temprano (Ca cérvix, mama, próstata)</w:t>
            </w:r>
          </w:p>
        </w:tc>
      </w:tr>
      <w:tr w:rsidR="00BA1CFC" w:rsidRPr="00274507" w:rsidTr="001B68CD">
        <w:tc>
          <w:tcPr>
            <w:tcW w:w="9113" w:type="dxa"/>
            <w:gridSpan w:val="2"/>
          </w:tcPr>
          <w:p w:rsidR="00BA1CFC" w:rsidRPr="00274507" w:rsidRDefault="00BA1CFC" w:rsidP="00274507">
            <w:pPr>
              <w:widowControl w:val="0"/>
              <w:tabs>
                <w:tab w:val="left" w:pos="426"/>
              </w:tabs>
              <w:autoSpaceDE w:val="0"/>
              <w:autoSpaceDN w:val="0"/>
              <w:adjustRightInd w:val="0"/>
              <w:jc w:val="center"/>
              <w:rPr>
                <w:b/>
                <w:sz w:val="28"/>
                <w:szCs w:val="28"/>
              </w:rPr>
            </w:pPr>
            <w:r w:rsidRPr="00274507">
              <w:rPr>
                <w:b/>
                <w:sz w:val="28"/>
                <w:szCs w:val="28"/>
              </w:rPr>
              <w:t>Desde el Derecho a las condiciones para desarrollar una vida digna</w:t>
            </w:r>
          </w:p>
        </w:tc>
      </w:tr>
      <w:tr w:rsidR="00BA1CFC" w:rsidRPr="00274507" w:rsidTr="001B68CD">
        <w:tc>
          <w:tcPr>
            <w:tcW w:w="9113" w:type="dxa"/>
            <w:gridSpan w:val="2"/>
          </w:tcPr>
          <w:p w:rsidR="00BA1CFC" w:rsidRPr="00274507" w:rsidRDefault="00BA1CFC" w:rsidP="00274507">
            <w:pPr>
              <w:widowControl w:val="0"/>
              <w:tabs>
                <w:tab w:val="left" w:pos="426"/>
              </w:tabs>
              <w:autoSpaceDE w:val="0"/>
              <w:autoSpaceDN w:val="0"/>
              <w:adjustRightInd w:val="0"/>
              <w:rPr>
                <w:sz w:val="28"/>
                <w:szCs w:val="28"/>
              </w:rPr>
            </w:pPr>
            <w:r w:rsidRPr="00274507">
              <w:rPr>
                <w:b/>
                <w:sz w:val="28"/>
                <w:szCs w:val="28"/>
              </w:rPr>
              <w:t>Indicadores</w:t>
            </w:r>
          </w:p>
        </w:tc>
      </w:tr>
      <w:tr w:rsidR="00BA1CFC" w:rsidRPr="00274507" w:rsidTr="001B68CD">
        <w:tc>
          <w:tcPr>
            <w:tcW w:w="9113" w:type="dxa"/>
            <w:gridSpan w:val="2"/>
          </w:tcPr>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Acceso a servicios públicos esenciales de agua potable y energía</w:t>
            </w:r>
          </w:p>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Acceso a educación</w:t>
            </w:r>
          </w:p>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Acceso a una vivienda digna</w:t>
            </w:r>
          </w:p>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Proporción de desempleo</w:t>
            </w:r>
          </w:p>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Salario digno</w:t>
            </w:r>
          </w:p>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Nivel de realización de necesidades fundamentales</w:t>
            </w:r>
          </w:p>
        </w:tc>
      </w:tr>
      <w:tr w:rsidR="00BA1CFC" w:rsidRPr="00274507" w:rsidTr="001B68CD">
        <w:tc>
          <w:tcPr>
            <w:tcW w:w="9113" w:type="dxa"/>
            <w:gridSpan w:val="2"/>
          </w:tcPr>
          <w:p w:rsidR="00BA1CFC" w:rsidRPr="00274507" w:rsidRDefault="00BA1CFC" w:rsidP="00274507">
            <w:pPr>
              <w:pStyle w:val="Prrafodelista"/>
              <w:widowControl w:val="0"/>
              <w:tabs>
                <w:tab w:val="left" w:pos="426"/>
              </w:tabs>
              <w:autoSpaceDE w:val="0"/>
              <w:autoSpaceDN w:val="0"/>
              <w:adjustRightInd w:val="0"/>
              <w:ind w:left="720"/>
              <w:jc w:val="center"/>
              <w:rPr>
                <w:b/>
                <w:sz w:val="28"/>
                <w:szCs w:val="28"/>
              </w:rPr>
            </w:pPr>
            <w:r w:rsidRPr="00274507">
              <w:rPr>
                <w:b/>
                <w:sz w:val="28"/>
                <w:szCs w:val="28"/>
              </w:rPr>
              <w:t>Desde las acciones para asegurar el derecho</w:t>
            </w:r>
          </w:p>
        </w:tc>
      </w:tr>
      <w:tr w:rsidR="00BA1CFC" w:rsidRPr="00274507" w:rsidTr="001B68CD">
        <w:tc>
          <w:tcPr>
            <w:tcW w:w="9113" w:type="dxa"/>
            <w:gridSpan w:val="2"/>
          </w:tcPr>
          <w:p w:rsidR="00BA1CFC" w:rsidRPr="00274507" w:rsidRDefault="00BA1CFC" w:rsidP="00274507">
            <w:pPr>
              <w:widowControl w:val="0"/>
              <w:tabs>
                <w:tab w:val="left" w:pos="426"/>
              </w:tabs>
              <w:autoSpaceDE w:val="0"/>
              <w:autoSpaceDN w:val="0"/>
              <w:adjustRightInd w:val="0"/>
              <w:rPr>
                <w:b/>
                <w:sz w:val="28"/>
                <w:szCs w:val="28"/>
              </w:rPr>
            </w:pPr>
            <w:r w:rsidRPr="00274507">
              <w:rPr>
                <w:b/>
                <w:sz w:val="28"/>
                <w:szCs w:val="28"/>
              </w:rPr>
              <w:t>Indicadores</w:t>
            </w:r>
          </w:p>
        </w:tc>
      </w:tr>
      <w:tr w:rsidR="00BA1CFC" w:rsidRPr="00274507" w:rsidTr="001B68CD">
        <w:tc>
          <w:tcPr>
            <w:tcW w:w="9113" w:type="dxa"/>
            <w:gridSpan w:val="2"/>
          </w:tcPr>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Acciones Constitucionales</w:t>
            </w:r>
          </w:p>
          <w:p w:rsidR="00BA1CFC" w:rsidRPr="00274507" w:rsidRDefault="00BA1CFC" w:rsidP="00274507">
            <w:pPr>
              <w:pStyle w:val="Prrafodelista"/>
              <w:widowControl w:val="0"/>
              <w:numPr>
                <w:ilvl w:val="0"/>
                <w:numId w:val="10"/>
              </w:numPr>
              <w:tabs>
                <w:tab w:val="left" w:pos="426"/>
              </w:tabs>
              <w:autoSpaceDE w:val="0"/>
              <w:autoSpaceDN w:val="0"/>
              <w:adjustRightInd w:val="0"/>
              <w:jc w:val="both"/>
              <w:rPr>
                <w:sz w:val="28"/>
                <w:szCs w:val="28"/>
              </w:rPr>
            </w:pPr>
            <w:r w:rsidRPr="00274507">
              <w:rPr>
                <w:sz w:val="28"/>
                <w:szCs w:val="28"/>
              </w:rPr>
              <w:t>Vulneraciones al derecho (observatorios)</w:t>
            </w:r>
          </w:p>
        </w:tc>
      </w:tr>
    </w:tbl>
    <w:p w:rsidR="00BA1CFC" w:rsidRPr="00274507" w:rsidRDefault="00BA1CFC"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Pr="00274507" w:rsidRDefault="00743545" w:rsidP="00274507">
      <w:pPr>
        <w:tabs>
          <w:tab w:val="left" w:pos="567"/>
        </w:tabs>
        <w:jc w:val="both"/>
        <w:rPr>
          <w:sz w:val="28"/>
          <w:szCs w:val="28"/>
        </w:rPr>
      </w:pPr>
    </w:p>
    <w:p w:rsidR="00743545" w:rsidRDefault="00743545" w:rsidP="00274507">
      <w:pPr>
        <w:tabs>
          <w:tab w:val="left" w:pos="567"/>
        </w:tabs>
        <w:jc w:val="both"/>
        <w:rPr>
          <w:sz w:val="28"/>
          <w:szCs w:val="28"/>
        </w:rPr>
      </w:pPr>
    </w:p>
    <w:p w:rsidR="00E36227" w:rsidRDefault="00E36227" w:rsidP="00274507">
      <w:pPr>
        <w:tabs>
          <w:tab w:val="left" w:pos="567"/>
        </w:tabs>
        <w:jc w:val="both"/>
        <w:rPr>
          <w:sz w:val="28"/>
          <w:szCs w:val="28"/>
        </w:rPr>
      </w:pPr>
    </w:p>
    <w:p w:rsidR="00E36227" w:rsidRDefault="00E36227" w:rsidP="00274507">
      <w:pPr>
        <w:tabs>
          <w:tab w:val="left" w:pos="567"/>
        </w:tabs>
        <w:jc w:val="both"/>
        <w:rPr>
          <w:sz w:val="28"/>
          <w:szCs w:val="28"/>
        </w:rPr>
      </w:pPr>
    </w:p>
    <w:p w:rsidR="006E74D3" w:rsidRDefault="006E74D3" w:rsidP="00274507">
      <w:pPr>
        <w:tabs>
          <w:tab w:val="left" w:pos="567"/>
        </w:tabs>
        <w:jc w:val="both"/>
        <w:rPr>
          <w:sz w:val="28"/>
          <w:szCs w:val="28"/>
        </w:rPr>
      </w:pPr>
    </w:p>
    <w:p w:rsidR="006E74D3" w:rsidRPr="00274507" w:rsidRDefault="006E74D3" w:rsidP="00274507">
      <w:pPr>
        <w:tabs>
          <w:tab w:val="left" w:pos="567"/>
        </w:tabs>
        <w:jc w:val="both"/>
        <w:rPr>
          <w:sz w:val="28"/>
          <w:szCs w:val="28"/>
        </w:rPr>
      </w:pPr>
    </w:p>
    <w:sectPr w:rsidR="006E74D3" w:rsidRPr="00274507" w:rsidSect="00B170D2">
      <w:headerReference w:type="even" r:id="rId15"/>
      <w:headerReference w:type="default" r:id="rId16"/>
      <w:footerReference w:type="even" r:id="rId17"/>
      <w:footerReference w:type="default" r:id="rId18"/>
      <w:type w:val="continuous"/>
      <w:pgSz w:w="12242" w:h="18722" w:code="14"/>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2A" w:rsidRDefault="0003352A" w:rsidP="0050424F">
      <w:r>
        <w:separator/>
      </w:r>
    </w:p>
  </w:endnote>
  <w:endnote w:type="continuationSeparator" w:id="0">
    <w:p w:rsidR="0003352A" w:rsidRDefault="0003352A" w:rsidP="0050424F">
      <w:r>
        <w:continuationSeparator/>
      </w:r>
    </w:p>
  </w:endnote>
  <w:endnote w:id="1">
    <w:p w:rsidR="00000000" w:rsidRDefault="0003352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l‚r –¾’©"/>
    <w:panose1 w:val="02020609040205080304"/>
    <w:charset w:val="80"/>
    <w:family w:val="roman"/>
    <w:notTrueType/>
    <w:pitch w:val="fixed"/>
    <w:sig w:usb0="00000001" w:usb1="08070000" w:usb2="00000010" w:usb3="00000000" w:csb0="00020000"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274507" w:rsidP="008742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4507" w:rsidRDefault="00274507" w:rsidP="008742D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274507" w:rsidP="008742D7">
    <w:pPr>
      <w:pStyle w:val="Piedepgina"/>
      <w:framePr w:wrap="around" w:vAnchor="text" w:hAnchor="margin" w:xAlign="right" w:y="1"/>
      <w:rPr>
        <w:rStyle w:val="Nmerodepgina"/>
      </w:rPr>
    </w:pPr>
  </w:p>
  <w:p w:rsidR="00274507" w:rsidRDefault="00274507" w:rsidP="008742D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274507" w:rsidP="008742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4507" w:rsidRDefault="00274507" w:rsidP="008742D7">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274507" w:rsidP="008742D7">
    <w:pPr>
      <w:pStyle w:val="Piedepgina"/>
      <w:framePr w:wrap="around" w:vAnchor="text" w:hAnchor="margin" w:xAlign="right" w:y="1"/>
      <w:rPr>
        <w:rStyle w:val="Nmerodepgina"/>
      </w:rPr>
    </w:pPr>
  </w:p>
  <w:p w:rsidR="00274507" w:rsidRDefault="00274507" w:rsidP="008742D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2A" w:rsidRDefault="0003352A" w:rsidP="0050424F">
      <w:r>
        <w:separator/>
      </w:r>
    </w:p>
  </w:footnote>
  <w:footnote w:type="continuationSeparator" w:id="0">
    <w:p w:rsidR="0003352A" w:rsidRDefault="0003352A" w:rsidP="0050424F">
      <w:r>
        <w:continuationSeparator/>
      </w:r>
    </w:p>
  </w:footnote>
  <w:footnote w:id="1">
    <w:p w:rsidR="00000000" w:rsidRDefault="00274507" w:rsidP="00834DC3">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Órdenes impartidas según el desarrollo de los ejes temáticos así: i) </w:t>
      </w:r>
      <w:r w:rsidRPr="0040672B">
        <w:rPr>
          <w:iCs/>
          <w:sz w:val="20"/>
          <w:szCs w:val="20"/>
        </w:rPr>
        <w:t>precisión, actualización, unificación y acceso a planes de beneficios -órdenes 16 a 23-; ii) sostenibilidad y flujo de recursos - órdenes 24 a 27-; iii) carta de deberes, derechos y desempeño- orden 28-; iv) cobertura universal-orden 29-; v) medición de acciones de tutela –orden 30-y; vi) divulgación de la sentencia-orden 32-.</w:t>
      </w:r>
    </w:p>
  </w:footnote>
  <w:footnote w:id="2">
    <w:p w:rsidR="00000000" w:rsidRDefault="00274507" w:rsidP="00A00CC3">
      <w:pPr>
        <w:pStyle w:val="Textonotapie"/>
        <w:jc w:val="both"/>
      </w:pPr>
      <w:r w:rsidRPr="0040672B">
        <w:rPr>
          <w:rStyle w:val="Refdenotaalpie"/>
        </w:rPr>
        <w:footnoteRef/>
      </w:r>
      <w:r w:rsidRPr="0040672B">
        <w:t xml:space="preserve"> </w:t>
      </w:r>
      <w:r w:rsidRPr="0040672B">
        <w:rPr>
          <w:i/>
        </w:rPr>
        <w:t xml:space="preserve">Cfr. </w:t>
      </w:r>
      <w:r w:rsidRPr="0040672B">
        <w:t>AZ Orden XXX-A, folios 1-15.</w:t>
      </w:r>
    </w:p>
  </w:footnote>
  <w:footnote w:id="3">
    <w:p w:rsidR="00000000" w:rsidRDefault="00274507" w:rsidP="00C76FF1">
      <w:pPr>
        <w:pStyle w:val="Sinespaciado"/>
        <w:jc w:val="both"/>
      </w:pPr>
      <w:r w:rsidRPr="0040672B">
        <w:rPr>
          <w:rStyle w:val="Refdenotaalpie"/>
          <w:sz w:val="20"/>
          <w:szCs w:val="20"/>
        </w:rPr>
        <w:footnoteRef/>
      </w:r>
      <w:r w:rsidRPr="0040672B">
        <w:rPr>
          <w:sz w:val="20"/>
          <w:szCs w:val="20"/>
        </w:rPr>
        <w:t xml:space="preserve"> “</w:t>
      </w:r>
      <w:r w:rsidRPr="0040672B">
        <w:rPr>
          <w:rStyle w:val="Textoennegrita"/>
          <w:b w:val="0"/>
          <w:bCs/>
          <w:i/>
          <w:sz w:val="20"/>
          <w:szCs w:val="20"/>
        </w:rPr>
        <w:t xml:space="preserve">Por la cual se modifica parcialmente la Resolución número 3099 de 2008”. </w:t>
      </w:r>
      <w:hyperlink r:id="rId1" w:anchor="27" w:history="1">
        <w:r w:rsidRPr="0040672B">
          <w:rPr>
            <w:rStyle w:val="Hipervnculo"/>
            <w:i/>
            <w:color w:val="auto"/>
            <w:sz w:val="20"/>
            <w:szCs w:val="20"/>
            <w:u w:val="none"/>
          </w:rPr>
          <w:t>Derogada por el art. 27, Resolución del Min. Protección 548 de 2010</w:t>
        </w:r>
      </w:hyperlink>
      <w:r w:rsidRPr="0040672B">
        <w:rPr>
          <w:sz w:val="20"/>
          <w:szCs w:val="20"/>
        </w:rPr>
        <w:t>,</w:t>
      </w:r>
      <w:r w:rsidRPr="0040672B">
        <w:rPr>
          <w:rStyle w:val="apple-converted-space"/>
          <w:bCs/>
          <w:i/>
          <w:sz w:val="20"/>
          <w:szCs w:val="20"/>
        </w:rPr>
        <w:t> </w:t>
      </w:r>
      <w:r w:rsidRPr="0040672B">
        <w:rPr>
          <w:rStyle w:val="Textoennegrita"/>
          <w:b w:val="0"/>
          <w:bCs/>
          <w:i/>
          <w:sz w:val="20"/>
          <w:szCs w:val="20"/>
        </w:rPr>
        <w:t>Derogada por el art.</w:t>
      </w:r>
      <w:r w:rsidRPr="0040672B">
        <w:rPr>
          <w:rStyle w:val="apple-converted-space"/>
          <w:bCs/>
          <w:i/>
          <w:sz w:val="20"/>
          <w:szCs w:val="20"/>
        </w:rPr>
        <w:t> </w:t>
      </w:r>
      <w:hyperlink r:id="rId2" w:anchor="25" w:history="1">
        <w:r w:rsidRPr="0040672B">
          <w:rPr>
            <w:rStyle w:val="Hipervnculo"/>
            <w:i/>
            <w:color w:val="auto"/>
            <w:sz w:val="20"/>
            <w:szCs w:val="20"/>
            <w:u w:val="none"/>
          </w:rPr>
          <w:t>25</w:t>
        </w:r>
      </w:hyperlink>
      <w:r w:rsidRPr="0040672B">
        <w:rPr>
          <w:rStyle w:val="Textoennegrita"/>
          <w:b w:val="0"/>
          <w:bCs/>
          <w:i/>
          <w:sz w:val="20"/>
          <w:szCs w:val="20"/>
        </w:rPr>
        <w:t>, Resolución Min. Salud 458 de 2013, a partir del 1° de octubre de 2013</w:t>
      </w:r>
      <w:r w:rsidRPr="0040672B">
        <w:rPr>
          <w:rStyle w:val="Textoennegrita"/>
          <w:b w:val="0"/>
          <w:bCs/>
          <w:sz w:val="20"/>
          <w:szCs w:val="20"/>
        </w:rPr>
        <w:t>”.</w:t>
      </w:r>
    </w:p>
  </w:footnote>
  <w:footnote w:id="4">
    <w:p w:rsidR="00000000" w:rsidRDefault="00274507" w:rsidP="00727ED8">
      <w:pPr>
        <w:pStyle w:val="Textonotapie"/>
        <w:jc w:val="both"/>
      </w:pPr>
      <w:r w:rsidRPr="0040672B">
        <w:rPr>
          <w:rStyle w:val="Refdenotaalpie"/>
        </w:rPr>
        <w:footnoteRef/>
      </w:r>
      <w:r w:rsidRPr="0040672B">
        <w:rPr>
          <w:i/>
        </w:rPr>
        <w:t xml:space="preserve"> Cfr. </w:t>
      </w:r>
      <w:r w:rsidRPr="0040672B">
        <w:t>AZ Orden XXX-A, folios 121-135.</w:t>
      </w:r>
    </w:p>
  </w:footnote>
  <w:footnote w:id="5">
    <w:p w:rsidR="00000000" w:rsidRDefault="00274507" w:rsidP="00517764">
      <w:pPr>
        <w:pStyle w:val="Textonotapie"/>
        <w:jc w:val="both"/>
      </w:pPr>
      <w:r w:rsidRPr="0040672B">
        <w:rPr>
          <w:rStyle w:val="Refdenotaalpie"/>
        </w:rPr>
        <w:footnoteRef/>
      </w:r>
      <w:r w:rsidRPr="0040672B">
        <w:t xml:space="preserve"> “…</w:t>
      </w:r>
      <w:r w:rsidRPr="0040672B">
        <w:rPr>
          <w:bCs/>
          <w:i/>
          <w:shd w:val="clear" w:color="auto" w:fill="FFFFFF"/>
        </w:rPr>
        <w:t>Artículo 11. </w:t>
      </w:r>
      <w:r w:rsidRPr="0040672B">
        <w:rPr>
          <w:bCs/>
          <w:i/>
          <w:iCs/>
          <w:shd w:val="clear" w:color="auto" w:fill="FFFFFF"/>
        </w:rPr>
        <w:t>Requisitos especiales de la solicitud de recobros originados en fallos de tutela. </w:t>
      </w:r>
      <w:r w:rsidRPr="0040672B">
        <w:rPr>
          <w:i/>
          <w:shd w:val="clear" w:color="auto" w:fill="FFFFFF"/>
        </w:rPr>
        <w:t>Toda solicitud de recobro que deba ser reconocida y pagada por el Fosyga, por concepto de fallos de tutela, deberá presentarse a través de la dependencia de correo y radicación del Ministerio de la Protección Social o de la entidad que se defina para tal efecto</w:t>
      </w:r>
      <w:r w:rsidRPr="0040672B">
        <w:rPr>
          <w:shd w:val="clear" w:color="auto" w:fill="FFFFFF"/>
        </w:rPr>
        <w:t>…”</w:t>
      </w:r>
    </w:p>
  </w:footnote>
  <w:footnote w:id="6">
    <w:p w:rsidR="00000000" w:rsidRDefault="00274507" w:rsidP="00E47347">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AZ Orden XXX-A, folios 165-178.</w:t>
      </w:r>
    </w:p>
  </w:footnote>
  <w:footnote w:id="7">
    <w:p w:rsidR="00000000" w:rsidRDefault="00274507" w:rsidP="00727ED8">
      <w:pPr>
        <w:pStyle w:val="Textonotapie"/>
        <w:jc w:val="both"/>
      </w:pPr>
      <w:r w:rsidRPr="0040672B">
        <w:rPr>
          <w:rStyle w:val="Refdenotaalpie"/>
        </w:rPr>
        <w:footnoteRef/>
      </w:r>
      <w:r w:rsidRPr="0040672B">
        <w:t xml:space="preserve"> </w:t>
      </w:r>
      <w:r w:rsidRPr="0040672B">
        <w:rPr>
          <w:rStyle w:val="apple-converted-space"/>
          <w:shd w:val="clear" w:color="auto" w:fill="FFFFFF"/>
        </w:rPr>
        <w:t>“</w:t>
      </w:r>
      <w:r w:rsidRPr="0040672B">
        <w:rPr>
          <w:i/>
          <w:u w:val="single"/>
          <w:shd w:val="clear" w:color="auto" w:fill="FFFFFF"/>
        </w:rPr>
        <w:t>En aquellos casos de enfermedad de alto costo en los que se soliciten medicamentos no incluidos en el plan de beneficios del régimen contributivo, las EPS llevarán a consideración del Comité Técnico Científico dichos requerimientos. Si la EPS no estudia oportunamente tales solicitudes ni las tramita ante el respectivo Comité y se obliga a la prestación de los mismos mediante acción de tutela, los costos serán cubiertos por partes iguales entre las EPS y el Fosyga</w:t>
      </w:r>
      <w:r w:rsidRPr="0040672B">
        <w:rPr>
          <w:i/>
          <w:shd w:val="clear" w:color="auto" w:fill="FFFFFF"/>
        </w:rPr>
        <w:t>. El Ministerio de la Protección Social reglamentará el presente artículo, dentro de los seis (6) meses posteriores a la entrada en vigencia de la presente ley. En todo caso, cuando el Fosyga haga el reconocimiento, el pago se hará sobre la base de las tarifas mínimas definidas por la Comisión de Regulación en Salud</w:t>
      </w:r>
      <w:r w:rsidRPr="0040672B">
        <w:rPr>
          <w:shd w:val="clear" w:color="auto" w:fill="FFFFFF"/>
        </w:rPr>
        <w:t>…” Derogado por el artículo 145 de la Ley 1438 de 2011.</w:t>
      </w:r>
    </w:p>
  </w:footnote>
  <w:footnote w:id="8">
    <w:p w:rsidR="00000000" w:rsidRDefault="00274507" w:rsidP="00E47347">
      <w:pPr>
        <w:pStyle w:val="Textonotapie"/>
        <w:jc w:val="both"/>
      </w:pPr>
      <w:r w:rsidRPr="0040672B">
        <w:rPr>
          <w:rStyle w:val="Refdenotaalpie"/>
        </w:rPr>
        <w:footnoteRef/>
      </w:r>
      <w:r w:rsidRPr="0040672B">
        <w:rPr>
          <w:i/>
        </w:rPr>
        <w:t>Cfr.</w:t>
      </w:r>
      <w:r w:rsidRPr="0040672B">
        <w:t xml:space="preserve"> AZ Orden XXX-A, folios 184-213.</w:t>
      </w:r>
    </w:p>
  </w:footnote>
  <w:footnote w:id="9">
    <w:p w:rsidR="00000000" w:rsidRDefault="00274507" w:rsidP="002618CC">
      <w:pPr>
        <w:pStyle w:val="Textonotapie"/>
        <w:jc w:val="both"/>
      </w:pPr>
      <w:r w:rsidRPr="0040672B">
        <w:rPr>
          <w:rStyle w:val="Refdenotaalpie"/>
        </w:rPr>
        <w:footnoteRef/>
      </w:r>
      <w:r w:rsidRPr="0040672B">
        <w:rPr>
          <w:i/>
        </w:rPr>
        <w:t>Cfr.</w:t>
      </w:r>
      <w:r w:rsidRPr="0040672B">
        <w:t xml:space="preserve"> AZ Orden XXX-A, folios 298-358</w:t>
      </w:r>
    </w:p>
  </w:footnote>
  <w:footnote w:id="10">
    <w:p w:rsidR="00000000" w:rsidRDefault="00274507" w:rsidP="001E7602">
      <w:pPr>
        <w:jc w:val="both"/>
      </w:pPr>
      <w:r w:rsidRPr="0040672B">
        <w:rPr>
          <w:rStyle w:val="Refdenotaalpie"/>
          <w:sz w:val="20"/>
          <w:szCs w:val="20"/>
        </w:rPr>
        <w:footnoteRef/>
      </w:r>
      <w:r w:rsidRPr="0040672B">
        <w:rPr>
          <w:sz w:val="20"/>
          <w:szCs w:val="20"/>
        </w:rPr>
        <w:t xml:space="preserve"> La doctrina, lo ha definido como aquel que: “…</w:t>
      </w:r>
      <w:r w:rsidRPr="0040672B">
        <w:rPr>
          <w:i/>
          <w:sz w:val="20"/>
          <w:szCs w:val="20"/>
        </w:rPr>
        <w:t>Más que un método de muestreo podría ser considerado como un proceso de muestreo que algunos denominan selección a intervalos regulares. Generalmente se le define como la obtención de elementos o unidades de una muestra mediante la aplicación de algún método sistemático, en el sentido opuesto a los aleatorios. Por tal motivo algunos no lo consideran como un método de muestreo al azar a menos que la lista o marco se haya conformado al azar. El muestreo sistemático o en serie se usa frecuentemente por ser un método, simple, sencillo, directo y económico. Arroja buenos estimativos cuando la variable se encuentra ordenada, por años, valor, cantidad de menor a mayor, etc</w:t>
      </w:r>
      <w:r w:rsidRPr="0040672B">
        <w:rPr>
          <w:sz w:val="20"/>
          <w:szCs w:val="20"/>
        </w:rPr>
        <w:t xml:space="preserve">…” Fuente: Martínez Bercandino, Ciro (2012) </w:t>
      </w:r>
      <w:r w:rsidRPr="0040672B">
        <w:rPr>
          <w:i/>
          <w:sz w:val="20"/>
          <w:szCs w:val="20"/>
        </w:rPr>
        <w:t xml:space="preserve">Estadística y muestreo </w:t>
      </w:r>
      <w:r w:rsidRPr="0040672B">
        <w:rPr>
          <w:sz w:val="20"/>
          <w:szCs w:val="20"/>
        </w:rPr>
        <w:t>13ª. ed. Bogotá Colombia, Ecoe Ediciones.</w:t>
      </w:r>
    </w:p>
  </w:footnote>
  <w:footnote w:id="11">
    <w:p w:rsidR="00000000" w:rsidRDefault="00274507" w:rsidP="001E7602">
      <w:pPr>
        <w:jc w:val="both"/>
      </w:pPr>
      <w:r w:rsidRPr="0040672B">
        <w:rPr>
          <w:rStyle w:val="Refdenotaalpie"/>
          <w:sz w:val="20"/>
          <w:szCs w:val="20"/>
        </w:rPr>
        <w:footnoteRef/>
      </w:r>
      <w:r w:rsidRPr="0040672B">
        <w:rPr>
          <w:sz w:val="20"/>
          <w:szCs w:val="20"/>
        </w:rPr>
        <w:t xml:space="preserve"> En lo relacionado con la cantidad de afiliados por EPS y Departamentos.</w:t>
      </w:r>
    </w:p>
  </w:footnote>
  <w:footnote w:id="12">
    <w:p w:rsidR="00000000" w:rsidRDefault="00274507" w:rsidP="001E7602">
      <w:pPr>
        <w:jc w:val="both"/>
      </w:pPr>
      <w:r w:rsidRPr="0040672B">
        <w:rPr>
          <w:rStyle w:val="Refdenotaalpie"/>
          <w:sz w:val="20"/>
          <w:szCs w:val="20"/>
        </w:rPr>
        <w:footnoteRef/>
      </w:r>
      <w:r w:rsidRPr="0040672B">
        <w:rPr>
          <w:sz w:val="20"/>
          <w:szCs w:val="20"/>
        </w:rPr>
        <w:t xml:space="preserve"> Según reporte sobre el número de población.</w:t>
      </w:r>
    </w:p>
  </w:footnote>
  <w:footnote w:id="13">
    <w:p w:rsidR="00000000" w:rsidRDefault="00274507" w:rsidP="001E7602">
      <w:pPr>
        <w:jc w:val="both"/>
      </w:pPr>
      <w:r w:rsidRPr="0040672B">
        <w:rPr>
          <w:rStyle w:val="Refdenotaalpie"/>
          <w:sz w:val="20"/>
          <w:szCs w:val="20"/>
        </w:rPr>
        <w:footnoteRef/>
      </w:r>
      <w:r w:rsidRPr="0040672B">
        <w:rPr>
          <w:sz w:val="20"/>
          <w:szCs w:val="20"/>
        </w:rPr>
        <w:t xml:space="preserve"> Estadísticamente han sido considerados por la doctrina como una medida de caracterización que representa un porcentaje de población determinada, así, “…</w:t>
      </w:r>
      <w:r w:rsidRPr="0040672B">
        <w:rPr>
          <w:i/>
          <w:sz w:val="20"/>
          <w:szCs w:val="20"/>
        </w:rPr>
        <w:t>se divide la información en cinco partes iguales, agrupándolas en porcentajes de 20%, 40%, 60% y 80%</w:t>
      </w:r>
      <w:r w:rsidRPr="0040672B">
        <w:rPr>
          <w:sz w:val="20"/>
          <w:szCs w:val="20"/>
        </w:rPr>
        <w:t>...” Fuente: Estadística Aplicada N. Guarin S. https://reneues.files.wordpress.com/2010/01/libro-estadistica_aplicada-basico-guarin1.pdf</w:t>
      </w:r>
    </w:p>
  </w:footnote>
  <w:footnote w:id="14">
    <w:p w:rsidR="00000000" w:rsidRDefault="00274507" w:rsidP="001E7602">
      <w:pPr>
        <w:jc w:val="both"/>
      </w:pPr>
      <w:r w:rsidRPr="0040672B">
        <w:rPr>
          <w:rStyle w:val="Refdenotaalpie"/>
          <w:sz w:val="20"/>
          <w:szCs w:val="20"/>
        </w:rPr>
        <w:footnoteRef/>
      </w:r>
      <w:r w:rsidRPr="0040672B">
        <w:rPr>
          <w:sz w:val="20"/>
          <w:szCs w:val="20"/>
        </w:rPr>
        <w:t xml:space="preserve"> Las demandas de tutela  se concentraron en 14 EPS, entre ellas, Coomeva EPS (13%), Saludcoop (11%), Caprecom (11%), Nueva EPS (11%), Comfama (7%), Cafesalud (6%), Saludtotal (4%), Salud Sura (4%), Comfenalco (4%), Ecoopsos (3%), Asmet Salud(2%), Emsanar (2%), Solsalud (2%) y Servicio Occidental de Salud (2%).</w:t>
      </w:r>
    </w:p>
  </w:footnote>
  <w:footnote w:id="15">
    <w:p w:rsidR="00000000" w:rsidRDefault="00274507" w:rsidP="001E7602">
      <w:pPr>
        <w:jc w:val="both"/>
      </w:pPr>
      <w:r w:rsidRPr="0040672B">
        <w:rPr>
          <w:rStyle w:val="Refdenotaalpie"/>
          <w:sz w:val="20"/>
          <w:szCs w:val="20"/>
        </w:rPr>
        <w:footnoteRef/>
      </w:r>
      <w:r w:rsidRPr="0040672B">
        <w:rPr>
          <w:sz w:val="20"/>
          <w:szCs w:val="20"/>
        </w:rPr>
        <w:t xml:space="preserve"> De los cuales el 42% son servicios incluidos en el POS y 51% no contenidos en el Plan Obligatorio de Salud.</w:t>
      </w:r>
    </w:p>
  </w:footnote>
  <w:footnote w:id="16">
    <w:p w:rsidR="00000000" w:rsidRDefault="00274507" w:rsidP="00406535">
      <w:pPr>
        <w:pStyle w:val="Textonotapie"/>
      </w:pPr>
      <w:r w:rsidRPr="0040672B">
        <w:rPr>
          <w:rStyle w:val="Refdenotaalpie"/>
        </w:rPr>
        <w:footnoteRef/>
      </w:r>
      <w:r w:rsidRPr="0040672B">
        <w:t xml:space="preserve"> </w:t>
      </w:r>
      <w:r w:rsidRPr="0040672B">
        <w:rPr>
          <w:i/>
        </w:rPr>
        <w:t>Cfr.</w:t>
      </w:r>
      <w:r w:rsidRPr="0040672B">
        <w:t xml:space="preserve"> AZ Orden XXX-B, folios 724-750.</w:t>
      </w:r>
    </w:p>
  </w:footnote>
  <w:footnote w:id="17">
    <w:p w:rsidR="00000000" w:rsidRDefault="00274507" w:rsidP="00727ED8">
      <w:pPr>
        <w:pStyle w:val="Textonotapie"/>
        <w:jc w:val="both"/>
      </w:pPr>
      <w:r w:rsidRPr="0040672B">
        <w:rPr>
          <w:rStyle w:val="Refdenotaalpie"/>
        </w:rPr>
        <w:footnoteRef/>
      </w:r>
      <w:r w:rsidRPr="0040672B">
        <w:t xml:space="preserve"> Precisó que “… </w:t>
      </w:r>
      <w:r w:rsidRPr="0040672B">
        <w:rPr>
          <w:i/>
        </w:rPr>
        <w:t>del análisis de resultados presentado llama la atención el peso creciente de las tutelas por trámites, razones sociales, administrativas y económicas, que en muchos casos escapan al ámbito de la salud. Estos hechos reflejan problemas sociales y económicos de quienes acuden a este medio, que aunque podrían impactar en el origen y manejo de la enfermedad, resolverlos es más bien una tarea implícita en el desarrollo social y económico del país</w:t>
      </w:r>
      <w:r w:rsidRPr="0040672B">
        <w:t>…”. Describió el informe como “</w:t>
      </w:r>
      <w:r w:rsidRPr="0040672B">
        <w:rPr>
          <w:i/>
        </w:rPr>
        <w:t>Análisis Comparativo 2010-2013”.</w:t>
      </w:r>
      <w:r w:rsidRPr="0040672B">
        <w:t xml:space="preserve"> Ministerio de Salud y Protección Social. AZ Orden XXX B, folio 736.</w:t>
      </w:r>
    </w:p>
  </w:footnote>
  <w:footnote w:id="18">
    <w:p w:rsidR="00000000" w:rsidRDefault="00274507" w:rsidP="00727ED8">
      <w:pPr>
        <w:pStyle w:val="Textonotapie"/>
        <w:jc w:val="both"/>
      </w:pPr>
      <w:r w:rsidRPr="0040672B">
        <w:rPr>
          <w:rStyle w:val="Refdenotaalpie"/>
        </w:rPr>
        <w:footnoteRef/>
      </w:r>
      <w:r w:rsidRPr="0040672B">
        <w:t xml:space="preserve"> </w:t>
      </w:r>
      <w:r w:rsidRPr="0040672B">
        <w:rPr>
          <w:i/>
        </w:rPr>
        <w:t>Ibídem.</w:t>
      </w:r>
    </w:p>
  </w:footnote>
  <w:footnote w:id="19">
    <w:p w:rsidR="00000000" w:rsidRDefault="00274507" w:rsidP="00B931B6">
      <w:pPr>
        <w:pStyle w:val="Textonotapie"/>
        <w:jc w:val="both"/>
      </w:pPr>
      <w:r w:rsidRPr="0040672B">
        <w:rPr>
          <w:rStyle w:val="Refdenotaalpie"/>
        </w:rPr>
        <w:footnoteRef/>
      </w:r>
      <w:r w:rsidRPr="0040672B">
        <w:t xml:space="preserve"> </w:t>
      </w:r>
      <w:r w:rsidRPr="0040672B">
        <w:rPr>
          <w:i/>
        </w:rPr>
        <w:t>Cfr</w:t>
      </w:r>
      <w:r w:rsidRPr="0040672B">
        <w:t>. AZ. Orden XXXB, folios 830-867.</w:t>
      </w:r>
    </w:p>
  </w:footnote>
  <w:footnote w:id="20">
    <w:p w:rsidR="00000000" w:rsidRDefault="00274507" w:rsidP="00E1729E">
      <w:pPr>
        <w:pStyle w:val="Sinespaciado"/>
        <w:jc w:val="both"/>
      </w:pPr>
      <w:r w:rsidRPr="0040672B">
        <w:rPr>
          <w:rStyle w:val="Refdenotaalpie"/>
          <w:sz w:val="20"/>
          <w:szCs w:val="20"/>
        </w:rPr>
        <w:footnoteRef/>
      </w:r>
      <w:r w:rsidRPr="0040672B">
        <w:rPr>
          <w:sz w:val="20"/>
          <w:szCs w:val="20"/>
          <w:lang w:val="es-ES"/>
        </w:rPr>
        <w:t xml:space="preserve"> Advirtió la posibilidad de un “</w:t>
      </w:r>
      <w:r w:rsidRPr="0040672B">
        <w:rPr>
          <w:i/>
          <w:sz w:val="20"/>
          <w:szCs w:val="20"/>
          <w:lang w:val="es-ES"/>
        </w:rPr>
        <w:t>sobredimensionamiento cuantitativo</w:t>
      </w:r>
      <w:r w:rsidRPr="0040672B">
        <w:rPr>
          <w:sz w:val="20"/>
          <w:szCs w:val="20"/>
          <w:lang w:val="es-ES"/>
        </w:rPr>
        <w:t>” en los datos proporcionados por la Corporación, ya que en la muestra recogida se pudo identificar que el 9.7% no correspondía a salud.</w:t>
      </w:r>
    </w:p>
  </w:footnote>
  <w:footnote w:id="21">
    <w:p w:rsidR="00000000" w:rsidRDefault="00274507" w:rsidP="00E1729E">
      <w:pPr>
        <w:pStyle w:val="Sinespaciado"/>
        <w:jc w:val="both"/>
      </w:pPr>
      <w:r w:rsidRPr="0040672B">
        <w:rPr>
          <w:rStyle w:val="Refdenotaalpie"/>
          <w:sz w:val="20"/>
          <w:szCs w:val="20"/>
        </w:rPr>
        <w:footnoteRef/>
      </w:r>
      <w:r w:rsidRPr="0040672B">
        <w:rPr>
          <w:sz w:val="20"/>
          <w:szCs w:val="20"/>
        </w:rPr>
        <w:t xml:space="preserve"> Además, indicaron que </w:t>
      </w:r>
      <w:r w:rsidRPr="0040672B">
        <w:rPr>
          <w:sz w:val="20"/>
          <w:szCs w:val="20"/>
          <w:lang w:val="es-ES"/>
        </w:rPr>
        <w:t xml:space="preserve">un 60% de tutelas fueron clasificadas por demora en la prestación del servicio POS, el 15.3% se refirieron a la negación para autorizar algún servicio y el 12% a la negación de servicios que se requieren con necesidad supeditado al pago de una cuota moderadora (aquí la mayoría de los demandantes pertenecen al régimen subsidiado, es decir, las que están exentas de pagos). </w:t>
      </w:r>
    </w:p>
  </w:footnote>
  <w:footnote w:id="22">
    <w:p w:rsidR="00000000" w:rsidRDefault="00274507" w:rsidP="00B931B6">
      <w:pPr>
        <w:pStyle w:val="Textonotapie"/>
        <w:jc w:val="both"/>
      </w:pPr>
      <w:r w:rsidRPr="0040672B">
        <w:rPr>
          <w:rStyle w:val="Refdenotaalpie"/>
        </w:rPr>
        <w:footnoteRef/>
      </w:r>
      <w:r w:rsidRPr="0040672B">
        <w:t xml:space="preserve"> </w:t>
      </w:r>
      <w:r w:rsidRPr="0040672B">
        <w:rPr>
          <w:i/>
        </w:rPr>
        <w:t>Cfr.</w:t>
      </w:r>
      <w:r w:rsidRPr="0040672B">
        <w:t xml:space="preserve"> AZ Orden XXX B, folios 939 a 960.</w:t>
      </w:r>
    </w:p>
  </w:footnote>
  <w:footnote w:id="23">
    <w:p w:rsidR="00000000" w:rsidRDefault="00274507" w:rsidP="00B931B6">
      <w:pPr>
        <w:pStyle w:val="Textonotapie"/>
        <w:jc w:val="both"/>
      </w:pPr>
      <w:r w:rsidRPr="0040672B">
        <w:rPr>
          <w:rStyle w:val="Refdenotaalpie"/>
        </w:rPr>
        <w:footnoteRef/>
      </w:r>
      <w:r w:rsidRPr="0040672B">
        <w:rPr>
          <w:i/>
        </w:rPr>
        <w:t xml:space="preserve">Cfr. </w:t>
      </w:r>
      <w:r w:rsidRPr="0040672B">
        <w:t>AZ Orden XXXB, folios 975 a 982.</w:t>
      </w:r>
    </w:p>
  </w:footnote>
  <w:footnote w:id="24">
    <w:p w:rsidR="00000000" w:rsidRDefault="00274507">
      <w:pPr>
        <w:pStyle w:val="Textonotapie"/>
      </w:pPr>
      <w:r w:rsidRPr="0040672B">
        <w:rPr>
          <w:rStyle w:val="Refdenotaalpie"/>
        </w:rPr>
        <w:footnoteRef/>
      </w:r>
      <w:r w:rsidRPr="0040672B">
        <w:t xml:space="preserve"> </w:t>
      </w:r>
      <w:r w:rsidRPr="0040672B">
        <w:rPr>
          <w:i/>
        </w:rPr>
        <w:t>Cfr</w:t>
      </w:r>
      <w:r w:rsidRPr="0040672B">
        <w:t>. AZ. Orden XXXB, folios 996-1092.</w:t>
      </w:r>
    </w:p>
  </w:footnote>
  <w:footnote w:id="25">
    <w:p w:rsidR="00000000" w:rsidRDefault="00274507">
      <w:pPr>
        <w:pStyle w:val="Textonotapie"/>
      </w:pPr>
      <w:r w:rsidRPr="0040672B">
        <w:rPr>
          <w:rStyle w:val="Refdenotaalpie"/>
        </w:rPr>
        <w:footnoteRef/>
      </w:r>
      <w:r w:rsidRPr="0040672B">
        <w:t xml:space="preserve"> Ver en el Anexo 1. </w:t>
      </w:r>
    </w:p>
  </w:footnote>
  <w:footnote w:id="26">
    <w:p w:rsidR="00000000" w:rsidRDefault="00274507" w:rsidP="00E1729E">
      <w:pPr>
        <w:pStyle w:val="Textonotapie"/>
        <w:jc w:val="both"/>
      </w:pPr>
      <w:r w:rsidRPr="0040672B">
        <w:rPr>
          <w:rStyle w:val="Refdenotaalpie"/>
        </w:rPr>
        <w:footnoteRef/>
      </w:r>
      <w:r w:rsidRPr="0040672B">
        <w:t xml:space="preserve"> Así: i) Neoplasias (11,6%); ii) Síntomas, signos y hallazgos anormales clínicos y de laboratorio, no clasificados en otra parte (11,4%); iii) enfermedades del sistema nervioso (9,9%); iv) enfermedades del sistema circulatorio (8,7%); v) enfermedades del sistema osteomuscular y del tejido conectivo (7,8%); vi) Enfermedades del aparato genitourinario (7,7%); vii) enfermedades endocrinas, nutricionales y metabólicas (6,9%); viii) trastornos mentales y del comportamiento (5,8%); ix) traumatismo, envenenamiento y algunas otras consecuencias de causa externa (5,4%); x) enfermedades del ojo y sus anexos (5,3%); xi) Enfermedades del aparato digestivo (4,8%); xii) malformaciones congénitas, deformidades y anomalías cromosómicas (2,7%); xiii) enfermedades del sistema respiratorio (2,7%); xiv) factores que influyen en el estado de salud y contacto con los servicios de salud (1.9%); xv) ciertas enfermedades infecciosas y parasitarias (1.6%); xvi) enfermedades del oído y de la apófisis mastoides (1.6%); xvii) causas externas de morbilidad y de mortalidad (1,4%); xviii) Enfermedades de la piel y el tejido subcutáneo (1%); xix) embarazo, parto y puerperio (0.7%); xx) enfermedades de la sangre y de los órganos hematopoyéticos y otros trastornos que afectan el mecanismo de la inmunidad (0.6%); xxi) ciertas afecciones originadas en el periodo perinatal (0.4%).</w:t>
      </w:r>
    </w:p>
  </w:footnote>
  <w:footnote w:id="27">
    <w:p w:rsidR="00000000" w:rsidRDefault="00274507" w:rsidP="00E1729E">
      <w:pPr>
        <w:pStyle w:val="Textonotapie"/>
        <w:jc w:val="both"/>
      </w:pPr>
      <w:r w:rsidRPr="0040672B">
        <w:rPr>
          <w:rStyle w:val="Refdenotaalpie"/>
        </w:rPr>
        <w:footnoteRef/>
      </w:r>
      <w:r w:rsidRPr="0040672B">
        <w:t xml:space="preserve"> Estimó 2 por cada tutela. Describió las siguientes causas por solicitud de: i) atención integral (2.313); ii) de servicio de salud pos que no ha sido negado pero está demorado (2.290); iii) servicio de salud ordenado por el médico tratante y negado por ser no pos (1.791); iv) servicio de salud sin prescripción médica y negada por ser no pos (774); v) exención de cuotas moderadoras o copagos (368); vi) servicio de salud no pos que fue aprobado pero esta demorada (238); vii) reconocimiento de incapacidad por enfermedad general negada por pago tardío (126); viii) de prestador especifico por parte del paciente, no existe una atención previa (111); ix) traslado de una persona a la que se le niega por otras razones (104); x) licencia de maternidad o paternidad negada porque no cotizó todo el embarazo o cotizó tardíamente (72); xi) de que se mantenga un mismo prestador (65); xii) de servicio de salud negado por pertinencia médica (57); xiii) documento historia clínica; xiv)  prestación de servicios que son negados por que el cotizante cambio su situación laboral a desempleado (35); xv) servicio que es negado porque fue ordenado por un médico particular no adscrito a la red (29); xvi) prestación de servicios que son negados por mora en la cotización (14) y xvii) de traslado que se le niega a pesar de haberse cumplido el tiempo necesario para poder trasladarse porque dentro de su grupo familiar alguien padece una enfermedad catastrófica y debería esperar más tiempo para poder trasladarse (2).</w:t>
      </w:r>
    </w:p>
  </w:footnote>
  <w:footnote w:id="28">
    <w:p w:rsidR="00000000" w:rsidRDefault="00274507" w:rsidP="00E1729E">
      <w:pPr>
        <w:pStyle w:val="Textonotapie"/>
        <w:jc w:val="both"/>
      </w:pPr>
      <w:r w:rsidRPr="0040672B">
        <w:rPr>
          <w:rStyle w:val="Refdenotaalpie"/>
        </w:rPr>
        <w:footnoteRef/>
      </w:r>
      <w:r w:rsidRPr="0040672B">
        <w:t xml:space="preserve"> Prevé que para cada tutela se reclamen dos servicios.</w:t>
      </w:r>
    </w:p>
  </w:footnote>
  <w:footnote w:id="29">
    <w:p w:rsidR="00000000" w:rsidRDefault="00274507" w:rsidP="00E1729E">
      <w:pPr>
        <w:pStyle w:val="Textonotapie"/>
        <w:jc w:val="both"/>
      </w:pPr>
      <w:r w:rsidRPr="0040672B">
        <w:rPr>
          <w:rStyle w:val="Refdenotaalpie"/>
        </w:rPr>
        <w:footnoteRef/>
      </w:r>
      <w:r w:rsidRPr="0040672B">
        <w:t xml:space="preserve"> La autoridad que presenta mayor participación en las impugnaciones son las EPS con un 12% de los casos.</w:t>
      </w:r>
    </w:p>
  </w:footnote>
  <w:footnote w:id="30">
    <w:p w:rsidR="00000000" w:rsidRDefault="00274507" w:rsidP="00E1729E">
      <w:pPr>
        <w:pStyle w:val="Textonotapie"/>
        <w:jc w:val="both"/>
      </w:pPr>
      <w:r w:rsidRPr="0040672B">
        <w:rPr>
          <w:rStyle w:val="Refdenotaalpie"/>
        </w:rPr>
        <w:footnoteRef/>
      </w:r>
      <w:r w:rsidRPr="0040672B">
        <w:t xml:space="preserve"> La cual fue aplicada a  29.761 personas del régimen contributivo y subsidiado. Cabe enunciar que la encuesta en mención es representativa por departamento, régimen y EPS e incluyó menores de edad, que han utilizado por lo menos uno de los servicios de las EPS en los últimos seis meses. La encuesta la realiza todos los años una firma consultora, tras un concurso de méritos que lleva a cabo el MSPS.  </w:t>
      </w:r>
    </w:p>
  </w:footnote>
  <w:footnote w:id="31">
    <w:p w:rsidR="00000000" w:rsidRDefault="00274507" w:rsidP="00C76FF1">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 xml:space="preserve">Cfr. </w:t>
      </w:r>
      <w:r w:rsidRPr="0040672B">
        <w:rPr>
          <w:sz w:val="20"/>
          <w:szCs w:val="20"/>
        </w:rPr>
        <w:t>AZ Orden XIX-A, folios 16-26.</w:t>
      </w:r>
    </w:p>
  </w:footnote>
  <w:footnote w:id="32">
    <w:p w:rsidR="00000000" w:rsidRDefault="00274507" w:rsidP="008F1D10">
      <w:pPr>
        <w:pStyle w:val="Textonotapie"/>
        <w:jc w:val="both"/>
      </w:pPr>
      <w:r w:rsidRPr="0040672B">
        <w:rPr>
          <w:rStyle w:val="Refdenotaalpie"/>
        </w:rPr>
        <w:footnoteRef/>
      </w:r>
      <w:r w:rsidRPr="0040672B">
        <w:t xml:space="preserve"> </w:t>
      </w:r>
      <w:r w:rsidRPr="0040672B">
        <w:rPr>
          <w:i/>
        </w:rPr>
        <w:t xml:space="preserve">Cfr. </w:t>
      </w:r>
      <w:r w:rsidRPr="0040672B">
        <w:t>AZ Orden XXX-A, folios 114-120.</w:t>
      </w:r>
    </w:p>
  </w:footnote>
  <w:footnote w:id="33">
    <w:p w:rsidR="00000000" w:rsidRDefault="00274507" w:rsidP="008F1D10">
      <w:pPr>
        <w:pStyle w:val="Textonotapie"/>
      </w:pPr>
      <w:r w:rsidRPr="0040672B">
        <w:rPr>
          <w:rStyle w:val="Refdenotaalpie"/>
        </w:rPr>
        <w:footnoteRef/>
      </w:r>
      <w:r w:rsidRPr="0040672B">
        <w:t xml:space="preserve"> Denominado </w:t>
      </w:r>
      <w:r w:rsidRPr="0040672B">
        <w:rPr>
          <w:i/>
        </w:rPr>
        <w:t>“la tutela y el derecho a la salud 2009</w:t>
      </w:r>
      <w:r w:rsidRPr="0040672B">
        <w:t>”.</w:t>
      </w:r>
    </w:p>
  </w:footnote>
  <w:footnote w:id="34">
    <w:p w:rsidR="00000000" w:rsidRDefault="00274507" w:rsidP="008F1D10">
      <w:pPr>
        <w:pStyle w:val="Textonotapie"/>
        <w:jc w:val="both"/>
      </w:pPr>
      <w:r w:rsidRPr="0040672B">
        <w:rPr>
          <w:rStyle w:val="Refdenotaalpie"/>
        </w:rPr>
        <w:footnoteRef/>
      </w:r>
      <w:r w:rsidRPr="0040672B">
        <w:t xml:space="preserve"> </w:t>
      </w:r>
      <w:r w:rsidRPr="0040672B">
        <w:rPr>
          <w:i/>
        </w:rPr>
        <w:t xml:space="preserve">Cfr. </w:t>
      </w:r>
      <w:r w:rsidRPr="0040672B">
        <w:t>AZ Orden XXX-A, folios 272-297.</w:t>
      </w:r>
    </w:p>
  </w:footnote>
  <w:footnote w:id="35">
    <w:p w:rsidR="00000000" w:rsidRDefault="00274507" w:rsidP="008F1D10">
      <w:pPr>
        <w:pStyle w:val="Textonotapie"/>
        <w:jc w:val="both"/>
      </w:pPr>
      <w:r w:rsidRPr="0040672B">
        <w:rPr>
          <w:rStyle w:val="Refdenotaalpie"/>
        </w:rPr>
        <w:footnoteRef/>
      </w:r>
      <w:r w:rsidRPr="0040672B">
        <w:t xml:space="preserve"> Oficio No.20-4040-001 de fecha 30 de enero de 2012.</w:t>
      </w:r>
    </w:p>
  </w:footnote>
  <w:footnote w:id="36">
    <w:p w:rsidR="00000000" w:rsidRDefault="00274507" w:rsidP="008F1D10">
      <w:pPr>
        <w:pStyle w:val="Textonotapie"/>
        <w:jc w:val="both"/>
      </w:pPr>
      <w:r w:rsidRPr="0040672B">
        <w:rPr>
          <w:rStyle w:val="Refdenotaalpie"/>
        </w:rPr>
        <w:footnoteRef/>
      </w:r>
      <w:r w:rsidRPr="0040672B">
        <w:t xml:space="preserve"> </w:t>
      </w:r>
      <w:r w:rsidRPr="0040672B">
        <w:rPr>
          <w:i/>
        </w:rPr>
        <w:t>Cfr</w:t>
      </w:r>
      <w:r w:rsidRPr="0040672B">
        <w:t>. AZ Orden XXX-A, folios 395-432.</w:t>
      </w:r>
    </w:p>
  </w:footnote>
  <w:footnote w:id="37">
    <w:p w:rsidR="00000000" w:rsidRDefault="00274507">
      <w:pPr>
        <w:pStyle w:val="Textonotapie"/>
      </w:pPr>
      <w:r w:rsidRPr="0040672B">
        <w:rPr>
          <w:rStyle w:val="Refdenotaalpie"/>
        </w:rPr>
        <w:footnoteRef/>
      </w:r>
      <w:r w:rsidRPr="0040672B">
        <w:t xml:space="preserve"> </w:t>
      </w:r>
      <w:r w:rsidRPr="0040672B">
        <w:rPr>
          <w:i/>
        </w:rPr>
        <w:t>Cfr</w:t>
      </w:r>
      <w:r w:rsidRPr="0040672B">
        <w:t>. AZ Orden XXX-A, folios 553-580.</w:t>
      </w:r>
    </w:p>
  </w:footnote>
  <w:footnote w:id="38">
    <w:p w:rsidR="00000000" w:rsidRDefault="00274507" w:rsidP="008F1D10">
      <w:pPr>
        <w:pStyle w:val="Textonotapie"/>
        <w:jc w:val="both"/>
      </w:pPr>
      <w:r w:rsidRPr="0040672B">
        <w:rPr>
          <w:rStyle w:val="Refdenotaalpie"/>
        </w:rPr>
        <w:footnoteRef/>
      </w:r>
      <w:r w:rsidRPr="0040672B">
        <w:rPr>
          <w:i/>
        </w:rPr>
        <w:t xml:space="preserve"> Cfr</w:t>
      </w:r>
      <w:r w:rsidRPr="0040672B">
        <w:t>. AZ Orden XXX-B, folios 800-818.</w:t>
      </w:r>
    </w:p>
  </w:footnote>
  <w:footnote w:id="39">
    <w:p w:rsidR="00000000" w:rsidRDefault="00274507" w:rsidP="008F1D10">
      <w:pPr>
        <w:jc w:val="both"/>
      </w:pPr>
      <w:r w:rsidRPr="0040672B">
        <w:rPr>
          <w:rStyle w:val="Refdenotaalpie"/>
          <w:sz w:val="20"/>
          <w:szCs w:val="20"/>
        </w:rPr>
        <w:footnoteRef/>
      </w:r>
      <w:r w:rsidRPr="0040672B">
        <w:rPr>
          <w:sz w:val="20"/>
          <w:szCs w:val="20"/>
        </w:rPr>
        <w:t xml:space="preserve"> De los cuales, se arrojaron los siguientes resultados: i) 611 por tratamiento integral; ii) 408 por medicamento; iii) 376 citas médicas; iv) 334 viáticos; v) 277 no se especificó; vi) 246 cirugía plástica reparadora o funcional; vii)  229 insumo para el aseo personal; viii) 125 procedimientos; ix) 123 exámenes de laboratorio y complementarios; x)  112 afiliaciones; xi) 108 prótesis u órtesis; xii) 101 imagen diagnóstica; xiii) 97 contingencias económicas; xiv) 91 suplemento dietario; xv) 71 dispositivo médico; xvi) 62 recurso humano; xvii) 51 cosméticos; xviii) 48 no aplica; xix) 47  análisis conductual aplicado; xx) 42 enseres; xxi) 38 referencia y contrarreferencia; xxii)  31 atención domiciliaria; xxiii) 28 servicio de ambulancia; xxiv) 23 material de curación; xxv) 21 cirugía plástica estética; y xxvi) 12 terapias aplicadas con música o animales. De lo anterior, señaló que los servicios más requeridos por vía de tutela son por tratamiento integral con un 16,4% seguido de los medicamentos con el 11% y citas médicas 10,1%.</w:t>
      </w:r>
    </w:p>
  </w:footnote>
  <w:footnote w:id="40">
    <w:p w:rsidR="00000000" w:rsidRDefault="00274507" w:rsidP="008F1D10">
      <w:pPr>
        <w:jc w:val="both"/>
      </w:pPr>
      <w:r w:rsidRPr="0040672B">
        <w:rPr>
          <w:rStyle w:val="Refdenotaalpie"/>
          <w:sz w:val="20"/>
          <w:szCs w:val="20"/>
        </w:rPr>
        <w:footnoteRef/>
      </w:r>
      <w:r w:rsidRPr="0040672B">
        <w:rPr>
          <w:sz w:val="20"/>
          <w:szCs w:val="20"/>
        </w:rPr>
        <w:t xml:space="preserve"> </w:t>
      </w:r>
      <w:r w:rsidRPr="0040672B">
        <w:rPr>
          <w:bCs/>
          <w:sz w:val="20"/>
          <w:szCs w:val="20"/>
        </w:rPr>
        <w:t>Representada en un total del 73% de los cuales, el 47% perteneció al del régimen contributivo, el 34% al subsidiado y el 19% restante al especial. Por otro lado, advirtió que no fue posible determinar la oportunidad en la autorización de las prestaciones ni la capacidad económica de cada paciente, para contribuir a un análisis más completo.</w:t>
      </w:r>
    </w:p>
  </w:footnote>
  <w:footnote w:id="41">
    <w:p w:rsidR="00000000" w:rsidRDefault="00274507" w:rsidP="008F1D10">
      <w:pPr>
        <w:jc w:val="both"/>
      </w:pPr>
      <w:r w:rsidRPr="0040672B">
        <w:rPr>
          <w:rStyle w:val="Refdenotaalpie"/>
          <w:sz w:val="20"/>
          <w:szCs w:val="20"/>
        </w:rPr>
        <w:footnoteRef/>
      </w:r>
      <w:r w:rsidRPr="0040672B">
        <w:rPr>
          <w:sz w:val="20"/>
          <w:szCs w:val="20"/>
        </w:rPr>
        <w:t xml:space="preserve"> M</w:t>
      </w:r>
      <w:r w:rsidRPr="0040672B">
        <w:rPr>
          <w:bCs/>
          <w:sz w:val="20"/>
          <w:szCs w:val="20"/>
        </w:rPr>
        <w:t>ediante la elaboración de los planes plurianuales de universalización y unificación de planes de beneficios se logró la meta del 96.2% de cobertura en los habitantes del país, por lo que a partir de las siguientes políticas se ha obtenido un avance considerable en igualación de prima pura por UPC del régimen subsidiado respecto al contributivo que se efectuó en enero de 2016 y en la universalización de la afiliación.</w:t>
      </w:r>
    </w:p>
  </w:footnote>
  <w:footnote w:id="42">
    <w:p w:rsidR="00000000" w:rsidRDefault="00274507" w:rsidP="008F1D10">
      <w:pPr>
        <w:jc w:val="both"/>
      </w:pPr>
      <w:r w:rsidRPr="0040672B">
        <w:rPr>
          <w:rStyle w:val="Refdenotaalpie"/>
          <w:sz w:val="20"/>
          <w:szCs w:val="20"/>
        </w:rPr>
        <w:footnoteRef/>
      </w:r>
      <w:r w:rsidRPr="0040672B">
        <w:rPr>
          <w:sz w:val="20"/>
          <w:szCs w:val="20"/>
        </w:rPr>
        <w:t xml:space="preserve"> </w:t>
      </w:r>
      <w:r w:rsidRPr="0040672B">
        <w:rPr>
          <w:bCs/>
          <w:sz w:val="20"/>
          <w:szCs w:val="20"/>
        </w:rPr>
        <w:t>Para garantizar la cobertura POS a todos los afiliados se implementaron las Resoluciones 1952, 2739, 5729, 5968 y 5925 todas de 2014, en aras de dar aplicación a las recomendaciones dadas la Comisión Asesora de Beneficios, Costos, Tarifas y Condiciones de operación del Aseguramiento en Salud.</w:t>
      </w:r>
    </w:p>
  </w:footnote>
  <w:footnote w:id="43">
    <w:p w:rsidR="00000000" w:rsidRDefault="00274507" w:rsidP="008F1D10">
      <w:pPr>
        <w:jc w:val="both"/>
      </w:pPr>
      <w:r w:rsidRPr="0040672B">
        <w:rPr>
          <w:rStyle w:val="Refdenotaalpie"/>
          <w:sz w:val="20"/>
          <w:szCs w:val="20"/>
        </w:rPr>
        <w:footnoteRef/>
      </w:r>
      <w:r w:rsidRPr="0040672B">
        <w:rPr>
          <w:sz w:val="20"/>
          <w:szCs w:val="20"/>
        </w:rPr>
        <w:t xml:space="preserve"> </w:t>
      </w:r>
      <w:r w:rsidRPr="0040672B">
        <w:rPr>
          <w:bCs/>
          <w:sz w:val="20"/>
          <w:szCs w:val="20"/>
        </w:rPr>
        <w:t>es efectivo el acceso al servicio en cualquier parte del territorio nacional cuando requieran trasladarse por alguna circunstancia</w:t>
      </w:r>
      <w:r w:rsidRPr="0040672B">
        <w:rPr>
          <w:rStyle w:val="Refdenotaalpie"/>
          <w:bCs/>
          <w:sz w:val="20"/>
          <w:szCs w:val="20"/>
        </w:rPr>
        <w:footnoteRef/>
      </w:r>
      <w:r w:rsidRPr="0040672B">
        <w:rPr>
          <w:bCs/>
          <w:sz w:val="20"/>
          <w:szCs w:val="20"/>
        </w:rPr>
        <w:t>. Indicó que en el 2014 se presentaron 190.135 solicitudes de las cuales 117.221 correspondían al régimen subsidiado y 72.914 a contributivo con un porcentaje de aprobación del 96%.</w:t>
      </w:r>
    </w:p>
  </w:footnote>
  <w:footnote w:id="44">
    <w:p w:rsidR="00000000" w:rsidRDefault="00274507" w:rsidP="008F1D10">
      <w:pPr>
        <w:pStyle w:val="Textonotapie"/>
        <w:jc w:val="both"/>
      </w:pPr>
      <w:r w:rsidRPr="0040672B">
        <w:rPr>
          <w:rStyle w:val="Refdenotaalpie"/>
        </w:rPr>
        <w:footnoteRef/>
      </w:r>
      <w:r w:rsidRPr="0040672B">
        <w:t xml:space="preserve"> M</w:t>
      </w:r>
      <w:r w:rsidRPr="0040672B">
        <w:rPr>
          <w:bCs/>
        </w:rPr>
        <w:t>ediante el Decreto 3047 de 2013 se garantizó la afiliación a la misma EPS cuando hayan cambios de régimen. Entre agosto y diciembre de 2015 se presentaron 508.079 novedades que se accedieron y se garantizó la cobertura del servicio.</w:t>
      </w:r>
    </w:p>
  </w:footnote>
  <w:footnote w:id="45">
    <w:p w:rsidR="00000000" w:rsidRDefault="00274507" w:rsidP="008F1D10">
      <w:pPr>
        <w:jc w:val="both"/>
      </w:pPr>
      <w:r w:rsidRPr="0040672B">
        <w:rPr>
          <w:rStyle w:val="Refdenotaalpie"/>
          <w:sz w:val="20"/>
          <w:szCs w:val="20"/>
        </w:rPr>
        <w:footnoteRef/>
      </w:r>
      <w:r w:rsidRPr="0040672B">
        <w:rPr>
          <w:sz w:val="20"/>
          <w:szCs w:val="20"/>
        </w:rPr>
        <w:t xml:space="preserve"> A través de la </w:t>
      </w:r>
      <w:r w:rsidRPr="0040672B">
        <w:rPr>
          <w:bCs/>
          <w:sz w:val="20"/>
          <w:szCs w:val="20"/>
        </w:rPr>
        <w:t>expedición de la Circular 019 de 2012</w:t>
      </w:r>
      <w:r w:rsidRPr="0040672B">
        <w:rPr>
          <w:sz w:val="20"/>
          <w:szCs w:val="20"/>
          <w:shd w:val="clear" w:color="auto" w:fill="FFFFFF"/>
        </w:rPr>
        <w:t xml:space="preserve"> y de las Resoluciones 3099 de 2008 y 5395 de 2013 se dispuso que para esos casos de urgencia las tecnologías no POS deben ser autorizadas por el médico tratante, luego de ello, deberá agotar el procedimiento administrativo ante el Comité.</w:t>
      </w:r>
    </w:p>
  </w:footnote>
  <w:footnote w:id="46">
    <w:p w:rsidR="00000000" w:rsidRDefault="00274507" w:rsidP="008F1D10">
      <w:pPr>
        <w:jc w:val="both"/>
      </w:pPr>
      <w:r w:rsidRPr="0040672B">
        <w:rPr>
          <w:rStyle w:val="Refdenotaalpie"/>
          <w:sz w:val="20"/>
          <w:szCs w:val="20"/>
        </w:rPr>
        <w:footnoteRef/>
      </w:r>
      <w:r w:rsidRPr="0040672B">
        <w:rPr>
          <w:sz w:val="20"/>
          <w:szCs w:val="20"/>
        </w:rPr>
        <w:t xml:space="preserve"> </w:t>
      </w:r>
      <w:r w:rsidRPr="0040672B">
        <w:rPr>
          <w:bCs/>
          <w:sz w:val="20"/>
          <w:szCs w:val="20"/>
        </w:rPr>
        <w:t>Actividades para que los usuarios tengan acceso a información básica acerca del ejercicio, funcionamiento y prestación de los servicios a cargo de las EPS.</w:t>
      </w:r>
    </w:p>
  </w:footnote>
  <w:footnote w:id="47">
    <w:p w:rsidR="00000000" w:rsidRDefault="00274507" w:rsidP="008F1D10">
      <w:pPr>
        <w:pStyle w:val="Textonotapie"/>
        <w:jc w:val="both"/>
      </w:pPr>
      <w:r w:rsidRPr="0040672B">
        <w:rPr>
          <w:rStyle w:val="Refdenotaalpie"/>
        </w:rPr>
        <w:footnoteRef/>
      </w:r>
      <w:r w:rsidRPr="0040672B">
        <w:t xml:space="preserve"> </w:t>
      </w:r>
      <w:r w:rsidRPr="0040672B">
        <w:rPr>
          <w:i/>
        </w:rPr>
        <w:t>Cfr.</w:t>
      </w:r>
      <w:r w:rsidRPr="0040672B">
        <w:t xml:space="preserve"> AZ Orden XXX-B, folios 983-990.</w:t>
      </w:r>
    </w:p>
  </w:footnote>
  <w:footnote w:id="48">
    <w:p w:rsidR="00000000" w:rsidRDefault="00274507" w:rsidP="00C76FF1">
      <w:pPr>
        <w:pStyle w:val="Textonotapie"/>
        <w:jc w:val="both"/>
      </w:pPr>
      <w:r w:rsidRPr="0040672B">
        <w:rPr>
          <w:rStyle w:val="Refdenotaalpie"/>
        </w:rPr>
        <w:footnoteRef/>
      </w:r>
      <w:r w:rsidRPr="0040672B">
        <w:t xml:space="preserve"> </w:t>
      </w:r>
      <w:r w:rsidRPr="0040672B">
        <w:rPr>
          <w:i/>
        </w:rPr>
        <w:t xml:space="preserve">Cfr. </w:t>
      </w:r>
      <w:r w:rsidRPr="0040672B">
        <w:t>AZ Orden XXX-A, folios 29-36.</w:t>
      </w:r>
    </w:p>
  </w:footnote>
  <w:footnote w:id="49">
    <w:p w:rsidR="00000000" w:rsidRDefault="00274507" w:rsidP="00053AC7">
      <w:pPr>
        <w:pStyle w:val="Textonotapie"/>
        <w:jc w:val="both"/>
      </w:pPr>
      <w:r w:rsidRPr="0040672B">
        <w:rPr>
          <w:rStyle w:val="Refdenotaalpie"/>
        </w:rPr>
        <w:footnoteRef/>
      </w:r>
      <w:r w:rsidRPr="0040672B">
        <w:t xml:space="preserve"> </w:t>
      </w:r>
      <w:r w:rsidRPr="0040672B">
        <w:rPr>
          <w:i/>
        </w:rPr>
        <w:t xml:space="preserve">Cfr. </w:t>
      </w:r>
      <w:r w:rsidRPr="0040672B">
        <w:t>AZ Orden XXX-A, folios 105 y 106.</w:t>
      </w:r>
    </w:p>
  </w:footnote>
  <w:footnote w:id="50">
    <w:p w:rsidR="00000000" w:rsidRDefault="00274507" w:rsidP="00053AC7">
      <w:pPr>
        <w:pStyle w:val="Textonotapie"/>
        <w:jc w:val="both"/>
      </w:pPr>
      <w:r w:rsidRPr="0040672B">
        <w:rPr>
          <w:rStyle w:val="Refdenotaalpie"/>
        </w:rPr>
        <w:footnoteRef/>
      </w:r>
      <w:r w:rsidRPr="0040672B">
        <w:t xml:space="preserve"> </w:t>
      </w:r>
      <w:r w:rsidRPr="0040672B">
        <w:rPr>
          <w:i/>
        </w:rPr>
        <w:t>Cfr.</w:t>
      </w:r>
      <w:r w:rsidRPr="0040672B">
        <w:t xml:space="preserve"> AZ Orden XXX-A, folios 107-113.</w:t>
      </w:r>
    </w:p>
  </w:footnote>
  <w:footnote w:id="51">
    <w:p w:rsidR="00000000" w:rsidRDefault="00274507" w:rsidP="00053AC7">
      <w:pPr>
        <w:pStyle w:val="Prrafodelista"/>
        <w:widowControl w:val="0"/>
        <w:tabs>
          <w:tab w:val="left" w:pos="567"/>
        </w:tabs>
        <w:autoSpaceDE w:val="0"/>
        <w:autoSpaceDN w:val="0"/>
        <w:adjustRightInd w:val="0"/>
        <w:ind w:left="0"/>
        <w:jc w:val="both"/>
      </w:pPr>
      <w:r w:rsidRPr="0040672B">
        <w:rPr>
          <w:rStyle w:val="Refdenotaalpie"/>
          <w:sz w:val="20"/>
          <w:szCs w:val="20"/>
        </w:rPr>
        <w:footnoteRef/>
      </w:r>
      <w:r w:rsidRPr="0040672B">
        <w:rPr>
          <w:sz w:val="20"/>
          <w:szCs w:val="20"/>
        </w:rPr>
        <w:t xml:space="preserve"> Añadió que para el año 2008 los recobros registrados previo a la expedición de la sentencia T-760 de 2008 correspondieron a 40.106 y posteriores a 4.032, información que no fue del todo completa, ya que existen sentencias en las que no se condenó a la EPS por la prestación de algún servicio no POS y en consecuencia,  no dio lugar al recobro ante el Fosyga. Al igual, precisó que para los meses de enero a julio del 2009, se registraron en la Oficina Asesora Jurídica y de Apoyo Legislativo las siguientes tutelas: i) 270 enero; ii) 397 febrero; iii) 482 marzo; iv) 386 abril; v) 326 mayo; vi) 418 junio y vii) 467 julio. Por otra parte, añadió que la fuente única y completa es la que provenía de la Rama Judicial, por lo que afirmó que “…</w:t>
      </w:r>
      <w:r w:rsidRPr="0040672B">
        <w:rPr>
          <w:i/>
          <w:sz w:val="20"/>
          <w:szCs w:val="20"/>
        </w:rPr>
        <w:t>ha solicitado al Consejo Superior de la Judicatura y dicho organismo instruyó a todos los juzgados sobre el particular mediante Circular PSAC08-104 de 2008, la misma está elaborada manualmente, en formato de papel, salvo tres excepciones, lo cual impide un conocimiento más preciso y confiable de aquel que obra en la base de datos de recobros, sin que este Ministerio pueda exigir el suministro de estos datos de una forma específica definir para ello una estructura de datos en particular, pues carece totalmente de competencia para ello</w:t>
      </w:r>
      <w:r w:rsidRPr="0040672B">
        <w:rPr>
          <w:sz w:val="20"/>
          <w:szCs w:val="20"/>
        </w:rPr>
        <w:t>…”.</w:t>
      </w:r>
      <w:r w:rsidRPr="0040672B">
        <w:rPr>
          <w:i/>
          <w:sz w:val="20"/>
          <w:szCs w:val="20"/>
        </w:rPr>
        <w:t xml:space="preserve"> </w:t>
      </w:r>
      <w:r w:rsidRPr="0040672B">
        <w:rPr>
          <w:sz w:val="20"/>
          <w:szCs w:val="20"/>
        </w:rPr>
        <w:t xml:space="preserve">Asimismo, indicó que en la página </w:t>
      </w:r>
      <w:r w:rsidRPr="0040672B">
        <w:rPr>
          <w:i/>
          <w:sz w:val="20"/>
          <w:szCs w:val="20"/>
        </w:rPr>
        <w:t xml:space="preserve">web </w:t>
      </w:r>
      <w:r w:rsidRPr="0040672B">
        <w:rPr>
          <w:sz w:val="20"/>
          <w:szCs w:val="20"/>
        </w:rPr>
        <w:t>del Ministerio de Salud, se implementó un ítem de consulta</w:t>
      </w:r>
      <w:r w:rsidRPr="0040672B">
        <w:rPr>
          <w:rStyle w:val="Refdenotaalpie"/>
          <w:sz w:val="20"/>
          <w:szCs w:val="20"/>
        </w:rPr>
        <w:footnoteRef/>
      </w:r>
      <w:r w:rsidRPr="0040672B">
        <w:rPr>
          <w:sz w:val="20"/>
          <w:szCs w:val="20"/>
        </w:rPr>
        <w:t xml:space="preserve"> diseñada para recoger la información relativa a las negaciones de servicios de salud por parte de las EPS en la que se recopilarían datos relacionados en los casos en que se interpusieran las acciones de tutela por esos motivos. Finalmente, señaló que no le fue posible determinar las causas por las cuales aumentarían las acciones.</w:t>
      </w:r>
    </w:p>
  </w:footnote>
  <w:footnote w:id="52">
    <w:p w:rsidR="00000000" w:rsidRDefault="00274507" w:rsidP="00053AC7">
      <w:pPr>
        <w:pStyle w:val="Textonotapie"/>
        <w:jc w:val="both"/>
      </w:pPr>
      <w:r w:rsidRPr="0040672B">
        <w:rPr>
          <w:rStyle w:val="Refdenotaalpie"/>
        </w:rPr>
        <w:footnoteRef/>
      </w:r>
      <w:r w:rsidRPr="0040672B">
        <w:t xml:space="preserve"> </w:t>
      </w:r>
      <w:r w:rsidRPr="0040672B">
        <w:rPr>
          <w:i/>
        </w:rPr>
        <w:t>Cfr.</w:t>
      </w:r>
      <w:r w:rsidRPr="0040672B">
        <w:t xml:space="preserve"> AZ Orden XXX-A, folios 136-159.</w:t>
      </w:r>
    </w:p>
  </w:footnote>
  <w:footnote w:id="53">
    <w:p w:rsidR="00000000" w:rsidRDefault="00274507" w:rsidP="00053AC7">
      <w:pPr>
        <w:pStyle w:val="Textonotapie"/>
        <w:jc w:val="both"/>
      </w:pPr>
      <w:r w:rsidRPr="0040672B">
        <w:rPr>
          <w:rStyle w:val="Refdenotaalpie"/>
        </w:rPr>
        <w:footnoteRef/>
      </w:r>
      <w:r w:rsidRPr="0040672B">
        <w:t xml:space="preserve"> Primera etapa del estudio: “</w:t>
      </w:r>
      <w:r w:rsidRPr="0040672B">
        <w:rPr>
          <w:i/>
        </w:rPr>
        <w:t>Trascendencia e Impacto Socioeconómico de la Acción de Tutela en el Sistema de Seguridad Social Colombiano</w:t>
      </w:r>
      <w:r w:rsidRPr="0040672B">
        <w:t>”.</w:t>
      </w:r>
    </w:p>
  </w:footnote>
  <w:footnote w:id="54">
    <w:p w:rsidR="00000000" w:rsidRDefault="00274507" w:rsidP="00053AC7">
      <w:pPr>
        <w:pStyle w:val="Textonotapie"/>
        <w:jc w:val="both"/>
      </w:pPr>
      <w:r w:rsidRPr="0040672B">
        <w:rPr>
          <w:rStyle w:val="Refdenotaalpie"/>
        </w:rPr>
        <w:footnoteRef/>
      </w:r>
      <w:r w:rsidRPr="0040672B">
        <w:t xml:space="preserve"> </w:t>
      </w:r>
      <w:r w:rsidRPr="0040672B">
        <w:rPr>
          <w:i/>
        </w:rPr>
        <w:t>Cfr</w:t>
      </w:r>
      <w:r w:rsidRPr="0040672B">
        <w:t>. AZ Orden XXX-A, CD folio 160B.</w:t>
      </w:r>
    </w:p>
  </w:footnote>
  <w:footnote w:id="55">
    <w:p w:rsidR="00000000" w:rsidRDefault="00274507" w:rsidP="00053AC7">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AZ Orden XXX-A, folios 179-182.</w:t>
      </w:r>
    </w:p>
  </w:footnote>
  <w:footnote w:id="56">
    <w:p w:rsidR="00000000" w:rsidRDefault="00274507" w:rsidP="00053AC7">
      <w:pPr>
        <w:pStyle w:val="Sinespaciado"/>
        <w:jc w:val="both"/>
      </w:pPr>
      <w:r w:rsidRPr="0040672B">
        <w:rPr>
          <w:rStyle w:val="Refdenotaalpie"/>
          <w:sz w:val="20"/>
          <w:szCs w:val="20"/>
        </w:rPr>
        <w:footnoteRef/>
      </w:r>
      <w:r w:rsidRPr="0040672B">
        <w:rPr>
          <w:sz w:val="20"/>
          <w:szCs w:val="20"/>
          <w:shd w:val="clear" w:color="auto" w:fill="FFFFFF"/>
        </w:rPr>
        <w:t xml:space="preserve"> Creado mediante la Ley 1444 de 2011 “</w:t>
      </w:r>
      <w:r w:rsidRPr="0040672B">
        <w:rPr>
          <w:i/>
          <w:sz w:val="20"/>
          <w:szCs w:val="20"/>
          <w:shd w:val="clear" w:color="auto" w:fill="FFFFFF"/>
        </w:rPr>
        <w:t>P</w:t>
      </w:r>
      <w:r w:rsidRPr="0040672B">
        <w:rPr>
          <w:i/>
          <w:sz w:val="20"/>
          <w:szCs w:val="20"/>
        </w:rPr>
        <w:t>or medio de la cual se escinden unos ministerios, se otorgan precisas facultades extraordinarias al presidente de la república para modificar la estructura de la administración pública y la planta de personal de la fiscalía general de la nación y se dictan otras disposiciones</w:t>
      </w:r>
      <w:r w:rsidRPr="0040672B">
        <w:rPr>
          <w:sz w:val="20"/>
          <w:szCs w:val="20"/>
        </w:rPr>
        <w:t>...”</w:t>
      </w:r>
    </w:p>
  </w:footnote>
  <w:footnote w:id="57">
    <w:p w:rsidR="00000000" w:rsidRDefault="00274507" w:rsidP="00053AC7">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xml:space="preserve"> AZ Orden XXX-A, folios 179-182 (2 de febrero de 2012); folios 214-217 (16 de marzo de 2012); folio 220 (12 de abril de 2012); folios 267 y 268 (8 de octubre de 2012).</w:t>
      </w:r>
    </w:p>
  </w:footnote>
  <w:footnote w:id="58">
    <w:p w:rsidR="00000000" w:rsidRDefault="00274507" w:rsidP="00053AC7">
      <w:pPr>
        <w:pStyle w:val="Textonotapie"/>
        <w:jc w:val="both"/>
      </w:pPr>
      <w:r w:rsidRPr="0040672B">
        <w:rPr>
          <w:rStyle w:val="Refdenotaalpie"/>
        </w:rPr>
        <w:footnoteRef/>
      </w:r>
      <w:r w:rsidRPr="0040672B">
        <w:t xml:space="preserve"> </w:t>
      </w:r>
      <w:r w:rsidRPr="0040672B">
        <w:rPr>
          <w:i/>
        </w:rPr>
        <w:t>Cfr.</w:t>
      </w:r>
      <w:r w:rsidRPr="0040672B">
        <w:t xml:space="preserve"> AZ Orden XXX-A, folio 228.</w:t>
      </w:r>
    </w:p>
  </w:footnote>
  <w:footnote w:id="59">
    <w:p w:rsidR="00000000" w:rsidRDefault="00274507" w:rsidP="00F6331C">
      <w:pPr>
        <w:pStyle w:val="Textonotapie"/>
        <w:jc w:val="both"/>
      </w:pPr>
      <w:r w:rsidRPr="0040672B">
        <w:rPr>
          <w:rStyle w:val="Refdenotaalpie"/>
        </w:rPr>
        <w:footnoteRef/>
      </w:r>
      <w:r w:rsidRPr="0040672B">
        <w:t xml:space="preserve"> </w:t>
      </w:r>
      <w:r w:rsidRPr="0040672B">
        <w:rPr>
          <w:i/>
        </w:rPr>
        <w:t>Cfr.</w:t>
      </w:r>
      <w:r w:rsidRPr="0040672B">
        <w:t xml:space="preserve"> AZ Orden XXX-A, folios 232-266.</w:t>
      </w:r>
    </w:p>
  </w:footnote>
  <w:footnote w:id="60">
    <w:p w:rsidR="00000000" w:rsidRDefault="00274507" w:rsidP="00C76FF1">
      <w:pPr>
        <w:pStyle w:val="Textonotapie"/>
        <w:jc w:val="both"/>
      </w:pPr>
      <w:r w:rsidRPr="0040672B">
        <w:rPr>
          <w:rStyle w:val="Refdenotaalpie"/>
        </w:rPr>
        <w:footnoteRef/>
      </w:r>
      <w:r w:rsidRPr="0040672B">
        <w:t xml:space="preserve"> Comisión de Seguimiento a la Sentencia T-760 de 2008 y de Reforma Estructural del Sistema de Salud y Seguridad Social CSR; Centro de Estudios de Derecho, Justicia y Sociedad Dejusticia; Programa Así Vamos en Salud; Universidad Instituto Colombiano de Estudios Superiores de Incolda Icesi; Fundación para la Educación Superior y el Desarrollo Fedesarrollo y Fundación para la Investigación y Desarrollo de la Salud y Seguridad Social Fedesalud.</w:t>
      </w:r>
    </w:p>
  </w:footnote>
  <w:footnote w:id="61">
    <w:p w:rsidR="00000000" w:rsidRDefault="00274507" w:rsidP="00C76FF1">
      <w:pPr>
        <w:pStyle w:val="Textonotapie"/>
        <w:jc w:val="both"/>
      </w:pPr>
      <w:r w:rsidRPr="0040672B">
        <w:rPr>
          <w:rStyle w:val="Refdenotaalpie"/>
        </w:rPr>
        <w:footnoteRef/>
      </w:r>
      <w:r w:rsidRPr="0040672B">
        <w:t xml:space="preserve"> Mediante Autos del 9 de diciembre de 2008 (</w:t>
      </w:r>
      <w:r w:rsidRPr="0040672B">
        <w:rPr>
          <w:lang w:val="es-ES"/>
        </w:rPr>
        <w:t xml:space="preserve">Confederación Colombiana de Consumidores, Asociación Colombiana de Sociedades Científicas, Asociación Colombiana de Hospitales y Clínicas ACHC, Asociación Nacional de Cajas de Compensación – Asocajas, Asociación Colombiana de Empresas de Medicina Integral Acemi, Asociación de Empresas Gestores del Aseguramiento Gestarsalud y Proyecto Así Vamos en Salud); </w:t>
      </w:r>
      <w:r w:rsidRPr="0040672B">
        <w:t>S-34 del 3 de diciembre de 2009 (</w:t>
      </w:r>
      <w:r w:rsidRPr="0040672B">
        <w:rPr>
          <w:bCs/>
        </w:rPr>
        <w:t>Confederación Colombiana de Consumidores, Movimiento Nacional por la Salud y la Seguridad Social, Asociación Colombiana de Facultades de Medicina - Ascofame</w:t>
      </w:r>
      <w:r w:rsidRPr="0040672B">
        <w:t xml:space="preserve">, Centro de Estudios de Derecho, Justicia y Sociedad – Dejusticia, </w:t>
      </w:r>
      <w:r w:rsidRPr="0040672B">
        <w:rPr>
          <w:bCs/>
        </w:rPr>
        <w:t xml:space="preserve">Asociación Médica Sindical - Asmedas Nacional, Relator Especial de la Comisión de Derechos Humanos de Naciones Unidas sobre el Derecho a la Salud, Comisiones Séptimas Constitucionales Permanentes del Senado de la República y la Cámara de Representantes, y Organización Nacional Indígena de Colombia -ONIC- y la Organización Proceso de Comunidades Negras –PCN); </w:t>
      </w:r>
      <w:r w:rsidRPr="0040672B">
        <w:t>094 del 21 de mayo de 2010 (Central Unitaria de Trabajadores – CUT y La Mesa por la Vida y la Salud de las Mujeres) y 316 del 21 de septiembre de 2010 (</w:t>
      </w:r>
      <w:r w:rsidRPr="0040672B">
        <w:rPr>
          <w:bCs/>
        </w:rPr>
        <w:t>Comisión de Seguimiento de la Sentencia T-760/08 y de Reforma Estructural del Sistema de Salud y Seguridad Social –CSR–)</w:t>
      </w:r>
      <w:r w:rsidRPr="0040672B">
        <w:t>.</w:t>
      </w:r>
    </w:p>
  </w:footnote>
  <w:footnote w:id="62">
    <w:p w:rsidR="00000000" w:rsidRDefault="00274507" w:rsidP="00C76FF1">
      <w:pPr>
        <w:pStyle w:val="Textonotapie"/>
        <w:jc w:val="both"/>
      </w:pPr>
      <w:r w:rsidRPr="0040672B">
        <w:rPr>
          <w:rStyle w:val="Refdenotaalpie"/>
        </w:rPr>
        <w:footnoteRef/>
      </w:r>
      <w:r w:rsidRPr="0040672B">
        <w:t xml:space="preserve"> </w:t>
      </w:r>
      <w:r w:rsidRPr="0040672B">
        <w:rPr>
          <w:i/>
        </w:rPr>
        <w:t>Cfr</w:t>
      </w:r>
      <w:r w:rsidRPr="0040672B">
        <w:t>. AZ Orden XXX-A, folios 362-384.</w:t>
      </w:r>
    </w:p>
  </w:footnote>
  <w:footnote w:id="63">
    <w:p w:rsidR="00000000" w:rsidRDefault="00274507" w:rsidP="00F3065E">
      <w:pPr>
        <w:pStyle w:val="Textonotapie"/>
        <w:jc w:val="both"/>
      </w:pPr>
      <w:r w:rsidRPr="0040672B">
        <w:rPr>
          <w:rStyle w:val="Refdenotaalpie"/>
        </w:rPr>
        <w:footnoteRef/>
      </w:r>
      <w:r w:rsidRPr="0040672B">
        <w:t xml:space="preserve"> Artículo 27 de la Ley 1438 de 2011 “…</w:t>
      </w:r>
      <w:bookmarkStart w:id="1" w:name="27"/>
      <w:bookmarkEnd w:id="1"/>
      <w:r w:rsidRPr="0040672B">
        <w:rPr>
          <w:bCs/>
          <w:i/>
        </w:rPr>
        <w:t>SOLICITUD DE SERVICIOS NO PREVISTOS EN EL PLAN DE BENEFICIOS Y CREACIÓN DE LA JUNTA TÉCNICO - CIENTÍFICA DE PARES.</w:t>
      </w:r>
      <w:r w:rsidRPr="0040672B">
        <w:rPr>
          <w:rStyle w:val="apple-converted-space"/>
          <w:i/>
        </w:rPr>
        <w:t> </w:t>
      </w:r>
      <w:r w:rsidRPr="0040672B">
        <w:rPr>
          <w:i/>
        </w:rPr>
        <w:t>&lt;Artículo modificado por el artículo</w:t>
      </w:r>
      <w:r w:rsidRPr="0040672B">
        <w:rPr>
          <w:rStyle w:val="apple-converted-space"/>
          <w:i/>
        </w:rPr>
        <w:t> </w:t>
      </w:r>
      <w:hyperlink r:id="rId3" w:anchor="116" w:history="1">
        <w:r w:rsidRPr="0040672B">
          <w:rPr>
            <w:rStyle w:val="Hipervnculo"/>
            <w:i/>
            <w:color w:val="auto"/>
          </w:rPr>
          <w:t>116</w:t>
        </w:r>
      </w:hyperlink>
      <w:r w:rsidRPr="0040672B">
        <w:rPr>
          <w:rStyle w:val="apple-converted-space"/>
          <w:i/>
        </w:rPr>
        <w:t> </w:t>
      </w:r>
      <w:r w:rsidRPr="0040672B">
        <w:rPr>
          <w:i/>
        </w:rPr>
        <w:t>del Decreto 19 de 2012. El nuevo texto es el siguiente:&gt; La provisión de servicios no previstos en el Plan de Beneficios, que se requieran con necesidad y sean pertinentes en el caso particular de acuerdo con la prescripción del profesional de la salud tratante, deberá ser sometida por la Entidad Promotora de Salud al Comité Técnico Científico o a la Junta Técnico - Científica de pares de la Superintendencia Nacional de Salud, de conformidad con lo que determine el reglamento</w:t>
      </w:r>
      <w:r w:rsidRPr="0040672B">
        <w:t>…”</w:t>
      </w:r>
    </w:p>
  </w:footnote>
  <w:footnote w:id="64">
    <w:p w:rsidR="00000000" w:rsidRDefault="00274507" w:rsidP="00B11CB1">
      <w:pPr>
        <w:pStyle w:val="Textonotapie"/>
        <w:jc w:val="both"/>
      </w:pPr>
      <w:r w:rsidRPr="0040672B">
        <w:rPr>
          <w:rStyle w:val="Refdenotaalpie"/>
        </w:rPr>
        <w:footnoteRef/>
      </w:r>
      <w:r w:rsidRPr="0040672B">
        <w:t xml:space="preserve"> Tales como transporte, pañales, viáticos, alimentación del paciente y del acompañante, educativos y pedagógicos. </w:t>
      </w:r>
    </w:p>
  </w:footnote>
  <w:footnote w:id="65">
    <w:p w:rsidR="00000000" w:rsidRDefault="00274507" w:rsidP="00B11CB1">
      <w:pPr>
        <w:pStyle w:val="Textonotapie"/>
        <w:jc w:val="both"/>
      </w:pPr>
      <w:r w:rsidRPr="0040672B">
        <w:rPr>
          <w:rStyle w:val="Refdenotaalpie"/>
        </w:rPr>
        <w:footnoteRef/>
      </w:r>
      <w:r w:rsidRPr="0040672B">
        <w:t xml:space="preserve"> como terapias de neurodesarrollo, psicológicas neuropedagógicas, acuaterapia, musicoterapia, terapia asistida con perros, psicomotricidad y equinoterapia.</w:t>
      </w:r>
    </w:p>
  </w:footnote>
  <w:footnote w:id="66">
    <w:p w:rsidR="00000000" w:rsidRDefault="00274507" w:rsidP="00B11CB1">
      <w:pPr>
        <w:pStyle w:val="Textonotapie"/>
        <w:jc w:val="both"/>
      </w:pPr>
      <w:r w:rsidRPr="0040672B">
        <w:rPr>
          <w:rStyle w:val="Refdenotaalpie"/>
        </w:rPr>
        <w:footnoteRef/>
      </w:r>
      <w:r w:rsidRPr="0040672B">
        <w:t xml:space="preserve"> Los cuales a pesar de estar relacionados por disposición legal no pueden ser financiados con cargo a los recursos del sistema, así como las prestaciones no incluidas en el POS como las suntuarias, cosméticas, experimentales sin evidencia científica, las que se ofrezcan por fuera del territorio colombiano y los de usos no autorizados de medicamentos.</w:t>
      </w:r>
    </w:p>
  </w:footnote>
  <w:footnote w:id="67">
    <w:p w:rsidR="00000000" w:rsidRDefault="00274507" w:rsidP="001B42EC">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Propusieron que para esos medicamentos deberían implementarse medidas especiales ya que tal situación no puede ser atribuida como una falla o incumplimiento de las EPS. </w:t>
      </w:r>
      <w:r>
        <w:rPr>
          <w:sz w:val="20"/>
          <w:szCs w:val="20"/>
        </w:rPr>
        <w:t xml:space="preserve">El Ministerio </w:t>
      </w:r>
      <w:r w:rsidRPr="0040672B">
        <w:rPr>
          <w:sz w:val="20"/>
          <w:szCs w:val="20"/>
        </w:rPr>
        <w:t>de Salud los incluyó bajo el criterio clasificatorio de “</w:t>
      </w:r>
      <w:r w:rsidRPr="0040672B">
        <w:rPr>
          <w:i/>
          <w:sz w:val="20"/>
          <w:szCs w:val="20"/>
        </w:rPr>
        <w:t>incertidumbre en relación con los servicios incluidos, no incluidos y excluidos del plan obligatorio de salud</w:t>
      </w:r>
      <w:r w:rsidRPr="0040672B">
        <w:rPr>
          <w:sz w:val="20"/>
          <w:szCs w:val="20"/>
        </w:rPr>
        <w:t>”. No obstante, consideraron que deben ser analizados en forma independiente en otro acápite según su condición de excluidos.</w:t>
      </w:r>
    </w:p>
  </w:footnote>
  <w:footnote w:id="68">
    <w:p w:rsidR="00000000" w:rsidRDefault="00274507" w:rsidP="001471EB">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Consideraron pertinente la realización de un estudio específico, tal como se efectúo para el 2011 el CENDEX de la Universidad Javeriana “recursos humanos de la salud en Colombia”, junto con el análisis sobre los profesionales a nivel regional, para así determinar el número requerido según la demanda y la carga de los diagnósticos de la población que garanticen la participación activa del sector académico enfocando perfiles de formación y creación de programas conforme a las necesidades identificadas.</w:t>
      </w:r>
    </w:p>
  </w:footnote>
  <w:footnote w:id="69">
    <w:p w:rsidR="00000000" w:rsidRDefault="00274507" w:rsidP="001471EB">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En el sistema se generó un crecimiento en la demanda de servicios de salud que demostraron la necesidad de mejorar su infraestructura, como ejemplo, indicaron que entre el 2008 y 2012 se pasó de 1.2 a 1.5 camas por cada 1000 habitantes y esto comparado con parámetros internacionales en donde el promedio es de 2 por cada 1000 habitantes, significa que se requerirían 17.000 camas. Asimismo fue puesto en conocimiento el estudio efectuado por la tasa de camillas por distribución departamental y según cada especialidad, concluyendo que las tasas de demandas observadas son insuficientes para la oferta, lo cual incidía indirectamente en la oportunidad para la prestación del servicio.</w:t>
      </w:r>
    </w:p>
  </w:footnote>
  <w:footnote w:id="70">
    <w:p w:rsidR="00000000" w:rsidRDefault="00274507" w:rsidP="001471EB">
      <w:pPr>
        <w:pStyle w:val="Textonotapie"/>
        <w:jc w:val="both"/>
      </w:pPr>
      <w:r w:rsidRPr="0040672B">
        <w:rPr>
          <w:rStyle w:val="Refdenotaalpie"/>
        </w:rPr>
        <w:footnoteRef/>
      </w:r>
      <w:r w:rsidRPr="0040672B">
        <w:t xml:space="preserve"> Este aspecto no debe ser incluido en el análisis ya que constituyen un tema que debería ser tratado de forma diferente a las prestaciones impartidas por parte de los médicos autorizados, ya que para esa fecha los usuarios sólo tenían la acción de tutela para obtenerlos.</w:t>
      </w:r>
    </w:p>
  </w:footnote>
  <w:footnote w:id="71">
    <w:p w:rsidR="00274507" w:rsidRPr="0040672B" w:rsidRDefault="00274507" w:rsidP="001471EB">
      <w:pPr>
        <w:widowControl w:val="0"/>
        <w:tabs>
          <w:tab w:val="left" w:pos="0"/>
        </w:tabs>
        <w:autoSpaceDE w:val="0"/>
        <w:autoSpaceDN w:val="0"/>
        <w:adjustRightInd w:val="0"/>
        <w:jc w:val="both"/>
        <w:rPr>
          <w:i/>
          <w:sz w:val="20"/>
          <w:szCs w:val="20"/>
        </w:rPr>
      </w:pPr>
      <w:r w:rsidRPr="0040672B">
        <w:rPr>
          <w:rStyle w:val="Refdenotaalpie"/>
          <w:sz w:val="20"/>
          <w:szCs w:val="20"/>
        </w:rPr>
        <w:footnoteRef/>
      </w:r>
      <w:r w:rsidRPr="0040672B">
        <w:rPr>
          <w:sz w:val="20"/>
          <w:szCs w:val="20"/>
        </w:rPr>
        <w:t xml:space="preserve"> Advirtieron que en los dos casos, ni las EPS ni la Superintendencia Nacional de Salud tienen facultades para sancionar a los médicos que no los prescriban. En ese sentido, consideraron necesario establecer políticas claras de publicidad de medicamentos de marca que cuestionaran la calidad de los genéricos, tal como fue mencionado en la revista de la Asociación Colombiana de Hospitales y Clínicas</w:t>
      </w:r>
      <w:r w:rsidRPr="0040672B">
        <w:rPr>
          <w:i/>
          <w:sz w:val="20"/>
          <w:szCs w:val="20"/>
        </w:rPr>
        <w:t xml:space="preserve"> </w:t>
      </w:r>
      <w:r w:rsidRPr="0040672B">
        <w:rPr>
          <w:sz w:val="20"/>
          <w:szCs w:val="20"/>
        </w:rPr>
        <w:t>“…</w:t>
      </w:r>
      <w:r w:rsidRPr="0040672B">
        <w:rPr>
          <w:i/>
          <w:sz w:val="20"/>
          <w:szCs w:val="20"/>
        </w:rPr>
        <w:t>Los laboratorios internacionales señalan que sus costos son mayores por la propiedad intelectual y la investigación…</w:t>
      </w:r>
      <w:r w:rsidRPr="0040672B">
        <w:rPr>
          <w:sz w:val="20"/>
          <w:szCs w:val="20"/>
        </w:rPr>
        <w:t>”.</w:t>
      </w:r>
      <w:r w:rsidRPr="0040672B">
        <w:rPr>
          <w:i/>
          <w:sz w:val="20"/>
          <w:szCs w:val="20"/>
        </w:rPr>
        <w:t>Eso justificaría los costos razonables, pero no justifica los sobrecostos absurdos que son los que criticamos. Ningún costo atribuible a la investigación justifica los precios absurdos del crecimiento exponencial de recobros, ni las diferencias absurdas de precios entre Colombia y España para exactamente el mismo producto, del mismo laboratorio. Hay que diferenciar el debate científico del económico. Es poco ético defender intereses claramente económicos, con argumentos histéricos sobre la calidad, como está sucediendo con el debate de los Biotecnológicos. Aquí las farmacéuticas dueñas de productos monopólicos - con el apoyo de algunas asociaciones de pacientes y médicos- exageran al máximo un discurso de defensa de la calidad, sin que a nadie parezca interesarle el problema de costos. Si tanto les interesa la salud pública, deberían comenzar bajando sus precios a niveles justos y sus asociaciones amigas deberán incluir este punto en sus exigencias. Ya los más grandes fabricantes de genéricos son multinacionales, entonces no se puede quedar en el debate de la calidad de los genéricos. No hay diferencias científicas que justifiquen semejantes diferencias económicas. Hay una sobre explotación de la propiedad intelectual, exigir que sobre eso se mantenga en el mercado colombiano unas diferencias de precios tan extremadamente altas, no tienen un correlato científico, para nosotros ese es un abuso de posición dominante. Entrevista a Oscar Andia Salazar, Director General de Observamed, Revista Hospitalaria, marzo-abril de 2013. Año 14 No. 88.</w:t>
      </w:r>
    </w:p>
    <w:p w:rsidR="00000000" w:rsidRDefault="00274507" w:rsidP="001471EB">
      <w:pPr>
        <w:widowControl w:val="0"/>
        <w:tabs>
          <w:tab w:val="left" w:pos="0"/>
        </w:tabs>
        <w:autoSpaceDE w:val="0"/>
        <w:autoSpaceDN w:val="0"/>
        <w:adjustRightInd w:val="0"/>
        <w:jc w:val="both"/>
      </w:pPr>
      <w:r w:rsidRPr="0040672B">
        <w:rPr>
          <w:i/>
          <w:sz w:val="20"/>
          <w:szCs w:val="20"/>
        </w:rPr>
        <w:t>En el mismo sentido se pronunció Néstor Alvarez, Representante de pacientes de alto costo en la misma revista, así "2. Si el paciente es formulado en el sistema de salud con la marca, puede ser que suceda por las razones expuestas en el numeral dos; los especialistas son los que más incurren en esta práctica, y es en estos casos en los que al paciente lo llevan a que acuda al CTC en la EPS o a poner una tutela; el principal argumento es que solo el de marca (que generalmente es el que también le denominan el original), es el efectivo y más seguro, y por razones obvias, el paciente cree en su médico. Este concepto también es reforzado por fundaciones de pacientes de las respectivas patologías que son patrocinados por la industria farmacéutica, dueña de la marca, y -si es posible- se amplíen, así se evita que los genéricos sean usados</w:t>
      </w:r>
      <w:r w:rsidRPr="0040672B">
        <w:rPr>
          <w:sz w:val="20"/>
          <w:szCs w:val="20"/>
        </w:rPr>
        <w:t>..."</w:t>
      </w:r>
    </w:p>
  </w:footnote>
  <w:footnote w:id="72">
    <w:p w:rsidR="00000000" w:rsidRDefault="00274507" w:rsidP="001B42EC">
      <w:pPr>
        <w:pStyle w:val="Textonotapie"/>
        <w:jc w:val="both"/>
      </w:pPr>
      <w:r w:rsidRPr="0040672B">
        <w:rPr>
          <w:rStyle w:val="Refdenotaalpie"/>
        </w:rPr>
        <w:footnoteRef/>
      </w:r>
      <w:r w:rsidRPr="0040672B">
        <w:t xml:space="preserve"> </w:t>
      </w:r>
      <w:r w:rsidRPr="0040672B">
        <w:rPr>
          <w:i/>
        </w:rPr>
        <w:t>Cfr.</w:t>
      </w:r>
      <w:r w:rsidRPr="0040672B">
        <w:t xml:space="preserve"> AZ Orden XXX-A, folios 385-393. </w:t>
      </w:r>
    </w:p>
  </w:footnote>
  <w:footnote w:id="73">
    <w:p w:rsidR="00000000" w:rsidRDefault="00274507">
      <w:pPr>
        <w:pStyle w:val="Textonotapie"/>
      </w:pPr>
      <w:r w:rsidRPr="0040672B">
        <w:rPr>
          <w:rStyle w:val="Refdenotaalpie"/>
        </w:rPr>
        <w:footnoteRef/>
      </w:r>
      <w:r w:rsidRPr="0040672B">
        <w:t xml:space="preserve"> Tabla referenciada en la parte considerativa 7.</w:t>
      </w:r>
    </w:p>
  </w:footnote>
  <w:footnote w:id="74">
    <w:p w:rsidR="00000000" w:rsidRDefault="00274507" w:rsidP="001B42EC">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AZ Orden XXX-A, folios 433-442.</w:t>
      </w:r>
    </w:p>
  </w:footnote>
  <w:footnote w:id="75">
    <w:p w:rsidR="00000000" w:rsidRDefault="00274507" w:rsidP="00C76FF1">
      <w:pPr>
        <w:pStyle w:val="Textonotapie"/>
        <w:jc w:val="both"/>
      </w:pPr>
      <w:r w:rsidRPr="0040672B">
        <w:rPr>
          <w:rStyle w:val="Refdenotaalpie"/>
        </w:rPr>
        <w:footnoteRef/>
      </w:r>
      <w:r w:rsidRPr="0040672B">
        <w:t xml:space="preserve"> </w:t>
      </w:r>
      <w:r w:rsidRPr="0040672B">
        <w:rPr>
          <w:i/>
        </w:rPr>
        <w:t>Cfr.</w:t>
      </w:r>
      <w:r w:rsidRPr="0040672B">
        <w:t xml:space="preserve"> AZ Orden XXX-B, folios 444-454.</w:t>
      </w:r>
    </w:p>
  </w:footnote>
  <w:footnote w:id="76">
    <w:p w:rsidR="00000000" w:rsidRDefault="00274507" w:rsidP="000B47E6">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i) Número de tutelas por servicios de salud no incluidos en el POS; ii) Número de tutelas por servicios de salud ya contemplados en el POS; iii) Número de tutelas por servicios de salud  y diferencia entre servicios POS subsidiado y POS contributivo; iv) Número de tutelas por servicios de salud, diferentes a medicamentos, por no haber fijado y regulado el procedimiento para garantizar su acceso.</w:t>
      </w:r>
    </w:p>
  </w:footnote>
  <w:footnote w:id="77">
    <w:p w:rsidR="00000000" w:rsidRDefault="00274507" w:rsidP="00C76FF1">
      <w:pPr>
        <w:pStyle w:val="Textonotapie"/>
        <w:jc w:val="both"/>
      </w:pPr>
      <w:r w:rsidRPr="0040672B">
        <w:rPr>
          <w:rStyle w:val="Refdenotaalpie"/>
        </w:rPr>
        <w:footnoteRef/>
      </w:r>
      <w:r w:rsidRPr="0040672B">
        <w:t xml:space="preserve"> </w:t>
      </w:r>
      <w:r w:rsidRPr="0040672B">
        <w:rPr>
          <w:i/>
        </w:rPr>
        <w:t>Cfr</w:t>
      </w:r>
      <w:r w:rsidRPr="0040672B">
        <w:t>. AZ Orden XXX-B, folios 457-458.</w:t>
      </w:r>
    </w:p>
  </w:footnote>
  <w:footnote w:id="78">
    <w:p w:rsidR="00000000" w:rsidRDefault="00274507" w:rsidP="00C76FF1">
      <w:pPr>
        <w:pStyle w:val="Textonotapie"/>
        <w:jc w:val="both"/>
      </w:pPr>
      <w:r w:rsidRPr="0040672B">
        <w:rPr>
          <w:rStyle w:val="Refdenotaalpie"/>
        </w:rPr>
        <w:footnoteRef/>
      </w:r>
      <w:r w:rsidRPr="0040672B">
        <w:t xml:space="preserve"> </w:t>
      </w:r>
      <w:r w:rsidRPr="0040672B">
        <w:rPr>
          <w:i/>
        </w:rPr>
        <w:t>Cfr.</w:t>
      </w:r>
      <w:r w:rsidRPr="0040672B">
        <w:t xml:space="preserve"> AZ Orden XXX-B, folios 460-477.</w:t>
      </w:r>
    </w:p>
  </w:footnote>
  <w:footnote w:id="79">
    <w:p w:rsidR="00000000" w:rsidRDefault="00274507">
      <w:pPr>
        <w:pStyle w:val="Textonotapie"/>
      </w:pPr>
      <w:r w:rsidRPr="0040672B">
        <w:rPr>
          <w:rStyle w:val="Refdenotaalpie"/>
        </w:rPr>
        <w:footnoteRef/>
      </w:r>
      <w:r w:rsidRPr="0040672B">
        <w:t xml:space="preserve"> Advirtió que siempre habrá una dinámica que no permita la desaparición de la tutela hasta tanto se realice una aprobación, incorporación y financiación de tecnologías en el POS y que hagan parte del ordenamiento jurídico.</w:t>
      </w:r>
    </w:p>
  </w:footnote>
  <w:footnote w:id="80">
    <w:p w:rsidR="00000000" w:rsidRDefault="00274507" w:rsidP="0077263A">
      <w:pPr>
        <w:pStyle w:val="Textonotapie"/>
        <w:jc w:val="both"/>
      </w:pPr>
      <w:r w:rsidRPr="0040672B">
        <w:rPr>
          <w:rStyle w:val="Refdenotaalpie"/>
        </w:rPr>
        <w:footnoteRef/>
      </w:r>
      <w:r w:rsidRPr="0040672B">
        <w:t xml:space="preserve"> Mediante la cual se garantizó la transparencia en el proceso de asignación de citas, viabilidad de especialistas  y mejoramiento en los tiempos de espera.</w:t>
      </w:r>
    </w:p>
  </w:footnote>
  <w:footnote w:id="81">
    <w:p w:rsidR="00000000" w:rsidRDefault="00274507" w:rsidP="00C76FF1">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Mediante la cual se dispuso los estándares máximos para la consulta médica especializada así: para consulta médica especializada en medicina interna (30 días); ginecología (15 días); pediatría (5 días); cirugía general (20 días); obstetricia (5 días).</w:t>
      </w:r>
    </w:p>
  </w:footnote>
  <w:footnote w:id="82">
    <w:p w:rsidR="00000000" w:rsidRDefault="00274507" w:rsidP="0077263A">
      <w:pPr>
        <w:pStyle w:val="Textonotapie"/>
        <w:jc w:val="both"/>
      </w:pPr>
      <w:r w:rsidRPr="0040672B">
        <w:rPr>
          <w:rStyle w:val="Refdenotaalpie"/>
        </w:rPr>
        <w:footnoteRef/>
      </w:r>
      <w:r w:rsidRPr="0040672B">
        <w:t xml:space="preserve"> Referenció los siguientes: i) recursos humanos de la salud en Colombia, balance, competencia y prospectiva, ii) sistemas de residencias médicas en Colombia; iii) marco conceptual para una propuesta de relación; iv) estudio de disponibilidad y oferta de médicos especialistas en servicios de alta y mediana complejidad en Colombia; efectuado a finales de 2012 y comienzos de 2013.</w:t>
      </w:r>
    </w:p>
  </w:footnote>
  <w:footnote w:id="83">
    <w:p w:rsidR="00000000" w:rsidRDefault="00274507" w:rsidP="00C76FF1">
      <w:pPr>
        <w:pStyle w:val="Textonotapie"/>
        <w:jc w:val="both"/>
      </w:pPr>
      <w:r w:rsidRPr="0040672B">
        <w:rPr>
          <w:rStyle w:val="Refdenotaalpie"/>
        </w:rPr>
        <w:footnoteRef/>
      </w:r>
      <w:r w:rsidRPr="0040672B">
        <w:t xml:space="preserve"> Mediante la cual se regularon los requisitos para el Registro Especial de Prestadores de Servicios de Salud – REPS-.</w:t>
      </w:r>
    </w:p>
  </w:footnote>
  <w:footnote w:id="84">
    <w:p w:rsidR="00000000" w:rsidRDefault="00274507" w:rsidP="00C76FF1">
      <w:pPr>
        <w:pStyle w:val="Textonotapie"/>
        <w:jc w:val="both"/>
      </w:pPr>
      <w:r w:rsidRPr="0040672B">
        <w:rPr>
          <w:rStyle w:val="Refdenotaalpie"/>
        </w:rPr>
        <w:footnoteRef/>
      </w:r>
      <w:r w:rsidRPr="0040672B">
        <w:t xml:space="preserve"> Las Áreas de Gestión Sanitaria son definidas como zonas del territorio que reúnen un conjunto de territorios que comparten condiciones y características funcionales que permiten la construcción de redes de prestación de servicios adecuadas para la atención oportuna, integral y continúa de los usuarios.</w:t>
      </w:r>
    </w:p>
  </w:footnote>
  <w:footnote w:id="85">
    <w:p w:rsidR="00000000" w:rsidRDefault="00274507" w:rsidP="00C76FF1">
      <w:pPr>
        <w:pStyle w:val="Textonotapie"/>
        <w:jc w:val="both"/>
      </w:pPr>
      <w:r w:rsidRPr="0040672B">
        <w:rPr>
          <w:rStyle w:val="Refdenotaalpie"/>
        </w:rPr>
        <w:footnoteRef/>
      </w:r>
      <w:r w:rsidRPr="0040672B">
        <w:t xml:space="preserve"> Según la Ley 1438 de 2011 las definió como el “conjunto de organizaciones o redes que prestan servicios o hacen acuerdos para prestar servicios de salud individuales y/o colectivos, más eficientes, equitativos, integrales, continuos a una población definida, dispuesta conforme a la demanda”.</w:t>
      </w:r>
    </w:p>
  </w:footnote>
  <w:footnote w:id="86">
    <w:p w:rsidR="00000000" w:rsidRDefault="00274507" w:rsidP="0077263A">
      <w:pPr>
        <w:pStyle w:val="Textonotapie"/>
        <w:jc w:val="both"/>
      </w:pPr>
      <w:r w:rsidRPr="0040672B">
        <w:rPr>
          <w:rStyle w:val="Refdenotaalpie"/>
        </w:rPr>
        <w:footnoteRef/>
      </w:r>
      <w:r w:rsidRPr="0040672B">
        <w:t xml:space="preserve"> Indicó que para solucionar los problemas en el sistema, no solo se requiere la adopción de medidas, si no la participación de los actores del Sistema, de la estructura del Estado, voluntad de aseguradores, prestadores, profesionales de la salud, sistema de inspección, vigilancia y control eficiente y de una justicia consiente de los derechos de las personas y de los límites de los recursos públicos.</w:t>
      </w:r>
    </w:p>
  </w:footnote>
  <w:footnote w:id="87">
    <w:p w:rsidR="00000000" w:rsidRDefault="00274507" w:rsidP="0077263A">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Advirtió que se encuentra en la elaboración del 7º informe en el que se evidencia un  proceso continuo en la incidencia de la tutela en salud y propuso un proceso de concentración de objetivos y colaboración, por lo que requirió a la Defensoría del Pueblo para acceder a la base de datos y así adelantar análisis y evolución de las tutelas.</w:t>
      </w:r>
    </w:p>
  </w:footnote>
  <w:footnote w:id="88">
    <w:p w:rsidR="00000000" w:rsidRDefault="00274507" w:rsidP="00C76FF1">
      <w:pPr>
        <w:pStyle w:val="Textonotapie"/>
        <w:jc w:val="both"/>
      </w:pPr>
      <w:r w:rsidRPr="0040672B">
        <w:rPr>
          <w:rStyle w:val="Refdenotaalpie"/>
        </w:rPr>
        <w:footnoteRef/>
      </w:r>
      <w:r w:rsidRPr="0040672B">
        <w:t xml:space="preserve"> </w:t>
      </w:r>
      <w:r w:rsidRPr="0040672B">
        <w:rPr>
          <w:i/>
        </w:rPr>
        <w:t>Cfr.</w:t>
      </w:r>
      <w:r w:rsidRPr="0040672B">
        <w:t xml:space="preserve"> AZ Orden XXX-B, folios 593-595.</w:t>
      </w:r>
    </w:p>
  </w:footnote>
  <w:footnote w:id="89">
    <w:p w:rsidR="00000000" w:rsidRDefault="00274507" w:rsidP="00864F63">
      <w:pPr>
        <w:pStyle w:val="Textonotapie"/>
        <w:jc w:val="both"/>
      </w:pPr>
      <w:r w:rsidRPr="0040672B">
        <w:rPr>
          <w:rStyle w:val="Refdenotaalpie"/>
        </w:rPr>
        <w:footnoteRef/>
      </w:r>
      <w:r w:rsidRPr="0040672B">
        <w:t xml:space="preserve"> </w:t>
      </w:r>
      <w:r w:rsidRPr="0040672B">
        <w:rPr>
          <w:i/>
        </w:rPr>
        <w:t xml:space="preserve">Cfr. </w:t>
      </w:r>
      <w:r w:rsidRPr="0040672B">
        <w:t>AZ Orden XXX-B, folios 674-684.</w:t>
      </w:r>
    </w:p>
  </w:footnote>
  <w:footnote w:id="90">
    <w:p w:rsidR="00000000" w:rsidRDefault="00274507" w:rsidP="00864F63">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Quienes se encargan de “</w:t>
      </w:r>
      <w:r w:rsidRPr="0040672B">
        <w:rPr>
          <w:i/>
          <w:sz w:val="20"/>
          <w:szCs w:val="20"/>
        </w:rPr>
        <w:t>contestar cada una de las acciones de tutela que se notifican (un promedio de 200 por día)</w:t>
      </w:r>
      <w:r w:rsidRPr="0040672B">
        <w:rPr>
          <w:sz w:val="20"/>
          <w:szCs w:val="20"/>
        </w:rPr>
        <w:t>” y de alimentar la base de datos.</w:t>
      </w:r>
    </w:p>
  </w:footnote>
  <w:footnote w:id="91">
    <w:p w:rsidR="00000000" w:rsidRDefault="00274507" w:rsidP="00864F63">
      <w:pPr>
        <w:pStyle w:val="Textonotapie"/>
        <w:jc w:val="both"/>
      </w:pPr>
      <w:r w:rsidRPr="0040672B">
        <w:rPr>
          <w:rStyle w:val="Refdenotaalpie"/>
        </w:rPr>
        <w:footnoteRef/>
      </w:r>
      <w:r w:rsidRPr="0040672B">
        <w:t xml:space="preserve"> “</w:t>
      </w:r>
      <w:r w:rsidRPr="0040672B">
        <w:rPr>
          <w:i/>
        </w:rPr>
        <w:t>A través de la cual se definió la atención domiciliaria, se aclaró la diferencia entre cirugías estéticas y funcionales, servicios por enfermedad mental, cobertura de transporte y las resecciones de tumor</w:t>
      </w:r>
      <w:r w:rsidRPr="0040672B">
        <w:t>…”</w:t>
      </w:r>
    </w:p>
  </w:footnote>
  <w:footnote w:id="92">
    <w:p w:rsidR="00000000" w:rsidRDefault="00274507" w:rsidP="00864F63">
      <w:pPr>
        <w:pStyle w:val="Textonotapie"/>
        <w:jc w:val="both"/>
      </w:pPr>
      <w:r w:rsidRPr="0040672B">
        <w:rPr>
          <w:rStyle w:val="Refdenotaalpie"/>
        </w:rPr>
        <w:footnoteRef/>
      </w:r>
      <w:r w:rsidRPr="0040672B">
        <w:t xml:space="preserve"> pretendiendo realizar una ampliación del POS, inclusión de medicamentos por subgrupos y de las tecnologías, derechos y deberes del Sistema definidos en la Resolución 4343 de 2012, del que se generó un plegable “conozco mis derechos y deberes” que no sustituye la Carta de Derechos y Deberes.</w:t>
      </w:r>
    </w:p>
  </w:footnote>
  <w:footnote w:id="93">
    <w:p w:rsidR="00000000" w:rsidRDefault="00274507" w:rsidP="00864F63">
      <w:pPr>
        <w:pStyle w:val="Textonotapie"/>
        <w:jc w:val="both"/>
      </w:pPr>
      <w:r w:rsidRPr="0040672B">
        <w:rPr>
          <w:rStyle w:val="Refdenotaalpie"/>
        </w:rPr>
        <w:footnoteRef/>
      </w:r>
      <w:r w:rsidRPr="0040672B">
        <w:t xml:space="preserve"> </w:t>
      </w:r>
      <w:r w:rsidRPr="0040672B">
        <w:rPr>
          <w:i/>
        </w:rPr>
        <w:t>Cfr.</w:t>
      </w:r>
      <w:r w:rsidRPr="0040672B">
        <w:t xml:space="preserve"> AZ Orden XXX-B, folios 694-706.</w:t>
      </w:r>
    </w:p>
  </w:footnote>
  <w:footnote w:id="94">
    <w:p w:rsidR="00000000" w:rsidRDefault="00274507" w:rsidP="00F72B1E">
      <w:pPr>
        <w:pStyle w:val="Textonotapie"/>
        <w:jc w:val="both"/>
      </w:pPr>
      <w:r w:rsidRPr="0040672B">
        <w:rPr>
          <w:rStyle w:val="Refdenotaalpie"/>
        </w:rPr>
        <w:footnoteRef/>
      </w:r>
      <w:r w:rsidRPr="0040672B">
        <w:t xml:space="preserve"> </w:t>
      </w:r>
      <w:r w:rsidRPr="0040672B">
        <w:rPr>
          <w:i/>
        </w:rPr>
        <w:t>Cfr.</w:t>
      </w:r>
      <w:r w:rsidRPr="0040672B">
        <w:t xml:space="preserve"> AZ Orden XXX-B, folios 685-689.</w:t>
      </w:r>
    </w:p>
  </w:footnote>
  <w:footnote w:id="95">
    <w:p w:rsidR="00000000" w:rsidRDefault="00274507" w:rsidP="007D7DF1">
      <w:pPr>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xml:space="preserve"> AZ Orden XXX-B, folios 690-693.</w:t>
      </w:r>
    </w:p>
  </w:footnote>
  <w:footnote w:id="96">
    <w:p w:rsidR="00000000" w:rsidRDefault="00274507" w:rsidP="007D7DF1">
      <w:pPr>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xml:space="preserve"> AZ Orden XXX-B, folios 707-723.</w:t>
      </w:r>
    </w:p>
  </w:footnote>
  <w:footnote w:id="97">
    <w:p w:rsidR="00000000" w:rsidRDefault="00274507" w:rsidP="007D7DF1">
      <w:pPr>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xml:space="preserve"> AZ Orden XXX-B, folios 718-723.</w:t>
      </w:r>
    </w:p>
  </w:footnote>
  <w:footnote w:id="98">
    <w:p w:rsidR="00000000" w:rsidRDefault="00274507" w:rsidP="007D7DF1">
      <w:pPr>
        <w:jc w:val="both"/>
      </w:pPr>
      <w:r w:rsidRPr="0040672B">
        <w:rPr>
          <w:rStyle w:val="Refdenotaalpie"/>
          <w:sz w:val="20"/>
          <w:szCs w:val="20"/>
        </w:rPr>
        <w:footnoteRef/>
      </w:r>
      <w:r w:rsidRPr="0040672B">
        <w:rPr>
          <w:sz w:val="20"/>
          <w:szCs w:val="20"/>
        </w:rPr>
        <w:t xml:space="preserve"> </w:t>
      </w:r>
      <w:r w:rsidRPr="0040672B">
        <w:rPr>
          <w:i/>
          <w:sz w:val="20"/>
          <w:szCs w:val="20"/>
        </w:rPr>
        <w:t xml:space="preserve">Cfr. </w:t>
      </w:r>
      <w:r w:rsidRPr="0040672B">
        <w:rPr>
          <w:sz w:val="20"/>
          <w:szCs w:val="20"/>
        </w:rPr>
        <w:t>AZ Orden XXX-B, folios 755-787 luego de realizar dos sesiones preparatorias el 25 de septiembre y 13 de octubre de 2015 (CD Folios 868 y 869).</w:t>
      </w:r>
    </w:p>
  </w:footnote>
  <w:footnote w:id="99">
    <w:p w:rsidR="00000000" w:rsidRDefault="00274507" w:rsidP="007D7DF1">
      <w:pPr>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xml:space="preserve"> AZ Orden XXX-B, folios 991-995.</w:t>
      </w:r>
    </w:p>
  </w:footnote>
  <w:footnote w:id="100">
    <w:p w:rsidR="00000000" w:rsidRDefault="00274507" w:rsidP="007D7DF1">
      <w:pPr>
        <w:jc w:val="both"/>
      </w:pPr>
      <w:r w:rsidRPr="0040672B">
        <w:rPr>
          <w:rStyle w:val="Refdenotaalpie"/>
          <w:sz w:val="20"/>
          <w:szCs w:val="20"/>
        </w:rPr>
        <w:footnoteRef/>
      </w:r>
      <w:r w:rsidRPr="0040672B">
        <w:rPr>
          <w:bCs/>
          <w:sz w:val="20"/>
          <w:szCs w:val="20"/>
        </w:rPr>
        <w:t xml:space="preserve">Comisión de Seguimiento a la sentencia T-760/08 y de Reforma Estructural del Sistema de Salud y Seguridad Social (CSR), Fundación para la Educación Superior y el Desarrollo (Fedesarrollo) y al Investigador </w:t>
      </w:r>
      <w:r w:rsidRPr="0040672B">
        <w:rPr>
          <w:sz w:val="20"/>
          <w:szCs w:val="20"/>
          <w:lang w:val="es-ES"/>
        </w:rPr>
        <w:t>César Rodríguez Garavito.</w:t>
      </w:r>
    </w:p>
  </w:footnote>
  <w:footnote w:id="101">
    <w:p w:rsidR="00000000" w:rsidRDefault="00274507" w:rsidP="007D7DF1">
      <w:pPr>
        <w:jc w:val="both"/>
      </w:pPr>
      <w:r w:rsidRPr="0040672B">
        <w:rPr>
          <w:rStyle w:val="Refdenotaalpie"/>
          <w:sz w:val="20"/>
          <w:szCs w:val="20"/>
        </w:rPr>
        <w:footnoteRef/>
      </w:r>
      <w:r w:rsidRPr="0040672B">
        <w:rPr>
          <w:sz w:val="20"/>
          <w:szCs w:val="20"/>
          <w:lang w:val="es-ES"/>
        </w:rPr>
        <w:t>Asociación Nacional de Cajas de Compensación (Asocajas), Asociación de Empresas Gestores del Aseguramiento (Gestarsalud) y Proyecto Así Vamos en Salud</w:t>
      </w:r>
      <w:r w:rsidRPr="0040672B">
        <w:rPr>
          <w:sz w:val="20"/>
          <w:szCs w:val="20"/>
        </w:rPr>
        <w:t>.</w:t>
      </w:r>
    </w:p>
  </w:footnote>
  <w:footnote w:id="102">
    <w:p w:rsidR="00000000" w:rsidRDefault="00274507" w:rsidP="00361298">
      <w:pPr>
        <w:pStyle w:val="Textonotapie"/>
        <w:jc w:val="both"/>
      </w:pPr>
      <w:r w:rsidRPr="0040672B">
        <w:rPr>
          <w:rStyle w:val="Refdenotaalpie"/>
        </w:rPr>
        <w:footnoteRef/>
      </w:r>
      <w:r w:rsidRPr="0040672B">
        <w:t xml:space="preserve"> </w:t>
      </w:r>
      <w:r w:rsidRPr="0040672B">
        <w:rPr>
          <w:i/>
        </w:rPr>
        <w:t>Cfr.</w:t>
      </w:r>
      <w:r w:rsidRPr="0040672B">
        <w:t xml:space="preserve"> AZ Orden XXX-C, folios 1110-1118.</w:t>
      </w:r>
    </w:p>
  </w:footnote>
  <w:footnote w:id="103">
    <w:p w:rsidR="00000000" w:rsidRDefault="00274507" w:rsidP="000B57AC">
      <w:pPr>
        <w:pStyle w:val="Sinespaciado"/>
        <w:jc w:val="both"/>
      </w:pPr>
      <w:r w:rsidRPr="0040672B">
        <w:rPr>
          <w:rStyle w:val="Refdenotaalpie"/>
          <w:sz w:val="20"/>
          <w:szCs w:val="20"/>
        </w:rPr>
        <w:footnoteRef/>
      </w:r>
      <w:r w:rsidRPr="0040672B">
        <w:rPr>
          <w:sz w:val="20"/>
          <w:szCs w:val="20"/>
        </w:rPr>
        <w:t xml:space="preserve"> </w:t>
      </w:r>
      <w:r w:rsidRPr="0040672B">
        <w:rPr>
          <w:rFonts w:eastAsia="MS Mincho"/>
          <w:bCs/>
          <w:sz w:val="20"/>
          <w:szCs w:val="20"/>
          <w:lang w:eastAsia="en-US"/>
        </w:rPr>
        <w:t>Reiteró la importancia en la realización del estudio, debido a que están relacionados en materia de política pública del goce efectivo del derecho a la salud en condiciones de igualdad y también constituyen un insumo para la construcción de los indicadores. R</w:t>
      </w:r>
      <w:r w:rsidRPr="0040672B">
        <w:rPr>
          <w:rFonts w:eastAsia="MS Mincho"/>
          <w:sz w:val="20"/>
          <w:szCs w:val="20"/>
          <w:lang w:eastAsia="en-US"/>
        </w:rPr>
        <w:t>ecomendó unificar la información de las tablas presentadas en los dos últimos informes y presentar los valores absolutos en porcentajes o tasas, según el caso. Por otra parte, que unificara los criterios para la presentación de las variables e indicadores en los informes futuros y a</w:t>
      </w:r>
      <w:r w:rsidRPr="0040672B">
        <w:rPr>
          <w:rFonts w:eastAsia="MS Mincho"/>
          <w:bCs/>
          <w:sz w:val="20"/>
          <w:szCs w:val="20"/>
          <w:lang w:eastAsia="en-US"/>
        </w:rPr>
        <w:t>dvirtió la limitación respecto al sistema de información concreto derivado de los expedientes según cada una de las características, no obstante, precisó que a medida que estandarice la metodología para obtener la información puede consolidar una base de datos para mejorar la comparabilidad y calidad de los informes futuros.</w:t>
      </w:r>
    </w:p>
  </w:footnote>
  <w:footnote w:id="104">
    <w:p w:rsidR="00000000" w:rsidRDefault="00274507">
      <w:pPr>
        <w:pStyle w:val="Textonotapie"/>
      </w:pPr>
      <w:r w:rsidRPr="0040672B">
        <w:rPr>
          <w:rStyle w:val="Refdenotaalpie"/>
        </w:rPr>
        <w:footnoteRef/>
      </w:r>
      <w:r w:rsidRPr="0040672B">
        <w:t xml:space="preserve"> Tales </w:t>
      </w:r>
      <w:r w:rsidRPr="0040672B">
        <w:rPr>
          <w:rFonts w:eastAsia="MS Mincho"/>
          <w:bCs/>
          <w:lang w:eastAsia="en-US"/>
        </w:rPr>
        <w:t xml:space="preserve">como son la página </w:t>
      </w:r>
      <w:r w:rsidRPr="0040672B">
        <w:rPr>
          <w:rFonts w:eastAsia="MS Mincho"/>
          <w:bCs/>
          <w:i/>
          <w:lang w:eastAsia="en-US"/>
        </w:rPr>
        <w:t xml:space="preserve">web </w:t>
      </w:r>
      <w:r w:rsidRPr="0040672B">
        <w:rPr>
          <w:rFonts w:eastAsia="MS Mincho"/>
          <w:bCs/>
          <w:lang w:eastAsia="en-US"/>
        </w:rPr>
        <w:t>y las redes sociales (</w:t>
      </w:r>
      <w:r w:rsidRPr="0040672B">
        <w:rPr>
          <w:rFonts w:eastAsia="MS Mincho"/>
          <w:bCs/>
          <w:i/>
          <w:lang w:eastAsia="en-US"/>
        </w:rPr>
        <w:t>Twitter</w:t>
      </w:r>
      <w:r w:rsidRPr="0040672B">
        <w:rPr>
          <w:rFonts w:eastAsia="MS Mincho"/>
          <w:bCs/>
          <w:lang w:eastAsia="en-US"/>
        </w:rPr>
        <w:t>,</w:t>
      </w:r>
      <w:r w:rsidRPr="0040672B">
        <w:rPr>
          <w:rFonts w:eastAsia="MS Mincho"/>
          <w:bCs/>
          <w:i/>
          <w:lang w:eastAsia="en-US"/>
        </w:rPr>
        <w:t xml:space="preserve"> Facebook</w:t>
      </w:r>
      <w:r w:rsidRPr="0040672B">
        <w:rPr>
          <w:rFonts w:eastAsia="MS Mincho"/>
          <w:bCs/>
          <w:lang w:eastAsia="en-US"/>
        </w:rPr>
        <w:t>,</w:t>
      </w:r>
      <w:r w:rsidRPr="0040672B">
        <w:rPr>
          <w:rFonts w:eastAsia="MS Mincho"/>
          <w:bCs/>
          <w:i/>
          <w:lang w:eastAsia="en-US"/>
        </w:rPr>
        <w:t xml:space="preserve"> You Tube</w:t>
      </w:r>
      <w:r w:rsidRPr="0040672B">
        <w:rPr>
          <w:rFonts w:eastAsia="MS Mincho"/>
          <w:bCs/>
          <w:lang w:eastAsia="en-US"/>
        </w:rPr>
        <w:t>).</w:t>
      </w:r>
    </w:p>
  </w:footnote>
  <w:footnote w:id="105">
    <w:p w:rsidR="00000000" w:rsidRDefault="00274507" w:rsidP="007E401D">
      <w:pPr>
        <w:pStyle w:val="Textonotapie"/>
        <w:jc w:val="both"/>
      </w:pPr>
      <w:r w:rsidRPr="0040672B">
        <w:rPr>
          <w:rStyle w:val="Refdenotaalpie"/>
        </w:rPr>
        <w:footnoteRef/>
      </w:r>
      <w:r w:rsidRPr="0040672B">
        <w:t xml:space="preserve"> </w:t>
      </w:r>
      <w:r w:rsidRPr="0040672B">
        <w:rPr>
          <w:bCs/>
        </w:rPr>
        <w:t>Teniendo en cuenta que: i) la información de las tutelas en salud es comparable con la información que al respecto se había presentado en anteriores informes y ii) la información específica sólo es comparable a partir del año 2014 dados los cambios de la metodología.</w:t>
      </w:r>
    </w:p>
  </w:footnote>
  <w:footnote w:id="106">
    <w:p w:rsidR="00000000" w:rsidRDefault="00274507">
      <w:pPr>
        <w:pStyle w:val="Textonotapie"/>
      </w:pPr>
      <w:r w:rsidRPr="0040672B">
        <w:rPr>
          <w:rStyle w:val="Refdenotaalpie"/>
        </w:rPr>
        <w:footnoteRef/>
      </w:r>
      <w:r w:rsidRPr="0040672B">
        <w:t xml:space="preserve"> </w:t>
      </w:r>
      <w:r w:rsidRPr="0040672B">
        <w:rPr>
          <w:i/>
        </w:rPr>
        <w:t>Cfr.</w:t>
      </w:r>
      <w:r w:rsidRPr="0040672B">
        <w:t xml:space="preserve"> AZ Orden XXX-C, folios 1094-1109.</w:t>
      </w:r>
    </w:p>
  </w:footnote>
  <w:footnote w:id="107">
    <w:p w:rsidR="00000000" w:rsidRDefault="00274507" w:rsidP="00F7714A">
      <w:pPr>
        <w:pStyle w:val="Textonotapie"/>
        <w:jc w:val="both"/>
      </w:pPr>
      <w:r w:rsidRPr="0040672B">
        <w:rPr>
          <w:rStyle w:val="Refdenotaalpie"/>
        </w:rPr>
        <w:footnoteRef/>
      </w:r>
      <w:r w:rsidRPr="0040672B">
        <w:t xml:space="preserve"> Artículo 25. Protección Judicial:</w:t>
      </w:r>
      <w:r w:rsidRPr="0040672B">
        <w:rPr>
          <w:i/>
        </w:rPr>
        <w:t xml:space="preserve"> </w:t>
      </w:r>
      <w:r w:rsidRPr="0040672B">
        <w:t>“…</w:t>
      </w:r>
      <w:r w:rsidRPr="0040672B">
        <w:rPr>
          <w:i/>
        </w:rPr>
        <w:t xml:space="preserve"> 2. Los Estados Partes se comprometen: (…) c) a garantizar el cumplimiento, por las autoridades competentes, de toda decisión en que se haya estimado procedente el recurso</w:t>
      </w:r>
      <w:r w:rsidRPr="0040672B">
        <w:t>…”</w:t>
      </w:r>
    </w:p>
  </w:footnote>
  <w:footnote w:id="108">
    <w:p w:rsidR="00000000" w:rsidRDefault="00274507" w:rsidP="00F7714A">
      <w:pPr>
        <w:pStyle w:val="Textonotapie"/>
        <w:jc w:val="both"/>
      </w:pPr>
      <w:r w:rsidRPr="0040672B">
        <w:rPr>
          <w:rStyle w:val="Refdenotaalpie"/>
        </w:rPr>
        <w:footnoteRef/>
      </w:r>
      <w:r w:rsidRPr="0040672B">
        <w:t xml:space="preserve"> Aprobada por la Ley 16 de 1972.</w:t>
      </w:r>
    </w:p>
  </w:footnote>
  <w:footnote w:id="109">
    <w:p w:rsidR="00000000" w:rsidRDefault="00274507" w:rsidP="007638B3">
      <w:pPr>
        <w:pStyle w:val="Textonotapie"/>
        <w:jc w:val="both"/>
      </w:pPr>
      <w:r w:rsidRPr="0040672B">
        <w:rPr>
          <w:vertAlign w:val="superscript"/>
        </w:rPr>
        <w:footnoteRef/>
      </w:r>
      <w:r w:rsidRPr="0040672B">
        <w:t xml:space="preserve"> Los argumentos de este capítulo fueron tomados del Auto 411 de 2015.</w:t>
      </w:r>
    </w:p>
  </w:footnote>
  <w:footnote w:id="110">
    <w:p w:rsidR="00000000" w:rsidRDefault="00274507" w:rsidP="007D7C87">
      <w:pPr>
        <w:pStyle w:val="Textonotapie"/>
        <w:jc w:val="both"/>
      </w:pPr>
      <w:r w:rsidRPr="0040672B">
        <w:rPr>
          <w:rStyle w:val="Refdenotaalpie"/>
        </w:rPr>
        <w:footnoteRef/>
      </w:r>
      <w:r w:rsidRPr="0040672B">
        <w:t xml:space="preserve"> Sentencia C-351 de 2013. </w:t>
      </w:r>
    </w:p>
  </w:footnote>
  <w:footnote w:id="111">
    <w:p w:rsidR="00000000" w:rsidRDefault="00274507" w:rsidP="007D7C87">
      <w:pPr>
        <w:pStyle w:val="Textonotapie"/>
        <w:jc w:val="both"/>
      </w:pPr>
      <w:r w:rsidRPr="0040672B">
        <w:rPr>
          <w:rStyle w:val="Refdenotaalpie"/>
        </w:rPr>
        <w:footnoteRef/>
      </w:r>
      <w:r w:rsidRPr="0040672B">
        <w:t xml:space="preserve"> Sentencia C-646 de 2001.</w:t>
      </w:r>
    </w:p>
  </w:footnote>
  <w:footnote w:id="112">
    <w:p w:rsidR="00000000" w:rsidRDefault="00274507" w:rsidP="007D7C87">
      <w:pPr>
        <w:pStyle w:val="Textonotapie"/>
        <w:jc w:val="both"/>
      </w:pPr>
      <w:r w:rsidRPr="0040672B">
        <w:rPr>
          <w:rStyle w:val="Refdenotaalpie"/>
        </w:rPr>
        <w:footnoteRef/>
      </w:r>
      <w:r w:rsidRPr="0040672B">
        <w:t xml:space="preserve"> El control judicial de las políticas públicas como instrumento de inclusión de los derechos humanos. Manuel Fernando Quinche Ramírez y Juan Camilo Rivera Rugeles. 2010.</w:t>
      </w:r>
    </w:p>
  </w:footnote>
  <w:footnote w:id="113">
    <w:p w:rsidR="00000000" w:rsidRDefault="00274507" w:rsidP="007D7C87">
      <w:pPr>
        <w:pStyle w:val="Textonotapie"/>
        <w:jc w:val="both"/>
      </w:pPr>
      <w:r w:rsidRPr="0040672B">
        <w:rPr>
          <w:rStyle w:val="Refdenotaalpie"/>
        </w:rPr>
        <w:footnoteRef/>
      </w:r>
      <w:r w:rsidRPr="0040672B">
        <w:t xml:space="preserve"> Auto 385 de 2010.</w:t>
      </w:r>
    </w:p>
  </w:footnote>
  <w:footnote w:id="114">
    <w:p w:rsidR="00000000" w:rsidRDefault="00274507" w:rsidP="007D7C87">
      <w:pPr>
        <w:pStyle w:val="Textonotapie"/>
        <w:jc w:val="both"/>
      </w:pPr>
      <w:r w:rsidRPr="0040672B">
        <w:rPr>
          <w:rStyle w:val="Refdenotaalpie"/>
        </w:rPr>
        <w:footnoteRef/>
      </w:r>
      <w:r w:rsidRPr="0040672B">
        <w:t xml:space="preserve"> La Sentencia T-760 fue proferida el 31 de julio de 2008.</w:t>
      </w:r>
    </w:p>
  </w:footnote>
  <w:footnote w:id="115">
    <w:p w:rsidR="00000000" w:rsidRDefault="00274507" w:rsidP="007D7C87">
      <w:pPr>
        <w:pStyle w:val="Textonotapie"/>
        <w:tabs>
          <w:tab w:val="left" w:pos="3630"/>
        </w:tabs>
        <w:jc w:val="both"/>
      </w:pPr>
      <w:r w:rsidRPr="0040672B">
        <w:rPr>
          <w:rStyle w:val="Refdenotaalpie"/>
        </w:rPr>
        <w:footnoteRef/>
      </w:r>
      <w:r w:rsidRPr="0040672B">
        <w:t xml:space="preserve"> </w:t>
      </w:r>
      <w:r w:rsidRPr="0040672B">
        <w:rPr>
          <w:i/>
        </w:rPr>
        <w:t>Cfr.</w:t>
      </w:r>
      <w:r w:rsidRPr="0040672B">
        <w:t xml:space="preserve"> Auto 263 de 2012.</w:t>
      </w:r>
      <w:r w:rsidRPr="0040672B">
        <w:tab/>
      </w:r>
    </w:p>
  </w:footnote>
  <w:footnote w:id="116">
    <w:p w:rsidR="00000000" w:rsidRDefault="00274507" w:rsidP="007D7C87">
      <w:pPr>
        <w:pStyle w:val="Textonotapie"/>
        <w:jc w:val="both"/>
      </w:pPr>
      <w:r w:rsidRPr="0040672B">
        <w:rPr>
          <w:rStyle w:val="Refdenotaalpie"/>
        </w:rPr>
        <w:footnoteRef/>
      </w:r>
      <w:r w:rsidRPr="0040672B">
        <w:t xml:space="preserve"> </w:t>
      </w:r>
      <w:r w:rsidRPr="0040672B">
        <w:rPr>
          <w:i/>
        </w:rPr>
        <w:t>Cfr.</w:t>
      </w:r>
      <w:r w:rsidRPr="0040672B">
        <w:t xml:space="preserve"> Autos 342A de 2009, 262 de 2012 y 263 de 2012.</w:t>
      </w:r>
    </w:p>
  </w:footnote>
  <w:footnote w:id="117">
    <w:p w:rsidR="00000000" w:rsidRDefault="00274507" w:rsidP="007D7C87">
      <w:pPr>
        <w:pStyle w:val="Textonotapie"/>
        <w:jc w:val="both"/>
      </w:pPr>
      <w:r w:rsidRPr="0040672B">
        <w:rPr>
          <w:rStyle w:val="Refdenotaalpie"/>
        </w:rPr>
        <w:footnoteRef/>
      </w:r>
      <w:r w:rsidRPr="0040672B">
        <w:t xml:space="preserve"> </w:t>
      </w:r>
      <w:r w:rsidRPr="0040672B">
        <w:rPr>
          <w:i/>
        </w:rPr>
        <w:t>Cfr.</w:t>
      </w:r>
      <w:r w:rsidRPr="0040672B">
        <w:t xml:space="preserve"> Autos 260, 261 y 264 de 2012.</w:t>
      </w:r>
    </w:p>
  </w:footnote>
  <w:footnote w:id="118">
    <w:p w:rsidR="00000000" w:rsidRDefault="00274507" w:rsidP="007D7C87">
      <w:pPr>
        <w:pStyle w:val="Textonotapie"/>
        <w:jc w:val="both"/>
      </w:pPr>
      <w:r w:rsidRPr="0040672B">
        <w:rPr>
          <w:rStyle w:val="Refdenotaalpie"/>
        </w:rPr>
        <w:footnoteRef/>
      </w:r>
      <w:r w:rsidRPr="0040672B">
        <w:t xml:space="preserve"> </w:t>
      </w:r>
      <w:r w:rsidRPr="0040672B">
        <w:rPr>
          <w:i/>
        </w:rPr>
        <w:t>Cfr.</w:t>
      </w:r>
      <w:r w:rsidRPr="0040672B">
        <w:t xml:space="preserve"> Auto 144 de 2011.</w:t>
      </w:r>
    </w:p>
  </w:footnote>
  <w:footnote w:id="119">
    <w:p w:rsidR="00000000" w:rsidRDefault="00274507" w:rsidP="007D7C87">
      <w:pPr>
        <w:pStyle w:val="Textonotapie"/>
        <w:jc w:val="both"/>
      </w:pPr>
      <w:r w:rsidRPr="0040672B">
        <w:rPr>
          <w:rStyle w:val="Refdenotaalpie"/>
        </w:rPr>
        <w:footnoteRef/>
      </w:r>
      <w:r w:rsidRPr="0040672B">
        <w:t xml:space="preserve"> </w:t>
      </w:r>
      <w:r w:rsidRPr="0040672B">
        <w:rPr>
          <w:i/>
        </w:rPr>
        <w:t>Cfr</w:t>
      </w:r>
      <w:r w:rsidRPr="0040672B">
        <w:t>. Considerandos núm. 2 y 3.</w:t>
      </w:r>
    </w:p>
  </w:footnote>
  <w:footnote w:id="120">
    <w:p w:rsidR="00000000" w:rsidRDefault="00274507" w:rsidP="007D7C87">
      <w:pPr>
        <w:pStyle w:val="Textonotapie"/>
        <w:jc w:val="both"/>
      </w:pPr>
      <w:r w:rsidRPr="0040672B">
        <w:rPr>
          <w:rStyle w:val="Refdenotaalpie"/>
        </w:rPr>
        <w:footnoteRef/>
      </w:r>
      <w:r w:rsidRPr="0040672B">
        <w:t xml:space="preserve"> En la citada providencia se indicó que </w:t>
      </w:r>
      <w:r w:rsidRPr="0040672B">
        <w:rPr>
          <w:i/>
        </w:rPr>
        <w:t>“</w:t>
      </w:r>
      <w:r w:rsidRPr="0040672B">
        <w:rPr>
          <w:i/>
          <w:lang w:val="es-ES_tradnl"/>
        </w:rPr>
        <w:t>Por parámetros de estructura se hará referencia a instrumentos formales, presentados dentro de plazos fijados por la Ley y/o por la jurisprudencia constitucional, en los que el Gobierno Nacional o la entidad regulatoria definen, a partir de una metodología unificada, objetivos, un marco normativo, una estrategia, un plan de acción concreto, un cronograma y unos indicadores de desempeño, con el fin de superar los obstáculos que enfrente la materialización de los logros”.</w:t>
      </w:r>
    </w:p>
  </w:footnote>
  <w:footnote w:id="121">
    <w:p w:rsidR="00000000" w:rsidRDefault="00274507" w:rsidP="007D7C87">
      <w:pPr>
        <w:pStyle w:val="Textonotapie"/>
        <w:jc w:val="both"/>
      </w:pPr>
      <w:r w:rsidRPr="0040672B">
        <w:rPr>
          <w:rStyle w:val="Refdenotaalpie"/>
        </w:rPr>
        <w:footnoteRef/>
      </w:r>
      <w:r w:rsidRPr="0040672B">
        <w:t xml:space="preserve"> De conformidad con lo señalado en el Auto 226 de 2011, </w:t>
      </w:r>
      <w:r w:rsidRPr="0040672B">
        <w:rPr>
          <w:i/>
        </w:rPr>
        <w:t>“Los parámetros de proceso se refieren ya no a un documento o instrumento formal, sino a las acciones concretas realizadas a partir de dicho instrumento por la entidad gubernamental o regulatoria con miras a lograr la actualización integral del plan de beneficios”</w:t>
      </w:r>
      <w:r w:rsidRPr="0040672B">
        <w:t>.</w:t>
      </w:r>
    </w:p>
  </w:footnote>
  <w:footnote w:id="122">
    <w:p w:rsidR="00000000" w:rsidRDefault="00274507" w:rsidP="007D7C87">
      <w:pPr>
        <w:pStyle w:val="Textonotapie"/>
        <w:jc w:val="both"/>
      </w:pPr>
      <w:r w:rsidRPr="0040672B">
        <w:rPr>
          <w:rStyle w:val="Refdenotaalpie"/>
        </w:rPr>
        <w:footnoteRef/>
      </w:r>
      <w:r w:rsidRPr="0040672B">
        <w:t xml:space="preserve"> Se afirmó en el citado Auto 226 que </w:t>
      </w:r>
      <w:r w:rsidRPr="0040672B">
        <w:rPr>
          <w:i/>
        </w:rPr>
        <w:t>“los parámetros de resultado reflejan un grado de realización de la actualización integral del plan de beneficios, la cual hace parte de la realización del derecho fundamental a la salud”</w:t>
      </w:r>
      <w:r w:rsidRPr="0040672B">
        <w:t>.</w:t>
      </w:r>
    </w:p>
  </w:footnote>
  <w:footnote w:id="123">
    <w:p w:rsidR="00000000" w:rsidRDefault="00274507" w:rsidP="007D7C87">
      <w:pPr>
        <w:pStyle w:val="Textonotapie"/>
      </w:pPr>
      <w:r w:rsidRPr="0040672B">
        <w:rPr>
          <w:rStyle w:val="Refdenotaalpie"/>
        </w:rPr>
        <w:footnoteRef/>
      </w:r>
      <w:r w:rsidRPr="0040672B">
        <w:t xml:space="preserve"> </w:t>
      </w:r>
      <w:r w:rsidRPr="0040672B">
        <w:rPr>
          <w:i/>
        </w:rPr>
        <w:t>Cfr</w:t>
      </w:r>
      <w:r w:rsidRPr="0040672B">
        <w:t>. Considerandos núm. 2 y 3.</w:t>
      </w:r>
    </w:p>
  </w:footnote>
  <w:footnote w:id="124">
    <w:p w:rsidR="00000000" w:rsidRDefault="00274507" w:rsidP="007D7C87">
      <w:pPr>
        <w:pStyle w:val="Textonotapie"/>
      </w:pPr>
      <w:r w:rsidRPr="0040672B">
        <w:rPr>
          <w:rStyle w:val="Refdenotaalpie"/>
        </w:rPr>
        <w:footnoteRef/>
      </w:r>
      <w:r w:rsidRPr="0040672B">
        <w:t xml:space="preserve"> </w:t>
      </w:r>
      <w:r w:rsidRPr="0040672B">
        <w:rPr>
          <w:i/>
        </w:rPr>
        <w:t>Cfr.</w:t>
      </w:r>
      <w:r w:rsidRPr="0040672B">
        <w:t xml:space="preserve"> Sentencia C-351 de 2013.</w:t>
      </w:r>
    </w:p>
  </w:footnote>
  <w:footnote w:id="125">
    <w:p w:rsidR="00000000" w:rsidRDefault="00274507" w:rsidP="007D7C87">
      <w:pPr>
        <w:pStyle w:val="Textonotapie"/>
        <w:jc w:val="both"/>
      </w:pPr>
      <w:r w:rsidRPr="0040672B">
        <w:rPr>
          <w:rStyle w:val="Refdenotaalpie"/>
        </w:rPr>
        <w:footnoteRef/>
      </w:r>
      <w:r w:rsidRPr="0040672B">
        <w:t xml:space="preserve"> Entiéndase por </w:t>
      </w:r>
      <w:r w:rsidRPr="0040672B">
        <w:rPr>
          <w:b/>
        </w:rPr>
        <w:t>resultado</w:t>
      </w:r>
      <w:r w:rsidRPr="0040672B">
        <w:t>, la materialización de las medidas formales adoptadas por la autoridad obligada en el ámbito de acatamiento de la orden examinada.</w:t>
      </w:r>
    </w:p>
  </w:footnote>
  <w:footnote w:id="126">
    <w:p w:rsidR="00000000" w:rsidRDefault="00274507" w:rsidP="007D7C87">
      <w:pPr>
        <w:pStyle w:val="Textonotapie"/>
        <w:jc w:val="both"/>
      </w:pPr>
      <w:r w:rsidRPr="0040672B">
        <w:rPr>
          <w:rStyle w:val="Refdenotaalpie"/>
        </w:rPr>
        <w:footnoteRef/>
      </w:r>
      <w:r w:rsidRPr="0040672B">
        <w:t xml:space="preserve"> Entiéndase por </w:t>
      </w:r>
      <w:r w:rsidRPr="0040672B">
        <w:rPr>
          <w:b/>
        </w:rPr>
        <w:t>avance</w:t>
      </w:r>
      <w:r w:rsidRPr="0040672B">
        <w:t>, el efecto medible a partir de indicadores cuantitativos, que permitan comparar, en un periodo de tiempo determinado, la situación existente antes de la adopción de las medidas acreditadas y después de su implementación, siempre que reflejen cambios favorables en la superación de la falla estructural en el sistema de salud.</w:t>
      </w:r>
    </w:p>
  </w:footnote>
  <w:footnote w:id="127">
    <w:p w:rsidR="00000000" w:rsidRDefault="00274507" w:rsidP="007D7C87">
      <w:pPr>
        <w:pStyle w:val="Textonotapie"/>
      </w:pPr>
      <w:r w:rsidRPr="0040672B">
        <w:rPr>
          <w:rStyle w:val="Refdenotaalpie"/>
        </w:rPr>
        <w:footnoteRef/>
      </w:r>
      <w:r w:rsidRPr="0040672B">
        <w:t xml:space="preserve"> De conformidad con el artículo 277.1 de la Constitución Política corresponde al Procurador General de la Nación vigilar el cumplimiento de las decisiones judiciales.</w:t>
      </w:r>
    </w:p>
  </w:footnote>
  <w:footnote w:id="128">
    <w:p w:rsidR="00000000" w:rsidRDefault="00274507" w:rsidP="007D7C87">
      <w:pPr>
        <w:pStyle w:val="Textonotapie"/>
        <w:jc w:val="both"/>
      </w:pPr>
      <w:r w:rsidRPr="0040672B">
        <w:rPr>
          <w:rStyle w:val="Refdenotaalpie"/>
        </w:rPr>
        <w:footnoteRef/>
      </w:r>
      <w:r w:rsidRPr="0040672B">
        <w:t xml:space="preserve"> </w:t>
      </w:r>
      <w:r w:rsidRPr="0040672B">
        <w:rPr>
          <w:i/>
        </w:rPr>
        <w:t xml:space="preserve">Cfr. </w:t>
      </w:r>
      <w:r w:rsidRPr="0040672B">
        <w:t xml:space="preserve">Constitución Política art. 277.1: </w:t>
      </w:r>
      <w:r w:rsidRPr="0040672B">
        <w:rPr>
          <w:i/>
        </w:rPr>
        <w:t>“El Procurador General de la Nación, por sí o por medio de sus delegados y agentes, tendrá las siguientes funciones: 1. Vigilar el cumplimiento de la Constitución, las leyes, las decisiones judiciales y los actos administrativos”</w:t>
      </w:r>
      <w:r w:rsidRPr="0040672B">
        <w:t xml:space="preserve">. || Decreto Ley 262 de 2000 art. 24.1: </w:t>
      </w:r>
      <w:r w:rsidRPr="0040672B">
        <w:rPr>
          <w:i/>
        </w:rPr>
        <w:t>“FUNCIONES PREVENTIVAS Y DE CONTROL DE GESTIÓN. Sin perjuicio de lo dispuesto en la ley, las procuradurías delegadas tienen las siguientes funciones de vigilancia superior, con fines preventivos y de control de gestión: 1. Velar por el cumplimiento de las disposiciones constitucionales y legales, así como de las decisiones judiciales y administrativas”.</w:t>
      </w:r>
      <w:r w:rsidRPr="0040672B">
        <w:t xml:space="preserve"> || </w:t>
      </w:r>
      <w:r w:rsidRPr="0040672B">
        <w:rPr>
          <w:bCs/>
        </w:rPr>
        <w:t>Resolución 490 de 2008, p</w:t>
      </w:r>
      <w:r w:rsidRPr="0040672B">
        <w:rPr>
          <w:bCs/>
          <w:iCs/>
        </w:rPr>
        <w:t xml:space="preserve">or medio de la cual </w:t>
      </w:r>
      <w:r w:rsidRPr="0040672B">
        <w:rPr>
          <w:bCs/>
        </w:rPr>
        <w:t xml:space="preserve">se </w:t>
      </w:r>
      <w:r w:rsidRPr="0040672B">
        <w:rPr>
          <w:bCs/>
          <w:iCs/>
        </w:rPr>
        <w:t xml:space="preserve">crea el Sistema Integral de Prevención </w:t>
      </w:r>
      <w:r w:rsidRPr="0040672B">
        <w:rPr>
          <w:bCs/>
        </w:rPr>
        <w:t xml:space="preserve">y se </w:t>
      </w:r>
      <w:r w:rsidRPr="0040672B">
        <w:rPr>
          <w:bCs/>
          <w:iCs/>
        </w:rPr>
        <w:t xml:space="preserve">establecen los principios </w:t>
      </w:r>
      <w:r w:rsidRPr="0040672B">
        <w:rPr>
          <w:bCs/>
        </w:rPr>
        <w:t xml:space="preserve">y </w:t>
      </w:r>
      <w:r w:rsidRPr="0040672B">
        <w:rPr>
          <w:bCs/>
          <w:iCs/>
        </w:rPr>
        <w:t xml:space="preserve">criterios correspondientes al ejercicio de la función preventiva a cargo de la Procuraduría General de la Nación </w:t>
      </w:r>
      <w:r w:rsidRPr="0040672B">
        <w:rPr>
          <w:bCs/>
        </w:rPr>
        <w:t xml:space="preserve">y se </w:t>
      </w:r>
      <w:r w:rsidRPr="0040672B">
        <w:rPr>
          <w:bCs/>
          <w:iCs/>
        </w:rPr>
        <w:t>dictan otras disposiciones.</w:t>
      </w:r>
    </w:p>
  </w:footnote>
  <w:footnote w:id="129">
    <w:p w:rsidR="00000000" w:rsidRDefault="00274507" w:rsidP="007D7C87">
      <w:pPr>
        <w:pStyle w:val="Textonotapie"/>
        <w:jc w:val="both"/>
      </w:pPr>
      <w:r w:rsidRPr="0040672B">
        <w:rPr>
          <w:rStyle w:val="Refdenotaalpie"/>
        </w:rPr>
        <w:footnoteRef/>
      </w:r>
      <w:r w:rsidRPr="0040672B">
        <w:t xml:space="preserve"> En virtud del artículo 277.6 Superior, corresponde al Procurador General de la Nación ejercer la vigilancia superior de la conducta oficial de quienes desempeñen funciones públicas.</w:t>
      </w:r>
    </w:p>
  </w:footnote>
  <w:footnote w:id="130">
    <w:p w:rsidR="00000000" w:rsidRDefault="00274507" w:rsidP="007638B3">
      <w:pPr>
        <w:pStyle w:val="Textonotapie"/>
        <w:jc w:val="both"/>
      </w:pPr>
      <w:r w:rsidRPr="0040672B">
        <w:rPr>
          <w:rStyle w:val="Refdenotaalpie"/>
        </w:rPr>
        <w:footnoteRef/>
      </w:r>
      <w:r w:rsidRPr="0040672B">
        <w:t>Sentencia T-760 de 2008, consideración jurídica 9.</w:t>
      </w:r>
    </w:p>
  </w:footnote>
  <w:footnote w:id="131">
    <w:p w:rsidR="00000000" w:rsidRDefault="00274507" w:rsidP="007638B3">
      <w:pPr>
        <w:pStyle w:val="Textonotapie"/>
        <w:jc w:val="both"/>
      </w:pPr>
      <w:r w:rsidRPr="0040672B">
        <w:rPr>
          <w:rStyle w:val="Refdenotaalpie"/>
        </w:rPr>
        <w:footnoteRef/>
      </w:r>
      <w:r w:rsidRPr="0040672B">
        <w:t xml:space="preserve"> Al momento de la expedición de la Sentencia T-760 de 2008, existían dos planes obligatorios de salud, uno para el régimen contributivo y otro para el subsidiado. Actualmente, se cuenta con un plan de beneficios unificado para ambos regímenes (Acuerdo 32 de 2012), actualizado mediante la Resolución 5521 de 2013.</w:t>
      </w:r>
    </w:p>
  </w:footnote>
  <w:footnote w:id="132">
    <w:p w:rsidR="00000000" w:rsidRDefault="00274507" w:rsidP="007638B3">
      <w:pPr>
        <w:pStyle w:val="Textonotapie"/>
        <w:jc w:val="both"/>
      </w:pPr>
      <w:r w:rsidRPr="0040672B">
        <w:rPr>
          <w:rStyle w:val="Refdenotaalpie"/>
        </w:rPr>
        <w:footnoteRef/>
      </w:r>
      <w:r w:rsidRPr="0040672B">
        <w:t xml:space="preserve"> Ministerio de Salud y Protección Social y Superintendencia Nacional de Salud.</w:t>
      </w:r>
    </w:p>
  </w:footnote>
  <w:footnote w:id="133">
    <w:p w:rsidR="00000000" w:rsidRDefault="00274507" w:rsidP="00FB1234">
      <w:pPr>
        <w:jc w:val="both"/>
      </w:pPr>
      <w:r w:rsidRPr="0040672B">
        <w:rPr>
          <w:sz w:val="20"/>
          <w:szCs w:val="20"/>
          <w:vertAlign w:val="superscript"/>
        </w:rPr>
        <w:footnoteRef/>
      </w:r>
      <w:r w:rsidRPr="0040672B">
        <w:rPr>
          <w:sz w:val="20"/>
          <w:szCs w:val="20"/>
        </w:rPr>
        <w:t xml:space="preserve"> Corte Constitucional, sentencia T-010 de 2004. En este caso se consideró lo siguiente: “</w:t>
      </w:r>
      <w:r w:rsidRPr="0040672B">
        <w:rPr>
          <w:i/>
          <w:iCs/>
          <w:sz w:val="20"/>
          <w:szCs w:val="20"/>
        </w:rPr>
        <w:t>Las normas diseñadas por los órganos reguladores para corregir los efectos perversos que genera la concentración de los costos de los tratamientos de valor elevado en unas pocas EPS y ARS, son necesarias para garantizar el goce efectivo de los derechos de las personas que padecen estas enfermedades. Un manejo inadecuado de los recursos existentes para atender estas enfermedades puede implicar la imposibilidad de recibir un servicio de calidad, o incluso, de recibir el servicio mismo</w:t>
      </w:r>
      <w:r w:rsidRPr="0040672B">
        <w:rPr>
          <w:sz w:val="20"/>
          <w:szCs w:val="20"/>
        </w:rPr>
        <w:t>.”</w:t>
      </w:r>
    </w:p>
  </w:footnote>
  <w:footnote w:id="134">
    <w:p w:rsidR="00000000" w:rsidRDefault="00274507" w:rsidP="00DC341D">
      <w:pPr>
        <w:pStyle w:val="Textonotapie"/>
        <w:jc w:val="both"/>
      </w:pPr>
      <w:r w:rsidRPr="0040672B">
        <w:rPr>
          <w:vertAlign w:val="superscript"/>
        </w:rPr>
        <w:footnoteRef/>
      </w:r>
      <w:r w:rsidRPr="0040672B">
        <w:t xml:space="preserve"> T-760 de 2008, consideración jurídica 6. Inciso 2.  Tomado del </w:t>
      </w:r>
      <w:r w:rsidRPr="0040672B">
        <w:rPr>
          <w:shd w:val="clear" w:color="auto" w:fill="FFFFFF"/>
        </w:rPr>
        <w:t>informe adelantado por la Defensoría del Pueblo “</w:t>
      </w:r>
      <w:r w:rsidRPr="0040672B">
        <w:rPr>
          <w:i/>
          <w:shd w:val="clear" w:color="auto" w:fill="FFFFFF"/>
        </w:rPr>
        <w:t>la tutela y el derecho a la salud periodo 2003-2005</w:t>
      </w:r>
      <w:r w:rsidRPr="0040672B">
        <w:rPr>
          <w:shd w:val="clear" w:color="auto" w:fill="FFFFFF"/>
        </w:rPr>
        <w:t>” “…</w:t>
      </w:r>
      <w:r w:rsidRPr="0040672B">
        <w:rPr>
          <w:i/>
          <w:lang w:val="es-MX"/>
        </w:rPr>
        <w:t>El aumento del número de tutelas en salud y su proporción respecto de todos los amparos muestra la manera como la protección del derecho a la salud ha pasado a ser un asunto primordial para los jueces de tutela del país. Sin embargo, estrictamente hablando no es una información completa para sacar conclusiones acerca del sistema de seguridad social en salud, o de su capacidad de proteger y respetar el derecho a la salud de las personas. Esto, pues el número de tutelas, por sí sólo, no tiene en cuenta el cambio de la magnitud de actividades del sistema. Ahora bien, si tenemos en cuenta el número de tutelas por cada diez mil afiliados, constatamos que la proporción de afiliados que se ven obligados a presentar tutela ha ido creciendo. La tasa de tutelas por cada diez mil afiliados pasó de 9.7 en 1999, a 23.7 en 2005 (fuente de número de afiliados provenientes del Informe de Consejo de Seguridad Social en Salud al Congreso para los años 2006-2007). De otra parte, los datos provenientes de la relatoría de la Corte Constitucional han de ser interpretados con cautela debido a dos razones: la primera, es que muchas tutelas interpuestas para la protección de otros derechos pueden buscar en la práctica la provisión de un servicio de salud. El caso más evidente es el del derecho a la vida, que en ocasiones se nombra como el derecho que se busca proteger en casos en los que la vulneración del derecho a la salud implica un riesgo para la vida. La segunda razón es que el protocolo mediante el cual la Corte Constitucional codifica los datos acerca del derecho impetrado en las tutelas puede cambiar, de despacho a despacho, y a medida que pasa el tiempo</w:t>
      </w:r>
      <w:r w:rsidRPr="0040672B">
        <w:rPr>
          <w:lang w:val="es-MX"/>
        </w:rPr>
        <w:t>…”</w:t>
      </w:r>
    </w:p>
  </w:footnote>
  <w:footnote w:id="135">
    <w:p w:rsidR="00000000" w:rsidRDefault="00274507" w:rsidP="00DC341D">
      <w:pPr>
        <w:pStyle w:val="Textonotapie"/>
        <w:jc w:val="both"/>
      </w:pPr>
      <w:r w:rsidRPr="0040672B">
        <w:rPr>
          <w:rStyle w:val="Refdenotaalpie"/>
        </w:rPr>
        <w:footnoteRef/>
      </w:r>
      <w:r w:rsidRPr="0040672B">
        <w:t xml:space="preserve"> </w:t>
      </w:r>
      <w:r w:rsidRPr="0040672B">
        <w:rPr>
          <w:i/>
        </w:rPr>
        <w:t xml:space="preserve">Cfr. </w:t>
      </w:r>
      <w:r w:rsidRPr="0040672B">
        <w:t>Sentencia T-760 de 2008, consideración jurídica 6.</w:t>
      </w:r>
    </w:p>
  </w:footnote>
  <w:footnote w:id="136">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XXX-A, folios 2-15.</w:t>
      </w:r>
    </w:p>
  </w:footnote>
  <w:footnote w:id="137">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XXX-A, folios 121-135.</w:t>
      </w:r>
    </w:p>
  </w:footnote>
  <w:footnote w:id="138">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XXX-A, folios 165-177.</w:t>
      </w:r>
    </w:p>
  </w:footnote>
  <w:footnote w:id="139">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XXX-A, folios 184-213.</w:t>
      </w:r>
    </w:p>
  </w:footnote>
  <w:footnote w:id="140">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XXX-A, folios 298-357.</w:t>
      </w:r>
    </w:p>
  </w:footnote>
  <w:footnote w:id="141">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XXX-B folios 724-750.</w:t>
      </w:r>
    </w:p>
  </w:footnote>
  <w:footnote w:id="142">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XXX-B folios 755-787 y 830-867.</w:t>
      </w:r>
    </w:p>
  </w:footnote>
  <w:footnote w:id="143">
    <w:p w:rsidR="00000000" w:rsidRDefault="00274507" w:rsidP="00F7714A">
      <w:pPr>
        <w:pStyle w:val="Textonotapie"/>
        <w:jc w:val="both"/>
      </w:pPr>
      <w:r w:rsidRPr="0040672B">
        <w:rPr>
          <w:rStyle w:val="Refdenotaalpie"/>
        </w:rPr>
        <w:footnoteRef/>
      </w:r>
      <w:r w:rsidRPr="0040672B">
        <w:t xml:space="preserve"> </w:t>
      </w:r>
      <w:r w:rsidRPr="0040672B">
        <w:rPr>
          <w:i/>
        </w:rPr>
        <w:t xml:space="preserve">Cfr. </w:t>
      </w:r>
      <w:r w:rsidRPr="0040672B">
        <w:t>AZ Orden XXX-B folios 996-1092.</w:t>
      </w:r>
    </w:p>
  </w:footnote>
  <w:footnote w:id="144">
    <w:p w:rsidR="00000000" w:rsidRDefault="00274507">
      <w:pPr>
        <w:pStyle w:val="Textonotapie"/>
      </w:pPr>
      <w:r w:rsidRPr="0040672B">
        <w:rPr>
          <w:rStyle w:val="Refdenotaalpie"/>
        </w:rPr>
        <w:footnoteRef/>
      </w:r>
      <w:r w:rsidRPr="0040672B">
        <w:t xml:space="preserve"> Artículo 209 de la Constitución Política de Colombia.</w:t>
      </w:r>
    </w:p>
  </w:footnote>
  <w:footnote w:id="145">
    <w:p w:rsidR="00000000" w:rsidRDefault="00274507" w:rsidP="00F7714A">
      <w:pPr>
        <w:pStyle w:val="Textonotapie"/>
        <w:jc w:val="both"/>
      </w:pPr>
      <w:r w:rsidRPr="0040672B">
        <w:rPr>
          <w:rStyle w:val="Refdenotaalpie"/>
        </w:rPr>
        <w:footnoteRef/>
      </w:r>
      <w:r w:rsidRPr="0040672B">
        <w:t xml:space="preserve"> </w:t>
      </w:r>
      <w:r w:rsidRPr="0040672B">
        <w:rPr>
          <w:i/>
        </w:rPr>
        <w:t>Cfr.</w:t>
      </w:r>
      <w:r w:rsidRPr="0040672B">
        <w:t xml:space="preserve"> AZ Orden XXX-B, folios 597-611.</w:t>
      </w:r>
    </w:p>
  </w:footnote>
  <w:footnote w:id="146">
    <w:p w:rsidR="00000000" w:rsidRDefault="00274507" w:rsidP="00F7714A">
      <w:pPr>
        <w:pStyle w:val="Textonotapie"/>
        <w:jc w:val="both"/>
      </w:pPr>
      <w:r w:rsidRPr="0040672B">
        <w:rPr>
          <w:rStyle w:val="Refdenotaalpie"/>
        </w:rPr>
        <w:footnoteRef/>
      </w:r>
      <w:r w:rsidRPr="0040672B">
        <w:t xml:space="preserve"> </w:t>
      </w:r>
      <w:r w:rsidRPr="0040672B">
        <w:rPr>
          <w:i/>
        </w:rPr>
        <w:t>Cfr.</w:t>
      </w:r>
      <w:r w:rsidRPr="0040672B">
        <w:t xml:space="preserve"> AZ Orden XXX-B, folios 674-684.</w:t>
      </w:r>
    </w:p>
  </w:footnote>
  <w:footnote w:id="147">
    <w:p w:rsidR="00000000" w:rsidRDefault="00274507">
      <w:pPr>
        <w:pStyle w:val="Textonotapie"/>
      </w:pPr>
      <w:r w:rsidRPr="0040672B">
        <w:rPr>
          <w:rStyle w:val="Refdenotaalpie"/>
        </w:rPr>
        <w:footnoteRef/>
      </w:r>
      <w:r w:rsidRPr="0040672B">
        <w:t xml:space="preserve"> Auto de 13 de julio de 2009 (</w:t>
      </w:r>
      <w:r w:rsidRPr="0040672B">
        <w:rPr>
          <w:i/>
        </w:rPr>
        <w:t xml:space="preserve">Cfr. </w:t>
      </w:r>
      <w:r w:rsidRPr="0040672B">
        <w:t>AZ Orden XXX-A, folios 27-29) y Auto de 5 de septiembre de 2014 (</w:t>
      </w:r>
      <w:r w:rsidRPr="0040672B">
        <w:rPr>
          <w:i/>
        </w:rPr>
        <w:t xml:space="preserve">Cfr. </w:t>
      </w:r>
      <w:r w:rsidRPr="0040672B">
        <w:t>AZ Orden XXX-B, folios 593-595).</w:t>
      </w:r>
    </w:p>
  </w:footnote>
  <w:footnote w:id="148">
    <w:p w:rsidR="00000000" w:rsidRDefault="00274507" w:rsidP="00E206E5">
      <w:pPr>
        <w:pStyle w:val="Textonotapie"/>
      </w:pPr>
      <w:r w:rsidRPr="0040672B">
        <w:rPr>
          <w:rStyle w:val="Refdenotaalpie"/>
        </w:rPr>
        <w:footnoteRef/>
      </w:r>
      <w:r w:rsidRPr="0040672B">
        <w:t xml:space="preserve"> </w:t>
      </w:r>
      <w:r w:rsidRPr="0040672B">
        <w:rPr>
          <w:i/>
        </w:rPr>
        <w:t xml:space="preserve">Cfr. </w:t>
      </w:r>
      <w:r w:rsidRPr="0040672B">
        <w:t>AZ Orden XXX-A, folios 29-36.</w:t>
      </w:r>
    </w:p>
  </w:footnote>
  <w:footnote w:id="149">
    <w:p w:rsidR="00000000" w:rsidRDefault="00274507">
      <w:pPr>
        <w:pStyle w:val="Textonotapie"/>
      </w:pPr>
      <w:r w:rsidRPr="0040672B">
        <w:rPr>
          <w:rStyle w:val="Refdenotaalpie"/>
        </w:rPr>
        <w:footnoteRef/>
      </w:r>
      <w:r w:rsidRPr="0040672B">
        <w:t xml:space="preserve"> </w:t>
      </w:r>
      <w:r w:rsidRPr="0040672B">
        <w:rPr>
          <w:i/>
        </w:rPr>
        <w:t>Cfr.</w:t>
      </w:r>
      <w:r w:rsidRPr="0040672B">
        <w:t xml:space="preserve"> AZ Orden XXX-B, folios 37-39.</w:t>
      </w:r>
    </w:p>
  </w:footnote>
  <w:footnote w:id="150">
    <w:p w:rsidR="00000000" w:rsidRDefault="00274507">
      <w:pPr>
        <w:pStyle w:val="Textonotapie"/>
      </w:pPr>
      <w:r w:rsidRPr="0040672B">
        <w:rPr>
          <w:rStyle w:val="Refdenotaalpie"/>
        </w:rPr>
        <w:footnoteRef/>
      </w:r>
      <w:r w:rsidRPr="0040672B">
        <w:t xml:space="preserve"> </w:t>
      </w:r>
      <w:r w:rsidRPr="0040672B">
        <w:rPr>
          <w:i/>
        </w:rPr>
        <w:t>Cfr.</w:t>
      </w:r>
      <w:r w:rsidRPr="0040672B">
        <w:t xml:space="preserve"> AZ Orden XXX-B, folios 99-104.</w:t>
      </w:r>
    </w:p>
  </w:footnote>
  <w:footnote w:id="151">
    <w:p w:rsidR="00000000" w:rsidRDefault="00274507">
      <w:pPr>
        <w:pStyle w:val="Textonotapie"/>
      </w:pPr>
      <w:r w:rsidRPr="0040672B">
        <w:rPr>
          <w:rStyle w:val="Refdenotaalpie"/>
        </w:rPr>
        <w:footnoteRef/>
      </w:r>
      <w:r w:rsidRPr="0040672B">
        <w:t xml:space="preserve"> </w:t>
      </w:r>
      <w:r w:rsidRPr="0040672B">
        <w:rPr>
          <w:i/>
        </w:rPr>
        <w:t xml:space="preserve">Cfr. </w:t>
      </w:r>
      <w:r w:rsidRPr="0040672B">
        <w:t>AZ Orden XXX-B, folios 597-600.</w:t>
      </w:r>
    </w:p>
  </w:footnote>
  <w:footnote w:id="152">
    <w:p w:rsidR="00000000" w:rsidRDefault="00274507" w:rsidP="00FB0268">
      <w:pPr>
        <w:pStyle w:val="Textonotapie"/>
        <w:jc w:val="both"/>
      </w:pPr>
      <w:r w:rsidRPr="0040672B">
        <w:rPr>
          <w:rStyle w:val="Refdenotaalpie"/>
        </w:rPr>
        <w:footnoteRef/>
      </w:r>
      <w:r w:rsidRPr="0040672B">
        <w:t xml:space="preserve"> </w:t>
      </w:r>
      <w:r w:rsidRPr="0040672B">
        <w:rPr>
          <w:i/>
        </w:rPr>
        <w:t>Cfr.</w:t>
      </w:r>
      <w:r w:rsidRPr="0040672B">
        <w:t xml:space="preserve"> AZ Orden XXX-B, folio 674 (cartilla aportada).</w:t>
      </w:r>
    </w:p>
  </w:footnote>
  <w:footnote w:id="153">
    <w:p w:rsidR="00000000" w:rsidRDefault="00274507">
      <w:pPr>
        <w:pStyle w:val="Textonotapie"/>
      </w:pPr>
      <w:r w:rsidRPr="0040672B">
        <w:rPr>
          <w:rStyle w:val="Refdenotaalpie"/>
        </w:rPr>
        <w:footnoteRef/>
      </w:r>
      <w:r w:rsidRPr="0040672B">
        <w:t xml:space="preserve"> Término que fijó la misma autoridad en la Circular 056 de 2008.</w:t>
      </w:r>
    </w:p>
  </w:footnote>
  <w:footnote w:id="154">
    <w:p w:rsidR="00274507" w:rsidRPr="0040672B" w:rsidRDefault="00274507" w:rsidP="00C56B2E">
      <w:pPr>
        <w:pStyle w:val="Textonotapie"/>
        <w:jc w:val="both"/>
        <w:rPr>
          <w:bCs/>
          <w:iCs/>
        </w:rPr>
      </w:pPr>
      <w:r w:rsidRPr="0040672B">
        <w:rPr>
          <w:rStyle w:val="Refdenotaalpie"/>
        </w:rPr>
        <w:footnoteRef/>
      </w:r>
      <w:r w:rsidRPr="0040672B">
        <w:t xml:space="preserve"> </w:t>
      </w:r>
      <w:r w:rsidRPr="0040672B">
        <w:rPr>
          <w:i/>
        </w:rPr>
        <w:t xml:space="preserve">Cfr. </w:t>
      </w:r>
      <w:r w:rsidRPr="0040672B">
        <w:t xml:space="preserve">Constitución Política art. 277.1: </w:t>
      </w:r>
      <w:r w:rsidRPr="0040672B">
        <w:rPr>
          <w:i/>
        </w:rPr>
        <w:t>“El Procurador General de la Nación, por sí o por medio de sus delegados y agentes, tendrá las siguientes funciones: 1. Vigilar el cumplimiento de la Constitución, las leyes, las decisiones judiciales y los actos administrativos”</w:t>
      </w:r>
      <w:r w:rsidRPr="0040672B">
        <w:t xml:space="preserve">. || Decreto Ley 262 de 2000 art. 24.1: </w:t>
      </w:r>
      <w:r w:rsidRPr="0040672B">
        <w:rPr>
          <w:i/>
        </w:rPr>
        <w:t>“FUNCIONES PREVENTIVAS Y DE CONTROL DE GESTIÓN. Sin perjuicio de lo dispuesto en la ley, las procuradurías delegadas tienen las siguientes funciones de vigilancia superior, con fines preventivos y de control de gestión: 1. Velar por el cumplimiento de las disposiciones constitucionales y legales, así como de las decisiones judiciales y administrativas”.</w:t>
      </w:r>
      <w:r w:rsidRPr="0040672B">
        <w:t xml:space="preserve"> || </w:t>
      </w:r>
      <w:r w:rsidRPr="0040672B">
        <w:rPr>
          <w:bCs/>
        </w:rPr>
        <w:t>Resolución 490 de 2008, p</w:t>
      </w:r>
      <w:r w:rsidRPr="0040672B">
        <w:rPr>
          <w:bCs/>
          <w:iCs/>
        </w:rPr>
        <w:t xml:space="preserve">or medio de la cual </w:t>
      </w:r>
      <w:r w:rsidRPr="0040672B">
        <w:rPr>
          <w:bCs/>
        </w:rPr>
        <w:t xml:space="preserve">se </w:t>
      </w:r>
      <w:r w:rsidRPr="0040672B">
        <w:rPr>
          <w:bCs/>
          <w:iCs/>
        </w:rPr>
        <w:t xml:space="preserve">crea el Sistema Integral de Prevención </w:t>
      </w:r>
      <w:r w:rsidRPr="0040672B">
        <w:rPr>
          <w:bCs/>
        </w:rPr>
        <w:t xml:space="preserve">y se </w:t>
      </w:r>
      <w:r w:rsidRPr="0040672B">
        <w:rPr>
          <w:bCs/>
          <w:iCs/>
        </w:rPr>
        <w:t>estab</w:t>
      </w:r>
    </w:p>
    <w:p w:rsidR="00000000" w:rsidRDefault="00274507" w:rsidP="00C56B2E">
      <w:pPr>
        <w:pStyle w:val="Textonotapie"/>
        <w:jc w:val="both"/>
      </w:pPr>
      <w:r w:rsidRPr="0040672B">
        <w:rPr>
          <w:bCs/>
          <w:iCs/>
        </w:rPr>
        <w:t xml:space="preserve">lecen los principios </w:t>
      </w:r>
      <w:r w:rsidRPr="0040672B">
        <w:rPr>
          <w:bCs/>
        </w:rPr>
        <w:t xml:space="preserve">y </w:t>
      </w:r>
      <w:r w:rsidRPr="0040672B">
        <w:rPr>
          <w:bCs/>
          <w:iCs/>
        </w:rPr>
        <w:t xml:space="preserve">criterios correspondientes al ejercicio de la función preventiva a cargo de la Procuraduría General de la Nación </w:t>
      </w:r>
      <w:r w:rsidRPr="0040672B">
        <w:rPr>
          <w:bCs/>
        </w:rPr>
        <w:t xml:space="preserve">y se </w:t>
      </w:r>
      <w:r w:rsidRPr="0040672B">
        <w:rPr>
          <w:bCs/>
          <w:iCs/>
        </w:rPr>
        <w:t>dictan otras disposiciones.</w:t>
      </w:r>
    </w:p>
  </w:footnote>
  <w:footnote w:id="155">
    <w:p w:rsidR="00000000" w:rsidRDefault="00274507" w:rsidP="000D602C">
      <w:pPr>
        <w:pStyle w:val="Textonotapie"/>
        <w:jc w:val="both"/>
      </w:pPr>
      <w:r w:rsidRPr="0040672B">
        <w:rPr>
          <w:rStyle w:val="Refdenotaalpie"/>
        </w:rPr>
        <w:footnoteRef/>
      </w:r>
      <w:r w:rsidRPr="0040672B">
        <w:t xml:space="preserve">  “…</w:t>
      </w:r>
      <w:r w:rsidRPr="0040672B">
        <w:rPr>
          <w:i/>
        </w:rPr>
        <w:t>Artículo 3. FUNCIÓN PREVENTIVA INTEGRAL. Todas las funciones misionales que ejerce la Procuraduría General de la Nación incorporan en su gestión elementos preventivos por lo que, los procesos misionales, estratégicos y de apoyo en el marco de los cuales opera la gestión de la entidad deberán coadyuvar el ejercicio de la prevención para garantizar los derechos de los ciudadanos</w:t>
      </w:r>
      <w:r w:rsidRPr="0040672B">
        <w:t>…”</w:t>
      </w:r>
    </w:p>
  </w:footnote>
  <w:footnote w:id="156">
    <w:p w:rsidR="00000000" w:rsidRDefault="00274507">
      <w:pPr>
        <w:pStyle w:val="Textonotapie"/>
      </w:pPr>
      <w:r w:rsidRPr="0040672B">
        <w:rPr>
          <w:rStyle w:val="Refdenotaalpie"/>
        </w:rPr>
        <w:footnoteRef/>
      </w:r>
      <w:r w:rsidRPr="0040672B">
        <w:t xml:space="preserve"> Autos de 13 de julio de 2009 y 411 de 2015 (orden décimo novena).</w:t>
      </w:r>
    </w:p>
  </w:footnote>
  <w:footnote w:id="157">
    <w:p w:rsidR="00000000" w:rsidRDefault="00274507">
      <w:pPr>
        <w:pStyle w:val="Textonotapie"/>
      </w:pPr>
      <w:r w:rsidRPr="0040672B">
        <w:rPr>
          <w:rStyle w:val="Refdenotaalpie"/>
        </w:rPr>
        <w:footnoteRef/>
      </w:r>
      <w:r w:rsidRPr="0040672B">
        <w:t xml:space="preserve"> </w:t>
      </w:r>
      <w:r w:rsidRPr="0040672B">
        <w:rPr>
          <w:i/>
        </w:rPr>
        <w:t xml:space="preserve">Cfr. </w:t>
      </w:r>
      <w:r w:rsidRPr="0040672B">
        <w:t>AZ Orden XXX-A, folios 16-26 (25 de junio de 2009) y folios 114-120 (17 de junio de 2010).</w:t>
      </w:r>
    </w:p>
  </w:footnote>
  <w:footnote w:id="158">
    <w:p w:rsidR="00000000" w:rsidRDefault="00274507" w:rsidP="00F7714A">
      <w:pPr>
        <w:pStyle w:val="Textonotapie"/>
        <w:jc w:val="both"/>
      </w:pPr>
      <w:r w:rsidRPr="0040672B">
        <w:rPr>
          <w:rStyle w:val="Refdenotaalpie"/>
        </w:rPr>
        <w:footnoteRef/>
      </w:r>
      <w:r w:rsidRPr="0040672B">
        <w:t xml:space="preserve"> A partir del quinto informe presentando el análisis concerniente al año 2012.</w:t>
      </w:r>
    </w:p>
  </w:footnote>
  <w:footnote w:id="159">
    <w:p w:rsidR="00000000" w:rsidRDefault="00274507" w:rsidP="00FA168C">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AZ Orden XXX-A, folios 433-442.</w:t>
      </w:r>
    </w:p>
  </w:footnote>
  <w:footnote w:id="160">
    <w:p w:rsidR="00000000" w:rsidRDefault="00274507" w:rsidP="00CB5CD2">
      <w:pPr>
        <w:pStyle w:val="Sinespaciado"/>
      </w:pPr>
      <w:r w:rsidRPr="0040672B">
        <w:rPr>
          <w:rStyle w:val="Refdenotaalpie"/>
          <w:sz w:val="20"/>
          <w:szCs w:val="20"/>
        </w:rPr>
        <w:footnoteRef/>
      </w:r>
      <w:r w:rsidRPr="0040672B">
        <w:rPr>
          <w:sz w:val="20"/>
          <w:szCs w:val="20"/>
        </w:rPr>
        <w:t xml:space="preserve"> “…</w:t>
      </w:r>
      <w:r w:rsidRPr="0040672B">
        <w:rPr>
          <w:sz w:val="20"/>
          <w:szCs w:val="20"/>
          <w:shd w:val="clear" w:color="auto" w:fill="FFFFFF"/>
        </w:rPr>
        <w:t>Por el cual se define, aclara y actualiza integralmente el Plan Obligatorio de Salud…”</w:t>
      </w:r>
    </w:p>
  </w:footnote>
  <w:footnote w:id="161">
    <w:p w:rsidR="00000000" w:rsidRDefault="00274507">
      <w:pPr>
        <w:pStyle w:val="Textonotapie"/>
      </w:pPr>
      <w:r w:rsidRPr="0040672B">
        <w:rPr>
          <w:rStyle w:val="Refdenotaalpie"/>
        </w:rPr>
        <w:footnoteRef/>
      </w:r>
      <w:r w:rsidRPr="0040672B">
        <w:t xml:space="preserve"> Liquidada </w:t>
      </w:r>
      <w:r w:rsidRPr="0040672B">
        <w:rPr>
          <w:shd w:val="clear" w:color="auto" w:fill="FFFFFF"/>
        </w:rPr>
        <w:t>mediante el Decreto 2560 de diciembre de 2012.</w:t>
      </w:r>
    </w:p>
  </w:footnote>
  <w:footnote w:id="162">
    <w:p w:rsidR="00000000" w:rsidRDefault="00274507" w:rsidP="00CB5CD2">
      <w:pPr>
        <w:pStyle w:val="Sinespaciado"/>
      </w:pPr>
      <w:r w:rsidRPr="0040672B">
        <w:rPr>
          <w:rStyle w:val="Refdenotaalpie"/>
          <w:sz w:val="20"/>
          <w:szCs w:val="20"/>
        </w:rPr>
        <w:footnoteRef/>
      </w:r>
      <w:r w:rsidRPr="0040672B">
        <w:rPr>
          <w:sz w:val="20"/>
          <w:szCs w:val="20"/>
        </w:rPr>
        <w:t xml:space="preserve"> Cfr. AZ Orden XXX-A, folios 330 y 331 (3.1.8).</w:t>
      </w:r>
    </w:p>
  </w:footnote>
  <w:footnote w:id="163">
    <w:p w:rsidR="00000000" w:rsidRDefault="00274507" w:rsidP="00CB5CD2">
      <w:pPr>
        <w:pStyle w:val="Sinespaciado"/>
      </w:pPr>
      <w:r w:rsidRPr="0040672B">
        <w:rPr>
          <w:rStyle w:val="Refdenotaalpie"/>
          <w:sz w:val="20"/>
          <w:szCs w:val="20"/>
        </w:rPr>
        <w:footnoteRef/>
      </w:r>
      <w:r w:rsidRPr="0040672B">
        <w:rPr>
          <w:sz w:val="20"/>
          <w:szCs w:val="20"/>
        </w:rPr>
        <w:t xml:space="preserve"> Cfr. AZ Orden XXX-B, folios  433 a 442.</w:t>
      </w:r>
    </w:p>
  </w:footnote>
  <w:footnote w:id="164">
    <w:p w:rsidR="00000000" w:rsidRDefault="00274507" w:rsidP="00F7714A">
      <w:pPr>
        <w:pStyle w:val="Textonotapie"/>
        <w:jc w:val="both"/>
      </w:pPr>
      <w:r w:rsidRPr="0040672B">
        <w:rPr>
          <w:rStyle w:val="Refdenotaalpie"/>
        </w:rPr>
        <w:footnoteRef/>
      </w:r>
      <w:r w:rsidRPr="0040672B">
        <w:t xml:space="preserve"> </w:t>
      </w:r>
      <w:r w:rsidRPr="0040672B">
        <w:rPr>
          <w:i/>
        </w:rPr>
        <w:t>Cfr.</w:t>
      </w:r>
      <w:r w:rsidRPr="0040672B">
        <w:t>AZ Ord</w:t>
      </w:r>
      <w:r>
        <w:t xml:space="preserve">en XXX-B, folio 834. El Ministerio </w:t>
      </w:r>
      <w:r w:rsidRPr="0040672B">
        <w:t>de Salud, en su informe lo definió como “…</w:t>
      </w:r>
      <w:r w:rsidRPr="0040672B">
        <w:rPr>
          <w:i/>
        </w:rPr>
        <w:t>la selección de la muestra se obtuvo con un criterio de afijación proporcional por departamento y dentro de cada departamento se seleccionó la muestra de manera sistemática. Es decir, se estableció una semilla aleatoria dentro del intervalo del tamaño de la muestra respectivo de cada departamento, y a partir de allí se dieron saltos proporcionales hasta escoger la cantidad de muestra en cada departamento</w:t>
      </w:r>
      <w:r w:rsidRPr="0040672B">
        <w:t>…”.</w:t>
      </w:r>
    </w:p>
  </w:footnote>
  <w:footnote w:id="165">
    <w:p w:rsidR="00000000" w:rsidRDefault="00274507" w:rsidP="002E5F57">
      <w:pPr>
        <w:pStyle w:val="Sinespaciado"/>
        <w:jc w:val="both"/>
      </w:pPr>
      <w:r w:rsidRPr="0040672B">
        <w:rPr>
          <w:rStyle w:val="Refdenotaalpie"/>
          <w:sz w:val="20"/>
          <w:szCs w:val="20"/>
        </w:rPr>
        <w:footnoteRef/>
      </w:r>
      <w:r w:rsidRPr="0040672B">
        <w:rPr>
          <w:sz w:val="20"/>
          <w:szCs w:val="20"/>
        </w:rPr>
        <w:t xml:space="preserve"> La Doctrina la ha definido como: “…</w:t>
      </w:r>
      <w:r w:rsidRPr="0040672B">
        <w:rPr>
          <w:i/>
          <w:sz w:val="20"/>
          <w:szCs w:val="20"/>
        </w:rPr>
        <w:t>un conjunto de medidas o el recuento de una parte de los elementos pertenecientes a la población. Los elementos se seleccionan aleatoriamente, es decir, todos los elementos que componen la población tienen la misma posibilidad de ser seleccionados</w:t>
      </w:r>
      <w:r w:rsidRPr="0040672B">
        <w:rPr>
          <w:sz w:val="20"/>
          <w:szCs w:val="20"/>
        </w:rPr>
        <w:t xml:space="preserve">…” Fuente: Martínez Bercandino, Ciro (2012) </w:t>
      </w:r>
      <w:r w:rsidRPr="0040672B">
        <w:rPr>
          <w:i/>
          <w:sz w:val="20"/>
          <w:szCs w:val="20"/>
        </w:rPr>
        <w:t xml:space="preserve">Estadística y muestreo </w:t>
      </w:r>
      <w:r w:rsidRPr="0040672B">
        <w:rPr>
          <w:sz w:val="20"/>
          <w:szCs w:val="20"/>
        </w:rPr>
        <w:t>13ª. ed. Bogotá Colombia, Ecoe Ediciones.</w:t>
      </w:r>
    </w:p>
  </w:footnote>
  <w:footnote w:id="166">
    <w:p w:rsidR="00000000" w:rsidRDefault="00274507" w:rsidP="00DC341D">
      <w:pPr>
        <w:pStyle w:val="Textonotapie"/>
        <w:jc w:val="both"/>
      </w:pPr>
      <w:r w:rsidRPr="0040672B">
        <w:rPr>
          <w:rStyle w:val="Refdenotaalpie"/>
        </w:rPr>
        <w:footnoteRef/>
      </w:r>
      <w:r w:rsidRPr="0040672B">
        <w:t xml:space="preserve"> </w:t>
      </w:r>
      <w:r w:rsidRPr="0040672B">
        <w:rPr>
          <w:i/>
        </w:rPr>
        <w:t>Cfr.</w:t>
      </w:r>
      <w:r w:rsidRPr="0040672B">
        <w:t xml:space="preserve"> AZ Orden XXX-A, folios 385-393 (19 de julio de 2013). </w:t>
      </w:r>
    </w:p>
  </w:footnote>
  <w:footnote w:id="167">
    <w:p w:rsidR="00000000" w:rsidRDefault="00274507" w:rsidP="00DC341D">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AZ Orden XXX-A, folios 433-442.</w:t>
      </w:r>
    </w:p>
  </w:footnote>
  <w:footnote w:id="168">
    <w:p w:rsidR="00000000" w:rsidRDefault="00274507" w:rsidP="00DC341D">
      <w:pPr>
        <w:pStyle w:val="Sinespaciado"/>
        <w:jc w:val="both"/>
      </w:pPr>
      <w:r w:rsidRPr="0040672B">
        <w:rPr>
          <w:rStyle w:val="Refdenotaalpie"/>
          <w:sz w:val="20"/>
          <w:szCs w:val="20"/>
        </w:rPr>
        <w:footnoteRef/>
      </w:r>
      <w:r w:rsidRPr="0040672B">
        <w:rPr>
          <w:sz w:val="20"/>
          <w:szCs w:val="20"/>
        </w:rPr>
        <w:t xml:space="preserve"> Definición: “…</w:t>
      </w:r>
      <w:r w:rsidRPr="0040672B">
        <w:rPr>
          <w:i/>
          <w:sz w:val="20"/>
          <w:szCs w:val="20"/>
        </w:rPr>
        <w:t>En aquellos casos donde la población es muy heterogénea, los métodos precedentes conllevan a estimaciones poco precisas, por lo tanto, se presume que dicha población está afectada por otra variable que puede minimizar la variabilidad, por ejemplo, los salarios y en general las variables que involucran dinero, son muy variables, no obstante, si se parcela la información según profesión, o años de experiencia para el caso del salario, seguramente, se disminuirá ésta y permitirá estimaciones más precisas. Lo anterior, conlleva a disminuir costos y lograr mayor eficiencia en el diseño muestral</w:t>
      </w:r>
      <w:r w:rsidRPr="0040672B">
        <w:rPr>
          <w:sz w:val="20"/>
          <w:szCs w:val="20"/>
        </w:rPr>
        <w:t>…” obtenido de la plataforma académica para pregrado y posgrado de la Universidad de Antioquia</w:t>
      </w:r>
      <w:r w:rsidRPr="0040672B">
        <w:rPr>
          <w:i/>
          <w:sz w:val="20"/>
          <w:szCs w:val="20"/>
        </w:rPr>
        <w:t xml:space="preserve"> (aprendeenlinea.udea.edu.co)</w:t>
      </w:r>
    </w:p>
  </w:footnote>
  <w:footnote w:id="169">
    <w:p w:rsidR="00000000" w:rsidRDefault="00274507" w:rsidP="00DC341D">
      <w:pPr>
        <w:pStyle w:val="Textonotapie"/>
      </w:pPr>
      <w:r w:rsidRPr="0040672B">
        <w:rPr>
          <w:rStyle w:val="Refdenotaalpie"/>
        </w:rPr>
        <w:footnoteRef/>
      </w:r>
      <w:r w:rsidRPr="0040672B">
        <w:t xml:space="preserve"> </w:t>
      </w:r>
      <w:r w:rsidRPr="0040672B">
        <w:rPr>
          <w:i/>
        </w:rPr>
        <w:t xml:space="preserve">Cfr. </w:t>
      </w:r>
      <w:r w:rsidRPr="0040672B">
        <w:t>AZ Orden XXX-A, folios 362-384 (5 de julio de 2013).</w:t>
      </w:r>
    </w:p>
  </w:footnote>
  <w:footnote w:id="170">
    <w:p w:rsidR="00000000" w:rsidRDefault="00274507" w:rsidP="006C3B17">
      <w:pPr>
        <w:pStyle w:val="Textonotapie"/>
        <w:jc w:val="both"/>
      </w:pPr>
      <w:r w:rsidRPr="0040672B">
        <w:rPr>
          <w:rStyle w:val="Refdenotaalpie"/>
        </w:rPr>
        <w:footnoteRef/>
      </w:r>
      <w:r w:rsidRPr="0040672B">
        <w:t xml:space="preserve"> Inciso 2º del artículo 31: “…</w:t>
      </w:r>
      <w:r w:rsidRPr="0040672B">
        <w:rPr>
          <w:i/>
          <w:shd w:val="clear" w:color="auto" w:fill="FFFFFF"/>
        </w:rPr>
        <w:t>Los fallos que no sean impugnados serán enviados al día siguiente a la Corte Constitucional para su revisión</w:t>
      </w:r>
      <w:r w:rsidRPr="0040672B">
        <w:rPr>
          <w:shd w:val="clear" w:color="auto" w:fill="FFFFFF"/>
        </w:rPr>
        <w:t>…”.</w:t>
      </w:r>
    </w:p>
  </w:footnote>
  <w:footnote w:id="171">
    <w:p w:rsidR="00000000" w:rsidRDefault="00274507" w:rsidP="006C3B17">
      <w:pPr>
        <w:pStyle w:val="Textonotapie"/>
        <w:jc w:val="both"/>
      </w:pPr>
      <w:r w:rsidRPr="0040672B">
        <w:rPr>
          <w:rStyle w:val="Refdenotaalpie"/>
        </w:rPr>
        <w:footnoteRef/>
      </w:r>
      <w:r w:rsidRPr="0040672B">
        <w:t xml:space="preserve"> Inciso 2º del artículo 32: “…</w:t>
      </w:r>
      <w:r w:rsidRPr="0040672B">
        <w:rPr>
          <w:i/>
          <w:shd w:val="clear" w:color="auto" w:fill="FFFFFF"/>
        </w:rPr>
        <w:t>El juez que conozca de la impugnación, estudiará el contenido de la misma, cotejándola con el acervo probatorio y con el fallo. El juez, de oficio o a petición de parte, podrá solicitar informes y ordenar la práctica de pruebas y proferirá el fallo dentro de los 20 días siguientes a la recepción del expediente. Si a su juicio el fallo carece de fundamento, procederá a revocarlo, lo cual comunicará de inmediato. Si encuentra el fallo ajustado a derecho, lo confirmará. En ambos casos, dentro de los diez días siguientes a la ejecutoria del fallo de segunda instancia, el juez remitirá el expediente a la Corte Constitucional, para su eventual revisión</w:t>
      </w:r>
      <w:r w:rsidRPr="0040672B">
        <w:rPr>
          <w:shd w:val="clear" w:color="auto" w:fill="FFFFFF"/>
        </w:rPr>
        <w:t>…”</w:t>
      </w:r>
    </w:p>
  </w:footnote>
  <w:footnote w:id="172">
    <w:p w:rsidR="00000000" w:rsidRDefault="00274507" w:rsidP="006C3B17">
      <w:pPr>
        <w:pStyle w:val="Textonotapie"/>
        <w:jc w:val="both"/>
      </w:pPr>
      <w:r w:rsidRPr="0040672B">
        <w:rPr>
          <w:rStyle w:val="Refdenotaalpie"/>
        </w:rPr>
        <w:footnoteRef/>
      </w:r>
      <w:r w:rsidRPr="0040672B">
        <w:t xml:space="preserve"> </w:t>
      </w:r>
      <w:r w:rsidRPr="0040672B">
        <w:rPr>
          <w:shd w:val="clear" w:color="auto" w:fill="FFFFFF"/>
        </w:rPr>
        <w:t xml:space="preserve">Artículo 33: “… </w:t>
      </w:r>
      <w:r w:rsidRPr="0040672B">
        <w:rPr>
          <w:i/>
          <w:shd w:val="clear" w:color="auto" w:fill="FFFFFF"/>
        </w:rPr>
        <w:t>Revisión por la Corte Constitucional.</w:t>
      </w:r>
      <w:r w:rsidRPr="0040672B">
        <w:rPr>
          <w:shd w:val="clear" w:color="auto" w:fill="FFFFFF"/>
        </w:rPr>
        <w:t xml:space="preserve"> </w:t>
      </w:r>
      <w:r w:rsidRPr="0040672B">
        <w:rPr>
          <w:i/>
          <w:shd w:val="clear" w:color="auto" w:fill="FFFFFF"/>
        </w:rPr>
        <w:t>La Corte Constitucional designará dos de sus Magistrados para que seleccionen, sin motivación expresa y según su criterio, las sentencias de tutela que habrán de ser revisadas. Cualquier Magistrado de la Corte o el Defensor del Pueblo, podrá solicitar que se revise algún fallo de tutela excluido por éstos cuando considere que la revisión puede aclarar el alcance de un derecho o evitar un perjuicio grave. Los casos de tutela que no sean excluidos de revisión dentro de los 30 días siguientes a su recepción, deberán ser decididos en el término de tres meses</w:t>
      </w:r>
      <w:r w:rsidRPr="0040672B">
        <w:rPr>
          <w:shd w:val="clear" w:color="auto" w:fill="FFFFFF"/>
        </w:rPr>
        <w:t>….”</w:t>
      </w:r>
    </w:p>
  </w:footnote>
  <w:footnote w:id="173">
    <w:p w:rsidR="00000000" w:rsidRDefault="00274507" w:rsidP="006C3B17">
      <w:pPr>
        <w:pStyle w:val="Textonotapie"/>
      </w:pPr>
      <w:r w:rsidRPr="0040672B">
        <w:rPr>
          <w:rStyle w:val="Refdenotaalpie"/>
        </w:rPr>
        <w:footnoteRef/>
      </w:r>
      <w:r w:rsidRPr="0040672B">
        <w:t xml:space="preserve"> </w:t>
      </w:r>
      <w:r w:rsidRPr="0040672B">
        <w:rPr>
          <w:i/>
        </w:rPr>
        <w:t xml:space="preserve">Cfr. </w:t>
      </w:r>
      <w:r w:rsidRPr="0040672B">
        <w:t>AZ Orden XXX-B, folios 694 a 723.</w:t>
      </w:r>
    </w:p>
  </w:footnote>
  <w:footnote w:id="174">
    <w:p w:rsidR="00000000" w:rsidRDefault="00274507" w:rsidP="006C3B17">
      <w:pPr>
        <w:pStyle w:val="Textonotapie"/>
      </w:pPr>
      <w:r w:rsidRPr="0040672B">
        <w:rPr>
          <w:rStyle w:val="Refdenotaalpie"/>
        </w:rPr>
        <w:footnoteRef/>
      </w:r>
      <w:r w:rsidRPr="0040672B">
        <w:t xml:space="preserve"> </w:t>
      </w:r>
      <w:r w:rsidRPr="0040672B">
        <w:rPr>
          <w:i/>
        </w:rPr>
        <w:t>Cfr.</w:t>
      </w:r>
      <w:r w:rsidRPr="0040672B">
        <w:t xml:space="preserve"> AZ Orden XXX-C, folios 1110-1118.</w:t>
      </w:r>
    </w:p>
  </w:footnote>
  <w:footnote w:id="175">
    <w:p w:rsidR="00000000" w:rsidRDefault="00274507" w:rsidP="006C3B17">
      <w:pPr>
        <w:pStyle w:val="Textonotapie"/>
        <w:jc w:val="both"/>
      </w:pPr>
      <w:r w:rsidRPr="0040672B">
        <w:rPr>
          <w:rStyle w:val="Refdenotaalpie"/>
        </w:rPr>
        <w:footnoteRef/>
      </w:r>
      <w:r w:rsidRPr="0040672B">
        <w:t xml:space="preserve"> </w:t>
      </w:r>
      <w:r w:rsidRPr="0040672B">
        <w:rPr>
          <w:i/>
        </w:rPr>
        <w:t>Cfr</w:t>
      </w:r>
      <w:r w:rsidRPr="0040672B">
        <w:t>. AZ Orden XXX-B, folios 868 y 869 y 1CD (sesiones preparatorias) y folios 755-787.</w:t>
      </w:r>
    </w:p>
  </w:footnote>
  <w:footnote w:id="176">
    <w:p w:rsidR="00000000" w:rsidRDefault="00274507" w:rsidP="006C3B17">
      <w:pPr>
        <w:pStyle w:val="Textonotapie"/>
        <w:jc w:val="both"/>
      </w:pPr>
      <w:r w:rsidRPr="0040672B">
        <w:rPr>
          <w:rStyle w:val="Refdenotaalpie"/>
        </w:rPr>
        <w:footnoteRef/>
      </w:r>
      <w:r w:rsidRPr="0040672B">
        <w:t xml:space="preserve"> Manifestación efectuada por el </w:t>
      </w:r>
      <w:r w:rsidRPr="0040672B">
        <w:rPr>
          <w:bCs/>
        </w:rPr>
        <w:t>Dr. Alejandro Gaviria Uribe – Ministro de Salud.</w:t>
      </w:r>
    </w:p>
  </w:footnote>
  <w:footnote w:id="177">
    <w:p w:rsidR="00000000" w:rsidRDefault="00274507" w:rsidP="00826E30">
      <w:pPr>
        <w:pStyle w:val="Textonotapie"/>
        <w:jc w:val="both"/>
      </w:pPr>
      <w:r w:rsidRPr="0040672B">
        <w:rPr>
          <w:rStyle w:val="Refdenotaalpie"/>
        </w:rPr>
        <w:footnoteRef/>
      </w:r>
      <w:r w:rsidRPr="0040672B">
        <w:rPr>
          <w:i/>
        </w:rPr>
        <w:t xml:space="preserve"> Cfr. </w:t>
      </w:r>
      <w:r w:rsidRPr="0040672B">
        <w:t>AZ Orden XXXB, folios 975 a 982.</w:t>
      </w:r>
    </w:p>
  </w:footnote>
  <w:footnote w:id="178">
    <w:p w:rsidR="00000000" w:rsidRDefault="00274507">
      <w:pPr>
        <w:pStyle w:val="Textonotapie"/>
      </w:pPr>
      <w:r w:rsidRPr="0040672B">
        <w:rPr>
          <w:rStyle w:val="Refdenotaalpie"/>
        </w:rPr>
        <w:footnoteRef/>
      </w:r>
      <w:r w:rsidRPr="0040672B">
        <w:t xml:space="preserve"> </w:t>
      </w:r>
      <w:r w:rsidRPr="0040672B">
        <w:rPr>
          <w:i/>
        </w:rPr>
        <w:t xml:space="preserve">Cfr. </w:t>
      </w:r>
      <w:r w:rsidRPr="0040672B">
        <w:t>AZ Orden XXXB, folios 996-1092.</w:t>
      </w:r>
    </w:p>
  </w:footnote>
  <w:footnote w:id="179">
    <w:p w:rsidR="00000000" w:rsidRDefault="00274507">
      <w:pPr>
        <w:pStyle w:val="Textonotapie"/>
      </w:pPr>
      <w:r w:rsidRPr="0040672B">
        <w:rPr>
          <w:rStyle w:val="Refdenotaalpie"/>
        </w:rPr>
        <w:footnoteRef/>
      </w:r>
      <w:r w:rsidRPr="0040672B">
        <w:t xml:space="preserve"> Lo anterior con mayor precisión se presenta en el Anexo 2.</w:t>
      </w:r>
    </w:p>
  </w:footnote>
  <w:footnote w:id="180">
    <w:p w:rsidR="00000000" w:rsidRDefault="00274507" w:rsidP="006C3B17">
      <w:pPr>
        <w:pStyle w:val="Textonotapie"/>
      </w:pPr>
      <w:r w:rsidRPr="0040672B">
        <w:rPr>
          <w:rStyle w:val="Refdenotaalpie"/>
        </w:rPr>
        <w:footnoteRef/>
      </w:r>
      <w:r w:rsidRPr="0040672B">
        <w:t xml:space="preserve"> </w:t>
      </w:r>
      <w:r w:rsidRPr="0040672B">
        <w:rPr>
          <w:i/>
        </w:rPr>
        <w:t xml:space="preserve">Cfr. </w:t>
      </w:r>
      <w:r w:rsidRPr="0040672B">
        <w:t>AZ Orden XXX-A, folios 362-384.</w:t>
      </w:r>
    </w:p>
  </w:footnote>
  <w:footnote w:id="181">
    <w:p w:rsidR="00000000" w:rsidRDefault="00274507" w:rsidP="006C3B17">
      <w:pPr>
        <w:widowControl w:val="0"/>
        <w:tabs>
          <w:tab w:val="left" w:pos="426"/>
        </w:tabs>
        <w:autoSpaceDE w:val="0"/>
        <w:autoSpaceDN w:val="0"/>
        <w:adjustRightInd w:val="0"/>
        <w:jc w:val="both"/>
      </w:pPr>
      <w:r w:rsidRPr="0040672B">
        <w:rPr>
          <w:rStyle w:val="Refdenotaalpie"/>
          <w:sz w:val="20"/>
          <w:szCs w:val="20"/>
        </w:rPr>
        <w:footnoteRef/>
      </w:r>
      <w:r w:rsidRPr="0040672B">
        <w:rPr>
          <w:sz w:val="20"/>
          <w:szCs w:val="20"/>
        </w:rPr>
        <w:t xml:space="preserve"> La cual ocurrió en el régimen subsidiado el 1º de julio de 2012 según Acuerdo 32 de la CRES.</w:t>
      </w:r>
    </w:p>
  </w:footnote>
  <w:footnote w:id="182">
    <w:p w:rsidR="00000000" w:rsidRDefault="00274507" w:rsidP="006C3B17">
      <w:pPr>
        <w:pStyle w:val="Sinespaciado"/>
        <w:jc w:val="both"/>
      </w:pPr>
      <w:r w:rsidRPr="0040672B">
        <w:rPr>
          <w:rStyle w:val="Refdenotaalpie"/>
          <w:sz w:val="20"/>
          <w:szCs w:val="20"/>
        </w:rPr>
        <w:footnoteRef/>
      </w:r>
      <w:r w:rsidRPr="0040672B">
        <w:rPr>
          <w:sz w:val="20"/>
          <w:szCs w:val="20"/>
        </w:rPr>
        <w:t xml:space="preserve"> </w:t>
      </w:r>
      <w:r w:rsidRPr="0040672B">
        <w:rPr>
          <w:i/>
          <w:sz w:val="20"/>
          <w:szCs w:val="20"/>
        </w:rPr>
        <w:t>Cfr</w:t>
      </w:r>
      <w:r w:rsidRPr="0040672B">
        <w:rPr>
          <w:sz w:val="20"/>
          <w:szCs w:val="20"/>
        </w:rPr>
        <w:t>. AZ Orden XXX-A, folios 433-442.</w:t>
      </w:r>
    </w:p>
  </w:footnote>
  <w:footnote w:id="183">
    <w:p w:rsidR="00000000" w:rsidRDefault="00274507" w:rsidP="006C3B17">
      <w:pPr>
        <w:pStyle w:val="Textonotapie"/>
        <w:jc w:val="both"/>
      </w:pPr>
      <w:r w:rsidRPr="0040672B">
        <w:rPr>
          <w:rStyle w:val="Refdenotaalpie"/>
        </w:rPr>
        <w:footnoteRef/>
      </w:r>
      <w:r w:rsidRPr="0040672B">
        <w:t xml:space="preserve"> </w:t>
      </w:r>
      <w:r w:rsidRPr="0040672B">
        <w:rPr>
          <w:i/>
        </w:rPr>
        <w:t>Cfr.</w:t>
      </w:r>
      <w:r w:rsidRPr="0040672B">
        <w:t xml:space="preserve"> AZ Orden XXX-A, folios 385-393. </w:t>
      </w:r>
    </w:p>
  </w:footnote>
  <w:footnote w:id="184">
    <w:p w:rsidR="00000000" w:rsidRDefault="00274507" w:rsidP="006C3B17">
      <w:pPr>
        <w:pStyle w:val="Textonotapie"/>
        <w:jc w:val="both"/>
      </w:pPr>
      <w:r w:rsidRPr="0040672B">
        <w:rPr>
          <w:rStyle w:val="Refdenotaalpie"/>
        </w:rPr>
        <w:footnoteRef/>
      </w:r>
      <w:r w:rsidRPr="0040672B">
        <w:t xml:space="preserve"> “…</w:t>
      </w:r>
      <w:r w:rsidRPr="0040672B">
        <w:rPr>
          <w:i/>
        </w:rPr>
        <w:t>Por el cual se unifican y actualizan las reglas de afiliación al Sistema General de Seguridad Social en Salud, se crea el Sistema de Afiliación Transaccional y se definen los instrumentos para garantizar la continuidad en la afiliación</w:t>
      </w:r>
      <w:r w:rsidRPr="0040672B">
        <w:t>…”</w:t>
      </w:r>
    </w:p>
  </w:footnote>
  <w:footnote w:id="185">
    <w:p w:rsidR="00000000" w:rsidRDefault="00274507">
      <w:pPr>
        <w:pStyle w:val="Textonotapie"/>
      </w:pPr>
      <w:r w:rsidRPr="0040672B">
        <w:rPr>
          <w:rStyle w:val="Refdenotaalpie"/>
        </w:rPr>
        <w:footnoteRef/>
      </w:r>
      <w:r w:rsidRPr="0040672B">
        <w:t xml:space="preserve"> </w:t>
      </w:r>
      <w:r w:rsidRPr="0040672B">
        <w:rPr>
          <w:i/>
        </w:rPr>
        <w:t>Cfr.</w:t>
      </w:r>
      <w:r w:rsidRPr="0040672B">
        <w:t>AZ Orden XXX-B, folios 879-889.</w:t>
      </w:r>
    </w:p>
  </w:footnote>
  <w:footnote w:id="186">
    <w:p w:rsidR="00274507" w:rsidRPr="0040672B" w:rsidRDefault="00274507" w:rsidP="005024CE">
      <w:pPr>
        <w:pStyle w:val="Sinespaciado"/>
        <w:jc w:val="both"/>
        <w:rPr>
          <w:sz w:val="20"/>
          <w:szCs w:val="20"/>
        </w:rPr>
      </w:pPr>
      <w:r w:rsidRPr="0040672B">
        <w:rPr>
          <w:rStyle w:val="Refdenotaalpie"/>
          <w:sz w:val="20"/>
          <w:szCs w:val="20"/>
        </w:rPr>
        <w:footnoteRef/>
      </w:r>
      <w:r w:rsidRPr="0040672B">
        <w:rPr>
          <w:sz w:val="20"/>
          <w:szCs w:val="20"/>
        </w:rPr>
        <w:t xml:space="preserve"> Sentencia T-384 de 2013, en la que se precisó que: “(…) La prestación efectiva de los servicios de salud incluye el que se presten de forma oportuna, a partir del momento en que un médico tratante determina que se requiere un medicamento o procedimiento. Las dilaciones injustificadas, es decir, aquellos trámites que se imponen al usuario que no hacen parte del proceso regular que se debe surtir para acceder al servicio, y que además, en muchos casos, se originan cuando la entidad responsable traslada el cumplimiento de un deber legal al paciente, lleva a que la salud del interesado se deteriore, lo que se traduce en una violación autónoma del derecho a la salud.</w:t>
      </w:r>
    </w:p>
    <w:p w:rsidR="00274507" w:rsidRPr="0040672B" w:rsidRDefault="00274507" w:rsidP="005024CE">
      <w:pPr>
        <w:pStyle w:val="Sinespaciado"/>
        <w:jc w:val="both"/>
        <w:rPr>
          <w:sz w:val="20"/>
          <w:szCs w:val="20"/>
        </w:rPr>
      </w:pPr>
      <w:r w:rsidRPr="0040672B">
        <w:rPr>
          <w:sz w:val="20"/>
          <w:szCs w:val="20"/>
        </w:rPr>
        <w:t>(…)</w:t>
      </w:r>
    </w:p>
    <w:p w:rsidR="00274507" w:rsidRPr="0040672B" w:rsidRDefault="00274507" w:rsidP="005024CE">
      <w:pPr>
        <w:pStyle w:val="Sinespaciado"/>
        <w:jc w:val="both"/>
        <w:rPr>
          <w:sz w:val="20"/>
          <w:szCs w:val="20"/>
        </w:rPr>
      </w:pPr>
      <w:r w:rsidRPr="0040672B">
        <w:rPr>
          <w:sz w:val="20"/>
          <w:szCs w:val="20"/>
        </w:rPr>
        <w:t>Se reiteró el deber de las entidades de salud de brindar a sus usuarios los servicios que son requeridos, de la forma que determine el médico tratante y sin dilaciones que afecten el goce efectivo de sus derechos fundamentales.</w:t>
      </w:r>
    </w:p>
    <w:p w:rsidR="00274507" w:rsidRPr="0040672B" w:rsidRDefault="00274507" w:rsidP="005024CE">
      <w:pPr>
        <w:pStyle w:val="Sinespaciado"/>
        <w:jc w:val="both"/>
        <w:rPr>
          <w:sz w:val="20"/>
          <w:szCs w:val="20"/>
        </w:rPr>
      </w:pPr>
      <w:r w:rsidRPr="0040672B">
        <w:rPr>
          <w:sz w:val="20"/>
          <w:szCs w:val="20"/>
        </w:rPr>
        <w:t>(…)”    </w:t>
      </w:r>
    </w:p>
    <w:p w:rsidR="00000000" w:rsidRDefault="0003352A" w:rsidP="005024CE">
      <w:pPr>
        <w:pStyle w:val="Sinespaciado"/>
        <w:jc w:val="both"/>
      </w:pPr>
    </w:p>
  </w:footnote>
  <w:footnote w:id="187">
    <w:p w:rsidR="00000000" w:rsidRDefault="00274507">
      <w:pPr>
        <w:pStyle w:val="Textonotapie"/>
      </w:pPr>
      <w:r>
        <w:rPr>
          <w:rStyle w:val="Refdenotaalpie"/>
        </w:rPr>
        <w:footnoteRef/>
      </w:r>
      <w:r>
        <w:t xml:space="preserve"> Control de Constitucionalidad efectuado mediante la sentencia C-313 de 2014.</w:t>
      </w:r>
    </w:p>
  </w:footnote>
  <w:footnote w:id="188">
    <w:p w:rsidR="00274507" w:rsidRPr="004C339E" w:rsidRDefault="00274507" w:rsidP="004C339E">
      <w:pPr>
        <w:pStyle w:val="Sinespaciado"/>
        <w:jc w:val="both"/>
        <w:rPr>
          <w:i/>
          <w:sz w:val="20"/>
          <w:szCs w:val="20"/>
        </w:rPr>
      </w:pPr>
      <w:r w:rsidRPr="004C339E">
        <w:rPr>
          <w:rStyle w:val="Refdenotaalpie"/>
          <w:sz w:val="20"/>
          <w:szCs w:val="20"/>
        </w:rPr>
        <w:footnoteRef/>
      </w:r>
      <w:r w:rsidRPr="004C339E">
        <w:rPr>
          <w:sz w:val="20"/>
          <w:szCs w:val="20"/>
        </w:rPr>
        <w:t xml:space="preserve"> “… </w:t>
      </w:r>
      <w:r w:rsidRPr="004C339E">
        <w:rPr>
          <w:i/>
          <w:sz w:val="20"/>
          <w:szCs w:val="20"/>
        </w:rPr>
        <w:t xml:space="preserve">Artículo 15. </w:t>
      </w:r>
      <w:r w:rsidRPr="004C339E">
        <w:rPr>
          <w:b/>
          <w:bCs/>
          <w:i/>
          <w:sz w:val="20"/>
          <w:szCs w:val="20"/>
        </w:rPr>
        <w:t>Prestaciones de salud.</w:t>
      </w:r>
      <w:r w:rsidRPr="004C339E">
        <w:rPr>
          <w:i/>
          <w:sz w:val="20"/>
          <w:szCs w:val="20"/>
        </w:rPr>
        <w:t>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w:t>
      </w:r>
    </w:p>
    <w:p w:rsidR="00274507" w:rsidRPr="004C339E" w:rsidRDefault="00274507" w:rsidP="004C339E">
      <w:pPr>
        <w:pStyle w:val="Sinespaciado"/>
        <w:jc w:val="both"/>
        <w:rPr>
          <w:i/>
          <w:sz w:val="20"/>
          <w:szCs w:val="20"/>
          <w:lang w:val="es-ES"/>
        </w:rPr>
      </w:pPr>
      <w:r w:rsidRPr="004C339E">
        <w:rPr>
          <w:i/>
          <w:sz w:val="20"/>
          <w:szCs w:val="20"/>
          <w:lang w:val="es-ES"/>
        </w:rPr>
        <w:t>En todo caso, los recursos públicos asignados a la salud no podrán destinarse a financiar servicios y tecnologías en los que se advierta alguno de los siguientes criterios:</w:t>
      </w:r>
    </w:p>
    <w:p w:rsidR="00274507" w:rsidRPr="004C339E" w:rsidRDefault="00274507" w:rsidP="004C339E">
      <w:pPr>
        <w:pStyle w:val="Sinespaciado"/>
        <w:jc w:val="both"/>
        <w:rPr>
          <w:i/>
          <w:sz w:val="20"/>
          <w:szCs w:val="20"/>
          <w:lang w:val="es-ES"/>
        </w:rPr>
      </w:pPr>
      <w:r w:rsidRPr="004C339E">
        <w:rPr>
          <w:i/>
          <w:sz w:val="20"/>
          <w:szCs w:val="20"/>
          <w:lang w:val="es-ES"/>
        </w:rPr>
        <w:t>a) Que tengan como finalidad principal un propósito cosmético o suntuario no relacionado con la recuperación o mantenimiento de la capacidad funcional o vital de las personas;</w:t>
      </w:r>
    </w:p>
    <w:p w:rsidR="00274507" w:rsidRPr="004C339E" w:rsidRDefault="00274507" w:rsidP="004C339E">
      <w:pPr>
        <w:pStyle w:val="Sinespaciado"/>
        <w:jc w:val="both"/>
        <w:rPr>
          <w:i/>
          <w:sz w:val="20"/>
          <w:szCs w:val="20"/>
          <w:lang w:val="es-ES"/>
        </w:rPr>
      </w:pPr>
      <w:r w:rsidRPr="004C339E">
        <w:rPr>
          <w:i/>
          <w:sz w:val="20"/>
          <w:szCs w:val="20"/>
          <w:lang w:val="es-ES"/>
        </w:rPr>
        <w:t>b) Que no exista evidencia científica sobre su seguridad y eficacia clínica;</w:t>
      </w:r>
    </w:p>
    <w:p w:rsidR="00274507" w:rsidRPr="004C339E" w:rsidRDefault="00274507" w:rsidP="004C339E">
      <w:pPr>
        <w:pStyle w:val="Sinespaciado"/>
        <w:jc w:val="both"/>
        <w:rPr>
          <w:i/>
          <w:sz w:val="20"/>
          <w:szCs w:val="20"/>
          <w:lang w:val="es-ES"/>
        </w:rPr>
      </w:pPr>
      <w:r w:rsidRPr="004C339E">
        <w:rPr>
          <w:i/>
          <w:sz w:val="20"/>
          <w:szCs w:val="20"/>
          <w:lang w:val="es-ES"/>
        </w:rPr>
        <w:t>c) Que no exista evidencia científica sobre su efectividad clínica;</w:t>
      </w:r>
    </w:p>
    <w:p w:rsidR="00274507" w:rsidRPr="004C339E" w:rsidRDefault="00274507" w:rsidP="004C339E">
      <w:pPr>
        <w:pStyle w:val="Sinespaciado"/>
        <w:jc w:val="both"/>
        <w:rPr>
          <w:i/>
          <w:sz w:val="20"/>
          <w:szCs w:val="20"/>
          <w:lang w:val="es-ES"/>
        </w:rPr>
      </w:pPr>
      <w:r w:rsidRPr="004C339E">
        <w:rPr>
          <w:i/>
          <w:sz w:val="20"/>
          <w:szCs w:val="20"/>
          <w:lang w:val="es-ES"/>
        </w:rPr>
        <w:t>d) Que su uso no haya sido autorizado por la autoridad competente;</w:t>
      </w:r>
    </w:p>
    <w:p w:rsidR="00274507" w:rsidRPr="004C339E" w:rsidRDefault="00274507" w:rsidP="004C339E">
      <w:pPr>
        <w:pStyle w:val="Sinespaciado"/>
        <w:jc w:val="both"/>
        <w:rPr>
          <w:i/>
          <w:sz w:val="20"/>
          <w:szCs w:val="20"/>
          <w:lang w:val="es-ES"/>
        </w:rPr>
      </w:pPr>
      <w:r w:rsidRPr="004C339E">
        <w:rPr>
          <w:i/>
          <w:sz w:val="20"/>
          <w:szCs w:val="20"/>
          <w:lang w:val="es-ES"/>
        </w:rPr>
        <w:t>e) Que se encuentren en fase de experimentación;</w:t>
      </w:r>
    </w:p>
    <w:p w:rsidR="00274507" w:rsidRPr="004C339E" w:rsidRDefault="00274507" w:rsidP="004C339E">
      <w:pPr>
        <w:pStyle w:val="Sinespaciado"/>
        <w:jc w:val="both"/>
        <w:rPr>
          <w:i/>
          <w:sz w:val="20"/>
          <w:szCs w:val="20"/>
          <w:lang w:val="es-ES"/>
        </w:rPr>
      </w:pPr>
      <w:r w:rsidRPr="004C339E">
        <w:rPr>
          <w:i/>
          <w:sz w:val="20"/>
          <w:szCs w:val="20"/>
          <w:lang w:val="es-ES"/>
        </w:rPr>
        <w:t>f) Que tengan que ser prestados en el exterior.</w:t>
      </w:r>
    </w:p>
    <w:p w:rsidR="00274507" w:rsidRPr="004C339E" w:rsidRDefault="00274507" w:rsidP="004C339E">
      <w:pPr>
        <w:pStyle w:val="Sinespaciado"/>
        <w:jc w:val="both"/>
        <w:rPr>
          <w:i/>
          <w:sz w:val="20"/>
          <w:szCs w:val="20"/>
          <w:lang w:val="es-ES"/>
        </w:rPr>
      </w:pPr>
      <w:r w:rsidRPr="004C339E">
        <w:rPr>
          <w:i/>
          <w:sz w:val="20"/>
          <w:szCs w:val="20"/>
          <w:lang w:val="es-ES"/>
        </w:rPr>
        <w:t>Los servicios o tecnologías que cumplan con esos criterios serán explícitamente excluidos por el Ministerio de Salud y Protección Social o la autoridad competente que determine la ley ordinaria, previo un procedimiento técnico-científico, de carácter público, colectivo, participativo y transparente. En cualquier caso, se deberá evaluar y considerar el criterio de expertos independientes de alto nivel, de las asociaciones profesionales de la especialidad correspondiente y de los pacientes que serían potencialmente afectados con la decisión de exclusión. Las decisiones de exclusión no podrán resultar en el fraccionamiento de un servicio de salud previamente cubierto, y ser contrarias al principio de integralidad e interculturalidad.</w:t>
      </w:r>
    </w:p>
    <w:p w:rsidR="00274507" w:rsidRPr="004C339E" w:rsidRDefault="00274507" w:rsidP="004C339E">
      <w:pPr>
        <w:pStyle w:val="Sinespaciado"/>
        <w:jc w:val="both"/>
        <w:rPr>
          <w:i/>
          <w:sz w:val="20"/>
          <w:szCs w:val="20"/>
          <w:lang w:val="es-ES"/>
        </w:rPr>
      </w:pPr>
      <w:r w:rsidRPr="004C339E">
        <w:rPr>
          <w:i/>
          <w:sz w:val="20"/>
          <w:szCs w:val="20"/>
          <w:lang w:val="es-ES"/>
        </w:rPr>
        <w:t>Para ampliar progresivamente los beneficios la ley ordinaria determinará un mecanismo técnico-científico, de carácter público, colectivo, participativo y transparente.</w:t>
      </w:r>
    </w:p>
    <w:p w:rsidR="00274507" w:rsidRPr="004C339E" w:rsidRDefault="00274507" w:rsidP="004C339E">
      <w:pPr>
        <w:pStyle w:val="Sinespaciado"/>
        <w:jc w:val="both"/>
        <w:rPr>
          <w:i/>
          <w:sz w:val="20"/>
          <w:szCs w:val="20"/>
          <w:lang w:val="es-ES"/>
        </w:rPr>
      </w:pPr>
      <w:r w:rsidRPr="004C339E">
        <w:rPr>
          <w:b/>
          <w:bCs/>
          <w:i/>
          <w:sz w:val="20"/>
          <w:szCs w:val="20"/>
          <w:lang w:val="es-ES"/>
        </w:rPr>
        <w:t>Parágrafo 1°.</w:t>
      </w:r>
      <w:r w:rsidRPr="004C339E">
        <w:rPr>
          <w:i/>
          <w:sz w:val="20"/>
          <w:szCs w:val="20"/>
          <w:lang w:val="es-ES"/>
        </w:rPr>
        <w:t> El Ministerio de Salud y Protección Social tendrá hasta dos años para implementar lo señalado en el presente artículo. En este lapso el Ministerio podrá desarrollar el mecanismo técnico, participativo y transparente para excluir servicios o tecnologías de salud.</w:t>
      </w:r>
    </w:p>
    <w:p w:rsidR="00274507" w:rsidRPr="004C339E" w:rsidRDefault="00274507" w:rsidP="004C339E">
      <w:pPr>
        <w:pStyle w:val="Sinespaciado"/>
        <w:jc w:val="both"/>
        <w:rPr>
          <w:i/>
          <w:sz w:val="20"/>
          <w:szCs w:val="20"/>
          <w:lang w:val="es-ES"/>
        </w:rPr>
      </w:pPr>
      <w:r w:rsidRPr="004C339E">
        <w:rPr>
          <w:b/>
          <w:bCs/>
          <w:i/>
          <w:sz w:val="20"/>
          <w:szCs w:val="20"/>
          <w:lang w:val="es-ES"/>
        </w:rPr>
        <w:t>Parágrafo 2°.</w:t>
      </w:r>
      <w:r w:rsidRPr="004C339E">
        <w:rPr>
          <w:i/>
          <w:sz w:val="20"/>
          <w:szCs w:val="20"/>
          <w:lang w:val="es-ES"/>
        </w:rPr>
        <w:t> Sin perjuicio de las acciones de tutela presentadas para proteger directamente el derecho a la salud, la acción de tutela también procederá para garantizar, entre otros, el derecho a la salud contra las providencias proferidas para decidir sobre las demandas de nulidad y otras acciones contencioso administrativas.</w:t>
      </w:r>
    </w:p>
    <w:p w:rsidR="00274507" w:rsidRPr="004C339E" w:rsidRDefault="00274507" w:rsidP="004C339E">
      <w:pPr>
        <w:pStyle w:val="Sinespaciado"/>
        <w:jc w:val="both"/>
        <w:rPr>
          <w:sz w:val="20"/>
          <w:szCs w:val="20"/>
          <w:lang w:val="es-ES"/>
        </w:rPr>
      </w:pPr>
      <w:r w:rsidRPr="004C339E">
        <w:rPr>
          <w:b/>
          <w:bCs/>
          <w:i/>
          <w:sz w:val="20"/>
          <w:szCs w:val="20"/>
          <w:lang w:val="es-ES"/>
        </w:rPr>
        <w:t>Parágrafo 3°. </w:t>
      </w:r>
      <w:r w:rsidRPr="004C339E">
        <w:rPr>
          <w:i/>
          <w:sz w:val="20"/>
          <w:szCs w:val="20"/>
          <w:lang w:val="es-ES"/>
        </w:rPr>
        <w:t>Bajo ninguna circunstancia deberá entenderse que los criterios de exclusión definidos en el presente artículo, afectarán el acceso a tratamientos a las personas que sufren enfermedades raras o huérfanas</w:t>
      </w:r>
      <w:r w:rsidRPr="004C339E">
        <w:rPr>
          <w:sz w:val="20"/>
          <w:szCs w:val="20"/>
          <w:lang w:val="es-ES"/>
        </w:rPr>
        <w:t>…”</w:t>
      </w:r>
    </w:p>
    <w:p w:rsidR="00000000" w:rsidRDefault="0003352A" w:rsidP="004C339E">
      <w:pPr>
        <w:pStyle w:val="Sinespaciado"/>
        <w:jc w:val="both"/>
      </w:pPr>
    </w:p>
  </w:footnote>
  <w:footnote w:id="189">
    <w:p w:rsidR="00000000" w:rsidRDefault="00274507" w:rsidP="00D31066">
      <w:pPr>
        <w:pStyle w:val="Textonotapie"/>
        <w:jc w:val="both"/>
      </w:pPr>
      <w:r w:rsidRPr="0040672B">
        <w:rPr>
          <w:rStyle w:val="Refdenotaalpie"/>
        </w:rPr>
        <w:footnoteRef/>
      </w:r>
      <w:r w:rsidRPr="0040672B">
        <w:t xml:space="preserve"> </w:t>
      </w:r>
      <w:r w:rsidRPr="0040672B">
        <w:rPr>
          <w:i/>
        </w:rPr>
        <w:t>Cfr.</w:t>
      </w:r>
      <w:r w:rsidRPr="0040672B">
        <w:t xml:space="preserve"> AZ Orden XXX C, folio 1013 “</w:t>
      </w:r>
      <w:r w:rsidRPr="0040672B">
        <w:rPr>
          <w:i/>
        </w:rPr>
        <w:t>Aplicada a 29.761 personas del régimen contributivo y subsidiado. Cabe mencionar que la encuesta en mención es representativa por departamento, régimen y EPS e incluyó menores de edad, que han  utilizado por lo menos uno de los servicios de las EPS en los últimos seis meses. La encuesta la realiza todos los años una firma consultora, tras un concurso de méritos que lleva a cabo el MSPS</w:t>
      </w:r>
      <w:r w:rsidRPr="0040672B">
        <w:t>”.</w:t>
      </w:r>
    </w:p>
  </w:footnote>
  <w:footnote w:id="190">
    <w:p w:rsidR="00000000" w:rsidRDefault="00274507" w:rsidP="006C3B17">
      <w:pPr>
        <w:pStyle w:val="Textonotapie"/>
        <w:jc w:val="both"/>
      </w:pPr>
      <w:r w:rsidRPr="0040672B">
        <w:rPr>
          <w:rStyle w:val="Refdenotaalpie"/>
        </w:rPr>
        <w:footnoteRef/>
      </w:r>
      <w:r w:rsidRPr="0040672B">
        <w:t xml:space="preserve"> Artículo 173 y 199 de la Ley 100 de 1993.</w:t>
      </w:r>
    </w:p>
  </w:footnote>
  <w:footnote w:id="191">
    <w:p w:rsidR="00000000" w:rsidRDefault="00274507" w:rsidP="006C3B17">
      <w:pPr>
        <w:pStyle w:val="Textonotapie"/>
        <w:jc w:val="both"/>
      </w:pPr>
      <w:r w:rsidRPr="0040672B">
        <w:rPr>
          <w:rStyle w:val="Refdenotaalpie"/>
        </w:rPr>
        <w:footnoteRef/>
      </w:r>
      <w:r w:rsidRPr="0040672B">
        <w:t xml:space="preserve"> Artículo 2º de la Ley 1122 de 2007.</w:t>
      </w:r>
    </w:p>
  </w:footnote>
  <w:footnote w:id="192">
    <w:p w:rsidR="00000000" w:rsidRDefault="00274507" w:rsidP="006C3B17">
      <w:pPr>
        <w:pStyle w:val="Prrafodelista"/>
        <w:tabs>
          <w:tab w:val="left" w:pos="567"/>
        </w:tabs>
        <w:ind w:left="0"/>
        <w:jc w:val="both"/>
      </w:pPr>
      <w:r w:rsidRPr="0040672B">
        <w:rPr>
          <w:rStyle w:val="Refdenotaalpie"/>
          <w:sz w:val="20"/>
          <w:szCs w:val="20"/>
        </w:rPr>
        <w:footnoteRef/>
      </w:r>
      <w:r w:rsidRPr="0040672B">
        <w:rPr>
          <w:sz w:val="20"/>
          <w:szCs w:val="20"/>
        </w:rPr>
        <w:t xml:space="preserve"> Sentencia C-313 de 2014</w:t>
      </w:r>
      <w:r w:rsidRPr="0040672B">
        <w:rPr>
          <w:sz w:val="20"/>
          <w:szCs w:val="20"/>
          <w:shd w:val="clear" w:color="auto" w:fill="FFFFFF"/>
        </w:rPr>
        <w:t>.</w:t>
      </w:r>
    </w:p>
  </w:footnote>
  <w:footnote w:id="193">
    <w:p w:rsidR="00000000" w:rsidRDefault="00274507" w:rsidP="006C3B17">
      <w:pPr>
        <w:pStyle w:val="Textonotapie"/>
        <w:jc w:val="both"/>
      </w:pPr>
      <w:r w:rsidRPr="0040672B">
        <w:rPr>
          <w:rStyle w:val="Refdenotaalpie"/>
        </w:rPr>
        <w:footnoteRef/>
      </w:r>
      <w:r w:rsidRPr="0040672B">
        <w:t xml:space="preserve"> Observación 14 “</w:t>
      </w:r>
      <w:r w:rsidRPr="0040672B">
        <w:rPr>
          <w:i/>
        </w:rPr>
        <w:t>el derecho al disfrute del más alto nivel posible de salud”</w:t>
      </w:r>
    </w:p>
  </w:footnote>
  <w:footnote w:id="194">
    <w:p w:rsidR="00000000" w:rsidRDefault="00274507" w:rsidP="006C3B17">
      <w:pPr>
        <w:pStyle w:val="Textonotapie"/>
      </w:pPr>
      <w:r w:rsidRPr="0040672B">
        <w:rPr>
          <w:rStyle w:val="Refdenotaalpie"/>
        </w:rPr>
        <w:footnoteRef/>
      </w:r>
      <w:r w:rsidRPr="0040672B">
        <w:t xml:space="preserve"> </w:t>
      </w:r>
      <w:r w:rsidRPr="0040672B">
        <w:rPr>
          <w:i/>
        </w:rPr>
        <w:t>Cfr.</w:t>
      </w:r>
      <w:r w:rsidRPr="0040672B">
        <w:t xml:space="preserve"> AZ Orden XXX-A, folios 433-442 (25 de julio de 2013).</w:t>
      </w:r>
    </w:p>
  </w:footnote>
  <w:footnote w:id="195">
    <w:p w:rsidR="00000000" w:rsidRDefault="00274507" w:rsidP="006C3B17">
      <w:pPr>
        <w:pStyle w:val="Textonotapie"/>
        <w:jc w:val="both"/>
      </w:pPr>
      <w:r w:rsidRPr="0040672B">
        <w:rPr>
          <w:rStyle w:val="Refdenotaalpie"/>
        </w:rPr>
        <w:footnoteRef/>
      </w:r>
      <w:r w:rsidRPr="0040672B">
        <w:t xml:space="preserve"> </w:t>
      </w:r>
      <w:r w:rsidRPr="0040672B">
        <w:rPr>
          <w:i/>
        </w:rPr>
        <w:t>Cfr.</w:t>
      </w:r>
      <w:r w:rsidRPr="0040672B">
        <w:t xml:space="preserve"> AZ Orden XXX-A, folios 385-393 (19 de julio de 2013). </w:t>
      </w:r>
    </w:p>
  </w:footnote>
  <w:footnote w:id="196">
    <w:p w:rsidR="00000000" w:rsidRDefault="00274507">
      <w:pPr>
        <w:pStyle w:val="Textonotapie"/>
      </w:pPr>
      <w:r w:rsidRPr="0040672B">
        <w:rPr>
          <w:rStyle w:val="Refdenotaalpie"/>
        </w:rPr>
        <w:footnoteRef/>
      </w:r>
      <w:r w:rsidRPr="0040672B">
        <w:t xml:space="preserve">  Consultarse en el Anexo 3.</w:t>
      </w:r>
    </w:p>
  </w:footnote>
  <w:footnote w:id="197">
    <w:p w:rsidR="00000000" w:rsidRDefault="00274507" w:rsidP="00BA02EE">
      <w:pPr>
        <w:pStyle w:val="Textonotapie"/>
        <w:jc w:val="both"/>
      </w:pPr>
      <w:r w:rsidRPr="0040672B">
        <w:rPr>
          <w:rStyle w:val="Refdenotaalpie"/>
        </w:rPr>
        <w:footnoteRef/>
      </w:r>
      <w:r w:rsidRPr="0040672B">
        <w:t xml:space="preserve"> </w:t>
      </w:r>
      <w:r w:rsidRPr="0040672B">
        <w:rPr>
          <w:i/>
        </w:rPr>
        <w:t xml:space="preserve">Cfr. </w:t>
      </w:r>
      <w:r w:rsidRPr="0040672B">
        <w:t>AZ Orden XXX- B, folios 460-477.</w:t>
      </w:r>
    </w:p>
  </w:footnote>
  <w:footnote w:id="198">
    <w:p w:rsidR="00000000" w:rsidRDefault="00274507" w:rsidP="006C3B17">
      <w:pPr>
        <w:pStyle w:val="Textonotapie"/>
        <w:jc w:val="both"/>
      </w:pPr>
      <w:r w:rsidRPr="0040672B">
        <w:rPr>
          <w:rStyle w:val="Refdenotaalpie"/>
        </w:rPr>
        <w:footnoteRef/>
      </w:r>
      <w:r w:rsidRPr="0040672B">
        <w:t xml:space="preserve"> https://www.minsalud.gov.co/estadisticas/Paginas/Indicadores.aspx</w:t>
      </w:r>
    </w:p>
  </w:footnote>
  <w:footnote w:id="199">
    <w:p w:rsidR="00000000" w:rsidRDefault="00274507" w:rsidP="006C3B17">
      <w:pPr>
        <w:pStyle w:val="Textonotapie"/>
        <w:jc w:val="both"/>
      </w:pPr>
      <w:r w:rsidRPr="0040672B">
        <w:rPr>
          <w:rStyle w:val="Refdenotaalpie"/>
        </w:rPr>
        <w:footnoteRef/>
      </w:r>
      <w:r w:rsidRPr="0040672B">
        <w:t xml:space="preserve"> Observación general Nº 14 (2000): “… </w:t>
      </w:r>
      <w:r w:rsidRPr="0040672B">
        <w:rPr>
          <w:i/>
        </w:rPr>
        <w:t>57. Las estrategias nacionales de salud deben identificar los pertinentes indicadores y bases de referencia del derecho a la salud. El objetivo de los indicadores debe consistir en vigilar, en los planos nacional e internacional, las obligaciones asumidas por el Estado Parte en virtud del artículo 12. Los Estados podrán obtener una orientación respecto de los indicadores pertinentes del derecho a la salud -que permitirán abordar los distintos aspectos de ese derecho- de la labor que realizan al respecto la OMS y el Fondo de las Naciones Unidas para la Infancia (UNICEF). Los indicadores del derecho a la salud requieren un desglose basado en los motivos de discriminación prohibidos. 58. Una vez identificados los pertinentes indicadores del derecho a la salud, se pide a los Estados Parte que establezcan las bases nacionales de referencia apropiadas respecto de cada indicador. En relación con la presentación de informes periódicos, el Comité emprenderá con el Estado Parte un proceso de determinación del alcance de la aplicación. Dicho proceso entraña el examen conjunto por el Estado Parte y el Comité de los indicadores y bases de referencia nacionales, lo que a su vez permitirá determinar los objetivos que deban alcanzarse durante el próximo período de presentación del informe. En los cinco años siguientes, el Estado Parte utilizará esas bases de referencia nacionales para vigilar la aplicación del artículo 12. Posteriormente, durante el proceso ulterior de presentación de informes, el Estado Parte y el Comité determinarán si se han logrado o no esas bases de referencia, así como las razones de las dificultades que hayan podido surgir</w:t>
      </w:r>
      <w:r w:rsidRPr="0040672B">
        <w:t>…”</w:t>
      </w:r>
    </w:p>
  </w:footnote>
  <w:footnote w:id="200">
    <w:p w:rsidR="00000000" w:rsidRDefault="00274507" w:rsidP="006C3B17">
      <w:pPr>
        <w:jc w:val="both"/>
      </w:pPr>
      <w:r w:rsidRPr="0040672B">
        <w:rPr>
          <w:rStyle w:val="Refdenotaalpie"/>
          <w:sz w:val="20"/>
          <w:szCs w:val="20"/>
        </w:rPr>
        <w:footnoteRef/>
      </w:r>
      <w:r w:rsidRPr="0040672B">
        <w:rPr>
          <w:bCs/>
          <w:sz w:val="20"/>
          <w:szCs w:val="20"/>
          <w:lang w:val="es-ES"/>
        </w:rPr>
        <w:t xml:space="preserve"> </w:t>
      </w:r>
      <w:r w:rsidRPr="0040672B">
        <w:rPr>
          <w:bCs/>
          <w:i/>
          <w:sz w:val="20"/>
          <w:szCs w:val="20"/>
          <w:lang w:val="es-ES"/>
        </w:rPr>
        <w:t xml:space="preserve">Ibídem </w:t>
      </w:r>
      <w:r w:rsidRPr="0040672B">
        <w:rPr>
          <w:bCs/>
          <w:sz w:val="20"/>
          <w:szCs w:val="20"/>
          <w:lang w:val="es-ES"/>
        </w:rPr>
        <w:t>“…</w:t>
      </w:r>
      <w:r w:rsidRPr="0040672B">
        <w:rPr>
          <w:bCs/>
          <w:i/>
          <w:sz w:val="20"/>
          <w:szCs w:val="20"/>
          <w:lang w:val="es-ES"/>
        </w:rPr>
        <w:t>el derecho al disfrute del más alto nivel posible de salud (artículo 12) 1.</w:t>
      </w:r>
      <w:r w:rsidRPr="0040672B">
        <w:rPr>
          <w:i/>
          <w:sz w:val="20"/>
          <w:szCs w:val="20"/>
        </w:rPr>
        <w:t>La salud es un derecho humano fundamental e indispensable para el ejercicio de los demás derechos humanos. Todo ser humano tiene derecho al disfrute del más alto nivel posible de salud que le permita vivir dignamente. La efectividad del derecho a la salud se puede alcanzar mediante numerosos procedimientos complementarios, como la formulación de políticas en materia de salud, la aplicación de los programas de salud elaborados por la Organización Mundial de la Salud (OMS) o la adopción de instrumentos jurídicos concretos</w:t>
      </w:r>
      <w:r w:rsidRPr="0040672B">
        <w:rPr>
          <w:sz w:val="20"/>
          <w:szCs w:val="20"/>
        </w:rPr>
        <w:t>…”</w:t>
      </w:r>
    </w:p>
  </w:footnote>
  <w:footnote w:id="201">
    <w:p w:rsidR="00000000" w:rsidRDefault="00274507" w:rsidP="007D76DA">
      <w:pPr>
        <w:pStyle w:val="Textonotapie"/>
        <w:jc w:val="both"/>
      </w:pPr>
      <w:r w:rsidRPr="0040672B">
        <w:rPr>
          <w:rStyle w:val="Refdenotaalpie"/>
        </w:rPr>
        <w:footnoteRef/>
      </w:r>
      <w:r w:rsidRPr="0040672B">
        <w:t xml:space="preserve"> Comité Internacional de Derechos Sociales y Culturales-Observación general Nº 14 (2000) “… </w:t>
      </w:r>
      <w:r w:rsidRPr="0040672B">
        <w:rPr>
          <w:i/>
        </w:rPr>
        <w:t>63.El papel desempeñado por los organismos y programas de las Naciones Unidas, y en particular la función esencial asignada a la OMS para dar efectividad al derecho a la salud en los planos internacional, regional y nacional, tiene especial importancia, como también la tiene la función desempeñada por el UNICEF en lo que respecta al derecho a la salud de los niños. Al formular y aplicar sus estrategias nacionales del derecho a la salud, los Estados Partes deben recurrir a la cooperación y asistencia técnica de la OMS. Además, al preparar sus informes, los Estados Partes deben utilizar la información y los servicios de asesoramiento amplios de la OMS en lo referente a la reunión de datos, el desglose de los mismos y la elaboración de indicadores y bases de referencia del derecho a la salud</w:t>
      </w:r>
      <w:r w:rsidRPr="0040672B">
        <w:t>…”</w:t>
      </w:r>
    </w:p>
  </w:footnote>
  <w:footnote w:id="202">
    <w:p w:rsidR="00000000" w:rsidRDefault="00274507" w:rsidP="00A46695">
      <w:pPr>
        <w:pStyle w:val="Textonotapie"/>
      </w:pPr>
      <w:r w:rsidRPr="0040672B">
        <w:rPr>
          <w:rStyle w:val="Refdenotaalpie"/>
        </w:rPr>
        <w:footnoteRef/>
      </w:r>
      <w:r w:rsidRPr="0040672B">
        <w:t xml:space="preserve"> </w:t>
      </w:r>
      <w:r w:rsidRPr="0040672B">
        <w:rPr>
          <w:i/>
        </w:rPr>
        <w:t>Cfr</w:t>
      </w:r>
      <w:r w:rsidRPr="0040672B">
        <w:t>. AZ Orden XXX-C, folios 1094-1108.</w:t>
      </w:r>
    </w:p>
  </w:footnote>
  <w:footnote w:id="203">
    <w:p w:rsidR="00000000" w:rsidRDefault="00274507" w:rsidP="007D76DA">
      <w:pPr>
        <w:pStyle w:val="Textonotapie"/>
        <w:jc w:val="both"/>
      </w:pPr>
      <w:r w:rsidRPr="0040672B">
        <w:rPr>
          <w:rStyle w:val="Refdenotaalpie"/>
        </w:rPr>
        <w:footnoteRef/>
      </w:r>
      <w:r w:rsidRPr="0040672B">
        <w:t xml:space="preserve"> </w:t>
      </w:r>
      <w:r w:rsidRPr="0040672B">
        <w:rPr>
          <w:i/>
        </w:rPr>
        <w:t>Cfr</w:t>
      </w:r>
      <w:r w:rsidRPr="0040672B">
        <w:t>. AZ Orden XXX-B, folios 1095-1092.</w:t>
      </w:r>
    </w:p>
  </w:footnote>
  <w:footnote w:id="204">
    <w:p w:rsidR="00000000" w:rsidRDefault="00274507" w:rsidP="007D76DA">
      <w:pPr>
        <w:jc w:val="both"/>
      </w:pPr>
      <w:r w:rsidRPr="0040672B">
        <w:rPr>
          <w:rStyle w:val="Refdenotaalpie"/>
          <w:sz w:val="20"/>
          <w:szCs w:val="20"/>
        </w:rPr>
        <w:footnoteRef/>
      </w:r>
      <w:r w:rsidRPr="0040672B">
        <w:rPr>
          <w:bCs/>
          <w:sz w:val="20"/>
          <w:szCs w:val="20"/>
        </w:rPr>
        <w:t xml:space="preserve"> Decreto 1683 de 2013 </w:t>
      </w:r>
      <w:r w:rsidRPr="0040672B">
        <w:rPr>
          <w:sz w:val="20"/>
          <w:szCs w:val="20"/>
        </w:rPr>
        <w:t>mediante el cual se reglamentó el funcionamiento de la portabilidad de la población afiliada garantizando que si debe trasladarse por cualquier motivo a cualquier Municipio, Departamento o Territorio de la Población, pudiera obtener el servicio de salud en condiciones dignas y de acuerdo al contexto de migración ocasional, temporal y permanente. Advierte que ha sido efectiva la implementación de la norma, por cuanto en el 2014 se registraron 289.064 solicitudes, 118.373 del régimen subsidiado y 170.691 del contributivo, de las cuales fueron resueltas en un 97.5%.</w:t>
      </w:r>
    </w:p>
  </w:footnote>
  <w:footnote w:id="205">
    <w:p w:rsidR="00000000" w:rsidRDefault="00274507" w:rsidP="007D76DA">
      <w:pPr>
        <w:pStyle w:val="Textonotapie"/>
        <w:jc w:val="both"/>
      </w:pPr>
      <w:r w:rsidRPr="0040672B">
        <w:rPr>
          <w:rStyle w:val="Refdenotaalpie"/>
        </w:rPr>
        <w:footnoteRef/>
      </w:r>
      <w:r w:rsidRPr="0040672B">
        <w:t xml:space="preserve"> Decreto 3047 de 2013 “</w:t>
      </w:r>
      <w:r w:rsidRPr="0040672B">
        <w:rPr>
          <w:i/>
        </w:rPr>
        <w:t>Por medio del cual se establecen reglas de movilidad entre regímenes para afiliados focalizados en los niveles I y II del Sisben</w:t>
      </w:r>
      <w:r w:rsidRPr="0040672B">
        <w:rPr>
          <w:rStyle w:val="Refdenotaalpie"/>
        </w:rPr>
        <w:t>”</w:t>
      </w:r>
    </w:p>
  </w:footnote>
  <w:footnote w:id="206">
    <w:p w:rsidR="00000000" w:rsidRDefault="00274507" w:rsidP="007D76DA">
      <w:pPr>
        <w:pStyle w:val="Textonotapie"/>
        <w:jc w:val="both"/>
      </w:pPr>
      <w:r w:rsidRPr="0040672B">
        <w:rPr>
          <w:rStyle w:val="Refdenotaalpie"/>
        </w:rPr>
        <w:footnoteRef/>
      </w:r>
      <w:r w:rsidRPr="0040672B">
        <w:t xml:space="preserve"> </w:t>
      </w:r>
      <w:r w:rsidRPr="0040672B">
        <w:rPr>
          <w:bCs/>
        </w:rPr>
        <w:t>Decreto 4161 de 2014, a través del cual realizó un plan piloto de desarrollo en el Departamento de Guainía.</w:t>
      </w:r>
    </w:p>
  </w:footnote>
  <w:footnote w:id="207">
    <w:p w:rsidR="00000000" w:rsidRDefault="00274507" w:rsidP="00D31D50">
      <w:pPr>
        <w:pStyle w:val="Textonotapie"/>
        <w:jc w:val="both"/>
      </w:pPr>
      <w:r w:rsidRPr="0040672B">
        <w:rPr>
          <w:rStyle w:val="Refdenotaalpie"/>
        </w:rPr>
        <w:footnoteRef/>
      </w:r>
      <w:r w:rsidRPr="0040672B">
        <w:t xml:space="preserve"> </w:t>
      </w:r>
      <w:r w:rsidRPr="0040672B">
        <w:rPr>
          <w:bCs/>
        </w:rPr>
        <w:t xml:space="preserve">Resolución 5521 de 2013 </w:t>
      </w:r>
      <w:r w:rsidRPr="0040672B">
        <w:t>“</w:t>
      </w:r>
      <w:r w:rsidRPr="0040672B">
        <w:rPr>
          <w:i/>
        </w:rPr>
        <w:t>Por el cual se define, aclara y se actualiza integralmente el Plan Obligatorio de Salud (POS)</w:t>
      </w:r>
      <w:r w:rsidRPr="0040672B">
        <w:t>” se implementó la inclusión al POS de medicamentos, tecnologías y procedimientos para los regímenes contributivo y Subsidiado, que deberá ser garantizado por las Entidades Promotoras de Salud a todos  sus afiliados en el territorio nacional, en las condiciones de calidad y demás aspectos que inciden en la salud y el bienestar. Señaló el Ministerio que esta norma consiste en un gran avance para solucionar el problema respecto a los servicios incluidos, no incluidos o excluidos en el Pos, ya que fue socializado en diferentes ciudades del País (Bogotá D.C., Pereira, Pasto, Barranquilla, Cali, Medellín, Bucaramanga, Valledupar, Sogamoso, Quibdó, Yopal, Sincelejo, Cartagena, Popayán y San Andrés</w:t>
      </w:r>
      <w:r w:rsidRPr="0040672B">
        <w:rPr>
          <w:rStyle w:val="Refdenotaalpie"/>
        </w:rPr>
        <w:t xml:space="preserve"> </w:t>
      </w:r>
      <w:r w:rsidRPr="0040672B">
        <w:t xml:space="preserve">), permitiendo que los actores del Sistema lo conozcan de forma completa y sea claro el contenido del mismo. </w:t>
      </w:r>
    </w:p>
  </w:footnote>
  <w:footnote w:id="208">
    <w:p w:rsidR="00000000" w:rsidRDefault="00274507" w:rsidP="002036D3">
      <w:pPr>
        <w:pStyle w:val="Textonotapie"/>
        <w:jc w:val="both"/>
      </w:pPr>
      <w:r w:rsidRPr="0040672B">
        <w:rPr>
          <w:rStyle w:val="Refdenotaalpie"/>
        </w:rPr>
        <w:footnoteRef/>
      </w:r>
      <w:r w:rsidRPr="0040672B">
        <w:t xml:space="preserve"> </w:t>
      </w:r>
      <w:r w:rsidRPr="0040672B">
        <w:rPr>
          <w:bCs/>
        </w:rPr>
        <w:t>Resolución 2739 de 2014.</w:t>
      </w:r>
    </w:p>
  </w:footnote>
  <w:footnote w:id="209">
    <w:p w:rsidR="00000000" w:rsidRDefault="00274507" w:rsidP="002036D3">
      <w:pPr>
        <w:pStyle w:val="Textonotapie"/>
        <w:jc w:val="both"/>
      </w:pPr>
      <w:r w:rsidRPr="0040672B">
        <w:rPr>
          <w:rStyle w:val="Refdenotaalpie"/>
        </w:rPr>
        <w:footnoteRef/>
      </w:r>
      <w:r w:rsidRPr="0040672B">
        <w:t xml:space="preserve"> </w:t>
      </w:r>
      <w:r w:rsidRPr="0040672B">
        <w:rPr>
          <w:bCs/>
        </w:rPr>
        <w:t>Resolución 5729 de 2014.</w:t>
      </w:r>
    </w:p>
  </w:footnote>
  <w:footnote w:id="210">
    <w:p w:rsidR="00000000" w:rsidRDefault="00274507" w:rsidP="002036D3">
      <w:pPr>
        <w:pStyle w:val="Textonotapie"/>
        <w:jc w:val="both"/>
      </w:pPr>
      <w:r w:rsidRPr="0040672B">
        <w:rPr>
          <w:rStyle w:val="Refdenotaalpie"/>
        </w:rPr>
        <w:footnoteRef/>
      </w:r>
      <w:r w:rsidRPr="0040672B">
        <w:t xml:space="preserve"> </w:t>
      </w:r>
      <w:r w:rsidRPr="0040672B">
        <w:rPr>
          <w:bCs/>
        </w:rPr>
        <w:t>Resolución 5925 de 2014.</w:t>
      </w:r>
    </w:p>
  </w:footnote>
  <w:footnote w:id="211">
    <w:p w:rsidR="00000000" w:rsidRDefault="00274507" w:rsidP="002036D3">
      <w:pPr>
        <w:pStyle w:val="Textonotapie"/>
        <w:jc w:val="both"/>
      </w:pPr>
      <w:r w:rsidRPr="0040672B">
        <w:rPr>
          <w:rStyle w:val="Refdenotaalpie"/>
        </w:rPr>
        <w:footnoteRef/>
      </w:r>
      <w:r w:rsidRPr="0040672B">
        <w:t xml:space="preserve"> </w:t>
      </w:r>
      <w:r w:rsidRPr="0040672B">
        <w:rPr>
          <w:bCs/>
        </w:rPr>
        <w:t>Resolución 1328 de 2016.</w:t>
      </w:r>
    </w:p>
  </w:footnote>
  <w:footnote w:id="212">
    <w:p w:rsidR="00000000" w:rsidRDefault="00274507" w:rsidP="002036D3">
      <w:pPr>
        <w:jc w:val="both"/>
      </w:pPr>
      <w:r w:rsidRPr="0040672B">
        <w:rPr>
          <w:rStyle w:val="Refdenotaalpie"/>
          <w:sz w:val="20"/>
          <w:szCs w:val="20"/>
        </w:rPr>
        <w:footnoteRef/>
      </w:r>
      <w:r w:rsidRPr="0040672B">
        <w:rPr>
          <w:sz w:val="20"/>
          <w:szCs w:val="20"/>
        </w:rPr>
        <w:t xml:space="preserve"> </w:t>
      </w:r>
      <w:r w:rsidRPr="0040672B">
        <w:rPr>
          <w:bCs/>
          <w:sz w:val="20"/>
          <w:szCs w:val="20"/>
        </w:rPr>
        <w:t>Artículo 154 de la Ley 1450 de 2011.</w:t>
      </w:r>
    </w:p>
  </w:footnote>
  <w:footnote w:id="213">
    <w:p w:rsidR="00000000" w:rsidRDefault="00274507" w:rsidP="002036D3">
      <w:pPr>
        <w:pStyle w:val="Textonotapie"/>
        <w:jc w:val="both"/>
      </w:pPr>
      <w:r w:rsidRPr="0040672B">
        <w:rPr>
          <w:rStyle w:val="Refdenotaalpie"/>
        </w:rPr>
        <w:footnoteRef/>
      </w:r>
      <w:r w:rsidRPr="0040672B">
        <w:t xml:space="preserve"> Resolución 5395 de 2013 “</w:t>
      </w:r>
      <w:r w:rsidRPr="0040672B">
        <w:rPr>
          <w:i/>
        </w:rPr>
        <w:t xml:space="preserve">por el cual se establece el procedimiento del recobro ante el </w:t>
      </w:r>
      <w:r>
        <w:rPr>
          <w:i/>
        </w:rPr>
        <w:t xml:space="preserve">Fondo de Solidaridad y Garantía - </w:t>
      </w:r>
      <w:r w:rsidRPr="0040672B">
        <w:rPr>
          <w:i/>
        </w:rPr>
        <w:t>Fosyga”.</w:t>
      </w:r>
    </w:p>
  </w:footnote>
  <w:footnote w:id="214">
    <w:p w:rsidR="00000000" w:rsidRDefault="00274507" w:rsidP="002036D3">
      <w:pPr>
        <w:pStyle w:val="Textonotapie"/>
        <w:jc w:val="both"/>
      </w:pPr>
      <w:r w:rsidRPr="0040672B">
        <w:rPr>
          <w:rStyle w:val="Refdenotaalpie"/>
        </w:rPr>
        <w:footnoteRef/>
      </w:r>
      <w:r w:rsidRPr="0040672B">
        <w:t xml:space="preserve"> Resolución 5729 de 2014 “Por la cual se fija el valor de pago por capacitación diferencial indígena, del régimen subsidiado para el año 2014 a reconocer a las Entidades Promotoras de Salud Indígenas”.</w:t>
      </w:r>
    </w:p>
  </w:footnote>
  <w:footnote w:id="215">
    <w:p w:rsidR="00000000" w:rsidRDefault="00274507" w:rsidP="002036D3">
      <w:pPr>
        <w:pStyle w:val="Textonotapie"/>
        <w:jc w:val="both"/>
      </w:pPr>
      <w:r w:rsidRPr="0040672B">
        <w:rPr>
          <w:rStyle w:val="Refdenotaalpie"/>
        </w:rPr>
        <w:footnoteRef/>
      </w:r>
      <w:r w:rsidRPr="0040672B">
        <w:t xml:space="preserve"> “</w:t>
      </w:r>
      <w:r w:rsidRPr="0040672B">
        <w:rPr>
          <w:i/>
        </w:rPr>
        <w:t>superación de fallas de regulación en planes de beneficios para garantizar el acceso</w:t>
      </w:r>
      <w:r w:rsidRPr="0040672B">
        <w:t>”.</w:t>
      </w:r>
    </w:p>
  </w:footnote>
  <w:footnote w:id="216">
    <w:p w:rsidR="00000000" w:rsidRDefault="00274507" w:rsidP="002036D3">
      <w:pPr>
        <w:pStyle w:val="Textonotapie"/>
        <w:jc w:val="both"/>
      </w:pPr>
      <w:r w:rsidRPr="0040672B">
        <w:rPr>
          <w:rStyle w:val="Refdenotaalpie"/>
        </w:rPr>
        <w:footnoteRef/>
      </w:r>
      <w:r w:rsidRPr="0040672B">
        <w:t xml:space="preserve"> “</w:t>
      </w:r>
      <w:r w:rsidRPr="0040672B">
        <w:rPr>
          <w:i/>
        </w:rPr>
        <w:t>Actualización integral del POS</w:t>
      </w:r>
      <w:r w:rsidRPr="0040672B">
        <w:t>”.</w:t>
      </w:r>
    </w:p>
  </w:footnote>
  <w:footnote w:id="217">
    <w:p w:rsidR="00000000" w:rsidRDefault="00274507" w:rsidP="002036D3">
      <w:pPr>
        <w:pStyle w:val="Textonotapie"/>
        <w:jc w:val="both"/>
      </w:pPr>
      <w:r w:rsidRPr="0040672B">
        <w:rPr>
          <w:rStyle w:val="Refdenotaalpie"/>
        </w:rPr>
        <w:footnoteRef/>
      </w:r>
      <w:r w:rsidRPr="0040672B">
        <w:t xml:space="preserve"> “</w:t>
      </w:r>
      <w:r w:rsidRPr="0040672B">
        <w:rPr>
          <w:i/>
        </w:rPr>
        <w:t>Periodicidad en la actualización del POS</w:t>
      </w:r>
      <w:r w:rsidRPr="0040672B">
        <w:t>”.</w:t>
      </w:r>
    </w:p>
  </w:footnote>
  <w:footnote w:id="218">
    <w:p w:rsidR="00000000" w:rsidRDefault="00274507" w:rsidP="002036D3">
      <w:pPr>
        <w:pStyle w:val="Textonotapie"/>
        <w:jc w:val="both"/>
      </w:pPr>
      <w:r w:rsidRPr="0040672B">
        <w:rPr>
          <w:rStyle w:val="Refdenotaalpie"/>
        </w:rPr>
        <w:footnoteRef/>
      </w:r>
      <w:r w:rsidRPr="0040672B">
        <w:t xml:space="preserve"> “</w:t>
      </w:r>
      <w:r w:rsidRPr="0040672B">
        <w:rPr>
          <w:i/>
        </w:rPr>
        <w:t>Flexibilización de requisitos aplicados a los recobros glosados</w:t>
      </w:r>
      <w:r w:rsidRPr="0040672B">
        <w:t>”.</w:t>
      </w:r>
    </w:p>
  </w:footnote>
  <w:footnote w:id="219">
    <w:p w:rsidR="00000000" w:rsidRDefault="00274507" w:rsidP="002036D3">
      <w:pPr>
        <w:pStyle w:val="Textonotapie"/>
        <w:jc w:val="both"/>
      </w:pPr>
      <w:r w:rsidRPr="0040672B">
        <w:rPr>
          <w:rStyle w:val="Refdenotaalpie"/>
        </w:rPr>
        <w:footnoteRef/>
      </w:r>
      <w:r w:rsidRPr="0040672B">
        <w:t xml:space="preserve"> “</w:t>
      </w:r>
      <w:r w:rsidRPr="0040672B">
        <w:rPr>
          <w:i/>
        </w:rPr>
        <w:t>Trámite y cobro de los recobros atrasados a 30 de septiembre de 2008</w:t>
      </w:r>
      <w:r w:rsidRPr="0040672B">
        <w:t>”.</w:t>
      </w:r>
    </w:p>
  </w:footnote>
  <w:footnote w:id="220">
    <w:p w:rsidR="00000000" w:rsidRDefault="00274507" w:rsidP="002036D3">
      <w:pPr>
        <w:pStyle w:val="Textonotapie"/>
        <w:jc w:val="both"/>
      </w:pPr>
      <w:r w:rsidRPr="0040672B">
        <w:rPr>
          <w:rStyle w:val="Refdenotaalpie"/>
        </w:rPr>
        <w:footnoteRef/>
      </w:r>
      <w:r w:rsidRPr="0040672B">
        <w:t xml:space="preserve"> “</w:t>
      </w:r>
      <w:r w:rsidRPr="0040672B">
        <w:rPr>
          <w:i/>
        </w:rPr>
        <w:t>Rediseño del Sistema de Recobros</w:t>
      </w:r>
      <w:r w:rsidRPr="0040672B">
        <w:t>”.</w:t>
      </w:r>
    </w:p>
  </w:footnote>
  <w:footnote w:id="221">
    <w:p w:rsidR="00000000" w:rsidRDefault="00274507" w:rsidP="00CC552B">
      <w:pPr>
        <w:pStyle w:val="Textonotapie"/>
        <w:jc w:val="both"/>
      </w:pPr>
      <w:r w:rsidRPr="0040672B">
        <w:rPr>
          <w:rStyle w:val="Refdenotaalpie"/>
        </w:rPr>
        <w:footnoteRef/>
      </w:r>
      <w:r w:rsidRPr="0040672B">
        <w:t xml:space="preserve"> Auto 411 de 2015.</w:t>
      </w:r>
    </w:p>
  </w:footnote>
  <w:footnote w:id="222">
    <w:p w:rsidR="00000000" w:rsidRDefault="00274507" w:rsidP="00CC552B">
      <w:pPr>
        <w:pStyle w:val="Textonotapie"/>
        <w:jc w:val="both"/>
      </w:pPr>
      <w:r w:rsidRPr="0040672B">
        <w:rPr>
          <w:rStyle w:val="Refdenotaalpie"/>
        </w:rPr>
        <w:footnoteRef/>
      </w:r>
      <w:r w:rsidRPr="0040672B">
        <w:t xml:space="preserve"> Sentencia T-195 de 2010.</w:t>
      </w:r>
    </w:p>
  </w:footnote>
  <w:footnote w:id="223">
    <w:p w:rsidR="00000000" w:rsidRDefault="00274507" w:rsidP="00CC552B">
      <w:pPr>
        <w:pStyle w:val="Textonotapie"/>
        <w:jc w:val="both"/>
      </w:pPr>
      <w:r w:rsidRPr="0040672B">
        <w:rPr>
          <w:rStyle w:val="Refdenotaalpie"/>
        </w:rPr>
        <w:footnoteRef/>
      </w:r>
      <w:r w:rsidRPr="0040672B">
        <w:t xml:space="preserve"> Sentencia T-705 de 2011.</w:t>
      </w:r>
    </w:p>
  </w:footnote>
  <w:footnote w:id="224">
    <w:p w:rsidR="00000000" w:rsidRDefault="00274507" w:rsidP="00401D90">
      <w:pPr>
        <w:pStyle w:val="Textonotapie"/>
        <w:jc w:val="both"/>
      </w:pPr>
      <w:r w:rsidRPr="0040672B">
        <w:rPr>
          <w:rStyle w:val="Refdenotaalpie"/>
        </w:rPr>
        <w:footnoteRef/>
      </w:r>
      <w:r w:rsidRPr="0040672B">
        <w:t xml:space="preserve"> Entiéndase por </w:t>
      </w:r>
      <w:r w:rsidRPr="0040672B">
        <w:rPr>
          <w:b/>
        </w:rPr>
        <w:t>resultado</w:t>
      </w:r>
      <w:r w:rsidRPr="0040672B">
        <w:t>, la materialización de las medidas formales adoptadas por la autoridad obligada en el ámbito de acatamiento de la orden examinada.</w:t>
      </w:r>
    </w:p>
  </w:footnote>
  <w:footnote w:id="225">
    <w:p w:rsidR="00000000" w:rsidRDefault="00274507" w:rsidP="00877E4F">
      <w:pPr>
        <w:pStyle w:val="Textonotapie"/>
        <w:jc w:val="both"/>
      </w:pPr>
      <w:r w:rsidRPr="0040672B">
        <w:rPr>
          <w:rStyle w:val="Refdenotaalpie"/>
        </w:rPr>
        <w:footnoteRef/>
      </w:r>
      <w:r w:rsidRPr="0040672B">
        <w:t xml:space="preserve"> Auto 249 de 2013, consideración jurídica núm. 4.</w:t>
      </w:r>
    </w:p>
  </w:footnote>
  <w:footnote w:id="226">
    <w:p w:rsidR="00000000" w:rsidRDefault="00274507" w:rsidP="00877E4F">
      <w:pPr>
        <w:pStyle w:val="Textonotapie"/>
        <w:jc w:val="both"/>
      </w:pPr>
      <w:r w:rsidRPr="0040672B">
        <w:rPr>
          <w:rStyle w:val="Refdenotaalpie"/>
        </w:rPr>
        <w:footnoteRef/>
      </w:r>
      <w:r w:rsidRPr="0040672B">
        <w:t xml:space="preserve"> Tal y como lo señaló la Defensoría del Pueblo en su informe de seguimiento a las órdenes proferidas en la Sentencia T-760 de 2008, del 7 de noviembre de 2012, algunas EPS siguen sin remitir la información de los servicios de salud negados, sin que mediara alguna sanción de por medio. Obra en la AZ Orden XIX-I, folios 4294-4319.</w:t>
      </w:r>
    </w:p>
  </w:footnote>
  <w:footnote w:id="227">
    <w:p w:rsidR="00274507" w:rsidRPr="00124085" w:rsidRDefault="00274507" w:rsidP="00124085">
      <w:pPr>
        <w:pStyle w:val="Textonotapie"/>
        <w:jc w:val="both"/>
      </w:pPr>
      <w:r w:rsidRPr="00124085">
        <w:rPr>
          <w:rStyle w:val="Refdenotaalpie"/>
        </w:rPr>
        <w:footnoteRef/>
      </w:r>
      <w:r w:rsidRPr="00124085">
        <w:t xml:space="preserve"> Decreto 2591 de 1991, art. 24: “Prevención a la autoridad. Si al concederse la tutela hubieren cesado los efectos del acto impugnado, o éste se hubiera consumado en forma que no sea posible restablecer al solicitante en el goce de su derecho conculcado,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sin perjuicio de las responsabilidades en que ya hubiere incurrido.</w:t>
      </w:r>
    </w:p>
    <w:p w:rsidR="00000000" w:rsidRDefault="00274507" w:rsidP="00124085">
      <w:pPr>
        <w:pStyle w:val="Textonotapie"/>
        <w:jc w:val="both"/>
      </w:pPr>
      <w:r w:rsidRPr="00124085">
        <w:t>El juez también prevendrá a la autoridad en los demás casos en que lo considere adecuado para evitar la repetición de la misma acción u omisión.”</w:t>
      </w:r>
    </w:p>
  </w:footnote>
  <w:footnote w:id="228">
    <w:p w:rsidR="00000000" w:rsidRDefault="00274507" w:rsidP="00124085">
      <w:pPr>
        <w:pStyle w:val="Textonotapie"/>
        <w:jc w:val="both"/>
      </w:pPr>
      <w:r w:rsidRPr="00124085">
        <w:rPr>
          <w:rStyle w:val="Refdenotaalpie"/>
        </w:rPr>
        <w:footnoteRef/>
      </w:r>
      <w:r w:rsidRPr="00124085">
        <w:t xml:space="preserve"> </w:t>
      </w:r>
      <w:r w:rsidRPr="00124085">
        <w:rPr>
          <w:i/>
        </w:rPr>
        <w:t>Cfr</w:t>
      </w:r>
      <w:r w:rsidRPr="00124085">
        <w:t>. Constitución Política art. 277.1: “</w:t>
      </w:r>
      <w:r w:rsidRPr="00124085">
        <w:rPr>
          <w:lang w:val="es-ES"/>
        </w:rPr>
        <w:t>El Procurador G</w:t>
      </w:r>
      <w:r w:rsidRPr="0040672B">
        <w:rPr>
          <w:lang w:val="es-ES"/>
        </w:rPr>
        <w:t xml:space="preserve">eneral de la Nación, por sí o por medio de sus delegados y agentes, tendrá las siguientes funciones: </w:t>
      </w:r>
      <w:r w:rsidRPr="0040672B">
        <w:t>1. Vigilar el cumplimiento de la Constitución, las leyes, las decisiones judiciales y los actos administrativos”. || Decreto Ley 262 de 2000 art. 24.1: “FUNCIONES PREVENTIVAS Y DE CONTROL DE GESTIÓN.</w:t>
      </w:r>
      <w:bookmarkStart w:id="2" w:name="24"/>
      <w:bookmarkEnd w:id="2"/>
      <w:r w:rsidRPr="0040672B">
        <w:t xml:space="preserve"> Sin perjuicio de lo dispuesto en la ley, las procuradurías delegadas tienen las siguientes funciones de vigilancia superior, con fines preventivos y de control de gestión: 1. Velar por el cumplimiento de las disposiciones constitucionales y legales, así como de las decisiones judiciales y administrativas”. || </w:t>
      </w:r>
      <w:r w:rsidRPr="0040672B">
        <w:rPr>
          <w:bCs/>
        </w:rPr>
        <w:t>Resolución 490 de 2008, p</w:t>
      </w:r>
      <w:r w:rsidRPr="0040672B">
        <w:rPr>
          <w:bCs/>
          <w:iCs/>
          <w:lang w:val="es-ES_tradnl"/>
        </w:rPr>
        <w:t xml:space="preserve">or medio de la cual </w:t>
      </w:r>
      <w:r w:rsidRPr="0040672B">
        <w:rPr>
          <w:bCs/>
          <w:lang w:val="es-ES_tradnl"/>
        </w:rPr>
        <w:t xml:space="preserve">se </w:t>
      </w:r>
      <w:r w:rsidRPr="0040672B">
        <w:rPr>
          <w:bCs/>
          <w:iCs/>
          <w:lang w:val="es-ES_tradnl"/>
        </w:rPr>
        <w:t xml:space="preserve">crea el Sistema Integral de Prevención </w:t>
      </w:r>
      <w:r w:rsidRPr="0040672B">
        <w:rPr>
          <w:bCs/>
          <w:lang w:val="es-ES_tradnl"/>
        </w:rPr>
        <w:t xml:space="preserve">y se </w:t>
      </w:r>
      <w:r w:rsidRPr="0040672B">
        <w:rPr>
          <w:bCs/>
          <w:iCs/>
          <w:lang w:val="es-ES_tradnl"/>
        </w:rPr>
        <w:t xml:space="preserve">establecen los principios </w:t>
      </w:r>
      <w:r w:rsidRPr="0040672B">
        <w:rPr>
          <w:bCs/>
          <w:lang w:val="es-ES_tradnl"/>
        </w:rPr>
        <w:t xml:space="preserve">y </w:t>
      </w:r>
      <w:r w:rsidRPr="0040672B">
        <w:rPr>
          <w:bCs/>
          <w:iCs/>
          <w:lang w:val="es-ES_tradnl"/>
        </w:rPr>
        <w:t xml:space="preserve">criterios correspondientes al ejercicio de la función preventiva a cargo de la Procuraduría General de la Nación </w:t>
      </w:r>
      <w:r w:rsidRPr="0040672B">
        <w:rPr>
          <w:bCs/>
          <w:lang w:val="es-ES_tradnl"/>
        </w:rPr>
        <w:t xml:space="preserve">y se </w:t>
      </w:r>
      <w:r w:rsidRPr="0040672B">
        <w:rPr>
          <w:bCs/>
          <w:iCs/>
          <w:lang w:val="es-ES_tradnl"/>
        </w:rPr>
        <w:t>dictan otras disposiciones.</w:t>
      </w:r>
    </w:p>
  </w:footnote>
  <w:footnote w:id="229">
    <w:p w:rsidR="00000000" w:rsidRDefault="00274507" w:rsidP="006C3B17">
      <w:pPr>
        <w:pStyle w:val="Textonotapie"/>
        <w:jc w:val="both"/>
      </w:pPr>
      <w:r w:rsidRPr="0040672B">
        <w:rPr>
          <w:rStyle w:val="Refdenotaalpie"/>
        </w:rPr>
        <w:footnoteRef/>
      </w:r>
      <w:r w:rsidRPr="0040672B">
        <w:t xml:space="preserve"> </w:t>
      </w:r>
      <w:r w:rsidRPr="0040672B">
        <w:rPr>
          <w:i/>
        </w:rPr>
        <w:t>Cfr.</w:t>
      </w:r>
      <w:r w:rsidRPr="0040672B">
        <w:t xml:space="preserve"> Auto 386 de 2014, considerando 2.6: “… se ha procurado que el trámite de seguimiento se lleve a cabo mediante un proceso dialógico cuyos objetivos principales son: i) que las providencias adoptadas por la Sala estén precedidas de una discusión argumentada, respetuosa, seria y responsable sobre las actuaciones implementadas por las entidades gubernamentales y la problemática, aun sin solución, que enfrenta el sistema de salud a pesar de las órdenes emitidas desde 2008, los límites de la gestión gubernamental y las necesidades de la comunidad, y, ii) que las decisiones de política pública que hayan de adoptarse en materia de salud partan de la percepción de los demás actores del sistema y, principalmente, de los usuarios del mismo, de manera que puedan dimensionarse los distintos programas gubernamentales viables para resolver los problemas advertidos por los intervinientes.”</w:t>
      </w:r>
    </w:p>
  </w:footnote>
  <w:footnote w:id="230">
    <w:p w:rsidR="00000000" w:rsidRDefault="00274507" w:rsidP="006C3B17">
      <w:pPr>
        <w:pStyle w:val="Textonotapie"/>
        <w:jc w:val="both"/>
      </w:pPr>
      <w:r w:rsidRPr="0040672B">
        <w:rPr>
          <w:rStyle w:val="Refdenotaalpie"/>
        </w:rPr>
        <w:footnoteRef/>
      </w:r>
      <w:r w:rsidRPr="0040672B">
        <w:t xml:space="preserve"> Considerando 10.4 del Auto 411 de 2015.</w:t>
      </w:r>
    </w:p>
  </w:footnote>
  <w:footnote w:id="231">
    <w:p w:rsidR="00000000" w:rsidRDefault="00274507" w:rsidP="00C4132B">
      <w:pPr>
        <w:pStyle w:val="Textonotapie"/>
        <w:jc w:val="both"/>
      </w:pPr>
      <w:r w:rsidRPr="0040672B">
        <w:rPr>
          <w:rStyle w:val="Refdenotaalpie"/>
        </w:rPr>
        <w:footnoteRef/>
      </w:r>
      <w:r w:rsidRPr="0040672B">
        <w:t xml:space="preserve"> </w:t>
      </w:r>
      <w:r w:rsidRPr="0040672B">
        <w:rPr>
          <w:i/>
        </w:rPr>
        <w:t>Cfr.</w:t>
      </w:r>
      <w:r w:rsidRPr="0040672B">
        <w:t xml:space="preserve"> AZ Orden XXX B, folios 939 a 960.</w:t>
      </w:r>
    </w:p>
  </w:footnote>
  <w:footnote w:id="232">
    <w:p w:rsidR="00000000" w:rsidRDefault="00274507" w:rsidP="00C4132B">
      <w:pPr>
        <w:pStyle w:val="Textonotapie"/>
      </w:pPr>
      <w:r w:rsidRPr="0040672B">
        <w:rPr>
          <w:rStyle w:val="Refdenotaalpie"/>
        </w:rPr>
        <w:footnoteRef/>
      </w:r>
      <w:r w:rsidRPr="0040672B">
        <w:t xml:space="preserve"> Visible en el Anexo 1 </w:t>
      </w:r>
    </w:p>
  </w:footnote>
  <w:footnote w:id="233">
    <w:p w:rsidR="00000000" w:rsidRDefault="00274507" w:rsidP="00C4132B">
      <w:pPr>
        <w:pStyle w:val="Textonotapie"/>
        <w:jc w:val="both"/>
      </w:pPr>
      <w:r w:rsidRPr="0040672B">
        <w:rPr>
          <w:rStyle w:val="Refdenotaalpie"/>
        </w:rPr>
        <w:footnoteRef/>
      </w:r>
      <w:r w:rsidRPr="0040672B">
        <w:rPr>
          <w:i/>
        </w:rPr>
        <w:t>Cfr.</w:t>
      </w:r>
      <w:r w:rsidRPr="0040672B">
        <w:t xml:space="preserve"> AZ Orden XXX-A, folios 298-358</w:t>
      </w:r>
    </w:p>
  </w:footnote>
  <w:footnote w:id="234">
    <w:p w:rsidR="00000000" w:rsidRDefault="00274507" w:rsidP="00C4132B">
      <w:pPr>
        <w:pStyle w:val="Textonotapie"/>
        <w:jc w:val="both"/>
      </w:pPr>
      <w:r w:rsidRPr="0040672B">
        <w:rPr>
          <w:rStyle w:val="Refdenotaalpie"/>
        </w:rPr>
        <w:footnoteRef/>
      </w:r>
      <w:r w:rsidRPr="0040672B">
        <w:t xml:space="preserve"> </w:t>
      </w:r>
      <w:r w:rsidRPr="0040672B">
        <w:rPr>
          <w:i/>
        </w:rPr>
        <w:t>Cfr.</w:t>
      </w:r>
      <w:r w:rsidRPr="0040672B">
        <w:t xml:space="preserve"> AZ Orden XXX-A, folios 385-393 (19 de julio de 2013). </w:t>
      </w:r>
    </w:p>
  </w:footnote>
  <w:footnote w:id="235">
    <w:p w:rsidR="00000000" w:rsidRDefault="00274507" w:rsidP="00BA1CFC">
      <w:pPr>
        <w:pStyle w:val="Textonotapie"/>
      </w:pPr>
      <w:r w:rsidRPr="0040672B">
        <w:rPr>
          <w:rStyle w:val="Refdenotaalpie"/>
        </w:rPr>
        <w:footnoteRef/>
      </w:r>
      <w:r w:rsidRPr="0040672B">
        <w:t xml:space="preserve"> Diagnóstico.</w:t>
      </w:r>
    </w:p>
  </w:footnote>
  <w:footnote w:id="236">
    <w:p w:rsidR="00000000" w:rsidRDefault="00274507" w:rsidP="00BA1CFC">
      <w:pPr>
        <w:pStyle w:val="Textonotapie"/>
      </w:pPr>
      <w:r w:rsidRPr="0040672B">
        <w:rPr>
          <w:rStyle w:val="Refdenotaalpie"/>
        </w:rPr>
        <w:footnoteRef/>
      </w:r>
      <w:r w:rsidRPr="0040672B">
        <w:t xml:space="preserve"> Tratamiento.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274507" w:rsidP="008742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4507" w:rsidRDefault="00274507" w:rsidP="008742D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Pr="007638B3" w:rsidRDefault="00274507" w:rsidP="006A22F5">
    <w:pPr>
      <w:pStyle w:val="Piedepgina"/>
      <w:jc w:val="right"/>
      <w:rPr>
        <w:rStyle w:val="Nmerodepgina"/>
        <w:sz w:val="20"/>
        <w:szCs w:val="20"/>
      </w:rPr>
    </w:pPr>
    <w:r w:rsidRPr="007638B3">
      <w:rPr>
        <w:rStyle w:val="Nmerodepgina"/>
        <w:sz w:val="20"/>
        <w:szCs w:val="20"/>
      </w:rPr>
      <w:fldChar w:fldCharType="begin"/>
    </w:r>
    <w:r w:rsidRPr="007638B3">
      <w:rPr>
        <w:rStyle w:val="Nmerodepgina"/>
        <w:sz w:val="20"/>
        <w:szCs w:val="20"/>
      </w:rPr>
      <w:instrText xml:space="preserve">PAGE  </w:instrText>
    </w:r>
    <w:r w:rsidRPr="007638B3">
      <w:rPr>
        <w:rStyle w:val="Nmerodepgina"/>
        <w:sz w:val="20"/>
        <w:szCs w:val="20"/>
      </w:rPr>
      <w:fldChar w:fldCharType="separate"/>
    </w:r>
    <w:r w:rsidR="006E74D3">
      <w:rPr>
        <w:rStyle w:val="Nmerodepgina"/>
        <w:noProof/>
        <w:sz w:val="20"/>
        <w:szCs w:val="20"/>
      </w:rPr>
      <w:t>80</w:t>
    </w:r>
    <w:r w:rsidRPr="007638B3">
      <w:rPr>
        <w:rStyle w:val="Nmerodepgina"/>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274507" w:rsidP="008742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4507" w:rsidRDefault="00274507" w:rsidP="008742D7">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Pr="007638B3" w:rsidRDefault="00274507" w:rsidP="006A22F5">
    <w:pPr>
      <w:pStyle w:val="Piedepgina"/>
      <w:jc w:val="right"/>
      <w:rPr>
        <w:rStyle w:val="Nmerodepgina"/>
        <w:sz w:val="20"/>
        <w:szCs w:val="20"/>
      </w:rPr>
    </w:pPr>
    <w:r w:rsidRPr="007638B3">
      <w:rPr>
        <w:rStyle w:val="Nmerodepgina"/>
        <w:sz w:val="20"/>
        <w:szCs w:val="20"/>
      </w:rPr>
      <w:fldChar w:fldCharType="begin"/>
    </w:r>
    <w:r w:rsidRPr="007638B3">
      <w:rPr>
        <w:rStyle w:val="Nmerodepgina"/>
        <w:sz w:val="20"/>
        <w:szCs w:val="20"/>
      </w:rPr>
      <w:instrText xml:space="preserve">PAGE  </w:instrText>
    </w:r>
    <w:r w:rsidRPr="007638B3">
      <w:rPr>
        <w:rStyle w:val="Nmerodepgina"/>
        <w:sz w:val="20"/>
        <w:szCs w:val="20"/>
      </w:rPr>
      <w:fldChar w:fldCharType="separate"/>
    </w:r>
    <w:r w:rsidR="006E74D3">
      <w:rPr>
        <w:rStyle w:val="Nmerodepgina"/>
        <w:noProof/>
        <w:sz w:val="20"/>
        <w:szCs w:val="20"/>
      </w:rPr>
      <w:t>97</w:t>
    </w:r>
    <w:r w:rsidRPr="007638B3">
      <w:rPr>
        <w:rStyle w:val="Nmerodepgina"/>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CC63D78"/>
    <w:lvl w:ilvl="0">
      <w:start w:val="1"/>
      <w:numFmt w:val="decimal"/>
      <w:pStyle w:val="Sinespacio"/>
      <w:lvlText w:val="%1."/>
      <w:lvlJc w:val="left"/>
      <w:pPr>
        <w:tabs>
          <w:tab w:val="num" w:pos="360"/>
        </w:tabs>
        <w:ind w:left="360" w:hanging="360"/>
      </w:pPr>
      <w:rPr>
        <w:rFonts w:cs="Times New Roman"/>
      </w:rPr>
    </w:lvl>
  </w:abstractNum>
  <w:abstractNum w:abstractNumId="1">
    <w:nsid w:val="082D50E7"/>
    <w:multiLevelType w:val="hybridMultilevel"/>
    <w:tmpl w:val="BE624AE2"/>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DA52FE5"/>
    <w:multiLevelType w:val="multilevel"/>
    <w:tmpl w:val="7834D75A"/>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ascii="Times New Roman" w:hAnsi="Times New Roman" w:cs="Times New Roman" w:hint="default"/>
        <w:b/>
        <w:i w:val="0"/>
        <w:sz w:val="26"/>
        <w:szCs w:val="26"/>
      </w:rPr>
    </w:lvl>
    <w:lvl w:ilvl="2">
      <w:start w:val="1"/>
      <w:numFmt w:val="decimal"/>
      <w:isLgl/>
      <w:lvlText w:val="%1.%2.%3."/>
      <w:lvlJc w:val="left"/>
      <w:pPr>
        <w:ind w:left="720" w:hanging="720"/>
      </w:pPr>
      <w:rPr>
        <w:rFonts w:ascii="Times New Roman" w:hAnsi="Times New Roman" w:cs="Times New Roman" w:hint="default"/>
        <w:b w:val="0"/>
        <w:i w:val="0"/>
        <w:sz w:val="26"/>
        <w:szCs w:val="26"/>
      </w:rPr>
    </w:lvl>
    <w:lvl w:ilvl="3">
      <w:start w:val="1"/>
      <w:numFmt w:val="decimal"/>
      <w:isLgl/>
      <w:lvlText w:val="%1.%2.%3.%4."/>
      <w:lvlJc w:val="left"/>
      <w:pPr>
        <w:ind w:left="1080" w:hanging="1080"/>
      </w:pPr>
      <w:rPr>
        <w:rFonts w:cs="Times New Roman" w:hint="default"/>
        <w:b w:val="0"/>
        <w:i w:val="0"/>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nsid w:val="0EC4336E"/>
    <w:multiLevelType w:val="hybridMultilevel"/>
    <w:tmpl w:val="9B66211A"/>
    <w:lvl w:ilvl="0" w:tplc="6220ED74">
      <w:start w:val="1"/>
      <w:numFmt w:val="lowerRoman"/>
      <w:lvlText w:val="(%1)"/>
      <w:lvlJc w:val="left"/>
      <w:pPr>
        <w:ind w:left="1080" w:hanging="720"/>
      </w:pPr>
      <w:rPr>
        <w:rFonts w:cs="Times New Roman" w:hint="default"/>
        <w:i/>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F9624AD"/>
    <w:multiLevelType w:val="hybridMultilevel"/>
    <w:tmpl w:val="5C2687D2"/>
    <w:lvl w:ilvl="0" w:tplc="0C0A001B">
      <w:start w:val="1"/>
      <w:numFmt w:val="low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3072496"/>
    <w:multiLevelType w:val="hybridMultilevel"/>
    <w:tmpl w:val="91B42B42"/>
    <w:lvl w:ilvl="0" w:tplc="CA9C3AA6">
      <w:start w:val="1"/>
      <w:numFmt w:val="decimal"/>
      <w:lvlText w:val="%1."/>
      <w:lvlJc w:val="left"/>
      <w:pPr>
        <w:ind w:left="720" w:hanging="360"/>
      </w:pPr>
      <w:rPr>
        <w:rFonts w:cs="Times New Roman"/>
        <w:b/>
        <w:i w:val="0"/>
      </w:rPr>
    </w:lvl>
    <w:lvl w:ilvl="1" w:tplc="240A0019">
      <w:start w:val="1"/>
      <w:numFmt w:val="lowerLetter"/>
      <w:lvlText w:val="%2."/>
      <w:lvlJc w:val="left"/>
      <w:pPr>
        <w:ind w:left="1440" w:hanging="360"/>
      </w:pPr>
      <w:rPr>
        <w:rFonts w:cs="Times New Roman"/>
      </w:rPr>
    </w:lvl>
    <w:lvl w:ilvl="2" w:tplc="869A68AC">
      <w:numFmt w:val="bullet"/>
      <w:lvlText w:val="-"/>
      <w:lvlJc w:val="left"/>
      <w:pPr>
        <w:ind w:left="2685" w:hanging="705"/>
      </w:pPr>
      <w:rPr>
        <w:rFonts w:ascii="Times New Roman" w:eastAsia="Times New Roman" w:hAnsi="Times New Roman" w:hint="default"/>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15A05CBE"/>
    <w:multiLevelType w:val="hybridMultilevel"/>
    <w:tmpl w:val="61986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595B33"/>
    <w:multiLevelType w:val="hybridMultilevel"/>
    <w:tmpl w:val="A850A588"/>
    <w:lvl w:ilvl="0" w:tplc="893AE6FC">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B6E77F4"/>
    <w:multiLevelType w:val="hybridMultilevel"/>
    <w:tmpl w:val="3D66D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AB41B9"/>
    <w:multiLevelType w:val="multilevel"/>
    <w:tmpl w:val="22E40D12"/>
    <w:lvl w:ilvl="0">
      <w:start w:val="3"/>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2B531D5"/>
    <w:multiLevelType w:val="multilevel"/>
    <w:tmpl w:val="E3B2C318"/>
    <w:lvl w:ilvl="0">
      <w:start w:val="3"/>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A246F09"/>
    <w:multiLevelType w:val="hybridMultilevel"/>
    <w:tmpl w:val="C30E6660"/>
    <w:lvl w:ilvl="0" w:tplc="40BCF05C">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2B076C72"/>
    <w:multiLevelType w:val="multilevel"/>
    <w:tmpl w:val="2FC03FF6"/>
    <w:lvl w:ilvl="0">
      <w:start w:val="3"/>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D640DA8"/>
    <w:multiLevelType w:val="hybridMultilevel"/>
    <w:tmpl w:val="01A42E92"/>
    <w:lvl w:ilvl="0" w:tplc="265A8E5C">
      <w:start w:val="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3097599A"/>
    <w:multiLevelType w:val="hybridMultilevel"/>
    <w:tmpl w:val="4DF41C4A"/>
    <w:lvl w:ilvl="0" w:tplc="875EC28C">
      <w:start w:val="1"/>
      <w:numFmt w:val="lowerRoman"/>
      <w:lvlText w:val="%1)"/>
      <w:lvlJc w:val="left"/>
      <w:pPr>
        <w:ind w:left="1080" w:hanging="72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33CF51F5"/>
    <w:multiLevelType w:val="hybridMultilevel"/>
    <w:tmpl w:val="F6A00896"/>
    <w:lvl w:ilvl="0" w:tplc="4ACCC0A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35F06DB6"/>
    <w:multiLevelType w:val="hybridMultilevel"/>
    <w:tmpl w:val="5AF0213A"/>
    <w:lvl w:ilvl="0" w:tplc="4ACCC0A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3C5E278A"/>
    <w:multiLevelType w:val="multilevel"/>
    <w:tmpl w:val="9DC63AE2"/>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F3A6056"/>
    <w:multiLevelType w:val="hybridMultilevel"/>
    <w:tmpl w:val="B4105BB6"/>
    <w:lvl w:ilvl="0" w:tplc="D390F16E">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41A47F8E"/>
    <w:multiLevelType w:val="multilevel"/>
    <w:tmpl w:val="BD32BA2A"/>
    <w:lvl w:ilvl="0">
      <w:start w:val="1"/>
      <w:numFmt w:val="lowerRoman"/>
      <w:lvlText w:val="%1."/>
      <w:lvlJc w:val="righ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424D5567"/>
    <w:multiLevelType w:val="hybridMultilevel"/>
    <w:tmpl w:val="1AB4BB5E"/>
    <w:lvl w:ilvl="0" w:tplc="0ADE5B5A">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2560D26"/>
    <w:multiLevelType w:val="hybridMultilevel"/>
    <w:tmpl w:val="66B48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80A6A6A"/>
    <w:multiLevelType w:val="hybridMultilevel"/>
    <w:tmpl w:val="5F7C9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E8B0298"/>
    <w:multiLevelType w:val="hybridMultilevel"/>
    <w:tmpl w:val="3E6E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F50333"/>
    <w:multiLevelType w:val="hybridMultilevel"/>
    <w:tmpl w:val="C3F40974"/>
    <w:lvl w:ilvl="0" w:tplc="0C0A001B">
      <w:start w:val="1"/>
      <w:numFmt w:val="low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5DC0600C"/>
    <w:multiLevelType w:val="hybridMultilevel"/>
    <w:tmpl w:val="CADAAC0A"/>
    <w:lvl w:ilvl="0" w:tplc="0C0A001B">
      <w:start w:val="1"/>
      <w:numFmt w:val="low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612052E7"/>
    <w:multiLevelType w:val="multilevel"/>
    <w:tmpl w:val="1D0CA69C"/>
    <w:lvl w:ilvl="0">
      <w:start w:val="2"/>
      <w:numFmt w:val="decimal"/>
      <w:lvlText w:val="%1."/>
      <w:lvlJc w:val="left"/>
      <w:pPr>
        <w:ind w:left="408" w:hanging="408"/>
      </w:pPr>
      <w:rPr>
        <w:rFonts w:cs="Times New Roman" w:hint="default"/>
        <w:b/>
      </w:rPr>
    </w:lvl>
    <w:lvl w:ilvl="1">
      <w:start w:val="4"/>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8303741"/>
    <w:multiLevelType w:val="multilevel"/>
    <w:tmpl w:val="E8989F68"/>
    <w:lvl w:ilvl="0">
      <w:start w:val="1"/>
      <w:numFmt w:val="lowerRoman"/>
      <w:lvlText w:val="%1."/>
      <w:lvlJc w:val="right"/>
      <w:pPr>
        <w:ind w:left="1515" w:hanging="720"/>
      </w:pPr>
      <w:rPr>
        <w:rFonts w:cs="Times New Roman" w:hint="default"/>
      </w:rPr>
    </w:lvl>
    <w:lvl w:ilvl="1">
      <w:start w:val="3"/>
      <w:numFmt w:val="decimal"/>
      <w:isLgl/>
      <w:lvlText w:val="%1.%2"/>
      <w:lvlJc w:val="left"/>
      <w:pPr>
        <w:ind w:left="1170" w:hanging="375"/>
      </w:pPr>
      <w:rPr>
        <w:rFonts w:cs="Times New Roman" w:hint="default"/>
      </w:rPr>
    </w:lvl>
    <w:lvl w:ilvl="2">
      <w:start w:val="1"/>
      <w:numFmt w:val="decimal"/>
      <w:isLgl/>
      <w:lvlText w:val="%1.%2.%3"/>
      <w:lvlJc w:val="left"/>
      <w:pPr>
        <w:ind w:left="1515"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2235"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595" w:hanging="1800"/>
      </w:pPr>
      <w:rPr>
        <w:rFonts w:cs="Times New Roman" w:hint="default"/>
      </w:rPr>
    </w:lvl>
    <w:lvl w:ilvl="8">
      <w:start w:val="1"/>
      <w:numFmt w:val="decimal"/>
      <w:isLgl/>
      <w:lvlText w:val="%1.%2.%3.%4.%5.%6.%7.%8.%9"/>
      <w:lvlJc w:val="left"/>
      <w:pPr>
        <w:ind w:left="2595" w:hanging="1800"/>
      </w:pPr>
      <w:rPr>
        <w:rFonts w:cs="Times New Roman" w:hint="default"/>
      </w:rPr>
    </w:lvl>
  </w:abstractNum>
  <w:abstractNum w:abstractNumId="28">
    <w:nsid w:val="6F282DD1"/>
    <w:multiLevelType w:val="hybridMultilevel"/>
    <w:tmpl w:val="77BE32A6"/>
    <w:lvl w:ilvl="0" w:tplc="0C0A001B">
      <w:start w:val="1"/>
      <w:numFmt w:val="lowerRoman"/>
      <w:lvlText w:val="%1."/>
      <w:lvlJc w:val="righ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9">
    <w:nsid w:val="7A5B5718"/>
    <w:multiLevelType w:val="hybridMultilevel"/>
    <w:tmpl w:val="E04C5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F2746F0"/>
    <w:multiLevelType w:val="hybridMultilevel"/>
    <w:tmpl w:val="58FC2170"/>
    <w:lvl w:ilvl="0" w:tplc="E2CE8BE6">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lvlOverride w:ilvl="0">
      <w:startOverride w:val="1"/>
    </w:lvlOverride>
  </w:num>
  <w:num w:numId="2">
    <w:abstractNumId w:val="11"/>
  </w:num>
  <w:num w:numId="3">
    <w:abstractNumId w:val="2"/>
  </w:num>
  <w:num w:numId="4">
    <w:abstractNumId w:val="5"/>
  </w:num>
  <w:num w:numId="5">
    <w:abstractNumId w:val="8"/>
  </w:num>
  <w:num w:numId="6">
    <w:abstractNumId w:val="6"/>
  </w:num>
  <w:num w:numId="7">
    <w:abstractNumId w:val="23"/>
  </w:num>
  <w:num w:numId="8">
    <w:abstractNumId w:val="29"/>
  </w:num>
  <w:num w:numId="9">
    <w:abstractNumId w:val="22"/>
  </w:num>
  <w:num w:numId="10">
    <w:abstractNumId w:val="21"/>
  </w:num>
  <w:num w:numId="11">
    <w:abstractNumId w:val="27"/>
  </w:num>
  <w:num w:numId="12">
    <w:abstractNumId w:val="28"/>
  </w:num>
  <w:num w:numId="13">
    <w:abstractNumId w:val="1"/>
  </w:num>
  <w:num w:numId="14">
    <w:abstractNumId w:val="16"/>
  </w:num>
  <w:num w:numId="15">
    <w:abstractNumId w:val="15"/>
  </w:num>
  <w:num w:numId="16">
    <w:abstractNumId w:val="4"/>
  </w:num>
  <w:num w:numId="17">
    <w:abstractNumId w:val="25"/>
  </w:num>
  <w:num w:numId="18">
    <w:abstractNumId w:val="24"/>
  </w:num>
  <w:num w:numId="19">
    <w:abstractNumId w:val="19"/>
  </w:num>
  <w:num w:numId="20">
    <w:abstractNumId w:val="3"/>
  </w:num>
  <w:num w:numId="21">
    <w:abstractNumId w:val="26"/>
  </w:num>
  <w:num w:numId="22">
    <w:abstractNumId w:val="7"/>
  </w:num>
  <w:num w:numId="23">
    <w:abstractNumId w:val="14"/>
  </w:num>
  <w:num w:numId="24">
    <w:abstractNumId w:val="13"/>
  </w:num>
  <w:num w:numId="25">
    <w:abstractNumId w:val="17"/>
  </w:num>
  <w:num w:numId="26">
    <w:abstractNumId w:val="18"/>
  </w:num>
  <w:num w:numId="27">
    <w:abstractNumId w:val="20"/>
  </w:num>
  <w:num w:numId="28">
    <w:abstractNumId w:val="30"/>
  </w:num>
  <w:num w:numId="29">
    <w:abstractNumId w:val="10"/>
  </w:num>
  <w:num w:numId="30">
    <w:abstractNumId w:val="9"/>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4F"/>
    <w:rsid w:val="0000005A"/>
    <w:rsid w:val="00000CF3"/>
    <w:rsid w:val="00002056"/>
    <w:rsid w:val="000022AF"/>
    <w:rsid w:val="00003706"/>
    <w:rsid w:val="00004007"/>
    <w:rsid w:val="00004ACD"/>
    <w:rsid w:val="000052D8"/>
    <w:rsid w:val="00005A94"/>
    <w:rsid w:val="0000656B"/>
    <w:rsid w:val="00006945"/>
    <w:rsid w:val="000072E8"/>
    <w:rsid w:val="00010469"/>
    <w:rsid w:val="00010482"/>
    <w:rsid w:val="0001106B"/>
    <w:rsid w:val="00011525"/>
    <w:rsid w:val="00011EA0"/>
    <w:rsid w:val="00012747"/>
    <w:rsid w:val="000130C5"/>
    <w:rsid w:val="00013848"/>
    <w:rsid w:val="000139A4"/>
    <w:rsid w:val="00014A28"/>
    <w:rsid w:val="00014BDA"/>
    <w:rsid w:val="00014F32"/>
    <w:rsid w:val="000164FD"/>
    <w:rsid w:val="00016CFD"/>
    <w:rsid w:val="00017851"/>
    <w:rsid w:val="0002026D"/>
    <w:rsid w:val="00020592"/>
    <w:rsid w:val="00020C8E"/>
    <w:rsid w:val="00022230"/>
    <w:rsid w:val="0002249D"/>
    <w:rsid w:val="00022AFF"/>
    <w:rsid w:val="000245F7"/>
    <w:rsid w:val="000247FD"/>
    <w:rsid w:val="00025688"/>
    <w:rsid w:val="000256A7"/>
    <w:rsid w:val="00025AB5"/>
    <w:rsid w:val="00025FE6"/>
    <w:rsid w:val="00027331"/>
    <w:rsid w:val="0003032D"/>
    <w:rsid w:val="000309F6"/>
    <w:rsid w:val="00030B80"/>
    <w:rsid w:val="00031CED"/>
    <w:rsid w:val="000327B8"/>
    <w:rsid w:val="000328CF"/>
    <w:rsid w:val="0003352A"/>
    <w:rsid w:val="00033801"/>
    <w:rsid w:val="000339F9"/>
    <w:rsid w:val="00033BC6"/>
    <w:rsid w:val="000343D3"/>
    <w:rsid w:val="000347A2"/>
    <w:rsid w:val="000348C3"/>
    <w:rsid w:val="00034BC2"/>
    <w:rsid w:val="000350CF"/>
    <w:rsid w:val="0003611A"/>
    <w:rsid w:val="0003796B"/>
    <w:rsid w:val="00037D5E"/>
    <w:rsid w:val="00037DC5"/>
    <w:rsid w:val="00041A34"/>
    <w:rsid w:val="00042A18"/>
    <w:rsid w:val="00043B5A"/>
    <w:rsid w:val="00044105"/>
    <w:rsid w:val="00044BE3"/>
    <w:rsid w:val="00044C47"/>
    <w:rsid w:val="00045A55"/>
    <w:rsid w:val="00045C7A"/>
    <w:rsid w:val="000463AD"/>
    <w:rsid w:val="00046C48"/>
    <w:rsid w:val="00051052"/>
    <w:rsid w:val="000512A5"/>
    <w:rsid w:val="00051E32"/>
    <w:rsid w:val="000526A2"/>
    <w:rsid w:val="000535AC"/>
    <w:rsid w:val="00053AC7"/>
    <w:rsid w:val="000550B0"/>
    <w:rsid w:val="00055195"/>
    <w:rsid w:val="00055355"/>
    <w:rsid w:val="00055769"/>
    <w:rsid w:val="00056424"/>
    <w:rsid w:val="00056908"/>
    <w:rsid w:val="00056940"/>
    <w:rsid w:val="00056AC4"/>
    <w:rsid w:val="00057A2B"/>
    <w:rsid w:val="00057C64"/>
    <w:rsid w:val="00060E4E"/>
    <w:rsid w:val="00061A6A"/>
    <w:rsid w:val="00061BC0"/>
    <w:rsid w:val="0006236F"/>
    <w:rsid w:val="000628B5"/>
    <w:rsid w:val="00062B56"/>
    <w:rsid w:val="00062C71"/>
    <w:rsid w:val="00062D0F"/>
    <w:rsid w:val="00063317"/>
    <w:rsid w:val="00063B69"/>
    <w:rsid w:val="000640B9"/>
    <w:rsid w:val="00064812"/>
    <w:rsid w:val="00064CDE"/>
    <w:rsid w:val="0006580C"/>
    <w:rsid w:val="0006588D"/>
    <w:rsid w:val="00065923"/>
    <w:rsid w:val="00066420"/>
    <w:rsid w:val="000671C0"/>
    <w:rsid w:val="000675C9"/>
    <w:rsid w:val="00067A1E"/>
    <w:rsid w:val="0007147B"/>
    <w:rsid w:val="00071AD2"/>
    <w:rsid w:val="0007262D"/>
    <w:rsid w:val="000735D7"/>
    <w:rsid w:val="0007447C"/>
    <w:rsid w:val="00074B82"/>
    <w:rsid w:val="00075339"/>
    <w:rsid w:val="00075DCD"/>
    <w:rsid w:val="000769FD"/>
    <w:rsid w:val="00076B1E"/>
    <w:rsid w:val="00076D05"/>
    <w:rsid w:val="00076EF2"/>
    <w:rsid w:val="00077E05"/>
    <w:rsid w:val="00077EC6"/>
    <w:rsid w:val="00080003"/>
    <w:rsid w:val="00080E11"/>
    <w:rsid w:val="000829F7"/>
    <w:rsid w:val="00083A51"/>
    <w:rsid w:val="000843FD"/>
    <w:rsid w:val="000849D0"/>
    <w:rsid w:val="0008586B"/>
    <w:rsid w:val="000859F8"/>
    <w:rsid w:val="00085ABD"/>
    <w:rsid w:val="000860E1"/>
    <w:rsid w:val="0008623E"/>
    <w:rsid w:val="00086942"/>
    <w:rsid w:val="00087380"/>
    <w:rsid w:val="000876C8"/>
    <w:rsid w:val="000877B6"/>
    <w:rsid w:val="00090137"/>
    <w:rsid w:val="00090920"/>
    <w:rsid w:val="00090F4A"/>
    <w:rsid w:val="0009103D"/>
    <w:rsid w:val="00091C9D"/>
    <w:rsid w:val="0009306F"/>
    <w:rsid w:val="00093232"/>
    <w:rsid w:val="00093357"/>
    <w:rsid w:val="0009335D"/>
    <w:rsid w:val="00094BD5"/>
    <w:rsid w:val="00095276"/>
    <w:rsid w:val="000961DB"/>
    <w:rsid w:val="00096B59"/>
    <w:rsid w:val="000A04AA"/>
    <w:rsid w:val="000A0598"/>
    <w:rsid w:val="000A0684"/>
    <w:rsid w:val="000A0AFF"/>
    <w:rsid w:val="000A1030"/>
    <w:rsid w:val="000A1ADE"/>
    <w:rsid w:val="000A2708"/>
    <w:rsid w:val="000A2C39"/>
    <w:rsid w:val="000A355E"/>
    <w:rsid w:val="000A3C2F"/>
    <w:rsid w:val="000A45C9"/>
    <w:rsid w:val="000A46CA"/>
    <w:rsid w:val="000A496A"/>
    <w:rsid w:val="000A51A3"/>
    <w:rsid w:val="000A53B5"/>
    <w:rsid w:val="000A5728"/>
    <w:rsid w:val="000A5B91"/>
    <w:rsid w:val="000A6FA0"/>
    <w:rsid w:val="000B0205"/>
    <w:rsid w:val="000B0387"/>
    <w:rsid w:val="000B1133"/>
    <w:rsid w:val="000B15E7"/>
    <w:rsid w:val="000B1ADB"/>
    <w:rsid w:val="000B1DB8"/>
    <w:rsid w:val="000B2272"/>
    <w:rsid w:val="000B2525"/>
    <w:rsid w:val="000B2AAA"/>
    <w:rsid w:val="000B2BE0"/>
    <w:rsid w:val="000B380B"/>
    <w:rsid w:val="000B4304"/>
    <w:rsid w:val="000B4305"/>
    <w:rsid w:val="000B4388"/>
    <w:rsid w:val="000B47E6"/>
    <w:rsid w:val="000B49A9"/>
    <w:rsid w:val="000B5282"/>
    <w:rsid w:val="000B57AC"/>
    <w:rsid w:val="000B62D3"/>
    <w:rsid w:val="000B6C62"/>
    <w:rsid w:val="000B6D31"/>
    <w:rsid w:val="000B77BD"/>
    <w:rsid w:val="000B78A8"/>
    <w:rsid w:val="000B7AFF"/>
    <w:rsid w:val="000C01A6"/>
    <w:rsid w:val="000C0886"/>
    <w:rsid w:val="000C14C1"/>
    <w:rsid w:val="000C1FF0"/>
    <w:rsid w:val="000C234B"/>
    <w:rsid w:val="000C30F1"/>
    <w:rsid w:val="000C339C"/>
    <w:rsid w:val="000C3C1D"/>
    <w:rsid w:val="000C4BD3"/>
    <w:rsid w:val="000C4DDD"/>
    <w:rsid w:val="000C53A8"/>
    <w:rsid w:val="000C54AB"/>
    <w:rsid w:val="000C5BDD"/>
    <w:rsid w:val="000C6A84"/>
    <w:rsid w:val="000C751B"/>
    <w:rsid w:val="000C7AAB"/>
    <w:rsid w:val="000C7D72"/>
    <w:rsid w:val="000C7DB5"/>
    <w:rsid w:val="000D05ED"/>
    <w:rsid w:val="000D0778"/>
    <w:rsid w:val="000D121F"/>
    <w:rsid w:val="000D15FD"/>
    <w:rsid w:val="000D2A03"/>
    <w:rsid w:val="000D2E34"/>
    <w:rsid w:val="000D3615"/>
    <w:rsid w:val="000D3D1B"/>
    <w:rsid w:val="000D3DF3"/>
    <w:rsid w:val="000D5369"/>
    <w:rsid w:val="000D542E"/>
    <w:rsid w:val="000D602C"/>
    <w:rsid w:val="000D629B"/>
    <w:rsid w:val="000D6515"/>
    <w:rsid w:val="000D6B59"/>
    <w:rsid w:val="000D6D01"/>
    <w:rsid w:val="000D6ED0"/>
    <w:rsid w:val="000D7190"/>
    <w:rsid w:val="000D7B8F"/>
    <w:rsid w:val="000E00AF"/>
    <w:rsid w:val="000E0EA3"/>
    <w:rsid w:val="000E1040"/>
    <w:rsid w:val="000E12E6"/>
    <w:rsid w:val="000E34AF"/>
    <w:rsid w:val="000E37D6"/>
    <w:rsid w:val="000E3F04"/>
    <w:rsid w:val="000E444A"/>
    <w:rsid w:val="000E49BE"/>
    <w:rsid w:val="000E4DB5"/>
    <w:rsid w:val="000E5CA4"/>
    <w:rsid w:val="000E6DF8"/>
    <w:rsid w:val="000E7D97"/>
    <w:rsid w:val="000F0ABC"/>
    <w:rsid w:val="000F0AF8"/>
    <w:rsid w:val="000F0BFD"/>
    <w:rsid w:val="000F237A"/>
    <w:rsid w:val="000F30E8"/>
    <w:rsid w:val="000F3B7A"/>
    <w:rsid w:val="000F468C"/>
    <w:rsid w:val="000F518B"/>
    <w:rsid w:val="000F52E7"/>
    <w:rsid w:val="000F5A22"/>
    <w:rsid w:val="000F5D97"/>
    <w:rsid w:val="000F5F4D"/>
    <w:rsid w:val="000F6757"/>
    <w:rsid w:val="000F7190"/>
    <w:rsid w:val="001007C4"/>
    <w:rsid w:val="0010187C"/>
    <w:rsid w:val="0010297E"/>
    <w:rsid w:val="00102AB7"/>
    <w:rsid w:val="00102F12"/>
    <w:rsid w:val="00103271"/>
    <w:rsid w:val="00103662"/>
    <w:rsid w:val="00104891"/>
    <w:rsid w:val="00106B4B"/>
    <w:rsid w:val="00106E3E"/>
    <w:rsid w:val="00110483"/>
    <w:rsid w:val="001104A5"/>
    <w:rsid w:val="001106D2"/>
    <w:rsid w:val="00110ABD"/>
    <w:rsid w:val="00110B33"/>
    <w:rsid w:val="00113202"/>
    <w:rsid w:val="00113CFC"/>
    <w:rsid w:val="001153BE"/>
    <w:rsid w:val="00116398"/>
    <w:rsid w:val="00116699"/>
    <w:rsid w:val="0011705F"/>
    <w:rsid w:val="0011765F"/>
    <w:rsid w:val="001201B0"/>
    <w:rsid w:val="00120B85"/>
    <w:rsid w:val="00120C7F"/>
    <w:rsid w:val="00121C50"/>
    <w:rsid w:val="00122ADC"/>
    <w:rsid w:val="00122CB0"/>
    <w:rsid w:val="00123FBC"/>
    <w:rsid w:val="00124085"/>
    <w:rsid w:val="001245A4"/>
    <w:rsid w:val="00124891"/>
    <w:rsid w:val="00125E20"/>
    <w:rsid w:val="00126093"/>
    <w:rsid w:val="00126726"/>
    <w:rsid w:val="00127310"/>
    <w:rsid w:val="00127678"/>
    <w:rsid w:val="0013005C"/>
    <w:rsid w:val="001300D5"/>
    <w:rsid w:val="00130180"/>
    <w:rsid w:val="00130188"/>
    <w:rsid w:val="001317AF"/>
    <w:rsid w:val="00131A1B"/>
    <w:rsid w:val="00131C97"/>
    <w:rsid w:val="001320E7"/>
    <w:rsid w:val="00132388"/>
    <w:rsid w:val="00132704"/>
    <w:rsid w:val="00133876"/>
    <w:rsid w:val="001355AE"/>
    <w:rsid w:val="00135809"/>
    <w:rsid w:val="001360F7"/>
    <w:rsid w:val="0013690E"/>
    <w:rsid w:val="0013793A"/>
    <w:rsid w:val="0014133A"/>
    <w:rsid w:val="001426BE"/>
    <w:rsid w:val="00142783"/>
    <w:rsid w:val="00142A4A"/>
    <w:rsid w:val="00143A44"/>
    <w:rsid w:val="00144E0C"/>
    <w:rsid w:val="00144FB2"/>
    <w:rsid w:val="00145863"/>
    <w:rsid w:val="001465FA"/>
    <w:rsid w:val="0014696E"/>
    <w:rsid w:val="001471EB"/>
    <w:rsid w:val="00147C99"/>
    <w:rsid w:val="00147E2C"/>
    <w:rsid w:val="00150260"/>
    <w:rsid w:val="001504FC"/>
    <w:rsid w:val="00151DBE"/>
    <w:rsid w:val="0015214E"/>
    <w:rsid w:val="00152C66"/>
    <w:rsid w:val="00152E1F"/>
    <w:rsid w:val="00153C96"/>
    <w:rsid w:val="001557DB"/>
    <w:rsid w:val="0015700C"/>
    <w:rsid w:val="00157F1F"/>
    <w:rsid w:val="00160952"/>
    <w:rsid w:val="00160A6C"/>
    <w:rsid w:val="00161677"/>
    <w:rsid w:val="0016314E"/>
    <w:rsid w:val="00164B45"/>
    <w:rsid w:val="00164B9F"/>
    <w:rsid w:val="00164FEE"/>
    <w:rsid w:val="001653C1"/>
    <w:rsid w:val="001659E2"/>
    <w:rsid w:val="00165D2B"/>
    <w:rsid w:val="00166617"/>
    <w:rsid w:val="0016690D"/>
    <w:rsid w:val="00167302"/>
    <w:rsid w:val="00167558"/>
    <w:rsid w:val="0016758D"/>
    <w:rsid w:val="00170EA7"/>
    <w:rsid w:val="001713D4"/>
    <w:rsid w:val="001716B2"/>
    <w:rsid w:val="00171D5C"/>
    <w:rsid w:val="0017247E"/>
    <w:rsid w:val="001725B4"/>
    <w:rsid w:val="00172951"/>
    <w:rsid w:val="001737AE"/>
    <w:rsid w:val="00173EA9"/>
    <w:rsid w:val="0017574B"/>
    <w:rsid w:val="00175AC8"/>
    <w:rsid w:val="001768EC"/>
    <w:rsid w:val="001773B8"/>
    <w:rsid w:val="00177480"/>
    <w:rsid w:val="00177647"/>
    <w:rsid w:val="001779C5"/>
    <w:rsid w:val="00177E01"/>
    <w:rsid w:val="001803EB"/>
    <w:rsid w:val="001808C3"/>
    <w:rsid w:val="00180CF6"/>
    <w:rsid w:val="00180E90"/>
    <w:rsid w:val="00180EF6"/>
    <w:rsid w:val="001813C7"/>
    <w:rsid w:val="00181D6D"/>
    <w:rsid w:val="00182140"/>
    <w:rsid w:val="00182803"/>
    <w:rsid w:val="001836E6"/>
    <w:rsid w:val="00183D1E"/>
    <w:rsid w:val="00184F3D"/>
    <w:rsid w:val="00186B7D"/>
    <w:rsid w:val="00187A62"/>
    <w:rsid w:val="001909E7"/>
    <w:rsid w:val="00191480"/>
    <w:rsid w:val="00191787"/>
    <w:rsid w:val="001918E4"/>
    <w:rsid w:val="00191AF6"/>
    <w:rsid w:val="00192460"/>
    <w:rsid w:val="00193E9A"/>
    <w:rsid w:val="00193F0E"/>
    <w:rsid w:val="00194C41"/>
    <w:rsid w:val="00194E12"/>
    <w:rsid w:val="001958F7"/>
    <w:rsid w:val="00195B5C"/>
    <w:rsid w:val="0019686F"/>
    <w:rsid w:val="00197033"/>
    <w:rsid w:val="00197D15"/>
    <w:rsid w:val="001A046D"/>
    <w:rsid w:val="001A0804"/>
    <w:rsid w:val="001A1EE1"/>
    <w:rsid w:val="001A32A0"/>
    <w:rsid w:val="001A352B"/>
    <w:rsid w:val="001A469D"/>
    <w:rsid w:val="001A494D"/>
    <w:rsid w:val="001A4F3B"/>
    <w:rsid w:val="001A570E"/>
    <w:rsid w:val="001A5BFC"/>
    <w:rsid w:val="001A6284"/>
    <w:rsid w:val="001A66BD"/>
    <w:rsid w:val="001A724D"/>
    <w:rsid w:val="001A7D3C"/>
    <w:rsid w:val="001B050C"/>
    <w:rsid w:val="001B0C42"/>
    <w:rsid w:val="001B19DE"/>
    <w:rsid w:val="001B2532"/>
    <w:rsid w:val="001B28A1"/>
    <w:rsid w:val="001B307E"/>
    <w:rsid w:val="001B3C4A"/>
    <w:rsid w:val="001B3E41"/>
    <w:rsid w:val="001B3F8C"/>
    <w:rsid w:val="001B412E"/>
    <w:rsid w:val="001B42EC"/>
    <w:rsid w:val="001B46E2"/>
    <w:rsid w:val="001B4A74"/>
    <w:rsid w:val="001B4CB1"/>
    <w:rsid w:val="001B4DDA"/>
    <w:rsid w:val="001B5201"/>
    <w:rsid w:val="001B6502"/>
    <w:rsid w:val="001B68CD"/>
    <w:rsid w:val="001B72C8"/>
    <w:rsid w:val="001C01F8"/>
    <w:rsid w:val="001C065D"/>
    <w:rsid w:val="001C09C4"/>
    <w:rsid w:val="001C0E39"/>
    <w:rsid w:val="001C0E72"/>
    <w:rsid w:val="001C1390"/>
    <w:rsid w:val="001C2FF8"/>
    <w:rsid w:val="001C4C19"/>
    <w:rsid w:val="001C61E4"/>
    <w:rsid w:val="001C639F"/>
    <w:rsid w:val="001C67A6"/>
    <w:rsid w:val="001C6F23"/>
    <w:rsid w:val="001C7085"/>
    <w:rsid w:val="001C7B7B"/>
    <w:rsid w:val="001D0108"/>
    <w:rsid w:val="001D0FEC"/>
    <w:rsid w:val="001D1095"/>
    <w:rsid w:val="001D185A"/>
    <w:rsid w:val="001D27D3"/>
    <w:rsid w:val="001D28E6"/>
    <w:rsid w:val="001D2B5B"/>
    <w:rsid w:val="001D350A"/>
    <w:rsid w:val="001D383C"/>
    <w:rsid w:val="001D447E"/>
    <w:rsid w:val="001D4604"/>
    <w:rsid w:val="001D4A11"/>
    <w:rsid w:val="001D5226"/>
    <w:rsid w:val="001D58CD"/>
    <w:rsid w:val="001D594C"/>
    <w:rsid w:val="001D62C7"/>
    <w:rsid w:val="001D6498"/>
    <w:rsid w:val="001D6745"/>
    <w:rsid w:val="001D6859"/>
    <w:rsid w:val="001D688E"/>
    <w:rsid w:val="001D694F"/>
    <w:rsid w:val="001D6B5C"/>
    <w:rsid w:val="001D7514"/>
    <w:rsid w:val="001D75E1"/>
    <w:rsid w:val="001D78DA"/>
    <w:rsid w:val="001E0731"/>
    <w:rsid w:val="001E0735"/>
    <w:rsid w:val="001E0F2D"/>
    <w:rsid w:val="001E16EF"/>
    <w:rsid w:val="001E32D5"/>
    <w:rsid w:val="001E3303"/>
    <w:rsid w:val="001E3E04"/>
    <w:rsid w:val="001E508C"/>
    <w:rsid w:val="001E54A9"/>
    <w:rsid w:val="001E5986"/>
    <w:rsid w:val="001E5BBE"/>
    <w:rsid w:val="001E7602"/>
    <w:rsid w:val="001F0B35"/>
    <w:rsid w:val="001F0BFE"/>
    <w:rsid w:val="001F1518"/>
    <w:rsid w:val="001F22C6"/>
    <w:rsid w:val="001F2398"/>
    <w:rsid w:val="001F3BEA"/>
    <w:rsid w:val="001F3F62"/>
    <w:rsid w:val="001F462F"/>
    <w:rsid w:val="001F4EB5"/>
    <w:rsid w:val="001F5001"/>
    <w:rsid w:val="001F63CF"/>
    <w:rsid w:val="001F67CC"/>
    <w:rsid w:val="001F6AC9"/>
    <w:rsid w:val="001F6D2D"/>
    <w:rsid w:val="001F7630"/>
    <w:rsid w:val="001F7687"/>
    <w:rsid w:val="001F7DFB"/>
    <w:rsid w:val="00200283"/>
    <w:rsid w:val="002014A6"/>
    <w:rsid w:val="002016B6"/>
    <w:rsid w:val="0020174B"/>
    <w:rsid w:val="00201790"/>
    <w:rsid w:val="00202176"/>
    <w:rsid w:val="00202332"/>
    <w:rsid w:val="0020241B"/>
    <w:rsid w:val="002036D3"/>
    <w:rsid w:val="0020393E"/>
    <w:rsid w:val="00204414"/>
    <w:rsid w:val="002052A1"/>
    <w:rsid w:val="002056C1"/>
    <w:rsid w:val="00205795"/>
    <w:rsid w:val="002076C0"/>
    <w:rsid w:val="002104E1"/>
    <w:rsid w:val="00210E20"/>
    <w:rsid w:val="00210E46"/>
    <w:rsid w:val="002110AC"/>
    <w:rsid w:val="00211103"/>
    <w:rsid w:val="002113E9"/>
    <w:rsid w:val="00211608"/>
    <w:rsid w:val="002116CE"/>
    <w:rsid w:val="002127AA"/>
    <w:rsid w:val="00212D23"/>
    <w:rsid w:val="00213149"/>
    <w:rsid w:val="0021352F"/>
    <w:rsid w:val="002136B6"/>
    <w:rsid w:val="00213C50"/>
    <w:rsid w:val="00214A2A"/>
    <w:rsid w:val="002160CD"/>
    <w:rsid w:val="0021730E"/>
    <w:rsid w:val="002178DF"/>
    <w:rsid w:val="0022062A"/>
    <w:rsid w:val="00221237"/>
    <w:rsid w:val="00221C57"/>
    <w:rsid w:val="0022269C"/>
    <w:rsid w:val="00222E2B"/>
    <w:rsid w:val="00224100"/>
    <w:rsid w:val="002253A4"/>
    <w:rsid w:val="00225470"/>
    <w:rsid w:val="002254E6"/>
    <w:rsid w:val="00225609"/>
    <w:rsid w:val="00225856"/>
    <w:rsid w:val="00226253"/>
    <w:rsid w:val="00226378"/>
    <w:rsid w:val="0022733E"/>
    <w:rsid w:val="00227654"/>
    <w:rsid w:val="00227DAB"/>
    <w:rsid w:val="00230382"/>
    <w:rsid w:val="00231371"/>
    <w:rsid w:val="002318E3"/>
    <w:rsid w:val="00231939"/>
    <w:rsid w:val="002331C4"/>
    <w:rsid w:val="00233412"/>
    <w:rsid w:val="00233FBF"/>
    <w:rsid w:val="00234B6A"/>
    <w:rsid w:val="00234C8B"/>
    <w:rsid w:val="002351EE"/>
    <w:rsid w:val="00235F0C"/>
    <w:rsid w:val="002360AF"/>
    <w:rsid w:val="002362F2"/>
    <w:rsid w:val="002363A2"/>
    <w:rsid w:val="00237250"/>
    <w:rsid w:val="00237A09"/>
    <w:rsid w:val="00240598"/>
    <w:rsid w:val="00240F24"/>
    <w:rsid w:val="002413C2"/>
    <w:rsid w:val="0024142A"/>
    <w:rsid w:val="002418A4"/>
    <w:rsid w:val="00241AF1"/>
    <w:rsid w:val="00241C85"/>
    <w:rsid w:val="00241F54"/>
    <w:rsid w:val="002431A4"/>
    <w:rsid w:val="0024324A"/>
    <w:rsid w:val="00245778"/>
    <w:rsid w:val="00245B6F"/>
    <w:rsid w:val="00246625"/>
    <w:rsid w:val="00247D86"/>
    <w:rsid w:val="00247E13"/>
    <w:rsid w:val="00250B84"/>
    <w:rsid w:val="0025132B"/>
    <w:rsid w:val="00251361"/>
    <w:rsid w:val="00251D15"/>
    <w:rsid w:val="00251D58"/>
    <w:rsid w:val="00252C27"/>
    <w:rsid w:val="00252FB2"/>
    <w:rsid w:val="0025304B"/>
    <w:rsid w:val="00253234"/>
    <w:rsid w:val="002532EA"/>
    <w:rsid w:val="002536B6"/>
    <w:rsid w:val="00253762"/>
    <w:rsid w:val="00253DCB"/>
    <w:rsid w:val="00254670"/>
    <w:rsid w:val="002548A3"/>
    <w:rsid w:val="00255A4C"/>
    <w:rsid w:val="00256AF6"/>
    <w:rsid w:val="002572BD"/>
    <w:rsid w:val="00257C8A"/>
    <w:rsid w:val="00257DFE"/>
    <w:rsid w:val="0026087E"/>
    <w:rsid w:val="0026089E"/>
    <w:rsid w:val="00260B8A"/>
    <w:rsid w:val="00260C09"/>
    <w:rsid w:val="002618CC"/>
    <w:rsid w:val="00261E2A"/>
    <w:rsid w:val="00261F3F"/>
    <w:rsid w:val="00262BA3"/>
    <w:rsid w:val="002631DE"/>
    <w:rsid w:val="00263C59"/>
    <w:rsid w:val="00264CDA"/>
    <w:rsid w:val="00265288"/>
    <w:rsid w:val="00265509"/>
    <w:rsid w:val="00265598"/>
    <w:rsid w:val="00265BB9"/>
    <w:rsid w:val="00265E37"/>
    <w:rsid w:val="00266A26"/>
    <w:rsid w:val="00267CAA"/>
    <w:rsid w:val="00267EC0"/>
    <w:rsid w:val="00270085"/>
    <w:rsid w:val="00272F60"/>
    <w:rsid w:val="002734AF"/>
    <w:rsid w:val="0027403F"/>
    <w:rsid w:val="00274507"/>
    <w:rsid w:val="00276781"/>
    <w:rsid w:val="00276A51"/>
    <w:rsid w:val="00276F47"/>
    <w:rsid w:val="00277C89"/>
    <w:rsid w:val="00280955"/>
    <w:rsid w:val="00281107"/>
    <w:rsid w:val="00282F21"/>
    <w:rsid w:val="00283AA6"/>
    <w:rsid w:val="00283B9D"/>
    <w:rsid w:val="00283ED9"/>
    <w:rsid w:val="00284494"/>
    <w:rsid w:val="002844EC"/>
    <w:rsid w:val="00285282"/>
    <w:rsid w:val="002855B4"/>
    <w:rsid w:val="002871EE"/>
    <w:rsid w:val="002871F9"/>
    <w:rsid w:val="00287204"/>
    <w:rsid w:val="00287BCD"/>
    <w:rsid w:val="00290B21"/>
    <w:rsid w:val="00291949"/>
    <w:rsid w:val="0029214F"/>
    <w:rsid w:val="002924BF"/>
    <w:rsid w:val="002926D6"/>
    <w:rsid w:val="00292BC3"/>
    <w:rsid w:val="002938D5"/>
    <w:rsid w:val="00293BF7"/>
    <w:rsid w:val="002953A0"/>
    <w:rsid w:val="00296771"/>
    <w:rsid w:val="002969A0"/>
    <w:rsid w:val="00296BA4"/>
    <w:rsid w:val="002976F6"/>
    <w:rsid w:val="00297B51"/>
    <w:rsid w:val="002A0D3B"/>
    <w:rsid w:val="002A1E0D"/>
    <w:rsid w:val="002A3585"/>
    <w:rsid w:val="002A3AAC"/>
    <w:rsid w:val="002A3ADC"/>
    <w:rsid w:val="002A48F2"/>
    <w:rsid w:val="002A49DF"/>
    <w:rsid w:val="002A4A21"/>
    <w:rsid w:val="002A4F38"/>
    <w:rsid w:val="002A5053"/>
    <w:rsid w:val="002A5B1C"/>
    <w:rsid w:val="002A6F1D"/>
    <w:rsid w:val="002A76F4"/>
    <w:rsid w:val="002B091E"/>
    <w:rsid w:val="002B0B59"/>
    <w:rsid w:val="002B0E1B"/>
    <w:rsid w:val="002B0EA4"/>
    <w:rsid w:val="002B163A"/>
    <w:rsid w:val="002B19FA"/>
    <w:rsid w:val="002B3213"/>
    <w:rsid w:val="002B3BD6"/>
    <w:rsid w:val="002B57EF"/>
    <w:rsid w:val="002B5C73"/>
    <w:rsid w:val="002B5F86"/>
    <w:rsid w:val="002B6532"/>
    <w:rsid w:val="002B693F"/>
    <w:rsid w:val="002B6F7E"/>
    <w:rsid w:val="002B7591"/>
    <w:rsid w:val="002B7BBB"/>
    <w:rsid w:val="002C0CC2"/>
    <w:rsid w:val="002C1DAF"/>
    <w:rsid w:val="002C2841"/>
    <w:rsid w:val="002C318B"/>
    <w:rsid w:val="002C491E"/>
    <w:rsid w:val="002C5E77"/>
    <w:rsid w:val="002C61D3"/>
    <w:rsid w:val="002C64E5"/>
    <w:rsid w:val="002C6AB8"/>
    <w:rsid w:val="002C6D17"/>
    <w:rsid w:val="002C75D7"/>
    <w:rsid w:val="002C7783"/>
    <w:rsid w:val="002C7FBE"/>
    <w:rsid w:val="002D0707"/>
    <w:rsid w:val="002D08FC"/>
    <w:rsid w:val="002D21A6"/>
    <w:rsid w:val="002D241F"/>
    <w:rsid w:val="002D28AE"/>
    <w:rsid w:val="002D3CF9"/>
    <w:rsid w:val="002D3DB1"/>
    <w:rsid w:val="002D4462"/>
    <w:rsid w:val="002D47B0"/>
    <w:rsid w:val="002D52E1"/>
    <w:rsid w:val="002D533B"/>
    <w:rsid w:val="002D5842"/>
    <w:rsid w:val="002D6534"/>
    <w:rsid w:val="002D71FF"/>
    <w:rsid w:val="002D74F6"/>
    <w:rsid w:val="002D75C5"/>
    <w:rsid w:val="002D77E3"/>
    <w:rsid w:val="002E0611"/>
    <w:rsid w:val="002E08ED"/>
    <w:rsid w:val="002E1536"/>
    <w:rsid w:val="002E1735"/>
    <w:rsid w:val="002E1856"/>
    <w:rsid w:val="002E20BF"/>
    <w:rsid w:val="002E364B"/>
    <w:rsid w:val="002E36B7"/>
    <w:rsid w:val="002E3A92"/>
    <w:rsid w:val="002E3EE9"/>
    <w:rsid w:val="002E45DB"/>
    <w:rsid w:val="002E4911"/>
    <w:rsid w:val="002E4B26"/>
    <w:rsid w:val="002E5F07"/>
    <w:rsid w:val="002E5F57"/>
    <w:rsid w:val="002E639D"/>
    <w:rsid w:val="002E67FD"/>
    <w:rsid w:val="002E7407"/>
    <w:rsid w:val="002F00D7"/>
    <w:rsid w:val="002F0A33"/>
    <w:rsid w:val="002F0AEC"/>
    <w:rsid w:val="002F0F23"/>
    <w:rsid w:val="002F126C"/>
    <w:rsid w:val="002F1D22"/>
    <w:rsid w:val="002F1DDD"/>
    <w:rsid w:val="002F2607"/>
    <w:rsid w:val="002F2C33"/>
    <w:rsid w:val="002F31E4"/>
    <w:rsid w:val="002F3354"/>
    <w:rsid w:val="002F3A67"/>
    <w:rsid w:val="002F444E"/>
    <w:rsid w:val="002F4936"/>
    <w:rsid w:val="002F4997"/>
    <w:rsid w:val="002F4D53"/>
    <w:rsid w:val="002F5E2C"/>
    <w:rsid w:val="002F646F"/>
    <w:rsid w:val="002F69A9"/>
    <w:rsid w:val="002F71C0"/>
    <w:rsid w:val="002F7FA6"/>
    <w:rsid w:val="00301299"/>
    <w:rsid w:val="00301365"/>
    <w:rsid w:val="003016E9"/>
    <w:rsid w:val="003019B7"/>
    <w:rsid w:val="00301C59"/>
    <w:rsid w:val="003025D9"/>
    <w:rsid w:val="00302DAE"/>
    <w:rsid w:val="00303AEA"/>
    <w:rsid w:val="00303BB1"/>
    <w:rsid w:val="00304358"/>
    <w:rsid w:val="0030534C"/>
    <w:rsid w:val="003054B1"/>
    <w:rsid w:val="00305741"/>
    <w:rsid w:val="0030655F"/>
    <w:rsid w:val="00306E13"/>
    <w:rsid w:val="00307775"/>
    <w:rsid w:val="0031033F"/>
    <w:rsid w:val="0031099C"/>
    <w:rsid w:val="003113A2"/>
    <w:rsid w:val="00311AE5"/>
    <w:rsid w:val="003121D8"/>
    <w:rsid w:val="00312274"/>
    <w:rsid w:val="003126DA"/>
    <w:rsid w:val="003130C8"/>
    <w:rsid w:val="003131B9"/>
    <w:rsid w:val="00313DB6"/>
    <w:rsid w:val="003156F7"/>
    <w:rsid w:val="00316177"/>
    <w:rsid w:val="00316DD2"/>
    <w:rsid w:val="003171CD"/>
    <w:rsid w:val="00320A75"/>
    <w:rsid w:val="00320C9F"/>
    <w:rsid w:val="00320F12"/>
    <w:rsid w:val="00320F5A"/>
    <w:rsid w:val="00321086"/>
    <w:rsid w:val="0032126B"/>
    <w:rsid w:val="003219F4"/>
    <w:rsid w:val="00321A56"/>
    <w:rsid w:val="00321DD1"/>
    <w:rsid w:val="00322FA7"/>
    <w:rsid w:val="0032359C"/>
    <w:rsid w:val="003240A5"/>
    <w:rsid w:val="00324341"/>
    <w:rsid w:val="00324933"/>
    <w:rsid w:val="003259D7"/>
    <w:rsid w:val="00325AD1"/>
    <w:rsid w:val="00325F11"/>
    <w:rsid w:val="00326463"/>
    <w:rsid w:val="00326851"/>
    <w:rsid w:val="003275C4"/>
    <w:rsid w:val="003277C1"/>
    <w:rsid w:val="00327A7B"/>
    <w:rsid w:val="00327ABA"/>
    <w:rsid w:val="00330268"/>
    <w:rsid w:val="003305BB"/>
    <w:rsid w:val="00330ACC"/>
    <w:rsid w:val="00331CF7"/>
    <w:rsid w:val="00331F40"/>
    <w:rsid w:val="003321DA"/>
    <w:rsid w:val="003321EC"/>
    <w:rsid w:val="0033315A"/>
    <w:rsid w:val="00333C2D"/>
    <w:rsid w:val="0033436F"/>
    <w:rsid w:val="0033445D"/>
    <w:rsid w:val="00334A82"/>
    <w:rsid w:val="00335189"/>
    <w:rsid w:val="00335866"/>
    <w:rsid w:val="00336636"/>
    <w:rsid w:val="0033696D"/>
    <w:rsid w:val="003370B8"/>
    <w:rsid w:val="00337F07"/>
    <w:rsid w:val="00337F7C"/>
    <w:rsid w:val="00340981"/>
    <w:rsid w:val="00340E1A"/>
    <w:rsid w:val="00342292"/>
    <w:rsid w:val="00342710"/>
    <w:rsid w:val="00342B66"/>
    <w:rsid w:val="00343923"/>
    <w:rsid w:val="00344556"/>
    <w:rsid w:val="00344DAB"/>
    <w:rsid w:val="00345358"/>
    <w:rsid w:val="0034583C"/>
    <w:rsid w:val="00345C86"/>
    <w:rsid w:val="003466DE"/>
    <w:rsid w:val="00346BF9"/>
    <w:rsid w:val="003475EB"/>
    <w:rsid w:val="0034783C"/>
    <w:rsid w:val="0035003C"/>
    <w:rsid w:val="00350783"/>
    <w:rsid w:val="00352E66"/>
    <w:rsid w:val="00352EBF"/>
    <w:rsid w:val="003544B5"/>
    <w:rsid w:val="003552A9"/>
    <w:rsid w:val="00355443"/>
    <w:rsid w:val="0035713E"/>
    <w:rsid w:val="00357A62"/>
    <w:rsid w:val="003606F6"/>
    <w:rsid w:val="0036114D"/>
    <w:rsid w:val="00361298"/>
    <w:rsid w:val="00362281"/>
    <w:rsid w:val="003628E7"/>
    <w:rsid w:val="00363159"/>
    <w:rsid w:val="003631E9"/>
    <w:rsid w:val="00364725"/>
    <w:rsid w:val="00365533"/>
    <w:rsid w:val="003656CD"/>
    <w:rsid w:val="00365E46"/>
    <w:rsid w:val="00366932"/>
    <w:rsid w:val="00371094"/>
    <w:rsid w:val="00371861"/>
    <w:rsid w:val="00371A67"/>
    <w:rsid w:val="00371C66"/>
    <w:rsid w:val="00371CE6"/>
    <w:rsid w:val="00372242"/>
    <w:rsid w:val="0037282C"/>
    <w:rsid w:val="00372C66"/>
    <w:rsid w:val="00373B06"/>
    <w:rsid w:val="00373E0E"/>
    <w:rsid w:val="00375195"/>
    <w:rsid w:val="003752DD"/>
    <w:rsid w:val="00375CE7"/>
    <w:rsid w:val="00376122"/>
    <w:rsid w:val="00376C75"/>
    <w:rsid w:val="003770CE"/>
    <w:rsid w:val="003771DF"/>
    <w:rsid w:val="00377ECF"/>
    <w:rsid w:val="0038098C"/>
    <w:rsid w:val="00380DBB"/>
    <w:rsid w:val="003817C6"/>
    <w:rsid w:val="003817DB"/>
    <w:rsid w:val="0038187E"/>
    <w:rsid w:val="00381C09"/>
    <w:rsid w:val="00381EBF"/>
    <w:rsid w:val="00383ABB"/>
    <w:rsid w:val="003842A3"/>
    <w:rsid w:val="00384462"/>
    <w:rsid w:val="003844B2"/>
    <w:rsid w:val="00384622"/>
    <w:rsid w:val="003846ED"/>
    <w:rsid w:val="00384826"/>
    <w:rsid w:val="00386941"/>
    <w:rsid w:val="00386B55"/>
    <w:rsid w:val="00386F39"/>
    <w:rsid w:val="00387460"/>
    <w:rsid w:val="00387F99"/>
    <w:rsid w:val="00387FBF"/>
    <w:rsid w:val="00390A14"/>
    <w:rsid w:val="00391A61"/>
    <w:rsid w:val="00391B07"/>
    <w:rsid w:val="00391EB2"/>
    <w:rsid w:val="00392155"/>
    <w:rsid w:val="00392530"/>
    <w:rsid w:val="00392E7F"/>
    <w:rsid w:val="00393636"/>
    <w:rsid w:val="00393C59"/>
    <w:rsid w:val="00394A36"/>
    <w:rsid w:val="003953A6"/>
    <w:rsid w:val="003968A8"/>
    <w:rsid w:val="003969C0"/>
    <w:rsid w:val="00396D21"/>
    <w:rsid w:val="003A079B"/>
    <w:rsid w:val="003A0A8A"/>
    <w:rsid w:val="003A0E23"/>
    <w:rsid w:val="003A0F21"/>
    <w:rsid w:val="003A0F9D"/>
    <w:rsid w:val="003A1646"/>
    <w:rsid w:val="003A19D2"/>
    <w:rsid w:val="003A2389"/>
    <w:rsid w:val="003A244B"/>
    <w:rsid w:val="003A2F18"/>
    <w:rsid w:val="003A30DA"/>
    <w:rsid w:val="003A329D"/>
    <w:rsid w:val="003A35DE"/>
    <w:rsid w:val="003A4125"/>
    <w:rsid w:val="003A4840"/>
    <w:rsid w:val="003A4926"/>
    <w:rsid w:val="003A4B45"/>
    <w:rsid w:val="003A54AF"/>
    <w:rsid w:val="003A7019"/>
    <w:rsid w:val="003A7447"/>
    <w:rsid w:val="003B04FB"/>
    <w:rsid w:val="003B197B"/>
    <w:rsid w:val="003B1BEA"/>
    <w:rsid w:val="003B1D8F"/>
    <w:rsid w:val="003B25E0"/>
    <w:rsid w:val="003B2925"/>
    <w:rsid w:val="003B3124"/>
    <w:rsid w:val="003B3BFE"/>
    <w:rsid w:val="003B3C43"/>
    <w:rsid w:val="003B3FF2"/>
    <w:rsid w:val="003B4179"/>
    <w:rsid w:val="003B4AFC"/>
    <w:rsid w:val="003B4F8F"/>
    <w:rsid w:val="003B50E5"/>
    <w:rsid w:val="003B5476"/>
    <w:rsid w:val="003B65FB"/>
    <w:rsid w:val="003B6B7E"/>
    <w:rsid w:val="003B709E"/>
    <w:rsid w:val="003B764D"/>
    <w:rsid w:val="003B7EFB"/>
    <w:rsid w:val="003C1DCC"/>
    <w:rsid w:val="003C384F"/>
    <w:rsid w:val="003C4167"/>
    <w:rsid w:val="003C4842"/>
    <w:rsid w:val="003C4A38"/>
    <w:rsid w:val="003C4CF1"/>
    <w:rsid w:val="003C54B2"/>
    <w:rsid w:val="003C6C14"/>
    <w:rsid w:val="003C70DA"/>
    <w:rsid w:val="003C79E1"/>
    <w:rsid w:val="003D00D6"/>
    <w:rsid w:val="003D07FB"/>
    <w:rsid w:val="003D0F59"/>
    <w:rsid w:val="003D185E"/>
    <w:rsid w:val="003D1F5D"/>
    <w:rsid w:val="003D21CC"/>
    <w:rsid w:val="003D3A3B"/>
    <w:rsid w:val="003D43C6"/>
    <w:rsid w:val="003D4ADE"/>
    <w:rsid w:val="003D6720"/>
    <w:rsid w:val="003D7D58"/>
    <w:rsid w:val="003E05F6"/>
    <w:rsid w:val="003E0934"/>
    <w:rsid w:val="003E0B97"/>
    <w:rsid w:val="003E1371"/>
    <w:rsid w:val="003E15BF"/>
    <w:rsid w:val="003E1D21"/>
    <w:rsid w:val="003E2337"/>
    <w:rsid w:val="003E2AFB"/>
    <w:rsid w:val="003E2BEA"/>
    <w:rsid w:val="003E4041"/>
    <w:rsid w:val="003E406A"/>
    <w:rsid w:val="003E5170"/>
    <w:rsid w:val="003E52F5"/>
    <w:rsid w:val="003E5C33"/>
    <w:rsid w:val="003E6103"/>
    <w:rsid w:val="003E619A"/>
    <w:rsid w:val="003E63B3"/>
    <w:rsid w:val="003E6BF0"/>
    <w:rsid w:val="003E7138"/>
    <w:rsid w:val="003E72E3"/>
    <w:rsid w:val="003E7E5B"/>
    <w:rsid w:val="003F0E06"/>
    <w:rsid w:val="003F0ECF"/>
    <w:rsid w:val="003F15FD"/>
    <w:rsid w:val="003F1BC2"/>
    <w:rsid w:val="003F2A9A"/>
    <w:rsid w:val="003F381F"/>
    <w:rsid w:val="003F62CF"/>
    <w:rsid w:val="003F6775"/>
    <w:rsid w:val="003F68E0"/>
    <w:rsid w:val="003F6A1A"/>
    <w:rsid w:val="003F7CA0"/>
    <w:rsid w:val="003F7D40"/>
    <w:rsid w:val="00400B3D"/>
    <w:rsid w:val="00400CBB"/>
    <w:rsid w:val="00401848"/>
    <w:rsid w:val="00401D90"/>
    <w:rsid w:val="00401F57"/>
    <w:rsid w:val="004034E5"/>
    <w:rsid w:val="004060BC"/>
    <w:rsid w:val="00406441"/>
    <w:rsid w:val="00406535"/>
    <w:rsid w:val="0040672B"/>
    <w:rsid w:val="00406ECD"/>
    <w:rsid w:val="00407EC0"/>
    <w:rsid w:val="0041095B"/>
    <w:rsid w:val="0041165A"/>
    <w:rsid w:val="0041169B"/>
    <w:rsid w:val="00411B00"/>
    <w:rsid w:val="00412043"/>
    <w:rsid w:val="004120C8"/>
    <w:rsid w:val="00412458"/>
    <w:rsid w:val="00412A4F"/>
    <w:rsid w:val="00412C4F"/>
    <w:rsid w:val="004138E8"/>
    <w:rsid w:val="0041515B"/>
    <w:rsid w:val="00415B0F"/>
    <w:rsid w:val="00415B28"/>
    <w:rsid w:val="00415C6F"/>
    <w:rsid w:val="00415D9E"/>
    <w:rsid w:val="00416141"/>
    <w:rsid w:val="004177BB"/>
    <w:rsid w:val="0042179F"/>
    <w:rsid w:val="00422603"/>
    <w:rsid w:val="0042336A"/>
    <w:rsid w:val="00424744"/>
    <w:rsid w:val="00424CC0"/>
    <w:rsid w:val="00425BD5"/>
    <w:rsid w:val="004266E8"/>
    <w:rsid w:val="00426DF4"/>
    <w:rsid w:val="00426FA4"/>
    <w:rsid w:val="00426FFE"/>
    <w:rsid w:val="00427009"/>
    <w:rsid w:val="00431A75"/>
    <w:rsid w:val="00432795"/>
    <w:rsid w:val="00432A75"/>
    <w:rsid w:val="00434E0F"/>
    <w:rsid w:val="004357ED"/>
    <w:rsid w:val="0043659B"/>
    <w:rsid w:val="00436CA8"/>
    <w:rsid w:val="00437224"/>
    <w:rsid w:val="00437C94"/>
    <w:rsid w:val="00437FDE"/>
    <w:rsid w:val="00440035"/>
    <w:rsid w:val="00440A5A"/>
    <w:rsid w:val="004415F5"/>
    <w:rsid w:val="00442334"/>
    <w:rsid w:val="00442374"/>
    <w:rsid w:val="004431FB"/>
    <w:rsid w:val="004440EB"/>
    <w:rsid w:val="0044569B"/>
    <w:rsid w:val="00445A05"/>
    <w:rsid w:val="00445A4D"/>
    <w:rsid w:val="004460BF"/>
    <w:rsid w:val="0044617A"/>
    <w:rsid w:val="00446DFB"/>
    <w:rsid w:val="00446FCE"/>
    <w:rsid w:val="0045000B"/>
    <w:rsid w:val="004502B4"/>
    <w:rsid w:val="00450446"/>
    <w:rsid w:val="00450D9E"/>
    <w:rsid w:val="004534F4"/>
    <w:rsid w:val="004536B9"/>
    <w:rsid w:val="00454949"/>
    <w:rsid w:val="00454BF7"/>
    <w:rsid w:val="00455735"/>
    <w:rsid w:val="00456007"/>
    <w:rsid w:val="00456614"/>
    <w:rsid w:val="004569FA"/>
    <w:rsid w:val="00456B05"/>
    <w:rsid w:val="004570AC"/>
    <w:rsid w:val="0045735A"/>
    <w:rsid w:val="00457526"/>
    <w:rsid w:val="004578B7"/>
    <w:rsid w:val="0046069A"/>
    <w:rsid w:val="00460AD4"/>
    <w:rsid w:val="00460B49"/>
    <w:rsid w:val="00460F94"/>
    <w:rsid w:val="00462474"/>
    <w:rsid w:val="00463DC1"/>
    <w:rsid w:val="00463FA0"/>
    <w:rsid w:val="0046456E"/>
    <w:rsid w:val="004649A2"/>
    <w:rsid w:val="00464AFC"/>
    <w:rsid w:val="004653F9"/>
    <w:rsid w:val="00465BF1"/>
    <w:rsid w:val="00466278"/>
    <w:rsid w:val="004662BA"/>
    <w:rsid w:val="00466AB4"/>
    <w:rsid w:val="004671F6"/>
    <w:rsid w:val="00470568"/>
    <w:rsid w:val="004717CE"/>
    <w:rsid w:val="00471931"/>
    <w:rsid w:val="0047262B"/>
    <w:rsid w:val="00472C38"/>
    <w:rsid w:val="0047437F"/>
    <w:rsid w:val="004753CE"/>
    <w:rsid w:val="004754BF"/>
    <w:rsid w:val="0047602C"/>
    <w:rsid w:val="004764F7"/>
    <w:rsid w:val="004767C5"/>
    <w:rsid w:val="0047686D"/>
    <w:rsid w:val="00476CA1"/>
    <w:rsid w:val="00477F74"/>
    <w:rsid w:val="00480733"/>
    <w:rsid w:val="00480D0B"/>
    <w:rsid w:val="00480DC8"/>
    <w:rsid w:val="004813F9"/>
    <w:rsid w:val="0048293D"/>
    <w:rsid w:val="00482EDD"/>
    <w:rsid w:val="00482F16"/>
    <w:rsid w:val="00483CA3"/>
    <w:rsid w:val="00484EA4"/>
    <w:rsid w:val="0048501B"/>
    <w:rsid w:val="00485229"/>
    <w:rsid w:val="00486DA1"/>
    <w:rsid w:val="0048707E"/>
    <w:rsid w:val="00487152"/>
    <w:rsid w:val="00487845"/>
    <w:rsid w:val="00487BB8"/>
    <w:rsid w:val="0049108E"/>
    <w:rsid w:val="00491EB2"/>
    <w:rsid w:val="004921AB"/>
    <w:rsid w:val="004929DD"/>
    <w:rsid w:val="00492C89"/>
    <w:rsid w:val="00493305"/>
    <w:rsid w:val="0049481A"/>
    <w:rsid w:val="00494947"/>
    <w:rsid w:val="00494D12"/>
    <w:rsid w:val="004951B7"/>
    <w:rsid w:val="00496144"/>
    <w:rsid w:val="00496B39"/>
    <w:rsid w:val="00496D4B"/>
    <w:rsid w:val="00496F88"/>
    <w:rsid w:val="00496F95"/>
    <w:rsid w:val="0049740B"/>
    <w:rsid w:val="00497A03"/>
    <w:rsid w:val="00497C0A"/>
    <w:rsid w:val="004A0644"/>
    <w:rsid w:val="004A08C3"/>
    <w:rsid w:val="004A0E93"/>
    <w:rsid w:val="004A28D1"/>
    <w:rsid w:val="004A2A8D"/>
    <w:rsid w:val="004A3588"/>
    <w:rsid w:val="004A3A88"/>
    <w:rsid w:val="004A430C"/>
    <w:rsid w:val="004A4915"/>
    <w:rsid w:val="004A4BC1"/>
    <w:rsid w:val="004A4EE3"/>
    <w:rsid w:val="004A5FC9"/>
    <w:rsid w:val="004A6923"/>
    <w:rsid w:val="004A7388"/>
    <w:rsid w:val="004A7409"/>
    <w:rsid w:val="004A7468"/>
    <w:rsid w:val="004A7FE5"/>
    <w:rsid w:val="004B117A"/>
    <w:rsid w:val="004B13FB"/>
    <w:rsid w:val="004B1BD1"/>
    <w:rsid w:val="004B27E9"/>
    <w:rsid w:val="004B30AC"/>
    <w:rsid w:val="004B3759"/>
    <w:rsid w:val="004B3DC0"/>
    <w:rsid w:val="004B507D"/>
    <w:rsid w:val="004B51D1"/>
    <w:rsid w:val="004B5C65"/>
    <w:rsid w:val="004B5F23"/>
    <w:rsid w:val="004B621E"/>
    <w:rsid w:val="004B640E"/>
    <w:rsid w:val="004B7BBA"/>
    <w:rsid w:val="004B7EDF"/>
    <w:rsid w:val="004C0B28"/>
    <w:rsid w:val="004C1524"/>
    <w:rsid w:val="004C2858"/>
    <w:rsid w:val="004C2AA9"/>
    <w:rsid w:val="004C2BD9"/>
    <w:rsid w:val="004C2C3A"/>
    <w:rsid w:val="004C339E"/>
    <w:rsid w:val="004C3D2F"/>
    <w:rsid w:val="004C3F09"/>
    <w:rsid w:val="004C3F0E"/>
    <w:rsid w:val="004C4B59"/>
    <w:rsid w:val="004C5902"/>
    <w:rsid w:val="004C5926"/>
    <w:rsid w:val="004C630A"/>
    <w:rsid w:val="004C6812"/>
    <w:rsid w:val="004C7260"/>
    <w:rsid w:val="004C78CB"/>
    <w:rsid w:val="004C7BA9"/>
    <w:rsid w:val="004D1383"/>
    <w:rsid w:val="004D1846"/>
    <w:rsid w:val="004D22F7"/>
    <w:rsid w:val="004D279A"/>
    <w:rsid w:val="004D2D3B"/>
    <w:rsid w:val="004D3112"/>
    <w:rsid w:val="004D3EA9"/>
    <w:rsid w:val="004D3FD7"/>
    <w:rsid w:val="004D47E4"/>
    <w:rsid w:val="004D4A39"/>
    <w:rsid w:val="004D5789"/>
    <w:rsid w:val="004D587E"/>
    <w:rsid w:val="004D6CD1"/>
    <w:rsid w:val="004D73D5"/>
    <w:rsid w:val="004D758A"/>
    <w:rsid w:val="004D7782"/>
    <w:rsid w:val="004D7F17"/>
    <w:rsid w:val="004E017F"/>
    <w:rsid w:val="004E01F7"/>
    <w:rsid w:val="004E0EF6"/>
    <w:rsid w:val="004E23BB"/>
    <w:rsid w:val="004E2B92"/>
    <w:rsid w:val="004E4E74"/>
    <w:rsid w:val="004E5163"/>
    <w:rsid w:val="004E5A80"/>
    <w:rsid w:val="004E60C2"/>
    <w:rsid w:val="004E6E3C"/>
    <w:rsid w:val="004E7328"/>
    <w:rsid w:val="004E766A"/>
    <w:rsid w:val="004E78F4"/>
    <w:rsid w:val="004E7F12"/>
    <w:rsid w:val="004F00DF"/>
    <w:rsid w:val="004F14E6"/>
    <w:rsid w:val="004F1A53"/>
    <w:rsid w:val="004F2850"/>
    <w:rsid w:val="004F32EB"/>
    <w:rsid w:val="004F3486"/>
    <w:rsid w:val="004F4423"/>
    <w:rsid w:val="004F44EF"/>
    <w:rsid w:val="004F4688"/>
    <w:rsid w:val="004F4887"/>
    <w:rsid w:val="004F5365"/>
    <w:rsid w:val="004F5B26"/>
    <w:rsid w:val="004F5DB7"/>
    <w:rsid w:val="004F5F99"/>
    <w:rsid w:val="0050049D"/>
    <w:rsid w:val="005006C9"/>
    <w:rsid w:val="005008BE"/>
    <w:rsid w:val="0050127B"/>
    <w:rsid w:val="005015E5"/>
    <w:rsid w:val="005021B0"/>
    <w:rsid w:val="005023DF"/>
    <w:rsid w:val="005024CE"/>
    <w:rsid w:val="00502AAF"/>
    <w:rsid w:val="00503354"/>
    <w:rsid w:val="005033AA"/>
    <w:rsid w:val="0050424F"/>
    <w:rsid w:val="005042DF"/>
    <w:rsid w:val="005047BF"/>
    <w:rsid w:val="00504EBF"/>
    <w:rsid w:val="005051D0"/>
    <w:rsid w:val="00505320"/>
    <w:rsid w:val="00505C60"/>
    <w:rsid w:val="00505F72"/>
    <w:rsid w:val="0050653C"/>
    <w:rsid w:val="00506649"/>
    <w:rsid w:val="0050686E"/>
    <w:rsid w:val="00510E86"/>
    <w:rsid w:val="00511630"/>
    <w:rsid w:val="00511ABE"/>
    <w:rsid w:val="005129B2"/>
    <w:rsid w:val="00513CE0"/>
    <w:rsid w:val="0051486D"/>
    <w:rsid w:val="00514A12"/>
    <w:rsid w:val="00514B1D"/>
    <w:rsid w:val="00514CA1"/>
    <w:rsid w:val="00514EA8"/>
    <w:rsid w:val="0051516F"/>
    <w:rsid w:val="00515A89"/>
    <w:rsid w:val="00515EC2"/>
    <w:rsid w:val="00517020"/>
    <w:rsid w:val="00517764"/>
    <w:rsid w:val="00520575"/>
    <w:rsid w:val="00521C17"/>
    <w:rsid w:val="00521C69"/>
    <w:rsid w:val="00521EA5"/>
    <w:rsid w:val="0052315A"/>
    <w:rsid w:val="0052364A"/>
    <w:rsid w:val="00524ACA"/>
    <w:rsid w:val="005252FB"/>
    <w:rsid w:val="0052613C"/>
    <w:rsid w:val="00526E02"/>
    <w:rsid w:val="0052798A"/>
    <w:rsid w:val="00527B46"/>
    <w:rsid w:val="00527F2F"/>
    <w:rsid w:val="0053015D"/>
    <w:rsid w:val="00530567"/>
    <w:rsid w:val="005312E8"/>
    <w:rsid w:val="00531476"/>
    <w:rsid w:val="005326EC"/>
    <w:rsid w:val="005343CA"/>
    <w:rsid w:val="00534A4D"/>
    <w:rsid w:val="00535407"/>
    <w:rsid w:val="00535661"/>
    <w:rsid w:val="00535713"/>
    <w:rsid w:val="00535F97"/>
    <w:rsid w:val="0053653F"/>
    <w:rsid w:val="00537052"/>
    <w:rsid w:val="005372A3"/>
    <w:rsid w:val="00537D6F"/>
    <w:rsid w:val="00540BDB"/>
    <w:rsid w:val="00540C09"/>
    <w:rsid w:val="0054107F"/>
    <w:rsid w:val="00541288"/>
    <w:rsid w:val="0054155A"/>
    <w:rsid w:val="00541ABD"/>
    <w:rsid w:val="00541CA6"/>
    <w:rsid w:val="005420DC"/>
    <w:rsid w:val="00542BD1"/>
    <w:rsid w:val="00543D87"/>
    <w:rsid w:val="00544C3B"/>
    <w:rsid w:val="0054511B"/>
    <w:rsid w:val="00546B92"/>
    <w:rsid w:val="005478A2"/>
    <w:rsid w:val="0055045D"/>
    <w:rsid w:val="00550A88"/>
    <w:rsid w:val="00551DF6"/>
    <w:rsid w:val="00552B7F"/>
    <w:rsid w:val="0055402B"/>
    <w:rsid w:val="00554299"/>
    <w:rsid w:val="00554A7C"/>
    <w:rsid w:val="00555855"/>
    <w:rsid w:val="00555D5B"/>
    <w:rsid w:val="00555EFD"/>
    <w:rsid w:val="005560B1"/>
    <w:rsid w:val="005563E1"/>
    <w:rsid w:val="00556CA9"/>
    <w:rsid w:val="00562521"/>
    <w:rsid w:val="005626EF"/>
    <w:rsid w:val="00562C06"/>
    <w:rsid w:val="005638C7"/>
    <w:rsid w:val="0056397C"/>
    <w:rsid w:val="0056434A"/>
    <w:rsid w:val="005651FC"/>
    <w:rsid w:val="00565CC2"/>
    <w:rsid w:val="00565D8F"/>
    <w:rsid w:val="005668C1"/>
    <w:rsid w:val="005669DB"/>
    <w:rsid w:val="0056759E"/>
    <w:rsid w:val="00567B74"/>
    <w:rsid w:val="00567D24"/>
    <w:rsid w:val="00570270"/>
    <w:rsid w:val="00570660"/>
    <w:rsid w:val="00570CDD"/>
    <w:rsid w:val="00570D3C"/>
    <w:rsid w:val="00572AC5"/>
    <w:rsid w:val="00572E89"/>
    <w:rsid w:val="005731EA"/>
    <w:rsid w:val="005733F3"/>
    <w:rsid w:val="005735ED"/>
    <w:rsid w:val="00574AC3"/>
    <w:rsid w:val="00574B20"/>
    <w:rsid w:val="00575583"/>
    <w:rsid w:val="00575ED4"/>
    <w:rsid w:val="005762E9"/>
    <w:rsid w:val="005767FF"/>
    <w:rsid w:val="005801A8"/>
    <w:rsid w:val="0058183F"/>
    <w:rsid w:val="005818B0"/>
    <w:rsid w:val="00582099"/>
    <w:rsid w:val="00583297"/>
    <w:rsid w:val="0058350D"/>
    <w:rsid w:val="0058353A"/>
    <w:rsid w:val="0058386E"/>
    <w:rsid w:val="0058452B"/>
    <w:rsid w:val="005847C1"/>
    <w:rsid w:val="00585735"/>
    <w:rsid w:val="00586641"/>
    <w:rsid w:val="0058674D"/>
    <w:rsid w:val="00586B0A"/>
    <w:rsid w:val="00586B8A"/>
    <w:rsid w:val="005870F1"/>
    <w:rsid w:val="005870FD"/>
    <w:rsid w:val="005874D1"/>
    <w:rsid w:val="00587706"/>
    <w:rsid w:val="005877D0"/>
    <w:rsid w:val="005878A4"/>
    <w:rsid w:val="00590930"/>
    <w:rsid w:val="005910CD"/>
    <w:rsid w:val="00591DB7"/>
    <w:rsid w:val="0059267F"/>
    <w:rsid w:val="00594149"/>
    <w:rsid w:val="005949CF"/>
    <w:rsid w:val="00594C1A"/>
    <w:rsid w:val="00594FAD"/>
    <w:rsid w:val="00594FE9"/>
    <w:rsid w:val="00596327"/>
    <w:rsid w:val="0059638A"/>
    <w:rsid w:val="005963DA"/>
    <w:rsid w:val="0059685F"/>
    <w:rsid w:val="005A029D"/>
    <w:rsid w:val="005A267B"/>
    <w:rsid w:val="005A2C03"/>
    <w:rsid w:val="005A39A8"/>
    <w:rsid w:val="005A3C55"/>
    <w:rsid w:val="005A4032"/>
    <w:rsid w:val="005A4EC5"/>
    <w:rsid w:val="005A52B4"/>
    <w:rsid w:val="005A6666"/>
    <w:rsid w:val="005A6F6C"/>
    <w:rsid w:val="005B1032"/>
    <w:rsid w:val="005B12D9"/>
    <w:rsid w:val="005B1E85"/>
    <w:rsid w:val="005B2583"/>
    <w:rsid w:val="005B3C1A"/>
    <w:rsid w:val="005B437F"/>
    <w:rsid w:val="005B4788"/>
    <w:rsid w:val="005B605E"/>
    <w:rsid w:val="005B7A04"/>
    <w:rsid w:val="005B7D0F"/>
    <w:rsid w:val="005C0E72"/>
    <w:rsid w:val="005C2226"/>
    <w:rsid w:val="005C25E8"/>
    <w:rsid w:val="005C2A22"/>
    <w:rsid w:val="005C2B88"/>
    <w:rsid w:val="005C374E"/>
    <w:rsid w:val="005C4607"/>
    <w:rsid w:val="005C56BB"/>
    <w:rsid w:val="005C593D"/>
    <w:rsid w:val="005C6406"/>
    <w:rsid w:val="005C6E29"/>
    <w:rsid w:val="005C7439"/>
    <w:rsid w:val="005C7BF3"/>
    <w:rsid w:val="005C7EB5"/>
    <w:rsid w:val="005D001F"/>
    <w:rsid w:val="005D1291"/>
    <w:rsid w:val="005D192E"/>
    <w:rsid w:val="005D2295"/>
    <w:rsid w:val="005D3649"/>
    <w:rsid w:val="005D4FB3"/>
    <w:rsid w:val="005D5C5A"/>
    <w:rsid w:val="005D6F7C"/>
    <w:rsid w:val="005D7213"/>
    <w:rsid w:val="005D7C2C"/>
    <w:rsid w:val="005E0D35"/>
    <w:rsid w:val="005E13F5"/>
    <w:rsid w:val="005E1B68"/>
    <w:rsid w:val="005E254E"/>
    <w:rsid w:val="005E268A"/>
    <w:rsid w:val="005E28DD"/>
    <w:rsid w:val="005E3279"/>
    <w:rsid w:val="005E3E90"/>
    <w:rsid w:val="005E42AE"/>
    <w:rsid w:val="005E4B3E"/>
    <w:rsid w:val="005E52E0"/>
    <w:rsid w:val="005E5510"/>
    <w:rsid w:val="005E56FC"/>
    <w:rsid w:val="005E6FFE"/>
    <w:rsid w:val="005E7CD7"/>
    <w:rsid w:val="005F00DC"/>
    <w:rsid w:val="005F02DF"/>
    <w:rsid w:val="005F1094"/>
    <w:rsid w:val="005F13BF"/>
    <w:rsid w:val="005F295B"/>
    <w:rsid w:val="005F2D3A"/>
    <w:rsid w:val="005F325A"/>
    <w:rsid w:val="005F3268"/>
    <w:rsid w:val="005F4B2A"/>
    <w:rsid w:val="005F4DE7"/>
    <w:rsid w:val="005F514A"/>
    <w:rsid w:val="005F5645"/>
    <w:rsid w:val="005F5B53"/>
    <w:rsid w:val="005F5B76"/>
    <w:rsid w:val="005F5CAA"/>
    <w:rsid w:val="005F6B9D"/>
    <w:rsid w:val="005F74D0"/>
    <w:rsid w:val="005F7CAE"/>
    <w:rsid w:val="006032ED"/>
    <w:rsid w:val="0060392A"/>
    <w:rsid w:val="0060455A"/>
    <w:rsid w:val="00604A0A"/>
    <w:rsid w:val="00604AEA"/>
    <w:rsid w:val="00604D53"/>
    <w:rsid w:val="0060529B"/>
    <w:rsid w:val="00606832"/>
    <w:rsid w:val="00606D08"/>
    <w:rsid w:val="006079C8"/>
    <w:rsid w:val="00607A91"/>
    <w:rsid w:val="006102F6"/>
    <w:rsid w:val="00610676"/>
    <w:rsid w:val="006108D2"/>
    <w:rsid w:val="00610A30"/>
    <w:rsid w:val="00610ABA"/>
    <w:rsid w:val="00611AFE"/>
    <w:rsid w:val="00612E70"/>
    <w:rsid w:val="006133DD"/>
    <w:rsid w:val="006139B3"/>
    <w:rsid w:val="006145C7"/>
    <w:rsid w:val="006153F0"/>
    <w:rsid w:val="006154BA"/>
    <w:rsid w:val="00615955"/>
    <w:rsid w:val="00615ACE"/>
    <w:rsid w:val="0061634F"/>
    <w:rsid w:val="0061647D"/>
    <w:rsid w:val="00616E5D"/>
    <w:rsid w:val="00617597"/>
    <w:rsid w:val="00617C3D"/>
    <w:rsid w:val="00617E33"/>
    <w:rsid w:val="00617FA9"/>
    <w:rsid w:val="00620EE3"/>
    <w:rsid w:val="006215E9"/>
    <w:rsid w:val="0062187A"/>
    <w:rsid w:val="00622104"/>
    <w:rsid w:val="00623697"/>
    <w:rsid w:val="00623F08"/>
    <w:rsid w:val="00625435"/>
    <w:rsid w:val="00625C8B"/>
    <w:rsid w:val="00625F20"/>
    <w:rsid w:val="00626358"/>
    <w:rsid w:val="0063021A"/>
    <w:rsid w:val="00631345"/>
    <w:rsid w:val="00631A29"/>
    <w:rsid w:val="00631CDF"/>
    <w:rsid w:val="00631E7C"/>
    <w:rsid w:val="006322A0"/>
    <w:rsid w:val="00633123"/>
    <w:rsid w:val="006333C0"/>
    <w:rsid w:val="0063455F"/>
    <w:rsid w:val="00634769"/>
    <w:rsid w:val="00634AC2"/>
    <w:rsid w:val="00634BDB"/>
    <w:rsid w:val="00635F89"/>
    <w:rsid w:val="00635F92"/>
    <w:rsid w:val="006360B1"/>
    <w:rsid w:val="00636173"/>
    <w:rsid w:val="0063639D"/>
    <w:rsid w:val="006371E3"/>
    <w:rsid w:val="006376AB"/>
    <w:rsid w:val="006401A8"/>
    <w:rsid w:val="00640AAC"/>
    <w:rsid w:val="00640AF9"/>
    <w:rsid w:val="006418A9"/>
    <w:rsid w:val="00641997"/>
    <w:rsid w:val="00643048"/>
    <w:rsid w:val="006430F4"/>
    <w:rsid w:val="00643268"/>
    <w:rsid w:val="006438B8"/>
    <w:rsid w:val="00643BCA"/>
    <w:rsid w:val="006442B1"/>
    <w:rsid w:val="00644D3B"/>
    <w:rsid w:val="006452F4"/>
    <w:rsid w:val="006452FC"/>
    <w:rsid w:val="0064540A"/>
    <w:rsid w:val="00645E18"/>
    <w:rsid w:val="006460E6"/>
    <w:rsid w:val="00646649"/>
    <w:rsid w:val="00647ACF"/>
    <w:rsid w:val="0065043D"/>
    <w:rsid w:val="006505A6"/>
    <w:rsid w:val="0065066D"/>
    <w:rsid w:val="0065110C"/>
    <w:rsid w:val="00651CED"/>
    <w:rsid w:val="006520EB"/>
    <w:rsid w:val="00652220"/>
    <w:rsid w:val="0065225E"/>
    <w:rsid w:val="006527C6"/>
    <w:rsid w:val="0065283D"/>
    <w:rsid w:val="006558C2"/>
    <w:rsid w:val="00656429"/>
    <w:rsid w:val="00656519"/>
    <w:rsid w:val="00656755"/>
    <w:rsid w:val="006567B6"/>
    <w:rsid w:val="00656C6B"/>
    <w:rsid w:val="0065719D"/>
    <w:rsid w:val="006575BF"/>
    <w:rsid w:val="00660269"/>
    <w:rsid w:val="006603E3"/>
    <w:rsid w:val="006603E5"/>
    <w:rsid w:val="0066086F"/>
    <w:rsid w:val="0066114A"/>
    <w:rsid w:val="00661997"/>
    <w:rsid w:val="00661B42"/>
    <w:rsid w:val="00661C05"/>
    <w:rsid w:val="00662031"/>
    <w:rsid w:val="00662147"/>
    <w:rsid w:val="00662D72"/>
    <w:rsid w:val="00663AF8"/>
    <w:rsid w:val="00663E9A"/>
    <w:rsid w:val="00664130"/>
    <w:rsid w:val="0066499B"/>
    <w:rsid w:val="00664D80"/>
    <w:rsid w:val="00664D97"/>
    <w:rsid w:val="0066545D"/>
    <w:rsid w:val="0066571F"/>
    <w:rsid w:val="00665F76"/>
    <w:rsid w:val="0066765E"/>
    <w:rsid w:val="006707EA"/>
    <w:rsid w:val="00670C53"/>
    <w:rsid w:val="00670E2D"/>
    <w:rsid w:val="006718DA"/>
    <w:rsid w:val="00674FF5"/>
    <w:rsid w:val="006754C3"/>
    <w:rsid w:val="006767D7"/>
    <w:rsid w:val="00676F95"/>
    <w:rsid w:val="006772FA"/>
    <w:rsid w:val="00677451"/>
    <w:rsid w:val="0067765A"/>
    <w:rsid w:val="00680257"/>
    <w:rsid w:val="00681C12"/>
    <w:rsid w:val="00682211"/>
    <w:rsid w:val="00682CA4"/>
    <w:rsid w:val="00682DD4"/>
    <w:rsid w:val="0068384A"/>
    <w:rsid w:val="00684158"/>
    <w:rsid w:val="00684876"/>
    <w:rsid w:val="006849BF"/>
    <w:rsid w:val="00685546"/>
    <w:rsid w:val="00686FC8"/>
    <w:rsid w:val="006879ED"/>
    <w:rsid w:val="00687DB4"/>
    <w:rsid w:val="00687EFC"/>
    <w:rsid w:val="006906AB"/>
    <w:rsid w:val="00690732"/>
    <w:rsid w:val="006908C1"/>
    <w:rsid w:val="00690965"/>
    <w:rsid w:val="00691263"/>
    <w:rsid w:val="00691C37"/>
    <w:rsid w:val="00693039"/>
    <w:rsid w:val="0069306E"/>
    <w:rsid w:val="006936DB"/>
    <w:rsid w:val="006936FE"/>
    <w:rsid w:val="00693924"/>
    <w:rsid w:val="006949B5"/>
    <w:rsid w:val="006949E0"/>
    <w:rsid w:val="00695362"/>
    <w:rsid w:val="0069664F"/>
    <w:rsid w:val="00696B07"/>
    <w:rsid w:val="00696C1B"/>
    <w:rsid w:val="006972F2"/>
    <w:rsid w:val="00697564"/>
    <w:rsid w:val="00697695"/>
    <w:rsid w:val="006A14F4"/>
    <w:rsid w:val="006A21A5"/>
    <w:rsid w:val="006A22F5"/>
    <w:rsid w:val="006A2E04"/>
    <w:rsid w:val="006A33AD"/>
    <w:rsid w:val="006A3ADF"/>
    <w:rsid w:val="006A4667"/>
    <w:rsid w:val="006A5DF2"/>
    <w:rsid w:val="006A5E4E"/>
    <w:rsid w:val="006A70D0"/>
    <w:rsid w:val="006A79E3"/>
    <w:rsid w:val="006B0FB6"/>
    <w:rsid w:val="006B12A2"/>
    <w:rsid w:val="006B1CDA"/>
    <w:rsid w:val="006B2B75"/>
    <w:rsid w:val="006B35A0"/>
    <w:rsid w:val="006B41CD"/>
    <w:rsid w:val="006B542F"/>
    <w:rsid w:val="006B59D0"/>
    <w:rsid w:val="006B5ACA"/>
    <w:rsid w:val="006B6C77"/>
    <w:rsid w:val="006B760E"/>
    <w:rsid w:val="006B7BAD"/>
    <w:rsid w:val="006C0BA2"/>
    <w:rsid w:val="006C0F1C"/>
    <w:rsid w:val="006C1713"/>
    <w:rsid w:val="006C2356"/>
    <w:rsid w:val="006C2A0A"/>
    <w:rsid w:val="006C35F6"/>
    <w:rsid w:val="006C3B17"/>
    <w:rsid w:val="006C4AAF"/>
    <w:rsid w:val="006C4C87"/>
    <w:rsid w:val="006C59B2"/>
    <w:rsid w:val="006C6162"/>
    <w:rsid w:val="006C6C8D"/>
    <w:rsid w:val="006D0036"/>
    <w:rsid w:val="006D0868"/>
    <w:rsid w:val="006D2874"/>
    <w:rsid w:val="006D293E"/>
    <w:rsid w:val="006D2F88"/>
    <w:rsid w:val="006D3267"/>
    <w:rsid w:val="006D34EE"/>
    <w:rsid w:val="006D3F54"/>
    <w:rsid w:val="006D469E"/>
    <w:rsid w:val="006D48A9"/>
    <w:rsid w:val="006D4C7D"/>
    <w:rsid w:val="006D5754"/>
    <w:rsid w:val="006D74F6"/>
    <w:rsid w:val="006E235B"/>
    <w:rsid w:val="006E2865"/>
    <w:rsid w:val="006E3A9B"/>
    <w:rsid w:val="006E3A9C"/>
    <w:rsid w:val="006E4FB0"/>
    <w:rsid w:val="006E50A9"/>
    <w:rsid w:val="006E512C"/>
    <w:rsid w:val="006E74D3"/>
    <w:rsid w:val="006F05A3"/>
    <w:rsid w:val="006F0C3F"/>
    <w:rsid w:val="006F14B9"/>
    <w:rsid w:val="006F2ED0"/>
    <w:rsid w:val="006F325E"/>
    <w:rsid w:val="006F3359"/>
    <w:rsid w:val="006F443E"/>
    <w:rsid w:val="006F4E42"/>
    <w:rsid w:val="006F525A"/>
    <w:rsid w:val="006F537F"/>
    <w:rsid w:val="006F614F"/>
    <w:rsid w:val="006F6918"/>
    <w:rsid w:val="006F6CFC"/>
    <w:rsid w:val="006F6DE7"/>
    <w:rsid w:val="007001D0"/>
    <w:rsid w:val="0070176E"/>
    <w:rsid w:val="00701899"/>
    <w:rsid w:val="0070284C"/>
    <w:rsid w:val="00702960"/>
    <w:rsid w:val="00702CF9"/>
    <w:rsid w:val="00703173"/>
    <w:rsid w:val="00703A0B"/>
    <w:rsid w:val="007040D9"/>
    <w:rsid w:val="00704BB8"/>
    <w:rsid w:val="00705380"/>
    <w:rsid w:val="00705EA7"/>
    <w:rsid w:val="007062E2"/>
    <w:rsid w:val="00707030"/>
    <w:rsid w:val="00707F52"/>
    <w:rsid w:val="0071025B"/>
    <w:rsid w:val="00710275"/>
    <w:rsid w:val="0071056A"/>
    <w:rsid w:val="00710ED2"/>
    <w:rsid w:val="00710F6A"/>
    <w:rsid w:val="00712187"/>
    <w:rsid w:val="0071416B"/>
    <w:rsid w:val="00716103"/>
    <w:rsid w:val="0071712D"/>
    <w:rsid w:val="00717E1F"/>
    <w:rsid w:val="00720375"/>
    <w:rsid w:val="007216F9"/>
    <w:rsid w:val="00722350"/>
    <w:rsid w:val="0072259A"/>
    <w:rsid w:val="00722EB9"/>
    <w:rsid w:val="007245E8"/>
    <w:rsid w:val="00725789"/>
    <w:rsid w:val="00725DE3"/>
    <w:rsid w:val="00725EDF"/>
    <w:rsid w:val="00725FC3"/>
    <w:rsid w:val="007261EB"/>
    <w:rsid w:val="00727630"/>
    <w:rsid w:val="00727646"/>
    <w:rsid w:val="00727C92"/>
    <w:rsid w:val="00727ED8"/>
    <w:rsid w:val="00727EEC"/>
    <w:rsid w:val="00730115"/>
    <w:rsid w:val="00730123"/>
    <w:rsid w:val="007305E3"/>
    <w:rsid w:val="00730C0C"/>
    <w:rsid w:val="00731155"/>
    <w:rsid w:val="007311E7"/>
    <w:rsid w:val="0073164C"/>
    <w:rsid w:val="00732628"/>
    <w:rsid w:val="007335B7"/>
    <w:rsid w:val="007335DD"/>
    <w:rsid w:val="00733A66"/>
    <w:rsid w:val="00733B84"/>
    <w:rsid w:val="00734574"/>
    <w:rsid w:val="00734A61"/>
    <w:rsid w:val="00735265"/>
    <w:rsid w:val="0073552F"/>
    <w:rsid w:val="00735579"/>
    <w:rsid w:val="0073565A"/>
    <w:rsid w:val="0073681D"/>
    <w:rsid w:val="00736896"/>
    <w:rsid w:val="00736B65"/>
    <w:rsid w:val="00736D8B"/>
    <w:rsid w:val="00736E96"/>
    <w:rsid w:val="00737128"/>
    <w:rsid w:val="0074064A"/>
    <w:rsid w:val="00740938"/>
    <w:rsid w:val="00741924"/>
    <w:rsid w:val="00742AF5"/>
    <w:rsid w:val="0074330E"/>
    <w:rsid w:val="00743545"/>
    <w:rsid w:val="007436D3"/>
    <w:rsid w:val="00744F33"/>
    <w:rsid w:val="007460FD"/>
    <w:rsid w:val="007468D4"/>
    <w:rsid w:val="00746928"/>
    <w:rsid w:val="00747176"/>
    <w:rsid w:val="007474A3"/>
    <w:rsid w:val="00747A0B"/>
    <w:rsid w:val="00747F7F"/>
    <w:rsid w:val="00751647"/>
    <w:rsid w:val="007517CB"/>
    <w:rsid w:val="0075267C"/>
    <w:rsid w:val="007528CF"/>
    <w:rsid w:val="00752CD6"/>
    <w:rsid w:val="00753B8D"/>
    <w:rsid w:val="00753B9B"/>
    <w:rsid w:val="00753EFA"/>
    <w:rsid w:val="00753FDE"/>
    <w:rsid w:val="007551D5"/>
    <w:rsid w:val="007557AF"/>
    <w:rsid w:val="00756296"/>
    <w:rsid w:val="00756D27"/>
    <w:rsid w:val="007576DA"/>
    <w:rsid w:val="007579DF"/>
    <w:rsid w:val="007602CA"/>
    <w:rsid w:val="007608FD"/>
    <w:rsid w:val="00760B38"/>
    <w:rsid w:val="007610B9"/>
    <w:rsid w:val="00761345"/>
    <w:rsid w:val="0076194F"/>
    <w:rsid w:val="00762FED"/>
    <w:rsid w:val="007636A8"/>
    <w:rsid w:val="007637EB"/>
    <w:rsid w:val="007638B3"/>
    <w:rsid w:val="0076435E"/>
    <w:rsid w:val="00764B50"/>
    <w:rsid w:val="00765BF6"/>
    <w:rsid w:val="00765E92"/>
    <w:rsid w:val="00767098"/>
    <w:rsid w:val="00771556"/>
    <w:rsid w:val="0077159B"/>
    <w:rsid w:val="00771A9A"/>
    <w:rsid w:val="00771BFD"/>
    <w:rsid w:val="00771CBE"/>
    <w:rsid w:val="0077263A"/>
    <w:rsid w:val="00773029"/>
    <w:rsid w:val="00773BC0"/>
    <w:rsid w:val="0077427B"/>
    <w:rsid w:val="007747A7"/>
    <w:rsid w:val="007749E2"/>
    <w:rsid w:val="00774EC5"/>
    <w:rsid w:val="007754CF"/>
    <w:rsid w:val="007765D5"/>
    <w:rsid w:val="00776A9E"/>
    <w:rsid w:val="00776B01"/>
    <w:rsid w:val="0077733C"/>
    <w:rsid w:val="007775B1"/>
    <w:rsid w:val="007801BF"/>
    <w:rsid w:val="0078182A"/>
    <w:rsid w:val="00782A28"/>
    <w:rsid w:val="00782FA8"/>
    <w:rsid w:val="00783441"/>
    <w:rsid w:val="00783902"/>
    <w:rsid w:val="00783F59"/>
    <w:rsid w:val="00784051"/>
    <w:rsid w:val="00784248"/>
    <w:rsid w:val="0078429B"/>
    <w:rsid w:val="0078439E"/>
    <w:rsid w:val="007848C3"/>
    <w:rsid w:val="0078519E"/>
    <w:rsid w:val="00785981"/>
    <w:rsid w:val="00785AC3"/>
    <w:rsid w:val="00786690"/>
    <w:rsid w:val="00787C5E"/>
    <w:rsid w:val="00787DE2"/>
    <w:rsid w:val="0079008B"/>
    <w:rsid w:val="00791360"/>
    <w:rsid w:val="00791603"/>
    <w:rsid w:val="0079164D"/>
    <w:rsid w:val="00791F66"/>
    <w:rsid w:val="007921F3"/>
    <w:rsid w:val="00793873"/>
    <w:rsid w:val="00793EC7"/>
    <w:rsid w:val="00794192"/>
    <w:rsid w:val="00794800"/>
    <w:rsid w:val="0079483B"/>
    <w:rsid w:val="00794882"/>
    <w:rsid w:val="00794CE6"/>
    <w:rsid w:val="00795397"/>
    <w:rsid w:val="0079563B"/>
    <w:rsid w:val="00795A06"/>
    <w:rsid w:val="00795AE0"/>
    <w:rsid w:val="00795DB9"/>
    <w:rsid w:val="00796FBD"/>
    <w:rsid w:val="0079747F"/>
    <w:rsid w:val="007976D0"/>
    <w:rsid w:val="00797BCA"/>
    <w:rsid w:val="00797E94"/>
    <w:rsid w:val="00797F66"/>
    <w:rsid w:val="007A000C"/>
    <w:rsid w:val="007A06F4"/>
    <w:rsid w:val="007A213F"/>
    <w:rsid w:val="007A2339"/>
    <w:rsid w:val="007A3028"/>
    <w:rsid w:val="007A394B"/>
    <w:rsid w:val="007A3EE7"/>
    <w:rsid w:val="007A4CEB"/>
    <w:rsid w:val="007A59A1"/>
    <w:rsid w:val="007A5F46"/>
    <w:rsid w:val="007A63E7"/>
    <w:rsid w:val="007A65DE"/>
    <w:rsid w:val="007A6C62"/>
    <w:rsid w:val="007A6D4E"/>
    <w:rsid w:val="007A7373"/>
    <w:rsid w:val="007A76BC"/>
    <w:rsid w:val="007B012A"/>
    <w:rsid w:val="007B083F"/>
    <w:rsid w:val="007B0E67"/>
    <w:rsid w:val="007B1CE7"/>
    <w:rsid w:val="007B226B"/>
    <w:rsid w:val="007B2D13"/>
    <w:rsid w:val="007B3646"/>
    <w:rsid w:val="007B3B22"/>
    <w:rsid w:val="007B51F5"/>
    <w:rsid w:val="007B53C9"/>
    <w:rsid w:val="007B6D8D"/>
    <w:rsid w:val="007B6F32"/>
    <w:rsid w:val="007B7F28"/>
    <w:rsid w:val="007C10B0"/>
    <w:rsid w:val="007C1204"/>
    <w:rsid w:val="007C1FFE"/>
    <w:rsid w:val="007C4CFF"/>
    <w:rsid w:val="007C594C"/>
    <w:rsid w:val="007C703B"/>
    <w:rsid w:val="007C7058"/>
    <w:rsid w:val="007C72AD"/>
    <w:rsid w:val="007C78B6"/>
    <w:rsid w:val="007C7BF6"/>
    <w:rsid w:val="007D01AD"/>
    <w:rsid w:val="007D01DC"/>
    <w:rsid w:val="007D0A92"/>
    <w:rsid w:val="007D0E82"/>
    <w:rsid w:val="007D0EA3"/>
    <w:rsid w:val="007D0FDB"/>
    <w:rsid w:val="007D28F4"/>
    <w:rsid w:val="007D2A93"/>
    <w:rsid w:val="007D369B"/>
    <w:rsid w:val="007D3E0C"/>
    <w:rsid w:val="007D4EAC"/>
    <w:rsid w:val="007D5101"/>
    <w:rsid w:val="007D548F"/>
    <w:rsid w:val="007D6362"/>
    <w:rsid w:val="007D6A1F"/>
    <w:rsid w:val="007D6BEF"/>
    <w:rsid w:val="007D76DA"/>
    <w:rsid w:val="007D7C87"/>
    <w:rsid w:val="007D7DF1"/>
    <w:rsid w:val="007E06DF"/>
    <w:rsid w:val="007E09E9"/>
    <w:rsid w:val="007E0CA3"/>
    <w:rsid w:val="007E0F92"/>
    <w:rsid w:val="007E1360"/>
    <w:rsid w:val="007E1EC2"/>
    <w:rsid w:val="007E3457"/>
    <w:rsid w:val="007E34D6"/>
    <w:rsid w:val="007E39D2"/>
    <w:rsid w:val="007E3DFC"/>
    <w:rsid w:val="007E401D"/>
    <w:rsid w:val="007E4268"/>
    <w:rsid w:val="007E47DD"/>
    <w:rsid w:val="007E4A00"/>
    <w:rsid w:val="007E4B37"/>
    <w:rsid w:val="007E4B9A"/>
    <w:rsid w:val="007E517E"/>
    <w:rsid w:val="007E63E7"/>
    <w:rsid w:val="007E68AA"/>
    <w:rsid w:val="007E70AB"/>
    <w:rsid w:val="007F0750"/>
    <w:rsid w:val="007F0C48"/>
    <w:rsid w:val="007F14F1"/>
    <w:rsid w:val="007F17CC"/>
    <w:rsid w:val="007F17E5"/>
    <w:rsid w:val="007F1B99"/>
    <w:rsid w:val="007F258F"/>
    <w:rsid w:val="007F2846"/>
    <w:rsid w:val="007F2E55"/>
    <w:rsid w:val="007F32C2"/>
    <w:rsid w:val="007F439B"/>
    <w:rsid w:val="007F4E77"/>
    <w:rsid w:val="007F4F3D"/>
    <w:rsid w:val="007F5C6B"/>
    <w:rsid w:val="007F5D7C"/>
    <w:rsid w:val="007F5F8F"/>
    <w:rsid w:val="007F5FBB"/>
    <w:rsid w:val="007F6036"/>
    <w:rsid w:val="007F6A08"/>
    <w:rsid w:val="007F6A3C"/>
    <w:rsid w:val="007F71AE"/>
    <w:rsid w:val="007F732A"/>
    <w:rsid w:val="007F7458"/>
    <w:rsid w:val="007F7BF6"/>
    <w:rsid w:val="00800415"/>
    <w:rsid w:val="00800662"/>
    <w:rsid w:val="008009D2"/>
    <w:rsid w:val="00800C17"/>
    <w:rsid w:val="0080110C"/>
    <w:rsid w:val="0080129D"/>
    <w:rsid w:val="0080443D"/>
    <w:rsid w:val="00804444"/>
    <w:rsid w:val="0080479E"/>
    <w:rsid w:val="00805AD0"/>
    <w:rsid w:val="008062CC"/>
    <w:rsid w:val="008065E5"/>
    <w:rsid w:val="00806B61"/>
    <w:rsid w:val="00806EE0"/>
    <w:rsid w:val="00810E89"/>
    <w:rsid w:val="00811CBE"/>
    <w:rsid w:val="008120CC"/>
    <w:rsid w:val="00813605"/>
    <w:rsid w:val="008138BB"/>
    <w:rsid w:val="0081481A"/>
    <w:rsid w:val="00814BAC"/>
    <w:rsid w:val="008151AA"/>
    <w:rsid w:val="00815638"/>
    <w:rsid w:val="008206DF"/>
    <w:rsid w:val="00820C39"/>
    <w:rsid w:val="00820F39"/>
    <w:rsid w:val="008214CB"/>
    <w:rsid w:val="00821575"/>
    <w:rsid w:val="00821665"/>
    <w:rsid w:val="008220AA"/>
    <w:rsid w:val="00822733"/>
    <w:rsid w:val="0082450A"/>
    <w:rsid w:val="00824EAC"/>
    <w:rsid w:val="00825642"/>
    <w:rsid w:val="0082574B"/>
    <w:rsid w:val="00826E30"/>
    <w:rsid w:val="00827E2D"/>
    <w:rsid w:val="008301BB"/>
    <w:rsid w:val="008304F2"/>
    <w:rsid w:val="00830793"/>
    <w:rsid w:val="00830D02"/>
    <w:rsid w:val="0083105C"/>
    <w:rsid w:val="00831DB5"/>
    <w:rsid w:val="00833631"/>
    <w:rsid w:val="00833960"/>
    <w:rsid w:val="00833FF8"/>
    <w:rsid w:val="00834651"/>
    <w:rsid w:val="00834740"/>
    <w:rsid w:val="00834DC3"/>
    <w:rsid w:val="00835621"/>
    <w:rsid w:val="00835814"/>
    <w:rsid w:val="00836278"/>
    <w:rsid w:val="00836A7C"/>
    <w:rsid w:val="00836FAE"/>
    <w:rsid w:val="008401E7"/>
    <w:rsid w:val="008402D9"/>
    <w:rsid w:val="00840409"/>
    <w:rsid w:val="008408F0"/>
    <w:rsid w:val="008409F4"/>
    <w:rsid w:val="00840E9A"/>
    <w:rsid w:val="008414F3"/>
    <w:rsid w:val="00842409"/>
    <w:rsid w:val="0084297C"/>
    <w:rsid w:val="00843ECD"/>
    <w:rsid w:val="00844170"/>
    <w:rsid w:val="008443A5"/>
    <w:rsid w:val="008450B7"/>
    <w:rsid w:val="00845DA6"/>
    <w:rsid w:val="00846438"/>
    <w:rsid w:val="00846448"/>
    <w:rsid w:val="00846C5C"/>
    <w:rsid w:val="0084725A"/>
    <w:rsid w:val="0084776F"/>
    <w:rsid w:val="00850765"/>
    <w:rsid w:val="00850DA4"/>
    <w:rsid w:val="00850E6F"/>
    <w:rsid w:val="0085290A"/>
    <w:rsid w:val="00852BEE"/>
    <w:rsid w:val="00852FF6"/>
    <w:rsid w:val="00855F89"/>
    <w:rsid w:val="0085644F"/>
    <w:rsid w:val="00857810"/>
    <w:rsid w:val="00857E8F"/>
    <w:rsid w:val="0086006D"/>
    <w:rsid w:val="00860143"/>
    <w:rsid w:val="00860AD1"/>
    <w:rsid w:val="0086102F"/>
    <w:rsid w:val="00861652"/>
    <w:rsid w:val="00861A6C"/>
    <w:rsid w:val="00862088"/>
    <w:rsid w:val="008621E7"/>
    <w:rsid w:val="00862B82"/>
    <w:rsid w:val="008637EF"/>
    <w:rsid w:val="00864055"/>
    <w:rsid w:val="00864071"/>
    <w:rsid w:val="00864319"/>
    <w:rsid w:val="00864F63"/>
    <w:rsid w:val="008652DF"/>
    <w:rsid w:val="008654BC"/>
    <w:rsid w:val="008664E0"/>
    <w:rsid w:val="0086667B"/>
    <w:rsid w:val="00866899"/>
    <w:rsid w:val="00867BF2"/>
    <w:rsid w:val="0087022C"/>
    <w:rsid w:val="00870B74"/>
    <w:rsid w:val="008712B4"/>
    <w:rsid w:val="00872454"/>
    <w:rsid w:val="0087246A"/>
    <w:rsid w:val="00872EFE"/>
    <w:rsid w:val="00872FBC"/>
    <w:rsid w:val="00873445"/>
    <w:rsid w:val="00873933"/>
    <w:rsid w:val="00873B7F"/>
    <w:rsid w:val="008742D7"/>
    <w:rsid w:val="00874938"/>
    <w:rsid w:val="00874D95"/>
    <w:rsid w:val="00874E24"/>
    <w:rsid w:val="0087685E"/>
    <w:rsid w:val="00876D59"/>
    <w:rsid w:val="008773A0"/>
    <w:rsid w:val="00877E4F"/>
    <w:rsid w:val="00880CC8"/>
    <w:rsid w:val="00880EA1"/>
    <w:rsid w:val="008813E9"/>
    <w:rsid w:val="00881A39"/>
    <w:rsid w:val="00881ABB"/>
    <w:rsid w:val="00882147"/>
    <w:rsid w:val="008831D6"/>
    <w:rsid w:val="008834E1"/>
    <w:rsid w:val="0088430A"/>
    <w:rsid w:val="00885644"/>
    <w:rsid w:val="008862CE"/>
    <w:rsid w:val="008875DC"/>
    <w:rsid w:val="00890A56"/>
    <w:rsid w:val="00890BD9"/>
    <w:rsid w:val="00890FA2"/>
    <w:rsid w:val="008916EA"/>
    <w:rsid w:val="00891ECC"/>
    <w:rsid w:val="00892989"/>
    <w:rsid w:val="00892BB7"/>
    <w:rsid w:val="0089361D"/>
    <w:rsid w:val="0089375E"/>
    <w:rsid w:val="008938B4"/>
    <w:rsid w:val="00893EB6"/>
    <w:rsid w:val="00895598"/>
    <w:rsid w:val="0089563E"/>
    <w:rsid w:val="00895C2F"/>
    <w:rsid w:val="00895DD1"/>
    <w:rsid w:val="00897737"/>
    <w:rsid w:val="00897F9A"/>
    <w:rsid w:val="008A19A3"/>
    <w:rsid w:val="008A1B50"/>
    <w:rsid w:val="008A27C5"/>
    <w:rsid w:val="008A2B01"/>
    <w:rsid w:val="008A3CC3"/>
    <w:rsid w:val="008A3EDD"/>
    <w:rsid w:val="008A4AE7"/>
    <w:rsid w:val="008A5948"/>
    <w:rsid w:val="008A75F9"/>
    <w:rsid w:val="008B0726"/>
    <w:rsid w:val="008B0B5D"/>
    <w:rsid w:val="008B20AC"/>
    <w:rsid w:val="008B2415"/>
    <w:rsid w:val="008B2997"/>
    <w:rsid w:val="008B343D"/>
    <w:rsid w:val="008B3462"/>
    <w:rsid w:val="008B360C"/>
    <w:rsid w:val="008B368D"/>
    <w:rsid w:val="008B3EF2"/>
    <w:rsid w:val="008B514E"/>
    <w:rsid w:val="008B6FB6"/>
    <w:rsid w:val="008B7D97"/>
    <w:rsid w:val="008C02BE"/>
    <w:rsid w:val="008C034B"/>
    <w:rsid w:val="008C0627"/>
    <w:rsid w:val="008C0648"/>
    <w:rsid w:val="008C06B8"/>
    <w:rsid w:val="008C0929"/>
    <w:rsid w:val="008C230E"/>
    <w:rsid w:val="008C25B6"/>
    <w:rsid w:val="008C3102"/>
    <w:rsid w:val="008C3FD0"/>
    <w:rsid w:val="008C4E0D"/>
    <w:rsid w:val="008C6C21"/>
    <w:rsid w:val="008C72C3"/>
    <w:rsid w:val="008D0904"/>
    <w:rsid w:val="008D1A31"/>
    <w:rsid w:val="008D1D6A"/>
    <w:rsid w:val="008D249D"/>
    <w:rsid w:val="008D2AB7"/>
    <w:rsid w:val="008D31C2"/>
    <w:rsid w:val="008D31EA"/>
    <w:rsid w:val="008D419A"/>
    <w:rsid w:val="008D52C5"/>
    <w:rsid w:val="008D5A00"/>
    <w:rsid w:val="008D5E6A"/>
    <w:rsid w:val="008D6021"/>
    <w:rsid w:val="008D7066"/>
    <w:rsid w:val="008D7175"/>
    <w:rsid w:val="008D7759"/>
    <w:rsid w:val="008D792E"/>
    <w:rsid w:val="008D7B20"/>
    <w:rsid w:val="008E1887"/>
    <w:rsid w:val="008E1A0E"/>
    <w:rsid w:val="008E1AF4"/>
    <w:rsid w:val="008E2270"/>
    <w:rsid w:val="008E36ED"/>
    <w:rsid w:val="008E3D6A"/>
    <w:rsid w:val="008E4A4A"/>
    <w:rsid w:val="008E53AC"/>
    <w:rsid w:val="008E554E"/>
    <w:rsid w:val="008E57E4"/>
    <w:rsid w:val="008E6B0A"/>
    <w:rsid w:val="008E6DEB"/>
    <w:rsid w:val="008E6FD5"/>
    <w:rsid w:val="008F00B2"/>
    <w:rsid w:val="008F0FE6"/>
    <w:rsid w:val="008F103D"/>
    <w:rsid w:val="008F17BF"/>
    <w:rsid w:val="008F182C"/>
    <w:rsid w:val="008F1935"/>
    <w:rsid w:val="008F1D10"/>
    <w:rsid w:val="008F2764"/>
    <w:rsid w:val="008F2911"/>
    <w:rsid w:val="008F2C96"/>
    <w:rsid w:val="008F344A"/>
    <w:rsid w:val="008F3BE6"/>
    <w:rsid w:val="008F41A5"/>
    <w:rsid w:val="008F4C55"/>
    <w:rsid w:val="008F511A"/>
    <w:rsid w:val="008F572D"/>
    <w:rsid w:val="008F5A42"/>
    <w:rsid w:val="008F620A"/>
    <w:rsid w:val="008F6AFF"/>
    <w:rsid w:val="008F7133"/>
    <w:rsid w:val="008F74D0"/>
    <w:rsid w:val="009003A4"/>
    <w:rsid w:val="00900B36"/>
    <w:rsid w:val="0090137D"/>
    <w:rsid w:val="00901508"/>
    <w:rsid w:val="00901E1D"/>
    <w:rsid w:val="00902223"/>
    <w:rsid w:val="00902F0A"/>
    <w:rsid w:val="00903129"/>
    <w:rsid w:val="0090359F"/>
    <w:rsid w:val="0090389B"/>
    <w:rsid w:val="00903ED4"/>
    <w:rsid w:val="009040DA"/>
    <w:rsid w:val="0090460A"/>
    <w:rsid w:val="00904A42"/>
    <w:rsid w:val="00905EB9"/>
    <w:rsid w:val="0090680C"/>
    <w:rsid w:val="00907C3F"/>
    <w:rsid w:val="00907E5D"/>
    <w:rsid w:val="00910008"/>
    <w:rsid w:val="009101C6"/>
    <w:rsid w:val="0091046B"/>
    <w:rsid w:val="00911274"/>
    <w:rsid w:val="00911695"/>
    <w:rsid w:val="00911B30"/>
    <w:rsid w:val="00911E10"/>
    <w:rsid w:val="009128D2"/>
    <w:rsid w:val="00912A4A"/>
    <w:rsid w:val="00913308"/>
    <w:rsid w:val="00914745"/>
    <w:rsid w:val="00914A05"/>
    <w:rsid w:val="00914CCF"/>
    <w:rsid w:val="00916A77"/>
    <w:rsid w:val="009172BB"/>
    <w:rsid w:val="009209D0"/>
    <w:rsid w:val="0092179F"/>
    <w:rsid w:val="00921BDC"/>
    <w:rsid w:val="009228C3"/>
    <w:rsid w:val="0092304E"/>
    <w:rsid w:val="00923D36"/>
    <w:rsid w:val="00925E65"/>
    <w:rsid w:val="00926AD1"/>
    <w:rsid w:val="00926F11"/>
    <w:rsid w:val="009275BA"/>
    <w:rsid w:val="00930577"/>
    <w:rsid w:val="00930B4D"/>
    <w:rsid w:val="00930B7B"/>
    <w:rsid w:val="009314A3"/>
    <w:rsid w:val="00931CF1"/>
    <w:rsid w:val="00933445"/>
    <w:rsid w:val="009344EC"/>
    <w:rsid w:val="00935100"/>
    <w:rsid w:val="00935419"/>
    <w:rsid w:val="009357C8"/>
    <w:rsid w:val="00935835"/>
    <w:rsid w:val="00935B8A"/>
    <w:rsid w:val="00935CA9"/>
    <w:rsid w:val="009361D9"/>
    <w:rsid w:val="00936525"/>
    <w:rsid w:val="00936979"/>
    <w:rsid w:val="00936BD3"/>
    <w:rsid w:val="00936C03"/>
    <w:rsid w:val="00936EEB"/>
    <w:rsid w:val="00937092"/>
    <w:rsid w:val="00937C24"/>
    <w:rsid w:val="00940B31"/>
    <w:rsid w:val="00940CBD"/>
    <w:rsid w:val="009416DD"/>
    <w:rsid w:val="00942DF7"/>
    <w:rsid w:val="00943533"/>
    <w:rsid w:val="00944143"/>
    <w:rsid w:val="0094569B"/>
    <w:rsid w:val="00946010"/>
    <w:rsid w:val="00946169"/>
    <w:rsid w:val="00946407"/>
    <w:rsid w:val="00946793"/>
    <w:rsid w:val="00946CFE"/>
    <w:rsid w:val="00950F62"/>
    <w:rsid w:val="009510BF"/>
    <w:rsid w:val="0095134F"/>
    <w:rsid w:val="00951B4E"/>
    <w:rsid w:val="00951C47"/>
    <w:rsid w:val="00951E14"/>
    <w:rsid w:val="009525CF"/>
    <w:rsid w:val="009537C1"/>
    <w:rsid w:val="00954936"/>
    <w:rsid w:val="00954A94"/>
    <w:rsid w:val="009559BA"/>
    <w:rsid w:val="009567AB"/>
    <w:rsid w:val="00956CAE"/>
    <w:rsid w:val="00956D15"/>
    <w:rsid w:val="00957E64"/>
    <w:rsid w:val="009606AD"/>
    <w:rsid w:val="009608AA"/>
    <w:rsid w:val="00960C2E"/>
    <w:rsid w:val="00961283"/>
    <w:rsid w:val="0096321D"/>
    <w:rsid w:val="00963E16"/>
    <w:rsid w:val="009646B2"/>
    <w:rsid w:val="00964714"/>
    <w:rsid w:val="00964F7E"/>
    <w:rsid w:val="00964FA3"/>
    <w:rsid w:val="00965161"/>
    <w:rsid w:val="00965638"/>
    <w:rsid w:val="009658CC"/>
    <w:rsid w:val="0096590F"/>
    <w:rsid w:val="00965D35"/>
    <w:rsid w:val="009660A0"/>
    <w:rsid w:val="009660E1"/>
    <w:rsid w:val="00966E00"/>
    <w:rsid w:val="00967216"/>
    <w:rsid w:val="00967441"/>
    <w:rsid w:val="00967BE8"/>
    <w:rsid w:val="00967DA1"/>
    <w:rsid w:val="00970245"/>
    <w:rsid w:val="0097069D"/>
    <w:rsid w:val="00970A2F"/>
    <w:rsid w:val="00970B30"/>
    <w:rsid w:val="00971449"/>
    <w:rsid w:val="0097310C"/>
    <w:rsid w:val="00973132"/>
    <w:rsid w:val="009733B6"/>
    <w:rsid w:val="00973513"/>
    <w:rsid w:val="009736D7"/>
    <w:rsid w:val="00973798"/>
    <w:rsid w:val="00973F06"/>
    <w:rsid w:val="009740E9"/>
    <w:rsid w:val="00974545"/>
    <w:rsid w:val="00974926"/>
    <w:rsid w:val="00974D06"/>
    <w:rsid w:val="00974DD3"/>
    <w:rsid w:val="00976330"/>
    <w:rsid w:val="0097647C"/>
    <w:rsid w:val="00977992"/>
    <w:rsid w:val="00981C04"/>
    <w:rsid w:val="00982500"/>
    <w:rsid w:val="00982CFD"/>
    <w:rsid w:val="00984781"/>
    <w:rsid w:val="00984BAD"/>
    <w:rsid w:val="00984D7E"/>
    <w:rsid w:val="00984F57"/>
    <w:rsid w:val="00984FD4"/>
    <w:rsid w:val="00986534"/>
    <w:rsid w:val="0098773D"/>
    <w:rsid w:val="00987ACE"/>
    <w:rsid w:val="00990114"/>
    <w:rsid w:val="00990613"/>
    <w:rsid w:val="009917D8"/>
    <w:rsid w:val="00991948"/>
    <w:rsid w:val="00991DB2"/>
    <w:rsid w:val="009922C1"/>
    <w:rsid w:val="00992D27"/>
    <w:rsid w:val="00992E20"/>
    <w:rsid w:val="00994EA3"/>
    <w:rsid w:val="009951A0"/>
    <w:rsid w:val="00995498"/>
    <w:rsid w:val="00995515"/>
    <w:rsid w:val="00995B4B"/>
    <w:rsid w:val="00995FF7"/>
    <w:rsid w:val="0099748B"/>
    <w:rsid w:val="009976B1"/>
    <w:rsid w:val="009A0ED4"/>
    <w:rsid w:val="009A1076"/>
    <w:rsid w:val="009A1A4E"/>
    <w:rsid w:val="009A200A"/>
    <w:rsid w:val="009A201C"/>
    <w:rsid w:val="009A22CF"/>
    <w:rsid w:val="009A34D7"/>
    <w:rsid w:val="009A38D0"/>
    <w:rsid w:val="009A5076"/>
    <w:rsid w:val="009A57BD"/>
    <w:rsid w:val="009A5EA0"/>
    <w:rsid w:val="009A5F7C"/>
    <w:rsid w:val="009A6282"/>
    <w:rsid w:val="009A63CD"/>
    <w:rsid w:val="009B0E28"/>
    <w:rsid w:val="009B0EF2"/>
    <w:rsid w:val="009B104A"/>
    <w:rsid w:val="009B15D8"/>
    <w:rsid w:val="009B1A77"/>
    <w:rsid w:val="009B206A"/>
    <w:rsid w:val="009B25A6"/>
    <w:rsid w:val="009B2C92"/>
    <w:rsid w:val="009B337C"/>
    <w:rsid w:val="009B3B24"/>
    <w:rsid w:val="009B411E"/>
    <w:rsid w:val="009B4194"/>
    <w:rsid w:val="009B4D92"/>
    <w:rsid w:val="009B5D5D"/>
    <w:rsid w:val="009B769C"/>
    <w:rsid w:val="009C0007"/>
    <w:rsid w:val="009C045D"/>
    <w:rsid w:val="009C098C"/>
    <w:rsid w:val="009C0BCB"/>
    <w:rsid w:val="009C2623"/>
    <w:rsid w:val="009C2911"/>
    <w:rsid w:val="009C2989"/>
    <w:rsid w:val="009C2A61"/>
    <w:rsid w:val="009C34E0"/>
    <w:rsid w:val="009C3B98"/>
    <w:rsid w:val="009C3D5B"/>
    <w:rsid w:val="009C401C"/>
    <w:rsid w:val="009C4528"/>
    <w:rsid w:val="009C4682"/>
    <w:rsid w:val="009C5B5F"/>
    <w:rsid w:val="009C5E45"/>
    <w:rsid w:val="009C6730"/>
    <w:rsid w:val="009C6C1A"/>
    <w:rsid w:val="009D00C1"/>
    <w:rsid w:val="009D01EE"/>
    <w:rsid w:val="009D06FB"/>
    <w:rsid w:val="009D09B9"/>
    <w:rsid w:val="009D1971"/>
    <w:rsid w:val="009D2052"/>
    <w:rsid w:val="009D2DB1"/>
    <w:rsid w:val="009D3C04"/>
    <w:rsid w:val="009D3CF6"/>
    <w:rsid w:val="009D3DD1"/>
    <w:rsid w:val="009D4247"/>
    <w:rsid w:val="009D4E66"/>
    <w:rsid w:val="009D5592"/>
    <w:rsid w:val="009D59AD"/>
    <w:rsid w:val="009D5B66"/>
    <w:rsid w:val="009D671C"/>
    <w:rsid w:val="009D67DE"/>
    <w:rsid w:val="009D685D"/>
    <w:rsid w:val="009D792C"/>
    <w:rsid w:val="009D7A6F"/>
    <w:rsid w:val="009D7B60"/>
    <w:rsid w:val="009D7C62"/>
    <w:rsid w:val="009E09F0"/>
    <w:rsid w:val="009E109D"/>
    <w:rsid w:val="009E1A6E"/>
    <w:rsid w:val="009E1D71"/>
    <w:rsid w:val="009E2758"/>
    <w:rsid w:val="009E2A43"/>
    <w:rsid w:val="009E2E14"/>
    <w:rsid w:val="009E3505"/>
    <w:rsid w:val="009E4714"/>
    <w:rsid w:val="009E4B04"/>
    <w:rsid w:val="009E59FD"/>
    <w:rsid w:val="009E5F07"/>
    <w:rsid w:val="009E5FF7"/>
    <w:rsid w:val="009E6110"/>
    <w:rsid w:val="009E6B07"/>
    <w:rsid w:val="009E72D1"/>
    <w:rsid w:val="009E7E2F"/>
    <w:rsid w:val="009E7F52"/>
    <w:rsid w:val="009F215F"/>
    <w:rsid w:val="009F219E"/>
    <w:rsid w:val="009F2830"/>
    <w:rsid w:val="009F2A3A"/>
    <w:rsid w:val="009F2A5F"/>
    <w:rsid w:val="009F4823"/>
    <w:rsid w:val="009F5AE6"/>
    <w:rsid w:val="009F5FA5"/>
    <w:rsid w:val="009F6147"/>
    <w:rsid w:val="009F6417"/>
    <w:rsid w:val="009F69A0"/>
    <w:rsid w:val="009F6A52"/>
    <w:rsid w:val="009F768B"/>
    <w:rsid w:val="009F7CE4"/>
    <w:rsid w:val="00A00AF9"/>
    <w:rsid w:val="00A00CC3"/>
    <w:rsid w:val="00A016AA"/>
    <w:rsid w:val="00A019CB"/>
    <w:rsid w:val="00A029C0"/>
    <w:rsid w:val="00A03D5A"/>
    <w:rsid w:val="00A040D3"/>
    <w:rsid w:val="00A04309"/>
    <w:rsid w:val="00A046D5"/>
    <w:rsid w:val="00A04B98"/>
    <w:rsid w:val="00A04C31"/>
    <w:rsid w:val="00A04C4E"/>
    <w:rsid w:val="00A04C55"/>
    <w:rsid w:val="00A06429"/>
    <w:rsid w:val="00A067FD"/>
    <w:rsid w:val="00A07350"/>
    <w:rsid w:val="00A0773B"/>
    <w:rsid w:val="00A1060E"/>
    <w:rsid w:val="00A11E47"/>
    <w:rsid w:val="00A1323D"/>
    <w:rsid w:val="00A1341B"/>
    <w:rsid w:val="00A13CA9"/>
    <w:rsid w:val="00A13F28"/>
    <w:rsid w:val="00A14049"/>
    <w:rsid w:val="00A141E5"/>
    <w:rsid w:val="00A15307"/>
    <w:rsid w:val="00A1547B"/>
    <w:rsid w:val="00A162A1"/>
    <w:rsid w:val="00A16D6D"/>
    <w:rsid w:val="00A171CF"/>
    <w:rsid w:val="00A177C3"/>
    <w:rsid w:val="00A1791A"/>
    <w:rsid w:val="00A200FB"/>
    <w:rsid w:val="00A2030A"/>
    <w:rsid w:val="00A20A3F"/>
    <w:rsid w:val="00A20B8E"/>
    <w:rsid w:val="00A21E22"/>
    <w:rsid w:val="00A21E30"/>
    <w:rsid w:val="00A23076"/>
    <w:rsid w:val="00A2360E"/>
    <w:rsid w:val="00A24697"/>
    <w:rsid w:val="00A254C3"/>
    <w:rsid w:val="00A25807"/>
    <w:rsid w:val="00A25BD5"/>
    <w:rsid w:val="00A2612C"/>
    <w:rsid w:val="00A26AF3"/>
    <w:rsid w:val="00A26AF9"/>
    <w:rsid w:val="00A274B7"/>
    <w:rsid w:val="00A27AAD"/>
    <w:rsid w:val="00A30C40"/>
    <w:rsid w:val="00A314F8"/>
    <w:rsid w:val="00A31810"/>
    <w:rsid w:val="00A3207B"/>
    <w:rsid w:val="00A339E1"/>
    <w:rsid w:val="00A33F7A"/>
    <w:rsid w:val="00A34982"/>
    <w:rsid w:val="00A34AFE"/>
    <w:rsid w:val="00A36275"/>
    <w:rsid w:val="00A36C63"/>
    <w:rsid w:val="00A37072"/>
    <w:rsid w:val="00A37430"/>
    <w:rsid w:val="00A4054B"/>
    <w:rsid w:val="00A40966"/>
    <w:rsid w:val="00A41013"/>
    <w:rsid w:val="00A41F97"/>
    <w:rsid w:val="00A429B6"/>
    <w:rsid w:val="00A4314C"/>
    <w:rsid w:val="00A43472"/>
    <w:rsid w:val="00A434A9"/>
    <w:rsid w:val="00A4354A"/>
    <w:rsid w:val="00A43AEC"/>
    <w:rsid w:val="00A44A9D"/>
    <w:rsid w:val="00A46695"/>
    <w:rsid w:val="00A4669C"/>
    <w:rsid w:val="00A47340"/>
    <w:rsid w:val="00A47E86"/>
    <w:rsid w:val="00A503CC"/>
    <w:rsid w:val="00A5061E"/>
    <w:rsid w:val="00A508FC"/>
    <w:rsid w:val="00A519CC"/>
    <w:rsid w:val="00A51D26"/>
    <w:rsid w:val="00A5395D"/>
    <w:rsid w:val="00A53E12"/>
    <w:rsid w:val="00A5432A"/>
    <w:rsid w:val="00A547F2"/>
    <w:rsid w:val="00A54F31"/>
    <w:rsid w:val="00A5530D"/>
    <w:rsid w:val="00A5546A"/>
    <w:rsid w:val="00A558F1"/>
    <w:rsid w:val="00A561B8"/>
    <w:rsid w:val="00A56B56"/>
    <w:rsid w:val="00A56FAD"/>
    <w:rsid w:val="00A571FE"/>
    <w:rsid w:val="00A575C3"/>
    <w:rsid w:val="00A57A6A"/>
    <w:rsid w:val="00A57CC5"/>
    <w:rsid w:val="00A57E5F"/>
    <w:rsid w:val="00A60A48"/>
    <w:rsid w:val="00A60AA4"/>
    <w:rsid w:val="00A60BFA"/>
    <w:rsid w:val="00A6102F"/>
    <w:rsid w:val="00A613D7"/>
    <w:rsid w:val="00A6258C"/>
    <w:rsid w:val="00A62D21"/>
    <w:rsid w:val="00A632E0"/>
    <w:rsid w:val="00A63CEF"/>
    <w:rsid w:val="00A63F50"/>
    <w:rsid w:val="00A648D0"/>
    <w:rsid w:val="00A64B7A"/>
    <w:rsid w:val="00A65206"/>
    <w:rsid w:val="00A65A64"/>
    <w:rsid w:val="00A65D8E"/>
    <w:rsid w:val="00A665DA"/>
    <w:rsid w:val="00A66D2C"/>
    <w:rsid w:val="00A66E40"/>
    <w:rsid w:val="00A670D6"/>
    <w:rsid w:val="00A67166"/>
    <w:rsid w:val="00A67516"/>
    <w:rsid w:val="00A70163"/>
    <w:rsid w:val="00A703FB"/>
    <w:rsid w:val="00A707C3"/>
    <w:rsid w:val="00A70FFF"/>
    <w:rsid w:val="00A7131D"/>
    <w:rsid w:val="00A71968"/>
    <w:rsid w:val="00A725BD"/>
    <w:rsid w:val="00A72D3E"/>
    <w:rsid w:val="00A73049"/>
    <w:rsid w:val="00A7319B"/>
    <w:rsid w:val="00A732A5"/>
    <w:rsid w:val="00A74764"/>
    <w:rsid w:val="00A74AAC"/>
    <w:rsid w:val="00A74C04"/>
    <w:rsid w:val="00A74F11"/>
    <w:rsid w:val="00A752E9"/>
    <w:rsid w:val="00A75CD1"/>
    <w:rsid w:val="00A75D46"/>
    <w:rsid w:val="00A76ACD"/>
    <w:rsid w:val="00A76CB8"/>
    <w:rsid w:val="00A76E63"/>
    <w:rsid w:val="00A77583"/>
    <w:rsid w:val="00A77D50"/>
    <w:rsid w:val="00A8020C"/>
    <w:rsid w:val="00A808D4"/>
    <w:rsid w:val="00A80CFD"/>
    <w:rsid w:val="00A80E04"/>
    <w:rsid w:val="00A815F8"/>
    <w:rsid w:val="00A82AA1"/>
    <w:rsid w:val="00A8304F"/>
    <w:rsid w:val="00A830BF"/>
    <w:rsid w:val="00A836DF"/>
    <w:rsid w:val="00A83D93"/>
    <w:rsid w:val="00A84793"/>
    <w:rsid w:val="00A84BD5"/>
    <w:rsid w:val="00A85A3D"/>
    <w:rsid w:val="00A85B58"/>
    <w:rsid w:val="00A85CE4"/>
    <w:rsid w:val="00A8606D"/>
    <w:rsid w:val="00A86623"/>
    <w:rsid w:val="00A86E94"/>
    <w:rsid w:val="00A874E7"/>
    <w:rsid w:val="00A904F1"/>
    <w:rsid w:val="00A9058B"/>
    <w:rsid w:val="00A9070C"/>
    <w:rsid w:val="00A920B7"/>
    <w:rsid w:val="00A92B6D"/>
    <w:rsid w:val="00A93785"/>
    <w:rsid w:val="00A93CB3"/>
    <w:rsid w:val="00A93E90"/>
    <w:rsid w:val="00A9401F"/>
    <w:rsid w:val="00A948A6"/>
    <w:rsid w:val="00A94B77"/>
    <w:rsid w:val="00A950D0"/>
    <w:rsid w:val="00A95186"/>
    <w:rsid w:val="00A95376"/>
    <w:rsid w:val="00A95869"/>
    <w:rsid w:val="00A968C1"/>
    <w:rsid w:val="00A9789D"/>
    <w:rsid w:val="00A97A55"/>
    <w:rsid w:val="00A97C34"/>
    <w:rsid w:val="00A97C96"/>
    <w:rsid w:val="00AA0192"/>
    <w:rsid w:val="00AA01FB"/>
    <w:rsid w:val="00AA067F"/>
    <w:rsid w:val="00AA0974"/>
    <w:rsid w:val="00AA12C3"/>
    <w:rsid w:val="00AA1354"/>
    <w:rsid w:val="00AA1C80"/>
    <w:rsid w:val="00AA1F2C"/>
    <w:rsid w:val="00AA1FC8"/>
    <w:rsid w:val="00AA2B4A"/>
    <w:rsid w:val="00AA2ECF"/>
    <w:rsid w:val="00AA3E8A"/>
    <w:rsid w:val="00AA4EB5"/>
    <w:rsid w:val="00AA50DA"/>
    <w:rsid w:val="00AA5750"/>
    <w:rsid w:val="00AA5921"/>
    <w:rsid w:val="00AA5B2F"/>
    <w:rsid w:val="00AA5FED"/>
    <w:rsid w:val="00AA6E75"/>
    <w:rsid w:val="00AA717D"/>
    <w:rsid w:val="00AA73AA"/>
    <w:rsid w:val="00AA7671"/>
    <w:rsid w:val="00AA796E"/>
    <w:rsid w:val="00AA7CBC"/>
    <w:rsid w:val="00AB0612"/>
    <w:rsid w:val="00AB06FA"/>
    <w:rsid w:val="00AB0810"/>
    <w:rsid w:val="00AB0D92"/>
    <w:rsid w:val="00AB1164"/>
    <w:rsid w:val="00AB12F9"/>
    <w:rsid w:val="00AB1551"/>
    <w:rsid w:val="00AB1EB4"/>
    <w:rsid w:val="00AB25E5"/>
    <w:rsid w:val="00AB2B71"/>
    <w:rsid w:val="00AB3503"/>
    <w:rsid w:val="00AB3EE6"/>
    <w:rsid w:val="00AB3F21"/>
    <w:rsid w:val="00AB3FF6"/>
    <w:rsid w:val="00AB47A7"/>
    <w:rsid w:val="00AB5C22"/>
    <w:rsid w:val="00AB5EB6"/>
    <w:rsid w:val="00AB6632"/>
    <w:rsid w:val="00AB68F1"/>
    <w:rsid w:val="00AB6B2A"/>
    <w:rsid w:val="00AB7869"/>
    <w:rsid w:val="00AB7AA9"/>
    <w:rsid w:val="00AC09B2"/>
    <w:rsid w:val="00AC0DCA"/>
    <w:rsid w:val="00AC204D"/>
    <w:rsid w:val="00AC222E"/>
    <w:rsid w:val="00AC298E"/>
    <w:rsid w:val="00AC3F7F"/>
    <w:rsid w:val="00AC4216"/>
    <w:rsid w:val="00AC4B55"/>
    <w:rsid w:val="00AC5147"/>
    <w:rsid w:val="00AC5BD6"/>
    <w:rsid w:val="00AC5D3B"/>
    <w:rsid w:val="00AC6AE2"/>
    <w:rsid w:val="00AC7B86"/>
    <w:rsid w:val="00AD0D23"/>
    <w:rsid w:val="00AD1E5E"/>
    <w:rsid w:val="00AD2EA8"/>
    <w:rsid w:val="00AD2EFC"/>
    <w:rsid w:val="00AD3242"/>
    <w:rsid w:val="00AD339E"/>
    <w:rsid w:val="00AD371F"/>
    <w:rsid w:val="00AD41CC"/>
    <w:rsid w:val="00AD5145"/>
    <w:rsid w:val="00AD5681"/>
    <w:rsid w:val="00AD602B"/>
    <w:rsid w:val="00AD69EC"/>
    <w:rsid w:val="00AD6DFA"/>
    <w:rsid w:val="00AD70FC"/>
    <w:rsid w:val="00AD75A9"/>
    <w:rsid w:val="00AD79A1"/>
    <w:rsid w:val="00AE0391"/>
    <w:rsid w:val="00AE0FF9"/>
    <w:rsid w:val="00AE1496"/>
    <w:rsid w:val="00AE1657"/>
    <w:rsid w:val="00AE2B21"/>
    <w:rsid w:val="00AE334F"/>
    <w:rsid w:val="00AE35DB"/>
    <w:rsid w:val="00AE3C20"/>
    <w:rsid w:val="00AE3FD7"/>
    <w:rsid w:val="00AE4808"/>
    <w:rsid w:val="00AE4EF3"/>
    <w:rsid w:val="00AE5973"/>
    <w:rsid w:val="00AE5BDF"/>
    <w:rsid w:val="00AE5F4C"/>
    <w:rsid w:val="00AE68CD"/>
    <w:rsid w:val="00AE7C55"/>
    <w:rsid w:val="00AE7C9C"/>
    <w:rsid w:val="00AF016C"/>
    <w:rsid w:val="00AF2721"/>
    <w:rsid w:val="00AF2B06"/>
    <w:rsid w:val="00AF360A"/>
    <w:rsid w:val="00AF4BB5"/>
    <w:rsid w:val="00AF515E"/>
    <w:rsid w:val="00AF53A6"/>
    <w:rsid w:val="00AF576C"/>
    <w:rsid w:val="00AF5A8C"/>
    <w:rsid w:val="00AF73F8"/>
    <w:rsid w:val="00AF7A57"/>
    <w:rsid w:val="00B00057"/>
    <w:rsid w:val="00B00AB6"/>
    <w:rsid w:val="00B013A4"/>
    <w:rsid w:val="00B0183E"/>
    <w:rsid w:val="00B01997"/>
    <w:rsid w:val="00B01CC7"/>
    <w:rsid w:val="00B01D39"/>
    <w:rsid w:val="00B02042"/>
    <w:rsid w:val="00B025E1"/>
    <w:rsid w:val="00B02D52"/>
    <w:rsid w:val="00B04CE3"/>
    <w:rsid w:val="00B051F5"/>
    <w:rsid w:val="00B05A2A"/>
    <w:rsid w:val="00B0626B"/>
    <w:rsid w:val="00B06DDE"/>
    <w:rsid w:val="00B0783A"/>
    <w:rsid w:val="00B07F1C"/>
    <w:rsid w:val="00B07F93"/>
    <w:rsid w:val="00B105DE"/>
    <w:rsid w:val="00B1126A"/>
    <w:rsid w:val="00B11976"/>
    <w:rsid w:val="00B11CB1"/>
    <w:rsid w:val="00B152A6"/>
    <w:rsid w:val="00B15BB4"/>
    <w:rsid w:val="00B16A76"/>
    <w:rsid w:val="00B16BB8"/>
    <w:rsid w:val="00B16ED9"/>
    <w:rsid w:val="00B170D2"/>
    <w:rsid w:val="00B17330"/>
    <w:rsid w:val="00B20410"/>
    <w:rsid w:val="00B20540"/>
    <w:rsid w:val="00B20EBD"/>
    <w:rsid w:val="00B21674"/>
    <w:rsid w:val="00B21EE3"/>
    <w:rsid w:val="00B2339D"/>
    <w:rsid w:val="00B24A7F"/>
    <w:rsid w:val="00B24B60"/>
    <w:rsid w:val="00B25053"/>
    <w:rsid w:val="00B2511A"/>
    <w:rsid w:val="00B251C6"/>
    <w:rsid w:val="00B261A7"/>
    <w:rsid w:val="00B264BD"/>
    <w:rsid w:val="00B267E6"/>
    <w:rsid w:val="00B26B07"/>
    <w:rsid w:val="00B27298"/>
    <w:rsid w:val="00B2790C"/>
    <w:rsid w:val="00B3019E"/>
    <w:rsid w:val="00B3022C"/>
    <w:rsid w:val="00B30526"/>
    <w:rsid w:val="00B30796"/>
    <w:rsid w:val="00B30A7A"/>
    <w:rsid w:val="00B3171C"/>
    <w:rsid w:val="00B319D2"/>
    <w:rsid w:val="00B3204F"/>
    <w:rsid w:val="00B3211C"/>
    <w:rsid w:val="00B321D3"/>
    <w:rsid w:val="00B322CD"/>
    <w:rsid w:val="00B331C7"/>
    <w:rsid w:val="00B34011"/>
    <w:rsid w:val="00B347BD"/>
    <w:rsid w:val="00B34B4E"/>
    <w:rsid w:val="00B3548F"/>
    <w:rsid w:val="00B3553D"/>
    <w:rsid w:val="00B3576D"/>
    <w:rsid w:val="00B35C1C"/>
    <w:rsid w:val="00B36227"/>
    <w:rsid w:val="00B401FF"/>
    <w:rsid w:val="00B40888"/>
    <w:rsid w:val="00B40DAA"/>
    <w:rsid w:val="00B40E41"/>
    <w:rsid w:val="00B416DC"/>
    <w:rsid w:val="00B422FD"/>
    <w:rsid w:val="00B425BE"/>
    <w:rsid w:val="00B42941"/>
    <w:rsid w:val="00B43524"/>
    <w:rsid w:val="00B44823"/>
    <w:rsid w:val="00B44DD3"/>
    <w:rsid w:val="00B44F9B"/>
    <w:rsid w:val="00B45505"/>
    <w:rsid w:val="00B45C19"/>
    <w:rsid w:val="00B45FB4"/>
    <w:rsid w:val="00B46C50"/>
    <w:rsid w:val="00B46EAB"/>
    <w:rsid w:val="00B47495"/>
    <w:rsid w:val="00B47EFF"/>
    <w:rsid w:val="00B5008D"/>
    <w:rsid w:val="00B50241"/>
    <w:rsid w:val="00B512CA"/>
    <w:rsid w:val="00B5178D"/>
    <w:rsid w:val="00B51F66"/>
    <w:rsid w:val="00B524D2"/>
    <w:rsid w:val="00B52BD3"/>
    <w:rsid w:val="00B52C54"/>
    <w:rsid w:val="00B52EB2"/>
    <w:rsid w:val="00B5309A"/>
    <w:rsid w:val="00B530B6"/>
    <w:rsid w:val="00B53D7C"/>
    <w:rsid w:val="00B53FD3"/>
    <w:rsid w:val="00B54095"/>
    <w:rsid w:val="00B541BF"/>
    <w:rsid w:val="00B54CC1"/>
    <w:rsid w:val="00B5640C"/>
    <w:rsid w:val="00B5704B"/>
    <w:rsid w:val="00B5715C"/>
    <w:rsid w:val="00B57225"/>
    <w:rsid w:val="00B57312"/>
    <w:rsid w:val="00B573AD"/>
    <w:rsid w:val="00B5769F"/>
    <w:rsid w:val="00B57CF5"/>
    <w:rsid w:val="00B57EB9"/>
    <w:rsid w:val="00B6063C"/>
    <w:rsid w:val="00B60BE5"/>
    <w:rsid w:val="00B61043"/>
    <w:rsid w:val="00B61143"/>
    <w:rsid w:val="00B618B3"/>
    <w:rsid w:val="00B62880"/>
    <w:rsid w:val="00B62F12"/>
    <w:rsid w:val="00B63194"/>
    <w:rsid w:val="00B63A55"/>
    <w:rsid w:val="00B640B8"/>
    <w:rsid w:val="00B67B9E"/>
    <w:rsid w:val="00B67BF1"/>
    <w:rsid w:val="00B67E68"/>
    <w:rsid w:val="00B70DDB"/>
    <w:rsid w:val="00B71813"/>
    <w:rsid w:val="00B71EAB"/>
    <w:rsid w:val="00B7202A"/>
    <w:rsid w:val="00B72829"/>
    <w:rsid w:val="00B72C07"/>
    <w:rsid w:val="00B73A76"/>
    <w:rsid w:val="00B73EA8"/>
    <w:rsid w:val="00B73F8A"/>
    <w:rsid w:val="00B74150"/>
    <w:rsid w:val="00B748E7"/>
    <w:rsid w:val="00B74E8F"/>
    <w:rsid w:val="00B753C8"/>
    <w:rsid w:val="00B7681C"/>
    <w:rsid w:val="00B76F5E"/>
    <w:rsid w:val="00B809CB"/>
    <w:rsid w:val="00B810A4"/>
    <w:rsid w:val="00B8195D"/>
    <w:rsid w:val="00B81F6F"/>
    <w:rsid w:val="00B824C0"/>
    <w:rsid w:val="00B83013"/>
    <w:rsid w:val="00B840BE"/>
    <w:rsid w:val="00B8492F"/>
    <w:rsid w:val="00B85101"/>
    <w:rsid w:val="00B85B22"/>
    <w:rsid w:val="00B90CBF"/>
    <w:rsid w:val="00B91740"/>
    <w:rsid w:val="00B91C87"/>
    <w:rsid w:val="00B930CE"/>
    <w:rsid w:val="00B931B6"/>
    <w:rsid w:val="00B93784"/>
    <w:rsid w:val="00B93AE1"/>
    <w:rsid w:val="00B9445B"/>
    <w:rsid w:val="00B94946"/>
    <w:rsid w:val="00B95229"/>
    <w:rsid w:val="00B95C8C"/>
    <w:rsid w:val="00B96945"/>
    <w:rsid w:val="00B96C05"/>
    <w:rsid w:val="00B96DB3"/>
    <w:rsid w:val="00B96F11"/>
    <w:rsid w:val="00B9780C"/>
    <w:rsid w:val="00BA02EE"/>
    <w:rsid w:val="00BA1CFC"/>
    <w:rsid w:val="00BA2B66"/>
    <w:rsid w:val="00BA2FB7"/>
    <w:rsid w:val="00BA318F"/>
    <w:rsid w:val="00BA39BC"/>
    <w:rsid w:val="00BA5C6F"/>
    <w:rsid w:val="00BA5FE9"/>
    <w:rsid w:val="00BA63CC"/>
    <w:rsid w:val="00BA6C1A"/>
    <w:rsid w:val="00BA7DA0"/>
    <w:rsid w:val="00BA7F07"/>
    <w:rsid w:val="00BB09C6"/>
    <w:rsid w:val="00BB1E1A"/>
    <w:rsid w:val="00BB1E77"/>
    <w:rsid w:val="00BB23E3"/>
    <w:rsid w:val="00BB242C"/>
    <w:rsid w:val="00BB2680"/>
    <w:rsid w:val="00BB2973"/>
    <w:rsid w:val="00BB2BBD"/>
    <w:rsid w:val="00BB4830"/>
    <w:rsid w:val="00BB4928"/>
    <w:rsid w:val="00BB4D60"/>
    <w:rsid w:val="00BB5C72"/>
    <w:rsid w:val="00BB7B59"/>
    <w:rsid w:val="00BC02FD"/>
    <w:rsid w:val="00BC03FA"/>
    <w:rsid w:val="00BC14B4"/>
    <w:rsid w:val="00BC163B"/>
    <w:rsid w:val="00BC23C8"/>
    <w:rsid w:val="00BC36BB"/>
    <w:rsid w:val="00BC3EA0"/>
    <w:rsid w:val="00BC55DB"/>
    <w:rsid w:val="00BC57C9"/>
    <w:rsid w:val="00BC5DF6"/>
    <w:rsid w:val="00BC6CEF"/>
    <w:rsid w:val="00BC76C1"/>
    <w:rsid w:val="00BC79F6"/>
    <w:rsid w:val="00BC7B7B"/>
    <w:rsid w:val="00BD0530"/>
    <w:rsid w:val="00BD0B9A"/>
    <w:rsid w:val="00BD0BCD"/>
    <w:rsid w:val="00BD0DF9"/>
    <w:rsid w:val="00BD107D"/>
    <w:rsid w:val="00BD2D4C"/>
    <w:rsid w:val="00BD3A55"/>
    <w:rsid w:val="00BD485B"/>
    <w:rsid w:val="00BD4911"/>
    <w:rsid w:val="00BD4954"/>
    <w:rsid w:val="00BD4B99"/>
    <w:rsid w:val="00BD5400"/>
    <w:rsid w:val="00BD561B"/>
    <w:rsid w:val="00BD5C0B"/>
    <w:rsid w:val="00BD60CA"/>
    <w:rsid w:val="00BD66A2"/>
    <w:rsid w:val="00BD6CE3"/>
    <w:rsid w:val="00BE033F"/>
    <w:rsid w:val="00BE03D2"/>
    <w:rsid w:val="00BE0D98"/>
    <w:rsid w:val="00BE1643"/>
    <w:rsid w:val="00BE1A27"/>
    <w:rsid w:val="00BE1E43"/>
    <w:rsid w:val="00BE2D57"/>
    <w:rsid w:val="00BE395B"/>
    <w:rsid w:val="00BE3963"/>
    <w:rsid w:val="00BE3EA7"/>
    <w:rsid w:val="00BE4343"/>
    <w:rsid w:val="00BE4AFD"/>
    <w:rsid w:val="00BE4EC0"/>
    <w:rsid w:val="00BE52F4"/>
    <w:rsid w:val="00BE54CF"/>
    <w:rsid w:val="00BE5E20"/>
    <w:rsid w:val="00BE5E84"/>
    <w:rsid w:val="00BE651E"/>
    <w:rsid w:val="00BE72B4"/>
    <w:rsid w:val="00BE742C"/>
    <w:rsid w:val="00BF0515"/>
    <w:rsid w:val="00BF0753"/>
    <w:rsid w:val="00BF30F4"/>
    <w:rsid w:val="00BF3215"/>
    <w:rsid w:val="00BF3696"/>
    <w:rsid w:val="00BF456A"/>
    <w:rsid w:val="00BF56DE"/>
    <w:rsid w:val="00BF5AB3"/>
    <w:rsid w:val="00BF6880"/>
    <w:rsid w:val="00BF6945"/>
    <w:rsid w:val="00BF6C8D"/>
    <w:rsid w:val="00BF7646"/>
    <w:rsid w:val="00C00653"/>
    <w:rsid w:val="00C00DF3"/>
    <w:rsid w:val="00C010EA"/>
    <w:rsid w:val="00C01AE2"/>
    <w:rsid w:val="00C028F6"/>
    <w:rsid w:val="00C03069"/>
    <w:rsid w:val="00C035EA"/>
    <w:rsid w:val="00C0367B"/>
    <w:rsid w:val="00C03CEE"/>
    <w:rsid w:val="00C04F85"/>
    <w:rsid w:val="00C04F89"/>
    <w:rsid w:val="00C05050"/>
    <w:rsid w:val="00C056E9"/>
    <w:rsid w:val="00C05BCE"/>
    <w:rsid w:val="00C05C1B"/>
    <w:rsid w:val="00C05EFF"/>
    <w:rsid w:val="00C06636"/>
    <w:rsid w:val="00C06B0B"/>
    <w:rsid w:val="00C07BFB"/>
    <w:rsid w:val="00C07CAC"/>
    <w:rsid w:val="00C07EBB"/>
    <w:rsid w:val="00C10213"/>
    <w:rsid w:val="00C1057E"/>
    <w:rsid w:val="00C105BD"/>
    <w:rsid w:val="00C10C45"/>
    <w:rsid w:val="00C10E15"/>
    <w:rsid w:val="00C1109D"/>
    <w:rsid w:val="00C111BB"/>
    <w:rsid w:val="00C12448"/>
    <w:rsid w:val="00C1255D"/>
    <w:rsid w:val="00C128C8"/>
    <w:rsid w:val="00C12A8B"/>
    <w:rsid w:val="00C12E7F"/>
    <w:rsid w:val="00C13811"/>
    <w:rsid w:val="00C13B35"/>
    <w:rsid w:val="00C13BD1"/>
    <w:rsid w:val="00C1583A"/>
    <w:rsid w:val="00C158D1"/>
    <w:rsid w:val="00C15DA6"/>
    <w:rsid w:val="00C16138"/>
    <w:rsid w:val="00C172A7"/>
    <w:rsid w:val="00C17E87"/>
    <w:rsid w:val="00C20522"/>
    <w:rsid w:val="00C2174C"/>
    <w:rsid w:val="00C21F61"/>
    <w:rsid w:val="00C21FCE"/>
    <w:rsid w:val="00C23A5C"/>
    <w:rsid w:val="00C24F16"/>
    <w:rsid w:val="00C2568D"/>
    <w:rsid w:val="00C25DD3"/>
    <w:rsid w:val="00C26497"/>
    <w:rsid w:val="00C277B8"/>
    <w:rsid w:val="00C30573"/>
    <w:rsid w:val="00C3280E"/>
    <w:rsid w:val="00C33C7A"/>
    <w:rsid w:val="00C33CB1"/>
    <w:rsid w:val="00C33D45"/>
    <w:rsid w:val="00C340AA"/>
    <w:rsid w:val="00C346E2"/>
    <w:rsid w:val="00C34970"/>
    <w:rsid w:val="00C35D9C"/>
    <w:rsid w:val="00C36198"/>
    <w:rsid w:val="00C36397"/>
    <w:rsid w:val="00C36703"/>
    <w:rsid w:val="00C36C9E"/>
    <w:rsid w:val="00C36F9C"/>
    <w:rsid w:val="00C40219"/>
    <w:rsid w:val="00C40B5E"/>
    <w:rsid w:val="00C4132B"/>
    <w:rsid w:val="00C413E4"/>
    <w:rsid w:val="00C42534"/>
    <w:rsid w:val="00C42564"/>
    <w:rsid w:val="00C43810"/>
    <w:rsid w:val="00C45B39"/>
    <w:rsid w:val="00C46375"/>
    <w:rsid w:val="00C46557"/>
    <w:rsid w:val="00C46822"/>
    <w:rsid w:val="00C46823"/>
    <w:rsid w:val="00C478D8"/>
    <w:rsid w:val="00C47E94"/>
    <w:rsid w:val="00C5034E"/>
    <w:rsid w:val="00C5066F"/>
    <w:rsid w:val="00C5080A"/>
    <w:rsid w:val="00C5094C"/>
    <w:rsid w:val="00C50FF1"/>
    <w:rsid w:val="00C51471"/>
    <w:rsid w:val="00C520F0"/>
    <w:rsid w:val="00C533E3"/>
    <w:rsid w:val="00C545B5"/>
    <w:rsid w:val="00C546E1"/>
    <w:rsid w:val="00C54BA0"/>
    <w:rsid w:val="00C55054"/>
    <w:rsid w:val="00C551A6"/>
    <w:rsid w:val="00C558A0"/>
    <w:rsid w:val="00C56339"/>
    <w:rsid w:val="00C56B2E"/>
    <w:rsid w:val="00C57313"/>
    <w:rsid w:val="00C5798D"/>
    <w:rsid w:val="00C57B55"/>
    <w:rsid w:val="00C60574"/>
    <w:rsid w:val="00C60746"/>
    <w:rsid w:val="00C6368B"/>
    <w:rsid w:val="00C637FC"/>
    <w:rsid w:val="00C6435C"/>
    <w:rsid w:val="00C647FB"/>
    <w:rsid w:val="00C6519F"/>
    <w:rsid w:val="00C66ED4"/>
    <w:rsid w:val="00C67029"/>
    <w:rsid w:val="00C67447"/>
    <w:rsid w:val="00C67459"/>
    <w:rsid w:val="00C67B48"/>
    <w:rsid w:val="00C7079F"/>
    <w:rsid w:val="00C70808"/>
    <w:rsid w:val="00C71F2D"/>
    <w:rsid w:val="00C724EF"/>
    <w:rsid w:val="00C724F7"/>
    <w:rsid w:val="00C72E10"/>
    <w:rsid w:val="00C73A83"/>
    <w:rsid w:val="00C73D29"/>
    <w:rsid w:val="00C73D7B"/>
    <w:rsid w:val="00C73E76"/>
    <w:rsid w:val="00C741AE"/>
    <w:rsid w:val="00C75023"/>
    <w:rsid w:val="00C7519D"/>
    <w:rsid w:val="00C755F7"/>
    <w:rsid w:val="00C76535"/>
    <w:rsid w:val="00C76FF1"/>
    <w:rsid w:val="00C7713B"/>
    <w:rsid w:val="00C775D0"/>
    <w:rsid w:val="00C8000D"/>
    <w:rsid w:val="00C800AC"/>
    <w:rsid w:val="00C804C9"/>
    <w:rsid w:val="00C8174A"/>
    <w:rsid w:val="00C82953"/>
    <w:rsid w:val="00C85A8E"/>
    <w:rsid w:val="00C85CE9"/>
    <w:rsid w:val="00C85DDE"/>
    <w:rsid w:val="00C868E7"/>
    <w:rsid w:val="00C86B0F"/>
    <w:rsid w:val="00C873E5"/>
    <w:rsid w:val="00C87497"/>
    <w:rsid w:val="00C87F59"/>
    <w:rsid w:val="00C90352"/>
    <w:rsid w:val="00C914C5"/>
    <w:rsid w:val="00C91BAB"/>
    <w:rsid w:val="00C91FC9"/>
    <w:rsid w:val="00C93480"/>
    <w:rsid w:val="00C93689"/>
    <w:rsid w:val="00C93F17"/>
    <w:rsid w:val="00C943FF"/>
    <w:rsid w:val="00C94D5B"/>
    <w:rsid w:val="00C95AAB"/>
    <w:rsid w:val="00C96F3E"/>
    <w:rsid w:val="00C976AC"/>
    <w:rsid w:val="00C97AA5"/>
    <w:rsid w:val="00C97D50"/>
    <w:rsid w:val="00CA03BD"/>
    <w:rsid w:val="00CA1563"/>
    <w:rsid w:val="00CA2CD5"/>
    <w:rsid w:val="00CA2F6D"/>
    <w:rsid w:val="00CA31FC"/>
    <w:rsid w:val="00CA59F3"/>
    <w:rsid w:val="00CA5A1A"/>
    <w:rsid w:val="00CA5EB1"/>
    <w:rsid w:val="00CA6F00"/>
    <w:rsid w:val="00CA74EF"/>
    <w:rsid w:val="00CB0183"/>
    <w:rsid w:val="00CB0276"/>
    <w:rsid w:val="00CB0B14"/>
    <w:rsid w:val="00CB2054"/>
    <w:rsid w:val="00CB224A"/>
    <w:rsid w:val="00CB248A"/>
    <w:rsid w:val="00CB2CA4"/>
    <w:rsid w:val="00CB31EB"/>
    <w:rsid w:val="00CB354A"/>
    <w:rsid w:val="00CB3D7D"/>
    <w:rsid w:val="00CB5216"/>
    <w:rsid w:val="00CB5405"/>
    <w:rsid w:val="00CB55D9"/>
    <w:rsid w:val="00CB5658"/>
    <w:rsid w:val="00CB5CD2"/>
    <w:rsid w:val="00CB638C"/>
    <w:rsid w:val="00CB640E"/>
    <w:rsid w:val="00CB6945"/>
    <w:rsid w:val="00CB6C1E"/>
    <w:rsid w:val="00CB6E58"/>
    <w:rsid w:val="00CB7180"/>
    <w:rsid w:val="00CB7782"/>
    <w:rsid w:val="00CB7C94"/>
    <w:rsid w:val="00CB7CAE"/>
    <w:rsid w:val="00CC0443"/>
    <w:rsid w:val="00CC08B9"/>
    <w:rsid w:val="00CC0904"/>
    <w:rsid w:val="00CC095B"/>
    <w:rsid w:val="00CC1EA2"/>
    <w:rsid w:val="00CC29B0"/>
    <w:rsid w:val="00CC378A"/>
    <w:rsid w:val="00CC552B"/>
    <w:rsid w:val="00CC78D1"/>
    <w:rsid w:val="00CC7D41"/>
    <w:rsid w:val="00CC7E51"/>
    <w:rsid w:val="00CD0641"/>
    <w:rsid w:val="00CD08FD"/>
    <w:rsid w:val="00CD0C0D"/>
    <w:rsid w:val="00CD1129"/>
    <w:rsid w:val="00CD210B"/>
    <w:rsid w:val="00CD2F87"/>
    <w:rsid w:val="00CD33D5"/>
    <w:rsid w:val="00CD3D4B"/>
    <w:rsid w:val="00CD7817"/>
    <w:rsid w:val="00CD7958"/>
    <w:rsid w:val="00CD7C8A"/>
    <w:rsid w:val="00CD7D41"/>
    <w:rsid w:val="00CD7FD1"/>
    <w:rsid w:val="00CE0709"/>
    <w:rsid w:val="00CE0972"/>
    <w:rsid w:val="00CE1966"/>
    <w:rsid w:val="00CE1A36"/>
    <w:rsid w:val="00CE1E20"/>
    <w:rsid w:val="00CE2D82"/>
    <w:rsid w:val="00CE31B2"/>
    <w:rsid w:val="00CE4E3D"/>
    <w:rsid w:val="00CE5993"/>
    <w:rsid w:val="00CE5F06"/>
    <w:rsid w:val="00CE7732"/>
    <w:rsid w:val="00CE7A7A"/>
    <w:rsid w:val="00CF0661"/>
    <w:rsid w:val="00CF0B36"/>
    <w:rsid w:val="00CF0B98"/>
    <w:rsid w:val="00CF131B"/>
    <w:rsid w:val="00CF2414"/>
    <w:rsid w:val="00CF28C1"/>
    <w:rsid w:val="00CF2BDE"/>
    <w:rsid w:val="00CF37FE"/>
    <w:rsid w:val="00CF4024"/>
    <w:rsid w:val="00CF4618"/>
    <w:rsid w:val="00CF4842"/>
    <w:rsid w:val="00CF4D8F"/>
    <w:rsid w:val="00CF5497"/>
    <w:rsid w:val="00CF60A3"/>
    <w:rsid w:val="00CF65CA"/>
    <w:rsid w:val="00CF7316"/>
    <w:rsid w:val="00CF7B14"/>
    <w:rsid w:val="00CF7C2F"/>
    <w:rsid w:val="00CF7E51"/>
    <w:rsid w:val="00D00EEC"/>
    <w:rsid w:val="00D01409"/>
    <w:rsid w:val="00D01872"/>
    <w:rsid w:val="00D025FB"/>
    <w:rsid w:val="00D033FC"/>
    <w:rsid w:val="00D03892"/>
    <w:rsid w:val="00D0419A"/>
    <w:rsid w:val="00D044F1"/>
    <w:rsid w:val="00D0452E"/>
    <w:rsid w:val="00D048AF"/>
    <w:rsid w:val="00D05C0C"/>
    <w:rsid w:val="00D06380"/>
    <w:rsid w:val="00D0740F"/>
    <w:rsid w:val="00D0759B"/>
    <w:rsid w:val="00D07709"/>
    <w:rsid w:val="00D07F3C"/>
    <w:rsid w:val="00D07FBB"/>
    <w:rsid w:val="00D10002"/>
    <w:rsid w:val="00D10719"/>
    <w:rsid w:val="00D1166B"/>
    <w:rsid w:val="00D11F17"/>
    <w:rsid w:val="00D11FD1"/>
    <w:rsid w:val="00D1284E"/>
    <w:rsid w:val="00D13635"/>
    <w:rsid w:val="00D139E1"/>
    <w:rsid w:val="00D13ECE"/>
    <w:rsid w:val="00D14D3A"/>
    <w:rsid w:val="00D154AC"/>
    <w:rsid w:val="00D15540"/>
    <w:rsid w:val="00D15932"/>
    <w:rsid w:val="00D15D83"/>
    <w:rsid w:val="00D15DB2"/>
    <w:rsid w:val="00D15DDA"/>
    <w:rsid w:val="00D16162"/>
    <w:rsid w:val="00D16E40"/>
    <w:rsid w:val="00D17173"/>
    <w:rsid w:val="00D17183"/>
    <w:rsid w:val="00D17BB7"/>
    <w:rsid w:val="00D17DE9"/>
    <w:rsid w:val="00D17DF5"/>
    <w:rsid w:val="00D17EE0"/>
    <w:rsid w:val="00D2116F"/>
    <w:rsid w:val="00D21804"/>
    <w:rsid w:val="00D22652"/>
    <w:rsid w:val="00D227D0"/>
    <w:rsid w:val="00D22CDC"/>
    <w:rsid w:val="00D233B6"/>
    <w:rsid w:val="00D23554"/>
    <w:rsid w:val="00D23667"/>
    <w:rsid w:val="00D24795"/>
    <w:rsid w:val="00D25EAB"/>
    <w:rsid w:val="00D260D9"/>
    <w:rsid w:val="00D27DF4"/>
    <w:rsid w:val="00D30955"/>
    <w:rsid w:val="00D31066"/>
    <w:rsid w:val="00D316DC"/>
    <w:rsid w:val="00D31D50"/>
    <w:rsid w:val="00D3237F"/>
    <w:rsid w:val="00D327B8"/>
    <w:rsid w:val="00D3298E"/>
    <w:rsid w:val="00D329AB"/>
    <w:rsid w:val="00D33029"/>
    <w:rsid w:val="00D341A8"/>
    <w:rsid w:val="00D341E4"/>
    <w:rsid w:val="00D34852"/>
    <w:rsid w:val="00D34A21"/>
    <w:rsid w:val="00D34B09"/>
    <w:rsid w:val="00D35112"/>
    <w:rsid w:val="00D35A92"/>
    <w:rsid w:val="00D36957"/>
    <w:rsid w:val="00D3763E"/>
    <w:rsid w:val="00D405BD"/>
    <w:rsid w:val="00D40E1A"/>
    <w:rsid w:val="00D414F0"/>
    <w:rsid w:val="00D41760"/>
    <w:rsid w:val="00D41A74"/>
    <w:rsid w:val="00D41CF7"/>
    <w:rsid w:val="00D41DA8"/>
    <w:rsid w:val="00D42721"/>
    <w:rsid w:val="00D42C14"/>
    <w:rsid w:val="00D42D78"/>
    <w:rsid w:val="00D43117"/>
    <w:rsid w:val="00D431D6"/>
    <w:rsid w:val="00D45409"/>
    <w:rsid w:val="00D45AF4"/>
    <w:rsid w:val="00D45F03"/>
    <w:rsid w:val="00D46444"/>
    <w:rsid w:val="00D46A65"/>
    <w:rsid w:val="00D471EA"/>
    <w:rsid w:val="00D502C9"/>
    <w:rsid w:val="00D51348"/>
    <w:rsid w:val="00D517CB"/>
    <w:rsid w:val="00D51BA0"/>
    <w:rsid w:val="00D51BFB"/>
    <w:rsid w:val="00D51EC9"/>
    <w:rsid w:val="00D5203B"/>
    <w:rsid w:val="00D52D60"/>
    <w:rsid w:val="00D53258"/>
    <w:rsid w:val="00D5374C"/>
    <w:rsid w:val="00D539FE"/>
    <w:rsid w:val="00D53C3C"/>
    <w:rsid w:val="00D53E2F"/>
    <w:rsid w:val="00D541CF"/>
    <w:rsid w:val="00D546A3"/>
    <w:rsid w:val="00D54747"/>
    <w:rsid w:val="00D54C77"/>
    <w:rsid w:val="00D5531E"/>
    <w:rsid w:val="00D553AD"/>
    <w:rsid w:val="00D55915"/>
    <w:rsid w:val="00D55C97"/>
    <w:rsid w:val="00D564CE"/>
    <w:rsid w:val="00D57306"/>
    <w:rsid w:val="00D573DE"/>
    <w:rsid w:val="00D57B97"/>
    <w:rsid w:val="00D57CC7"/>
    <w:rsid w:val="00D60D49"/>
    <w:rsid w:val="00D61129"/>
    <w:rsid w:val="00D61555"/>
    <w:rsid w:val="00D62332"/>
    <w:rsid w:val="00D625F2"/>
    <w:rsid w:val="00D62F94"/>
    <w:rsid w:val="00D631B9"/>
    <w:rsid w:val="00D6342E"/>
    <w:rsid w:val="00D63431"/>
    <w:rsid w:val="00D6454B"/>
    <w:rsid w:val="00D64571"/>
    <w:rsid w:val="00D64577"/>
    <w:rsid w:val="00D6549F"/>
    <w:rsid w:val="00D65C6A"/>
    <w:rsid w:val="00D66900"/>
    <w:rsid w:val="00D703BF"/>
    <w:rsid w:val="00D7066E"/>
    <w:rsid w:val="00D70BB8"/>
    <w:rsid w:val="00D71FFB"/>
    <w:rsid w:val="00D7284A"/>
    <w:rsid w:val="00D72A03"/>
    <w:rsid w:val="00D72BF1"/>
    <w:rsid w:val="00D72C0E"/>
    <w:rsid w:val="00D72FEB"/>
    <w:rsid w:val="00D730F6"/>
    <w:rsid w:val="00D731F0"/>
    <w:rsid w:val="00D736BC"/>
    <w:rsid w:val="00D7380A"/>
    <w:rsid w:val="00D7443C"/>
    <w:rsid w:val="00D7478F"/>
    <w:rsid w:val="00D75108"/>
    <w:rsid w:val="00D80877"/>
    <w:rsid w:val="00D81194"/>
    <w:rsid w:val="00D81F00"/>
    <w:rsid w:val="00D82CE4"/>
    <w:rsid w:val="00D8306D"/>
    <w:rsid w:val="00D8335F"/>
    <w:rsid w:val="00D83F94"/>
    <w:rsid w:val="00D84DA6"/>
    <w:rsid w:val="00D85F5B"/>
    <w:rsid w:val="00D86268"/>
    <w:rsid w:val="00D86755"/>
    <w:rsid w:val="00D86E81"/>
    <w:rsid w:val="00D873C5"/>
    <w:rsid w:val="00D87C73"/>
    <w:rsid w:val="00D87DCC"/>
    <w:rsid w:val="00D90C96"/>
    <w:rsid w:val="00D938DF"/>
    <w:rsid w:val="00D93963"/>
    <w:rsid w:val="00D94676"/>
    <w:rsid w:val="00D94BF4"/>
    <w:rsid w:val="00D962A3"/>
    <w:rsid w:val="00D96D53"/>
    <w:rsid w:val="00D97068"/>
    <w:rsid w:val="00D973F3"/>
    <w:rsid w:val="00D97F86"/>
    <w:rsid w:val="00DA06BA"/>
    <w:rsid w:val="00DA22A4"/>
    <w:rsid w:val="00DA2929"/>
    <w:rsid w:val="00DA4798"/>
    <w:rsid w:val="00DA4DB1"/>
    <w:rsid w:val="00DA4E45"/>
    <w:rsid w:val="00DA4E6F"/>
    <w:rsid w:val="00DA5176"/>
    <w:rsid w:val="00DA5294"/>
    <w:rsid w:val="00DA52A0"/>
    <w:rsid w:val="00DA55AF"/>
    <w:rsid w:val="00DA6B66"/>
    <w:rsid w:val="00DA7B10"/>
    <w:rsid w:val="00DB3894"/>
    <w:rsid w:val="00DB3E15"/>
    <w:rsid w:val="00DB3F4E"/>
    <w:rsid w:val="00DB5948"/>
    <w:rsid w:val="00DB5AFA"/>
    <w:rsid w:val="00DB75F6"/>
    <w:rsid w:val="00DC131A"/>
    <w:rsid w:val="00DC1574"/>
    <w:rsid w:val="00DC162E"/>
    <w:rsid w:val="00DC17A5"/>
    <w:rsid w:val="00DC1987"/>
    <w:rsid w:val="00DC1D9A"/>
    <w:rsid w:val="00DC2081"/>
    <w:rsid w:val="00DC216D"/>
    <w:rsid w:val="00DC21CC"/>
    <w:rsid w:val="00DC296A"/>
    <w:rsid w:val="00DC341D"/>
    <w:rsid w:val="00DC3592"/>
    <w:rsid w:val="00DC370E"/>
    <w:rsid w:val="00DC422B"/>
    <w:rsid w:val="00DC43F2"/>
    <w:rsid w:val="00DC6CAD"/>
    <w:rsid w:val="00DC7137"/>
    <w:rsid w:val="00DC7479"/>
    <w:rsid w:val="00DD15C3"/>
    <w:rsid w:val="00DD17E0"/>
    <w:rsid w:val="00DD1C77"/>
    <w:rsid w:val="00DD2F71"/>
    <w:rsid w:val="00DD3272"/>
    <w:rsid w:val="00DD3300"/>
    <w:rsid w:val="00DD3FCA"/>
    <w:rsid w:val="00DD4296"/>
    <w:rsid w:val="00DD486B"/>
    <w:rsid w:val="00DD4B1F"/>
    <w:rsid w:val="00DD5756"/>
    <w:rsid w:val="00DD6286"/>
    <w:rsid w:val="00DD69C9"/>
    <w:rsid w:val="00DD7B49"/>
    <w:rsid w:val="00DE10DF"/>
    <w:rsid w:val="00DE131D"/>
    <w:rsid w:val="00DE15BF"/>
    <w:rsid w:val="00DE18BB"/>
    <w:rsid w:val="00DE2F0A"/>
    <w:rsid w:val="00DE31B2"/>
    <w:rsid w:val="00DE3685"/>
    <w:rsid w:val="00DE3A02"/>
    <w:rsid w:val="00DE47D0"/>
    <w:rsid w:val="00DE5A3F"/>
    <w:rsid w:val="00DE5FA4"/>
    <w:rsid w:val="00DE696C"/>
    <w:rsid w:val="00DE7181"/>
    <w:rsid w:val="00DE7D52"/>
    <w:rsid w:val="00DF0528"/>
    <w:rsid w:val="00DF082D"/>
    <w:rsid w:val="00DF180D"/>
    <w:rsid w:val="00DF242B"/>
    <w:rsid w:val="00DF2D3E"/>
    <w:rsid w:val="00DF2EFB"/>
    <w:rsid w:val="00DF31F0"/>
    <w:rsid w:val="00DF3635"/>
    <w:rsid w:val="00DF44D0"/>
    <w:rsid w:val="00DF73E3"/>
    <w:rsid w:val="00DF788D"/>
    <w:rsid w:val="00E005FF"/>
    <w:rsid w:val="00E0114A"/>
    <w:rsid w:val="00E01A25"/>
    <w:rsid w:val="00E01ABC"/>
    <w:rsid w:val="00E01B40"/>
    <w:rsid w:val="00E029C1"/>
    <w:rsid w:val="00E02C96"/>
    <w:rsid w:val="00E03134"/>
    <w:rsid w:val="00E03EC9"/>
    <w:rsid w:val="00E0403C"/>
    <w:rsid w:val="00E04551"/>
    <w:rsid w:val="00E04969"/>
    <w:rsid w:val="00E0507A"/>
    <w:rsid w:val="00E0576D"/>
    <w:rsid w:val="00E057D2"/>
    <w:rsid w:val="00E05A3A"/>
    <w:rsid w:val="00E0713C"/>
    <w:rsid w:val="00E103BC"/>
    <w:rsid w:val="00E108E2"/>
    <w:rsid w:val="00E10B87"/>
    <w:rsid w:val="00E10BB8"/>
    <w:rsid w:val="00E10EB4"/>
    <w:rsid w:val="00E11215"/>
    <w:rsid w:val="00E11338"/>
    <w:rsid w:val="00E113E1"/>
    <w:rsid w:val="00E11728"/>
    <w:rsid w:val="00E1263A"/>
    <w:rsid w:val="00E135AA"/>
    <w:rsid w:val="00E144D6"/>
    <w:rsid w:val="00E15391"/>
    <w:rsid w:val="00E15EC9"/>
    <w:rsid w:val="00E15F06"/>
    <w:rsid w:val="00E16E5E"/>
    <w:rsid w:val="00E1729E"/>
    <w:rsid w:val="00E2026F"/>
    <w:rsid w:val="00E206E5"/>
    <w:rsid w:val="00E209B2"/>
    <w:rsid w:val="00E2146B"/>
    <w:rsid w:val="00E214CC"/>
    <w:rsid w:val="00E21FBF"/>
    <w:rsid w:val="00E222C0"/>
    <w:rsid w:val="00E22513"/>
    <w:rsid w:val="00E231EF"/>
    <w:rsid w:val="00E234F5"/>
    <w:rsid w:val="00E23B60"/>
    <w:rsid w:val="00E23D44"/>
    <w:rsid w:val="00E25EAF"/>
    <w:rsid w:val="00E263E1"/>
    <w:rsid w:val="00E265BF"/>
    <w:rsid w:val="00E26924"/>
    <w:rsid w:val="00E26E8D"/>
    <w:rsid w:val="00E27426"/>
    <w:rsid w:val="00E27D4A"/>
    <w:rsid w:val="00E27EB4"/>
    <w:rsid w:val="00E302B7"/>
    <w:rsid w:val="00E304B9"/>
    <w:rsid w:val="00E30B00"/>
    <w:rsid w:val="00E30EF1"/>
    <w:rsid w:val="00E31E7C"/>
    <w:rsid w:val="00E32AB2"/>
    <w:rsid w:val="00E32B9F"/>
    <w:rsid w:val="00E336CE"/>
    <w:rsid w:val="00E34D60"/>
    <w:rsid w:val="00E34DFB"/>
    <w:rsid w:val="00E34FEA"/>
    <w:rsid w:val="00E355C7"/>
    <w:rsid w:val="00E36227"/>
    <w:rsid w:val="00E362F1"/>
    <w:rsid w:val="00E36DD0"/>
    <w:rsid w:val="00E3708B"/>
    <w:rsid w:val="00E37743"/>
    <w:rsid w:val="00E401B2"/>
    <w:rsid w:val="00E40A0D"/>
    <w:rsid w:val="00E41150"/>
    <w:rsid w:val="00E4155D"/>
    <w:rsid w:val="00E41C94"/>
    <w:rsid w:val="00E41CE4"/>
    <w:rsid w:val="00E420D4"/>
    <w:rsid w:val="00E42B4A"/>
    <w:rsid w:val="00E42CBC"/>
    <w:rsid w:val="00E42E8C"/>
    <w:rsid w:val="00E43D3B"/>
    <w:rsid w:val="00E43EFA"/>
    <w:rsid w:val="00E449BB"/>
    <w:rsid w:val="00E44A07"/>
    <w:rsid w:val="00E45668"/>
    <w:rsid w:val="00E4590E"/>
    <w:rsid w:val="00E45C91"/>
    <w:rsid w:val="00E46FC9"/>
    <w:rsid w:val="00E47347"/>
    <w:rsid w:val="00E47D8B"/>
    <w:rsid w:val="00E47DD9"/>
    <w:rsid w:val="00E503AA"/>
    <w:rsid w:val="00E507E9"/>
    <w:rsid w:val="00E50A80"/>
    <w:rsid w:val="00E51554"/>
    <w:rsid w:val="00E515F1"/>
    <w:rsid w:val="00E51F4A"/>
    <w:rsid w:val="00E5204B"/>
    <w:rsid w:val="00E52506"/>
    <w:rsid w:val="00E52C72"/>
    <w:rsid w:val="00E5399F"/>
    <w:rsid w:val="00E54339"/>
    <w:rsid w:val="00E546AE"/>
    <w:rsid w:val="00E54B7C"/>
    <w:rsid w:val="00E54DAF"/>
    <w:rsid w:val="00E55708"/>
    <w:rsid w:val="00E55F6C"/>
    <w:rsid w:val="00E602A4"/>
    <w:rsid w:val="00E605A0"/>
    <w:rsid w:val="00E60FB7"/>
    <w:rsid w:val="00E6231D"/>
    <w:rsid w:val="00E62353"/>
    <w:rsid w:val="00E626AE"/>
    <w:rsid w:val="00E62A51"/>
    <w:rsid w:val="00E62AA7"/>
    <w:rsid w:val="00E63C24"/>
    <w:rsid w:val="00E64C2E"/>
    <w:rsid w:val="00E65E42"/>
    <w:rsid w:val="00E6757B"/>
    <w:rsid w:val="00E67893"/>
    <w:rsid w:val="00E67C77"/>
    <w:rsid w:val="00E702DA"/>
    <w:rsid w:val="00E7050A"/>
    <w:rsid w:val="00E70C1A"/>
    <w:rsid w:val="00E70CA6"/>
    <w:rsid w:val="00E70DEC"/>
    <w:rsid w:val="00E71AA1"/>
    <w:rsid w:val="00E71DD4"/>
    <w:rsid w:val="00E724EE"/>
    <w:rsid w:val="00E72EB0"/>
    <w:rsid w:val="00E736F7"/>
    <w:rsid w:val="00E73C0F"/>
    <w:rsid w:val="00E74001"/>
    <w:rsid w:val="00E74D87"/>
    <w:rsid w:val="00E755B5"/>
    <w:rsid w:val="00E75982"/>
    <w:rsid w:val="00E76775"/>
    <w:rsid w:val="00E769F5"/>
    <w:rsid w:val="00E7736B"/>
    <w:rsid w:val="00E80049"/>
    <w:rsid w:val="00E80AC7"/>
    <w:rsid w:val="00E813A9"/>
    <w:rsid w:val="00E8170A"/>
    <w:rsid w:val="00E81BFC"/>
    <w:rsid w:val="00E82EEA"/>
    <w:rsid w:val="00E830FE"/>
    <w:rsid w:val="00E83278"/>
    <w:rsid w:val="00E833AB"/>
    <w:rsid w:val="00E84032"/>
    <w:rsid w:val="00E843D8"/>
    <w:rsid w:val="00E84847"/>
    <w:rsid w:val="00E85095"/>
    <w:rsid w:val="00E85336"/>
    <w:rsid w:val="00E85564"/>
    <w:rsid w:val="00E85621"/>
    <w:rsid w:val="00E85AEE"/>
    <w:rsid w:val="00E85E78"/>
    <w:rsid w:val="00E86017"/>
    <w:rsid w:val="00E867FF"/>
    <w:rsid w:val="00E8683C"/>
    <w:rsid w:val="00E869F0"/>
    <w:rsid w:val="00E86B3C"/>
    <w:rsid w:val="00E8750E"/>
    <w:rsid w:val="00E87549"/>
    <w:rsid w:val="00E8778A"/>
    <w:rsid w:val="00E90510"/>
    <w:rsid w:val="00E916EA"/>
    <w:rsid w:val="00E92142"/>
    <w:rsid w:val="00E92257"/>
    <w:rsid w:val="00E943E8"/>
    <w:rsid w:val="00E9441A"/>
    <w:rsid w:val="00E94CCB"/>
    <w:rsid w:val="00E94F80"/>
    <w:rsid w:val="00E955BE"/>
    <w:rsid w:val="00E9699E"/>
    <w:rsid w:val="00E96A32"/>
    <w:rsid w:val="00E96E1D"/>
    <w:rsid w:val="00E97CEA"/>
    <w:rsid w:val="00E97DB3"/>
    <w:rsid w:val="00EA050C"/>
    <w:rsid w:val="00EA0EE9"/>
    <w:rsid w:val="00EA1C8C"/>
    <w:rsid w:val="00EA2C55"/>
    <w:rsid w:val="00EA3B58"/>
    <w:rsid w:val="00EA3E05"/>
    <w:rsid w:val="00EA3F05"/>
    <w:rsid w:val="00EA414D"/>
    <w:rsid w:val="00EA44BE"/>
    <w:rsid w:val="00EA4783"/>
    <w:rsid w:val="00EA4B9E"/>
    <w:rsid w:val="00EA4E40"/>
    <w:rsid w:val="00EA4EDC"/>
    <w:rsid w:val="00EA4F2F"/>
    <w:rsid w:val="00EA504D"/>
    <w:rsid w:val="00EA56F6"/>
    <w:rsid w:val="00EA5BCC"/>
    <w:rsid w:val="00EA61AA"/>
    <w:rsid w:val="00EA6A5D"/>
    <w:rsid w:val="00EA73EA"/>
    <w:rsid w:val="00EA7572"/>
    <w:rsid w:val="00EB1908"/>
    <w:rsid w:val="00EB199C"/>
    <w:rsid w:val="00EB1F69"/>
    <w:rsid w:val="00EB2548"/>
    <w:rsid w:val="00EB3049"/>
    <w:rsid w:val="00EB3249"/>
    <w:rsid w:val="00EB345D"/>
    <w:rsid w:val="00EB35AE"/>
    <w:rsid w:val="00EB5AD5"/>
    <w:rsid w:val="00EB5FD2"/>
    <w:rsid w:val="00EB69D6"/>
    <w:rsid w:val="00EB69E2"/>
    <w:rsid w:val="00EB7842"/>
    <w:rsid w:val="00EB7D48"/>
    <w:rsid w:val="00EC0478"/>
    <w:rsid w:val="00EC0D1D"/>
    <w:rsid w:val="00EC114A"/>
    <w:rsid w:val="00EC17AA"/>
    <w:rsid w:val="00EC311C"/>
    <w:rsid w:val="00EC34D7"/>
    <w:rsid w:val="00EC3B65"/>
    <w:rsid w:val="00EC40B7"/>
    <w:rsid w:val="00EC4B39"/>
    <w:rsid w:val="00EC4DA5"/>
    <w:rsid w:val="00EC5A39"/>
    <w:rsid w:val="00EC6666"/>
    <w:rsid w:val="00EC691A"/>
    <w:rsid w:val="00ED029A"/>
    <w:rsid w:val="00ED054D"/>
    <w:rsid w:val="00ED0D2E"/>
    <w:rsid w:val="00ED0DD9"/>
    <w:rsid w:val="00ED117C"/>
    <w:rsid w:val="00ED13D2"/>
    <w:rsid w:val="00ED24F1"/>
    <w:rsid w:val="00ED32A5"/>
    <w:rsid w:val="00ED3C36"/>
    <w:rsid w:val="00ED3D3D"/>
    <w:rsid w:val="00ED440F"/>
    <w:rsid w:val="00ED463C"/>
    <w:rsid w:val="00ED495C"/>
    <w:rsid w:val="00ED4E3B"/>
    <w:rsid w:val="00ED65B6"/>
    <w:rsid w:val="00EE0373"/>
    <w:rsid w:val="00EE03B7"/>
    <w:rsid w:val="00EE07A3"/>
    <w:rsid w:val="00EE1087"/>
    <w:rsid w:val="00EE16E4"/>
    <w:rsid w:val="00EE1E5E"/>
    <w:rsid w:val="00EE2290"/>
    <w:rsid w:val="00EE2ADF"/>
    <w:rsid w:val="00EE33D6"/>
    <w:rsid w:val="00EE3ED5"/>
    <w:rsid w:val="00EE4ED0"/>
    <w:rsid w:val="00EE5125"/>
    <w:rsid w:val="00EE5967"/>
    <w:rsid w:val="00EE5BDF"/>
    <w:rsid w:val="00EE5C55"/>
    <w:rsid w:val="00EE6576"/>
    <w:rsid w:val="00EE68FF"/>
    <w:rsid w:val="00EE6B86"/>
    <w:rsid w:val="00EE7D72"/>
    <w:rsid w:val="00EE7F82"/>
    <w:rsid w:val="00EF054D"/>
    <w:rsid w:val="00EF0CA3"/>
    <w:rsid w:val="00EF0DDD"/>
    <w:rsid w:val="00EF128F"/>
    <w:rsid w:val="00EF1CA6"/>
    <w:rsid w:val="00EF2549"/>
    <w:rsid w:val="00EF2A76"/>
    <w:rsid w:val="00EF2C0D"/>
    <w:rsid w:val="00EF31F2"/>
    <w:rsid w:val="00EF3806"/>
    <w:rsid w:val="00EF3AE6"/>
    <w:rsid w:val="00EF4F0B"/>
    <w:rsid w:val="00EF530D"/>
    <w:rsid w:val="00EF59F3"/>
    <w:rsid w:val="00EF5BF2"/>
    <w:rsid w:val="00EF6237"/>
    <w:rsid w:val="00EF6AE7"/>
    <w:rsid w:val="00EF6B3F"/>
    <w:rsid w:val="00EF6F41"/>
    <w:rsid w:val="00EF736D"/>
    <w:rsid w:val="00EF73CA"/>
    <w:rsid w:val="00F00F0E"/>
    <w:rsid w:val="00F011A0"/>
    <w:rsid w:val="00F01224"/>
    <w:rsid w:val="00F01657"/>
    <w:rsid w:val="00F01C2A"/>
    <w:rsid w:val="00F01CCC"/>
    <w:rsid w:val="00F02A91"/>
    <w:rsid w:val="00F02B23"/>
    <w:rsid w:val="00F03730"/>
    <w:rsid w:val="00F04D21"/>
    <w:rsid w:val="00F0535D"/>
    <w:rsid w:val="00F05744"/>
    <w:rsid w:val="00F05922"/>
    <w:rsid w:val="00F061D6"/>
    <w:rsid w:val="00F07F46"/>
    <w:rsid w:val="00F10407"/>
    <w:rsid w:val="00F111DC"/>
    <w:rsid w:val="00F116EB"/>
    <w:rsid w:val="00F12486"/>
    <w:rsid w:val="00F125FD"/>
    <w:rsid w:val="00F12A78"/>
    <w:rsid w:val="00F1409A"/>
    <w:rsid w:val="00F1446C"/>
    <w:rsid w:val="00F15846"/>
    <w:rsid w:val="00F15A43"/>
    <w:rsid w:val="00F15F2E"/>
    <w:rsid w:val="00F1622C"/>
    <w:rsid w:val="00F17ED0"/>
    <w:rsid w:val="00F20511"/>
    <w:rsid w:val="00F20888"/>
    <w:rsid w:val="00F208C3"/>
    <w:rsid w:val="00F21433"/>
    <w:rsid w:val="00F21F01"/>
    <w:rsid w:val="00F2232E"/>
    <w:rsid w:val="00F229EE"/>
    <w:rsid w:val="00F2428A"/>
    <w:rsid w:val="00F25FF4"/>
    <w:rsid w:val="00F262FC"/>
    <w:rsid w:val="00F2644C"/>
    <w:rsid w:val="00F2664E"/>
    <w:rsid w:val="00F2665F"/>
    <w:rsid w:val="00F271D1"/>
    <w:rsid w:val="00F3018B"/>
    <w:rsid w:val="00F3063C"/>
    <w:rsid w:val="00F3065E"/>
    <w:rsid w:val="00F307FC"/>
    <w:rsid w:val="00F31213"/>
    <w:rsid w:val="00F312D8"/>
    <w:rsid w:val="00F3152E"/>
    <w:rsid w:val="00F31669"/>
    <w:rsid w:val="00F33EAD"/>
    <w:rsid w:val="00F33FD6"/>
    <w:rsid w:val="00F34399"/>
    <w:rsid w:val="00F34749"/>
    <w:rsid w:val="00F34EF1"/>
    <w:rsid w:val="00F3552D"/>
    <w:rsid w:val="00F36091"/>
    <w:rsid w:val="00F362E5"/>
    <w:rsid w:val="00F3693F"/>
    <w:rsid w:val="00F40778"/>
    <w:rsid w:val="00F41185"/>
    <w:rsid w:val="00F41272"/>
    <w:rsid w:val="00F419C4"/>
    <w:rsid w:val="00F41A8B"/>
    <w:rsid w:val="00F41A99"/>
    <w:rsid w:val="00F41AF3"/>
    <w:rsid w:val="00F41DE5"/>
    <w:rsid w:val="00F433E0"/>
    <w:rsid w:val="00F43D76"/>
    <w:rsid w:val="00F44E0C"/>
    <w:rsid w:val="00F47E55"/>
    <w:rsid w:val="00F501DF"/>
    <w:rsid w:val="00F53252"/>
    <w:rsid w:val="00F53C20"/>
    <w:rsid w:val="00F53E0C"/>
    <w:rsid w:val="00F54192"/>
    <w:rsid w:val="00F5437E"/>
    <w:rsid w:val="00F5455E"/>
    <w:rsid w:val="00F54D3A"/>
    <w:rsid w:val="00F55692"/>
    <w:rsid w:val="00F55C2B"/>
    <w:rsid w:val="00F55E3F"/>
    <w:rsid w:val="00F55E8B"/>
    <w:rsid w:val="00F572BC"/>
    <w:rsid w:val="00F57380"/>
    <w:rsid w:val="00F57E16"/>
    <w:rsid w:val="00F60031"/>
    <w:rsid w:val="00F60477"/>
    <w:rsid w:val="00F611BF"/>
    <w:rsid w:val="00F61FFD"/>
    <w:rsid w:val="00F6206C"/>
    <w:rsid w:val="00F62087"/>
    <w:rsid w:val="00F6240E"/>
    <w:rsid w:val="00F62C1F"/>
    <w:rsid w:val="00F62D3C"/>
    <w:rsid w:val="00F62F89"/>
    <w:rsid w:val="00F6331C"/>
    <w:rsid w:val="00F63FDB"/>
    <w:rsid w:val="00F646A6"/>
    <w:rsid w:val="00F65212"/>
    <w:rsid w:val="00F652E9"/>
    <w:rsid w:val="00F6561B"/>
    <w:rsid w:val="00F65BB9"/>
    <w:rsid w:val="00F67086"/>
    <w:rsid w:val="00F67230"/>
    <w:rsid w:val="00F67487"/>
    <w:rsid w:val="00F6756A"/>
    <w:rsid w:val="00F67705"/>
    <w:rsid w:val="00F7110B"/>
    <w:rsid w:val="00F721B9"/>
    <w:rsid w:val="00F72515"/>
    <w:rsid w:val="00F72B1E"/>
    <w:rsid w:val="00F741B8"/>
    <w:rsid w:val="00F743BA"/>
    <w:rsid w:val="00F74CAD"/>
    <w:rsid w:val="00F7501F"/>
    <w:rsid w:val="00F75A68"/>
    <w:rsid w:val="00F75FCA"/>
    <w:rsid w:val="00F76E69"/>
    <w:rsid w:val="00F7714A"/>
    <w:rsid w:val="00F77A59"/>
    <w:rsid w:val="00F77BCF"/>
    <w:rsid w:val="00F8086F"/>
    <w:rsid w:val="00F8121E"/>
    <w:rsid w:val="00F81816"/>
    <w:rsid w:val="00F82DB1"/>
    <w:rsid w:val="00F83EEE"/>
    <w:rsid w:val="00F84564"/>
    <w:rsid w:val="00F84925"/>
    <w:rsid w:val="00F854D2"/>
    <w:rsid w:val="00F85E55"/>
    <w:rsid w:val="00F86994"/>
    <w:rsid w:val="00F87629"/>
    <w:rsid w:val="00F90482"/>
    <w:rsid w:val="00F90AF0"/>
    <w:rsid w:val="00F90B66"/>
    <w:rsid w:val="00F9114E"/>
    <w:rsid w:val="00F91379"/>
    <w:rsid w:val="00F92984"/>
    <w:rsid w:val="00F92BD8"/>
    <w:rsid w:val="00F92D23"/>
    <w:rsid w:val="00F92DE0"/>
    <w:rsid w:val="00F93300"/>
    <w:rsid w:val="00F93720"/>
    <w:rsid w:val="00F94848"/>
    <w:rsid w:val="00F95AA5"/>
    <w:rsid w:val="00F9626B"/>
    <w:rsid w:val="00F96595"/>
    <w:rsid w:val="00F966CB"/>
    <w:rsid w:val="00F96D67"/>
    <w:rsid w:val="00F96FD0"/>
    <w:rsid w:val="00F974F9"/>
    <w:rsid w:val="00F977B2"/>
    <w:rsid w:val="00F97DF2"/>
    <w:rsid w:val="00FA088E"/>
    <w:rsid w:val="00FA1400"/>
    <w:rsid w:val="00FA168C"/>
    <w:rsid w:val="00FA1964"/>
    <w:rsid w:val="00FA1D0E"/>
    <w:rsid w:val="00FA22F6"/>
    <w:rsid w:val="00FA24B8"/>
    <w:rsid w:val="00FA294A"/>
    <w:rsid w:val="00FA2A7E"/>
    <w:rsid w:val="00FA2C95"/>
    <w:rsid w:val="00FA378F"/>
    <w:rsid w:val="00FA3F3B"/>
    <w:rsid w:val="00FA4B3B"/>
    <w:rsid w:val="00FA4B8F"/>
    <w:rsid w:val="00FA52AF"/>
    <w:rsid w:val="00FA5B04"/>
    <w:rsid w:val="00FA5B9E"/>
    <w:rsid w:val="00FA6C78"/>
    <w:rsid w:val="00FA6E94"/>
    <w:rsid w:val="00FA7543"/>
    <w:rsid w:val="00FA78C4"/>
    <w:rsid w:val="00FB0268"/>
    <w:rsid w:val="00FB10AD"/>
    <w:rsid w:val="00FB1234"/>
    <w:rsid w:val="00FB1878"/>
    <w:rsid w:val="00FB313E"/>
    <w:rsid w:val="00FB345F"/>
    <w:rsid w:val="00FB45A9"/>
    <w:rsid w:val="00FB473E"/>
    <w:rsid w:val="00FB529D"/>
    <w:rsid w:val="00FB5572"/>
    <w:rsid w:val="00FB670A"/>
    <w:rsid w:val="00FB794F"/>
    <w:rsid w:val="00FB7B62"/>
    <w:rsid w:val="00FB7D42"/>
    <w:rsid w:val="00FC02C2"/>
    <w:rsid w:val="00FC0E14"/>
    <w:rsid w:val="00FC127B"/>
    <w:rsid w:val="00FC2C51"/>
    <w:rsid w:val="00FC3D4E"/>
    <w:rsid w:val="00FC482C"/>
    <w:rsid w:val="00FC49D9"/>
    <w:rsid w:val="00FC5801"/>
    <w:rsid w:val="00FC5B36"/>
    <w:rsid w:val="00FC6F13"/>
    <w:rsid w:val="00FC7062"/>
    <w:rsid w:val="00FD0381"/>
    <w:rsid w:val="00FD0C84"/>
    <w:rsid w:val="00FD0D4C"/>
    <w:rsid w:val="00FD1C97"/>
    <w:rsid w:val="00FD38C8"/>
    <w:rsid w:val="00FD4898"/>
    <w:rsid w:val="00FD5C07"/>
    <w:rsid w:val="00FD61A0"/>
    <w:rsid w:val="00FD6337"/>
    <w:rsid w:val="00FD6AC4"/>
    <w:rsid w:val="00FD78AF"/>
    <w:rsid w:val="00FD7DB1"/>
    <w:rsid w:val="00FD7E02"/>
    <w:rsid w:val="00FD7F83"/>
    <w:rsid w:val="00FE0C3D"/>
    <w:rsid w:val="00FE1177"/>
    <w:rsid w:val="00FE1DC4"/>
    <w:rsid w:val="00FE2027"/>
    <w:rsid w:val="00FE27CD"/>
    <w:rsid w:val="00FE404E"/>
    <w:rsid w:val="00FE4F0F"/>
    <w:rsid w:val="00FE5DBB"/>
    <w:rsid w:val="00FE68DE"/>
    <w:rsid w:val="00FE775B"/>
    <w:rsid w:val="00FE77EB"/>
    <w:rsid w:val="00FE79C7"/>
    <w:rsid w:val="00FE7CB7"/>
    <w:rsid w:val="00FF09F2"/>
    <w:rsid w:val="00FF11E0"/>
    <w:rsid w:val="00FF170E"/>
    <w:rsid w:val="00FF1DC8"/>
    <w:rsid w:val="00FF2CFE"/>
    <w:rsid w:val="00FF4023"/>
    <w:rsid w:val="00FF415C"/>
    <w:rsid w:val="00FF5DC3"/>
    <w:rsid w:val="00FF6A6B"/>
    <w:rsid w:val="00FF77AD"/>
    <w:rsid w:val="00FF7824"/>
    <w:rsid w:val="00FF7978"/>
    <w:rsid w:val="00FF7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9EFD4D-E4DB-495F-92AE-71E8D97E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lsdException w:name="No List" w:locked="1"/>
    <w:lsdException w:name="Outline List 1" w:semiHidden="1" w:unhideWhenUsed="1"/>
    <w:lsdException w:name="Outline List 2" w:semiHidden="1" w:unhideWhenUsed="1"/>
    <w:lsdException w:name="Outline List 3" w:semiHidden="1" w:unhideWhenUsed="1"/>
    <w:lsdException w:name="Balloon Text" w:lock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22"/>
    <w:rPr>
      <w:rFonts w:ascii="Times New Roman" w:hAnsi="Times New Roman"/>
      <w:sz w:val="24"/>
      <w:szCs w:val="24"/>
      <w:lang w:val="es-CO"/>
    </w:rPr>
  </w:style>
  <w:style w:type="paragraph" w:styleId="Ttulo1">
    <w:name w:val="heading 1"/>
    <w:basedOn w:val="Normal"/>
    <w:next w:val="Normal"/>
    <w:link w:val="Ttulo1Car"/>
    <w:uiPriority w:val="99"/>
    <w:qFormat/>
    <w:rsid w:val="0050424F"/>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unhideWhenUsed/>
    <w:qFormat/>
    <w:locked/>
    <w:rsid w:val="00A571FE"/>
    <w:pPr>
      <w:keepNext/>
      <w:keepLines/>
      <w:spacing w:before="40"/>
      <w:outlineLvl w:val="3"/>
    </w:pPr>
    <w:rPr>
      <w:rFonts w:asciiTheme="majorHAnsi" w:eastAsiaTheme="majorEastAsia" w:hAnsiTheme="majorHAns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0424F"/>
    <w:rPr>
      <w:rFonts w:ascii="Arial" w:hAnsi="Arial"/>
      <w:b/>
      <w:kern w:val="32"/>
      <w:sz w:val="32"/>
      <w:lang w:val="x-none" w:eastAsia="es-ES"/>
    </w:rPr>
  </w:style>
  <w:style w:type="character" w:customStyle="1" w:styleId="Ttulo4Car">
    <w:name w:val="Título 4 Car"/>
    <w:basedOn w:val="Fuentedeprrafopredeter"/>
    <w:link w:val="Ttulo4"/>
    <w:uiPriority w:val="9"/>
    <w:locked/>
    <w:rsid w:val="00A571FE"/>
    <w:rPr>
      <w:rFonts w:asciiTheme="majorHAnsi" w:eastAsiaTheme="majorEastAsia" w:hAnsiTheme="majorHAnsi" w:cs="Times New Roman"/>
      <w:i/>
      <w:iCs/>
      <w:color w:val="2E74B5" w:themeColor="accent1" w:themeShade="BF"/>
      <w:sz w:val="24"/>
      <w:szCs w:val="24"/>
      <w:lang w:val="es-CO" w:eastAsia="x-none"/>
    </w:rPr>
  </w:style>
  <w:style w:type="character" w:styleId="Refdenotaalpie">
    <w:name w:val="footnote reference"/>
    <w:aliases w:val="Texto de nota al pie,referencia nota al pie,Nota de pie,Texto nota al pie,Appel note de bas de page,Footnotes refss,Footnote number,BVI fnr,f,Ref. de nota al pie 2,4_G,16 Point,Superscript 6 Point,Footnote Reference Char3,Ref,F,FC"/>
    <w:basedOn w:val="Fuentedeprrafopredeter"/>
    <w:uiPriority w:val="99"/>
    <w:qFormat/>
    <w:rsid w:val="0050424F"/>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
    <w:basedOn w:val="Normal"/>
    <w:link w:val="TextonotapieCar"/>
    <w:uiPriority w:val="99"/>
    <w:qFormat/>
    <w:rsid w:val="0050424F"/>
    <w:rPr>
      <w:sz w:val="20"/>
      <w:szCs w:val="20"/>
    </w:rPr>
  </w:style>
  <w:style w:type="paragraph" w:customStyle="1" w:styleId="Prrafodelista1">
    <w:name w:val="Párrafo de lista1"/>
    <w:basedOn w:val="Normal"/>
    <w:uiPriority w:val="99"/>
    <w:rsid w:val="0050424F"/>
    <w:pPr>
      <w:ind w:left="720"/>
    </w:p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locked/>
    <w:rsid w:val="0050424F"/>
    <w:rPr>
      <w:rFonts w:ascii="Times New Roman" w:hAnsi="Times New Roman"/>
      <w:sz w:val="20"/>
      <w:lang w:val="x-none" w:eastAsia="es-ES"/>
    </w:rPr>
  </w:style>
  <w:style w:type="paragraph" w:customStyle="1" w:styleId="Sinespacio">
    <w:name w:val="Sin espacio"/>
    <w:basedOn w:val="Ttulo1"/>
    <w:uiPriority w:val="99"/>
    <w:rsid w:val="0050424F"/>
    <w:pPr>
      <w:numPr>
        <w:numId w:val="1"/>
      </w:numPr>
      <w:tabs>
        <w:tab w:val="clear" w:pos="360"/>
        <w:tab w:val="num" w:pos="1800"/>
      </w:tabs>
      <w:overflowPunct w:val="0"/>
      <w:autoSpaceDE w:val="0"/>
      <w:autoSpaceDN w:val="0"/>
      <w:adjustRightInd w:val="0"/>
      <w:spacing w:before="0" w:after="0"/>
      <w:jc w:val="center"/>
    </w:pPr>
    <w:rPr>
      <w:rFonts w:ascii="Times New Roman" w:hAnsi="Times New Roman" w:cs="Times New Roman"/>
      <w:kern w:val="28"/>
      <w:sz w:val="28"/>
      <w:szCs w:val="28"/>
      <w:lang w:val="es-ES_tradnl"/>
    </w:rPr>
  </w:style>
  <w:style w:type="paragraph" w:customStyle="1" w:styleId="Default">
    <w:name w:val="Default"/>
    <w:uiPriority w:val="99"/>
    <w:rsid w:val="0050424F"/>
    <w:pPr>
      <w:autoSpaceDE w:val="0"/>
      <w:autoSpaceDN w:val="0"/>
      <w:adjustRightInd w:val="0"/>
    </w:pPr>
    <w:rPr>
      <w:rFonts w:ascii="Arial" w:hAnsi="Arial" w:cs="Arial"/>
      <w:color w:val="000000"/>
      <w:sz w:val="24"/>
      <w:szCs w:val="24"/>
      <w:lang w:eastAsia="en-US"/>
    </w:rPr>
  </w:style>
  <w:style w:type="character" w:styleId="Hipervnculo">
    <w:name w:val="Hyperlink"/>
    <w:basedOn w:val="Fuentedeprrafopredeter"/>
    <w:uiPriority w:val="99"/>
    <w:rsid w:val="0050424F"/>
    <w:rPr>
      <w:color w:val="0000FF"/>
      <w:u w:val="single"/>
    </w:rPr>
  </w:style>
  <w:style w:type="paragraph" w:customStyle="1" w:styleId="ListParagraph1">
    <w:name w:val="List Paragraph1"/>
    <w:basedOn w:val="Normal"/>
    <w:uiPriority w:val="99"/>
    <w:rsid w:val="0050424F"/>
    <w:pPr>
      <w:spacing w:after="200" w:line="276" w:lineRule="auto"/>
      <w:ind w:left="720"/>
    </w:pPr>
    <w:rPr>
      <w:rFonts w:ascii="Calibri" w:hAnsi="Calibri" w:cs="Calibri"/>
      <w:sz w:val="22"/>
      <w:szCs w:val="22"/>
      <w:lang w:val="es-MX" w:eastAsia="en-US"/>
    </w:rPr>
  </w:style>
  <w:style w:type="paragraph" w:styleId="Piedepgina">
    <w:name w:val="footer"/>
    <w:basedOn w:val="Normal"/>
    <w:link w:val="PiedepginaCar"/>
    <w:uiPriority w:val="99"/>
    <w:rsid w:val="0050424F"/>
    <w:pPr>
      <w:tabs>
        <w:tab w:val="center" w:pos="4252"/>
        <w:tab w:val="right" w:pos="8504"/>
      </w:tabs>
    </w:pPr>
  </w:style>
  <w:style w:type="character" w:customStyle="1" w:styleId="PiedepginaCar">
    <w:name w:val="Pie de página Car"/>
    <w:basedOn w:val="Fuentedeprrafopredeter"/>
    <w:link w:val="Piedepgina"/>
    <w:uiPriority w:val="99"/>
    <w:locked/>
    <w:rsid w:val="0050424F"/>
    <w:rPr>
      <w:rFonts w:ascii="Times New Roman" w:hAnsi="Times New Roman"/>
      <w:sz w:val="24"/>
      <w:lang w:val="x-none" w:eastAsia="es-ES"/>
    </w:rPr>
  </w:style>
  <w:style w:type="character" w:styleId="Nmerodepgina">
    <w:name w:val="page number"/>
    <w:basedOn w:val="Fuentedeprrafopredeter"/>
    <w:uiPriority w:val="99"/>
    <w:rsid w:val="0050424F"/>
  </w:style>
  <w:style w:type="paragraph" w:styleId="Encabezado">
    <w:name w:val="header"/>
    <w:basedOn w:val="Normal"/>
    <w:link w:val="EncabezadoCar"/>
    <w:uiPriority w:val="99"/>
    <w:rsid w:val="0050424F"/>
    <w:pPr>
      <w:tabs>
        <w:tab w:val="center" w:pos="4252"/>
        <w:tab w:val="right" w:pos="8504"/>
      </w:tabs>
    </w:pPr>
  </w:style>
  <w:style w:type="character" w:customStyle="1" w:styleId="EncabezadoCar">
    <w:name w:val="Encabezado Car"/>
    <w:basedOn w:val="Fuentedeprrafopredeter"/>
    <w:link w:val="Encabezado"/>
    <w:uiPriority w:val="99"/>
    <w:locked/>
    <w:rsid w:val="0050424F"/>
    <w:rPr>
      <w:rFonts w:ascii="Times New Roman" w:hAnsi="Times New Roman"/>
      <w:sz w:val="24"/>
      <w:lang w:val="x-none" w:eastAsia="es-ES"/>
    </w:rPr>
  </w:style>
  <w:style w:type="paragraph" w:customStyle="1" w:styleId="Prrafodelista2">
    <w:name w:val="Párrafo de lista2"/>
    <w:basedOn w:val="Normal"/>
    <w:uiPriority w:val="99"/>
    <w:rsid w:val="0050424F"/>
    <w:pPr>
      <w:spacing w:after="200" w:line="276" w:lineRule="auto"/>
      <w:ind w:left="720"/>
    </w:pPr>
    <w:rPr>
      <w:rFonts w:ascii="Calibri" w:hAnsi="Calibri" w:cs="Calibri"/>
      <w:sz w:val="22"/>
      <w:szCs w:val="22"/>
      <w:lang w:val="es-ES" w:eastAsia="en-US"/>
    </w:rPr>
  </w:style>
  <w:style w:type="paragraph" w:customStyle="1" w:styleId="Sinespaciado1">
    <w:name w:val="Sin espaciado1"/>
    <w:uiPriority w:val="99"/>
    <w:rsid w:val="0050424F"/>
    <w:rPr>
      <w:rFonts w:cs="Calibri"/>
      <w:sz w:val="22"/>
      <w:szCs w:val="22"/>
      <w:lang w:val="es-CO" w:eastAsia="en-US"/>
    </w:rPr>
  </w:style>
  <w:style w:type="paragraph" w:customStyle="1" w:styleId="Sinespaciado2">
    <w:name w:val="Sin espaciado2"/>
    <w:uiPriority w:val="99"/>
    <w:rsid w:val="0050424F"/>
    <w:rPr>
      <w:rFonts w:cs="Calibri"/>
      <w:sz w:val="22"/>
      <w:szCs w:val="22"/>
      <w:lang w:val="es-CO" w:eastAsia="en-US"/>
    </w:rPr>
  </w:style>
  <w:style w:type="paragraph" w:styleId="NormalWeb">
    <w:name w:val="Normal (Web)"/>
    <w:basedOn w:val="Normal"/>
    <w:uiPriority w:val="99"/>
    <w:rsid w:val="0050424F"/>
    <w:pPr>
      <w:spacing w:before="100" w:beforeAutospacing="1" w:after="100" w:afterAutospacing="1"/>
    </w:pPr>
    <w:rPr>
      <w:lang w:val="es-ES"/>
    </w:rPr>
  </w:style>
  <w:style w:type="character" w:styleId="nfasis">
    <w:name w:val="Emphasis"/>
    <w:basedOn w:val="Fuentedeprrafopredeter"/>
    <w:uiPriority w:val="20"/>
    <w:qFormat/>
    <w:rsid w:val="0050424F"/>
    <w:rPr>
      <w:i/>
    </w:rPr>
  </w:style>
  <w:style w:type="character" w:customStyle="1" w:styleId="apple-converted-space">
    <w:name w:val="apple-converted-space"/>
    <w:rsid w:val="0050424F"/>
  </w:style>
  <w:style w:type="character" w:styleId="Refdecomentario">
    <w:name w:val="annotation reference"/>
    <w:basedOn w:val="Fuentedeprrafopredeter"/>
    <w:uiPriority w:val="99"/>
    <w:rsid w:val="0050424F"/>
    <w:rPr>
      <w:sz w:val="16"/>
    </w:rPr>
  </w:style>
  <w:style w:type="paragraph" w:styleId="Textocomentario">
    <w:name w:val="annotation text"/>
    <w:basedOn w:val="Normal"/>
    <w:link w:val="TextocomentarioCar"/>
    <w:uiPriority w:val="99"/>
    <w:rsid w:val="0050424F"/>
    <w:rPr>
      <w:sz w:val="20"/>
      <w:szCs w:val="20"/>
    </w:rPr>
  </w:style>
  <w:style w:type="character" w:customStyle="1" w:styleId="TextocomentarioCar">
    <w:name w:val="Texto comentario Car"/>
    <w:basedOn w:val="Fuentedeprrafopredeter"/>
    <w:link w:val="Textocomentario"/>
    <w:uiPriority w:val="99"/>
    <w:locked/>
    <w:rsid w:val="0050424F"/>
    <w:rPr>
      <w:rFonts w:ascii="Times New Roman" w:hAnsi="Times New Roman"/>
      <w:sz w:val="20"/>
      <w:lang w:val="x-none" w:eastAsia="es-ES"/>
    </w:rPr>
  </w:style>
  <w:style w:type="paragraph" w:styleId="Asuntodelcomentario">
    <w:name w:val="annotation subject"/>
    <w:basedOn w:val="Textocomentario"/>
    <w:next w:val="Textocomentario"/>
    <w:link w:val="AsuntodelcomentarioCar"/>
    <w:uiPriority w:val="99"/>
    <w:rsid w:val="0050424F"/>
    <w:rPr>
      <w:b/>
      <w:bCs/>
    </w:rPr>
  </w:style>
  <w:style w:type="character" w:customStyle="1" w:styleId="AsuntodelcomentarioCar">
    <w:name w:val="Asunto del comentario Car"/>
    <w:basedOn w:val="TextocomentarioCar"/>
    <w:link w:val="Asuntodelcomentario"/>
    <w:uiPriority w:val="99"/>
    <w:locked/>
    <w:rsid w:val="0050424F"/>
    <w:rPr>
      <w:rFonts w:ascii="Times New Roman" w:hAnsi="Times New Roman"/>
      <w:b/>
      <w:sz w:val="20"/>
      <w:lang w:val="x-none" w:eastAsia="es-ES"/>
    </w:rPr>
  </w:style>
  <w:style w:type="paragraph" w:styleId="Textodeglobo">
    <w:name w:val="Balloon Text"/>
    <w:basedOn w:val="Normal"/>
    <w:link w:val="TextodegloboCar"/>
    <w:uiPriority w:val="99"/>
    <w:rsid w:val="0050424F"/>
    <w:rPr>
      <w:rFonts w:ascii="Tahoma" w:hAnsi="Tahoma" w:cs="Tahoma"/>
      <w:sz w:val="16"/>
      <w:szCs w:val="16"/>
    </w:rPr>
  </w:style>
  <w:style w:type="character" w:customStyle="1" w:styleId="TextodegloboCar">
    <w:name w:val="Texto de globo Car"/>
    <w:basedOn w:val="Fuentedeprrafopredeter"/>
    <w:link w:val="Textodeglobo"/>
    <w:uiPriority w:val="99"/>
    <w:locked/>
    <w:rsid w:val="0050424F"/>
    <w:rPr>
      <w:rFonts w:ascii="Tahoma" w:hAnsi="Tahoma"/>
      <w:sz w:val="16"/>
      <w:lang w:val="x-none" w:eastAsia="es-ES"/>
    </w:rPr>
  </w:style>
  <w:style w:type="paragraph" w:styleId="Prrafodelista">
    <w:name w:val="List Paragraph"/>
    <w:basedOn w:val="Normal"/>
    <w:uiPriority w:val="34"/>
    <w:qFormat/>
    <w:rsid w:val="0050424F"/>
    <w:pPr>
      <w:ind w:left="708"/>
    </w:pPr>
  </w:style>
  <w:style w:type="table" w:styleId="Tablaconcuadrcula">
    <w:name w:val="Table Grid"/>
    <w:basedOn w:val="Tablanormal"/>
    <w:uiPriority w:val="39"/>
    <w:rsid w:val="00B0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rsid w:val="00E55708"/>
  </w:style>
  <w:style w:type="character" w:styleId="Textoennegrita">
    <w:name w:val="Strong"/>
    <w:basedOn w:val="Fuentedeprrafopredeter"/>
    <w:uiPriority w:val="22"/>
    <w:qFormat/>
    <w:rsid w:val="00E55708"/>
    <w:rPr>
      <w:b/>
    </w:rPr>
  </w:style>
  <w:style w:type="character" w:customStyle="1" w:styleId="iaj">
    <w:name w:val="i_aj"/>
    <w:uiPriority w:val="99"/>
    <w:rsid w:val="002016B6"/>
  </w:style>
  <w:style w:type="paragraph" w:styleId="Revisin">
    <w:name w:val="Revision"/>
    <w:hidden/>
    <w:uiPriority w:val="99"/>
    <w:semiHidden/>
    <w:rsid w:val="00AB3FF6"/>
    <w:rPr>
      <w:rFonts w:ascii="Times New Roman" w:hAnsi="Times New Roman"/>
      <w:sz w:val="24"/>
      <w:szCs w:val="24"/>
      <w:lang w:val="es-CO"/>
    </w:rPr>
  </w:style>
  <w:style w:type="paragraph" w:styleId="Textoindependiente">
    <w:name w:val="Body Text"/>
    <w:basedOn w:val="Normal"/>
    <w:link w:val="TextoindependienteCar"/>
    <w:uiPriority w:val="99"/>
    <w:rsid w:val="001D447E"/>
    <w:pPr>
      <w:spacing w:after="120" w:line="276" w:lineRule="auto"/>
    </w:pPr>
    <w:rPr>
      <w:rFonts w:ascii="Calibri" w:hAnsi="Calibri"/>
      <w:sz w:val="22"/>
      <w:szCs w:val="22"/>
      <w:lang w:eastAsia="en-US"/>
    </w:rPr>
  </w:style>
  <w:style w:type="character" w:customStyle="1" w:styleId="TextoindependienteCar">
    <w:name w:val="Texto independiente Car"/>
    <w:basedOn w:val="Fuentedeprrafopredeter"/>
    <w:link w:val="Textoindependiente"/>
    <w:uiPriority w:val="99"/>
    <w:locked/>
    <w:rsid w:val="001D447E"/>
    <w:rPr>
      <w:rFonts w:eastAsia="Times New Roman"/>
      <w:sz w:val="22"/>
      <w:lang w:val="x-none" w:eastAsia="en-US"/>
    </w:rPr>
  </w:style>
  <w:style w:type="paragraph" w:customStyle="1" w:styleId="Style4">
    <w:name w:val="Style4"/>
    <w:basedOn w:val="Normal"/>
    <w:uiPriority w:val="99"/>
    <w:rsid w:val="00E76775"/>
    <w:pPr>
      <w:widowControl w:val="0"/>
      <w:autoSpaceDE w:val="0"/>
      <w:autoSpaceDN w:val="0"/>
      <w:adjustRightInd w:val="0"/>
      <w:spacing w:line="326" w:lineRule="exact"/>
      <w:jc w:val="both"/>
    </w:pPr>
    <w:rPr>
      <w:rFonts w:ascii="Cambria" w:hAnsi="Cambria"/>
      <w:lang w:val="es-ES"/>
    </w:rPr>
  </w:style>
  <w:style w:type="character" w:customStyle="1" w:styleId="FontStyle32">
    <w:name w:val="Font Style32"/>
    <w:uiPriority w:val="99"/>
    <w:rsid w:val="00E76775"/>
    <w:rPr>
      <w:rFonts w:ascii="Cambria" w:hAnsi="Cambria"/>
      <w:sz w:val="24"/>
    </w:rPr>
  </w:style>
  <w:style w:type="paragraph" w:customStyle="1" w:styleId="Style23">
    <w:name w:val="Style23"/>
    <w:basedOn w:val="Normal"/>
    <w:uiPriority w:val="99"/>
    <w:rsid w:val="00E76775"/>
    <w:pPr>
      <w:widowControl w:val="0"/>
      <w:autoSpaceDE w:val="0"/>
      <w:autoSpaceDN w:val="0"/>
      <w:adjustRightInd w:val="0"/>
      <w:spacing w:line="283" w:lineRule="exact"/>
      <w:ind w:hanging="706"/>
    </w:pPr>
    <w:rPr>
      <w:rFonts w:ascii="Cambria" w:hAnsi="Cambria"/>
      <w:lang w:val="es-ES"/>
    </w:rPr>
  </w:style>
  <w:style w:type="character" w:customStyle="1" w:styleId="FontStyle34">
    <w:name w:val="Font Style34"/>
    <w:uiPriority w:val="99"/>
    <w:rsid w:val="00E76775"/>
    <w:rPr>
      <w:rFonts w:ascii="Cambria" w:hAnsi="Cambria"/>
      <w:b/>
      <w:sz w:val="24"/>
    </w:rPr>
  </w:style>
  <w:style w:type="paragraph" w:customStyle="1" w:styleId="Style16">
    <w:name w:val="Style16"/>
    <w:basedOn w:val="Normal"/>
    <w:uiPriority w:val="99"/>
    <w:rsid w:val="00E76775"/>
    <w:pPr>
      <w:widowControl w:val="0"/>
      <w:autoSpaceDE w:val="0"/>
      <w:autoSpaceDN w:val="0"/>
      <w:adjustRightInd w:val="0"/>
      <w:spacing w:line="206" w:lineRule="exact"/>
    </w:pPr>
    <w:rPr>
      <w:rFonts w:ascii="Cambria" w:hAnsi="Cambria"/>
      <w:lang w:val="es-ES"/>
    </w:rPr>
  </w:style>
  <w:style w:type="paragraph" w:customStyle="1" w:styleId="Style19">
    <w:name w:val="Style19"/>
    <w:basedOn w:val="Normal"/>
    <w:uiPriority w:val="99"/>
    <w:rsid w:val="00E76775"/>
    <w:pPr>
      <w:widowControl w:val="0"/>
      <w:autoSpaceDE w:val="0"/>
      <w:autoSpaceDN w:val="0"/>
      <w:adjustRightInd w:val="0"/>
    </w:pPr>
    <w:rPr>
      <w:rFonts w:ascii="Cambria" w:hAnsi="Cambria"/>
      <w:lang w:val="es-ES"/>
    </w:rPr>
  </w:style>
  <w:style w:type="character" w:customStyle="1" w:styleId="FontStyle38">
    <w:name w:val="Font Style38"/>
    <w:uiPriority w:val="99"/>
    <w:rsid w:val="00E76775"/>
    <w:rPr>
      <w:rFonts w:ascii="Cambria" w:hAnsi="Cambria"/>
      <w:b/>
      <w:sz w:val="18"/>
    </w:rPr>
  </w:style>
  <w:style w:type="character" w:customStyle="1" w:styleId="FontStyle39">
    <w:name w:val="Font Style39"/>
    <w:uiPriority w:val="99"/>
    <w:rsid w:val="00E76775"/>
    <w:rPr>
      <w:rFonts w:ascii="Cambria" w:hAnsi="Cambria"/>
      <w:b/>
      <w:sz w:val="20"/>
    </w:rPr>
  </w:style>
  <w:style w:type="character" w:customStyle="1" w:styleId="FontStyle37">
    <w:name w:val="Font Style37"/>
    <w:uiPriority w:val="99"/>
    <w:rsid w:val="005A4032"/>
    <w:rPr>
      <w:rFonts w:ascii="Cambria" w:hAnsi="Cambria"/>
      <w:spacing w:val="90"/>
      <w:sz w:val="10"/>
    </w:rPr>
  </w:style>
  <w:style w:type="paragraph" w:customStyle="1" w:styleId="Style10">
    <w:name w:val="Style10"/>
    <w:basedOn w:val="Normal"/>
    <w:uiPriority w:val="99"/>
    <w:rsid w:val="005A4032"/>
    <w:pPr>
      <w:widowControl w:val="0"/>
      <w:autoSpaceDE w:val="0"/>
      <w:autoSpaceDN w:val="0"/>
      <w:adjustRightInd w:val="0"/>
      <w:spacing w:line="322" w:lineRule="exact"/>
      <w:ind w:hanging="720"/>
      <w:jc w:val="both"/>
    </w:pPr>
    <w:rPr>
      <w:rFonts w:ascii="Cambria" w:hAnsi="Cambria"/>
      <w:lang w:val="es-ES"/>
    </w:rPr>
  </w:style>
  <w:style w:type="paragraph" w:customStyle="1" w:styleId="Style13">
    <w:name w:val="Style13"/>
    <w:basedOn w:val="Normal"/>
    <w:uiPriority w:val="99"/>
    <w:rsid w:val="005A4032"/>
    <w:pPr>
      <w:widowControl w:val="0"/>
      <w:autoSpaceDE w:val="0"/>
      <w:autoSpaceDN w:val="0"/>
      <w:adjustRightInd w:val="0"/>
      <w:spacing w:line="322" w:lineRule="exact"/>
      <w:ind w:hanging="365"/>
      <w:jc w:val="both"/>
    </w:pPr>
    <w:rPr>
      <w:rFonts w:ascii="Cambria" w:hAnsi="Cambria"/>
      <w:lang w:val="es-ES"/>
    </w:rPr>
  </w:style>
  <w:style w:type="paragraph" w:customStyle="1" w:styleId="Style15">
    <w:name w:val="Style15"/>
    <w:basedOn w:val="Normal"/>
    <w:uiPriority w:val="99"/>
    <w:rsid w:val="005A4032"/>
    <w:pPr>
      <w:widowControl w:val="0"/>
      <w:autoSpaceDE w:val="0"/>
      <w:autoSpaceDN w:val="0"/>
      <w:adjustRightInd w:val="0"/>
      <w:spacing w:line="326" w:lineRule="exact"/>
      <w:ind w:hanging="355"/>
    </w:pPr>
    <w:rPr>
      <w:rFonts w:ascii="Cambria" w:hAnsi="Cambria"/>
      <w:lang w:val="es-ES"/>
    </w:rPr>
  </w:style>
  <w:style w:type="paragraph" w:customStyle="1" w:styleId="Style24">
    <w:name w:val="Style24"/>
    <w:basedOn w:val="Normal"/>
    <w:uiPriority w:val="99"/>
    <w:rsid w:val="005A4032"/>
    <w:pPr>
      <w:widowControl w:val="0"/>
      <w:autoSpaceDE w:val="0"/>
      <w:autoSpaceDN w:val="0"/>
      <w:adjustRightInd w:val="0"/>
    </w:pPr>
    <w:rPr>
      <w:rFonts w:ascii="Cambria" w:hAnsi="Cambria"/>
      <w:lang w:val="es-ES"/>
    </w:rPr>
  </w:style>
  <w:style w:type="paragraph" w:customStyle="1" w:styleId="Style8">
    <w:name w:val="Style8"/>
    <w:basedOn w:val="Normal"/>
    <w:uiPriority w:val="99"/>
    <w:rsid w:val="005A4032"/>
    <w:pPr>
      <w:widowControl w:val="0"/>
      <w:autoSpaceDE w:val="0"/>
      <w:autoSpaceDN w:val="0"/>
      <w:adjustRightInd w:val="0"/>
      <w:spacing w:line="322" w:lineRule="exact"/>
      <w:ind w:firstLine="874"/>
    </w:pPr>
    <w:rPr>
      <w:rFonts w:ascii="Cambria" w:hAnsi="Cambria"/>
      <w:lang w:val="es-ES"/>
    </w:rPr>
  </w:style>
  <w:style w:type="character" w:customStyle="1" w:styleId="FontStyle29">
    <w:name w:val="Font Style29"/>
    <w:uiPriority w:val="99"/>
    <w:rsid w:val="005A4032"/>
    <w:rPr>
      <w:rFonts w:ascii="Cambria" w:hAnsi="Cambria"/>
      <w:b/>
      <w:sz w:val="26"/>
    </w:rPr>
  </w:style>
  <w:style w:type="character" w:customStyle="1" w:styleId="FontStyle41">
    <w:name w:val="Font Style41"/>
    <w:uiPriority w:val="99"/>
    <w:rsid w:val="005A4032"/>
    <w:rPr>
      <w:rFonts w:ascii="Trebuchet MS" w:hAnsi="Trebuchet MS"/>
      <w:i/>
      <w:spacing w:val="-20"/>
      <w:sz w:val="22"/>
    </w:rPr>
  </w:style>
  <w:style w:type="character" w:customStyle="1" w:styleId="FontStyle42">
    <w:name w:val="Font Style42"/>
    <w:uiPriority w:val="99"/>
    <w:rsid w:val="005A4032"/>
    <w:rPr>
      <w:rFonts w:ascii="Palatino Linotype" w:hAnsi="Palatino Linotype"/>
      <w:b/>
      <w:i/>
      <w:sz w:val="8"/>
    </w:rPr>
  </w:style>
  <w:style w:type="paragraph" w:customStyle="1" w:styleId="Car">
    <w:name w:val="Car"/>
    <w:basedOn w:val="Normal"/>
    <w:rsid w:val="00FE79C7"/>
    <w:pPr>
      <w:spacing w:after="160" w:line="240" w:lineRule="exact"/>
    </w:pPr>
    <w:rPr>
      <w:noProof/>
      <w:color w:val="000000"/>
      <w:sz w:val="20"/>
      <w:szCs w:val="20"/>
      <w:lang w:val="es-ES"/>
    </w:rPr>
  </w:style>
  <w:style w:type="paragraph" w:styleId="Sinespaciado">
    <w:name w:val="No Spacing"/>
    <w:uiPriority w:val="1"/>
    <w:qFormat/>
    <w:rsid w:val="00CA31FC"/>
    <w:rPr>
      <w:rFonts w:ascii="Times New Roman" w:hAnsi="Times New Roman"/>
      <w:sz w:val="24"/>
      <w:szCs w:val="24"/>
      <w:lang w:val="es-CO"/>
    </w:rPr>
  </w:style>
  <w:style w:type="table" w:styleId="Tabladecuadrcula4-nfasis3">
    <w:name w:val="Grid Table 4 Accent 3"/>
    <w:basedOn w:val="Tablanormal"/>
    <w:uiPriority w:val="49"/>
    <w:rsid w:val="00D15932"/>
    <w:rPr>
      <w:rFonts w:asciiTheme="minorHAnsi" w:hAnsiTheme="minorHAnsi"/>
      <w:sz w:val="22"/>
      <w:szCs w:val="22"/>
      <w:lang w:val="es-CO"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Tablanormal1">
    <w:name w:val="Plain Table 1"/>
    <w:basedOn w:val="Tablanormal"/>
    <w:uiPriority w:val="41"/>
    <w:rsid w:val="00EF3806"/>
    <w:rPr>
      <w:rFonts w:asciiTheme="minorHAnsi" w:hAnsiTheme="minorHAnsi"/>
      <w:sz w:val="22"/>
      <w:szCs w:val="22"/>
      <w:lang w:val="es-CO"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Tablanormal2">
    <w:name w:val="Plain Table 2"/>
    <w:basedOn w:val="Tablanormal"/>
    <w:uiPriority w:val="42"/>
    <w:rsid w:val="008136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mw-headline">
    <w:name w:val="mw-headline"/>
    <w:basedOn w:val="Fuentedeprrafopredeter"/>
    <w:rsid w:val="00A571FE"/>
    <w:rPr>
      <w:rFonts w:cs="Times New Roman"/>
    </w:rPr>
  </w:style>
  <w:style w:type="character" w:customStyle="1" w:styleId="mw-editsection">
    <w:name w:val="mw-editsection"/>
    <w:basedOn w:val="Fuentedeprrafopredeter"/>
    <w:rsid w:val="00A571FE"/>
    <w:rPr>
      <w:rFonts w:cs="Times New Roman"/>
    </w:rPr>
  </w:style>
  <w:style w:type="character" w:customStyle="1" w:styleId="mw-editsection-bracket">
    <w:name w:val="mw-editsection-bracket"/>
    <w:basedOn w:val="Fuentedeprrafopredeter"/>
    <w:rsid w:val="00A571FE"/>
    <w:rPr>
      <w:rFonts w:cs="Times New Roman"/>
    </w:rPr>
  </w:style>
  <w:style w:type="paragraph" w:styleId="HTMLconformatoprevio">
    <w:name w:val="HTML Preformatted"/>
    <w:basedOn w:val="Normal"/>
    <w:link w:val="HTMLconformatoprevioCar"/>
    <w:uiPriority w:val="99"/>
    <w:semiHidden/>
    <w:unhideWhenUsed/>
    <w:rsid w:val="00A57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semiHidden/>
    <w:locked/>
    <w:rsid w:val="00A571FE"/>
    <w:rPr>
      <w:rFonts w:ascii="Courier New" w:hAnsi="Courier New" w:cs="Courier New"/>
    </w:rPr>
  </w:style>
  <w:style w:type="table" w:customStyle="1" w:styleId="Tablaconcuadrcula1">
    <w:name w:val="Tabla con cuadrícula1"/>
    <w:basedOn w:val="Tablanormal"/>
    <w:next w:val="Tablaconcuadrcula"/>
    <w:uiPriority w:val="39"/>
    <w:rsid w:val="0037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E209B2"/>
    <w:rPr>
      <w:rFonts w:asciiTheme="minorHAnsi" w:hAnsi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qFormat/>
    <w:locked/>
    <w:rsid w:val="002572BD"/>
    <w:pPr>
      <w:spacing w:line="360" w:lineRule="atLeast"/>
      <w:jc w:val="center"/>
    </w:pPr>
    <w:rPr>
      <w:b/>
      <w:sz w:val="28"/>
      <w:szCs w:val="20"/>
      <w:lang w:val="es-ES_tradnl"/>
    </w:rPr>
  </w:style>
  <w:style w:type="character" w:customStyle="1" w:styleId="FontStyle43">
    <w:name w:val="Font Style43"/>
    <w:basedOn w:val="Fuentedeprrafopredeter"/>
    <w:uiPriority w:val="99"/>
    <w:rsid w:val="002572BD"/>
    <w:rPr>
      <w:rFonts w:ascii="Arial Narrow" w:hAnsi="Arial Narrow" w:cs="Arial Narrow"/>
      <w:i/>
      <w:iCs/>
      <w:sz w:val="18"/>
      <w:szCs w:val="18"/>
    </w:rPr>
  </w:style>
  <w:style w:type="character" w:customStyle="1" w:styleId="FontStyle47">
    <w:name w:val="Font Style47"/>
    <w:basedOn w:val="Fuentedeprrafopredeter"/>
    <w:uiPriority w:val="99"/>
    <w:rsid w:val="002572BD"/>
    <w:rPr>
      <w:rFonts w:ascii="Arial Narrow" w:hAnsi="Arial Narrow" w:cs="Arial Narrow"/>
      <w:b/>
      <w:bCs/>
      <w:i/>
      <w:iCs/>
      <w:sz w:val="18"/>
      <w:szCs w:val="18"/>
    </w:rPr>
  </w:style>
  <w:style w:type="paragraph" w:customStyle="1" w:styleId="Style11">
    <w:name w:val="Style11"/>
    <w:basedOn w:val="Normal"/>
    <w:uiPriority w:val="99"/>
    <w:rsid w:val="002572BD"/>
    <w:pPr>
      <w:widowControl w:val="0"/>
      <w:autoSpaceDE w:val="0"/>
      <w:autoSpaceDN w:val="0"/>
      <w:adjustRightInd w:val="0"/>
      <w:spacing w:line="230" w:lineRule="exact"/>
      <w:jc w:val="both"/>
    </w:pPr>
    <w:rPr>
      <w:rFonts w:ascii="Arial Narrow" w:eastAsiaTheme="minorEastAsia" w:hAnsi="Arial Narrow"/>
      <w:lang w:val="es-ES"/>
    </w:rPr>
  </w:style>
  <w:style w:type="paragraph" w:customStyle="1" w:styleId="Style12">
    <w:name w:val="Style12"/>
    <w:basedOn w:val="Normal"/>
    <w:uiPriority w:val="99"/>
    <w:rsid w:val="002572BD"/>
    <w:pPr>
      <w:widowControl w:val="0"/>
      <w:autoSpaceDE w:val="0"/>
      <w:autoSpaceDN w:val="0"/>
      <w:adjustRightInd w:val="0"/>
      <w:jc w:val="center"/>
    </w:pPr>
    <w:rPr>
      <w:rFonts w:ascii="Arial Narrow" w:eastAsiaTheme="minorEastAsia" w:hAnsi="Arial Narrow"/>
      <w:lang w:val="es-ES"/>
    </w:rPr>
  </w:style>
  <w:style w:type="paragraph" w:styleId="Textonotaalfinal">
    <w:name w:val="endnote text"/>
    <w:basedOn w:val="Normal"/>
    <w:link w:val="TextonotaalfinalCar"/>
    <w:uiPriority w:val="99"/>
    <w:semiHidden/>
    <w:unhideWhenUsed/>
    <w:rsid w:val="00B44DD3"/>
    <w:rPr>
      <w:sz w:val="20"/>
      <w:szCs w:val="20"/>
    </w:rPr>
  </w:style>
  <w:style w:type="character" w:customStyle="1" w:styleId="TextonotaalfinalCar">
    <w:name w:val="Texto nota al final Car"/>
    <w:basedOn w:val="Fuentedeprrafopredeter"/>
    <w:link w:val="Textonotaalfinal"/>
    <w:uiPriority w:val="99"/>
    <w:semiHidden/>
    <w:locked/>
    <w:rsid w:val="00B44DD3"/>
    <w:rPr>
      <w:rFonts w:ascii="Times New Roman" w:hAnsi="Times New Roman" w:cs="Times New Roman"/>
      <w:lang w:val="es-CO" w:eastAsia="x-none"/>
    </w:rPr>
  </w:style>
  <w:style w:type="character" w:styleId="Refdenotaalfinal">
    <w:name w:val="endnote reference"/>
    <w:basedOn w:val="Fuentedeprrafopredeter"/>
    <w:uiPriority w:val="99"/>
    <w:semiHidden/>
    <w:unhideWhenUsed/>
    <w:rsid w:val="00B44D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67728">
      <w:marLeft w:val="0"/>
      <w:marRight w:val="0"/>
      <w:marTop w:val="0"/>
      <w:marBottom w:val="0"/>
      <w:divBdr>
        <w:top w:val="none" w:sz="0" w:space="0" w:color="auto"/>
        <w:left w:val="none" w:sz="0" w:space="0" w:color="auto"/>
        <w:bottom w:val="none" w:sz="0" w:space="0" w:color="auto"/>
        <w:right w:val="none" w:sz="0" w:space="0" w:color="auto"/>
      </w:divBdr>
    </w:div>
    <w:div w:id="1624267730">
      <w:marLeft w:val="0"/>
      <w:marRight w:val="0"/>
      <w:marTop w:val="0"/>
      <w:marBottom w:val="0"/>
      <w:divBdr>
        <w:top w:val="none" w:sz="0" w:space="0" w:color="auto"/>
        <w:left w:val="none" w:sz="0" w:space="0" w:color="auto"/>
        <w:bottom w:val="none" w:sz="0" w:space="0" w:color="auto"/>
        <w:right w:val="none" w:sz="0" w:space="0" w:color="auto"/>
      </w:divBdr>
    </w:div>
    <w:div w:id="1624267731">
      <w:marLeft w:val="0"/>
      <w:marRight w:val="0"/>
      <w:marTop w:val="0"/>
      <w:marBottom w:val="0"/>
      <w:divBdr>
        <w:top w:val="none" w:sz="0" w:space="0" w:color="auto"/>
        <w:left w:val="none" w:sz="0" w:space="0" w:color="auto"/>
        <w:bottom w:val="none" w:sz="0" w:space="0" w:color="auto"/>
        <w:right w:val="none" w:sz="0" w:space="0" w:color="auto"/>
      </w:divBdr>
    </w:div>
    <w:div w:id="1624267732">
      <w:marLeft w:val="0"/>
      <w:marRight w:val="0"/>
      <w:marTop w:val="0"/>
      <w:marBottom w:val="0"/>
      <w:divBdr>
        <w:top w:val="none" w:sz="0" w:space="0" w:color="auto"/>
        <w:left w:val="none" w:sz="0" w:space="0" w:color="auto"/>
        <w:bottom w:val="none" w:sz="0" w:space="0" w:color="auto"/>
        <w:right w:val="none" w:sz="0" w:space="0" w:color="auto"/>
      </w:divBdr>
    </w:div>
    <w:div w:id="1624267733">
      <w:marLeft w:val="0"/>
      <w:marRight w:val="0"/>
      <w:marTop w:val="0"/>
      <w:marBottom w:val="0"/>
      <w:divBdr>
        <w:top w:val="none" w:sz="0" w:space="0" w:color="auto"/>
        <w:left w:val="none" w:sz="0" w:space="0" w:color="auto"/>
        <w:bottom w:val="none" w:sz="0" w:space="0" w:color="auto"/>
        <w:right w:val="none" w:sz="0" w:space="0" w:color="auto"/>
      </w:divBdr>
      <w:divsChild>
        <w:div w:id="1624267834">
          <w:marLeft w:val="547"/>
          <w:marRight w:val="0"/>
          <w:marTop w:val="0"/>
          <w:marBottom w:val="0"/>
          <w:divBdr>
            <w:top w:val="none" w:sz="0" w:space="0" w:color="auto"/>
            <w:left w:val="none" w:sz="0" w:space="0" w:color="auto"/>
            <w:bottom w:val="none" w:sz="0" w:space="0" w:color="auto"/>
            <w:right w:val="none" w:sz="0" w:space="0" w:color="auto"/>
          </w:divBdr>
        </w:div>
      </w:divsChild>
    </w:div>
    <w:div w:id="1624267735">
      <w:marLeft w:val="0"/>
      <w:marRight w:val="0"/>
      <w:marTop w:val="0"/>
      <w:marBottom w:val="0"/>
      <w:divBdr>
        <w:top w:val="none" w:sz="0" w:space="0" w:color="auto"/>
        <w:left w:val="none" w:sz="0" w:space="0" w:color="auto"/>
        <w:bottom w:val="none" w:sz="0" w:space="0" w:color="auto"/>
        <w:right w:val="none" w:sz="0" w:space="0" w:color="auto"/>
      </w:divBdr>
    </w:div>
    <w:div w:id="1624267736">
      <w:marLeft w:val="0"/>
      <w:marRight w:val="0"/>
      <w:marTop w:val="0"/>
      <w:marBottom w:val="0"/>
      <w:divBdr>
        <w:top w:val="none" w:sz="0" w:space="0" w:color="auto"/>
        <w:left w:val="none" w:sz="0" w:space="0" w:color="auto"/>
        <w:bottom w:val="none" w:sz="0" w:space="0" w:color="auto"/>
        <w:right w:val="none" w:sz="0" w:space="0" w:color="auto"/>
      </w:divBdr>
    </w:div>
    <w:div w:id="1624267738">
      <w:marLeft w:val="0"/>
      <w:marRight w:val="0"/>
      <w:marTop w:val="0"/>
      <w:marBottom w:val="0"/>
      <w:divBdr>
        <w:top w:val="none" w:sz="0" w:space="0" w:color="auto"/>
        <w:left w:val="none" w:sz="0" w:space="0" w:color="auto"/>
        <w:bottom w:val="none" w:sz="0" w:space="0" w:color="auto"/>
        <w:right w:val="none" w:sz="0" w:space="0" w:color="auto"/>
      </w:divBdr>
    </w:div>
    <w:div w:id="1624267740">
      <w:marLeft w:val="0"/>
      <w:marRight w:val="0"/>
      <w:marTop w:val="0"/>
      <w:marBottom w:val="0"/>
      <w:divBdr>
        <w:top w:val="none" w:sz="0" w:space="0" w:color="auto"/>
        <w:left w:val="none" w:sz="0" w:space="0" w:color="auto"/>
        <w:bottom w:val="none" w:sz="0" w:space="0" w:color="auto"/>
        <w:right w:val="none" w:sz="0" w:space="0" w:color="auto"/>
      </w:divBdr>
    </w:div>
    <w:div w:id="1624267741">
      <w:marLeft w:val="0"/>
      <w:marRight w:val="0"/>
      <w:marTop w:val="0"/>
      <w:marBottom w:val="0"/>
      <w:divBdr>
        <w:top w:val="none" w:sz="0" w:space="0" w:color="auto"/>
        <w:left w:val="none" w:sz="0" w:space="0" w:color="auto"/>
        <w:bottom w:val="none" w:sz="0" w:space="0" w:color="auto"/>
        <w:right w:val="none" w:sz="0" w:space="0" w:color="auto"/>
      </w:divBdr>
    </w:div>
    <w:div w:id="1624267742">
      <w:marLeft w:val="0"/>
      <w:marRight w:val="0"/>
      <w:marTop w:val="0"/>
      <w:marBottom w:val="0"/>
      <w:divBdr>
        <w:top w:val="none" w:sz="0" w:space="0" w:color="auto"/>
        <w:left w:val="none" w:sz="0" w:space="0" w:color="auto"/>
        <w:bottom w:val="none" w:sz="0" w:space="0" w:color="auto"/>
        <w:right w:val="none" w:sz="0" w:space="0" w:color="auto"/>
      </w:divBdr>
    </w:div>
    <w:div w:id="1624267743">
      <w:marLeft w:val="0"/>
      <w:marRight w:val="0"/>
      <w:marTop w:val="0"/>
      <w:marBottom w:val="0"/>
      <w:divBdr>
        <w:top w:val="none" w:sz="0" w:space="0" w:color="auto"/>
        <w:left w:val="none" w:sz="0" w:space="0" w:color="auto"/>
        <w:bottom w:val="none" w:sz="0" w:space="0" w:color="auto"/>
        <w:right w:val="none" w:sz="0" w:space="0" w:color="auto"/>
      </w:divBdr>
    </w:div>
    <w:div w:id="1624267746">
      <w:marLeft w:val="0"/>
      <w:marRight w:val="0"/>
      <w:marTop w:val="0"/>
      <w:marBottom w:val="0"/>
      <w:divBdr>
        <w:top w:val="none" w:sz="0" w:space="0" w:color="auto"/>
        <w:left w:val="none" w:sz="0" w:space="0" w:color="auto"/>
        <w:bottom w:val="none" w:sz="0" w:space="0" w:color="auto"/>
        <w:right w:val="none" w:sz="0" w:space="0" w:color="auto"/>
      </w:divBdr>
    </w:div>
    <w:div w:id="1624267747">
      <w:marLeft w:val="0"/>
      <w:marRight w:val="0"/>
      <w:marTop w:val="0"/>
      <w:marBottom w:val="0"/>
      <w:divBdr>
        <w:top w:val="none" w:sz="0" w:space="0" w:color="auto"/>
        <w:left w:val="none" w:sz="0" w:space="0" w:color="auto"/>
        <w:bottom w:val="none" w:sz="0" w:space="0" w:color="auto"/>
        <w:right w:val="none" w:sz="0" w:space="0" w:color="auto"/>
      </w:divBdr>
    </w:div>
    <w:div w:id="1624267748">
      <w:marLeft w:val="0"/>
      <w:marRight w:val="0"/>
      <w:marTop w:val="0"/>
      <w:marBottom w:val="0"/>
      <w:divBdr>
        <w:top w:val="none" w:sz="0" w:space="0" w:color="auto"/>
        <w:left w:val="none" w:sz="0" w:space="0" w:color="auto"/>
        <w:bottom w:val="none" w:sz="0" w:space="0" w:color="auto"/>
        <w:right w:val="none" w:sz="0" w:space="0" w:color="auto"/>
      </w:divBdr>
    </w:div>
    <w:div w:id="1624267751">
      <w:marLeft w:val="0"/>
      <w:marRight w:val="0"/>
      <w:marTop w:val="0"/>
      <w:marBottom w:val="0"/>
      <w:divBdr>
        <w:top w:val="none" w:sz="0" w:space="0" w:color="auto"/>
        <w:left w:val="none" w:sz="0" w:space="0" w:color="auto"/>
        <w:bottom w:val="none" w:sz="0" w:space="0" w:color="auto"/>
        <w:right w:val="none" w:sz="0" w:space="0" w:color="auto"/>
      </w:divBdr>
    </w:div>
    <w:div w:id="1624267752">
      <w:marLeft w:val="0"/>
      <w:marRight w:val="0"/>
      <w:marTop w:val="0"/>
      <w:marBottom w:val="0"/>
      <w:divBdr>
        <w:top w:val="none" w:sz="0" w:space="0" w:color="auto"/>
        <w:left w:val="none" w:sz="0" w:space="0" w:color="auto"/>
        <w:bottom w:val="none" w:sz="0" w:space="0" w:color="auto"/>
        <w:right w:val="none" w:sz="0" w:space="0" w:color="auto"/>
      </w:divBdr>
    </w:div>
    <w:div w:id="1624267753">
      <w:marLeft w:val="0"/>
      <w:marRight w:val="0"/>
      <w:marTop w:val="0"/>
      <w:marBottom w:val="0"/>
      <w:divBdr>
        <w:top w:val="none" w:sz="0" w:space="0" w:color="auto"/>
        <w:left w:val="none" w:sz="0" w:space="0" w:color="auto"/>
        <w:bottom w:val="none" w:sz="0" w:space="0" w:color="auto"/>
        <w:right w:val="none" w:sz="0" w:space="0" w:color="auto"/>
      </w:divBdr>
    </w:div>
    <w:div w:id="1624267754">
      <w:marLeft w:val="0"/>
      <w:marRight w:val="0"/>
      <w:marTop w:val="0"/>
      <w:marBottom w:val="0"/>
      <w:divBdr>
        <w:top w:val="none" w:sz="0" w:space="0" w:color="auto"/>
        <w:left w:val="none" w:sz="0" w:space="0" w:color="auto"/>
        <w:bottom w:val="none" w:sz="0" w:space="0" w:color="auto"/>
        <w:right w:val="none" w:sz="0" w:space="0" w:color="auto"/>
      </w:divBdr>
    </w:div>
    <w:div w:id="1624267755">
      <w:marLeft w:val="0"/>
      <w:marRight w:val="0"/>
      <w:marTop w:val="0"/>
      <w:marBottom w:val="0"/>
      <w:divBdr>
        <w:top w:val="none" w:sz="0" w:space="0" w:color="auto"/>
        <w:left w:val="none" w:sz="0" w:space="0" w:color="auto"/>
        <w:bottom w:val="none" w:sz="0" w:space="0" w:color="auto"/>
        <w:right w:val="none" w:sz="0" w:space="0" w:color="auto"/>
      </w:divBdr>
    </w:div>
    <w:div w:id="1624267756">
      <w:marLeft w:val="0"/>
      <w:marRight w:val="0"/>
      <w:marTop w:val="0"/>
      <w:marBottom w:val="0"/>
      <w:divBdr>
        <w:top w:val="none" w:sz="0" w:space="0" w:color="auto"/>
        <w:left w:val="none" w:sz="0" w:space="0" w:color="auto"/>
        <w:bottom w:val="none" w:sz="0" w:space="0" w:color="auto"/>
        <w:right w:val="none" w:sz="0" w:space="0" w:color="auto"/>
      </w:divBdr>
    </w:div>
    <w:div w:id="1624267757">
      <w:marLeft w:val="0"/>
      <w:marRight w:val="0"/>
      <w:marTop w:val="0"/>
      <w:marBottom w:val="0"/>
      <w:divBdr>
        <w:top w:val="none" w:sz="0" w:space="0" w:color="auto"/>
        <w:left w:val="none" w:sz="0" w:space="0" w:color="auto"/>
        <w:bottom w:val="none" w:sz="0" w:space="0" w:color="auto"/>
        <w:right w:val="none" w:sz="0" w:space="0" w:color="auto"/>
      </w:divBdr>
    </w:div>
    <w:div w:id="1624267758">
      <w:marLeft w:val="0"/>
      <w:marRight w:val="0"/>
      <w:marTop w:val="0"/>
      <w:marBottom w:val="0"/>
      <w:divBdr>
        <w:top w:val="none" w:sz="0" w:space="0" w:color="auto"/>
        <w:left w:val="none" w:sz="0" w:space="0" w:color="auto"/>
        <w:bottom w:val="none" w:sz="0" w:space="0" w:color="auto"/>
        <w:right w:val="none" w:sz="0" w:space="0" w:color="auto"/>
      </w:divBdr>
    </w:div>
    <w:div w:id="1624267759">
      <w:marLeft w:val="0"/>
      <w:marRight w:val="0"/>
      <w:marTop w:val="0"/>
      <w:marBottom w:val="0"/>
      <w:divBdr>
        <w:top w:val="none" w:sz="0" w:space="0" w:color="auto"/>
        <w:left w:val="none" w:sz="0" w:space="0" w:color="auto"/>
        <w:bottom w:val="none" w:sz="0" w:space="0" w:color="auto"/>
        <w:right w:val="none" w:sz="0" w:space="0" w:color="auto"/>
      </w:divBdr>
    </w:div>
    <w:div w:id="1624267761">
      <w:marLeft w:val="0"/>
      <w:marRight w:val="0"/>
      <w:marTop w:val="0"/>
      <w:marBottom w:val="0"/>
      <w:divBdr>
        <w:top w:val="none" w:sz="0" w:space="0" w:color="auto"/>
        <w:left w:val="none" w:sz="0" w:space="0" w:color="auto"/>
        <w:bottom w:val="none" w:sz="0" w:space="0" w:color="auto"/>
        <w:right w:val="none" w:sz="0" w:space="0" w:color="auto"/>
      </w:divBdr>
    </w:div>
    <w:div w:id="1624267762">
      <w:marLeft w:val="0"/>
      <w:marRight w:val="0"/>
      <w:marTop w:val="0"/>
      <w:marBottom w:val="0"/>
      <w:divBdr>
        <w:top w:val="none" w:sz="0" w:space="0" w:color="auto"/>
        <w:left w:val="none" w:sz="0" w:space="0" w:color="auto"/>
        <w:bottom w:val="none" w:sz="0" w:space="0" w:color="auto"/>
        <w:right w:val="none" w:sz="0" w:space="0" w:color="auto"/>
      </w:divBdr>
    </w:div>
    <w:div w:id="1624267763">
      <w:marLeft w:val="0"/>
      <w:marRight w:val="0"/>
      <w:marTop w:val="0"/>
      <w:marBottom w:val="0"/>
      <w:divBdr>
        <w:top w:val="none" w:sz="0" w:space="0" w:color="auto"/>
        <w:left w:val="none" w:sz="0" w:space="0" w:color="auto"/>
        <w:bottom w:val="none" w:sz="0" w:space="0" w:color="auto"/>
        <w:right w:val="none" w:sz="0" w:space="0" w:color="auto"/>
      </w:divBdr>
    </w:div>
    <w:div w:id="1624267764">
      <w:marLeft w:val="0"/>
      <w:marRight w:val="0"/>
      <w:marTop w:val="0"/>
      <w:marBottom w:val="0"/>
      <w:divBdr>
        <w:top w:val="none" w:sz="0" w:space="0" w:color="auto"/>
        <w:left w:val="none" w:sz="0" w:space="0" w:color="auto"/>
        <w:bottom w:val="none" w:sz="0" w:space="0" w:color="auto"/>
        <w:right w:val="none" w:sz="0" w:space="0" w:color="auto"/>
      </w:divBdr>
    </w:div>
    <w:div w:id="1624267765">
      <w:marLeft w:val="0"/>
      <w:marRight w:val="0"/>
      <w:marTop w:val="0"/>
      <w:marBottom w:val="0"/>
      <w:divBdr>
        <w:top w:val="none" w:sz="0" w:space="0" w:color="auto"/>
        <w:left w:val="none" w:sz="0" w:space="0" w:color="auto"/>
        <w:bottom w:val="none" w:sz="0" w:space="0" w:color="auto"/>
        <w:right w:val="none" w:sz="0" w:space="0" w:color="auto"/>
      </w:divBdr>
    </w:div>
    <w:div w:id="1624267766">
      <w:marLeft w:val="0"/>
      <w:marRight w:val="0"/>
      <w:marTop w:val="0"/>
      <w:marBottom w:val="0"/>
      <w:divBdr>
        <w:top w:val="none" w:sz="0" w:space="0" w:color="auto"/>
        <w:left w:val="none" w:sz="0" w:space="0" w:color="auto"/>
        <w:bottom w:val="none" w:sz="0" w:space="0" w:color="auto"/>
        <w:right w:val="none" w:sz="0" w:space="0" w:color="auto"/>
      </w:divBdr>
    </w:div>
    <w:div w:id="1624267767">
      <w:marLeft w:val="0"/>
      <w:marRight w:val="0"/>
      <w:marTop w:val="0"/>
      <w:marBottom w:val="0"/>
      <w:divBdr>
        <w:top w:val="none" w:sz="0" w:space="0" w:color="auto"/>
        <w:left w:val="none" w:sz="0" w:space="0" w:color="auto"/>
        <w:bottom w:val="none" w:sz="0" w:space="0" w:color="auto"/>
        <w:right w:val="none" w:sz="0" w:space="0" w:color="auto"/>
      </w:divBdr>
    </w:div>
    <w:div w:id="1624267768">
      <w:marLeft w:val="0"/>
      <w:marRight w:val="0"/>
      <w:marTop w:val="0"/>
      <w:marBottom w:val="0"/>
      <w:divBdr>
        <w:top w:val="none" w:sz="0" w:space="0" w:color="auto"/>
        <w:left w:val="none" w:sz="0" w:space="0" w:color="auto"/>
        <w:bottom w:val="none" w:sz="0" w:space="0" w:color="auto"/>
        <w:right w:val="none" w:sz="0" w:space="0" w:color="auto"/>
      </w:divBdr>
    </w:div>
    <w:div w:id="1624267769">
      <w:marLeft w:val="0"/>
      <w:marRight w:val="0"/>
      <w:marTop w:val="0"/>
      <w:marBottom w:val="0"/>
      <w:divBdr>
        <w:top w:val="none" w:sz="0" w:space="0" w:color="auto"/>
        <w:left w:val="none" w:sz="0" w:space="0" w:color="auto"/>
        <w:bottom w:val="none" w:sz="0" w:space="0" w:color="auto"/>
        <w:right w:val="none" w:sz="0" w:space="0" w:color="auto"/>
      </w:divBdr>
    </w:div>
    <w:div w:id="1624267770">
      <w:marLeft w:val="0"/>
      <w:marRight w:val="0"/>
      <w:marTop w:val="0"/>
      <w:marBottom w:val="0"/>
      <w:divBdr>
        <w:top w:val="none" w:sz="0" w:space="0" w:color="auto"/>
        <w:left w:val="none" w:sz="0" w:space="0" w:color="auto"/>
        <w:bottom w:val="none" w:sz="0" w:space="0" w:color="auto"/>
        <w:right w:val="none" w:sz="0" w:space="0" w:color="auto"/>
      </w:divBdr>
    </w:div>
    <w:div w:id="1624267771">
      <w:marLeft w:val="0"/>
      <w:marRight w:val="0"/>
      <w:marTop w:val="0"/>
      <w:marBottom w:val="0"/>
      <w:divBdr>
        <w:top w:val="none" w:sz="0" w:space="0" w:color="auto"/>
        <w:left w:val="none" w:sz="0" w:space="0" w:color="auto"/>
        <w:bottom w:val="none" w:sz="0" w:space="0" w:color="auto"/>
        <w:right w:val="none" w:sz="0" w:space="0" w:color="auto"/>
      </w:divBdr>
    </w:div>
    <w:div w:id="1624267772">
      <w:marLeft w:val="0"/>
      <w:marRight w:val="0"/>
      <w:marTop w:val="0"/>
      <w:marBottom w:val="0"/>
      <w:divBdr>
        <w:top w:val="none" w:sz="0" w:space="0" w:color="auto"/>
        <w:left w:val="none" w:sz="0" w:space="0" w:color="auto"/>
        <w:bottom w:val="none" w:sz="0" w:space="0" w:color="auto"/>
        <w:right w:val="none" w:sz="0" w:space="0" w:color="auto"/>
      </w:divBdr>
    </w:div>
    <w:div w:id="1624267773">
      <w:marLeft w:val="0"/>
      <w:marRight w:val="0"/>
      <w:marTop w:val="0"/>
      <w:marBottom w:val="0"/>
      <w:divBdr>
        <w:top w:val="none" w:sz="0" w:space="0" w:color="auto"/>
        <w:left w:val="none" w:sz="0" w:space="0" w:color="auto"/>
        <w:bottom w:val="none" w:sz="0" w:space="0" w:color="auto"/>
        <w:right w:val="none" w:sz="0" w:space="0" w:color="auto"/>
      </w:divBdr>
    </w:div>
    <w:div w:id="1624267774">
      <w:marLeft w:val="0"/>
      <w:marRight w:val="0"/>
      <w:marTop w:val="0"/>
      <w:marBottom w:val="0"/>
      <w:divBdr>
        <w:top w:val="none" w:sz="0" w:space="0" w:color="auto"/>
        <w:left w:val="none" w:sz="0" w:space="0" w:color="auto"/>
        <w:bottom w:val="none" w:sz="0" w:space="0" w:color="auto"/>
        <w:right w:val="none" w:sz="0" w:space="0" w:color="auto"/>
      </w:divBdr>
    </w:div>
    <w:div w:id="1624267775">
      <w:marLeft w:val="0"/>
      <w:marRight w:val="0"/>
      <w:marTop w:val="0"/>
      <w:marBottom w:val="0"/>
      <w:divBdr>
        <w:top w:val="none" w:sz="0" w:space="0" w:color="auto"/>
        <w:left w:val="none" w:sz="0" w:space="0" w:color="auto"/>
        <w:bottom w:val="none" w:sz="0" w:space="0" w:color="auto"/>
        <w:right w:val="none" w:sz="0" w:space="0" w:color="auto"/>
      </w:divBdr>
    </w:div>
    <w:div w:id="1624267776">
      <w:marLeft w:val="0"/>
      <w:marRight w:val="0"/>
      <w:marTop w:val="0"/>
      <w:marBottom w:val="0"/>
      <w:divBdr>
        <w:top w:val="none" w:sz="0" w:space="0" w:color="auto"/>
        <w:left w:val="none" w:sz="0" w:space="0" w:color="auto"/>
        <w:bottom w:val="none" w:sz="0" w:space="0" w:color="auto"/>
        <w:right w:val="none" w:sz="0" w:space="0" w:color="auto"/>
      </w:divBdr>
    </w:div>
    <w:div w:id="1624267777">
      <w:marLeft w:val="0"/>
      <w:marRight w:val="0"/>
      <w:marTop w:val="0"/>
      <w:marBottom w:val="0"/>
      <w:divBdr>
        <w:top w:val="none" w:sz="0" w:space="0" w:color="auto"/>
        <w:left w:val="none" w:sz="0" w:space="0" w:color="auto"/>
        <w:bottom w:val="none" w:sz="0" w:space="0" w:color="auto"/>
        <w:right w:val="none" w:sz="0" w:space="0" w:color="auto"/>
      </w:divBdr>
    </w:div>
    <w:div w:id="1624267778">
      <w:marLeft w:val="0"/>
      <w:marRight w:val="0"/>
      <w:marTop w:val="0"/>
      <w:marBottom w:val="0"/>
      <w:divBdr>
        <w:top w:val="none" w:sz="0" w:space="0" w:color="auto"/>
        <w:left w:val="none" w:sz="0" w:space="0" w:color="auto"/>
        <w:bottom w:val="none" w:sz="0" w:space="0" w:color="auto"/>
        <w:right w:val="none" w:sz="0" w:space="0" w:color="auto"/>
      </w:divBdr>
    </w:div>
    <w:div w:id="1624267779">
      <w:marLeft w:val="0"/>
      <w:marRight w:val="0"/>
      <w:marTop w:val="0"/>
      <w:marBottom w:val="0"/>
      <w:divBdr>
        <w:top w:val="none" w:sz="0" w:space="0" w:color="auto"/>
        <w:left w:val="none" w:sz="0" w:space="0" w:color="auto"/>
        <w:bottom w:val="none" w:sz="0" w:space="0" w:color="auto"/>
        <w:right w:val="none" w:sz="0" w:space="0" w:color="auto"/>
      </w:divBdr>
    </w:div>
    <w:div w:id="1624267780">
      <w:marLeft w:val="0"/>
      <w:marRight w:val="0"/>
      <w:marTop w:val="0"/>
      <w:marBottom w:val="0"/>
      <w:divBdr>
        <w:top w:val="none" w:sz="0" w:space="0" w:color="auto"/>
        <w:left w:val="none" w:sz="0" w:space="0" w:color="auto"/>
        <w:bottom w:val="none" w:sz="0" w:space="0" w:color="auto"/>
        <w:right w:val="none" w:sz="0" w:space="0" w:color="auto"/>
      </w:divBdr>
    </w:div>
    <w:div w:id="1624267781">
      <w:marLeft w:val="0"/>
      <w:marRight w:val="0"/>
      <w:marTop w:val="0"/>
      <w:marBottom w:val="0"/>
      <w:divBdr>
        <w:top w:val="none" w:sz="0" w:space="0" w:color="auto"/>
        <w:left w:val="none" w:sz="0" w:space="0" w:color="auto"/>
        <w:bottom w:val="none" w:sz="0" w:space="0" w:color="auto"/>
        <w:right w:val="none" w:sz="0" w:space="0" w:color="auto"/>
      </w:divBdr>
    </w:div>
    <w:div w:id="1624267782">
      <w:marLeft w:val="0"/>
      <w:marRight w:val="0"/>
      <w:marTop w:val="0"/>
      <w:marBottom w:val="0"/>
      <w:divBdr>
        <w:top w:val="none" w:sz="0" w:space="0" w:color="auto"/>
        <w:left w:val="none" w:sz="0" w:space="0" w:color="auto"/>
        <w:bottom w:val="none" w:sz="0" w:space="0" w:color="auto"/>
        <w:right w:val="none" w:sz="0" w:space="0" w:color="auto"/>
      </w:divBdr>
    </w:div>
    <w:div w:id="1624267783">
      <w:marLeft w:val="0"/>
      <w:marRight w:val="0"/>
      <w:marTop w:val="0"/>
      <w:marBottom w:val="0"/>
      <w:divBdr>
        <w:top w:val="none" w:sz="0" w:space="0" w:color="auto"/>
        <w:left w:val="none" w:sz="0" w:space="0" w:color="auto"/>
        <w:bottom w:val="none" w:sz="0" w:space="0" w:color="auto"/>
        <w:right w:val="none" w:sz="0" w:space="0" w:color="auto"/>
      </w:divBdr>
    </w:div>
    <w:div w:id="1624267784">
      <w:marLeft w:val="0"/>
      <w:marRight w:val="0"/>
      <w:marTop w:val="0"/>
      <w:marBottom w:val="0"/>
      <w:divBdr>
        <w:top w:val="none" w:sz="0" w:space="0" w:color="auto"/>
        <w:left w:val="none" w:sz="0" w:space="0" w:color="auto"/>
        <w:bottom w:val="none" w:sz="0" w:space="0" w:color="auto"/>
        <w:right w:val="none" w:sz="0" w:space="0" w:color="auto"/>
      </w:divBdr>
    </w:div>
    <w:div w:id="1624267785">
      <w:marLeft w:val="0"/>
      <w:marRight w:val="0"/>
      <w:marTop w:val="0"/>
      <w:marBottom w:val="0"/>
      <w:divBdr>
        <w:top w:val="none" w:sz="0" w:space="0" w:color="auto"/>
        <w:left w:val="none" w:sz="0" w:space="0" w:color="auto"/>
        <w:bottom w:val="none" w:sz="0" w:space="0" w:color="auto"/>
        <w:right w:val="none" w:sz="0" w:space="0" w:color="auto"/>
      </w:divBdr>
    </w:div>
    <w:div w:id="1624267786">
      <w:marLeft w:val="0"/>
      <w:marRight w:val="0"/>
      <w:marTop w:val="0"/>
      <w:marBottom w:val="0"/>
      <w:divBdr>
        <w:top w:val="none" w:sz="0" w:space="0" w:color="auto"/>
        <w:left w:val="none" w:sz="0" w:space="0" w:color="auto"/>
        <w:bottom w:val="none" w:sz="0" w:space="0" w:color="auto"/>
        <w:right w:val="none" w:sz="0" w:space="0" w:color="auto"/>
      </w:divBdr>
    </w:div>
    <w:div w:id="1624267787">
      <w:marLeft w:val="0"/>
      <w:marRight w:val="0"/>
      <w:marTop w:val="0"/>
      <w:marBottom w:val="0"/>
      <w:divBdr>
        <w:top w:val="none" w:sz="0" w:space="0" w:color="auto"/>
        <w:left w:val="none" w:sz="0" w:space="0" w:color="auto"/>
        <w:bottom w:val="none" w:sz="0" w:space="0" w:color="auto"/>
        <w:right w:val="none" w:sz="0" w:space="0" w:color="auto"/>
      </w:divBdr>
    </w:div>
    <w:div w:id="1624267788">
      <w:marLeft w:val="0"/>
      <w:marRight w:val="0"/>
      <w:marTop w:val="0"/>
      <w:marBottom w:val="0"/>
      <w:divBdr>
        <w:top w:val="none" w:sz="0" w:space="0" w:color="auto"/>
        <w:left w:val="none" w:sz="0" w:space="0" w:color="auto"/>
        <w:bottom w:val="none" w:sz="0" w:space="0" w:color="auto"/>
        <w:right w:val="none" w:sz="0" w:space="0" w:color="auto"/>
      </w:divBdr>
    </w:div>
    <w:div w:id="1624267789">
      <w:marLeft w:val="0"/>
      <w:marRight w:val="0"/>
      <w:marTop w:val="0"/>
      <w:marBottom w:val="0"/>
      <w:divBdr>
        <w:top w:val="none" w:sz="0" w:space="0" w:color="auto"/>
        <w:left w:val="none" w:sz="0" w:space="0" w:color="auto"/>
        <w:bottom w:val="none" w:sz="0" w:space="0" w:color="auto"/>
        <w:right w:val="none" w:sz="0" w:space="0" w:color="auto"/>
      </w:divBdr>
    </w:div>
    <w:div w:id="1624267790">
      <w:marLeft w:val="0"/>
      <w:marRight w:val="0"/>
      <w:marTop w:val="0"/>
      <w:marBottom w:val="0"/>
      <w:divBdr>
        <w:top w:val="none" w:sz="0" w:space="0" w:color="auto"/>
        <w:left w:val="none" w:sz="0" w:space="0" w:color="auto"/>
        <w:bottom w:val="none" w:sz="0" w:space="0" w:color="auto"/>
        <w:right w:val="none" w:sz="0" w:space="0" w:color="auto"/>
      </w:divBdr>
    </w:div>
    <w:div w:id="1624267791">
      <w:marLeft w:val="0"/>
      <w:marRight w:val="0"/>
      <w:marTop w:val="0"/>
      <w:marBottom w:val="0"/>
      <w:divBdr>
        <w:top w:val="none" w:sz="0" w:space="0" w:color="auto"/>
        <w:left w:val="none" w:sz="0" w:space="0" w:color="auto"/>
        <w:bottom w:val="none" w:sz="0" w:space="0" w:color="auto"/>
        <w:right w:val="none" w:sz="0" w:space="0" w:color="auto"/>
      </w:divBdr>
    </w:div>
    <w:div w:id="1624267792">
      <w:marLeft w:val="0"/>
      <w:marRight w:val="0"/>
      <w:marTop w:val="0"/>
      <w:marBottom w:val="0"/>
      <w:divBdr>
        <w:top w:val="none" w:sz="0" w:space="0" w:color="auto"/>
        <w:left w:val="none" w:sz="0" w:space="0" w:color="auto"/>
        <w:bottom w:val="none" w:sz="0" w:space="0" w:color="auto"/>
        <w:right w:val="none" w:sz="0" w:space="0" w:color="auto"/>
      </w:divBdr>
    </w:div>
    <w:div w:id="1624267793">
      <w:marLeft w:val="0"/>
      <w:marRight w:val="0"/>
      <w:marTop w:val="0"/>
      <w:marBottom w:val="0"/>
      <w:divBdr>
        <w:top w:val="none" w:sz="0" w:space="0" w:color="auto"/>
        <w:left w:val="none" w:sz="0" w:space="0" w:color="auto"/>
        <w:bottom w:val="none" w:sz="0" w:space="0" w:color="auto"/>
        <w:right w:val="none" w:sz="0" w:space="0" w:color="auto"/>
      </w:divBdr>
    </w:div>
    <w:div w:id="1624267794">
      <w:marLeft w:val="0"/>
      <w:marRight w:val="0"/>
      <w:marTop w:val="0"/>
      <w:marBottom w:val="0"/>
      <w:divBdr>
        <w:top w:val="none" w:sz="0" w:space="0" w:color="auto"/>
        <w:left w:val="none" w:sz="0" w:space="0" w:color="auto"/>
        <w:bottom w:val="none" w:sz="0" w:space="0" w:color="auto"/>
        <w:right w:val="none" w:sz="0" w:space="0" w:color="auto"/>
      </w:divBdr>
    </w:div>
    <w:div w:id="1624267795">
      <w:marLeft w:val="0"/>
      <w:marRight w:val="0"/>
      <w:marTop w:val="0"/>
      <w:marBottom w:val="0"/>
      <w:divBdr>
        <w:top w:val="none" w:sz="0" w:space="0" w:color="auto"/>
        <w:left w:val="none" w:sz="0" w:space="0" w:color="auto"/>
        <w:bottom w:val="none" w:sz="0" w:space="0" w:color="auto"/>
        <w:right w:val="none" w:sz="0" w:space="0" w:color="auto"/>
      </w:divBdr>
    </w:div>
    <w:div w:id="1624267796">
      <w:marLeft w:val="0"/>
      <w:marRight w:val="0"/>
      <w:marTop w:val="0"/>
      <w:marBottom w:val="0"/>
      <w:divBdr>
        <w:top w:val="none" w:sz="0" w:space="0" w:color="auto"/>
        <w:left w:val="none" w:sz="0" w:space="0" w:color="auto"/>
        <w:bottom w:val="none" w:sz="0" w:space="0" w:color="auto"/>
        <w:right w:val="none" w:sz="0" w:space="0" w:color="auto"/>
      </w:divBdr>
    </w:div>
    <w:div w:id="1624267797">
      <w:marLeft w:val="0"/>
      <w:marRight w:val="0"/>
      <w:marTop w:val="0"/>
      <w:marBottom w:val="0"/>
      <w:divBdr>
        <w:top w:val="none" w:sz="0" w:space="0" w:color="auto"/>
        <w:left w:val="none" w:sz="0" w:space="0" w:color="auto"/>
        <w:bottom w:val="none" w:sz="0" w:space="0" w:color="auto"/>
        <w:right w:val="none" w:sz="0" w:space="0" w:color="auto"/>
      </w:divBdr>
    </w:div>
    <w:div w:id="1624267798">
      <w:marLeft w:val="0"/>
      <w:marRight w:val="0"/>
      <w:marTop w:val="0"/>
      <w:marBottom w:val="0"/>
      <w:divBdr>
        <w:top w:val="none" w:sz="0" w:space="0" w:color="auto"/>
        <w:left w:val="none" w:sz="0" w:space="0" w:color="auto"/>
        <w:bottom w:val="none" w:sz="0" w:space="0" w:color="auto"/>
        <w:right w:val="none" w:sz="0" w:space="0" w:color="auto"/>
      </w:divBdr>
    </w:div>
    <w:div w:id="1624267799">
      <w:marLeft w:val="0"/>
      <w:marRight w:val="0"/>
      <w:marTop w:val="0"/>
      <w:marBottom w:val="0"/>
      <w:divBdr>
        <w:top w:val="none" w:sz="0" w:space="0" w:color="auto"/>
        <w:left w:val="none" w:sz="0" w:space="0" w:color="auto"/>
        <w:bottom w:val="none" w:sz="0" w:space="0" w:color="auto"/>
        <w:right w:val="none" w:sz="0" w:space="0" w:color="auto"/>
      </w:divBdr>
    </w:div>
    <w:div w:id="1624267800">
      <w:marLeft w:val="0"/>
      <w:marRight w:val="0"/>
      <w:marTop w:val="0"/>
      <w:marBottom w:val="0"/>
      <w:divBdr>
        <w:top w:val="none" w:sz="0" w:space="0" w:color="auto"/>
        <w:left w:val="none" w:sz="0" w:space="0" w:color="auto"/>
        <w:bottom w:val="none" w:sz="0" w:space="0" w:color="auto"/>
        <w:right w:val="none" w:sz="0" w:space="0" w:color="auto"/>
      </w:divBdr>
    </w:div>
    <w:div w:id="1624267801">
      <w:marLeft w:val="0"/>
      <w:marRight w:val="0"/>
      <w:marTop w:val="0"/>
      <w:marBottom w:val="0"/>
      <w:divBdr>
        <w:top w:val="none" w:sz="0" w:space="0" w:color="auto"/>
        <w:left w:val="none" w:sz="0" w:space="0" w:color="auto"/>
        <w:bottom w:val="none" w:sz="0" w:space="0" w:color="auto"/>
        <w:right w:val="none" w:sz="0" w:space="0" w:color="auto"/>
      </w:divBdr>
    </w:div>
    <w:div w:id="1624267802">
      <w:marLeft w:val="0"/>
      <w:marRight w:val="0"/>
      <w:marTop w:val="0"/>
      <w:marBottom w:val="0"/>
      <w:divBdr>
        <w:top w:val="none" w:sz="0" w:space="0" w:color="auto"/>
        <w:left w:val="none" w:sz="0" w:space="0" w:color="auto"/>
        <w:bottom w:val="none" w:sz="0" w:space="0" w:color="auto"/>
        <w:right w:val="none" w:sz="0" w:space="0" w:color="auto"/>
      </w:divBdr>
    </w:div>
    <w:div w:id="1624267804">
      <w:marLeft w:val="0"/>
      <w:marRight w:val="0"/>
      <w:marTop w:val="0"/>
      <w:marBottom w:val="0"/>
      <w:divBdr>
        <w:top w:val="none" w:sz="0" w:space="0" w:color="auto"/>
        <w:left w:val="none" w:sz="0" w:space="0" w:color="auto"/>
        <w:bottom w:val="none" w:sz="0" w:space="0" w:color="auto"/>
        <w:right w:val="none" w:sz="0" w:space="0" w:color="auto"/>
      </w:divBdr>
    </w:div>
    <w:div w:id="1624267807">
      <w:marLeft w:val="0"/>
      <w:marRight w:val="0"/>
      <w:marTop w:val="0"/>
      <w:marBottom w:val="0"/>
      <w:divBdr>
        <w:top w:val="none" w:sz="0" w:space="0" w:color="auto"/>
        <w:left w:val="none" w:sz="0" w:space="0" w:color="auto"/>
        <w:bottom w:val="none" w:sz="0" w:space="0" w:color="auto"/>
        <w:right w:val="none" w:sz="0" w:space="0" w:color="auto"/>
      </w:divBdr>
    </w:div>
    <w:div w:id="1624267808">
      <w:marLeft w:val="0"/>
      <w:marRight w:val="0"/>
      <w:marTop w:val="0"/>
      <w:marBottom w:val="0"/>
      <w:divBdr>
        <w:top w:val="none" w:sz="0" w:space="0" w:color="auto"/>
        <w:left w:val="none" w:sz="0" w:space="0" w:color="auto"/>
        <w:bottom w:val="none" w:sz="0" w:space="0" w:color="auto"/>
        <w:right w:val="none" w:sz="0" w:space="0" w:color="auto"/>
      </w:divBdr>
    </w:div>
    <w:div w:id="1624267810">
      <w:marLeft w:val="0"/>
      <w:marRight w:val="0"/>
      <w:marTop w:val="0"/>
      <w:marBottom w:val="0"/>
      <w:divBdr>
        <w:top w:val="none" w:sz="0" w:space="0" w:color="auto"/>
        <w:left w:val="none" w:sz="0" w:space="0" w:color="auto"/>
        <w:bottom w:val="none" w:sz="0" w:space="0" w:color="auto"/>
        <w:right w:val="none" w:sz="0" w:space="0" w:color="auto"/>
      </w:divBdr>
    </w:div>
    <w:div w:id="1624267812">
      <w:marLeft w:val="0"/>
      <w:marRight w:val="0"/>
      <w:marTop w:val="0"/>
      <w:marBottom w:val="0"/>
      <w:divBdr>
        <w:top w:val="none" w:sz="0" w:space="0" w:color="auto"/>
        <w:left w:val="none" w:sz="0" w:space="0" w:color="auto"/>
        <w:bottom w:val="none" w:sz="0" w:space="0" w:color="auto"/>
        <w:right w:val="none" w:sz="0" w:space="0" w:color="auto"/>
      </w:divBdr>
    </w:div>
    <w:div w:id="1624267813">
      <w:marLeft w:val="0"/>
      <w:marRight w:val="0"/>
      <w:marTop w:val="0"/>
      <w:marBottom w:val="0"/>
      <w:divBdr>
        <w:top w:val="none" w:sz="0" w:space="0" w:color="auto"/>
        <w:left w:val="none" w:sz="0" w:space="0" w:color="auto"/>
        <w:bottom w:val="none" w:sz="0" w:space="0" w:color="auto"/>
        <w:right w:val="none" w:sz="0" w:space="0" w:color="auto"/>
      </w:divBdr>
    </w:div>
    <w:div w:id="1624267815">
      <w:marLeft w:val="0"/>
      <w:marRight w:val="0"/>
      <w:marTop w:val="0"/>
      <w:marBottom w:val="0"/>
      <w:divBdr>
        <w:top w:val="none" w:sz="0" w:space="0" w:color="auto"/>
        <w:left w:val="none" w:sz="0" w:space="0" w:color="auto"/>
        <w:bottom w:val="none" w:sz="0" w:space="0" w:color="auto"/>
        <w:right w:val="none" w:sz="0" w:space="0" w:color="auto"/>
      </w:divBdr>
    </w:div>
    <w:div w:id="1624267817">
      <w:marLeft w:val="0"/>
      <w:marRight w:val="0"/>
      <w:marTop w:val="0"/>
      <w:marBottom w:val="0"/>
      <w:divBdr>
        <w:top w:val="none" w:sz="0" w:space="0" w:color="auto"/>
        <w:left w:val="none" w:sz="0" w:space="0" w:color="auto"/>
        <w:bottom w:val="none" w:sz="0" w:space="0" w:color="auto"/>
        <w:right w:val="none" w:sz="0" w:space="0" w:color="auto"/>
      </w:divBdr>
    </w:div>
    <w:div w:id="1624267818">
      <w:marLeft w:val="0"/>
      <w:marRight w:val="0"/>
      <w:marTop w:val="0"/>
      <w:marBottom w:val="0"/>
      <w:divBdr>
        <w:top w:val="none" w:sz="0" w:space="0" w:color="auto"/>
        <w:left w:val="none" w:sz="0" w:space="0" w:color="auto"/>
        <w:bottom w:val="none" w:sz="0" w:space="0" w:color="auto"/>
        <w:right w:val="none" w:sz="0" w:space="0" w:color="auto"/>
      </w:divBdr>
      <w:divsChild>
        <w:div w:id="1624267729">
          <w:marLeft w:val="0"/>
          <w:marRight w:val="0"/>
          <w:marTop w:val="0"/>
          <w:marBottom w:val="0"/>
          <w:divBdr>
            <w:top w:val="none" w:sz="0" w:space="0" w:color="auto"/>
            <w:left w:val="none" w:sz="0" w:space="0" w:color="auto"/>
            <w:bottom w:val="none" w:sz="0" w:space="0" w:color="auto"/>
            <w:right w:val="none" w:sz="0" w:space="0" w:color="auto"/>
          </w:divBdr>
        </w:div>
        <w:div w:id="1624267737">
          <w:marLeft w:val="0"/>
          <w:marRight w:val="0"/>
          <w:marTop w:val="0"/>
          <w:marBottom w:val="0"/>
          <w:divBdr>
            <w:top w:val="none" w:sz="0" w:space="0" w:color="auto"/>
            <w:left w:val="none" w:sz="0" w:space="0" w:color="auto"/>
            <w:bottom w:val="none" w:sz="0" w:space="0" w:color="auto"/>
            <w:right w:val="none" w:sz="0" w:space="0" w:color="auto"/>
          </w:divBdr>
        </w:div>
        <w:div w:id="1624267739">
          <w:marLeft w:val="0"/>
          <w:marRight w:val="0"/>
          <w:marTop w:val="0"/>
          <w:marBottom w:val="0"/>
          <w:divBdr>
            <w:top w:val="none" w:sz="0" w:space="0" w:color="auto"/>
            <w:left w:val="none" w:sz="0" w:space="0" w:color="auto"/>
            <w:bottom w:val="none" w:sz="0" w:space="0" w:color="auto"/>
            <w:right w:val="none" w:sz="0" w:space="0" w:color="auto"/>
          </w:divBdr>
        </w:div>
        <w:div w:id="1624267744">
          <w:marLeft w:val="0"/>
          <w:marRight w:val="0"/>
          <w:marTop w:val="0"/>
          <w:marBottom w:val="0"/>
          <w:divBdr>
            <w:top w:val="none" w:sz="0" w:space="0" w:color="auto"/>
            <w:left w:val="none" w:sz="0" w:space="0" w:color="auto"/>
            <w:bottom w:val="none" w:sz="0" w:space="0" w:color="auto"/>
            <w:right w:val="none" w:sz="0" w:space="0" w:color="auto"/>
          </w:divBdr>
        </w:div>
        <w:div w:id="1624267745">
          <w:marLeft w:val="0"/>
          <w:marRight w:val="0"/>
          <w:marTop w:val="0"/>
          <w:marBottom w:val="0"/>
          <w:divBdr>
            <w:top w:val="none" w:sz="0" w:space="0" w:color="auto"/>
            <w:left w:val="none" w:sz="0" w:space="0" w:color="auto"/>
            <w:bottom w:val="none" w:sz="0" w:space="0" w:color="auto"/>
            <w:right w:val="none" w:sz="0" w:space="0" w:color="auto"/>
          </w:divBdr>
        </w:div>
        <w:div w:id="1624267749">
          <w:marLeft w:val="0"/>
          <w:marRight w:val="0"/>
          <w:marTop w:val="0"/>
          <w:marBottom w:val="0"/>
          <w:divBdr>
            <w:top w:val="none" w:sz="0" w:space="0" w:color="auto"/>
            <w:left w:val="none" w:sz="0" w:space="0" w:color="auto"/>
            <w:bottom w:val="none" w:sz="0" w:space="0" w:color="auto"/>
            <w:right w:val="none" w:sz="0" w:space="0" w:color="auto"/>
          </w:divBdr>
        </w:div>
        <w:div w:id="1624267750">
          <w:marLeft w:val="0"/>
          <w:marRight w:val="0"/>
          <w:marTop w:val="0"/>
          <w:marBottom w:val="0"/>
          <w:divBdr>
            <w:top w:val="none" w:sz="0" w:space="0" w:color="auto"/>
            <w:left w:val="none" w:sz="0" w:space="0" w:color="auto"/>
            <w:bottom w:val="none" w:sz="0" w:space="0" w:color="auto"/>
            <w:right w:val="none" w:sz="0" w:space="0" w:color="auto"/>
          </w:divBdr>
        </w:div>
        <w:div w:id="1624267760">
          <w:marLeft w:val="0"/>
          <w:marRight w:val="0"/>
          <w:marTop w:val="0"/>
          <w:marBottom w:val="0"/>
          <w:divBdr>
            <w:top w:val="none" w:sz="0" w:space="0" w:color="auto"/>
            <w:left w:val="none" w:sz="0" w:space="0" w:color="auto"/>
            <w:bottom w:val="none" w:sz="0" w:space="0" w:color="auto"/>
            <w:right w:val="none" w:sz="0" w:space="0" w:color="auto"/>
          </w:divBdr>
        </w:div>
        <w:div w:id="1624267803">
          <w:marLeft w:val="0"/>
          <w:marRight w:val="0"/>
          <w:marTop w:val="0"/>
          <w:marBottom w:val="0"/>
          <w:divBdr>
            <w:top w:val="none" w:sz="0" w:space="0" w:color="auto"/>
            <w:left w:val="none" w:sz="0" w:space="0" w:color="auto"/>
            <w:bottom w:val="none" w:sz="0" w:space="0" w:color="auto"/>
            <w:right w:val="none" w:sz="0" w:space="0" w:color="auto"/>
          </w:divBdr>
        </w:div>
        <w:div w:id="1624267805">
          <w:marLeft w:val="0"/>
          <w:marRight w:val="0"/>
          <w:marTop w:val="0"/>
          <w:marBottom w:val="0"/>
          <w:divBdr>
            <w:top w:val="none" w:sz="0" w:space="0" w:color="auto"/>
            <w:left w:val="none" w:sz="0" w:space="0" w:color="auto"/>
            <w:bottom w:val="none" w:sz="0" w:space="0" w:color="auto"/>
            <w:right w:val="none" w:sz="0" w:space="0" w:color="auto"/>
          </w:divBdr>
        </w:div>
        <w:div w:id="1624267806">
          <w:marLeft w:val="0"/>
          <w:marRight w:val="0"/>
          <w:marTop w:val="0"/>
          <w:marBottom w:val="0"/>
          <w:divBdr>
            <w:top w:val="none" w:sz="0" w:space="0" w:color="auto"/>
            <w:left w:val="none" w:sz="0" w:space="0" w:color="auto"/>
            <w:bottom w:val="none" w:sz="0" w:space="0" w:color="auto"/>
            <w:right w:val="none" w:sz="0" w:space="0" w:color="auto"/>
          </w:divBdr>
        </w:div>
        <w:div w:id="1624267809">
          <w:marLeft w:val="0"/>
          <w:marRight w:val="0"/>
          <w:marTop w:val="0"/>
          <w:marBottom w:val="0"/>
          <w:divBdr>
            <w:top w:val="single" w:sz="6" w:space="3" w:color="808080"/>
            <w:left w:val="single" w:sz="6" w:space="15" w:color="808080"/>
            <w:bottom w:val="single" w:sz="6" w:space="8" w:color="808080"/>
            <w:right w:val="single" w:sz="6" w:space="15" w:color="808080"/>
          </w:divBdr>
          <w:divsChild>
            <w:div w:id="1624267734">
              <w:marLeft w:val="0"/>
              <w:marRight w:val="0"/>
              <w:marTop w:val="0"/>
              <w:marBottom w:val="0"/>
              <w:divBdr>
                <w:top w:val="none" w:sz="0" w:space="0" w:color="auto"/>
                <w:left w:val="none" w:sz="0" w:space="0" w:color="auto"/>
                <w:bottom w:val="none" w:sz="0" w:space="0" w:color="auto"/>
                <w:right w:val="none" w:sz="0" w:space="0" w:color="auto"/>
              </w:divBdr>
            </w:div>
          </w:divsChild>
        </w:div>
        <w:div w:id="1624267811">
          <w:marLeft w:val="0"/>
          <w:marRight w:val="0"/>
          <w:marTop w:val="0"/>
          <w:marBottom w:val="0"/>
          <w:divBdr>
            <w:top w:val="none" w:sz="0" w:space="0" w:color="auto"/>
            <w:left w:val="none" w:sz="0" w:space="0" w:color="auto"/>
            <w:bottom w:val="none" w:sz="0" w:space="0" w:color="auto"/>
            <w:right w:val="none" w:sz="0" w:space="0" w:color="auto"/>
          </w:divBdr>
        </w:div>
        <w:div w:id="1624267814">
          <w:marLeft w:val="0"/>
          <w:marRight w:val="0"/>
          <w:marTop w:val="0"/>
          <w:marBottom w:val="0"/>
          <w:divBdr>
            <w:top w:val="none" w:sz="0" w:space="0" w:color="auto"/>
            <w:left w:val="none" w:sz="0" w:space="0" w:color="auto"/>
            <w:bottom w:val="none" w:sz="0" w:space="0" w:color="auto"/>
            <w:right w:val="none" w:sz="0" w:space="0" w:color="auto"/>
          </w:divBdr>
        </w:div>
        <w:div w:id="1624267816">
          <w:marLeft w:val="0"/>
          <w:marRight w:val="0"/>
          <w:marTop w:val="0"/>
          <w:marBottom w:val="0"/>
          <w:divBdr>
            <w:top w:val="none" w:sz="0" w:space="0" w:color="auto"/>
            <w:left w:val="none" w:sz="0" w:space="0" w:color="auto"/>
            <w:bottom w:val="none" w:sz="0" w:space="0" w:color="auto"/>
            <w:right w:val="none" w:sz="0" w:space="0" w:color="auto"/>
          </w:divBdr>
        </w:div>
        <w:div w:id="1624267823">
          <w:marLeft w:val="0"/>
          <w:marRight w:val="0"/>
          <w:marTop w:val="0"/>
          <w:marBottom w:val="0"/>
          <w:divBdr>
            <w:top w:val="none" w:sz="0" w:space="0" w:color="auto"/>
            <w:left w:val="none" w:sz="0" w:space="0" w:color="auto"/>
            <w:bottom w:val="none" w:sz="0" w:space="0" w:color="auto"/>
            <w:right w:val="none" w:sz="0" w:space="0" w:color="auto"/>
          </w:divBdr>
        </w:div>
        <w:div w:id="1624267825">
          <w:marLeft w:val="0"/>
          <w:marRight w:val="0"/>
          <w:marTop w:val="0"/>
          <w:marBottom w:val="0"/>
          <w:divBdr>
            <w:top w:val="none" w:sz="0" w:space="0" w:color="auto"/>
            <w:left w:val="none" w:sz="0" w:space="0" w:color="auto"/>
            <w:bottom w:val="none" w:sz="0" w:space="0" w:color="auto"/>
            <w:right w:val="none" w:sz="0" w:space="0" w:color="auto"/>
          </w:divBdr>
        </w:div>
        <w:div w:id="1624267831">
          <w:marLeft w:val="0"/>
          <w:marRight w:val="0"/>
          <w:marTop w:val="0"/>
          <w:marBottom w:val="0"/>
          <w:divBdr>
            <w:top w:val="none" w:sz="0" w:space="0" w:color="auto"/>
            <w:left w:val="none" w:sz="0" w:space="0" w:color="auto"/>
            <w:bottom w:val="none" w:sz="0" w:space="0" w:color="auto"/>
            <w:right w:val="none" w:sz="0" w:space="0" w:color="auto"/>
          </w:divBdr>
        </w:div>
        <w:div w:id="1624267832">
          <w:marLeft w:val="0"/>
          <w:marRight w:val="0"/>
          <w:marTop w:val="0"/>
          <w:marBottom w:val="0"/>
          <w:divBdr>
            <w:top w:val="none" w:sz="0" w:space="0" w:color="auto"/>
            <w:left w:val="none" w:sz="0" w:space="0" w:color="auto"/>
            <w:bottom w:val="none" w:sz="0" w:space="0" w:color="auto"/>
            <w:right w:val="none" w:sz="0" w:space="0" w:color="auto"/>
          </w:divBdr>
        </w:div>
        <w:div w:id="1624267840">
          <w:marLeft w:val="0"/>
          <w:marRight w:val="0"/>
          <w:marTop w:val="0"/>
          <w:marBottom w:val="0"/>
          <w:divBdr>
            <w:top w:val="none" w:sz="0" w:space="0" w:color="auto"/>
            <w:left w:val="none" w:sz="0" w:space="0" w:color="auto"/>
            <w:bottom w:val="none" w:sz="0" w:space="0" w:color="auto"/>
            <w:right w:val="none" w:sz="0" w:space="0" w:color="auto"/>
          </w:divBdr>
        </w:div>
        <w:div w:id="1624267841">
          <w:marLeft w:val="0"/>
          <w:marRight w:val="0"/>
          <w:marTop w:val="0"/>
          <w:marBottom w:val="0"/>
          <w:divBdr>
            <w:top w:val="none" w:sz="0" w:space="0" w:color="auto"/>
            <w:left w:val="none" w:sz="0" w:space="0" w:color="auto"/>
            <w:bottom w:val="none" w:sz="0" w:space="0" w:color="auto"/>
            <w:right w:val="none" w:sz="0" w:space="0" w:color="auto"/>
          </w:divBdr>
        </w:div>
        <w:div w:id="1624267843">
          <w:marLeft w:val="0"/>
          <w:marRight w:val="0"/>
          <w:marTop w:val="0"/>
          <w:marBottom w:val="0"/>
          <w:divBdr>
            <w:top w:val="none" w:sz="0" w:space="0" w:color="auto"/>
            <w:left w:val="none" w:sz="0" w:space="0" w:color="auto"/>
            <w:bottom w:val="none" w:sz="0" w:space="0" w:color="auto"/>
            <w:right w:val="none" w:sz="0" w:space="0" w:color="auto"/>
          </w:divBdr>
        </w:div>
        <w:div w:id="1624267844">
          <w:marLeft w:val="0"/>
          <w:marRight w:val="0"/>
          <w:marTop w:val="0"/>
          <w:marBottom w:val="0"/>
          <w:divBdr>
            <w:top w:val="none" w:sz="0" w:space="0" w:color="auto"/>
            <w:left w:val="none" w:sz="0" w:space="0" w:color="auto"/>
            <w:bottom w:val="none" w:sz="0" w:space="0" w:color="auto"/>
            <w:right w:val="none" w:sz="0" w:space="0" w:color="auto"/>
          </w:divBdr>
        </w:div>
        <w:div w:id="1624267850">
          <w:marLeft w:val="0"/>
          <w:marRight w:val="0"/>
          <w:marTop w:val="0"/>
          <w:marBottom w:val="0"/>
          <w:divBdr>
            <w:top w:val="none" w:sz="0" w:space="0" w:color="auto"/>
            <w:left w:val="none" w:sz="0" w:space="0" w:color="auto"/>
            <w:bottom w:val="none" w:sz="0" w:space="0" w:color="auto"/>
            <w:right w:val="none" w:sz="0" w:space="0" w:color="auto"/>
          </w:divBdr>
        </w:div>
      </w:divsChild>
    </w:div>
    <w:div w:id="1624267819">
      <w:marLeft w:val="0"/>
      <w:marRight w:val="0"/>
      <w:marTop w:val="0"/>
      <w:marBottom w:val="0"/>
      <w:divBdr>
        <w:top w:val="none" w:sz="0" w:space="0" w:color="auto"/>
        <w:left w:val="none" w:sz="0" w:space="0" w:color="auto"/>
        <w:bottom w:val="none" w:sz="0" w:space="0" w:color="auto"/>
        <w:right w:val="none" w:sz="0" w:space="0" w:color="auto"/>
      </w:divBdr>
    </w:div>
    <w:div w:id="1624267820">
      <w:marLeft w:val="0"/>
      <w:marRight w:val="0"/>
      <w:marTop w:val="0"/>
      <w:marBottom w:val="0"/>
      <w:divBdr>
        <w:top w:val="none" w:sz="0" w:space="0" w:color="auto"/>
        <w:left w:val="none" w:sz="0" w:space="0" w:color="auto"/>
        <w:bottom w:val="none" w:sz="0" w:space="0" w:color="auto"/>
        <w:right w:val="none" w:sz="0" w:space="0" w:color="auto"/>
      </w:divBdr>
    </w:div>
    <w:div w:id="1624267821">
      <w:marLeft w:val="0"/>
      <w:marRight w:val="0"/>
      <w:marTop w:val="0"/>
      <w:marBottom w:val="0"/>
      <w:divBdr>
        <w:top w:val="none" w:sz="0" w:space="0" w:color="auto"/>
        <w:left w:val="none" w:sz="0" w:space="0" w:color="auto"/>
        <w:bottom w:val="none" w:sz="0" w:space="0" w:color="auto"/>
        <w:right w:val="none" w:sz="0" w:space="0" w:color="auto"/>
      </w:divBdr>
    </w:div>
    <w:div w:id="1624267822">
      <w:marLeft w:val="0"/>
      <w:marRight w:val="0"/>
      <w:marTop w:val="0"/>
      <w:marBottom w:val="0"/>
      <w:divBdr>
        <w:top w:val="none" w:sz="0" w:space="0" w:color="auto"/>
        <w:left w:val="none" w:sz="0" w:space="0" w:color="auto"/>
        <w:bottom w:val="none" w:sz="0" w:space="0" w:color="auto"/>
        <w:right w:val="none" w:sz="0" w:space="0" w:color="auto"/>
      </w:divBdr>
    </w:div>
    <w:div w:id="1624267824">
      <w:marLeft w:val="0"/>
      <w:marRight w:val="0"/>
      <w:marTop w:val="0"/>
      <w:marBottom w:val="0"/>
      <w:divBdr>
        <w:top w:val="none" w:sz="0" w:space="0" w:color="auto"/>
        <w:left w:val="none" w:sz="0" w:space="0" w:color="auto"/>
        <w:bottom w:val="none" w:sz="0" w:space="0" w:color="auto"/>
        <w:right w:val="none" w:sz="0" w:space="0" w:color="auto"/>
      </w:divBdr>
    </w:div>
    <w:div w:id="1624267826">
      <w:marLeft w:val="0"/>
      <w:marRight w:val="0"/>
      <w:marTop w:val="0"/>
      <w:marBottom w:val="0"/>
      <w:divBdr>
        <w:top w:val="none" w:sz="0" w:space="0" w:color="auto"/>
        <w:left w:val="none" w:sz="0" w:space="0" w:color="auto"/>
        <w:bottom w:val="none" w:sz="0" w:space="0" w:color="auto"/>
        <w:right w:val="none" w:sz="0" w:space="0" w:color="auto"/>
      </w:divBdr>
    </w:div>
    <w:div w:id="1624267827">
      <w:marLeft w:val="0"/>
      <w:marRight w:val="0"/>
      <w:marTop w:val="0"/>
      <w:marBottom w:val="0"/>
      <w:divBdr>
        <w:top w:val="none" w:sz="0" w:space="0" w:color="auto"/>
        <w:left w:val="none" w:sz="0" w:space="0" w:color="auto"/>
        <w:bottom w:val="none" w:sz="0" w:space="0" w:color="auto"/>
        <w:right w:val="none" w:sz="0" w:space="0" w:color="auto"/>
      </w:divBdr>
    </w:div>
    <w:div w:id="1624267828">
      <w:marLeft w:val="0"/>
      <w:marRight w:val="0"/>
      <w:marTop w:val="0"/>
      <w:marBottom w:val="0"/>
      <w:divBdr>
        <w:top w:val="none" w:sz="0" w:space="0" w:color="auto"/>
        <w:left w:val="none" w:sz="0" w:space="0" w:color="auto"/>
        <w:bottom w:val="none" w:sz="0" w:space="0" w:color="auto"/>
        <w:right w:val="none" w:sz="0" w:space="0" w:color="auto"/>
      </w:divBdr>
    </w:div>
    <w:div w:id="1624267829">
      <w:marLeft w:val="0"/>
      <w:marRight w:val="0"/>
      <w:marTop w:val="0"/>
      <w:marBottom w:val="0"/>
      <w:divBdr>
        <w:top w:val="none" w:sz="0" w:space="0" w:color="auto"/>
        <w:left w:val="none" w:sz="0" w:space="0" w:color="auto"/>
        <w:bottom w:val="none" w:sz="0" w:space="0" w:color="auto"/>
        <w:right w:val="none" w:sz="0" w:space="0" w:color="auto"/>
      </w:divBdr>
    </w:div>
    <w:div w:id="1624267830">
      <w:marLeft w:val="0"/>
      <w:marRight w:val="0"/>
      <w:marTop w:val="0"/>
      <w:marBottom w:val="0"/>
      <w:divBdr>
        <w:top w:val="none" w:sz="0" w:space="0" w:color="auto"/>
        <w:left w:val="none" w:sz="0" w:space="0" w:color="auto"/>
        <w:bottom w:val="none" w:sz="0" w:space="0" w:color="auto"/>
        <w:right w:val="none" w:sz="0" w:space="0" w:color="auto"/>
      </w:divBdr>
    </w:div>
    <w:div w:id="1624267833">
      <w:marLeft w:val="0"/>
      <w:marRight w:val="0"/>
      <w:marTop w:val="0"/>
      <w:marBottom w:val="0"/>
      <w:divBdr>
        <w:top w:val="none" w:sz="0" w:space="0" w:color="auto"/>
        <w:left w:val="none" w:sz="0" w:space="0" w:color="auto"/>
        <w:bottom w:val="none" w:sz="0" w:space="0" w:color="auto"/>
        <w:right w:val="none" w:sz="0" w:space="0" w:color="auto"/>
      </w:divBdr>
    </w:div>
    <w:div w:id="1624267835">
      <w:marLeft w:val="0"/>
      <w:marRight w:val="0"/>
      <w:marTop w:val="0"/>
      <w:marBottom w:val="0"/>
      <w:divBdr>
        <w:top w:val="none" w:sz="0" w:space="0" w:color="auto"/>
        <w:left w:val="none" w:sz="0" w:space="0" w:color="auto"/>
        <w:bottom w:val="none" w:sz="0" w:space="0" w:color="auto"/>
        <w:right w:val="none" w:sz="0" w:space="0" w:color="auto"/>
      </w:divBdr>
    </w:div>
    <w:div w:id="1624267836">
      <w:marLeft w:val="0"/>
      <w:marRight w:val="0"/>
      <w:marTop w:val="0"/>
      <w:marBottom w:val="0"/>
      <w:divBdr>
        <w:top w:val="none" w:sz="0" w:space="0" w:color="auto"/>
        <w:left w:val="none" w:sz="0" w:space="0" w:color="auto"/>
        <w:bottom w:val="none" w:sz="0" w:space="0" w:color="auto"/>
        <w:right w:val="none" w:sz="0" w:space="0" w:color="auto"/>
      </w:divBdr>
    </w:div>
    <w:div w:id="1624267837">
      <w:marLeft w:val="0"/>
      <w:marRight w:val="0"/>
      <w:marTop w:val="0"/>
      <w:marBottom w:val="0"/>
      <w:divBdr>
        <w:top w:val="none" w:sz="0" w:space="0" w:color="auto"/>
        <w:left w:val="none" w:sz="0" w:space="0" w:color="auto"/>
        <w:bottom w:val="none" w:sz="0" w:space="0" w:color="auto"/>
        <w:right w:val="none" w:sz="0" w:space="0" w:color="auto"/>
      </w:divBdr>
    </w:div>
    <w:div w:id="1624267838">
      <w:marLeft w:val="0"/>
      <w:marRight w:val="0"/>
      <w:marTop w:val="0"/>
      <w:marBottom w:val="0"/>
      <w:divBdr>
        <w:top w:val="none" w:sz="0" w:space="0" w:color="auto"/>
        <w:left w:val="none" w:sz="0" w:space="0" w:color="auto"/>
        <w:bottom w:val="none" w:sz="0" w:space="0" w:color="auto"/>
        <w:right w:val="none" w:sz="0" w:space="0" w:color="auto"/>
      </w:divBdr>
    </w:div>
    <w:div w:id="1624267839">
      <w:marLeft w:val="0"/>
      <w:marRight w:val="0"/>
      <w:marTop w:val="0"/>
      <w:marBottom w:val="0"/>
      <w:divBdr>
        <w:top w:val="none" w:sz="0" w:space="0" w:color="auto"/>
        <w:left w:val="none" w:sz="0" w:space="0" w:color="auto"/>
        <w:bottom w:val="none" w:sz="0" w:space="0" w:color="auto"/>
        <w:right w:val="none" w:sz="0" w:space="0" w:color="auto"/>
      </w:divBdr>
    </w:div>
    <w:div w:id="1624267842">
      <w:marLeft w:val="0"/>
      <w:marRight w:val="0"/>
      <w:marTop w:val="0"/>
      <w:marBottom w:val="0"/>
      <w:divBdr>
        <w:top w:val="none" w:sz="0" w:space="0" w:color="auto"/>
        <w:left w:val="none" w:sz="0" w:space="0" w:color="auto"/>
        <w:bottom w:val="none" w:sz="0" w:space="0" w:color="auto"/>
        <w:right w:val="none" w:sz="0" w:space="0" w:color="auto"/>
      </w:divBdr>
      <w:divsChild>
        <w:div w:id="1624267847">
          <w:marLeft w:val="0"/>
          <w:marRight w:val="0"/>
          <w:marTop w:val="0"/>
          <w:marBottom w:val="0"/>
          <w:divBdr>
            <w:top w:val="none" w:sz="0" w:space="0" w:color="auto"/>
            <w:left w:val="none" w:sz="0" w:space="0" w:color="auto"/>
            <w:bottom w:val="none" w:sz="0" w:space="0" w:color="auto"/>
            <w:right w:val="none" w:sz="0" w:space="0" w:color="auto"/>
          </w:divBdr>
        </w:div>
      </w:divsChild>
    </w:div>
    <w:div w:id="1624267845">
      <w:marLeft w:val="0"/>
      <w:marRight w:val="0"/>
      <w:marTop w:val="0"/>
      <w:marBottom w:val="0"/>
      <w:divBdr>
        <w:top w:val="none" w:sz="0" w:space="0" w:color="auto"/>
        <w:left w:val="none" w:sz="0" w:space="0" w:color="auto"/>
        <w:bottom w:val="none" w:sz="0" w:space="0" w:color="auto"/>
        <w:right w:val="none" w:sz="0" w:space="0" w:color="auto"/>
      </w:divBdr>
    </w:div>
    <w:div w:id="1624267846">
      <w:marLeft w:val="0"/>
      <w:marRight w:val="0"/>
      <w:marTop w:val="0"/>
      <w:marBottom w:val="0"/>
      <w:divBdr>
        <w:top w:val="none" w:sz="0" w:space="0" w:color="auto"/>
        <w:left w:val="none" w:sz="0" w:space="0" w:color="auto"/>
        <w:bottom w:val="none" w:sz="0" w:space="0" w:color="auto"/>
        <w:right w:val="none" w:sz="0" w:space="0" w:color="auto"/>
      </w:divBdr>
    </w:div>
    <w:div w:id="1624267848">
      <w:marLeft w:val="0"/>
      <w:marRight w:val="0"/>
      <w:marTop w:val="0"/>
      <w:marBottom w:val="0"/>
      <w:divBdr>
        <w:top w:val="none" w:sz="0" w:space="0" w:color="auto"/>
        <w:left w:val="none" w:sz="0" w:space="0" w:color="auto"/>
        <w:bottom w:val="none" w:sz="0" w:space="0" w:color="auto"/>
        <w:right w:val="none" w:sz="0" w:space="0" w:color="auto"/>
      </w:divBdr>
    </w:div>
    <w:div w:id="1624267849">
      <w:marLeft w:val="0"/>
      <w:marRight w:val="0"/>
      <w:marTop w:val="0"/>
      <w:marBottom w:val="0"/>
      <w:divBdr>
        <w:top w:val="none" w:sz="0" w:space="0" w:color="auto"/>
        <w:left w:val="none" w:sz="0" w:space="0" w:color="auto"/>
        <w:bottom w:val="none" w:sz="0" w:space="0" w:color="auto"/>
        <w:right w:val="none" w:sz="0" w:space="0" w:color="auto"/>
      </w:divBdr>
    </w:div>
    <w:div w:id="1624267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decreto_0019_2012_pr002.html" TargetMode="External"/><Relationship Id="rId2" Type="http://schemas.openxmlformats.org/officeDocument/2006/relationships/hyperlink" Target="http://www.alcaldiabogota.gov.co/sisjur/normas/Norma1.jsp?i=52011" TargetMode="External"/><Relationship Id="rId1" Type="http://schemas.openxmlformats.org/officeDocument/2006/relationships/hyperlink" Target="http://www.alcaldiabogota.gov.co/sisjur/normas/Norma1.jsp?i=3891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8"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es-ES"/>
              <a:t>Distribución de servicios más solicitados por acciones de tutela y grupo de edad año 2015</a:t>
            </a:r>
          </a:p>
        </c:rich>
      </c:tx>
      <c:layout>
        <c:manualLayout>
          <c:xMode val="edge"/>
          <c:yMode val="edge"/>
          <c:x val="8.7762676724233005E-2"/>
          <c:y val="4.8736382868529399E-4"/>
        </c:manualLayout>
      </c:layout>
      <c:overlay val="0"/>
      <c:spPr>
        <a:noFill/>
        <a:ln>
          <a:noFill/>
        </a:ln>
        <a:effectLst/>
      </c:spPr>
    </c:title>
    <c:autoTitleDeleted val="0"/>
    <c:plotArea>
      <c:layout>
        <c:manualLayout>
          <c:layoutTarget val="inner"/>
          <c:xMode val="edge"/>
          <c:yMode val="edge"/>
          <c:x val="0.12852384494696317"/>
          <c:y val="0.23692175667334125"/>
          <c:w val="0.83429515116593189"/>
          <c:h val="0.35967389831529184"/>
        </c:manualLayout>
      </c:layout>
      <c:lineChart>
        <c:grouping val="standard"/>
        <c:varyColors val="0"/>
        <c:ser>
          <c:idx val="0"/>
          <c:order val="0"/>
          <c:tx>
            <c:strRef>
              <c:f>Hoja1!$B$1</c:f>
              <c:strCache>
                <c:ptCount val="1"/>
                <c:pt idx="0">
                  <c:v>1 a 5</c:v>
                </c:pt>
              </c:strCache>
            </c:strRef>
          </c:tx>
          <c:spPr>
            <a:ln w="22194" cap="rnd" cmpd="sng" algn="ctr">
              <a:solidFill>
                <a:schemeClr val="accent1"/>
              </a:solidFill>
              <a:round/>
            </a:ln>
            <a:effectLst/>
          </c:spPr>
          <c:marker>
            <c:symbol val="none"/>
          </c:marker>
          <c:cat>
            <c:strRef>
              <c:f>Hoja1!$A$2:$A$11</c:f>
              <c:strCache>
                <c:ptCount val="10"/>
                <c:pt idx="0">
                  <c:v>Citas médicas</c:v>
                </c:pt>
                <c:pt idx="1">
                  <c:v>Medicamento</c:v>
                </c:pt>
                <c:pt idx="2">
                  <c:v>Viaticos</c:v>
                </c:pt>
                <c:pt idx="3">
                  <c:v>Procedimiento</c:v>
                </c:pt>
                <c:pt idx="4">
                  <c:v>Cx plastica reparadora o funcional</c:v>
                </c:pt>
                <c:pt idx="5">
                  <c:v>Insumo para el aseo personal</c:v>
                </c:pt>
                <c:pt idx="6">
                  <c:v>Examenes de laboratorio y …</c:v>
                </c:pt>
                <c:pt idx="7">
                  <c:v>Imagen diagnostica</c:v>
                </c:pt>
                <c:pt idx="8">
                  <c:v>Referencia y contrareferencia</c:v>
                </c:pt>
                <c:pt idx="9">
                  <c:v>suplemento dietario</c:v>
                </c:pt>
              </c:strCache>
            </c:strRef>
          </c:cat>
          <c:val>
            <c:numRef>
              <c:f>Hoja1!$B$2:$B$11</c:f>
              <c:numCache>
                <c:formatCode>General</c:formatCode>
                <c:ptCount val="10"/>
                <c:pt idx="0">
                  <c:v>90</c:v>
                </c:pt>
                <c:pt idx="1">
                  <c:v>45</c:v>
                </c:pt>
                <c:pt idx="2">
                  <c:v>100</c:v>
                </c:pt>
                <c:pt idx="3">
                  <c:v>20</c:v>
                </c:pt>
                <c:pt idx="4">
                  <c:v>6</c:v>
                </c:pt>
                <c:pt idx="5">
                  <c:v>10</c:v>
                </c:pt>
                <c:pt idx="6">
                  <c:v>9</c:v>
                </c:pt>
                <c:pt idx="7">
                  <c:v>9</c:v>
                </c:pt>
                <c:pt idx="8">
                  <c:v>9</c:v>
                </c:pt>
                <c:pt idx="9">
                  <c:v>12</c:v>
                </c:pt>
              </c:numCache>
            </c:numRef>
          </c:val>
          <c:smooth val="0"/>
        </c:ser>
        <c:ser>
          <c:idx val="1"/>
          <c:order val="1"/>
          <c:tx>
            <c:strRef>
              <c:f>Hoja1!$C$1</c:f>
              <c:strCache>
                <c:ptCount val="1"/>
                <c:pt idx="0">
                  <c:v>6 a 14</c:v>
                </c:pt>
              </c:strCache>
            </c:strRef>
          </c:tx>
          <c:spPr>
            <a:ln w="22194" cap="rnd" cmpd="sng" algn="ctr">
              <a:solidFill>
                <a:schemeClr val="accent2"/>
              </a:solidFill>
              <a:round/>
            </a:ln>
            <a:effectLst/>
          </c:spPr>
          <c:marker>
            <c:symbol val="none"/>
          </c:marker>
          <c:cat>
            <c:strRef>
              <c:f>Hoja1!$A$2:$A$11</c:f>
              <c:strCache>
                <c:ptCount val="10"/>
                <c:pt idx="0">
                  <c:v>Citas médicas</c:v>
                </c:pt>
                <c:pt idx="1">
                  <c:v>Medicamento</c:v>
                </c:pt>
                <c:pt idx="2">
                  <c:v>Viaticos</c:v>
                </c:pt>
                <c:pt idx="3">
                  <c:v>Procedimiento</c:v>
                </c:pt>
                <c:pt idx="4">
                  <c:v>Cx plastica reparadora o funcional</c:v>
                </c:pt>
                <c:pt idx="5">
                  <c:v>Insumo para el aseo personal</c:v>
                </c:pt>
                <c:pt idx="6">
                  <c:v>Examenes de laboratorio y …</c:v>
                </c:pt>
                <c:pt idx="7">
                  <c:v>Imagen diagnostica</c:v>
                </c:pt>
                <c:pt idx="8">
                  <c:v>Referencia y contrareferencia</c:v>
                </c:pt>
                <c:pt idx="9">
                  <c:v>suplemento dietario</c:v>
                </c:pt>
              </c:strCache>
            </c:strRef>
          </c:cat>
          <c:val>
            <c:numRef>
              <c:f>Hoja1!$C$2:$C$11</c:f>
              <c:numCache>
                <c:formatCode>General</c:formatCode>
                <c:ptCount val="10"/>
                <c:pt idx="0">
                  <c:v>102</c:v>
                </c:pt>
                <c:pt idx="1">
                  <c:v>75</c:v>
                </c:pt>
                <c:pt idx="2">
                  <c:v>130</c:v>
                </c:pt>
                <c:pt idx="3">
                  <c:v>100</c:v>
                </c:pt>
                <c:pt idx="4">
                  <c:v>18</c:v>
                </c:pt>
                <c:pt idx="5">
                  <c:v>15</c:v>
                </c:pt>
                <c:pt idx="6">
                  <c:v>14</c:v>
                </c:pt>
                <c:pt idx="7">
                  <c:v>9</c:v>
                </c:pt>
                <c:pt idx="8">
                  <c:v>12</c:v>
                </c:pt>
                <c:pt idx="9">
                  <c:v>7</c:v>
                </c:pt>
              </c:numCache>
            </c:numRef>
          </c:val>
          <c:smooth val="0"/>
        </c:ser>
        <c:ser>
          <c:idx val="2"/>
          <c:order val="2"/>
          <c:tx>
            <c:strRef>
              <c:f>Hoja1!$D$1</c:f>
              <c:strCache>
                <c:ptCount val="1"/>
                <c:pt idx="0">
                  <c:v>15 a 44</c:v>
                </c:pt>
              </c:strCache>
            </c:strRef>
          </c:tx>
          <c:spPr>
            <a:ln w="22194" cap="rnd" cmpd="sng" algn="ctr">
              <a:solidFill>
                <a:schemeClr val="accent3"/>
              </a:solidFill>
              <a:round/>
            </a:ln>
            <a:effectLst/>
          </c:spPr>
          <c:marker>
            <c:symbol val="none"/>
          </c:marker>
          <c:cat>
            <c:strRef>
              <c:f>Hoja1!$A$2:$A$11</c:f>
              <c:strCache>
                <c:ptCount val="10"/>
                <c:pt idx="0">
                  <c:v>Citas médicas</c:v>
                </c:pt>
                <c:pt idx="1">
                  <c:v>Medicamento</c:v>
                </c:pt>
                <c:pt idx="2">
                  <c:v>Viaticos</c:v>
                </c:pt>
                <c:pt idx="3">
                  <c:v>Procedimiento</c:v>
                </c:pt>
                <c:pt idx="4">
                  <c:v>Cx plastica reparadora o funcional</c:v>
                </c:pt>
                <c:pt idx="5">
                  <c:v>Insumo para el aseo personal</c:v>
                </c:pt>
                <c:pt idx="6">
                  <c:v>Examenes de laboratorio y …</c:v>
                </c:pt>
                <c:pt idx="7">
                  <c:v>Imagen diagnostica</c:v>
                </c:pt>
                <c:pt idx="8">
                  <c:v>Referencia y contrareferencia</c:v>
                </c:pt>
                <c:pt idx="9">
                  <c:v>suplemento dietario</c:v>
                </c:pt>
              </c:strCache>
            </c:strRef>
          </c:cat>
          <c:val>
            <c:numRef>
              <c:f>Hoja1!$D$2:$D$11</c:f>
              <c:numCache>
                <c:formatCode>General</c:formatCode>
                <c:ptCount val="10"/>
                <c:pt idx="0">
                  <c:v>220</c:v>
                </c:pt>
                <c:pt idx="1">
                  <c:v>375</c:v>
                </c:pt>
                <c:pt idx="2">
                  <c:v>160</c:v>
                </c:pt>
                <c:pt idx="3">
                  <c:v>140</c:v>
                </c:pt>
                <c:pt idx="4">
                  <c:v>130</c:v>
                </c:pt>
                <c:pt idx="5">
                  <c:v>320</c:v>
                </c:pt>
                <c:pt idx="6">
                  <c:v>30</c:v>
                </c:pt>
                <c:pt idx="7">
                  <c:v>35</c:v>
                </c:pt>
                <c:pt idx="8">
                  <c:v>40</c:v>
                </c:pt>
                <c:pt idx="9">
                  <c:v>80</c:v>
                </c:pt>
              </c:numCache>
            </c:numRef>
          </c:val>
          <c:smooth val="0"/>
        </c:ser>
        <c:ser>
          <c:idx val="3"/>
          <c:order val="3"/>
          <c:tx>
            <c:strRef>
              <c:f>Hoja1!$E$1</c:f>
              <c:strCache>
                <c:ptCount val="1"/>
                <c:pt idx="0">
                  <c:v>45 a 64</c:v>
                </c:pt>
              </c:strCache>
            </c:strRef>
          </c:tx>
          <c:spPr>
            <a:ln w="22194" cap="rnd" cmpd="sng" algn="ctr">
              <a:solidFill>
                <a:schemeClr val="accent4"/>
              </a:solidFill>
              <a:round/>
            </a:ln>
            <a:effectLst/>
          </c:spPr>
          <c:marker>
            <c:symbol val="none"/>
          </c:marker>
          <c:cat>
            <c:strRef>
              <c:f>Hoja1!$A$2:$A$11</c:f>
              <c:strCache>
                <c:ptCount val="10"/>
                <c:pt idx="0">
                  <c:v>Citas médicas</c:v>
                </c:pt>
                <c:pt idx="1">
                  <c:v>Medicamento</c:v>
                </c:pt>
                <c:pt idx="2">
                  <c:v>Viaticos</c:v>
                </c:pt>
                <c:pt idx="3">
                  <c:v>Procedimiento</c:v>
                </c:pt>
                <c:pt idx="4">
                  <c:v>Cx plastica reparadora o funcional</c:v>
                </c:pt>
                <c:pt idx="5">
                  <c:v>Insumo para el aseo personal</c:v>
                </c:pt>
                <c:pt idx="6">
                  <c:v>Examenes de laboratorio y …</c:v>
                </c:pt>
                <c:pt idx="7">
                  <c:v>Imagen diagnostica</c:v>
                </c:pt>
                <c:pt idx="8">
                  <c:v>Referencia y contrareferencia</c:v>
                </c:pt>
                <c:pt idx="9">
                  <c:v>suplemento dietario</c:v>
                </c:pt>
              </c:strCache>
            </c:strRef>
          </c:cat>
          <c:val>
            <c:numRef>
              <c:f>Hoja1!$E$2:$E$11</c:f>
              <c:numCache>
                <c:formatCode>General</c:formatCode>
                <c:ptCount val="10"/>
                <c:pt idx="0">
                  <c:v>348</c:v>
                </c:pt>
                <c:pt idx="1">
                  <c:v>305</c:v>
                </c:pt>
                <c:pt idx="2">
                  <c:v>255</c:v>
                </c:pt>
                <c:pt idx="3">
                  <c:v>200</c:v>
                </c:pt>
                <c:pt idx="4">
                  <c:v>195</c:v>
                </c:pt>
                <c:pt idx="5">
                  <c:v>55</c:v>
                </c:pt>
                <c:pt idx="6">
                  <c:v>60</c:v>
                </c:pt>
                <c:pt idx="7">
                  <c:v>70</c:v>
                </c:pt>
                <c:pt idx="8">
                  <c:v>42</c:v>
                </c:pt>
                <c:pt idx="9">
                  <c:v>12</c:v>
                </c:pt>
              </c:numCache>
            </c:numRef>
          </c:val>
          <c:smooth val="0"/>
        </c:ser>
        <c:ser>
          <c:idx val="4"/>
          <c:order val="4"/>
          <c:tx>
            <c:strRef>
              <c:f>Hoja1!$F$1</c:f>
              <c:strCache>
                <c:ptCount val="1"/>
                <c:pt idx="0">
                  <c:v>65 y mas</c:v>
                </c:pt>
              </c:strCache>
            </c:strRef>
          </c:tx>
          <c:spPr>
            <a:ln w="22194" cap="rnd" cmpd="sng" algn="ctr">
              <a:solidFill>
                <a:schemeClr val="accent5"/>
              </a:solidFill>
              <a:round/>
            </a:ln>
            <a:effectLst/>
          </c:spPr>
          <c:marker>
            <c:symbol val="none"/>
          </c:marker>
          <c:cat>
            <c:strRef>
              <c:f>Hoja1!$A$2:$A$11</c:f>
              <c:strCache>
                <c:ptCount val="10"/>
                <c:pt idx="0">
                  <c:v>Citas médicas</c:v>
                </c:pt>
                <c:pt idx="1">
                  <c:v>Medicamento</c:v>
                </c:pt>
                <c:pt idx="2">
                  <c:v>Viaticos</c:v>
                </c:pt>
                <c:pt idx="3">
                  <c:v>Procedimiento</c:v>
                </c:pt>
                <c:pt idx="4">
                  <c:v>Cx plastica reparadora o funcional</c:v>
                </c:pt>
                <c:pt idx="5">
                  <c:v>Insumo para el aseo personal</c:v>
                </c:pt>
                <c:pt idx="6">
                  <c:v>Examenes de laboratorio y …</c:v>
                </c:pt>
                <c:pt idx="7">
                  <c:v>Imagen diagnostica</c:v>
                </c:pt>
                <c:pt idx="8">
                  <c:v>Referencia y contrareferencia</c:v>
                </c:pt>
                <c:pt idx="9">
                  <c:v>suplemento dietario</c:v>
                </c:pt>
              </c:strCache>
            </c:strRef>
          </c:cat>
          <c:val>
            <c:numRef>
              <c:f>Hoja1!$F$2:$F$11</c:f>
              <c:numCache>
                <c:formatCode>General</c:formatCode>
                <c:ptCount val="10"/>
                <c:pt idx="0">
                  <c:v>370</c:v>
                </c:pt>
                <c:pt idx="1">
                  <c:v>210</c:v>
                </c:pt>
                <c:pt idx="2">
                  <c:v>208</c:v>
                </c:pt>
                <c:pt idx="3">
                  <c:v>135</c:v>
                </c:pt>
                <c:pt idx="4">
                  <c:v>170</c:v>
                </c:pt>
                <c:pt idx="5">
                  <c:v>56</c:v>
                </c:pt>
                <c:pt idx="6">
                  <c:v>45</c:v>
                </c:pt>
                <c:pt idx="7">
                  <c:v>60</c:v>
                </c:pt>
                <c:pt idx="8">
                  <c:v>43</c:v>
                </c:pt>
                <c:pt idx="9">
                  <c:v>12</c:v>
                </c:pt>
              </c:numCache>
            </c:numRef>
          </c:val>
          <c:smooth val="0"/>
        </c:ser>
        <c:dLbls>
          <c:showLegendKey val="0"/>
          <c:showVal val="0"/>
          <c:showCatName val="0"/>
          <c:showSerName val="0"/>
          <c:showPercent val="0"/>
          <c:showBubbleSize val="0"/>
        </c:dLbls>
        <c:dropLines>
          <c:spPr>
            <a:ln w="9512" cap="flat" cmpd="sng" algn="ctr">
              <a:solidFill>
                <a:schemeClr val="dk1">
                  <a:lumMod val="35000"/>
                  <a:lumOff val="65000"/>
                  <a:alpha val="33000"/>
                </a:schemeClr>
              </a:solidFill>
              <a:round/>
            </a:ln>
            <a:effectLst/>
          </c:spPr>
        </c:dropLines>
        <c:smooth val="0"/>
        <c:axId val="-1260126160"/>
        <c:axId val="-1260129424"/>
      </c:lineChart>
      <c:catAx>
        <c:axId val="-1260126160"/>
        <c:scaling>
          <c:orientation val="minMax"/>
        </c:scaling>
        <c:delete val="0"/>
        <c:axPos val="b"/>
        <c:numFmt formatCode="General" sourceLinked="1"/>
        <c:majorTickMark val="none"/>
        <c:minorTickMark val="none"/>
        <c:tickLblPos val="nextTo"/>
        <c:spPr>
          <a:noFill/>
          <a:ln w="9512" cap="flat" cmpd="sng" algn="ctr">
            <a:solidFill>
              <a:schemeClr val="dk1">
                <a:lumMod val="15000"/>
                <a:lumOff val="85000"/>
              </a:schemeClr>
            </a:solidFill>
            <a:round/>
          </a:ln>
          <a:effectLst/>
        </c:spPr>
        <c:txPr>
          <a:bodyPr rot="-60000000" spcFirstLastPara="1" vertOverflow="ellipsis" vert="horz" wrap="square" anchor="ctr" anchorCtr="1"/>
          <a:lstStyle/>
          <a:p>
            <a:pPr>
              <a:defRPr sz="999"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260129424"/>
        <c:crosses val="autoZero"/>
        <c:auto val="1"/>
        <c:lblAlgn val="ctr"/>
        <c:lblOffset val="100"/>
        <c:noMultiLvlLbl val="0"/>
      </c:catAx>
      <c:valAx>
        <c:axId val="-1260129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99"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26012616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wMode val="edge"/>
          <c:hMode val="edge"/>
          <c:x val="0.17592006881492753"/>
          <c:y val="0.92546317997875682"/>
          <c:w val="0.82407993118507239"/>
          <c:h val="1"/>
        </c:manualLayout>
      </c:layout>
      <c:overlay val="0"/>
      <c:spPr>
        <a:noFill/>
        <a:ln>
          <a:noFill/>
        </a:ln>
        <a:effectLst/>
      </c:spPr>
      <c:txPr>
        <a:bodyPr rot="0" spcFirstLastPara="1" vertOverflow="ellipsis" vert="horz" wrap="square" anchor="ctr" anchorCtr="1"/>
        <a:lstStyle/>
        <a:p>
          <a:pPr>
            <a:defRPr sz="999"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lt1"/>
    </a:solidFill>
    <a:ln w="9512" cap="flat" cmpd="sng" algn="ctr">
      <a:solidFill>
        <a:schemeClr val="dk1">
          <a:lumMod val="15000"/>
          <a:lumOff val="85000"/>
        </a:schemeClr>
      </a:solidFill>
      <a:round/>
    </a:ln>
    <a:effectLst/>
  </c:spPr>
  <c:txPr>
    <a:bodyPr/>
    <a:lstStyle/>
    <a:p>
      <a:pPr>
        <a:defRPr sz="999">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Acciones de tutelas presentadas entre los años 2008-2015</a:t>
            </a:r>
          </a:p>
        </c:rich>
      </c:tx>
      <c:overlay val="0"/>
      <c:spPr>
        <a:noFill/>
        <a:ln>
          <a:noFill/>
        </a:ln>
        <a:effectLst/>
      </c:spPr>
    </c:title>
    <c:autoTitleDeleted val="0"/>
    <c:plotArea>
      <c:layout>
        <c:manualLayout>
          <c:layoutTarget val="inner"/>
          <c:xMode val="edge"/>
          <c:yMode val="edge"/>
          <c:x val="0.10696558763487897"/>
          <c:y val="0.14718253968253969"/>
          <c:w val="0.87683070866141732"/>
          <c:h val="0.66998656417947755"/>
        </c:manualLayout>
      </c:layout>
      <c:lineChart>
        <c:grouping val="standard"/>
        <c:varyColors val="0"/>
        <c:ser>
          <c:idx val="0"/>
          <c:order val="0"/>
          <c:tx>
            <c:strRef>
              <c:f>Hoja1!$B$1</c:f>
              <c:strCache>
                <c:ptCount val="1"/>
                <c:pt idx="0">
                  <c:v>Serie 1</c:v>
                </c:pt>
              </c:strCache>
            </c:strRef>
          </c:tx>
          <c:spPr>
            <a:ln w="28571" cap="rnd">
              <a:solidFill>
                <a:schemeClr val="accent1"/>
              </a:solidFill>
              <a:round/>
            </a:ln>
            <a:effectLst/>
          </c:spPr>
          <c:marker>
            <c:symbol val="none"/>
          </c:marker>
          <c:dLbls>
            <c:dLbl>
              <c:idx val="0"/>
              <c:tx>
                <c:rich>
                  <a:bodyPr/>
                  <a:lstStyle/>
                  <a:p>
                    <a:r>
                      <a:rPr lang="en-US"/>
                      <a:t>142.957</a:t>
                    </a:r>
                  </a:p>
                </c:rich>
              </c:tx>
              <c:showLegendKey val="0"/>
              <c:showVal val="0"/>
              <c:showCatName val="0"/>
              <c:showSerName val="0"/>
              <c:showPercent val="0"/>
              <c:showBubbleSize val="0"/>
              <c:extLst>
                <c:ext xmlns:c15="http://schemas.microsoft.com/office/drawing/2012/chart" uri="{CE6537A1-D6FC-4f65-9D91-7224C49458BB}"/>
              </c:extLst>
            </c:dLbl>
            <c:dLbl>
              <c:idx val="1"/>
              <c:tx>
                <c:rich>
                  <a:bodyPr/>
                  <a:lstStyle/>
                  <a:p>
                    <a:r>
                      <a:rPr lang="en-US"/>
                      <a:t>100.490</a:t>
                    </a:r>
                  </a:p>
                </c:rich>
              </c:tx>
              <c:showLegendKey val="0"/>
              <c:showVal val="0"/>
              <c:showCatName val="0"/>
              <c:showSerName val="0"/>
              <c:showPercent val="0"/>
              <c:showBubbleSize val="0"/>
              <c:extLst>
                <c:ext xmlns:c15="http://schemas.microsoft.com/office/drawing/2012/chart" uri="{CE6537A1-D6FC-4f65-9D91-7224C49458BB}"/>
              </c:extLst>
            </c:dLbl>
            <c:dLbl>
              <c:idx val="2"/>
              <c:tx>
                <c:rich>
                  <a:bodyPr/>
                  <a:lstStyle/>
                  <a:p>
                    <a:r>
                      <a:rPr lang="en-US"/>
                      <a:t>94.502</a:t>
                    </a:r>
                  </a:p>
                </c:rich>
              </c:tx>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en-US"/>
                      <a:t>105.947</a:t>
                    </a:r>
                  </a:p>
                </c:rich>
              </c:tx>
              <c:showLegendKey val="0"/>
              <c:showVal val="0"/>
              <c:showCatName val="0"/>
              <c:showSerName val="0"/>
              <c:showPercent val="0"/>
              <c:showBubbleSize val="0"/>
              <c:extLst>
                <c:ext xmlns:c15="http://schemas.microsoft.com/office/drawing/2012/chart" uri="{CE6537A1-D6FC-4f65-9D91-7224C49458BB}"/>
              </c:extLst>
            </c:dLbl>
            <c:dLbl>
              <c:idx val="4"/>
              <c:tx>
                <c:rich>
                  <a:bodyPr/>
                  <a:lstStyle/>
                  <a:p>
                    <a:r>
                      <a:rPr lang="en-US"/>
                      <a:t>114.313</a:t>
                    </a:r>
                  </a:p>
                </c:rich>
              </c:tx>
              <c:showLegendKey val="0"/>
              <c:showVal val="0"/>
              <c:showCatName val="0"/>
              <c:showSerName val="0"/>
              <c:showPercent val="0"/>
              <c:showBubbleSize val="0"/>
              <c:extLst>
                <c:ext xmlns:c15="http://schemas.microsoft.com/office/drawing/2012/chart" uri="{CE6537A1-D6FC-4f65-9D91-7224C49458BB}"/>
              </c:extLst>
            </c:dLbl>
            <c:dLbl>
              <c:idx val="5"/>
              <c:tx>
                <c:rich>
                  <a:bodyPr/>
                  <a:lstStyle/>
                  <a:p>
                    <a:r>
                      <a:rPr lang="en-US"/>
                      <a:t>115.147</a:t>
                    </a:r>
                  </a:p>
                </c:rich>
              </c:tx>
              <c:showLegendKey val="0"/>
              <c:showVal val="0"/>
              <c:showCatName val="0"/>
              <c:showSerName val="0"/>
              <c:showPercent val="0"/>
              <c:showBubbleSize val="0"/>
              <c:extLst>
                <c:ext xmlns:c15="http://schemas.microsoft.com/office/drawing/2012/chart" uri="{CE6537A1-D6FC-4f65-9D91-7224C49458BB}"/>
              </c:extLst>
            </c:dLbl>
            <c:dLbl>
              <c:idx val="6"/>
              <c:tx>
                <c:rich>
                  <a:bodyPr/>
                  <a:lstStyle/>
                  <a:p>
                    <a:r>
                      <a:rPr lang="en-US"/>
                      <a:t>117.746</a:t>
                    </a:r>
                  </a:p>
                </c:rich>
              </c:tx>
              <c:showLegendKey val="0"/>
              <c:showVal val="0"/>
              <c:showCatName val="0"/>
              <c:showSerName val="0"/>
              <c:showPercent val="0"/>
              <c:showBubbleSize val="0"/>
              <c:extLst>
                <c:ext xmlns:c15="http://schemas.microsoft.com/office/drawing/2012/chart" uri="{CE6537A1-D6FC-4f65-9D91-7224C49458BB}"/>
              </c:extLst>
            </c:dLbl>
            <c:dLbl>
              <c:idx val="7"/>
              <c:tx>
                <c:rich>
                  <a:bodyPr/>
                  <a:lstStyle/>
                  <a:p>
                    <a:r>
                      <a:rPr lang="en-US"/>
                      <a:t>150.728</a:t>
                    </a:r>
                  </a:p>
                </c:rich>
              </c:tx>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Hoja1!$B$2:$B$9</c:f>
              <c:numCache>
                <c:formatCode>#,##0</c:formatCode>
                <c:ptCount val="8"/>
                <c:pt idx="0">
                  <c:v>142957</c:v>
                </c:pt>
                <c:pt idx="1">
                  <c:v>100490</c:v>
                </c:pt>
                <c:pt idx="2">
                  <c:v>94502</c:v>
                </c:pt>
                <c:pt idx="3">
                  <c:v>105947</c:v>
                </c:pt>
                <c:pt idx="4">
                  <c:v>114313</c:v>
                </c:pt>
                <c:pt idx="5">
                  <c:v>115147</c:v>
                </c:pt>
                <c:pt idx="6">
                  <c:v>117746</c:v>
                </c:pt>
                <c:pt idx="7">
                  <c:v>150728</c:v>
                </c:pt>
              </c:numCache>
            </c:numRef>
          </c:val>
          <c:smooth val="0"/>
        </c:ser>
        <c:ser>
          <c:idx val="1"/>
          <c:order val="1"/>
          <c:tx>
            <c:strRef>
              <c:f>Hoja1!$C$1</c:f>
              <c:strCache>
                <c:ptCount val="1"/>
                <c:pt idx="0">
                  <c:v>Columna1</c:v>
                </c:pt>
              </c:strCache>
            </c:strRef>
          </c:tx>
          <c:spPr>
            <a:ln w="28571" cap="rnd">
              <a:solidFill>
                <a:schemeClr val="accent2"/>
              </a:solidFill>
              <a:round/>
            </a:ln>
            <a:effectLst/>
          </c:spPr>
          <c:marker>
            <c:symbol val="none"/>
          </c:marker>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Hoja1!$C$2:$C$9</c:f>
              <c:numCache>
                <c:formatCode>General</c:formatCode>
                <c:ptCount val="8"/>
              </c:numCache>
            </c:numRef>
          </c:val>
          <c:smooth val="0"/>
        </c:ser>
        <c:ser>
          <c:idx val="2"/>
          <c:order val="2"/>
          <c:tx>
            <c:strRef>
              <c:f>Hoja1!$D$1</c:f>
              <c:strCache>
                <c:ptCount val="1"/>
                <c:pt idx="0">
                  <c:v>Columna2</c:v>
                </c:pt>
              </c:strCache>
            </c:strRef>
          </c:tx>
          <c:spPr>
            <a:ln w="28571" cap="rnd">
              <a:solidFill>
                <a:schemeClr val="accent3"/>
              </a:solidFill>
              <a:round/>
            </a:ln>
            <a:effectLst/>
          </c:spPr>
          <c:marker>
            <c:symbol val="none"/>
          </c:marker>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Hoja1!$D$2:$D$9</c:f>
              <c:numCache>
                <c:formatCode>General</c:formatCode>
                <c:ptCount val="8"/>
              </c:numCache>
            </c:numRef>
          </c:val>
          <c:smooth val="0"/>
        </c:ser>
        <c:dLbls>
          <c:showLegendKey val="0"/>
          <c:showVal val="0"/>
          <c:showCatName val="0"/>
          <c:showSerName val="0"/>
          <c:showPercent val="0"/>
          <c:showBubbleSize val="0"/>
        </c:dLbls>
        <c:smooth val="0"/>
        <c:axId val="-1260129968"/>
        <c:axId val="-1260134864"/>
      </c:lineChart>
      <c:catAx>
        <c:axId val="-1260129968"/>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260134864"/>
        <c:crosses val="autoZero"/>
        <c:auto val="1"/>
        <c:lblAlgn val="ctr"/>
        <c:lblOffset val="100"/>
        <c:noMultiLvlLbl val="0"/>
      </c:catAx>
      <c:valAx>
        <c:axId val="-1260134864"/>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260129968"/>
        <c:crosses val="autoZero"/>
        <c:crossBetween val="between"/>
      </c:valAx>
      <c:spPr>
        <a:noFill/>
        <a:ln w="25396">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A8536-477A-4013-9C55-79F76496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34282</Words>
  <Characters>188552</Characters>
  <Application>Microsoft Office Word</Application>
  <DocSecurity>0</DocSecurity>
  <Lines>1571</Lines>
  <Paragraphs>444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AngelicaMG</dc:creator>
  <cp:keywords/>
  <dc:description/>
  <cp:lastModifiedBy>Isaac Saenz Cruz</cp:lastModifiedBy>
  <cp:revision>2</cp:revision>
  <cp:lastPrinted>2017-02-28T20:34:00Z</cp:lastPrinted>
  <dcterms:created xsi:type="dcterms:W3CDTF">2017-07-07T21:33:00Z</dcterms:created>
  <dcterms:modified xsi:type="dcterms:W3CDTF">2017-07-07T21:33:00Z</dcterms:modified>
</cp:coreProperties>
</file>