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DA4BC3" w14:textId="730589D8" w:rsidR="00690965" w:rsidRPr="00643DCF" w:rsidRDefault="00EF0372" w:rsidP="00690965">
      <w:pPr>
        <w:pStyle w:val="Sinespacio"/>
        <w:numPr>
          <w:ilvl w:val="0"/>
          <w:numId w:val="0"/>
        </w:numPr>
        <w:tabs>
          <w:tab w:val="left" w:pos="708"/>
        </w:tabs>
        <w:ind w:left="708" w:hanging="708"/>
      </w:pPr>
      <w:r w:rsidRPr="00643DCF">
        <w:t xml:space="preserve"> </w:t>
      </w:r>
      <w:r w:rsidR="00690965" w:rsidRPr="00643DCF">
        <w:t>REPÚBLICA DE COLOMBIA</w:t>
      </w:r>
    </w:p>
    <w:p w14:paraId="7A995B27" w14:textId="77777777" w:rsidR="00690965" w:rsidRPr="00643DCF" w:rsidRDefault="00690965" w:rsidP="00690965">
      <w:pPr>
        <w:pStyle w:val="Sinespacio"/>
        <w:numPr>
          <w:ilvl w:val="0"/>
          <w:numId w:val="0"/>
        </w:numPr>
        <w:tabs>
          <w:tab w:val="left" w:pos="708"/>
        </w:tabs>
      </w:pPr>
      <w:r w:rsidRPr="00643DCF">
        <w:rPr>
          <w:noProof/>
          <w:lang w:val="es-CO" w:eastAsia="es-CO"/>
        </w:rPr>
        <w:drawing>
          <wp:inline distT="0" distB="0" distL="0" distR="0" wp14:anchorId="7F01D73B" wp14:editId="1121143B">
            <wp:extent cx="790575" cy="7905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inline>
        </w:drawing>
      </w:r>
    </w:p>
    <w:p w14:paraId="684AF17C" w14:textId="77777777" w:rsidR="00690965" w:rsidRPr="00643DCF" w:rsidRDefault="00690965" w:rsidP="00690965">
      <w:pPr>
        <w:pStyle w:val="Sinespacio"/>
        <w:numPr>
          <w:ilvl w:val="0"/>
          <w:numId w:val="0"/>
        </w:numPr>
        <w:tabs>
          <w:tab w:val="left" w:pos="708"/>
        </w:tabs>
        <w:rPr>
          <w:lang w:val="pt-BR"/>
        </w:rPr>
      </w:pPr>
      <w:r w:rsidRPr="00643DCF">
        <w:rPr>
          <w:lang w:val="pt-BR"/>
        </w:rPr>
        <w:t>CORTE CONSTITUCIONAL</w:t>
      </w:r>
    </w:p>
    <w:p w14:paraId="1E1F07E0" w14:textId="0B62F808" w:rsidR="00690965" w:rsidRPr="00643DCF" w:rsidRDefault="00304FBE" w:rsidP="00690965">
      <w:pPr>
        <w:pStyle w:val="Sinespacio"/>
        <w:numPr>
          <w:ilvl w:val="0"/>
          <w:numId w:val="0"/>
        </w:numPr>
        <w:tabs>
          <w:tab w:val="left" w:pos="708"/>
        </w:tabs>
        <w:rPr>
          <w:lang w:val="es-CO"/>
        </w:rPr>
      </w:pPr>
      <w:r w:rsidRPr="00643DCF">
        <w:rPr>
          <w:lang w:val="es-CO"/>
        </w:rPr>
        <w:t xml:space="preserve">Sala Especial de Seguimiento </w:t>
      </w:r>
    </w:p>
    <w:p w14:paraId="277DF072" w14:textId="77777777" w:rsidR="00690965" w:rsidRPr="00643DCF" w:rsidRDefault="00690965" w:rsidP="00690965">
      <w:pPr>
        <w:rPr>
          <w:sz w:val="28"/>
          <w:szCs w:val="28"/>
        </w:rPr>
      </w:pPr>
    </w:p>
    <w:p w14:paraId="7951FC9C" w14:textId="77777777" w:rsidR="00210E90" w:rsidRPr="00643DCF" w:rsidRDefault="00210E90" w:rsidP="00690965">
      <w:pPr>
        <w:rPr>
          <w:sz w:val="28"/>
          <w:szCs w:val="28"/>
        </w:rPr>
      </w:pPr>
    </w:p>
    <w:p w14:paraId="257E179D" w14:textId="4A2B2366" w:rsidR="00690965" w:rsidRPr="00643DCF" w:rsidRDefault="0016422B" w:rsidP="00690965">
      <w:pPr>
        <w:keepNext/>
        <w:jc w:val="center"/>
        <w:outlineLvl w:val="2"/>
        <w:rPr>
          <w:b/>
          <w:bCs/>
          <w:sz w:val="28"/>
          <w:szCs w:val="28"/>
        </w:rPr>
      </w:pPr>
      <w:r w:rsidRPr="00643DCF">
        <w:rPr>
          <w:b/>
          <w:bCs/>
          <w:sz w:val="28"/>
          <w:szCs w:val="28"/>
        </w:rPr>
        <w:t xml:space="preserve">AUTO </w:t>
      </w:r>
      <w:r w:rsidR="005E6B96" w:rsidRPr="00643DCF">
        <w:rPr>
          <w:b/>
          <w:bCs/>
          <w:sz w:val="28"/>
          <w:szCs w:val="28"/>
        </w:rPr>
        <w:t xml:space="preserve"> </w:t>
      </w:r>
      <w:r w:rsidR="00E744D7">
        <w:rPr>
          <w:b/>
          <w:bCs/>
          <w:sz w:val="28"/>
          <w:szCs w:val="28"/>
        </w:rPr>
        <w:t xml:space="preserve">122A </w:t>
      </w:r>
      <w:bookmarkStart w:id="0" w:name="_GoBack"/>
      <w:bookmarkEnd w:id="0"/>
      <w:r w:rsidR="005E6B96" w:rsidRPr="00643DCF">
        <w:rPr>
          <w:b/>
          <w:bCs/>
          <w:sz w:val="28"/>
          <w:szCs w:val="28"/>
        </w:rPr>
        <w:t>de 2019</w:t>
      </w:r>
    </w:p>
    <w:p w14:paraId="715C9F79" w14:textId="77777777" w:rsidR="00690965" w:rsidRPr="00643DCF" w:rsidRDefault="00690965" w:rsidP="00690965">
      <w:pPr>
        <w:tabs>
          <w:tab w:val="left" w:pos="1800"/>
        </w:tabs>
        <w:overflowPunct w:val="0"/>
        <w:autoSpaceDE w:val="0"/>
        <w:autoSpaceDN w:val="0"/>
        <w:adjustRightInd w:val="0"/>
        <w:jc w:val="both"/>
        <w:rPr>
          <w:b/>
          <w:bCs/>
          <w:sz w:val="28"/>
          <w:szCs w:val="28"/>
          <w:lang w:val="es-ES_tradnl"/>
        </w:rPr>
      </w:pPr>
    </w:p>
    <w:p w14:paraId="6BC3A276" w14:textId="77777777" w:rsidR="00210E90" w:rsidRPr="00643DCF" w:rsidRDefault="00210E90" w:rsidP="00690965">
      <w:pPr>
        <w:tabs>
          <w:tab w:val="left" w:pos="1800"/>
        </w:tabs>
        <w:overflowPunct w:val="0"/>
        <w:autoSpaceDE w:val="0"/>
        <w:autoSpaceDN w:val="0"/>
        <w:adjustRightInd w:val="0"/>
        <w:jc w:val="both"/>
        <w:rPr>
          <w:b/>
          <w:bCs/>
          <w:sz w:val="28"/>
          <w:szCs w:val="28"/>
          <w:lang w:val="es-ES_tradnl"/>
        </w:rPr>
      </w:pPr>
    </w:p>
    <w:p w14:paraId="776C09FF" w14:textId="1828DF27" w:rsidR="00690965" w:rsidRPr="00643DCF" w:rsidRDefault="00690965" w:rsidP="003E23A0">
      <w:pPr>
        <w:tabs>
          <w:tab w:val="left" w:pos="1800"/>
        </w:tabs>
        <w:overflowPunct w:val="0"/>
        <w:autoSpaceDE w:val="0"/>
        <w:autoSpaceDN w:val="0"/>
        <w:adjustRightInd w:val="0"/>
        <w:ind w:left="4536"/>
        <w:jc w:val="both"/>
        <w:rPr>
          <w:sz w:val="28"/>
          <w:szCs w:val="28"/>
        </w:rPr>
      </w:pPr>
      <w:r w:rsidRPr="00643DCF">
        <w:rPr>
          <w:b/>
          <w:bCs/>
          <w:sz w:val="28"/>
          <w:szCs w:val="28"/>
          <w:lang w:val="es-ES_tradnl"/>
        </w:rPr>
        <w:t>Referencia:</w:t>
      </w:r>
      <w:r w:rsidRPr="00643DCF">
        <w:rPr>
          <w:sz w:val="28"/>
          <w:szCs w:val="28"/>
          <w:lang w:val="es-ES_tradnl"/>
        </w:rPr>
        <w:t xml:space="preserve"> </w:t>
      </w:r>
      <w:r w:rsidRPr="00643DCF">
        <w:rPr>
          <w:sz w:val="28"/>
          <w:szCs w:val="28"/>
        </w:rPr>
        <w:t>Valoración del nivel de cumplimiento</w:t>
      </w:r>
      <w:r w:rsidR="000D7D68" w:rsidRPr="00643DCF">
        <w:rPr>
          <w:sz w:val="28"/>
          <w:szCs w:val="28"/>
        </w:rPr>
        <w:t xml:space="preserve"> de la</w:t>
      </w:r>
      <w:r w:rsidR="004E32C0" w:rsidRPr="00643DCF">
        <w:rPr>
          <w:sz w:val="28"/>
          <w:szCs w:val="28"/>
        </w:rPr>
        <w:t xml:space="preserve"> orden </w:t>
      </w:r>
      <w:r w:rsidR="00BE225C" w:rsidRPr="00643DCF">
        <w:rPr>
          <w:sz w:val="28"/>
          <w:szCs w:val="28"/>
        </w:rPr>
        <w:t>trigésima</w:t>
      </w:r>
      <w:r w:rsidR="004E32C0" w:rsidRPr="00643DCF">
        <w:rPr>
          <w:sz w:val="28"/>
          <w:szCs w:val="28"/>
        </w:rPr>
        <w:t xml:space="preserve"> segunda</w:t>
      </w:r>
      <w:r w:rsidRPr="00643DCF">
        <w:rPr>
          <w:sz w:val="28"/>
          <w:szCs w:val="28"/>
        </w:rPr>
        <w:t>.</w:t>
      </w:r>
    </w:p>
    <w:p w14:paraId="45CC22E4" w14:textId="77777777" w:rsidR="006747C2" w:rsidRPr="00643DCF" w:rsidRDefault="006747C2" w:rsidP="00820F25">
      <w:pPr>
        <w:tabs>
          <w:tab w:val="left" w:pos="1800"/>
        </w:tabs>
        <w:overflowPunct w:val="0"/>
        <w:autoSpaceDE w:val="0"/>
        <w:autoSpaceDN w:val="0"/>
        <w:adjustRightInd w:val="0"/>
        <w:jc w:val="both"/>
        <w:rPr>
          <w:sz w:val="28"/>
          <w:szCs w:val="28"/>
        </w:rPr>
      </w:pPr>
    </w:p>
    <w:p w14:paraId="41FFA72F" w14:textId="1B7DCD89" w:rsidR="006747C2" w:rsidRPr="00643DCF" w:rsidRDefault="006747C2" w:rsidP="00AA5DA4">
      <w:pPr>
        <w:ind w:left="4536"/>
        <w:jc w:val="both"/>
        <w:rPr>
          <w:sz w:val="28"/>
          <w:szCs w:val="28"/>
        </w:rPr>
      </w:pPr>
      <w:r w:rsidRPr="00643DCF">
        <w:rPr>
          <w:b/>
          <w:bCs/>
          <w:sz w:val="28"/>
          <w:szCs w:val="28"/>
        </w:rPr>
        <w:t>Asunto:</w:t>
      </w:r>
      <w:r w:rsidRPr="00643DCF">
        <w:rPr>
          <w:sz w:val="28"/>
          <w:szCs w:val="28"/>
        </w:rPr>
        <w:t xml:space="preserve"> Seguimiento a las medidas adoptadas por el Consejo Superior de la Judicatura para la difusión de la </w:t>
      </w:r>
      <w:r w:rsidR="00F11A05" w:rsidRPr="00643DCF">
        <w:rPr>
          <w:sz w:val="28"/>
          <w:szCs w:val="28"/>
        </w:rPr>
        <w:t>sentencia</w:t>
      </w:r>
      <w:r w:rsidRPr="00643DCF">
        <w:rPr>
          <w:sz w:val="28"/>
          <w:szCs w:val="28"/>
        </w:rPr>
        <w:t xml:space="preserve"> T- 760 de 2008.</w:t>
      </w:r>
    </w:p>
    <w:p w14:paraId="06C8619E" w14:textId="07BD7CA9" w:rsidR="00690965" w:rsidRPr="00643DCF" w:rsidRDefault="00690965" w:rsidP="00AA5DA4">
      <w:pPr>
        <w:ind w:left="4536"/>
        <w:jc w:val="both"/>
        <w:rPr>
          <w:sz w:val="28"/>
          <w:szCs w:val="28"/>
        </w:rPr>
      </w:pPr>
      <w:r w:rsidRPr="00643DCF">
        <w:rPr>
          <w:sz w:val="28"/>
          <w:szCs w:val="28"/>
        </w:rPr>
        <w:t xml:space="preserve"> </w:t>
      </w:r>
    </w:p>
    <w:p w14:paraId="2058EDA3" w14:textId="364D06E7" w:rsidR="00AA5DA4" w:rsidRPr="00643DCF" w:rsidRDefault="00AA5DA4" w:rsidP="00AA5DA4">
      <w:pPr>
        <w:tabs>
          <w:tab w:val="left" w:pos="1800"/>
        </w:tabs>
        <w:ind w:left="4536"/>
        <w:jc w:val="both"/>
        <w:rPr>
          <w:b/>
          <w:bCs/>
          <w:sz w:val="28"/>
          <w:szCs w:val="28"/>
        </w:rPr>
      </w:pPr>
      <w:r w:rsidRPr="00643DCF">
        <w:rPr>
          <w:b/>
          <w:bCs/>
          <w:sz w:val="28"/>
          <w:szCs w:val="28"/>
          <w:lang w:val="pt-BR"/>
        </w:rPr>
        <w:t xml:space="preserve">Magistrado </w:t>
      </w:r>
      <w:r w:rsidR="009045ED" w:rsidRPr="00643DCF">
        <w:rPr>
          <w:b/>
          <w:bCs/>
          <w:sz w:val="28"/>
          <w:szCs w:val="28"/>
          <w:lang w:val="pt-BR"/>
        </w:rPr>
        <w:t xml:space="preserve">Ponente: </w:t>
      </w:r>
    </w:p>
    <w:p w14:paraId="0EA1454F" w14:textId="77777777" w:rsidR="00AA5DA4" w:rsidRPr="00643DCF" w:rsidRDefault="00AA5DA4" w:rsidP="00AA5DA4">
      <w:pPr>
        <w:tabs>
          <w:tab w:val="left" w:pos="1800"/>
        </w:tabs>
        <w:ind w:left="4536"/>
        <w:jc w:val="both"/>
        <w:rPr>
          <w:sz w:val="28"/>
          <w:szCs w:val="28"/>
          <w:lang w:val="pt-BR"/>
        </w:rPr>
      </w:pPr>
      <w:r w:rsidRPr="00643DCF">
        <w:rPr>
          <w:sz w:val="28"/>
          <w:szCs w:val="28"/>
          <w:lang w:val="pt-BR"/>
        </w:rPr>
        <w:t>JOSÉ FERNANDO REYES CUARTAS.</w:t>
      </w:r>
    </w:p>
    <w:p w14:paraId="4B3C8CD1" w14:textId="77777777" w:rsidR="00210E90" w:rsidRPr="00643DCF" w:rsidRDefault="00210E90" w:rsidP="00690965">
      <w:pPr>
        <w:tabs>
          <w:tab w:val="left" w:pos="1800"/>
        </w:tabs>
        <w:jc w:val="both"/>
        <w:rPr>
          <w:sz w:val="28"/>
          <w:szCs w:val="28"/>
          <w:lang w:val="pt-BR"/>
        </w:rPr>
      </w:pPr>
    </w:p>
    <w:p w14:paraId="496130DD" w14:textId="6CDD6ACD" w:rsidR="00AA5DA4" w:rsidRPr="00643DCF" w:rsidRDefault="00AA5DA4" w:rsidP="00AA5DA4">
      <w:pPr>
        <w:jc w:val="both"/>
        <w:rPr>
          <w:snapToGrid w:val="0"/>
          <w:sz w:val="28"/>
          <w:szCs w:val="28"/>
        </w:rPr>
      </w:pPr>
      <w:r w:rsidRPr="00643DCF">
        <w:rPr>
          <w:snapToGrid w:val="0"/>
          <w:sz w:val="28"/>
          <w:szCs w:val="28"/>
        </w:rPr>
        <w:t>Bogotá</w:t>
      </w:r>
      <w:r w:rsidR="009045ED" w:rsidRPr="00643DCF">
        <w:rPr>
          <w:snapToGrid w:val="0"/>
          <w:sz w:val="28"/>
          <w:szCs w:val="28"/>
        </w:rPr>
        <w:t>,</w:t>
      </w:r>
      <w:r w:rsidR="0033226A" w:rsidRPr="00643DCF">
        <w:rPr>
          <w:snapToGrid w:val="0"/>
          <w:sz w:val="28"/>
          <w:szCs w:val="28"/>
        </w:rPr>
        <w:t xml:space="preserve"> D.C., </w:t>
      </w:r>
      <w:r w:rsidR="002B4784" w:rsidRPr="00643DCF">
        <w:rPr>
          <w:snapToGrid w:val="0"/>
          <w:sz w:val="28"/>
          <w:szCs w:val="28"/>
        </w:rPr>
        <w:t xml:space="preserve">diecinueve </w:t>
      </w:r>
      <w:r w:rsidRPr="00643DCF">
        <w:rPr>
          <w:snapToGrid w:val="0"/>
          <w:sz w:val="28"/>
          <w:szCs w:val="28"/>
        </w:rPr>
        <w:t>(</w:t>
      </w:r>
      <w:r w:rsidR="002B4784" w:rsidRPr="00643DCF">
        <w:rPr>
          <w:snapToGrid w:val="0"/>
          <w:sz w:val="28"/>
          <w:szCs w:val="28"/>
        </w:rPr>
        <w:t>19</w:t>
      </w:r>
      <w:r w:rsidRPr="00643DCF">
        <w:rPr>
          <w:snapToGrid w:val="0"/>
          <w:sz w:val="28"/>
          <w:szCs w:val="28"/>
        </w:rPr>
        <w:t xml:space="preserve">) de </w:t>
      </w:r>
      <w:r w:rsidR="002B4784" w:rsidRPr="00643DCF">
        <w:rPr>
          <w:snapToGrid w:val="0"/>
          <w:sz w:val="28"/>
          <w:szCs w:val="28"/>
        </w:rPr>
        <w:t>marzo</w:t>
      </w:r>
      <w:r w:rsidR="0082434D" w:rsidRPr="00643DCF">
        <w:rPr>
          <w:snapToGrid w:val="0"/>
          <w:sz w:val="28"/>
          <w:szCs w:val="28"/>
        </w:rPr>
        <w:t xml:space="preserve"> </w:t>
      </w:r>
      <w:r w:rsidRPr="00643DCF">
        <w:rPr>
          <w:snapToGrid w:val="0"/>
          <w:sz w:val="28"/>
          <w:szCs w:val="28"/>
        </w:rPr>
        <w:t>de dos mil dieci</w:t>
      </w:r>
      <w:r w:rsidR="00E24907" w:rsidRPr="00643DCF">
        <w:rPr>
          <w:snapToGrid w:val="0"/>
          <w:sz w:val="28"/>
          <w:szCs w:val="28"/>
        </w:rPr>
        <w:t>nueve</w:t>
      </w:r>
      <w:r w:rsidRPr="00643DCF">
        <w:rPr>
          <w:snapToGrid w:val="0"/>
          <w:sz w:val="28"/>
          <w:szCs w:val="28"/>
        </w:rPr>
        <w:t xml:space="preserve"> (201</w:t>
      </w:r>
      <w:r w:rsidR="00E24907" w:rsidRPr="00643DCF">
        <w:rPr>
          <w:snapToGrid w:val="0"/>
          <w:sz w:val="28"/>
          <w:szCs w:val="28"/>
        </w:rPr>
        <w:t>9</w:t>
      </w:r>
      <w:r w:rsidRPr="00643DCF">
        <w:rPr>
          <w:snapToGrid w:val="0"/>
          <w:sz w:val="28"/>
          <w:szCs w:val="28"/>
        </w:rPr>
        <w:t>).</w:t>
      </w:r>
    </w:p>
    <w:p w14:paraId="2DDBE8AA" w14:textId="77777777" w:rsidR="00690965" w:rsidRPr="00643DCF" w:rsidRDefault="00690965" w:rsidP="00690965">
      <w:pPr>
        <w:jc w:val="both"/>
        <w:rPr>
          <w:snapToGrid w:val="0"/>
          <w:sz w:val="28"/>
          <w:szCs w:val="28"/>
        </w:rPr>
      </w:pPr>
    </w:p>
    <w:p w14:paraId="7CF08E14" w14:textId="75D97F2D" w:rsidR="00AA5DA4" w:rsidRPr="00643DCF" w:rsidRDefault="00AA5DA4" w:rsidP="00AA5DA4">
      <w:pPr>
        <w:jc w:val="both"/>
        <w:rPr>
          <w:snapToGrid w:val="0"/>
          <w:sz w:val="28"/>
          <w:szCs w:val="28"/>
        </w:rPr>
      </w:pPr>
      <w:r w:rsidRPr="00643DCF">
        <w:rPr>
          <w:snapToGrid w:val="0"/>
          <w:sz w:val="28"/>
          <w:szCs w:val="28"/>
        </w:rPr>
        <w:t xml:space="preserve">La Sala Especial </w:t>
      </w:r>
      <w:r w:rsidR="000F140C" w:rsidRPr="00643DCF">
        <w:rPr>
          <w:snapToGrid w:val="0"/>
          <w:sz w:val="28"/>
          <w:szCs w:val="28"/>
        </w:rPr>
        <w:t xml:space="preserve">de Seguimiento </w:t>
      </w:r>
      <w:r w:rsidRPr="00643DCF">
        <w:rPr>
          <w:snapToGrid w:val="0"/>
          <w:sz w:val="28"/>
          <w:szCs w:val="28"/>
        </w:rPr>
        <w:t xml:space="preserve">de la Corte Constitucional, conformada por la Sala Plena en sesión del 1° de abril de 2009 para efectuar el seguimiento al cumplimiento de la </w:t>
      </w:r>
      <w:r w:rsidR="00F11A05" w:rsidRPr="00643DCF">
        <w:rPr>
          <w:snapToGrid w:val="0"/>
          <w:sz w:val="28"/>
          <w:szCs w:val="28"/>
        </w:rPr>
        <w:t>sentencia</w:t>
      </w:r>
      <w:r w:rsidRPr="00643DCF">
        <w:rPr>
          <w:snapToGrid w:val="0"/>
          <w:sz w:val="28"/>
          <w:szCs w:val="28"/>
        </w:rPr>
        <w:t xml:space="preserve"> T-760 de 2008, integrada por los magistrados Alejandro Linares Cantillo, Antonio José Lizarazo Ocampo y José Fernando Reyes Cuartas, quien la preside, en ejercicio de sus competencias constitucionales y legales, procede a dictar el presente auto con base en los siguientes:</w:t>
      </w:r>
    </w:p>
    <w:p w14:paraId="1BF9F244" w14:textId="77777777" w:rsidR="00690965" w:rsidRPr="00643DCF" w:rsidRDefault="00690965" w:rsidP="00690965">
      <w:pPr>
        <w:rPr>
          <w:b/>
          <w:bCs/>
          <w:sz w:val="28"/>
          <w:szCs w:val="28"/>
        </w:rPr>
      </w:pPr>
    </w:p>
    <w:p w14:paraId="5ECFDA64" w14:textId="77777777" w:rsidR="00690965" w:rsidRPr="00643DCF" w:rsidRDefault="00690965" w:rsidP="00690965">
      <w:pPr>
        <w:numPr>
          <w:ilvl w:val="0"/>
          <w:numId w:val="2"/>
        </w:numPr>
        <w:tabs>
          <w:tab w:val="clear" w:pos="1080"/>
          <w:tab w:val="num" w:pos="0"/>
        </w:tabs>
        <w:ind w:left="0" w:firstLine="0"/>
        <w:jc w:val="center"/>
        <w:rPr>
          <w:b/>
          <w:bCs/>
          <w:sz w:val="28"/>
          <w:szCs w:val="28"/>
        </w:rPr>
      </w:pPr>
      <w:r w:rsidRPr="00643DCF">
        <w:rPr>
          <w:b/>
          <w:bCs/>
          <w:sz w:val="28"/>
          <w:szCs w:val="28"/>
        </w:rPr>
        <w:t>ANTECEDENTES</w:t>
      </w:r>
    </w:p>
    <w:p w14:paraId="66FA174D" w14:textId="77777777" w:rsidR="00690965" w:rsidRPr="00643DCF" w:rsidRDefault="00690965" w:rsidP="00690965">
      <w:pPr>
        <w:tabs>
          <w:tab w:val="left" w:pos="357"/>
        </w:tabs>
        <w:jc w:val="both"/>
        <w:rPr>
          <w:b/>
          <w:bCs/>
          <w:sz w:val="28"/>
          <w:szCs w:val="28"/>
        </w:rPr>
      </w:pPr>
    </w:p>
    <w:p w14:paraId="235CD12C" w14:textId="6083379D" w:rsidR="00690965" w:rsidRPr="00643DCF" w:rsidRDefault="00690965" w:rsidP="00FC2355">
      <w:pPr>
        <w:widowControl w:val="0"/>
        <w:numPr>
          <w:ilvl w:val="0"/>
          <w:numId w:val="3"/>
        </w:numPr>
        <w:tabs>
          <w:tab w:val="left" w:pos="284"/>
        </w:tabs>
        <w:autoSpaceDE w:val="0"/>
        <w:autoSpaceDN w:val="0"/>
        <w:adjustRightInd w:val="0"/>
        <w:ind w:left="0" w:firstLine="0"/>
        <w:jc w:val="both"/>
        <w:rPr>
          <w:sz w:val="28"/>
          <w:szCs w:val="28"/>
          <w:lang w:val="es-ES_tradnl" w:eastAsia="es-ES_tradnl"/>
        </w:rPr>
      </w:pPr>
      <w:r w:rsidRPr="00643DCF">
        <w:rPr>
          <w:sz w:val="28"/>
          <w:szCs w:val="28"/>
          <w:lang w:eastAsia="es-ES_tradnl"/>
        </w:rPr>
        <w:t xml:space="preserve">En la </w:t>
      </w:r>
      <w:r w:rsidR="00853C97" w:rsidRPr="00643DCF">
        <w:rPr>
          <w:sz w:val="28"/>
          <w:szCs w:val="28"/>
          <w:lang w:eastAsia="es-ES_tradnl"/>
        </w:rPr>
        <w:t>s</w:t>
      </w:r>
      <w:r w:rsidR="00A63D43" w:rsidRPr="00643DCF">
        <w:rPr>
          <w:sz w:val="28"/>
          <w:szCs w:val="28"/>
          <w:lang w:eastAsia="es-ES_tradnl"/>
        </w:rPr>
        <w:t xml:space="preserve">entencia </w:t>
      </w:r>
      <w:r w:rsidRPr="00643DCF">
        <w:rPr>
          <w:sz w:val="28"/>
          <w:szCs w:val="28"/>
          <w:lang w:eastAsia="es-ES_tradnl"/>
        </w:rPr>
        <w:t>T-760 de 2008 esta Corporación impartió una serie de órdenes dirigidas a las autoridades del Sistema General de Seguridad Social en Salud</w:t>
      </w:r>
      <w:r w:rsidR="000D7D68" w:rsidRPr="00643DCF">
        <w:rPr>
          <w:sz w:val="28"/>
          <w:szCs w:val="28"/>
          <w:lang w:eastAsia="es-ES_tradnl"/>
        </w:rPr>
        <w:t xml:space="preserve"> (SGSSS)</w:t>
      </w:r>
      <w:r w:rsidRPr="00643DCF">
        <w:rPr>
          <w:sz w:val="28"/>
          <w:szCs w:val="28"/>
          <w:lang w:eastAsia="es-ES_tradnl"/>
        </w:rPr>
        <w:t>, con el fin de que se tomaran las medidas necesarias para corregir las fallas de regulación identificadas a partir del análisis de los casos concretos acumulados en dicha providencia.</w:t>
      </w:r>
      <w:r w:rsidRPr="00643DCF">
        <w:rPr>
          <w:sz w:val="28"/>
          <w:szCs w:val="28"/>
          <w:lang w:val="es-ES_tradnl" w:eastAsia="es-ES_tradnl"/>
        </w:rPr>
        <w:t xml:space="preserve"> </w:t>
      </w:r>
      <w:r w:rsidRPr="00643DCF">
        <w:rPr>
          <w:sz w:val="28"/>
          <w:szCs w:val="28"/>
        </w:rPr>
        <w:t>Así, en el ord</w:t>
      </w:r>
      <w:r w:rsidR="0094086F" w:rsidRPr="00643DCF">
        <w:rPr>
          <w:sz w:val="28"/>
          <w:szCs w:val="28"/>
        </w:rPr>
        <w:t>i</w:t>
      </w:r>
      <w:r w:rsidRPr="00643DCF">
        <w:rPr>
          <w:sz w:val="28"/>
          <w:szCs w:val="28"/>
        </w:rPr>
        <w:t xml:space="preserve">nal </w:t>
      </w:r>
      <w:r w:rsidR="008732EB" w:rsidRPr="00643DCF">
        <w:rPr>
          <w:sz w:val="28"/>
          <w:szCs w:val="28"/>
        </w:rPr>
        <w:t>trigésimo</w:t>
      </w:r>
      <w:r w:rsidRPr="00643DCF">
        <w:rPr>
          <w:sz w:val="28"/>
          <w:szCs w:val="28"/>
        </w:rPr>
        <w:t xml:space="preserve"> </w:t>
      </w:r>
      <w:r w:rsidR="00ED4165" w:rsidRPr="00643DCF">
        <w:rPr>
          <w:sz w:val="28"/>
          <w:szCs w:val="28"/>
        </w:rPr>
        <w:t xml:space="preserve">segundo </w:t>
      </w:r>
      <w:r w:rsidRPr="00643DCF">
        <w:rPr>
          <w:sz w:val="28"/>
          <w:szCs w:val="28"/>
        </w:rPr>
        <w:t>de la parte resolutiva de la citada decisión, se dispuso:</w:t>
      </w:r>
    </w:p>
    <w:p w14:paraId="3AD1438D" w14:textId="77777777" w:rsidR="00690965" w:rsidRPr="00643DCF" w:rsidRDefault="00690965" w:rsidP="00690965">
      <w:pPr>
        <w:jc w:val="both"/>
        <w:rPr>
          <w:sz w:val="28"/>
          <w:szCs w:val="28"/>
          <w:lang w:val="es-ES_tradnl"/>
        </w:rPr>
      </w:pPr>
    </w:p>
    <w:p w14:paraId="09194567" w14:textId="77777777" w:rsidR="00690965" w:rsidRPr="00643DCF" w:rsidRDefault="00690965" w:rsidP="000961E6">
      <w:pPr>
        <w:ind w:left="284" w:right="51"/>
        <w:jc w:val="both"/>
        <w:rPr>
          <w:i/>
          <w:iCs/>
          <w:sz w:val="28"/>
          <w:szCs w:val="28"/>
        </w:rPr>
      </w:pPr>
      <w:r w:rsidRPr="00643DCF">
        <w:rPr>
          <w:bCs/>
          <w:i/>
          <w:iCs/>
          <w:sz w:val="28"/>
          <w:szCs w:val="28"/>
        </w:rPr>
        <w:t>“</w:t>
      </w:r>
      <w:r w:rsidRPr="00643DCF">
        <w:rPr>
          <w:i/>
          <w:sz w:val="28"/>
          <w:szCs w:val="28"/>
        </w:rPr>
        <w:t>Ordenar a</w:t>
      </w:r>
      <w:r w:rsidR="008732EB" w:rsidRPr="00643DCF">
        <w:rPr>
          <w:i/>
          <w:sz w:val="28"/>
          <w:szCs w:val="28"/>
        </w:rPr>
        <w:t xml:space="preserve"> </w:t>
      </w:r>
      <w:r w:rsidRPr="00643DCF">
        <w:rPr>
          <w:i/>
          <w:sz w:val="28"/>
          <w:szCs w:val="28"/>
        </w:rPr>
        <w:t>l</w:t>
      </w:r>
      <w:r w:rsidR="008732EB" w:rsidRPr="00643DCF">
        <w:rPr>
          <w:i/>
          <w:sz w:val="28"/>
          <w:szCs w:val="28"/>
        </w:rPr>
        <w:t xml:space="preserve">a Secretaría General de esta Corporación remitir copia de la presente </w:t>
      </w:r>
      <w:r w:rsidR="00916402" w:rsidRPr="00643DCF">
        <w:rPr>
          <w:i/>
          <w:sz w:val="28"/>
          <w:szCs w:val="28"/>
        </w:rPr>
        <w:t>sentencia</w:t>
      </w:r>
      <w:r w:rsidR="008732EB" w:rsidRPr="00643DCF">
        <w:rPr>
          <w:i/>
          <w:sz w:val="28"/>
          <w:szCs w:val="28"/>
        </w:rPr>
        <w:t xml:space="preserve"> al Consejo Superior de la Judicatura para que la divulgue entre los jueces de la República.</w:t>
      </w:r>
      <w:r w:rsidRPr="00643DCF">
        <w:rPr>
          <w:i/>
          <w:iCs/>
          <w:sz w:val="28"/>
          <w:szCs w:val="28"/>
        </w:rPr>
        <w:t xml:space="preserve">” </w:t>
      </w:r>
    </w:p>
    <w:p w14:paraId="29883758" w14:textId="77777777" w:rsidR="00690965" w:rsidRPr="00643DCF" w:rsidRDefault="00690965" w:rsidP="00690965">
      <w:pPr>
        <w:ind w:left="567" w:right="618"/>
        <w:jc w:val="both"/>
        <w:rPr>
          <w:i/>
          <w:iCs/>
          <w:sz w:val="28"/>
          <w:szCs w:val="28"/>
        </w:rPr>
      </w:pPr>
    </w:p>
    <w:p w14:paraId="5A06BC00" w14:textId="211E8DEB" w:rsidR="00CE3441" w:rsidRPr="00643DCF" w:rsidRDefault="00690965" w:rsidP="008924BF">
      <w:pPr>
        <w:widowControl w:val="0"/>
        <w:numPr>
          <w:ilvl w:val="0"/>
          <w:numId w:val="3"/>
        </w:numPr>
        <w:tabs>
          <w:tab w:val="left" w:pos="284"/>
        </w:tabs>
        <w:autoSpaceDE w:val="0"/>
        <w:autoSpaceDN w:val="0"/>
        <w:adjustRightInd w:val="0"/>
        <w:ind w:left="0" w:firstLine="0"/>
        <w:jc w:val="both"/>
        <w:rPr>
          <w:sz w:val="28"/>
          <w:szCs w:val="28"/>
        </w:rPr>
      </w:pPr>
      <w:r w:rsidRPr="00643DCF">
        <w:rPr>
          <w:sz w:val="28"/>
          <w:szCs w:val="28"/>
          <w:lang w:eastAsia="es-ES_tradnl"/>
        </w:rPr>
        <w:t>En</w:t>
      </w:r>
      <w:r w:rsidRPr="00643DCF">
        <w:rPr>
          <w:iCs/>
          <w:sz w:val="28"/>
          <w:szCs w:val="28"/>
        </w:rPr>
        <w:t xml:space="preserve"> </w:t>
      </w:r>
      <w:r w:rsidRPr="00643DCF">
        <w:rPr>
          <w:sz w:val="28"/>
          <w:szCs w:val="28"/>
          <w:lang w:eastAsia="es-ES_tradnl"/>
        </w:rPr>
        <w:t>desarrollo</w:t>
      </w:r>
      <w:r w:rsidRPr="00643DCF">
        <w:rPr>
          <w:iCs/>
          <w:sz w:val="28"/>
          <w:szCs w:val="28"/>
        </w:rPr>
        <w:t xml:space="preserve"> del </w:t>
      </w:r>
      <w:r w:rsidRPr="00643DCF">
        <w:rPr>
          <w:sz w:val="28"/>
          <w:szCs w:val="28"/>
        </w:rPr>
        <w:t>trámite de seguimiento al cumplimiento del mandat</w:t>
      </w:r>
      <w:r w:rsidR="00EF328E" w:rsidRPr="00643DCF">
        <w:rPr>
          <w:sz w:val="28"/>
          <w:szCs w:val="28"/>
        </w:rPr>
        <w:t xml:space="preserve">o </w:t>
      </w:r>
      <w:r w:rsidR="00EF328E" w:rsidRPr="00643DCF">
        <w:rPr>
          <w:sz w:val="28"/>
          <w:szCs w:val="28"/>
        </w:rPr>
        <w:lastRenderedPageBreak/>
        <w:t>examinado</w:t>
      </w:r>
      <w:r w:rsidR="00E95676" w:rsidRPr="00643DCF">
        <w:rPr>
          <w:sz w:val="28"/>
          <w:szCs w:val="28"/>
        </w:rPr>
        <w:t>, el 23</w:t>
      </w:r>
      <w:r w:rsidRPr="00643DCF">
        <w:rPr>
          <w:sz w:val="28"/>
          <w:szCs w:val="28"/>
        </w:rPr>
        <w:t xml:space="preserve"> de </w:t>
      </w:r>
      <w:r w:rsidR="00E95676" w:rsidRPr="00643DCF">
        <w:rPr>
          <w:sz w:val="28"/>
          <w:szCs w:val="28"/>
        </w:rPr>
        <w:t>sept</w:t>
      </w:r>
      <w:r w:rsidRPr="00643DCF">
        <w:rPr>
          <w:sz w:val="28"/>
          <w:szCs w:val="28"/>
        </w:rPr>
        <w:t>iembre de 2008</w:t>
      </w:r>
      <w:r w:rsidRPr="00643DCF">
        <w:rPr>
          <w:rStyle w:val="Refdenotaalpie"/>
          <w:sz w:val="28"/>
          <w:szCs w:val="28"/>
        </w:rPr>
        <w:footnoteReference w:id="1"/>
      </w:r>
      <w:r w:rsidRPr="00643DCF">
        <w:rPr>
          <w:sz w:val="28"/>
          <w:szCs w:val="28"/>
        </w:rPr>
        <w:t xml:space="preserve"> </w:t>
      </w:r>
      <w:r w:rsidR="00E95676" w:rsidRPr="00643DCF">
        <w:rPr>
          <w:sz w:val="28"/>
          <w:szCs w:val="28"/>
        </w:rPr>
        <w:t>la Sala Administrativa del Consejo Superior de la Judicatura</w:t>
      </w:r>
      <w:r w:rsidR="00084A01" w:rsidRPr="00643DCF">
        <w:rPr>
          <w:rStyle w:val="Refdenotaalpie"/>
          <w:sz w:val="28"/>
          <w:szCs w:val="28"/>
        </w:rPr>
        <w:footnoteReference w:id="2"/>
      </w:r>
      <w:r w:rsidR="00E95676" w:rsidRPr="00643DCF">
        <w:rPr>
          <w:sz w:val="28"/>
          <w:szCs w:val="28"/>
        </w:rPr>
        <w:t xml:space="preserve"> informó que desde el 5 de septiembre de ese año había </w:t>
      </w:r>
      <w:r w:rsidR="00CE3441" w:rsidRPr="00643DCF">
        <w:rPr>
          <w:sz w:val="28"/>
          <w:szCs w:val="28"/>
        </w:rPr>
        <w:t xml:space="preserve">habilitado en la </w:t>
      </w:r>
      <w:r w:rsidR="006C6B21" w:rsidRPr="00643DCF">
        <w:rPr>
          <w:sz w:val="28"/>
          <w:szCs w:val="28"/>
        </w:rPr>
        <w:t>web</w:t>
      </w:r>
      <w:r w:rsidR="00CE3441" w:rsidRPr="00643DCF">
        <w:rPr>
          <w:sz w:val="28"/>
          <w:szCs w:val="28"/>
        </w:rPr>
        <w:t xml:space="preserve"> de dicha entidad la sección “</w:t>
      </w:r>
      <w:r w:rsidR="00CE3441" w:rsidRPr="00643DCF">
        <w:rPr>
          <w:i/>
          <w:sz w:val="28"/>
          <w:szCs w:val="28"/>
        </w:rPr>
        <w:t>vea también”</w:t>
      </w:r>
      <w:r w:rsidR="00CE3441" w:rsidRPr="00643DCF">
        <w:rPr>
          <w:sz w:val="28"/>
          <w:szCs w:val="28"/>
        </w:rPr>
        <w:t xml:space="preserve">, en la cual se podía acceder al contenido de la </w:t>
      </w:r>
      <w:r w:rsidR="00853C97" w:rsidRPr="00643DCF">
        <w:rPr>
          <w:sz w:val="28"/>
          <w:szCs w:val="28"/>
        </w:rPr>
        <w:t>s</w:t>
      </w:r>
      <w:r w:rsidR="00CE3441" w:rsidRPr="00643DCF">
        <w:rPr>
          <w:sz w:val="28"/>
          <w:szCs w:val="28"/>
        </w:rPr>
        <w:t xml:space="preserve">entencia T-760 de 2008. A su vez, manifestó que el citado fallo había sido remitido a todos los jueces de la República a través de correo electrónico. </w:t>
      </w:r>
    </w:p>
    <w:p w14:paraId="019763A6" w14:textId="77777777" w:rsidR="00535475" w:rsidRPr="00643DCF" w:rsidRDefault="00535475" w:rsidP="00535475">
      <w:pPr>
        <w:ind w:left="567" w:right="618"/>
        <w:jc w:val="both"/>
        <w:rPr>
          <w:iCs/>
          <w:sz w:val="28"/>
          <w:szCs w:val="28"/>
        </w:rPr>
      </w:pPr>
    </w:p>
    <w:p w14:paraId="24A26C59" w14:textId="6535B098" w:rsidR="00535475" w:rsidRPr="00643DCF" w:rsidRDefault="00515328" w:rsidP="00F21C1E">
      <w:pPr>
        <w:widowControl w:val="0"/>
        <w:numPr>
          <w:ilvl w:val="0"/>
          <w:numId w:val="3"/>
        </w:numPr>
        <w:tabs>
          <w:tab w:val="left" w:pos="284"/>
        </w:tabs>
        <w:autoSpaceDE w:val="0"/>
        <w:autoSpaceDN w:val="0"/>
        <w:adjustRightInd w:val="0"/>
        <w:ind w:left="0" w:firstLine="0"/>
        <w:jc w:val="both"/>
        <w:rPr>
          <w:sz w:val="28"/>
          <w:szCs w:val="28"/>
        </w:rPr>
      </w:pPr>
      <w:r w:rsidRPr="00643DCF">
        <w:rPr>
          <w:sz w:val="28"/>
          <w:szCs w:val="28"/>
        </w:rPr>
        <w:t xml:space="preserve">Mediante </w:t>
      </w:r>
      <w:r w:rsidR="008924BF" w:rsidRPr="00643DCF">
        <w:rPr>
          <w:sz w:val="28"/>
          <w:szCs w:val="28"/>
        </w:rPr>
        <w:t>a</w:t>
      </w:r>
      <w:r w:rsidR="00535475" w:rsidRPr="00643DCF">
        <w:rPr>
          <w:sz w:val="28"/>
          <w:szCs w:val="28"/>
        </w:rPr>
        <w:t xml:space="preserve">uto del 13 de julio de 2009, </w:t>
      </w:r>
      <w:r w:rsidRPr="00643DCF">
        <w:rPr>
          <w:sz w:val="28"/>
          <w:szCs w:val="28"/>
        </w:rPr>
        <w:t xml:space="preserve">esta Corporación </w:t>
      </w:r>
      <w:r w:rsidR="00AA5DA4" w:rsidRPr="00643DCF">
        <w:rPr>
          <w:sz w:val="28"/>
          <w:szCs w:val="28"/>
        </w:rPr>
        <w:t>aclaró</w:t>
      </w:r>
      <w:r w:rsidR="00535475" w:rsidRPr="00643DCF">
        <w:rPr>
          <w:sz w:val="28"/>
          <w:szCs w:val="28"/>
        </w:rPr>
        <w:t xml:space="preserve"> al Consejo Superior de la Judicatura que el mandato </w:t>
      </w:r>
      <w:r w:rsidR="006E3914" w:rsidRPr="00643DCF">
        <w:rPr>
          <w:sz w:val="28"/>
          <w:szCs w:val="28"/>
        </w:rPr>
        <w:t>consignado en la orden trigésima</w:t>
      </w:r>
      <w:r w:rsidR="00535475" w:rsidRPr="00643DCF">
        <w:rPr>
          <w:sz w:val="28"/>
          <w:szCs w:val="28"/>
        </w:rPr>
        <w:t xml:space="preserve"> segunda no se limitaba a insertar el contenido de</w:t>
      </w:r>
      <w:r w:rsidR="004C5E82" w:rsidRPr="00643DCF">
        <w:rPr>
          <w:sz w:val="28"/>
          <w:szCs w:val="28"/>
        </w:rPr>
        <w:t xml:space="preserve"> </w:t>
      </w:r>
      <w:r w:rsidR="00535475" w:rsidRPr="00643DCF">
        <w:rPr>
          <w:sz w:val="28"/>
          <w:szCs w:val="28"/>
        </w:rPr>
        <w:t>l</w:t>
      </w:r>
      <w:r w:rsidR="004C5E82" w:rsidRPr="00643DCF">
        <w:rPr>
          <w:sz w:val="28"/>
          <w:szCs w:val="28"/>
        </w:rPr>
        <w:t>a</w:t>
      </w:r>
      <w:r w:rsidR="00535475" w:rsidRPr="00643DCF">
        <w:rPr>
          <w:sz w:val="28"/>
          <w:szCs w:val="28"/>
        </w:rPr>
        <w:t xml:space="preserve"> </w:t>
      </w:r>
      <w:r w:rsidR="004C5E82" w:rsidRPr="00643DCF">
        <w:rPr>
          <w:sz w:val="28"/>
          <w:szCs w:val="28"/>
        </w:rPr>
        <w:t xml:space="preserve">decisión </w:t>
      </w:r>
      <w:r w:rsidR="00535475" w:rsidRPr="00643DCF">
        <w:rPr>
          <w:sz w:val="28"/>
          <w:szCs w:val="28"/>
        </w:rPr>
        <w:t xml:space="preserve">en un link de su página </w:t>
      </w:r>
      <w:r w:rsidR="004C5E82" w:rsidRPr="00643DCF">
        <w:rPr>
          <w:sz w:val="28"/>
          <w:szCs w:val="28"/>
        </w:rPr>
        <w:t>de internet</w:t>
      </w:r>
      <w:r w:rsidR="00535475" w:rsidRPr="00643DCF">
        <w:rPr>
          <w:sz w:val="28"/>
          <w:szCs w:val="28"/>
        </w:rPr>
        <w:t xml:space="preserve"> o al envío del mismo por correo electrónico</w:t>
      </w:r>
      <w:r w:rsidR="00B561E7" w:rsidRPr="00643DCF">
        <w:rPr>
          <w:rStyle w:val="Refdenotaalpie"/>
          <w:sz w:val="28"/>
          <w:szCs w:val="28"/>
        </w:rPr>
        <w:footnoteReference w:id="3"/>
      </w:r>
      <w:r w:rsidR="008F00AA" w:rsidRPr="00643DCF">
        <w:rPr>
          <w:sz w:val="28"/>
          <w:szCs w:val="28"/>
        </w:rPr>
        <w:t>;</w:t>
      </w:r>
      <w:r w:rsidR="00853C97" w:rsidRPr="00643DCF">
        <w:rPr>
          <w:sz w:val="28"/>
          <w:szCs w:val="28"/>
        </w:rPr>
        <w:t xml:space="preserve"> </w:t>
      </w:r>
      <w:r w:rsidR="008F00AA" w:rsidRPr="00643DCF">
        <w:rPr>
          <w:sz w:val="28"/>
          <w:szCs w:val="28"/>
        </w:rPr>
        <w:t>d</w:t>
      </w:r>
      <w:r w:rsidR="00535475" w:rsidRPr="00643DCF">
        <w:rPr>
          <w:sz w:val="28"/>
          <w:szCs w:val="28"/>
        </w:rPr>
        <w:t xml:space="preserve">ebido a esto </w:t>
      </w:r>
      <w:r w:rsidRPr="00643DCF">
        <w:rPr>
          <w:sz w:val="28"/>
          <w:szCs w:val="28"/>
        </w:rPr>
        <w:t xml:space="preserve">le </w:t>
      </w:r>
      <w:r w:rsidR="00EC0A27" w:rsidRPr="00643DCF">
        <w:rPr>
          <w:sz w:val="28"/>
          <w:szCs w:val="28"/>
        </w:rPr>
        <w:t xml:space="preserve">requirió que desarrollara </w:t>
      </w:r>
      <w:r w:rsidR="00535475" w:rsidRPr="00643DCF">
        <w:rPr>
          <w:sz w:val="28"/>
          <w:szCs w:val="28"/>
        </w:rPr>
        <w:t xml:space="preserve">otras labores </w:t>
      </w:r>
      <w:r w:rsidRPr="00643DCF">
        <w:rPr>
          <w:sz w:val="28"/>
          <w:szCs w:val="28"/>
        </w:rPr>
        <w:t xml:space="preserve">tendientes a </w:t>
      </w:r>
      <w:r w:rsidR="00535475" w:rsidRPr="00643DCF">
        <w:rPr>
          <w:sz w:val="28"/>
          <w:szCs w:val="28"/>
        </w:rPr>
        <w:t xml:space="preserve">dar </w:t>
      </w:r>
      <w:r w:rsidR="00CF606C" w:rsidRPr="00643DCF">
        <w:rPr>
          <w:sz w:val="28"/>
          <w:szCs w:val="28"/>
        </w:rPr>
        <w:t>observancia</w:t>
      </w:r>
      <w:r w:rsidR="00F21C1E" w:rsidRPr="00643DCF">
        <w:rPr>
          <w:sz w:val="28"/>
          <w:szCs w:val="28"/>
        </w:rPr>
        <w:t xml:space="preserve"> estricta a</w:t>
      </w:r>
      <w:r w:rsidR="00535475" w:rsidRPr="00643DCF">
        <w:rPr>
          <w:sz w:val="28"/>
          <w:szCs w:val="28"/>
        </w:rPr>
        <w:t xml:space="preserve"> la </w:t>
      </w:r>
      <w:r w:rsidR="004C5E82" w:rsidRPr="00643DCF">
        <w:rPr>
          <w:sz w:val="28"/>
          <w:szCs w:val="28"/>
        </w:rPr>
        <w:t>directriz</w:t>
      </w:r>
      <w:r w:rsidR="00535475" w:rsidRPr="00643DCF">
        <w:rPr>
          <w:sz w:val="28"/>
          <w:szCs w:val="28"/>
        </w:rPr>
        <w:t xml:space="preserve"> objeto </w:t>
      </w:r>
      <w:r w:rsidR="000C2A40" w:rsidRPr="00643DCF">
        <w:rPr>
          <w:sz w:val="28"/>
          <w:szCs w:val="28"/>
        </w:rPr>
        <w:t xml:space="preserve">de </w:t>
      </w:r>
      <w:r w:rsidR="00081DDA" w:rsidRPr="00643DCF">
        <w:rPr>
          <w:sz w:val="28"/>
          <w:szCs w:val="28"/>
        </w:rPr>
        <w:t>seguimiento</w:t>
      </w:r>
      <w:r w:rsidR="00535475" w:rsidRPr="00643DCF">
        <w:rPr>
          <w:sz w:val="28"/>
          <w:szCs w:val="28"/>
        </w:rPr>
        <w:t xml:space="preserve">. </w:t>
      </w:r>
      <w:r w:rsidR="00994668" w:rsidRPr="00643DCF">
        <w:rPr>
          <w:sz w:val="28"/>
          <w:szCs w:val="28"/>
        </w:rPr>
        <w:t xml:space="preserve">Al respecto, el citado proveído </w:t>
      </w:r>
      <w:r w:rsidR="00535475" w:rsidRPr="00643DCF">
        <w:rPr>
          <w:sz w:val="28"/>
          <w:szCs w:val="28"/>
        </w:rPr>
        <w:t>resolvió:</w:t>
      </w:r>
    </w:p>
    <w:p w14:paraId="06234EA7" w14:textId="77777777" w:rsidR="00535475" w:rsidRPr="00643DCF" w:rsidRDefault="00535475" w:rsidP="00535475">
      <w:pPr>
        <w:jc w:val="both"/>
        <w:rPr>
          <w:b/>
          <w:sz w:val="28"/>
          <w:szCs w:val="28"/>
        </w:rPr>
      </w:pPr>
    </w:p>
    <w:p w14:paraId="26F5FE80" w14:textId="61802485" w:rsidR="00535475" w:rsidRPr="003319D7" w:rsidRDefault="00535475" w:rsidP="008F00AA">
      <w:pPr>
        <w:ind w:left="284"/>
        <w:jc w:val="both"/>
        <w:rPr>
          <w:i/>
          <w:sz w:val="27"/>
          <w:szCs w:val="27"/>
        </w:rPr>
      </w:pPr>
      <w:r w:rsidRPr="003319D7">
        <w:rPr>
          <w:i/>
          <w:sz w:val="27"/>
          <w:szCs w:val="27"/>
        </w:rPr>
        <w:t>“REQUERIR al Consejo Superior de la Judicatura para que plantee otras fórmulas de divulgación más efectivas y que se extiendan a un grupo poblacional más amplio (…)</w:t>
      </w:r>
    </w:p>
    <w:p w14:paraId="46314892" w14:textId="77777777" w:rsidR="00535475" w:rsidRPr="00643DCF" w:rsidRDefault="00535475" w:rsidP="008F00AA">
      <w:pPr>
        <w:ind w:left="284"/>
        <w:jc w:val="both"/>
        <w:rPr>
          <w:i/>
          <w:sz w:val="28"/>
          <w:szCs w:val="28"/>
        </w:rPr>
      </w:pPr>
      <w:r w:rsidRPr="003319D7">
        <w:rPr>
          <w:i/>
          <w:sz w:val="27"/>
          <w:szCs w:val="27"/>
        </w:rPr>
        <w:t>Como consecuencia, SOLICITAR que en el término de veinte (20) días allegue un cronograma con diferentes estrategias en las que se desarrolle, como meta principal, la divulgación general y efectiva de la sentencia T-760 de 2008”</w:t>
      </w:r>
      <w:r w:rsidRPr="003319D7">
        <w:rPr>
          <w:rStyle w:val="Refdenotaalpie"/>
          <w:i/>
          <w:sz w:val="27"/>
          <w:szCs w:val="27"/>
        </w:rPr>
        <w:footnoteReference w:id="4"/>
      </w:r>
      <w:r w:rsidRPr="003319D7">
        <w:rPr>
          <w:i/>
          <w:sz w:val="27"/>
          <w:szCs w:val="27"/>
        </w:rPr>
        <w:t>.</w:t>
      </w:r>
    </w:p>
    <w:p w14:paraId="62189BAF" w14:textId="77777777" w:rsidR="00535475" w:rsidRPr="00643DCF" w:rsidRDefault="00535475" w:rsidP="00175C97">
      <w:pPr>
        <w:pStyle w:val="Prrafodelista"/>
        <w:widowControl w:val="0"/>
        <w:autoSpaceDE w:val="0"/>
        <w:autoSpaceDN w:val="0"/>
        <w:adjustRightInd w:val="0"/>
        <w:ind w:left="142"/>
        <w:jc w:val="both"/>
        <w:rPr>
          <w:sz w:val="28"/>
          <w:szCs w:val="28"/>
        </w:rPr>
      </w:pPr>
    </w:p>
    <w:p w14:paraId="79FA76A4" w14:textId="51BBB595" w:rsidR="00175C97" w:rsidRPr="00643DCF" w:rsidRDefault="00E457BE" w:rsidP="00FC2355">
      <w:pPr>
        <w:widowControl w:val="0"/>
        <w:numPr>
          <w:ilvl w:val="0"/>
          <w:numId w:val="3"/>
        </w:numPr>
        <w:tabs>
          <w:tab w:val="left" w:pos="284"/>
        </w:tabs>
        <w:autoSpaceDE w:val="0"/>
        <w:autoSpaceDN w:val="0"/>
        <w:adjustRightInd w:val="0"/>
        <w:ind w:left="0" w:firstLine="0"/>
        <w:jc w:val="both"/>
        <w:rPr>
          <w:sz w:val="28"/>
          <w:szCs w:val="28"/>
        </w:rPr>
      </w:pPr>
      <w:r w:rsidRPr="00643DCF">
        <w:rPr>
          <w:sz w:val="28"/>
          <w:szCs w:val="28"/>
        </w:rPr>
        <w:t>En escrito</w:t>
      </w:r>
      <w:r w:rsidR="00175C97" w:rsidRPr="00643DCF">
        <w:rPr>
          <w:sz w:val="28"/>
          <w:szCs w:val="28"/>
        </w:rPr>
        <w:t xml:space="preserve"> del 3 de agosto de 2009</w:t>
      </w:r>
      <w:r w:rsidR="00D813BC" w:rsidRPr="00643DCF">
        <w:rPr>
          <w:rStyle w:val="Refdenotaalpie"/>
          <w:sz w:val="28"/>
          <w:szCs w:val="28"/>
        </w:rPr>
        <w:footnoteReference w:id="5"/>
      </w:r>
      <w:r w:rsidR="00175C97" w:rsidRPr="00643DCF">
        <w:rPr>
          <w:sz w:val="28"/>
          <w:szCs w:val="28"/>
        </w:rPr>
        <w:t>, la</w:t>
      </w:r>
      <w:r w:rsidR="00084A01" w:rsidRPr="00643DCF">
        <w:rPr>
          <w:sz w:val="28"/>
          <w:szCs w:val="28"/>
        </w:rPr>
        <w:t xml:space="preserve"> entonces</w:t>
      </w:r>
      <w:r w:rsidR="00175C97" w:rsidRPr="00643DCF">
        <w:rPr>
          <w:sz w:val="28"/>
          <w:szCs w:val="28"/>
        </w:rPr>
        <w:t xml:space="preserve"> Sala Administrativa del Consejo Superior de la Judicatura </w:t>
      </w:r>
      <w:r w:rsidR="00F21C1E" w:rsidRPr="00643DCF">
        <w:rPr>
          <w:sz w:val="28"/>
          <w:szCs w:val="28"/>
        </w:rPr>
        <w:t xml:space="preserve">señaló </w:t>
      </w:r>
      <w:r w:rsidR="00175C97" w:rsidRPr="00643DCF">
        <w:rPr>
          <w:sz w:val="28"/>
          <w:szCs w:val="28"/>
        </w:rPr>
        <w:t xml:space="preserve">que de conformidad con la </w:t>
      </w:r>
      <w:r w:rsidRPr="00643DCF">
        <w:rPr>
          <w:sz w:val="28"/>
          <w:szCs w:val="28"/>
        </w:rPr>
        <w:t xml:space="preserve">orden 32 de </w:t>
      </w:r>
      <w:r w:rsidR="00175C97" w:rsidRPr="00643DCF">
        <w:rPr>
          <w:sz w:val="28"/>
          <w:szCs w:val="28"/>
        </w:rPr>
        <w:t xml:space="preserve">la </w:t>
      </w:r>
      <w:r w:rsidR="00A37D7E" w:rsidRPr="00643DCF">
        <w:rPr>
          <w:sz w:val="28"/>
          <w:szCs w:val="28"/>
        </w:rPr>
        <w:t>s</w:t>
      </w:r>
      <w:r w:rsidR="00175C97" w:rsidRPr="00643DCF">
        <w:rPr>
          <w:sz w:val="28"/>
          <w:szCs w:val="28"/>
        </w:rPr>
        <w:t>entencia T-760 de 2008 y el requerimiento enunciado en el numeral anterior</w:t>
      </w:r>
      <w:r w:rsidR="00D813BC" w:rsidRPr="00643DCF">
        <w:rPr>
          <w:sz w:val="28"/>
          <w:szCs w:val="28"/>
        </w:rPr>
        <w:t xml:space="preserve">, </w:t>
      </w:r>
      <w:r w:rsidR="00175C97" w:rsidRPr="00643DCF">
        <w:rPr>
          <w:sz w:val="28"/>
          <w:szCs w:val="28"/>
        </w:rPr>
        <w:t>procedió a correr traslado al C</w:t>
      </w:r>
      <w:r w:rsidRPr="00643DCF">
        <w:rPr>
          <w:sz w:val="28"/>
          <w:szCs w:val="28"/>
        </w:rPr>
        <w:t>entro de Documentación Judicial</w:t>
      </w:r>
      <w:r w:rsidR="00175C97" w:rsidRPr="00643DCF">
        <w:rPr>
          <w:rStyle w:val="Refdenotaalpie"/>
          <w:sz w:val="28"/>
          <w:szCs w:val="28"/>
        </w:rPr>
        <w:footnoteReference w:id="6"/>
      </w:r>
      <w:r w:rsidR="00175C97" w:rsidRPr="00643DCF">
        <w:rPr>
          <w:sz w:val="28"/>
          <w:szCs w:val="28"/>
        </w:rPr>
        <w:t xml:space="preserve"> y a la </w:t>
      </w:r>
      <w:r w:rsidR="00844D5C" w:rsidRPr="00643DCF">
        <w:rPr>
          <w:sz w:val="28"/>
          <w:szCs w:val="28"/>
        </w:rPr>
        <w:t>Escuela J</w:t>
      </w:r>
      <w:r w:rsidR="00BE225C" w:rsidRPr="00643DCF">
        <w:rPr>
          <w:sz w:val="28"/>
          <w:szCs w:val="28"/>
        </w:rPr>
        <w:t>udicial</w:t>
      </w:r>
      <w:r w:rsidR="00175C97" w:rsidRPr="00643DCF">
        <w:rPr>
          <w:sz w:val="28"/>
          <w:szCs w:val="28"/>
        </w:rPr>
        <w:t xml:space="preserve"> </w:t>
      </w:r>
      <w:r w:rsidR="00145AA1" w:rsidRPr="00643DCF">
        <w:rPr>
          <w:sz w:val="28"/>
          <w:szCs w:val="28"/>
        </w:rPr>
        <w:t>Rodrigo Lara Bonilla</w:t>
      </w:r>
      <w:r w:rsidR="00175C97" w:rsidRPr="00643DCF">
        <w:rPr>
          <w:rStyle w:val="Refdenotaalpie"/>
          <w:sz w:val="28"/>
          <w:szCs w:val="28"/>
        </w:rPr>
        <w:footnoteReference w:id="7"/>
      </w:r>
      <w:r w:rsidR="00175C97" w:rsidRPr="00643DCF">
        <w:rPr>
          <w:sz w:val="28"/>
          <w:szCs w:val="28"/>
        </w:rPr>
        <w:t xml:space="preserve">, para que estas entidades estudiaran y adoptaran las medidas necesarias </w:t>
      </w:r>
      <w:r w:rsidR="00034E96" w:rsidRPr="00643DCF">
        <w:rPr>
          <w:sz w:val="28"/>
          <w:szCs w:val="28"/>
        </w:rPr>
        <w:t xml:space="preserve">con el fin de </w:t>
      </w:r>
      <w:r w:rsidR="00CF606C" w:rsidRPr="00643DCF">
        <w:rPr>
          <w:sz w:val="28"/>
          <w:szCs w:val="28"/>
        </w:rPr>
        <w:t>acatar</w:t>
      </w:r>
      <w:r w:rsidR="00175C97" w:rsidRPr="00643DCF">
        <w:rPr>
          <w:sz w:val="28"/>
          <w:szCs w:val="28"/>
        </w:rPr>
        <w:t xml:space="preserve"> lo </w:t>
      </w:r>
      <w:r w:rsidR="00E807F1" w:rsidRPr="00643DCF">
        <w:rPr>
          <w:sz w:val="28"/>
          <w:szCs w:val="28"/>
        </w:rPr>
        <w:t>dispuesto</w:t>
      </w:r>
      <w:r w:rsidR="00175C97" w:rsidRPr="00643DCF">
        <w:rPr>
          <w:sz w:val="28"/>
          <w:szCs w:val="28"/>
        </w:rPr>
        <w:t xml:space="preserve"> por la </w:t>
      </w:r>
      <w:r w:rsidR="00E807F1" w:rsidRPr="00643DCF">
        <w:rPr>
          <w:sz w:val="28"/>
          <w:szCs w:val="28"/>
        </w:rPr>
        <w:t>Sala Especial</w:t>
      </w:r>
      <w:r w:rsidR="001E4994" w:rsidRPr="00643DCF">
        <w:rPr>
          <w:sz w:val="28"/>
          <w:szCs w:val="28"/>
        </w:rPr>
        <w:t>; d</w:t>
      </w:r>
      <w:r w:rsidR="00175C97" w:rsidRPr="00643DCF">
        <w:rPr>
          <w:sz w:val="28"/>
          <w:szCs w:val="28"/>
        </w:rPr>
        <w:t xml:space="preserve">entro del mismo documento manifestó </w:t>
      </w:r>
      <w:r w:rsidR="00E807F1" w:rsidRPr="00643DCF">
        <w:rPr>
          <w:sz w:val="28"/>
          <w:szCs w:val="28"/>
        </w:rPr>
        <w:t xml:space="preserve">la </w:t>
      </w:r>
      <w:r w:rsidR="00175C97" w:rsidRPr="00643DCF">
        <w:rPr>
          <w:sz w:val="28"/>
          <w:szCs w:val="28"/>
        </w:rPr>
        <w:t>neces</w:t>
      </w:r>
      <w:r w:rsidR="00E807F1" w:rsidRPr="00643DCF">
        <w:rPr>
          <w:sz w:val="28"/>
          <w:szCs w:val="28"/>
        </w:rPr>
        <w:t>idad de</w:t>
      </w:r>
      <w:r w:rsidR="00175C97" w:rsidRPr="00643DCF">
        <w:rPr>
          <w:sz w:val="28"/>
          <w:szCs w:val="28"/>
        </w:rPr>
        <w:t xml:space="preserve"> elevar la respectiva solicitud presupuestal para poner en marcha una serie de charlas académicas</w:t>
      </w:r>
      <w:r w:rsidR="00A37D7E" w:rsidRPr="00643DCF">
        <w:rPr>
          <w:sz w:val="28"/>
          <w:szCs w:val="28"/>
        </w:rPr>
        <w:t>,</w:t>
      </w:r>
      <w:r w:rsidR="00175C97" w:rsidRPr="00643DCF">
        <w:rPr>
          <w:sz w:val="28"/>
          <w:szCs w:val="28"/>
        </w:rPr>
        <w:t xml:space="preserve"> proceder a las publicaciones de manuales</w:t>
      </w:r>
      <w:r w:rsidR="001E4994" w:rsidRPr="00643DCF">
        <w:rPr>
          <w:sz w:val="28"/>
          <w:szCs w:val="28"/>
        </w:rPr>
        <w:t xml:space="preserve"> y </w:t>
      </w:r>
      <w:r w:rsidR="00175C97" w:rsidRPr="00643DCF">
        <w:rPr>
          <w:sz w:val="28"/>
          <w:szCs w:val="28"/>
        </w:rPr>
        <w:t xml:space="preserve">lograr el objetivo planteado. </w:t>
      </w:r>
    </w:p>
    <w:p w14:paraId="0DB42769" w14:textId="77777777" w:rsidR="00175C97" w:rsidRPr="00643DCF" w:rsidRDefault="00175C97" w:rsidP="000C2A40">
      <w:pPr>
        <w:pStyle w:val="Prrafodelista"/>
        <w:widowControl w:val="0"/>
        <w:autoSpaceDE w:val="0"/>
        <w:autoSpaceDN w:val="0"/>
        <w:adjustRightInd w:val="0"/>
        <w:ind w:left="142"/>
        <w:jc w:val="both"/>
        <w:rPr>
          <w:sz w:val="28"/>
          <w:szCs w:val="28"/>
        </w:rPr>
      </w:pPr>
    </w:p>
    <w:p w14:paraId="65197D50" w14:textId="24EB8227" w:rsidR="00535475" w:rsidRPr="00643DCF" w:rsidRDefault="00535475" w:rsidP="008924BF">
      <w:pPr>
        <w:widowControl w:val="0"/>
        <w:numPr>
          <w:ilvl w:val="0"/>
          <w:numId w:val="3"/>
        </w:numPr>
        <w:tabs>
          <w:tab w:val="left" w:pos="284"/>
        </w:tabs>
        <w:autoSpaceDE w:val="0"/>
        <w:autoSpaceDN w:val="0"/>
        <w:adjustRightInd w:val="0"/>
        <w:ind w:left="0" w:firstLine="0"/>
        <w:jc w:val="both"/>
        <w:rPr>
          <w:sz w:val="28"/>
          <w:szCs w:val="28"/>
        </w:rPr>
      </w:pPr>
      <w:r w:rsidRPr="00643DCF">
        <w:rPr>
          <w:sz w:val="28"/>
          <w:szCs w:val="28"/>
        </w:rPr>
        <w:t>El 24 de agosto de esa misma anualidad</w:t>
      </w:r>
      <w:r w:rsidR="001E4994" w:rsidRPr="00643DCF">
        <w:rPr>
          <w:sz w:val="28"/>
          <w:szCs w:val="28"/>
        </w:rPr>
        <w:t>,</w:t>
      </w:r>
      <w:r w:rsidRPr="00643DCF">
        <w:rPr>
          <w:sz w:val="28"/>
          <w:szCs w:val="28"/>
        </w:rPr>
        <w:t xml:space="preserve"> el CSJ radicó un nuevo oficio </w:t>
      </w:r>
      <w:r w:rsidR="001E4994" w:rsidRPr="00643DCF">
        <w:rPr>
          <w:sz w:val="28"/>
          <w:szCs w:val="28"/>
        </w:rPr>
        <w:t>comunicando</w:t>
      </w:r>
      <w:r w:rsidRPr="00643DCF">
        <w:rPr>
          <w:sz w:val="28"/>
          <w:szCs w:val="28"/>
        </w:rPr>
        <w:t xml:space="preserve"> que había aprobado la ejecución de</w:t>
      </w:r>
      <w:r w:rsidR="004E4856" w:rsidRPr="00643DCF">
        <w:rPr>
          <w:sz w:val="28"/>
          <w:szCs w:val="28"/>
        </w:rPr>
        <w:t xml:space="preserve"> algunas</w:t>
      </w:r>
      <w:r w:rsidRPr="00643DCF">
        <w:rPr>
          <w:sz w:val="28"/>
          <w:szCs w:val="28"/>
        </w:rPr>
        <w:t xml:space="preserve"> actividades académicas que</w:t>
      </w:r>
      <w:r w:rsidR="00FF09BA" w:rsidRPr="00643DCF">
        <w:rPr>
          <w:sz w:val="28"/>
          <w:szCs w:val="28"/>
        </w:rPr>
        <w:t xml:space="preserve"> no</w:t>
      </w:r>
      <w:r w:rsidRPr="00643DCF">
        <w:rPr>
          <w:sz w:val="28"/>
          <w:szCs w:val="28"/>
        </w:rPr>
        <w:t xml:space="preserve"> requerían inversión</w:t>
      </w:r>
      <w:r w:rsidR="00FF09BA" w:rsidRPr="00643DCF">
        <w:rPr>
          <w:sz w:val="28"/>
          <w:szCs w:val="28"/>
        </w:rPr>
        <w:t xml:space="preserve"> adicional de recursos</w:t>
      </w:r>
      <w:r w:rsidR="003D52AC" w:rsidRPr="00643DCF">
        <w:rPr>
          <w:sz w:val="28"/>
          <w:szCs w:val="28"/>
        </w:rPr>
        <w:t>;</w:t>
      </w:r>
      <w:r w:rsidRPr="00643DCF">
        <w:rPr>
          <w:sz w:val="28"/>
          <w:szCs w:val="28"/>
        </w:rPr>
        <w:t xml:space="preserve"> igualmente</w:t>
      </w:r>
      <w:r w:rsidR="003D52AC" w:rsidRPr="00643DCF">
        <w:rPr>
          <w:sz w:val="28"/>
          <w:szCs w:val="28"/>
        </w:rPr>
        <w:t>,</w:t>
      </w:r>
      <w:r w:rsidRPr="00643DCF">
        <w:rPr>
          <w:sz w:val="28"/>
          <w:szCs w:val="28"/>
        </w:rPr>
        <w:t xml:space="preserve"> anexó el </w:t>
      </w:r>
      <w:r w:rsidR="00084A01" w:rsidRPr="00643DCF">
        <w:rPr>
          <w:sz w:val="28"/>
          <w:szCs w:val="28"/>
        </w:rPr>
        <w:t xml:space="preserve">reporte </w:t>
      </w:r>
      <w:r w:rsidRPr="00643DCF">
        <w:rPr>
          <w:sz w:val="28"/>
          <w:szCs w:val="28"/>
        </w:rPr>
        <w:t xml:space="preserve">presentado por el Director del Centro de Documentación Judicial </w:t>
      </w:r>
      <w:r w:rsidR="001E4994" w:rsidRPr="00643DCF">
        <w:rPr>
          <w:sz w:val="28"/>
          <w:szCs w:val="28"/>
        </w:rPr>
        <w:t>que enuncia</w:t>
      </w:r>
      <w:r w:rsidR="004E4856" w:rsidRPr="00643DCF">
        <w:rPr>
          <w:sz w:val="28"/>
          <w:szCs w:val="28"/>
        </w:rPr>
        <w:t>ba</w:t>
      </w:r>
      <w:r w:rsidRPr="00643DCF">
        <w:rPr>
          <w:sz w:val="28"/>
          <w:szCs w:val="28"/>
        </w:rPr>
        <w:t xml:space="preserve"> las gestiones adelantadas </w:t>
      </w:r>
      <w:r w:rsidR="001E4994" w:rsidRPr="00643DCF">
        <w:rPr>
          <w:sz w:val="28"/>
          <w:szCs w:val="28"/>
        </w:rPr>
        <w:t>en</w:t>
      </w:r>
      <w:r w:rsidRPr="00643DCF">
        <w:rPr>
          <w:sz w:val="28"/>
          <w:szCs w:val="28"/>
        </w:rPr>
        <w:t xml:space="preserve"> </w:t>
      </w:r>
      <w:r w:rsidR="00723263" w:rsidRPr="00643DCF">
        <w:rPr>
          <w:sz w:val="28"/>
          <w:szCs w:val="28"/>
        </w:rPr>
        <w:t>cumplimiento</w:t>
      </w:r>
      <w:r w:rsidR="001E4994" w:rsidRPr="00643DCF">
        <w:rPr>
          <w:sz w:val="28"/>
          <w:szCs w:val="28"/>
        </w:rPr>
        <w:t xml:space="preserve"> de</w:t>
      </w:r>
      <w:r w:rsidRPr="00643DCF">
        <w:rPr>
          <w:sz w:val="28"/>
          <w:szCs w:val="28"/>
        </w:rPr>
        <w:t xml:space="preserve"> la orden </w:t>
      </w:r>
      <w:r w:rsidR="00BE225C" w:rsidRPr="00643DCF">
        <w:rPr>
          <w:sz w:val="28"/>
          <w:szCs w:val="28"/>
        </w:rPr>
        <w:t>trigésima</w:t>
      </w:r>
      <w:r w:rsidRPr="00643DCF">
        <w:rPr>
          <w:sz w:val="28"/>
          <w:szCs w:val="28"/>
        </w:rPr>
        <w:t xml:space="preserve"> segunda </w:t>
      </w:r>
      <w:r w:rsidR="001E4994" w:rsidRPr="00643DCF">
        <w:rPr>
          <w:sz w:val="28"/>
          <w:szCs w:val="28"/>
        </w:rPr>
        <w:t>y del</w:t>
      </w:r>
      <w:r w:rsidRPr="00643DCF">
        <w:rPr>
          <w:sz w:val="28"/>
          <w:szCs w:val="28"/>
        </w:rPr>
        <w:t xml:space="preserve"> auto del 13 de julio expedido por la Sala de Seguimiento</w:t>
      </w:r>
      <w:r w:rsidRPr="00643DCF">
        <w:rPr>
          <w:rStyle w:val="Refdenotaalpie"/>
          <w:sz w:val="28"/>
          <w:szCs w:val="28"/>
        </w:rPr>
        <w:footnoteReference w:id="8"/>
      </w:r>
      <w:r w:rsidRPr="00643DCF">
        <w:rPr>
          <w:sz w:val="28"/>
          <w:szCs w:val="28"/>
        </w:rPr>
        <w:t xml:space="preserve">. </w:t>
      </w:r>
    </w:p>
    <w:p w14:paraId="44578D28" w14:textId="77777777" w:rsidR="00175C97" w:rsidRPr="00643DCF" w:rsidRDefault="00175C97" w:rsidP="00535475">
      <w:pPr>
        <w:widowControl w:val="0"/>
        <w:tabs>
          <w:tab w:val="left" w:pos="426"/>
        </w:tabs>
        <w:autoSpaceDE w:val="0"/>
        <w:autoSpaceDN w:val="0"/>
        <w:adjustRightInd w:val="0"/>
        <w:jc w:val="both"/>
        <w:rPr>
          <w:sz w:val="28"/>
          <w:szCs w:val="28"/>
        </w:rPr>
      </w:pPr>
    </w:p>
    <w:p w14:paraId="3018C459" w14:textId="00343E42" w:rsidR="00084A01" w:rsidRPr="00643DCF" w:rsidRDefault="00F45B14" w:rsidP="00FC2355">
      <w:pPr>
        <w:widowControl w:val="0"/>
        <w:numPr>
          <w:ilvl w:val="0"/>
          <w:numId w:val="3"/>
        </w:numPr>
        <w:tabs>
          <w:tab w:val="left" w:pos="284"/>
        </w:tabs>
        <w:autoSpaceDE w:val="0"/>
        <w:autoSpaceDN w:val="0"/>
        <w:adjustRightInd w:val="0"/>
        <w:ind w:left="0" w:firstLine="0"/>
        <w:jc w:val="both"/>
        <w:rPr>
          <w:i/>
          <w:sz w:val="28"/>
          <w:szCs w:val="28"/>
        </w:rPr>
      </w:pPr>
      <w:r w:rsidRPr="00643DCF">
        <w:rPr>
          <w:sz w:val="28"/>
          <w:szCs w:val="28"/>
        </w:rPr>
        <w:t>A travé</w:t>
      </w:r>
      <w:r w:rsidR="00975216" w:rsidRPr="00643DCF">
        <w:rPr>
          <w:sz w:val="28"/>
          <w:szCs w:val="28"/>
        </w:rPr>
        <w:t>s de</w:t>
      </w:r>
      <w:r w:rsidR="00821D52" w:rsidRPr="00643DCF">
        <w:rPr>
          <w:sz w:val="28"/>
          <w:szCs w:val="28"/>
        </w:rPr>
        <w:t xml:space="preserve"> a</w:t>
      </w:r>
      <w:r w:rsidR="00535475" w:rsidRPr="00643DCF">
        <w:rPr>
          <w:sz w:val="28"/>
          <w:szCs w:val="28"/>
        </w:rPr>
        <w:t>uto 110 del 8 de junio de 2010</w:t>
      </w:r>
      <w:r w:rsidR="00535475" w:rsidRPr="00643DCF">
        <w:rPr>
          <w:rStyle w:val="Refdenotaalpie"/>
          <w:sz w:val="28"/>
          <w:szCs w:val="28"/>
        </w:rPr>
        <w:footnoteReference w:id="9"/>
      </w:r>
      <w:r w:rsidR="00535475" w:rsidRPr="00643DCF">
        <w:rPr>
          <w:sz w:val="28"/>
          <w:szCs w:val="28"/>
        </w:rPr>
        <w:t xml:space="preserve"> </w:t>
      </w:r>
      <w:r w:rsidR="00D91909" w:rsidRPr="00643DCF">
        <w:rPr>
          <w:sz w:val="28"/>
          <w:szCs w:val="28"/>
        </w:rPr>
        <w:t xml:space="preserve">esta Corporación </w:t>
      </w:r>
      <w:r w:rsidR="00535475" w:rsidRPr="00643DCF">
        <w:rPr>
          <w:sz w:val="28"/>
          <w:szCs w:val="28"/>
        </w:rPr>
        <w:t xml:space="preserve">requirió a la Sala Administrativa del Consejo Superior de la Judicatura </w:t>
      </w:r>
      <w:r w:rsidR="00707348" w:rsidRPr="00643DCF">
        <w:rPr>
          <w:sz w:val="28"/>
          <w:szCs w:val="28"/>
        </w:rPr>
        <w:t>con el objeto</w:t>
      </w:r>
      <w:r w:rsidR="00B20782" w:rsidRPr="00643DCF">
        <w:rPr>
          <w:sz w:val="28"/>
          <w:szCs w:val="28"/>
        </w:rPr>
        <w:t xml:space="preserve"> de</w:t>
      </w:r>
      <w:r w:rsidR="00707348" w:rsidRPr="00643DCF">
        <w:rPr>
          <w:sz w:val="28"/>
          <w:szCs w:val="28"/>
        </w:rPr>
        <w:t xml:space="preserve"> </w:t>
      </w:r>
      <w:r w:rsidR="00535475" w:rsidRPr="00643DCF">
        <w:rPr>
          <w:sz w:val="28"/>
          <w:szCs w:val="28"/>
        </w:rPr>
        <w:t>que presenta</w:t>
      </w:r>
      <w:r w:rsidR="002D0BDF" w:rsidRPr="00643DCF">
        <w:rPr>
          <w:sz w:val="28"/>
          <w:szCs w:val="28"/>
        </w:rPr>
        <w:t>ra</w:t>
      </w:r>
      <w:r w:rsidR="00535475" w:rsidRPr="00643DCF">
        <w:rPr>
          <w:sz w:val="28"/>
          <w:szCs w:val="28"/>
        </w:rPr>
        <w:t xml:space="preserve"> “</w:t>
      </w:r>
      <w:r w:rsidR="00535475" w:rsidRPr="003319D7">
        <w:rPr>
          <w:i/>
          <w:sz w:val="27"/>
          <w:szCs w:val="27"/>
        </w:rPr>
        <w:t xml:space="preserve">un informe bimensual sobre la ejecución, análisis y medición de cada </w:t>
      </w:r>
      <w:r w:rsidR="00535475" w:rsidRPr="003319D7">
        <w:rPr>
          <w:i/>
          <w:sz w:val="27"/>
          <w:szCs w:val="27"/>
        </w:rPr>
        <w:lastRenderedPageBreak/>
        <w:t xml:space="preserve">una de las actividades necesarias para difundir la sentencia T-760 de 2008 y los alcances del derecho a la salud en los términos señalados en el </w:t>
      </w:r>
      <w:r w:rsidR="00D04117" w:rsidRPr="003319D7">
        <w:rPr>
          <w:i/>
          <w:sz w:val="27"/>
          <w:szCs w:val="27"/>
        </w:rPr>
        <w:t>a</w:t>
      </w:r>
      <w:r w:rsidR="00535475" w:rsidRPr="003319D7">
        <w:rPr>
          <w:i/>
          <w:sz w:val="27"/>
          <w:szCs w:val="27"/>
        </w:rPr>
        <w:t>uto del 13 de julio de 2009</w:t>
      </w:r>
      <w:r w:rsidR="00535475" w:rsidRPr="003319D7">
        <w:rPr>
          <w:sz w:val="27"/>
          <w:szCs w:val="27"/>
        </w:rPr>
        <w:t>”</w:t>
      </w:r>
      <w:r w:rsidR="00535475" w:rsidRPr="003319D7">
        <w:rPr>
          <w:rStyle w:val="Refdenotaalpie"/>
          <w:sz w:val="27"/>
          <w:szCs w:val="27"/>
        </w:rPr>
        <w:footnoteReference w:id="10"/>
      </w:r>
      <w:r w:rsidR="00535475" w:rsidRPr="003319D7">
        <w:rPr>
          <w:sz w:val="27"/>
          <w:szCs w:val="27"/>
        </w:rPr>
        <w:t>.</w:t>
      </w:r>
    </w:p>
    <w:p w14:paraId="1CD47511" w14:textId="77777777" w:rsidR="00084A01" w:rsidRPr="00643DCF" w:rsidRDefault="00084A01" w:rsidP="00464A88">
      <w:pPr>
        <w:pStyle w:val="Prrafodelista"/>
        <w:rPr>
          <w:sz w:val="28"/>
          <w:szCs w:val="28"/>
        </w:rPr>
      </w:pPr>
    </w:p>
    <w:p w14:paraId="3A92FE8C" w14:textId="4CB7B817" w:rsidR="0081516D" w:rsidRPr="00643DCF" w:rsidRDefault="00535475" w:rsidP="00464A88">
      <w:pPr>
        <w:widowControl w:val="0"/>
        <w:tabs>
          <w:tab w:val="left" w:pos="284"/>
        </w:tabs>
        <w:autoSpaceDE w:val="0"/>
        <w:autoSpaceDN w:val="0"/>
        <w:adjustRightInd w:val="0"/>
        <w:jc w:val="both"/>
        <w:rPr>
          <w:i/>
          <w:sz w:val="28"/>
          <w:szCs w:val="28"/>
        </w:rPr>
      </w:pPr>
      <w:r w:rsidRPr="00643DCF">
        <w:rPr>
          <w:sz w:val="28"/>
          <w:szCs w:val="28"/>
        </w:rPr>
        <w:t>Igualmente</w:t>
      </w:r>
      <w:r w:rsidR="005D0105" w:rsidRPr="00643DCF">
        <w:rPr>
          <w:sz w:val="28"/>
          <w:szCs w:val="28"/>
        </w:rPr>
        <w:t>,</w:t>
      </w:r>
      <w:r w:rsidRPr="00643DCF">
        <w:rPr>
          <w:sz w:val="28"/>
          <w:szCs w:val="28"/>
        </w:rPr>
        <w:t xml:space="preserve"> </w:t>
      </w:r>
      <w:r w:rsidR="00081DDA" w:rsidRPr="00643DCF">
        <w:rPr>
          <w:sz w:val="28"/>
          <w:szCs w:val="28"/>
        </w:rPr>
        <w:t xml:space="preserve">le </w:t>
      </w:r>
      <w:r w:rsidRPr="00643DCF">
        <w:rPr>
          <w:sz w:val="28"/>
          <w:szCs w:val="28"/>
        </w:rPr>
        <w:t xml:space="preserve">ordenó </w:t>
      </w:r>
      <w:r w:rsidR="004C0F36" w:rsidRPr="00643DCF">
        <w:rPr>
          <w:sz w:val="28"/>
          <w:szCs w:val="28"/>
        </w:rPr>
        <w:t>informar</w:t>
      </w:r>
      <w:r w:rsidRPr="00643DCF">
        <w:rPr>
          <w:sz w:val="28"/>
          <w:szCs w:val="28"/>
        </w:rPr>
        <w:t xml:space="preserve"> cuáles habían sido las actividades adelantadas por </w:t>
      </w:r>
      <w:r w:rsidR="00FF09BA" w:rsidRPr="00643DCF">
        <w:rPr>
          <w:sz w:val="28"/>
          <w:szCs w:val="28"/>
        </w:rPr>
        <w:t xml:space="preserve">el Cendoj y la </w:t>
      </w:r>
      <w:r w:rsidR="00A95D24" w:rsidRPr="00643DCF">
        <w:rPr>
          <w:sz w:val="28"/>
          <w:szCs w:val="28"/>
        </w:rPr>
        <w:t>e</w:t>
      </w:r>
      <w:r w:rsidR="00FF09BA" w:rsidRPr="00643DCF">
        <w:rPr>
          <w:sz w:val="28"/>
          <w:szCs w:val="28"/>
        </w:rPr>
        <w:t xml:space="preserve">scuela </w:t>
      </w:r>
      <w:r w:rsidR="00A95D24" w:rsidRPr="00643DCF">
        <w:rPr>
          <w:sz w:val="28"/>
          <w:szCs w:val="28"/>
        </w:rPr>
        <w:t>j</w:t>
      </w:r>
      <w:r w:rsidR="00FF09BA" w:rsidRPr="00643DCF">
        <w:rPr>
          <w:sz w:val="28"/>
          <w:szCs w:val="28"/>
        </w:rPr>
        <w:t>udicial</w:t>
      </w:r>
      <w:r w:rsidRPr="00643DCF">
        <w:rPr>
          <w:sz w:val="28"/>
          <w:szCs w:val="28"/>
        </w:rPr>
        <w:t xml:space="preserve"> para </w:t>
      </w:r>
      <w:r w:rsidR="00CA2961" w:rsidRPr="00643DCF">
        <w:rPr>
          <w:sz w:val="28"/>
          <w:szCs w:val="28"/>
        </w:rPr>
        <w:t>atender</w:t>
      </w:r>
      <w:r w:rsidRPr="00643DCF">
        <w:rPr>
          <w:sz w:val="28"/>
          <w:szCs w:val="28"/>
        </w:rPr>
        <w:t xml:space="preserve"> la </w:t>
      </w:r>
      <w:r w:rsidR="004C5E82" w:rsidRPr="00643DCF">
        <w:rPr>
          <w:sz w:val="28"/>
          <w:szCs w:val="28"/>
        </w:rPr>
        <w:t>directriz</w:t>
      </w:r>
      <w:r w:rsidR="00A95D24" w:rsidRPr="00643DCF">
        <w:rPr>
          <w:sz w:val="28"/>
          <w:szCs w:val="28"/>
        </w:rPr>
        <w:t xml:space="preserve">, </w:t>
      </w:r>
      <w:r w:rsidR="00567BFF" w:rsidRPr="00643DCF">
        <w:rPr>
          <w:sz w:val="28"/>
          <w:szCs w:val="28"/>
        </w:rPr>
        <w:t xml:space="preserve">así como </w:t>
      </w:r>
      <w:r w:rsidR="00485B4B" w:rsidRPr="00643DCF">
        <w:rPr>
          <w:sz w:val="28"/>
          <w:szCs w:val="28"/>
        </w:rPr>
        <w:t>presentar un</w:t>
      </w:r>
      <w:r w:rsidRPr="00643DCF">
        <w:rPr>
          <w:sz w:val="28"/>
          <w:szCs w:val="28"/>
        </w:rPr>
        <w:t xml:space="preserve"> </w:t>
      </w:r>
      <w:r w:rsidR="00084A01" w:rsidRPr="00643DCF">
        <w:rPr>
          <w:sz w:val="28"/>
          <w:szCs w:val="28"/>
        </w:rPr>
        <w:t xml:space="preserve">reporte </w:t>
      </w:r>
      <w:r w:rsidRPr="00643DCF">
        <w:rPr>
          <w:sz w:val="28"/>
          <w:szCs w:val="28"/>
        </w:rPr>
        <w:t>pormenorizado del avance de cada u</w:t>
      </w:r>
      <w:r w:rsidR="003D52AC" w:rsidRPr="00643DCF">
        <w:rPr>
          <w:sz w:val="28"/>
          <w:szCs w:val="28"/>
        </w:rPr>
        <w:t>no de los mecanismos adoptados</w:t>
      </w:r>
      <w:r w:rsidR="00707348" w:rsidRPr="00643DCF">
        <w:rPr>
          <w:sz w:val="28"/>
          <w:szCs w:val="28"/>
        </w:rPr>
        <w:t xml:space="preserve">, </w:t>
      </w:r>
      <w:r w:rsidR="005D0105" w:rsidRPr="00643DCF">
        <w:rPr>
          <w:sz w:val="28"/>
          <w:szCs w:val="28"/>
        </w:rPr>
        <w:t>d</w:t>
      </w:r>
      <w:r w:rsidRPr="00643DCF">
        <w:rPr>
          <w:sz w:val="28"/>
          <w:szCs w:val="28"/>
        </w:rPr>
        <w:t>el plan educativo</w:t>
      </w:r>
      <w:r w:rsidR="005D0105" w:rsidRPr="00643DCF">
        <w:rPr>
          <w:sz w:val="28"/>
          <w:szCs w:val="28"/>
        </w:rPr>
        <w:t xml:space="preserve"> a desarrollar</w:t>
      </w:r>
      <w:r w:rsidR="00A95D24" w:rsidRPr="00643DCF">
        <w:rPr>
          <w:sz w:val="28"/>
          <w:szCs w:val="28"/>
        </w:rPr>
        <w:t xml:space="preserve"> y de</w:t>
      </w:r>
      <w:r w:rsidR="002E1A08" w:rsidRPr="00643DCF">
        <w:rPr>
          <w:sz w:val="28"/>
          <w:szCs w:val="28"/>
        </w:rPr>
        <w:t xml:space="preserve"> </w:t>
      </w:r>
      <w:r w:rsidRPr="00643DCF">
        <w:rPr>
          <w:sz w:val="28"/>
          <w:szCs w:val="28"/>
        </w:rPr>
        <w:t>las gestiones adelantadas para obtener los recursos necesarios</w:t>
      </w:r>
      <w:r w:rsidR="00567BFF" w:rsidRPr="00643DCF">
        <w:rPr>
          <w:sz w:val="28"/>
          <w:szCs w:val="28"/>
        </w:rPr>
        <w:t xml:space="preserve">, </w:t>
      </w:r>
      <w:r w:rsidR="00485B4B" w:rsidRPr="00643DCF">
        <w:rPr>
          <w:sz w:val="28"/>
          <w:szCs w:val="28"/>
        </w:rPr>
        <w:t>que le permitiera</w:t>
      </w:r>
      <w:r w:rsidR="002F6B36" w:rsidRPr="00643DCF">
        <w:rPr>
          <w:sz w:val="28"/>
          <w:szCs w:val="28"/>
        </w:rPr>
        <w:t>n</w:t>
      </w:r>
      <w:r w:rsidR="00707348" w:rsidRPr="00643DCF">
        <w:rPr>
          <w:sz w:val="28"/>
          <w:szCs w:val="28"/>
        </w:rPr>
        <w:t xml:space="preserve"> </w:t>
      </w:r>
      <w:r w:rsidR="00E64183" w:rsidRPr="00643DCF">
        <w:rPr>
          <w:sz w:val="28"/>
          <w:szCs w:val="28"/>
        </w:rPr>
        <w:t>efectuar</w:t>
      </w:r>
      <w:r w:rsidRPr="00643DCF">
        <w:rPr>
          <w:sz w:val="28"/>
          <w:szCs w:val="28"/>
        </w:rPr>
        <w:t xml:space="preserve"> la difusión del fallo.</w:t>
      </w:r>
    </w:p>
    <w:p w14:paraId="7D4CBF90" w14:textId="77777777" w:rsidR="0081516D" w:rsidRPr="00643DCF" w:rsidRDefault="0081516D" w:rsidP="00FC2355">
      <w:pPr>
        <w:pStyle w:val="Prrafodelista"/>
        <w:rPr>
          <w:sz w:val="28"/>
          <w:szCs w:val="28"/>
        </w:rPr>
      </w:pPr>
    </w:p>
    <w:p w14:paraId="70718112" w14:textId="647A1C8B" w:rsidR="0081516D" w:rsidRPr="00643DCF" w:rsidRDefault="00535475" w:rsidP="00FC2355">
      <w:pPr>
        <w:widowControl w:val="0"/>
        <w:numPr>
          <w:ilvl w:val="0"/>
          <w:numId w:val="3"/>
        </w:numPr>
        <w:tabs>
          <w:tab w:val="left" w:pos="284"/>
        </w:tabs>
        <w:autoSpaceDE w:val="0"/>
        <w:autoSpaceDN w:val="0"/>
        <w:adjustRightInd w:val="0"/>
        <w:ind w:left="0" w:firstLine="0"/>
        <w:jc w:val="both"/>
        <w:rPr>
          <w:sz w:val="28"/>
          <w:szCs w:val="28"/>
        </w:rPr>
      </w:pPr>
      <w:r w:rsidRPr="00643DCF">
        <w:rPr>
          <w:sz w:val="28"/>
          <w:szCs w:val="28"/>
        </w:rPr>
        <w:t>El 16 de junio de 2010</w:t>
      </w:r>
      <w:r w:rsidR="00B20782" w:rsidRPr="00643DCF">
        <w:rPr>
          <w:sz w:val="28"/>
          <w:szCs w:val="28"/>
        </w:rPr>
        <w:t>,</w:t>
      </w:r>
      <w:r w:rsidR="00DE2959" w:rsidRPr="00643DCF">
        <w:rPr>
          <w:sz w:val="28"/>
          <w:szCs w:val="28"/>
        </w:rPr>
        <w:t xml:space="preserve"> la Sala Administrativa d</w:t>
      </w:r>
      <w:r w:rsidR="00C716C9" w:rsidRPr="00643DCF">
        <w:rPr>
          <w:sz w:val="28"/>
          <w:szCs w:val="28"/>
        </w:rPr>
        <w:t>el</w:t>
      </w:r>
      <w:r w:rsidRPr="00643DCF">
        <w:rPr>
          <w:sz w:val="28"/>
          <w:szCs w:val="28"/>
        </w:rPr>
        <w:t xml:space="preserve"> CSJ</w:t>
      </w:r>
      <w:r w:rsidRPr="00643DCF">
        <w:rPr>
          <w:rStyle w:val="Refdenotaalpie"/>
          <w:sz w:val="28"/>
          <w:szCs w:val="28"/>
        </w:rPr>
        <w:footnoteReference w:id="11"/>
      </w:r>
      <w:r w:rsidRPr="00643DCF">
        <w:rPr>
          <w:sz w:val="28"/>
          <w:szCs w:val="28"/>
        </w:rPr>
        <w:t xml:space="preserve"> </w:t>
      </w:r>
      <w:r w:rsidR="00084A01" w:rsidRPr="00643DCF">
        <w:rPr>
          <w:sz w:val="28"/>
          <w:szCs w:val="28"/>
        </w:rPr>
        <w:t xml:space="preserve">indicó </w:t>
      </w:r>
      <w:r w:rsidRPr="00643DCF">
        <w:rPr>
          <w:sz w:val="28"/>
          <w:szCs w:val="28"/>
        </w:rPr>
        <w:t xml:space="preserve">que había ordenado al Cendoj </w:t>
      </w:r>
      <w:r w:rsidR="00B20782" w:rsidRPr="00643DCF">
        <w:rPr>
          <w:sz w:val="28"/>
          <w:szCs w:val="28"/>
        </w:rPr>
        <w:t>la publicación d</w:t>
      </w:r>
      <w:r w:rsidRPr="00643DCF">
        <w:rPr>
          <w:sz w:val="28"/>
          <w:szCs w:val="28"/>
        </w:rPr>
        <w:t>el Decreto 366 del 9 de febrero de 2009</w:t>
      </w:r>
      <w:r w:rsidR="00EB5824" w:rsidRPr="00643DCF">
        <w:rPr>
          <w:rStyle w:val="Refdenotaalpie"/>
          <w:sz w:val="28"/>
          <w:szCs w:val="28"/>
        </w:rPr>
        <w:footnoteReference w:id="12"/>
      </w:r>
      <w:r w:rsidR="00D63B97" w:rsidRPr="00643DCF">
        <w:rPr>
          <w:sz w:val="28"/>
          <w:szCs w:val="28"/>
        </w:rPr>
        <w:t xml:space="preserve"> en la página </w:t>
      </w:r>
      <w:r w:rsidR="006C6B21" w:rsidRPr="00643DCF">
        <w:rPr>
          <w:sz w:val="28"/>
          <w:szCs w:val="28"/>
        </w:rPr>
        <w:t>web</w:t>
      </w:r>
      <w:r w:rsidR="00D63B97" w:rsidRPr="00643DCF">
        <w:rPr>
          <w:sz w:val="28"/>
          <w:szCs w:val="28"/>
        </w:rPr>
        <w:t xml:space="preserve"> de la</w:t>
      </w:r>
      <w:r w:rsidRPr="00643DCF">
        <w:rPr>
          <w:sz w:val="28"/>
          <w:szCs w:val="28"/>
        </w:rPr>
        <w:t xml:space="preserve"> Rama Judicial</w:t>
      </w:r>
      <w:r w:rsidR="00B20782" w:rsidRPr="00643DCF">
        <w:rPr>
          <w:sz w:val="28"/>
          <w:szCs w:val="28"/>
        </w:rPr>
        <w:t>,</w:t>
      </w:r>
      <w:r w:rsidR="002F6B36" w:rsidRPr="00643DCF">
        <w:rPr>
          <w:sz w:val="28"/>
          <w:szCs w:val="28"/>
        </w:rPr>
        <w:t xml:space="preserve"> para</w:t>
      </w:r>
      <w:r w:rsidRPr="00643DCF">
        <w:rPr>
          <w:sz w:val="28"/>
          <w:szCs w:val="28"/>
        </w:rPr>
        <w:t xml:space="preserve"> conocimiento de todos los operadores judiciales.</w:t>
      </w:r>
    </w:p>
    <w:p w14:paraId="3E8431A6" w14:textId="77777777" w:rsidR="0081516D" w:rsidRPr="00643DCF" w:rsidRDefault="0081516D" w:rsidP="00FC2355">
      <w:pPr>
        <w:widowControl w:val="0"/>
        <w:tabs>
          <w:tab w:val="left" w:pos="426"/>
        </w:tabs>
        <w:autoSpaceDE w:val="0"/>
        <w:autoSpaceDN w:val="0"/>
        <w:adjustRightInd w:val="0"/>
        <w:jc w:val="both"/>
        <w:rPr>
          <w:sz w:val="28"/>
          <w:szCs w:val="28"/>
        </w:rPr>
      </w:pPr>
    </w:p>
    <w:p w14:paraId="5E6F3C0C" w14:textId="0E7AB92E" w:rsidR="00535475" w:rsidRPr="00643DCF" w:rsidRDefault="00535475" w:rsidP="00FC2355">
      <w:pPr>
        <w:widowControl w:val="0"/>
        <w:numPr>
          <w:ilvl w:val="0"/>
          <w:numId w:val="3"/>
        </w:numPr>
        <w:tabs>
          <w:tab w:val="left" w:pos="284"/>
        </w:tabs>
        <w:autoSpaceDE w:val="0"/>
        <w:autoSpaceDN w:val="0"/>
        <w:adjustRightInd w:val="0"/>
        <w:ind w:left="0" w:firstLine="0"/>
        <w:jc w:val="both"/>
        <w:rPr>
          <w:sz w:val="28"/>
          <w:szCs w:val="28"/>
        </w:rPr>
      </w:pPr>
      <w:r w:rsidRPr="00643DCF">
        <w:rPr>
          <w:sz w:val="28"/>
          <w:szCs w:val="28"/>
        </w:rPr>
        <w:t>Por su parte</w:t>
      </w:r>
      <w:r w:rsidR="005D0105" w:rsidRPr="00643DCF">
        <w:rPr>
          <w:sz w:val="28"/>
          <w:szCs w:val="28"/>
        </w:rPr>
        <w:t>,</w:t>
      </w:r>
      <w:r w:rsidRPr="00643DCF">
        <w:rPr>
          <w:sz w:val="28"/>
          <w:szCs w:val="28"/>
        </w:rPr>
        <w:t xml:space="preserve"> la </w:t>
      </w:r>
      <w:r w:rsidR="004E32C0" w:rsidRPr="00643DCF">
        <w:rPr>
          <w:sz w:val="28"/>
          <w:szCs w:val="28"/>
        </w:rPr>
        <w:t>d</w:t>
      </w:r>
      <w:r w:rsidRPr="00643DCF">
        <w:rPr>
          <w:sz w:val="28"/>
          <w:szCs w:val="28"/>
        </w:rPr>
        <w:t xml:space="preserve">irectora del Cendoj, el 21 de junio de 2010 </w:t>
      </w:r>
      <w:r w:rsidR="00084A01" w:rsidRPr="00643DCF">
        <w:rPr>
          <w:sz w:val="28"/>
          <w:szCs w:val="28"/>
        </w:rPr>
        <w:t xml:space="preserve">remitió </w:t>
      </w:r>
      <w:r w:rsidRPr="00643DCF">
        <w:rPr>
          <w:sz w:val="28"/>
          <w:szCs w:val="28"/>
        </w:rPr>
        <w:t xml:space="preserve">un documento </w:t>
      </w:r>
      <w:r w:rsidR="007C1736" w:rsidRPr="00643DCF">
        <w:rPr>
          <w:sz w:val="28"/>
          <w:szCs w:val="28"/>
        </w:rPr>
        <w:t>manifestando</w:t>
      </w:r>
      <w:r w:rsidRPr="00643DCF">
        <w:rPr>
          <w:sz w:val="28"/>
          <w:szCs w:val="28"/>
        </w:rPr>
        <w:t xml:space="preserve"> que las actividades adelantadas para dar cumplimiento a la orden </w:t>
      </w:r>
      <w:r w:rsidR="00BE225C" w:rsidRPr="00643DCF">
        <w:rPr>
          <w:sz w:val="28"/>
          <w:szCs w:val="28"/>
        </w:rPr>
        <w:t>trigésima</w:t>
      </w:r>
      <w:r w:rsidRPr="00643DCF">
        <w:rPr>
          <w:sz w:val="28"/>
          <w:szCs w:val="28"/>
        </w:rPr>
        <w:t xml:space="preserve"> segunda habían sido las siguientes:</w:t>
      </w:r>
    </w:p>
    <w:p w14:paraId="6C5F757E" w14:textId="77777777" w:rsidR="00535475" w:rsidRPr="00643DCF" w:rsidRDefault="00535475" w:rsidP="00535475">
      <w:pPr>
        <w:pStyle w:val="Prrafodelista"/>
        <w:jc w:val="both"/>
        <w:rPr>
          <w:sz w:val="28"/>
          <w:szCs w:val="28"/>
        </w:rPr>
      </w:pPr>
    </w:p>
    <w:p w14:paraId="252B5A83" w14:textId="57C494A7" w:rsidR="00535475" w:rsidRPr="003319D7" w:rsidRDefault="00535475" w:rsidP="00F45B14">
      <w:pPr>
        <w:pStyle w:val="Prrafodelista"/>
        <w:ind w:left="284"/>
        <w:jc w:val="both"/>
        <w:rPr>
          <w:i/>
          <w:sz w:val="27"/>
          <w:szCs w:val="27"/>
        </w:rPr>
      </w:pPr>
      <w:r w:rsidRPr="003319D7">
        <w:rPr>
          <w:sz w:val="27"/>
          <w:szCs w:val="27"/>
        </w:rPr>
        <w:t>“</w:t>
      </w:r>
      <w:r w:rsidRPr="003319D7">
        <w:rPr>
          <w:i/>
          <w:sz w:val="27"/>
          <w:szCs w:val="27"/>
        </w:rPr>
        <w:t xml:space="preserve">El 4 de agosto de 2008, se publicó en la sección vea también de la página principal de la Rama Judicial, </w:t>
      </w:r>
      <w:hyperlink r:id="rId9" w:history="1">
        <w:r w:rsidRPr="003319D7">
          <w:rPr>
            <w:rStyle w:val="Hipervnculo"/>
            <w:i/>
            <w:color w:val="auto"/>
            <w:sz w:val="27"/>
            <w:szCs w:val="27"/>
          </w:rPr>
          <w:t>www.ramajudicial.gov.co</w:t>
        </w:r>
      </w:hyperlink>
      <w:r w:rsidRPr="003319D7">
        <w:rPr>
          <w:i/>
          <w:sz w:val="27"/>
          <w:szCs w:val="27"/>
        </w:rPr>
        <w:t xml:space="preserve"> con el título “</w:t>
      </w:r>
      <w:r w:rsidR="004C0101" w:rsidRPr="003319D7">
        <w:rPr>
          <w:i/>
          <w:sz w:val="27"/>
          <w:szCs w:val="27"/>
        </w:rPr>
        <w:t>s</w:t>
      </w:r>
      <w:r w:rsidRPr="003319D7">
        <w:rPr>
          <w:i/>
          <w:sz w:val="27"/>
          <w:szCs w:val="27"/>
        </w:rPr>
        <w:t>entencia T-760 de 2008” (vínculo http://www.ramajudicial .gov.co/csj_portal/jsp/Frames/index.jsp</w:t>
      </w:r>
      <w:proofErr w:type="gramStart"/>
      <w:r w:rsidRPr="003319D7">
        <w:rPr>
          <w:i/>
          <w:sz w:val="27"/>
          <w:szCs w:val="27"/>
        </w:rPr>
        <w:t>?</w:t>
      </w:r>
      <w:proofErr w:type="gramEnd"/>
      <w:r w:rsidR="006E3914" w:rsidRPr="003319D7">
        <w:rPr>
          <w:i/>
          <w:sz w:val="27"/>
          <w:szCs w:val="27"/>
        </w:rPr>
        <w:t xml:space="preserve"> </w:t>
      </w:r>
      <w:r w:rsidRPr="003319D7">
        <w:rPr>
          <w:i/>
          <w:sz w:val="27"/>
          <w:szCs w:val="27"/>
        </w:rPr>
        <w:t xml:space="preserve">idseccion=2169&amp;idpagina=7529&amp;idsitio=6). Se anexa certificación de la firma Ability Data Services proveedor del servicio hosting de la página </w:t>
      </w:r>
      <w:r w:rsidR="006C6B21" w:rsidRPr="003319D7">
        <w:rPr>
          <w:i/>
          <w:sz w:val="27"/>
          <w:szCs w:val="27"/>
        </w:rPr>
        <w:t>Web</w:t>
      </w:r>
      <w:r w:rsidRPr="003319D7">
        <w:rPr>
          <w:i/>
          <w:sz w:val="27"/>
          <w:szCs w:val="27"/>
        </w:rPr>
        <w:t xml:space="preserve"> de la Rama Judicial, es importante resaltar que la publicación continua vigente en la página.</w:t>
      </w:r>
    </w:p>
    <w:p w14:paraId="0B3C1142" w14:textId="77777777" w:rsidR="00535475" w:rsidRPr="003319D7" w:rsidRDefault="00535475" w:rsidP="00F45B14">
      <w:pPr>
        <w:pStyle w:val="Prrafodelista"/>
        <w:ind w:left="284"/>
        <w:jc w:val="both"/>
        <w:rPr>
          <w:i/>
          <w:sz w:val="27"/>
          <w:szCs w:val="27"/>
        </w:rPr>
      </w:pPr>
    </w:p>
    <w:p w14:paraId="1A6ED743" w14:textId="2B8C2DE0" w:rsidR="00535475" w:rsidRPr="003319D7" w:rsidRDefault="00535475" w:rsidP="00F45B14">
      <w:pPr>
        <w:pStyle w:val="Prrafodelista"/>
        <w:ind w:left="284"/>
        <w:jc w:val="both"/>
        <w:rPr>
          <w:sz w:val="27"/>
          <w:szCs w:val="27"/>
        </w:rPr>
      </w:pPr>
      <w:r w:rsidRPr="003319D7">
        <w:rPr>
          <w:i/>
          <w:sz w:val="27"/>
          <w:szCs w:val="27"/>
        </w:rPr>
        <w:t xml:space="preserve">2. El 5 de agosto de 2008, se realizó el envío masivo a las cuentas de la Rama Judicial de un mensaje de correo electrónico en el cual se informa a todos los servidores judiciales la publicación del vínculo que se colocó la sentencia, en el portal </w:t>
      </w:r>
      <w:r w:rsidR="006C6B21" w:rsidRPr="003319D7">
        <w:rPr>
          <w:i/>
          <w:sz w:val="27"/>
          <w:szCs w:val="27"/>
        </w:rPr>
        <w:t>Web</w:t>
      </w:r>
      <w:r w:rsidRPr="003319D7">
        <w:rPr>
          <w:i/>
          <w:sz w:val="27"/>
          <w:szCs w:val="27"/>
        </w:rPr>
        <w:t xml:space="preserve"> de la Rama Judicial. Anexo certificado de la firma LUNEL-IE LTDA proveedor del servicio de correo electrónico</w:t>
      </w:r>
      <w:r w:rsidRPr="003319D7">
        <w:rPr>
          <w:sz w:val="27"/>
          <w:szCs w:val="27"/>
        </w:rPr>
        <w:t>”</w:t>
      </w:r>
      <w:r w:rsidRPr="003319D7">
        <w:rPr>
          <w:rStyle w:val="Refdenotaalpie"/>
          <w:sz w:val="27"/>
          <w:szCs w:val="27"/>
        </w:rPr>
        <w:footnoteReference w:id="13"/>
      </w:r>
      <w:r w:rsidRPr="003319D7">
        <w:rPr>
          <w:sz w:val="27"/>
          <w:szCs w:val="27"/>
        </w:rPr>
        <w:t>.</w:t>
      </w:r>
    </w:p>
    <w:p w14:paraId="2944E75A" w14:textId="77777777" w:rsidR="00535475" w:rsidRPr="00643DCF" w:rsidRDefault="00535475" w:rsidP="00535475">
      <w:pPr>
        <w:widowControl w:val="0"/>
        <w:tabs>
          <w:tab w:val="left" w:pos="426"/>
        </w:tabs>
        <w:autoSpaceDE w:val="0"/>
        <w:autoSpaceDN w:val="0"/>
        <w:adjustRightInd w:val="0"/>
        <w:jc w:val="both"/>
        <w:rPr>
          <w:sz w:val="28"/>
          <w:szCs w:val="28"/>
        </w:rPr>
      </w:pPr>
    </w:p>
    <w:p w14:paraId="536C4282" w14:textId="7A4143DB" w:rsidR="00535475" w:rsidRPr="00643DCF" w:rsidRDefault="00535475" w:rsidP="00FC2355">
      <w:pPr>
        <w:widowControl w:val="0"/>
        <w:numPr>
          <w:ilvl w:val="0"/>
          <w:numId w:val="3"/>
        </w:numPr>
        <w:tabs>
          <w:tab w:val="left" w:pos="284"/>
        </w:tabs>
        <w:autoSpaceDE w:val="0"/>
        <w:autoSpaceDN w:val="0"/>
        <w:adjustRightInd w:val="0"/>
        <w:ind w:left="0" w:firstLine="0"/>
        <w:jc w:val="both"/>
        <w:rPr>
          <w:sz w:val="28"/>
          <w:szCs w:val="28"/>
        </w:rPr>
      </w:pPr>
      <w:r w:rsidRPr="00643DCF">
        <w:rPr>
          <w:sz w:val="28"/>
          <w:szCs w:val="28"/>
        </w:rPr>
        <w:t xml:space="preserve">El 28 de junio de 2010 la </w:t>
      </w:r>
      <w:r w:rsidR="00631C7F" w:rsidRPr="00643DCF">
        <w:rPr>
          <w:sz w:val="28"/>
          <w:szCs w:val="28"/>
        </w:rPr>
        <w:t>directora</w:t>
      </w:r>
      <w:r w:rsidRPr="00643DCF">
        <w:rPr>
          <w:sz w:val="28"/>
          <w:szCs w:val="28"/>
        </w:rPr>
        <w:t xml:space="preserve"> de la </w:t>
      </w:r>
      <w:r w:rsidR="00BE225C" w:rsidRPr="00643DCF">
        <w:rPr>
          <w:sz w:val="28"/>
          <w:szCs w:val="28"/>
        </w:rPr>
        <w:t xml:space="preserve">Escuela </w:t>
      </w:r>
      <w:r w:rsidR="00147FAA" w:rsidRPr="00643DCF">
        <w:rPr>
          <w:sz w:val="28"/>
          <w:szCs w:val="28"/>
        </w:rPr>
        <w:t>J</w:t>
      </w:r>
      <w:r w:rsidR="00BE225C" w:rsidRPr="00643DCF">
        <w:rPr>
          <w:sz w:val="28"/>
          <w:szCs w:val="28"/>
        </w:rPr>
        <w:t>udicial</w:t>
      </w:r>
      <w:r w:rsidRPr="00643DCF">
        <w:rPr>
          <w:sz w:val="28"/>
          <w:szCs w:val="28"/>
        </w:rPr>
        <w:t xml:space="preserve"> allegó el </w:t>
      </w:r>
      <w:r w:rsidR="00081DDA" w:rsidRPr="00643DCF">
        <w:rPr>
          <w:sz w:val="28"/>
          <w:szCs w:val="28"/>
        </w:rPr>
        <w:t>i</w:t>
      </w:r>
      <w:r w:rsidRPr="00643DCF">
        <w:rPr>
          <w:sz w:val="28"/>
          <w:szCs w:val="28"/>
        </w:rPr>
        <w:t xml:space="preserve">nforme sobre la ejecución de las actividades necesarias para difundir la </w:t>
      </w:r>
      <w:r w:rsidR="00525D07" w:rsidRPr="00643DCF">
        <w:rPr>
          <w:sz w:val="28"/>
          <w:szCs w:val="28"/>
        </w:rPr>
        <w:t>s</w:t>
      </w:r>
      <w:r w:rsidRPr="00643DCF">
        <w:rPr>
          <w:sz w:val="28"/>
          <w:szCs w:val="28"/>
        </w:rPr>
        <w:t>entencia T-760 de 2008</w:t>
      </w:r>
      <w:r w:rsidRPr="00643DCF">
        <w:rPr>
          <w:rStyle w:val="Refdenotaalpie"/>
          <w:sz w:val="28"/>
          <w:szCs w:val="28"/>
        </w:rPr>
        <w:footnoteReference w:id="14"/>
      </w:r>
      <w:r w:rsidRPr="00643DCF">
        <w:rPr>
          <w:sz w:val="28"/>
          <w:szCs w:val="28"/>
        </w:rPr>
        <w:t xml:space="preserve">. En el referido documento </w:t>
      </w:r>
      <w:r w:rsidR="0081516D" w:rsidRPr="00643DCF">
        <w:rPr>
          <w:sz w:val="28"/>
          <w:szCs w:val="28"/>
        </w:rPr>
        <w:t xml:space="preserve">expuso </w:t>
      </w:r>
      <w:r w:rsidRPr="00643DCF">
        <w:rPr>
          <w:sz w:val="28"/>
          <w:szCs w:val="28"/>
        </w:rPr>
        <w:t xml:space="preserve">los objetivos </w:t>
      </w:r>
      <w:r w:rsidR="0081516D" w:rsidRPr="00643DCF">
        <w:rPr>
          <w:sz w:val="28"/>
          <w:szCs w:val="28"/>
        </w:rPr>
        <w:t>trazados</w:t>
      </w:r>
      <w:r w:rsidRPr="00643DCF">
        <w:rPr>
          <w:sz w:val="28"/>
          <w:szCs w:val="28"/>
        </w:rPr>
        <w:t xml:space="preserve"> </w:t>
      </w:r>
      <w:r w:rsidR="005D0105" w:rsidRPr="00643DCF">
        <w:rPr>
          <w:sz w:val="28"/>
          <w:szCs w:val="28"/>
        </w:rPr>
        <w:t>para divulga</w:t>
      </w:r>
      <w:r w:rsidR="00A63D43" w:rsidRPr="00643DCF">
        <w:rPr>
          <w:sz w:val="28"/>
          <w:szCs w:val="28"/>
        </w:rPr>
        <w:t>rla</w:t>
      </w:r>
      <w:r w:rsidRPr="00643DCF">
        <w:rPr>
          <w:sz w:val="28"/>
          <w:szCs w:val="28"/>
        </w:rPr>
        <w:t xml:space="preserve">, </w:t>
      </w:r>
      <w:r w:rsidR="005D0105" w:rsidRPr="00643DCF">
        <w:rPr>
          <w:sz w:val="28"/>
          <w:szCs w:val="28"/>
        </w:rPr>
        <w:t xml:space="preserve">relacionó </w:t>
      </w:r>
      <w:r w:rsidRPr="00643DCF">
        <w:rPr>
          <w:sz w:val="28"/>
          <w:szCs w:val="28"/>
        </w:rPr>
        <w:t>el “</w:t>
      </w:r>
      <w:r w:rsidRPr="00643DCF">
        <w:rPr>
          <w:i/>
          <w:sz w:val="28"/>
          <w:szCs w:val="28"/>
        </w:rPr>
        <w:t>plan educativo</w:t>
      </w:r>
      <w:r w:rsidRPr="00643DCF">
        <w:rPr>
          <w:sz w:val="28"/>
          <w:szCs w:val="28"/>
        </w:rPr>
        <w:t xml:space="preserve">”, </w:t>
      </w:r>
      <w:r w:rsidR="00081DDA" w:rsidRPr="00643DCF">
        <w:rPr>
          <w:sz w:val="28"/>
          <w:szCs w:val="28"/>
        </w:rPr>
        <w:t>aduciendo</w:t>
      </w:r>
      <w:r w:rsidRPr="00643DCF">
        <w:rPr>
          <w:sz w:val="28"/>
          <w:szCs w:val="28"/>
        </w:rPr>
        <w:t xml:space="preserve"> </w:t>
      </w:r>
      <w:r w:rsidR="0081516D" w:rsidRPr="00643DCF">
        <w:rPr>
          <w:sz w:val="28"/>
          <w:szCs w:val="28"/>
        </w:rPr>
        <w:t>que</w:t>
      </w:r>
      <w:r w:rsidRPr="00643DCF">
        <w:rPr>
          <w:sz w:val="28"/>
          <w:szCs w:val="28"/>
        </w:rPr>
        <w:t xml:space="preserve"> realizaron tres videoconferencias, public</w:t>
      </w:r>
      <w:r w:rsidR="00B62A65" w:rsidRPr="00643DCF">
        <w:rPr>
          <w:sz w:val="28"/>
          <w:szCs w:val="28"/>
        </w:rPr>
        <w:t>aron</w:t>
      </w:r>
      <w:r w:rsidRPr="00643DCF">
        <w:rPr>
          <w:sz w:val="28"/>
          <w:szCs w:val="28"/>
        </w:rPr>
        <w:t xml:space="preserve"> el </w:t>
      </w:r>
      <w:r w:rsidR="005D0105" w:rsidRPr="00643DCF">
        <w:rPr>
          <w:sz w:val="28"/>
          <w:szCs w:val="28"/>
        </w:rPr>
        <w:t xml:space="preserve">proveído </w:t>
      </w:r>
      <w:r w:rsidRPr="00643DCF">
        <w:rPr>
          <w:sz w:val="28"/>
          <w:szCs w:val="28"/>
        </w:rPr>
        <w:t xml:space="preserve">en el campus virtual de la </w:t>
      </w:r>
      <w:r w:rsidR="0081516D" w:rsidRPr="00643DCF">
        <w:rPr>
          <w:sz w:val="28"/>
          <w:szCs w:val="28"/>
        </w:rPr>
        <w:t>e</w:t>
      </w:r>
      <w:r w:rsidRPr="00643DCF">
        <w:rPr>
          <w:sz w:val="28"/>
          <w:szCs w:val="28"/>
        </w:rPr>
        <w:t xml:space="preserve">scuela </w:t>
      </w:r>
      <w:r w:rsidR="0081516D" w:rsidRPr="00643DCF">
        <w:rPr>
          <w:sz w:val="28"/>
          <w:szCs w:val="28"/>
        </w:rPr>
        <w:t>j</w:t>
      </w:r>
      <w:r w:rsidRPr="00643DCF">
        <w:rPr>
          <w:sz w:val="28"/>
          <w:szCs w:val="28"/>
        </w:rPr>
        <w:t xml:space="preserve">udicial </w:t>
      </w:r>
      <w:r w:rsidR="00C17C20" w:rsidRPr="00643DCF">
        <w:rPr>
          <w:sz w:val="28"/>
          <w:szCs w:val="28"/>
        </w:rPr>
        <w:t xml:space="preserve">e </w:t>
      </w:r>
      <w:r w:rsidRPr="00643DCF">
        <w:rPr>
          <w:sz w:val="28"/>
          <w:szCs w:val="28"/>
        </w:rPr>
        <w:t>implement</w:t>
      </w:r>
      <w:r w:rsidR="00B62A65" w:rsidRPr="00643DCF">
        <w:rPr>
          <w:sz w:val="28"/>
          <w:szCs w:val="28"/>
        </w:rPr>
        <w:t xml:space="preserve">aron </w:t>
      </w:r>
      <w:r w:rsidRPr="00643DCF">
        <w:rPr>
          <w:sz w:val="28"/>
          <w:szCs w:val="28"/>
        </w:rPr>
        <w:t xml:space="preserve"> un foro virtual sobre la aplicación de</w:t>
      </w:r>
      <w:r w:rsidR="004C5E82" w:rsidRPr="00643DCF">
        <w:rPr>
          <w:sz w:val="28"/>
          <w:szCs w:val="28"/>
        </w:rPr>
        <w:t>l fallo</w:t>
      </w:r>
      <w:r w:rsidRPr="00643DCF">
        <w:rPr>
          <w:rStyle w:val="Refdenotaalpie"/>
          <w:sz w:val="28"/>
          <w:szCs w:val="28"/>
        </w:rPr>
        <w:footnoteReference w:id="15"/>
      </w:r>
      <w:r w:rsidRPr="00643DCF">
        <w:rPr>
          <w:sz w:val="28"/>
          <w:szCs w:val="28"/>
        </w:rPr>
        <w:t>.</w:t>
      </w:r>
    </w:p>
    <w:p w14:paraId="7B4054C2" w14:textId="77777777" w:rsidR="00535475" w:rsidRPr="00643DCF" w:rsidRDefault="00535475" w:rsidP="00535475">
      <w:pPr>
        <w:pStyle w:val="Prrafodelista"/>
        <w:widowControl w:val="0"/>
        <w:tabs>
          <w:tab w:val="left" w:pos="426"/>
        </w:tabs>
        <w:autoSpaceDE w:val="0"/>
        <w:autoSpaceDN w:val="0"/>
        <w:adjustRightInd w:val="0"/>
        <w:ind w:left="0"/>
        <w:jc w:val="both"/>
        <w:rPr>
          <w:sz w:val="28"/>
          <w:szCs w:val="28"/>
        </w:rPr>
      </w:pPr>
    </w:p>
    <w:p w14:paraId="6E008704" w14:textId="29D7A060" w:rsidR="00535475" w:rsidRDefault="00535475" w:rsidP="00FC2355">
      <w:pPr>
        <w:widowControl w:val="0"/>
        <w:numPr>
          <w:ilvl w:val="0"/>
          <w:numId w:val="3"/>
        </w:numPr>
        <w:tabs>
          <w:tab w:val="left" w:pos="426"/>
        </w:tabs>
        <w:autoSpaceDE w:val="0"/>
        <w:autoSpaceDN w:val="0"/>
        <w:adjustRightInd w:val="0"/>
        <w:ind w:left="0" w:firstLine="0"/>
        <w:jc w:val="both"/>
        <w:rPr>
          <w:sz w:val="28"/>
          <w:szCs w:val="28"/>
        </w:rPr>
      </w:pPr>
      <w:r w:rsidRPr="00643DCF">
        <w:rPr>
          <w:sz w:val="28"/>
          <w:szCs w:val="28"/>
        </w:rPr>
        <w:t xml:space="preserve">El 21 de julio de 2010 la Sala Administrativa del Consejo Superior de la Judicatura </w:t>
      </w:r>
      <w:r w:rsidR="00084A01" w:rsidRPr="00643DCF">
        <w:rPr>
          <w:sz w:val="28"/>
          <w:szCs w:val="28"/>
        </w:rPr>
        <w:t>comunicó</w:t>
      </w:r>
      <w:r w:rsidRPr="00643DCF">
        <w:rPr>
          <w:sz w:val="28"/>
          <w:szCs w:val="28"/>
        </w:rPr>
        <w:t xml:space="preserve"> a la Corte que el Decreto 366 de 2009 se encontraba </w:t>
      </w:r>
      <w:r w:rsidRPr="00643DCF">
        <w:rPr>
          <w:sz w:val="28"/>
          <w:szCs w:val="28"/>
        </w:rPr>
        <w:lastRenderedPageBreak/>
        <w:t xml:space="preserve">publicado en la página </w:t>
      </w:r>
      <w:r w:rsidR="006C6B21" w:rsidRPr="00643DCF">
        <w:rPr>
          <w:sz w:val="28"/>
          <w:szCs w:val="28"/>
        </w:rPr>
        <w:t>web</w:t>
      </w:r>
      <w:r w:rsidRPr="00643DCF">
        <w:rPr>
          <w:sz w:val="28"/>
          <w:szCs w:val="28"/>
        </w:rPr>
        <w:t xml:space="preserve"> de la Rama Judicial, en el link http://www.ramajudicial.gov.co/csj_portal/jsp/contenido/plantillaFrame.jsp?idseccion=2169&amp;idpagina=7529&amp;idsitio=6</w:t>
      </w:r>
      <w:r w:rsidRPr="00643DCF">
        <w:rPr>
          <w:rStyle w:val="Refdenotaalpie"/>
          <w:sz w:val="28"/>
          <w:szCs w:val="28"/>
        </w:rPr>
        <w:footnoteReference w:id="16"/>
      </w:r>
      <w:r w:rsidRPr="00643DCF">
        <w:rPr>
          <w:sz w:val="28"/>
          <w:szCs w:val="28"/>
        </w:rPr>
        <w:t xml:space="preserve">. </w:t>
      </w:r>
    </w:p>
    <w:p w14:paraId="006A918D" w14:textId="77777777" w:rsidR="009D5FE2" w:rsidRPr="00643DCF" w:rsidRDefault="009D5FE2" w:rsidP="009D5FE2">
      <w:pPr>
        <w:widowControl w:val="0"/>
        <w:tabs>
          <w:tab w:val="left" w:pos="426"/>
        </w:tabs>
        <w:autoSpaceDE w:val="0"/>
        <w:autoSpaceDN w:val="0"/>
        <w:adjustRightInd w:val="0"/>
        <w:jc w:val="both"/>
        <w:rPr>
          <w:sz w:val="28"/>
          <w:szCs w:val="28"/>
        </w:rPr>
      </w:pPr>
    </w:p>
    <w:p w14:paraId="6DE49E28" w14:textId="3FBAC0C7" w:rsidR="00535475" w:rsidRPr="00643DCF" w:rsidRDefault="008924BF" w:rsidP="00147FAA">
      <w:pPr>
        <w:widowControl w:val="0"/>
        <w:numPr>
          <w:ilvl w:val="0"/>
          <w:numId w:val="3"/>
        </w:numPr>
        <w:tabs>
          <w:tab w:val="left" w:pos="426"/>
        </w:tabs>
        <w:autoSpaceDE w:val="0"/>
        <w:autoSpaceDN w:val="0"/>
        <w:adjustRightInd w:val="0"/>
        <w:ind w:left="0" w:firstLine="0"/>
        <w:jc w:val="both"/>
        <w:rPr>
          <w:sz w:val="28"/>
          <w:szCs w:val="28"/>
        </w:rPr>
      </w:pPr>
      <w:r w:rsidRPr="00643DCF">
        <w:rPr>
          <w:sz w:val="28"/>
          <w:szCs w:val="28"/>
        </w:rPr>
        <w:t xml:space="preserve">A través del </w:t>
      </w:r>
      <w:r w:rsidR="006E517C" w:rsidRPr="00643DCF">
        <w:rPr>
          <w:sz w:val="28"/>
          <w:szCs w:val="28"/>
        </w:rPr>
        <w:t>a</w:t>
      </w:r>
      <w:r w:rsidR="00535475" w:rsidRPr="00643DCF">
        <w:rPr>
          <w:sz w:val="28"/>
          <w:szCs w:val="28"/>
        </w:rPr>
        <w:t>uto 317</w:t>
      </w:r>
      <w:r w:rsidR="00147FAA" w:rsidRPr="00643DCF">
        <w:rPr>
          <w:sz w:val="28"/>
          <w:szCs w:val="28"/>
        </w:rPr>
        <w:t xml:space="preserve"> de 2010</w:t>
      </w:r>
      <w:r w:rsidR="00DC330D" w:rsidRPr="00643DCF">
        <w:rPr>
          <w:rStyle w:val="Refdenotaalpie"/>
          <w:sz w:val="28"/>
          <w:szCs w:val="28"/>
        </w:rPr>
        <w:footnoteReference w:id="17"/>
      </w:r>
      <w:r w:rsidRPr="00643DCF">
        <w:rPr>
          <w:sz w:val="28"/>
          <w:szCs w:val="28"/>
        </w:rPr>
        <w:t xml:space="preserve"> </w:t>
      </w:r>
      <w:r w:rsidR="00535475" w:rsidRPr="00643DCF">
        <w:rPr>
          <w:sz w:val="28"/>
          <w:szCs w:val="28"/>
        </w:rPr>
        <w:t>la Corte</w:t>
      </w:r>
      <w:r w:rsidR="00535475" w:rsidRPr="00643DCF">
        <w:rPr>
          <w:sz w:val="28"/>
          <w:szCs w:val="28"/>
          <w:lang w:val="es-ES"/>
        </w:rPr>
        <w:t xml:space="preserve"> invitó a diversos grupos de seguimiento </w:t>
      </w:r>
      <w:r w:rsidR="00567BFF" w:rsidRPr="00643DCF">
        <w:rPr>
          <w:sz w:val="28"/>
          <w:szCs w:val="28"/>
          <w:lang w:val="es-ES"/>
        </w:rPr>
        <w:t>para</w:t>
      </w:r>
      <w:r w:rsidRPr="00643DCF">
        <w:rPr>
          <w:sz w:val="28"/>
          <w:szCs w:val="28"/>
          <w:lang w:val="es-ES"/>
        </w:rPr>
        <w:t xml:space="preserve"> </w:t>
      </w:r>
      <w:r w:rsidR="00535475" w:rsidRPr="00643DCF">
        <w:rPr>
          <w:sz w:val="28"/>
          <w:szCs w:val="28"/>
          <w:lang w:val="es-ES"/>
        </w:rPr>
        <w:t>que precisaran desde su área de conocimiento</w:t>
      </w:r>
      <w:r w:rsidR="00DE0E61" w:rsidRPr="00643DCF">
        <w:rPr>
          <w:sz w:val="28"/>
          <w:szCs w:val="28"/>
          <w:lang w:val="es-ES"/>
        </w:rPr>
        <w:t>,</w:t>
      </w:r>
      <w:r w:rsidR="00535475" w:rsidRPr="00643DCF">
        <w:rPr>
          <w:sz w:val="28"/>
          <w:szCs w:val="28"/>
          <w:lang w:val="es-ES"/>
        </w:rPr>
        <w:t xml:space="preserve"> </w:t>
      </w:r>
      <w:r w:rsidR="00EA2A5C" w:rsidRPr="00643DCF">
        <w:rPr>
          <w:sz w:val="28"/>
          <w:szCs w:val="28"/>
          <w:lang w:val="es-ES"/>
        </w:rPr>
        <w:t>l</w:t>
      </w:r>
      <w:r w:rsidR="00535475" w:rsidRPr="00643DCF">
        <w:rPr>
          <w:sz w:val="28"/>
          <w:szCs w:val="28"/>
          <w:lang w:val="es-ES"/>
        </w:rPr>
        <w:t xml:space="preserve">as condiciones materiales de cumplimiento de la </w:t>
      </w:r>
      <w:r w:rsidR="000667FA" w:rsidRPr="00643DCF">
        <w:rPr>
          <w:sz w:val="28"/>
          <w:szCs w:val="28"/>
          <w:lang w:val="es-ES"/>
        </w:rPr>
        <w:t>s</w:t>
      </w:r>
      <w:r w:rsidR="00535475" w:rsidRPr="00643DCF">
        <w:rPr>
          <w:sz w:val="28"/>
          <w:szCs w:val="28"/>
          <w:lang w:val="es-ES"/>
        </w:rPr>
        <w:t>entencia T-760 de 2008</w:t>
      </w:r>
      <w:r w:rsidR="00567BFF" w:rsidRPr="00643DCF">
        <w:rPr>
          <w:sz w:val="28"/>
          <w:szCs w:val="28"/>
          <w:lang w:val="es-ES"/>
        </w:rPr>
        <w:t>. P</w:t>
      </w:r>
      <w:r w:rsidR="00535475" w:rsidRPr="00643DCF">
        <w:rPr>
          <w:sz w:val="28"/>
          <w:szCs w:val="28"/>
          <w:lang w:val="es-ES"/>
        </w:rPr>
        <w:t xml:space="preserve">untualmente el cuestionario efectuado con relación a la orden </w:t>
      </w:r>
      <w:r w:rsidR="004C5E82" w:rsidRPr="00643DCF">
        <w:rPr>
          <w:sz w:val="28"/>
          <w:szCs w:val="28"/>
          <w:lang w:val="es-ES"/>
        </w:rPr>
        <w:t>treinta y dos</w:t>
      </w:r>
      <w:r w:rsidR="00535475" w:rsidRPr="00643DCF">
        <w:rPr>
          <w:sz w:val="28"/>
          <w:szCs w:val="28"/>
          <w:lang w:val="es-ES"/>
        </w:rPr>
        <w:t xml:space="preserve"> versó sobre las actividades desarrolladas por parte del Consejo Superior de la Judicatura</w:t>
      </w:r>
      <w:r w:rsidR="00A947DD" w:rsidRPr="00643DCF">
        <w:rPr>
          <w:sz w:val="28"/>
          <w:szCs w:val="28"/>
          <w:lang w:val="es-ES"/>
        </w:rPr>
        <w:t xml:space="preserve"> </w:t>
      </w:r>
      <w:r w:rsidR="00B17648" w:rsidRPr="00643DCF">
        <w:rPr>
          <w:sz w:val="28"/>
          <w:szCs w:val="28"/>
          <w:lang w:val="es-ES"/>
        </w:rPr>
        <w:t>en relación con la</w:t>
      </w:r>
      <w:r w:rsidR="00A947DD" w:rsidRPr="00643DCF">
        <w:rPr>
          <w:sz w:val="28"/>
          <w:szCs w:val="28"/>
          <w:lang w:val="es-ES"/>
        </w:rPr>
        <w:t xml:space="preserve"> </w:t>
      </w:r>
      <w:r w:rsidR="00535475" w:rsidRPr="00643DCF">
        <w:rPr>
          <w:sz w:val="28"/>
          <w:szCs w:val="28"/>
          <w:lang w:val="es-ES"/>
        </w:rPr>
        <w:t>divulga</w:t>
      </w:r>
      <w:r w:rsidR="00A947DD" w:rsidRPr="00643DCF">
        <w:rPr>
          <w:sz w:val="28"/>
          <w:szCs w:val="28"/>
          <w:lang w:val="es-ES"/>
        </w:rPr>
        <w:t>ción</w:t>
      </w:r>
      <w:r w:rsidR="00535475" w:rsidRPr="00643DCF">
        <w:rPr>
          <w:sz w:val="28"/>
          <w:szCs w:val="28"/>
          <w:lang w:val="es-ES"/>
        </w:rPr>
        <w:t xml:space="preserve"> </w:t>
      </w:r>
      <w:r w:rsidR="00A947DD" w:rsidRPr="00643DCF">
        <w:rPr>
          <w:sz w:val="28"/>
          <w:szCs w:val="28"/>
          <w:lang w:val="es-ES"/>
        </w:rPr>
        <w:t>d</w:t>
      </w:r>
      <w:r w:rsidR="00535475" w:rsidRPr="00643DCF">
        <w:rPr>
          <w:sz w:val="28"/>
          <w:szCs w:val="28"/>
          <w:lang w:val="es-ES"/>
        </w:rPr>
        <w:t>el fallo entre los jueces de la República</w:t>
      </w:r>
      <w:r w:rsidR="00983B24" w:rsidRPr="00643DCF">
        <w:rPr>
          <w:sz w:val="28"/>
          <w:szCs w:val="28"/>
          <w:lang w:val="es-ES"/>
        </w:rPr>
        <w:t xml:space="preserve">, </w:t>
      </w:r>
      <w:r w:rsidR="00A947DD" w:rsidRPr="00643DCF">
        <w:rPr>
          <w:sz w:val="28"/>
          <w:szCs w:val="28"/>
          <w:lang w:val="es-ES"/>
        </w:rPr>
        <w:t>la d</w:t>
      </w:r>
      <w:r w:rsidR="00535475" w:rsidRPr="00643DCF">
        <w:rPr>
          <w:sz w:val="28"/>
          <w:szCs w:val="28"/>
          <w:lang w:val="es-ES"/>
        </w:rPr>
        <w:t>ifusión a la ciudadanía en general</w:t>
      </w:r>
      <w:r w:rsidR="00B17648" w:rsidRPr="00643DCF">
        <w:rPr>
          <w:sz w:val="28"/>
          <w:szCs w:val="28"/>
          <w:lang w:val="es-ES"/>
        </w:rPr>
        <w:t>,</w:t>
      </w:r>
      <w:r w:rsidR="00535475" w:rsidRPr="00643DCF">
        <w:rPr>
          <w:sz w:val="28"/>
          <w:szCs w:val="28"/>
          <w:lang w:val="es-ES"/>
        </w:rPr>
        <w:t xml:space="preserve"> las posibles alternativas que se debería</w:t>
      </w:r>
      <w:r w:rsidRPr="00643DCF">
        <w:rPr>
          <w:sz w:val="28"/>
          <w:szCs w:val="28"/>
          <w:lang w:val="es-ES"/>
        </w:rPr>
        <w:t>n</w:t>
      </w:r>
      <w:r w:rsidR="00535475" w:rsidRPr="00643DCF">
        <w:rPr>
          <w:sz w:val="28"/>
          <w:szCs w:val="28"/>
          <w:lang w:val="es-ES"/>
        </w:rPr>
        <w:t xml:space="preserve"> poner en marcha </w:t>
      </w:r>
      <w:r w:rsidR="00567BFF" w:rsidRPr="00643DCF">
        <w:rPr>
          <w:sz w:val="28"/>
          <w:szCs w:val="28"/>
          <w:lang w:val="es-ES"/>
        </w:rPr>
        <w:t>para</w:t>
      </w:r>
      <w:r w:rsidR="00535475" w:rsidRPr="00643DCF">
        <w:rPr>
          <w:sz w:val="28"/>
          <w:szCs w:val="28"/>
          <w:lang w:val="es-ES"/>
        </w:rPr>
        <w:t xml:space="preserve"> </w:t>
      </w:r>
      <w:r w:rsidR="00860DDA" w:rsidRPr="00643DCF">
        <w:rPr>
          <w:sz w:val="28"/>
          <w:szCs w:val="28"/>
          <w:lang w:val="es-ES"/>
        </w:rPr>
        <w:t>obedecer e</w:t>
      </w:r>
      <w:r w:rsidR="004C5E82" w:rsidRPr="00643DCF">
        <w:rPr>
          <w:sz w:val="28"/>
          <w:szCs w:val="28"/>
          <w:lang w:val="es-ES"/>
        </w:rPr>
        <w:t>l mandato</w:t>
      </w:r>
      <w:r w:rsidR="00AD0595" w:rsidRPr="00643DCF">
        <w:rPr>
          <w:sz w:val="28"/>
          <w:szCs w:val="28"/>
          <w:lang w:val="es-ES"/>
        </w:rPr>
        <w:t xml:space="preserve"> </w:t>
      </w:r>
      <w:r w:rsidR="00081DDA" w:rsidRPr="00643DCF">
        <w:rPr>
          <w:sz w:val="28"/>
          <w:szCs w:val="28"/>
          <w:lang w:val="es-ES"/>
        </w:rPr>
        <w:t>y sobre</w:t>
      </w:r>
      <w:r w:rsidRPr="00643DCF">
        <w:rPr>
          <w:sz w:val="28"/>
          <w:szCs w:val="28"/>
        </w:rPr>
        <w:t xml:space="preserve"> </w:t>
      </w:r>
      <w:r w:rsidR="00535475" w:rsidRPr="00643DCF">
        <w:rPr>
          <w:sz w:val="28"/>
          <w:szCs w:val="28"/>
          <w:lang w:val="es-ES"/>
        </w:rPr>
        <w:t>los estándares de medición de los indicadores necesarios para evaluar los contenidos de la sentencia</w:t>
      </w:r>
      <w:r w:rsidR="002E1EB4" w:rsidRPr="00643DCF">
        <w:rPr>
          <w:sz w:val="28"/>
          <w:szCs w:val="28"/>
          <w:lang w:val="es-ES"/>
        </w:rPr>
        <w:t>.</w:t>
      </w:r>
    </w:p>
    <w:p w14:paraId="76945645" w14:textId="77777777" w:rsidR="00535475" w:rsidRPr="00643DCF" w:rsidRDefault="00535475" w:rsidP="00535475">
      <w:pPr>
        <w:pStyle w:val="Prrafodelista"/>
        <w:ind w:left="0"/>
        <w:rPr>
          <w:sz w:val="28"/>
          <w:szCs w:val="28"/>
        </w:rPr>
      </w:pPr>
    </w:p>
    <w:p w14:paraId="33BE8B14" w14:textId="769A1D49" w:rsidR="00535475" w:rsidRPr="00643DCF" w:rsidRDefault="00535475" w:rsidP="00FC2355">
      <w:pPr>
        <w:widowControl w:val="0"/>
        <w:numPr>
          <w:ilvl w:val="0"/>
          <w:numId w:val="3"/>
        </w:numPr>
        <w:tabs>
          <w:tab w:val="left" w:pos="426"/>
        </w:tabs>
        <w:autoSpaceDE w:val="0"/>
        <w:autoSpaceDN w:val="0"/>
        <w:adjustRightInd w:val="0"/>
        <w:ind w:left="0" w:firstLine="0"/>
        <w:jc w:val="both"/>
        <w:rPr>
          <w:sz w:val="28"/>
          <w:szCs w:val="28"/>
          <w:lang w:val="es-MX"/>
        </w:rPr>
      </w:pPr>
      <w:r w:rsidRPr="00643DCF">
        <w:rPr>
          <w:sz w:val="28"/>
          <w:szCs w:val="28"/>
          <w:lang w:val="es-MX"/>
        </w:rPr>
        <w:t>Al respecto, se pronunciaron l</w:t>
      </w:r>
      <w:r w:rsidR="00AD0595" w:rsidRPr="00643DCF">
        <w:rPr>
          <w:sz w:val="28"/>
          <w:szCs w:val="28"/>
          <w:lang w:val="es-MX"/>
        </w:rPr>
        <w:t>a</w:t>
      </w:r>
      <w:r w:rsidRPr="00643DCF">
        <w:rPr>
          <w:sz w:val="28"/>
          <w:szCs w:val="28"/>
          <w:lang w:val="es-MX"/>
        </w:rPr>
        <w:t xml:space="preserve">s siguientes </w:t>
      </w:r>
      <w:r w:rsidR="00B22DD6" w:rsidRPr="00643DCF">
        <w:rPr>
          <w:sz w:val="28"/>
          <w:szCs w:val="28"/>
          <w:lang w:val="es-MX"/>
        </w:rPr>
        <w:t xml:space="preserve">entidades, </w:t>
      </w:r>
      <w:r w:rsidRPr="00643DCF">
        <w:rPr>
          <w:sz w:val="28"/>
          <w:szCs w:val="28"/>
          <w:lang w:val="es-MX"/>
        </w:rPr>
        <w:t xml:space="preserve">así: </w:t>
      </w:r>
    </w:p>
    <w:p w14:paraId="3F8EF5CB" w14:textId="77777777" w:rsidR="00AD0595" w:rsidRPr="00643DCF" w:rsidRDefault="00AD0595" w:rsidP="003E23A0">
      <w:pPr>
        <w:widowControl w:val="0"/>
        <w:tabs>
          <w:tab w:val="left" w:pos="426"/>
        </w:tabs>
        <w:autoSpaceDE w:val="0"/>
        <w:autoSpaceDN w:val="0"/>
        <w:adjustRightInd w:val="0"/>
        <w:jc w:val="both"/>
        <w:rPr>
          <w:sz w:val="28"/>
          <w:szCs w:val="28"/>
          <w:lang w:val="es-MX"/>
        </w:rPr>
      </w:pPr>
    </w:p>
    <w:p w14:paraId="4CC14FCA" w14:textId="3A9522D5" w:rsidR="00535475" w:rsidRPr="00643DCF" w:rsidRDefault="00946566" w:rsidP="00F45B14">
      <w:pPr>
        <w:ind w:left="284"/>
        <w:jc w:val="both"/>
        <w:rPr>
          <w:sz w:val="28"/>
          <w:szCs w:val="28"/>
        </w:rPr>
      </w:pPr>
      <w:r w:rsidRPr="00643DCF">
        <w:rPr>
          <w:i/>
          <w:sz w:val="28"/>
          <w:szCs w:val="28"/>
        </w:rPr>
        <w:t>-</w:t>
      </w:r>
      <w:r w:rsidRPr="00643DCF">
        <w:rPr>
          <w:sz w:val="28"/>
          <w:szCs w:val="28"/>
        </w:rPr>
        <w:t>L</w:t>
      </w:r>
      <w:r w:rsidR="002E1EB4" w:rsidRPr="00643DCF">
        <w:rPr>
          <w:sz w:val="28"/>
          <w:szCs w:val="28"/>
        </w:rPr>
        <w:t xml:space="preserve">a </w:t>
      </w:r>
      <w:r w:rsidR="00535475" w:rsidRPr="00643DCF">
        <w:rPr>
          <w:sz w:val="28"/>
          <w:szCs w:val="28"/>
        </w:rPr>
        <w:t>Universidad CES</w:t>
      </w:r>
      <w:r w:rsidR="000B1E00" w:rsidRPr="00643DCF">
        <w:rPr>
          <w:rStyle w:val="Refdenotaalpie"/>
          <w:sz w:val="28"/>
          <w:szCs w:val="28"/>
        </w:rPr>
        <w:footnoteReference w:id="18"/>
      </w:r>
      <w:r w:rsidR="00535475" w:rsidRPr="00643DCF">
        <w:rPr>
          <w:sz w:val="28"/>
          <w:szCs w:val="28"/>
        </w:rPr>
        <w:t xml:space="preserve"> consideró que una de las alternativas para dar a conocer el contenido de la sentencia podría ser una página </w:t>
      </w:r>
      <w:r w:rsidR="00F2165E" w:rsidRPr="00643DCF">
        <w:rPr>
          <w:sz w:val="28"/>
          <w:szCs w:val="28"/>
        </w:rPr>
        <w:t>w</w:t>
      </w:r>
      <w:r w:rsidR="006C6B21" w:rsidRPr="00643DCF">
        <w:rPr>
          <w:sz w:val="28"/>
          <w:szCs w:val="28"/>
        </w:rPr>
        <w:t>eb</w:t>
      </w:r>
      <w:r w:rsidR="00535475" w:rsidRPr="00643DCF">
        <w:rPr>
          <w:sz w:val="28"/>
          <w:szCs w:val="28"/>
        </w:rPr>
        <w:t xml:space="preserve"> exclusiva </w:t>
      </w:r>
      <w:r w:rsidR="00D05B59" w:rsidRPr="00643DCF">
        <w:rPr>
          <w:sz w:val="28"/>
          <w:szCs w:val="28"/>
        </w:rPr>
        <w:t>de</w:t>
      </w:r>
      <w:r w:rsidR="00535475" w:rsidRPr="00643DCF">
        <w:rPr>
          <w:sz w:val="28"/>
          <w:szCs w:val="28"/>
        </w:rPr>
        <w:t xml:space="preserve"> difusión, así como la realización de foros con los actores del sistema, donde se inform</w:t>
      </w:r>
      <w:r w:rsidR="004C5E82" w:rsidRPr="00643DCF">
        <w:rPr>
          <w:sz w:val="28"/>
          <w:szCs w:val="28"/>
        </w:rPr>
        <w:t>ara</w:t>
      </w:r>
      <w:r w:rsidR="00535475" w:rsidRPr="00643DCF">
        <w:rPr>
          <w:sz w:val="28"/>
          <w:szCs w:val="28"/>
        </w:rPr>
        <w:t xml:space="preserve"> sobre </w:t>
      </w:r>
      <w:r w:rsidR="00860DDA" w:rsidRPr="00643DCF">
        <w:rPr>
          <w:sz w:val="28"/>
          <w:szCs w:val="28"/>
        </w:rPr>
        <w:t>la observancia del mencionado fallo</w:t>
      </w:r>
      <w:r w:rsidR="00535475" w:rsidRPr="00643DCF">
        <w:rPr>
          <w:sz w:val="28"/>
          <w:szCs w:val="28"/>
        </w:rPr>
        <w:t xml:space="preserve"> y</w:t>
      </w:r>
      <w:r w:rsidR="00860DDA" w:rsidRPr="00643DCF">
        <w:rPr>
          <w:sz w:val="28"/>
          <w:szCs w:val="28"/>
        </w:rPr>
        <w:t xml:space="preserve"> de</w:t>
      </w:r>
      <w:r w:rsidR="00535475" w:rsidRPr="00643DCF">
        <w:rPr>
          <w:sz w:val="28"/>
          <w:szCs w:val="28"/>
        </w:rPr>
        <w:t xml:space="preserve"> los autos de seguimiento</w:t>
      </w:r>
      <w:r w:rsidR="00535475" w:rsidRPr="00643DCF">
        <w:rPr>
          <w:rStyle w:val="Refdenotaalpie"/>
          <w:sz w:val="28"/>
          <w:szCs w:val="28"/>
        </w:rPr>
        <w:footnoteReference w:id="19"/>
      </w:r>
      <w:r w:rsidR="00535475" w:rsidRPr="00643DCF">
        <w:rPr>
          <w:sz w:val="28"/>
          <w:szCs w:val="28"/>
        </w:rPr>
        <w:t>.</w:t>
      </w:r>
    </w:p>
    <w:p w14:paraId="2F1EDC43" w14:textId="77777777" w:rsidR="00535475" w:rsidRPr="00643DCF" w:rsidRDefault="00535475" w:rsidP="00F45B14">
      <w:pPr>
        <w:ind w:left="284"/>
        <w:jc w:val="both"/>
        <w:rPr>
          <w:sz w:val="28"/>
          <w:szCs w:val="28"/>
        </w:rPr>
      </w:pPr>
    </w:p>
    <w:p w14:paraId="4DF4D50C" w14:textId="23A470CB" w:rsidR="00535475" w:rsidRPr="00643DCF" w:rsidRDefault="00535475" w:rsidP="00F45B14">
      <w:pPr>
        <w:ind w:left="284"/>
        <w:jc w:val="both"/>
        <w:rPr>
          <w:sz w:val="28"/>
          <w:szCs w:val="28"/>
        </w:rPr>
      </w:pPr>
      <w:r w:rsidRPr="00643DCF">
        <w:rPr>
          <w:sz w:val="28"/>
          <w:szCs w:val="28"/>
        </w:rPr>
        <w:t xml:space="preserve">- </w:t>
      </w:r>
      <w:r w:rsidR="00F2165E" w:rsidRPr="00643DCF">
        <w:rPr>
          <w:sz w:val="28"/>
          <w:szCs w:val="28"/>
        </w:rPr>
        <w:t>L</w:t>
      </w:r>
      <w:r w:rsidR="002E1EB4" w:rsidRPr="00643DCF">
        <w:rPr>
          <w:sz w:val="28"/>
          <w:szCs w:val="28"/>
        </w:rPr>
        <w:t xml:space="preserve">a </w:t>
      </w:r>
      <w:r w:rsidRPr="00643DCF">
        <w:rPr>
          <w:sz w:val="28"/>
          <w:szCs w:val="28"/>
        </w:rPr>
        <w:t>EPS indígena</w:t>
      </w:r>
      <w:r w:rsidR="00D05B59" w:rsidRPr="00643DCF">
        <w:rPr>
          <w:sz w:val="28"/>
          <w:szCs w:val="28"/>
        </w:rPr>
        <w:t xml:space="preserve"> Mallamas</w:t>
      </w:r>
      <w:r w:rsidR="00FD6474" w:rsidRPr="00643DCF">
        <w:rPr>
          <w:sz w:val="28"/>
          <w:szCs w:val="28"/>
        </w:rPr>
        <w:t xml:space="preserve"> </w:t>
      </w:r>
      <w:r w:rsidRPr="00643DCF">
        <w:rPr>
          <w:sz w:val="28"/>
          <w:szCs w:val="28"/>
        </w:rPr>
        <w:t>manifestó que el contenido de la sentencia podría divulgarse a través de foros temáticos por intermedio del SENA y en salas virtuales</w:t>
      </w:r>
      <w:r w:rsidR="00DE0E61" w:rsidRPr="00643DCF">
        <w:rPr>
          <w:sz w:val="28"/>
          <w:szCs w:val="28"/>
        </w:rPr>
        <w:t>,</w:t>
      </w:r>
      <w:r w:rsidRPr="00643DCF">
        <w:rPr>
          <w:sz w:val="28"/>
          <w:szCs w:val="28"/>
        </w:rPr>
        <w:t xml:space="preserve"> dirigida</w:t>
      </w:r>
      <w:r w:rsidR="004C5E82" w:rsidRPr="00643DCF">
        <w:rPr>
          <w:sz w:val="28"/>
          <w:szCs w:val="28"/>
        </w:rPr>
        <w:t>s</w:t>
      </w:r>
      <w:r w:rsidRPr="00643DCF">
        <w:rPr>
          <w:sz w:val="28"/>
          <w:szCs w:val="28"/>
        </w:rPr>
        <w:t xml:space="preserve"> a los directores locales de salud, personerías, gerentes de las EPS, IPS y </w:t>
      </w:r>
      <w:r w:rsidR="002E1EB4" w:rsidRPr="00643DCF">
        <w:rPr>
          <w:sz w:val="28"/>
          <w:szCs w:val="28"/>
        </w:rPr>
        <w:t xml:space="preserve">de </w:t>
      </w:r>
      <w:r w:rsidRPr="00643DCF">
        <w:rPr>
          <w:sz w:val="28"/>
          <w:szCs w:val="28"/>
        </w:rPr>
        <w:t xml:space="preserve">las ESE, y a los entes territoriales, </w:t>
      </w:r>
      <w:r w:rsidR="00F95283" w:rsidRPr="00643DCF">
        <w:rPr>
          <w:sz w:val="28"/>
          <w:szCs w:val="28"/>
        </w:rPr>
        <w:t>a quienes se les delegaría</w:t>
      </w:r>
      <w:r w:rsidRPr="00643DCF">
        <w:rPr>
          <w:sz w:val="28"/>
          <w:szCs w:val="28"/>
        </w:rPr>
        <w:t xml:space="preserve"> la responsabilidad de transmitirle el contenido de</w:t>
      </w:r>
      <w:r w:rsidR="008A0872" w:rsidRPr="00643DCF">
        <w:rPr>
          <w:sz w:val="28"/>
          <w:szCs w:val="28"/>
        </w:rPr>
        <w:t>l</w:t>
      </w:r>
      <w:r w:rsidRPr="00643DCF">
        <w:rPr>
          <w:sz w:val="28"/>
          <w:szCs w:val="28"/>
        </w:rPr>
        <w:t xml:space="preserve"> fallo a la comunidad en general</w:t>
      </w:r>
      <w:r w:rsidRPr="00643DCF">
        <w:rPr>
          <w:rStyle w:val="Refdenotaalpie"/>
          <w:sz w:val="28"/>
          <w:szCs w:val="28"/>
        </w:rPr>
        <w:footnoteReference w:id="20"/>
      </w:r>
      <w:r w:rsidRPr="00643DCF">
        <w:rPr>
          <w:sz w:val="28"/>
          <w:szCs w:val="28"/>
        </w:rPr>
        <w:t>.</w:t>
      </w:r>
    </w:p>
    <w:p w14:paraId="449E1DFA" w14:textId="77777777" w:rsidR="00535475" w:rsidRPr="00643DCF" w:rsidRDefault="00535475" w:rsidP="00F45B14">
      <w:pPr>
        <w:ind w:left="284"/>
        <w:jc w:val="both"/>
        <w:rPr>
          <w:b/>
          <w:sz w:val="28"/>
          <w:szCs w:val="28"/>
        </w:rPr>
      </w:pPr>
    </w:p>
    <w:p w14:paraId="00F0D9E3" w14:textId="7673F10F" w:rsidR="00535475" w:rsidRPr="00643DCF" w:rsidRDefault="00535475" w:rsidP="00F45B14">
      <w:pPr>
        <w:widowControl w:val="0"/>
        <w:tabs>
          <w:tab w:val="left" w:pos="426"/>
        </w:tabs>
        <w:autoSpaceDE w:val="0"/>
        <w:autoSpaceDN w:val="0"/>
        <w:adjustRightInd w:val="0"/>
        <w:ind w:left="284"/>
        <w:jc w:val="both"/>
        <w:rPr>
          <w:sz w:val="28"/>
          <w:szCs w:val="28"/>
        </w:rPr>
      </w:pPr>
      <w:r w:rsidRPr="00643DCF">
        <w:rPr>
          <w:b/>
          <w:sz w:val="28"/>
          <w:szCs w:val="28"/>
        </w:rPr>
        <w:t xml:space="preserve">- </w:t>
      </w:r>
      <w:r w:rsidR="001F3BA3" w:rsidRPr="00643DCF">
        <w:rPr>
          <w:sz w:val="28"/>
          <w:szCs w:val="28"/>
        </w:rPr>
        <w:t>L</w:t>
      </w:r>
      <w:r w:rsidR="002E1EB4" w:rsidRPr="00643DCF">
        <w:rPr>
          <w:sz w:val="28"/>
          <w:szCs w:val="28"/>
        </w:rPr>
        <w:t xml:space="preserve">a </w:t>
      </w:r>
      <w:r w:rsidR="00081DDA" w:rsidRPr="00643DCF">
        <w:rPr>
          <w:sz w:val="28"/>
          <w:szCs w:val="28"/>
        </w:rPr>
        <w:t>C</w:t>
      </w:r>
      <w:r w:rsidRPr="00643DCF">
        <w:rPr>
          <w:sz w:val="28"/>
          <w:szCs w:val="28"/>
        </w:rPr>
        <w:t xml:space="preserve">orporación Viva la Ciudadanía recomendó para la difusión del contenido de la sentencia que: </w:t>
      </w:r>
      <w:r w:rsidR="006003DC" w:rsidRPr="00643DCF">
        <w:rPr>
          <w:i/>
          <w:sz w:val="28"/>
          <w:szCs w:val="28"/>
        </w:rPr>
        <w:t>(</w:t>
      </w:r>
      <w:r w:rsidRPr="00643DCF">
        <w:rPr>
          <w:i/>
          <w:sz w:val="28"/>
          <w:szCs w:val="28"/>
        </w:rPr>
        <w:t>i)</w:t>
      </w:r>
      <w:r w:rsidRPr="00643DCF">
        <w:rPr>
          <w:sz w:val="28"/>
          <w:szCs w:val="28"/>
        </w:rPr>
        <w:t xml:space="preserve"> la Corte utilice los espacios institucionales, como la televisión, la radio y los medios impresos, formales e informales, </w:t>
      </w:r>
      <w:r w:rsidR="001F3BA3" w:rsidRPr="00643DCF">
        <w:rPr>
          <w:sz w:val="28"/>
          <w:szCs w:val="28"/>
        </w:rPr>
        <w:t xml:space="preserve">y así </w:t>
      </w:r>
      <w:r w:rsidRPr="00643DCF">
        <w:rPr>
          <w:sz w:val="28"/>
          <w:szCs w:val="28"/>
        </w:rPr>
        <w:t>mantener orientada a la opinión pública</w:t>
      </w:r>
      <w:r w:rsidR="005472B5" w:rsidRPr="00643DCF">
        <w:rPr>
          <w:sz w:val="28"/>
          <w:szCs w:val="28"/>
        </w:rPr>
        <w:t>;</w:t>
      </w:r>
      <w:r w:rsidRPr="00643DCF">
        <w:rPr>
          <w:sz w:val="28"/>
          <w:szCs w:val="28"/>
        </w:rPr>
        <w:t xml:space="preserve"> </w:t>
      </w:r>
      <w:r w:rsidR="006003DC" w:rsidRPr="00643DCF">
        <w:rPr>
          <w:i/>
          <w:sz w:val="28"/>
          <w:szCs w:val="28"/>
        </w:rPr>
        <w:t>(</w:t>
      </w:r>
      <w:r w:rsidRPr="00643DCF">
        <w:rPr>
          <w:i/>
          <w:sz w:val="28"/>
          <w:szCs w:val="28"/>
        </w:rPr>
        <w:t xml:space="preserve">ii) </w:t>
      </w:r>
      <w:r w:rsidRPr="00643DCF">
        <w:rPr>
          <w:sz w:val="28"/>
          <w:szCs w:val="28"/>
        </w:rPr>
        <w:t>la Defensoría del Pueblo desarrolle de manera autónoma un programa pedagógico</w:t>
      </w:r>
      <w:r w:rsidR="005472B5" w:rsidRPr="00643DCF">
        <w:rPr>
          <w:i/>
          <w:sz w:val="28"/>
          <w:szCs w:val="28"/>
        </w:rPr>
        <w:t xml:space="preserve">; </w:t>
      </w:r>
      <w:r w:rsidR="006003DC" w:rsidRPr="00643DCF">
        <w:rPr>
          <w:i/>
          <w:sz w:val="28"/>
          <w:szCs w:val="28"/>
        </w:rPr>
        <w:t>(</w:t>
      </w:r>
      <w:r w:rsidRPr="00643DCF">
        <w:rPr>
          <w:i/>
          <w:sz w:val="28"/>
          <w:szCs w:val="28"/>
        </w:rPr>
        <w:t>iii)</w:t>
      </w:r>
      <w:r w:rsidRPr="00643DCF">
        <w:rPr>
          <w:sz w:val="28"/>
          <w:szCs w:val="28"/>
        </w:rPr>
        <w:t xml:space="preserve"> las facultades de medicina desplieguen un sistema de formación básica sobre los contenidos de la sentencia, haciéndolo extensibles a todas las instituciones que forman a los trabajadores del sector </w:t>
      </w:r>
      <w:r w:rsidR="00C716C9" w:rsidRPr="00643DCF">
        <w:rPr>
          <w:sz w:val="28"/>
          <w:szCs w:val="28"/>
        </w:rPr>
        <w:t>de la salud en sus diferentes áreas</w:t>
      </w:r>
      <w:r w:rsidRPr="00643DCF">
        <w:rPr>
          <w:sz w:val="28"/>
          <w:szCs w:val="28"/>
        </w:rPr>
        <w:t xml:space="preserve"> y niveles de especialización y</w:t>
      </w:r>
      <w:r w:rsidR="006E3914" w:rsidRPr="00643DCF">
        <w:rPr>
          <w:sz w:val="28"/>
          <w:szCs w:val="28"/>
        </w:rPr>
        <w:t>,</w:t>
      </w:r>
      <w:r w:rsidRPr="00643DCF">
        <w:rPr>
          <w:sz w:val="28"/>
          <w:szCs w:val="28"/>
        </w:rPr>
        <w:t xml:space="preserve"> </w:t>
      </w:r>
      <w:r w:rsidR="006003DC" w:rsidRPr="00643DCF">
        <w:rPr>
          <w:i/>
          <w:sz w:val="28"/>
          <w:szCs w:val="28"/>
        </w:rPr>
        <w:t>(</w:t>
      </w:r>
      <w:r w:rsidRPr="00643DCF">
        <w:rPr>
          <w:i/>
          <w:sz w:val="28"/>
          <w:szCs w:val="28"/>
        </w:rPr>
        <w:t>iv)</w:t>
      </w:r>
      <w:r w:rsidRPr="00643DCF">
        <w:rPr>
          <w:sz w:val="28"/>
          <w:szCs w:val="28"/>
        </w:rPr>
        <w:t xml:space="preserve"> </w:t>
      </w:r>
      <w:r w:rsidR="007E1256" w:rsidRPr="00643DCF">
        <w:rPr>
          <w:sz w:val="28"/>
          <w:szCs w:val="28"/>
        </w:rPr>
        <w:t>l</w:t>
      </w:r>
      <w:r w:rsidRPr="00643DCF">
        <w:rPr>
          <w:sz w:val="28"/>
          <w:szCs w:val="28"/>
        </w:rPr>
        <w:t xml:space="preserve">a Corte convoque a las facultades de comunicación social </w:t>
      </w:r>
      <w:r w:rsidR="001F3BA3" w:rsidRPr="00643DCF">
        <w:rPr>
          <w:sz w:val="28"/>
          <w:szCs w:val="28"/>
        </w:rPr>
        <w:t xml:space="preserve">con el objeto </w:t>
      </w:r>
      <w:r w:rsidRPr="00643DCF">
        <w:rPr>
          <w:sz w:val="28"/>
          <w:szCs w:val="28"/>
        </w:rPr>
        <w:t>que presenten propuestas pedagógicas de divulgación masiva, abriéndoles la posibilidad de que accedan a espacios públicos gratuitos de propiedad del Estado en radio y en televisión</w:t>
      </w:r>
      <w:r w:rsidRPr="00643DCF">
        <w:rPr>
          <w:rStyle w:val="Refdenotaalpie"/>
          <w:sz w:val="28"/>
          <w:szCs w:val="28"/>
        </w:rPr>
        <w:footnoteReference w:id="21"/>
      </w:r>
      <w:r w:rsidRPr="00643DCF">
        <w:rPr>
          <w:sz w:val="28"/>
          <w:szCs w:val="28"/>
        </w:rPr>
        <w:t>.</w:t>
      </w:r>
    </w:p>
    <w:p w14:paraId="32E399AE" w14:textId="77777777" w:rsidR="00535475" w:rsidRPr="00643DCF" w:rsidRDefault="00535475" w:rsidP="00535475">
      <w:pPr>
        <w:ind w:left="567"/>
        <w:jc w:val="both"/>
        <w:rPr>
          <w:sz w:val="28"/>
          <w:szCs w:val="28"/>
        </w:rPr>
      </w:pPr>
    </w:p>
    <w:p w14:paraId="608B753D" w14:textId="6FEE1F8D" w:rsidR="00535475" w:rsidRPr="00643DCF" w:rsidRDefault="00535475" w:rsidP="00F45B14">
      <w:pPr>
        <w:ind w:left="284"/>
        <w:jc w:val="both"/>
        <w:rPr>
          <w:sz w:val="28"/>
          <w:szCs w:val="28"/>
        </w:rPr>
      </w:pPr>
      <w:r w:rsidRPr="00643DCF">
        <w:rPr>
          <w:sz w:val="28"/>
          <w:szCs w:val="28"/>
        </w:rPr>
        <w:lastRenderedPageBreak/>
        <w:t xml:space="preserve">- </w:t>
      </w:r>
      <w:r w:rsidR="001F3BA3" w:rsidRPr="00643DCF">
        <w:rPr>
          <w:sz w:val="28"/>
          <w:szCs w:val="28"/>
        </w:rPr>
        <w:t>L</w:t>
      </w:r>
      <w:r w:rsidR="002E1EB4" w:rsidRPr="00643DCF">
        <w:rPr>
          <w:sz w:val="28"/>
          <w:szCs w:val="28"/>
        </w:rPr>
        <w:t xml:space="preserve">a </w:t>
      </w:r>
      <w:r w:rsidRPr="00643DCF">
        <w:rPr>
          <w:sz w:val="28"/>
          <w:szCs w:val="28"/>
        </w:rPr>
        <w:t>Universidad de Nariño indicó que debía</w:t>
      </w:r>
      <w:r w:rsidRPr="00643DCF">
        <w:rPr>
          <w:b/>
          <w:sz w:val="28"/>
          <w:szCs w:val="28"/>
        </w:rPr>
        <w:t xml:space="preserve"> </w:t>
      </w:r>
      <w:r w:rsidRPr="00643DCF">
        <w:rPr>
          <w:sz w:val="28"/>
          <w:szCs w:val="28"/>
        </w:rPr>
        <w:t>realizarse una encuesta a los diversos actores del sistema, con el objeto de verificar inicialmente el nivel de conocimiento de la sentencia y las acciones adelantadas</w:t>
      </w:r>
      <w:r w:rsidRPr="00643DCF">
        <w:rPr>
          <w:rStyle w:val="Refdenotaalpie"/>
          <w:sz w:val="28"/>
          <w:szCs w:val="28"/>
        </w:rPr>
        <w:footnoteReference w:id="22"/>
      </w:r>
      <w:r w:rsidRPr="00643DCF">
        <w:rPr>
          <w:sz w:val="28"/>
          <w:szCs w:val="28"/>
        </w:rPr>
        <w:t>.</w:t>
      </w:r>
    </w:p>
    <w:p w14:paraId="611D8002" w14:textId="77777777" w:rsidR="00535475" w:rsidRPr="00643DCF" w:rsidRDefault="00535475" w:rsidP="00F45B14">
      <w:pPr>
        <w:ind w:left="284"/>
        <w:jc w:val="both"/>
        <w:rPr>
          <w:b/>
          <w:sz w:val="28"/>
          <w:szCs w:val="28"/>
        </w:rPr>
      </w:pPr>
    </w:p>
    <w:p w14:paraId="43C4C2F7" w14:textId="279DA6F9" w:rsidR="00535475" w:rsidRPr="00643DCF" w:rsidRDefault="00535475" w:rsidP="00F45B14">
      <w:pPr>
        <w:ind w:left="284"/>
        <w:jc w:val="both"/>
        <w:rPr>
          <w:sz w:val="28"/>
          <w:szCs w:val="28"/>
        </w:rPr>
      </w:pPr>
      <w:r w:rsidRPr="00643DCF">
        <w:rPr>
          <w:sz w:val="28"/>
          <w:szCs w:val="28"/>
        </w:rPr>
        <w:t>- A</w:t>
      </w:r>
      <w:r w:rsidR="00FF6E7D" w:rsidRPr="00643DCF">
        <w:rPr>
          <w:sz w:val="28"/>
          <w:szCs w:val="28"/>
        </w:rPr>
        <w:t>cemi</w:t>
      </w:r>
      <w:r w:rsidR="00DD5F0A" w:rsidRPr="00643DCF">
        <w:rPr>
          <w:rStyle w:val="Refdenotaalpie"/>
          <w:sz w:val="28"/>
          <w:szCs w:val="28"/>
        </w:rPr>
        <w:footnoteReference w:id="23"/>
      </w:r>
      <w:r w:rsidRPr="00643DCF">
        <w:rPr>
          <w:sz w:val="28"/>
          <w:szCs w:val="28"/>
        </w:rPr>
        <w:t xml:space="preserve"> recomendó ampliar la difusión de la sentencia </w:t>
      </w:r>
      <w:r w:rsidR="001F3BA3" w:rsidRPr="00643DCF">
        <w:rPr>
          <w:sz w:val="28"/>
          <w:szCs w:val="28"/>
        </w:rPr>
        <w:t>de la siguiente forma</w:t>
      </w:r>
      <w:r w:rsidRPr="00643DCF">
        <w:rPr>
          <w:sz w:val="28"/>
          <w:szCs w:val="28"/>
        </w:rPr>
        <w:t xml:space="preserve">: </w:t>
      </w:r>
      <w:r w:rsidR="006003DC" w:rsidRPr="00643DCF">
        <w:rPr>
          <w:i/>
          <w:sz w:val="28"/>
          <w:szCs w:val="28"/>
        </w:rPr>
        <w:t>(</w:t>
      </w:r>
      <w:r w:rsidRPr="00643DCF">
        <w:rPr>
          <w:i/>
          <w:sz w:val="28"/>
          <w:szCs w:val="28"/>
        </w:rPr>
        <w:t>i)</w:t>
      </w:r>
      <w:r w:rsidRPr="00643DCF">
        <w:rPr>
          <w:sz w:val="28"/>
          <w:szCs w:val="28"/>
        </w:rPr>
        <w:t xml:space="preserve"> desarrollar estrategias de comunicación para apoyar el proceso de participación de un grupo más amplio de actores y usar la </w:t>
      </w:r>
      <w:r w:rsidR="00DE0E61" w:rsidRPr="00643DCF">
        <w:rPr>
          <w:sz w:val="28"/>
          <w:szCs w:val="28"/>
        </w:rPr>
        <w:t>i</w:t>
      </w:r>
      <w:r w:rsidRPr="00643DCF">
        <w:rPr>
          <w:sz w:val="28"/>
          <w:szCs w:val="28"/>
        </w:rPr>
        <w:t>nternet</w:t>
      </w:r>
      <w:r w:rsidR="006E1C55" w:rsidRPr="00643DCF">
        <w:rPr>
          <w:sz w:val="28"/>
          <w:szCs w:val="28"/>
        </w:rPr>
        <w:t>;</w:t>
      </w:r>
      <w:r w:rsidRPr="00643DCF">
        <w:rPr>
          <w:sz w:val="28"/>
          <w:szCs w:val="28"/>
        </w:rPr>
        <w:t xml:space="preserve"> </w:t>
      </w:r>
      <w:r w:rsidR="006003DC" w:rsidRPr="00643DCF">
        <w:rPr>
          <w:i/>
          <w:sz w:val="28"/>
          <w:szCs w:val="28"/>
        </w:rPr>
        <w:t>(</w:t>
      </w:r>
      <w:r w:rsidRPr="00643DCF">
        <w:rPr>
          <w:i/>
          <w:sz w:val="28"/>
          <w:szCs w:val="28"/>
        </w:rPr>
        <w:t>ii)</w:t>
      </w:r>
      <w:r w:rsidRPr="00643DCF">
        <w:rPr>
          <w:sz w:val="28"/>
          <w:szCs w:val="28"/>
        </w:rPr>
        <w:t xml:space="preserve"> </w:t>
      </w:r>
      <w:r w:rsidR="004C5E82" w:rsidRPr="00643DCF">
        <w:rPr>
          <w:sz w:val="28"/>
          <w:szCs w:val="28"/>
        </w:rPr>
        <w:t xml:space="preserve">garantizar </w:t>
      </w:r>
      <w:r w:rsidR="006E3914" w:rsidRPr="00643DCF">
        <w:rPr>
          <w:sz w:val="28"/>
          <w:szCs w:val="28"/>
        </w:rPr>
        <w:t>el acceso no so</w:t>
      </w:r>
      <w:r w:rsidRPr="00643DCF">
        <w:rPr>
          <w:sz w:val="28"/>
          <w:szCs w:val="28"/>
        </w:rPr>
        <w:t>lo al contenido de la sentencia sino a todos los documentos, ya sean administrativos, legislativos, de investigación y de información de todo el sistema de salud y</w:t>
      </w:r>
      <w:r w:rsidR="006E3914" w:rsidRPr="00643DCF">
        <w:rPr>
          <w:sz w:val="28"/>
          <w:szCs w:val="28"/>
        </w:rPr>
        <w:t>,</w:t>
      </w:r>
      <w:r w:rsidRPr="00643DCF">
        <w:rPr>
          <w:sz w:val="28"/>
          <w:szCs w:val="28"/>
        </w:rPr>
        <w:t xml:space="preserve"> </w:t>
      </w:r>
      <w:r w:rsidR="006003DC" w:rsidRPr="00643DCF">
        <w:rPr>
          <w:i/>
          <w:sz w:val="28"/>
          <w:szCs w:val="28"/>
        </w:rPr>
        <w:t>(</w:t>
      </w:r>
      <w:r w:rsidRPr="00643DCF">
        <w:rPr>
          <w:i/>
          <w:sz w:val="28"/>
          <w:szCs w:val="28"/>
        </w:rPr>
        <w:t>iii)</w:t>
      </w:r>
      <w:r w:rsidRPr="00643DCF">
        <w:rPr>
          <w:sz w:val="28"/>
          <w:szCs w:val="28"/>
        </w:rPr>
        <w:t xml:space="preserve"> que los colegios y universidades implementaran dentro de las clases </w:t>
      </w:r>
      <w:r w:rsidR="005472B5" w:rsidRPr="00643DCF">
        <w:rPr>
          <w:sz w:val="28"/>
          <w:szCs w:val="28"/>
        </w:rPr>
        <w:t>la divulgación</w:t>
      </w:r>
      <w:r w:rsidRPr="00643DCF">
        <w:rPr>
          <w:sz w:val="28"/>
          <w:szCs w:val="28"/>
        </w:rPr>
        <w:t xml:space="preserve"> de la sentencia, de tal manera que su conocimiento llegue a los jóvenes del país, aclarando que el esfuerzo fundamental debe hacerse en la educación básica primaria</w:t>
      </w:r>
      <w:r w:rsidR="005472B5" w:rsidRPr="00643DCF">
        <w:rPr>
          <w:sz w:val="28"/>
          <w:szCs w:val="28"/>
        </w:rPr>
        <w:t xml:space="preserve"> </w:t>
      </w:r>
      <w:r w:rsidRPr="00643DCF">
        <w:rPr>
          <w:sz w:val="28"/>
          <w:szCs w:val="28"/>
        </w:rPr>
        <w:t>que por su carácter gratuito y obligatorio tiene una mayor cobertura</w:t>
      </w:r>
      <w:r w:rsidRPr="00643DCF">
        <w:rPr>
          <w:rStyle w:val="Refdenotaalpie"/>
          <w:sz w:val="28"/>
          <w:szCs w:val="28"/>
        </w:rPr>
        <w:footnoteReference w:id="24"/>
      </w:r>
      <w:r w:rsidRPr="00643DCF">
        <w:rPr>
          <w:sz w:val="28"/>
          <w:szCs w:val="28"/>
        </w:rPr>
        <w:t>.</w:t>
      </w:r>
    </w:p>
    <w:p w14:paraId="6E784955" w14:textId="77777777" w:rsidR="00535475" w:rsidRPr="00643DCF" w:rsidRDefault="00535475" w:rsidP="00F45B14">
      <w:pPr>
        <w:ind w:left="284"/>
        <w:jc w:val="both"/>
        <w:rPr>
          <w:sz w:val="28"/>
          <w:szCs w:val="28"/>
        </w:rPr>
      </w:pPr>
    </w:p>
    <w:p w14:paraId="17A22649" w14:textId="5CE2D761" w:rsidR="00535475" w:rsidRPr="00643DCF" w:rsidRDefault="00535475" w:rsidP="00F45B14">
      <w:pPr>
        <w:ind w:left="284"/>
        <w:jc w:val="both"/>
        <w:rPr>
          <w:sz w:val="28"/>
          <w:szCs w:val="28"/>
        </w:rPr>
      </w:pPr>
      <w:r w:rsidRPr="00643DCF">
        <w:rPr>
          <w:sz w:val="28"/>
          <w:szCs w:val="28"/>
        </w:rPr>
        <w:t xml:space="preserve">- </w:t>
      </w:r>
      <w:r w:rsidR="001F3BA3" w:rsidRPr="00643DCF">
        <w:rPr>
          <w:sz w:val="28"/>
          <w:szCs w:val="28"/>
        </w:rPr>
        <w:t>L</w:t>
      </w:r>
      <w:r w:rsidRPr="00643DCF">
        <w:rPr>
          <w:sz w:val="28"/>
          <w:szCs w:val="28"/>
        </w:rPr>
        <w:t>a Universidad de los Andes</w:t>
      </w:r>
      <w:r w:rsidRPr="00643DCF">
        <w:rPr>
          <w:b/>
          <w:sz w:val="28"/>
          <w:szCs w:val="28"/>
        </w:rPr>
        <w:t xml:space="preserve"> </w:t>
      </w:r>
      <w:r w:rsidRPr="00643DCF">
        <w:rPr>
          <w:sz w:val="28"/>
          <w:szCs w:val="28"/>
        </w:rPr>
        <w:t>realizó un análisis respecto del informe presentado por el Consejo Superior de la Judicatura, así como un estudio sobre el conocimiento que tienen los jueces en cuanto a la sentencia</w:t>
      </w:r>
      <w:r w:rsidRPr="00643DCF">
        <w:rPr>
          <w:rStyle w:val="Refdenotaalpie"/>
          <w:sz w:val="28"/>
          <w:szCs w:val="28"/>
        </w:rPr>
        <w:footnoteReference w:id="25"/>
      </w:r>
      <w:r w:rsidRPr="00643DCF">
        <w:rPr>
          <w:sz w:val="28"/>
          <w:szCs w:val="28"/>
        </w:rPr>
        <w:t>.</w:t>
      </w:r>
      <w:r w:rsidR="002E1EB4" w:rsidRPr="00643DCF">
        <w:rPr>
          <w:sz w:val="28"/>
          <w:szCs w:val="28"/>
        </w:rPr>
        <w:t xml:space="preserve"> </w:t>
      </w:r>
      <w:r w:rsidR="00311A27" w:rsidRPr="00643DCF">
        <w:rPr>
          <w:sz w:val="28"/>
          <w:szCs w:val="28"/>
        </w:rPr>
        <w:t xml:space="preserve">En dicho </w:t>
      </w:r>
      <w:r w:rsidR="004C5E82" w:rsidRPr="00643DCF">
        <w:rPr>
          <w:sz w:val="28"/>
          <w:szCs w:val="28"/>
        </w:rPr>
        <w:t>documento</w:t>
      </w:r>
      <w:r w:rsidR="00F21C1E" w:rsidRPr="00643DCF">
        <w:rPr>
          <w:sz w:val="28"/>
          <w:szCs w:val="28"/>
        </w:rPr>
        <w:t xml:space="preserve"> </w:t>
      </w:r>
      <w:r w:rsidR="00311A27" w:rsidRPr="00643DCF">
        <w:rPr>
          <w:sz w:val="28"/>
          <w:szCs w:val="28"/>
        </w:rPr>
        <w:t xml:space="preserve">hizo claridad sobre la finalidad de la orden </w:t>
      </w:r>
      <w:r w:rsidR="00BE225C" w:rsidRPr="00643DCF">
        <w:rPr>
          <w:sz w:val="28"/>
          <w:szCs w:val="28"/>
        </w:rPr>
        <w:t>trigésima</w:t>
      </w:r>
      <w:r w:rsidR="00311A27" w:rsidRPr="00643DCF">
        <w:rPr>
          <w:sz w:val="28"/>
          <w:szCs w:val="28"/>
        </w:rPr>
        <w:t xml:space="preserve"> segunda, la cual debería</w:t>
      </w:r>
      <w:r w:rsidR="00B2794D" w:rsidRPr="00643DCF">
        <w:rPr>
          <w:sz w:val="28"/>
          <w:szCs w:val="28"/>
        </w:rPr>
        <w:t xml:space="preserve"> estar</w:t>
      </w:r>
      <w:r w:rsidR="00311A27" w:rsidRPr="00643DCF">
        <w:rPr>
          <w:sz w:val="28"/>
          <w:szCs w:val="28"/>
        </w:rPr>
        <w:t xml:space="preserve"> supedita</w:t>
      </w:r>
      <w:r w:rsidR="005472B5" w:rsidRPr="00643DCF">
        <w:rPr>
          <w:sz w:val="28"/>
          <w:szCs w:val="28"/>
        </w:rPr>
        <w:t>da</w:t>
      </w:r>
      <w:r w:rsidR="00311A27" w:rsidRPr="00643DCF">
        <w:rPr>
          <w:sz w:val="28"/>
          <w:szCs w:val="28"/>
        </w:rPr>
        <w:t xml:space="preserve"> a la labor de seguimiento adelantada por la Sala</w:t>
      </w:r>
      <w:r w:rsidR="00B2794D" w:rsidRPr="00643DCF">
        <w:rPr>
          <w:sz w:val="28"/>
          <w:szCs w:val="28"/>
        </w:rPr>
        <w:t>; a</w:t>
      </w:r>
      <w:r w:rsidR="00311A27" w:rsidRPr="00643DCF">
        <w:rPr>
          <w:sz w:val="28"/>
          <w:szCs w:val="28"/>
        </w:rPr>
        <w:t>sí mismo aclaró que el proceso establecido en la orden no se limitaba</w:t>
      </w:r>
      <w:r w:rsidR="004139EE" w:rsidRPr="00643DCF">
        <w:rPr>
          <w:sz w:val="28"/>
          <w:szCs w:val="28"/>
        </w:rPr>
        <w:t xml:space="preserve"> </w:t>
      </w:r>
      <w:r w:rsidR="00311A27" w:rsidRPr="00643DCF">
        <w:rPr>
          <w:sz w:val="28"/>
          <w:szCs w:val="28"/>
        </w:rPr>
        <w:t>a la labor de divulgación, sino que debería</w:t>
      </w:r>
      <w:r w:rsidR="004139EE" w:rsidRPr="00643DCF">
        <w:rPr>
          <w:sz w:val="28"/>
          <w:szCs w:val="28"/>
        </w:rPr>
        <w:t xml:space="preserve"> ser</w:t>
      </w:r>
      <w:r w:rsidR="00311A27" w:rsidRPr="00643DCF">
        <w:rPr>
          <w:sz w:val="28"/>
          <w:szCs w:val="28"/>
        </w:rPr>
        <w:t xml:space="preserve"> enfoca</w:t>
      </w:r>
      <w:r w:rsidR="004139EE" w:rsidRPr="00643DCF">
        <w:rPr>
          <w:sz w:val="28"/>
          <w:szCs w:val="28"/>
        </w:rPr>
        <w:t>do</w:t>
      </w:r>
      <w:r w:rsidR="00311A27" w:rsidRPr="00643DCF">
        <w:rPr>
          <w:sz w:val="28"/>
          <w:szCs w:val="28"/>
        </w:rPr>
        <w:t xml:space="preserve"> en la formación</w:t>
      </w:r>
      <w:r w:rsidR="004139EE" w:rsidRPr="00643DCF">
        <w:rPr>
          <w:sz w:val="28"/>
          <w:szCs w:val="28"/>
        </w:rPr>
        <w:t xml:space="preserve"> </w:t>
      </w:r>
      <w:r w:rsidR="00311A27" w:rsidRPr="00643DCF">
        <w:rPr>
          <w:sz w:val="28"/>
          <w:szCs w:val="28"/>
        </w:rPr>
        <w:t>de los funcionarios de la Rama Judicial</w:t>
      </w:r>
      <w:r w:rsidR="004139EE" w:rsidRPr="00643DCF">
        <w:rPr>
          <w:sz w:val="28"/>
          <w:szCs w:val="28"/>
        </w:rPr>
        <w:t xml:space="preserve">. </w:t>
      </w:r>
    </w:p>
    <w:p w14:paraId="42A38148" w14:textId="77777777" w:rsidR="00690965" w:rsidRPr="00643DCF" w:rsidRDefault="00690965" w:rsidP="00535475">
      <w:pPr>
        <w:widowControl w:val="0"/>
        <w:tabs>
          <w:tab w:val="left" w:pos="426"/>
        </w:tabs>
        <w:autoSpaceDE w:val="0"/>
        <w:autoSpaceDN w:val="0"/>
        <w:adjustRightInd w:val="0"/>
        <w:jc w:val="both"/>
        <w:rPr>
          <w:sz w:val="28"/>
          <w:szCs w:val="28"/>
        </w:rPr>
      </w:pPr>
    </w:p>
    <w:p w14:paraId="2484EED7" w14:textId="0D1C1CE9" w:rsidR="00A4596C" w:rsidRPr="00643DCF" w:rsidRDefault="00EC797A" w:rsidP="00B14E08">
      <w:pPr>
        <w:widowControl w:val="0"/>
        <w:numPr>
          <w:ilvl w:val="0"/>
          <w:numId w:val="3"/>
        </w:numPr>
        <w:tabs>
          <w:tab w:val="left" w:pos="426"/>
        </w:tabs>
        <w:autoSpaceDE w:val="0"/>
        <w:autoSpaceDN w:val="0"/>
        <w:adjustRightInd w:val="0"/>
        <w:ind w:left="0" w:firstLine="0"/>
        <w:jc w:val="both"/>
        <w:rPr>
          <w:sz w:val="28"/>
          <w:szCs w:val="28"/>
        </w:rPr>
      </w:pPr>
      <w:r w:rsidRPr="00643DCF">
        <w:rPr>
          <w:sz w:val="28"/>
          <w:szCs w:val="28"/>
        </w:rPr>
        <w:t xml:space="preserve">Mediante </w:t>
      </w:r>
      <w:r w:rsidR="00821D52" w:rsidRPr="00643DCF">
        <w:rPr>
          <w:sz w:val="28"/>
          <w:szCs w:val="28"/>
        </w:rPr>
        <w:t>a</w:t>
      </w:r>
      <w:r w:rsidR="002E1EB4" w:rsidRPr="00643DCF">
        <w:rPr>
          <w:sz w:val="28"/>
          <w:szCs w:val="28"/>
        </w:rPr>
        <w:t>uto 144 del 19 de julio de 2011</w:t>
      </w:r>
      <w:r w:rsidRPr="00643DCF">
        <w:rPr>
          <w:sz w:val="28"/>
          <w:szCs w:val="28"/>
        </w:rPr>
        <w:t xml:space="preserve"> la Corte efectuó la </w:t>
      </w:r>
      <w:r w:rsidR="002E1EB4" w:rsidRPr="00643DCF">
        <w:rPr>
          <w:sz w:val="28"/>
          <w:szCs w:val="28"/>
        </w:rPr>
        <w:t>primera valoración</w:t>
      </w:r>
      <w:r w:rsidR="00B77F4A" w:rsidRPr="00643DCF">
        <w:rPr>
          <w:rStyle w:val="Refdenotaalpie"/>
          <w:sz w:val="28"/>
          <w:szCs w:val="28"/>
        </w:rPr>
        <w:footnoteReference w:id="26"/>
      </w:r>
      <w:r w:rsidRPr="00643DCF">
        <w:rPr>
          <w:sz w:val="28"/>
          <w:szCs w:val="28"/>
        </w:rPr>
        <w:t xml:space="preserve">, </w:t>
      </w:r>
      <w:r w:rsidR="002E1EB4" w:rsidRPr="00643DCF">
        <w:rPr>
          <w:sz w:val="28"/>
          <w:szCs w:val="28"/>
        </w:rPr>
        <w:t xml:space="preserve">analizó las medidas adoptadas y </w:t>
      </w:r>
      <w:r w:rsidR="00456CD8" w:rsidRPr="00643DCF">
        <w:rPr>
          <w:sz w:val="28"/>
          <w:szCs w:val="28"/>
        </w:rPr>
        <w:t>declaró el nivel de cumplimiento bajo</w:t>
      </w:r>
      <w:r w:rsidR="006074BC" w:rsidRPr="00643DCF">
        <w:rPr>
          <w:sz w:val="28"/>
          <w:szCs w:val="28"/>
        </w:rPr>
        <w:t xml:space="preserve"> de la orden.</w:t>
      </w:r>
      <w:r w:rsidR="00A64090" w:rsidRPr="00643DCF">
        <w:rPr>
          <w:sz w:val="28"/>
          <w:szCs w:val="28"/>
        </w:rPr>
        <w:t xml:space="preserve"> </w:t>
      </w:r>
      <w:r w:rsidR="006074BC" w:rsidRPr="00643DCF">
        <w:rPr>
          <w:sz w:val="28"/>
          <w:szCs w:val="28"/>
        </w:rPr>
        <w:t>E</w:t>
      </w:r>
      <w:r w:rsidR="00A64090" w:rsidRPr="00643DCF">
        <w:rPr>
          <w:sz w:val="28"/>
          <w:szCs w:val="28"/>
        </w:rPr>
        <w:t xml:space="preserve">n </w:t>
      </w:r>
      <w:r w:rsidR="00456CD8" w:rsidRPr="00643DCF">
        <w:rPr>
          <w:sz w:val="28"/>
          <w:szCs w:val="28"/>
        </w:rPr>
        <w:t>esa oportunidad</w:t>
      </w:r>
      <w:r w:rsidRPr="00643DCF">
        <w:rPr>
          <w:sz w:val="28"/>
          <w:szCs w:val="28"/>
        </w:rPr>
        <w:t xml:space="preserve"> </w:t>
      </w:r>
      <w:r w:rsidR="00C11195" w:rsidRPr="00643DCF">
        <w:rPr>
          <w:sz w:val="28"/>
          <w:szCs w:val="28"/>
        </w:rPr>
        <w:t xml:space="preserve">consideró </w:t>
      </w:r>
      <w:r w:rsidR="00482BE7" w:rsidRPr="00643DCF">
        <w:rPr>
          <w:sz w:val="28"/>
          <w:szCs w:val="28"/>
        </w:rPr>
        <w:t xml:space="preserve">que el tiempo transcurrido entre la </w:t>
      </w:r>
      <w:r w:rsidR="00456CD8" w:rsidRPr="00643DCF">
        <w:rPr>
          <w:sz w:val="28"/>
          <w:szCs w:val="28"/>
        </w:rPr>
        <w:t xml:space="preserve">expedición del fallo supervisado </w:t>
      </w:r>
      <w:r w:rsidR="00C93E3E" w:rsidRPr="00643DCF">
        <w:rPr>
          <w:sz w:val="28"/>
          <w:szCs w:val="28"/>
        </w:rPr>
        <w:t>había sido</w:t>
      </w:r>
      <w:r w:rsidR="00482BE7" w:rsidRPr="00643DCF">
        <w:rPr>
          <w:sz w:val="28"/>
          <w:szCs w:val="28"/>
        </w:rPr>
        <w:t xml:space="preserve"> suficiente para </w:t>
      </w:r>
      <w:r w:rsidR="00DE0E61" w:rsidRPr="00643DCF">
        <w:rPr>
          <w:sz w:val="28"/>
          <w:szCs w:val="28"/>
        </w:rPr>
        <w:t xml:space="preserve">que se </w:t>
      </w:r>
      <w:r w:rsidR="00482BE7" w:rsidRPr="00643DCF">
        <w:rPr>
          <w:sz w:val="28"/>
          <w:szCs w:val="28"/>
        </w:rPr>
        <w:t>adelanta</w:t>
      </w:r>
      <w:r w:rsidR="00955690" w:rsidRPr="00643DCF">
        <w:rPr>
          <w:sz w:val="28"/>
          <w:szCs w:val="28"/>
        </w:rPr>
        <w:t>r</w:t>
      </w:r>
      <w:r w:rsidR="00DE0E61" w:rsidRPr="00643DCF">
        <w:rPr>
          <w:sz w:val="28"/>
          <w:szCs w:val="28"/>
        </w:rPr>
        <w:t xml:space="preserve">an las </w:t>
      </w:r>
      <w:r w:rsidR="00482BE7" w:rsidRPr="00643DCF">
        <w:rPr>
          <w:sz w:val="28"/>
          <w:szCs w:val="28"/>
        </w:rPr>
        <w:t xml:space="preserve">gestiones </w:t>
      </w:r>
      <w:r w:rsidR="00DE0E61" w:rsidRPr="00643DCF">
        <w:rPr>
          <w:sz w:val="28"/>
          <w:szCs w:val="28"/>
        </w:rPr>
        <w:t xml:space="preserve">de </w:t>
      </w:r>
      <w:r w:rsidR="00E14902" w:rsidRPr="00643DCF">
        <w:rPr>
          <w:sz w:val="28"/>
          <w:szCs w:val="28"/>
        </w:rPr>
        <w:t xml:space="preserve">divulgación y difusión de la </w:t>
      </w:r>
      <w:r w:rsidR="00F11A05" w:rsidRPr="00643DCF">
        <w:rPr>
          <w:sz w:val="28"/>
          <w:szCs w:val="28"/>
        </w:rPr>
        <w:t>s</w:t>
      </w:r>
      <w:r w:rsidR="00916402" w:rsidRPr="00643DCF">
        <w:rPr>
          <w:sz w:val="28"/>
          <w:szCs w:val="28"/>
        </w:rPr>
        <w:t>entencia</w:t>
      </w:r>
      <w:r w:rsidR="00482BE7" w:rsidRPr="00643DCF">
        <w:rPr>
          <w:sz w:val="28"/>
          <w:szCs w:val="28"/>
        </w:rPr>
        <w:t xml:space="preserve"> T-760 de 2008 por el Consejo Superior de la Judicatura</w:t>
      </w:r>
      <w:r w:rsidR="005472B5" w:rsidRPr="00643DCF">
        <w:rPr>
          <w:sz w:val="28"/>
          <w:szCs w:val="28"/>
        </w:rPr>
        <w:t>. A</w:t>
      </w:r>
      <w:r w:rsidRPr="00643DCF">
        <w:rPr>
          <w:sz w:val="28"/>
          <w:szCs w:val="28"/>
        </w:rPr>
        <w:t>dujo que l</w:t>
      </w:r>
      <w:r w:rsidR="008076AD" w:rsidRPr="00643DCF">
        <w:rPr>
          <w:sz w:val="28"/>
          <w:szCs w:val="28"/>
        </w:rPr>
        <w:t xml:space="preserve">a </w:t>
      </w:r>
      <w:r w:rsidR="00482BE7" w:rsidRPr="00643DCF">
        <w:rPr>
          <w:sz w:val="28"/>
          <w:szCs w:val="28"/>
        </w:rPr>
        <w:t xml:space="preserve">creación de un vínculo en la página </w:t>
      </w:r>
      <w:r w:rsidR="006C6B21" w:rsidRPr="00643DCF">
        <w:rPr>
          <w:sz w:val="28"/>
          <w:szCs w:val="28"/>
        </w:rPr>
        <w:t>web</w:t>
      </w:r>
      <w:r w:rsidR="00482BE7" w:rsidRPr="00643DCF">
        <w:rPr>
          <w:sz w:val="28"/>
          <w:szCs w:val="28"/>
        </w:rPr>
        <w:t xml:space="preserve"> de la Rama Judicial y el envío masivo del fallo a los correos electrónicos de los jueces de la República no era</w:t>
      </w:r>
      <w:r w:rsidR="007E195A" w:rsidRPr="00643DCF">
        <w:rPr>
          <w:sz w:val="28"/>
          <w:szCs w:val="28"/>
        </w:rPr>
        <w:t>n</w:t>
      </w:r>
      <w:r w:rsidR="00482BE7" w:rsidRPr="00643DCF">
        <w:rPr>
          <w:sz w:val="28"/>
          <w:szCs w:val="28"/>
        </w:rPr>
        <w:t xml:space="preserve"> </w:t>
      </w:r>
      <w:r w:rsidR="007E195A" w:rsidRPr="00643DCF">
        <w:rPr>
          <w:sz w:val="28"/>
          <w:szCs w:val="28"/>
        </w:rPr>
        <w:t>los</w:t>
      </w:r>
      <w:r w:rsidR="00482BE7" w:rsidRPr="00643DCF">
        <w:rPr>
          <w:sz w:val="28"/>
          <w:szCs w:val="28"/>
        </w:rPr>
        <w:t xml:space="preserve"> mecanismo</w:t>
      </w:r>
      <w:r w:rsidR="007E195A" w:rsidRPr="00643DCF">
        <w:rPr>
          <w:sz w:val="28"/>
          <w:szCs w:val="28"/>
        </w:rPr>
        <w:t>s</w:t>
      </w:r>
      <w:r w:rsidR="00482BE7" w:rsidRPr="00643DCF">
        <w:rPr>
          <w:sz w:val="28"/>
          <w:szCs w:val="28"/>
        </w:rPr>
        <w:t xml:space="preserve"> </w:t>
      </w:r>
      <w:r w:rsidR="004D158B" w:rsidRPr="00643DCF">
        <w:rPr>
          <w:sz w:val="28"/>
          <w:szCs w:val="28"/>
        </w:rPr>
        <w:t>idóneo</w:t>
      </w:r>
      <w:r w:rsidR="007E195A" w:rsidRPr="00643DCF">
        <w:rPr>
          <w:sz w:val="28"/>
          <w:szCs w:val="28"/>
        </w:rPr>
        <w:t>s</w:t>
      </w:r>
      <w:r w:rsidR="00482BE7" w:rsidRPr="00643DCF">
        <w:rPr>
          <w:sz w:val="28"/>
          <w:szCs w:val="28"/>
        </w:rPr>
        <w:t xml:space="preserve"> para alcanzar la meta trazada, </w:t>
      </w:r>
      <w:r w:rsidR="00B67986" w:rsidRPr="00643DCF">
        <w:rPr>
          <w:sz w:val="28"/>
          <w:szCs w:val="28"/>
        </w:rPr>
        <w:t xml:space="preserve">ya que </w:t>
      </w:r>
      <w:r w:rsidR="00482BE7" w:rsidRPr="00643DCF">
        <w:rPr>
          <w:sz w:val="28"/>
          <w:szCs w:val="28"/>
        </w:rPr>
        <w:t>l</w:t>
      </w:r>
      <w:r w:rsidR="004D158B" w:rsidRPr="00643DCF">
        <w:rPr>
          <w:sz w:val="28"/>
          <w:szCs w:val="28"/>
        </w:rPr>
        <w:t>a</w:t>
      </w:r>
      <w:r w:rsidR="00482BE7" w:rsidRPr="00643DCF">
        <w:rPr>
          <w:sz w:val="28"/>
          <w:szCs w:val="28"/>
        </w:rPr>
        <w:t xml:space="preserve"> simple </w:t>
      </w:r>
      <w:r w:rsidR="004D158B" w:rsidRPr="00643DCF">
        <w:rPr>
          <w:sz w:val="28"/>
          <w:szCs w:val="28"/>
        </w:rPr>
        <w:t>remisión</w:t>
      </w:r>
      <w:r w:rsidR="00482BE7" w:rsidRPr="00643DCF">
        <w:rPr>
          <w:sz w:val="28"/>
          <w:szCs w:val="28"/>
        </w:rPr>
        <w:t xml:space="preserve"> de la información no permit</w:t>
      </w:r>
      <w:r w:rsidR="006074BC" w:rsidRPr="00643DCF">
        <w:rPr>
          <w:sz w:val="28"/>
          <w:szCs w:val="28"/>
        </w:rPr>
        <w:t>iría</w:t>
      </w:r>
      <w:r w:rsidR="00482BE7" w:rsidRPr="00643DCF">
        <w:rPr>
          <w:sz w:val="28"/>
          <w:szCs w:val="28"/>
        </w:rPr>
        <w:t xml:space="preserve"> verificar </w:t>
      </w:r>
      <w:r w:rsidR="006074BC" w:rsidRPr="00643DCF">
        <w:rPr>
          <w:sz w:val="28"/>
          <w:szCs w:val="28"/>
        </w:rPr>
        <w:t xml:space="preserve">la </w:t>
      </w:r>
      <w:r w:rsidR="00482BE7" w:rsidRPr="00643DCF">
        <w:rPr>
          <w:sz w:val="28"/>
          <w:szCs w:val="28"/>
        </w:rPr>
        <w:t>aprehensión del contenido de la misma</w:t>
      </w:r>
      <w:r w:rsidR="003C2969" w:rsidRPr="00643DCF">
        <w:rPr>
          <w:sz w:val="28"/>
          <w:szCs w:val="28"/>
        </w:rPr>
        <w:t xml:space="preserve"> por lo</w:t>
      </w:r>
      <w:r w:rsidR="00482BE7" w:rsidRPr="00643DCF">
        <w:rPr>
          <w:sz w:val="28"/>
          <w:szCs w:val="28"/>
        </w:rPr>
        <w:t>s destinatarios</w:t>
      </w:r>
      <w:r w:rsidR="00A4596C" w:rsidRPr="00643DCF">
        <w:rPr>
          <w:sz w:val="28"/>
          <w:szCs w:val="28"/>
        </w:rPr>
        <w:t xml:space="preserve">. </w:t>
      </w:r>
    </w:p>
    <w:p w14:paraId="64D7D3E3" w14:textId="77777777" w:rsidR="00053D29" w:rsidRPr="00643DCF" w:rsidRDefault="00053D29" w:rsidP="00053D29">
      <w:pPr>
        <w:widowControl w:val="0"/>
        <w:tabs>
          <w:tab w:val="left" w:pos="426"/>
        </w:tabs>
        <w:autoSpaceDE w:val="0"/>
        <w:autoSpaceDN w:val="0"/>
        <w:adjustRightInd w:val="0"/>
        <w:jc w:val="both"/>
        <w:rPr>
          <w:sz w:val="28"/>
          <w:szCs w:val="28"/>
        </w:rPr>
      </w:pPr>
    </w:p>
    <w:p w14:paraId="0EDE7DE6" w14:textId="0EDAE390" w:rsidR="00053D29" w:rsidRPr="00643DCF" w:rsidRDefault="00053D29" w:rsidP="00053D29">
      <w:pPr>
        <w:widowControl w:val="0"/>
        <w:tabs>
          <w:tab w:val="left" w:pos="426"/>
        </w:tabs>
        <w:autoSpaceDE w:val="0"/>
        <w:autoSpaceDN w:val="0"/>
        <w:adjustRightInd w:val="0"/>
        <w:jc w:val="both"/>
        <w:rPr>
          <w:sz w:val="28"/>
          <w:szCs w:val="28"/>
        </w:rPr>
      </w:pPr>
      <w:r w:rsidRPr="00FA159B">
        <w:rPr>
          <w:sz w:val="28"/>
          <w:szCs w:val="28"/>
        </w:rPr>
        <w:t xml:space="preserve">Así mismo estableció que las medidas adoptadas </w:t>
      </w:r>
      <w:r w:rsidR="0030636B" w:rsidRPr="00FA159B">
        <w:rPr>
          <w:sz w:val="28"/>
          <w:szCs w:val="28"/>
        </w:rPr>
        <w:t xml:space="preserve">por el CSJ </w:t>
      </w:r>
      <w:r w:rsidR="00673C5A" w:rsidRPr="00FA159B">
        <w:rPr>
          <w:sz w:val="28"/>
          <w:szCs w:val="28"/>
        </w:rPr>
        <w:t xml:space="preserve">no </w:t>
      </w:r>
      <w:r w:rsidRPr="00FA159B">
        <w:rPr>
          <w:sz w:val="28"/>
          <w:szCs w:val="28"/>
        </w:rPr>
        <w:t>garantiza</w:t>
      </w:r>
      <w:r w:rsidR="00673C5A" w:rsidRPr="00FA159B">
        <w:rPr>
          <w:sz w:val="28"/>
          <w:szCs w:val="28"/>
        </w:rPr>
        <w:t>ba</w:t>
      </w:r>
      <w:r w:rsidR="00E81518" w:rsidRPr="00FA159B">
        <w:rPr>
          <w:sz w:val="28"/>
          <w:szCs w:val="28"/>
        </w:rPr>
        <w:t>n</w:t>
      </w:r>
      <w:r w:rsidR="00673C5A" w:rsidRPr="00FA159B">
        <w:rPr>
          <w:sz w:val="28"/>
          <w:szCs w:val="28"/>
        </w:rPr>
        <w:t xml:space="preserve"> </w:t>
      </w:r>
      <w:r w:rsidRPr="00FA159B">
        <w:rPr>
          <w:sz w:val="28"/>
          <w:szCs w:val="28"/>
        </w:rPr>
        <w:t xml:space="preserve">que la información llegara a </w:t>
      </w:r>
      <w:r w:rsidR="00744169" w:rsidRPr="00FA159B">
        <w:rPr>
          <w:sz w:val="28"/>
          <w:szCs w:val="28"/>
        </w:rPr>
        <w:t>un grupo poblacional más amplio y especialmente a</w:t>
      </w:r>
      <w:r w:rsidRPr="00FA159B">
        <w:rPr>
          <w:sz w:val="28"/>
          <w:szCs w:val="28"/>
        </w:rPr>
        <w:t>l más vulnerable,</w:t>
      </w:r>
      <w:r w:rsidR="0030636B" w:rsidRPr="00FA159B">
        <w:rPr>
          <w:sz w:val="28"/>
          <w:szCs w:val="28"/>
        </w:rPr>
        <w:t xml:space="preserve"> </w:t>
      </w:r>
      <w:r w:rsidR="00B67986" w:rsidRPr="00FA159B">
        <w:rPr>
          <w:sz w:val="28"/>
          <w:szCs w:val="28"/>
        </w:rPr>
        <w:t>t</w:t>
      </w:r>
      <w:r w:rsidR="0030636B" w:rsidRPr="00FA159B">
        <w:rPr>
          <w:sz w:val="28"/>
          <w:szCs w:val="28"/>
        </w:rPr>
        <w:t xml:space="preserve">oda vez que </w:t>
      </w:r>
      <w:r w:rsidR="00C45950" w:rsidRPr="00FA159B">
        <w:rPr>
          <w:sz w:val="28"/>
          <w:szCs w:val="28"/>
        </w:rPr>
        <w:t xml:space="preserve">estos </w:t>
      </w:r>
      <w:r w:rsidRPr="00FA159B">
        <w:rPr>
          <w:sz w:val="28"/>
          <w:szCs w:val="28"/>
        </w:rPr>
        <w:t>no contaba</w:t>
      </w:r>
      <w:r w:rsidR="00C45950" w:rsidRPr="00FA159B">
        <w:rPr>
          <w:sz w:val="28"/>
          <w:szCs w:val="28"/>
        </w:rPr>
        <w:t>n</w:t>
      </w:r>
      <w:r w:rsidRPr="00FA159B">
        <w:rPr>
          <w:sz w:val="28"/>
          <w:szCs w:val="28"/>
        </w:rPr>
        <w:t xml:space="preserve"> con los medios </w:t>
      </w:r>
      <w:r w:rsidR="00E81518" w:rsidRPr="00FA159B">
        <w:rPr>
          <w:sz w:val="28"/>
          <w:szCs w:val="28"/>
        </w:rPr>
        <w:t xml:space="preserve">necesarios </w:t>
      </w:r>
      <w:r w:rsidRPr="00FA159B">
        <w:rPr>
          <w:sz w:val="28"/>
          <w:szCs w:val="28"/>
        </w:rPr>
        <w:t xml:space="preserve">para acceder a las plataformas tecnológicas propuestas para la </w:t>
      </w:r>
      <w:r w:rsidR="0030636B" w:rsidRPr="00FA159B">
        <w:rPr>
          <w:sz w:val="28"/>
          <w:szCs w:val="28"/>
        </w:rPr>
        <w:t>difusión</w:t>
      </w:r>
      <w:r w:rsidRPr="00FA159B">
        <w:rPr>
          <w:sz w:val="28"/>
          <w:szCs w:val="28"/>
        </w:rPr>
        <w:t xml:space="preserve"> de la </w:t>
      </w:r>
      <w:r w:rsidR="008D395F" w:rsidRPr="00FA159B">
        <w:rPr>
          <w:sz w:val="28"/>
          <w:szCs w:val="28"/>
        </w:rPr>
        <w:t>misma</w:t>
      </w:r>
      <w:r w:rsidRPr="00FA159B">
        <w:rPr>
          <w:sz w:val="28"/>
          <w:szCs w:val="28"/>
        </w:rPr>
        <w:t>.</w:t>
      </w:r>
    </w:p>
    <w:p w14:paraId="3A2D9828" w14:textId="77777777" w:rsidR="008076AD" w:rsidRPr="00643DCF" w:rsidRDefault="008076AD" w:rsidP="002344DE">
      <w:pPr>
        <w:pStyle w:val="Prrafodelista"/>
        <w:widowControl w:val="0"/>
        <w:tabs>
          <w:tab w:val="left" w:pos="426"/>
        </w:tabs>
        <w:autoSpaceDE w:val="0"/>
        <w:autoSpaceDN w:val="0"/>
        <w:adjustRightInd w:val="0"/>
        <w:ind w:left="0"/>
        <w:jc w:val="both"/>
        <w:rPr>
          <w:sz w:val="28"/>
          <w:szCs w:val="28"/>
        </w:rPr>
      </w:pPr>
    </w:p>
    <w:p w14:paraId="505FF785" w14:textId="77777777" w:rsidR="00665D97" w:rsidRPr="00643DCF" w:rsidRDefault="004D158B" w:rsidP="002344DE">
      <w:pPr>
        <w:pStyle w:val="Prrafodelista"/>
        <w:widowControl w:val="0"/>
        <w:tabs>
          <w:tab w:val="left" w:pos="426"/>
        </w:tabs>
        <w:autoSpaceDE w:val="0"/>
        <w:autoSpaceDN w:val="0"/>
        <w:adjustRightInd w:val="0"/>
        <w:ind w:left="0"/>
        <w:jc w:val="both"/>
        <w:rPr>
          <w:sz w:val="28"/>
          <w:szCs w:val="28"/>
        </w:rPr>
      </w:pPr>
      <w:r w:rsidRPr="00643DCF">
        <w:rPr>
          <w:sz w:val="28"/>
          <w:szCs w:val="28"/>
        </w:rPr>
        <w:t>E</w:t>
      </w:r>
      <w:r w:rsidR="009E19F3" w:rsidRPr="00643DCF">
        <w:rPr>
          <w:sz w:val="28"/>
          <w:szCs w:val="28"/>
        </w:rPr>
        <w:t xml:space="preserve">n </w:t>
      </w:r>
      <w:r w:rsidR="006074BC" w:rsidRPr="00643DCF">
        <w:rPr>
          <w:sz w:val="28"/>
          <w:szCs w:val="28"/>
        </w:rPr>
        <w:t xml:space="preserve">relación </w:t>
      </w:r>
      <w:r w:rsidR="009E19F3" w:rsidRPr="00643DCF">
        <w:rPr>
          <w:sz w:val="28"/>
          <w:szCs w:val="28"/>
        </w:rPr>
        <w:t>con el “</w:t>
      </w:r>
      <w:r w:rsidR="009E19F3" w:rsidRPr="003319D7">
        <w:rPr>
          <w:i/>
          <w:sz w:val="27"/>
          <w:szCs w:val="27"/>
        </w:rPr>
        <w:t>plan de formación de la Rama Judicial</w:t>
      </w:r>
      <w:r w:rsidR="009E19F3" w:rsidRPr="00643DCF">
        <w:rPr>
          <w:sz w:val="28"/>
          <w:szCs w:val="28"/>
        </w:rPr>
        <w:t>”</w:t>
      </w:r>
      <w:r w:rsidR="000B0763" w:rsidRPr="00643DCF">
        <w:rPr>
          <w:sz w:val="28"/>
          <w:szCs w:val="28"/>
        </w:rPr>
        <w:t>,</w:t>
      </w:r>
      <w:r w:rsidR="008076AD" w:rsidRPr="00643DCF">
        <w:rPr>
          <w:sz w:val="28"/>
          <w:szCs w:val="28"/>
        </w:rPr>
        <w:t xml:space="preserve"> constató </w:t>
      </w:r>
      <w:r w:rsidR="00763C21" w:rsidRPr="00643DCF">
        <w:rPr>
          <w:sz w:val="28"/>
          <w:szCs w:val="28"/>
        </w:rPr>
        <w:t xml:space="preserve">que </w:t>
      </w:r>
      <w:r w:rsidR="00EF6261" w:rsidRPr="00643DCF">
        <w:rPr>
          <w:sz w:val="28"/>
          <w:szCs w:val="28"/>
        </w:rPr>
        <w:t>las tres videoconferencias</w:t>
      </w:r>
      <w:r w:rsidR="00EF6261" w:rsidRPr="00643DCF" w:rsidDel="00EF6261">
        <w:rPr>
          <w:sz w:val="28"/>
          <w:szCs w:val="28"/>
        </w:rPr>
        <w:t xml:space="preserve"> </w:t>
      </w:r>
      <w:r w:rsidR="009E19F3" w:rsidRPr="00643DCF">
        <w:rPr>
          <w:sz w:val="28"/>
          <w:szCs w:val="28"/>
        </w:rPr>
        <w:t>no arrojaron resultados alentadores</w:t>
      </w:r>
      <w:r w:rsidR="003C2969" w:rsidRPr="00643DCF">
        <w:rPr>
          <w:sz w:val="28"/>
          <w:szCs w:val="28"/>
        </w:rPr>
        <w:t>,</w:t>
      </w:r>
      <w:r w:rsidR="009E19F3" w:rsidRPr="00643DCF">
        <w:rPr>
          <w:sz w:val="28"/>
          <w:szCs w:val="28"/>
        </w:rPr>
        <w:t xml:space="preserve"> </w:t>
      </w:r>
      <w:r w:rsidR="00720900" w:rsidRPr="00643DCF">
        <w:rPr>
          <w:sz w:val="28"/>
          <w:szCs w:val="28"/>
        </w:rPr>
        <w:t>toda vez que</w:t>
      </w:r>
      <w:r w:rsidR="009E19F3" w:rsidRPr="00643DCF">
        <w:rPr>
          <w:sz w:val="28"/>
          <w:szCs w:val="28"/>
        </w:rPr>
        <w:t xml:space="preserve"> no se pudo establecer el número real de asistentes a </w:t>
      </w:r>
      <w:r w:rsidRPr="00643DCF">
        <w:rPr>
          <w:sz w:val="28"/>
          <w:szCs w:val="28"/>
        </w:rPr>
        <w:t>los mencionados</w:t>
      </w:r>
      <w:r w:rsidR="009E19F3" w:rsidRPr="00643DCF">
        <w:rPr>
          <w:sz w:val="28"/>
          <w:szCs w:val="28"/>
        </w:rPr>
        <w:t xml:space="preserve"> eventos</w:t>
      </w:r>
      <w:r w:rsidR="003C2969" w:rsidRPr="00643DCF">
        <w:rPr>
          <w:sz w:val="28"/>
          <w:szCs w:val="28"/>
        </w:rPr>
        <w:t>.</w:t>
      </w:r>
      <w:r w:rsidR="00A856D8" w:rsidRPr="00643DCF">
        <w:rPr>
          <w:sz w:val="28"/>
          <w:szCs w:val="28"/>
        </w:rPr>
        <w:t xml:space="preserve"> </w:t>
      </w:r>
      <w:r w:rsidR="003C2969" w:rsidRPr="00643DCF">
        <w:rPr>
          <w:sz w:val="28"/>
          <w:szCs w:val="28"/>
        </w:rPr>
        <w:t>R</w:t>
      </w:r>
      <w:r w:rsidR="00F927D6" w:rsidRPr="00643DCF">
        <w:rPr>
          <w:sz w:val="28"/>
          <w:szCs w:val="28"/>
        </w:rPr>
        <w:t>especto de</w:t>
      </w:r>
      <w:r w:rsidR="009E19F3" w:rsidRPr="00643DCF">
        <w:rPr>
          <w:sz w:val="28"/>
          <w:szCs w:val="28"/>
        </w:rPr>
        <w:t xml:space="preserve"> la </w:t>
      </w:r>
      <w:r w:rsidR="009E19F3" w:rsidRPr="00643DCF">
        <w:rPr>
          <w:sz w:val="28"/>
          <w:szCs w:val="28"/>
        </w:rPr>
        <w:lastRenderedPageBreak/>
        <w:t>publicación del módulo de capacitación, el material académic</w:t>
      </w:r>
      <w:r w:rsidR="00F927D6" w:rsidRPr="00643DCF">
        <w:rPr>
          <w:sz w:val="28"/>
          <w:szCs w:val="28"/>
        </w:rPr>
        <w:t xml:space="preserve">o, el </w:t>
      </w:r>
      <w:r w:rsidR="009E19F3" w:rsidRPr="00643DCF">
        <w:rPr>
          <w:sz w:val="28"/>
          <w:szCs w:val="28"/>
        </w:rPr>
        <w:t>diseño y</w:t>
      </w:r>
      <w:r w:rsidR="00F927D6" w:rsidRPr="00643DCF">
        <w:rPr>
          <w:sz w:val="28"/>
          <w:szCs w:val="28"/>
        </w:rPr>
        <w:t xml:space="preserve"> </w:t>
      </w:r>
      <w:r w:rsidR="009E19F3" w:rsidRPr="00643DCF">
        <w:rPr>
          <w:sz w:val="28"/>
          <w:szCs w:val="28"/>
        </w:rPr>
        <w:t xml:space="preserve"> expedición de manuales</w:t>
      </w:r>
      <w:r w:rsidR="00081DDA" w:rsidRPr="00643DCF">
        <w:rPr>
          <w:sz w:val="28"/>
          <w:szCs w:val="28"/>
        </w:rPr>
        <w:t>,</w:t>
      </w:r>
      <w:r w:rsidR="00F927D6" w:rsidRPr="00643DCF">
        <w:rPr>
          <w:sz w:val="28"/>
          <w:szCs w:val="28"/>
        </w:rPr>
        <w:t xml:space="preserve"> </w:t>
      </w:r>
      <w:r w:rsidR="003C2969" w:rsidRPr="00643DCF">
        <w:rPr>
          <w:sz w:val="28"/>
          <w:szCs w:val="28"/>
        </w:rPr>
        <w:t xml:space="preserve">no se </w:t>
      </w:r>
      <w:r w:rsidR="009E19F3" w:rsidRPr="00643DCF">
        <w:rPr>
          <w:sz w:val="28"/>
          <w:szCs w:val="28"/>
        </w:rPr>
        <w:t>precisó el estado de ejecución</w:t>
      </w:r>
      <w:r w:rsidR="00EA7E1E" w:rsidRPr="00643DCF">
        <w:rPr>
          <w:sz w:val="28"/>
          <w:szCs w:val="28"/>
        </w:rPr>
        <w:t xml:space="preserve"> de los mismos</w:t>
      </w:r>
      <w:r w:rsidR="009E19F3" w:rsidRPr="00643DCF">
        <w:rPr>
          <w:sz w:val="28"/>
          <w:szCs w:val="28"/>
        </w:rPr>
        <w:t xml:space="preserve">. </w:t>
      </w:r>
    </w:p>
    <w:p w14:paraId="1173864D" w14:textId="77777777" w:rsidR="00665D97" w:rsidRPr="00643DCF" w:rsidRDefault="00665D97" w:rsidP="002344DE">
      <w:pPr>
        <w:pStyle w:val="Prrafodelista"/>
        <w:widowControl w:val="0"/>
        <w:tabs>
          <w:tab w:val="left" w:pos="426"/>
        </w:tabs>
        <w:autoSpaceDE w:val="0"/>
        <w:autoSpaceDN w:val="0"/>
        <w:adjustRightInd w:val="0"/>
        <w:ind w:left="0"/>
        <w:jc w:val="both"/>
        <w:rPr>
          <w:sz w:val="28"/>
          <w:szCs w:val="28"/>
        </w:rPr>
      </w:pPr>
    </w:p>
    <w:p w14:paraId="023312FF" w14:textId="43F828C1" w:rsidR="00690965" w:rsidRPr="00643DCF" w:rsidRDefault="009E19F3" w:rsidP="00FB31C7">
      <w:pPr>
        <w:widowControl w:val="0"/>
        <w:tabs>
          <w:tab w:val="left" w:pos="426"/>
        </w:tabs>
        <w:autoSpaceDE w:val="0"/>
        <w:autoSpaceDN w:val="0"/>
        <w:adjustRightInd w:val="0"/>
        <w:jc w:val="both"/>
        <w:rPr>
          <w:sz w:val="28"/>
          <w:szCs w:val="28"/>
        </w:rPr>
      </w:pPr>
      <w:r w:rsidRPr="00643DCF">
        <w:rPr>
          <w:sz w:val="28"/>
          <w:szCs w:val="28"/>
        </w:rPr>
        <w:t>Por estas razones</w:t>
      </w:r>
      <w:r w:rsidR="006D45AA" w:rsidRPr="00643DCF">
        <w:rPr>
          <w:sz w:val="28"/>
          <w:szCs w:val="28"/>
        </w:rPr>
        <w:t>,</w:t>
      </w:r>
      <w:r w:rsidRPr="00643DCF">
        <w:rPr>
          <w:sz w:val="28"/>
          <w:szCs w:val="28"/>
        </w:rPr>
        <w:t xml:space="preserve"> </w:t>
      </w:r>
      <w:r w:rsidR="00DE0780" w:rsidRPr="00643DCF">
        <w:rPr>
          <w:sz w:val="28"/>
          <w:szCs w:val="28"/>
        </w:rPr>
        <w:t xml:space="preserve">la </w:t>
      </w:r>
      <w:r w:rsidR="00F927D6" w:rsidRPr="00643DCF">
        <w:rPr>
          <w:sz w:val="28"/>
          <w:szCs w:val="28"/>
        </w:rPr>
        <w:t xml:space="preserve">Sala Especial </w:t>
      </w:r>
      <w:r w:rsidR="00DE0780" w:rsidRPr="00643DCF">
        <w:rPr>
          <w:sz w:val="28"/>
          <w:szCs w:val="28"/>
        </w:rPr>
        <w:t>estableció un</w:t>
      </w:r>
      <w:r w:rsidR="002F7AB8" w:rsidRPr="00643DCF">
        <w:rPr>
          <w:sz w:val="28"/>
          <w:szCs w:val="28"/>
        </w:rPr>
        <w:t xml:space="preserve"> </w:t>
      </w:r>
      <w:r w:rsidR="00DE0780" w:rsidRPr="00643DCF">
        <w:rPr>
          <w:sz w:val="28"/>
          <w:szCs w:val="28"/>
        </w:rPr>
        <w:t xml:space="preserve">nivel de cumplimiento </w:t>
      </w:r>
      <w:r w:rsidR="008076AD" w:rsidRPr="00643DCF">
        <w:rPr>
          <w:sz w:val="28"/>
          <w:szCs w:val="28"/>
        </w:rPr>
        <w:t>bajo</w:t>
      </w:r>
      <w:r w:rsidR="00DE0780" w:rsidRPr="00643DCF">
        <w:rPr>
          <w:sz w:val="28"/>
          <w:szCs w:val="28"/>
        </w:rPr>
        <w:t xml:space="preserve"> </w:t>
      </w:r>
      <w:r w:rsidR="00A4596C" w:rsidRPr="00643DCF">
        <w:rPr>
          <w:sz w:val="28"/>
          <w:szCs w:val="28"/>
        </w:rPr>
        <w:t>y ordenó al CSJ diseñar un nuevo programa y cronograma a partir de agosto de 201</w:t>
      </w:r>
      <w:r w:rsidR="00665D97" w:rsidRPr="00643DCF">
        <w:rPr>
          <w:sz w:val="28"/>
          <w:szCs w:val="28"/>
        </w:rPr>
        <w:t xml:space="preserve">1, </w:t>
      </w:r>
      <w:r w:rsidR="00084A01" w:rsidRPr="00643DCF">
        <w:rPr>
          <w:sz w:val="28"/>
          <w:szCs w:val="28"/>
        </w:rPr>
        <w:t xml:space="preserve">que </w:t>
      </w:r>
      <w:r w:rsidR="00665D97" w:rsidRPr="00643DCF">
        <w:rPr>
          <w:sz w:val="28"/>
          <w:szCs w:val="28"/>
        </w:rPr>
        <w:t>debía ser presentado dentro de los 30 días hábiles siguientes a la notificación, cuya implementación estaría supeditada a la previa aceptación de la Sala Especia</w:t>
      </w:r>
      <w:r w:rsidR="00D717F8">
        <w:rPr>
          <w:sz w:val="28"/>
          <w:szCs w:val="28"/>
        </w:rPr>
        <w:t>l</w:t>
      </w:r>
      <w:r w:rsidR="00665D97" w:rsidRPr="00643DCF">
        <w:rPr>
          <w:sz w:val="28"/>
          <w:szCs w:val="28"/>
        </w:rPr>
        <w:t xml:space="preserve"> y debía contener como criterios mínimos los señalado</w:t>
      </w:r>
      <w:r w:rsidR="00F21C1E" w:rsidRPr="00643DCF">
        <w:rPr>
          <w:sz w:val="28"/>
          <w:szCs w:val="28"/>
        </w:rPr>
        <w:t>s</w:t>
      </w:r>
      <w:r w:rsidR="00665D97" w:rsidRPr="00643DCF">
        <w:rPr>
          <w:sz w:val="28"/>
          <w:szCs w:val="28"/>
        </w:rPr>
        <w:t xml:space="preserve"> en el </w:t>
      </w:r>
      <w:r w:rsidR="00821D52" w:rsidRPr="00643DCF">
        <w:rPr>
          <w:sz w:val="28"/>
          <w:szCs w:val="28"/>
        </w:rPr>
        <w:t>a</w:t>
      </w:r>
      <w:r w:rsidR="00665D97" w:rsidRPr="00643DCF">
        <w:rPr>
          <w:sz w:val="28"/>
          <w:szCs w:val="28"/>
        </w:rPr>
        <w:t xml:space="preserve">uto 004 de 2009 proferido dentro del proceso de seguimiento de la </w:t>
      </w:r>
      <w:r w:rsidR="00F11A05" w:rsidRPr="00643DCF">
        <w:rPr>
          <w:sz w:val="28"/>
          <w:szCs w:val="28"/>
        </w:rPr>
        <w:t>sentencia</w:t>
      </w:r>
      <w:r w:rsidR="00665D97" w:rsidRPr="00643DCF">
        <w:rPr>
          <w:sz w:val="28"/>
          <w:szCs w:val="28"/>
        </w:rPr>
        <w:t xml:space="preserve"> T-025 de 2004</w:t>
      </w:r>
      <w:r w:rsidR="00FB31C7" w:rsidRPr="00643DCF">
        <w:rPr>
          <w:sz w:val="28"/>
          <w:szCs w:val="28"/>
        </w:rPr>
        <w:t>:</w:t>
      </w:r>
      <w:r w:rsidR="00A4596C" w:rsidRPr="00643DCF">
        <w:rPr>
          <w:sz w:val="28"/>
          <w:szCs w:val="28"/>
        </w:rPr>
        <w:t xml:space="preserve"> </w:t>
      </w:r>
    </w:p>
    <w:p w14:paraId="006E41B4" w14:textId="77777777" w:rsidR="00665D97" w:rsidRPr="00643DCF" w:rsidRDefault="00665D97" w:rsidP="00FB31C7">
      <w:pPr>
        <w:widowControl w:val="0"/>
        <w:tabs>
          <w:tab w:val="left" w:pos="426"/>
        </w:tabs>
        <w:autoSpaceDE w:val="0"/>
        <w:autoSpaceDN w:val="0"/>
        <w:adjustRightInd w:val="0"/>
        <w:jc w:val="both"/>
        <w:rPr>
          <w:sz w:val="28"/>
          <w:szCs w:val="28"/>
        </w:rPr>
      </w:pPr>
    </w:p>
    <w:p w14:paraId="7E855336" w14:textId="54098A12" w:rsidR="00665D97" w:rsidRPr="003319D7" w:rsidRDefault="00665D97" w:rsidP="00665D97">
      <w:pPr>
        <w:widowControl w:val="0"/>
        <w:tabs>
          <w:tab w:val="left" w:pos="426"/>
        </w:tabs>
        <w:autoSpaceDE w:val="0"/>
        <w:autoSpaceDN w:val="0"/>
        <w:adjustRightInd w:val="0"/>
        <w:ind w:left="284"/>
        <w:jc w:val="both"/>
        <w:rPr>
          <w:i/>
          <w:sz w:val="27"/>
          <w:szCs w:val="27"/>
        </w:rPr>
      </w:pPr>
      <w:r w:rsidRPr="00643DCF">
        <w:rPr>
          <w:i/>
          <w:sz w:val="28"/>
          <w:szCs w:val="28"/>
        </w:rPr>
        <w:t>“</w:t>
      </w:r>
      <w:r w:rsidRPr="003319D7">
        <w:rPr>
          <w:b/>
          <w:i/>
          <w:sz w:val="27"/>
          <w:szCs w:val="27"/>
        </w:rPr>
        <w:t>8.1</w:t>
      </w:r>
      <w:r w:rsidRPr="003319D7">
        <w:rPr>
          <w:i/>
          <w:sz w:val="27"/>
          <w:szCs w:val="27"/>
        </w:rPr>
        <w:t>.</w:t>
      </w:r>
      <w:r w:rsidRPr="003319D7">
        <w:rPr>
          <w:b/>
          <w:i/>
          <w:sz w:val="27"/>
          <w:szCs w:val="27"/>
        </w:rPr>
        <w:t>Especificidad individual de cada Plan, sus Componentes y sus respectivos Elementos Constitutivo</w:t>
      </w:r>
      <w:r w:rsidR="00F21C1E" w:rsidRPr="003319D7">
        <w:rPr>
          <w:b/>
          <w:i/>
          <w:sz w:val="27"/>
          <w:szCs w:val="27"/>
        </w:rPr>
        <w:t>s</w:t>
      </w:r>
      <w:r w:rsidRPr="003319D7">
        <w:rPr>
          <w:i/>
          <w:sz w:val="27"/>
          <w:szCs w:val="27"/>
        </w:rPr>
        <w:t>. Cada Plan de Salvaguarda, con sus componentes y sus correspondientes elementos Constitutivos, debe ser creado en forma específica, individual y autónoma en el marco de la política pública…”.</w:t>
      </w:r>
    </w:p>
    <w:p w14:paraId="5BD62C63" w14:textId="77777777" w:rsidR="00665D97" w:rsidRPr="003319D7" w:rsidRDefault="00665D97" w:rsidP="00665D97">
      <w:pPr>
        <w:widowControl w:val="0"/>
        <w:tabs>
          <w:tab w:val="left" w:pos="426"/>
        </w:tabs>
        <w:autoSpaceDE w:val="0"/>
        <w:autoSpaceDN w:val="0"/>
        <w:adjustRightInd w:val="0"/>
        <w:ind w:left="284"/>
        <w:jc w:val="both"/>
        <w:rPr>
          <w:i/>
          <w:sz w:val="27"/>
          <w:szCs w:val="27"/>
        </w:rPr>
      </w:pPr>
      <w:r w:rsidRPr="003319D7">
        <w:rPr>
          <w:i/>
          <w:sz w:val="27"/>
          <w:szCs w:val="27"/>
        </w:rPr>
        <w:t>“</w:t>
      </w:r>
      <w:r w:rsidRPr="003319D7">
        <w:rPr>
          <w:b/>
          <w:i/>
          <w:sz w:val="27"/>
          <w:szCs w:val="27"/>
        </w:rPr>
        <w:t>8.2.Definición de metas puntuales a corto, mediano y largo plazo.</w:t>
      </w:r>
      <w:r w:rsidRPr="003319D7">
        <w:rPr>
          <w:i/>
          <w:sz w:val="27"/>
          <w:szCs w:val="27"/>
        </w:rPr>
        <w:t xml:space="preserve"> Basadas en el goce efectivo de los derechos fundamentales individuales y colectivos a garantizar”.</w:t>
      </w:r>
    </w:p>
    <w:p w14:paraId="4271AFDA" w14:textId="77777777" w:rsidR="00665D97" w:rsidRPr="003319D7" w:rsidRDefault="00665D97" w:rsidP="00665D97">
      <w:pPr>
        <w:widowControl w:val="0"/>
        <w:tabs>
          <w:tab w:val="left" w:pos="426"/>
        </w:tabs>
        <w:autoSpaceDE w:val="0"/>
        <w:autoSpaceDN w:val="0"/>
        <w:adjustRightInd w:val="0"/>
        <w:ind w:left="284"/>
        <w:jc w:val="both"/>
        <w:rPr>
          <w:i/>
          <w:sz w:val="27"/>
          <w:szCs w:val="27"/>
        </w:rPr>
      </w:pPr>
      <w:r w:rsidRPr="003319D7">
        <w:rPr>
          <w:i/>
          <w:sz w:val="27"/>
          <w:szCs w:val="27"/>
        </w:rPr>
        <w:t>“</w:t>
      </w:r>
      <w:r w:rsidRPr="003319D7">
        <w:rPr>
          <w:b/>
          <w:i/>
          <w:sz w:val="27"/>
          <w:szCs w:val="27"/>
        </w:rPr>
        <w:t>8.3.Cronograma acelerado de implementación</w:t>
      </w:r>
      <w:r w:rsidRPr="003319D7">
        <w:rPr>
          <w:i/>
          <w:sz w:val="27"/>
          <w:szCs w:val="27"/>
        </w:rPr>
        <w:t>”.</w:t>
      </w:r>
    </w:p>
    <w:p w14:paraId="1E740887" w14:textId="77777777" w:rsidR="00665D97" w:rsidRPr="003319D7" w:rsidRDefault="00665D97" w:rsidP="00665D97">
      <w:pPr>
        <w:widowControl w:val="0"/>
        <w:tabs>
          <w:tab w:val="left" w:pos="426"/>
        </w:tabs>
        <w:autoSpaceDE w:val="0"/>
        <w:autoSpaceDN w:val="0"/>
        <w:adjustRightInd w:val="0"/>
        <w:ind w:left="284"/>
        <w:jc w:val="both"/>
        <w:rPr>
          <w:i/>
          <w:sz w:val="27"/>
          <w:szCs w:val="27"/>
        </w:rPr>
      </w:pPr>
      <w:r w:rsidRPr="003319D7">
        <w:rPr>
          <w:i/>
          <w:sz w:val="27"/>
          <w:szCs w:val="27"/>
        </w:rPr>
        <w:t>“</w:t>
      </w:r>
      <w:r w:rsidRPr="003319D7">
        <w:rPr>
          <w:b/>
          <w:i/>
          <w:sz w:val="27"/>
          <w:szCs w:val="27"/>
        </w:rPr>
        <w:t>8.4.Presupuesto suficiente y oportunamente disponible</w:t>
      </w:r>
      <w:r w:rsidRPr="003319D7">
        <w:rPr>
          <w:i/>
          <w:sz w:val="27"/>
          <w:szCs w:val="27"/>
        </w:rPr>
        <w:t>. La Sala advierte expresamente que la inexistencia de apropiaciones presupuestales o la no disponibilidad inmediata de presupuesto no será admitida bajo ninguna circunstancia por la Corte Constitucional como justificación válida para el incumplimiento de esta orden. La presente providencia genera en cabeza de los destinatarios de las órdenes aquí impartidas la obligación de asegurar que el Plan de Salvaguarda cuente con presupuesto suficiente y oportunamente disponible, para lo cual tienen el deber de aplicar la excepción de inconstitucionalidad frente a las disposiciones normativas que puedan constituir un obstáculo para ello”.</w:t>
      </w:r>
    </w:p>
    <w:p w14:paraId="6477DDB6" w14:textId="77777777" w:rsidR="00665D97" w:rsidRPr="003319D7" w:rsidRDefault="00665D97" w:rsidP="00665D97">
      <w:pPr>
        <w:widowControl w:val="0"/>
        <w:tabs>
          <w:tab w:val="left" w:pos="426"/>
        </w:tabs>
        <w:autoSpaceDE w:val="0"/>
        <w:autoSpaceDN w:val="0"/>
        <w:adjustRightInd w:val="0"/>
        <w:ind w:left="284"/>
        <w:jc w:val="both"/>
        <w:rPr>
          <w:i/>
          <w:sz w:val="27"/>
          <w:szCs w:val="27"/>
        </w:rPr>
      </w:pPr>
      <w:r w:rsidRPr="003319D7">
        <w:rPr>
          <w:i/>
          <w:sz w:val="27"/>
          <w:szCs w:val="27"/>
        </w:rPr>
        <w:t>“</w:t>
      </w:r>
      <w:r w:rsidRPr="003319D7">
        <w:rPr>
          <w:b/>
          <w:i/>
          <w:sz w:val="27"/>
          <w:szCs w:val="27"/>
        </w:rPr>
        <w:t>8.5.Cobertura material suficiente</w:t>
      </w:r>
      <w:r w:rsidRPr="003319D7">
        <w:rPr>
          <w:i/>
          <w:sz w:val="27"/>
          <w:szCs w:val="27"/>
        </w:rPr>
        <w:t>. De conformidad con el espectro fáctico de violación de los derechos fundamentales de la etnia beneficiaria, según se han descrito en la presente etnia, y desde las perspectivas de prevención, protección y materialización de los derechos de las víctimas”.</w:t>
      </w:r>
    </w:p>
    <w:p w14:paraId="65817192" w14:textId="77777777" w:rsidR="00665D97" w:rsidRPr="003319D7" w:rsidRDefault="00665D97" w:rsidP="00665D97">
      <w:pPr>
        <w:widowControl w:val="0"/>
        <w:tabs>
          <w:tab w:val="left" w:pos="426"/>
        </w:tabs>
        <w:autoSpaceDE w:val="0"/>
        <w:autoSpaceDN w:val="0"/>
        <w:adjustRightInd w:val="0"/>
        <w:ind w:left="284"/>
        <w:jc w:val="both"/>
        <w:rPr>
          <w:i/>
          <w:sz w:val="27"/>
          <w:szCs w:val="27"/>
        </w:rPr>
      </w:pPr>
      <w:r w:rsidRPr="003319D7">
        <w:rPr>
          <w:i/>
          <w:sz w:val="27"/>
          <w:szCs w:val="27"/>
        </w:rPr>
        <w:t>“</w:t>
      </w:r>
      <w:r w:rsidRPr="003319D7">
        <w:rPr>
          <w:b/>
          <w:i/>
          <w:sz w:val="27"/>
          <w:szCs w:val="27"/>
        </w:rPr>
        <w:t>8.6.Garantías de continuidad hacia el futuro</w:t>
      </w:r>
      <w:r w:rsidRPr="003319D7">
        <w:rPr>
          <w:i/>
          <w:sz w:val="27"/>
          <w:szCs w:val="27"/>
        </w:rPr>
        <w:t>. En el marco de la política pública de atención e indiferentemente a los cambios coyunturales o políticos.”.</w:t>
      </w:r>
    </w:p>
    <w:p w14:paraId="31EEE1CE" w14:textId="77777777" w:rsidR="00665D97" w:rsidRPr="003319D7" w:rsidRDefault="00665D97" w:rsidP="00665D97">
      <w:pPr>
        <w:widowControl w:val="0"/>
        <w:tabs>
          <w:tab w:val="left" w:pos="426"/>
        </w:tabs>
        <w:autoSpaceDE w:val="0"/>
        <w:autoSpaceDN w:val="0"/>
        <w:adjustRightInd w:val="0"/>
        <w:ind w:left="284"/>
        <w:jc w:val="both"/>
        <w:rPr>
          <w:i/>
          <w:sz w:val="27"/>
          <w:szCs w:val="27"/>
        </w:rPr>
      </w:pPr>
      <w:r w:rsidRPr="003319D7">
        <w:rPr>
          <w:i/>
          <w:sz w:val="27"/>
          <w:szCs w:val="27"/>
        </w:rPr>
        <w:t>“</w:t>
      </w:r>
      <w:r w:rsidRPr="003319D7">
        <w:rPr>
          <w:b/>
          <w:i/>
          <w:sz w:val="27"/>
          <w:szCs w:val="27"/>
        </w:rPr>
        <w:t>8.7.Adopción e implementación de indicadores de resultado, basados en el criterio del goce efectivo de los derechos fundamentales</w:t>
      </w:r>
      <w:r w:rsidRPr="003319D7">
        <w:rPr>
          <w:i/>
          <w:sz w:val="27"/>
          <w:szCs w:val="27"/>
        </w:rPr>
        <w:t>. Individuales y colectivos de la etnia respectiva. Estos indicadores de resultado, que habrán de ser específicos para el Plan de Salvaguarda y para cada uno de sus Componentes y Elementos Constitutivo, podrán armonizarse con las baterías de indicadores que ya han sido adoptadas por la Corte Constitucional y por el Gobierno Nacional”.</w:t>
      </w:r>
    </w:p>
    <w:p w14:paraId="345967AA" w14:textId="073AB62E" w:rsidR="00665D97" w:rsidRPr="003319D7" w:rsidRDefault="00665D97" w:rsidP="00665D97">
      <w:pPr>
        <w:widowControl w:val="0"/>
        <w:tabs>
          <w:tab w:val="left" w:pos="426"/>
        </w:tabs>
        <w:autoSpaceDE w:val="0"/>
        <w:autoSpaceDN w:val="0"/>
        <w:adjustRightInd w:val="0"/>
        <w:ind w:left="284"/>
        <w:jc w:val="both"/>
        <w:rPr>
          <w:i/>
          <w:sz w:val="27"/>
          <w:szCs w:val="27"/>
        </w:rPr>
      </w:pPr>
      <w:r w:rsidRPr="003319D7">
        <w:rPr>
          <w:i/>
          <w:sz w:val="27"/>
          <w:szCs w:val="27"/>
        </w:rPr>
        <w:t>“</w:t>
      </w:r>
      <w:r w:rsidRPr="003319D7">
        <w:rPr>
          <w:b/>
          <w:i/>
          <w:sz w:val="27"/>
          <w:szCs w:val="27"/>
        </w:rPr>
        <w:t>8.8.Diseño e implementación de mecanismos e instrumentos específicos de coordinación interinstitucional</w:t>
      </w:r>
      <w:r w:rsidRPr="003319D7">
        <w:rPr>
          <w:i/>
          <w:sz w:val="27"/>
          <w:szCs w:val="27"/>
        </w:rPr>
        <w:t>. Tanto entre las entidades del SNAIPD, como en las entidades públicas externas con las cuales se establezcan vínculos de colaboración al interior del Plan de Salvaguarda, y entre el nivel nacional y las entidades territoriales”.</w:t>
      </w:r>
    </w:p>
    <w:p w14:paraId="64EAB7B4" w14:textId="77777777" w:rsidR="00665D97" w:rsidRPr="003319D7" w:rsidRDefault="00665D97" w:rsidP="00665D97">
      <w:pPr>
        <w:widowControl w:val="0"/>
        <w:tabs>
          <w:tab w:val="left" w:pos="426"/>
        </w:tabs>
        <w:autoSpaceDE w:val="0"/>
        <w:autoSpaceDN w:val="0"/>
        <w:adjustRightInd w:val="0"/>
        <w:ind w:left="284"/>
        <w:jc w:val="both"/>
        <w:rPr>
          <w:i/>
          <w:sz w:val="27"/>
          <w:szCs w:val="27"/>
        </w:rPr>
      </w:pPr>
      <w:r w:rsidRPr="003319D7">
        <w:rPr>
          <w:i/>
          <w:sz w:val="27"/>
          <w:szCs w:val="27"/>
        </w:rPr>
        <w:t>“</w:t>
      </w:r>
      <w:r w:rsidRPr="003319D7">
        <w:rPr>
          <w:b/>
          <w:i/>
          <w:sz w:val="27"/>
          <w:szCs w:val="27"/>
        </w:rPr>
        <w:t>8.9.Desarrollo e implementación de mecanismos de evaluación y seguimiento</w:t>
      </w:r>
      <w:r w:rsidRPr="003319D7">
        <w:rPr>
          <w:i/>
          <w:sz w:val="27"/>
          <w:szCs w:val="27"/>
        </w:rPr>
        <w:t>. Que permitan medir de manera permanente el avance, el estancamiento, el rezago o el retroceso del Plan de Salvaguarda en relación con sus Componentes y Elementos Constitutivos, así como el goce efectivo de los derechos fundamentales que se busca proteger”.</w:t>
      </w:r>
    </w:p>
    <w:p w14:paraId="1B965128" w14:textId="77777777" w:rsidR="00665D97" w:rsidRPr="003319D7" w:rsidRDefault="00665D97" w:rsidP="00665D97">
      <w:pPr>
        <w:widowControl w:val="0"/>
        <w:tabs>
          <w:tab w:val="left" w:pos="426"/>
        </w:tabs>
        <w:autoSpaceDE w:val="0"/>
        <w:autoSpaceDN w:val="0"/>
        <w:adjustRightInd w:val="0"/>
        <w:ind w:left="284"/>
        <w:jc w:val="both"/>
        <w:rPr>
          <w:i/>
          <w:sz w:val="27"/>
          <w:szCs w:val="27"/>
        </w:rPr>
      </w:pPr>
      <w:r w:rsidRPr="003319D7">
        <w:rPr>
          <w:i/>
          <w:sz w:val="27"/>
          <w:szCs w:val="27"/>
        </w:rPr>
        <w:t>“</w:t>
      </w:r>
      <w:r w:rsidRPr="003319D7">
        <w:rPr>
          <w:b/>
          <w:i/>
          <w:sz w:val="27"/>
          <w:szCs w:val="27"/>
        </w:rPr>
        <w:t>8.10.Diseño e implementación de instrumentos de corrección oportuna</w:t>
      </w:r>
      <w:r w:rsidRPr="003319D7">
        <w:rPr>
          <w:i/>
          <w:sz w:val="27"/>
          <w:szCs w:val="27"/>
        </w:rPr>
        <w:t xml:space="preserve">. Frente </w:t>
      </w:r>
      <w:r w:rsidRPr="003319D7">
        <w:rPr>
          <w:i/>
          <w:sz w:val="27"/>
          <w:szCs w:val="27"/>
        </w:rPr>
        <w:lastRenderedPageBreak/>
        <w:t>a estancamientos o retrocesos en el cumplimiento de las metas del Plan”.</w:t>
      </w:r>
    </w:p>
    <w:p w14:paraId="20DB4ED0" w14:textId="70B41A0F" w:rsidR="00665D97" w:rsidRPr="00643DCF" w:rsidRDefault="00665D97" w:rsidP="00FB31C7">
      <w:pPr>
        <w:widowControl w:val="0"/>
        <w:tabs>
          <w:tab w:val="left" w:pos="426"/>
        </w:tabs>
        <w:autoSpaceDE w:val="0"/>
        <w:autoSpaceDN w:val="0"/>
        <w:adjustRightInd w:val="0"/>
        <w:ind w:left="284"/>
        <w:jc w:val="both"/>
        <w:rPr>
          <w:i/>
          <w:sz w:val="28"/>
          <w:szCs w:val="28"/>
        </w:rPr>
      </w:pPr>
      <w:r w:rsidRPr="003319D7">
        <w:rPr>
          <w:i/>
          <w:sz w:val="27"/>
          <w:szCs w:val="27"/>
        </w:rPr>
        <w:t>“8.14. “Armonización con otros procesos y programas que se adelantan por el Gobierno Nacional o por otras autoridades, pero siempre manteniendo su autonomía propia</w:t>
      </w:r>
      <w:r w:rsidRPr="00643DCF">
        <w:rPr>
          <w:i/>
          <w:sz w:val="28"/>
          <w:szCs w:val="28"/>
        </w:rPr>
        <w:t>”.</w:t>
      </w:r>
    </w:p>
    <w:p w14:paraId="5CDFC7DD" w14:textId="77777777" w:rsidR="00E035BD" w:rsidRPr="00643DCF" w:rsidRDefault="00E035BD" w:rsidP="002344DE">
      <w:pPr>
        <w:pStyle w:val="Prrafodelista"/>
        <w:widowControl w:val="0"/>
        <w:tabs>
          <w:tab w:val="left" w:pos="426"/>
        </w:tabs>
        <w:autoSpaceDE w:val="0"/>
        <w:autoSpaceDN w:val="0"/>
        <w:adjustRightInd w:val="0"/>
        <w:ind w:left="0"/>
        <w:jc w:val="both"/>
        <w:rPr>
          <w:sz w:val="28"/>
          <w:szCs w:val="28"/>
        </w:rPr>
      </w:pPr>
    </w:p>
    <w:p w14:paraId="688404A3" w14:textId="00D9340A" w:rsidR="00763C21" w:rsidRPr="00643DCF" w:rsidRDefault="002C5EE9" w:rsidP="00B14E08">
      <w:pPr>
        <w:widowControl w:val="0"/>
        <w:numPr>
          <w:ilvl w:val="0"/>
          <w:numId w:val="3"/>
        </w:numPr>
        <w:tabs>
          <w:tab w:val="left" w:pos="426"/>
        </w:tabs>
        <w:autoSpaceDE w:val="0"/>
        <w:autoSpaceDN w:val="0"/>
        <w:adjustRightInd w:val="0"/>
        <w:ind w:left="0" w:firstLine="0"/>
        <w:jc w:val="both"/>
        <w:rPr>
          <w:sz w:val="28"/>
          <w:szCs w:val="28"/>
        </w:rPr>
      </w:pPr>
      <w:r w:rsidRPr="00643DCF">
        <w:rPr>
          <w:sz w:val="28"/>
          <w:szCs w:val="28"/>
        </w:rPr>
        <w:t>Mediante oficio del 23 de septiembre de 2011</w:t>
      </w:r>
      <w:r w:rsidRPr="00643DCF">
        <w:rPr>
          <w:rStyle w:val="Refdenotaalpie"/>
          <w:sz w:val="28"/>
          <w:szCs w:val="28"/>
        </w:rPr>
        <w:footnoteReference w:id="27"/>
      </w:r>
      <w:r w:rsidR="000B0763" w:rsidRPr="00643DCF">
        <w:rPr>
          <w:sz w:val="28"/>
          <w:szCs w:val="28"/>
        </w:rPr>
        <w:t>,</w:t>
      </w:r>
      <w:r w:rsidRPr="00643DCF">
        <w:rPr>
          <w:sz w:val="28"/>
          <w:szCs w:val="28"/>
        </w:rPr>
        <w:t xml:space="preserve"> la Sala Administrativa del Consejo Superior de la Judicatura allegó a la Corte la propuesta de</w:t>
      </w:r>
      <w:r w:rsidR="00763C21" w:rsidRPr="00643DCF">
        <w:rPr>
          <w:sz w:val="28"/>
          <w:szCs w:val="28"/>
        </w:rPr>
        <w:t xml:space="preserve"> un</w:t>
      </w:r>
      <w:r w:rsidRPr="00643DCF">
        <w:rPr>
          <w:sz w:val="28"/>
          <w:szCs w:val="28"/>
        </w:rPr>
        <w:t xml:space="preserve"> “</w:t>
      </w:r>
      <w:r w:rsidRPr="00643DCF">
        <w:rPr>
          <w:i/>
          <w:sz w:val="28"/>
          <w:szCs w:val="28"/>
        </w:rPr>
        <w:t>programa y cronograma</w:t>
      </w:r>
      <w:r w:rsidRPr="00643DCF">
        <w:rPr>
          <w:sz w:val="28"/>
          <w:szCs w:val="28"/>
        </w:rPr>
        <w:t xml:space="preserve">” en el </w:t>
      </w:r>
      <w:r w:rsidR="002A4453" w:rsidRPr="00643DCF">
        <w:rPr>
          <w:sz w:val="28"/>
          <w:szCs w:val="28"/>
        </w:rPr>
        <w:t xml:space="preserve">que </w:t>
      </w:r>
      <w:r w:rsidR="00B62A65" w:rsidRPr="00643DCF">
        <w:rPr>
          <w:sz w:val="28"/>
          <w:szCs w:val="28"/>
        </w:rPr>
        <w:t xml:space="preserve">anunció </w:t>
      </w:r>
      <w:r w:rsidR="002A4453" w:rsidRPr="00643DCF">
        <w:rPr>
          <w:sz w:val="28"/>
          <w:szCs w:val="28"/>
        </w:rPr>
        <w:t>que desarrollaría a</w:t>
      </w:r>
      <w:r w:rsidRPr="00643DCF">
        <w:rPr>
          <w:sz w:val="28"/>
          <w:szCs w:val="28"/>
        </w:rPr>
        <w:t>ctividades y tareas de comunicación virtual y medios televisivos e impresos</w:t>
      </w:r>
      <w:r w:rsidR="00F927D6" w:rsidRPr="00643DCF">
        <w:rPr>
          <w:sz w:val="28"/>
          <w:szCs w:val="28"/>
        </w:rPr>
        <w:t xml:space="preserve">, </w:t>
      </w:r>
      <w:r w:rsidRPr="00643DCF">
        <w:rPr>
          <w:sz w:val="28"/>
          <w:szCs w:val="28"/>
        </w:rPr>
        <w:t>publica</w:t>
      </w:r>
      <w:r w:rsidR="00763C21" w:rsidRPr="00643DCF">
        <w:rPr>
          <w:sz w:val="28"/>
          <w:szCs w:val="28"/>
        </w:rPr>
        <w:t>ci</w:t>
      </w:r>
      <w:r w:rsidR="002A4453" w:rsidRPr="00643DCF">
        <w:rPr>
          <w:sz w:val="28"/>
          <w:szCs w:val="28"/>
        </w:rPr>
        <w:t>ones</w:t>
      </w:r>
      <w:r w:rsidR="00763C21" w:rsidRPr="00643DCF">
        <w:rPr>
          <w:sz w:val="28"/>
          <w:szCs w:val="28"/>
        </w:rPr>
        <w:t xml:space="preserve"> </w:t>
      </w:r>
      <w:r w:rsidR="00FE020A" w:rsidRPr="00643DCF">
        <w:rPr>
          <w:sz w:val="28"/>
          <w:szCs w:val="28"/>
        </w:rPr>
        <w:t>de la sentencia y</w:t>
      </w:r>
      <w:r w:rsidR="001F6D48" w:rsidRPr="00643DCF">
        <w:rPr>
          <w:sz w:val="28"/>
          <w:szCs w:val="28"/>
        </w:rPr>
        <w:t xml:space="preserve"> de</w:t>
      </w:r>
      <w:r w:rsidR="00FE020A" w:rsidRPr="00643DCF">
        <w:rPr>
          <w:sz w:val="28"/>
          <w:szCs w:val="28"/>
        </w:rPr>
        <w:t xml:space="preserve"> los autos de seguimiento, de </w:t>
      </w:r>
      <w:r w:rsidR="00763C21" w:rsidRPr="00643DCF">
        <w:rPr>
          <w:sz w:val="28"/>
          <w:szCs w:val="28"/>
        </w:rPr>
        <w:t xml:space="preserve">manera continua </w:t>
      </w:r>
      <w:r w:rsidRPr="00643DCF">
        <w:rPr>
          <w:sz w:val="28"/>
          <w:szCs w:val="28"/>
        </w:rPr>
        <w:t>en el por</w:t>
      </w:r>
      <w:r w:rsidR="00E14902" w:rsidRPr="00643DCF">
        <w:rPr>
          <w:sz w:val="28"/>
          <w:szCs w:val="28"/>
        </w:rPr>
        <w:t xml:space="preserve">tal </w:t>
      </w:r>
      <w:r w:rsidR="006C6B21" w:rsidRPr="00643DCF">
        <w:rPr>
          <w:sz w:val="28"/>
          <w:szCs w:val="28"/>
        </w:rPr>
        <w:t>web</w:t>
      </w:r>
      <w:r w:rsidR="00E14902" w:rsidRPr="00643DCF">
        <w:rPr>
          <w:sz w:val="28"/>
          <w:szCs w:val="28"/>
        </w:rPr>
        <w:t xml:space="preserve"> de la Rama Judicial</w:t>
      </w:r>
      <w:r w:rsidR="00FE020A" w:rsidRPr="00643DCF">
        <w:rPr>
          <w:sz w:val="28"/>
          <w:szCs w:val="28"/>
        </w:rPr>
        <w:t xml:space="preserve">, que cuenta </w:t>
      </w:r>
      <w:r w:rsidR="005535A6" w:rsidRPr="00643DCF">
        <w:rPr>
          <w:sz w:val="28"/>
          <w:szCs w:val="28"/>
        </w:rPr>
        <w:t xml:space="preserve">con </w:t>
      </w:r>
      <w:r w:rsidR="001F6D48" w:rsidRPr="00643DCF">
        <w:rPr>
          <w:sz w:val="28"/>
          <w:szCs w:val="28"/>
        </w:rPr>
        <w:t xml:space="preserve">un </w:t>
      </w:r>
      <w:r w:rsidR="005535A6" w:rsidRPr="00643DCF">
        <w:rPr>
          <w:sz w:val="28"/>
          <w:szCs w:val="28"/>
        </w:rPr>
        <w:t>c</w:t>
      </w:r>
      <w:r w:rsidRPr="00643DCF">
        <w:rPr>
          <w:sz w:val="28"/>
          <w:szCs w:val="28"/>
        </w:rPr>
        <w:t>ontador de ingreso</w:t>
      </w:r>
      <w:r w:rsidR="005535A6" w:rsidRPr="00643DCF">
        <w:rPr>
          <w:sz w:val="28"/>
          <w:szCs w:val="28"/>
        </w:rPr>
        <w:t>s al vínculo y</w:t>
      </w:r>
      <w:r w:rsidRPr="00643DCF">
        <w:rPr>
          <w:sz w:val="28"/>
          <w:szCs w:val="28"/>
        </w:rPr>
        <w:t xml:space="preserve"> estadística </w:t>
      </w:r>
      <w:r w:rsidR="00F927D6" w:rsidRPr="00643DCF">
        <w:rPr>
          <w:sz w:val="28"/>
          <w:szCs w:val="28"/>
        </w:rPr>
        <w:t>d</w:t>
      </w:r>
      <w:r w:rsidRPr="00643DCF">
        <w:rPr>
          <w:sz w:val="28"/>
          <w:szCs w:val="28"/>
        </w:rPr>
        <w:t>el número de usuarios</w:t>
      </w:r>
      <w:r w:rsidR="00763C21" w:rsidRPr="00643DCF">
        <w:rPr>
          <w:sz w:val="28"/>
          <w:szCs w:val="28"/>
        </w:rPr>
        <w:t xml:space="preserve"> que consulta</w:t>
      </w:r>
      <w:r w:rsidR="005535A6" w:rsidRPr="00643DCF">
        <w:rPr>
          <w:sz w:val="28"/>
          <w:szCs w:val="28"/>
        </w:rPr>
        <w:t>n</w:t>
      </w:r>
      <w:r w:rsidR="00763C21" w:rsidRPr="00643DCF">
        <w:rPr>
          <w:sz w:val="28"/>
          <w:szCs w:val="28"/>
        </w:rPr>
        <w:t xml:space="preserve"> la información.</w:t>
      </w:r>
    </w:p>
    <w:p w14:paraId="2BB2D3A2" w14:textId="77777777" w:rsidR="00763C21" w:rsidRPr="00643DCF" w:rsidRDefault="00763C21" w:rsidP="00763C21">
      <w:pPr>
        <w:widowControl w:val="0"/>
        <w:tabs>
          <w:tab w:val="left" w:pos="426"/>
        </w:tabs>
        <w:autoSpaceDE w:val="0"/>
        <w:autoSpaceDN w:val="0"/>
        <w:adjustRightInd w:val="0"/>
        <w:jc w:val="both"/>
        <w:rPr>
          <w:sz w:val="28"/>
          <w:szCs w:val="28"/>
        </w:rPr>
      </w:pPr>
    </w:p>
    <w:p w14:paraId="066DAF58" w14:textId="2E013F2C" w:rsidR="00E74339" w:rsidRPr="00643DCF" w:rsidRDefault="00763C21" w:rsidP="00763C21">
      <w:pPr>
        <w:widowControl w:val="0"/>
        <w:tabs>
          <w:tab w:val="left" w:pos="426"/>
        </w:tabs>
        <w:autoSpaceDE w:val="0"/>
        <w:autoSpaceDN w:val="0"/>
        <w:adjustRightInd w:val="0"/>
        <w:jc w:val="both"/>
        <w:rPr>
          <w:sz w:val="28"/>
          <w:szCs w:val="28"/>
        </w:rPr>
      </w:pPr>
      <w:r w:rsidRPr="00643DCF">
        <w:rPr>
          <w:sz w:val="28"/>
          <w:szCs w:val="28"/>
        </w:rPr>
        <w:t>C</w:t>
      </w:r>
      <w:r w:rsidR="002C5EE9" w:rsidRPr="00643DCF">
        <w:rPr>
          <w:sz w:val="28"/>
          <w:szCs w:val="28"/>
        </w:rPr>
        <w:t>omo segunda medida</w:t>
      </w:r>
      <w:r w:rsidR="00C63D6A" w:rsidRPr="00643DCF">
        <w:rPr>
          <w:sz w:val="28"/>
          <w:szCs w:val="28"/>
        </w:rPr>
        <w:t>,</w:t>
      </w:r>
      <w:r w:rsidR="002C5EE9" w:rsidRPr="00643DCF">
        <w:rPr>
          <w:sz w:val="28"/>
          <w:szCs w:val="28"/>
        </w:rPr>
        <w:t xml:space="preserve"> </w:t>
      </w:r>
      <w:r w:rsidR="006D45AA" w:rsidRPr="00643DCF">
        <w:rPr>
          <w:sz w:val="28"/>
          <w:szCs w:val="28"/>
        </w:rPr>
        <w:t>planteó</w:t>
      </w:r>
      <w:r w:rsidR="002C5EE9" w:rsidRPr="00643DCF">
        <w:rPr>
          <w:sz w:val="28"/>
          <w:szCs w:val="28"/>
        </w:rPr>
        <w:t xml:space="preserve"> llevar a cabo foros, videoconferencias, teleconferencias, programas de televisión y chats </w:t>
      </w:r>
      <w:r w:rsidR="00854923" w:rsidRPr="00643DCF">
        <w:rPr>
          <w:sz w:val="28"/>
          <w:szCs w:val="28"/>
        </w:rPr>
        <w:t>con la participación de</w:t>
      </w:r>
      <w:r w:rsidR="002C5EE9" w:rsidRPr="00643DCF">
        <w:rPr>
          <w:sz w:val="28"/>
          <w:szCs w:val="28"/>
        </w:rPr>
        <w:t xml:space="preserve"> los </w:t>
      </w:r>
      <w:r w:rsidR="001F6D48" w:rsidRPr="00643DCF">
        <w:rPr>
          <w:sz w:val="28"/>
          <w:szCs w:val="28"/>
        </w:rPr>
        <w:t>m</w:t>
      </w:r>
      <w:r w:rsidR="002C5EE9" w:rsidRPr="00643DCF">
        <w:rPr>
          <w:sz w:val="28"/>
          <w:szCs w:val="28"/>
        </w:rPr>
        <w:t>agistr</w:t>
      </w:r>
      <w:r w:rsidRPr="00643DCF">
        <w:rPr>
          <w:sz w:val="28"/>
          <w:szCs w:val="28"/>
        </w:rPr>
        <w:t>ados de la Corte Constitucional</w:t>
      </w:r>
      <w:r w:rsidR="001167DC" w:rsidRPr="00643DCF">
        <w:rPr>
          <w:sz w:val="28"/>
          <w:szCs w:val="28"/>
        </w:rPr>
        <w:t>,</w:t>
      </w:r>
      <w:r w:rsidR="001F6D48" w:rsidRPr="00643DCF">
        <w:rPr>
          <w:sz w:val="28"/>
          <w:szCs w:val="28"/>
        </w:rPr>
        <w:t xml:space="preserve"> para que</w:t>
      </w:r>
      <w:r w:rsidR="00C63D6A" w:rsidRPr="00643DCF">
        <w:rPr>
          <w:sz w:val="28"/>
          <w:szCs w:val="28"/>
        </w:rPr>
        <w:t xml:space="preserve"> de esta forma</w:t>
      </w:r>
      <w:r w:rsidR="002C5EE9" w:rsidRPr="00643DCF">
        <w:rPr>
          <w:sz w:val="28"/>
          <w:szCs w:val="28"/>
        </w:rPr>
        <w:t xml:space="preserve"> los ciudadanos que tuvie</w:t>
      </w:r>
      <w:r w:rsidR="001F6D48" w:rsidRPr="00643DCF">
        <w:rPr>
          <w:sz w:val="28"/>
          <w:szCs w:val="28"/>
        </w:rPr>
        <w:t>r</w:t>
      </w:r>
      <w:r w:rsidR="002C5EE9" w:rsidRPr="00643DCF">
        <w:rPr>
          <w:sz w:val="28"/>
          <w:szCs w:val="28"/>
        </w:rPr>
        <w:t xml:space="preserve">en interés en profundizar </w:t>
      </w:r>
      <w:r w:rsidR="00F21C1E" w:rsidRPr="00643DCF">
        <w:rPr>
          <w:sz w:val="28"/>
          <w:szCs w:val="28"/>
        </w:rPr>
        <w:t xml:space="preserve">pudieran </w:t>
      </w:r>
      <w:r w:rsidRPr="00643DCF">
        <w:rPr>
          <w:sz w:val="28"/>
          <w:szCs w:val="28"/>
        </w:rPr>
        <w:t>acceder</w:t>
      </w:r>
      <w:r w:rsidR="002C5EE9" w:rsidRPr="00643DCF">
        <w:rPr>
          <w:sz w:val="28"/>
          <w:szCs w:val="28"/>
        </w:rPr>
        <w:t xml:space="preserve"> a </w:t>
      </w:r>
      <w:r w:rsidR="00826B3C" w:rsidRPr="00643DCF">
        <w:rPr>
          <w:sz w:val="28"/>
          <w:szCs w:val="28"/>
        </w:rPr>
        <w:t>tal</w:t>
      </w:r>
      <w:r w:rsidR="002C5EE9" w:rsidRPr="00643DCF">
        <w:rPr>
          <w:sz w:val="28"/>
          <w:szCs w:val="28"/>
        </w:rPr>
        <w:t xml:space="preserve"> herramienta</w:t>
      </w:r>
      <w:r w:rsidR="001F6D48" w:rsidRPr="00643DCF">
        <w:rPr>
          <w:sz w:val="28"/>
          <w:szCs w:val="28"/>
        </w:rPr>
        <w:t>. I</w:t>
      </w:r>
      <w:r w:rsidR="00BA05FC" w:rsidRPr="00643DCF">
        <w:rPr>
          <w:sz w:val="28"/>
          <w:szCs w:val="28"/>
        </w:rPr>
        <w:t>gualmente</w:t>
      </w:r>
      <w:r w:rsidR="002C5EE9" w:rsidRPr="00643DCF">
        <w:rPr>
          <w:sz w:val="28"/>
          <w:szCs w:val="28"/>
        </w:rPr>
        <w:t xml:space="preserve"> </w:t>
      </w:r>
      <w:r w:rsidR="004C5E82" w:rsidRPr="00643DCF">
        <w:rPr>
          <w:sz w:val="28"/>
          <w:szCs w:val="28"/>
        </w:rPr>
        <w:t>sugirió</w:t>
      </w:r>
      <w:r w:rsidR="002C5EE9" w:rsidRPr="00643DCF">
        <w:rPr>
          <w:sz w:val="28"/>
          <w:szCs w:val="28"/>
        </w:rPr>
        <w:t xml:space="preserve"> practicar encuestas virtuales a través </w:t>
      </w:r>
      <w:r w:rsidR="001F6D48" w:rsidRPr="00643DCF">
        <w:rPr>
          <w:sz w:val="28"/>
          <w:szCs w:val="28"/>
        </w:rPr>
        <w:t xml:space="preserve">de </w:t>
      </w:r>
      <w:r w:rsidR="00720900" w:rsidRPr="00643DCF">
        <w:rPr>
          <w:sz w:val="28"/>
          <w:szCs w:val="28"/>
        </w:rPr>
        <w:t xml:space="preserve">su </w:t>
      </w:r>
      <w:r w:rsidR="002C5EE9" w:rsidRPr="00643DCF">
        <w:rPr>
          <w:sz w:val="28"/>
          <w:szCs w:val="28"/>
        </w:rPr>
        <w:t xml:space="preserve">página </w:t>
      </w:r>
      <w:r w:rsidR="006C6B21" w:rsidRPr="00643DCF">
        <w:rPr>
          <w:sz w:val="28"/>
          <w:szCs w:val="28"/>
        </w:rPr>
        <w:t>web</w:t>
      </w:r>
      <w:r w:rsidR="002C5EE9" w:rsidRPr="00643DCF">
        <w:rPr>
          <w:sz w:val="28"/>
          <w:szCs w:val="28"/>
        </w:rPr>
        <w:t xml:space="preserve"> para establecer </w:t>
      </w:r>
      <w:r w:rsidR="009E214C" w:rsidRPr="00643DCF">
        <w:rPr>
          <w:sz w:val="28"/>
          <w:szCs w:val="28"/>
        </w:rPr>
        <w:t>la</w:t>
      </w:r>
      <w:r w:rsidR="002C5EE9" w:rsidRPr="00643DCF">
        <w:rPr>
          <w:sz w:val="28"/>
          <w:szCs w:val="28"/>
        </w:rPr>
        <w:t xml:space="preserve"> cantidad de persona</w:t>
      </w:r>
      <w:r w:rsidR="009E214C" w:rsidRPr="00643DCF">
        <w:rPr>
          <w:sz w:val="28"/>
          <w:szCs w:val="28"/>
        </w:rPr>
        <w:t>s que</w:t>
      </w:r>
      <w:r w:rsidR="002C5EE9" w:rsidRPr="00643DCF">
        <w:rPr>
          <w:sz w:val="28"/>
          <w:szCs w:val="28"/>
        </w:rPr>
        <w:t xml:space="preserve"> </w:t>
      </w:r>
      <w:r w:rsidR="00BD4DED" w:rsidRPr="00643DCF">
        <w:rPr>
          <w:sz w:val="28"/>
          <w:szCs w:val="28"/>
        </w:rPr>
        <w:t>utilizaban</w:t>
      </w:r>
      <w:r w:rsidR="002C5EE9" w:rsidRPr="00643DCF">
        <w:rPr>
          <w:sz w:val="28"/>
          <w:szCs w:val="28"/>
        </w:rPr>
        <w:t xml:space="preserve"> el materia</w:t>
      </w:r>
      <w:r w:rsidRPr="00643DCF">
        <w:rPr>
          <w:sz w:val="28"/>
          <w:szCs w:val="28"/>
        </w:rPr>
        <w:t>l</w:t>
      </w:r>
      <w:r w:rsidR="00495CED" w:rsidRPr="00643DCF">
        <w:rPr>
          <w:rStyle w:val="Refdenotaalpie"/>
          <w:sz w:val="28"/>
          <w:szCs w:val="28"/>
        </w:rPr>
        <w:footnoteReference w:id="28"/>
      </w:r>
      <w:r w:rsidR="002C5EE9" w:rsidRPr="00643DCF">
        <w:rPr>
          <w:sz w:val="28"/>
          <w:szCs w:val="28"/>
        </w:rPr>
        <w:t xml:space="preserve"> </w:t>
      </w:r>
      <w:r w:rsidR="009E214C" w:rsidRPr="00643DCF">
        <w:rPr>
          <w:sz w:val="28"/>
          <w:szCs w:val="28"/>
        </w:rPr>
        <w:t xml:space="preserve">relacionado </w:t>
      </w:r>
      <w:r w:rsidR="002C5EE9" w:rsidRPr="00643DCF">
        <w:rPr>
          <w:sz w:val="28"/>
          <w:szCs w:val="28"/>
        </w:rPr>
        <w:t>con el derecho</w:t>
      </w:r>
      <w:r w:rsidRPr="00643DCF">
        <w:rPr>
          <w:sz w:val="28"/>
          <w:szCs w:val="28"/>
        </w:rPr>
        <w:t xml:space="preserve"> </w:t>
      </w:r>
      <w:r w:rsidR="006C3421">
        <w:rPr>
          <w:sz w:val="28"/>
          <w:szCs w:val="28"/>
        </w:rPr>
        <w:t>a</w:t>
      </w:r>
      <w:r w:rsidRPr="00643DCF">
        <w:rPr>
          <w:sz w:val="28"/>
          <w:szCs w:val="28"/>
        </w:rPr>
        <w:t xml:space="preserve"> la salud</w:t>
      </w:r>
      <w:r w:rsidR="001F6D48" w:rsidRPr="00643DCF">
        <w:rPr>
          <w:sz w:val="28"/>
          <w:szCs w:val="28"/>
        </w:rPr>
        <w:t>.</w:t>
      </w:r>
      <w:r w:rsidR="00A4596C" w:rsidRPr="00643DCF">
        <w:rPr>
          <w:sz w:val="28"/>
          <w:szCs w:val="28"/>
        </w:rPr>
        <w:t xml:space="preserve"> </w:t>
      </w:r>
      <w:r w:rsidR="001F6D48" w:rsidRPr="00643DCF">
        <w:rPr>
          <w:sz w:val="28"/>
          <w:szCs w:val="28"/>
        </w:rPr>
        <w:t>F</w:t>
      </w:r>
      <w:r w:rsidR="00A4596C" w:rsidRPr="00643DCF">
        <w:rPr>
          <w:sz w:val="28"/>
          <w:szCs w:val="28"/>
        </w:rPr>
        <w:t>i</w:t>
      </w:r>
      <w:r w:rsidR="008076AD" w:rsidRPr="00643DCF">
        <w:rPr>
          <w:sz w:val="28"/>
          <w:szCs w:val="28"/>
        </w:rPr>
        <w:t>nalmente</w:t>
      </w:r>
      <w:r w:rsidR="001F6D48" w:rsidRPr="00643DCF">
        <w:rPr>
          <w:sz w:val="28"/>
          <w:szCs w:val="28"/>
        </w:rPr>
        <w:t>,</w:t>
      </w:r>
      <w:r w:rsidR="00A4596C" w:rsidRPr="00643DCF">
        <w:rPr>
          <w:sz w:val="28"/>
          <w:szCs w:val="28"/>
        </w:rPr>
        <w:t xml:space="preserve"> </w:t>
      </w:r>
      <w:r w:rsidR="008076AD" w:rsidRPr="00643DCF">
        <w:rPr>
          <w:sz w:val="28"/>
          <w:szCs w:val="28"/>
        </w:rPr>
        <w:t xml:space="preserve">propuso </w:t>
      </w:r>
      <w:r w:rsidR="002C5EE9" w:rsidRPr="00643DCF">
        <w:rPr>
          <w:sz w:val="28"/>
          <w:szCs w:val="28"/>
        </w:rPr>
        <w:t>hacer uso de los medios de comunicación como l</w:t>
      </w:r>
      <w:r w:rsidRPr="00643DCF">
        <w:rPr>
          <w:sz w:val="28"/>
          <w:szCs w:val="28"/>
        </w:rPr>
        <w:t xml:space="preserve">a </w:t>
      </w:r>
      <w:r w:rsidR="002C5EE9" w:rsidRPr="00643DCF">
        <w:rPr>
          <w:sz w:val="28"/>
          <w:szCs w:val="28"/>
        </w:rPr>
        <w:t xml:space="preserve">radio, prensa y el canal institucional </w:t>
      </w:r>
      <w:r w:rsidR="00C63D6A" w:rsidRPr="00643DCF">
        <w:rPr>
          <w:sz w:val="28"/>
          <w:szCs w:val="28"/>
        </w:rPr>
        <w:t xml:space="preserve">con el fin de </w:t>
      </w:r>
      <w:r w:rsidR="002C5EE9" w:rsidRPr="00643DCF">
        <w:rPr>
          <w:sz w:val="28"/>
          <w:szCs w:val="28"/>
        </w:rPr>
        <w:t>difundir y divulga</w:t>
      </w:r>
      <w:r w:rsidR="00E14902" w:rsidRPr="00643DCF">
        <w:rPr>
          <w:sz w:val="28"/>
          <w:szCs w:val="28"/>
        </w:rPr>
        <w:t xml:space="preserve">r </w:t>
      </w:r>
      <w:r w:rsidR="001F6D48" w:rsidRPr="00643DCF">
        <w:rPr>
          <w:sz w:val="28"/>
          <w:szCs w:val="28"/>
        </w:rPr>
        <w:t>el fallo de tutela</w:t>
      </w:r>
      <w:r w:rsidR="002C5EE9" w:rsidRPr="00643DCF">
        <w:rPr>
          <w:sz w:val="28"/>
          <w:szCs w:val="28"/>
        </w:rPr>
        <w:t>.</w:t>
      </w:r>
    </w:p>
    <w:p w14:paraId="38EC6D01" w14:textId="77777777" w:rsidR="00CF2162" w:rsidRPr="00643DCF" w:rsidRDefault="00CF2162" w:rsidP="00CF2162">
      <w:pPr>
        <w:widowControl w:val="0"/>
        <w:tabs>
          <w:tab w:val="left" w:pos="426"/>
        </w:tabs>
        <w:autoSpaceDE w:val="0"/>
        <w:autoSpaceDN w:val="0"/>
        <w:adjustRightInd w:val="0"/>
        <w:jc w:val="both"/>
        <w:rPr>
          <w:sz w:val="28"/>
          <w:szCs w:val="28"/>
        </w:rPr>
      </w:pPr>
    </w:p>
    <w:p w14:paraId="611E9561" w14:textId="147314DE" w:rsidR="00E74339" w:rsidRPr="00643DCF" w:rsidRDefault="00E74339" w:rsidP="00B14E08">
      <w:pPr>
        <w:widowControl w:val="0"/>
        <w:numPr>
          <w:ilvl w:val="0"/>
          <w:numId w:val="3"/>
        </w:numPr>
        <w:tabs>
          <w:tab w:val="left" w:pos="426"/>
        </w:tabs>
        <w:autoSpaceDE w:val="0"/>
        <w:autoSpaceDN w:val="0"/>
        <w:adjustRightInd w:val="0"/>
        <w:ind w:left="0" w:firstLine="0"/>
        <w:jc w:val="both"/>
        <w:rPr>
          <w:sz w:val="28"/>
          <w:szCs w:val="28"/>
        </w:rPr>
      </w:pPr>
      <w:r w:rsidRPr="00643DCF">
        <w:rPr>
          <w:sz w:val="28"/>
          <w:szCs w:val="28"/>
        </w:rPr>
        <w:t>El 28 de noviembre de 2011</w:t>
      </w:r>
      <w:r w:rsidR="0004133E" w:rsidRPr="00643DCF">
        <w:rPr>
          <w:rStyle w:val="Refdenotaalpie"/>
          <w:sz w:val="28"/>
          <w:szCs w:val="28"/>
        </w:rPr>
        <w:footnoteReference w:id="29"/>
      </w:r>
      <w:r w:rsidR="00AA56FE" w:rsidRPr="00643DCF">
        <w:rPr>
          <w:sz w:val="28"/>
          <w:szCs w:val="28"/>
        </w:rPr>
        <w:t>,</w:t>
      </w:r>
      <w:r w:rsidRPr="00643DCF">
        <w:rPr>
          <w:sz w:val="28"/>
          <w:szCs w:val="28"/>
        </w:rPr>
        <w:t xml:space="preserve"> la </w:t>
      </w:r>
      <w:r w:rsidR="00BE225C" w:rsidRPr="00643DCF">
        <w:rPr>
          <w:sz w:val="28"/>
          <w:szCs w:val="28"/>
        </w:rPr>
        <w:t>Escuela judicial</w:t>
      </w:r>
      <w:r w:rsidRPr="00643DCF">
        <w:rPr>
          <w:sz w:val="28"/>
          <w:szCs w:val="28"/>
        </w:rPr>
        <w:t xml:space="preserve"> </w:t>
      </w:r>
      <w:r w:rsidR="00145AA1" w:rsidRPr="00643DCF">
        <w:rPr>
          <w:sz w:val="28"/>
          <w:szCs w:val="28"/>
        </w:rPr>
        <w:t>Rodrigo Lara Bonilla</w:t>
      </w:r>
      <w:r w:rsidRPr="00643DCF">
        <w:rPr>
          <w:sz w:val="28"/>
          <w:szCs w:val="28"/>
        </w:rPr>
        <w:t xml:space="preserve"> </w:t>
      </w:r>
      <w:r w:rsidR="00EA7E1E" w:rsidRPr="00643DCF">
        <w:rPr>
          <w:sz w:val="28"/>
          <w:szCs w:val="28"/>
        </w:rPr>
        <w:t>allegó</w:t>
      </w:r>
      <w:r w:rsidRPr="00643DCF">
        <w:rPr>
          <w:sz w:val="28"/>
          <w:szCs w:val="28"/>
        </w:rPr>
        <w:t xml:space="preserve"> el “</w:t>
      </w:r>
      <w:r w:rsidRPr="00643DCF">
        <w:rPr>
          <w:i/>
          <w:sz w:val="28"/>
          <w:szCs w:val="28"/>
        </w:rPr>
        <w:t>Subprograma de Formación Judicial Especializado sobre el Régimen General de Seguridad Social en Salud</w:t>
      </w:r>
      <w:r w:rsidR="00DE2B69" w:rsidRPr="00643DCF">
        <w:rPr>
          <w:sz w:val="28"/>
          <w:szCs w:val="28"/>
        </w:rPr>
        <w:t>”</w:t>
      </w:r>
      <w:r w:rsidR="00F161C3" w:rsidRPr="00643DCF">
        <w:rPr>
          <w:sz w:val="28"/>
          <w:szCs w:val="28"/>
        </w:rPr>
        <w:t>, e</w:t>
      </w:r>
      <w:r w:rsidR="00C716C9" w:rsidRPr="00643DCF">
        <w:rPr>
          <w:sz w:val="28"/>
          <w:szCs w:val="28"/>
        </w:rPr>
        <w:t xml:space="preserve">l cual en su numeral </w:t>
      </w:r>
      <w:r w:rsidR="000B0763" w:rsidRPr="00643DCF">
        <w:rPr>
          <w:sz w:val="28"/>
          <w:szCs w:val="28"/>
        </w:rPr>
        <w:t>séptimo</w:t>
      </w:r>
      <w:r w:rsidR="00894A27" w:rsidRPr="00643DCF">
        <w:rPr>
          <w:sz w:val="28"/>
          <w:szCs w:val="28"/>
        </w:rPr>
        <w:t xml:space="preserve"> </w:t>
      </w:r>
      <w:r w:rsidR="007C37BF" w:rsidRPr="00643DCF">
        <w:rPr>
          <w:sz w:val="28"/>
          <w:szCs w:val="28"/>
        </w:rPr>
        <w:t xml:space="preserve">estableció </w:t>
      </w:r>
      <w:r w:rsidR="00F161C3" w:rsidRPr="00643DCF">
        <w:rPr>
          <w:sz w:val="28"/>
          <w:szCs w:val="28"/>
        </w:rPr>
        <w:t>c</w:t>
      </w:r>
      <w:r w:rsidR="00F766B4" w:rsidRPr="00643DCF">
        <w:rPr>
          <w:sz w:val="28"/>
          <w:szCs w:val="28"/>
        </w:rPr>
        <w:t>ó</w:t>
      </w:r>
      <w:r w:rsidR="00F161C3" w:rsidRPr="00643DCF">
        <w:rPr>
          <w:sz w:val="28"/>
          <w:szCs w:val="28"/>
        </w:rPr>
        <w:t xml:space="preserve">mo </w:t>
      </w:r>
      <w:r w:rsidR="001167DC" w:rsidRPr="00643DCF">
        <w:rPr>
          <w:sz w:val="28"/>
          <w:szCs w:val="28"/>
        </w:rPr>
        <w:t xml:space="preserve">se </w:t>
      </w:r>
      <w:r w:rsidR="00894A27" w:rsidRPr="00643DCF">
        <w:rPr>
          <w:sz w:val="28"/>
          <w:szCs w:val="28"/>
        </w:rPr>
        <w:t>debería llevar a cabo</w:t>
      </w:r>
      <w:r w:rsidR="007C37BF" w:rsidRPr="00643DCF">
        <w:rPr>
          <w:sz w:val="28"/>
          <w:szCs w:val="28"/>
        </w:rPr>
        <w:t xml:space="preserve"> </w:t>
      </w:r>
      <w:r w:rsidR="001F2076" w:rsidRPr="00643DCF">
        <w:rPr>
          <w:sz w:val="28"/>
          <w:szCs w:val="28"/>
        </w:rPr>
        <w:t xml:space="preserve">el proceso de </w:t>
      </w:r>
      <w:r w:rsidR="002454A2" w:rsidRPr="00643DCF">
        <w:rPr>
          <w:sz w:val="28"/>
          <w:szCs w:val="28"/>
        </w:rPr>
        <w:t xml:space="preserve">divulgación del fallo, </w:t>
      </w:r>
      <w:r w:rsidR="007C37BF" w:rsidRPr="00643DCF">
        <w:rPr>
          <w:sz w:val="28"/>
          <w:szCs w:val="28"/>
        </w:rPr>
        <w:t>la incorporación de los contenidos en los programas de formación especializad</w:t>
      </w:r>
      <w:r w:rsidR="0078327E" w:rsidRPr="00643DCF">
        <w:rPr>
          <w:sz w:val="28"/>
          <w:szCs w:val="28"/>
        </w:rPr>
        <w:t>a en el área del trabajo social</w:t>
      </w:r>
      <w:r w:rsidR="001F2076" w:rsidRPr="00643DCF">
        <w:rPr>
          <w:sz w:val="28"/>
          <w:szCs w:val="28"/>
        </w:rPr>
        <w:t xml:space="preserve">, indicando que debían </w:t>
      </w:r>
      <w:r w:rsidR="00AD33C1" w:rsidRPr="00643DCF">
        <w:rPr>
          <w:sz w:val="28"/>
          <w:szCs w:val="28"/>
        </w:rPr>
        <w:t>incluirse en dichos programas a l</w:t>
      </w:r>
      <w:r w:rsidR="007C37BF" w:rsidRPr="00643DCF">
        <w:rPr>
          <w:sz w:val="28"/>
          <w:szCs w:val="28"/>
        </w:rPr>
        <w:t xml:space="preserve">os abogados litigantes de la </w:t>
      </w:r>
      <w:r w:rsidR="00081F35" w:rsidRPr="00643DCF">
        <w:rPr>
          <w:sz w:val="28"/>
          <w:szCs w:val="28"/>
        </w:rPr>
        <w:t>e</w:t>
      </w:r>
      <w:r w:rsidR="00E14902" w:rsidRPr="00643DCF">
        <w:rPr>
          <w:sz w:val="28"/>
          <w:szCs w:val="28"/>
        </w:rPr>
        <w:t xml:space="preserve">scuela </w:t>
      </w:r>
      <w:r w:rsidR="00081F35" w:rsidRPr="00643DCF">
        <w:rPr>
          <w:sz w:val="28"/>
          <w:szCs w:val="28"/>
        </w:rPr>
        <w:t>j</w:t>
      </w:r>
      <w:r w:rsidR="00E14902" w:rsidRPr="00643DCF">
        <w:rPr>
          <w:sz w:val="28"/>
          <w:szCs w:val="28"/>
        </w:rPr>
        <w:t>udicial</w:t>
      </w:r>
      <w:r w:rsidR="007C37BF" w:rsidRPr="00643DCF">
        <w:rPr>
          <w:sz w:val="28"/>
          <w:szCs w:val="28"/>
        </w:rPr>
        <w:t>.</w:t>
      </w:r>
    </w:p>
    <w:p w14:paraId="6D559828" w14:textId="77777777" w:rsidR="00E74339" w:rsidRPr="00643DCF" w:rsidRDefault="00E74339" w:rsidP="008F680E">
      <w:pPr>
        <w:rPr>
          <w:sz w:val="28"/>
          <w:szCs w:val="28"/>
        </w:rPr>
      </w:pPr>
    </w:p>
    <w:p w14:paraId="4087A4A1" w14:textId="5F3AF76D" w:rsidR="007C318B" w:rsidRPr="00643DCF" w:rsidRDefault="004708FB" w:rsidP="00230728">
      <w:pPr>
        <w:widowControl w:val="0"/>
        <w:numPr>
          <w:ilvl w:val="0"/>
          <w:numId w:val="3"/>
        </w:numPr>
        <w:tabs>
          <w:tab w:val="left" w:pos="426"/>
        </w:tabs>
        <w:autoSpaceDE w:val="0"/>
        <w:autoSpaceDN w:val="0"/>
        <w:adjustRightInd w:val="0"/>
        <w:ind w:left="0" w:firstLine="0"/>
        <w:jc w:val="both"/>
        <w:rPr>
          <w:rFonts w:eastAsia="Batang"/>
          <w:bCs/>
          <w:sz w:val="28"/>
          <w:szCs w:val="28"/>
        </w:rPr>
      </w:pPr>
      <w:r w:rsidRPr="00643DCF">
        <w:rPr>
          <w:sz w:val="28"/>
          <w:szCs w:val="28"/>
        </w:rPr>
        <w:t>El 8 de noviembre de 2012</w:t>
      </w:r>
      <w:r w:rsidRPr="00643DCF">
        <w:rPr>
          <w:rStyle w:val="Refdenotaalpie"/>
          <w:sz w:val="28"/>
          <w:szCs w:val="28"/>
        </w:rPr>
        <w:footnoteReference w:id="30"/>
      </w:r>
      <w:r w:rsidR="0078327E" w:rsidRPr="00643DCF">
        <w:rPr>
          <w:sz w:val="28"/>
          <w:szCs w:val="28"/>
        </w:rPr>
        <w:t xml:space="preserve"> la Defensoría del Pueblo radicó</w:t>
      </w:r>
      <w:r w:rsidRPr="00643DCF">
        <w:rPr>
          <w:sz w:val="28"/>
          <w:szCs w:val="28"/>
        </w:rPr>
        <w:t xml:space="preserve"> el </w:t>
      </w:r>
      <w:r w:rsidR="00C853AA" w:rsidRPr="00643DCF">
        <w:rPr>
          <w:sz w:val="28"/>
          <w:szCs w:val="28"/>
        </w:rPr>
        <w:t>cuarto</w:t>
      </w:r>
      <w:r w:rsidRPr="00643DCF">
        <w:rPr>
          <w:sz w:val="28"/>
          <w:szCs w:val="28"/>
        </w:rPr>
        <w:t xml:space="preserve"> informe de seguimiento</w:t>
      </w:r>
      <w:r w:rsidR="00EA7E1E" w:rsidRPr="00643DCF">
        <w:rPr>
          <w:sz w:val="28"/>
          <w:szCs w:val="28"/>
        </w:rPr>
        <w:t xml:space="preserve"> </w:t>
      </w:r>
      <w:r w:rsidR="00AD336F" w:rsidRPr="00643DCF">
        <w:rPr>
          <w:sz w:val="28"/>
          <w:szCs w:val="28"/>
        </w:rPr>
        <w:t xml:space="preserve">a la </w:t>
      </w:r>
      <w:r w:rsidR="00454BC7" w:rsidRPr="00643DCF">
        <w:rPr>
          <w:sz w:val="28"/>
          <w:szCs w:val="28"/>
        </w:rPr>
        <w:t>s</w:t>
      </w:r>
      <w:r w:rsidR="00916402" w:rsidRPr="00643DCF">
        <w:rPr>
          <w:sz w:val="28"/>
          <w:szCs w:val="28"/>
        </w:rPr>
        <w:t>entencia</w:t>
      </w:r>
      <w:r w:rsidR="00AD336F" w:rsidRPr="00643DCF">
        <w:rPr>
          <w:sz w:val="28"/>
          <w:szCs w:val="28"/>
        </w:rPr>
        <w:t xml:space="preserve"> T-760 de 2008</w:t>
      </w:r>
      <w:r w:rsidR="00FC2355" w:rsidRPr="00643DCF">
        <w:rPr>
          <w:sz w:val="28"/>
          <w:szCs w:val="28"/>
        </w:rPr>
        <w:t xml:space="preserve">, </w:t>
      </w:r>
      <w:r w:rsidR="008F680E" w:rsidRPr="00643DCF">
        <w:rPr>
          <w:rFonts w:eastAsia="Batang"/>
          <w:bCs/>
          <w:sz w:val="28"/>
          <w:szCs w:val="28"/>
        </w:rPr>
        <w:t>manifest</w:t>
      </w:r>
      <w:r w:rsidR="007C318B" w:rsidRPr="00643DCF">
        <w:rPr>
          <w:rFonts w:eastAsia="Batang"/>
          <w:bCs/>
          <w:sz w:val="28"/>
          <w:szCs w:val="28"/>
        </w:rPr>
        <w:t>ando</w:t>
      </w:r>
      <w:r w:rsidR="008F680E" w:rsidRPr="00643DCF">
        <w:rPr>
          <w:rFonts w:eastAsia="Batang"/>
          <w:bCs/>
          <w:sz w:val="28"/>
          <w:szCs w:val="28"/>
        </w:rPr>
        <w:t xml:space="preserve"> haber </w:t>
      </w:r>
      <w:r w:rsidR="005254DB" w:rsidRPr="00643DCF">
        <w:rPr>
          <w:rFonts w:eastAsia="Batang"/>
          <w:bCs/>
          <w:sz w:val="28"/>
          <w:szCs w:val="28"/>
        </w:rPr>
        <w:t>solicitado</w:t>
      </w:r>
      <w:r w:rsidR="008F680E" w:rsidRPr="00643DCF">
        <w:rPr>
          <w:rFonts w:eastAsia="Batang"/>
          <w:bCs/>
          <w:sz w:val="28"/>
          <w:szCs w:val="28"/>
        </w:rPr>
        <w:t xml:space="preserve"> </w:t>
      </w:r>
      <w:r w:rsidR="007C318B" w:rsidRPr="00643DCF">
        <w:rPr>
          <w:rFonts w:eastAsia="Batang"/>
          <w:bCs/>
          <w:sz w:val="28"/>
          <w:szCs w:val="28"/>
        </w:rPr>
        <w:t>a</w:t>
      </w:r>
      <w:r w:rsidR="008F680E" w:rsidRPr="00643DCF">
        <w:rPr>
          <w:rFonts w:eastAsia="Batang"/>
          <w:bCs/>
          <w:sz w:val="28"/>
          <w:szCs w:val="28"/>
        </w:rPr>
        <w:t>l Consejo Superior de la Judicatura</w:t>
      </w:r>
      <w:r w:rsidR="00FC2355" w:rsidRPr="00643DCF">
        <w:rPr>
          <w:rFonts w:eastAsia="Batang"/>
          <w:bCs/>
          <w:sz w:val="28"/>
          <w:szCs w:val="28"/>
        </w:rPr>
        <w:t xml:space="preserve"> información</w:t>
      </w:r>
      <w:r w:rsidR="008F680E" w:rsidRPr="00643DCF">
        <w:rPr>
          <w:rFonts w:eastAsia="Batang"/>
          <w:bCs/>
          <w:sz w:val="28"/>
          <w:szCs w:val="28"/>
        </w:rPr>
        <w:t xml:space="preserve"> sobre las actividades adelantadas </w:t>
      </w:r>
      <w:r w:rsidR="007C318B" w:rsidRPr="00643DCF">
        <w:rPr>
          <w:rFonts w:eastAsia="Batang"/>
          <w:bCs/>
          <w:sz w:val="28"/>
          <w:szCs w:val="28"/>
        </w:rPr>
        <w:t xml:space="preserve">para </w:t>
      </w:r>
      <w:r w:rsidR="008F680E" w:rsidRPr="00643DCF">
        <w:rPr>
          <w:rFonts w:eastAsia="Batang"/>
          <w:bCs/>
          <w:sz w:val="28"/>
          <w:szCs w:val="28"/>
        </w:rPr>
        <w:t>alcanzar las metas planteadas</w:t>
      </w:r>
      <w:r w:rsidR="001167DC" w:rsidRPr="00643DCF">
        <w:rPr>
          <w:rFonts w:eastAsia="Batang"/>
          <w:bCs/>
          <w:sz w:val="28"/>
          <w:szCs w:val="28"/>
        </w:rPr>
        <w:t>.</w:t>
      </w:r>
      <w:r w:rsidR="008F680E" w:rsidRPr="00643DCF">
        <w:rPr>
          <w:rFonts w:eastAsia="Batang"/>
          <w:bCs/>
          <w:sz w:val="28"/>
          <w:szCs w:val="28"/>
        </w:rPr>
        <w:t xml:space="preserve"> </w:t>
      </w:r>
      <w:r w:rsidR="00DE0E61" w:rsidRPr="00643DCF">
        <w:rPr>
          <w:rFonts w:eastAsia="Batang"/>
          <w:bCs/>
          <w:sz w:val="28"/>
          <w:szCs w:val="28"/>
        </w:rPr>
        <w:t xml:space="preserve">En relación con </w:t>
      </w:r>
      <w:r w:rsidR="004F4BE0" w:rsidRPr="00643DCF">
        <w:rPr>
          <w:rFonts w:eastAsia="Batang"/>
          <w:bCs/>
          <w:sz w:val="28"/>
          <w:szCs w:val="28"/>
        </w:rPr>
        <w:t xml:space="preserve">las </w:t>
      </w:r>
      <w:r w:rsidR="007C318B" w:rsidRPr="00643DCF">
        <w:rPr>
          <w:rFonts w:eastAsia="Batang"/>
          <w:bCs/>
          <w:sz w:val="28"/>
          <w:szCs w:val="28"/>
        </w:rPr>
        <w:t xml:space="preserve">respuestas </w:t>
      </w:r>
      <w:r w:rsidR="00FC2355" w:rsidRPr="00643DCF">
        <w:rPr>
          <w:rFonts w:eastAsia="Batang"/>
          <w:bCs/>
          <w:sz w:val="28"/>
          <w:szCs w:val="28"/>
        </w:rPr>
        <w:t xml:space="preserve">entregadas </w:t>
      </w:r>
      <w:r w:rsidR="00C17C20" w:rsidRPr="00643DCF">
        <w:rPr>
          <w:rFonts w:eastAsia="Batang"/>
          <w:bCs/>
          <w:sz w:val="28"/>
          <w:szCs w:val="28"/>
        </w:rPr>
        <w:t xml:space="preserve">por </w:t>
      </w:r>
      <w:r w:rsidR="006411DD" w:rsidRPr="00643DCF">
        <w:rPr>
          <w:rFonts w:eastAsia="Batang"/>
          <w:bCs/>
          <w:sz w:val="28"/>
          <w:szCs w:val="28"/>
        </w:rPr>
        <w:t>la entidad</w:t>
      </w:r>
      <w:r w:rsidR="008F680E" w:rsidRPr="00643DCF">
        <w:rPr>
          <w:rFonts w:eastAsia="Batang"/>
          <w:bCs/>
          <w:sz w:val="28"/>
          <w:szCs w:val="28"/>
        </w:rPr>
        <w:t xml:space="preserve"> </w:t>
      </w:r>
      <w:r w:rsidR="00454BC7" w:rsidRPr="00643DCF">
        <w:rPr>
          <w:rFonts w:eastAsia="Batang"/>
          <w:bCs/>
          <w:sz w:val="28"/>
          <w:szCs w:val="28"/>
        </w:rPr>
        <w:t>señal</w:t>
      </w:r>
      <w:r w:rsidR="008F680E" w:rsidRPr="00643DCF">
        <w:rPr>
          <w:rFonts w:eastAsia="Batang"/>
          <w:bCs/>
          <w:sz w:val="28"/>
          <w:szCs w:val="28"/>
        </w:rPr>
        <w:t>ó que “</w:t>
      </w:r>
      <w:r w:rsidR="008F680E" w:rsidRPr="00643DCF">
        <w:rPr>
          <w:rFonts w:eastAsia="Batang"/>
          <w:bCs/>
          <w:i/>
          <w:sz w:val="28"/>
          <w:szCs w:val="28"/>
        </w:rPr>
        <w:t xml:space="preserve">no responden a ninguno de los interrogantes planteados y se limitó a informar lo mismo que </w:t>
      </w:r>
      <w:r w:rsidR="008076AD" w:rsidRPr="00643DCF">
        <w:rPr>
          <w:rFonts w:eastAsia="Batang"/>
          <w:bCs/>
          <w:i/>
          <w:sz w:val="28"/>
          <w:szCs w:val="28"/>
        </w:rPr>
        <w:t xml:space="preserve">se había </w:t>
      </w:r>
      <w:r w:rsidR="008F680E" w:rsidRPr="00643DCF">
        <w:rPr>
          <w:rFonts w:eastAsia="Batang"/>
          <w:bCs/>
          <w:i/>
          <w:sz w:val="28"/>
          <w:szCs w:val="28"/>
        </w:rPr>
        <w:t>dicho en el primer requerimiento realizado por esta entidad</w:t>
      </w:r>
      <w:r w:rsidR="000974C1" w:rsidRPr="00643DCF">
        <w:rPr>
          <w:rFonts w:eastAsia="Batang"/>
          <w:bCs/>
          <w:i/>
          <w:sz w:val="28"/>
          <w:szCs w:val="28"/>
        </w:rPr>
        <w:t>”</w:t>
      </w:r>
      <w:r w:rsidR="007C318B" w:rsidRPr="00643DCF">
        <w:rPr>
          <w:rFonts w:eastAsia="Batang"/>
          <w:bCs/>
          <w:sz w:val="28"/>
          <w:szCs w:val="28"/>
        </w:rPr>
        <w:t xml:space="preserve">. </w:t>
      </w:r>
      <w:r w:rsidR="00DF3E9C" w:rsidRPr="00643DCF">
        <w:rPr>
          <w:rFonts w:eastAsia="Batang"/>
          <w:bCs/>
          <w:sz w:val="28"/>
          <w:szCs w:val="28"/>
        </w:rPr>
        <w:t>As</w:t>
      </w:r>
      <w:r w:rsidR="002F09AC" w:rsidRPr="00643DCF">
        <w:rPr>
          <w:rFonts w:eastAsia="Batang"/>
          <w:bCs/>
          <w:sz w:val="28"/>
          <w:szCs w:val="28"/>
        </w:rPr>
        <w:t xml:space="preserve">í mismo </w:t>
      </w:r>
      <w:r w:rsidR="00A30B95" w:rsidRPr="00643DCF">
        <w:rPr>
          <w:rFonts w:eastAsia="Batang"/>
          <w:bCs/>
          <w:sz w:val="28"/>
          <w:szCs w:val="28"/>
        </w:rPr>
        <w:t xml:space="preserve">afirmó </w:t>
      </w:r>
      <w:r w:rsidR="008F680E" w:rsidRPr="00643DCF">
        <w:rPr>
          <w:rFonts w:eastAsia="Batang"/>
          <w:bCs/>
          <w:sz w:val="28"/>
          <w:szCs w:val="28"/>
        </w:rPr>
        <w:t xml:space="preserve">que a pesar de las solicitudes hechas al </w:t>
      </w:r>
      <w:r w:rsidR="004F4BE0" w:rsidRPr="00643DCF">
        <w:rPr>
          <w:rFonts w:eastAsia="Batang"/>
          <w:bCs/>
          <w:sz w:val="28"/>
          <w:szCs w:val="28"/>
        </w:rPr>
        <w:t>CSJ</w:t>
      </w:r>
      <w:r w:rsidR="000974C1" w:rsidRPr="00643DCF">
        <w:rPr>
          <w:rFonts w:eastAsia="Batang"/>
          <w:bCs/>
          <w:sz w:val="28"/>
          <w:szCs w:val="28"/>
        </w:rPr>
        <w:t xml:space="preserve"> </w:t>
      </w:r>
      <w:r w:rsidR="008F680E" w:rsidRPr="00643DCF">
        <w:rPr>
          <w:rFonts w:eastAsia="Batang"/>
          <w:bCs/>
          <w:sz w:val="28"/>
          <w:szCs w:val="28"/>
        </w:rPr>
        <w:t>para que demostrara los avances relacionados con la orden</w:t>
      </w:r>
      <w:r w:rsidR="002F09AC" w:rsidRPr="00643DCF">
        <w:rPr>
          <w:rFonts w:eastAsia="Batang"/>
          <w:bCs/>
          <w:sz w:val="28"/>
          <w:szCs w:val="28"/>
        </w:rPr>
        <w:t xml:space="preserve">, </w:t>
      </w:r>
      <w:r w:rsidR="008F680E" w:rsidRPr="00643DCF">
        <w:rPr>
          <w:rFonts w:eastAsia="Batang"/>
          <w:bCs/>
          <w:sz w:val="28"/>
          <w:szCs w:val="28"/>
        </w:rPr>
        <w:t xml:space="preserve">no </w:t>
      </w:r>
      <w:r w:rsidR="000974C1" w:rsidRPr="00643DCF">
        <w:rPr>
          <w:rFonts w:eastAsia="Batang"/>
          <w:bCs/>
          <w:sz w:val="28"/>
          <w:szCs w:val="28"/>
        </w:rPr>
        <w:t>ob</w:t>
      </w:r>
      <w:r w:rsidR="008F680E" w:rsidRPr="00643DCF">
        <w:rPr>
          <w:rFonts w:eastAsia="Batang"/>
          <w:bCs/>
          <w:sz w:val="28"/>
          <w:szCs w:val="28"/>
        </w:rPr>
        <w:t>tuvo material que evidenciara el cumplimiento de su</w:t>
      </w:r>
      <w:r w:rsidR="00A51251" w:rsidRPr="00643DCF">
        <w:rPr>
          <w:rFonts w:eastAsia="Batang"/>
          <w:bCs/>
          <w:sz w:val="28"/>
          <w:szCs w:val="28"/>
        </w:rPr>
        <w:t xml:space="preserve"> labor</w:t>
      </w:r>
      <w:r w:rsidR="00B14CD5" w:rsidRPr="00643DCF">
        <w:rPr>
          <w:sz w:val="28"/>
          <w:szCs w:val="28"/>
        </w:rPr>
        <w:t>, limitándose tan s</w:t>
      </w:r>
      <w:r w:rsidR="006C3421">
        <w:rPr>
          <w:sz w:val="28"/>
          <w:szCs w:val="28"/>
        </w:rPr>
        <w:t>o</w:t>
      </w:r>
      <w:r w:rsidR="00B14CD5" w:rsidRPr="00643DCF">
        <w:rPr>
          <w:sz w:val="28"/>
          <w:szCs w:val="28"/>
        </w:rPr>
        <w:t>lo</w:t>
      </w:r>
      <w:r w:rsidR="001167DC" w:rsidRPr="00643DCF">
        <w:rPr>
          <w:sz w:val="28"/>
          <w:szCs w:val="28"/>
        </w:rPr>
        <w:t xml:space="preserve"> </w:t>
      </w:r>
      <w:r w:rsidR="00F46EF5" w:rsidRPr="00643DCF">
        <w:rPr>
          <w:sz w:val="28"/>
          <w:szCs w:val="28"/>
        </w:rPr>
        <w:t>a reproducir los datos que</w:t>
      </w:r>
      <w:r w:rsidR="00A30B95" w:rsidRPr="00643DCF">
        <w:rPr>
          <w:sz w:val="28"/>
          <w:szCs w:val="28"/>
        </w:rPr>
        <w:t xml:space="preserve"> ya </w:t>
      </w:r>
      <w:r w:rsidR="00F46EF5" w:rsidRPr="00643DCF">
        <w:rPr>
          <w:sz w:val="28"/>
          <w:szCs w:val="28"/>
        </w:rPr>
        <w:t xml:space="preserve">habían sido </w:t>
      </w:r>
      <w:r w:rsidR="002F7AB8" w:rsidRPr="00643DCF">
        <w:rPr>
          <w:sz w:val="28"/>
          <w:szCs w:val="28"/>
        </w:rPr>
        <w:t>suministrados</w:t>
      </w:r>
      <w:r w:rsidR="003168AC" w:rsidRPr="00643DCF">
        <w:rPr>
          <w:rStyle w:val="Refdenotaalpie"/>
          <w:sz w:val="28"/>
          <w:szCs w:val="28"/>
        </w:rPr>
        <w:footnoteReference w:id="31"/>
      </w:r>
      <w:r w:rsidR="00EB7D16" w:rsidRPr="00643DCF">
        <w:rPr>
          <w:sz w:val="28"/>
          <w:szCs w:val="28"/>
        </w:rPr>
        <w:t>.</w:t>
      </w:r>
    </w:p>
    <w:p w14:paraId="04B779B4" w14:textId="77777777" w:rsidR="00877954" w:rsidRPr="00643DCF" w:rsidRDefault="00877954" w:rsidP="003E23A0">
      <w:pPr>
        <w:widowControl w:val="0"/>
        <w:tabs>
          <w:tab w:val="left" w:pos="426"/>
        </w:tabs>
        <w:autoSpaceDE w:val="0"/>
        <w:autoSpaceDN w:val="0"/>
        <w:adjustRightInd w:val="0"/>
        <w:jc w:val="both"/>
        <w:rPr>
          <w:sz w:val="28"/>
          <w:szCs w:val="28"/>
        </w:rPr>
      </w:pPr>
    </w:p>
    <w:p w14:paraId="0DC496DB" w14:textId="5E125F13" w:rsidR="00877954" w:rsidRPr="00643DCF" w:rsidRDefault="00835E8F" w:rsidP="00B14E08">
      <w:pPr>
        <w:widowControl w:val="0"/>
        <w:numPr>
          <w:ilvl w:val="0"/>
          <w:numId w:val="3"/>
        </w:numPr>
        <w:tabs>
          <w:tab w:val="left" w:pos="426"/>
        </w:tabs>
        <w:autoSpaceDE w:val="0"/>
        <w:autoSpaceDN w:val="0"/>
        <w:adjustRightInd w:val="0"/>
        <w:ind w:left="0" w:firstLine="0"/>
        <w:jc w:val="both"/>
        <w:rPr>
          <w:rFonts w:eastAsia="Batang"/>
          <w:bCs/>
          <w:sz w:val="28"/>
          <w:szCs w:val="28"/>
        </w:rPr>
      </w:pPr>
      <w:r w:rsidRPr="00643DCF">
        <w:rPr>
          <w:rFonts w:eastAsia="Batang"/>
          <w:bCs/>
          <w:sz w:val="28"/>
          <w:szCs w:val="28"/>
        </w:rPr>
        <w:t>El 24 de abril de 2013</w:t>
      </w:r>
      <w:r w:rsidR="00A64FB6" w:rsidRPr="00643DCF">
        <w:rPr>
          <w:rStyle w:val="Refdenotaalpie"/>
          <w:rFonts w:eastAsia="Batang"/>
          <w:bCs/>
          <w:sz w:val="28"/>
          <w:szCs w:val="28"/>
        </w:rPr>
        <w:footnoteReference w:id="32"/>
      </w:r>
      <w:r w:rsidRPr="00643DCF">
        <w:rPr>
          <w:rFonts w:eastAsia="Batang"/>
          <w:bCs/>
          <w:sz w:val="28"/>
          <w:szCs w:val="28"/>
        </w:rPr>
        <w:t xml:space="preserve">, la Sala Administrativa del CSJ remitió la contestación </w:t>
      </w:r>
      <w:r w:rsidR="00CB3049" w:rsidRPr="00643DCF">
        <w:rPr>
          <w:rFonts w:eastAsia="Batang"/>
          <w:bCs/>
          <w:sz w:val="28"/>
          <w:szCs w:val="28"/>
        </w:rPr>
        <w:lastRenderedPageBreak/>
        <w:t>de</w:t>
      </w:r>
      <w:r w:rsidRPr="00643DCF">
        <w:rPr>
          <w:rFonts w:eastAsia="Batang"/>
          <w:bCs/>
          <w:sz w:val="28"/>
          <w:szCs w:val="28"/>
        </w:rPr>
        <w:t xml:space="preserve"> la Escuela Judicial </w:t>
      </w:r>
      <w:r w:rsidR="00145AA1" w:rsidRPr="00643DCF">
        <w:rPr>
          <w:rFonts w:eastAsia="Batang"/>
          <w:bCs/>
          <w:sz w:val="28"/>
          <w:szCs w:val="28"/>
        </w:rPr>
        <w:t>Rodrigo Lara Bonilla</w:t>
      </w:r>
      <w:r w:rsidRPr="00643DCF">
        <w:rPr>
          <w:rFonts w:eastAsia="Batang"/>
          <w:bCs/>
          <w:sz w:val="28"/>
          <w:szCs w:val="28"/>
        </w:rPr>
        <w:t xml:space="preserve"> a la Defensoría del Pueblo, en la que</w:t>
      </w:r>
      <w:r w:rsidRPr="00643DCF">
        <w:rPr>
          <w:sz w:val="28"/>
          <w:szCs w:val="28"/>
        </w:rPr>
        <w:t xml:space="preserve"> </w:t>
      </w:r>
      <w:r w:rsidR="00877954" w:rsidRPr="00643DCF">
        <w:rPr>
          <w:rFonts w:eastAsia="Batang"/>
          <w:bCs/>
          <w:sz w:val="28"/>
          <w:szCs w:val="28"/>
        </w:rPr>
        <w:t xml:space="preserve">manifestó haber </w:t>
      </w:r>
      <w:r w:rsidR="00A64FB6" w:rsidRPr="00643DCF">
        <w:rPr>
          <w:rFonts w:eastAsia="Batang"/>
          <w:bCs/>
          <w:sz w:val="28"/>
          <w:szCs w:val="28"/>
        </w:rPr>
        <w:t xml:space="preserve">realizado </w:t>
      </w:r>
      <w:r w:rsidR="00877954" w:rsidRPr="00643DCF">
        <w:rPr>
          <w:rFonts w:eastAsia="Batang"/>
          <w:bCs/>
          <w:sz w:val="28"/>
          <w:szCs w:val="28"/>
        </w:rPr>
        <w:t>el módulo 3 “</w:t>
      </w:r>
      <w:r w:rsidR="00877954" w:rsidRPr="00643DCF">
        <w:rPr>
          <w:rFonts w:eastAsia="Batang"/>
          <w:bCs/>
          <w:i/>
          <w:sz w:val="28"/>
          <w:szCs w:val="28"/>
        </w:rPr>
        <w:t xml:space="preserve">Práctica Judicial en el Sistema General de Seguridad Social en Salud – </w:t>
      </w:r>
      <w:r w:rsidR="00A63D43" w:rsidRPr="00643DCF">
        <w:rPr>
          <w:rFonts w:eastAsia="Batang"/>
          <w:bCs/>
          <w:i/>
          <w:sz w:val="28"/>
          <w:szCs w:val="28"/>
        </w:rPr>
        <w:t>S</w:t>
      </w:r>
      <w:r w:rsidR="00877954" w:rsidRPr="00643DCF">
        <w:rPr>
          <w:rFonts w:eastAsia="Batang"/>
          <w:bCs/>
          <w:i/>
          <w:sz w:val="28"/>
          <w:szCs w:val="28"/>
        </w:rPr>
        <w:t>entencia T-760 de 2008</w:t>
      </w:r>
      <w:r w:rsidR="00877954" w:rsidRPr="00643DCF">
        <w:rPr>
          <w:rFonts w:eastAsia="Batang"/>
          <w:bCs/>
          <w:sz w:val="28"/>
          <w:szCs w:val="28"/>
        </w:rPr>
        <w:t>”</w:t>
      </w:r>
      <w:r w:rsidR="00877954" w:rsidRPr="00643DCF">
        <w:rPr>
          <w:rStyle w:val="Refdenotaalpie"/>
          <w:rFonts w:eastAsia="Batang"/>
          <w:bCs/>
          <w:sz w:val="28"/>
          <w:szCs w:val="28"/>
        </w:rPr>
        <w:footnoteReference w:id="33"/>
      </w:r>
      <w:r w:rsidR="00877954" w:rsidRPr="00643DCF">
        <w:rPr>
          <w:rFonts w:eastAsia="Batang"/>
          <w:bCs/>
          <w:sz w:val="28"/>
          <w:szCs w:val="28"/>
        </w:rPr>
        <w:t>, en las ciudades de Barranquilla, Bucaramanga, Cali, Cartagena, Medellín y Santa Marta el 26 de noviembre de 2012</w:t>
      </w:r>
      <w:r w:rsidR="001D64F1" w:rsidRPr="00643DCF">
        <w:rPr>
          <w:rFonts w:eastAsia="Batang"/>
          <w:bCs/>
          <w:sz w:val="28"/>
          <w:szCs w:val="28"/>
        </w:rPr>
        <w:t xml:space="preserve">. </w:t>
      </w:r>
      <w:r w:rsidR="001167DC" w:rsidRPr="00643DCF">
        <w:rPr>
          <w:rFonts w:eastAsia="Batang"/>
          <w:bCs/>
          <w:sz w:val="28"/>
          <w:szCs w:val="28"/>
        </w:rPr>
        <w:t>I</w:t>
      </w:r>
      <w:r w:rsidR="007C318B" w:rsidRPr="00643DCF">
        <w:rPr>
          <w:rFonts w:eastAsia="Batang"/>
          <w:bCs/>
          <w:sz w:val="28"/>
          <w:szCs w:val="28"/>
        </w:rPr>
        <w:t>nformó que en</w:t>
      </w:r>
      <w:r w:rsidR="00877954" w:rsidRPr="00643DCF">
        <w:rPr>
          <w:rFonts w:eastAsia="Batang"/>
          <w:bCs/>
          <w:sz w:val="28"/>
          <w:szCs w:val="28"/>
        </w:rPr>
        <w:t xml:space="preserve"> dichas sesiones se capacitaron un total de 78 </w:t>
      </w:r>
      <w:r w:rsidR="00B11D90" w:rsidRPr="00643DCF">
        <w:rPr>
          <w:rFonts w:eastAsia="Batang"/>
          <w:bCs/>
          <w:sz w:val="28"/>
          <w:szCs w:val="28"/>
        </w:rPr>
        <w:t>funcionarios</w:t>
      </w:r>
      <w:r w:rsidR="00D17213" w:rsidRPr="00643DCF">
        <w:rPr>
          <w:rFonts w:eastAsia="Batang"/>
          <w:bCs/>
          <w:sz w:val="28"/>
          <w:szCs w:val="28"/>
        </w:rPr>
        <w:t xml:space="preserve"> judiciales</w:t>
      </w:r>
      <w:r w:rsidR="001F78E3" w:rsidRPr="00643DCF">
        <w:rPr>
          <w:rFonts w:eastAsia="Batang"/>
          <w:bCs/>
          <w:sz w:val="28"/>
          <w:szCs w:val="28"/>
        </w:rPr>
        <w:t xml:space="preserve"> y </w:t>
      </w:r>
      <w:r w:rsidR="00F30AC7" w:rsidRPr="00643DCF">
        <w:rPr>
          <w:rFonts w:eastAsia="Batang"/>
          <w:bCs/>
          <w:sz w:val="28"/>
          <w:szCs w:val="28"/>
        </w:rPr>
        <w:t>anex</w:t>
      </w:r>
      <w:r w:rsidR="001F78E3" w:rsidRPr="00643DCF">
        <w:rPr>
          <w:rFonts w:eastAsia="Batang"/>
          <w:bCs/>
          <w:sz w:val="28"/>
          <w:szCs w:val="28"/>
        </w:rPr>
        <w:t>ó</w:t>
      </w:r>
      <w:r w:rsidRPr="00643DCF">
        <w:rPr>
          <w:rFonts w:eastAsia="Batang"/>
          <w:bCs/>
          <w:sz w:val="28"/>
          <w:szCs w:val="28"/>
        </w:rPr>
        <w:t xml:space="preserve"> copia del listado de funcionarios que asistieron a las mismas</w:t>
      </w:r>
      <w:r w:rsidR="00877954" w:rsidRPr="00643DCF">
        <w:rPr>
          <w:rFonts w:eastAsia="Batang"/>
          <w:bCs/>
          <w:sz w:val="28"/>
          <w:szCs w:val="28"/>
        </w:rPr>
        <w:t xml:space="preserve">: </w:t>
      </w:r>
    </w:p>
    <w:p w14:paraId="49DC0655" w14:textId="77777777" w:rsidR="00877954" w:rsidRPr="00643DCF" w:rsidRDefault="00877954" w:rsidP="00877954">
      <w:pPr>
        <w:pStyle w:val="Prrafodelista"/>
        <w:rPr>
          <w:rFonts w:eastAsia="Batang"/>
          <w:bCs/>
          <w:sz w:val="28"/>
          <w:szCs w:val="28"/>
        </w:rPr>
      </w:pPr>
    </w:p>
    <w:tbl>
      <w:tblPr>
        <w:tblStyle w:val="Tablaconcuadrcula"/>
        <w:tblW w:w="0" w:type="auto"/>
        <w:tblInd w:w="2122" w:type="dxa"/>
        <w:tblLook w:val="04A0" w:firstRow="1" w:lastRow="0" w:firstColumn="1" w:lastColumn="0" w:noHBand="0" w:noVBand="1"/>
      </w:tblPr>
      <w:tblGrid>
        <w:gridCol w:w="2876"/>
        <w:gridCol w:w="2368"/>
      </w:tblGrid>
      <w:tr w:rsidR="00877954" w:rsidRPr="00643DCF" w14:paraId="27611BB3" w14:textId="77777777" w:rsidTr="00402986">
        <w:trPr>
          <w:trHeight w:val="563"/>
        </w:trPr>
        <w:tc>
          <w:tcPr>
            <w:tcW w:w="2876" w:type="dxa"/>
          </w:tcPr>
          <w:p w14:paraId="18EBBC41" w14:textId="208BC0A5" w:rsidR="00877954" w:rsidRPr="00643DCF" w:rsidRDefault="00877954" w:rsidP="000961E6">
            <w:pPr>
              <w:pStyle w:val="Sinespaciado3"/>
              <w:tabs>
                <w:tab w:val="left" w:pos="567"/>
              </w:tabs>
              <w:jc w:val="center"/>
              <w:rPr>
                <w:rFonts w:ascii="Times New Roman" w:eastAsia="Batang" w:hAnsi="Times New Roman"/>
                <w:b/>
                <w:bCs/>
                <w:sz w:val="28"/>
                <w:szCs w:val="28"/>
              </w:rPr>
            </w:pPr>
            <w:r w:rsidRPr="00643DCF">
              <w:rPr>
                <w:rFonts w:ascii="Times New Roman" w:eastAsia="Batang" w:hAnsi="Times New Roman"/>
                <w:b/>
                <w:bCs/>
                <w:sz w:val="28"/>
                <w:szCs w:val="28"/>
              </w:rPr>
              <w:t>Ciudad</w:t>
            </w:r>
          </w:p>
        </w:tc>
        <w:tc>
          <w:tcPr>
            <w:tcW w:w="2368" w:type="dxa"/>
          </w:tcPr>
          <w:p w14:paraId="26A1C722" w14:textId="77777777" w:rsidR="00877954" w:rsidRPr="00643DCF" w:rsidRDefault="00877954" w:rsidP="000961E6">
            <w:pPr>
              <w:pStyle w:val="Sinespaciado3"/>
              <w:tabs>
                <w:tab w:val="left" w:pos="567"/>
              </w:tabs>
              <w:jc w:val="center"/>
              <w:rPr>
                <w:rFonts w:ascii="Times New Roman" w:eastAsia="Batang" w:hAnsi="Times New Roman"/>
                <w:b/>
                <w:bCs/>
                <w:sz w:val="28"/>
                <w:szCs w:val="28"/>
              </w:rPr>
            </w:pPr>
            <w:r w:rsidRPr="00643DCF">
              <w:rPr>
                <w:rFonts w:ascii="Times New Roman" w:eastAsia="Batang" w:hAnsi="Times New Roman"/>
                <w:b/>
                <w:bCs/>
                <w:sz w:val="28"/>
                <w:szCs w:val="28"/>
              </w:rPr>
              <w:t>No. de funcionarios capacitados</w:t>
            </w:r>
          </w:p>
        </w:tc>
      </w:tr>
      <w:tr w:rsidR="00877954" w:rsidRPr="00643DCF" w14:paraId="0C04AAED" w14:textId="77777777" w:rsidTr="00402986">
        <w:tc>
          <w:tcPr>
            <w:tcW w:w="2876" w:type="dxa"/>
          </w:tcPr>
          <w:p w14:paraId="53706C48" w14:textId="77777777" w:rsidR="00877954" w:rsidRPr="00643DCF" w:rsidRDefault="00877954" w:rsidP="000961E6">
            <w:pPr>
              <w:pStyle w:val="Sinespaciado3"/>
              <w:tabs>
                <w:tab w:val="left" w:pos="567"/>
              </w:tabs>
              <w:jc w:val="center"/>
              <w:rPr>
                <w:rFonts w:ascii="Times New Roman" w:eastAsia="Batang" w:hAnsi="Times New Roman"/>
                <w:bCs/>
                <w:sz w:val="28"/>
                <w:szCs w:val="28"/>
              </w:rPr>
            </w:pPr>
            <w:r w:rsidRPr="00643DCF">
              <w:rPr>
                <w:rFonts w:ascii="Times New Roman" w:eastAsia="Batang" w:hAnsi="Times New Roman"/>
                <w:bCs/>
                <w:sz w:val="28"/>
                <w:szCs w:val="28"/>
              </w:rPr>
              <w:t>Bucaramanga</w:t>
            </w:r>
          </w:p>
        </w:tc>
        <w:tc>
          <w:tcPr>
            <w:tcW w:w="2368" w:type="dxa"/>
          </w:tcPr>
          <w:p w14:paraId="1AF6E039" w14:textId="77777777" w:rsidR="00877954" w:rsidRPr="00643DCF" w:rsidRDefault="00877954">
            <w:pPr>
              <w:pStyle w:val="Sinespaciado3"/>
              <w:tabs>
                <w:tab w:val="left" w:pos="567"/>
              </w:tabs>
              <w:jc w:val="center"/>
              <w:rPr>
                <w:rFonts w:ascii="Times New Roman" w:eastAsia="Batang" w:hAnsi="Times New Roman"/>
                <w:bCs/>
                <w:sz w:val="28"/>
                <w:szCs w:val="28"/>
              </w:rPr>
            </w:pPr>
            <w:r w:rsidRPr="00643DCF">
              <w:rPr>
                <w:rFonts w:ascii="Times New Roman" w:eastAsia="Batang" w:hAnsi="Times New Roman"/>
                <w:bCs/>
                <w:sz w:val="28"/>
                <w:szCs w:val="28"/>
              </w:rPr>
              <w:t>19</w:t>
            </w:r>
          </w:p>
        </w:tc>
      </w:tr>
      <w:tr w:rsidR="00877954" w:rsidRPr="00643DCF" w14:paraId="73434CFC" w14:textId="77777777" w:rsidTr="00402986">
        <w:tc>
          <w:tcPr>
            <w:tcW w:w="2876" w:type="dxa"/>
          </w:tcPr>
          <w:p w14:paraId="2A1DECC3" w14:textId="77777777" w:rsidR="00877954" w:rsidRPr="00643DCF" w:rsidRDefault="00877954" w:rsidP="000961E6">
            <w:pPr>
              <w:pStyle w:val="Sinespaciado3"/>
              <w:tabs>
                <w:tab w:val="left" w:pos="567"/>
              </w:tabs>
              <w:jc w:val="center"/>
              <w:rPr>
                <w:rFonts w:ascii="Times New Roman" w:eastAsia="Batang" w:hAnsi="Times New Roman"/>
                <w:bCs/>
                <w:sz w:val="28"/>
                <w:szCs w:val="28"/>
              </w:rPr>
            </w:pPr>
            <w:r w:rsidRPr="00643DCF">
              <w:rPr>
                <w:rFonts w:ascii="Times New Roman" w:eastAsia="Batang" w:hAnsi="Times New Roman"/>
                <w:bCs/>
                <w:sz w:val="28"/>
                <w:szCs w:val="28"/>
              </w:rPr>
              <w:t>Barranquilla</w:t>
            </w:r>
          </w:p>
        </w:tc>
        <w:tc>
          <w:tcPr>
            <w:tcW w:w="2368" w:type="dxa"/>
          </w:tcPr>
          <w:p w14:paraId="5910C430" w14:textId="77777777" w:rsidR="00877954" w:rsidRPr="00643DCF" w:rsidRDefault="00877954">
            <w:pPr>
              <w:pStyle w:val="Sinespaciado3"/>
              <w:tabs>
                <w:tab w:val="left" w:pos="567"/>
              </w:tabs>
              <w:jc w:val="center"/>
              <w:rPr>
                <w:rFonts w:ascii="Times New Roman" w:eastAsia="Batang" w:hAnsi="Times New Roman"/>
                <w:bCs/>
                <w:sz w:val="28"/>
                <w:szCs w:val="28"/>
              </w:rPr>
            </w:pPr>
            <w:r w:rsidRPr="00643DCF">
              <w:rPr>
                <w:rFonts w:ascii="Times New Roman" w:eastAsia="Batang" w:hAnsi="Times New Roman"/>
                <w:bCs/>
                <w:sz w:val="28"/>
                <w:szCs w:val="28"/>
              </w:rPr>
              <w:t>12</w:t>
            </w:r>
          </w:p>
        </w:tc>
      </w:tr>
      <w:tr w:rsidR="00877954" w:rsidRPr="00643DCF" w14:paraId="77022509" w14:textId="77777777" w:rsidTr="00402986">
        <w:tc>
          <w:tcPr>
            <w:tcW w:w="2876" w:type="dxa"/>
          </w:tcPr>
          <w:p w14:paraId="77ED60CC" w14:textId="77777777" w:rsidR="00877954" w:rsidRPr="00643DCF" w:rsidRDefault="00877954" w:rsidP="000961E6">
            <w:pPr>
              <w:pStyle w:val="Sinespaciado3"/>
              <w:tabs>
                <w:tab w:val="left" w:pos="567"/>
              </w:tabs>
              <w:jc w:val="center"/>
              <w:rPr>
                <w:rFonts w:ascii="Times New Roman" w:eastAsia="Batang" w:hAnsi="Times New Roman"/>
                <w:bCs/>
                <w:sz w:val="28"/>
                <w:szCs w:val="28"/>
              </w:rPr>
            </w:pPr>
            <w:r w:rsidRPr="00643DCF">
              <w:rPr>
                <w:rFonts w:ascii="Times New Roman" w:eastAsia="Batang" w:hAnsi="Times New Roman"/>
                <w:bCs/>
                <w:sz w:val="28"/>
                <w:szCs w:val="28"/>
              </w:rPr>
              <w:t>Cartagena</w:t>
            </w:r>
          </w:p>
        </w:tc>
        <w:tc>
          <w:tcPr>
            <w:tcW w:w="2368" w:type="dxa"/>
          </w:tcPr>
          <w:p w14:paraId="68A758AF" w14:textId="77777777" w:rsidR="00877954" w:rsidRPr="00643DCF" w:rsidRDefault="00877954">
            <w:pPr>
              <w:pStyle w:val="Sinespaciado3"/>
              <w:tabs>
                <w:tab w:val="left" w:pos="567"/>
              </w:tabs>
              <w:jc w:val="center"/>
              <w:rPr>
                <w:rFonts w:ascii="Times New Roman" w:eastAsia="Batang" w:hAnsi="Times New Roman"/>
                <w:bCs/>
                <w:sz w:val="28"/>
                <w:szCs w:val="28"/>
              </w:rPr>
            </w:pPr>
            <w:r w:rsidRPr="00643DCF">
              <w:rPr>
                <w:rFonts w:ascii="Times New Roman" w:eastAsia="Batang" w:hAnsi="Times New Roman"/>
                <w:bCs/>
                <w:sz w:val="28"/>
                <w:szCs w:val="28"/>
              </w:rPr>
              <w:t>21</w:t>
            </w:r>
          </w:p>
        </w:tc>
      </w:tr>
      <w:tr w:rsidR="00877954" w:rsidRPr="00643DCF" w14:paraId="0A736A05" w14:textId="77777777" w:rsidTr="00402986">
        <w:tc>
          <w:tcPr>
            <w:tcW w:w="2876" w:type="dxa"/>
          </w:tcPr>
          <w:p w14:paraId="2853C6F4" w14:textId="77777777" w:rsidR="00877954" w:rsidRPr="00643DCF" w:rsidRDefault="00877954" w:rsidP="000961E6">
            <w:pPr>
              <w:pStyle w:val="Sinespaciado3"/>
              <w:tabs>
                <w:tab w:val="left" w:pos="567"/>
              </w:tabs>
              <w:jc w:val="center"/>
              <w:rPr>
                <w:rFonts w:ascii="Times New Roman" w:eastAsia="Batang" w:hAnsi="Times New Roman"/>
                <w:bCs/>
                <w:sz w:val="28"/>
                <w:szCs w:val="28"/>
              </w:rPr>
            </w:pPr>
            <w:r w:rsidRPr="00643DCF">
              <w:rPr>
                <w:rFonts w:ascii="Times New Roman" w:eastAsia="Batang" w:hAnsi="Times New Roman"/>
                <w:bCs/>
                <w:sz w:val="28"/>
                <w:szCs w:val="28"/>
              </w:rPr>
              <w:t>Santa Marta</w:t>
            </w:r>
          </w:p>
        </w:tc>
        <w:tc>
          <w:tcPr>
            <w:tcW w:w="2368" w:type="dxa"/>
          </w:tcPr>
          <w:p w14:paraId="31043BB5" w14:textId="77777777" w:rsidR="00877954" w:rsidRPr="00643DCF" w:rsidRDefault="00877954">
            <w:pPr>
              <w:pStyle w:val="Sinespaciado3"/>
              <w:tabs>
                <w:tab w:val="left" w:pos="567"/>
              </w:tabs>
              <w:jc w:val="center"/>
              <w:rPr>
                <w:rFonts w:ascii="Times New Roman" w:eastAsia="Batang" w:hAnsi="Times New Roman"/>
                <w:bCs/>
                <w:sz w:val="28"/>
                <w:szCs w:val="28"/>
              </w:rPr>
            </w:pPr>
            <w:r w:rsidRPr="00643DCF">
              <w:rPr>
                <w:rFonts w:ascii="Times New Roman" w:eastAsia="Batang" w:hAnsi="Times New Roman"/>
                <w:bCs/>
                <w:sz w:val="28"/>
                <w:szCs w:val="28"/>
              </w:rPr>
              <w:t>6</w:t>
            </w:r>
          </w:p>
        </w:tc>
      </w:tr>
      <w:tr w:rsidR="00877954" w:rsidRPr="00643DCF" w14:paraId="4816FA6C" w14:textId="77777777" w:rsidTr="00402986">
        <w:tc>
          <w:tcPr>
            <w:tcW w:w="2876" w:type="dxa"/>
          </w:tcPr>
          <w:p w14:paraId="08B6FE70" w14:textId="77777777" w:rsidR="00877954" w:rsidRPr="00643DCF" w:rsidRDefault="00877954" w:rsidP="000961E6">
            <w:pPr>
              <w:pStyle w:val="Sinespaciado3"/>
              <w:tabs>
                <w:tab w:val="left" w:pos="567"/>
              </w:tabs>
              <w:jc w:val="center"/>
              <w:rPr>
                <w:rFonts w:ascii="Times New Roman" w:eastAsia="Batang" w:hAnsi="Times New Roman"/>
                <w:bCs/>
                <w:sz w:val="28"/>
                <w:szCs w:val="28"/>
              </w:rPr>
            </w:pPr>
            <w:r w:rsidRPr="00643DCF">
              <w:rPr>
                <w:rFonts w:ascii="Times New Roman" w:eastAsia="Batang" w:hAnsi="Times New Roman"/>
                <w:bCs/>
                <w:sz w:val="28"/>
                <w:szCs w:val="28"/>
              </w:rPr>
              <w:t>Medellín</w:t>
            </w:r>
          </w:p>
        </w:tc>
        <w:tc>
          <w:tcPr>
            <w:tcW w:w="2368" w:type="dxa"/>
          </w:tcPr>
          <w:p w14:paraId="6F4BC023" w14:textId="77777777" w:rsidR="00877954" w:rsidRPr="00643DCF" w:rsidRDefault="00877954">
            <w:pPr>
              <w:pStyle w:val="Sinespaciado3"/>
              <w:tabs>
                <w:tab w:val="left" w:pos="567"/>
              </w:tabs>
              <w:jc w:val="center"/>
              <w:rPr>
                <w:rFonts w:ascii="Times New Roman" w:eastAsia="Batang" w:hAnsi="Times New Roman"/>
                <w:bCs/>
                <w:sz w:val="28"/>
                <w:szCs w:val="28"/>
              </w:rPr>
            </w:pPr>
            <w:r w:rsidRPr="00643DCF">
              <w:rPr>
                <w:rFonts w:ascii="Times New Roman" w:eastAsia="Batang" w:hAnsi="Times New Roman"/>
                <w:bCs/>
                <w:sz w:val="28"/>
                <w:szCs w:val="28"/>
              </w:rPr>
              <w:t>12</w:t>
            </w:r>
          </w:p>
        </w:tc>
      </w:tr>
      <w:tr w:rsidR="00877954" w:rsidRPr="00643DCF" w14:paraId="7DDC6BE9" w14:textId="77777777" w:rsidTr="00402986">
        <w:tc>
          <w:tcPr>
            <w:tcW w:w="2876" w:type="dxa"/>
          </w:tcPr>
          <w:p w14:paraId="3491D6E1" w14:textId="77777777" w:rsidR="00877954" w:rsidRPr="00643DCF" w:rsidRDefault="00877954" w:rsidP="000961E6">
            <w:pPr>
              <w:pStyle w:val="Sinespaciado3"/>
              <w:tabs>
                <w:tab w:val="left" w:pos="567"/>
              </w:tabs>
              <w:jc w:val="center"/>
              <w:rPr>
                <w:rFonts w:ascii="Times New Roman" w:eastAsia="Batang" w:hAnsi="Times New Roman"/>
                <w:bCs/>
                <w:sz w:val="28"/>
                <w:szCs w:val="28"/>
              </w:rPr>
            </w:pPr>
            <w:r w:rsidRPr="00643DCF">
              <w:rPr>
                <w:rFonts w:ascii="Times New Roman" w:eastAsia="Batang" w:hAnsi="Times New Roman"/>
                <w:bCs/>
                <w:sz w:val="28"/>
                <w:szCs w:val="28"/>
              </w:rPr>
              <w:t>Cali</w:t>
            </w:r>
          </w:p>
        </w:tc>
        <w:tc>
          <w:tcPr>
            <w:tcW w:w="2368" w:type="dxa"/>
          </w:tcPr>
          <w:p w14:paraId="59ED40D1" w14:textId="77777777" w:rsidR="00877954" w:rsidRPr="00643DCF" w:rsidRDefault="00877954">
            <w:pPr>
              <w:pStyle w:val="Sinespaciado3"/>
              <w:tabs>
                <w:tab w:val="left" w:pos="567"/>
              </w:tabs>
              <w:jc w:val="center"/>
              <w:rPr>
                <w:rFonts w:ascii="Times New Roman" w:eastAsia="Batang" w:hAnsi="Times New Roman"/>
                <w:bCs/>
                <w:sz w:val="28"/>
                <w:szCs w:val="28"/>
              </w:rPr>
            </w:pPr>
            <w:r w:rsidRPr="00643DCF">
              <w:rPr>
                <w:rFonts w:ascii="Times New Roman" w:eastAsia="Batang" w:hAnsi="Times New Roman"/>
                <w:bCs/>
                <w:sz w:val="28"/>
                <w:szCs w:val="28"/>
              </w:rPr>
              <w:t>8</w:t>
            </w:r>
          </w:p>
        </w:tc>
      </w:tr>
      <w:tr w:rsidR="00877954" w:rsidRPr="00643DCF" w14:paraId="08D116D6" w14:textId="77777777" w:rsidTr="00402986">
        <w:tc>
          <w:tcPr>
            <w:tcW w:w="2876" w:type="dxa"/>
          </w:tcPr>
          <w:p w14:paraId="0C24CF9F" w14:textId="22242E2E" w:rsidR="00877954" w:rsidRPr="00643DCF" w:rsidRDefault="00C50441" w:rsidP="000961E6">
            <w:pPr>
              <w:pStyle w:val="Sinespaciado3"/>
              <w:tabs>
                <w:tab w:val="left" w:pos="567"/>
              </w:tabs>
              <w:jc w:val="center"/>
              <w:rPr>
                <w:rFonts w:ascii="Times New Roman" w:eastAsia="Batang" w:hAnsi="Times New Roman"/>
                <w:b/>
                <w:bCs/>
                <w:i/>
                <w:sz w:val="28"/>
                <w:szCs w:val="28"/>
              </w:rPr>
            </w:pPr>
            <w:r w:rsidRPr="00643DCF">
              <w:rPr>
                <w:rFonts w:ascii="Times New Roman" w:eastAsia="Batang" w:hAnsi="Times New Roman"/>
                <w:b/>
                <w:bCs/>
                <w:i/>
                <w:sz w:val="28"/>
                <w:szCs w:val="28"/>
              </w:rPr>
              <w:t>Total</w:t>
            </w:r>
          </w:p>
        </w:tc>
        <w:tc>
          <w:tcPr>
            <w:tcW w:w="2368" w:type="dxa"/>
          </w:tcPr>
          <w:p w14:paraId="7B3DB18B" w14:textId="34EDE2C8" w:rsidR="00877954" w:rsidRPr="00643DCF" w:rsidRDefault="00C50441">
            <w:pPr>
              <w:pStyle w:val="Sinespaciado3"/>
              <w:tabs>
                <w:tab w:val="left" w:pos="567"/>
              </w:tabs>
              <w:jc w:val="center"/>
              <w:rPr>
                <w:rFonts w:ascii="Times New Roman" w:eastAsia="Batang" w:hAnsi="Times New Roman"/>
                <w:b/>
                <w:bCs/>
                <w:i/>
                <w:sz w:val="28"/>
                <w:szCs w:val="28"/>
              </w:rPr>
            </w:pPr>
            <w:r w:rsidRPr="00643DCF">
              <w:rPr>
                <w:rFonts w:ascii="Times New Roman" w:eastAsia="Batang" w:hAnsi="Times New Roman"/>
                <w:b/>
                <w:bCs/>
                <w:i/>
                <w:sz w:val="28"/>
                <w:szCs w:val="28"/>
              </w:rPr>
              <w:t>78</w:t>
            </w:r>
          </w:p>
        </w:tc>
      </w:tr>
    </w:tbl>
    <w:p w14:paraId="14FE7ABD" w14:textId="77777777" w:rsidR="00620785" w:rsidRPr="00643DCF" w:rsidRDefault="00620785" w:rsidP="00877954">
      <w:pPr>
        <w:pStyle w:val="Prrafodelista"/>
        <w:widowControl w:val="0"/>
        <w:tabs>
          <w:tab w:val="left" w:pos="426"/>
        </w:tabs>
        <w:autoSpaceDE w:val="0"/>
        <w:autoSpaceDN w:val="0"/>
        <w:adjustRightInd w:val="0"/>
        <w:ind w:left="0"/>
        <w:jc w:val="both"/>
        <w:rPr>
          <w:sz w:val="28"/>
          <w:szCs w:val="28"/>
        </w:rPr>
      </w:pPr>
    </w:p>
    <w:p w14:paraId="2E3AACDF" w14:textId="40565F90" w:rsidR="00412FF3" w:rsidRPr="00643DCF" w:rsidRDefault="00412FF3" w:rsidP="00495CED">
      <w:pPr>
        <w:widowControl w:val="0"/>
        <w:numPr>
          <w:ilvl w:val="0"/>
          <w:numId w:val="3"/>
        </w:numPr>
        <w:tabs>
          <w:tab w:val="left" w:pos="426"/>
        </w:tabs>
        <w:autoSpaceDE w:val="0"/>
        <w:autoSpaceDN w:val="0"/>
        <w:adjustRightInd w:val="0"/>
        <w:ind w:left="0" w:firstLine="0"/>
        <w:jc w:val="both"/>
        <w:rPr>
          <w:rFonts w:eastAsia="Batang"/>
          <w:bCs/>
          <w:sz w:val="28"/>
          <w:szCs w:val="28"/>
        </w:rPr>
      </w:pPr>
      <w:r w:rsidRPr="00643DCF">
        <w:rPr>
          <w:rFonts w:eastAsia="Batang"/>
          <w:bCs/>
          <w:sz w:val="28"/>
          <w:szCs w:val="28"/>
        </w:rPr>
        <w:t xml:space="preserve">Mediante auto del 5 de junio de 2013 </w:t>
      </w:r>
      <w:r w:rsidR="00654597" w:rsidRPr="00643DCF">
        <w:rPr>
          <w:rFonts w:eastAsia="Batang"/>
          <w:bCs/>
          <w:sz w:val="28"/>
          <w:szCs w:val="28"/>
        </w:rPr>
        <w:t xml:space="preserve">la Sala Especial de Seguimiento </w:t>
      </w:r>
      <w:r w:rsidR="00623AC8" w:rsidRPr="00643DCF">
        <w:rPr>
          <w:rFonts w:eastAsia="Batang"/>
          <w:bCs/>
          <w:sz w:val="28"/>
          <w:szCs w:val="28"/>
        </w:rPr>
        <w:t xml:space="preserve">recordó </w:t>
      </w:r>
      <w:r w:rsidRPr="00643DCF">
        <w:rPr>
          <w:rFonts w:eastAsia="Batang"/>
          <w:bCs/>
          <w:sz w:val="28"/>
          <w:szCs w:val="28"/>
        </w:rPr>
        <w:t xml:space="preserve">al CSJ </w:t>
      </w:r>
      <w:r w:rsidR="00623AC8" w:rsidRPr="00643DCF">
        <w:rPr>
          <w:rFonts w:eastAsia="Batang"/>
          <w:bCs/>
          <w:sz w:val="28"/>
          <w:szCs w:val="28"/>
        </w:rPr>
        <w:t xml:space="preserve">la obligatoriedad </w:t>
      </w:r>
      <w:r w:rsidR="000333BC" w:rsidRPr="00643DCF">
        <w:rPr>
          <w:rFonts w:eastAsia="Batang"/>
          <w:bCs/>
          <w:sz w:val="28"/>
          <w:szCs w:val="28"/>
        </w:rPr>
        <w:t xml:space="preserve">de publicitar </w:t>
      </w:r>
      <w:r w:rsidR="00495CED" w:rsidRPr="00643DCF">
        <w:rPr>
          <w:rFonts w:eastAsia="Batang"/>
          <w:bCs/>
          <w:sz w:val="28"/>
          <w:szCs w:val="28"/>
        </w:rPr>
        <w:t xml:space="preserve">los autos de seguimiento y los informes que dan cumplimiento a cada una de las órdenes </w:t>
      </w:r>
      <w:r w:rsidR="000333BC" w:rsidRPr="00643DCF">
        <w:rPr>
          <w:rFonts w:eastAsia="Batang"/>
          <w:bCs/>
          <w:sz w:val="28"/>
          <w:szCs w:val="28"/>
        </w:rPr>
        <w:t>para evitar el</w:t>
      </w:r>
      <w:r w:rsidRPr="00643DCF">
        <w:rPr>
          <w:rFonts w:eastAsia="Batang"/>
          <w:bCs/>
          <w:sz w:val="28"/>
          <w:szCs w:val="28"/>
        </w:rPr>
        <w:t xml:space="preserve"> desconocimiento</w:t>
      </w:r>
      <w:r w:rsidR="00C746BE" w:rsidRPr="00643DCF">
        <w:rPr>
          <w:rFonts w:eastAsia="Batang"/>
          <w:bCs/>
          <w:sz w:val="28"/>
          <w:szCs w:val="28"/>
        </w:rPr>
        <w:t xml:space="preserve"> </w:t>
      </w:r>
      <w:r w:rsidR="00AE2008" w:rsidRPr="00643DCF">
        <w:rPr>
          <w:rFonts w:eastAsia="Batang"/>
          <w:bCs/>
          <w:sz w:val="28"/>
          <w:szCs w:val="28"/>
        </w:rPr>
        <w:t xml:space="preserve">de los mismos </w:t>
      </w:r>
      <w:r w:rsidR="00C746BE" w:rsidRPr="00643DCF">
        <w:rPr>
          <w:rFonts w:eastAsia="Batang"/>
          <w:bCs/>
          <w:sz w:val="28"/>
          <w:szCs w:val="28"/>
        </w:rPr>
        <w:t xml:space="preserve">por parte de </w:t>
      </w:r>
      <w:r w:rsidRPr="00643DCF">
        <w:rPr>
          <w:rFonts w:eastAsia="Batang"/>
          <w:bCs/>
          <w:sz w:val="28"/>
          <w:szCs w:val="28"/>
        </w:rPr>
        <w:t xml:space="preserve">algunos jueces de tutela </w:t>
      </w:r>
      <w:r w:rsidR="00006587" w:rsidRPr="00643DCF">
        <w:rPr>
          <w:rFonts w:eastAsia="Batang"/>
          <w:bCs/>
          <w:sz w:val="28"/>
          <w:szCs w:val="28"/>
        </w:rPr>
        <w:t>y contrario a ello,</w:t>
      </w:r>
      <w:r w:rsidR="00E04CF5" w:rsidRPr="00643DCF">
        <w:rPr>
          <w:rFonts w:eastAsia="Batang"/>
          <w:bCs/>
          <w:sz w:val="28"/>
          <w:szCs w:val="28"/>
        </w:rPr>
        <w:t xml:space="preserve"> </w:t>
      </w:r>
      <w:r w:rsidRPr="00643DCF">
        <w:rPr>
          <w:rFonts w:eastAsia="Batang"/>
          <w:bCs/>
          <w:sz w:val="28"/>
          <w:szCs w:val="28"/>
        </w:rPr>
        <w:t xml:space="preserve">garantizar </w:t>
      </w:r>
      <w:r w:rsidR="006E4C93" w:rsidRPr="00643DCF">
        <w:rPr>
          <w:rFonts w:eastAsia="Batang"/>
          <w:bCs/>
          <w:sz w:val="28"/>
          <w:szCs w:val="28"/>
        </w:rPr>
        <w:t xml:space="preserve">el </w:t>
      </w:r>
      <w:r w:rsidR="00860DDA" w:rsidRPr="00643DCF">
        <w:rPr>
          <w:rFonts w:eastAsia="Batang"/>
          <w:bCs/>
          <w:sz w:val="28"/>
          <w:szCs w:val="28"/>
        </w:rPr>
        <w:t xml:space="preserve">acatamiento </w:t>
      </w:r>
      <w:r w:rsidRPr="00643DCF">
        <w:rPr>
          <w:rFonts w:eastAsia="Batang"/>
          <w:bCs/>
          <w:sz w:val="28"/>
          <w:szCs w:val="28"/>
        </w:rPr>
        <w:t>efectivo de los fallos</w:t>
      </w:r>
      <w:r w:rsidR="006E4C93" w:rsidRPr="00643DCF">
        <w:rPr>
          <w:rFonts w:eastAsia="Batang"/>
          <w:bCs/>
          <w:sz w:val="28"/>
          <w:szCs w:val="28"/>
        </w:rPr>
        <w:t xml:space="preserve"> que profieren,</w:t>
      </w:r>
      <w:r w:rsidRPr="00643DCF">
        <w:rPr>
          <w:rFonts w:eastAsia="Batang"/>
          <w:bCs/>
          <w:sz w:val="28"/>
          <w:szCs w:val="28"/>
        </w:rPr>
        <w:t xml:space="preserve"> </w:t>
      </w:r>
      <w:r w:rsidR="00CC5A0D">
        <w:rPr>
          <w:rFonts w:eastAsia="Batang"/>
          <w:bCs/>
          <w:sz w:val="28"/>
          <w:szCs w:val="28"/>
        </w:rPr>
        <w:t>de igual forma</w:t>
      </w:r>
      <w:r w:rsidRPr="00643DCF">
        <w:rPr>
          <w:rFonts w:eastAsia="Batang"/>
          <w:bCs/>
          <w:sz w:val="28"/>
          <w:szCs w:val="28"/>
        </w:rPr>
        <w:t xml:space="preserve"> ordenó </w:t>
      </w:r>
      <w:r w:rsidR="00495CED" w:rsidRPr="00643DCF">
        <w:rPr>
          <w:rFonts w:eastAsia="Batang"/>
          <w:bCs/>
          <w:sz w:val="28"/>
          <w:szCs w:val="28"/>
        </w:rPr>
        <w:t xml:space="preserve">presentar </w:t>
      </w:r>
      <w:r w:rsidRPr="00643DCF">
        <w:rPr>
          <w:rFonts w:eastAsia="Batang"/>
          <w:bCs/>
          <w:sz w:val="28"/>
          <w:szCs w:val="28"/>
        </w:rPr>
        <w:t xml:space="preserve">un </w:t>
      </w:r>
      <w:r w:rsidR="008D43C8" w:rsidRPr="00643DCF">
        <w:rPr>
          <w:rFonts w:eastAsia="Batang"/>
          <w:bCs/>
          <w:sz w:val="28"/>
          <w:szCs w:val="28"/>
        </w:rPr>
        <w:t>reporte</w:t>
      </w:r>
      <w:r w:rsidR="008D43C8" w:rsidRPr="00643DCF">
        <w:rPr>
          <w:sz w:val="28"/>
          <w:szCs w:val="28"/>
        </w:rPr>
        <w:t xml:space="preserve"> </w:t>
      </w:r>
      <w:r w:rsidR="00FF34E2" w:rsidRPr="00643DCF">
        <w:rPr>
          <w:sz w:val="28"/>
          <w:szCs w:val="28"/>
        </w:rPr>
        <w:t>sobre la manera c</w:t>
      </w:r>
      <w:r w:rsidR="001167DC" w:rsidRPr="00643DCF">
        <w:rPr>
          <w:sz w:val="28"/>
          <w:szCs w:val="28"/>
        </w:rPr>
        <w:t>ó</w:t>
      </w:r>
      <w:r w:rsidR="00FF34E2" w:rsidRPr="00643DCF">
        <w:rPr>
          <w:sz w:val="28"/>
          <w:szCs w:val="28"/>
        </w:rPr>
        <w:t>mo</w:t>
      </w:r>
      <w:r w:rsidR="00E04CF5" w:rsidRPr="00643DCF">
        <w:rPr>
          <w:sz w:val="28"/>
          <w:szCs w:val="28"/>
        </w:rPr>
        <w:t>,</w:t>
      </w:r>
      <w:r w:rsidR="00495CED" w:rsidRPr="00643DCF">
        <w:rPr>
          <w:sz w:val="28"/>
          <w:szCs w:val="28"/>
        </w:rPr>
        <w:t xml:space="preserve"> </w:t>
      </w:r>
      <w:r w:rsidR="00FF34E2" w:rsidRPr="00643DCF">
        <w:rPr>
          <w:sz w:val="28"/>
          <w:szCs w:val="28"/>
        </w:rPr>
        <w:t xml:space="preserve">en </w:t>
      </w:r>
      <w:r w:rsidR="00860DDA" w:rsidRPr="00643DCF">
        <w:rPr>
          <w:sz w:val="28"/>
          <w:szCs w:val="28"/>
        </w:rPr>
        <w:t xml:space="preserve">observancia </w:t>
      </w:r>
      <w:r w:rsidR="00FF34E2" w:rsidRPr="00643DCF">
        <w:rPr>
          <w:sz w:val="28"/>
          <w:szCs w:val="28"/>
        </w:rPr>
        <w:t>del citado mandato trigésimo segundo, ha prevenido o corregido</w:t>
      </w:r>
      <w:r w:rsidR="000333BC" w:rsidRPr="00643DCF">
        <w:rPr>
          <w:rFonts w:eastAsia="Batang"/>
          <w:bCs/>
          <w:sz w:val="28"/>
          <w:szCs w:val="28"/>
        </w:rPr>
        <w:t xml:space="preserve"> </w:t>
      </w:r>
      <w:r w:rsidR="000333BC" w:rsidRPr="00643DCF">
        <w:rPr>
          <w:sz w:val="28"/>
          <w:szCs w:val="28"/>
        </w:rPr>
        <w:t xml:space="preserve">las presuntas prácticas dilatorias de algunos jueces de tutela en el trámite </w:t>
      </w:r>
      <w:r w:rsidR="008D6657" w:rsidRPr="00643DCF">
        <w:rPr>
          <w:sz w:val="28"/>
          <w:szCs w:val="28"/>
        </w:rPr>
        <w:t xml:space="preserve">constitucional </w:t>
      </w:r>
      <w:r w:rsidR="000333BC" w:rsidRPr="00643DCF">
        <w:rPr>
          <w:sz w:val="28"/>
          <w:szCs w:val="28"/>
        </w:rPr>
        <w:t xml:space="preserve">(art. 27 Decreto 2591/91) y de desacato (art. 52 ibídem) a través de la difusión y pedagogía de las reglas de protección constitucional sobre el derecho a la salud contenidas en la </w:t>
      </w:r>
      <w:r w:rsidR="001C45E8" w:rsidRPr="00643DCF">
        <w:rPr>
          <w:sz w:val="28"/>
          <w:szCs w:val="28"/>
        </w:rPr>
        <w:t>s</w:t>
      </w:r>
      <w:r w:rsidR="000333BC" w:rsidRPr="00643DCF">
        <w:rPr>
          <w:sz w:val="28"/>
          <w:szCs w:val="28"/>
        </w:rPr>
        <w:t>entencia T-760 de 2008</w:t>
      </w:r>
      <w:r w:rsidRPr="00643DCF">
        <w:rPr>
          <w:rFonts w:eastAsia="Batang"/>
          <w:bCs/>
          <w:sz w:val="28"/>
          <w:szCs w:val="28"/>
        </w:rPr>
        <w:t xml:space="preserve">. </w:t>
      </w:r>
    </w:p>
    <w:p w14:paraId="61451F77" w14:textId="77777777" w:rsidR="006E4C93" w:rsidRPr="00643DCF" w:rsidRDefault="006E4C93" w:rsidP="006A4D3E">
      <w:pPr>
        <w:pStyle w:val="Sinespaciado3"/>
        <w:tabs>
          <w:tab w:val="left" w:pos="567"/>
        </w:tabs>
        <w:jc w:val="both"/>
        <w:rPr>
          <w:rFonts w:ascii="Times New Roman" w:eastAsia="Batang" w:hAnsi="Times New Roman"/>
          <w:bCs/>
          <w:sz w:val="28"/>
          <w:szCs w:val="28"/>
        </w:rPr>
      </w:pPr>
    </w:p>
    <w:p w14:paraId="3789D0F5" w14:textId="73A106D3" w:rsidR="00FB31C7" w:rsidRPr="00643DCF" w:rsidRDefault="00683D33" w:rsidP="00D90D4C">
      <w:pPr>
        <w:widowControl w:val="0"/>
        <w:numPr>
          <w:ilvl w:val="0"/>
          <w:numId w:val="3"/>
        </w:numPr>
        <w:tabs>
          <w:tab w:val="left" w:pos="426"/>
        </w:tabs>
        <w:autoSpaceDE w:val="0"/>
        <w:autoSpaceDN w:val="0"/>
        <w:adjustRightInd w:val="0"/>
        <w:ind w:left="0" w:firstLine="0"/>
        <w:jc w:val="both"/>
        <w:rPr>
          <w:rFonts w:eastAsia="Batang"/>
          <w:bCs/>
          <w:sz w:val="28"/>
          <w:szCs w:val="28"/>
        </w:rPr>
      </w:pPr>
      <w:r w:rsidRPr="00643DCF">
        <w:rPr>
          <w:sz w:val="28"/>
          <w:szCs w:val="28"/>
        </w:rPr>
        <w:t>El 11 de julio de 2013</w:t>
      </w:r>
      <w:r w:rsidR="005F7545" w:rsidRPr="00643DCF">
        <w:rPr>
          <w:rStyle w:val="Refdenotaalpie"/>
          <w:sz w:val="28"/>
          <w:szCs w:val="28"/>
        </w:rPr>
        <w:footnoteReference w:id="34"/>
      </w:r>
      <w:r w:rsidR="00AA56FE" w:rsidRPr="00643DCF">
        <w:rPr>
          <w:sz w:val="28"/>
          <w:szCs w:val="28"/>
        </w:rPr>
        <w:t>,</w:t>
      </w:r>
      <w:r w:rsidR="00690965" w:rsidRPr="00643DCF">
        <w:rPr>
          <w:sz w:val="28"/>
          <w:szCs w:val="28"/>
        </w:rPr>
        <w:t xml:space="preserve"> </w:t>
      </w:r>
      <w:r w:rsidRPr="00643DCF">
        <w:rPr>
          <w:sz w:val="28"/>
          <w:szCs w:val="28"/>
        </w:rPr>
        <w:t xml:space="preserve">la </w:t>
      </w:r>
      <w:r w:rsidR="003F65D4" w:rsidRPr="00643DCF">
        <w:rPr>
          <w:sz w:val="28"/>
          <w:szCs w:val="28"/>
        </w:rPr>
        <w:t xml:space="preserve">Sala Administrativa </w:t>
      </w:r>
      <w:r w:rsidRPr="00643DCF">
        <w:rPr>
          <w:sz w:val="28"/>
          <w:szCs w:val="28"/>
        </w:rPr>
        <w:t>del Consejo Superior de la Judicatura</w:t>
      </w:r>
      <w:r w:rsidR="006E4C93" w:rsidRPr="00643DCF">
        <w:rPr>
          <w:sz w:val="28"/>
          <w:szCs w:val="28"/>
        </w:rPr>
        <w:t xml:space="preserve"> remitió</w:t>
      </w:r>
      <w:r w:rsidRPr="00643DCF">
        <w:rPr>
          <w:sz w:val="28"/>
          <w:szCs w:val="28"/>
        </w:rPr>
        <w:t xml:space="preserve"> </w:t>
      </w:r>
      <w:r w:rsidR="008D43C8" w:rsidRPr="00643DCF">
        <w:rPr>
          <w:sz w:val="28"/>
          <w:szCs w:val="28"/>
        </w:rPr>
        <w:t>un documento relaciona</w:t>
      </w:r>
      <w:r w:rsidR="0067068F">
        <w:rPr>
          <w:sz w:val="28"/>
          <w:szCs w:val="28"/>
        </w:rPr>
        <w:t>ndo</w:t>
      </w:r>
      <w:r w:rsidRPr="00643DCF">
        <w:rPr>
          <w:sz w:val="28"/>
          <w:szCs w:val="28"/>
        </w:rPr>
        <w:t xml:space="preserve"> las actividades realizadas</w:t>
      </w:r>
      <w:r w:rsidR="00AA56FE" w:rsidRPr="00643DCF">
        <w:rPr>
          <w:sz w:val="28"/>
          <w:szCs w:val="28"/>
        </w:rPr>
        <w:t>,</w:t>
      </w:r>
      <w:r w:rsidR="00381C07" w:rsidRPr="00643DCF">
        <w:rPr>
          <w:sz w:val="28"/>
          <w:szCs w:val="28"/>
        </w:rPr>
        <w:t xml:space="preserve"> </w:t>
      </w:r>
      <w:r w:rsidRPr="00643DCF">
        <w:rPr>
          <w:sz w:val="28"/>
          <w:szCs w:val="28"/>
        </w:rPr>
        <w:t>enu</w:t>
      </w:r>
      <w:r w:rsidR="00BD4DED" w:rsidRPr="00643DCF">
        <w:rPr>
          <w:sz w:val="28"/>
          <w:szCs w:val="28"/>
        </w:rPr>
        <w:t>merando</w:t>
      </w:r>
      <w:r w:rsidRPr="00643DCF">
        <w:rPr>
          <w:sz w:val="28"/>
          <w:szCs w:val="28"/>
        </w:rPr>
        <w:t xml:space="preserve"> las estrategias</w:t>
      </w:r>
      <w:r w:rsidR="001A1143" w:rsidRPr="00643DCF">
        <w:rPr>
          <w:sz w:val="28"/>
          <w:szCs w:val="28"/>
        </w:rPr>
        <w:t xml:space="preserve"> a seguir por la Escuela Judicial </w:t>
      </w:r>
      <w:r w:rsidR="00145AA1" w:rsidRPr="00643DCF">
        <w:rPr>
          <w:sz w:val="28"/>
          <w:szCs w:val="28"/>
        </w:rPr>
        <w:t>Rodrigo Lara Bonilla</w:t>
      </w:r>
      <w:r w:rsidR="001A1143" w:rsidRPr="00643DCF">
        <w:rPr>
          <w:sz w:val="28"/>
          <w:szCs w:val="28"/>
        </w:rPr>
        <w:t xml:space="preserve"> </w:t>
      </w:r>
      <w:r w:rsidR="00502DCF" w:rsidRPr="00643DCF">
        <w:rPr>
          <w:sz w:val="28"/>
          <w:szCs w:val="28"/>
        </w:rPr>
        <w:t>y</w:t>
      </w:r>
      <w:r w:rsidR="001A1143" w:rsidRPr="00643DCF">
        <w:rPr>
          <w:sz w:val="28"/>
          <w:szCs w:val="28"/>
        </w:rPr>
        <w:t xml:space="preserve"> </w:t>
      </w:r>
      <w:r w:rsidR="006E4C93" w:rsidRPr="00643DCF">
        <w:rPr>
          <w:sz w:val="28"/>
          <w:szCs w:val="28"/>
        </w:rPr>
        <w:t xml:space="preserve">el </w:t>
      </w:r>
      <w:r w:rsidR="001A1143" w:rsidRPr="00643DCF">
        <w:rPr>
          <w:sz w:val="28"/>
          <w:szCs w:val="28"/>
        </w:rPr>
        <w:t>Cendoj</w:t>
      </w:r>
      <w:r w:rsidR="00F30AC7" w:rsidRPr="00643DCF">
        <w:rPr>
          <w:sz w:val="28"/>
          <w:szCs w:val="28"/>
        </w:rPr>
        <w:t>,</w:t>
      </w:r>
      <w:r w:rsidR="00BD4DED" w:rsidRPr="00643DCF">
        <w:rPr>
          <w:sz w:val="28"/>
          <w:szCs w:val="28"/>
        </w:rPr>
        <w:t xml:space="preserve"> </w:t>
      </w:r>
      <w:r w:rsidR="002226AF" w:rsidRPr="00643DCF">
        <w:rPr>
          <w:sz w:val="28"/>
          <w:szCs w:val="28"/>
        </w:rPr>
        <w:t>actuaciones</w:t>
      </w:r>
      <w:r w:rsidR="007C37BF" w:rsidRPr="00643DCF">
        <w:rPr>
          <w:sz w:val="28"/>
          <w:szCs w:val="28"/>
        </w:rPr>
        <w:t xml:space="preserve"> </w:t>
      </w:r>
      <w:r w:rsidR="00BD4DED" w:rsidRPr="00643DCF">
        <w:rPr>
          <w:sz w:val="28"/>
          <w:szCs w:val="28"/>
        </w:rPr>
        <w:t xml:space="preserve">que </w:t>
      </w:r>
      <w:r w:rsidR="007C37BF" w:rsidRPr="00643DCF">
        <w:rPr>
          <w:sz w:val="28"/>
          <w:szCs w:val="28"/>
        </w:rPr>
        <w:t>consist</w:t>
      </w:r>
      <w:r w:rsidR="009E214C" w:rsidRPr="00643DCF">
        <w:rPr>
          <w:sz w:val="28"/>
          <w:szCs w:val="28"/>
        </w:rPr>
        <w:t>ían</w:t>
      </w:r>
      <w:r w:rsidR="007C37BF" w:rsidRPr="00643DCF">
        <w:rPr>
          <w:sz w:val="28"/>
          <w:szCs w:val="28"/>
        </w:rPr>
        <w:t xml:space="preserve"> en</w:t>
      </w:r>
      <w:r w:rsidR="00E04CF5" w:rsidRPr="00643DCF">
        <w:rPr>
          <w:sz w:val="28"/>
          <w:szCs w:val="28"/>
        </w:rPr>
        <w:t>:</w:t>
      </w:r>
      <w:r w:rsidR="007C37BF" w:rsidRPr="00643DCF">
        <w:rPr>
          <w:sz w:val="28"/>
          <w:szCs w:val="28"/>
        </w:rPr>
        <w:t xml:space="preserve"> </w:t>
      </w:r>
      <w:r w:rsidR="00E04CF5" w:rsidRPr="00643DCF">
        <w:rPr>
          <w:i/>
          <w:sz w:val="28"/>
          <w:szCs w:val="28"/>
        </w:rPr>
        <w:t>(i)</w:t>
      </w:r>
      <w:r w:rsidR="007C37BF" w:rsidRPr="00643DCF">
        <w:rPr>
          <w:sz w:val="28"/>
          <w:szCs w:val="28"/>
        </w:rPr>
        <w:t>la realización de video-conferencia</w:t>
      </w:r>
      <w:r w:rsidR="00D07428" w:rsidRPr="00643DCF">
        <w:rPr>
          <w:sz w:val="28"/>
          <w:szCs w:val="28"/>
        </w:rPr>
        <w:t>s</w:t>
      </w:r>
      <w:r w:rsidR="007C37BF" w:rsidRPr="00643DCF">
        <w:rPr>
          <w:sz w:val="28"/>
          <w:szCs w:val="28"/>
        </w:rPr>
        <w:t xml:space="preserve"> </w:t>
      </w:r>
      <w:r w:rsidR="002226AF" w:rsidRPr="00643DCF">
        <w:rPr>
          <w:sz w:val="28"/>
          <w:szCs w:val="28"/>
        </w:rPr>
        <w:t xml:space="preserve">durante </w:t>
      </w:r>
      <w:r w:rsidR="00D07428" w:rsidRPr="00643DCF">
        <w:rPr>
          <w:sz w:val="28"/>
          <w:szCs w:val="28"/>
        </w:rPr>
        <w:t xml:space="preserve">los años </w:t>
      </w:r>
      <w:r w:rsidR="002226AF" w:rsidRPr="00643DCF">
        <w:rPr>
          <w:sz w:val="28"/>
          <w:szCs w:val="28"/>
        </w:rPr>
        <w:t>2011</w:t>
      </w:r>
      <w:r w:rsidR="00D07428" w:rsidRPr="00643DCF">
        <w:rPr>
          <w:sz w:val="28"/>
          <w:szCs w:val="28"/>
        </w:rPr>
        <w:t xml:space="preserve"> y 2012</w:t>
      </w:r>
      <w:r w:rsidR="00FE020A" w:rsidRPr="00643DCF">
        <w:rPr>
          <w:sz w:val="28"/>
          <w:szCs w:val="28"/>
        </w:rPr>
        <w:t>, a través de las</w:t>
      </w:r>
      <w:r w:rsidR="00E04CF5" w:rsidRPr="00643DCF">
        <w:rPr>
          <w:sz w:val="28"/>
          <w:szCs w:val="28"/>
        </w:rPr>
        <w:t xml:space="preserve"> cuales</w:t>
      </w:r>
      <w:r w:rsidR="00854923" w:rsidRPr="00643DCF">
        <w:rPr>
          <w:sz w:val="28"/>
          <w:szCs w:val="28"/>
        </w:rPr>
        <w:t xml:space="preserve"> </w:t>
      </w:r>
      <w:r w:rsidR="00FE020A" w:rsidRPr="00643DCF">
        <w:rPr>
          <w:sz w:val="28"/>
          <w:szCs w:val="28"/>
        </w:rPr>
        <w:t>capacit</w:t>
      </w:r>
      <w:r w:rsidR="009601CB" w:rsidRPr="00643DCF">
        <w:rPr>
          <w:sz w:val="28"/>
          <w:szCs w:val="28"/>
        </w:rPr>
        <w:t>ó</w:t>
      </w:r>
      <w:r w:rsidR="00FE020A" w:rsidRPr="00643DCF">
        <w:rPr>
          <w:sz w:val="28"/>
          <w:szCs w:val="28"/>
        </w:rPr>
        <w:t xml:space="preserve"> a funcionarios de </w:t>
      </w:r>
      <w:r w:rsidR="00FB4FF3" w:rsidRPr="00643DCF">
        <w:rPr>
          <w:sz w:val="28"/>
          <w:szCs w:val="28"/>
        </w:rPr>
        <w:t xml:space="preserve">los </w:t>
      </w:r>
      <w:r w:rsidR="009601CB" w:rsidRPr="00643DCF">
        <w:rPr>
          <w:sz w:val="28"/>
          <w:szCs w:val="28"/>
        </w:rPr>
        <w:t>d</w:t>
      </w:r>
      <w:r w:rsidR="00FB4FF3" w:rsidRPr="00643DCF">
        <w:rPr>
          <w:sz w:val="28"/>
          <w:szCs w:val="28"/>
        </w:rPr>
        <w:t xml:space="preserve">istritos </w:t>
      </w:r>
      <w:r w:rsidR="009601CB" w:rsidRPr="00643DCF">
        <w:rPr>
          <w:sz w:val="28"/>
          <w:szCs w:val="28"/>
        </w:rPr>
        <w:t>j</w:t>
      </w:r>
      <w:r w:rsidR="00FB4FF3" w:rsidRPr="00643DCF">
        <w:rPr>
          <w:sz w:val="28"/>
          <w:szCs w:val="28"/>
        </w:rPr>
        <w:t>udiciales de Bucaramanga y San Gil</w:t>
      </w:r>
      <w:r w:rsidR="00E04CF5" w:rsidRPr="00643DCF">
        <w:rPr>
          <w:sz w:val="28"/>
          <w:szCs w:val="28"/>
        </w:rPr>
        <w:t>;</w:t>
      </w:r>
      <w:r w:rsidR="00642619" w:rsidRPr="00643DCF">
        <w:rPr>
          <w:sz w:val="28"/>
          <w:szCs w:val="28"/>
        </w:rPr>
        <w:t xml:space="preserve"> </w:t>
      </w:r>
      <w:r w:rsidR="00642619" w:rsidRPr="00643DCF">
        <w:rPr>
          <w:i/>
          <w:sz w:val="28"/>
          <w:szCs w:val="28"/>
        </w:rPr>
        <w:t>(ii)</w:t>
      </w:r>
      <w:r w:rsidR="00642619" w:rsidRPr="00643DCF">
        <w:rPr>
          <w:sz w:val="28"/>
          <w:szCs w:val="28"/>
        </w:rPr>
        <w:t xml:space="preserve"> </w:t>
      </w:r>
      <w:r w:rsidR="00FB4FF3" w:rsidRPr="00643DCF">
        <w:rPr>
          <w:sz w:val="28"/>
          <w:szCs w:val="28"/>
        </w:rPr>
        <w:t>la actualización del módulo sobre seguridad social en salud</w:t>
      </w:r>
      <w:r w:rsidR="00642619" w:rsidRPr="00643DCF">
        <w:rPr>
          <w:rFonts w:eastAsia="Batang"/>
          <w:bCs/>
          <w:sz w:val="28"/>
          <w:szCs w:val="28"/>
        </w:rPr>
        <w:t xml:space="preserve">; </w:t>
      </w:r>
      <w:r w:rsidR="00642619" w:rsidRPr="00643DCF">
        <w:rPr>
          <w:rFonts w:eastAsia="Batang"/>
          <w:bCs/>
          <w:i/>
          <w:sz w:val="28"/>
          <w:szCs w:val="28"/>
        </w:rPr>
        <w:t>(iii)</w:t>
      </w:r>
      <w:r w:rsidR="00642619" w:rsidRPr="00643DCF">
        <w:rPr>
          <w:rFonts w:eastAsia="Batang"/>
          <w:bCs/>
          <w:sz w:val="28"/>
          <w:szCs w:val="28"/>
        </w:rPr>
        <w:t xml:space="preserve"> </w:t>
      </w:r>
      <w:r w:rsidR="00D07428" w:rsidRPr="00643DCF">
        <w:rPr>
          <w:sz w:val="28"/>
          <w:szCs w:val="28"/>
        </w:rPr>
        <w:t>la divulgación del fallo a través del subprograma de profundización del régimen</w:t>
      </w:r>
      <w:r w:rsidR="00877954" w:rsidRPr="00643DCF">
        <w:rPr>
          <w:rFonts w:eastAsia="Batang"/>
          <w:bCs/>
          <w:sz w:val="28"/>
          <w:szCs w:val="28"/>
        </w:rPr>
        <w:t xml:space="preserve"> de seguridad social en salud en Bogotá, Cali, Barranquilla, Medellín, Cartagena, Santa Marta, Ibagué y Armenia</w:t>
      </w:r>
      <w:r w:rsidR="001B6B51" w:rsidRPr="00643DCF">
        <w:rPr>
          <w:rFonts w:eastAsia="Batang"/>
          <w:bCs/>
          <w:sz w:val="28"/>
          <w:szCs w:val="28"/>
        </w:rPr>
        <w:t>,</w:t>
      </w:r>
      <w:r w:rsidR="00877954" w:rsidRPr="00643DCF">
        <w:rPr>
          <w:rFonts w:eastAsia="Batang"/>
          <w:bCs/>
          <w:sz w:val="28"/>
          <w:szCs w:val="28"/>
        </w:rPr>
        <w:t xml:space="preserve"> con una intensidad de 8 horas presenciales</w:t>
      </w:r>
      <w:r w:rsidR="000F6ABD">
        <w:rPr>
          <w:rFonts w:eastAsia="Batang"/>
          <w:bCs/>
          <w:sz w:val="28"/>
          <w:szCs w:val="28"/>
        </w:rPr>
        <w:t>,</w:t>
      </w:r>
      <w:r w:rsidR="00877954" w:rsidRPr="00643DCF">
        <w:rPr>
          <w:rFonts w:eastAsia="Batang"/>
          <w:bCs/>
          <w:sz w:val="28"/>
          <w:szCs w:val="28"/>
        </w:rPr>
        <w:t xml:space="preserve"> 12 virtuales</w:t>
      </w:r>
      <w:r w:rsidR="00D07428" w:rsidRPr="00643DCF">
        <w:rPr>
          <w:rFonts w:eastAsia="Batang"/>
          <w:bCs/>
          <w:sz w:val="28"/>
          <w:szCs w:val="28"/>
        </w:rPr>
        <w:t xml:space="preserve"> y </w:t>
      </w:r>
      <w:r w:rsidR="00877954" w:rsidRPr="00643DCF">
        <w:rPr>
          <w:rFonts w:eastAsia="Batang"/>
          <w:bCs/>
          <w:sz w:val="28"/>
          <w:szCs w:val="28"/>
        </w:rPr>
        <w:t>114 servidores judiciales</w:t>
      </w:r>
      <w:r w:rsidR="00D07428" w:rsidRPr="00643DCF">
        <w:rPr>
          <w:rFonts w:eastAsia="Batang"/>
          <w:bCs/>
          <w:sz w:val="28"/>
          <w:szCs w:val="28"/>
        </w:rPr>
        <w:t xml:space="preserve"> asistentes</w:t>
      </w:r>
      <w:r w:rsidR="0013522E" w:rsidRPr="00643DCF">
        <w:rPr>
          <w:rStyle w:val="Refdenotaalpie"/>
          <w:rFonts w:eastAsia="Batang"/>
          <w:bCs/>
          <w:sz w:val="28"/>
          <w:szCs w:val="28"/>
        </w:rPr>
        <w:footnoteReference w:id="35"/>
      </w:r>
      <w:r w:rsidR="00FE020A" w:rsidRPr="00643DCF">
        <w:rPr>
          <w:rFonts w:eastAsia="Batang"/>
          <w:bCs/>
          <w:sz w:val="28"/>
          <w:szCs w:val="28"/>
        </w:rPr>
        <w:t xml:space="preserve">. </w:t>
      </w:r>
    </w:p>
    <w:p w14:paraId="01B76507" w14:textId="6AD9DDB9" w:rsidR="00877954" w:rsidRPr="00643DCF" w:rsidRDefault="00FE020A" w:rsidP="004E1098">
      <w:pPr>
        <w:widowControl w:val="0"/>
        <w:tabs>
          <w:tab w:val="left" w:pos="426"/>
        </w:tabs>
        <w:autoSpaceDE w:val="0"/>
        <w:autoSpaceDN w:val="0"/>
        <w:adjustRightInd w:val="0"/>
        <w:jc w:val="both"/>
        <w:rPr>
          <w:rFonts w:eastAsia="Batang"/>
          <w:bCs/>
          <w:sz w:val="28"/>
          <w:szCs w:val="28"/>
        </w:rPr>
      </w:pPr>
      <w:r w:rsidRPr="00643DCF">
        <w:rPr>
          <w:rFonts w:eastAsia="Batang"/>
          <w:bCs/>
          <w:sz w:val="28"/>
          <w:szCs w:val="28"/>
        </w:rPr>
        <w:lastRenderedPageBreak/>
        <w:t>Adicionalmente</w:t>
      </w:r>
      <w:r w:rsidR="00035251" w:rsidRPr="00643DCF">
        <w:rPr>
          <w:rFonts w:eastAsia="Batang"/>
          <w:bCs/>
          <w:sz w:val="28"/>
          <w:szCs w:val="28"/>
        </w:rPr>
        <w:t xml:space="preserve"> expuso que</w:t>
      </w:r>
      <w:r w:rsidR="00642619" w:rsidRPr="00643DCF">
        <w:rPr>
          <w:rFonts w:eastAsia="Batang"/>
          <w:bCs/>
          <w:sz w:val="28"/>
          <w:szCs w:val="28"/>
        </w:rPr>
        <w:t xml:space="preserve"> </w:t>
      </w:r>
      <w:r w:rsidR="00642619" w:rsidRPr="00643DCF">
        <w:rPr>
          <w:rFonts w:eastAsia="Batang"/>
          <w:bCs/>
          <w:i/>
          <w:sz w:val="28"/>
          <w:szCs w:val="28"/>
        </w:rPr>
        <w:t>(iv)</w:t>
      </w:r>
      <w:r w:rsidR="00642619" w:rsidRPr="00643DCF">
        <w:rPr>
          <w:rFonts w:eastAsia="Batang"/>
          <w:bCs/>
          <w:sz w:val="28"/>
          <w:szCs w:val="28"/>
        </w:rPr>
        <w:t xml:space="preserve"> </w:t>
      </w:r>
      <w:r w:rsidR="005F5681" w:rsidRPr="00643DCF">
        <w:rPr>
          <w:rFonts w:eastAsia="Batang"/>
          <w:bCs/>
          <w:sz w:val="28"/>
          <w:szCs w:val="28"/>
        </w:rPr>
        <w:t>actualiz</w:t>
      </w:r>
      <w:r w:rsidRPr="00643DCF">
        <w:rPr>
          <w:rFonts w:eastAsia="Batang"/>
          <w:bCs/>
          <w:sz w:val="28"/>
          <w:szCs w:val="28"/>
        </w:rPr>
        <w:t xml:space="preserve">ó los </w:t>
      </w:r>
      <w:r w:rsidR="005F5681" w:rsidRPr="00643DCF">
        <w:rPr>
          <w:rFonts w:eastAsia="Batang"/>
          <w:bCs/>
          <w:sz w:val="28"/>
          <w:szCs w:val="28"/>
        </w:rPr>
        <w:t xml:space="preserve">materiales académicos </w:t>
      </w:r>
      <w:r w:rsidR="009D5C2A" w:rsidRPr="00643DCF">
        <w:rPr>
          <w:rFonts w:eastAsia="Batang"/>
          <w:bCs/>
          <w:sz w:val="28"/>
          <w:szCs w:val="28"/>
        </w:rPr>
        <w:t xml:space="preserve">para incorporar a los contenidos de la </w:t>
      </w:r>
      <w:r w:rsidR="006E4595" w:rsidRPr="00643DCF">
        <w:rPr>
          <w:rFonts w:eastAsia="Batang"/>
          <w:bCs/>
          <w:sz w:val="28"/>
          <w:szCs w:val="28"/>
        </w:rPr>
        <w:t>s</w:t>
      </w:r>
      <w:r w:rsidR="009D5C2A" w:rsidRPr="00643DCF">
        <w:rPr>
          <w:rFonts w:eastAsia="Batang"/>
          <w:bCs/>
          <w:sz w:val="28"/>
          <w:szCs w:val="28"/>
        </w:rPr>
        <w:t>entencia T-760 de 2008</w:t>
      </w:r>
      <w:r w:rsidR="004979C5" w:rsidRPr="00643DCF">
        <w:rPr>
          <w:rFonts w:eastAsia="Batang"/>
          <w:bCs/>
          <w:sz w:val="28"/>
          <w:szCs w:val="28"/>
        </w:rPr>
        <w:t>,</w:t>
      </w:r>
      <w:r w:rsidR="009D5C2A" w:rsidRPr="00643DCF">
        <w:rPr>
          <w:rFonts w:eastAsia="Batang"/>
          <w:bCs/>
          <w:sz w:val="28"/>
          <w:szCs w:val="28"/>
        </w:rPr>
        <w:t xml:space="preserve"> las disposiciones de la Ley 1438 de 2011</w:t>
      </w:r>
      <w:r w:rsidR="009D5C2A" w:rsidRPr="00643DCF">
        <w:rPr>
          <w:rStyle w:val="Refdenotaalpie"/>
          <w:rFonts w:eastAsia="Batang"/>
          <w:bCs/>
          <w:sz w:val="28"/>
          <w:szCs w:val="28"/>
        </w:rPr>
        <w:footnoteReference w:id="36"/>
      </w:r>
      <w:r w:rsidR="009D5C2A" w:rsidRPr="00643DCF">
        <w:rPr>
          <w:rFonts w:eastAsia="Batang"/>
          <w:bCs/>
          <w:sz w:val="28"/>
          <w:szCs w:val="28"/>
        </w:rPr>
        <w:t xml:space="preserve"> </w:t>
      </w:r>
      <w:r w:rsidR="005F5681" w:rsidRPr="00643DCF">
        <w:rPr>
          <w:rFonts w:eastAsia="Batang"/>
          <w:bCs/>
          <w:sz w:val="28"/>
          <w:szCs w:val="28"/>
        </w:rPr>
        <w:t xml:space="preserve">y </w:t>
      </w:r>
      <w:r w:rsidR="00D560CC" w:rsidRPr="00643DCF">
        <w:rPr>
          <w:rFonts w:eastAsia="Batang"/>
          <w:bCs/>
          <w:sz w:val="28"/>
          <w:szCs w:val="28"/>
        </w:rPr>
        <w:t xml:space="preserve">los </w:t>
      </w:r>
      <w:r w:rsidR="001C0A63" w:rsidRPr="00643DCF">
        <w:rPr>
          <w:rFonts w:eastAsia="Batang"/>
          <w:bCs/>
          <w:sz w:val="28"/>
          <w:szCs w:val="28"/>
        </w:rPr>
        <w:t>módulos</w:t>
      </w:r>
      <w:r w:rsidR="00D560CC" w:rsidRPr="00643DCF">
        <w:rPr>
          <w:rFonts w:eastAsia="Batang"/>
          <w:bCs/>
          <w:sz w:val="28"/>
          <w:szCs w:val="28"/>
        </w:rPr>
        <w:t xml:space="preserve"> de practica judicial en el sistema general de seguridad social en salud </w:t>
      </w:r>
      <w:r w:rsidR="009D5C2A" w:rsidRPr="00643DCF">
        <w:rPr>
          <w:rFonts w:eastAsia="Batang"/>
          <w:bCs/>
          <w:sz w:val="28"/>
          <w:szCs w:val="28"/>
        </w:rPr>
        <w:t>denominado “</w:t>
      </w:r>
      <w:r w:rsidR="009D5C2A" w:rsidRPr="00643DCF">
        <w:rPr>
          <w:rFonts w:eastAsia="Batang"/>
          <w:bCs/>
          <w:i/>
          <w:sz w:val="28"/>
          <w:szCs w:val="28"/>
        </w:rPr>
        <w:t>las guías para el discente y el formador (a)”</w:t>
      </w:r>
      <w:r w:rsidR="009D5C2A" w:rsidRPr="00643DCF">
        <w:rPr>
          <w:rFonts w:eastAsia="Batang"/>
          <w:bCs/>
          <w:sz w:val="28"/>
          <w:szCs w:val="28"/>
        </w:rPr>
        <w:t xml:space="preserve">; </w:t>
      </w:r>
      <w:r w:rsidR="002F7559" w:rsidRPr="00643DCF">
        <w:rPr>
          <w:rFonts w:eastAsia="Batang"/>
          <w:bCs/>
          <w:i/>
          <w:sz w:val="28"/>
          <w:szCs w:val="28"/>
        </w:rPr>
        <w:t>(v)</w:t>
      </w:r>
      <w:r w:rsidR="002F7559" w:rsidRPr="00643DCF">
        <w:rPr>
          <w:rFonts w:eastAsia="Batang"/>
          <w:bCs/>
          <w:sz w:val="28"/>
          <w:szCs w:val="28"/>
        </w:rPr>
        <w:t xml:space="preserve"> </w:t>
      </w:r>
      <w:r w:rsidR="00746709" w:rsidRPr="00643DCF">
        <w:rPr>
          <w:rFonts w:eastAsia="Batang"/>
          <w:bCs/>
          <w:sz w:val="28"/>
          <w:szCs w:val="28"/>
        </w:rPr>
        <w:t xml:space="preserve">emitió </w:t>
      </w:r>
      <w:r w:rsidR="001C0A63" w:rsidRPr="00643DCF">
        <w:rPr>
          <w:rFonts w:eastAsia="Batang"/>
          <w:bCs/>
          <w:sz w:val="28"/>
          <w:szCs w:val="28"/>
        </w:rPr>
        <w:t>un programa de televisión</w:t>
      </w:r>
      <w:r w:rsidR="002F7559" w:rsidRPr="00643DCF">
        <w:rPr>
          <w:rFonts w:eastAsia="Batang"/>
          <w:bCs/>
          <w:sz w:val="28"/>
          <w:szCs w:val="28"/>
        </w:rPr>
        <w:t xml:space="preserve">; </w:t>
      </w:r>
      <w:r w:rsidR="002F7559" w:rsidRPr="00643DCF">
        <w:rPr>
          <w:rFonts w:eastAsia="Batang"/>
          <w:bCs/>
          <w:i/>
          <w:sz w:val="28"/>
          <w:szCs w:val="28"/>
        </w:rPr>
        <w:t>(vi)</w:t>
      </w:r>
      <w:r w:rsidR="002F7559" w:rsidRPr="00643DCF">
        <w:rPr>
          <w:rFonts w:eastAsia="Batang"/>
          <w:bCs/>
          <w:sz w:val="28"/>
          <w:szCs w:val="28"/>
        </w:rPr>
        <w:t xml:space="preserve"> </w:t>
      </w:r>
      <w:r w:rsidR="001C0A63" w:rsidRPr="00643DCF">
        <w:rPr>
          <w:rFonts w:eastAsia="Batang"/>
          <w:bCs/>
          <w:sz w:val="28"/>
          <w:szCs w:val="28"/>
        </w:rPr>
        <w:t>public</w:t>
      </w:r>
      <w:r w:rsidR="00746709" w:rsidRPr="00643DCF">
        <w:rPr>
          <w:rFonts w:eastAsia="Batang"/>
          <w:bCs/>
          <w:sz w:val="28"/>
          <w:szCs w:val="28"/>
        </w:rPr>
        <w:t>ó</w:t>
      </w:r>
      <w:r w:rsidR="001C0A63" w:rsidRPr="00643DCF">
        <w:rPr>
          <w:rFonts w:eastAsia="Batang"/>
          <w:bCs/>
          <w:sz w:val="28"/>
          <w:szCs w:val="28"/>
        </w:rPr>
        <w:t xml:space="preserve"> en el portal </w:t>
      </w:r>
      <w:r w:rsidR="006C6B21" w:rsidRPr="00643DCF">
        <w:rPr>
          <w:rFonts w:eastAsia="Batang"/>
          <w:bCs/>
          <w:sz w:val="28"/>
          <w:szCs w:val="28"/>
        </w:rPr>
        <w:t>web</w:t>
      </w:r>
      <w:r w:rsidR="001C0A63" w:rsidRPr="00643DCF">
        <w:rPr>
          <w:rFonts w:eastAsia="Batang"/>
          <w:bCs/>
          <w:sz w:val="28"/>
          <w:szCs w:val="28"/>
        </w:rPr>
        <w:t xml:space="preserve"> de la Rama Judicial</w:t>
      </w:r>
      <w:r w:rsidR="00D560CC" w:rsidRPr="00643DCF">
        <w:rPr>
          <w:rFonts w:eastAsia="Batang"/>
          <w:bCs/>
          <w:sz w:val="28"/>
          <w:szCs w:val="28"/>
        </w:rPr>
        <w:t xml:space="preserve"> los autos proferidos por la Sala Especial</w:t>
      </w:r>
      <w:r w:rsidR="00FC567F" w:rsidRPr="00643DCF">
        <w:rPr>
          <w:rFonts w:eastAsia="Batang"/>
          <w:bCs/>
          <w:sz w:val="28"/>
          <w:szCs w:val="28"/>
        </w:rPr>
        <w:t>,</w:t>
      </w:r>
      <w:r w:rsidR="00D560CC" w:rsidRPr="00643DCF">
        <w:rPr>
          <w:rFonts w:eastAsia="Batang"/>
          <w:bCs/>
          <w:sz w:val="28"/>
          <w:szCs w:val="28"/>
        </w:rPr>
        <w:t xml:space="preserve"> la normatividad y doctrina vigente</w:t>
      </w:r>
      <w:r w:rsidR="001C0A63" w:rsidRPr="00643DCF">
        <w:rPr>
          <w:rFonts w:eastAsia="Batang"/>
          <w:bCs/>
          <w:sz w:val="28"/>
          <w:szCs w:val="28"/>
        </w:rPr>
        <w:t xml:space="preserve">, </w:t>
      </w:r>
      <w:r w:rsidR="00D560CC" w:rsidRPr="00643DCF">
        <w:rPr>
          <w:rFonts w:eastAsia="Batang"/>
          <w:bCs/>
          <w:sz w:val="28"/>
          <w:szCs w:val="28"/>
        </w:rPr>
        <w:t>así mismo</w:t>
      </w:r>
      <w:r w:rsidR="00C60DE2" w:rsidRPr="00643DCF">
        <w:rPr>
          <w:rFonts w:eastAsia="Batang"/>
          <w:bCs/>
          <w:sz w:val="28"/>
          <w:szCs w:val="28"/>
        </w:rPr>
        <w:t>,</w:t>
      </w:r>
      <w:r w:rsidR="00D560CC" w:rsidRPr="00643DCF">
        <w:rPr>
          <w:rFonts w:eastAsia="Batang"/>
          <w:bCs/>
          <w:sz w:val="28"/>
          <w:szCs w:val="28"/>
        </w:rPr>
        <w:t xml:space="preserve"> </w:t>
      </w:r>
      <w:r w:rsidR="002F7559" w:rsidRPr="00643DCF">
        <w:rPr>
          <w:rFonts w:eastAsia="Batang"/>
          <w:bCs/>
          <w:i/>
          <w:sz w:val="28"/>
          <w:szCs w:val="28"/>
        </w:rPr>
        <w:t>(vii)</w:t>
      </w:r>
      <w:r w:rsidR="002F7559" w:rsidRPr="00643DCF">
        <w:rPr>
          <w:rFonts w:eastAsia="Batang"/>
          <w:bCs/>
          <w:sz w:val="28"/>
          <w:szCs w:val="28"/>
        </w:rPr>
        <w:t xml:space="preserve"> </w:t>
      </w:r>
      <w:r w:rsidR="00D560CC" w:rsidRPr="00643DCF">
        <w:rPr>
          <w:rFonts w:eastAsia="Batang"/>
          <w:bCs/>
          <w:sz w:val="28"/>
          <w:szCs w:val="28"/>
        </w:rPr>
        <w:t>informó que realizó el envío</w:t>
      </w:r>
      <w:r w:rsidR="001C0A63" w:rsidRPr="00643DCF">
        <w:rPr>
          <w:rFonts w:eastAsia="Batang"/>
          <w:bCs/>
          <w:sz w:val="28"/>
          <w:szCs w:val="28"/>
        </w:rPr>
        <w:t xml:space="preserve"> de la sentencia a 4350 correos electrónicos institucionales </w:t>
      </w:r>
      <w:r w:rsidR="00746709" w:rsidRPr="00643DCF">
        <w:rPr>
          <w:rFonts w:eastAsia="Batang"/>
          <w:bCs/>
          <w:sz w:val="28"/>
          <w:szCs w:val="28"/>
        </w:rPr>
        <w:t xml:space="preserve">y realizó la </w:t>
      </w:r>
      <w:r w:rsidR="001C0A63" w:rsidRPr="00643DCF">
        <w:rPr>
          <w:rFonts w:eastAsia="Batang"/>
          <w:bCs/>
          <w:sz w:val="28"/>
          <w:szCs w:val="28"/>
        </w:rPr>
        <w:t xml:space="preserve">transmisión en directo por </w:t>
      </w:r>
      <w:r w:rsidR="001C0A63" w:rsidRPr="00643DCF">
        <w:rPr>
          <w:rFonts w:eastAsia="Batang"/>
          <w:bCs/>
          <w:i/>
          <w:sz w:val="28"/>
          <w:szCs w:val="28"/>
        </w:rPr>
        <w:t>streaming</w:t>
      </w:r>
      <w:r w:rsidR="001C0A63" w:rsidRPr="00643DCF">
        <w:rPr>
          <w:rFonts w:eastAsia="Batang"/>
          <w:bCs/>
          <w:sz w:val="28"/>
          <w:szCs w:val="28"/>
        </w:rPr>
        <w:t xml:space="preserve"> de la audiencia pública de seguimiento </w:t>
      </w:r>
      <w:r w:rsidR="00800C0B" w:rsidRPr="00643DCF">
        <w:rPr>
          <w:rFonts w:eastAsia="Batang"/>
          <w:bCs/>
          <w:sz w:val="28"/>
          <w:szCs w:val="28"/>
        </w:rPr>
        <w:t>al fallo estructural</w:t>
      </w:r>
      <w:r w:rsidR="001C0A63" w:rsidRPr="00643DCF">
        <w:rPr>
          <w:rFonts w:eastAsia="Batang"/>
          <w:bCs/>
          <w:sz w:val="28"/>
          <w:szCs w:val="28"/>
        </w:rPr>
        <w:t xml:space="preserve"> el 10 de mayo de 2012</w:t>
      </w:r>
      <w:r w:rsidR="00877954" w:rsidRPr="00643DCF">
        <w:rPr>
          <w:rFonts w:eastAsia="Batang"/>
          <w:bCs/>
          <w:sz w:val="28"/>
          <w:szCs w:val="28"/>
        </w:rPr>
        <w:t xml:space="preserve">. </w:t>
      </w:r>
    </w:p>
    <w:p w14:paraId="704AA78B" w14:textId="77777777" w:rsidR="00A709FD" w:rsidRPr="00643DCF" w:rsidRDefault="00A709FD" w:rsidP="004E1098">
      <w:pPr>
        <w:widowControl w:val="0"/>
        <w:tabs>
          <w:tab w:val="left" w:pos="426"/>
        </w:tabs>
        <w:autoSpaceDE w:val="0"/>
        <w:autoSpaceDN w:val="0"/>
        <w:adjustRightInd w:val="0"/>
        <w:jc w:val="both"/>
        <w:rPr>
          <w:rFonts w:eastAsia="Batang"/>
          <w:bCs/>
          <w:sz w:val="28"/>
          <w:szCs w:val="28"/>
        </w:rPr>
      </w:pPr>
    </w:p>
    <w:p w14:paraId="1346BC8E" w14:textId="583C9C86" w:rsidR="00502DCF" w:rsidRPr="00643DCF" w:rsidRDefault="001A1143" w:rsidP="00B14E08">
      <w:pPr>
        <w:widowControl w:val="0"/>
        <w:numPr>
          <w:ilvl w:val="0"/>
          <w:numId w:val="3"/>
        </w:numPr>
        <w:tabs>
          <w:tab w:val="left" w:pos="426"/>
        </w:tabs>
        <w:autoSpaceDE w:val="0"/>
        <w:autoSpaceDN w:val="0"/>
        <w:adjustRightInd w:val="0"/>
        <w:ind w:left="0" w:firstLine="0"/>
        <w:jc w:val="both"/>
        <w:rPr>
          <w:sz w:val="28"/>
          <w:szCs w:val="28"/>
        </w:rPr>
      </w:pPr>
      <w:r w:rsidRPr="00643DCF">
        <w:rPr>
          <w:sz w:val="28"/>
          <w:szCs w:val="28"/>
        </w:rPr>
        <w:t>El 24 de julio de 2013</w:t>
      </w:r>
      <w:r w:rsidRPr="00643DCF">
        <w:rPr>
          <w:rStyle w:val="Refdenotaalpie"/>
          <w:sz w:val="28"/>
          <w:szCs w:val="28"/>
        </w:rPr>
        <w:footnoteReference w:id="37"/>
      </w:r>
      <w:r w:rsidR="00AA56FE" w:rsidRPr="00643DCF">
        <w:rPr>
          <w:sz w:val="28"/>
          <w:szCs w:val="28"/>
        </w:rPr>
        <w:t>,</w:t>
      </w:r>
      <w:r w:rsidR="00A13618" w:rsidRPr="00643DCF">
        <w:rPr>
          <w:sz w:val="28"/>
          <w:szCs w:val="28"/>
        </w:rPr>
        <w:t xml:space="preserve"> la Defensoría del Pueblo radicó</w:t>
      </w:r>
      <w:r w:rsidRPr="00643DCF">
        <w:rPr>
          <w:sz w:val="28"/>
          <w:szCs w:val="28"/>
        </w:rPr>
        <w:t xml:space="preserve"> el quinto </w:t>
      </w:r>
      <w:r w:rsidR="008D43C8" w:rsidRPr="00643DCF">
        <w:rPr>
          <w:sz w:val="28"/>
          <w:szCs w:val="28"/>
        </w:rPr>
        <w:t xml:space="preserve">reporte </w:t>
      </w:r>
      <w:r w:rsidRPr="00643DCF">
        <w:rPr>
          <w:sz w:val="28"/>
          <w:szCs w:val="28"/>
        </w:rPr>
        <w:t>de seguimiento</w:t>
      </w:r>
      <w:r w:rsidR="003F65D4" w:rsidRPr="00643DCF">
        <w:rPr>
          <w:sz w:val="28"/>
          <w:szCs w:val="28"/>
        </w:rPr>
        <w:t xml:space="preserve"> </w:t>
      </w:r>
      <w:r w:rsidR="00800C0B" w:rsidRPr="00643DCF">
        <w:rPr>
          <w:sz w:val="28"/>
          <w:szCs w:val="28"/>
        </w:rPr>
        <w:t>al fallo en estudio</w:t>
      </w:r>
      <w:r w:rsidR="00A13618" w:rsidRPr="00643DCF">
        <w:rPr>
          <w:sz w:val="28"/>
          <w:szCs w:val="28"/>
        </w:rPr>
        <w:t>.</w:t>
      </w:r>
      <w:r w:rsidRPr="00643DCF">
        <w:rPr>
          <w:sz w:val="28"/>
          <w:szCs w:val="28"/>
        </w:rPr>
        <w:t xml:space="preserve"> </w:t>
      </w:r>
      <w:r w:rsidR="00A13618" w:rsidRPr="00643DCF">
        <w:rPr>
          <w:sz w:val="28"/>
          <w:szCs w:val="28"/>
        </w:rPr>
        <w:t>A</w:t>
      </w:r>
      <w:r w:rsidR="003F65D4" w:rsidRPr="00643DCF">
        <w:rPr>
          <w:sz w:val="28"/>
          <w:szCs w:val="28"/>
        </w:rPr>
        <w:t xml:space="preserve">firmó </w:t>
      </w:r>
      <w:r w:rsidRPr="00643DCF">
        <w:rPr>
          <w:sz w:val="28"/>
          <w:szCs w:val="28"/>
        </w:rPr>
        <w:t xml:space="preserve">que el Consejo Superior de la Judicatura </w:t>
      </w:r>
      <w:r w:rsidR="00746709" w:rsidRPr="00643DCF">
        <w:rPr>
          <w:sz w:val="28"/>
          <w:szCs w:val="28"/>
        </w:rPr>
        <w:t xml:space="preserve">remitió </w:t>
      </w:r>
      <w:r w:rsidRPr="00643DCF">
        <w:rPr>
          <w:sz w:val="28"/>
          <w:szCs w:val="28"/>
        </w:rPr>
        <w:t xml:space="preserve">los </w:t>
      </w:r>
      <w:r w:rsidR="00502DCF" w:rsidRPr="00643DCF">
        <w:rPr>
          <w:sz w:val="28"/>
          <w:szCs w:val="28"/>
        </w:rPr>
        <w:t xml:space="preserve">documentos de las </w:t>
      </w:r>
      <w:r w:rsidRPr="00643DCF">
        <w:rPr>
          <w:sz w:val="28"/>
          <w:szCs w:val="28"/>
        </w:rPr>
        <w:t xml:space="preserve">actividades realizadas por el Cendoj y </w:t>
      </w:r>
      <w:r w:rsidR="00E35548" w:rsidRPr="00643DCF">
        <w:rPr>
          <w:sz w:val="28"/>
          <w:szCs w:val="28"/>
        </w:rPr>
        <w:t>la</w:t>
      </w:r>
      <w:r w:rsidRPr="00643DCF">
        <w:rPr>
          <w:sz w:val="28"/>
          <w:szCs w:val="28"/>
        </w:rPr>
        <w:t xml:space="preserve"> </w:t>
      </w:r>
      <w:r w:rsidR="00BE225C" w:rsidRPr="00643DCF">
        <w:rPr>
          <w:sz w:val="28"/>
          <w:szCs w:val="28"/>
        </w:rPr>
        <w:t>Escuela judicial</w:t>
      </w:r>
      <w:r w:rsidR="009E214C" w:rsidRPr="00643DCF">
        <w:rPr>
          <w:sz w:val="28"/>
          <w:szCs w:val="28"/>
        </w:rPr>
        <w:t>, concluyendo</w:t>
      </w:r>
      <w:r w:rsidR="00A13618" w:rsidRPr="00643DCF">
        <w:rPr>
          <w:sz w:val="28"/>
          <w:szCs w:val="28"/>
        </w:rPr>
        <w:t xml:space="preserve"> </w:t>
      </w:r>
      <w:r w:rsidRPr="00643DCF">
        <w:rPr>
          <w:sz w:val="28"/>
          <w:szCs w:val="28"/>
        </w:rPr>
        <w:t>que “</w:t>
      </w:r>
      <w:r w:rsidR="008D2C1E" w:rsidRPr="00643DCF">
        <w:rPr>
          <w:i/>
          <w:sz w:val="28"/>
          <w:szCs w:val="28"/>
        </w:rPr>
        <w:t>E</w:t>
      </w:r>
      <w:r w:rsidRPr="00643DCF">
        <w:rPr>
          <w:i/>
          <w:sz w:val="28"/>
          <w:szCs w:val="28"/>
        </w:rPr>
        <w:t xml:space="preserve">xiste por parte del CSJ, una delegación desestructurada de </w:t>
      </w:r>
      <w:r w:rsidR="002F7AB8" w:rsidRPr="00643DCF">
        <w:rPr>
          <w:i/>
          <w:sz w:val="28"/>
          <w:szCs w:val="28"/>
        </w:rPr>
        <w:t>actividades</w:t>
      </w:r>
      <w:r w:rsidRPr="00643DCF">
        <w:rPr>
          <w:i/>
          <w:sz w:val="28"/>
          <w:szCs w:val="28"/>
        </w:rPr>
        <w:t xml:space="preserve"> sin un referente claro de articulación, ya que tanto el CENDOJ como la EJRLB, elaboran y envían informes independientes, sin que se perciba un análisis por parte del CSJ</w:t>
      </w:r>
      <w:r w:rsidRPr="00643DCF">
        <w:rPr>
          <w:sz w:val="28"/>
          <w:szCs w:val="28"/>
        </w:rPr>
        <w:t>”</w:t>
      </w:r>
      <w:r w:rsidR="00AA56FE" w:rsidRPr="00643DCF">
        <w:rPr>
          <w:sz w:val="28"/>
          <w:szCs w:val="28"/>
        </w:rPr>
        <w:t>.</w:t>
      </w:r>
      <w:r w:rsidRPr="00643DCF">
        <w:rPr>
          <w:rStyle w:val="Refdenotaalpie"/>
          <w:sz w:val="28"/>
          <w:szCs w:val="28"/>
        </w:rPr>
        <w:footnoteReference w:id="38"/>
      </w:r>
      <w:r w:rsidRPr="00643DCF">
        <w:rPr>
          <w:sz w:val="28"/>
          <w:szCs w:val="28"/>
        </w:rPr>
        <w:t xml:space="preserve"> </w:t>
      </w:r>
      <w:r w:rsidR="00A56FEB" w:rsidRPr="00643DCF">
        <w:rPr>
          <w:sz w:val="28"/>
          <w:szCs w:val="28"/>
        </w:rPr>
        <w:t>Igualmente</w:t>
      </w:r>
      <w:r w:rsidR="00AA56FE" w:rsidRPr="00643DCF">
        <w:rPr>
          <w:sz w:val="28"/>
          <w:szCs w:val="28"/>
        </w:rPr>
        <w:t>,</w:t>
      </w:r>
      <w:r w:rsidR="00A56FEB" w:rsidRPr="00643DCF">
        <w:rPr>
          <w:sz w:val="28"/>
          <w:szCs w:val="28"/>
        </w:rPr>
        <w:t xml:space="preserve"> a</w:t>
      </w:r>
      <w:r w:rsidRPr="00643DCF">
        <w:rPr>
          <w:sz w:val="28"/>
          <w:szCs w:val="28"/>
        </w:rPr>
        <w:t>clar</w:t>
      </w:r>
      <w:r w:rsidR="00530A65" w:rsidRPr="00643DCF">
        <w:rPr>
          <w:sz w:val="28"/>
          <w:szCs w:val="28"/>
        </w:rPr>
        <w:t>ó</w:t>
      </w:r>
      <w:r w:rsidRPr="00643DCF">
        <w:rPr>
          <w:sz w:val="28"/>
          <w:szCs w:val="28"/>
        </w:rPr>
        <w:t xml:space="preserve"> que el Cendoj continu</w:t>
      </w:r>
      <w:r w:rsidR="00530A65" w:rsidRPr="00643DCF">
        <w:rPr>
          <w:sz w:val="28"/>
          <w:szCs w:val="28"/>
        </w:rPr>
        <w:t>ab</w:t>
      </w:r>
      <w:r w:rsidRPr="00643DCF">
        <w:rPr>
          <w:sz w:val="28"/>
          <w:szCs w:val="28"/>
        </w:rPr>
        <w:t xml:space="preserve">a publicando de manera permanente en la </w:t>
      </w:r>
      <w:r w:rsidR="006C6B21" w:rsidRPr="00643DCF">
        <w:rPr>
          <w:sz w:val="28"/>
          <w:szCs w:val="28"/>
        </w:rPr>
        <w:t>web</w:t>
      </w:r>
      <w:r w:rsidRPr="00643DCF">
        <w:rPr>
          <w:sz w:val="28"/>
          <w:szCs w:val="28"/>
        </w:rPr>
        <w:t xml:space="preserve"> de la Rama </w:t>
      </w:r>
      <w:r w:rsidR="002F7AB8" w:rsidRPr="00643DCF">
        <w:rPr>
          <w:sz w:val="28"/>
          <w:szCs w:val="28"/>
        </w:rPr>
        <w:t>Judicial la</w:t>
      </w:r>
      <w:r w:rsidRPr="00643DCF">
        <w:rPr>
          <w:sz w:val="28"/>
          <w:szCs w:val="28"/>
        </w:rPr>
        <w:t xml:space="preserve"> </w:t>
      </w:r>
      <w:r w:rsidR="004A6364" w:rsidRPr="00643DCF">
        <w:rPr>
          <w:sz w:val="28"/>
          <w:szCs w:val="28"/>
        </w:rPr>
        <w:t>s</w:t>
      </w:r>
      <w:r w:rsidR="00800C0B" w:rsidRPr="00643DCF">
        <w:rPr>
          <w:sz w:val="28"/>
          <w:szCs w:val="28"/>
        </w:rPr>
        <w:t>e</w:t>
      </w:r>
      <w:r w:rsidR="00916402" w:rsidRPr="00643DCF">
        <w:rPr>
          <w:sz w:val="28"/>
          <w:szCs w:val="28"/>
        </w:rPr>
        <w:t>ntencia</w:t>
      </w:r>
      <w:r w:rsidRPr="00643DCF">
        <w:rPr>
          <w:sz w:val="28"/>
          <w:szCs w:val="28"/>
        </w:rPr>
        <w:t xml:space="preserve"> T-760 de 2008</w:t>
      </w:r>
      <w:r w:rsidR="002F7AB8" w:rsidRPr="00643DCF">
        <w:rPr>
          <w:sz w:val="28"/>
          <w:szCs w:val="28"/>
        </w:rPr>
        <w:t xml:space="preserve"> y </w:t>
      </w:r>
      <w:r w:rsidR="00530A65" w:rsidRPr="00643DCF">
        <w:rPr>
          <w:sz w:val="28"/>
          <w:szCs w:val="28"/>
        </w:rPr>
        <w:t>l</w:t>
      </w:r>
      <w:r w:rsidR="002F7AB8" w:rsidRPr="00643DCF">
        <w:rPr>
          <w:sz w:val="28"/>
          <w:szCs w:val="28"/>
        </w:rPr>
        <w:t>leva</w:t>
      </w:r>
      <w:r w:rsidR="00530A65" w:rsidRPr="00643DCF">
        <w:rPr>
          <w:sz w:val="28"/>
          <w:szCs w:val="28"/>
        </w:rPr>
        <w:t>ndo</w:t>
      </w:r>
      <w:r w:rsidR="002F7AB8" w:rsidRPr="00643DCF">
        <w:rPr>
          <w:sz w:val="28"/>
          <w:szCs w:val="28"/>
        </w:rPr>
        <w:t xml:space="preserve"> a cabo </w:t>
      </w:r>
      <w:r w:rsidR="00530A65" w:rsidRPr="00643DCF">
        <w:rPr>
          <w:sz w:val="28"/>
          <w:szCs w:val="28"/>
        </w:rPr>
        <w:t xml:space="preserve">actividades </w:t>
      </w:r>
      <w:r w:rsidR="002F7AB8" w:rsidRPr="00643DCF">
        <w:rPr>
          <w:sz w:val="28"/>
          <w:szCs w:val="28"/>
        </w:rPr>
        <w:t>acadé</w:t>
      </w:r>
      <w:r w:rsidR="00530A65" w:rsidRPr="00643DCF">
        <w:rPr>
          <w:sz w:val="28"/>
          <w:szCs w:val="28"/>
        </w:rPr>
        <w:t xml:space="preserve">micas </w:t>
      </w:r>
      <w:r w:rsidR="00A56FEB" w:rsidRPr="00643DCF">
        <w:rPr>
          <w:sz w:val="28"/>
          <w:szCs w:val="28"/>
        </w:rPr>
        <w:t xml:space="preserve">a través de </w:t>
      </w:r>
      <w:r w:rsidRPr="00643DCF">
        <w:rPr>
          <w:sz w:val="28"/>
          <w:szCs w:val="28"/>
        </w:rPr>
        <w:t>medio</w:t>
      </w:r>
      <w:r w:rsidR="00530A65" w:rsidRPr="00643DCF">
        <w:rPr>
          <w:sz w:val="28"/>
          <w:szCs w:val="28"/>
        </w:rPr>
        <w:t>s</w:t>
      </w:r>
      <w:r w:rsidRPr="00643DCF">
        <w:rPr>
          <w:sz w:val="28"/>
          <w:szCs w:val="28"/>
        </w:rPr>
        <w:t xml:space="preserve"> virtuales</w:t>
      </w:r>
      <w:r w:rsidR="00DA47EB" w:rsidRPr="00643DCF">
        <w:rPr>
          <w:sz w:val="28"/>
          <w:szCs w:val="28"/>
        </w:rPr>
        <w:t xml:space="preserve">. </w:t>
      </w:r>
    </w:p>
    <w:p w14:paraId="1BBC462A" w14:textId="77777777" w:rsidR="00502DCF" w:rsidRPr="00643DCF" w:rsidRDefault="00502DCF" w:rsidP="00502DCF">
      <w:pPr>
        <w:widowControl w:val="0"/>
        <w:tabs>
          <w:tab w:val="left" w:pos="426"/>
        </w:tabs>
        <w:autoSpaceDE w:val="0"/>
        <w:autoSpaceDN w:val="0"/>
        <w:adjustRightInd w:val="0"/>
        <w:jc w:val="both"/>
        <w:rPr>
          <w:sz w:val="28"/>
          <w:szCs w:val="28"/>
        </w:rPr>
      </w:pPr>
    </w:p>
    <w:p w14:paraId="54955E0B" w14:textId="165CC6C2" w:rsidR="00DE1594" w:rsidRPr="00643DCF" w:rsidRDefault="00DA47EB" w:rsidP="00DA47EB">
      <w:pPr>
        <w:widowControl w:val="0"/>
        <w:tabs>
          <w:tab w:val="left" w:pos="426"/>
        </w:tabs>
        <w:autoSpaceDE w:val="0"/>
        <w:autoSpaceDN w:val="0"/>
        <w:adjustRightInd w:val="0"/>
        <w:jc w:val="both"/>
        <w:rPr>
          <w:sz w:val="28"/>
          <w:szCs w:val="28"/>
        </w:rPr>
      </w:pPr>
      <w:r w:rsidRPr="00643DCF">
        <w:rPr>
          <w:sz w:val="28"/>
          <w:szCs w:val="28"/>
        </w:rPr>
        <w:t>Por su parte</w:t>
      </w:r>
      <w:r w:rsidR="00AA56FE" w:rsidRPr="00643DCF">
        <w:rPr>
          <w:sz w:val="28"/>
          <w:szCs w:val="28"/>
        </w:rPr>
        <w:t>,</w:t>
      </w:r>
      <w:r w:rsidRPr="00643DCF">
        <w:rPr>
          <w:sz w:val="28"/>
          <w:szCs w:val="28"/>
        </w:rPr>
        <w:t xml:space="preserve"> la Escuela Judicial </w:t>
      </w:r>
      <w:r w:rsidR="00145AA1" w:rsidRPr="00643DCF">
        <w:rPr>
          <w:sz w:val="28"/>
          <w:szCs w:val="28"/>
        </w:rPr>
        <w:t>Rodrigo Lara Bonilla</w:t>
      </w:r>
      <w:r w:rsidRPr="00643DCF">
        <w:rPr>
          <w:sz w:val="28"/>
          <w:szCs w:val="28"/>
        </w:rPr>
        <w:t xml:space="preserve"> manifestó</w:t>
      </w:r>
      <w:r w:rsidR="0027179D" w:rsidRPr="00643DCF">
        <w:rPr>
          <w:sz w:val="28"/>
          <w:szCs w:val="28"/>
        </w:rPr>
        <w:t xml:space="preserve"> a la Defensoría </w:t>
      </w:r>
      <w:r w:rsidRPr="00643DCF">
        <w:rPr>
          <w:sz w:val="28"/>
          <w:szCs w:val="28"/>
        </w:rPr>
        <w:t xml:space="preserve">haber </w:t>
      </w:r>
      <w:r w:rsidR="00530A65" w:rsidRPr="00643DCF">
        <w:rPr>
          <w:sz w:val="28"/>
          <w:szCs w:val="28"/>
        </w:rPr>
        <w:t>adelantado</w:t>
      </w:r>
      <w:r w:rsidR="00F21810" w:rsidRPr="00643DCF">
        <w:rPr>
          <w:sz w:val="28"/>
          <w:szCs w:val="28"/>
        </w:rPr>
        <w:t xml:space="preserve"> </w:t>
      </w:r>
      <w:r w:rsidRPr="00643DCF">
        <w:rPr>
          <w:sz w:val="28"/>
          <w:szCs w:val="28"/>
        </w:rPr>
        <w:t>c</w:t>
      </w:r>
      <w:r w:rsidR="00530A65" w:rsidRPr="00643DCF">
        <w:rPr>
          <w:sz w:val="28"/>
          <w:szCs w:val="28"/>
        </w:rPr>
        <w:t xml:space="preserve">onversatorios regionales en </w:t>
      </w:r>
      <w:r w:rsidRPr="00643DCF">
        <w:rPr>
          <w:sz w:val="28"/>
          <w:szCs w:val="28"/>
        </w:rPr>
        <w:t>6 ciudades</w:t>
      </w:r>
      <w:r w:rsidR="00746709" w:rsidRPr="00643DCF">
        <w:rPr>
          <w:sz w:val="28"/>
          <w:szCs w:val="28"/>
        </w:rPr>
        <w:t xml:space="preserve"> del país</w:t>
      </w:r>
      <w:r w:rsidR="000D6F6C" w:rsidRPr="00643DCF">
        <w:rPr>
          <w:rStyle w:val="Refdenotaalpie"/>
          <w:sz w:val="28"/>
          <w:szCs w:val="28"/>
        </w:rPr>
        <w:footnoteReference w:id="39"/>
      </w:r>
      <w:r w:rsidR="000D6F6C" w:rsidRPr="00643DCF">
        <w:rPr>
          <w:sz w:val="28"/>
          <w:szCs w:val="28"/>
        </w:rPr>
        <w:t xml:space="preserve"> </w:t>
      </w:r>
      <w:r w:rsidR="00530A65" w:rsidRPr="00643DCF">
        <w:rPr>
          <w:sz w:val="28"/>
          <w:szCs w:val="28"/>
        </w:rPr>
        <w:t xml:space="preserve">para capacitar a los funcionarios </w:t>
      </w:r>
      <w:r w:rsidR="00AA56FE" w:rsidRPr="00643DCF">
        <w:rPr>
          <w:sz w:val="28"/>
          <w:szCs w:val="28"/>
        </w:rPr>
        <w:t xml:space="preserve">judiciales </w:t>
      </w:r>
      <w:r w:rsidR="00530A65" w:rsidRPr="00643DCF">
        <w:rPr>
          <w:sz w:val="28"/>
          <w:szCs w:val="28"/>
        </w:rPr>
        <w:t>sobre el contenido de</w:t>
      </w:r>
      <w:r w:rsidR="00502DCF" w:rsidRPr="00643DCF">
        <w:rPr>
          <w:sz w:val="28"/>
          <w:szCs w:val="28"/>
        </w:rPr>
        <w:t xml:space="preserve">l </w:t>
      </w:r>
      <w:r w:rsidR="00E14902" w:rsidRPr="00643DCF">
        <w:rPr>
          <w:sz w:val="28"/>
          <w:szCs w:val="28"/>
        </w:rPr>
        <w:t>f</w:t>
      </w:r>
      <w:r w:rsidR="00502DCF" w:rsidRPr="00643DCF">
        <w:rPr>
          <w:sz w:val="28"/>
          <w:szCs w:val="28"/>
        </w:rPr>
        <w:t xml:space="preserve">allo </w:t>
      </w:r>
      <w:r w:rsidRPr="00643DCF">
        <w:rPr>
          <w:sz w:val="28"/>
          <w:szCs w:val="28"/>
        </w:rPr>
        <w:t>e informó haber contratado profesionales para la elaboración de un módulo de formación judicial</w:t>
      </w:r>
      <w:r w:rsidR="006E2C4B" w:rsidRPr="00643DCF">
        <w:rPr>
          <w:sz w:val="28"/>
          <w:szCs w:val="28"/>
        </w:rPr>
        <w:t>. No</w:t>
      </w:r>
      <w:r w:rsidR="0027179D" w:rsidRPr="00643DCF">
        <w:rPr>
          <w:sz w:val="28"/>
          <w:szCs w:val="28"/>
        </w:rPr>
        <w:t xml:space="preserve"> obstante</w:t>
      </w:r>
      <w:r w:rsidR="0014186D" w:rsidRPr="00643DCF">
        <w:rPr>
          <w:sz w:val="28"/>
          <w:szCs w:val="28"/>
        </w:rPr>
        <w:t>,</w:t>
      </w:r>
      <w:r w:rsidRPr="00643DCF">
        <w:rPr>
          <w:sz w:val="28"/>
          <w:szCs w:val="28"/>
        </w:rPr>
        <w:t xml:space="preserve"> la Defensoría </w:t>
      </w:r>
      <w:r w:rsidR="00AA56FE" w:rsidRPr="00643DCF">
        <w:rPr>
          <w:sz w:val="28"/>
          <w:szCs w:val="28"/>
        </w:rPr>
        <w:t>manifestó</w:t>
      </w:r>
      <w:r w:rsidRPr="00643DCF">
        <w:rPr>
          <w:sz w:val="28"/>
          <w:szCs w:val="28"/>
        </w:rPr>
        <w:t xml:space="preserve"> que</w:t>
      </w:r>
      <w:r w:rsidR="00DE1594" w:rsidRPr="00643DCF">
        <w:rPr>
          <w:sz w:val="28"/>
          <w:szCs w:val="28"/>
        </w:rPr>
        <w:t xml:space="preserve">: </w:t>
      </w:r>
    </w:p>
    <w:p w14:paraId="66DB4137" w14:textId="77777777" w:rsidR="00DE1594" w:rsidRPr="00643DCF" w:rsidRDefault="00DE1594" w:rsidP="00DA47EB">
      <w:pPr>
        <w:widowControl w:val="0"/>
        <w:tabs>
          <w:tab w:val="left" w:pos="426"/>
        </w:tabs>
        <w:autoSpaceDE w:val="0"/>
        <w:autoSpaceDN w:val="0"/>
        <w:adjustRightInd w:val="0"/>
        <w:jc w:val="both"/>
        <w:rPr>
          <w:sz w:val="28"/>
          <w:szCs w:val="28"/>
        </w:rPr>
      </w:pPr>
    </w:p>
    <w:p w14:paraId="22FB5C7B" w14:textId="54095CED" w:rsidR="00DA47EB" w:rsidRPr="00643DCF" w:rsidRDefault="00DA47EB" w:rsidP="00DE1594">
      <w:pPr>
        <w:widowControl w:val="0"/>
        <w:tabs>
          <w:tab w:val="left" w:pos="426"/>
        </w:tabs>
        <w:autoSpaceDE w:val="0"/>
        <w:autoSpaceDN w:val="0"/>
        <w:adjustRightInd w:val="0"/>
        <w:ind w:left="284"/>
        <w:jc w:val="both"/>
        <w:rPr>
          <w:sz w:val="28"/>
          <w:szCs w:val="28"/>
        </w:rPr>
      </w:pPr>
      <w:r w:rsidRPr="00643DCF">
        <w:rPr>
          <w:sz w:val="28"/>
          <w:szCs w:val="28"/>
        </w:rPr>
        <w:t>“</w:t>
      </w:r>
      <w:r w:rsidRPr="003319D7">
        <w:rPr>
          <w:i/>
          <w:sz w:val="27"/>
          <w:szCs w:val="27"/>
        </w:rPr>
        <w:t xml:space="preserve">aunque se mantienen contenidos y canales de difusión y formación que supone mantener información sobre la </w:t>
      </w:r>
      <w:r w:rsidR="00916402" w:rsidRPr="003319D7">
        <w:rPr>
          <w:i/>
          <w:sz w:val="27"/>
          <w:szCs w:val="27"/>
        </w:rPr>
        <w:t>sentencia</w:t>
      </w:r>
      <w:r w:rsidRPr="003319D7">
        <w:rPr>
          <w:i/>
          <w:sz w:val="27"/>
          <w:szCs w:val="27"/>
        </w:rPr>
        <w:t xml:space="preserve"> T-760 de 20</w:t>
      </w:r>
      <w:r w:rsidR="00AA56FE" w:rsidRPr="003319D7">
        <w:rPr>
          <w:i/>
          <w:sz w:val="27"/>
          <w:szCs w:val="27"/>
        </w:rPr>
        <w:t>0</w:t>
      </w:r>
      <w:r w:rsidRPr="003319D7">
        <w:rPr>
          <w:i/>
          <w:sz w:val="27"/>
          <w:szCs w:val="27"/>
        </w:rPr>
        <w:t xml:space="preserve">8 y temas </w:t>
      </w:r>
      <w:r w:rsidR="0027179D" w:rsidRPr="003319D7">
        <w:rPr>
          <w:i/>
          <w:sz w:val="27"/>
          <w:szCs w:val="27"/>
        </w:rPr>
        <w:t>relevantes en salud, y se tiene</w:t>
      </w:r>
      <w:r w:rsidRPr="003319D7">
        <w:rPr>
          <w:i/>
          <w:sz w:val="27"/>
          <w:szCs w:val="27"/>
        </w:rPr>
        <w:t xml:space="preserve"> acceso fácil de interesados a medios virtuales, </w:t>
      </w:r>
      <w:r w:rsidRPr="003319D7">
        <w:rPr>
          <w:b/>
          <w:i/>
          <w:sz w:val="27"/>
          <w:szCs w:val="27"/>
        </w:rPr>
        <w:t>no hay un plan de medios que acompañe una estrategia pedagógica y de producción de contenidos no solo para la información, sino, también para la formación y el desarrollo de competencias.</w:t>
      </w:r>
      <w:r w:rsidRPr="003319D7">
        <w:rPr>
          <w:i/>
          <w:sz w:val="27"/>
          <w:szCs w:val="27"/>
        </w:rPr>
        <w:t xml:space="preserve"> Igualmente, no se percibe por parte del CSJ, la difusión de las actuaci</w:t>
      </w:r>
      <w:r w:rsidR="0027179D" w:rsidRPr="003319D7">
        <w:rPr>
          <w:i/>
          <w:sz w:val="27"/>
          <w:szCs w:val="27"/>
        </w:rPr>
        <w:t>ones</w:t>
      </w:r>
      <w:r w:rsidRPr="003319D7">
        <w:rPr>
          <w:i/>
          <w:sz w:val="27"/>
          <w:szCs w:val="27"/>
        </w:rPr>
        <w:t xml:space="preserve"> de la Honorable Corte Constitucional y actores involucrados en temas relacionadas (sic) con la </w:t>
      </w:r>
      <w:r w:rsidR="00916402" w:rsidRPr="003319D7">
        <w:rPr>
          <w:i/>
          <w:sz w:val="27"/>
          <w:szCs w:val="27"/>
        </w:rPr>
        <w:t>sentencia</w:t>
      </w:r>
      <w:r w:rsidRPr="003319D7">
        <w:rPr>
          <w:i/>
          <w:sz w:val="27"/>
          <w:szCs w:val="27"/>
        </w:rPr>
        <w:t xml:space="preserve"> y autos posteriores emitidos</w:t>
      </w:r>
      <w:r w:rsidR="00AA56FE" w:rsidRPr="003319D7">
        <w:rPr>
          <w:i/>
          <w:sz w:val="27"/>
          <w:szCs w:val="27"/>
        </w:rPr>
        <w:t>.</w:t>
      </w:r>
      <w:r w:rsidRPr="00643DCF">
        <w:rPr>
          <w:sz w:val="28"/>
          <w:szCs w:val="28"/>
        </w:rPr>
        <w:t>”</w:t>
      </w:r>
      <w:r w:rsidRPr="00643DCF">
        <w:rPr>
          <w:rStyle w:val="Refdenotaalpie"/>
          <w:sz w:val="28"/>
          <w:szCs w:val="28"/>
        </w:rPr>
        <w:footnoteReference w:id="40"/>
      </w:r>
      <w:r w:rsidR="00A34CC1" w:rsidRPr="00643DCF">
        <w:rPr>
          <w:sz w:val="28"/>
          <w:szCs w:val="28"/>
        </w:rPr>
        <w:t xml:space="preserve"> (</w:t>
      </w:r>
      <w:proofErr w:type="gramStart"/>
      <w:r w:rsidR="00A34CC1" w:rsidRPr="00643DCF">
        <w:rPr>
          <w:sz w:val="28"/>
          <w:szCs w:val="28"/>
        </w:rPr>
        <w:t>negrillas</w:t>
      </w:r>
      <w:proofErr w:type="gramEnd"/>
      <w:r w:rsidR="00A34CC1" w:rsidRPr="00643DCF">
        <w:rPr>
          <w:sz w:val="28"/>
          <w:szCs w:val="28"/>
        </w:rPr>
        <w:t xml:space="preserve"> fuera de texto)</w:t>
      </w:r>
    </w:p>
    <w:p w14:paraId="2017AA56" w14:textId="77777777" w:rsidR="00DA47EB" w:rsidRPr="00643DCF" w:rsidRDefault="00DA47EB" w:rsidP="0027179D">
      <w:pPr>
        <w:widowControl w:val="0"/>
        <w:tabs>
          <w:tab w:val="left" w:pos="426"/>
        </w:tabs>
        <w:autoSpaceDE w:val="0"/>
        <w:autoSpaceDN w:val="0"/>
        <w:adjustRightInd w:val="0"/>
        <w:jc w:val="both"/>
        <w:rPr>
          <w:sz w:val="28"/>
          <w:szCs w:val="28"/>
        </w:rPr>
      </w:pPr>
    </w:p>
    <w:p w14:paraId="4D93D6A4" w14:textId="0D75E252" w:rsidR="00535475" w:rsidRPr="00643DCF" w:rsidRDefault="00535475" w:rsidP="00B14E08">
      <w:pPr>
        <w:widowControl w:val="0"/>
        <w:numPr>
          <w:ilvl w:val="0"/>
          <w:numId w:val="3"/>
        </w:numPr>
        <w:tabs>
          <w:tab w:val="left" w:pos="426"/>
        </w:tabs>
        <w:autoSpaceDE w:val="0"/>
        <w:autoSpaceDN w:val="0"/>
        <w:adjustRightInd w:val="0"/>
        <w:ind w:left="0" w:firstLine="0"/>
        <w:jc w:val="both"/>
        <w:rPr>
          <w:rFonts w:eastAsia="Batang"/>
          <w:bCs/>
          <w:sz w:val="28"/>
          <w:szCs w:val="28"/>
        </w:rPr>
      </w:pPr>
      <w:r w:rsidRPr="00643DCF">
        <w:rPr>
          <w:rFonts w:eastAsia="Batang"/>
          <w:bCs/>
          <w:sz w:val="28"/>
          <w:szCs w:val="28"/>
        </w:rPr>
        <w:t>El CSJ divulgó entre los funcionarios de la Rama Judicial el memorando PSA 13-3912 del 13 de septiembre de 2013</w:t>
      </w:r>
      <w:r w:rsidR="00446199" w:rsidRPr="00643DCF">
        <w:rPr>
          <w:rStyle w:val="Refdenotaalpie"/>
          <w:rFonts w:eastAsia="Batang"/>
          <w:bCs/>
          <w:sz w:val="28"/>
          <w:szCs w:val="28"/>
        </w:rPr>
        <w:footnoteReference w:id="41"/>
      </w:r>
      <w:r w:rsidRPr="00643DCF">
        <w:rPr>
          <w:rFonts w:eastAsia="Batang"/>
          <w:bCs/>
          <w:sz w:val="28"/>
          <w:szCs w:val="28"/>
        </w:rPr>
        <w:t xml:space="preserve">, por medio del cual el </w:t>
      </w:r>
      <w:r w:rsidR="00631C7F" w:rsidRPr="00643DCF">
        <w:rPr>
          <w:rFonts w:eastAsia="Batang"/>
          <w:bCs/>
          <w:sz w:val="28"/>
          <w:szCs w:val="28"/>
        </w:rPr>
        <w:t>presidente</w:t>
      </w:r>
      <w:r w:rsidRPr="00643DCF">
        <w:rPr>
          <w:rFonts w:eastAsia="Batang"/>
          <w:bCs/>
          <w:sz w:val="28"/>
          <w:szCs w:val="28"/>
        </w:rPr>
        <w:t xml:space="preserve"> de esa Corporación le</w:t>
      </w:r>
      <w:r w:rsidR="004D1A68" w:rsidRPr="00643DCF">
        <w:rPr>
          <w:rFonts w:eastAsia="Batang"/>
          <w:bCs/>
          <w:sz w:val="28"/>
          <w:szCs w:val="28"/>
        </w:rPr>
        <w:t>s</w:t>
      </w:r>
      <w:r w:rsidRPr="00643DCF">
        <w:rPr>
          <w:rFonts w:eastAsia="Batang"/>
          <w:bCs/>
          <w:sz w:val="28"/>
          <w:szCs w:val="28"/>
        </w:rPr>
        <w:t xml:space="preserve"> record</w:t>
      </w:r>
      <w:r w:rsidR="00F21810" w:rsidRPr="00643DCF">
        <w:rPr>
          <w:rFonts w:eastAsia="Batang"/>
          <w:bCs/>
          <w:sz w:val="28"/>
          <w:szCs w:val="28"/>
        </w:rPr>
        <w:t xml:space="preserve">ó </w:t>
      </w:r>
      <w:r w:rsidRPr="00643DCF">
        <w:rPr>
          <w:rFonts w:eastAsia="Batang"/>
          <w:bCs/>
          <w:sz w:val="28"/>
          <w:szCs w:val="28"/>
        </w:rPr>
        <w:t xml:space="preserve">a los </w:t>
      </w:r>
      <w:r w:rsidR="006E2C4B" w:rsidRPr="00643DCF">
        <w:rPr>
          <w:rFonts w:eastAsia="Batang"/>
          <w:bCs/>
          <w:sz w:val="28"/>
          <w:szCs w:val="28"/>
        </w:rPr>
        <w:t>j</w:t>
      </w:r>
      <w:r w:rsidR="00446199" w:rsidRPr="00643DCF">
        <w:rPr>
          <w:rFonts w:eastAsia="Batang"/>
          <w:bCs/>
          <w:sz w:val="28"/>
          <w:szCs w:val="28"/>
        </w:rPr>
        <w:t xml:space="preserve">ueces de la República </w:t>
      </w:r>
      <w:r w:rsidRPr="00643DCF">
        <w:rPr>
          <w:rFonts w:eastAsia="Batang"/>
          <w:bCs/>
          <w:sz w:val="28"/>
          <w:szCs w:val="28"/>
        </w:rPr>
        <w:t>el deber de dar</w:t>
      </w:r>
      <w:r w:rsidR="006E2C4B" w:rsidRPr="00643DCF">
        <w:rPr>
          <w:rFonts w:eastAsia="Batang"/>
          <w:bCs/>
          <w:sz w:val="28"/>
          <w:szCs w:val="28"/>
        </w:rPr>
        <w:t xml:space="preserve"> </w:t>
      </w:r>
      <w:r w:rsidRPr="00643DCF">
        <w:rPr>
          <w:rFonts w:eastAsia="Batang"/>
          <w:bCs/>
          <w:sz w:val="28"/>
          <w:szCs w:val="28"/>
        </w:rPr>
        <w:t xml:space="preserve">estricto </w:t>
      </w:r>
      <w:r w:rsidR="00A34CC1" w:rsidRPr="00643DCF">
        <w:rPr>
          <w:rFonts w:eastAsia="Batang"/>
          <w:bCs/>
          <w:sz w:val="28"/>
          <w:szCs w:val="28"/>
        </w:rPr>
        <w:t xml:space="preserve">acatamiento </w:t>
      </w:r>
      <w:r w:rsidRPr="00643DCF">
        <w:rPr>
          <w:rFonts w:eastAsia="Batang"/>
          <w:bCs/>
          <w:sz w:val="28"/>
          <w:szCs w:val="28"/>
        </w:rPr>
        <w:t xml:space="preserve">a lo establecido en </w:t>
      </w:r>
      <w:r w:rsidR="00077964" w:rsidRPr="00643DCF">
        <w:rPr>
          <w:rFonts w:eastAsia="Batang"/>
          <w:bCs/>
          <w:sz w:val="28"/>
          <w:szCs w:val="28"/>
        </w:rPr>
        <w:t xml:space="preserve">la </w:t>
      </w:r>
      <w:r w:rsidR="0071230D" w:rsidRPr="00643DCF">
        <w:rPr>
          <w:rFonts w:eastAsia="Batang"/>
          <w:bCs/>
          <w:sz w:val="28"/>
          <w:szCs w:val="28"/>
        </w:rPr>
        <w:t>s</w:t>
      </w:r>
      <w:r w:rsidR="00077964" w:rsidRPr="00643DCF">
        <w:rPr>
          <w:rFonts w:eastAsia="Batang"/>
          <w:bCs/>
          <w:sz w:val="28"/>
          <w:szCs w:val="28"/>
        </w:rPr>
        <w:t>entencia T-760 de 2008</w:t>
      </w:r>
      <w:r w:rsidR="00446199" w:rsidRPr="00643DCF">
        <w:rPr>
          <w:rFonts w:eastAsia="Batang"/>
          <w:bCs/>
          <w:sz w:val="28"/>
          <w:szCs w:val="28"/>
        </w:rPr>
        <w:t xml:space="preserve"> y de garantizar el cumplimiento efectivo de las decisiones que se profieran en materia del derecho fundamental a la salud</w:t>
      </w:r>
      <w:r w:rsidRPr="00643DCF">
        <w:rPr>
          <w:rFonts w:eastAsia="Batang"/>
          <w:bCs/>
          <w:sz w:val="28"/>
          <w:szCs w:val="28"/>
        </w:rPr>
        <w:t>.</w:t>
      </w:r>
    </w:p>
    <w:p w14:paraId="32BBF3E0" w14:textId="71768FF5" w:rsidR="005A60E7" w:rsidRPr="00FA159B" w:rsidRDefault="005A60E7" w:rsidP="005A60E7">
      <w:pPr>
        <w:widowControl w:val="0"/>
        <w:numPr>
          <w:ilvl w:val="0"/>
          <w:numId w:val="3"/>
        </w:numPr>
        <w:tabs>
          <w:tab w:val="left" w:pos="426"/>
        </w:tabs>
        <w:autoSpaceDE w:val="0"/>
        <w:autoSpaceDN w:val="0"/>
        <w:adjustRightInd w:val="0"/>
        <w:ind w:left="0" w:firstLine="0"/>
        <w:jc w:val="both"/>
        <w:rPr>
          <w:sz w:val="28"/>
          <w:szCs w:val="28"/>
        </w:rPr>
      </w:pPr>
      <w:r w:rsidRPr="00FA159B">
        <w:rPr>
          <w:sz w:val="28"/>
          <w:szCs w:val="28"/>
        </w:rPr>
        <w:lastRenderedPageBreak/>
        <w:t>Mediante auto del 13 de agosto de 2013</w:t>
      </w:r>
      <w:r w:rsidRPr="00FA159B">
        <w:rPr>
          <w:rStyle w:val="Refdenotaalpie"/>
          <w:sz w:val="28"/>
          <w:szCs w:val="28"/>
        </w:rPr>
        <w:footnoteReference w:id="42"/>
      </w:r>
      <w:r w:rsidR="00E63634" w:rsidRPr="00FA159B">
        <w:rPr>
          <w:sz w:val="28"/>
          <w:szCs w:val="28"/>
        </w:rPr>
        <w:t xml:space="preserve">, esta Corporación requirió a la </w:t>
      </w:r>
      <w:r w:rsidR="00A30F76" w:rsidRPr="00FA159B">
        <w:rPr>
          <w:sz w:val="28"/>
          <w:szCs w:val="28"/>
        </w:rPr>
        <w:t xml:space="preserve">Presidencia de la Sala </w:t>
      </w:r>
      <w:r w:rsidR="005D512B" w:rsidRPr="00FA159B">
        <w:rPr>
          <w:sz w:val="28"/>
          <w:szCs w:val="28"/>
        </w:rPr>
        <w:t xml:space="preserve">Administrativa </w:t>
      </w:r>
      <w:r w:rsidR="00A30F76" w:rsidRPr="00FA159B">
        <w:rPr>
          <w:sz w:val="28"/>
          <w:szCs w:val="28"/>
        </w:rPr>
        <w:t xml:space="preserve">para que remitiera </w:t>
      </w:r>
      <w:r w:rsidR="00D62F68" w:rsidRPr="00FA159B">
        <w:rPr>
          <w:sz w:val="28"/>
          <w:szCs w:val="28"/>
        </w:rPr>
        <w:t>un</w:t>
      </w:r>
      <w:r w:rsidR="00A30F76" w:rsidRPr="00FA159B">
        <w:rPr>
          <w:sz w:val="28"/>
          <w:szCs w:val="28"/>
        </w:rPr>
        <w:t xml:space="preserve"> informe</w:t>
      </w:r>
      <w:r w:rsidR="0078719E" w:rsidRPr="00FA159B">
        <w:rPr>
          <w:sz w:val="28"/>
          <w:szCs w:val="28"/>
        </w:rPr>
        <w:t xml:space="preserve"> que cumpliera con los criterios señalados en el auto 144 de 2011</w:t>
      </w:r>
      <w:r w:rsidR="00D62F68" w:rsidRPr="00FA159B">
        <w:rPr>
          <w:sz w:val="28"/>
          <w:szCs w:val="28"/>
        </w:rPr>
        <w:t xml:space="preserve">, </w:t>
      </w:r>
      <w:r w:rsidR="006943F2" w:rsidRPr="00FA159B">
        <w:rPr>
          <w:sz w:val="28"/>
          <w:szCs w:val="28"/>
        </w:rPr>
        <w:t xml:space="preserve">así </w:t>
      </w:r>
      <w:r w:rsidR="00B74B74" w:rsidRPr="00FA159B">
        <w:rPr>
          <w:sz w:val="28"/>
          <w:szCs w:val="28"/>
        </w:rPr>
        <w:t>como</w:t>
      </w:r>
      <w:r w:rsidR="00057B51" w:rsidRPr="00FA159B">
        <w:rPr>
          <w:sz w:val="28"/>
          <w:szCs w:val="28"/>
        </w:rPr>
        <w:t xml:space="preserve"> con lo ordenado en el auto </w:t>
      </w:r>
      <w:r w:rsidR="005D512B" w:rsidRPr="00FA159B">
        <w:rPr>
          <w:sz w:val="28"/>
          <w:szCs w:val="28"/>
        </w:rPr>
        <w:t>d</w:t>
      </w:r>
      <w:r w:rsidR="00057B51" w:rsidRPr="00FA159B">
        <w:rPr>
          <w:sz w:val="28"/>
          <w:szCs w:val="28"/>
        </w:rPr>
        <w:t xml:space="preserve">el 5 de junio de 2013, </w:t>
      </w:r>
      <w:r w:rsidR="00D62F68" w:rsidRPr="00FA159B">
        <w:rPr>
          <w:sz w:val="28"/>
          <w:szCs w:val="28"/>
        </w:rPr>
        <w:t xml:space="preserve">ya que el presentado </w:t>
      </w:r>
      <w:r w:rsidR="00D61DAF" w:rsidRPr="00FA159B">
        <w:rPr>
          <w:sz w:val="28"/>
          <w:szCs w:val="28"/>
        </w:rPr>
        <w:t>carecía</w:t>
      </w:r>
      <w:r w:rsidR="00B74B74" w:rsidRPr="00FA159B">
        <w:rPr>
          <w:sz w:val="28"/>
          <w:szCs w:val="28"/>
        </w:rPr>
        <w:t xml:space="preserve"> de los mismos</w:t>
      </w:r>
      <w:r w:rsidR="00505B35" w:rsidRPr="00FA159B">
        <w:rPr>
          <w:sz w:val="28"/>
          <w:szCs w:val="28"/>
        </w:rPr>
        <w:t>.</w:t>
      </w:r>
      <w:r w:rsidR="00B74B74" w:rsidRPr="00FA159B">
        <w:rPr>
          <w:sz w:val="28"/>
          <w:szCs w:val="28"/>
        </w:rPr>
        <w:t xml:space="preserve"> </w:t>
      </w:r>
    </w:p>
    <w:p w14:paraId="7C5A6404" w14:textId="77777777" w:rsidR="005A60E7" w:rsidRPr="00643DCF" w:rsidRDefault="005A60E7" w:rsidP="005A60E7">
      <w:pPr>
        <w:pStyle w:val="Prrafodelista"/>
        <w:rPr>
          <w:sz w:val="28"/>
          <w:szCs w:val="28"/>
        </w:rPr>
      </w:pPr>
    </w:p>
    <w:p w14:paraId="72A64099" w14:textId="431BFA9E" w:rsidR="00175C97" w:rsidRPr="00643DCF" w:rsidRDefault="00F36631" w:rsidP="00B14E08">
      <w:pPr>
        <w:widowControl w:val="0"/>
        <w:numPr>
          <w:ilvl w:val="0"/>
          <w:numId w:val="3"/>
        </w:numPr>
        <w:tabs>
          <w:tab w:val="left" w:pos="426"/>
        </w:tabs>
        <w:autoSpaceDE w:val="0"/>
        <w:autoSpaceDN w:val="0"/>
        <w:adjustRightInd w:val="0"/>
        <w:ind w:left="0" w:firstLine="0"/>
        <w:jc w:val="both"/>
        <w:rPr>
          <w:sz w:val="28"/>
          <w:szCs w:val="28"/>
        </w:rPr>
      </w:pPr>
      <w:r w:rsidRPr="00643DCF">
        <w:rPr>
          <w:sz w:val="28"/>
          <w:szCs w:val="28"/>
        </w:rPr>
        <w:t>El 18 de septiembre de 2013</w:t>
      </w:r>
      <w:r w:rsidR="00AA56FE" w:rsidRPr="00643DCF">
        <w:rPr>
          <w:sz w:val="28"/>
          <w:szCs w:val="28"/>
        </w:rPr>
        <w:t>,</w:t>
      </w:r>
      <w:r w:rsidRPr="00643DCF">
        <w:rPr>
          <w:rStyle w:val="Refdenotaalpie"/>
          <w:sz w:val="28"/>
          <w:szCs w:val="28"/>
        </w:rPr>
        <w:footnoteReference w:id="43"/>
      </w:r>
      <w:r w:rsidRPr="00643DCF">
        <w:rPr>
          <w:sz w:val="28"/>
          <w:szCs w:val="28"/>
        </w:rPr>
        <w:t xml:space="preserve"> l</w:t>
      </w:r>
      <w:r w:rsidR="001F7113" w:rsidRPr="00643DCF">
        <w:rPr>
          <w:sz w:val="28"/>
          <w:szCs w:val="28"/>
        </w:rPr>
        <w:t xml:space="preserve">a Sala Administrativa del Consejo Superior de la Judicatura </w:t>
      </w:r>
      <w:r w:rsidR="00513D13" w:rsidRPr="00643DCF">
        <w:rPr>
          <w:sz w:val="28"/>
          <w:szCs w:val="28"/>
        </w:rPr>
        <w:t>envió</w:t>
      </w:r>
      <w:r w:rsidR="001F7113" w:rsidRPr="00643DCF">
        <w:rPr>
          <w:sz w:val="28"/>
          <w:szCs w:val="28"/>
        </w:rPr>
        <w:t xml:space="preserve"> </w:t>
      </w:r>
      <w:r w:rsidR="00127DE8" w:rsidRPr="00643DCF">
        <w:rPr>
          <w:sz w:val="28"/>
          <w:szCs w:val="28"/>
        </w:rPr>
        <w:t xml:space="preserve">diversos oficios </w:t>
      </w:r>
      <w:r w:rsidR="00854923" w:rsidRPr="00643DCF">
        <w:rPr>
          <w:sz w:val="28"/>
          <w:szCs w:val="28"/>
        </w:rPr>
        <w:t>informando</w:t>
      </w:r>
      <w:r w:rsidR="00127DE8" w:rsidRPr="00643DCF">
        <w:rPr>
          <w:sz w:val="28"/>
          <w:szCs w:val="28"/>
        </w:rPr>
        <w:t xml:space="preserve"> que los jueces de </w:t>
      </w:r>
      <w:r w:rsidR="00513D13" w:rsidRPr="00643DCF">
        <w:rPr>
          <w:sz w:val="28"/>
          <w:szCs w:val="28"/>
        </w:rPr>
        <w:t xml:space="preserve">zonas como Valledupar, Bolívar, Valle del Cauca, Tolima, Quindío, Norte de Santander, Magdalena, Meta, Arauca y Chocó </w:t>
      </w:r>
      <w:r w:rsidR="00FD162D" w:rsidRPr="00643DCF">
        <w:rPr>
          <w:sz w:val="28"/>
          <w:szCs w:val="28"/>
        </w:rPr>
        <w:t>habían sido</w:t>
      </w:r>
      <w:r w:rsidR="00E14902" w:rsidRPr="00643DCF">
        <w:rPr>
          <w:sz w:val="28"/>
          <w:szCs w:val="28"/>
        </w:rPr>
        <w:t xml:space="preserve"> notificados de la </w:t>
      </w:r>
      <w:r w:rsidR="006B1D4A" w:rsidRPr="00643DCF">
        <w:rPr>
          <w:sz w:val="28"/>
          <w:szCs w:val="28"/>
        </w:rPr>
        <w:t>s</w:t>
      </w:r>
      <w:r w:rsidR="00916402" w:rsidRPr="00643DCF">
        <w:rPr>
          <w:sz w:val="28"/>
          <w:szCs w:val="28"/>
        </w:rPr>
        <w:t>entencia</w:t>
      </w:r>
      <w:r w:rsidR="00127DE8" w:rsidRPr="00643DCF">
        <w:rPr>
          <w:sz w:val="28"/>
          <w:szCs w:val="28"/>
        </w:rPr>
        <w:t xml:space="preserve"> </w:t>
      </w:r>
      <w:r w:rsidR="00E14902" w:rsidRPr="00643DCF">
        <w:rPr>
          <w:sz w:val="28"/>
          <w:szCs w:val="28"/>
        </w:rPr>
        <w:t>T-</w:t>
      </w:r>
      <w:r w:rsidR="00127DE8" w:rsidRPr="00643DCF">
        <w:rPr>
          <w:sz w:val="28"/>
          <w:szCs w:val="28"/>
        </w:rPr>
        <w:t>760 de 2008</w:t>
      </w:r>
      <w:r w:rsidR="009A3AE0" w:rsidRPr="00643DCF">
        <w:rPr>
          <w:sz w:val="28"/>
          <w:szCs w:val="28"/>
        </w:rPr>
        <w:t xml:space="preserve"> y del memorando mencionado</w:t>
      </w:r>
      <w:r w:rsidR="00502DCF" w:rsidRPr="00643DCF">
        <w:rPr>
          <w:sz w:val="28"/>
          <w:szCs w:val="28"/>
        </w:rPr>
        <w:t>.</w:t>
      </w:r>
      <w:r w:rsidR="00877954" w:rsidRPr="00643DCF">
        <w:rPr>
          <w:sz w:val="28"/>
          <w:szCs w:val="28"/>
        </w:rPr>
        <w:t xml:space="preserve"> </w:t>
      </w:r>
      <w:r w:rsidR="00877954" w:rsidRPr="00643DCF">
        <w:rPr>
          <w:rFonts w:eastAsia="Batang"/>
          <w:bCs/>
          <w:sz w:val="28"/>
          <w:szCs w:val="28"/>
        </w:rPr>
        <w:t xml:space="preserve">Igualmente, entregó la circular INOJ 13-928 en la que le hizo saber a </w:t>
      </w:r>
      <w:r w:rsidR="006E2C4B" w:rsidRPr="00643DCF">
        <w:rPr>
          <w:rFonts w:eastAsia="Batang"/>
          <w:bCs/>
          <w:sz w:val="28"/>
          <w:szCs w:val="28"/>
        </w:rPr>
        <w:t xml:space="preserve">los </w:t>
      </w:r>
      <w:r w:rsidR="00877954" w:rsidRPr="00643DCF">
        <w:rPr>
          <w:rFonts w:eastAsia="Batang"/>
          <w:bCs/>
          <w:sz w:val="28"/>
          <w:szCs w:val="28"/>
        </w:rPr>
        <w:t xml:space="preserve">diferentes miembros de la Rama Judicial de Valledupar, Cartagena, Armenia, Cúcuta, Arauca y Bucaramanga, así como en los departamentos de Valle del Cauca, Tolima, Magdalena, Meta, Cauca, Chocó y Nariño sobre la necesidad de seguir los lineamientos impartidos por la Corte en la </w:t>
      </w:r>
      <w:r w:rsidR="004D1A68" w:rsidRPr="00643DCF">
        <w:rPr>
          <w:rFonts w:eastAsia="Batang"/>
          <w:bCs/>
          <w:sz w:val="28"/>
          <w:szCs w:val="28"/>
        </w:rPr>
        <w:t xml:space="preserve">citada </w:t>
      </w:r>
      <w:r w:rsidR="00F03B07" w:rsidRPr="00643DCF">
        <w:rPr>
          <w:rFonts w:eastAsia="Batang"/>
          <w:bCs/>
          <w:sz w:val="28"/>
          <w:szCs w:val="28"/>
        </w:rPr>
        <w:t>sentencia</w:t>
      </w:r>
      <w:r w:rsidR="009729EC" w:rsidRPr="00643DCF">
        <w:rPr>
          <w:rFonts w:eastAsia="Batang"/>
          <w:bCs/>
          <w:sz w:val="28"/>
          <w:szCs w:val="28"/>
        </w:rPr>
        <w:t>. Adicionalmente</w:t>
      </w:r>
      <w:r w:rsidR="006E2C4B" w:rsidRPr="00643DCF">
        <w:rPr>
          <w:rFonts w:eastAsia="Batang"/>
          <w:bCs/>
          <w:sz w:val="28"/>
          <w:szCs w:val="28"/>
        </w:rPr>
        <w:t xml:space="preserve">, requirió </w:t>
      </w:r>
      <w:r w:rsidR="00BE157F" w:rsidRPr="00643DCF">
        <w:rPr>
          <w:rFonts w:eastAsia="Batang"/>
          <w:bCs/>
          <w:sz w:val="28"/>
          <w:szCs w:val="28"/>
        </w:rPr>
        <w:t xml:space="preserve">información sobre el trámite o gestión </w:t>
      </w:r>
      <w:r w:rsidR="00331F14" w:rsidRPr="00643DCF">
        <w:rPr>
          <w:rFonts w:eastAsia="Batang"/>
          <w:bCs/>
          <w:sz w:val="28"/>
          <w:szCs w:val="28"/>
        </w:rPr>
        <w:t xml:space="preserve">de los </w:t>
      </w:r>
      <w:r w:rsidR="00BE157F" w:rsidRPr="00643DCF">
        <w:rPr>
          <w:rFonts w:eastAsia="Batang"/>
          <w:bCs/>
          <w:sz w:val="28"/>
          <w:szCs w:val="28"/>
        </w:rPr>
        <w:t xml:space="preserve">fallos </w:t>
      </w:r>
      <w:r w:rsidR="00331F14" w:rsidRPr="00643DCF">
        <w:rPr>
          <w:rFonts w:eastAsia="Batang"/>
          <w:bCs/>
          <w:sz w:val="28"/>
          <w:szCs w:val="28"/>
        </w:rPr>
        <w:t>relacionados con el</w:t>
      </w:r>
      <w:r w:rsidR="00BE157F" w:rsidRPr="00643DCF">
        <w:rPr>
          <w:rFonts w:eastAsia="Batang"/>
          <w:bCs/>
          <w:sz w:val="28"/>
          <w:szCs w:val="28"/>
        </w:rPr>
        <w:t xml:space="preserve"> derecho fundamental a la salud</w:t>
      </w:r>
      <w:r w:rsidR="00331F14" w:rsidRPr="00643DCF">
        <w:rPr>
          <w:rFonts w:eastAsia="Batang"/>
          <w:bCs/>
          <w:sz w:val="28"/>
          <w:szCs w:val="28"/>
        </w:rPr>
        <w:t xml:space="preserve"> para</w:t>
      </w:r>
      <w:r w:rsidR="00BE157F" w:rsidRPr="00643DCF">
        <w:rPr>
          <w:rFonts w:eastAsia="Batang"/>
          <w:bCs/>
          <w:sz w:val="28"/>
          <w:szCs w:val="28"/>
        </w:rPr>
        <w:t xml:space="preserve"> </w:t>
      </w:r>
      <w:r w:rsidR="00331F14" w:rsidRPr="00643DCF">
        <w:rPr>
          <w:rFonts w:eastAsia="Batang"/>
          <w:bCs/>
          <w:sz w:val="28"/>
          <w:szCs w:val="28"/>
        </w:rPr>
        <w:t xml:space="preserve">la </w:t>
      </w:r>
      <w:r w:rsidR="00BE157F" w:rsidRPr="00643DCF">
        <w:rPr>
          <w:rFonts w:eastAsia="Batang"/>
          <w:bCs/>
          <w:sz w:val="28"/>
          <w:szCs w:val="28"/>
        </w:rPr>
        <w:t>consolidación de la información estadística</w:t>
      </w:r>
      <w:r w:rsidR="00F03B07" w:rsidRPr="00643DCF">
        <w:rPr>
          <w:rFonts w:eastAsia="Batang"/>
          <w:bCs/>
          <w:sz w:val="28"/>
          <w:szCs w:val="28"/>
        </w:rPr>
        <w:t>.</w:t>
      </w:r>
    </w:p>
    <w:p w14:paraId="7F162185" w14:textId="77777777" w:rsidR="00077964" w:rsidRPr="00643DCF" w:rsidRDefault="00077964" w:rsidP="006A4D3E">
      <w:pPr>
        <w:pStyle w:val="Prrafodelista"/>
        <w:widowControl w:val="0"/>
        <w:tabs>
          <w:tab w:val="left" w:pos="426"/>
        </w:tabs>
        <w:autoSpaceDE w:val="0"/>
        <w:autoSpaceDN w:val="0"/>
        <w:adjustRightInd w:val="0"/>
        <w:ind w:left="0"/>
        <w:jc w:val="both"/>
        <w:rPr>
          <w:sz w:val="28"/>
          <w:szCs w:val="28"/>
        </w:rPr>
      </w:pPr>
    </w:p>
    <w:p w14:paraId="5C5E6973" w14:textId="64AC1605" w:rsidR="001213B7" w:rsidRPr="00643DCF" w:rsidRDefault="00497404" w:rsidP="00464A88">
      <w:pPr>
        <w:widowControl w:val="0"/>
        <w:numPr>
          <w:ilvl w:val="0"/>
          <w:numId w:val="3"/>
        </w:numPr>
        <w:tabs>
          <w:tab w:val="left" w:pos="426"/>
        </w:tabs>
        <w:autoSpaceDE w:val="0"/>
        <w:autoSpaceDN w:val="0"/>
        <w:adjustRightInd w:val="0"/>
        <w:ind w:left="0" w:firstLine="0"/>
        <w:jc w:val="both"/>
        <w:rPr>
          <w:sz w:val="28"/>
          <w:szCs w:val="28"/>
        </w:rPr>
      </w:pPr>
      <w:r w:rsidRPr="00643DCF">
        <w:rPr>
          <w:sz w:val="28"/>
          <w:szCs w:val="28"/>
        </w:rPr>
        <w:t>El 23 de octubre de 2013</w:t>
      </w:r>
      <w:r w:rsidR="00AA56FE" w:rsidRPr="00643DCF">
        <w:rPr>
          <w:sz w:val="28"/>
          <w:szCs w:val="28"/>
        </w:rPr>
        <w:t>,</w:t>
      </w:r>
      <w:r w:rsidR="00870F3E" w:rsidRPr="00643DCF">
        <w:rPr>
          <w:rStyle w:val="Refdenotaalpie"/>
          <w:sz w:val="28"/>
          <w:szCs w:val="28"/>
        </w:rPr>
        <w:footnoteReference w:id="44"/>
      </w:r>
      <w:r w:rsidR="002F7AB8" w:rsidRPr="00643DCF">
        <w:rPr>
          <w:sz w:val="28"/>
          <w:szCs w:val="28"/>
        </w:rPr>
        <w:t xml:space="preserve"> </w:t>
      </w:r>
      <w:r w:rsidR="00FD2A29" w:rsidRPr="00643DCF">
        <w:rPr>
          <w:sz w:val="28"/>
          <w:szCs w:val="28"/>
        </w:rPr>
        <w:t>la Sala Administrativa del Consejo Superior de la Judic</w:t>
      </w:r>
      <w:r w:rsidR="00FD162D" w:rsidRPr="00643DCF">
        <w:rPr>
          <w:sz w:val="28"/>
          <w:szCs w:val="28"/>
        </w:rPr>
        <w:t xml:space="preserve">atura </w:t>
      </w:r>
      <w:r w:rsidR="004329EF" w:rsidRPr="00643DCF">
        <w:rPr>
          <w:sz w:val="28"/>
          <w:szCs w:val="28"/>
        </w:rPr>
        <w:t xml:space="preserve">informó las actividades de divulgación realizadas, dentro de las cuales </w:t>
      </w:r>
      <w:r w:rsidR="00052A4C" w:rsidRPr="00643DCF">
        <w:rPr>
          <w:sz w:val="28"/>
          <w:szCs w:val="28"/>
        </w:rPr>
        <w:t>reportó</w:t>
      </w:r>
      <w:r w:rsidR="00BE157F" w:rsidRPr="00643DCF">
        <w:rPr>
          <w:sz w:val="28"/>
          <w:szCs w:val="28"/>
        </w:rPr>
        <w:t>:</w:t>
      </w:r>
      <w:r w:rsidR="004329EF" w:rsidRPr="00643DCF">
        <w:rPr>
          <w:sz w:val="28"/>
          <w:szCs w:val="28"/>
        </w:rPr>
        <w:t xml:space="preserve"> </w:t>
      </w:r>
      <w:r w:rsidR="006003DC" w:rsidRPr="00643DCF">
        <w:rPr>
          <w:i/>
          <w:sz w:val="28"/>
          <w:szCs w:val="28"/>
        </w:rPr>
        <w:t>(</w:t>
      </w:r>
      <w:r w:rsidR="00052A4C" w:rsidRPr="00643DCF">
        <w:rPr>
          <w:i/>
          <w:sz w:val="28"/>
          <w:szCs w:val="28"/>
        </w:rPr>
        <w:t>i)</w:t>
      </w:r>
      <w:r w:rsidR="00052A4C" w:rsidRPr="00643DCF">
        <w:rPr>
          <w:sz w:val="28"/>
          <w:szCs w:val="28"/>
        </w:rPr>
        <w:t xml:space="preserve"> </w:t>
      </w:r>
      <w:r w:rsidR="004329EF" w:rsidRPr="00643DCF">
        <w:rPr>
          <w:sz w:val="28"/>
          <w:szCs w:val="28"/>
        </w:rPr>
        <w:t xml:space="preserve">la </w:t>
      </w:r>
      <w:r w:rsidR="0047601D" w:rsidRPr="00643DCF">
        <w:rPr>
          <w:sz w:val="28"/>
          <w:szCs w:val="28"/>
        </w:rPr>
        <w:t>transmi</w:t>
      </w:r>
      <w:r w:rsidR="004329EF" w:rsidRPr="00643DCF">
        <w:rPr>
          <w:sz w:val="28"/>
          <w:szCs w:val="28"/>
        </w:rPr>
        <w:t xml:space="preserve">sión </w:t>
      </w:r>
      <w:r w:rsidR="00BE157F" w:rsidRPr="00643DCF">
        <w:rPr>
          <w:sz w:val="28"/>
          <w:szCs w:val="28"/>
        </w:rPr>
        <w:t xml:space="preserve">el día 27 de agosto de 2011 entre las 6 y las 7 pm </w:t>
      </w:r>
      <w:r w:rsidR="004329EF" w:rsidRPr="00643DCF">
        <w:rPr>
          <w:sz w:val="28"/>
          <w:szCs w:val="28"/>
        </w:rPr>
        <w:t>de</w:t>
      </w:r>
      <w:r w:rsidR="00BE157F" w:rsidRPr="00643DCF">
        <w:rPr>
          <w:sz w:val="28"/>
          <w:szCs w:val="28"/>
        </w:rPr>
        <w:t xml:space="preserve"> un</w:t>
      </w:r>
      <w:r w:rsidR="0047601D" w:rsidRPr="00643DCF">
        <w:rPr>
          <w:sz w:val="28"/>
          <w:szCs w:val="28"/>
        </w:rPr>
        <w:t xml:space="preserve"> programa de televisión </w:t>
      </w:r>
      <w:r w:rsidR="00595493" w:rsidRPr="00643DCF">
        <w:rPr>
          <w:sz w:val="28"/>
          <w:szCs w:val="28"/>
        </w:rPr>
        <w:t xml:space="preserve">con el contenido de la </w:t>
      </w:r>
      <w:r w:rsidR="00B16019" w:rsidRPr="00643DCF">
        <w:rPr>
          <w:sz w:val="28"/>
          <w:szCs w:val="28"/>
        </w:rPr>
        <w:t>s</w:t>
      </w:r>
      <w:r w:rsidR="00595493" w:rsidRPr="00643DCF">
        <w:rPr>
          <w:sz w:val="28"/>
          <w:szCs w:val="28"/>
        </w:rPr>
        <w:t>entencia T-760 de 2008 y el derecho a la salud</w:t>
      </w:r>
      <w:r w:rsidR="00052A4C" w:rsidRPr="00643DCF">
        <w:rPr>
          <w:sz w:val="28"/>
          <w:szCs w:val="28"/>
        </w:rPr>
        <w:t xml:space="preserve">; </w:t>
      </w:r>
      <w:r w:rsidR="006003DC" w:rsidRPr="00643DCF">
        <w:rPr>
          <w:i/>
          <w:sz w:val="28"/>
          <w:szCs w:val="28"/>
        </w:rPr>
        <w:t>(</w:t>
      </w:r>
      <w:r w:rsidR="00052A4C" w:rsidRPr="00643DCF">
        <w:rPr>
          <w:i/>
          <w:sz w:val="28"/>
          <w:szCs w:val="28"/>
        </w:rPr>
        <w:t>ii)</w:t>
      </w:r>
      <w:r w:rsidR="00BE157F" w:rsidRPr="00643DCF">
        <w:rPr>
          <w:sz w:val="28"/>
          <w:szCs w:val="28"/>
        </w:rPr>
        <w:t xml:space="preserve"> </w:t>
      </w:r>
      <w:r w:rsidR="004329EF" w:rsidRPr="00643DCF">
        <w:rPr>
          <w:sz w:val="28"/>
          <w:szCs w:val="28"/>
        </w:rPr>
        <w:t>la</w:t>
      </w:r>
      <w:r w:rsidR="0047601D" w:rsidRPr="00643DCF">
        <w:rPr>
          <w:sz w:val="28"/>
          <w:szCs w:val="28"/>
        </w:rPr>
        <w:t xml:space="preserve"> publi</w:t>
      </w:r>
      <w:r w:rsidR="004329EF" w:rsidRPr="00643DCF">
        <w:rPr>
          <w:sz w:val="28"/>
          <w:szCs w:val="28"/>
        </w:rPr>
        <w:t>cación</w:t>
      </w:r>
      <w:r w:rsidR="0047601D" w:rsidRPr="00643DCF">
        <w:rPr>
          <w:sz w:val="28"/>
          <w:szCs w:val="28"/>
        </w:rPr>
        <w:t xml:space="preserve"> en el portal </w:t>
      </w:r>
      <w:r w:rsidR="006C6B21" w:rsidRPr="00643DCF">
        <w:rPr>
          <w:sz w:val="28"/>
          <w:szCs w:val="28"/>
        </w:rPr>
        <w:t>web</w:t>
      </w:r>
      <w:r w:rsidR="0047601D" w:rsidRPr="00643DCF">
        <w:rPr>
          <w:sz w:val="28"/>
          <w:szCs w:val="28"/>
        </w:rPr>
        <w:t xml:space="preserve"> de la Rama Judicial </w:t>
      </w:r>
      <w:r w:rsidR="00052A4C" w:rsidRPr="00643DCF">
        <w:rPr>
          <w:sz w:val="28"/>
          <w:szCs w:val="28"/>
        </w:rPr>
        <w:t>d</w:t>
      </w:r>
      <w:r w:rsidR="0047601D" w:rsidRPr="00643DCF">
        <w:rPr>
          <w:sz w:val="28"/>
          <w:szCs w:val="28"/>
        </w:rPr>
        <w:t xml:space="preserve">el </w:t>
      </w:r>
      <w:r w:rsidR="0047601D" w:rsidRPr="009C132D">
        <w:rPr>
          <w:i/>
          <w:sz w:val="28"/>
          <w:szCs w:val="28"/>
        </w:rPr>
        <w:t xml:space="preserve">link </w:t>
      </w:r>
      <w:r w:rsidR="0047601D" w:rsidRPr="00643DCF">
        <w:rPr>
          <w:sz w:val="28"/>
          <w:szCs w:val="28"/>
        </w:rPr>
        <w:t>“</w:t>
      </w:r>
      <w:r w:rsidR="0047601D" w:rsidRPr="00643DCF">
        <w:rPr>
          <w:i/>
          <w:sz w:val="28"/>
          <w:szCs w:val="28"/>
        </w:rPr>
        <w:t xml:space="preserve">DEINTERES/Acciones de tutela y </w:t>
      </w:r>
      <w:r w:rsidR="004C0101" w:rsidRPr="00643DCF">
        <w:rPr>
          <w:i/>
          <w:sz w:val="28"/>
          <w:szCs w:val="28"/>
        </w:rPr>
        <w:t>s</w:t>
      </w:r>
      <w:r w:rsidR="00916402" w:rsidRPr="00643DCF">
        <w:rPr>
          <w:i/>
          <w:sz w:val="28"/>
          <w:szCs w:val="28"/>
        </w:rPr>
        <w:t>entencia</w:t>
      </w:r>
      <w:r w:rsidR="0047601D" w:rsidRPr="00643DCF">
        <w:rPr>
          <w:i/>
          <w:sz w:val="28"/>
          <w:szCs w:val="28"/>
        </w:rPr>
        <w:t>/acciones de Tutela/</w:t>
      </w:r>
      <w:r w:rsidR="00916402" w:rsidRPr="00643DCF">
        <w:rPr>
          <w:i/>
          <w:sz w:val="28"/>
          <w:szCs w:val="28"/>
        </w:rPr>
        <w:t>Sentencia</w:t>
      </w:r>
      <w:r w:rsidR="0047601D" w:rsidRPr="00643DCF">
        <w:rPr>
          <w:i/>
          <w:sz w:val="28"/>
          <w:szCs w:val="28"/>
        </w:rPr>
        <w:t xml:space="preserve"> T-</w:t>
      </w:r>
      <w:r w:rsidR="0014186D" w:rsidRPr="00643DCF">
        <w:rPr>
          <w:i/>
          <w:sz w:val="28"/>
          <w:szCs w:val="28"/>
        </w:rPr>
        <w:t>760</w:t>
      </w:r>
      <w:r w:rsidR="0047601D" w:rsidRPr="00643DCF">
        <w:rPr>
          <w:i/>
          <w:sz w:val="28"/>
          <w:szCs w:val="28"/>
        </w:rPr>
        <w:t xml:space="preserve"> de 2008</w:t>
      </w:r>
      <w:r w:rsidR="0047601D" w:rsidRPr="00643DCF">
        <w:rPr>
          <w:sz w:val="28"/>
          <w:szCs w:val="28"/>
        </w:rPr>
        <w:t>”</w:t>
      </w:r>
      <w:r w:rsidR="009C132D">
        <w:rPr>
          <w:sz w:val="28"/>
          <w:szCs w:val="28"/>
        </w:rPr>
        <w:t xml:space="preserve"> y</w:t>
      </w:r>
      <w:r w:rsidR="00052A4C" w:rsidRPr="00643DCF">
        <w:rPr>
          <w:sz w:val="28"/>
          <w:szCs w:val="28"/>
        </w:rPr>
        <w:t xml:space="preserve">; </w:t>
      </w:r>
      <w:r w:rsidR="006003DC" w:rsidRPr="00643DCF">
        <w:rPr>
          <w:i/>
          <w:sz w:val="28"/>
          <w:szCs w:val="28"/>
        </w:rPr>
        <w:t>(</w:t>
      </w:r>
      <w:r w:rsidR="00052A4C" w:rsidRPr="00643DCF">
        <w:rPr>
          <w:i/>
          <w:sz w:val="28"/>
          <w:szCs w:val="28"/>
        </w:rPr>
        <w:t>iii)</w:t>
      </w:r>
      <w:r w:rsidR="00BE157F" w:rsidRPr="00643DCF">
        <w:rPr>
          <w:sz w:val="28"/>
          <w:szCs w:val="28"/>
        </w:rPr>
        <w:t xml:space="preserve"> la</w:t>
      </w:r>
      <w:r w:rsidR="004329EF" w:rsidRPr="00643DCF">
        <w:rPr>
          <w:sz w:val="28"/>
          <w:szCs w:val="28"/>
        </w:rPr>
        <w:t xml:space="preserve"> </w:t>
      </w:r>
      <w:r w:rsidR="00C669E2" w:rsidRPr="00643DCF">
        <w:rPr>
          <w:sz w:val="28"/>
          <w:szCs w:val="28"/>
        </w:rPr>
        <w:t>difusión de</w:t>
      </w:r>
      <w:r w:rsidR="00502DCF" w:rsidRPr="00643DCF">
        <w:rPr>
          <w:sz w:val="28"/>
          <w:szCs w:val="28"/>
        </w:rPr>
        <w:t>l fallo</w:t>
      </w:r>
      <w:r w:rsidR="00C669E2" w:rsidRPr="00643DCF">
        <w:rPr>
          <w:sz w:val="28"/>
          <w:szCs w:val="28"/>
        </w:rPr>
        <w:t xml:space="preserve"> a través de medios virtuales</w:t>
      </w:r>
      <w:r w:rsidR="00052A4C" w:rsidRPr="00643DCF">
        <w:rPr>
          <w:sz w:val="28"/>
          <w:szCs w:val="28"/>
        </w:rPr>
        <w:t>.</w:t>
      </w:r>
      <w:r w:rsidR="00E41A41" w:rsidRPr="00643DCF">
        <w:rPr>
          <w:sz w:val="28"/>
          <w:szCs w:val="28"/>
        </w:rPr>
        <w:t xml:space="preserve"> </w:t>
      </w:r>
      <w:r w:rsidR="00052A4C" w:rsidRPr="00643DCF">
        <w:rPr>
          <w:sz w:val="28"/>
          <w:szCs w:val="28"/>
        </w:rPr>
        <w:t xml:space="preserve">Precisó </w:t>
      </w:r>
      <w:r w:rsidR="00595493" w:rsidRPr="00643DCF">
        <w:rPr>
          <w:sz w:val="28"/>
          <w:szCs w:val="28"/>
        </w:rPr>
        <w:t xml:space="preserve">que la inclusión del enlace </w:t>
      </w:r>
      <w:r w:rsidR="006936DC" w:rsidRPr="00643DCF">
        <w:rPr>
          <w:sz w:val="28"/>
          <w:szCs w:val="28"/>
        </w:rPr>
        <w:t xml:space="preserve">y el envío de la información por correo electrónico </w:t>
      </w:r>
      <w:r w:rsidR="00252019" w:rsidRPr="00643DCF">
        <w:rPr>
          <w:sz w:val="28"/>
          <w:szCs w:val="28"/>
        </w:rPr>
        <w:t xml:space="preserve">sería permanente </w:t>
      </w:r>
      <w:r w:rsidR="00C669E2" w:rsidRPr="00643DCF">
        <w:rPr>
          <w:sz w:val="28"/>
          <w:szCs w:val="28"/>
        </w:rPr>
        <w:t xml:space="preserve">en la </w:t>
      </w:r>
      <w:r w:rsidR="00596477" w:rsidRPr="00643DCF">
        <w:rPr>
          <w:sz w:val="28"/>
          <w:szCs w:val="28"/>
        </w:rPr>
        <w:t xml:space="preserve">página de internet </w:t>
      </w:r>
      <w:r w:rsidR="00C669E2" w:rsidRPr="00643DCF">
        <w:rPr>
          <w:sz w:val="28"/>
          <w:szCs w:val="28"/>
        </w:rPr>
        <w:t>de la Rama</w:t>
      </w:r>
      <w:r w:rsidR="006936DC" w:rsidRPr="00643DCF">
        <w:rPr>
          <w:sz w:val="28"/>
          <w:szCs w:val="28"/>
        </w:rPr>
        <w:t>. Así mismo, hizo saber que llevó a cabo</w:t>
      </w:r>
      <w:r w:rsidR="00A32339" w:rsidRPr="00643DCF">
        <w:rPr>
          <w:sz w:val="28"/>
          <w:szCs w:val="28"/>
        </w:rPr>
        <w:t xml:space="preserve"> una actualización constante de</w:t>
      </w:r>
      <w:r w:rsidR="00C669E2" w:rsidRPr="00643DCF">
        <w:rPr>
          <w:sz w:val="28"/>
          <w:szCs w:val="28"/>
        </w:rPr>
        <w:t xml:space="preserve">  “</w:t>
      </w:r>
      <w:r w:rsidR="00C669E2" w:rsidRPr="00643DCF">
        <w:rPr>
          <w:i/>
          <w:sz w:val="28"/>
          <w:szCs w:val="28"/>
        </w:rPr>
        <w:t xml:space="preserve">los documentos administrativos, doctrinarios, legislativos y </w:t>
      </w:r>
      <w:r w:rsidR="00916402" w:rsidRPr="00643DCF">
        <w:rPr>
          <w:i/>
          <w:sz w:val="28"/>
          <w:szCs w:val="28"/>
        </w:rPr>
        <w:t>sentencia</w:t>
      </w:r>
      <w:r w:rsidR="00720900" w:rsidRPr="00643DCF">
        <w:rPr>
          <w:i/>
          <w:sz w:val="28"/>
          <w:szCs w:val="28"/>
        </w:rPr>
        <w:t xml:space="preserve">s relacionadas con el derecho a la </w:t>
      </w:r>
      <w:r w:rsidR="00C669E2" w:rsidRPr="00643DCF">
        <w:rPr>
          <w:i/>
          <w:sz w:val="28"/>
          <w:szCs w:val="28"/>
        </w:rPr>
        <w:t xml:space="preserve">salud a través del SIDN (Sistema </w:t>
      </w:r>
      <w:r w:rsidR="001213B7" w:rsidRPr="00643DCF">
        <w:rPr>
          <w:i/>
          <w:sz w:val="28"/>
          <w:szCs w:val="28"/>
        </w:rPr>
        <w:t>Informativo</w:t>
      </w:r>
      <w:r w:rsidR="00C669E2" w:rsidRPr="00643DCF">
        <w:rPr>
          <w:i/>
          <w:sz w:val="28"/>
          <w:szCs w:val="28"/>
        </w:rPr>
        <w:t xml:space="preserve"> Doctrinario y Normativo) de la </w:t>
      </w:r>
      <w:r w:rsidR="001213B7" w:rsidRPr="00643DCF">
        <w:rPr>
          <w:i/>
          <w:sz w:val="28"/>
          <w:szCs w:val="28"/>
        </w:rPr>
        <w:t>Biblioteca</w:t>
      </w:r>
      <w:r w:rsidR="00C669E2" w:rsidRPr="00643DCF">
        <w:rPr>
          <w:i/>
          <w:sz w:val="28"/>
          <w:szCs w:val="28"/>
        </w:rPr>
        <w:t xml:space="preserve"> Enrique Low Mutra</w:t>
      </w:r>
      <w:r w:rsidR="001213B7" w:rsidRPr="00643DCF">
        <w:rPr>
          <w:sz w:val="28"/>
          <w:szCs w:val="28"/>
        </w:rPr>
        <w:t>”</w:t>
      </w:r>
      <w:r w:rsidR="001213B7" w:rsidRPr="00643DCF">
        <w:rPr>
          <w:rStyle w:val="Refdenotaalpie"/>
          <w:sz w:val="28"/>
          <w:szCs w:val="28"/>
        </w:rPr>
        <w:footnoteReference w:id="45"/>
      </w:r>
      <w:r w:rsidR="00A32339" w:rsidRPr="00643DCF">
        <w:rPr>
          <w:sz w:val="28"/>
          <w:szCs w:val="28"/>
        </w:rPr>
        <w:t xml:space="preserve">, además de </w:t>
      </w:r>
      <w:r w:rsidR="00C669E2" w:rsidRPr="00643DCF">
        <w:rPr>
          <w:sz w:val="28"/>
          <w:szCs w:val="28"/>
        </w:rPr>
        <w:t>transmi</w:t>
      </w:r>
      <w:r w:rsidR="00252019" w:rsidRPr="00643DCF">
        <w:rPr>
          <w:sz w:val="28"/>
          <w:szCs w:val="28"/>
        </w:rPr>
        <w:t>ti</w:t>
      </w:r>
      <w:r w:rsidR="00A32339" w:rsidRPr="00643DCF">
        <w:rPr>
          <w:sz w:val="28"/>
          <w:szCs w:val="28"/>
        </w:rPr>
        <w:t>r</w:t>
      </w:r>
      <w:r w:rsidR="00C669E2" w:rsidRPr="00643DCF">
        <w:rPr>
          <w:sz w:val="28"/>
          <w:szCs w:val="28"/>
        </w:rPr>
        <w:t xml:space="preserve"> videoconferencias, teleconferencias y/o progra</w:t>
      </w:r>
      <w:r w:rsidR="00252019" w:rsidRPr="00643DCF">
        <w:rPr>
          <w:sz w:val="28"/>
          <w:szCs w:val="28"/>
        </w:rPr>
        <w:t>mas de televisión que comunicaro</w:t>
      </w:r>
      <w:r w:rsidR="00C669E2" w:rsidRPr="00643DCF">
        <w:rPr>
          <w:sz w:val="28"/>
          <w:szCs w:val="28"/>
        </w:rPr>
        <w:t>n el contenido de</w:t>
      </w:r>
      <w:r w:rsidR="00800C0B" w:rsidRPr="00643DCF">
        <w:rPr>
          <w:sz w:val="28"/>
          <w:szCs w:val="28"/>
        </w:rPr>
        <w:t>l fallo estructural</w:t>
      </w:r>
      <w:r w:rsidR="00C669E2" w:rsidRPr="00643DCF">
        <w:rPr>
          <w:sz w:val="28"/>
          <w:szCs w:val="28"/>
        </w:rPr>
        <w:t xml:space="preserve">. </w:t>
      </w:r>
    </w:p>
    <w:p w14:paraId="2D003EF7" w14:textId="77777777" w:rsidR="001213B7" w:rsidRPr="00643DCF" w:rsidRDefault="001213B7" w:rsidP="00A412A3">
      <w:pPr>
        <w:pStyle w:val="Prrafodelista"/>
        <w:ind w:left="0"/>
        <w:rPr>
          <w:sz w:val="28"/>
          <w:szCs w:val="28"/>
        </w:rPr>
      </w:pPr>
    </w:p>
    <w:p w14:paraId="7D7C4991" w14:textId="123947E5" w:rsidR="00A7445D" w:rsidRPr="00643DCF" w:rsidRDefault="00A412A3" w:rsidP="00B14E08">
      <w:pPr>
        <w:widowControl w:val="0"/>
        <w:numPr>
          <w:ilvl w:val="0"/>
          <w:numId w:val="3"/>
        </w:numPr>
        <w:tabs>
          <w:tab w:val="left" w:pos="426"/>
        </w:tabs>
        <w:autoSpaceDE w:val="0"/>
        <w:autoSpaceDN w:val="0"/>
        <w:adjustRightInd w:val="0"/>
        <w:ind w:left="0" w:firstLine="0"/>
        <w:jc w:val="both"/>
        <w:rPr>
          <w:sz w:val="28"/>
          <w:szCs w:val="28"/>
        </w:rPr>
      </w:pPr>
      <w:r w:rsidRPr="00643DCF">
        <w:rPr>
          <w:sz w:val="28"/>
          <w:szCs w:val="28"/>
        </w:rPr>
        <w:t xml:space="preserve"> </w:t>
      </w:r>
      <w:r w:rsidR="00577A55" w:rsidRPr="00643DCF">
        <w:rPr>
          <w:sz w:val="28"/>
          <w:szCs w:val="28"/>
        </w:rPr>
        <w:t>El 12 de febrero de 2014</w:t>
      </w:r>
      <w:r w:rsidR="008A3B4C" w:rsidRPr="00643DCF">
        <w:rPr>
          <w:sz w:val="28"/>
          <w:szCs w:val="28"/>
        </w:rPr>
        <w:t>,</w:t>
      </w:r>
      <w:r w:rsidR="00870F3E" w:rsidRPr="00643DCF">
        <w:rPr>
          <w:rStyle w:val="Refdenotaalpie"/>
          <w:sz w:val="28"/>
          <w:szCs w:val="28"/>
        </w:rPr>
        <w:footnoteReference w:id="46"/>
      </w:r>
      <w:r w:rsidR="00577A55" w:rsidRPr="00643DCF">
        <w:rPr>
          <w:sz w:val="28"/>
          <w:szCs w:val="28"/>
        </w:rPr>
        <w:t xml:space="preserve"> la Sala Administrativa del CSJ </w:t>
      </w:r>
      <w:r w:rsidRPr="00643DCF">
        <w:rPr>
          <w:sz w:val="28"/>
          <w:szCs w:val="28"/>
        </w:rPr>
        <w:t xml:space="preserve">remitió </w:t>
      </w:r>
      <w:r w:rsidR="00577A55" w:rsidRPr="00643DCF">
        <w:rPr>
          <w:sz w:val="28"/>
          <w:szCs w:val="28"/>
        </w:rPr>
        <w:t xml:space="preserve">el </w:t>
      </w:r>
      <w:r w:rsidR="008D43C8" w:rsidRPr="00643DCF">
        <w:rPr>
          <w:sz w:val="28"/>
          <w:szCs w:val="28"/>
        </w:rPr>
        <w:t xml:space="preserve">reporte </w:t>
      </w:r>
      <w:r w:rsidR="00577A55" w:rsidRPr="00643DCF">
        <w:rPr>
          <w:sz w:val="28"/>
          <w:szCs w:val="28"/>
        </w:rPr>
        <w:t xml:space="preserve">de las actividades adelantadas por la Unidad de Desarrollo y Análisis Estadístico de esa </w:t>
      </w:r>
      <w:r w:rsidRPr="00643DCF">
        <w:rPr>
          <w:sz w:val="28"/>
          <w:szCs w:val="28"/>
        </w:rPr>
        <w:t>e</w:t>
      </w:r>
      <w:r w:rsidR="00BF3CC6" w:rsidRPr="00643DCF">
        <w:rPr>
          <w:sz w:val="28"/>
          <w:szCs w:val="28"/>
        </w:rPr>
        <w:t>ntidad</w:t>
      </w:r>
      <w:r w:rsidR="00A32339" w:rsidRPr="00643DCF">
        <w:rPr>
          <w:sz w:val="28"/>
          <w:szCs w:val="28"/>
        </w:rPr>
        <w:t xml:space="preserve">, </w:t>
      </w:r>
      <w:r w:rsidR="00854923" w:rsidRPr="00643DCF">
        <w:rPr>
          <w:sz w:val="28"/>
          <w:szCs w:val="28"/>
        </w:rPr>
        <w:t>destacando las siguientes</w:t>
      </w:r>
      <w:r w:rsidR="00A32339" w:rsidRPr="00643DCF">
        <w:rPr>
          <w:sz w:val="28"/>
          <w:szCs w:val="28"/>
        </w:rPr>
        <w:t xml:space="preserve">: </w:t>
      </w:r>
      <w:r w:rsidR="00A32339" w:rsidRPr="00643DCF">
        <w:rPr>
          <w:i/>
          <w:sz w:val="28"/>
          <w:szCs w:val="28"/>
        </w:rPr>
        <w:t>i)</w:t>
      </w:r>
      <w:r w:rsidR="00A32339" w:rsidRPr="00643DCF">
        <w:rPr>
          <w:sz w:val="28"/>
          <w:szCs w:val="28"/>
        </w:rPr>
        <w:t xml:space="preserve"> la r</w:t>
      </w:r>
      <w:r w:rsidR="004F4BE0" w:rsidRPr="00643DCF">
        <w:rPr>
          <w:sz w:val="28"/>
          <w:szCs w:val="28"/>
        </w:rPr>
        <w:t>eseñ</w:t>
      </w:r>
      <w:r w:rsidR="00A32339" w:rsidRPr="00643DCF">
        <w:rPr>
          <w:sz w:val="28"/>
          <w:szCs w:val="28"/>
        </w:rPr>
        <w:t>a d</w:t>
      </w:r>
      <w:r w:rsidR="00A7445D" w:rsidRPr="00643DCF">
        <w:rPr>
          <w:sz w:val="28"/>
          <w:szCs w:val="28"/>
        </w:rPr>
        <w:t xml:space="preserve">el número de incidentes de desacato y de acciones de </w:t>
      </w:r>
      <w:r w:rsidR="00615874" w:rsidRPr="00643DCF">
        <w:rPr>
          <w:sz w:val="28"/>
          <w:szCs w:val="28"/>
        </w:rPr>
        <w:t xml:space="preserve">tutela </w:t>
      </w:r>
      <w:r w:rsidR="00A32339" w:rsidRPr="00643DCF">
        <w:rPr>
          <w:sz w:val="28"/>
          <w:szCs w:val="28"/>
        </w:rPr>
        <w:t>vinculadas con el derecho a la salud</w:t>
      </w:r>
      <w:r w:rsidR="00A32339" w:rsidRPr="00643DCF" w:rsidDel="00A32339">
        <w:rPr>
          <w:sz w:val="28"/>
          <w:szCs w:val="28"/>
        </w:rPr>
        <w:t xml:space="preserve"> </w:t>
      </w:r>
      <w:r w:rsidR="00A5161F" w:rsidRPr="00643DCF">
        <w:rPr>
          <w:sz w:val="28"/>
          <w:szCs w:val="28"/>
        </w:rPr>
        <w:t>elevad</w:t>
      </w:r>
      <w:r w:rsidR="00A32339" w:rsidRPr="00643DCF">
        <w:rPr>
          <w:sz w:val="28"/>
          <w:szCs w:val="28"/>
        </w:rPr>
        <w:t>a</w:t>
      </w:r>
      <w:r w:rsidR="00A5161F" w:rsidRPr="00643DCF">
        <w:rPr>
          <w:sz w:val="28"/>
          <w:szCs w:val="28"/>
        </w:rPr>
        <w:t>s</w:t>
      </w:r>
      <w:r w:rsidR="00615874" w:rsidRPr="00643DCF">
        <w:rPr>
          <w:sz w:val="28"/>
          <w:szCs w:val="28"/>
        </w:rPr>
        <w:t xml:space="preserve"> en cada d</w:t>
      </w:r>
      <w:r w:rsidR="00A7445D" w:rsidRPr="00643DCF">
        <w:rPr>
          <w:sz w:val="28"/>
          <w:szCs w:val="28"/>
        </w:rPr>
        <w:t>epartamento del país, incluid</w:t>
      </w:r>
      <w:r w:rsidR="00A32339" w:rsidRPr="00643DCF">
        <w:rPr>
          <w:sz w:val="28"/>
          <w:szCs w:val="28"/>
        </w:rPr>
        <w:t>a la ciudad de</w:t>
      </w:r>
      <w:r w:rsidR="00A7445D" w:rsidRPr="00643DCF">
        <w:rPr>
          <w:sz w:val="28"/>
          <w:szCs w:val="28"/>
        </w:rPr>
        <w:t xml:space="preserve"> Bogotá</w:t>
      </w:r>
      <w:r w:rsidR="00A34CC1" w:rsidRPr="00643DCF">
        <w:rPr>
          <w:sz w:val="28"/>
          <w:szCs w:val="28"/>
        </w:rPr>
        <w:t xml:space="preserve"> y</w:t>
      </w:r>
      <w:r w:rsidR="006E3914" w:rsidRPr="00643DCF">
        <w:rPr>
          <w:sz w:val="28"/>
          <w:szCs w:val="28"/>
        </w:rPr>
        <w:t>,</w:t>
      </w:r>
      <w:r w:rsidR="00A32339" w:rsidRPr="00643DCF">
        <w:rPr>
          <w:sz w:val="28"/>
          <w:szCs w:val="28"/>
        </w:rPr>
        <w:t xml:space="preserve"> </w:t>
      </w:r>
      <w:r w:rsidR="00A32339" w:rsidRPr="00643DCF">
        <w:rPr>
          <w:i/>
          <w:sz w:val="28"/>
          <w:szCs w:val="28"/>
        </w:rPr>
        <w:t>ii)</w:t>
      </w:r>
      <w:r w:rsidR="00A32339" w:rsidRPr="00643DCF">
        <w:rPr>
          <w:sz w:val="28"/>
          <w:szCs w:val="28"/>
        </w:rPr>
        <w:t xml:space="preserve"> la expedición d</w:t>
      </w:r>
      <w:r w:rsidR="00A7445D" w:rsidRPr="00643DCF">
        <w:rPr>
          <w:sz w:val="28"/>
          <w:szCs w:val="28"/>
        </w:rPr>
        <w:t>el memorando PSA13-3912 de septiembre de 2013</w:t>
      </w:r>
      <w:r w:rsidR="00F828BF" w:rsidRPr="00643DCF">
        <w:rPr>
          <w:rStyle w:val="Refdenotaalpie"/>
          <w:sz w:val="28"/>
          <w:szCs w:val="28"/>
        </w:rPr>
        <w:footnoteReference w:id="47"/>
      </w:r>
      <w:r w:rsidR="00A32339" w:rsidRPr="00643DCF">
        <w:rPr>
          <w:sz w:val="28"/>
          <w:szCs w:val="28"/>
        </w:rPr>
        <w:t>,</w:t>
      </w:r>
      <w:r w:rsidR="00A7445D" w:rsidRPr="00643DCF">
        <w:rPr>
          <w:sz w:val="28"/>
          <w:szCs w:val="28"/>
        </w:rPr>
        <w:t xml:space="preserve"> p</w:t>
      </w:r>
      <w:r w:rsidR="00BF3CC6" w:rsidRPr="00643DCF">
        <w:rPr>
          <w:sz w:val="28"/>
          <w:szCs w:val="28"/>
        </w:rPr>
        <w:t>or medio del cual</w:t>
      </w:r>
      <w:r w:rsidR="00A5161F" w:rsidRPr="00643DCF">
        <w:rPr>
          <w:sz w:val="28"/>
          <w:szCs w:val="28"/>
        </w:rPr>
        <w:t xml:space="preserve"> </w:t>
      </w:r>
      <w:r w:rsidR="00BF3CC6" w:rsidRPr="00643DCF">
        <w:rPr>
          <w:sz w:val="28"/>
          <w:szCs w:val="28"/>
        </w:rPr>
        <w:t>solicitó</w:t>
      </w:r>
      <w:r w:rsidR="0014186D" w:rsidRPr="00643DCF">
        <w:rPr>
          <w:sz w:val="28"/>
          <w:szCs w:val="28"/>
        </w:rPr>
        <w:t xml:space="preserve"> a todos los jueces que dieran</w:t>
      </w:r>
      <w:r w:rsidR="00916402" w:rsidRPr="00643DCF">
        <w:rPr>
          <w:sz w:val="28"/>
          <w:szCs w:val="28"/>
        </w:rPr>
        <w:t xml:space="preserve"> </w:t>
      </w:r>
      <w:r w:rsidR="008D6657" w:rsidRPr="00643DCF">
        <w:rPr>
          <w:sz w:val="28"/>
          <w:szCs w:val="28"/>
        </w:rPr>
        <w:t xml:space="preserve">acatamiento </w:t>
      </w:r>
      <w:r w:rsidR="00916402" w:rsidRPr="00643DCF">
        <w:rPr>
          <w:sz w:val="28"/>
          <w:szCs w:val="28"/>
        </w:rPr>
        <w:t xml:space="preserve">a la </w:t>
      </w:r>
      <w:r w:rsidR="009F38B1" w:rsidRPr="00643DCF">
        <w:rPr>
          <w:sz w:val="28"/>
          <w:szCs w:val="28"/>
        </w:rPr>
        <w:t>providencia enunciada</w:t>
      </w:r>
      <w:r w:rsidR="00A32339" w:rsidRPr="00643DCF">
        <w:rPr>
          <w:sz w:val="28"/>
          <w:szCs w:val="28"/>
        </w:rPr>
        <w:t xml:space="preserve"> y </w:t>
      </w:r>
      <w:r w:rsidR="00A7445D" w:rsidRPr="00643DCF">
        <w:rPr>
          <w:sz w:val="28"/>
          <w:szCs w:val="28"/>
        </w:rPr>
        <w:t xml:space="preserve">que adelantaran las </w:t>
      </w:r>
      <w:r w:rsidR="00882F4C" w:rsidRPr="00643DCF">
        <w:rPr>
          <w:sz w:val="28"/>
          <w:szCs w:val="28"/>
        </w:rPr>
        <w:t>labores</w:t>
      </w:r>
      <w:r w:rsidR="00A7445D" w:rsidRPr="00643DCF">
        <w:rPr>
          <w:sz w:val="28"/>
          <w:szCs w:val="28"/>
        </w:rPr>
        <w:t xml:space="preserve"> necesarias para recopilar la información que reposa</w:t>
      </w:r>
      <w:r w:rsidR="00A32339" w:rsidRPr="00643DCF">
        <w:rPr>
          <w:sz w:val="28"/>
          <w:szCs w:val="28"/>
        </w:rPr>
        <w:t>ba</w:t>
      </w:r>
      <w:r w:rsidR="00A7445D" w:rsidRPr="00643DCF">
        <w:rPr>
          <w:sz w:val="28"/>
          <w:szCs w:val="28"/>
        </w:rPr>
        <w:t xml:space="preserve"> en</w:t>
      </w:r>
      <w:r w:rsidR="00A32339" w:rsidRPr="00643DCF">
        <w:rPr>
          <w:sz w:val="28"/>
          <w:szCs w:val="28"/>
        </w:rPr>
        <w:t xml:space="preserve"> sus</w:t>
      </w:r>
      <w:r w:rsidR="00A7445D" w:rsidRPr="00643DCF">
        <w:rPr>
          <w:sz w:val="28"/>
          <w:szCs w:val="28"/>
        </w:rPr>
        <w:t xml:space="preserve"> despac</w:t>
      </w:r>
      <w:r w:rsidR="00A32339" w:rsidRPr="00643DCF">
        <w:rPr>
          <w:sz w:val="28"/>
          <w:szCs w:val="28"/>
        </w:rPr>
        <w:t xml:space="preserve">hos </w:t>
      </w:r>
      <w:r w:rsidR="00985637" w:rsidRPr="00643DCF">
        <w:rPr>
          <w:sz w:val="28"/>
          <w:szCs w:val="28"/>
        </w:rPr>
        <w:t>referente a</w:t>
      </w:r>
      <w:r w:rsidR="00190A10" w:rsidRPr="00643DCF">
        <w:rPr>
          <w:sz w:val="28"/>
          <w:szCs w:val="28"/>
        </w:rPr>
        <w:t>l fallo estructural</w:t>
      </w:r>
      <w:r w:rsidR="00A7445D" w:rsidRPr="00643DCF">
        <w:rPr>
          <w:sz w:val="28"/>
          <w:szCs w:val="28"/>
        </w:rPr>
        <w:t>.</w:t>
      </w:r>
    </w:p>
    <w:p w14:paraId="5699F9FF" w14:textId="77777777" w:rsidR="00491330" w:rsidRPr="00643DCF" w:rsidRDefault="00491330" w:rsidP="008F680E">
      <w:pPr>
        <w:pStyle w:val="Prrafodelista"/>
        <w:ind w:left="0"/>
        <w:rPr>
          <w:sz w:val="28"/>
          <w:szCs w:val="28"/>
        </w:rPr>
      </w:pPr>
    </w:p>
    <w:p w14:paraId="5C7DFC85" w14:textId="5DC77451" w:rsidR="00535475" w:rsidRPr="00643DCF" w:rsidRDefault="00146592" w:rsidP="00B14E08">
      <w:pPr>
        <w:widowControl w:val="0"/>
        <w:numPr>
          <w:ilvl w:val="0"/>
          <w:numId w:val="3"/>
        </w:numPr>
        <w:tabs>
          <w:tab w:val="left" w:pos="426"/>
        </w:tabs>
        <w:autoSpaceDE w:val="0"/>
        <w:autoSpaceDN w:val="0"/>
        <w:adjustRightInd w:val="0"/>
        <w:ind w:left="0" w:firstLine="0"/>
        <w:jc w:val="both"/>
        <w:rPr>
          <w:b/>
          <w:i/>
          <w:sz w:val="28"/>
          <w:szCs w:val="28"/>
          <w:u w:val="single"/>
        </w:rPr>
      </w:pPr>
      <w:r w:rsidRPr="00643DCF">
        <w:rPr>
          <w:sz w:val="28"/>
          <w:szCs w:val="28"/>
        </w:rPr>
        <w:lastRenderedPageBreak/>
        <w:t xml:space="preserve">En </w:t>
      </w:r>
      <w:r w:rsidR="00D028BF" w:rsidRPr="00643DCF">
        <w:rPr>
          <w:sz w:val="28"/>
          <w:szCs w:val="28"/>
        </w:rPr>
        <w:t>au</w:t>
      </w:r>
      <w:r w:rsidR="00A7445D" w:rsidRPr="00643DCF">
        <w:rPr>
          <w:sz w:val="28"/>
          <w:szCs w:val="28"/>
        </w:rPr>
        <w:t>to</w:t>
      </w:r>
      <w:r w:rsidR="00DE1594" w:rsidRPr="00643DCF">
        <w:rPr>
          <w:sz w:val="28"/>
          <w:szCs w:val="28"/>
        </w:rPr>
        <w:t xml:space="preserve"> 154 de 2014</w:t>
      </w:r>
      <w:r w:rsidR="00DE1594" w:rsidRPr="00643DCF">
        <w:rPr>
          <w:rStyle w:val="Refdenotaalpie"/>
          <w:sz w:val="28"/>
          <w:szCs w:val="28"/>
        </w:rPr>
        <w:footnoteReference w:id="48"/>
      </w:r>
      <w:r w:rsidR="00DE1594" w:rsidRPr="00643DCF">
        <w:rPr>
          <w:sz w:val="28"/>
          <w:szCs w:val="28"/>
        </w:rPr>
        <w:t xml:space="preserve"> </w:t>
      </w:r>
      <w:r w:rsidR="00A7445D" w:rsidRPr="00643DCF">
        <w:rPr>
          <w:sz w:val="28"/>
          <w:szCs w:val="28"/>
        </w:rPr>
        <w:t>del 28</w:t>
      </w:r>
      <w:r w:rsidR="00690965" w:rsidRPr="00643DCF">
        <w:rPr>
          <w:sz w:val="28"/>
          <w:szCs w:val="28"/>
        </w:rPr>
        <w:t xml:space="preserve"> de ma</w:t>
      </w:r>
      <w:r w:rsidR="00A7445D" w:rsidRPr="00643DCF">
        <w:rPr>
          <w:sz w:val="28"/>
          <w:szCs w:val="28"/>
        </w:rPr>
        <w:t>yo</w:t>
      </w:r>
      <w:r w:rsidR="00690965" w:rsidRPr="00643DCF">
        <w:rPr>
          <w:sz w:val="28"/>
          <w:szCs w:val="28"/>
        </w:rPr>
        <w:t xml:space="preserve"> </w:t>
      </w:r>
      <w:r w:rsidRPr="00643DCF">
        <w:rPr>
          <w:sz w:val="28"/>
          <w:szCs w:val="28"/>
        </w:rPr>
        <w:t>l</w:t>
      </w:r>
      <w:r w:rsidR="007B032B" w:rsidRPr="00643DCF">
        <w:rPr>
          <w:sz w:val="28"/>
          <w:szCs w:val="28"/>
        </w:rPr>
        <w:t xml:space="preserve">a Sala </w:t>
      </w:r>
      <w:r w:rsidR="00870F3E" w:rsidRPr="00643DCF">
        <w:rPr>
          <w:sz w:val="28"/>
          <w:szCs w:val="28"/>
        </w:rPr>
        <w:t xml:space="preserve">Especial </w:t>
      </w:r>
      <w:r w:rsidR="008A2175" w:rsidRPr="00643DCF">
        <w:rPr>
          <w:sz w:val="28"/>
          <w:szCs w:val="28"/>
        </w:rPr>
        <w:t xml:space="preserve">al verificar el </w:t>
      </w:r>
      <w:r w:rsidR="00190A10" w:rsidRPr="00643DCF">
        <w:rPr>
          <w:sz w:val="28"/>
          <w:szCs w:val="28"/>
        </w:rPr>
        <w:t xml:space="preserve">incumplimiento </w:t>
      </w:r>
      <w:r w:rsidR="008A2175" w:rsidRPr="00643DCF">
        <w:rPr>
          <w:sz w:val="28"/>
          <w:szCs w:val="28"/>
        </w:rPr>
        <w:t xml:space="preserve">de la obligación de presentar los informes bimensuales y evidenciar inconsistencias en la información reportada, así como la desactualización del sitio </w:t>
      </w:r>
      <w:r w:rsidR="006C6B21" w:rsidRPr="00643DCF">
        <w:rPr>
          <w:sz w:val="28"/>
          <w:szCs w:val="28"/>
        </w:rPr>
        <w:t>web</w:t>
      </w:r>
      <w:r w:rsidR="008A2175" w:rsidRPr="00643DCF">
        <w:rPr>
          <w:sz w:val="28"/>
          <w:szCs w:val="28"/>
        </w:rPr>
        <w:t xml:space="preserve">, </w:t>
      </w:r>
      <w:r w:rsidR="007B032B" w:rsidRPr="00643DCF">
        <w:rPr>
          <w:sz w:val="28"/>
          <w:szCs w:val="28"/>
        </w:rPr>
        <w:t xml:space="preserve">requirió a la Sala </w:t>
      </w:r>
      <w:r w:rsidR="00882F4C" w:rsidRPr="00643DCF">
        <w:rPr>
          <w:sz w:val="28"/>
          <w:szCs w:val="28"/>
        </w:rPr>
        <w:t>Administrativa</w:t>
      </w:r>
      <w:r w:rsidR="007B032B" w:rsidRPr="00643DCF">
        <w:rPr>
          <w:sz w:val="28"/>
          <w:szCs w:val="28"/>
        </w:rPr>
        <w:t xml:space="preserve"> del Consejo Superior de la Judicatura</w:t>
      </w:r>
      <w:r w:rsidR="008A3B4C" w:rsidRPr="00643DCF">
        <w:rPr>
          <w:sz w:val="28"/>
          <w:szCs w:val="28"/>
        </w:rPr>
        <w:t>,</w:t>
      </w:r>
      <w:r w:rsidR="007B032B" w:rsidRPr="00643DCF">
        <w:rPr>
          <w:sz w:val="28"/>
          <w:szCs w:val="28"/>
        </w:rPr>
        <w:t xml:space="preserve"> </w:t>
      </w:r>
      <w:r w:rsidR="008A2175" w:rsidRPr="00643DCF">
        <w:rPr>
          <w:sz w:val="28"/>
          <w:szCs w:val="28"/>
        </w:rPr>
        <w:t xml:space="preserve">con el objeto de </w:t>
      </w:r>
      <w:r w:rsidR="007B032B" w:rsidRPr="00643DCF">
        <w:rPr>
          <w:sz w:val="28"/>
          <w:szCs w:val="28"/>
        </w:rPr>
        <w:t xml:space="preserve">que </w:t>
      </w:r>
      <w:r w:rsidR="00535475" w:rsidRPr="00643DCF">
        <w:rPr>
          <w:sz w:val="28"/>
          <w:szCs w:val="28"/>
        </w:rPr>
        <w:t xml:space="preserve">adoptara una serie de </w:t>
      </w:r>
      <w:r w:rsidR="00DE1594" w:rsidRPr="00643DCF">
        <w:rPr>
          <w:sz w:val="28"/>
          <w:szCs w:val="28"/>
        </w:rPr>
        <w:t xml:space="preserve">medidas preventivas </w:t>
      </w:r>
      <w:r w:rsidR="008A2175" w:rsidRPr="00643DCF">
        <w:rPr>
          <w:sz w:val="28"/>
          <w:szCs w:val="28"/>
        </w:rPr>
        <w:t>que</w:t>
      </w:r>
      <w:r w:rsidR="00535475" w:rsidRPr="00643DCF">
        <w:rPr>
          <w:sz w:val="28"/>
          <w:szCs w:val="28"/>
        </w:rPr>
        <w:t xml:space="preserve"> deberían ser </w:t>
      </w:r>
      <w:r w:rsidR="00E64183" w:rsidRPr="00643DCF">
        <w:rPr>
          <w:sz w:val="28"/>
          <w:szCs w:val="28"/>
        </w:rPr>
        <w:t>tenidas en cuenta</w:t>
      </w:r>
      <w:r w:rsidR="00535475" w:rsidRPr="00643DCF">
        <w:rPr>
          <w:sz w:val="28"/>
          <w:szCs w:val="28"/>
        </w:rPr>
        <w:t xml:space="preserve"> </w:t>
      </w:r>
      <w:r w:rsidR="004F4BE0" w:rsidRPr="00643DCF">
        <w:rPr>
          <w:sz w:val="28"/>
          <w:szCs w:val="28"/>
        </w:rPr>
        <w:t>para</w:t>
      </w:r>
      <w:r w:rsidR="00535475" w:rsidRPr="00643DCF">
        <w:rPr>
          <w:sz w:val="28"/>
          <w:szCs w:val="28"/>
        </w:rPr>
        <w:t xml:space="preserve"> superar la problemática estructural y las barreras que dieron lugar a la directriz. </w:t>
      </w:r>
      <w:r w:rsidR="00A34CC1" w:rsidRPr="00643DCF">
        <w:rPr>
          <w:sz w:val="28"/>
          <w:szCs w:val="28"/>
        </w:rPr>
        <w:t>En d</w:t>
      </w:r>
      <w:r w:rsidR="00491330" w:rsidRPr="00643DCF">
        <w:rPr>
          <w:sz w:val="28"/>
          <w:szCs w:val="28"/>
        </w:rPr>
        <w:t xml:space="preserve">icha </w:t>
      </w:r>
      <w:r w:rsidR="00535475" w:rsidRPr="00643DCF">
        <w:rPr>
          <w:sz w:val="28"/>
          <w:szCs w:val="28"/>
        </w:rPr>
        <w:t>decisión</w:t>
      </w:r>
      <w:r w:rsidR="00A34CC1" w:rsidRPr="00643DCF">
        <w:rPr>
          <w:sz w:val="28"/>
          <w:szCs w:val="28"/>
        </w:rPr>
        <w:t xml:space="preserve"> se dispuso que</w:t>
      </w:r>
      <w:r w:rsidR="008A2175" w:rsidRPr="00643DCF">
        <w:rPr>
          <w:sz w:val="28"/>
          <w:szCs w:val="28"/>
        </w:rPr>
        <w:t>:</w:t>
      </w:r>
      <w:r w:rsidR="00535475" w:rsidRPr="00643DCF">
        <w:rPr>
          <w:sz w:val="28"/>
          <w:szCs w:val="28"/>
        </w:rPr>
        <w:t xml:space="preserve"> </w:t>
      </w:r>
    </w:p>
    <w:p w14:paraId="3C3B6E23" w14:textId="77777777" w:rsidR="00F36B86" w:rsidRPr="00643DCF" w:rsidRDefault="00F36B86" w:rsidP="00F36B86">
      <w:pPr>
        <w:widowControl w:val="0"/>
        <w:tabs>
          <w:tab w:val="left" w:pos="426"/>
        </w:tabs>
        <w:autoSpaceDE w:val="0"/>
        <w:autoSpaceDN w:val="0"/>
        <w:adjustRightInd w:val="0"/>
        <w:jc w:val="both"/>
        <w:rPr>
          <w:b/>
          <w:i/>
          <w:sz w:val="28"/>
          <w:szCs w:val="28"/>
          <w:u w:val="single"/>
        </w:rPr>
      </w:pPr>
    </w:p>
    <w:p w14:paraId="7552442D" w14:textId="2E0E16F7" w:rsidR="002862C0" w:rsidRPr="00643DCF" w:rsidRDefault="00535475" w:rsidP="00A434DE">
      <w:pPr>
        <w:pStyle w:val="Sinespaciado3"/>
        <w:numPr>
          <w:ilvl w:val="1"/>
          <w:numId w:val="8"/>
        </w:numPr>
        <w:tabs>
          <w:tab w:val="left" w:pos="851"/>
          <w:tab w:val="left" w:pos="1560"/>
        </w:tabs>
        <w:ind w:left="284" w:hanging="22"/>
        <w:jc w:val="both"/>
        <w:rPr>
          <w:rFonts w:ascii="Times New Roman" w:hAnsi="Times New Roman"/>
          <w:sz w:val="28"/>
          <w:szCs w:val="28"/>
        </w:rPr>
      </w:pPr>
      <w:r w:rsidRPr="00643DCF">
        <w:rPr>
          <w:rFonts w:ascii="Times New Roman" w:hAnsi="Times New Roman"/>
          <w:sz w:val="28"/>
          <w:szCs w:val="28"/>
        </w:rPr>
        <w:t>El Consejo Superior de la Judicatura allegar</w:t>
      </w:r>
      <w:r w:rsidR="006E3914" w:rsidRPr="00643DCF">
        <w:rPr>
          <w:rFonts w:ascii="Times New Roman" w:hAnsi="Times New Roman"/>
          <w:sz w:val="28"/>
          <w:szCs w:val="28"/>
        </w:rPr>
        <w:t>a</w:t>
      </w:r>
      <w:r w:rsidRPr="00643DCF">
        <w:rPr>
          <w:rFonts w:ascii="Times New Roman" w:hAnsi="Times New Roman"/>
          <w:sz w:val="28"/>
          <w:szCs w:val="28"/>
        </w:rPr>
        <w:t xml:space="preserve"> los informes el último día hábil de cada bimestre y los mismos solo podían ser suscritos por el </w:t>
      </w:r>
      <w:r w:rsidR="00631C7F" w:rsidRPr="00643DCF">
        <w:rPr>
          <w:rFonts w:ascii="Times New Roman" w:hAnsi="Times New Roman"/>
          <w:sz w:val="28"/>
          <w:szCs w:val="28"/>
        </w:rPr>
        <w:t>presidente</w:t>
      </w:r>
      <w:r w:rsidRPr="00643DCF">
        <w:rPr>
          <w:rFonts w:ascii="Times New Roman" w:hAnsi="Times New Roman"/>
          <w:sz w:val="28"/>
          <w:szCs w:val="28"/>
        </w:rPr>
        <w:t xml:space="preserve"> de esa Corporación</w:t>
      </w:r>
      <w:r w:rsidR="000D607C" w:rsidRPr="00643DCF">
        <w:rPr>
          <w:rStyle w:val="Refdenotaalpie"/>
          <w:rFonts w:ascii="Times New Roman" w:hAnsi="Times New Roman"/>
          <w:sz w:val="28"/>
          <w:szCs w:val="28"/>
        </w:rPr>
        <w:footnoteReference w:id="49"/>
      </w:r>
      <w:r w:rsidR="00190A10" w:rsidRPr="00643DCF">
        <w:rPr>
          <w:rFonts w:ascii="Times New Roman" w:hAnsi="Times New Roman"/>
          <w:sz w:val="28"/>
          <w:szCs w:val="28"/>
        </w:rPr>
        <w:t>;</w:t>
      </w:r>
    </w:p>
    <w:p w14:paraId="028EFAD7" w14:textId="09AF54A0" w:rsidR="00535475" w:rsidRPr="00643DCF" w:rsidRDefault="00A62CFA" w:rsidP="00A434DE">
      <w:pPr>
        <w:pStyle w:val="Sinespaciado3"/>
        <w:numPr>
          <w:ilvl w:val="1"/>
          <w:numId w:val="8"/>
        </w:numPr>
        <w:tabs>
          <w:tab w:val="left" w:pos="851"/>
          <w:tab w:val="left" w:pos="1560"/>
        </w:tabs>
        <w:ind w:left="284" w:hanging="22"/>
        <w:jc w:val="both"/>
        <w:rPr>
          <w:rFonts w:ascii="Times New Roman" w:hAnsi="Times New Roman"/>
          <w:sz w:val="28"/>
          <w:szCs w:val="28"/>
        </w:rPr>
      </w:pPr>
      <w:r w:rsidRPr="00643DCF">
        <w:rPr>
          <w:rFonts w:ascii="Times New Roman" w:hAnsi="Times New Roman"/>
          <w:sz w:val="28"/>
          <w:szCs w:val="28"/>
        </w:rPr>
        <w:t>Crear un</w:t>
      </w:r>
      <w:r w:rsidR="00535475" w:rsidRPr="00643DCF">
        <w:rPr>
          <w:rFonts w:ascii="Times New Roman" w:hAnsi="Times New Roman"/>
          <w:sz w:val="28"/>
          <w:szCs w:val="28"/>
        </w:rPr>
        <w:t xml:space="preserve"> </w:t>
      </w:r>
      <w:r w:rsidR="00880ABF" w:rsidRPr="00643DCF">
        <w:rPr>
          <w:rFonts w:ascii="Times New Roman" w:hAnsi="Times New Roman"/>
          <w:i/>
          <w:sz w:val="28"/>
          <w:szCs w:val="28"/>
        </w:rPr>
        <w:t>link</w:t>
      </w:r>
      <w:r w:rsidR="00535475" w:rsidRPr="00643DCF">
        <w:rPr>
          <w:rFonts w:ascii="Times New Roman" w:hAnsi="Times New Roman"/>
          <w:sz w:val="28"/>
          <w:szCs w:val="28"/>
        </w:rPr>
        <w:t xml:space="preserve"> en la página </w:t>
      </w:r>
      <w:r w:rsidR="006C6B21" w:rsidRPr="00643DCF">
        <w:rPr>
          <w:rFonts w:ascii="Times New Roman" w:hAnsi="Times New Roman"/>
          <w:sz w:val="28"/>
          <w:szCs w:val="28"/>
        </w:rPr>
        <w:t>web</w:t>
      </w:r>
      <w:r w:rsidR="00535475" w:rsidRPr="00643DCF">
        <w:rPr>
          <w:rFonts w:ascii="Times New Roman" w:hAnsi="Times New Roman"/>
          <w:sz w:val="28"/>
          <w:szCs w:val="28"/>
        </w:rPr>
        <w:t xml:space="preserve"> de la Rama Judicial</w:t>
      </w:r>
      <w:r w:rsidRPr="00643DCF">
        <w:rPr>
          <w:rFonts w:ascii="Times New Roman" w:hAnsi="Times New Roman"/>
          <w:sz w:val="28"/>
          <w:szCs w:val="28"/>
        </w:rPr>
        <w:t xml:space="preserve"> el cual</w:t>
      </w:r>
      <w:r w:rsidR="00535475" w:rsidRPr="00643DCF">
        <w:rPr>
          <w:rFonts w:ascii="Times New Roman" w:hAnsi="Times New Roman"/>
          <w:sz w:val="28"/>
          <w:szCs w:val="28"/>
        </w:rPr>
        <w:t xml:space="preserve"> </w:t>
      </w:r>
      <w:r w:rsidR="00880ABF" w:rsidRPr="00643DCF">
        <w:rPr>
          <w:rFonts w:ascii="Times New Roman" w:hAnsi="Times New Roman"/>
          <w:sz w:val="28"/>
          <w:szCs w:val="28"/>
        </w:rPr>
        <w:t>permitiera</w:t>
      </w:r>
      <w:r w:rsidR="00535475" w:rsidRPr="00643DCF">
        <w:rPr>
          <w:rFonts w:ascii="Times New Roman" w:hAnsi="Times New Roman"/>
          <w:sz w:val="28"/>
          <w:szCs w:val="28"/>
        </w:rPr>
        <w:t xml:space="preserve"> </w:t>
      </w:r>
      <w:r w:rsidR="00880ABF" w:rsidRPr="00643DCF">
        <w:rPr>
          <w:rFonts w:ascii="Times New Roman" w:hAnsi="Times New Roman"/>
          <w:sz w:val="28"/>
          <w:szCs w:val="28"/>
        </w:rPr>
        <w:t>acceder al</w:t>
      </w:r>
      <w:r w:rsidR="00535475" w:rsidRPr="00643DCF">
        <w:rPr>
          <w:rFonts w:ascii="Times New Roman" w:hAnsi="Times New Roman"/>
          <w:sz w:val="28"/>
          <w:szCs w:val="28"/>
        </w:rPr>
        <w:t xml:space="preserve"> contenido de la s</w:t>
      </w:r>
      <w:r w:rsidR="00880ABF" w:rsidRPr="00643DCF">
        <w:rPr>
          <w:rFonts w:ascii="Times New Roman" w:hAnsi="Times New Roman"/>
          <w:sz w:val="28"/>
          <w:szCs w:val="28"/>
        </w:rPr>
        <w:t>entencia en la página principal</w:t>
      </w:r>
      <w:r w:rsidRPr="00643DCF">
        <w:rPr>
          <w:rFonts w:ascii="Times New Roman" w:hAnsi="Times New Roman"/>
          <w:sz w:val="28"/>
          <w:szCs w:val="28"/>
        </w:rPr>
        <w:t xml:space="preserve"> en un sitio destacado</w:t>
      </w:r>
      <w:r w:rsidR="00190A10" w:rsidRPr="00643DCF">
        <w:rPr>
          <w:rFonts w:ascii="Times New Roman" w:hAnsi="Times New Roman"/>
          <w:sz w:val="28"/>
          <w:szCs w:val="28"/>
        </w:rPr>
        <w:t>;</w:t>
      </w:r>
    </w:p>
    <w:p w14:paraId="4239C347" w14:textId="3E166A54" w:rsidR="00535475" w:rsidRPr="00643DCF" w:rsidRDefault="00535475" w:rsidP="00A434DE">
      <w:pPr>
        <w:pStyle w:val="Sinespaciado3"/>
        <w:numPr>
          <w:ilvl w:val="1"/>
          <w:numId w:val="8"/>
        </w:numPr>
        <w:tabs>
          <w:tab w:val="left" w:pos="851"/>
          <w:tab w:val="left" w:pos="1560"/>
        </w:tabs>
        <w:ind w:left="284" w:hanging="22"/>
        <w:jc w:val="both"/>
        <w:rPr>
          <w:rFonts w:ascii="Times New Roman" w:hAnsi="Times New Roman"/>
          <w:sz w:val="28"/>
          <w:szCs w:val="28"/>
        </w:rPr>
      </w:pPr>
      <w:r w:rsidRPr="00643DCF">
        <w:rPr>
          <w:rFonts w:ascii="Times New Roman" w:hAnsi="Times New Roman"/>
          <w:sz w:val="28"/>
          <w:szCs w:val="28"/>
        </w:rPr>
        <w:t>El enlace debería tener un contador de vis</w:t>
      </w:r>
      <w:r w:rsidR="00A62CFA" w:rsidRPr="00643DCF">
        <w:rPr>
          <w:rFonts w:ascii="Times New Roman" w:hAnsi="Times New Roman"/>
          <w:sz w:val="28"/>
          <w:szCs w:val="28"/>
        </w:rPr>
        <w:t>i</w:t>
      </w:r>
      <w:r w:rsidRPr="00643DCF">
        <w:rPr>
          <w:rFonts w:ascii="Times New Roman" w:hAnsi="Times New Roman"/>
          <w:sz w:val="28"/>
          <w:szCs w:val="28"/>
        </w:rPr>
        <w:t>tas</w:t>
      </w:r>
      <w:r w:rsidR="00190A10" w:rsidRPr="00643DCF">
        <w:rPr>
          <w:rFonts w:ascii="Times New Roman" w:hAnsi="Times New Roman"/>
          <w:sz w:val="28"/>
          <w:szCs w:val="28"/>
        </w:rPr>
        <w:t>;</w:t>
      </w:r>
    </w:p>
    <w:p w14:paraId="3D0544FA" w14:textId="3F489019" w:rsidR="00535475" w:rsidRPr="00643DCF" w:rsidRDefault="00535475" w:rsidP="00A434DE">
      <w:pPr>
        <w:pStyle w:val="Sinespaciado3"/>
        <w:numPr>
          <w:ilvl w:val="1"/>
          <w:numId w:val="8"/>
        </w:numPr>
        <w:tabs>
          <w:tab w:val="left" w:pos="851"/>
          <w:tab w:val="left" w:pos="1560"/>
        </w:tabs>
        <w:ind w:left="284" w:hanging="22"/>
        <w:jc w:val="both"/>
        <w:rPr>
          <w:rFonts w:ascii="Times New Roman" w:hAnsi="Times New Roman"/>
          <w:sz w:val="28"/>
          <w:szCs w:val="28"/>
        </w:rPr>
      </w:pPr>
      <w:r w:rsidRPr="00643DCF">
        <w:rPr>
          <w:rFonts w:ascii="Times New Roman" w:hAnsi="Times New Roman"/>
          <w:sz w:val="28"/>
          <w:szCs w:val="28"/>
        </w:rPr>
        <w:t xml:space="preserve">Los </w:t>
      </w:r>
      <w:r w:rsidR="00985637" w:rsidRPr="00643DCF">
        <w:rPr>
          <w:rFonts w:ascii="Times New Roman" w:hAnsi="Times New Roman"/>
          <w:sz w:val="28"/>
          <w:szCs w:val="28"/>
        </w:rPr>
        <w:t xml:space="preserve">reportes </w:t>
      </w:r>
      <w:r w:rsidRPr="00643DCF">
        <w:rPr>
          <w:rFonts w:ascii="Times New Roman" w:hAnsi="Times New Roman"/>
          <w:sz w:val="28"/>
          <w:szCs w:val="28"/>
        </w:rPr>
        <w:t xml:space="preserve">presentados por el Consejo Superior de la Judicatura deberían ser incluidos en el </w:t>
      </w:r>
      <w:r w:rsidRPr="00643DCF">
        <w:rPr>
          <w:rFonts w:ascii="Times New Roman" w:hAnsi="Times New Roman"/>
          <w:i/>
          <w:sz w:val="28"/>
          <w:szCs w:val="28"/>
        </w:rPr>
        <w:t xml:space="preserve">link </w:t>
      </w:r>
      <w:r w:rsidRPr="00643DCF">
        <w:rPr>
          <w:rFonts w:ascii="Times New Roman" w:hAnsi="Times New Roman"/>
          <w:sz w:val="28"/>
          <w:szCs w:val="28"/>
        </w:rPr>
        <w:t xml:space="preserve">el último día hábil </w:t>
      </w:r>
      <w:r w:rsidR="006E3914" w:rsidRPr="00643DCF">
        <w:rPr>
          <w:rFonts w:ascii="Times New Roman" w:hAnsi="Times New Roman"/>
          <w:sz w:val="28"/>
          <w:szCs w:val="28"/>
        </w:rPr>
        <w:t xml:space="preserve">del plazo de entrega </w:t>
      </w:r>
      <w:r w:rsidRPr="00643DCF">
        <w:rPr>
          <w:rFonts w:ascii="Times New Roman" w:hAnsi="Times New Roman"/>
          <w:sz w:val="28"/>
          <w:szCs w:val="28"/>
        </w:rPr>
        <w:t>a la Sala Especial de Seguimiento</w:t>
      </w:r>
      <w:r w:rsidR="00A34CC1" w:rsidRPr="00643DCF">
        <w:rPr>
          <w:rFonts w:ascii="Times New Roman" w:hAnsi="Times New Roman"/>
          <w:sz w:val="28"/>
          <w:szCs w:val="28"/>
        </w:rPr>
        <w:t>;</w:t>
      </w:r>
    </w:p>
    <w:p w14:paraId="0E33EE8F" w14:textId="2CAAD3F0" w:rsidR="00535475" w:rsidRPr="00643DCF" w:rsidRDefault="00535475" w:rsidP="00A434DE">
      <w:pPr>
        <w:pStyle w:val="Sinespaciado3"/>
        <w:numPr>
          <w:ilvl w:val="1"/>
          <w:numId w:val="8"/>
        </w:numPr>
        <w:tabs>
          <w:tab w:val="left" w:pos="851"/>
          <w:tab w:val="left" w:pos="2127"/>
        </w:tabs>
        <w:ind w:left="284" w:hanging="22"/>
        <w:jc w:val="both"/>
        <w:rPr>
          <w:rFonts w:ascii="Times New Roman" w:hAnsi="Times New Roman"/>
          <w:sz w:val="28"/>
          <w:szCs w:val="28"/>
        </w:rPr>
      </w:pPr>
      <w:r w:rsidRPr="00643DCF">
        <w:rPr>
          <w:rFonts w:ascii="Times New Roman" w:hAnsi="Times New Roman"/>
          <w:sz w:val="28"/>
          <w:szCs w:val="28"/>
        </w:rPr>
        <w:t xml:space="preserve">La página dedicada al derecho a la salud </w:t>
      </w:r>
      <w:r w:rsidR="00ED12B9" w:rsidRPr="00643DCF">
        <w:rPr>
          <w:rFonts w:ascii="Times New Roman" w:hAnsi="Times New Roman"/>
          <w:sz w:val="28"/>
          <w:szCs w:val="28"/>
        </w:rPr>
        <w:t>incluyera</w:t>
      </w:r>
      <w:r w:rsidR="00A34CC1" w:rsidRPr="00643DCF">
        <w:rPr>
          <w:rFonts w:ascii="Times New Roman" w:hAnsi="Times New Roman"/>
          <w:sz w:val="28"/>
          <w:szCs w:val="28"/>
        </w:rPr>
        <w:t xml:space="preserve"> </w:t>
      </w:r>
      <w:r w:rsidRPr="00643DCF">
        <w:rPr>
          <w:rFonts w:ascii="Times New Roman" w:hAnsi="Times New Roman"/>
          <w:sz w:val="28"/>
          <w:szCs w:val="28"/>
        </w:rPr>
        <w:t>un aparte dedicado a</w:t>
      </w:r>
      <w:r w:rsidR="00A62CFA" w:rsidRPr="00643DCF">
        <w:rPr>
          <w:rFonts w:ascii="Times New Roman" w:hAnsi="Times New Roman"/>
          <w:sz w:val="28"/>
          <w:szCs w:val="28"/>
        </w:rPr>
        <w:t xml:space="preserve"> la publicación de los autos de seguimiento;</w:t>
      </w:r>
      <w:r w:rsidRPr="00643DCF">
        <w:rPr>
          <w:rFonts w:ascii="Times New Roman" w:hAnsi="Times New Roman"/>
          <w:sz w:val="28"/>
          <w:szCs w:val="28"/>
        </w:rPr>
        <w:t xml:space="preserve"> l</w:t>
      </w:r>
      <w:r w:rsidR="00A62CFA" w:rsidRPr="00643DCF">
        <w:rPr>
          <w:rFonts w:ascii="Times New Roman" w:hAnsi="Times New Roman"/>
          <w:sz w:val="28"/>
          <w:szCs w:val="28"/>
        </w:rPr>
        <w:t>o</w:t>
      </w:r>
      <w:r w:rsidRPr="00643DCF">
        <w:rPr>
          <w:rFonts w:ascii="Times New Roman" w:hAnsi="Times New Roman"/>
          <w:sz w:val="28"/>
          <w:szCs w:val="28"/>
        </w:rPr>
        <w:t>s</w:t>
      </w:r>
      <w:r w:rsidR="00A62CFA" w:rsidRPr="00643DCF">
        <w:rPr>
          <w:rFonts w:ascii="Times New Roman" w:hAnsi="Times New Roman"/>
          <w:sz w:val="28"/>
          <w:szCs w:val="28"/>
        </w:rPr>
        <w:t xml:space="preserve"> materiales de </w:t>
      </w:r>
      <w:r w:rsidRPr="00643DCF">
        <w:rPr>
          <w:rFonts w:ascii="Times New Roman" w:hAnsi="Times New Roman"/>
          <w:sz w:val="28"/>
          <w:szCs w:val="28"/>
        </w:rPr>
        <w:t xml:space="preserve">audio y video </w:t>
      </w:r>
      <w:r w:rsidR="00190A10" w:rsidRPr="00643DCF">
        <w:rPr>
          <w:rFonts w:ascii="Times New Roman" w:hAnsi="Times New Roman"/>
          <w:sz w:val="28"/>
          <w:szCs w:val="28"/>
        </w:rPr>
        <w:t>relacionad</w:t>
      </w:r>
      <w:r w:rsidR="00985637" w:rsidRPr="00643DCF">
        <w:rPr>
          <w:rFonts w:ascii="Times New Roman" w:hAnsi="Times New Roman"/>
          <w:sz w:val="28"/>
          <w:szCs w:val="28"/>
        </w:rPr>
        <w:t>o</w:t>
      </w:r>
      <w:r w:rsidR="00190A10" w:rsidRPr="00643DCF">
        <w:rPr>
          <w:rFonts w:ascii="Times New Roman" w:hAnsi="Times New Roman"/>
          <w:sz w:val="28"/>
          <w:szCs w:val="28"/>
        </w:rPr>
        <w:t>s</w:t>
      </w:r>
      <w:r w:rsidRPr="00643DCF">
        <w:rPr>
          <w:rFonts w:ascii="Times New Roman" w:hAnsi="Times New Roman"/>
          <w:sz w:val="28"/>
          <w:szCs w:val="28"/>
        </w:rPr>
        <w:t xml:space="preserve"> con el cumplimiento del mandato (videoconferencias, sesiones técnicas, audiencias públicas, </w:t>
      </w:r>
      <w:r w:rsidR="00631C7F" w:rsidRPr="00643DCF">
        <w:rPr>
          <w:rFonts w:ascii="Times New Roman" w:hAnsi="Times New Roman"/>
          <w:sz w:val="28"/>
          <w:szCs w:val="28"/>
        </w:rPr>
        <w:t>etc.</w:t>
      </w:r>
      <w:r w:rsidRPr="00643DCF">
        <w:rPr>
          <w:rFonts w:ascii="Times New Roman" w:hAnsi="Times New Roman"/>
          <w:sz w:val="28"/>
          <w:szCs w:val="28"/>
        </w:rPr>
        <w:t>)</w:t>
      </w:r>
      <w:r w:rsidR="00CE057E" w:rsidRPr="00643DCF">
        <w:rPr>
          <w:rFonts w:ascii="Times New Roman" w:hAnsi="Times New Roman"/>
          <w:sz w:val="28"/>
          <w:szCs w:val="28"/>
        </w:rPr>
        <w:t>;</w:t>
      </w:r>
    </w:p>
    <w:p w14:paraId="79539F37" w14:textId="309157E2" w:rsidR="00535475" w:rsidRPr="00643DCF" w:rsidRDefault="00A34CC1" w:rsidP="00A434DE">
      <w:pPr>
        <w:pStyle w:val="Sinespaciado3"/>
        <w:numPr>
          <w:ilvl w:val="1"/>
          <w:numId w:val="8"/>
        </w:numPr>
        <w:tabs>
          <w:tab w:val="left" w:pos="851"/>
          <w:tab w:val="left" w:pos="1560"/>
        </w:tabs>
        <w:ind w:left="284" w:hanging="22"/>
        <w:jc w:val="both"/>
        <w:rPr>
          <w:rFonts w:ascii="Times New Roman" w:hAnsi="Times New Roman"/>
          <w:sz w:val="28"/>
          <w:szCs w:val="28"/>
        </w:rPr>
      </w:pPr>
      <w:r w:rsidRPr="00643DCF">
        <w:rPr>
          <w:rFonts w:ascii="Times New Roman" w:hAnsi="Times New Roman"/>
          <w:sz w:val="28"/>
          <w:szCs w:val="28"/>
        </w:rPr>
        <w:t xml:space="preserve">Que </w:t>
      </w:r>
      <w:r w:rsidR="00535475" w:rsidRPr="00643DCF">
        <w:rPr>
          <w:rFonts w:ascii="Times New Roman" w:hAnsi="Times New Roman"/>
          <w:sz w:val="28"/>
          <w:szCs w:val="28"/>
        </w:rPr>
        <w:t xml:space="preserve">el </w:t>
      </w:r>
      <w:r w:rsidR="00535475" w:rsidRPr="00643DCF">
        <w:rPr>
          <w:rFonts w:ascii="Times New Roman" w:hAnsi="Times New Roman"/>
          <w:i/>
          <w:sz w:val="28"/>
          <w:szCs w:val="28"/>
        </w:rPr>
        <w:t xml:space="preserve">link </w:t>
      </w:r>
      <w:r w:rsidRPr="00643DCF">
        <w:rPr>
          <w:rFonts w:ascii="Times New Roman" w:hAnsi="Times New Roman"/>
          <w:sz w:val="28"/>
          <w:szCs w:val="28"/>
        </w:rPr>
        <w:t>contara con</w:t>
      </w:r>
      <w:r w:rsidR="00A62CFA" w:rsidRPr="00643DCF">
        <w:rPr>
          <w:rFonts w:ascii="Times New Roman" w:hAnsi="Times New Roman"/>
          <w:sz w:val="28"/>
          <w:szCs w:val="28"/>
        </w:rPr>
        <w:t xml:space="preserve"> materiales de capacitación </w:t>
      </w:r>
      <w:r w:rsidR="00DF3851" w:rsidRPr="00643DCF">
        <w:rPr>
          <w:rFonts w:ascii="Times New Roman" w:hAnsi="Times New Roman"/>
          <w:sz w:val="28"/>
          <w:szCs w:val="28"/>
        </w:rPr>
        <w:t xml:space="preserve">(cartillas, folletos, boletines jurisprudenciales, talleres, manuales, etc.) y </w:t>
      </w:r>
      <w:r w:rsidR="00880ABF" w:rsidRPr="00643DCF">
        <w:rPr>
          <w:rFonts w:ascii="Times New Roman" w:hAnsi="Times New Roman"/>
          <w:sz w:val="28"/>
          <w:szCs w:val="28"/>
        </w:rPr>
        <w:t>la</w:t>
      </w:r>
      <w:r w:rsidR="00535475" w:rsidRPr="00643DCF">
        <w:rPr>
          <w:rFonts w:ascii="Times New Roman" w:hAnsi="Times New Roman"/>
          <w:sz w:val="28"/>
          <w:szCs w:val="28"/>
        </w:rPr>
        <w:t xml:space="preserve"> legislación </w:t>
      </w:r>
      <w:r w:rsidR="00DF3851" w:rsidRPr="00643DCF">
        <w:rPr>
          <w:rFonts w:ascii="Times New Roman" w:hAnsi="Times New Roman"/>
          <w:sz w:val="28"/>
          <w:szCs w:val="28"/>
        </w:rPr>
        <w:t xml:space="preserve">y doctrina </w:t>
      </w:r>
      <w:r w:rsidR="00985637" w:rsidRPr="00643DCF">
        <w:rPr>
          <w:rFonts w:ascii="Times New Roman" w:hAnsi="Times New Roman"/>
          <w:sz w:val="28"/>
          <w:szCs w:val="28"/>
        </w:rPr>
        <w:t xml:space="preserve">sobre </w:t>
      </w:r>
      <w:r w:rsidR="00535475" w:rsidRPr="00643DCF">
        <w:rPr>
          <w:rFonts w:ascii="Times New Roman" w:hAnsi="Times New Roman"/>
          <w:sz w:val="28"/>
          <w:szCs w:val="28"/>
        </w:rPr>
        <w:t>el derecho a la salud</w:t>
      </w:r>
      <w:r w:rsidR="00491330" w:rsidRPr="00643DCF">
        <w:rPr>
          <w:rFonts w:ascii="Times New Roman" w:hAnsi="Times New Roman"/>
          <w:sz w:val="28"/>
          <w:szCs w:val="28"/>
        </w:rPr>
        <w:t>;</w:t>
      </w:r>
    </w:p>
    <w:p w14:paraId="180FF4D3" w14:textId="7C85B136" w:rsidR="00535475" w:rsidRPr="00643DCF" w:rsidRDefault="00535475" w:rsidP="00A434DE">
      <w:pPr>
        <w:pStyle w:val="Sinespaciado6"/>
        <w:numPr>
          <w:ilvl w:val="1"/>
          <w:numId w:val="8"/>
        </w:numPr>
        <w:tabs>
          <w:tab w:val="left" w:pos="426"/>
          <w:tab w:val="left" w:pos="993"/>
          <w:tab w:val="left" w:pos="1560"/>
        </w:tabs>
        <w:ind w:left="284" w:hanging="22"/>
        <w:jc w:val="both"/>
        <w:rPr>
          <w:rFonts w:ascii="Times New Roman" w:hAnsi="Times New Roman"/>
          <w:sz w:val="28"/>
          <w:szCs w:val="28"/>
        </w:rPr>
      </w:pPr>
      <w:r w:rsidRPr="00643DCF">
        <w:rPr>
          <w:rFonts w:ascii="Times New Roman" w:hAnsi="Times New Roman"/>
          <w:sz w:val="28"/>
          <w:szCs w:val="28"/>
        </w:rPr>
        <w:t xml:space="preserve">Por último, durante el desarrollo del concurso </w:t>
      </w:r>
      <w:r w:rsidRPr="00643DCF">
        <w:rPr>
          <w:rFonts w:ascii="Times New Roman" w:hAnsi="Times New Roman"/>
          <w:bCs/>
          <w:sz w:val="28"/>
          <w:szCs w:val="28"/>
        </w:rPr>
        <w:t xml:space="preserve">para </w:t>
      </w:r>
      <w:r w:rsidRPr="00643DCF">
        <w:rPr>
          <w:rFonts w:ascii="Times New Roman" w:hAnsi="Times New Roman"/>
          <w:sz w:val="28"/>
          <w:szCs w:val="28"/>
        </w:rPr>
        <w:t xml:space="preserve">la provisión de los cargos de funcionarios de la Rama Judicial (Convocatoria </w:t>
      </w:r>
      <w:r w:rsidR="00631C7F" w:rsidRPr="00643DCF">
        <w:rPr>
          <w:rFonts w:ascii="Times New Roman" w:hAnsi="Times New Roman"/>
          <w:sz w:val="28"/>
          <w:szCs w:val="28"/>
        </w:rPr>
        <w:t>N.°</w:t>
      </w:r>
      <w:r w:rsidRPr="00643DCF">
        <w:rPr>
          <w:rFonts w:ascii="Times New Roman" w:hAnsi="Times New Roman"/>
          <w:sz w:val="28"/>
          <w:szCs w:val="28"/>
        </w:rPr>
        <w:t xml:space="preserve"> 22), se incluyera la temática </w:t>
      </w:r>
      <w:r w:rsidR="00985637" w:rsidRPr="00643DCF">
        <w:rPr>
          <w:rFonts w:ascii="Times New Roman" w:hAnsi="Times New Roman"/>
          <w:sz w:val="28"/>
          <w:szCs w:val="28"/>
        </w:rPr>
        <w:t>afín</w:t>
      </w:r>
      <w:r w:rsidRPr="00643DCF">
        <w:rPr>
          <w:rFonts w:ascii="Times New Roman" w:hAnsi="Times New Roman"/>
          <w:sz w:val="28"/>
          <w:szCs w:val="28"/>
        </w:rPr>
        <w:t xml:space="preserve"> con </w:t>
      </w:r>
      <w:r w:rsidR="00CE057E" w:rsidRPr="00643DCF">
        <w:rPr>
          <w:rFonts w:ascii="Times New Roman" w:hAnsi="Times New Roman"/>
          <w:sz w:val="28"/>
          <w:szCs w:val="28"/>
        </w:rPr>
        <w:t xml:space="preserve">el </w:t>
      </w:r>
      <w:r w:rsidR="009B2B31" w:rsidRPr="00643DCF">
        <w:rPr>
          <w:rFonts w:ascii="Times New Roman" w:hAnsi="Times New Roman"/>
          <w:sz w:val="28"/>
          <w:szCs w:val="28"/>
        </w:rPr>
        <w:t xml:space="preserve">acatamiento </w:t>
      </w:r>
      <w:r w:rsidR="00CE057E" w:rsidRPr="00643DCF">
        <w:rPr>
          <w:rFonts w:ascii="Times New Roman" w:hAnsi="Times New Roman"/>
          <w:sz w:val="28"/>
          <w:szCs w:val="28"/>
        </w:rPr>
        <w:t xml:space="preserve">de </w:t>
      </w:r>
      <w:r w:rsidRPr="00643DCF">
        <w:rPr>
          <w:rFonts w:ascii="Times New Roman" w:hAnsi="Times New Roman"/>
          <w:sz w:val="28"/>
          <w:szCs w:val="28"/>
        </w:rPr>
        <w:t xml:space="preserve">la </w:t>
      </w:r>
      <w:r w:rsidR="00F11A05" w:rsidRPr="00643DCF">
        <w:rPr>
          <w:rFonts w:ascii="Times New Roman" w:hAnsi="Times New Roman"/>
          <w:sz w:val="28"/>
          <w:szCs w:val="28"/>
        </w:rPr>
        <w:t>sentencia</w:t>
      </w:r>
      <w:r w:rsidRPr="00643DCF">
        <w:rPr>
          <w:rFonts w:ascii="Times New Roman" w:hAnsi="Times New Roman"/>
          <w:sz w:val="28"/>
          <w:szCs w:val="28"/>
        </w:rPr>
        <w:t xml:space="preserve"> T-760 de 2008.</w:t>
      </w:r>
    </w:p>
    <w:p w14:paraId="372FEF3C" w14:textId="77777777" w:rsidR="00A412A3" w:rsidRPr="00643DCF" w:rsidRDefault="00A412A3" w:rsidP="008F680E">
      <w:pPr>
        <w:pStyle w:val="Prrafodelista"/>
        <w:widowControl w:val="0"/>
        <w:tabs>
          <w:tab w:val="left" w:pos="426"/>
        </w:tabs>
        <w:autoSpaceDE w:val="0"/>
        <w:autoSpaceDN w:val="0"/>
        <w:adjustRightInd w:val="0"/>
        <w:ind w:left="0"/>
        <w:jc w:val="both"/>
        <w:rPr>
          <w:sz w:val="28"/>
          <w:szCs w:val="28"/>
        </w:rPr>
      </w:pPr>
    </w:p>
    <w:p w14:paraId="1C2CFF98" w14:textId="0D3413D2" w:rsidR="0092000D" w:rsidRPr="00643DCF" w:rsidRDefault="00E850A5" w:rsidP="00B14E08">
      <w:pPr>
        <w:widowControl w:val="0"/>
        <w:numPr>
          <w:ilvl w:val="0"/>
          <w:numId w:val="3"/>
        </w:numPr>
        <w:tabs>
          <w:tab w:val="left" w:pos="426"/>
        </w:tabs>
        <w:autoSpaceDE w:val="0"/>
        <w:autoSpaceDN w:val="0"/>
        <w:adjustRightInd w:val="0"/>
        <w:ind w:left="0" w:firstLine="0"/>
        <w:jc w:val="both"/>
        <w:rPr>
          <w:sz w:val="28"/>
          <w:szCs w:val="28"/>
        </w:rPr>
      </w:pPr>
      <w:r w:rsidRPr="00643DCF">
        <w:rPr>
          <w:sz w:val="28"/>
          <w:szCs w:val="28"/>
        </w:rPr>
        <w:t>El 11 de junio de 2014</w:t>
      </w:r>
      <w:r w:rsidR="008A3B4C" w:rsidRPr="00643DCF">
        <w:rPr>
          <w:sz w:val="28"/>
          <w:szCs w:val="28"/>
        </w:rPr>
        <w:t>,</w:t>
      </w:r>
      <w:r w:rsidRPr="00643DCF">
        <w:rPr>
          <w:rStyle w:val="Refdenotaalpie"/>
          <w:sz w:val="28"/>
          <w:szCs w:val="28"/>
        </w:rPr>
        <w:footnoteReference w:id="50"/>
      </w:r>
      <w:r w:rsidR="00916402" w:rsidRPr="00643DCF">
        <w:rPr>
          <w:sz w:val="28"/>
          <w:szCs w:val="28"/>
        </w:rPr>
        <w:t xml:space="preserve"> la Defensoría del Pueblo radicó</w:t>
      </w:r>
      <w:r w:rsidRPr="00643DCF">
        <w:rPr>
          <w:sz w:val="28"/>
          <w:szCs w:val="28"/>
        </w:rPr>
        <w:t xml:space="preserve"> el sexto </w:t>
      </w:r>
      <w:r w:rsidR="008D43C8" w:rsidRPr="00643DCF">
        <w:rPr>
          <w:sz w:val="28"/>
          <w:szCs w:val="28"/>
        </w:rPr>
        <w:t xml:space="preserve">reporte </w:t>
      </w:r>
      <w:r w:rsidRPr="00643DCF">
        <w:rPr>
          <w:sz w:val="28"/>
          <w:szCs w:val="28"/>
        </w:rPr>
        <w:t>de seguimiento</w:t>
      </w:r>
      <w:r w:rsidR="00CE057E" w:rsidRPr="00643DCF">
        <w:rPr>
          <w:sz w:val="28"/>
          <w:szCs w:val="28"/>
        </w:rPr>
        <w:t xml:space="preserve"> </w:t>
      </w:r>
      <w:r w:rsidRPr="00643DCF">
        <w:rPr>
          <w:sz w:val="28"/>
          <w:szCs w:val="28"/>
        </w:rPr>
        <w:t>en el</w:t>
      </w:r>
      <w:r w:rsidR="00CE057E" w:rsidRPr="00643DCF">
        <w:rPr>
          <w:sz w:val="28"/>
          <w:szCs w:val="28"/>
        </w:rPr>
        <w:t xml:space="preserve"> cual</w:t>
      </w:r>
      <w:r w:rsidR="002D293F" w:rsidRPr="00643DCF">
        <w:rPr>
          <w:sz w:val="28"/>
          <w:szCs w:val="28"/>
        </w:rPr>
        <w:t xml:space="preserve"> </w:t>
      </w:r>
      <w:r w:rsidRPr="00643DCF">
        <w:rPr>
          <w:sz w:val="28"/>
          <w:szCs w:val="28"/>
        </w:rPr>
        <w:t xml:space="preserve">reiteró que </w:t>
      </w:r>
      <w:r w:rsidR="00FD041A" w:rsidRPr="00643DCF">
        <w:rPr>
          <w:sz w:val="28"/>
          <w:szCs w:val="28"/>
        </w:rPr>
        <w:t xml:space="preserve">acorde con </w:t>
      </w:r>
      <w:r w:rsidR="009B2B31" w:rsidRPr="00643DCF">
        <w:rPr>
          <w:sz w:val="28"/>
          <w:szCs w:val="28"/>
        </w:rPr>
        <w:t xml:space="preserve">la </w:t>
      </w:r>
      <w:r w:rsidR="00985637" w:rsidRPr="00643DCF">
        <w:rPr>
          <w:sz w:val="28"/>
          <w:szCs w:val="28"/>
        </w:rPr>
        <w:t>obligatoriedad</w:t>
      </w:r>
      <w:r w:rsidR="00544118" w:rsidRPr="00643DCF">
        <w:rPr>
          <w:sz w:val="28"/>
          <w:szCs w:val="28"/>
        </w:rPr>
        <w:t xml:space="preserve"> </w:t>
      </w:r>
      <w:r w:rsidR="00FD041A" w:rsidRPr="00643DCF">
        <w:rPr>
          <w:sz w:val="28"/>
          <w:szCs w:val="28"/>
        </w:rPr>
        <w:t>de</w:t>
      </w:r>
      <w:r w:rsidR="00544118" w:rsidRPr="00643DCF">
        <w:rPr>
          <w:sz w:val="28"/>
          <w:szCs w:val="28"/>
        </w:rPr>
        <w:t xml:space="preserve"> la orden</w:t>
      </w:r>
      <w:r w:rsidR="008A3B4C" w:rsidRPr="00643DCF">
        <w:rPr>
          <w:sz w:val="28"/>
          <w:szCs w:val="28"/>
        </w:rPr>
        <w:t>,</w:t>
      </w:r>
      <w:r w:rsidR="00544118" w:rsidRPr="00643DCF">
        <w:rPr>
          <w:sz w:val="28"/>
          <w:szCs w:val="28"/>
        </w:rPr>
        <w:t xml:space="preserve"> </w:t>
      </w:r>
      <w:r w:rsidRPr="00643DCF">
        <w:rPr>
          <w:sz w:val="28"/>
          <w:szCs w:val="28"/>
        </w:rPr>
        <w:t>el Co</w:t>
      </w:r>
      <w:r w:rsidR="00BA7A3E" w:rsidRPr="00643DCF">
        <w:rPr>
          <w:sz w:val="28"/>
          <w:szCs w:val="28"/>
        </w:rPr>
        <w:t xml:space="preserve">nsejo </w:t>
      </w:r>
      <w:r w:rsidR="00293A7E" w:rsidRPr="00643DCF">
        <w:rPr>
          <w:sz w:val="28"/>
          <w:szCs w:val="28"/>
        </w:rPr>
        <w:t>debería</w:t>
      </w:r>
      <w:r w:rsidR="00544118" w:rsidRPr="00643DCF">
        <w:rPr>
          <w:sz w:val="28"/>
          <w:szCs w:val="28"/>
        </w:rPr>
        <w:t xml:space="preserve"> “</w:t>
      </w:r>
      <w:r w:rsidR="00544118" w:rsidRPr="00643DCF">
        <w:rPr>
          <w:i/>
          <w:sz w:val="28"/>
          <w:szCs w:val="28"/>
        </w:rPr>
        <w:t>consolidar el informe alrededor de la</w:t>
      </w:r>
      <w:r w:rsidR="00293A7E" w:rsidRPr="00643DCF">
        <w:rPr>
          <w:i/>
          <w:sz w:val="28"/>
          <w:szCs w:val="28"/>
        </w:rPr>
        <w:t>s</w:t>
      </w:r>
      <w:r w:rsidR="00544118" w:rsidRPr="00643DCF">
        <w:rPr>
          <w:i/>
          <w:sz w:val="28"/>
          <w:szCs w:val="28"/>
        </w:rPr>
        <w:t xml:space="preserve"> preguntas que deben contestarse para la Corte</w:t>
      </w:r>
      <w:r w:rsidR="00916402" w:rsidRPr="00643DCF">
        <w:rPr>
          <w:sz w:val="28"/>
          <w:szCs w:val="28"/>
        </w:rPr>
        <w:t>”</w:t>
      </w:r>
      <w:r w:rsidR="008A3B4C" w:rsidRPr="00643DCF">
        <w:rPr>
          <w:sz w:val="28"/>
          <w:szCs w:val="28"/>
        </w:rPr>
        <w:t>.</w:t>
      </w:r>
      <w:r w:rsidR="00544118" w:rsidRPr="00643DCF">
        <w:rPr>
          <w:rStyle w:val="Refdenotaalpie"/>
          <w:i/>
          <w:sz w:val="28"/>
          <w:szCs w:val="28"/>
        </w:rPr>
        <w:footnoteReference w:id="51"/>
      </w:r>
      <w:r w:rsidR="00544118" w:rsidRPr="00643DCF">
        <w:rPr>
          <w:sz w:val="28"/>
          <w:szCs w:val="28"/>
        </w:rPr>
        <w:t xml:space="preserve"> </w:t>
      </w:r>
      <w:r w:rsidR="002B342D" w:rsidRPr="00643DCF">
        <w:rPr>
          <w:sz w:val="28"/>
          <w:szCs w:val="28"/>
        </w:rPr>
        <w:t>D</w:t>
      </w:r>
      <w:r w:rsidR="00157824" w:rsidRPr="00643DCF">
        <w:rPr>
          <w:sz w:val="28"/>
          <w:szCs w:val="28"/>
        </w:rPr>
        <w:t xml:space="preserve">entro de </w:t>
      </w:r>
      <w:r w:rsidR="00870F3E" w:rsidRPr="00643DCF">
        <w:rPr>
          <w:sz w:val="28"/>
          <w:szCs w:val="28"/>
        </w:rPr>
        <w:t>los mencionados</w:t>
      </w:r>
      <w:r w:rsidR="00157824" w:rsidRPr="00643DCF">
        <w:rPr>
          <w:sz w:val="28"/>
          <w:szCs w:val="28"/>
        </w:rPr>
        <w:t xml:space="preserve"> parámetros </w:t>
      </w:r>
      <w:r w:rsidR="00293A7E" w:rsidRPr="00643DCF">
        <w:rPr>
          <w:sz w:val="28"/>
          <w:szCs w:val="28"/>
        </w:rPr>
        <w:t>tendrían que</w:t>
      </w:r>
      <w:r w:rsidR="00157824" w:rsidRPr="00643DCF">
        <w:rPr>
          <w:sz w:val="28"/>
          <w:szCs w:val="28"/>
        </w:rPr>
        <w:t xml:space="preserve"> establecer “</w:t>
      </w:r>
      <w:r w:rsidR="00157824" w:rsidRPr="00643DCF">
        <w:rPr>
          <w:i/>
          <w:sz w:val="28"/>
          <w:szCs w:val="28"/>
        </w:rPr>
        <w:t xml:space="preserve">i. Metas y plazos, ii. Avances y evidencias, iii. Métodos y </w:t>
      </w:r>
      <w:r w:rsidR="00843F8C" w:rsidRPr="00643DCF">
        <w:rPr>
          <w:i/>
          <w:sz w:val="28"/>
          <w:szCs w:val="28"/>
        </w:rPr>
        <w:t>r</w:t>
      </w:r>
      <w:r w:rsidR="00157824" w:rsidRPr="00643DCF">
        <w:rPr>
          <w:i/>
          <w:sz w:val="28"/>
          <w:szCs w:val="28"/>
        </w:rPr>
        <w:t>eportes</w:t>
      </w:r>
      <w:r w:rsidR="00994371" w:rsidRPr="00643DCF">
        <w:rPr>
          <w:i/>
          <w:sz w:val="28"/>
          <w:szCs w:val="28"/>
        </w:rPr>
        <w:t xml:space="preserve"> (sic)</w:t>
      </w:r>
      <w:r w:rsidR="00157824" w:rsidRPr="00643DCF">
        <w:rPr>
          <w:i/>
          <w:sz w:val="28"/>
          <w:szCs w:val="28"/>
        </w:rPr>
        <w:t>, iv. Dependencias y responsables, v. Identificación del problema, vi. Respuestas que se han adoptado, vii. Valoración del progreso y viii. Principales dificultades que persisten y sus causas”</w:t>
      </w:r>
      <w:r w:rsidR="00157824" w:rsidRPr="00643DCF">
        <w:rPr>
          <w:rStyle w:val="Refdenotaalpie"/>
          <w:i/>
          <w:sz w:val="28"/>
          <w:szCs w:val="28"/>
        </w:rPr>
        <w:footnoteReference w:id="52"/>
      </w:r>
      <w:r w:rsidR="00CE057E" w:rsidRPr="00643DCF">
        <w:rPr>
          <w:sz w:val="28"/>
          <w:szCs w:val="28"/>
        </w:rPr>
        <w:t>. E</w:t>
      </w:r>
      <w:r w:rsidR="002D293F" w:rsidRPr="00643DCF">
        <w:rPr>
          <w:sz w:val="28"/>
          <w:szCs w:val="28"/>
        </w:rPr>
        <w:t>nfatizó</w:t>
      </w:r>
      <w:r w:rsidR="00CE057E" w:rsidRPr="00643DCF">
        <w:rPr>
          <w:sz w:val="28"/>
          <w:szCs w:val="28"/>
        </w:rPr>
        <w:t xml:space="preserve"> </w:t>
      </w:r>
      <w:r w:rsidR="00C6039A" w:rsidRPr="00643DCF">
        <w:rPr>
          <w:sz w:val="28"/>
          <w:szCs w:val="28"/>
        </w:rPr>
        <w:t>que el cumplimient</w:t>
      </w:r>
      <w:r w:rsidR="00916402" w:rsidRPr="00643DCF">
        <w:rPr>
          <w:sz w:val="28"/>
          <w:szCs w:val="28"/>
        </w:rPr>
        <w:t>o se ha</w:t>
      </w:r>
      <w:r w:rsidR="00324951" w:rsidRPr="00643DCF">
        <w:rPr>
          <w:sz w:val="28"/>
          <w:szCs w:val="28"/>
        </w:rPr>
        <w:t>bía</w:t>
      </w:r>
      <w:r w:rsidR="00916402" w:rsidRPr="00643DCF">
        <w:rPr>
          <w:sz w:val="28"/>
          <w:szCs w:val="28"/>
        </w:rPr>
        <w:t xml:space="preserve"> reducido a publicar </w:t>
      </w:r>
      <w:r w:rsidR="00A434DE" w:rsidRPr="00643DCF">
        <w:rPr>
          <w:sz w:val="28"/>
          <w:szCs w:val="28"/>
        </w:rPr>
        <w:t>la sentencia</w:t>
      </w:r>
      <w:r w:rsidR="00C6039A" w:rsidRPr="00643DCF">
        <w:rPr>
          <w:sz w:val="28"/>
          <w:szCs w:val="28"/>
        </w:rPr>
        <w:t xml:space="preserve"> T-</w:t>
      </w:r>
      <w:r w:rsidR="00F40592" w:rsidRPr="00643DCF">
        <w:rPr>
          <w:sz w:val="28"/>
          <w:szCs w:val="28"/>
        </w:rPr>
        <w:t xml:space="preserve">760 de 2008 en la página </w:t>
      </w:r>
      <w:r w:rsidR="006C6B21" w:rsidRPr="00643DCF">
        <w:rPr>
          <w:sz w:val="28"/>
          <w:szCs w:val="28"/>
        </w:rPr>
        <w:t>web</w:t>
      </w:r>
      <w:r w:rsidR="00F40592" w:rsidRPr="00643DCF">
        <w:rPr>
          <w:sz w:val="28"/>
          <w:szCs w:val="28"/>
        </w:rPr>
        <w:t xml:space="preserve"> de</w:t>
      </w:r>
      <w:r w:rsidR="00C6039A" w:rsidRPr="00643DCF">
        <w:rPr>
          <w:sz w:val="28"/>
          <w:szCs w:val="28"/>
        </w:rPr>
        <w:t xml:space="preserve">l </w:t>
      </w:r>
      <w:r w:rsidR="00F40592" w:rsidRPr="00643DCF">
        <w:rPr>
          <w:sz w:val="28"/>
          <w:szCs w:val="28"/>
        </w:rPr>
        <w:t>C</w:t>
      </w:r>
      <w:r w:rsidR="00226396" w:rsidRPr="00643DCF">
        <w:rPr>
          <w:sz w:val="28"/>
          <w:szCs w:val="28"/>
        </w:rPr>
        <w:t xml:space="preserve">onsejo </w:t>
      </w:r>
      <w:r w:rsidR="00C6039A" w:rsidRPr="00643DCF">
        <w:rPr>
          <w:sz w:val="28"/>
          <w:szCs w:val="28"/>
        </w:rPr>
        <w:t>y a la difusión de temas académicos por medios virtuales</w:t>
      </w:r>
      <w:r w:rsidR="008A3B4C" w:rsidRPr="00643DCF">
        <w:rPr>
          <w:sz w:val="28"/>
          <w:szCs w:val="28"/>
        </w:rPr>
        <w:t>,</w:t>
      </w:r>
      <w:r w:rsidR="00C6039A" w:rsidRPr="00643DCF">
        <w:rPr>
          <w:sz w:val="28"/>
          <w:szCs w:val="28"/>
        </w:rPr>
        <w:t xml:space="preserve"> de acuerdo a lo </w:t>
      </w:r>
      <w:r w:rsidR="00A34CC1" w:rsidRPr="00643DCF">
        <w:rPr>
          <w:sz w:val="28"/>
          <w:szCs w:val="28"/>
        </w:rPr>
        <w:t xml:space="preserve">comunicado </w:t>
      </w:r>
      <w:r w:rsidR="00C6039A" w:rsidRPr="00643DCF">
        <w:rPr>
          <w:sz w:val="28"/>
          <w:szCs w:val="28"/>
        </w:rPr>
        <w:t>por el C</w:t>
      </w:r>
      <w:r w:rsidR="00F40592" w:rsidRPr="00643DCF">
        <w:rPr>
          <w:sz w:val="28"/>
          <w:szCs w:val="28"/>
        </w:rPr>
        <w:t>endoj.</w:t>
      </w:r>
      <w:r w:rsidR="002D293F" w:rsidRPr="00643DCF">
        <w:rPr>
          <w:sz w:val="28"/>
          <w:szCs w:val="28"/>
        </w:rPr>
        <w:t xml:space="preserve"> </w:t>
      </w:r>
      <w:r w:rsidR="00324951" w:rsidRPr="00643DCF">
        <w:rPr>
          <w:sz w:val="28"/>
          <w:szCs w:val="28"/>
        </w:rPr>
        <w:t xml:space="preserve">En lo </w:t>
      </w:r>
      <w:r w:rsidR="00985637" w:rsidRPr="00643DCF">
        <w:rPr>
          <w:sz w:val="28"/>
          <w:szCs w:val="28"/>
        </w:rPr>
        <w:t>concerniente</w:t>
      </w:r>
      <w:r w:rsidR="00293A7E" w:rsidRPr="00643DCF">
        <w:rPr>
          <w:sz w:val="28"/>
          <w:szCs w:val="28"/>
        </w:rPr>
        <w:t xml:space="preserve"> </w:t>
      </w:r>
      <w:r w:rsidR="00324951" w:rsidRPr="00643DCF">
        <w:rPr>
          <w:sz w:val="28"/>
          <w:szCs w:val="28"/>
        </w:rPr>
        <w:t>con</w:t>
      </w:r>
      <w:r w:rsidR="00293A7E" w:rsidRPr="00643DCF">
        <w:rPr>
          <w:sz w:val="28"/>
          <w:szCs w:val="28"/>
        </w:rPr>
        <w:t xml:space="preserve"> </w:t>
      </w:r>
      <w:r w:rsidR="002D293F" w:rsidRPr="00643DCF">
        <w:rPr>
          <w:sz w:val="28"/>
          <w:szCs w:val="28"/>
        </w:rPr>
        <w:t xml:space="preserve">la </w:t>
      </w:r>
      <w:r w:rsidR="00E34A58" w:rsidRPr="00643DCF">
        <w:rPr>
          <w:sz w:val="28"/>
          <w:szCs w:val="28"/>
        </w:rPr>
        <w:t xml:space="preserve"> </w:t>
      </w:r>
      <w:r w:rsidR="00BE225C" w:rsidRPr="00643DCF">
        <w:rPr>
          <w:sz w:val="28"/>
          <w:szCs w:val="28"/>
        </w:rPr>
        <w:t xml:space="preserve">Escuela </w:t>
      </w:r>
      <w:r w:rsidR="00E6051B" w:rsidRPr="00643DCF">
        <w:rPr>
          <w:sz w:val="28"/>
          <w:szCs w:val="28"/>
        </w:rPr>
        <w:t>J</w:t>
      </w:r>
      <w:r w:rsidR="00BE225C" w:rsidRPr="00643DCF">
        <w:rPr>
          <w:sz w:val="28"/>
          <w:szCs w:val="28"/>
        </w:rPr>
        <w:t>udicial</w:t>
      </w:r>
      <w:r w:rsidR="002D293F" w:rsidRPr="00643DCF">
        <w:rPr>
          <w:sz w:val="28"/>
          <w:szCs w:val="28"/>
        </w:rPr>
        <w:t xml:space="preserve"> </w:t>
      </w:r>
      <w:r w:rsidR="00A34CC1" w:rsidRPr="00643DCF">
        <w:rPr>
          <w:sz w:val="28"/>
          <w:szCs w:val="28"/>
        </w:rPr>
        <w:t xml:space="preserve">indicó </w:t>
      </w:r>
      <w:r w:rsidR="00E34A58" w:rsidRPr="00643DCF">
        <w:rPr>
          <w:sz w:val="28"/>
          <w:szCs w:val="28"/>
        </w:rPr>
        <w:t>que</w:t>
      </w:r>
      <w:r w:rsidR="00C6039A" w:rsidRPr="00643DCF">
        <w:rPr>
          <w:sz w:val="28"/>
          <w:szCs w:val="28"/>
        </w:rPr>
        <w:t xml:space="preserve"> </w:t>
      </w:r>
      <w:r w:rsidR="0092000D" w:rsidRPr="00643DCF">
        <w:rPr>
          <w:sz w:val="28"/>
          <w:szCs w:val="28"/>
        </w:rPr>
        <w:t>adelanta</w:t>
      </w:r>
      <w:r w:rsidR="00E34A58" w:rsidRPr="00643DCF">
        <w:rPr>
          <w:sz w:val="28"/>
          <w:szCs w:val="28"/>
        </w:rPr>
        <w:t xml:space="preserve">ron </w:t>
      </w:r>
      <w:r w:rsidR="0092000D" w:rsidRPr="00643DCF">
        <w:rPr>
          <w:sz w:val="28"/>
          <w:szCs w:val="28"/>
        </w:rPr>
        <w:t>conversatorios r</w:t>
      </w:r>
      <w:r w:rsidR="00C6039A" w:rsidRPr="00643DCF">
        <w:rPr>
          <w:sz w:val="28"/>
          <w:szCs w:val="28"/>
        </w:rPr>
        <w:t xml:space="preserve">egionales </w:t>
      </w:r>
      <w:r w:rsidR="0092000D" w:rsidRPr="00643DCF">
        <w:rPr>
          <w:sz w:val="28"/>
          <w:szCs w:val="28"/>
        </w:rPr>
        <w:t xml:space="preserve">sobre </w:t>
      </w:r>
      <w:r w:rsidR="00916402" w:rsidRPr="00643DCF">
        <w:rPr>
          <w:sz w:val="28"/>
          <w:szCs w:val="28"/>
        </w:rPr>
        <w:t xml:space="preserve">el derecho a la salud y </w:t>
      </w:r>
      <w:r w:rsidR="00E34A58" w:rsidRPr="00643DCF">
        <w:rPr>
          <w:sz w:val="28"/>
          <w:szCs w:val="28"/>
        </w:rPr>
        <w:t>la sentencia estructural</w:t>
      </w:r>
      <w:r w:rsidR="00DF3851" w:rsidRPr="00643DCF">
        <w:rPr>
          <w:sz w:val="28"/>
          <w:szCs w:val="28"/>
        </w:rPr>
        <w:t xml:space="preserve">, considerando que se </w:t>
      </w:r>
      <w:r w:rsidR="003F6122" w:rsidRPr="00643DCF">
        <w:rPr>
          <w:sz w:val="28"/>
          <w:szCs w:val="28"/>
        </w:rPr>
        <w:t xml:space="preserve">estaba </w:t>
      </w:r>
      <w:r w:rsidR="00DF3851" w:rsidRPr="00643DCF">
        <w:rPr>
          <w:sz w:val="28"/>
          <w:szCs w:val="28"/>
        </w:rPr>
        <w:t xml:space="preserve">dando </w:t>
      </w:r>
      <w:r w:rsidR="003F6122" w:rsidRPr="00643DCF">
        <w:rPr>
          <w:sz w:val="28"/>
          <w:szCs w:val="28"/>
        </w:rPr>
        <w:t xml:space="preserve">cumplimiento </w:t>
      </w:r>
      <w:r w:rsidR="00DF3851" w:rsidRPr="00643DCF">
        <w:rPr>
          <w:sz w:val="28"/>
          <w:szCs w:val="28"/>
        </w:rPr>
        <w:t>al mandato</w:t>
      </w:r>
      <w:r w:rsidR="00E34A58" w:rsidRPr="00643DCF">
        <w:rPr>
          <w:sz w:val="28"/>
          <w:szCs w:val="28"/>
        </w:rPr>
        <w:t xml:space="preserve">. </w:t>
      </w:r>
    </w:p>
    <w:p w14:paraId="055620B2" w14:textId="77777777" w:rsidR="0092000D" w:rsidRPr="00643DCF" w:rsidRDefault="0092000D" w:rsidP="0092000D">
      <w:pPr>
        <w:widowControl w:val="0"/>
        <w:tabs>
          <w:tab w:val="left" w:pos="426"/>
        </w:tabs>
        <w:autoSpaceDE w:val="0"/>
        <w:autoSpaceDN w:val="0"/>
        <w:adjustRightInd w:val="0"/>
        <w:jc w:val="both"/>
        <w:rPr>
          <w:sz w:val="28"/>
          <w:szCs w:val="28"/>
        </w:rPr>
      </w:pPr>
    </w:p>
    <w:p w14:paraId="54310229" w14:textId="7982F54F" w:rsidR="0092000D" w:rsidRPr="00643DCF" w:rsidRDefault="0092000D" w:rsidP="0092000D">
      <w:pPr>
        <w:widowControl w:val="0"/>
        <w:tabs>
          <w:tab w:val="left" w:pos="426"/>
        </w:tabs>
        <w:autoSpaceDE w:val="0"/>
        <w:autoSpaceDN w:val="0"/>
        <w:adjustRightInd w:val="0"/>
        <w:jc w:val="both"/>
        <w:rPr>
          <w:sz w:val="28"/>
          <w:szCs w:val="28"/>
        </w:rPr>
      </w:pPr>
      <w:r w:rsidRPr="00643DCF">
        <w:rPr>
          <w:sz w:val="28"/>
          <w:szCs w:val="28"/>
        </w:rPr>
        <w:lastRenderedPageBreak/>
        <w:t>Por lo anterior</w:t>
      </w:r>
      <w:r w:rsidR="00916402" w:rsidRPr="00643DCF">
        <w:rPr>
          <w:sz w:val="28"/>
          <w:szCs w:val="28"/>
        </w:rPr>
        <w:t>,</w:t>
      </w:r>
      <w:r w:rsidRPr="00643DCF">
        <w:rPr>
          <w:sz w:val="28"/>
          <w:szCs w:val="28"/>
        </w:rPr>
        <w:t xml:space="preserve"> la Defensoría sugirió crear una coordinación técnica para </w:t>
      </w:r>
      <w:r w:rsidR="00293A7E" w:rsidRPr="00643DCF">
        <w:rPr>
          <w:sz w:val="28"/>
          <w:szCs w:val="28"/>
        </w:rPr>
        <w:t>adelantar</w:t>
      </w:r>
      <w:r w:rsidRPr="00643DCF">
        <w:rPr>
          <w:sz w:val="28"/>
          <w:szCs w:val="28"/>
        </w:rPr>
        <w:t xml:space="preserve"> los diagnósticos del caso y </w:t>
      </w:r>
      <w:r w:rsidR="00870F3E" w:rsidRPr="00643DCF">
        <w:rPr>
          <w:sz w:val="28"/>
          <w:szCs w:val="28"/>
        </w:rPr>
        <w:t>tomar</w:t>
      </w:r>
      <w:r w:rsidRPr="00643DCF">
        <w:rPr>
          <w:sz w:val="28"/>
          <w:szCs w:val="28"/>
        </w:rPr>
        <w:t xml:space="preserve"> medidas armónicas que le permitieran a la Sala Administrativa del CSJ divulgar la </w:t>
      </w:r>
      <w:r w:rsidR="00916402" w:rsidRPr="00643DCF">
        <w:rPr>
          <w:sz w:val="28"/>
          <w:szCs w:val="28"/>
        </w:rPr>
        <w:t xml:space="preserve">información </w:t>
      </w:r>
      <w:r w:rsidR="00985637" w:rsidRPr="00643DCF">
        <w:rPr>
          <w:sz w:val="28"/>
          <w:szCs w:val="28"/>
        </w:rPr>
        <w:t xml:space="preserve">de </w:t>
      </w:r>
      <w:r w:rsidR="00916402" w:rsidRPr="00643DCF">
        <w:rPr>
          <w:sz w:val="28"/>
          <w:szCs w:val="28"/>
        </w:rPr>
        <w:t xml:space="preserve">la </w:t>
      </w:r>
      <w:r w:rsidR="00D97E1B" w:rsidRPr="00643DCF">
        <w:rPr>
          <w:sz w:val="28"/>
          <w:szCs w:val="28"/>
        </w:rPr>
        <w:t>s</w:t>
      </w:r>
      <w:r w:rsidR="00916402" w:rsidRPr="00643DCF">
        <w:rPr>
          <w:sz w:val="28"/>
          <w:szCs w:val="28"/>
        </w:rPr>
        <w:t>entencia</w:t>
      </w:r>
      <w:r w:rsidRPr="00643DCF">
        <w:rPr>
          <w:sz w:val="28"/>
          <w:szCs w:val="28"/>
        </w:rPr>
        <w:t xml:space="preserve"> </w:t>
      </w:r>
      <w:r w:rsidR="008A3B4C" w:rsidRPr="00643DCF">
        <w:rPr>
          <w:sz w:val="28"/>
          <w:szCs w:val="28"/>
        </w:rPr>
        <w:t>T-760 de 2008</w:t>
      </w:r>
      <w:r w:rsidRPr="00643DCF">
        <w:rPr>
          <w:sz w:val="28"/>
          <w:szCs w:val="28"/>
        </w:rPr>
        <w:t xml:space="preserve"> entre los funcionarios de la Rama Judicial</w:t>
      </w:r>
      <w:r w:rsidR="00FB09F5" w:rsidRPr="00643DCF">
        <w:rPr>
          <w:sz w:val="28"/>
          <w:szCs w:val="28"/>
        </w:rPr>
        <w:t>.</w:t>
      </w:r>
    </w:p>
    <w:p w14:paraId="772CD341" w14:textId="77777777" w:rsidR="0092000D" w:rsidRPr="00643DCF" w:rsidRDefault="0092000D" w:rsidP="00F40592">
      <w:pPr>
        <w:widowControl w:val="0"/>
        <w:tabs>
          <w:tab w:val="left" w:pos="426"/>
        </w:tabs>
        <w:autoSpaceDE w:val="0"/>
        <w:autoSpaceDN w:val="0"/>
        <w:adjustRightInd w:val="0"/>
        <w:jc w:val="both"/>
        <w:rPr>
          <w:sz w:val="28"/>
          <w:szCs w:val="28"/>
        </w:rPr>
      </w:pPr>
    </w:p>
    <w:p w14:paraId="4F6F5CF9" w14:textId="05CD8853" w:rsidR="00FF4327" w:rsidRPr="00643DCF" w:rsidRDefault="00F40592" w:rsidP="00FD38ED">
      <w:pPr>
        <w:widowControl w:val="0"/>
        <w:numPr>
          <w:ilvl w:val="0"/>
          <w:numId w:val="3"/>
        </w:numPr>
        <w:tabs>
          <w:tab w:val="left" w:pos="426"/>
        </w:tabs>
        <w:autoSpaceDE w:val="0"/>
        <w:autoSpaceDN w:val="0"/>
        <w:adjustRightInd w:val="0"/>
        <w:ind w:left="0" w:firstLine="0"/>
        <w:jc w:val="both"/>
        <w:rPr>
          <w:sz w:val="28"/>
          <w:szCs w:val="28"/>
        </w:rPr>
      </w:pPr>
      <w:r w:rsidRPr="00643DCF">
        <w:rPr>
          <w:sz w:val="28"/>
          <w:szCs w:val="28"/>
        </w:rPr>
        <w:t xml:space="preserve"> </w:t>
      </w:r>
      <w:r w:rsidR="0092000D" w:rsidRPr="00643DCF">
        <w:rPr>
          <w:sz w:val="28"/>
          <w:szCs w:val="28"/>
        </w:rPr>
        <w:t>El 26 de junio de 2014</w:t>
      </w:r>
      <w:r w:rsidR="00870F3E" w:rsidRPr="00643DCF">
        <w:rPr>
          <w:rStyle w:val="Refdenotaalpie"/>
          <w:sz w:val="28"/>
          <w:szCs w:val="28"/>
        </w:rPr>
        <w:footnoteReference w:id="53"/>
      </w:r>
      <w:r w:rsidR="004E2820" w:rsidRPr="00643DCF">
        <w:rPr>
          <w:sz w:val="28"/>
          <w:szCs w:val="28"/>
        </w:rPr>
        <w:t xml:space="preserve">, el Presidente de la Sala </w:t>
      </w:r>
      <w:r w:rsidR="0092000D" w:rsidRPr="00643DCF">
        <w:rPr>
          <w:sz w:val="28"/>
          <w:szCs w:val="28"/>
        </w:rPr>
        <w:t xml:space="preserve">Administrativa del Consejo Superior de la Judicatura radicó informe </w:t>
      </w:r>
      <w:r w:rsidR="004E2820" w:rsidRPr="00643DCF">
        <w:rPr>
          <w:sz w:val="28"/>
          <w:szCs w:val="28"/>
        </w:rPr>
        <w:t xml:space="preserve">del tercer bimestre </w:t>
      </w:r>
      <w:r w:rsidR="0092000D" w:rsidRPr="00643DCF">
        <w:rPr>
          <w:sz w:val="28"/>
          <w:szCs w:val="28"/>
        </w:rPr>
        <w:t xml:space="preserve">de </w:t>
      </w:r>
      <w:r w:rsidRPr="00643DCF">
        <w:rPr>
          <w:sz w:val="28"/>
          <w:szCs w:val="28"/>
        </w:rPr>
        <w:t>ese año</w:t>
      </w:r>
      <w:r w:rsidR="008600BB" w:rsidRPr="00643DCF">
        <w:rPr>
          <w:sz w:val="28"/>
          <w:szCs w:val="28"/>
        </w:rPr>
        <w:t>.</w:t>
      </w:r>
      <w:r w:rsidR="00CE19AB" w:rsidRPr="00643DCF">
        <w:rPr>
          <w:sz w:val="28"/>
          <w:szCs w:val="28"/>
        </w:rPr>
        <w:t xml:space="preserve"> En </w:t>
      </w:r>
      <w:r w:rsidR="00C87B0C" w:rsidRPr="00643DCF">
        <w:rPr>
          <w:sz w:val="28"/>
          <w:szCs w:val="28"/>
        </w:rPr>
        <w:t>es</w:t>
      </w:r>
      <w:r w:rsidR="002D293F" w:rsidRPr="00643DCF">
        <w:rPr>
          <w:sz w:val="28"/>
          <w:szCs w:val="28"/>
        </w:rPr>
        <w:t>a oportunidad</w:t>
      </w:r>
      <w:r w:rsidR="008A3B4C" w:rsidRPr="00643DCF">
        <w:rPr>
          <w:sz w:val="28"/>
          <w:szCs w:val="28"/>
        </w:rPr>
        <w:t>,</w:t>
      </w:r>
      <w:r w:rsidR="00CE19AB" w:rsidRPr="00643DCF">
        <w:rPr>
          <w:sz w:val="28"/>
          <w:szCs w:val="28"/>
        </w:rPr>
        <w:t xml:space="preserve"> </w:t>
      </w:r>
      <w:r w:rsidR="00B353B2" w:rsidRPr="00643DCF">
        <w:rPr>
          <w:sz w:val="28"/>
          <w:szCs w:val="28"/>
        </w:rPr>
        <w:t xml:space="preserve">manifestó que </w:t>
      </w:r>
      <w:r w:rsidR="008A3B4C" w:rsidRPr="00643DCF">
        <w:rPr>
          <w:sz w:val="28"/>
          <w:szCs w:val="28"/>
        </w:rPr>
        <w:t>el</w:t>
      </w:r>
      <w:r w:rsidR="00B353B2" w:rsidRPr="00643DCF">
        <w:rPr>
          <w:sz w:val="28"/>
          <w:szCs w:val="28"/>
        </w:rPr>
        <w:t xml:space="preserve"> documento constaba de dos partes, </w:t>
      </w:r>
      <w:r w:rsidR="0014186D" w:rsidRPr="00643DCF">
        <w:rPr>
          <w:sz w:val="28"/>
          <w:szCs w:val="28"/>
        </w:rPr>
        <w:t xml:space="preserve">en </w:t>
      </w:r>
      <w:r w:rsidR="00B353B2" w:rsidRPr="00643DCF">
        <w:rPr>
          <w:sz w:val="28"/>
          <w:szCs w:val="28"/>
        </w:rPr>
        <w:t>la primera de ella</w:t>
      </w:r>
      <w:r w:rsidR="00BC7959" w:rsidRPr="00643DCF">
        <w:rPr>
          <w:sz w:val="28"/>
          <w:szCs w:val="28"/>
        </w:rPr>
        <w:t>s</w:t>
      </w:r>
      <w:r w:rsidR="00B353B2" w:rsidRPr="00643DCF">
        <w:rPr>
          <w:sz w:val="28"/>
          <w:szCs w:val="28"/>
        </w:rPr>
        <w:t xml:space="preserve"> proponía un plan de acción</w:t>
      </w:r>
      <w:r w:rsidR="00E34A58" w:rsidRPr="00643DCF">
        <w:rPr>
          <w:sz w:val="28"/>
          <w:szCs w:val="28"/>
        </w:rPr>
        <w:t xml:space="preserve"> </w:t>
      </w:r>
      <w:r w:rsidR="00324951" w:rsidRPr="00643DCF">
        <w:rPr>
          <w:sz w:val="28"/>
          <w:szCs w:val="28"/>
        </w:rPr>
        <w:t>por medio</w:t>
      </w:r>
      <w:r w:rsidR="00B353B2" w:rsidRPr="00643DCF">
        <w:rPr>
          <w:sz w:val="28"/>
          <w:szCs w:val="28"/>
        </w:rPr>
        <w:t xml:space="preserve"> del </w:t>
      </w:r>
      <w:r w:rsidR="00757E3E" w:rsidRPr="00643DCF">
        <w:rPr>
          <w:sz w:val="28"/>
          <w:szCs w:val="28"/>
        </w:rPr>
        <w:t xml:space="preserve">que </w:t>
      </w:r>
      <w:r w:rsidR="00B353B2" w:rsidRPr="00643DCF">
        <w:rPr>
          <w:sz w:val="28"/>
          <w:szCs w:val="28"/>
        </w:rPr>
        <w:t>pretendía lograr l</w:t>
      </w:r>
      <w:r w:rsidR="00916402" w:rsidRPr="00643DCF">
        <w:rPr>
          <w:sz w:val="28"/>
          <w:szCs w:val="28"/>
        </w:rPr>
        <w:t xml:space="preserve">a difusión y divulgación de la </w:t>
      </w:r>
      <w:r w:rsidR="00D97E1B" w:rsidRPr="00643DCF">
        <w:rPr>
          <w:sz w:val="28"/>
          <w:szCs w:val="28"/>
        </w:rPr>
        <w:t>s</w:t>
      </w:r>
      <w:r w:rsidR="00916402" w:rsidRPr="00643DCF">
        <w:rPr>
          <w:sz w:val="28"/>
          <w:szCs w:val="28"/>
        </w:rPr>
        <w:t>entencia</w:t>
      </w:r>
      <w:r w:rsidR="00324951" w:rsidRPr="00643DCF">
        <w:rPr>
          <w:sz w:val="28"/>
          <w:szCs w:val="28"/>
        </w:rPr>
        <w:t xml:space="preserve"> T-760 de 2008</w:t>
      </w:r>
      <w:r w:rsidR="00B353B2" w:rsidRPr="00643DCF">
        <w:rPr>
          <w:sz w:val="28"/>
          <w:szCs w:val="28"/>
        </w:rPr>
        <w:t xml:space="preserve"> </w:t>
      </w:r>
      <w:r w:rsidR="0014186D" w:rsidRPr="00643DCF">
        <w:rPr>
          <w:sz w:val="28"/>
          <w:szCs w:val="28"/>
        </w:rPr>
        <w:t xml:space="preserve">y los </w:t>
      </w:r>
      <w:r w:rsidR="00B353B2" w:rsidRPr="00643DCF">
        <w:rPr>
          <w:sz w:val="28"/>
          <w:szCs w:val="28"/>
        </w:rPr>
        <w:t xml:space="preserve">demás </w:t>
      </w:r>
      <w:r w:rsidR="00E34A58" w:rsidRPr="00643DCF">
        <w:rPr>
          <w:sz w:val="28"/>
          <w:szCs w:val="28"/>
        </w:rPr>
        <w:t xml:space="preserve">puntos </w:t>
      </w:r>
      <w:r w:rsidR="00B353B2" w:rsidRPr="00643DCF">
        <w:rPr>
          <w:sz w:val="28"/>
          <w:szCs w:val="28"/>
        </w:rPr>
        <w:t>rela</w:t>
      </w:r>
      <w:r w:rsidR="00BC7959" w:rsidRPr="00643DCF">
        <w:rPr>
          <w:sz w:val="28"/>
          <w:szCs w:val="28"/>
        </w:rPr>
        <w:t>cionados con e</w:t>
      </w:r>
      <w:r w:rsidR="00B353B2" w:rsidRPr="00643DCF">
        <w:rPr>
          <w:sz w:val="28"/>
          <w:szCs w:val="28"/>
        </w:rPr>
        <w:t>l derecho fundamental a la salud</w:t>
      </w:r>
      <w:r w:rsidR="00020D32" w:rsidRPr="00643DCF">
        <w:rPr>
          <w:rStyle w:val="Refdenotaalpie"/>
          <w:sz w:val="28"/>
          <w:szCs w:val="28"/>
        </w:rPr>
        <w:footnoteReference w:id="54"/>
      </w:r>
      <w:r w:rsidR="004E2820" w:rsidRPr="00643DCF">
        <w:rPr>
          <w:sz w:val="28"/>
          <w:szCs w:val="28"/>
        </w:rPr>
        <w:t>; la segunda</w:t>
      </w:r>
      <w:r w:rsidR="00FD041A" w:rsidRPr="00643DCF">
        <w:rPr>
          <w:sz w:val="28"/>
          <w:szCs w:val="28"/>
        </w:rPr>
        <w:t>,</w:t>
      </w:r>
      <w:r w:rsidR="005B6F88" w:rsidRPr="00643DCF">
        <w:rPr>
          <w:sz w:val="28"/>
          <w:szCs w:val="28"/>
        </w:rPr>
        <w:t xml:space="preserve"> </w:t>
      </w:r>
      <w:r w:rsidR="00870F3E" w:rsidRPr="00643DCF">
        <w:rPr>
          <w:sz w:val="28"/>
          <w:szCs w:val="28"/>
        </w:rPr>
        <w:t>hacía</w:t>
      </w:r>
      <w:r w:rsidR="005B6F88" w:rsidRPr="00643DCF">
        <w:rPr>
          <w:sz w:val="28"/>
          <w:szCs w:val="28"/>
        </w:rPr>
        <w:t xml:space="preserve"> referencia a</w:t>
      </w:r>
      <w:r w:rsidR="008600BB" w:rsidRPr="00643DCF">
        <w:rPr>
          <w:sz w:val="28"/>
          <w:szCs w:val="28"/>
        </w:rPr>
        <w:t xml:space="preserve"> la resolución de los interrogantes planteados en el </w:t>
      </w:r>
      <w:r w:rsidR="00C87B0C" w:rsidRPr="00643DCF">
        <w:rPr>
          <w:sz w:val="28"/>
          <w:szCs w:val="28"/>
        </w:rPr>
        <w:t>a</w:t>
      </w:r>
      <w:r w:rsidR="008600BB" w:rsidRPr="00643DCF">
        <w:rPr>
          <w:sz w:val="28"/>
          <w:szCs w:val="28"/>
        </w:rPr>
        <w:t>uto 154 de 2014</w:t>
      </w:r>
      <w:r w:rsidR="008A3B4C" w:rsidRPr="00643DCF">
        <w:rPr>
          <w:sz w:val="28"/>
          <w:szCs w:val="28"/>
        </w:rPr>
        <w:t>,</w:t>
      </w:r>
      <w:r w:rsidR="00FD041A" w:rsidRPr="00643DCF">
        <w:rPr>
          <w:sz w:val="28"/>
          <w:szCs w:val="28"/>
        </w:rPr>
        <w:t xml:space="preserve"> </w:t>
      </w:r>
      <w:r w:rsidR="008600BB" w:rsidRPr="00643DCF">
        <w:rPr>
          <w:sz w:val="28"/>
          <w:szCs w:val="28"/>
        </w:rPr>
        <w:t>“</w:t>
      </w:r>
      <w:r w:rsidR="008600BB" w:rsidRPr="003319D7">
        <w:rPr>
          <w:i/>
          <w:sz w:val="27"/>
          <w:szCs w:val="27"/>
        </w:rPr>
        <w:t>con el propósito de contextualizar al ciudadano y a las diferentes entidades involucradas en las labores que ha venido realizando la Sala, y las que seguirá llevando a cabo a través del mencionado Plan de Acción, para dar cumplimiento a los proveídos de la Corte y brindar herramientas</w:t>
      </w:r>
      <w:r w:rsidR="008600BB" w:rsidRPr="00643DCF">
        <w:rPr>
          <w:i/>
          <w:sz w:val="28"/>
          <w:szCs w:val="28"/>
        </w:rPr>
        <w:t xml:space="preserve"> </w:t>
      </w:r>
      <w:r w:rsidR="008600BB" w:rsidRPr="003319D7">
        <w:rPr>
          <w:i/>
          <w:sz w:val="27"/>
          <w:szCs w:val="27"/>
        </w:rPr>
        <w:t>a los jueces y usuarios para instruirlos sobre el acceso a este derecho</w:t>
      </w:r>
      <w:r w:rsidR="008600BB" w:rsidRPr="00643DCF">
        <w:rPr>
          <w:sz w:val="28"/>
          <w:szCs w:val="28"/>
        </w:rPr>
        <w:t>”</w:t>
      </w:r>
      <w:r w:rsidR="008600BB" w:rsidRPr="00643DCF">
        <w:rPr>
          <w:rStyle w:val="Refdenotaalpie"/>
          <w:sz w:val="28"/>
          <w:szCs w:val="28"/>
        </w:rPr>
        <w:footnoteReference w:id="55"/>
      </w:r>
      <w:r w:rsidR="008600BB" w:rsidRPr="00643DCF">
        <w:rPr>
          <w:sz w:val="28"/>
          <w:szCs w:val="28"/>
        </w:rPr>
        <w:t xml:space="preserve">. </w:t>
      </w:r>
    </w:p>
    <w:p w14:paraId="2A051AF8" w14:textId="77777777" w:rsidR="00FF4327" w:rsidRPr="00643DCF" w:rsidRDefault="00FF4327" w:rsidP="00FD38ED">
      <w:pPr>
        <w:widowControl w:val="0"/>
        <w:tabs>
          <w:tab w:val="left" w:pos="426"/>
        </w:tabs>
        <w:autoSpaceDE w:val="0"/>
        <w:autoSpaceDN w:val="0"/>
        <w:adjustRightInd w:val="0"/>
        <w:jc w:val="both"/>
        <w:rPr>
          <w:sz w:val="28"/>
          <w:szCs w:val="28"/>
        </w:rPr>
      </w:pPr>
    </w:p>
    <w:p w14:paraId="0DB16831" w14:textId="5DCCE7B9" w:rsidR="005F6A0F" w:rsidRPr="00643DCF" w:rsidRDefault="008600BB" w:rsidP="00FD38ED">
      <w:pPr>
        <w:widowControl w:val="0"/>
        <w:tabs>
          <w:tab w:val="left" w:pos="426"/>
        </w:tabs>
        <w:autoSpaceDE w:val="0"/>
        <w:autoSpaceDN w:val="0"/>
        <w:adjustRightInd w:val="0"/>
        <w:jc w:val="both"/>
        <w:rPr>
          <w:sz w:val="28"/>
          <w:szCs w:val="28"/>
        </w:rPr>
      </w:pPr>
      <w:r w:rsidRPr="00643DCF">
        <w:rPr>
          <w:sz w:val="28"/>
          <w:szCs w:val="28"/>
        </w:rPr>
        <w:t>Finalmente</w:t>
      </w:r>
      <w:r w:rsidR="008A3B4C" w:rsidRPr="00643DCF">
        <w:rPr>
          <w:sz w:val="28"/>
          <w:szCs w:val="28"/>
        </w:rPr>
        <w:t xml:space="preserve"> </w:t>
      </w:r>
      <w:r w:rsidR="00FF4327" w:rsidRPr="00643DCF">
        <w:rPr>
          <w:sz w:val="28"/>
          <w:szCs w:val="28"/>
        </w:rPr>
        <w:t>dijo</w:t>
      </w:r>
      <w:r w:rsidRPr="00643DCF">
        <w:rPr>
          <w:sz w:val="28"/>
          <w:szCs w:val="28"/>
        </w:rPr>
        <w:t xml:space="preserve"> que teniendo en cuenta las sugerencias elevadas por la Defensoría del Pueblo </w:t>
      </w:r>
      <w:r w:rsidR="000D05CD" w:rsidRPr="00643DCF">
        <w:rPr>
          <w:sz w:val="28"/>
          <w:szCs w:val="28"/>
        </w:rPr>
        <w:t>sería</w:t>
      </w:r>
      <w:r w:rsidRPr="00643DCF">
        <w:rPr>
          <w:sz w:val="28"/>
          <w:szCs w:val="28"/>
        </w:rPr>
        <w:t xml:space="preserve"> </w:t>
      </w:r>
      <w:r w:rsidR="000D05CD" w:rsidRPr="00643DCF">
        <w:rPr>
          <w:sz w:val="28"/>
          <w:szCs w:val="28"/>
        </w:rPr>
        <w:t xml:space="preserve">el Presidente </w:t>
      </w:r>
      <w:r w:rsidRPr="00643DCF">
        <w:rPr>
          <w:sz w:val="28"/>
          <w:szCs w:val="28"/>
        </w:rPr>
        <w:t xml:space="preserve">de la Sala Administrativa del Consejo Superior de la Judicatura quien </w:t>
      </w:r>
      <w:r w:rsidR="00E31971" w:rsidRPr="00643DCF">
        <w:rPr>
          <w:sz w:val="28"/>
          <w:szCs w:val="28"/>
        </w:rPr>
        <w:t xml:space="preserve">asumiría el liderazgo en la elaboración de </w:t>
      </w:r>
      <w:r w:rsidRPr="00643DCF">
        <w:rPr>
          <w:sz w:val="28"/>
          <w:szCs w:val="28"/>
        </w:rPr>
        <w:t xml:space="preserve">los </w:t>
      </w:r>
      <w:r w:rsidR="008D43C8" w:rsidRPr="00643DCF">
        <w:rPr>
          <w:sz w:val="28"/>
          <w:szCs w:val="28"/>
        </w:rPr>
        <w:t xml:space="preserve">documentos </w:t>
      </w:r>
      <w:r w:rsidRPr="00643DCF">
        <w:rPr>
          <w:sz w:val="28"/>
          <w:szCs w:val="28"/>
        </w:rPr>
        <w:t xml:space="preserve">bimensuales </w:t>
      </w:r>
      <w:r w:rsidR="00FD041A" w:rsidRPr="00643DCF">
        <w:rPr>
          <w:sz w:val="28"/>
          <w:szCs w:val="28"/>
        </w:rPr>
        <w:t>concernientes</w:t>
      </w:r>
      <w:r w:rsidRPr="00643DCF">
        <w:rPr>
          <w:sz w:val="28"/>
          <w:szCs w:val="28"/>
        </w:rPr>
        <w:t xml:space="preserve"> con el seguimiento a la </w:t>
      </w:r>
      <w:r w:rsidR="00D3374B" w:rsidRPr="00643DCF">
        <w:rPr>
          <w:sz w:val="28"/>
          <w:szCs w:val="28"/>
        </w:rPr>
        <w:t>s</w:t>
      </w:r>
      <w:r w:rsidR="00916402" w:rsidRPr="00643DCF">
        <w:rPr>
          <w:sz w:val="28"/>
          <w:szCs w:val="28"/>
        </w:rPr>
        <w:t>entencia</w:t>
      </w:r>
      <w:r w:rsidR="00E31971" w:rsidRPr="00643DCF">
        <w:rPr>
          <w:sz w:val="28"/>
          <w:szCs w:val="28"/>
        </w:rPr>
        <w:t xml:space="preserve"> y las labores que se ejecuten en el desarrollo del mismo</w:t>
      </w:r>
      <w:r w:rsidRPr="00643DCF">
        <w:rPr>
          <w:sz w:val="28"/>
          <w:szCs w:val="28"/>
        </w:rPr>
        <w:t>.</w:t>
      </w:r>
      <w:r w:rsidR="005F6A0F" w:rsidRPr="00643DCF">
        <w:rPr>
          <w:sz w:val="28"/>
          <w:szCs w:val="28"/>
        </w:rPr>
        <w:t xml:space="preserve"> </w:t>
      </w:r>
    </w:p>
    <w:p w14:paraId="69F6D1C7" w14:textId="77777777" w:rsidR="005F6A0F" w:rsidRPr="00643DCF" w:rsidRDefault="005F6A0F" w:rsidP="005F6A0F">
      <w:pPr>
        <w:pStyle w:val="Prrafodelista"/>
        <w:widowControl w:val="0"/>
        <w:tabs>
          <w:tab w:val="left" w:pos="426"/>
        </w:tabs>
        <w:autoSpaceDE w:val="0"/>
        <w:autoSpaceDN w:val="0"/>
        <w:adjustRightInd w:val="0"/>
        <w:ind w:left="0"/>
        <w:jc w:val="both"/>
        <w:rPr>
          <w:sz w:val="28"/>
          <w:szCs w:val="28"/>
        </w:rPr>
      </w:pPr>
    </w:p>
    <w:p w14:paraId="3CDA9F0D" w14:textId="0F6F232B" w:rsidR="005F6A0F" w:rsidRPr="00643DCF" w:rsidRDefault="00F23527" w:rsidP="00B14E08">
      <w:pPr>
        <w:widowControl w:val="0"/>
        <w:numPr>
          <w:ilvl w:val="0"/>
          <w:numId w:val="3"/>
        </w:numPr>
        <w:tabs>
          <w:tab w:val="left" w:pos="426"/>
        </w:tabs>
        <w:autoSpaceDE w:val="0"/>
        <w:autoSpaceDN w:val="0"/>
        <w:adjustRightInd w:val="0"/>
        <w:ind w:left="0" w:firstLine="0"/>
        <w:jc w:val="both"/>
        <w:rPr>
          <w:sz w:val="28"/>
          <w:szCs w:val="28"/>
        </w:rPr>
      </w:pPr>
      <w:r w:rsidRPr="00643DCF">
        <w:rPr>
          <w:sz w:val="28"/>
          <w:szCs w:val="28"/>
        </w:rPr>
        <w:t>El 26 d</w:t>
      </w:r>
      <w:r w:rsidR="00BC7959" w:rsidRPr="00643DCF">
        <w:rPr>
          <w:sz w:val="28"/>
          <w:szCs w:val="28"/>
        </w:rPr>
        <w:t>e</w:t>
      </w:r>
      <w:r w:rsidRPr="00643DCF">
        <w:rPr>
          <w:sz w:val="28"/>
          <w:szCs w:val="28"/>
        </w:rPr>
        <w:t xml:space="preserve"> junio de 2014</w:t>
      </w:r>
      <w:r w:rsidR="0062020B" w:rsidRPr="00643DCF">
        <w:rPr>
          <w:sz w:val="28"/>
          <w:szCs w:val="28"/>
        </w:rPr>
        <w:t>,</w:t>
      </w:r>
      <w:r w:rsidR="00870F3E" w:rsidRPr="00643DCF">
        <w:rPr>
          <w:rStyle w:val="Refdenotaalpie"/>
          <w:sz w:val="28"/>
          <w:szCs w:val="28"/>
        </w:rPr>
        <w:footnoteReference w:id="56"/>
      </w:r>
      <w:r w:rsidR="008A7762" w:rsidRPr="00643DCF">
        <w:rPr>
          <w:sz w:val="28"/>
          <w:szCs w:val="28"/>
        </w:rPr>
        <w:t xml:space="preserve"> la Sala Administrativa del Consejo</w:t>
      </w:r>
      <w:r w:rsidR="00293A7E" w:rsidRPr="00643DCF">
        <w:rPr>
          <w:sz w:val="28"/>
          <w:szCs w:val="28"/>
        </w:rPr>
        <w:t xml:space="preserve"> Superior de la Judicatura</w:t>
      </w:r>
      <w:r w:rsidR="008A7762" w:rsidRPr="00643DCF">
        <w:rPr>
          <w:sz w:val="28"/>
          <w:szCs w:val="28"/>
        </w:rPr>
        <w:t xml:space="preserve"> elevó una solicitud a la </w:t>
      </w:r>
      <w:r w:rsidR="00304FBE" w:rsidRPr="00643DCF">
        <w:rPr>
          <w:sz w:val="28"/>
          <w:szCs w:val="28"/>
        </w:rPr>
        <w:t>Sala Especial de Seguimiento</w:t>
      </w:r>
      <w:r w:rsidR="0062020B" w:rsidRPr="00643DCF">
        <w:rPr>
          <w:sz w:val="28"/>
          <w:szCs w:val="28"/>
        </w:rPr>
        <w:t>,</w:t>
      </w:r>
      <w:r w:rsidR="008A7762" w:rsidRPr="00643DCF">
        <w:rPr>
          <w:sz w:val="28"/>
          <w:szCs w:val="28"/>
        </w:rPr>
        <w:t xml:space="preserve"> a través de</w:t>
      </w:r>
      <w:r w:rsidR="00BC7959" w:rsidRPr="00643DCF">
        <w:rPr>
          <w:sz w:val="28"/>
          <w:szCs w:val="28"/>
        </w:rPr>
        <w:t xml:space="preserve"> </w:t>
      </w:r>
      <w:r w:rsidR="008A7762" w:rsidRPr="00643DCF">
        <w:rPr>
          <w:sz w:val="28"/>
          <w:szCs w:val="28"/>
        </w:rPr>
        <w:t>l</w:t>
      </w:r>
      <w:r w:rsidR="00BC7959" w:rsidRPr="00643DCF">
        <w:rPr>
          <w:sz w:val="28"/>
          <w:szCs w:val="28"/>
        </w:rPr>
        <w:t>a</w:t>
      </w:r>
      <w:r w:rsidR="008A7762" w:rsidRPr="00643DCF">
        <w:rPr>
          <w:sz w:val="28"/>
          <w:szCs w:val="28"/>
        </w:rPr>
        <w:t xml:space="preserve"> </w:t>
      </w:r>
      <w:r w:rsidR="00757E3E" w:rsidRPr="00643DCF">
        <w:rPr>
          <w:sz w:val="28"/>
          <w:szCs w:val="28"/>
        </w:rPr>
        <w:t xml:space="preserve">que </w:t>
      </w:r>
      <w:r w:rsidR="00324951" w:rsidRPr="00643DCF">
        <w:rPr>
          <w:sz w:val="28"/>
          <w:szCs w:val="28"/>
        </w:rPr>
        <w:t xml:space="preserve">requería </w:t>
      </w:r>
      <w:r w:rsidR="008A7762" w:rsidRPr="00643DCF">
        <w:rPr>
          <w:sz w:val="28"/>
          <w:szCs w:val="28"/>
        </w:rPr>
        <w:t>apoyo en la elaboración del proyecto de difusión</w:t>
      </w:r>
      <w:r w:rsidR="00631C7F" w:rsidRPr="00643DCF">
        <w:rPr>
          <w:sz w:val="28"/>
          <w:szCs w:val="28"/>
        </w:rPr>
        <w:t xml:space="preserve"> </w:t>
      </w:r>
      <w:r w:rsidR="008A7762" w:rsidRPr="00643DCF">
        <w:rPr>
          <w:sz w:val="28"/>
          <w:szCs w:val="28"/>
        </w:rPr>
        <w:t>contemplad</w:t>
      </w:r>
      <w:r w:rsidR="00631C7F" w:rsidRPr="00643DCF">
        <w:rPr>
          <w:sz w:val="28"/>
          <w:szCs w:val="28"/>
        </w:rPr>
        <w:t>a</w:t>
      </w:r>
      <w:r w:rsidR="008A7762" w:rsidRPr="00643DCF">
        <w:rPr>
          <w:sz w:val="28"/>
          <w:szCs w:val="28"/>
        </w:rPr>
        <w:t xml:space="preserve"> en el Plan de Acción</w:t>
      </w:r>
      <w:r w:rsidR="00916402" w:rsidRPr="00643DCF">
        <w:rPr>
          <w:sz w:val="28"/>
          <w:szCs w:val="28"/>
        </w:rPr>
        <w:t xml:space="preserve"> de seguimiento a la </w:t>
      </w:r>
      <w:r w:rsidR="0021487E" w:rsidRPr="00643DCF">
        <w:rPr>
          <w:sz w:val="28"/>
          <w:szCs w:val="28"/>
        </w:rPr>
        <w:t>s</w:t>
      </w:r>
      <w:r w:rsidR="00916402" w:rsidRPr="00643DCF">
        <w:rPr>
          <w:sz w:val="28"/>
          <w:szCs w:val="28"/>
        </w:rPr>
        <w:t>entencia</w:t>
      </w:r>
      <w:r w:rsidR="008A7762" w:rsidRPr="00643DCF">
        <w:rPr>
          <w:sz w:val="28"/>
          <w:szCs w:val="28"/>
        </w:rPr>
        <w:t xml:space="preserve"> T-760 de 2008</w:t>
      </w:r>
      <w:r w:rsidR="00351D71" w:rsidRPr="00643DCF">
        <w:rPr>
          <w:sz w:val="28"/>
          <w:szCs w:val="28"/>
        </w:rPr>
        <w:t>, denominado folleto informativo</w:t>
      </w:r>
      <w:r w:rsidR="008A7762" w:rsidRPr="00643DCF">
        <w:rPr>
          <w:sz w:val="28"/>
          <w:szCs w:val="28"/>
        </w:rPr>
        <w:t>. Igualmente</w:t>
      </w:r>
      <w:r w:rsidR="0062020B" w:rsidRPr="00643DCF">
        <w:rPr>
          <w:sz w:val="28"/>
          <w:szCs w:val="28"/>
        </w:rPr>
        <w:t>,</w:t>
      </w:r>
      <w:r w:rsidR="008A7762" w:rsidRPr="00643DCF">
        <w:rPr>
          <w:sz w:val="28"/>
          <w:szCs w:val="28"/>
        </w:rPr>
        <w:t xml:space="preserve"> </w:t>
      </w:r>
      <w:r w:rsidR="00314053" w:rsidRPr="00643DCF">
        <w:rPr>
          <w:sz w:val="28"/>
          <w:szCs w:val="28"/>
        </w:rPr>
        <w:t xml:space="preserve">adujo </w:t>
      </w:r>
      <w:r w:rsidR="00631C7F" w:rsidRPr="00643DCF">
        <w:rPr>
          <w:sz w:val="28"/>
          <w:szCs w:val="28"/>
        </w:rPr>
        <w:t>que</w:t>
      </w:r>
      <w:r w:rsidR="00C41EE9" w:rsidRPr="00643DCF">
        <w:rPr>
          <w:sz w:val="28"/>
          <w:szCs w:val="28"/>
        </w:rPr>
        <w:t xml:space="preserve"> </w:t>
      </w:r>
      <w:r w:rsidR="008A7762" w:rsidRPr="00643DCF">
        <w:rPr>
          <w:sz w:val="28"/>
          <w:szCs w:val="28"/>
        </w:rPr>
        <w:t>de conformidad con el cronograma propuesto</w:t>
      </w:r>
      <w:r w:rsidR="00E34A58" w:rsidRPr="00643DCF">
        <w:rPr>
          <w:sz w:val="28"/>
          <w:szCs w:val="28"/>
        </w:rPr>
        <w:t xml:space="preserve"> </w:t>
      </w:r>
      <w:r w:rsidR="008A7762" w:rsidRPr="00643DCF">
        <w:rPr>
          <w:sz w:val="28"/>
          <w:szCs w:val="28"/>
        </w:rPr>
        <w:t>los resultados no se alcanza</w:t>
      </w:r>
      <w:r w:rsidR="00293A7E" w:rsidRPr="00643DCF">
        <w:rPr>
          <w:sz w:val="28"/>
          <w:szCs w:val="28"/>
        </w:rPr>
        <w:t>ba</w:t>
      </w:r>
      <w:r w:rsidR="00631C7F" w:rsidRPr="00643DCF">
        <w:rPr>
          <w:sz w:val="28"/>
          <w:szCs w:val="28"/>
        </w:rPr>
        <w:t>n</w:t>
      </w:r>
      <w:r w:rsidR="00293A7E" w:rsidRPr="00643DCF">
        <w:rPr>
          <w:sz w:val="28"/>
          <w:szCs w:val="28"/>
        </w:rPr>
        <w:t xml:space="preserve"> </w:t>
      </w:r>
      <w:r w:rsidR="0062020B" w:rsidRPr="00643DCF">
        <w:rPr>
          <w:sz w:val="28"/>
          <w:szCs w:val="28"/>
        </w:rPr>
        <w:t>a</w:t>
      </w:r>
      <w:r w:rsidR="008A7762" w:rsidRPr="00643DCF">
        <w:rPr>
          <w:sz w:val="28"/>
          <w:szCs w:val="28"/>
        </w:rPr>
        <w:t xml:space="preserve"> reflejar en los </w:t>
      </w:r>
      <w:r w:rsidR="008D43C8" w:rsidRPr="00643DCF">
        <w:rPr>
          <w:sz w:val="28"/>
          <w:szCs w:val="28"/>
        </w:rPr>
        <w:t xml:space="preserve">reportes </w:t>
      </w:r>
      <w:r w:rsidR="008A7762" w:rsidRPr="00643DCF">
        <w:rPr>
          <w:sz w:val="28"/>
          <w:szCs w:val="28"/>
        </w:rPr>
        <w:t>bimensuales</w:t>
      </w:r>
      <w:r w:rsidR="0062020B" w:rsidRPr="00643DCF">
        <w:rPr>
          <w:sz w:val="28"/>
          <w:szCs w:val="28"/>
        </w:rPr>
        <w:t>,</w:t>
      </w:r>
      <w:r w:rsidR="008A7762" w:rsidRPr="00643DCF">
        <w:rPr>
          <w:sz w:val="28"/>
          <w:szCs w:val="28"/>
        </w:rPr>
        <w:t xml:space="preserve"> </w:t>
      </w:r>
      <w:r w:rsidR="00BC7959" w:rsidRPr="00643DCF">
        <w:rPr>
          <w:sz w:val="28"/>
          <w:szCs w:val="28"/>
        </w:rPr>
        <w:t xml:space="preserve">toda vez que </w:t>
      </w:r>
      <w:r w:rsidR="008A7762" w:rsidRPr="00643DCF">
        <w:rPr>
          <w:sz w:val="28"/>
          <w:szCs w:val="28"/>
        </w:rPr>
        <w:t>el término dad</w:t>
      </w:r>
      <w:r w:rsidR="00E77960" w:rsidRPr="00643DCF">
        <w:rPr>
          <w:sz w:val="28"/>
          <w:szCs w:val="28"/>
        </w:rPr>
        <w:t>o por la Corte era</w:t>
      </w:r>
      <w:r w:rsidR="008A7762" w:rsidRPr="00643DCF">
        <w:rPr>
          <w:sz w:val="28"/>
          <w:szCs w:val="28"/>
        </w:rPr>
        <w:t xml:space="preserve"> muy corto para poder establecer avances </w:t>
      </w:r>
      <w:r w:rsidR="00E77960" w:rsidRPr="00643DCF">
        <w:rPr>
          <w:sz w:val="28"/>
          <w:szCs w:val="28"/>
        </w:rPr>
        <w:t xml:space="preserve">significativos en relación con lo establecido en la directriz </w:t>
      </w:r>
      <w:r w:rsidR="00720900" w:rsidRPr="00643DCF">
        <w:rPr>
          <w:sz w:val="28"/>
          <w:szCs w:val="28"/>
        </w:rPr>
        <w:t>treinta y dos</w:t>
      </w:r>
      <w:r w:rsidR="00E77960" w:rsidRPr="00643DCF">
        <w:rPr>
          <w:sz w:val="28"/>
          <w:szCs w:val="28"/>
        </w:rPr>
        <w:t xml:space="preserve"> de la providencia estudiada</w:t>
      </w:r>
      <w:r w:rsidR="00C41EE9" w:rsidRPr="00643DCF">
        <w:rPr>
          <w:sz w:val="28"/>
          <w:szCs w:val="28"/>
        </w:rPr>
        <w:t xml:space="preserve">, por lo que </w:t>
      </w:r>
      <w:r w:rsidR="00FE020A" w:rsidRPr="00643DCF">
        <w:rPr>
          <w:sz w:val="28"/>
          <w:szCs w:val="28"/>
        </w:rPr>
        <w:t xml:space="preserve">solicitó </w:t>
      </w:r>
      <w:r w:rsidR="00C41EE9" w:rsidRPr="00643DCF">
        <w:rPr>
          <w:sz w:val="28"/>
          <w:szCs w:val="28"/>
        </w:rPr>
        <w:t>el replanteamiento del plazo de entrega</w:t>
      </w:r>
      <w:r w:rsidR="008A7762" w:rsidRPr="00643DCF">
        <w:rPr>
          <w:sz w:val="28"/>
          <w:szCs w:val="28"/>
        </w:rPr>
        <w:t>.</w:t>
      </w:r>
    </w:p>
    <w:p w14:paraId="2A1494CF" w14:textId="77777777" w:rsidR="005F6A0F" w:rsidRPr="00643DCF" w:rsidRDefault="005F6A0F" w:rsidP="005F6A0F">
      <w:pPr>
        <w:pStyle w:val="Prrafodelista"/>
        <w:widowControl w:val="0"/>
        <w:tabs>
          <w:tab w:val="left" w:pos="426"/>
        </w:tabs>
        <w:autoSpaceDE w:val="0"/>
        <w:autoSpaceDN w:val="0"/>
        <w:adjustRightInd w:val="0"/>
        <w:ind w:left="0"/>
        <w:jc w:val="both"/>
        <w:rPr>
          <w:sz w:val="28"/>
          <w:szCs w:val="28"/>
        </w:rPr>
      </w:pPr>
    </w:p>
    <w:p w14:paraId="729D8FEE" w14:textId="21E92A85" w:rsidR="005F6A0F" w:rsidRPr="00643DCF" w:rsidRDefault="00B23706" w:rsidP="00B14E08">
      <w:pPr>
        <w:widowControl w:val="0"/>
        <w:numPr>
          <w:ilvl w:val="0"/>
          <w:numId w:val="3"/>
        </w:numPr>
        <w:tabs>
          <w:tab w:val="left" w:pos="426"/>
        </w:tabs>
        <w:autoSpaceDE w:val="0"/>
        <w:autoSpaceDN w:val="0"/>
        <w:adjustRightInd w:val="0"/>
        <w:ind w:left="0" w:firstLine="0"/>
        <w:jc w:val="both"/>
        <w:rPr>
          <w:sz w:val="28"/>
          <w:szCs w:val="28"/>
        </w:rPr>
      </w:pPr>
      <w:r w:rsidRPr="00643DCF">
        <w:rPr>
          <w:sz w:val="28"/>
          <w:szCs w:val="28"/>
        </w:rPr>
        <w:t>El 25 de agosto de 2014</w:t>
      </w:r>
      <w:r w:rsidR="0062020B" w:rsidRPr="00643DCF">
        <w:rPr>
          <w:sz w:val="28"/>
          <w:szCs w:val="28"/>
        </w:rPr>
        <w:t>,</w:t>
      </w:r>
      <w:r w:rsidR="00870F3E" w:rsidRPr="00643DCF">
        <w:rPr>
          <w:rStyle w:val="Refdenotaalpie"/>
          <w:sz w:val="28"/>
          <w:szCs w:val="28"/>
        </w:rPr>
        <w:footnoteReference w:id="57"/>
      </w:r>
      <w:r w:rsidRPr="00643DCF">
        <w:rPr>
          <w:sz w:val="28"/>
          <w:szCs w:val="28"/>
        </w:rPr>
        <w:t xml:space="preserve"> la Sala Administrativa del Consejo Superior remitió los ejemplares </w:t>
      </w:r>
      <w:r w:rsidR="00EA0C2C" w:rsidRPr="00643DCF">
        <w:rPr>
          <w:sz w:val="28"/>
          <w:szCs w:val="28"/>
        </w:rPr>
        <w:t xml:space="preserve">impresos </w:t>
      </w:r>
      <w:r w:rsidRPr="00643DCF">
        <w:rPr>
          <w:sz w:val="28"/>
          <w:szCs w:val="28"/>
        </w:rPr>
        <w:t>de la publicación elaborada e</w:t>
      </w:r>
      <w:r w:rsidR="00916402" w:rsidRPr="00643DCF">
        <w:rPr>
          <w:sz w:val="28"/>
          <w:szCs w:val="28"/>
        </w:rPr>
        <w:t xml:space="preserve">n atención a lo ordenado en la </w:t>
      </w:r>
      <w:r w:rsidR="007F3025" w:rsidRPr="00643DCF">
        <w:rPr>
          <w:sz w:val="28"/>
          <w:szCs w:val="28"/>
        </w:rPr>
        <w:t>s</w:t>
      </w:r>
      <w:r w:rsidR="00916402" w:rsidRPr="00643DCF">
        <w:rPr>
          <w:sz w:val="28"/>
          <w:szCs w:val="28"/>
        </w:rPr>
        <w:t>entencia</w:t>
      </w:r>
      <w:r w:rsidRPr="00643DCF">
        <w:rPr>
          <w:sz w:val="28"/>
          <w:szCs w:val="28"/>
        </w:rPr>
        <w:t xml:space="preserve"> T-760 de 2008.</w:t>
      </w:r>
    </w:p>
    <w:p w14:paraId="21A78949" w14:textId="77777777" w:rsidR="005F6A0F" w:rsidRPr="00643DCF" w:rsidRDefault="005F6A0F" w:rsidP="005F6A0F">
      <w:pPr>
        <w:pStyle w:val="Prrafodelista"/>
        <w:widowControl w:val="0"/>
        <w:tabs>
          <w:tab w:val="left" w:pos="426"/>
        </w:tabs>
        <w:autoSpaceDE w:val="0"/>
        <w:autoSpaceDN w:val="0"/>
        <w:adjustRightInd w:val="0"/>
        <w:ind w:left="0"/>
        <w:jc w:val="both"/>
        <w:rPr>
          <w:sz w:val="28"/>
          <w:szCs w:val="28"/>
        </w:rPr>
      </w:pPr>
    </w:p>
    <w:p w14:paraId="334A77AF" w14:textId="0910F1E2" w:rsidR="005F6A0F" w:rsidRPr="00643DCF" w:rsidRDefault="00D0602C" w:rsidP="00B14E08">
      <w:pPr>
        <w:widowControl w:val="0"/>
        <w:numPr>
          <w:ilvl w:val="0"/>
          <w:numId w:val="3"/>
        </w:numPr>
        <w:tabs>
          <w:tab w:val="left" w:pos="426"/>
        </w:tabs>
        <w:autoSpaceDE w:val="0"/>
        <w:autoSpaceDN w:val="0"/>
        <w:adjustRightInd w:val="0"/>
        <w:ind w:left="0" w:firstLine="0"/>
        <w:jc w:val="both"/>
        <w:rPr>
          <w:sz w:val="28"/>
          <w:szCs w:val="28"/>
        </w:rPr>
      </w:pPr>
      <w:r w:rsidRPr="00643DCF">
        <w:rPr>
          <w:sz w:val="28"/>
          <w:szCs w:val="28"/>
        </w:rPr>
        <w:t xml:space="preserve">En </w:t>
      </w:r>
      <w:r w:rsidR="00E612E8" w:rsidRPr="00643DCF">
        <w:rPr>
          <w:sz w:val="28"/>
          <w:szCs w:val="28"/>
        </w:rPr>
        <w:t>a</w:t>
      </w:r>
      <w:r w:rsidR="00AB61BE" w:rsidRPr="00643DCF">
        <w:rPr>
          <w:sz w:val="28"/>
          <w:szCs w:val="28"/>
        </w:rPr>
        <w:t>uto 271</w:t>
      </w:r>
      <w:r w:rsidR="00690965" w:rsidRPr="00643DCF">
        <w:rPr>
          <w:sz w:val="28"/>
          <w:szCs w:val="28"/>
        </w:rPr>
        <w:t xml:space="preserve"> del </w:t>
      </w:r>
      <w:r w:rsidR="00AB61BE" w:rsidRPr="00643DCF">
        <w:rPr>
          <w:sz w:val="28"/>
          <w:szCs w:val="28"/>
        </w:rPr>
        <w:t>28 de agosto de 2014</w:t>
      </w:r>
      <w:r w:rsidR="00020D32" w:rsidRPr="00643DCF">
        <w:rPr>
          <w:rStyle w:val="Refdenotaalpie"/>
          <w:sz w:val="28"/>
          <w:szCs w:val="28"/>
        </w:rPr>
        <w:footnoteReference w:id="58"/>
      </w:r>
      <w:r w:rsidR="00690965" w:rsidRPr="00643DCF">
        <w:rPr>
          <w:sz w:val="28"/>
          <w:szCs w:val="28"/>
        </w:rPr>
        <w:t xml:space="preserve"> </w:t>
      </w:r>
      <w:r w:rsidR="00037069" w:rsidRPr="00643DCF">
        <w:rPr>
          <w:sz w:val="28"/>
          <w:szCs w:val="28"/>
        </w:rPr>
        <w:t xml:space="preserve">la </w:t>
      </w:r>
      <w:r w:rsidR="00304FBE" w:rsidRPr="00643DCF">
        <w:rPr>
          <w:sz w:val="28"/>
          <w:szCs w:val="28"/>
        </w:rPr>
        <w:t xml:space="preserve">Sala Especial de Seguimiento </w:t>
      </w:r>
      <w:r w:rsidR="00966F31" w:rsidRPr="00643DCF">
        <w:rPr>
          <w:sz w:val="28"/>
          <w:szCs w:val="28"/>
        </w:rPr>
        <w:t>atendió</w:t>
      </w:r>
      <w:r w:rsidR="00B35D40" w:rsidRPr="00643DCF">
        <w:rPr>
          <w:sz w:val="28"/>
          <w:szCs w:val="28"/>
        </w:rPr>
        <w:t xml:space="preserve"> </w:t>
      </w:r>
      <w:r w:rsidR="00020D32" w:rsidRPr="00643DCF">
        <w:rPr>
          <w:sz w:val="28"/>
          <w:szCs w:val="28"/>
        </w:rPr>
        <w:t xml:space="preserve">el </w:t>
      </w:r>
      <w:r w:rsidR="00966F31" w:rsidRPr="00643DCF">
        <w:rPr>
          <w:sz w:val="28"/>
          <w:szCs w:val="28"/>
        </w:rPr>
        <w:t xml:space="preserve">requerimiento formulado por la Sala Administrativa del Consejo Superior de la Judicatura, con base en la cual </w:t>
      </w:r>
      <w:r w:rsidR="00037069" w:rsidRPr="00643DCF">
        <w:rPr>
          <w:sz w:val="28"/>
          <w:szCs w:val="28"/>
        </w:rPr>
        <w:t>determin</w:t>
      </w:r>
      <w:r w:rsidR="0062020B" w:rsidRPr="00643DCF">
        <w:rPr>
          <w:sz w:val="28"/>
          <w:szCs w:val="28"/>
        </w:rPr>
        <w:t>ó</w:t>
      </w:r>
      <w:r w:rsidR="00037069" w:rsidRPr="00643DCF">
        <w:rPr>
          <w:sz w:val="28"/>
          <w:szCs w:val="28"/>
        </w:rPr>
        <w:t xml:space="preserve"> </w:t>
      </w:r>
      <w:r w:rsidR="00F534E6" w:rsidRPr="00643DCF">
        <w:rPr>
          <w:sz w:val="28"/>
          <w:szCs w:val="28"/>
        </w:rPr>
        <w:t xml:space="preserve">que los informes </w:t>
      </w:r>
      <w:r w:rsidR="00F534E6" w:rsidRPr="00643DCF">
        <w:rPr>
          <w:sz w:val="28"/>
          <w:szCs w:val="28"/>
        </w:rPr>
        <w:lastRenderedPageBreak/>
        <w:t>periódicos no se deberían presentar de ma</w:t>
      </w:r>
      <w:r w:rsidR="00A02902" w:rsidRPr="00643DCF">
        <w:rPr>
          <w:sz w:val="28"/>
          <w:szCs w:val="28"/>
        </w:rPr>
        <w:t>nera bimensual sino cada cuatrimestr</w:t>
      </w:r>
      <w:r w:rsidR="00870F3E" w:rsidRPr="00643DCF">
        <w:rPr>
          <w:sz w:val="28"/>
          <w:szCs w:val="28"/>
        </w:rPr>
        <w:t>e</w:t>
      </w:r>
      <w:r w:rsidR="00880ABF" w:rsidRPr="00643DCF">
        <w:rPr>
          <w:sz w:val="28"/>
          <w:szCs w:val="28"/>
        </w:rPr>
        <w:t>, y que e</w:t>
      </w:r>
      <w:r w:rsidR="00F534E6" w:rsidRPr="00643DCF">
        <w:rPr>
          <w:sz w:val="28"/>
          <w:szCs w:val="28"/>
        </w:rPr>
        <w:t xml:space="preserve">l primero de ellos </w:t>
      </w:r>
      <w:r w:rsidR="00B35D40" w:rsidRPr="00643DCF">
        <w:rPr>
          <w:sz w:val="28"/>
          <w:szCs w:val="28"/>
        </w:rPr>
        <w:t>lo entregar</w:t>
      </w:r>
      <w:r w:rsidR="00A973F5" w:rsidRPr="00643DCF">
        <w:rPr>
          <w:sz w:val="28"/>
          <w:szCs w:val="28"/>
        </w:rPr>
        <w:t>í</w:t>
      </w:r>
      <w:r w:rsidR="00B35D40" w:rsidRPr="00643DCF">
        <w:rPr>
          <w:sz w:val="28"/>
          <w:szCs w:val="28"/>
        </w:rPr>
        <w:t>a</w:t>
      </w:r>
      <w:r w:rsidR="0062020B" w:rsidRPr="00643DCF">
        <w:rPr>
          <w:sz w:val="28"/>
          <w:szCs w:val="28"/>
        </w:rPr>
        <w:t xml:space="preserve"> </w:t>
      </w:r>
      <w:r w:rsidR="00F534E6" w:rsidRPr="00643DCF">
        <w:rPr>
          <w:sz w:val="28"/>
          <w:szCs w:val="28"/>
        </w:rPr>
        <w:t>el último día hábil del mes de noviembre de esa misma anualidad</w:t>
      </w:r>
      <w:r w:rsidR="00A973F5" w:rsidRPr="00643DCF">
        <w:rPr>
          <w:rStyle w:val="Refdenotaalpie"/>
          <w:sz w:val="28"/>
          <w:szCs w:val="28"/>
        </w:rPr>
        <w:footnoteReference w:id="59"/>
      </w:r>
      <w:r w:rsidR="00F534E6" w:rsidRPr="00643DCF">
        <w:rPr>
          <w:sz w:val="28"/>
          <w:szCs w:val="28"/>
        </w:rPr>
        <w:t>.</w:t>
      </w:r>
    </w:p>
    <w:p w14:paraId="73EBEC95" w14:textId="77777777" w:rsidR="000B1478" w:rsidRPr="00643DCF" w:rsidRDefault="000B1478" w:rsidP="000961E6">
      <w:pPr>
        <w:widowControl w:val="0"/>
        <w:tabs>
          <w:tab w:val="left" w:pos="426"/>
        </w:tabs>
        <w:autoSpaceDE w:val="0"/>
        <w:autoSpaceDN w:val="0"/>
        <w:adjustRightInd w:val="0"/>
        <w:jc w:val="both"/>
        <w:rPr>
          <w:sz w:val="28"/>
          <w:szCs w:val="28"/>
        </w:rPr>
      </w:pPr>
    </w:p>
    <w:p w14:paraId="49EF52A9" w14:textId="265AA2D3" w:rsidR="005F6A0F" w:rsidRPr="00643DCF" w:rsidRDefault="00F534E6" w:rsidP="00B14E08">
      <w:pPr>
        <w:widowControl w:val="0"/>
        <w:numPr>
          <w:ilvl w:val="0"/>
          <w:numId w:val="3"/>
        </w:numPr>
        <w:tabs>
          <w:tab w:val="left" w:pos="426"/>
        </w:tabs>
        <w:autoSpaceDE w:val="0"/>
        <w:autoSpaceDN w:val="0"/>
        <w:adjustRightInd w:val="0"/>
        <w:ind w:left="0" w:firstLine="0"/>
        <w:jc w:val="both"/>
        <w:rPr>
          <w:rFonts w:eastAsia="Batang"/>
          <w:bCs/>
          <w:sz w:val="28"/>
          <w:szCs w:val="28"/>
        </w:rPr>
      </w:pPr>
      <w:r w:rsidRPr="00643DCF">
        <w:rPr>
          <w:sz w:val="28"/>
          <w:szCs w:val="28"/>
        </w:rPr>
        <w:t>El 29 de agosto de 2014</w:t>
      </w:r>
      <w:r w:rsidR="00B35D40" w:rsidRPr="00643DCF">
        <w:rPr>
          <w:sz w:val="28"/>
          <w:szCs w:val="28"/>
        </w:rPr>
        <w:t xml:space="preserve"> la Sala Administrativa del CSJ</w:t>
      </w:r>
      <w:r w:rsidR="00870F3E" w:rsidRPr="00643DCF">
        <w:rPr>
          <w:rStyle w:val="Refdenotaalpie"/>
          <w:sz w:val="28"/>
          <w:szCs w:val="28"/>
        </w:rPr>
        <w:footnoteReference w:id="60"/>
      </w:r>
      <w:r w:rsidR="00B35D40" w:rsidRPr="00643DCF">
        <w:rPr>
          <w:sz w:val="28"/>
          <w:szCs w:val="28"/>
        </w:rPr>
        <w:t>, a</w:t>
      </w:r>
      <w:r w:rsidRPr="00643DCF">
        <w:rPr>
          <w:sz w:val="28"/>
          <w:szCs w:val="28"/>
        </w:rPr>
        <w:t xml:space="preserve">llegó el quinto informe </w:t>
      </w:r>
      <w:r w:rsidR="00B35D40" w:rsidRPr="00643DCF">
        <w:rPr>
          <w:sz w:val="28"/>
          <w:szCs w:val="28"/>
        </w:rPr>
        <w:t>en el que</w:t>
      </w:r>
      <w:r w:rsidR="00DA6C1A" w:rsidRPr="00643DCF">
        <w:rPr>
          <w:sz w:val="28"/>
          <w:szCs w:val="28"/>
        </w:rPr>
        <w:t xml:space="preserve"> </w:t>
      </w:r>
      <w:r w:rsidR="00711A43" w:rsidRPr="00643DCF">
        <w:rPr>
          <w:sz w:val="28"/>
          <w:szCs w:val="28"/>
        </w:rPr>
        <w:t>indicó que realizó</w:t>
      </w:r>
      <w:r w:rsidR="00257340" w:rsidRPr="00643DCF">
        <w:rPr>
          <w:sz w:val="28"/>
          <w:szCs w:val="28"/>
        </w:rPr>
        <w:t xml:space="preserve"> seguimiento </w:t>
      </w:r>
      <w:r w:rsidR="00037069" w:rsidRPr="00643DCF">
        <w:rPr>
          <w:sz w:val="28"/>
          <w:szCs w:val="28"/>
        </w:rPr>
        <w:t xml:space="preserve">al </w:t>
      </w:r>
      <w:r w:rsidR="00535D50" w:rsidRPr="00643DCF">
        <w:rPr>
          <w:sz w:val="28"/>
          <w:szCs w:val="28"/>
        </w:rPr>
        <w:t>plan de acción</w:t>
      </w:r>
      <w:r w:rsidR="00E34A58" w:rsidRPr="00643DCF">
        <w:rPr>
          <w:sz w:val="28"/>
          <w:szCs w:val="28"/>
        </w:rPr>
        <w:t xml:space="preserve"> </w:t>
      </w:r>
      <w:r w:rsidR="00711A43" w:rsidRPr="00643DCF">
        <w:rPr>
          <w:sz w:val="28"/>
          <w:szCs w:val="28"/>
        </w:rPr>
        <w:t xml:space="preserve">y que aquel se estaba </w:t>
      </w:r>
      <w:r w:rsidR="00757E3E" w:rsidRPr="00643DCF">
        <w:rPr>
          <w:sz w:val="28"/>
          <w:szCs w:val="28"/>
        </w:rPr>
        <w:t>adelantado</w:t>
      </w:r>
      <w:r w:rsidR="00257340" w:rsidRPr="00643DCF">
        <w:rPr>
          <w:sz w:val="28"/>
          <w:szCs w:val="28"/>
        </w:rPr>
        <w:t xml:space="preserve"> de acuerdo a </w:t>
      </w:r>
      <w:r w:rsidR="00550661" w:rsidRPr="00643DCF">
        <w:rPr>
          <w:sz w:val="28"/>
          <w:szCs w:val="28"/>
        </w:rPr>
        <w:t xml:space="preserve">lo </w:t>
      </w:r>
      <w:r w:rsidR="00257340" w:rsidRPr="00643DCF">
        <w:rPr>
          <w:sz w:val="28"/>
          <w:szCs w:val="28"/>
        </w:rPr>
        <w:t xml:space="preserve">establecido. </w:t>
      </w:r>
      <w:r w:rsidR="00711A43" w:rsidRPr="00643DCF">
        <w:rPr>
          <w:sz w:val="28"/>
          <w:szCs w:val="28"/>
        </w:rPr>
        <w:t>Así mismo</w:t>
      </w:r>
      <w:r w:rsidR="00676CCB" w:rsidRPr="00643DCF">
        <w:rPr>
          <w:sz w:val="28"/>
          <w:szCs w:val="28"/>
        </w:rPr>
        <w:t>,</w:t>
      </w:r>
      <w:r w:rsidR="00257340" w:rsidRPr="00643DCF">
        <w:rPr>
          <w:sz w:val="28"/>
          <w:szCs w:val="28"/>
        </w:rPr>
        <w:t xml:space="preserve"> expresó que </w:t>
      </w:r>
      <w:r w:rsidR="000D05CD" w:rsidRPr="00643DCF">
        <w:rPr>
          <w:sz w:val="28"/>
          <w:szCs w:val="28"/>
        </w:rPr>
        <w:t>llevaron a cabo</w:t>
      </w:r>
      <w:r w:rsidR="00257340" w:rsidRPr="00643DCF">
        <w:rPr>
          <w:sz w:val="28"/>
          <w:szCs w:val="28"/>
        </w:rPr>
        <w:t xml:space="preserve"> reuniones con representantes de la </w:t>
      </w:r>
      <w:r w:rsidR="00535D50" w:rsidRPr="00643DCF">
        <w:rPr>
          <w:sz w:val="28"/>
          <w:szCs w:val="28"/>
        </w:rPr>
        <w:t>EJRLB</w:t>
      </w:r>
      <w:r w:rsidR="00257340" w:rsidRPr="00643DCF">
        <w:rPr>
          <w:sz w:val="28"/>
          <w:szCs w:val="28"/>
        </w:rPr>
        <w:t>, el Cendoj</w:t>
      </w:r>
      <w:r w:rsidR="005F6A0F" w:rsidRPr="00643DCF">
        <w:rPr>
          <w:sz w:val="28"/>
          <w:szCs w:val="28"/>
        </w:rPr>
        <w:t>,</w:t>
      </w:r>
      <w:r w:rsidR="00257340" w:rsidRPr="00643DCF">
        <w:rPr>
          <w:sz w:val="28"/>
          <w:szCs w:val="28"/>
        </w:rPr>
        <w:t xml:space="preserve"> la Oficina de Coordinación de Asuntos Internacionales</w:t>
      </w:r>
      <w:r w:rsidR="00E34A58" w:rsidRPr="00643DCF">
        <w:rPr>
          <w:sz w:val="28"/>
          <w:szCs w:val="28"/>
        </w:rPr>
        <w:t xml:space="preserve"> </w:t>
      </w:r>
      <w:r w:rsidR="00257340" w:rsidRPr="00643DCF">
        <w:rPr>
          <w:sz w:val="28"/>
          <w:szCs w:val="28"/>
        </w:rPr>
        <w:t xml:space="preserve">y Asesoría Jurídica y el Despacho de la Presidencia de la Sala Administrativa del Consejo Superior de la Judicatura, con la finalidad de verificar los avances y presentar un </w:t>
      </w:r>
      <w:r w:rsidR="00720900" w:rsidRPr="00643DCF">
        <w:rPr>
          <w:sz w:val="28"/>
          <w:szCs w:val="28"/>
        </w:rPr>
        <w:t>documento</w:t>
      </w:r>
      <w:r w:rsidR="00257340" w:rsidRPr="00643DCF">
        <w:rPr>
          <w:sz w:val="28"/>
          <w:szCs w:val="28"/>
        </w:rPr>
        <w:t xml:space="preserve"> unificado.</w:t>
      </w:r>
      <w:r w:rsidR="00877954" w:rsidRPr="00643DCF">
        <w:rPr>
          <w:sz w:val="28"/>
          <w:szCs w:val="28"/>
        </w:rPr>
        <w:t xml:space="preserve"> </w:t>
      </w:r>
      <w:r w:rsidR="00877954" w:rsidRPr="00643DCF">
        <w:rPr>
          <w:rFonts w:eastAsia="Batang"/>
          <w:bCs/>
          <w:sz w:val="28"/>
          <w:szCs w:val="28"/>
        </w:rPr>
        <w:t>Del mismo modo, hizo saber que había realizado módulos de capacitación en Mocoa, Florencia, San Andrés, Arauca, Yopal, Quibdó y Tunja</w:t>
      </w:r>
      <w:r w:rsidR="00535D50" w:rsidRPr="00643DCF">
        <w:rPr>
          <w:rFonts w:eastAsia="Batang"/>
          <w:bCs/>
          <w:sz w:val="28"/>
          <w:szCs w:val="28"/>
        </w:rPr>
        <w:t>,</w:t>
      </w:r>
      <w:r w:rsidR="00877954" w:rsidRPr="00643DCF">
        <w:rPr>
          <w:rFonts w:eastAsia="Batang"/>
          <w:bCs/>
          <w:sz w:val="28"/>
          <w:szCs w:val="28"/>
        </w:rPr>
        <w:t xml:space="preserve"> los días 3 y 17 de octubre de 2013 en </w:t>
      </w:r>
      <w:r w:rsidR="00854923" w:rsidRPr="00643DCF">
        <w:rPr>
          <w:rFonts w:eastAsia="Batang"/>
          <w:bCs/>
          <w:sz w:val="28"/>
          <w:szCs w:val="28"/>
        </w:rPr>
        <w:t xml:space="preserve">los </w:t>
      </w:r>
      <w:r w:rsidR="00877954" w:rsidRPr="00643DCF">
        <w:rPr>
          <w:rFonts w:eastAsia="Batang"/>
          <w:bCs/>
          <w:sz w:val="28"/>
          <w:szCs w:val="28"/>
        </w:rPr>
        <w:t>que</w:t>
      </w:r>
      <w:r w:rsidR="00535D50" w:rsidRPr="00643DCF">
        <w:rPr>
          <w:rFonts w:eastAsia="Batang"/>
          <w:bCs/>
          <w:sz w:val="28"/>
          <w:szCs w:val="28"/>
        </w:rPr>
        <w:t xml:space="preserve"> </w:t>
      </w:r>
      <w:r w:rsidR="00877954" w:rsidRPr="00643DCF">
        <w:rPr>
          <w:rFonts w:eastAsia="Batang"/>
          <w:bCs/>
          <w:sz w:val="28"/>
          <w:szCs w:val="28"/>
        </w:rPr>
        <w:t xml:space="preserve">capacitaron </w:t>
      </w:r>
      <w:r w:rsidR="006645D8" w:rsidRPr="00643DCF">
        <w:rPr>
          <w:rFonts w:eastAsia="Batang"/>
          <w:bCs/>
          <w:sz w:val="28"/>
          <w:szCs w:val="28"/>
        </w:rPr>
        <w:t xml:space="preserve">200 </w:t>
      </w:r>
      <w:r w:rsidR="00E34A58" w:rsidRPr="00643DCF">
        <w:rPr>
          <w:rFonts w:eastAsia="Batang"/>
          <w:bCs/>
          <w:sz w:val="28"/>
          <w:szCs w:val="28"/>
        </w:rPr>
        <w:t>m</w:t>
      </w:r>
      <w:r w:rsidR="006645D8" w:rsidRPr="00643DCF">
        <w:rPr>
          <w:rFonts w:eastAsia="Batang"/>
          <w:bCs/>
          <w:sz w:val="28"/>
          <w:szCs w:val="28"/>
        </w:rPr>
        <w:t xml:space="preserve">agistrados, </w:t>
      </w:r>
      <w:r w:rsidR="00E34A58" w:rsidRPr="00643DCF">
        <w:rPr>
          <w:rFonts w:eastAsia="Batang"/>
          <w:bCs/>
          <w:sz w:val="28"/>
          <w:szCs w:val="28"/>
        </w:rPr>
        <w:t>j</w:t>
      </w:r>
      <w:r w:rsidR="006645D8" w:rsidRPr="00643DCF">
        <w:rPr>
          <w:rFonts w:eastAsia="Batang"/>
          <w:bCs/>
          <w:sz w:val="28"/>
          <w:szCs w:val="28"/>
        </w:rPr>
        <w:t>ueces</w:t>
      </w:r>
      <w:r w:rsidR="00DD6853" w:rsidRPr="00643DCF">
        <w:rPr>
          <w:rFonts w:eastAsia="Batang"/>
          <w:bCs/>
          <w:sz w:val="28"/>
          <w:szCs w:val="28"/>
        </w:rPr>
        <w:t xml:space="preserve"> </w:t>
      </w:r>
      <w:r w:rsidR="006645D8" w:rsidRPr="00643DCF">
        <w:rPr>
          <w:rFonts w:eastAsia="Batang"/>
          <w:bCs/>
          <w:sz w:val="28"/>
          <w:szCs w:val="28"/>
        </w:rPr>
        <w:t>y empleados judiciales</w:t>
      </w:r>
      <w:r w:rsidR="00877954" w:rsidRPr="00643DCF">
        <w:rPr>
          <w:rFonts w:eastAsia="Batang"/>
          <w:bCs/>
          <w:sz w:val="28"/>
          <w:szCs w:val="28"/>
        </w:rPr>
        <w:t>.</w:t>
      </w:r>
    </w:p>
    <w:p w14:paraId="7D42E852" w14:textId="77777777" w:rsidR="005F6A0F" w:rsidRPr="00643DCF" w:rsidRDefault="005F6A0F" w:rsidP="005F6A0F">
      <w:pPr>
        <w:pStyle w:val="Prrafodelista"/>
        <w:widowControl w:val="0"/>
        <w:tabs>
          <w:tab w:val="left" w:pos="426"/>
        </w:tabs>
        <w:autoSpaceDE w:val="0"/>
        <w:autoSpaceDN w:val="0"/>
        <w:adjustRightInd w:val="0"/>
        <w:ind w:left="0"/>
        <w:jc w:val="both"/>
        <w:rPr>
          <w:sz w:val="28"/>
          <w:szCs w:val="28"/>
        </w:rPr>
      </w:pPr>
    </w:p>
    <w:p w14:paraId="0AD78435" w14:textId="1FD0A77C" w:rsidR="005F6A0F" w:rsidRPr="00643DCF" w:rsidRDefault="00257340" w:rsidP="00B14E08">
      <w:pPr>
        <w:widowControl w:val="0"/>
        <w:numPr>
          <w:ilvl w:val="0"/>
          <w:numId w:val="3"/>
        </w:numPr>
        <w:tabs>
          <w:tab w:val="left" w:pos="426"/>
        </w:tabs>
        <w:autoSpaceDE w:val="0"/>
        <w:autoSpaceDN w:val="0"/>
        <w:adjustRightInd w:val="0"/>
        <w:ind w:left="0" w:firstLine="0"/>
        <w:jc w:val="both"/>
        <w:rPr>
          <w:sz w:val="28"/>
          <w:szCs w:val="28"/>
        </w:rPr>
      </w:pPr>
      <w:r w:rsidRPr="00643DCF">
        <w:rPr>
          <w:sz w:val="28"/>
          <w:szCs w:val="28"/>
        </w:rPr>
        <w:t>El 28 de noviembre de 2014</w:t>
      </w:r>
      <w:r w:rsidR="00B07ED7" w:rsidRPr="00643DCF">
        <w:rPr>
          <w:sz w:val="28"/>
          <w:szCs w:val="28"/>
        </w:rPr>
        <w:t>,</w:t>
      </w:r>
      <w:r w:rsidR="00030A51" w:rsidRPr="00643DCF">
        <w:rPr>
          <w:rStyle w:val="Refdenotaalpie"/>
          <w:sz w:val="28"/>
          <w:szCs w:val="28"/>
        </w:rPr>
        <w:footnoteReference w:id="61"/>
      </w:r>
      <w:r w:rsidRPr="00643DCF">
        <w:rPr>
          <w:sz w:val="28"/>
          <w:szCs w:val="28"/>
        </w:rPr>
        <w:t xml:space="preserve"> la Sala Administrativa del Consejo Superior de la Judicatura</w:t>
      </w:r>
      <w:r w:rsidR="005F6A0F" w:rsidRPr="00643DCF">
        <w:rPr>
          <w:sz w:val="28"/>
          <w:szCs w:val="28"/>
        </w:rPr>
        <w:t xml:space="preserve"> </w:t>
      </w:r>
      <w:r w:rsidR="00B07ED7" w:rsidRPr="00643DCF">
        <w:rPr>
          <w:sz w:val="28"/>
          <w:szCs w:val="28"/>
        </w:rPr>
        <w:t>inform</w:t>
      </w:r>
      <w:r w:rsidR="00037069" w:rsidRPr="00643DCF">
        <w:rPr>
          <w:sz w:val="28"/>
          <w:szCs w:val="28"/>
        </w:rPr>
        <w:t>ó</w:t>
      </w:r>
      <w:r w:rsidR="009D4426" w:rsidRPr="00643DCF">
        <w:rPr>
          <w:sz w:val="28"/>
          <w:szCs w:val="28"/>
        </w:rPr>
        <w:t xml:space="preserve"> que </w:t>
      </w:r>
      <w:r w:rsidR="00396340" w:rsidRPr="00643DCF">
        <w:rPr>
          <w:sz w:val="28"/>
          <w:szCs w:val="28"/>
        </w:rPr>
        <w:t>constantemente ha</w:t>
      </w:r>
      <w:r w:rsidR="00893246" w:rsidRPr="00643DCF">
        <w:rPr>
          <w:sz w:val="28"/>
          <w:szCs w:val="28"/>
        </w:rPr>
        <w:t xml:space="preserve"> </w:t>
      </w:r>
      <w:r w:rsidR="00396340" w:rsidRPr="00643DCF">
        <w:rPr>
          <w:sz w:val="28"/>
          <w:szCs w:val="28"/>
        </w:rPr>
        <w:t>realiza</w:t>
      </w:r>
      <w:r w:rsidR="00893246" w:rsidRPr="00643DCF">
        <w:rPr>
          <w:sz w:val="28"/>
          <w:szCs w:val="28"/>
        </w:rPr>
        <w:t xml:space="preserve">do reuniones de seguimiento al plan de acción </w:t>
      </w:r>
      <w:r w:rsidR="00396340" w:rsidRPr="00643DCF">
        <w:rPr>
          <w:sz w:val="28"/>
          <w:szCs w:val="28"/>
        </w:rPr>
        <w:t>con las diferentes unidades responsables</w:t>
      </w:r>
      <w:r w:rsidR="00000185" w:rsidRPr="00643DCF">
        <w:rPr>
          <w:rStyle w:val="Refdenotaalpie"/>
          <w:sz w:val="28"/>
          <w:szCs w:val="28"/>
        </w:rPr>
        <w:footnoteReference w:id="62"/>
      </w:r>
      <w:r w:rsidR="006A3C55" w:rsidRPr="00643DCF">
        <w:rPr>
          <w:sz w:val="28"/>
          <w:szCs w:val="28"/>
        </w:rPr>
        <w:t xml:space="preserve">, quienes </w:t>
      </w:r>
      <w:r w:rsidR="00893246" w:rsidRPr="00643DCF">
        <w:rPr>
          <w:sz w:val="28"/>
          <w:szCs w:val="28"/>
        </w:rPr>
        <w:t>desarrollaron las siguientes actividades</w:t>
      </w:r>
      <w:r w:rsidR="002A4964" w:rsidRPr="00643DCF">
        <w:rPr>
          <w:sz w:val="28"/>
          <w:szCs w:val="28"/>
        </w:rPr>
        <w:t>:</w:t>
      </w:r>
      <w:r w:rsidR="00037069" w:rsidRPr="00643DCF">
        <w:rPr>
          <w:sz w:val="28"/>
          <w:szCs w:val="28"/>
        </w:rPr>
        <w:t xml:space="preserve"> </w:t>
      </w:r>
      <w:r w:rsidR="006003DC" w:rsidRPr="00643DCF">
        <w:rPr>
          <w:i/>
          <w:sz w:val="28"/>
          <w:szCs w:val="28"/>
        </w:rPr>
        <w:t>(</w:t>
      </w:r>
      <w:r w:rsidR="002A4964" w:rsidRPr="00643DCF">
        <w:rPr>
          <w:i/>
          <w:sz w:val="28"/>
          <w:szCs w:val="28"/>
        </w:rPr>
        <w:t>i)</w:t>
      </w:r>
      <w:r w:rsidR="002A4964" w:rsidRPr="00643DCF">
        <w:rPr>
          <w:sz w:val="28"/>
          <w:szCs w:val="28"/>
        </w:rPr>
        <w:t xml:space="preserve"> </w:t>
      </w:r>
      <w:r w:rsidR="00037069" w:rsidRPr="00643DCF">
        <w:rPr>
          <w:sz w:val="28"/>
          <w:szCs w:val="28"/>
        </w:rPr>
        <w:t>una video</w:t>
      </w:r>
      <w:r w:rsidR="009D4426" w:rsidRPr="00643DCF">
        <w:rPr>
          <w:sz w:val="28"/>
          <w:szCs w:val="28"/>
        </w:rPr>
        <w:t>conferencia el 23 de octubre</w:t>
      </w:r>
      <w:r w:rsidR="00AD11AA" w:rsidRPr="00643DCF">
        <w:rPr>
          <w:sz w:val="28"/>
          <w:szCs w:val="28"/>
        </w:rPr>
        <w:t xml:space="preserve"> de</w:t>
      </w:r>
      <w:r w:rsidR="00893246" w:rsidRPr="00643DCF">
        <w:rPr>
          <w:sz w:val="28"/>
          <w:szCs w:val="28"/>
        </w:rPr>
        <w:t xml:space="preserve">l </w:t>
      </w:r>
      <w:r w:rsidR="00AD11AA" w:rsidRPr="00643DCF">
        <w:rPr>
          <w:sz w:val="28"/>
          <w:szCs w:val="28"/>
        </w:rPr>
        <w:t>mismo año</w:t>
      </w:r>
      <w:r w:rsidR="002A4964" w:rsidRPr="00643DCF">
        <w:rPr>
          <w:sz w:val="28"/>
          <w:szCs w:val="28"/>
        </w:rPr>
        <w:t>;</w:t>
      </w:r>
      <w:r w:rsidR="009D4426" w:rsidRPr="00643DCF">
        <w:rPr>
          <w:sz w:val="28"/>
          <w:szCs w:val="28"/>
        </w:rPr>
        <w:t xml:space="preserve"> </w:t>
      </w:r>
      <w:r w:rsidR="006003DC" w:rsidRPr="00643DCF">
        <w:rPr>
          <w:i/>
          <w:sz w:val="28"/>
          <w:szCs w:val="28"/>
        </w:rPr>
        <w:t>(</w:t>
      </w:r>
      <w:r w:rsidR="002A4964" w:rsidRPr="00643DCF">
        <w:rPr>
          <w:i/>
          <w:sz w:val="28"/>
          <w:szCs w:val="28"/>
        </w:rPr>
        <w:t>ii)</w:t>
      </w:r>
      <w:r w:rsidR="002A4964" w:rsidRPr="00643DCF">
        <w:rPr>
          <w:sz w:val="28"/>
          <w:szCs w:val="28"/>
        </w:rPr>
        <w:t xml:space="preserve"> </w:t>
      </w:r>
      <w:r w:rsidR="009D4426" w:rsidRPr="00643DCF">
        <w:rPr>
          <w:sz w:val="28"/>
          <w:szCs w:val="28"/>
        </w:rPr>
        <w:t xml:space="preserve">un seminario el </w:t>
      </w:r>
      <w:r w:rsidR="0073279F">
        <w:rPr>
          <w:sz w:val="28"/>
          <w:szCs w:val="28"/>
        </w:rPr>
        <w:t xml:space="preserve">1º </w:t>
      </w:r>
      <w:r w:rsidR="002A4964" w:rsidRPr="00643DCF">
        <w:rPr>
          <w:sz w:val="28"/>
          <w:szCs w:val="28"/>
        </w:rPr>
        <w:t>de diciembre de esa anualidad;</w:t>
      </w:r>
      <w:r w:rsidR="009D4426" w:rsidRPr="00643DCF">
        <w:rPr>
          <w:sz w:val="28"/>
          <w:szCs w:val="28"/>
        </w:rPr>
        <w:t xml:space="preserve"> </w:t>
      </w:r>
      <w:r w:rsidR="006003DC" w:rsidRPr="00643DCF">
        <w:rPr>
          <w:i/>
          <w:sz w:val="28"/>
          <w:szCs w:val="28"/>
        </w:rPr>
        <w:t>(</w:t>
      </w:r>
      <w:r w:rsidR="002A4964" w:rsidRPr="00643DCF">
        <w:rPr>
          <w:i/>
          <w:sz w:val="28"/>
          <w:szCs w:val="28"/>
        </w:rPr>
        <w:t>iii)</w:t>
      </w:r>
      <w:r w:rsidR="002A4964" w:rsidRPr="00643DCF">
        <w:rPr>
          <w:sz w:val="28"/>
          <w:szCs w:val="28"/>
        </w:rPr>
        <w:t xml:space="preserve"> </w:t>
      </w:r>
      <w:r w:rsidR="00037069" w:rsidRPr="00643DCF">
        <w:rPr>
          <w:sz w:val="28"/>
          <w:szCs w:val="28"/>
        </w:rPr>
        <w:t>entreg</w:t>
      </w:r>
      <w:r w:rsidR="00893246" w:rsidRPr="00643DCF">
        <w:rPr>
          <w:sz w:val="28"/>
          <w:szCs w:val="28"/>
        </w:rPr>
        <w:t xml:space="preserve">a de </w:t>
      </w:r>
      <w:r w:rsidR="009D4426" w:rsidRPr="00643DCF">
        <w:rPr>
          <w:sz w:val="28"/>
          <w:szCs w:val="28"/>
        </w:rPr>
        <w:t>folletos informativos</w:t>
      </w:r>
      <w:r w:rsidR="002A4964" w:rsidRPr="00643DCF">
        <w:rPr>
          <w:i/>
          <w:sz w:val="28"/>
          <w:szCs w:val="28"/>
        </w:rPr>
        <w:t>;</w:t>
      </w:r>
      <w:r w:rsidR="009D4426" w:rsidRPr="00643DCF">
        <w:rPr>
          <w:i/>
          <w:sz w:val="28"/>
          <w:szCs w:val="28"/>
        </w:rPr>
        <w:t xml:space="preserve"> </w:t>
      </w:r>
      <w:r w:rsidR="006003DC" w:rsidRPr="00643DCF">
        <w:rPr>
          <w:i/>
          <w:sz w:val="28"/>
          <w:szCs w:val="28"/>
        </w:rPr>
        <w:t>(</w:t>
      </w:r>
      <w:r w:rsidR="002A4964" w:rsidRPr="00643DCF">
        <w:rPr>
          <w:i/>
          <w:sz w:val="28"/>
          <w:szCs w:val="28"/>
        </w:rPr>
        <w:t>iv)</w:t>
      </w:r>
      <w:r w:rsidR="002A4964" w:rsidRPr="00643DCF">
        <w:rPr>
          <w:sz w:val="28"/>
          <w:szCs w:val="28"/>
        </w:rPr>
        <w:t xml:space="preserve"> </w:t>
      </w:r>
      <w:r w:rsidR="00893246" w:rsidRPr="00643DCF">
        <w:rPr>
          <w:sz w:val="28"/>
          <w:szCs w:val="28"/>
        </w:rPr>
        <w:t>elaboración de micrositio en</w:t>
      </w:r>
      <w:r w:rsidR="009D4426" w:rsidRPr="00643DCF">
        <w:rPr>
          <w:sz w:val="28"/>
          <w:szCs w:val="28"/>
        </w:rPr>
        <w:t xml:space="preserve"> conjunto con la Corte</w:t>
      </w:r>
      <w:r w:rsidR="00E0521E" w:rsidRPr="00643DCF">
        <w:rPr>
          <w:sz w:val="28"/>
          <w:szCs w:val="28"/>
        </w:rPr>
        <w:t xml:space="preserve"> en la </w:t>
      </w:r>
      <w:r w:rsidR="006C6B21" w:rsidRPr="00643DCF">
        <w:rPr>
          <w:sz w:val="28"/>
          <w:szCs w:val="28"/>
        </w:rPr>
        <w:t>web</w:t>
      </w:r>
      <w:r w:rsidR="00E0521E" w:rsidRPr="00643DCF">
        <w:rPr>
          <w:sz w:val="28"/>
          <w:szCs w:val="28"/>
        </w:rPr>
        <w:t xml:space="preserve"> de</w:t>
      </w:r>
      <w:r w:rsidR="00550661" w:rsidRPr="00643DCF">
        <w:rPr>
          <w:sz w:val="28"/>
          <w:szCs w:val="28"/>
        </w:rPr>
        <w:t xml:space="preserve"> </w:t>
      </w:r>
      <w:r w:rsidR="005F6A0F" w:rsidRPr="00643DCF">
        <w:rPr>
          <w:sz w:val="28"/>
          <w:szCs w:val="28"/>
        </w:rPr>
        <w:t>esa entidad</w:t>
      </w:r>
      <w:r w:rsidR="002A4964" w:rsidRPr="00643DCF">
        <w:rPr>
          <w:sz w:val="28"/>
          <w:szCs w:val="28"/>
        </w:rPr>
        <w:t>;</w:t>
      </w:r>
      <w:r w:rsidR="00037069" w:rsidRPr="00643DCF">
        <w:rPr>
          <w:sz w:val="28"/>
          <w:szCs w:val="28"/>
        </w:rPr>
        <w:t xml:space="preserve"> </w:t>
      </w:r>
      <w:r w:rsidR="006003DC" w:rsidRPr="00643DCF">
        <w:rPr>
          <w:i/>
          <w:sz w:val="28"/>
          <w:szCs w:val="28"/>
        </w:rPr>
        <w:t>(</w:t>
      </w:r>
      <w:r w:rsidR="002A4964" w:rsidRPr="00643DCF">
        <w:rPr>
          <w:i/>
          <w:sz w:val="28"/>
          <w:szCs w:val="28"/>
        </w:rPr>
        <w:t xml:space="preserve">v) </w:t>
      </w:r>
      <w:r w:rsidR="00E0521E" w:rsidRPr="00643DCF">
        <w:rPr>
          <w:sz w:val="28"/>
          <w:szCs w:val="28"/>
        </w:rPr>
        <w:t xml:space="preserve">publicación en medio impreso </w:t>
      </w:r>
      <w:r w:rsidR="00550661" w:rsidRPr="00643DCF">
        <w:rPr>
          <w:sz w:val="28"/>
          <w:szCs w:val="28"/>
        </w:rPr>
        <w:t xml:space="preserve">de 5000 ejemplares </w:t>
      </w:r>
      <w:r w:rsidR="00E0521E" w:rsidRPr="00643DCF">
        <w:rPr>
          <w:sz w:val="28"/>
          <w:szCs w:val="28"/>
        </w:rPr>
        <w:t xml:space="preserve">de la </w:t>
      </w:r>
      <w:r w:rsidR="005F6321" w:rsidRPr="00643DCF">
        <w:rPr>
          <w:sz w:val="28"/>
          <w:szCs w:val="28"/>
        </w:rPr>
        <w:t>s</w:t>
      </w:r>
      <w:r w:rsidR="00916402" w:rsidRPr="00643DCF">
        <w:rPr>
          <w:sz w:val="28"/>
          <w:szCs w:val="28"/>
        </w:rPr>
        <w:t>entencia</w:t>
      </w:r>
      <w:r w:rsidR="00E0521E" w:rsidRPr="00643DCF">
        <w:rPr>
          <w:sz w:val="28"/>
          <w:szCs w:val="28"/>
        </w:rPr>
        <w:t xml:space="preserve"> T-760 de</w:t>
      </w:r>
      <w:r w:rsidR="00916402" w:rsidRPr="00643DCF">
        <w:rPr>
          <w:sz w:val="28"/>
          <w:szCs w:val="28"/>
        </w:rPr>
        <w:t xml:space="preserve"> </w:t>
      </w:r>
      <w:r w:rsidR="006E3914" w:rsidRPr="00643DCF">
        <w:rPr>
          <w:sz w:val="28"/>
          <w:szCs w:val="28"/>
        </w:rPr>
        <w:t>2008</w:t>
      </w:r>
      <w:r w:rsidR="00E0521E" w:rsidRPr="00643DCF">
        <w:rPr>
          <w:sz w:val="28"/>
          <w:szCs w:val="28"/>
        </w:rPr>
        <w:t xml:space="preserve"> </w:t>
      </w:r>
      <w:r w:rsidR="00893246" w:rsidRPr="00643DCF">
        <w:rPr>
          <w:sz w:val="28"/>
          <w:szCs w:val="28"/>
        </w:rPr>
        <w:t>distribuidos</w:t>
      </w:r>
      <w:r w:rsidR="006E0E7A" w:rsidRPr="00643DCF">
        <w:rPr>
          <w:sz w:val="28"/>
          <w:szCs w:val="28"/>
        </w:rPr>
        <w:t xml:space="preserve"> </w:t>
      </w:r>
      <w:r w:rsidR="00A02902" w:rsidRPr="00643DCF">
        <w:rPr>
          <w:sz w:val="28"/>
          <w:szCs w:val="28"/>
        </w:rPr>
        <w:t>hasta esa</w:t>
      </w:r>
      <w:r w:rsidR="006E0E7A" w:rsidRPr="00643DCF">
        <w:rPr>
          <w:sz w:val="28"/>
          <w:szCs w:val="28"/>
        </w:rPr>
        <w:t xml:space="preserve"> fecha 2803 </w:t>
      </w:r>
      <w:r w:rsidR="00550661" w:rsidRPr="00643DCF">
        <w:rPr>
          <w:sz w:val="28"/>
          <w:szCs w:val="28"/>
        </w:rPr>
        <w:t>de ellos</w:t>
      </w:r>
      <w:r w:rsidR="002A4964" w:rsidRPr="00643DCF">
        <w:rPr>
          <w:sz w:val="28"/>
          <w:szCs w:val="28"/>
        </w:rPr>
        <w:t>;</w:t>
      </w:r>
      <w:r w:rsidR="006E0E7A" w:rsidRPr="00643DCF">
        <w:rPr>
          <w:sz w:val="28"/>
          <w:szCs w:val="28"/>
        </w:rPr>
        <w:t xml:space="preserve"> </w:t>
      </w:r>
      <w:r w:rsidR="006003DC" w:rsidRPr="00643DCF">
        <w:rPr>
          <w:i/>
          <w:sz w:val="28"/>
          <w:szCs w:val="28"/>
        </w:rPr>
        <w:t>(</w:t>
      </w:r>
      <w:r w:rsidR="002A4964" w:rsidRPr="00643DCF">
        <w:rPr>
          <w:i/>
          <w:sz w:val="28"/>
          <w:szCs w:val="28"/>
        </w:rPr>
        <w:t>vi)</w:t>
      </w:r>
      <w:r w:rsidR="002A4964" w:rsidRPr="00643DCF">
        <w:rPr>
          <w:sz w:val="28"/>
          <w:szCs w:val="28"/>
        </w:rPr>
        <w:t xml:space="preserve"> </w:t>
      </w:r>
      <w:r w:rsidR="006E0E7A" w:rsidRPr="00643DCF">
        <w:rPr>
          <w:sz w:val="28"/>
          <w:szCs w:val="28"/>
        </w:rPr>
        <w:t xml:space="preserve">anunció la emisión de un programa de televisión </w:t>
      </w:r>
      <w:r w:rsidR="00757E3E" w:rsidRPr="00643DCF">
        <w:rPr>
          <w:sz w:val="28"/>
          <w:szCs w:val="28"/>
        </w:rPr>
        <w:t>que</w:t>
      </w:r>
      <w:r w:rsidR="006E0E7A" w:rsidRPr="00643DCF">
        <w:rPr>
          <w:sz w:val="28"/>
          <w:szCs w:val="28"/>
        </w:rPr>
        <w:t xml:space="preserve"> sería transmitido el 1</w:t>
      </w:r>
      <w:r w:rsidR="002A4964" w:rsidRPr="00643DCF">
        <w:rPr>
          <w:sz w:val="28"/>
          <w:szCs w:val="28"/>
        </w:rPr>
        <w:t>º</w:t>
      </w:r>
      <w:r w:rsidR="006E0E7A" w:rsidRPr="00643DCF">
        <w:rPr>
          <w:sz w:val="28"/>
          <w:szCs w:val="28"/>
        </w:rPr>
        <w:t xml:space="preserve"> de diciembre</w:t>
      </w:r>
      <w:r w:rsidR="002A4964" w:rsidRPr="00643DCF">
        <w:rPr>
          <w:sz w:val="28"/>
          <w:szCs w:val="28"/>
        </w:rPr>
        <w:t>; f</w:t>
      </w:r>
      <w:r w:rsidR="006E0E7A" w:rsidRPr="00643DCF">
        <w:rPr>
          <w:sz w:val="28"/>
          <w:szCs w:val="28"/>
        </w:rPr>
        <w:t>inalmente</w:t>
      </w:r>
      <w:r w:rsidR="002A4964" w:rsidRPr="00643DCF">
        <w:rPr>
          <w:sz w:val="28"/>
          <w:szCs w:val="28"/>
        </w:rPr>
        <w:t>,</w:t>
      </w:r>
      <w:r w:rsidR="006E0E7A" w:rsidRPr="00643DCF">
        <w:rPr>
          <w:sz w:val="28"/>
          <w:szCs w:val="28"/>
        </w:rPr>
        <w:t xml:space="preserve"> </w:t>
      </w:r>
      <w:r w:rsidR="006003DC" w:rsidRPr="00643DCF">
        <w:rPr>
          <w:i/>
          <w:sz w:val="28"/>
          <w:szCs w:val="28"/>
        </w:rPr>
        <w:t>(</w:t>
      </w:r>
      <w:r w:rsidR="002A4964" w:rsidRPr="00643DCF">
        <w:rPr>
          <w:i/>
          <w:sz w:val="28"/>
          <w:szCs w:val="28"/>
        </w:rPr>
        <w:t>vii)</w:t>
      </w:r>
      <w:r w:rsidR="002A4964" w:rsidRPr="00643DCF">
        <w:rPr>
          <w:sz w:val="28"/>
          <w:szCs w:val="28"/>
        </w:rPr>
        <w:t xml:space="preserve"> </w:t>
      </w:r>
      <w:r w:rsidR="00EF34F3" w:rsidRPr="00643DCF">
        <w:rPr>
          <w:sz w:val="28"/>
          <w:szCs w:val="28"/>
        </w:rPr>
        <w:t xml:space="preserve">mencionó </w:t>
      </w:r>
      <w:r w:rsidR="000B5D97" w:rsidRPr="00643DCF">
        <w:rPr>
          <w:sz w:val="28"/>
          <w:szCs w:val="28"/>
        </w:rPr>
        <w:t xml:space="preserve">que la </w:t>
      </w:r>
      <w:r w:rsidR="00893246" w:rsidRPr="00643DCF">
        <w:rPr>
          <w:sz w:val="28"/>
          <w:szCs w:val="28"/>
        </w:rPr>
        <w:t>EJRLB</w:t>
      </w:r>
      <w:r w:rsidR="000B5D97" w:rsidRPr="00643DCF">
        <w:rPr>
          <w:sz w:val="28"/>
          <w:szCs w:val="28"/>
        </w:rPr>
        <w:t xml:space="preserve"> </w:t>
      </w:r>
      <w:r w:rsidR="002A4964" w:rsidRPr="00643DCF">
        <w:rPr>
          <w:sz w:val="28"/>
          <w:szCs w:val="28"/>
        </w:rPr>
        <w:t xml:space="preserve">desarrollaría </w:t>
      </w:r>
      <w:r w:rsidR="000B5D97" w:rsidRPr="00643DCF">
        <w:rPr>
          <w:sz w:val="28"/>
          <w:szCs w:val="28"/>
        </w:rPr>
        <w:t>una serie de capacitaciones</w:t>
      </w:r>
      <w:r w:rsidR="00893246" w:rsidRPr="00643DCF">
        <w:rPr>
          <w:sz w:val="28"/>
          <w:szCs w:val="28"/>
        </w:rPr>
        <w:t xml:space="preserve"> dirigid</w:t>
      </w:r>
      <w:r w:rsidR="003F6122" w:rsidRPr="00643DCF">
        <w:rPr>
          <w:sz w:val="28"/>
          <w:szCs w:val="28"/>
        </w:rPr>
        <w:t>as</w:t>
      </w:r>
      <w:r w:rsidR="00893246" w:rsidRPr="00643DCF">
        <w:rPr>
          <w:sz w:val="28"/>
          <w:szCs w:val="28"/>
        </w:rPr>
        <w:t xml:space="preserve"> a</w:t>
      </w:r>
      <w:r w:rsidR="000B5D97" w:rsidRPr="00643DCF">
        <w:rPr>
          <w:sz w:val="28"/>
          <w:szCs w:val="28"/>
        </w:rPr>
        <w:t xml:space="preserve"> servidores y empleados de todas las especialidades de la Rama Judicial para que tuviesen conocimiento del fallo al momento de tomar decisiones relacionadas con el </w:t>
      </w:r>
      <w:r w:rsidR="000D05CD" w:rsidRPr="00643DCF">
        <w:rPr>
          <w:sz w:val="28"/>
          <w:szCs w:val="28"/>
        </w:rPr>
        <w:t>derecho a la salud</w:t>
      </w:r>
      <w:r w:rsidR="000B5D97" w:rsidRPr="00643DCF">
        <w:rPr>
          <w:sz w:val="28"/>
          <w:szCs w:val="28"/>
        </w:rPr>
        <w:t>.</w:t>
      </w:r>
    </w:p>
    <w:p w14:paraId="08F7A6D2" w14:textId="77777777" w:rsidR="005F6A0F" w:rsidRPr="00643DCF" w:rsidRDefault="005F6A0F" w:rsidP="005F6A0F">
      <w:pPr>
        <w:pStyle w:val="Prrafodelista"/>
        <w:widowControl w:val="0"/>
        <w:tabs>
          <w:tab w:val="left" w:pos="426"/>
        </w:tabs>
        <w:autoSpaceDE w:val="0"/>
        <w:autoSpaceDN w:val="0"/>
        <w:adjustRightInd w:val="0"/>
        <w:ind w:left="0"/>
        <w:jc w:val="both"/>
        <w:rPr>
          <w:sz w:val="28"/>
          <w:szCs w:val="28"/>
        </w:rPr>
      </w:pPr>
    </w:p>
    <w:p w14:paraId="1FC7774B" w14:textId="27FFC619" w:rsidR="00E51AA4" w:rsidRPr="00643DCF" w:rsidRDefault="00277A08" w:rsidP="00B14E08">
      <w:pPr>
        <w:widowControl w:val="0"/>
        <w:numPr>
          <w:ilvl w:val="0"/>
          <w:numId w:val="3"/>
        </w:numPr>
        <w:tabs>
          <w:tab w:val="left" w:pos="426"/>
        </w:tabs>
        <w:autoSpaceDE w:val="0"/>
        <w:autoSpaceDN w:val="0"/>
        <w:adjustRightInd w:val="0"/>
        <w:ind w:left="0" w:firstLine="0"/>
        <w:jc w:val="both"/>
        <w:rPr>
          <w:sz w:val="28"/>
          <w:szCs w:val="28"/>
        </w:rPr>
      </w:pPr>
      <w:r w:rsidRPr="00643DCF">
        <w:rPr>
          <w:sz w:val="28"/>
          <w:szCs w:val="28"/>
        </w:rPr>
        <w:t>E</w:t>
      </w:r>
      <w:r w:rsidR="00E51AA4" w:rsidRPr="00643DCF">
        <w:rPr>
          <w:sz w:val="28"/>
          <w:szCs w:val="28"/>
        </w:rPr>
        <w:t xml:space="preserve">n cumplimiento del </w:t>
      </w:r>
      <w:r w:rsidR="00956684" w:rsidRPr="00643DCF">
        <w:rPr>
          <w:sz w:val="28"/>
          <w:szCs w:val="28"/>
        </w:rPr>
        <w:t>a</w:t>
      </w:r>
      <w:r w:rsidR="00E51AA4" w:rsidRPr="00643DCF">
        <w:rPr>
          <w:sz w:val="28"/>
          <w:szCs w:val="28"/>
        </w:rPr>
        <w:t>uto 271 d</w:t>
      </w:r>
      <w:r w:rsidRPr="00643DCF">
        <w:rPr>
          <w:sz w:val="28"/>
          <w:szCs w:val="28"/>
        </w:rPr>
        <w:t>e 2014</w:t>
      </w:r>
      <w:r w:rsidR="00880ABF" w:rsidRPr="00643DCF">
        <w:rPr>
          <w:sz w:val="28"/>
          <w:szCs w:val="28"/>
        </w:rPr>
        <w:t xml:space="preserve">, mencionado en el numeral </w:t>
      </w:r>
      <w:r w:rsidR="00042660" w:rsidRPr="00643DCF">
        <w:rPr>
          <w:sz w:val="28"/>
          <w:szCs w:val="28"/>
        </w:rPr>
        <w:t>3</w:t>
      </w:r>
      <w:r w:rsidR="008D5FCD">
        <w:rPr>
          <w:sz w:val="28"/>
          <w:szCs w:val="28"/>
        </w:rPr>
        <w:t>1</w:t>
      </w:r>
      <w:r w:rsidR="00FB09F5" w:rsidRPr="00643DCF">
        <w:rPr>
          <w:sz w:val="28"/>
          <w:szCs w:val="28"/>
        </w:rPr>
        <w:t xml:space="preserve"> del presente proveído,</w:t>
      </w:r>
      <w:r w:rsidRPr="00643DCF">
        <w:rPr>
          <w:sz w:val="28"/>
          <w:szCs w:val="28"/>
        </w:rPr>
        <w:t xml:space="preserve"> </w:t>
      </w:r>
      <w:r w:rsidR="0043453F" w:rsidRPr="00643DCF">
        <w:rPr>
          <w:sz w:val="28"/>
          <w:szCs w:val="28"/>
        </w:rPr>
        <w:t xml:space="preserve">el 8 de abril de 2015 </w:t>
      </w:r>
      <w:r w:rsidRPr="00643DCF">
        <w:rPr>
          <w:sz w:val="28"/>
          <w:szCs w:val="28"/>
        </w:rPr>
        <w:t xml:space="preserve">la Sala Administrativa del Consejo Superior de la </w:t>
      </w:r>
      <w:r w:rsidR="002862C0" w:rsidRPr="00643DCF">
        <w:rPr>
          <w:sz w:val="28"/>
          <w:szCs w:val="28"/>
        </w:rPr>
        <w:t>Judicatura</w:t>
      </w:r>
      <w:r w:rsidR="00030A51" w:rsidRPr="00643DCF">
        <w:rPr>
          <w:rStyle w:val="Refdenotaalpie"/>
          <w:sz w:val="28"/>
          <w:szCs w:val="28"/>
        </w:rPr>
        <w:footnoteReference w:id="63"/>
      </w:r>
      <w:r w:rsidR="00E51AA4" w:rsidRPr="00643DCF">
        <w:rPr>
          <w:sz w:val="28"/>
          <w:szCs w:val="28"/>
        </w:rPr>
        <w:t xml:space="preserve"> </w:t>
      </w:r>
      <w:r w:rsidR="00E76D43" w:rsidRPr="00643DCF">
        <w:rPr>
          <w:sz w:val="28"/>
          <w:szCs w:val="28"/>
        </w:rPr>
        <w:t xml:space="preserve">resaltó la existencia del vínculo </w:t>
      </w:r>
      <w:r w:rsidR="002A4964" w:rsidRPr="00643DCF">
        <w:rPr>
          <w:sz w:val="28"/>
          <w:szCs w:val="28"/>
        </w:rPr>
        <w:t>(</w:t>
      </w:r>
      <w:r w:rsidR="002A4964" w:rsidRPr="00643DCF">
        <w:rPr>
          <w:i/>
          <w:sz w:val="28"/>
          <w:szCs w:val="28"/>
        </w:rPr>
        <w:t>link</w:t>
      </w:r>
      <w:r w:rsidR="002A4964" w:rsidRPr="00643DCF">
        <w:rPr>
          <w:sz w:val="28"/>
          <w:szCs w:val="28"/>
        </w:rPr>
        <w:t>)</w:t>
      </w:r>
      <w:r w:rsidR="00241D87" w:rsidRPr="00643DCF">
        <w:rPr>
          <w:sz w:val="28"/>
          <w:szCs w:val="28"/>
        </w:rPr>
        <w:t xml:space="preserve"> en el nuevo portal de la Rama Judicial,</w:t>
      </w:r>
      <w:r w:rsidR="002A4964" w:rsidRPr="00643DCF">
        <w:rPr>
          <w:sz w:val="28"/>
          <w:szCs w:val="28"/>
        </w:rPr>
        <w:t xml:space="preserve"> </w:t>
      </w:r>
      <w:r w:rsidR="007E5A8C" w:rsidRPr="00643DCF">
        <w:rPr>
          <w:sz w:val="28"/>
          <w:szCs w:val="28"/>
        </w:rPr>
        <w:t xml:space="preserve">a través del </w:t>
      </w:r>
      <w:r w:rsidR="00757E3E" w:rsidRPr="00643DCF">
        <w:rPr>
          <w:sz w:val="28"/>
          <w:szCs w:val="28"/>
        </w:rPr>
        <w:t xml:space="preserve">que </w:t>
      </w:r>
      <w:r w:rsidR="0088485C" w:rsidRPr="00643DCF">
        <w:rPr>
          <w:sz w:val="28"/>
          <w:szCs w:val="28"/>
        </w:rPr>
        <w:t>era posible</w:t>
      </w:r>
      <w:r w:rsidR="007E5A8C" w:rsidRPr="00643DCF">
        <w:rPr>
          <w:sz w:val="28"/>
          <w:szCs w:val="28"/>
        </w:rPr>
        <w:t xml:space="preserve"> acceder al contenido de</w:t>
      </w:r>
      <w:r w:rsidR="00E51AA4" w:rsidRPr="00643DCF">
        <w:rPr>
          <w:sz w:val="28"/>
          <w:szCs w:val="28"/>
        </w:rPr>
        <w:t xml:space="preserve"> </w:t>
      </w:r>
      <w:r w:rsidR="007E5A8C" w:rsidRPr="00643DCF">
        <w:rPr>
          <w:sz w:val="28"/>
          <w:szCs w:val="28"/>
        </w:rPr>
        <w:t>l</w:t>
      </w:r>
      <w:r w:rsidR="00E51AA4" w:rsidRPr="00643DCF">
        <w:rPr>
          <w:sz w:val="28"/>
          <w:szCs w:val="28"/>
        </w:rPr>
        <w:t>a</w:t>
      </w:r>
      <w:r w:rsidR="007E5A8C" w:rsidRPr="00643DCF">
        <w:rPr>
          <w:sz w:val="28"/>
          <w:szCs w:val="28"/>
        </w:rPr>
        <w:t xml:space="preserve"> </w:t>
      </w:r>
      <w:r w:rsidR="00916402" w:rsidRPr="00643DCF">
        <w:rPr>
          <w:sz w:val="28"/>
          <w:szCs w:val="28"/>
        </w:rPr>
        <w:t>sentencia</w:t>
      </w:r>
      <w:r w:rsidR="002A4964" w:rsidRPr="00643DCF">
        <w:rPr>
          <w:sz w:val="28"/>
          <w:szCs w:val="28"/>
        </w:rPr>
        <w:t>,</w:t>
      </w:r>
      <w:r w:rsidR="00E51AA4" w:rsidRPr="00643DCF">
        <w:rPr>
          <w:sz w:val="28"/>
          <w:szCs w:val="28"/>
        </w:rPr>
        <w:t xml:space="preserve"> así como al </w:t>
      </w:r>
      <w:r w:rsidR="007E5A8C" w:rsidRPr="00643DCF">
        <w:rPr>
          <w:sz w:val="28"/>
          <w:szCs w:val="28"/>
        </w:rPr>
        <w:t xml:space="preserve">de los autos genéricos y específicos expedidos por la Sala </w:t>
      </w:r>
      <w:r w:rsidR="00037069" w:rsidRPr="00643DCF">
        <w:rPr>
          <w:sz w:val="28"/>
          <w:szCs w:val="28"/>
        </w:rPr>
        <w:t xml:space="preserve">de Seguimiento </w:t>
      </w:r>
      <w:r w:rsidR="002A4964" w:rsidRPr="00643DCF">
        <w:rPr>
          <w:sz w:val="28"/>
          <w:szCs w:val="28"/>
        </w:rPr>
        <w:t>hasta el año 2014</w:t>
      </w:r>
      <w:r w:rsidR="009A45A6" w:rsidRPr="00643DCF">
        <w:rPr>
          <w:rStyle w:val="Refdenotaalpie"/>
          <w:sz w:val="28"/>
          <w:szCs w:val="28"/>
        </w:rPr>
        <w:footnoteReference w:id="64"/>
      </w:r>
      <w:r w:rsidR="00241D87" w:rsidRPr="00643DCF">
        <w:rPr>
          <w:sz w:val="28"/>
          <w:szCs w:val="28"/>
        </w:rPr>
        <w:t>.</w:t>
      </w:r>
      <w:r w:rsidR="00E76D43" w:rsidRPr="00643DCF">
        <w:rPr>
          <w:sz w:val="28"/>
          <w:szCs w:val="28"/>
        </w:rPr>
        <w:t xml:space="preserve"> </w:t>
      </w:r>
    </w:p>
    <w:p w14:paraId="42384A25" w14:textId="77777777" w:rsidR="00E51AA4" w:rsidRPr="00643DCF" w:rsidRDefault="00E51AA4" w:rsidP="00E51AA4">
      <w:pPr>
        <w:widowControl w:val="0"/>
        <w:tabs>
          <w:tab w:val="left" w:pos="426"/>
        </w:tabs>
        <w:autoSpaceDE w:val="0"/>
        <w:autoSpaceDN w:val="0"/>
        <w:adjustRightInd w:val="0"/>
        <w:jc w:val="both"/>
        <w:rPr>
          <w:sz w:val="28"/>
          <w:szCs w:val="28"/>
        </w:rPr>
      </w:pPr>
    </w:p>
    <w:p w14:paraId="04813560" w14:textId="0EC2EF25" w:rsidR="00C3586F" w:rsidRPr="00643DCF" w:rsidRDefault="007E5A8C" w:rsidP="00C3586F">
      <w:pPr>
        <w:widowControl w:val="0"/>
        <w:tabs>
          <w:tab w:val="left" w:pos="426"/>
        </w:tabs>
        <w:autoSpaceDE w:val="0"/>
        <w:autoSpaceDN w:val="0"/>
        <w:adjustRightInd w:val="0"/>
        <w:jc w:val="both"/>
        <w:rPr>
          <w:sz w:val="28"/>
          <w:szCs w:val="28"/>
        </w:rPr>
      </w:pPr>
      <w:r w:rsidRPr="00643DCF">
        <w:rPr>
          <w:sz w:val="28"/>
          <w:szCs w:val="28"/>
        </w:rPr>
        <w:t>A su vez</w:t>
      </w:r>
      <w:r w:rsidR="002A4964" w:rsidRPr="00643DCF">
        <w:rPr>
          <w:sz w:val="28"/>
          <w:szCs w:val="28"/>
        </w:rPr>
        <w:t>,</w:t>
      </w:r>
      <w:r w:rsidRPr="00643DCF">
        <w:rPr>
          <w:sz w:val="28"/>
          <w:szCs w:val="28"/>
        </w:rPr>
        <w:t xml:space="preserve"> hizo saber que a febrero de esa anualidad</w:t>
      </w:r>
      <w:r w:rsidR="007F656B" w:rsidRPr="00643DCF">
        <w:rPr>
          <w:sz w:val="28"/>
          <w:szCs w:val="28"/>
        </w:rPr>
        <w:t xml:space="preserve"> </w:t>
      </w:r>
      <w:r w:rsidRPr="00643DCF">
        <w:rPr>
          <w:sz w:val="28"/>
          <w:szCs w:val="28"/>
        </w:rPr>
        <w:t>habían entregado 4121 ejemplares impresos</w:t>
      </w:r>
      <w:r w:rsidR="00E74787" w:rsidRPr="00643DCF">
        <w:rPr>
          <w:sz w:val="28"/>
          <w:szCs w:val="28"/>
        </w:rPr>
        <w:t xml:space="preserve"> de</w:t>
      </w:r>
      <w:r w:rsidR="007F656B" w:rsidRPr="00643DCF">
        <w:rPr>
          <w:sz w:val="28"/>
          <w:szCs w:val="28"/>
        </w:rPr>
        <w:t>l fallo estructural</w:t>
      </w:r>
      <w:r w:rsidR="00241D87" w:rsidRPr="00643DCF">
        <w:rPr>
          <w:sz w:val="28"/>
          <w:szCs w:val="28"/>
        </w:rPr>
        <w:t xml:space="preserve">; </w:t>
      </w:r>
      <w:r w:rsidR="00E74787" w:rsidRPr="00643DCF">
        <w:rPr>
          <w:sz w:val="28"/>
          <w:szCs w:val="28"/>
        </w:rPr>
        <w:t>i</w:t>
      </w:r>
      <w:r w:rsidR="00A92B91" w:rsidRPr="00643DCF">
        <w:rPr>
          <w:sz w:val="28"/>
          <w:szCs w:val="28"/>
        </w:rPr>
        <w:t>gualmente</w:t>
      </w:r>
      <w:r w:rsidR="002A4964" w:rsidRPr="00643DCF">
        <w:rPr>
          <w:sz w:val="28"/>
          <w:szCs w:val="28"/>
        </w:rPr>
        <w:t>,</w:t>
      </w:r>
      <w:r w:rsidR="00A92B91" w:rsidRPr="00643DCF">
        <w:rPr>
          <w:sz w:val="28"/>
          <w:szCs w:val="28"/>
        </w:rPr>
        <w:t xml:space="preserve"> </w:t>
      </w:r>
      <w:r w:rsidR="003F6122" w:rsidRPr="00643DCF">
        <w:rPr>
          <w:sz w:val="28"/>
          <w:szCs w:val="28"/>
        </w:rPr>
        <w:t xml:space="preserve">precisó </w:t>
      </w:r>
      <w:r w:rsidR="00A92B91" w:rsidRPr="00643DCF">
        <w:rPr>
          <w:sz w:val="28"/>
          <w:szCs w:val="28"/>
        </w:rPr>
        <w:t xml:space="preserve">que hizo </w:t>
      </w:r>
      <w:r w:rsidR="00A92B91" w:rsidRPr="00643DCF">
        <w:rPr>
          <w:sz w:val="28"/>
          <w:szCs w:val="28"/>
        </w:rPr>
        <w:lastRenderedPageBreak/>
        <w:t xml:space="preserve">transmisión </w:t>
      </w:r>
      <w:r w:rsidR="007F656B" w:rsidRPr="00643DCF">
        <w:rPr>
          <w:sz w:val="28"/>
          <w:szCs w:val="28"/>
        </w:rPr>
        <w:t>por televisión</w:t>
      </w:r>
      <w:r w:rsidR="007E188B" w:rsidRPr="00643DCF">
        <w:rPr>
          <w:rStyle w:val="Refdenotaalpie"/>
          <w:sz w:val="28"/>
          <w:szCs w:val="28"/>
        </w:rPr>
        <w:footnoteReference w:id="65"/>
      </w:r>
      <w:r w:rsidR="007F656B" w:rsidRPr="00643DCF">
        <w:rPr>
          <w:sz w:val="28"/>
          <w:szCs w:val="28"/>
        </w:rPr>
        <w:t xml:space="preserve"> </w:t>
      </w:r>
      <w:r w:rsidR="00A92B91" w:rsidRPr="00643DCF">
        <w:rPr>
          <w:sz w:val="28"/>
          <w:szCs w:val="28"/>
        </w:rPr>
        <w:t xml:space="preserve">de la sesión técnica de la </w:t>
      </w:r>
      <w:r w:rsidR="002A656D" w:rsidRPr="00643DCF">
        <w:rPr>
          <w:sz w:val="28"/>
          <w:szCs w:val="28"/>
        </w:rPr>
        <w:t>s</w:t>
      </w:r>
      <w:r w:rsidR="00916402" w:rsidRPr="00643DCF">
        <w:rPr>
          <w:sz w:val="28"/>
          <w:szCs w:val="28"/>
        </w:rPr>
        <w:t>entencia</w:t>
      </w:r>
      <w:r w:rsidR="00A92B91" w:rsidRPr="00643DCF">
        <w:rPr>
          <w:sz w:val="28"/>
          <w:szCs w:val="28"/>
        </w:rPr>
        <w:t xml:space="preserve"> T-760 de 2008</w:t>
      </w:r>
      <w:r w:rsidR="002A4964" w:rsidRPr="00643DCF">
        <w:rPr>
          <w:sz w:val="28"/>
          <w:szCs w:val="28"/>
        </w:rPr>
        <w:t>,</w:t>
      </w:r>
      <w:r w:rsidR="00A92B91" w:rsidRPr="00643DCF">
        <w:rPr>
          <w:sz w:val="28"/>
          <w:szCs w:val="28"/>
        </w:rPr>
        <w:t xml:space="preserve"> </w:t>
      </w:r>
      <w:r w:rsidR="007F656B" w:rsidRPr="00643DCF">
        <w:rPr>
          <w:sz w:val="28"/>
          <w:szCs w:val="28"/>
        </w:rPr>
        <w:t xml:space="preserve">que </w:t>
      </w:r>
      <w:r w:rsidR="00A92B91" w:rsidRPr="00643DCF">
        <w:rPr>
          <w:sz w:val="28"/>
          <w:szCs w:val="28"/>
        </w:rPr>
        <w:t xml:space="preserve">tuvo lugar </w:t>
      </w:r>
      <w:r w:rsidR="00C37AA8" w:rsidRPr="00643DCF">
        <w:rPr>
          <w:sz w:val="28"/>
          <w:szCs w:val="28"/>
        </w:rPr>
        <w:t xml:space="preserve">en la </w:t>
      </w:r>
      <w:r w:rsidR="00241D87" w:rsidRPr="00643DCF">
        <w:rPr>
          <w:sz w:val="28"/>
          <w:szCs w:val="28"/>
        </w:rPr>
        <w:t>s</w:t>
      </w:r>
      <w:r w:rsidR="00C37AA8" w:rsidRPr="00643DCF">
        <w:rPr>
          <w:sz w:val="28"/>
          <w:szCs w:val="28"/>
        </w:rPr>
        <w:t xml:space="preserve">ala de </w:t>
      </w:r>
      <w:r w:rsidR="00241D87" w:rsidRPr="00643DCF">
        <w:rPr>
          <w:sz w:val="28"/>
          <w:szCs w:val="28"/>
        </w:rPr>
        <w:t>a</w:t>
      </w:r>
      <w:r w:rsidR="00C37AA8" w:rsidRPr="00643DCF">
        <w:rPr>
          <w:sz w:val="28"/>
          <w:szCs w:val="28"/>
        </w:rPr>
        <w:t xml:space="preserve">udiencias de la Corte Constitucional </w:t>
      </w:r>
      <w:r w:rsidR="00A92B91" w:rsidRPr="00643DCF">
        <w:rPr>
          <w:sz w:val="28"/>
          <w:szCs w:val="28"/>
        </w:rPr>
        <w:t xml:space="preserve">el 19 de marzo de 2015 </w:t>
      </w:r>
      <w:r w:rsidR="00E51AA4" w:rsidRPr="00643DCF">
        <w:rPr>
          <w:sz w:val="28"/>
          <w:szCs w:val="28"/>
        </w:rPr>
        <w:t>de</w:t>
      </w:r>
      <w:r w:rsidR="00241D87" w:rsidRPr="00643DCF">
        <w:rPr>
          <w:sz w:val="28"/>
          <w:szCs w:val="28"/>
        </w:rPr>
        <w:t xml:space="preserve"> </w:t>
      </w:r>
      <w:r w:rsidR="00E51AA4" w:rsidRPr="00643DCF">
        <w:rPr>
          <w:sz w:val="28"/>
          <w:szCs w:val="28"/>
        </w:rPr>
        <w:t>las 8</w:t>
      </w:r>
      <w:r w:rsidR="006C2036" w:rsidRPr="00643DCF">
        <w:rPr>
          <w:sz w:val="28"/>
          <w:szCs w:val="28"/>
        </w:rPr>
        <w:t xml:space="preserve"> </w:t>
      </w:r>
      <w:r w:rsidR="00E51AA4" w:rsidRPr="00643DCF">
        <w:rPr>
          <w:sz w:val="28"/>
          <w:szCs w:val="28"/>
        </w:rPr>
        <w:t xml:space="preserve">am </w:t>
      </w:r>
      <w:r w:rsidR="00241D87" w:rsidRPr="00643DCF">
        <w:rPr>
          <w:sz w:val="28"/>
          <w:szCs w:val="28"/>
        </w:rPr>
        <w:t xml:space="preserve">a </w:t>
      </w:r>
      <w:r w:rsidR="00E51AA4" w:rsidRPr="00643DCF">
        <w:rPr>
          <w:sz w:val="28"/>
          <w:szCs w:val="28"/>
        </w:rPr>
        <w:t>las 5</w:t>
      </w:r>
      <w:r w:rsidR="006C2036" w:rsidRPr="00643DCF">
        <w:rPr>
          <w:sz w:val="28"/>
          <w:szCs w:val="28"/>
        </w:rPr>
        <w:t xml:space="preserve"> pm;</w:t>
      </w:r>
      <w:r w:rsidR="00E51AA4" w:rsidRPr="00643DCF">
        <w:rPr>
          <w:sz w:val="28"/>
          <w:szCs w:val="28"/>
        </w:rPr>
        <w:t xml:space="preserve"> </w:t>
      </w:r>
      <w:r w:rsidR="00E74787" w:rsidRPr="00643DCF">
        <w:rPr>
          <w:sz w:val="28"/>
          <w:szCs w:val="28"/>
        </w:rPr>
        <w:t xml:space="preserve">así </w:t>
      </w:r>
      <w:r w:rsidR="00A92B91" w:rsidRPr="00643DCF">
        <w:rPr>
          <w:sz w:val="28"/>
          <w:szCs w:val="28"/>
        </w:rPr>
        <w:t>mismo</w:t>
      </w:r>
      <w:r w:rsidR="002A4964" w:rsidRPr="00643DCF">
        <w:rPr>
          <w:sz w:val="28"/>
          <w:szCs w:val="28"/>
        </w:rPr>
        <w:t>,</w:t>
      </w:r>
      <w:r w:rsidR="00A92B91" w:rsidRPr="00643DCF">
        <w:rPr>
          <w:sz w:val="28"/>
          <w:szCs w:val="28"/>
        </w:rPr>
        <w:t xml:space="preserve"> el Cendoj cubrió la grabación del “</w:t>
      </w:r>
      <w:r w:rsidR="00A92B91" w:rsidRPr="00643DCF">
        <w:rPr>
          <w:i/>
          <w:sz w:val="28"/>
          <w:szCs w:val="28"/>
        </w:rPr>
        <w:t>Seminario de Actualización sobre el Derecho Fundamental a la Salud-</w:t>
      </w:r>
      <w:r w:rsidR="00916402" w:rsidRPr="00643DCF">
        <w:rPr>
          <w:i/>
          <w:sz w:val="28"/>
          <w:szCs w:val="28"/>
        </w:rPr>
        <w:t>Sentencia</w:t>
      </w:r>
      <w:r w:rsidR="00A92B91" w:rsidRPr="00643DCF">
        <w:rPr>
          <w:i/>
          <w:sz w:val="28"/>
          <w:szCs w:val="28"/>
        </w:rPr>
        <w:t xml:space="preserve"> T</w:t>
      </w:r>
      <w:r w:rsidR="00C3586F" w:rsidRPr="00643DCF">
        <w:rPr>
          <w:i/>
          <w:sz w:val="28"/>
          <w:szCs w:val="28"/>
        </w:rPr>
        <w:t>-</w:t>
      </w:r>
      <w:r w:rsidR="00A92B91" w:rsidRPr="00643DCF">
        <w:rPr>
          <w:i/>
          <w:sz w:val="28"/>
          <w:szCs w:val="28"/>
        </w:rPr>
        <w:t>760 de 2008</w:t>
      </w:r>
      <w:r w:rsidR="00A92B91" w:rsidRPr="00643DCF">
        <w:rPr>
          <w:sz w:val="28"/>
          <w:szCs w:val="28"/>
        </w:rPr>
        <w:t>”</w:t>
      </w:r>
      <w:r w:rsidR="00E01D20" w:rsidRPr="00643DCF">
        <w:rPr>
          <w:sz w:val="28"/>
          <w:szCs w:val="28"/>
        </w:rPr>
        <w:t>,</w:t>
      </w:r>
      <w:r w:rsidR="00A92B91" w:rsidRPr="00643DCF">
        <w:rPr>
          <w:sz w:val="28"/>
          <w:szCs w:val="28"/>
        </w:rPr>
        <w:t xml:space="preserve"> </w:t>
      </w:r>
      <w:r w:rsidR="00E51AA4" w:rsidRPr="00643DCF">
        <w:rPr>
          <w:sz w:val="28"/>
          <w:szCs w:val="28"/>
        </w:rPr>
        <w:t>que se llevó a cabo</w:t>
      </w:r>
      <w:r w:rsidR="00D3374B" w:rsidRPr="00643DCF">
        <w:rPr>
          <w:sz w:val="28"/>
          <w:szCs w:val="28"/>
        </w:rPr>
        <w:t xml:space="preserve"> en </w:t>
      </w:r>
      <w:r w:rsidR="00C3586F" w:rsidRPr="00643DCF">
        <w:rPr>
          <w:sz w:val="28"/>
          <w:szCs w:val="28"/>
        </w:rPr>
        <w:t>Quibdó el</w:t>
      </w:r>
      <w:r w:rsidR="005F2E09" w:rsidRPr="00643DCF">
        <w:rPr>
          <w:sz w:val="28"/>
          <w:szCs w:val="28"/>
        </w:rPr>
        <w:t xml:space="preserve"> </w:t>
      </w:r>
      <w:r w:rsidR="00A92B91" w:rsidRPr="00643DCF">
        <w:rPr>
          <w:sz w:val="28"/>
          <w:szCs w:val="28"/>
        </w:rPr>
        <w:t>26 de enero de esa misma anualidad</w:t>
      </w:r>
      <w:r w:rsidR="006C2036" w:rsidRPr="00643DCF">
        <w:rPr>
          <w:sz w:val="28"/>
          <w:szCs w:val="28"/>
        </w:rPr>
        <w:t>,</w:t>
      </w:r>
      <w:r w:rsidR="005F2E09" w:rsidRPr="00643DCF">
        <w:rPr>
          <w:sz w:val="28"/>
          <w:szCs w:val="28"/>
        </w:rPr>
        <w:t xml:space="preserve"> el cual fue organizado por la </w:t>
      </w:r>
      <w:r w:rsidR="007F656B" w:rsidRPr="00643DCF">
        <w:rPr>
          <w:sz w:val="28"/>
          <w:szCs w:val="28"/>
        </w:rPr>
        <w:t>EJRLB</w:t>
      </w:r>
      <w:r w:rsidR="00E74787" w:rsidRPr="00643DCF">
        <w:rPr>
          <w:sz w:val="28"/>
          <w:szCs w:val="28"/>
        </w:rPr>
        <w:t xml:space="preserve">, </w:t>
      </w:r>
      <w:r w:rsidR="007F656B" w:rsidRPr="00643DCF">
        <w:rPr>
          <w:sz w:val="28"/>
          <w:szCs w:val="28"/>
        </w:rPr>
        <w:t>mediante el que 238</w:t>
      </w:r>
      <w:r w:rsidR="00E74787" w:rsidRPr="00643DCF">
        <w:rPr>
          <w:sz w:val="28"/>
          <w:szCs w:val="28"/>
        </w:rPr>
        <w:t xml:space="preserve"> funcionarios</w:t>
      </w:r>
      <w:r w:rsidR="007F656B" w:rsidRPr="00643DCF">
        <w:rPr>
          <w:sz w:val="28"/>
          <w:szCs w:val="28"/>
        </w:rPr>
        <w:t xml:space="preserve">, </w:t>
      </w:r>
      <w:r w:rsidR="00E74787" w:rsidRPr="00643DCF">
        <w:rPr>
          <w:sz w:val="28"/>
          <w:szCs w:val="28"/>
        </w:rPr>
        <w:t>empleados judiciales y representantes de entidades públicas y privadas que participan en el Sistema General de Seguridad Social en Salud</w:t>
      </w:r>
      <w:r w:rsidR="00607110" w:rsidRPr="00643DCF">
        <w:rPr>
          <w:sz w:val="28"/>
          <w:szCs w:val="28"/>
        </w:rPr>
        <w:t>,</w:t>
      </w:r>
      <w:r w:rsidR="007F656B" w:rsidRPr="00643DCF">
        <w:rPr>
          <w:sz w:val="28"/>
          <w:szCs w:val="28"/>
        </w:rPr>
        <w:t xml:space="preserve"> fueron capacitados</w:t>
      </w:r>
      <w:r w:rsidR="00E74787" w:rsidRPr="00643DCF">
        <w:rPr>
          <w:sz w:val="28"/>
          <w:szCs w:val="28"/>
        </w:rPr>
        <w:t xml:space="preserve"> y 4000</w:t>
      </w:r>
      <w:r w:rsidR="00C41EE9" w:rsidRPr="00643DCF">
        <w:rPr>
          <w:sz w:val="28"/>
          <w:szCs w:val="28"/>
        </w:rPr>
        <w:t xml:space="preserve"> más</w:t>
      </w:r>
      <w:r w:rsidR="007F656B" w:rsidRPr="00643DCF">
        <w:rPr>
          <w:sz w:val="28"/>
          <w:szCs w:val="28"/>
        </w:rPr>
        <w:t xml:space="preserve"> lo hicieron </w:t>
      </w:r>
      <w:r w:rsidR="00E74787" w:rsidRPr="00643DCF">
        <w:rPr>
          <w:sz w:val="28"/>
          <w:szCs w:val="28"/>
        </w:rPr>
        <w:t xml:space="preserve">vía video </w:t>
      </w:r>
      <w:r w:rsidR="00E74787" w:rsidRPr="00643DCF">
        <w:rPr>
          <w:i/>
          <w:sz w:val="28"/>
          <w:szCs w:val="28"/>
        </w:rPr>
        <w:t>streaming</w:t>
      </w:r>
      <w:r w:rsidR="00C3586F" w:rsidRPr="00643DCF">
        <w:rPr>
          <w:sz w:val="28"/>
          <w:szCs w:val="28"/>
        </w:rPr>
        <w:t>.</w:t>
      </w:r>
    </w:p>
    <w:p w14:paraId="1C6981CA" w14:textId="77777777" w:rsidR="002D337E" w:rsidRPr="00643DCF" w:rsidRDefault="002D337E" w:rsidP="00C3586F">
      <w:pPr>
        <w:widowControl w:val="0"/>
        <w:tabs>
          <w:tab w:val="left" w:pos="426"/>
        </w:tabs>
        <w:autoSpaceDE w:val="0"/>
        <w:autoSpaceDN w:val="0"/>
        <w:adjustRightInd w:val="0"/>
        <w:jc w:val="both"/>
        <w:rPr>
          <w:sz w:val="28"/>
          <w:szCs w:val="28"/>
        </w:rPr>
      </w:pPr>
    </w:p>
    <w:p w14:paraId="787CFFB1" w14:textId="41FBD9AF" w:rsidR="007B1A6B" w:rsidRPr="00643DCF" w:rsidRDefault="00C3586F" w:rsidP="00B14E08">
      <w:pPr>
        <w:widowControl w:val="0"/>
        <w:numPr>
          <w:ilvl w:val="0"/>
          <w:numId w:val="3"/>
        </w:numPr>
        <w:tabs>
          <w:tab w:val="left" w:pos="426"/>
        </w:tabs>
        <w:autoSpaceDE w:val="0"/>
        <w:autoSpaceDN w:val="0"/>
        <w:adjustRightInd w:val="0"/>
        <w:ind w:left="0" w:firstLine="0"/>
        <w:jc w:val="both"/>
        <w:rPr>
          <w:sz w:val="28"/>
          <w:szCs w:val="28"/>
        </w:rPr>
      </w:pPr>
      <w:r w:rsidRPr="00643DCF">
        <w:rPr>
          <w:sz w:val="28"/>
          <w:szCs w:val="28"/>
        </w:rPr>
        <w:t xml:space="preserve"> </w:t>
      </w:r>
      <w:r w:rsidR="005F2E09" w:rsidRPr="00643DCF">
        <w:rPr>
          <w:sz w:val="28"/>
          <w:szCs w:val="28"/>
        </w:rPr>
        <w:t>El 24 de junio de 2015</w:t>
      </w:r>
      <w:r w:rsidR="00E01D20" w:rsidRPr="00643DCF">
        <w:rPr>
          <w:sz w:val="28"/>
          <w:szCs w:val="28"/>
        </w:rPr>
        <w:t>,</w:t>
      </w:r>
      <w:r w:rsidR="005F2E09" w:rsidRPr="00643DCF">
        <w:rPr>
          <w:rStyle w:val="Refdenotaalpie"/>
          <w:sz w:val="28"/>
          <w:szCs w:val="28"/>
        </w:rPr>
        <w:footnoteReference w:id="66"/>
      </w:r>
      <w:r w:rsidR="005F2E09" w:rsidRPr="00643DCF">
        <w:rPr>
          <w:sz w:val="28"/>
          <w:szCs w:val="28"/>
        </w:rPr>
        <w:t xml:space="preserve"> la Defensoría del Pueblo radic</w:t>
      </w:r>
      <w:r w:rsidR="00FB4F1F" w:rsidRPr="00643DCF">
        <w:rPr>
          <w:sz w:val="28"/>
          <w:szCs w:val="28"/>
        </w:rPr>
        <w:t>ó</w:t>
      </w:r>
      <w:r w:rsidR="005F2E09" w:rsidRPr="00643DCF">
        <w:rPr>
          <w:sz w:val="28"/>
          <w:szCs w:val="28"/>
        </w:rPr>
        <w:t xml:space="preserve"> el séptimo informe de seguimiento</w:t>
      </w:r>
      <w:r w:rsidR="00E51AA4" w:rsidRPr="00643DCF">
        <w:rPr>
          <w:sz w:val="28"/>
          <w:szCs w:val="28"/>
        </w:rPr>
        <w:t xml:space="preserve"> a la </w:t>
      </w:r>
      <w:r w:rsidR="00AE5377" w:rsidRPr="00643DCF">
        <w:rPr>
          <w:sz w:val="28"/>
          <w:szCs w:val="28"/>
        </w:rPr>
        <w:t>s</w:t>
      </w:r>
      <w:r w:rsidR="00916402" w:rsidRPr="00643DCF">
        <w:rPr>
          <w:sz w:val="28"/>
          <w:szCs w:val="28"/>
        </w:rPr>
        <w:t>entencia</w:t>
      </w:r>
      <w:r w:rsidR="00E51AA4" w:rsidRPr="00643DCF">
        <w:rPr>
          <w:sz w:val="28"/>
          <w:szCs w:val="28"/>
        </w:rPr>
        <w:t xml:space="preserve"> T-760 de 2008.</w:t>
      </w:r>
      <w:r w:rsidR="005F2E09" w:rsidRPr="00643DCF">
        <w:rPr>
          <w:sz w:val="28"/>
          <w:szCs w:val="28"/>
        </w:rPr>
        <w:t xml:space="preserve"> </w:t>
      </w:r>
      <w:r w:rsidR="00E51AA4" w:rsidRPr="00643DCF">
        <w:rPr>
          <w:sz w:val="28"/>
          <w:szCs w:val="28"/>
        </w:rPr>
        <w:t>E</w:t>
      </w:r>
      <w:r w:rsidR="005F2E09" w:rsidRPr="00643DCF">
        <w:rPr>
          <w:sz w:val="28"/>
          <w:szCs w:val="28"/>
        </w:rPr>
        <w:t xml:space="preserve">n </w:t>
      </w:r>
      <w:r w:rsidR="007F656B" w:rsidRPr="00643DCF">
        <w:rPr>
          <w:sz w:val="28"/>
          <w:szCs w:val="28"/>
        </w:rPr>
        <w:t xml:space="preserve">esa </w:t>
      </w:r>
      <w:r w:rsidR="00916402" w:rsidRPr="00643DCF">
        <w:rPr>
          <w:sz w:val="28"/>
          <w:szCs w:val="28"/>
        </w:rPr>
        <w:t>oportunidad</w:t>
      </w:r>
      <w:r w:rsidR="00E01D20" w:rsidRPr="00643DCF">
        <w:rPr>
          <w:sz w:val="28"/>
          <w:szCs w:val="28"/>
        </w:rPr>
        <w:t>,</w:t>
      </w:r>
      <w:r w:rsidR="00916402" w:rsidRPr="00643DCF">
        <w:rPr>
          <w:sz w:val="28"/>
          <w:szCs w:val="28"/>
        </w:rPr>
        <w:t xml:space="preserve"> </w:t>
      </w:r>
      <w:r w:rsidR="005F2E09" w:rsidRPr="00643DCF">
        <w:rPr>
          <w:sz w:val="28"/>
          <w:szCs w:val="28"/>
        </w:rPr>
        <w:t>elevó una serie de interrogantes a la Sala Administrativa del Consejo Superior de la Judicatura</w:t>
      </w:r>
      <w:r w:rsidRPr="00643DCF">
        <w:rPr>
          <w:sz w:val="28"/>
          <w:szCs w:val="28"/>
        </w:rPr>
        <w:t xml:space="preserve">, </w:t>
      </w:r>
      <w:r w:rsidR="007F656B" w:rsidRPr="00643DCF">
        <w:rPr>
          <w:sz w:val="28"/>
          <w:szCs w:val="28"/>
        </w:rPr>
        <w:t>que</w:t>
      </w:r>
      <w:r w:rsidRPr="00643DCF">
        <w:rPr>
          <w:sz w:val="28"/>
          <w:szCs w:val="28"/>
        </w:rPr>
        <w:t xml:space="preserve"> hacían referencia a los mecanismos implementados por parte de</w:t>
      </w:r>
      <w:r w:rsidR="00AE5377" w:rsidRPr="00643DCF">
        <w:rPr>
          <w:sz w:val="28"/>
          <w:szCs w:val="28"/>
        </w:rPr>
        <w:t xml:space="preserve"> esta entidad</w:t>
      </w:r>
      <w:r w:rsidR="003C011B" w:rsidRPr="00643DCF">
        <w:rPr>
          <w:sz w:val="28"/>
          <w:szCs w:val="28"/>
        </w:rPr>
        <w:t xml:space="preserve"> </w:t>
      </w:r>
      <w:r w:rsidR="00241D87" w:rsidRPr="00643DCF">
        <w:rPr>
          <w:sz w:val="28"/>
          <w:szCs w:val="28"/>
        </w:rPr>
        <w:t>para</w:t>
      </w:r>
      <w:r w:rsidR="007F656B" w:rsidRPr="00643DCF">
        <w:rPr>
          <w:sz w:val="28"/>
          <w:szCs w:val="28"/>
        </w:rPr>
        <w:t xml:space="preserve"> dar</w:t>
      </w:r>
      <w:r w:rsidRPr="00643DCF">
        <w:rPr>
          <w:sz w:val="28"/>
          <w:szCs w:val="28"/>
        </w:rPr>
        <w:t xml:space="preserve"> cu</w:t>
      </w:r>
      <w:r w:rsidR="00880ABF" w:rsidRPr="00643DCF">
        <w:rPr>
          <w:sz w:val="28"/>
          <w:szCs w:val="28"/>
        </w:rPr>
        <w:t xml:space="preserve">mplimiento a la orden </w:t>
      </w:r>
      <w:r w:rsidR="00241D87" w:rsidRPr="00643DCF">
        <w:rPr>
          <w:sz w:val="28"/>
          <w:szCs w:val="28"/>
        </w:rPr>
        <w:t>general. Así mismo</w:t>
      </w:r>
      <w:r w:rsidR="00757E3E" w:rsidRPr="00643DCF">
        <w:rPr>
          <w:sz w:val="28"/>
          <w:szCs w:val="28"/>
        </w:rPr>
        <w:t>,</w:t>
      </w:r>
      <w:r w:rsidR="00BD5D36" w:rsidRPr="00643DCF">
        <w:rPr>
          <w:sz w:val="28"/>
          <w:szCs w:val="28"/>
        </w:rPr>
        <w:t xml:space="preserve"> </w:t>
      </w:r>
      <w:r w:rsidR="000A6810" w:rsidRPr="00643DCF">
        <w:rPr>
          <w:sz w:val="28"/>
          <w:szCs w:val="28"/>
        </w:rPr>
        <w:t xml:space="preserve">mencionó </w:t>
      </w:r>
      <w:r w:rsidR="00452B9C" w:rsidRPr="00643DCF">
        <w:rPr>
          <w:sz w:val="28"/>
          <w:szCs w:val="28"/>
        </w:rPr>
        <w:t xml:space="preserve">que </w:t>
      </w:r>
      <w:r w:rsidR="009D3DCD" w:rsidRPr="00643DCF">
        <w:rPr>
          <w:sz w:val="28"/>
          <w:szCs w:val="28"/>
        </w:rPr>
        <w:t xml:space="preserve">había obtenido </w:t>
      </w:r>
      <w:r w:rsidR="00452B9C" w:rsidRPr="00643DCF">
        <w:rPr>
          <w:sz w:val="28"/>
          <w:szCs w:val="28"/>
        </w:rPr>
        <w:t>resultados positivos, toda vez que ha</w:t>
      </w:r>
      <w:r w:rsidR="00086B69" w:rsidRPr="00643DCF">
        <w:rPr>
          <w:sz w:val="28"/>
          <w:szCs w:val="28"/>
        </w:rPr>
        <w:t>bía</w:t>
      </w:r>
      <w:r w:rsidR="00452B9C" w:rsidRPr="00643DCF">
        <w:rPr>
          <w:sz w:val="28"/>
          <w:szCs w:val="28"/>
        </w:rPr>
        <w:t xml:space="preserve"> aumentado el número de estrategias y jueces capacitados </w:t>
      </w:r>
      <w:r w:rsidR="009D3DCD" w:rsidRPr="00643DCF">
        <w:rPr>
          <w:sz w:val="28"/>
          <w:szCs w:val="28"/>
        </w:rPr>
        <w:t xml:space="preserve">mediante </w:t>
      </w:r>
      <w:r w:rsidR="00452B9C" w:rsidRPr="00643DCF">
        <w:rPr>
          <w:sz w:val="28"/>
          <w:szCs w:val="28"/>
        </w:rPr>
        <w:t>la difusión de la sentencia</w:t>
      </w:r>
      <w:r w:rsidR="009D3DCD" w:rsidRPr="00643DCF">
        <w:rPr>
          <w:sz w:val="28"/>
          <w:szCs w:val="28"/>
        </w:rPr>
        <w:t>.</w:t>
      </w:r>
      <w:r w:rsidR="00452B9C" w:rsidRPr="00643DCF">
        <w:rPr>
          <w:sz w:val="28"/>
          <w:szCs w:val="28"/>
        </w:rPr>
        <w:t xml:space="preserve"> </w:t>
      </w:r>
    </w:p>
    <w:p w14:paraId="401FFACE" w14:textId="77777777" w:rsidR="009D3DCD" w:rsidRPr="00643DCF" w:rsidRDefault="009D3DCD" w:rsidP="00EF3916">
      <w:pPr>
        <w:widowControl w:val="0"/>
        <w:tabs>
          <w:tab w:val="left" w:pos="426"/>
        </w:tabs>
        <w:autoSpaceDE w:val="0"/>
        <w:autoSpaceDN w:val="0"/>
        <w:adjustRightInd w:val="0"/>
        <w:jc w:val="right"/>
        <w:rPr>
          <w:sz w:val="28"/>
          <w:szCs w:val="28"/>
        </w:rPr>
      </w:pPr>
    </w:p>
    <w:p w14:paraId="6E6A271A" w14:textId="22F3850E" w:rsidR="00E01D20" w:rsidRPr="00643DCF" w:rsidRDefault="007B1A6B" w:rsidP="007B1A6B">
      <w:pPr>
        <w:pStyle w:val="Prrafodelista"/>
        <w:widowControl w:val="0"/>
        <w:tabs>
          <w:tab w:val="left" w:pos="426"/>
        </w:tabs>
        <w:autoSpaceDE w:val="0"/>
        <w:autoSpaceDN w:val="0"/>
        <w:adjustRightInd w:val="0"/>
        <w:ind w:left="0"/>
        <w:jc w:val="both"/>
        <w:rPr>
          <w:sz w:val="28"/>
          <w:szCs w:val="28"/>
        </w:rPr>
      </w:pPr>
      <w:r w:rsidRPr="00643DCF">
        <w:rPr>
          <w:sz w:val="28"/>
          <w:szCs w:val="28"/>
        </w:rPr>
        <w:t>Al respecto</w:t>
      </w:r>
      <w:r w:rsidR="00E01D20" w:rsidRPr="00643DCF">
        <w:rPr>
          <w:sz w:val="28"/>
          <w:szCs w:val="28"/>
        </w:rPr>
        <w:t>,</w:t>
      </w:r>
      <w:r w:rsidRPr="00643DCF">
        <w:rPr>
          <w:sz w:val="28"/>
          <w:szCs w:val="28"/>
        </w:rPr>
        <w:t xml:space="preserve"> </w:t>
      </w:r>
      <w:r w:rsidR="00E96220" w:rsidRPr="00643DCF">
        <w:rPr>
          <w:sz w:val="28"/>
          <w:szCs w:val="28"/>
        </w:rPr>
        <w:t xml:space="preserve">mencionó que </w:t>
      </w:r>
      <w:r w:rsidRPr="00643DCF">
        <w:rPr>
          <w:sz w:val="28"/>
          <w:szCs w:val="28"/>
        </w:rPr>
        <w:t xml:space="preserve">el </w:t>
      </w:r>
      <w:r w:rsidR="00757E3E" w:rsidRPr="00643DCF">
        <w:rPr>
          <w:sz w:val="28"/>
          <w:szCs w:val="28"/>
        </w:rPr>
        <w:t xml:space="preserve">Consejo Superior </w:t>
      </w:r>
      <w:r w:rsidR="00543DB0" w:rsidRPr="00643DCF">
        <w:rPr>
          <w:sz w:val="28"/>
          <w:szCs w:val="28"/>
        </w:rPr>
        <w:t xml:space="preserve">expuso </w:t>
      </w:r>
      <w:r w:rsidRPr="00643DCF">
        <w:rPr>
          <w:sz w:val="28"/>
          <w:szCs w:val="28"/>
        </w:rPr>
        <w:t xml:space="preserve">haber adelantado una serie de </w:t>
      </w:r>
      <w:r w:rsidR="00E01D20" w:rsidRPr="00643DCF">
        <w:rPr>
          <w:sz w:val="28"/>
          <w:szCs w:val="28"/>
        </w:rPr>
        <w:t>“</w:t>
      </w:r>
      <w:r w:rsidRPr="00643DCF">
        <w:rPr>
          <w:i/>
          <w:sz w:val="28"/>
          <w:szCs w:val="28"/>
        </w:rPr>
        <w:t>cursos de profundización</w:t>
      </w:r>
      <w:r w:rsidR="00E01D20" w:rsidRPr="00643DCF">
        <w:rPr>
          <w:sz w:val="28"/>
          <w:szCs w:val="28"/>
        </w:rPr>
        <w:t>”</w:t>
      </w:r>
      <w:r w:rsidRPr="00643DCF">
        <w:rPr>
          <w:sz w:val="28"/>
          <w:szCs w:val="28"/>
        </w:rPr>
        <w:t>, un</w:t>
      </w:r>
      <w:r w:rsidR="00C41EE9" w:rsidRPr="00643DCF">
        <w:rPr>
          <w:sz w:val="28"/>
          <w:szCs w:val="28"/>
        </w:rPr>
        <w:t xml:space="preserve">a </w:t>
      </w:r>
      <w:r w:rsidRPr="00643DCF">
        <w:rPr>
          <w:sz w:val="28"/>
          <w:szCs w:val="28"/>
        </w:rPr>
        <w:t>v</w:t>
      </w:r>
      <w:r w:rsidR="002213FB" w:rsidRPr="00643DCF">
        <w:rPr>
          <w:sz w:val="28"/>
          <w:szCs w:val="28"/>
        </w:rPr>
        <w:t>ideo</w:t>
      </w:r>
      <w:r w:rsidRPr="00643DCF">
        <w:rPr>
          <w:sz w:val="28"/>
          <w:szCs w:val="28"/>
        </w:rPr>
        <w:t xml:space="preserve">conferencia, un seminario de divulgación de la sentencia, el diseño y elaboración de folletos informativos y la inclusión de un </w:t>
      </w:r>
      <w:r w:rsidRPr="00643DCF">
        <w:rPr>
          <w:i/>
          <w:sz w:val="28"/>
          <w:szCs w:val="28"/>
        </w:rPr>
        <w:t>l</w:t>
      </w:r>
      <w:r w:rsidR="002213FB" w:rsidRPr="00643DCF">
        <w:rPr>
          <w:i/>
          <w:sz w:val="28"/>
          <w:szCs w:val="28"/>
        </w:rPr>
        <w:t xml:space="preserve">ink </w:t>
      </w:r>
      <w:r w:rsidR="002213FB" w:rsidRPr="00643DCF">
        <w:rPr>
          <w:sz w:val="28"/>
          <w:szCs w:val="28"/>
        </w:rPr>
        <w:t xml:space="preserve">de acceso rápido en la página </w:t>
      </w:r>
      <w:r w:rsidR="006C6B21" w:rsidRPr="00643DCF">
        <w:rPr>
          <w:sz w:val="28"/>
          <w:szCs w:val="28"/>
        </w:rPr>
        <w:t>web</w:t>
      </w:r>
      <w:r w:rsidR="002213FB" w:rsidRPr="00643DCF">
        <w:rPr>
          <w:sz w:val="28"/>
          <w:szCs w:val="28"/>
        </w:rPr>
        <w:t xml:space="preserve"> de la </w:t>
      </w:r>
      <w:r w:rsidR="00BE225C" w:rsidRPr="00643DCF">
        <w:rPr>
          <w:sz w:val="28"/>
          <w:szCs w:val="28"/>
        </w:rPr>
        <w:t>Escuela judicial</w:t>
      </w:r>
      <w:r w:rsidR="002213FB" w:rsidRPr="00643DCF">
        <w:rPr>
          <w:sz w:val="28"/>
          <w:szCs w:val="28"/>
        </w:rPr>
        <w:t>.</w:t>
      </w:r>
      <w:r w:rsidR="003616BD" w:rsidRPr="00643DCF">
        <w:rPr>
          <w:sz w:val="28"/>
          <w:szCs w:val="28"/>
        </w:rPr>
        <w:t xml:space="preserve"> Así mismo</w:t>
      </w:r>
      <w:r w:rsidR="009D3DCD" w:rsidRPr="00643DCF">
        <w:rPr>
          <w:sz w:val="28"/>
          <w:szCs w:val="28"/>
        </w:rPr>
        <w:t xml:space="preserve"> </w:t>
      </w:r>
      <w:r w:rsidR="00030A51" w:rsidRPr="00643DCF">
        <w:rPr>
          <w:sz w:val="28"/>
          <w:szCs w:val="28"/>
        </w:rPr>
        <w:t>afirmó</w:t>
      </w:r>
      <w:r w:rsidRPr="00643DCF">
        <w:rPr>
          <w:sz w:val="28"/>
          <w:szCs w:val="28"/>
        </w:rPr>
        <w:t xml:space="preserve"> haber capacitado un total de 467 funcionarios durante el año 2014. </w:t>
      </w:r>
    </w:p>
    <w:p w14:paraId="796B0FBF" w14:textId="77777777" w:rsidR="00E01D20" w:rsidRPr="00643DCF" w:rsidRDefault="00E01D20" w:rsidP="007B1A6B">
      <w:pPr>
        <w:pStyle w:val="Prrafodelista"/>
        <w:widowControl w:val="0"/>
        <w:tabs>
          <w:tab w:val="left" w:pos="426"/>
        </w:tabs>
        <w:autoSpaceDE w:val="0"/>
        <w:autoSpaceDN w:val="0"/>
        <w:adjustRightInd w:val="0"/>
        <w:ind w:left="0"/>
        <w:jc w:val="both"/>
        <w:rPr>
          <w:sz w:val="28"/>
          <w:szCs w:val="28"/>
        </w:rPr>
      </w:pPr>
    </w:p>
    <w:p w14:paraId="1B48039B" w14:textId="272AA1C4" w:rsidR="002213FB" w:rsidRPr="00643DCF" w:rsidRDefault="009D3DCD" w:rsidP="006A4D3E">
      <w:pPr>
        <w:pStyle w:val="Prrafodelista"/>
        <w:widowControl w:val="0"/>
        <w:tabs>
          <w:tab w:val="left" w:pos="426"/>
        </w:tabs>
        <w:autoSpaceDE w:val="0"/>
        <w:autoSpaceDN w:val="0"/>
        <w:adjustRightInd w:val="0"/>
        <w:ind w:left="0"/>
        <w:jc w:val="both"/>
        <w:rPr>
          <w:i/>
          <w:sz w:val="28"/>
          <w:szCs w:val="28"/>
        </w:rPr>
      </w:pPr>
      <w:r w:rsidRPr="00643DCF">
        <w:rPr>
          <w:sz w:val="28"/>
          <w:szCs w:val="28"/>
        </w:rPr>
        <w:t>Adicionalmente comentó algunos problemas</w:t>
      </w:r>
      <w:r w:rsidR="00DB15F1" w:rsidRPr="00643DCF">
        <w:rPr>
          <w:sz w:val="28"/>
          <w:szCs w:val="28"/>
        </w:rPr>
        <w:t>, entre ellos</w:t>
      </w:r>
      <w:r w:rsidR="00CF37CF" w:rsidRPr="00643DCF">
        <w:rPr>
          <w:sz w:val="28"/>
          <w:szCs w:val="28"/>
        </w:rPr>
        <w:t>,</w:t>
      </w:r>
      <w:r w:rsidR="00DB15F1" w:rsidRPr="00643DCF">
        <w:rPr>
          <w:sz w:val="28"/>
          <w:szCs w:val="28"/>
        </w:rPr>
        <w:t xml:space="preserve"> la</w:t>
      </w:r>
      <w:r w:rsidR="007B1A6B" w:rsidRPr="00643DCF">
        <w:rPr>
          <w:sz w:val="28"/>
          <w:szCs w:val="28"/>
        </w:rPr>
        <w:t xml:space="preserve"> f</w:t>
      </w:r>
      <w:r w:rsidR="002213FB" w:rsidRPr="00643DCF">
        <w:rPr>
          <w:sz w:val="28"/>
          <w:szCs w:val="28"/>
        </w:rPr>
        <w:t xml:space="preserve">alta de concurrencia e interés de </w:t>
      </w:r>
      <w:r w:rsidR="007B1A6B" w:rsidRPr="00643DCF">
        <w:rPr>
          <w:sz w:val="28"/>
          <w:szCs w:val="28"/>
        </w:rPr>
        <w:t>m</w:t>
      </w:r>
      <w:r w:rsidR="002213FB" w:rsidRPr="00643DCF">
        <w:rPr>
          <w:sz w:val="28"/>
          <w:szCs w:val="28"/>
        </w:rPr>
        <w:t xml:space="preserve">agistrados, </w:t>
      </w:r>
      <w:r w:rsidR="007B1A6B" w:rsidRPr="00643DCF">
        <w:rPr>
          <w:sz w:val="28"/>
          <w:szCs w:val="28"/>
        </w:rPr>
        <w:t>j</w:t>
      </w:r>
      <w:r w:rsidR="002213FB" w:rsidRPr="00643DCF">
        <w:rPr>
          <w:sz w:val="28"/>
          <w:szCs w:val="28"/>
        </w:rPr>
        <w:t xml:space="preserve">ueces y </w:t>
      </w:r>
      <w:r w:rsidR="007B1A6B" w:rsidRPr="00643DCF">
        <w:rPr>
          <w:sz w:val="28"/>
          <w:szCs w:val="28"/>
        </w:rPr>
        <w:t>e</w:t>
      </w:r>
      <w:r w:rsidR="002213FB" w:rsidRPr="00643DCF">
        <w:rPr>
          <w:sz w:val="28"/>
          <w:szCs w:val="28"/>
        </w:rPr>
        <w:t xml:space="preserve">mpleados de la Rama Judicial </w:t>
      </w:r>
      <w:r w:rsidRPr="00643DCF">
        <w:rPr>
          <w:sz w:val="28"/>
          <w:szCs w:val="28"/>
        </w:rPr>
        <w:t xml:space="preserve">en </w:t>
      </w:r>
      <w:r w:rsidR="002213FB" w:rsidRPr="00643DCF">
        <w:rPr>
          <w:sz w:val="28"/>
          <w:szCs w:val="28"/>
        </w:rPr>
        <w:t xml:space="preserve">las </w:t>
      </w:r>
      <w:r w:rsidR="007B1A6B" w:rsidRPr="00643DCF">
        <w:rPr>
          <w:sz w:val="28"/>
          <w:szCs w:val="28"/>
        </w:rPr>
        <w:t>a</w:t>
      </w:r>
      <w:r w:rsidR="002213FB" w:rsidRPr="00643DCF">
        <w:rPr>
          <w:sz w:val="28"/>
          <w:szCs w:val="28"/>
        </w:rPr>
        <w:t xml:space="preserve">ctividades </w:t>
      </w:r>
      <w:r w:rsidR="007B1A6B" w:rsidRPr="00643DCF">
        <w:rPr>
          <w:sz w:val="28"/>
          <w:szCs w:val="28"/>
        </w:rPr>
        <w:t>a</w:t>
      </w:r>
      <w:r w:rsidR="002213FB" w:rsidRPr="00643DCF">
        <w:rPr>
          <w:sz w:val="28"/>
          <w:szCs w:val="28"/>
        </w:rPr>
        <w:t>cad</w:t>
      </w:r>
      <w:r w:rsidR="007B1A6B" w:rsidRPr="00643DCF">
        <w:rPr>
          <w:sz w:val="28"/>
          <w:szCs w:val="28"/>
        </w:rPr>
        <w:t>émicas sobre</w:t>
      </w:r>
      <w:r w:rsidR="00C17C20" w:rsidRPr="00643DCF">
        <w:rPr>
          <w:sz w:val="28"/>
          <w:szCs w:val="28"/>
        </w:rPr>
        <w:t xml:space="preserve"> el</w:t>
      </w:r>
      <w:r w:rsidR="007B1A6B" w:rsidRPr="00643DCF">
        <w:rPr>
          <w:sz w:val="28"/>
          <w:szCs w:val="28"/>
        </w:rPr>
        <w:t xml:space="preserve"> derecho a la salud</w:t>
      </w:r>
      <w:r w:rsidR="00CF37CF" w:rsidRPr="00643DCF">
        <w:rPr>
          <w:sz w:val="28"/>
          <w:szCs w:val="28"/>
        </w:rPr>
        <w:t>, así como</w:t>
      </w:r>
      <w:r w:rsidR="007B1A6B" w:rsidRPr="00643DCF">
        <w:rPr>
          <w:sz w:val="28"/>
          <w:szCs w:val="28"/>
        </w:rPr>
        <w:t xml:space="preserve"> la c</w:t>
      </w:r>
      <w:r w:rsidR="007C5878" w:rsidRPr="00643DCF">
        <w:rPr>
          <w:sz w:val="28"/>
          <w:szCs w:val="28"/>
        </w:rPr>
        <w:t xml:space="preserve">arencia de recursos económicos </w:t>
      </w:r>
      <w:r w:rsidR="00CF37CF" w:rsidRPr="00643DCF">
        <w:rPr>
          <w:sz w:val="28"/>
          <w:szCs w:val="28"/>
        </w:rPr>
        <w:t>para</w:t>
      </w:r>
      <w:r w:rsidR="007C5878" w:rsidRPr="00643DCF">
        <w:rPr>
          <w:sz w:val="28"/>
          <w:szCs w:val="28"/>
        </w:rPr>
        <w:t xml:space="preserve"> extender la formación</w:t>
      </w:r>
      <w:r w:rsidR="00720900" w:rsidRPr="00643DCF">
        <w:rPr>
          <w:sz w:val="28"/>
          <w:szCs w:val="28"/>
        </w:rPr>
        <w:t xml:space="preserve"> y capacitación</w:t>
      </w:r>
      <w:r w:rsidRPr="00643DCF">
        <w:rPr>
          <w:sz w:val="28"/>
          <w:szCs w:val="28"/>
        </w:rPr>
        <w:t xml:space="preserve"> </w:t>
      </w:r>
      <w:r w:rsidR="00720900" w:rsidRPr="00643DCF">
        <w:rPr>
          <w:sz w:val="28"/>
          <w:szCs w:val="28"/>
        </w:rPr>
        <w:t>con los estándares de</w:t>
      </w:r>
      <w:r w:rsidR="007C5878" w:rsidRPr="00643DCF">
        <w:rPr>
          <w:sz w:val="28"/>
          <w:szCs w:val="28"/>
        </w:rPr>
        <w:t xml:space="preserve"> calidad</w:t>
      </w:r>
      <w:r w:rsidR="00720900" w:rsidRPr="00643DCF">
        <w:rPr>
          <w:sz w:val="28"/>
          <w:szCs w:val="28"/>
        </w:rPr>
        <w:t>,</w:t>
      </w:r>
      <w:r w:rsidR="007C5878" w:rsidRPr="00643DCF">
        <w:rPr>
          <w:sz w:val="28"/>
          <w:szCs w:val="28"/>
        </w:rPr>
        <w:t xml:space="preserve"> eficacia y eficiencia</w:t>
      </w:r>
      <w:r w:rsidRPr="00643DCF">
        <w:rPr>
          <w:sz w:val="28"/>
          <w:szCs w:val="28"/>
        </w:rPr>
        <w:t xml:space="preserve"> </w:t>
      </w:r>
      <w:r w:rsidR="00CF37CF" w:rsidRPr="00643DCF">
        <w:rPr>
          <w:sz w:val="28"/>
          <w:szCs w:val="28"/>
        </w:rPr>
        <w:t>en</w:t>
      </w:r>
      <w:r w:rsidR="007C5878" w:rsidRPr="00643DCF">
        <w:rPr>
          <w:sz w:val="28"/>
          <w:szCs w:val="28"/>
        </w:rPr>
        <w:t xml:space="preserve"> todos los </w:t>
      </w:r>
      <w:r w:rsidR="00607DF1" w:rsidRPr="00643DCF">
        <w:rPr>
          <w:sz w:val="28"/>
          <w:szCs w:val="28"/>
        </w:rPr>
        <w:t>d</w:t>
      </w:r>
      <w:r w:rsidR="007C5878" w:rsidRPr="00643DCF">
        <w:rPr>
          <w:sz w:val="28"/>
          <w:szCs w:val="28"/>
        </w:rPr>
        <w:t xml:space="preserve">istritos </w:t>
      </w:r>
      <w:r w:rsidR="00CF37CF" w:rsidRPr="00643DCF">
        <w:rPr>
          <w:sz w:val="28"/>
          <w:szCs w:val="28"/>
        </w:rPr>
        <w:t>j</w:t>
      </w:r>
      <w:r w:rsidR="007C5878" w:rsidRPr="00643DCF">
        <w:rPr>
          <w:sz w:val="28"/>
          <w:szCs w:val="28"/>
        </w:rPr>
        <w:t xml:space="preserve">udiciales del </w:t>
      </w:r>
      <w:r w:rsidR="00882F4C" w:rsidRPr="00643DCF">
        <w:rPr>
          <w:sz w:val="28"/>
          <w:szCs w:val="28"/>
        </w:rPr>
        <w:t>país</w:t>
      </w:r>
      <w:r w:rsidRPr="00643DCF">
        <w:rPr>
          <w:sz w:val="28"/>
          <w:szCs w:val="28"/>
        </w:rPr>
        <w:t xml:space="preserve">. </w:t>
      </w:r>
    </w:p>
    <w:p w14:paraId="34BF1678" w14:textId="77777777" w:rsidR="00EE4050" w:rsidRPr="00643DCF" w:rsidRDefault="00EE4050" w:rsidP="00EE4050">
      <w:pPr>
        <w:pStyle w:val="Prrafodelista"/>
        <w:rPr>
          <w:sz w:val="28"/>
          <w:szCs w:val="28"/>
        </w:rPr>
      </w:pPr>
    </w:p>
    <w:p w14:paraId="21CDC62C" w14:textId="1100C885" w:rsidR="003C20FB" w:rsidRPr="00643DCF" w:rsidRDefault="00DB15F1" w:rsidP="00EE4050">
      <w:pPr>
        <w:widowControl w:val="0"/>
        <w:tabs>
          <w:tab w:val="left" w:pos="426"/>
        </w:tabs>
        <w:autoSpaceDE w:val="0"/>
        <w:autoSpaceDN w:val="0"/>
        <w:adjustRightInd w:val="0"/>
        <w:jc w:val="both"/>
        <w:rPr>
          <w:sz w:val="28"/>
          <w:szCs w:val="28"/>
        </w:rPr>
      </w:pPr>
      <w:r w:rsidRPr="00643DCF">
        <w:rPr>
          <w:sz w:val="28"/>
          <w:szCs w:val="28"/>
        </w:rPr>
        <w:t>L</w:t>
      </w:r>
      <w:r w:rsidR="007C5878" w:rsidRPr="00643DCF">
        <w:rPr>
          <w:sz w:val="28"/>
          <w:szCs w:val="28"/>
        </w:rPr>
        <w:t>a Defensoría</w:t>
      </w:r>
      <w:r w:rsidRPr="00643DCF">
        <w:rPr>
          <w:sz w:val="28"/>
          <w:szCs w:val="28"/>
        </w:rPr>
        <w:t xml:space="preserve"> aseguró</w:t>
      </w:r>
      <w:r w:rsidR="007C5878" w:rsidRPr="00643DCF">
        <w:rPr>
          <w:sz w:val="28"/>
          <w:szCs w:val="28"/>
        </w:rPr>
        <w:t xml:space="preserve"> que el Consejo Superior </w:t>
      </w:r>
      <w:r w:rsidR="00F828BF" w:rsidRPr="00643DCF">
        <w:rPr>
          <w:sz w:val="28"/>
          <w:szCs w:val="28"/>
        </w:rPr>
        <w:t xml:space="preserve">creó </w:t>
      </w:r>
      <w:r w:rsidR="007C5878" w:rsidRPr="00643DCF">
        <w:rPr>
          <w:sz w:val="28"/>
          <w:szCs w:val="28"/>
        </w:rPr>
        <w:t xml:space="preserve">un grupo de trabajo para dar </w:t>
      </w:r>
      <w:r w:rsidR="00BD3038" w:rsidRPr="00643DCF">
        <w:rPr>
          <w:sz w:val="28"/>
          <w:szCs w:val="28"/>
        </w:rPr>
        <w:t>cumplimiento</w:t>
      </w:r>
      <w:r w:rsidR="00641A4A" w:rsidRPr="00643DCF">
        <w:rPr>
          <w:sz w:val="28"/>
          <w:szCs w:val="28"/>
        </w:rPr>
        <w:t xml:space="preserve"> </w:t>
      </w:r>
      <w:r w:rsidR="007C5878" w:rsidRPr="00643DCF">
        <w:rPr>
          <w:sz w:val="28"/>
          <w:szCs w:val="28"/>
        </w:rPr>
        <w:t xml:space="preserve">a la </w:t>
      </w:r>
      <w:r w:rsidRPr="00643DCF">
        <w:rPr>
          <w:sz w:val="28"/>
          <w:szCs w:val="28"/>
        </w:rPr>
        <w:t xml:space="preserve">directriz de la Corte; </w:t>
      </w:r>
      <w:r w:rsidR="00CF37CF" w:rsidRPr="00643DCF">
        <w:rPr>
          <w:sz w:val="28"/>
          <w:szCs w:val="28"/>
        </w:rPr>
        <w:t>concluyendo</w:t>
      </w:r>
      <w:r w:rsidR="003C20FB" w:rsidRPr="00643DCF">
        <w:rPr>
          <w:sz w:val="28"/>
          <w:szCs w:val="28"/>
        </w:rPr>
        <w:t xml:space="preserve"> </w:t>
      </w:r>
      <w:r w:rsidR="002862C0" w:rsidRPr="00643DCF">
        <w:rPr>
          <w:sz w:val="28"/>
          <w:szCs w:val="28"/>
        </w:rPr>
        <w:t>que</w:t>
      </w:r>
      <w:r w:rsidR="003C20FB" w:rsidRPr="00643DCF">
        <w:rPr>
          <w:sz w:val="28"/>
          <w:szCs w:val="28"/>
        </w:rPr>
        <w:t xml:space="preserve"> el número de </w:t>
      </w:r>
      <w:r w:rsidR="00E01D20" w:rsidRPr="00643DCF">
        <w:rPr>
          <w:sz w:val="28"/>
          <w:szCs w:val="28"/>
        </w:rPr>
        <w:t>servidores</w:t>
      </w:r>
      <w:r w:rsidR="003C20FB" w:rsidRPr="00643DCF">
        <w:rPr>
          <w:sz w:val="28"/>
          <w:szCs w:val="28"/>
        </w:rPr>
        <w:t xml:space="preserve"> judiciales </w:t>
      </w:r>
      <w:r w:rsidR="00E51AA4" w:rsidRPr="00643DCF">
        <w:rPr>
          <w:sz w:val="28"/>
          <w:szCs w:val="28"/>
        </w:rPr>
        <w:t xml:space="preserve">capacitados </w:t>
      </w:r>
      <w:r w:rsidR="00BE50F4" w:rsidRPr="00643DCF">
        <w:rPr>
          <w:sz w:val="28"/>
          <w:szCs w:val="28"/>
        </w:rPr>
        <w:t xml:space="preserve">mostraba una notoria mejoría, </w:t>
      </w:r>
      <w:r w:rsidR="00720900" w:rsidRPr="00643DCF">
        <w:rPr>
          <w:sz w:val="28"/>
          <w:szCs w:val="28"/>
        </w:rPr>
        <w:t xml:space="preserve">a pesar de no haber </w:t>
      </w:r>
      <w:r w:rsidR="00607DF1" w:rsidRPr="00643DCF">
        <w:rPr>
          <w:sz w:val="28"/>
          <w:szCs w:val="28"/>
        </w:rPr>
        <w:t>alcanzado el objetivo planteado</w:t>
      </w:r>
      <w:r w:rsidR="003C20FB" w:rsidRPr="00643DCF">
        <w:rPr>
          <w:sz w:val="28"/>
          <w:szCs w:val="28"/>
        </w:rPr>
        <w:t>.</w:t>
      </w:r>
    </w:p>
    <w:p w14:paraId="6E3851E2" w14:textId="77777777" w:rsidR="00607DF1" w:rsidRPr="00643DCF" w:rsidRDefault="00607DF1" w:rsidP="00877954">
      <w:pPr>
        <w:widowControl w:val="0"/>
        <w:tabs>
          <w:tab w:val="left" w:pos="426"/>
        </w:tabs>
        <w:autoSpaceDE w:val="0"/>
        <w:autoSpaceDN w:val="0"/>
        <w:adjustRightInd w:val="0"/>
        <w:jc w:val="both"/>
        <w:rPr>
          <w:sz w:val="28"/>
          <w:szCs w:val="28"/>
        </w:rPr>
      </w:pPr>
    </w:p>
    <w:p w14:paraId="3929A952" w14:textId="320F697D" w:rsidR="00A60571" w:rsidRPr="00643DCF" w:rsidRDefault="003C20FB" w:rsidP="003E23A0">
      <w:pPr>
        <w:widowControl w:val="0"/>
        <w:numPr>
          <w:ilvl w:val="0"/>
          <w:numId w:val="3"/>
        </w:numPr>
        <w:tabs>
          <w:tab w:val="left" w:pos="426"/>
        </w:tabs>
        <w:autoSpaceDE w:val="0"/>
        <w:autoSpaceDN w:val="0"/>
        <w:adjustRightInd w:val="0"/>
        <w:ind w:left="0" w:firstLine="0"/>
        <w:jc w:val="both"/>
        <w:rPr>
          <w:rFonts w:eastAsia="Batang"/>
          <w:bCs/>
          <w:sz w:val="28"/>
          <w:szCs w:val="28"/>
        </w:rPr>
      </w:pPr>
      <w:r w:rsidRPr="00643DCF">
        <w:rPr>
          <w:sz w:val="28"/>
          <w:szCs w:val="28"/>
        </w:rPr>
        <w:t>El 3 de agosto de 2015</w:t>
      </w:r>
      <w:r w:rsidR="00607DF1" w:rsidRPr="00643DCF">
        <w:rPr>
          <w:rStyle w:val="Refdenotaalpie"/>
          <w:sz w:val="28"/>
          <w:szCs w:val="28"/>
        </w:rPr>
        <w:footnoteReference w:id="67"/>
      </w:r>
      <w:r w:rsidRPr="00643DCF">
        <w:rPr>
          <w:sz w:val="28"/>
          <w:szCs w:val="28"/>
        </w:rPr>
        <w:t xml:space="preserve"> la Sala Administrativa del C</w:t>
      </w:r>
      <w:r w:rsidR="00426C82" w:rsidRPr="00643DCF">
        <w:rPr>
          <w:sz w:val="28"/>
          <w:szCs w:val="28"/>
        </w:rPr>
        <w:t>SJ</w:t>
      </w:r>
      <w:r w:rsidR="00720900" w:rsidRPr="00643DCF">
        <w:rPr>
          <w:sz w:val="28"/>
          <w:szCs w:val="28"/>
        </w:rPr>
        <w:t xml:space="preserve"> </w:t>
      </w:r>
      <w:r w:rsidR="00936F80" w:rsidRPr="00643DCF">
        <w:rPr>
          <w:sz w:val="28"/>
          <w:szCs w:val="28"/>
        </w:rPr>
        <w:t xml:space="preserve">reiteró </w:t>
      </w:r>
      <w:r w:rsidR="00F808BC" w:rsidRPr="00643DCF">
        <w:rPr>
          <w:sz w:val="28"/>
          <w:szCs w:val="28"/>
        </w:rPr>
        <w:t>que desde el 19 de septiembre de 2014 creó</w:t>
      </w:r>
      <w:r w:rsidRPr="00643DCF">
        <w:rPr>
          <w:sz w:val="28"/>
          <w:szCs w:val="28"/>
        </w:rPr>
        <w:t xml:space="preserve"> el nuevo portal </w:t>
      </w:r>
      <w:r w:rsidR="006C6B21" w:rsidRPr="00643DCF">
        <w:rPr>
          <w:sz w:val="28"/>
          <w:szCs w:val="28"/>
        </w:rPr>
        <w:t>web</w:t>
      </w:r>
      <w:r w:rsidR="00BE50F4" w:rsidRPr="00643DCF">
        <w:rPr>
          <w:sz w:val="28"/>
          <w:szCs w:val="28"/>
        </w:rPr>
        <w:t xml:space="preserve"> </w:t>
      </w:r>
      <w:r w:rsidRPr="00643DCF">
        <w:rPr>
          <w:sz w:val="28"/>
          <w:szCs w:val="28"/>
        </w:rPr>
        <w:t xml:space="preserve">de la Rama Judicial </w:t>
      </w:r>
      <w:r w:rsidR="00F808BC" w:rsidRPr="00643DCF">
        <w:rPr>
          <w:sz w:val="28"/>
          <w:szCs w:val="28"/>
        </w:rPr>
        <w:t xml:space="preserve">destinado a la difusión de la </w:t>
      </w:r>
      <w:r w:rsidR="00CE0B78" w:rsidRPr="00643DCF">
        <w:rPr>
          <w:sz w:val="28"/>
          <w:szCs w:val="28"/>
        </w:rPr>
        <w:t>s</w:t>
      </w:r>
      <w:r w:rsidR="00F808BC" w:rsidRPr="00643DCF">
        <w:rPr>
          <w:sz w:val="28"/>
          <w:szCs w:val="28"/>
        </w:rPr>
        <w:t xml:space="preserve">entencia T-760 de 2008, </w:t>
      </w:r>
      <w:r w:rsidR="005344FF" w:rsidRPr="00643DCF">
        <w:rPr>
          <w:sz w:val="28"/>
          <w:szCs w:val="28"/>
        </w:rPr>
        <w:t>que</w:t>
      </w:r>
      <w:r w:rsidR="0074405A" w:rsidRPr="00643DCF">
        <w:rPr>
          <w:sz w:val="28"/>
          <w:szCs w:val="28"/>
        </w:rPr>
        <w:t xml:space="preserve"> cuenta con </w:t>
      </w:r>
      <w:r w:rsidRPr="00643DCF">
        <w:rPr>
          <w:sz w:val="28"/>
          <w:szCs w:val="28"/>
        </w:rPr>
        <w:t xml:space="preserve">un vínculo a través del </w:t>
      </w:r>
      <w:r w:rsidR="00FC1D5C" w:rsidRPr="00643DCF">
        <w:rPr>
          <w:sz w:val="28"/>
          <w:szCs w:val="28"/>
        </w:rPr>
        <w:t xml:space="preserve">cual </w:t>
      </w:r>
      <w:r w:rsidR="0074405A" w:rsidRPr="00643DCF">
        <w:rPr>
          <w:sz w:val="28"/>
          <w:szCs w:val="28"/>
        </w:rPr>
        <w:t xml:space="preserve">es posible acceder </w:t>
      </w:r>
      <w:r w:rsidRPr="00643DCF">
        <w:rPr>
          <w:sz w:val="28"/>
          <w:szCs w:val="28"/>
        </w:rPr>
        <w:t>al contenido del fallo</w:t>
      </w:r>
      <w:r w:rsidR="0074405A" w:rsidRPr="00643DCF">
        <w:rPr>
          <w:sz w:val="28"/>
          <w:szCs w:val="28"/>
        </w:rPr>
        <w:t xml:space="preserve">, </w:t>
      </w:r>
      <w:r w:rsidRPr="00643DCF">
        <w:rPr>
          <w:sz w:val="28"/>
          <w:szCs w:val="28"/>
        </w:rPr>
        <w:t>los autos genéricos y específicos expedidos por la Sala hasta el año 2015.</w:t>
      </w:r>
    </w:p>
    <w:p w14:paraId="6513BDC7" w14:textId="77777777" w:rsidR="00A60571" w:rsidRPr="00643DCF" w:rsidRDefault="00A60571" w:rsidP="003E23A0">
      <w:pPr>
        <w:widowControl w:val="0"/>
        <w:tabs>
          <w:tab w:val="left" w:pos="426"/>
        </w:tabs>
        <w:autoSpaceDE w:val="0"/>
        <w:autoSpaceDN w:val="0"/>
        <w:adjustRightInd w:val="0"/>
        <w:jc w:val="both"/>
        <w:rPr>
          <w:rFonts w:eastAsia="Batang"/>
          <w:bCs/>
          <w:sz w:val="28"/>
          <w:szCs w:val="28"/>
        </w:rPr>
      </w:pPr>
    </w:p>
    <w:p w14:paraId="3D965EF6" w14:textId="281A704B" w:rsidR="00AE3D0F" w:rsidRPr="00643DCF" w:rsidRDefault="003C20FB" w:rsidP="003E23A0">
      <w:pPr>
        <w:widowControl w:val="0"/>
        <w:tabs>
          <w:tab w:val="left" w:pos="426"/>
        </w:tabs>
        <w:autoSpaceDE w:val="0"/>
        <w:autoSpaceDN w:val="0"/>
        <w:adjustRightInd w:val="0"/>
        <w:jc w:val="both"/>
        <w:rPr>
          <w:sz w:val="28"/>
          <w:szCs w:val="28"/>
        </w:rPr>
      </w:pPr>
      <w:r w:rsidRPr="00643DCF">
        <w:rPr>
          <w:sz w:val="28"/>
          <w:szCs w:val="28"/>
        </w:rPr>
        <w:t>A su vez</w:t>
      </w:r>
      <w:r w:rsidR="00F41D9F" w:rsidRPr="00643DCF">
        <w:rPr>
          <w:sz w:val="28"/>
          <w:szCs w:val="28"/>
        </w:rPr>
        <w:t>,</w:t>
      </w:r>
      <w:r w:rsidRPr="00643DCF">
        <w:rPr>
          <w:sz w:val="28"/>
          <w:szCs w:val="28"/>
        </w:rPr>
        <w:t xml:space="preserve"> hizo saber que</w:t>
      </w:r>
      <w:r w:rsidR="00A60571" w:rsidRPr="00643DCF">
        <w:rPr>
          <w:sz w:val="28"/>
          <w:szCs w:val="28"/>
        </w:rPr>
        <w:t xml:space="preserve"> </w:t>
      </w:r>
      <w:r w:rsidR="00607DF1" w:rsidRPr="00643DCF">
        <w:rPr>
          <w:sz w:val="28"/>
          <w:szCs w:val="28"/>
        </w:rPr>
        <w:t xml:space="preserve">con corte </w:t>
      </w:r>
      <w:r w:rsidRPr="00643DCF">
        <w:rPr>
          <w:sz w:val="28"/>
          <w:szCs w:val="28"/>
        </w:rPr>
        <w:t>a febrero de esa anualidad</w:t>
      </w:r>
      <w:r w:rsidR="00D416B7" w:rsidRPr="00643DCF">
        <w:rPr>
          <w:sz w:val="28"/>
          <w:szCs w:val="28"/>
        </w:rPr>
        <w:t>,</w:t>
      </w:r>
      <w:r w:rsidRPr="00643DCF">
        <w:rPr>
          <w:sz w:val="28"/>
          <w:szCs w:val="28"/>
        </w:rPr>
        <w:t xml:space="preserve"> había entregado </w:t>
      </w:r>
      <w:r w:rsidR="00426C82" w:rsidRPr="00643DCF">
        <w:rPr>
          <w:sz w:val="28"/>
          <w:szCs w:val="28"/>
        </w:rPr>
        <w:t xml:space="preserve">los </w:t>
      </w:r>
      <w:r w:rsidR="00DA5D3E" w:rsidRPr="00643DCF">
        <w:rPr>
          <w:sz w:val="28"/>
          <w:szCs w:val="28"/>
        </w:rPr>
        <w:t>5000</w:t>
      </w:r>
      <w:r w:rsidRPr="00643DCF">
        <w:rPr>
          <w:sz w:val="28"/>
          <w:szCs w:val="28"/>
        </w:rPr>
        <w:t xml:space="preserve"> ejemplares impresos </w:t>
      </w:r>
      <w:r w:rsidR="00DA5D3E" w:rsidRPr="00643DCF">
        <w:rPr>
          <w:sz w:val="28"/>
          <w:szCs w:val="28"/>
        </w:rPr>
        <w:t>y</w:t>
      </w:r>
      <w:r w:rsidRPr="00643DCF">
        <w:rPr>
          <w:sz w:val="28"/>
          <w:szCs w:val="28"/>
        </w:rPr>
        <w:t xml:space="preserve"> editados</w:t>
      </w:r>
      <w:r w:rsidR="00A60571" w:rsidRPr="00643DCF">
        <w:rPr>
          <w:sz w:val="28"/>
          <w:szCs w:val="28"/>
        </w:rPr>
        <w:t xml:space="preserve"> y</w:t>
      </w:r>
      <w:r w:rsidR="00FC1D5C" w:rsidRPr="00643DCF">
        <w:rPr>
          <w:sz w:val="28"/>
          <w:szCs w:val="28"/>
        </w:rPr>
        <w:t>,</w:t>
      </w:r>
      <w:r w:rsidRPr="00643DCF">
        <w:rPr>
          <w:sz w:val="28"/>
          <w:szCs w:val="28"/>
        </w:rPr>
        <w:t xml:space="preserve"> </w:t>
      </w:r>
      <w:r w:rsidR="00BE50F4" w:rsidRPr="00643DCF">
        <w:rPr>
          <w:sz w:val="28"/>
          <w:szCs w:val="28"/>
        </w:rPr>
        <w:t>transmitido por vía</w:t>
      </w:r>
      <w:r w:rsidRPr="00643DCF">
        <w:rPr>
          <w:sz w:val="28"/>
          <w:szCs w:val="28"/>
        </w:rPr>
        <w:t xml:space="preserve"> televisiva </w:t>
      </w:r>
      <w:r w:rsidR="009A45A6" w:rsidRPr="00643DCF">
        <w:rPr>
          <w:sz w:val="28"/>
          <w:szCs w:val="28"/>
        </w:rPr>
        <w:t>por</w:t>
      </w:r>
      <w:r w:rsidR="00BE50F4" w:rsidRPr="00643DCF">
        <w:rPr>
          <w:sz w:val="28"/>
          <w:szCs w:val="28"/>
        </w:rPr>
        <w:t xml:space="preserve"> la señal institucional </w:t>
      </w:r>
      <w:r w:rsidRPr="00643DCF">
        <w:rPr>
          <w:sz w:val="28"/>
          <w:szCs w:val="28"/>
        </w:rPr>
        <w:t xml:space="preserve">la sesión técnica de la </w:t>
      </w:r>
      <w:r w:rsidR="00CE0B78" w:rsidRPr="00643DCF">
        <w:rPr>
          <w:sz w:val="28"/>
          <w:szCs w:val="28"/>
        </w:rPr>
        <w:t>s</w:t>
      </w:r>
      <w:r w:rsidR="00916402" w:rsidRPr="00643DCF">
        <w:rPr>
          <w:sz w:val="28"/>
          <w:szCs w:val="28"/>
        </w:rPr>
        <w:t>entencia</w:t>
      </w:r>
      <w:r w:rsidRPr="00643DCF">
        <w:rPr>
          <w:sz w:val="28"/>
          <w:szCs w:val="28"/>
        </w:rPr>
        <w:t xml:space="preserve"> T-760 de 2008</w:t>
      </w:r>
      <w:r w:rsidR="00E01D20" w:rsidRPr="00643DCF">
        <w:rPr>
          <w:sz w:val="28"/>
          <w:szCs w:val="28"/>
        </w:rPr>
        <w:t>,</w:t>
      </w:r>
      <w:r w:rsidRPr="00643DCF">
        <w:rPr>
          <w:sz w:val="28"/>
          <w:szCs w:val="28"/>
        </w:rPr>
        <w:t xml:space="preserve"> </w:t>
      </w:r>
      <w:r w:rsidR="00757E3E" w:rsidRPr="00643DCF">
        <w:rPr>
          <w:sz w:val="28"/>
          <w:szCs w:val="28"/>
        </w:rPr>
        <w:t>llevada a cabo</w:t>
      </w:r>
      <w:r w:rsidRPr="00643DCF">
        <w:rPr>
          <w:sz w:val="28"/>
          <w:szCs w:val="28"/>
        </w:rPr>
        <w:t xml:space="preserve"> el 19 de marzo de 2015 desde las 8</w:t>
      </w:r>
      <w:r w:rsidR="00F41D9F" w:rsidRPr="00643DCF">
        <w:rPr>
          <w:sz w:val="28"/>
          <w:szCs w:val="28"/>
        </w:rPr>
        <w:t xml:space="preserve"> </w:t>
      </w:r>
      <w:r w:rsidRPr="00643DCF">
        <w:rPr>
          <w:sz w:val="28"/>
          <w:szCs w:val="28"/>
        </w:rPr>
        <w:t>am hasta</w:t>
      </w:r>
      <w:r w:rsidR="00BE50F4" w:rsidRPr="00643DCF">
        <w:rPr>
          <w:sz w:val="28"/>
          <w:szCs w:val="28"/>
        </w:rPr>
        <w:t xml:space="preserve"> las 5</w:t>
      </w:r>
      <w:r w:rsidR="007A4AAA" w:rsidRPr="00643DCF">
        <w:rPr>
          <w:sz w:val="28"/>
          <w:szCs w:val="28"/>
        </w:rPr>
        <w:t xml:space="preserve"> </w:t>
      </w:r>
      <w:r w:rsidR="00BE50F4" w:rsidRPr="00643DCF">
        <w:rPr>
          <w:sz w:val="28"/>
          <w:szCs w:val="28"/>
        </w:rPr>
        <w:t>pm</w:t>
      </w:r>
      <w:r w:rsidR="00AE3D0F" w:rsidRPr="00643DCF">
        <w:rPr>
          <w:sz w:val="28"/>
          <w:szCs w:val="28"/>
        </w:rPr>
        <w:t xml:space="preserve">. </w:t>
      </w:r>
    </w:p>
    <w:p w14:paraId="301361BB" w14:textId="77777777" w:rsidR="003616BD" w:rsidRPr="00643DCF" w:rsidRDefault="003616BD" w:rsidP="003E23A0">
      <w:pPr>
        <w:widowControl w:val="0"/>
        <w:tabs>
          <w:tab w:val="left" w:pos="426"/>
        </w:tabs>
        <w:autoSpaceDE w:val="0"/>
        <w:autoSpaceDN w:val="0"/>
        <w:adjustRightInd w:val="0"/>
        <w:jc w:val="both"/>
        <w:rPr>
          <w:rFonts w:eastAsia="Batang"/>
          <w:bCs/>
          <w:sz w:val="28"/>
          <w:szCs w:val="28"/>
        </w:rPr>
      </w:pPr>
    </w:p>
    <w:p w14:paraId="01AA4B62" w14:textId="13A19739" w:rsidR="00607DF1" w:rsidRPr="00643DCF" w:rsidRDefault="00AE3D0F" w:rsidP="006A786B">
      <w:pPr>
        <w:pStyle w:val="Prrafodelista"/>
        <w:ind w:left="0"/>
        <w:jc w:val="both"/>
        <w:rPr>
          <w:rFonts w:eastAsia="Batang"/>
          <w:bCs/>
          <w:sz w:val="28"/>
          <w:szCs w:val="28"/>
        </w:rPr>
      </w:pPr>
      <w:r w:rsidRPr="00643DCF">
        <w:rPr>
          <w:sz w:val="28"/>
          <w:szCs w:val="28"/>
        </w:rPr>
        <w:t>Asimismo</w:t>
      </w:r>
      <w:r w:rsidR="00E01D20" w:rsidRPr="00643DCF">
        <w:rPr>
          <w:sz w:val="28"/>
          <w:szCs w:val="28"/>
        </w:rPr>
        <w:t>,</w:t>
      </w:r>
      <w:r w:rsidR="003C20FB" w:rsidRPr="00643DCF">
        <w:rPr>
          <w:sz w:val="28"/>
          <w:szCs w:val="28"/>
        </w:rPr>
        <w:t xml:space="preserve"> el Cendoj grab</w:t>
      </w:r>
      <w:r w:rsidR="00757E3E" w:rsidRPr="00643DCF">
        <w:rPr>
          <w:sz w:val="28"/>
          <w:szCs w:val="28"/>
        </w:rPr>
        <w:t>ó e</w:t>
      </w:r>
      <w:r w:rsidR="003C20FB" w:rsidRPr="00643DCF">
        <w:rPr>
          <w:sz w:val="28"/>
          <w:szCs w:val="28"/>
        </w:rPr>
        <w:t>l “</w:t>
      </w:r>
      <w:r w:rsidR="003C20FB" w:rsidRPr="00643DCF">
        <w:rPr>
          <w:i/>
          <w:sz w:val="28"/>
          <w:szCs w:val="28"/>
        </w:rPr>
        <w:t>Seminario de Actualización sobre el Derecho Fundamental a la Salud</w:t>
      </w:r>
      <w:r w:rsidRPr="00643DCF">
        <w:rPr>
          <w:i/>
          <w:sz w:val="28"/>
          <w:szCs w:val="28"/>
        </w:rPr>
        <w:t xml:space="preserve"> </w:t>
      </w:r>
      <w:r w:rsidR="003C20FB" w:rsidRPr="00643DCF">
        <w:rPr>
          <w:i/>
          <w:sz w:val="28"/>
          <w:szCs w:val="28"/>
        </w:rPr>
        <w:t>-</w:t>
      </w:r>
      <w:r w:rsidRPr="00643DCF">
        <w:rPr>
          <w:i/>
          <w:sz w:val="28"/>
          <w:szCs w:val="28"/>
        </w:rPr>
        <w:t xml:space="preserve"> </w:t>
      </w:r>
      <w:r w:rsidR="0012698D" w:rsidRPr="00643DCF">
        <w:rPr>
          <w:i/>
          <w:sz w:val="28"/>
          <w:szCs w:val="28"/>
        </w:rPr>
        <w:t>S</w:t>
      </w:r>
      <w:r w:rsidR="00916402" w:rsidRPr="00643DCF">
        <w:rPr>
          <w:i/>
          <w:sz w:val="28"/>
          <w:szCs w:val="28"/>
        </w:rPr>
        <w:t>entencia</w:t>
      </w:r>
      <w:r w:rsidR="003C20FB" w:rsidRPr="00643DCF">
        <w:rPr>
          <w:i/>
          <w:sz w:val="28"/>
          <w:szCs w:val="28"/>
        </w:rPr>
        <w:t xml:space="preserve"> T</w:t>
      </w:r>
      <w:r w:rsidRPr="00643DCF">
        <w:rPr>
          <w:i/>
          <w:sz w:val="28"/>
          <w:szCs w:val="28"/>
        </w:rPr>
        <w:t>-</w:t>
      </w:r>
      <w:r w:rsidR="003C20FB" w:rsidRPr="00643DCF">
        <w:rPr>
          <w:i/>
          <w:sz w:val="28"/>
          <w:szCs w:val="28"/>
        </w:rPr>
        <w:t>760 de 2008</w:t>
      </w:r>
      <w:r w:rsidR="003C20FB" w:rsidRPr="00643DCF">
        <w:rPr>
          <w:sz w:val="28"/>
          <w:szCs w:val="28"/>
        </w:rPr>
        <w:t>”</w:t>
      </w:r>
      <w:r w:rsidRPr="00643DCF">
        <w:rPr>
          <w:sz w:val="28"/>
          <w:szCs w:val="28"/>
        </w:rPr>
        <w:t>,</w:t>
      </w:r>
      <w:r w:rsidR="003C20FB" w:rsidRPr="00643DCF">
        <w:rPr>
          <w:sz w:val="28"/>
          <w:szCs w:val="28"/>
        </w:rPr>
        <w:t xml:space="preserve"> </w:t>
      </w:r>
      <w:r w:rsidR="00E34773" w:rsidRPr="00643DCF">
        <w:rPr>
          <w:sz w:val="28"/>
          <w:szCs w:val="28"/>
        </w:rPr>
        <w:t>realizado</w:t>
      </w:r>
      <w:r w:rsidR="00D3374B" w:rsidRPr="00643DCF">
        <w:rPr>
          <w:sz w:val="28"/>
          <w:szCs w:val="28"/>
        </w:rPr>
        <w:t xml:space="preserve"> en el departamento de</w:t>
      </w:r>
      <w:r w:rsidR="003C20FB" w:rsidRPr="00643DCF">
        <w:rPr>
          <w:sz w:val="28"/>
          <w:szCs w:val="28"/>
        </w:rPr>
        <w:t xml:space="preserve"> Chocó los días 25 y 26 de enero de esa anualidad</w:t>
      </w:r>
      <w:r w:rsidR="007A4AAA" w:rsidRPr="00643DCF">
        <w:rPr>
          <w:sz w:val="28"/>
          <w:szCs w:val="28"/>
        </w:rPr>
        <w:t>,</w:t>
      </w:r>
      <w:r w:rsidR="003C20FB" w:rsidRPr="00643DCF">
        <w:rPr>
          <w:sz w:val="28"/>
          <w:szCs w:val="28"/>
        </w:rPr>
        <w:t xml:space="preserve"> organizado por la </w:t>
      </w:r>
      <w:r w:rsidR="00D416B7" w:rsidRPr="00643DCF">
        <w:rPr>
          <w:sz w:val="28"/>
          <w:szCs w:val="28"/>
        </w:rPr>
        <w:t>Escuela J</w:t>
      </w:r>
      <w:r w:rsidR="00BE225C" w:rsidRPr="00643DCF">
        <w:rPr>
          <w:sz w:val="28"/>
          <w:szCs w:val="28"/>
        </w:rPr>
        <w:t>udicial</w:t>
      </w:r>
      <w:r w:rsidR="00D90AF1" w:rsidRPr="00643DCF">
        <w:rPr>
          <w:rFonts w:eastAsia="Batang"/>
          <w:bCs/>
          <w:sz w:val="28"/>
          <w:szCs w:val="28"/>
        </w:rPr>
        <w:t>;</w:t>
      </w:r>
      <w:r w:rsidR="00AE4E4F" w:rsidRPr="00643DCF">
        <w:rPr>
          <w:rFonts w:eastAsia="Batang"/>
          <w:bCs/>
          <w:sz w:val="28"/>
          <w:szCs w:val="28"/>
        </w:rPr>
        <w:t xml:space="preserve"> del mismo modo</w:t>
      </w:r>
      <w:r w:rsidR="00757E3E" w:rsidRPr="00643DCF">
        <w:rPr>
          <w:rFonts w:eastAsia="Batang"/>
          <w:bCs/>
          <w:sz w:val="28"/>
          <w:szCs w:val="28"/>
        </w:rPr>
        <w:t>,</w:t>
      </w:r>
      <w:r w:rsidR="00D90AF1" w:rsidRPr="00643DCF">
        <w:rPr>
          <w:rFonts w:eastAsia="Batang"/>
          <w:bCs/>
          <w:sz w:val="28"/>
          <w:szCs w:val="28"/>
        </w:rPr>
        <w:t xml:space="preserve"> r</w:t>
      </w:r>
      <w:r w:rsidR="00877954" w:rsidRPr="00643DCF">
        <w:rPr>
          <w:rFonts w:eastAsia="Batang"/>
          <w:bCs/>
          <w:sz w:val="28"/>
          <w:szCs w:val="28"/>
        </w:rPr>
        <w:t>eportó la proyección de la videoconferencia</w:t>
      </w:r>
      <w:r w:rsidR="00AE4E4F" w:rsidRPr="00643DCF">
        <w:rPr>
          <w:rFonts w:eastAsia="Batang"/>
          <w:bCs/>
          <w:sz w:val="28"/>
          <w:szCs w:val="28"/>
        </w:rPr>
        <w:t>,</w:t>
      </w:r>
      <w:r w:rsidR="00877954" w:rsidRPr="00643DCF">
        <w:rPr>
          <w:rFonts w:eastAsia="Batang"/>
          <w:bCs/>
          <w:sz w:val="28"/>
          <w:szCs w:val="28"/>
        </w:rPr>
        <w:t xml:space="preserve"> “</w:t>
      </w:r>
      <w:r w:rsidR="00877954" w:rsidRPr="00643DCF">
        <w:rPr>
          <w:rFonts w:eastAsia="Batang"/>
          <w:bCs/>
          <w:i/>
          <w:sz w:val="28"/>
          <w:szCs w:val="28"/>
        </w:rPr>
        <w:t>Acción de tutela. Vulneración del Derecho Fundamental a la Salud</w:t>
      </w:r>
      <w:r w:rsidR="00877954" w:rsidRPr="00643DCF">
        <w:rPr>
          <w:rFonts w:eastAsia="Batang"/>
          <w:bCs/>
          <w:sz w:val="28"/>
          <w:szCs w:val="28"/>
        </w:rPr>
        <w:t>”,</w:t>
      </w:r>
      <w:r w:rsidR="00AE4E4F" w:rsidRPr="00643DCF">
        <w:rPr>
          <w:rFonts w:eastAsia="Batang"/>
          <w:bCs/>
          <w:sz w:val="28"/>
          <w:szCs w:val="28"/>
        </w:rPr>
        <w:t xml:space="preserve"> así como</w:t>
      </w:r>
      <w:r w:rsidR="00877954" w:rsidRPr="00643DCF">
        <w:rPr>
          <w:rFonts w:eastAsia="Batang"/>
          <w:bCs/>
          <w:sz w:val="28"/>
          <w:szCs w:val="28"/>
        </w:rPr>
        <w:t xml:space="preserve"> la capacitación de 10 personas en Bogotá</w:t>
      </w:r>
      <w:r w:rsidR="00AE4E4F" w:rsidRPr="00643DCF">
        <w:rPr>
          <w:rFonts w:eastAsia="Batang"/>
          <w:bCs/>
          <w:sz w:val="28"/>
          <w:szCs w:val="28"/>
        </w:rPr>
        <w:t>;</w:t>
      </w:r>
      <w:r w:rsidR="00877954" w:rsidRPr="00643DCF">
        <w:rPr>
          <w:rFonts w:eastAsia="Batang"/>
          <w:bCs/>
          <w:sz w:val="28"/>
          <w:szCs w:val="28"/>
        </w:rPr>
        <w:t xml:space="preserve"> y </w:t>
      </w:r>
      <w:r w:rsidR="00AE4E4F" w:rsidRPr="00643DCF">
        <w:rPr>
          <w:rFonts w:eastAsia="Batang"/>
          <w:bCs/>
          <w:sz w:val="28"/>
          <w:szCs w:val="28"/>
        </w:rPr>
        <w:t>un</w:t>
      </w:r>
      <w:r w:rsidR="00877954" w:rsidRPr="00643DCF">
        <w:rPr>
          <w:rFonts w:eastAsia="Batang"/>
          <w:bCs/>
          <w:sz w:val="28"/>
          <w:szCs w:val="28"/>
        </w:rPr>
        <w:t xml:space="preserve"> curso de formación adelantado en Medellín en el que se capacitaron 20 </w:t>
      </w:r>
      <w:r w:rsidR="007B0171" w:rsidRPr="00643DCF">
        <w:rPr>
          <w:rFonts w:eastAsia="Batang"/>
          <w:bCs/>
          <w:sz w:val="28"/>
          <w:szCs w:val="28"/>
        </w:rPr>
        <w:t xml:space="preserve">personas </w:t>
      </w:r>
      <w:r w:rsidR="00877954" w:rsidRPr="00643DCF">
        <w:rPr>
          <w:rFonts w:eastAsia="Batang"/>
          <w:bCs/>
          <w:sz w:val="28"/>
          <w:szCs w:val="28"/>
        </w:rPr>
        <w:t xml:space="preserve">más. </w:t>
      </w:r>
    </w:p>
    <w:p w14:paraId="7D1AA0E0" w14:textId="77777777" w:rsidR="00607DF1" w:rsidRPr="00643DCF" w:rsidRDefault="00607DF1" w:rsidP="00607DF1">
      <w:pPr>
        <w:pStyle w:val="Prrafodelista"/>
        <w:widowControl w:val="0"/>
        <w:tabs>
          <w:tab w:val="left" w:pos="426"/>
        </w:tabs>
        <w:autoSpaceDE w:val="0"/>
        <w:autoSpaceDN w:val="0"/>
        <w:adjustRightInd w:val="0"/>
        <w:ind w:left="0"/>
        <w:jc w:val="both"/>
        <w:rPr>
          <w:sz w:val="28"/>
          <w:szCs w:val="28"/>
        </w:rPr>
      </w:pPr>
    </w:p>
    <w:p w14:paraId="019AAD03" w14:textId="157D2819" w:rsidR="00607DF1" w:rsidRPr="00643DCF" w:rsidRDefault="00DA5D3E" w:rsidP="00B14E08">
      <w:pPr>
        <w:widowControl w:val="0"/>
        <w:numPr>
          <w:ilvl w:val="0"/>
          <w:numId w:val="3"/>
        </w:numPr>
        <w:tabs>
          <w:tab w:val="left" w:pos="426"/>
        </w:tabs>
        <w:autoSpaceDE w:val="0"/>
        <w:autoSpaceDN w:val="0"/>
        <w:adjustRightInd w:val="0"/>
        <w:ind w:left="0" w:firstLine="0"/>
        <w:jc w:val="both"/>
        <w:rPr>
          <w:sz w:val="28"/>
          <w:szCs w:val="28"/>
        </w:rPr>
      </w:pPr>
      <w:r w:rsidRPr="00643DCF">
        <w:rPr>
          <w:sz w:val="28"/>
          <w:szCs w:val="28"/>
        </w:rPr>
        <w:t>El 3 de diciembre de 2015</w:t>
      </w:r>
      <w:r w:rsidR="009B0540" w:rsidRPr="00643DCF">
        <w:rPr>
          <w:rStyle w:val="Refdenotaalpie"/>
          <w:sz w:val="28"/>
          <w:szCs w:val="28"/>
        </w:rPr>
        <w:footnoteReference w:id="68"/>
      </w:r>
      <w:r w:rsidR="00607DF1" w:rsidRPr="00643DCF">
        <w:rPr>
          <w:sz w:val="28"/>
          <w:szCs w:val="28"/>
        </w:rPr>
        <w:t xml:space="preserve"> </w:t>
      </w:r>
      <w:r w:rsidR="00E01D20" w:rsidRPr="00643DCF">
        <w:rPr>
          <w:sz w:val="28"/>
          <w:szCs w:val="28"/>
        </w:rPr>
        <w:t>el Consejo Superior de la Judicatura</w:t>
      </w:r>
      <w:r w:rsidR="00D90AF1" w:rsidRPr="00643DCF">
        <w:rPr>
          <w:sz w:val="28"/>
          <w:szCs w:val="28"/>
        </w:rPr>
        <w:t xml:space="preserve"> remitió el </w:t>
      </w:r>
      <w:r w:rsidR="00D033B6" w:rsidRPr="00643DCF">
        <w:rPr>
          <w:sz w:val="28"/>
          <w:szCs w:val="28"/>
        </w:rPr>
        <w:t xml:space="preserve">reporte </w:t>
      </w:r>
      <w:r w:rsidR="00D90AF1" w:rsidRPr="00643DCF">
        <w:rPr>
          <w:sz w:val="28"/>
          <w:szCs w:val="28"/>
        </w:rPr>
        <w:t xml:space="preserve">correspondiente, </w:t>
      </w:r>
      <w:r w:rsidR="00D033B6" w:rsidRPr="00643DCF">
        <w:rPr>
          <w:sz w:val="28"/>
          <w:szCs w:val="28"/>
        </w:rPr>
        <w:t xml:space="preserve">en </w:t>
      </w:r>
      <w:r w:rsidR="00086B69" w:rsidRPr="00643DCF">
        <w:rPr>
          <w:sz w:val="28"/>
          <w:szCs w:val="28"/>
        </w:rPr>
        <w:t>el cual</w:t>
      </w:r>
      <w:r w:rsidR="00D033B6" w:rsidRPr="00643DCF">
        <w:rPr>
          <w:sz w:val="28"/>
          <w:szCs w:val="28"/>
        </w:rPr>
        <w:t xml:space="preserve"> </w:t>
      </w:r>
      <w:r w:rsidR="00D90AF1" w:rsidRPr="00643DCF">
        <w:rPr>
          <w:sz w:val="28"/>
          <w:szCs w:val="28"/>
        </w:rPr>
        <w:t xml:space="preserve">informó que el micrositio se </w:t>
      </w:r>
      <w:r w:rsidR="0093307A" w:rsidRPr="00643DCF">
        <w:rPr>
          <w:sz w:val="28"/>
          <w:szCs w:val="28"/>
        </w:rPr>
        <w:t>encontraba</w:t>
      </w:r>
      <w:r w:rsidR="00D90AF1" w:rsidRPr="00643DCF">
        <w:rPr>
          <w:sz w:val="28"/>
          <w:szCs w:val="28"/>
        </w:rPr>
        <w:t xml:space="preserve"> actualizado con los autos genéricos y específicos hasta el 11 de noviembre de 2015</w:t>
      </w:r>
      <w:r w:rsidR="00D033B6" w:rsidRPr="00643DCF">
        <w:rPr>
          <w:sz w:val="28"/>
          <w:szCs w:val="28"/>
        </w:rPr>
        <w:t>. A</w:t>
      </w:r>
      <w:r w:rsidR="00426C82" w:rsidRPr="00643DCF">
        <w:rPr>
          <w:sz w:val="28"/>
          <w:szCs w:val="28"/>
        </w:rPr>
        <w:t>claró</w:t>
      </w:r>
      <w:r w:rsidR="00E01D20" w:rsidRPr="00643DCF">
        <w:rPr>
          <w:sz w:val="28"/>
          <w:szCs w:val="28"/>
        </w:rPr>
        <w:t xml:space="preserve"> </w:t>
      </w:r>
      <w:r w:rsidR="00FF3458" w:rsidRPr="00643DCF">
        <w:rPr>
          <w:sz w:val="28"/>
          <w:szCs w:val="28"/>
        </w:rPr>
        <w:t xml:space="preserve">que la única actividad pendiente por ejecutar era un </w:t>
      </w:r>
      <w:r w:rsidR="00E01D20" w:rsidRPr="00643DCF">
        <w:rPr>
          <w:sz w:val="28"/>
          <w:szCs w:val="28"/>
        </w:rPr>
        <w:t>“</w:t>
      </w:r>
      <w:r w:rsidR="00FF3458" w:rsidRPr="00643DCF">
        <w:rPr>
          <w:i/>
          <w:sz w:val="28"/>
          <w:szCs w:val="28"/>
        </w:rPr>
        <w:t>Seminario de Actualización sobre el Derecho Fundamental a la Salud</w:t>
      </w:r>
      <w:r w:rsidR="00E01D20" w:rsidRPr="00643DCF">
        <w:rPr>
          <w:sz w:val="28"/>
          <w:szCs w:val="28"/>
        </w:rPr>
        <w:t>”</w:t>
      </w:r>
      <w:r w:rsidR="00FF3458" w:rsidRPr="00643DCF">
        <w:rPr>
          <w:sz w:val="28"/>
          <w:szCs w:val="28"/>
        </w:rPr>
        <w:t>, en Bogotá el 11 de diciembre</w:t>
      </w:r>
      <w:r w:rsidR="00BE50F4" w:rsidRPr="00643DCF">
        <w:rPr>
          <w:sz w:val="28"/>
          <w:szCs w:val="28"/>
        </w:rPr>
        <w:t xml:space="preserve"> de </w:t>
      </w:r>
      <w:r w:rsidR="00720900" w:rsidRPr="00643DCF">
        <w:rPr>
          <w:sz w:val="28"/>
          <w:szCs w:val="28"/>
        </w:rPr>
        <w:t>ese año</w:t>
      </w:r>
      <w:r w:rsidR="00FF3458" w:rsidRPr="00643DCF">
        <w:rPr>
          <w:sz w:val="28"/>
          <w:szCs w:val="28"/>
        </w:rPr>
        <w:t>.</w:t>
      </w:r>
    </w:p>
    <w:p w14:paraId="25EBFFDE" w14:textId="77777777" w:rsidR="00607DF1" w:rsidRPr="00643DCF" w:rsidRDefault="00607DF1" w:rsidP="00607DF1">
      <w:pPr>
        <w:pStyle w:val="Prrafodelista"/>
        <w:widowControl w:val="0"/>
        <w:tabs>
          <w:tab w:val="left" w:pos="426"/>
        </w:tabs>
        <w:autoSpaceDE w:val="0"/>
        <w:autoSpaceDN w:val="0"/>
        <w:adjustRightInd w:val="0"/>
        <w:ind w:left="0"/>
        <w:jc w:val="both"/>
        <w:rPr>
          <w:sz w:val="28"/>
          <w:szCs w:val="28"/>
        </w:rPr>
      </w:pPr>
    </w:p>
    <w:p w14:paraId="751FC90C" w14:textId="6057E81E" w:rsidR="00BE199D" w:rsidRPr="00643DCF" w:rsidRDefault="00FF3458" w:rsidP="00B14E08">
      <w:pPr>
        <w:widowControl w:val="0"/>
        <w:numPr>
          <w:ilvl w:val="0"/>
          <w:numId w:val="3"/>
        </w:numPr>
        <w:tabs>
          <w:tab w:val="left" w:pos="426"/>
        </w:tabs>
        <w:autoSpaceDE w:val="0"/>
        <w:autoSpaceDN w:val="0"/>
        <w:adjustRightInd w:val="0"/>
        <w:ind w:left="0" w:firstLine="0"/>
        <w:jc w:val="both"/>
        <w:rPr>
          <w:sz w:val="28"/>
          <w:szCs w:val="28"/>
        </w:rPr>
      </w:pPr>
      <w:r w:rsidRPr="00643DCF">
        <w:rPr>
          <w:sz w:val="28"/>
          <w:szCs w:val="28"/>
        </w:rPr>
        <w:t xml:space="preserve">El primero de abril </w:t>
      </w:r>
      <w:r w:rsidR="00BE50F4" w:rsidRPr="00643DCF">
        <w:rPr>
          <w:sz w:val="28"/>
          <w:szCs w:val="28"/>
        </w:rPr>
        <w:t>de 2016</w:t>
      </w:r>
      <w:r w:rsidR="00030A51" w:rsidRPr="00643DCF">
        <w:rPr>
          <w:rStyle w:val="Refdenotaalpie"/>
          <w:sz w:val="28"/>
          <w:szCs w:val="28"/>
        </w:rPr>
        <w:footnoteReference w:id="69"/>
      </w:r>
      <w:r w:rsidRPr="00643DCF">
        <w:rPr>
          <w:sz w:val="28"/>
          <w:szCs w:val="28"/>
        </w:rPr>
        <w:t xml:space="preserve"> el </w:t>
      </w:r>
      <w:r w:rsidR="007B0171" w:rsidRPr="00643DCF">
        <w:rPr>
          <w:sz w:val="28"/>
          <w:szCs w:val="28"/>
        </w:rPr>
        <w:t>CSJ</w:t>
      </w:r>
      <w:r w:rsidR="008F4B95" w:rsidRPr="00643DCF">
        <w:rPr>
          <w:sz w:val="28"/>
          <w:szCs w:val="28"/>
        </w:rPr>
        <w:t xml:space="preserve"> presentó </w:t>
      </w:r>
      <w:r w:rsidR="000F5DEC" w:rsidRPr="00643DCF">
        <w:rPr>
          <w:sz w:val="28"/>
          <w:szCs w:val="28"/>
        </w:rPr>
        <w:t xml:space="preserve">el </w:t>
      </w:r>
      <w:r w:rsidR="00882939" w:rsidRPr="00643DCF">
        <w:rPr>
          <w:sz w:val="28"/>
          <w:szCs w:val="28"/>
        </w:rPr>
        <w:t xml:space="preserve">reporte </w:t>
      </w:r>
      <w:r w:rsidR="00BE199D" w:rsidRPr="00643DCF">
        <w:rPr>
          <w:sz w:val="28"/>
          <w:szCs w:val="28"/>
        </w:rPr>
        <w:t xml:space="preserve">correspondiente, </w:t>
      </w:r>
      <w:r w:rsidR="000F5DEC" w:rsidRPr="00643DCF">
        <w:rPr>
          <w:sz w:val="28"/>
          <w:szCs w:val="28"/>
        </w:rPr>
        <w:t xml:space="preserve">referenciando </w:t>
      </w:r>
      <w:r w:rsidR="00BE199D" w:rsidRPr="00643DCF">
        <w:rPr>
          <w:sz w:val="28"/>
          <w:szCs w:val="28"/>
        </w:rPr>
        <w:t xml:space="preserve">las siguientes acciones: </w:t>
      </w:r>
      <w:r w:rsidR="006003DC" w:rsidRPr="00643DCF">
        <w:rPr>
          <w:i/>
          <w:sz w:val="28"/>
          <w:szCs w:val="28"/>
        </w:rPr>
        <w:t>(</w:t>
      </w:r>
      <w:r w:rsidR="00BE199D" w:rsidRPr="00643DCF">
        <w:rPr>
          <w:i/>
          <w:sz w:val="28"/>
          <w:szCs w:val="28"/>
        </w:rPr>
        <w:t>i)</w:t>
      </w:r>
      <w:r w:rsidR="00BE199D" w:rsidRPr="00643DCF">
        <w:rPr>
          <w:sz w:val="28"/>
          <w:szCs w:val="28"/>
        </w:rPr>
        <w:t xml:space="preserve"> </w:t>
      </w:r>
      <w:r w:rsidR="00DB4CCA" w:rsidRPr="00643DCF">
        <w:rPr>
          <w:sz w:val="28"/>
          <w:szCs w:val="28"/>
        </w:rPr>
        <w:t>actualización del micrositio</w:t>
      </w:r>
      <w:r w:rsidR="00AE3D0F" w:rsidRPr="00643DCF">
        <w:rPr>
          <w:sz w:val="28"/>
          <w:szCs w:val="28"/>
        </w:rPr>
        <w:t xml:space="preserve"> de la sentencia</w:t>
      </w:r>
      <w:r w:rsidR="00DB4CCA" w:rsidRPr="00643DCF">
        <w:rPr>
          <w:sz w:val="28"/>
          <w:szCs w:val="28"/>
        </w:rPr>
        <w:t xml:space="preserve"> </w:t>
      </w:r>
      <w:r w:rsidR="000F5DEC" w:rsidRPr="00643DCF">
        <w:rPr>
          <w:sz w:val="28"/>
          <w:szCs w:val="28"/>
        </w:rPr>
        <w:t>donde</w:t>
      </w:r>
      <w:r w:rsidR="00DB4CCA" w:rsidRPr="00643DCF">
        <w:rPr>
          <w:sz w:val="28"/>
          <w:szCs w:val="28"/>
        </w:rPr>
        <w:t xml:space="preserve"> </w:t>
      </w:r>
      <w:r w:rsidR="00720900" w:rsidRPr="00643DCF">
        <w:rPr>
          <w:sz w:val="28"/>
          <w:szCs w:val="28"/>
        </w:rPr>
        <w:t>fueron sub</w:t>
      </w:r>
      <w:r w:rsidR="00E01D20" w:rsidRPr="00643DCF">
        <w:rPr>
          <w:sz w:val="28"/>
          <w:szCs w:val="28"/>
        </w:rPr>
        <w:t>i</w:t>
      </w:r>
      <w:r w:rsidR="00720900" w:rsidRPr="00643DCF">
        <w:rPr>
          <w:sz w:val="28"/>
          <w:szCs w:val="28"/>
        </w:rPr>
        <w:t>do</w:t>
      </w:r>
      <w:r w:rsidR="00E01D20" w:rsidRPr="00643DCF">
        <w:rPr>
          <w:sz w:val="28"/>
          <w:szCs w:val="28"/>
        </w:rPr>
        <w:t>s</w:t>
      </w:r>
      <w:r w:rsidR="00DB4CCA" w:rsidRPr="00643DCF">
        <w:rPr>
          <w:sz w:val="28"/>
          <w:szCs w:val="28"/>
        </w:rPr>
        <w:t xml:space="preserve"> los auto</w:t>
      </w:r>
      <w:r w:rsidR="003545AC" w:rsidRPr="00643DCF">
        <w:rPr>
          <w:sz w:val="28"/>
          <w:szCs w:val="28"/>
        </w:rPr>
        <w:t>s</w:t>
      </w:r>
      <w:r w:rsidR="00DB4CCA" w:rsidRPr="00643DCF">
        <w:rPr>
          <w:sz w:val="28"/>
          <w:szCs w:val="28"/>
        </w:rPr>
        <w:t xml:space="preserve"> proferidos</w:t>
      </w:r>
      <w:r w:rsidR="00607DF1" w:rsidRPr="00643DCF">
        <w:rPr>
          <w:sz w:val="28"/>
          <w:szCs w:val="28"/>
        </w:rPr>
        <w:t xml:space="preserve"> por la Sala</w:t>
      </w:r>
      <w:r w:rsidR="00DB4CCA" w:rsidRPr="00643DCF">
        <w:rPr>
          <w:sz w:val="28"/>
          <w:szCs w:val="28"/>
        </w:rPr>
        <w:t xml:space="preserve"> hasta el 18 de noviembre de 201</w:t>
      </w:r>
      <w:r w:rsidR="00C41EE9" w:rsidRPr="00643DCF">
        <w:rPr>
          <w:sz w:val="28"/>
          <w:szCs w:val="28"/>
        </w:rPr>
        <w:t>5</w:t>
      </w:r>
      <w:r w:rsidR="00DB4CCA" w:rsidRPr="00643DCF">
        <w:rPr>
          <w:rStyle w:val="Refdenotaalpie"/>
          <w:sz w:val="28"/>
          <w:szCs w:val="28"/>
        </w:rPr>
        <w:footnoteReference w:id="70"/>
      </w:r>
      <w:r w:rsidR="00BE199D" w:rsidRPr="00643DCF">
        <w:rPr>
          <w:i/>
          <w:sz w:val="28"/>
          <w:szCs w:val="28"/>
        </w:rPr>
        <w:t xml:space="preserve">; </w:t>
      </w:r>
      <w:r w:rsidR="006003DC" w:rsidRPr="00643DCF">
        <w:rPr>
          <w:i/>
          <w:sz w:val="28"/>
          <w:szCs w:val="28"/>
        </w:rPr>
        <w:t>(</w:t>
      </w:r>
      <w:r w:rsidR="00BE199D" w:rsidRPr="00643DCF">
        <w:rPr>
          <w:i/>
          <w:sz w:val="28"/>
          <w:szCs w:val="28"/>
        </w:rPr>
        <w:t>ii)</w:t>
      </w:r>
      <w:r w:rsidR="00BE199D" w:rsidRPr="00643DCF">
        <w:rPr>
          <w:sz w:val="28"/>
          <w:szCs w:val="28"/>
        </w:rPr>
        <w:t xml:space="preserve"> nue</w:t>
      </w:r>
      <w:r w:rsidR="00DB4CCA" w:rsidRPr="00643DCF">
        <w:rPr>
          <w:sz w:val="28"/>
          <w:szCs w:val="28"/>
        </w:rPr>
        <w:t>vamente</w:t>
      </w:r>
      <w:r w:rsidR="00BE199D" w:rsidRPr="00643DCF">
        <w:rPr>
          <w:sz w:val="28"/>
          <w:szCs w:val="28"/>
        </w:rPr>
        <w:t xml:space="preserve"> relacionó las actividades del informe anterior citando </w:t>
      </w:r>
      <w:r w:rsidR="00DB4CCA" w:rsidRPr="00643DCF">
        <w:rPr>
          <w:sz w:val="28"/>
          <w:szCs w:val="28"/>
        </w:rPr>
        <w:t>la</w:t>
      </w:r>
      <w:r w:rsidR="007367FA" w:rsidRPr="00643DCF">
        <w:rPr>
          <w:sz w:val="28"/>
          <w:szCs w:val="28"/>
        </w:rPr>
        <w:t xml:space="preserve"> entrega de los </w:t>
      </w:r>
      <w:r w:rsidR="00DB4CCA" w:rsidRPr="00643DCF">
        <w:rPr>
          <w:sz w:val="28"/>
          <w:szCs w:val="28"/>
        </w:rPr>
        <w:t xml:space="preserve">5000 ejemplares impresos del fallo </w:t>
      </w:r>
      <w:r w:rsidR="00BE199D" w:rsidRPr="00643DCF">
        <w:rPr>
          <w:sz w:val="28"/>
          <w:szCs w:val="28"/>
        </w:rPr>
        <w:t xml:space="preserve">y </w:t>
      </w:r>
      <w:r w:rsidR="0000206E" w:rsidRPr="00643DCF">
        <w:rPr>
          <w:sz w:val="28"/>
          <w:szCs w:val="28"/>
        </w:rPr>
        <w:t xml:space="preserve">los </w:t>
      </w:r>
      <w:r w:rsidR="00DB4CCA" w:rsidRPr="00643DCF">
        <w:rPr>
          <w:sz w:val="28"/>
          <w:szCs w:val="28"/>
        </w:rPr>
        <w:t>“</w:t>
      </w:r>
      <w:r w:rsidR="00DB4CCA" w:rsidRPr="00643DCF">
        <w:rPr>
          <w:i/>
          <w:sz w:val="28"/>
          <w:szCs w:val="28"/>
        </w:rPr>
        <w:t>Seminario</w:t>
      </w:r>
      <w:r w:rsidR="0000206E" w:rsidRPr="00643DCF">
        <w:rPr>
          <w:i/>
          <w:sz w:val="28"/>
          <w:szCs w:val="28"/>
        </w:rPr>
        <w:t>s</w:t>
      </w:r>
      <w:r w:rsidR="00DB4CCA" w:rsidRPr="00643DCF">
        <w:rPr>
          <w:i/>
          <w:sz w:val="28"/>
          <w:szCs w:val="28"/>
        </w:rPr>
        <w:t xml:space="preserve"> sobre el Derecho Fundamental a la Salud</w:t>
      </w:r>
      <w:r w:rsidR="00AA35F2" w:rsidRPr="00643DCF">
        <w:rPr>
          <w:i/>
          <w:sz w:val="28"/>
          <w:szCs w:val="28"/>
        </w:rPr>
        <w:t>-</w:t>
      </w:r>
      <w:r w:rsidR="00DB4CCA" w:rsidRPr="00643DCF">
        <w:rPr>
          <w:i/>
          <w:sz w:val="28"/>
          <w:szCs w:val="28"/>
        </w:rPr>
        <w:t>Enfermedades de Alto Costo</w:t>
      </w:r>
      <w:r w:rsidR="00DB4CCA" w:rsidRPr="00643DCF">
        <w:rPr>
          <w:sz w:val="28"/>
          <w:szCs w:val="28"/>
        </w:rPr>
        <w:t>”</w:t>
      </w:r>
      <w:r w:rsidR="00086B69" w:rsidRPr="00643DCF">
        <w:rPr>
          <w:sz w:val="28"/>
          <w:szCs w:val="28"/>
        </w:rPr>
        <w:t xml:space="preserve">, precisando </w:t>
      </w:r>
      <w:r w:rsidR="00BE199D" w:rsidRPr="00643DCF">
        <w:rPr>
          <w:sz w:val="28"/>
          <w:szCs w:val="28"/>
        </w:rPr>
        <w:t>que capacitaron u</w:t>
      </w:r>
      <w:r w:rsidR="0000206E" w:rsidRPr="00643DCF">
        <w:rPr>
          <w:sz w:val="28"/>
          <w:szCs w:val="28"/>
        </w:rPr>
        <w:t>n total</w:t>
      </w:r>
      <w:r w:rsidR="003545AC" w:rsidRPr="00643DCF">
        <w:rPr>
          <w:sz w:val="28"/>
          <w:szCs w:val="28"/>
        </w:rPr>
        <w:t xml:space="preserve"> 612 personas</w:t>
      </w:r>
      <w:r w:rsidR="0000206E" w:rsidRPr="00643DCF">
        <w:rPr>
          <w:sz w:val="28"/>
          <w:szCs w:val="28"/>
        </w:rPr>
        <w:t xml:space="preserve"> en el año 2015</w:t>
      </w:r>
      <w:r w:rsidR="003545AC" w:rsidRPr="00643DCF">
        <w:rPr>
          <w:sz w:val="28"/>
          <w:szCs w:val="28"/>
        </w:rPr>
        <w:t xml:space="preserve">. </w:t>
      </w:r>
    </w:p>
    <w:p w14:paraId="062732DC" w14:textId="77777777" w:rsidR="00BE199D" w:rsidRPr="00643DCF" w:rsidRDefault="00BE199D" w:rsidP="003E23A0">
      <w:pPr>
        <w:pStyle w:val="Prrafodelista"/>
        <w:rPr>
          <w:sz w:val="28"/>
          <w:szCs w:val="28"/>
        </w:rPr>
      </w:pPr>
    </w:p>
    <w:p w14:paraId="69C3AED4" w14:textId="61ED9EE5" w:rsidR="00607DF1" w:rsidRPr="00643DCF" w:rsidRDefault="003545AC" w:rsidP="003E23A0">
      <w:pPr>
        <w:widowControl w:val="0"/>
        <w:tabs>
          <w:tab w:val="left" w:pos="426"/>
        </w:tabs>
        <w:autoSpaceDE w:val="0"/>
        <w:autoSpaceDN w:val="0"/>
        <w:adjustRightInd w:val="0"/>
        <w:jc w:val="both"/>
        <w:rPr>
          <w:sz w:val="28"/>
          <w:szCs w:val="28"/>
        </w:rPr>
      </w:pPr>
      <w:r w:rsidRPr="00643DCF">
        <w:rPr>
          <w:sz w:val="28"/>
          <w:szCs w:val="28"/>
        </w:rPr>
        <w:t xml:space="preserve">Allegó </w:t>
      </w:r>
      <w:r w:rsidR="002125A5" w:rsidRPr="00643DCF">
        <w:rPr>
          <w:sz w:val="28"/>
          <w:szCs w:val="28"/>
        </w:rPr>
        <w:t>también</w:t>
      </w:r>
      <w:r w:rsidR="005A113B" w:rsidRPr="00643DCF">
        <w:rPr>
          <w:sz w:val="28"/>
          <w:szCs w:val="28"/>
        </w:rPr>
        <w:t xml:space="preserve"> </w:t>
      </w:r>
      <w:r w:rsidR="00426C82" w:rsidRPr="00643DCF">
        <w:rPr>
          <w:sz w:val="28"/>
          <w:szCs w:val="28"/>
        </w:rPr>
        <w:t>el plan de acción</w:t>
      </w:r>
      <w:r w:rsidR="0000206E" w:rsidRPr="00643DCF">
        <w:rPr>
          <w:sz w:val="28"/>
          <w:szCs w:val="28"/>
        </w:rPr>
        <w:t xml:space="preserve"> para el año 2016</w:t>
      </w:r>
      <w:r w:rsidR="00426C82" w:rsidRPr="00643DCF">
        <w:rPr>
          <w:sz w:val="28"/>
          <w:szCs w:val="28"/>
        </w:rPr>
        <w:t xml:space="preserve"> denominado</w:t>
      </w:r>
      <w:r w:rsidRPr="00643DCF">
        <w:rPr>
          <w:sz w:val="28"/>
          <w:szCs w:val="28"/>
        </w:rPr>
        <w:t xml:space="preserve"> “</w:t>
      </w:r>
      <w:r w:rsidRPr="00643DCF">
        <w:rPr>
          <w:i/>
          <w:sz w:val="28"/>
          <w:szCs w:val="28"/>
        </w:rPr>
        <w:t>Programa de Forma</w:t>
      </w:r>
      <w:r w:rsidR="005D259C" w:rsidRPr="00643DCF">
        <w:rPr>
          <w:i/>
          <w:sz w:val="28"/>
          <w:szCs w:val="28"/>
        </w:rPr>
        <w:t>ción en Derecho a la Salud</w:t>
      </w:r>
      <w:r w:rsidR="005D259C" w:rsidRPr="00643DCF">
        <w:rPr>
          <w:sz w:val="28"/>
          <w:szCs w:val="28"/>
        </w:rPr>
        <w:t xml:space="preserve">”, </w:t>
      </w:r>
      <w:r w:rsidR="000F5DEC" w:rsidRPr="00643DCF">
        <w:rPr>
          <w:sz w:val="28"/>
          <w:szCs w:val="28"/>
        </w:rPr>
        <w:t>indicando</w:t>
      </w:r>
      <w:r w:rsidR="00BE199D" w:rsidRPr="00643DCF">
        <w:rPr>
          <w:sz w:val="28"/>
          <w:szCs w:val="28"/>
        </w:rPr>
        <w:t xml:space="preserve"> que</w:t>
      </w:r>
      <w:r w:rsidR="005D259C" w:rsidRPr="00643DCF">
        <w:rPr>
          <w:sz w:val="28"/>
          <w:szCs w:val="28"/>
        </w:rPr>
        <w:t xml:space="preserve"> </w:t>
      </w:r>
      <w:r w:rsidRPr="00643DCF">
        <w:rPr>
          <w:sz w:val="28"/>
          <w:szCs w:val="28"/>
        </w:rPr>
        <w:t>constar</w:t>
      </w:r>
      <w:r w:rsidR="007367FA" w:rsidRPr="00643DCF">
        <w:rPr>
          <w:sz w:val="28"/>
          <w:szCs w:val="28"/>
        </w:rPr>
        <w:t>ía</w:t>
      </w:r>
      <w:r w:rsidRPr="00643DCF">
        <w:rPr>
          <w:sz w:val="28"/>
          <w:szCs w:val="28"/>
        </w:rPr>
        <w:t xml:space="preserve"> de 4 conversatorios y </w:t>
      </w:r>
      <w:r w:rsidR="00BE199D" w:rsidRPr="00643DCF">
        <w:rPr>
          <w:sz w:val="28"/>
          <w:szCs w:val="28"/>
        </w:rPr>
        <w:t xml:space="preserve">el mismo </w:t>
      </w:r>
      <w:r w:rsidRPr="00643DCF">
        <w:rPr>
          <w:sz w:val="28"/>
          <w:szCs w:val="28"/>
        </w:rPr>
        <w:t>busc</w:t>
      </w:r>
      <w:r w:rsidR="00030A51" w:rsidRPr="00643DCF">
        <w:rPr>
          <w:sz w:val="28"/>
          <w:szCs w:val="28"/>
        </w:rPr>
        <w:t>aría</w:t>
      </w:r>
      <w:r w:rsidRPr="00643DCF">
        <w:rPr>
          <w:sz w:val="28"/>
          <w:szCs w:val="28"/>
        </w:rPr>
        <w:t xml:space="preserve"> “</w:t>
      </w:r>
      <w:r w:rsidRPr="00643DCF">
        <w:rPr>
          <w:i/>
          <w:sz w:val="28"/>
          <w:szCs w:val="28"/>
        </w:rPr>
        <w:t>generar espacios de reflexión sobre las dificultades a las que se enfrentan los jueces de tutela, en tratándose del derecho fundamental a la salud y la constante actualización de la normatividad vigente</w:t>
      </w:r>
      <w:r w:rsidRPr="00643DCF">
        <w:rPr>
          <w:sz w:val="28"/>
          <w:szCs w:val="28"/>
        </w:rPr>
        <w:t>”</w:t>
      </w:r>
      <w:r w:rsidRPr="00643DCF">
        <w:rPr>
          <w:rStyle w:val="Refdenotaalpie"/>
          <w:sz w:val="28"/>
          <w:szCs w:val="28"/>
        </w:rPr>
        <w:footnoteReference w:id="71"/>
      </w:r>
      <w:r w:rsidRPr="00643DCF">
        <w:rPr>
          <w:sz w:val="28"/>
          <w:szCs w:val="28"/>
        </w:rPr>
        <w:t>.</w:t>
      </w:r>
      <w:r w:rsidR="00882F4C" w:rsidRPr="00643DCF">
        <w:rPr>
          <w:sz w:val="28"/>
          <w:szCs w:val="28"/>
        </w:rPr>
        <w:t xml:space="preserve"> </w:t>
      </w:r>
      <w:r w:rsidR="00BE199D" w:rsidRPr="00643DCF">
        <w:rPr>
          <w:sz w:val="28"/>
          <w:szCs w:val="28"/>
        </w:rPr>
        <w:t xml:space="preserve">Adicionalmente hizo alusión a la </w:t>
      </w:r>
      <w:r w:rsidR="00882F4C" w:rsidRPr="00643DCF">
        <w:rPr>
          <w:sz w:val="28"/>
          <w:szCs w:val="28"/>
        </w:rPr>
        <w:t>transmisión</w:t>
      </w:r>
      <w:r w:rsidR="005D259C" w:rsidRPr="00643DCF">
        <w:rPr>
          <w:sz w:val="28"/>
          <w:szCs w:val="28"/>
        </w:rPr>
        <w:t xml:space="preserve"> de un programa de televisión titulado</w:t>
      </w:r>
      <w:r w:rsidR="00882F4C" w:rsidRPr="00643DCF">
        <w:rPr>
          <w:sz w:val="28"/>
          <w:szCs w:val="28"/>
        </w:rPr>
        <w:t xml:space="preserve"> “</w:t>
      </w:r>
      <w:r w:rsidR="00882F4C" w:rsidRPr="00643DCF">
        <w:rPr>
          <w:i/>
          <w:sz w:val="28"/>
          <w:szCs w:val="28"/>
        </w:rPr>
        <w:t>La Corte Constitucional y su intervención en la crisis de la salud en Colombia</w:t>
      </w:r>
      <w:r w:rsidR="00882F4C" w:rsidRPr="00643DCF">
        <w:rPr>
          <w:sz w:val="28"/>
          <w:szCs w:val="28"/>
        </w:rPr>
        <w:t xml:space="preserve">”; </w:t>
      </w:r>
      <w:r w:rsidR="005D259C" w:rsidRPr="00643DCF">
        <w:rPr>
          <w:sz w:val="28"/>
          <w:szCs w:val="28"/>
        </w:rPr>
        <w:t>emisión</w:t>
      </w:r>
      <w:r w:rsidR="00AA35F2" w:rsidRPr="00643DCF">
        <w:rPr>
          <w:sz w:val="28"/>
          <w:szCs w:val="28"/>
        </w:rPr>
        <w:t xml:space="preserve"> </w:t>
      </w:r>
      <w:r w:rsidR="002125A5" w:rsidRPr="00643DCF">
        <w:rPr>
          <w:sz w:val="28"/>
          <w:szCs w:val="28"/>
        </w:rPr>
        <w:t xml:space="preserve">que </w:t>
      </w:r>
      <w:r w:rsidR="007367FA" w:rsidRPr="00643DCF">
        <w:rPr>
          <w:sz w:val="28"/>
          <w:szCs w:val="28"/>
        </w:rPr>
        <w:t xml:space="preserve">tuvo lugar </w:t>
      </w:r>
      <w:r w:rsidR="00882F4C" w:rsidRPr="00643DCF">
        <w:rPr>
          <w:sz w:val="28"/>
          <w:szCs w:val="28"/>
        </w:rPr>
        <w:t>el 24 de diciembre de 2015</w:t>
      </w:r>
      <w:r w:rsidR="00D31DAF" w:rsidRPr="00643DCF">
        <w:rPr>
          <w:sz w:val="28"/>
          <w:szCs w:val="28"/>
        </w:rPr>
        <w:t xml:space="preserve"> sin que se </w:t>
      </w:r>
      <w:r w:rsidR="00086B69" w:rsidRPr="00643DCF">
        <w:rPr>
          <w:sz w:val="28"/>
          <w:szCs w:val="28"/>
        </w:rPr>
        <w:t xml:space="preserve">hubiere precisado </w:t>
      </w:r>
      <w:r w:rsidR="00882F4C" w:rsidRPr="00643DCF">
        <w:rPr>
          <w:sz w:val="28"/>
          <w:szCs w:val="28"/>
        </w:rPr>
        <w:t xml:space="preserve">la hora de </w:t>
      </w:r>
      <w:r w:rsidR="00D31DAF" w:rsidRPr="00643DCF">
        <w:rPr>
          <w:sz w:val="28"/>
          <w:szCs w:val="28"/>
        </w:rPr>
        <w:t>realización</w:t>
      </w:r>
      <w:r w:rsidR="00882F4C" w:rsidRPr="00643DCF">
        <w:rPr>
          <w:sz w:val="28"/>
          <w:szCs w:val="28"/>
        </w:rPr>
        <w:t>.</w:t>
      </w:r>
    </w:p>
    <w:p w14:paraId="1316F5CA" w14:textId="77777777" w:rsidR="00607DF1" w:rsidRPr="00643DCF" w:rsidRDefault="00607DF1" w:rsidP="00607DF1">
      <w:pPr>
        <w:pStyle w:val="Prrafodelista"/>
        <w:widowControl w:val="0"/>
        <w:tabs>
          <w:tab w:val="left" w:pos="426"/>
        </w:tabs>
        <w:autoSpaceDE w:val="0"/>
        <w:autoSpaceDN w:val="0"/>
        <w:adjustRightInd w:val="0"/>
        <w:ind w:left="0"/>
        <w:jc w:val="both"/>
        <w:rPr>
          <w:sz w:val="28"/>
          <w:szCs w:val="28"/>
        </w:rPr>
      </w:pPr>
    </w:p>
    <w:p w14:paraId="72DFFE6D" w14:textId="6A6589C8" w:rsidR="00607DF1" w:rsidRPr="00643DCF" w:rsidRDefault="001D62E8" w:rsidP="00B14E08">
      <w:pPr>
        <w:widowControl w:val="0"/>
        <w:numPr>
          <w:ilvl w:val="0"/>
          <w:numId w:val="3"/>
        </w:numPr>
        <w:tabs>
          <w:tab w:val="left" w:pos="426"/>
        </w:tabs>
        <w:autoSpaceDE w:val="0"/>
        <w:autoSpaceDN w:val="0"/>
        <w:adjustRightInd w:val="0"/>
        <w:ind w:left="0" w:firstLine="0"/>
        <w:jc w:val="both"/>
        <w:rPr>
          <w:sz w:val="28"/>
          <w:szCs w:val="28"/>
        </w:rPr>
      </w:pPr>
      <w:r w:rsidRPr="00643DCF">
        <w:rPr>
          <w:sz w:val="28"/>
          <w:szCs w:val="28"/>
        </w:rPr>
        <w:t xml:space="preserve">El </w:t>
      </w:r>
      <w:r w:rsidR="003545AC" w:rsidRPr="00643DCF">
        <w:rPr>
          <w:sz w:val="28"/>
          <w:szCs w:val="28"/>
        </w:rPr>
        <w:t>17</w:t>
      </w:r>
      <w:r w:rsidRPr="00643DCF">
        <w:rPr>
          <w:sz w:val="28"/>
          <w:szCs w:val="28"/>
        </w:rPr>
        <w:t xml:space="preserve"> de junio de 201</w:t>
      </w:r>
      <w:r w:rsidR="003545AC" w:rsidRPr="00643DCF">
        <w:rPr>
          <w:sz w:val="28"/>
          <w:szCs w:val="28"/>
        </w:rPr>
        <w:t>6</w:t>
      </w:r>
      <w:r w:rsidR="00D535D8" w:rsidRPr="00643DCF">
        <w:rPr>
          <w:rStyle w:val="Refdenotaalpie"/>
          <w:sz w:val="28"/>
          <w:szCs w:val="28"/>
        </w:rPr>
        <w:footnoteReference w:id="72"/>
      </w:r>
      <w:r w:rsidRPr="00643DCF">
        <w:rPr>
          <w:sz w:val="28"/>
          <w:szCs w:val="28"/>
        </w:rPr>
        <w:t xml:space="preserve"> l</w:t>
      </w:r>
      <w:r w:rsidR="00690965" w:rsidRPr="00643DCF">
        <w:rPr>
          <w:sz w:val="28"/>
          <w:szCs w:val="28"/>
        </w:rPr>
        <w:t xml:space="preserve">a Defensoría del Pueblo </w:t>
      </w:r>
      <w:r w:rsidR="005A113B" w:rsidRPr="00643DCF">
        <w:rPr>
          <w:sz w:val="28"/>
          <w:szCs w:val="28"/>
        </w:rPr>
        <w:t>entregó</w:t>
      </w:r>
      <w:r w:rsidR="00690965" w:rsidRPr="00643DCF">
        <w:rPr>
          <w:sz w:val="28"/>
          <w:szCs w:val="28"/>
        </w:rPr>
        <w:t xml:space="preserve"> el </w:t>
      </w:r>
      <w:r w:rsidR="003545AC" w:rsidRPr="00643DCF">
        <w:rPr>
          <w:sz w:val="28"/>
          <w:szCs w:val="28"/>
        </w:rPr>
        <w:t>octavo</w:t>
      </w:r>
      <w:r w:rsidR="00690965" w:rsidRPr="00643DCF">
        <w:rPr>
          <w:sz w:val="28"/>
          <w:szCs w:val="28"/>
        </w:rPr>
        <w:t xml:space="preserve"> </w:t>
      </w:r>
      <w:r w:rsidR="00882939" w:rsidRPr="00643DCF">
        <w:rPr>
          <w:sz w:val="28"/>
          <w:szCs w:val="28"/>
        </w:rPr>
        <w:t xml:space="preserve">reporte </w:t>
      </w:r>
      <w:r w:rsidR="00690965" w:rsidRPr="00643DCF">
        <w:rPr>
          <w:sz w:val="28"/>
          <w:szCs w:val="28"/>
        </w:rPr>
        <w:t xml:space="preserve">de seguimiento a la </w:t>
      </w:r>
      <w:r w:rsidR="00CE0B78" w:rsidRPr="00643DCF">
        <w:rPr>
          <w:sz w:val="28"/>
          <w:szCs w:val="28"/>
        </w:rPr>
        <w:t>s</w:t>
      </w:r>
      <w:r w:rsidR="00916402" w:rsidRPr="00643DCF">
        <w:rPr>
          <w:sz w:val="28"/>
          <w:szCs w:val="28"/>
        </w:rPr>
        <w:t>entencia</w:t>
      </w:r>
      <w:r w:rsidR="00690965" w:rsidRPr="00643DCF">
        <w:rPr>
          <w:sz w:val="28"/>
          <w:szCs w:val="28"/>
        </w:rPr>
        <w:t xml:space="preserve"> T-760 de 2008</w:t>
      </w:r>
      <w:r w:rsidR="00D31DAF" w:rsidRPr="00643DCF">
        <w:rPr>
          <w:sz w:val="28"/>
          <w:szCs w:val="28"/>
        </w:rPr>
        <w:t>. E</w:t>
      </w:r>
      <w:r w:rsidR="00426C82" w:rsidRPr="00643DCF">
        <w:rPr>
          <w:sz w:val="28"/>
          <w:szCs w:val="28"/>
        </w:rPr>
        <w:t xml:space="preserve">n </w:t>
      </w:r>
      <w:r w:rsidR="00030A51" w:rsidRPr="00643DCF">
        <w:rPr>
          <w:sz w:val="28"/>
          <w:szCs w:val="28"/>
        </w:rPr>
        <w:t>relación</w:t>
      </w:r>
      <w:r w:rsidR="00426C82" w:rsidRPr="00643DCF">
        <w:rPr>
          <w:sz w:val="28"/>
          <w:szCs w:val="28"/>
        </w:rPr>
        <w:t xml:space="preserve"> a</w:t>
      </w:r>
      <w:r w:rsidR="00690965" w:rsidRPr="00643DCF">
        <w:rPr>
          <w:sz w:val="28"/>
          <w:szCs w:val="28"/>
        </w:rPr>
        <w:t xml:space="preserve">l </w:t>
      </w:r>
      <w:r w:rsidR="00426C82" w:rsidRPr="00643DCF">
        <w:rPr>
          <w:sz w:val="28"/>
          <w:szCs w:val="28"/>
        </w:rPr>
        <w:t xml:space="preserve">mandato </w:t>
      </w:r>
      <w:r w:rsidR="00F63C11" w:rsidRPr="00643DCF">
        <w:rPr>
          <w:sz w:val="28"/>
          <w:szCs w:val="28"/>
        </w:rPr>
        <w:t xml:space="preserve">resaltó como resultado positivo </w:t>
      </w:r>
      <w:r w:rsidR="005E7400" w:rsidRPr="00643DCF">
        <w:rPr>
          <w:sz w:val="28"/>
          <w:szCs w:val="28"/>
        </w:rPr>
        <w:t>la imp</w:t>
      </w:r>
      <w:r w:rsidR="00426C82" w:rsidRPr="00643DCF">
        <w:rPr>
          <w:sz w:val="28"/>
          <w:szCs w:val="28"/>
        </w:rPr>
        <w:t xml:space="preserve">lementación del campus virtual </w:t>
      </w:r>
      <w:r w:rsidR="00C34301" w:rsidRPr="00643DCF">
        <w:rPr>
          <w:sz w:val="28"/>
          <w:szCs w:val="28"/>
        </w:rPr>
        <w:t>que permitirá</w:t>
      </w:r>
      <w:r w:rsidR="005E7400" w:rsidRPr="00643DCF">
        <w:rPr>
          <w:sz w:val="28"/>
          <w:szCs w:val="28"/>
        </w:rPr>
        <w:t xml:space="preserve"> capacitar a los funcionarios de la Rama Judicial</w:t>
      </w:r>
      <w:r w:rsidR="00607DF1" w:rsidRPr="00643DCF">
        <w:rPr>
          <w:sz w:val="28"/>
          <w:szCs w:val="28"/>
        </w:rPr>
        <w:t>, no obstante</w:t>
      </w:r>
      <w:r w:rsidR="005A113B" w:rsidRPr="00643DCF">
        <w:rPr>
          <w:sz w:val="28"/>
          <w:szCs w:val="28"/>
        </w:rPr>
        <w:t>,</w:t>
      </w:r>
      <w:r w:rsidR="00C34301" w:rsidRPr="00643DCF">
        <w:rPr>
          <w:sz w:val="28"/>
          <w:szCs w:val="28"/>
        </w:rPr>
        <w:t xml:space="preserve"> como aspecto negativo </w:t>
      </w:r>
      <w:r w:rsidR="00D0169A" w:rsidRPr="00643DCF">
        <w:rPr>
          <w:sz w:val="28"/>
          <w:szCs w:val="28"/>
        </w:rPr>
        <w:t xml:space="preserve">expuso la </w:t>
      </w:r>
      <w:r w:rsidR="00C34301" w:rsidRPr="00643DCF">
        <w:rPr>
          <w:sz w:val="28"/>
          <w:szCs w:val="28"/>
        </w:rPr>
        <w:t xml:space="preserve">preocupación porque en la base de datos de la </w:t>
      </w:r>
      <w:r w:rsidR="00BE225C" w:rsidRPr="00643DCF">
        <w:rPr>
          <w:sz w:val="28"/>
          <w:szCs w:val="28"/>
        </w:rPr>
        <w:t xml:space="preserve">Escuela </w:t>
      </w:r>
      <w:r w:rsidR="00933057" w:rsidRPr="00643DCF">
        <w:rPr>
          <w:sz w:val="28"/>
          <w:szCs w:val="28"/>
        </w:rPr>
        <w:t>J</w:t>
      </w:r>
      <w:r w:rsidR="00BE225C" w:rsidRPr="00643DCF">
        <w:rPr>
          <w:sz w:val="28"/>
          <w:szCs w:val="28"/>
        </w:rPr>
        <w:t>udicial</w:t>
      </w:r>
      <w:r w:rsidR="00527DC6" w:rsidRPr="00643DCF">
        <w:rPr>
          <w:sz w:val="28"/>
          <w:szCs w:val="28"/>
        </w:rPr>
        <w:t xml:space="preserve"> </w:t>
      </w:r>
      <w:r w:rsidR="00F63C11" w:rsidRPr="00643DCF">
        <w:rPr>
          <w:sz w:val="28"/>
          <w:szCs w:val="28"/>
        </w:rPr>
        <w:t xml:space="preserve">no se </w:t>
      </w:r>
      <w:r w:rsidR="006B46BC" w:rsidRPr="00643DCF">
        <w:rPr>
          <w:sz w:val="28"/>
          <w:szCs w:val="28"/>
        </w:rPr>
        <w:t>encontraban</w:t>
      </w:r>
      <w:r w:rsidR="00F63C11" w:rsidRPr="00643DCF">
        <w:rPr>
          <w:sz w:val="28"/>
          <w:szCs w:val="28"/>
        </w:rPr>
        <w:t xml:space="preserve"> incluidos</w:t>
      </w:r>
      <w:r w:rsidR="00C34301" w:rsidRPr="00643DCF">
        <w:rPr>
          <w:sz w:val="28"/>
          <w:szCs w:val="28"/>
        </w:rPr>
        <w:t xml:space="preserve"> </w:t>
      </w:r>
      <w:r w:rsidR="00F63C11" w:rsidRPr="00643DCF">
        <w:rPr>
          <w:sz w:val="28"/>
          <w:szCs w:val="28"/>
        </w:rPr>
        <w:t>todos los funcionarios judiciales del país, especialmente los que laboran en los sitios más lejanos y con poca capacidad tecnológica</w:t>
      </w:r>
      <w:r w:rsidR="00C34301" w:rsidRPr="00643DCF">
        <w:rPr>
          <w:sz w:val="28"/>
          <w:szCs w:val="28"/>
        </w:rPr>
        <w:t xml:space="preserve">; </w:t>
      </w:r>
      <w:r w:rsidR="00867CA3" w:rsidRPr="00643DCF">
        <w:rPr>
          <w:sz w:val="28"/>
          <w:szCs w:val="28"/>
        </w:rPr>
        <w:t xml:space="preserve">y </w:t>
      </w:r>
      <w:r w:rsidR="00607DF1" w:rsidRPr="00643DCF">
        <w:rPr>
          <w:sz w:val="28"/>
          <w:szCs w:val="28"/>
        </w:rPr>
        <w:t>enfatizó</w:t>
      </w:r>
      <w:r w:rsidR="005E7400" w:rsidRPr="00643DCF">
        <w:rPr>
          <w:sz w:val="28"/>
          <w:szCs w:val="28"/>
        </w:rPr>
        <w:t xml:space="preserve"> que la falta de recursos</w:t>
      </w:r>
      <w:r w:rsidR="00D0169A" w:rsidRPr="00643DCF">
        <w:rPr>
          <w:sz w:val="28"/>
          <w:szCs w:val="28"/>
        </w:rPr>
        <w:t xml:space="preserve"> </w:t>
      </w:r>
      <w:r w:rsidR="005E7400" w:rsidRPr="00643DCF">
        <w:rPr>
          <w:sz w:val="28"/>
          <w:szCs w:val="28"/>
        </w:rPr>
        <w:t xml:space="preserve">para </w:t>
      </w:r>
      <w:r w:rsidR="00607DF1" w:rsidRPr="00643DCF">
        <w:rPr>
          <w:sz w:val="28"/>
          <w:szCs w:val="28"/>
        </w:rPr>
        <w:t>lograr los objetiv</w:t>
      </w:r>
      <w:r w:rsidR="00426C82" w:rsidRPr="00643DCF">
        <w:rPr>
          <w:sz w:val="28"/>
          <w:szCs w:val="28"/>
        </w:rPr>
        <w:t xml:space="preserve">os </w:t>
      </w:r>
      <w:r w:rsidR="00D0169A" w:rsidRPr="00643DCF">
        <w:rPr>
          <w:sz w:val="28"/>
          <w:szCs w:val="28"/>
        </w:rPr>
        <w:t xml:space="preserve">significaba </w:t>
      </w:r>
      <w:r w:rsidR="005E7400" w:rsidRPr="00643DCF">
        <w:rPr>
          <w:sz w:val="28"/>
          <w:szCs w:val="28"/>
        </w:rPr>
        <w:t xml:space="preserve">una </w:t>
      </w:r>
      <w:r w:rsidR="00607DF1" w:rsidRPr="00643DCF">
        <w:rPr>
          <w:sz w:val="28"/>
          <w:szCs w:val="28"/>
        </w:rPr>
        <w:t>barrera</w:t>
      </w:r>
      <w:r w:rsidR="005E7400" w:rsidRPr="00643DCF">
        <w:rPr>
          <w:sz w:val="28"/>
          <w:szCs w:val="28"/>
        </w:rPr>
        <w:t xml:space="preserve"> que imp</w:t>
      </w:r>
      <w:r w:rsidR="007367FA" w:rsidRPr="00643DCF">
        <w:rPr>
          <w:sz w:val="28"/>
          <w:szCs w:val="28"/>
        </w:rPr>
        <w:t xml:space="preserve">edía </w:t>
      </w:r>
      <w:r w:rsidR="005E7400" w:rsidRPr="00643DCF">
        <w:rPr>
          <w:sz w:val="28"/>
          <w:szCs w:val="28"/>
        </w:rPr>
        <w:t xml:space="preserve">el cabal cumplimiento de la </w:t>
      </w:r>
      <w:r w:rsidR="007367FA" w:rsidRPr="00643DCF">
        <w:rPr>
          <w:sz w:val="28"/>
          <w:szCs w:val="28"/>
        </w:rPr>
        <w:t>misma</w:t>
      </w:r>
      <w:r w:rsidR="005E7400" w:rsidRPr="00643DCF">
        <w:rPr>
          <w:sz w:val="28"/>
          <w:szCs w:val="28"/>
        </w:rPr>
        <w:t>.</w:t>
      </w:r>
    </w:p>
    <w:p w14:paraId="586BBD9A" w14:textId="1E118853" w:rsidR="00527864" w:rsidRPr="00643DCF" w:rsidRDefault="00527864" w:rsidP="003E23A0">
      <w:pPr>
        <w:widowControl w:val="0"/>
        <w:numPr>
          <w:ilvl w:val="0"/>
          <w:numId w:val="3"/>
        </w:numPr>
        <w:tabs>
          <w:tab w:val="left" w:pos="426"/>
        </w:tabs>
        <w:autoSpaceDE w:val="0"/>
        <w:autoSpaceDN w:val="0"/>
        <w:adjustRightInd w:val="0"/>
        <w:ind w:left="0" w:firstLine="0"/>
        <w:jc w:val="both"/>
        <w:rPr>
          <w:sz w:val="28"/>
          <w:szCs w:val="28"/>
        </w:rPr>
      </w:pPr>
      <w:r w:rsidRPr="00643DCF">
        <w:rPr>
          <w:sz w:val="28"/>
          <w:szCs w:val="28"/>
        </w:rPr>
        <w:lastRenderedPageBreak/>
        <w:t xml:space="preserve">El 8 de agosto de 2016 el CSJ en </w:t>
      </w:r>
      <w:r w:rsidR="00641A4A" w:rsidRPr="00643DCF">
        <w:rPr>
          <w:sz w:val="28"/>
          <w:szCs w:val="28"/>
        </w:rPr>
        <w:t>atención a</w:t>
      </w:r>
      <w:r w:rsidRPr="00643DCF">
        <w:rPr>
          <w:sz w:val="28"/>
          <w:szCs w:val="28"/>
        </w:rPr>
        <w:t xml:space="preserve">l </w:t>
      </w:r>
      <w:r w:rsidR="006F10FB" w:rsidRPr="00643DCF">
        <w:rPr>
          <w:sz w:val="28"/>
          <w:szCs w:val="28"/>
        </w:rPr>
        <w:t>a</w:t>
      </w:r>
      <w:r w:rsidRPr="00643DCF">
        <w:rPr>
          <w:sz w:val="28"/>
          <w:szCs w:val="28"/>
        </w:rPr>
        <w:t xml:space="preserve">uto 271 de 2014 presentó el </w:t>
      </w:r>
      <w:r w:rsidR="000F5DEC" w:rsidRPr="00643DCF">
        <w:rPr>
          <w:sz w:val="28"/>
          <w:szCs w:val="28"/>
        </w:rPr>
        <w:t>reporte</w:t>
      </w:r>
      <w:r w:rsidRPr="00643DCF">
        <w:rPr>
          <w:sz w:val="28"/>
          <w:szCs w:val="28"/>
        </w:rPr>
        <w:t xml:space="preserve"> correspondien</w:t>
      </w:r>
      <w:r w:rsidR="00D0169A" w:rsidRPr="00643DCF">
        <w:rPr>
          <w:sz w:val="28"/>
          <w:szCs w:val="28"/>
        </w:rPr>
        <w:t>te</w:t>
      </w:r>
      <w:r w:rsidR="00CD73A8" w:rsidRPr="00643DCF">
        <w:rPr>
          <w:rStyle w:val="Refdenotaalpie"/>
          <w:sz w:val="28"/>
          <w:szCs w:val="28"/>
        </w:rPr>
        <w:footnoteReference w:id="73"/>
      </w:r>
      <w:r w:rsidR="00D0169A" w:rsidRPr="00643DCF">
        <w:rPr>
          <w:sz w:val="28"/>
          <w:szCs w:val="28"/>
        </w:rPr>
        <w:t xml:space="preserve">, relacionando </w:t>
      </w:r>
      <w:r w:rsidRPr="00643DCF">
        <w:rPr>
          <w:sz w:val="28"/>
          <w:szCs w:val="28"/>
        </w:rPr>
        <w:t xml:space="preserve">las actividades adelantadas con ocasión al </w:t>
      </w:r>
      <w:r w:rsidR="00D0169A" w:rsidRPr="00643DCF">
        <w:rPr>
          <w:sz w:val="28"/>
          <w:szCs w:val="28"/>
        </w:rPr>
        <w:t>acatamiento</w:t>
      </w:r>
      <w:r w:rsidRPr="00643DCF">
        <w:rPr>
          <w:sz w:val="28"/>
          <w:szCs w:val="28"/>
        </w:rPr>
        <w:t xml:space="preserve"> de la</w:t>
      </w:r>
      <w:r w:rsidR="00867CA3" w:rsidRPr="00643DCF">
        <w:rPr>
          <w:sz w:val="28"/>
          <w:szCs w:val="28"/>
        </w:rPr>
        <w:t xml:space="preserve"> </w:t>
      </w:r>
      <w:r w:rsidRPr="00643DCF">
        <w:rPr>
          <w:sz w:val="28"/>
          <w:szCs w:val="28"/>
        </w:rPr>
        <w:t>orden</w:t>
      </w:r>
      <w:r w:rsidR="00867CA3" w:rsidRPr="00643DCF">
        <w:rPr>
          <w:sz w:val="28"/>
          <w:szCs w:val="28"/>
        </w:rPr>
        <w:t>,</w:t>
      </w:r>
      <w:r w:rsidRPr="00643DCF">
        <w:rPr>
          <w:sz w:val="28"/>
          <w:szCs w:val="28"/>
        </w:rPr>
        <w:t xml:space="preserve"> </w:t>
      </w:r>
      <w:r w:rsidR="001373A8" w:rsidRPr="00643DCF">
        <w:rPr>
          <w:sz w:val="28"/>
          <w:szCs w:val="28"/>
        </w:rPr>
        <w:t>destacando</w:t>
      </w:r>
      <w:r w:rsidRPr="00643DCF">
        <w:rPr>
          <w:sz w:val="28"/>
          <w:szCs w:val="28"/>
        </w:rPr>
        <w:t xml:space="preserve"> la actualización del micrositio disponible en la página </w:t>
      </w:r>
      <w:r w:rsidR="006C6B21" w:rsidRPr="00643DCF">
        <w:rPr>
          <w:sz w:val="28"/>
          <w:szCs w:val="28"/>
        </w:rPr>
        <w:t>web</w:t>
      </w:r>
      <w:r w:rsidRPr="00643DCF">
        <w:rPr>
          <w:sz w:val="28"/>
          <w:szCs w:val="28"/>
        </w:rPr>
        <w:t xml:space="preserve"> de la rama judicial </w:t>
      </w:r>
      <w:hyperlink r:id="rId10" w:history="1">
        <w:r w:rsidRPr="00643DCF">
          <w:rPr>
            <w:rStyle w:val="Hipervnculo"/>
            <w:color w:val="auto"/>
            <w:sz w:val="28"/>
            <w:szCs w:val="28"/>
          </w:rPr>
          <w:t>www.ramajudicial.gov.co</w:t>
        </w:r>
      </w:hyperlink>
      <w:r w:rsidRPr="00643DCF">
        <w:rPr>
          <w:sz w:val="28"/>
          <w:szCs w:val="28"/>
        </w:rPr>
        <w:t>, para ser consultada por los ciudadanos y funcionarios judiciales</w:t>
      </w:r>
      <w:r w:rsidR="00D0169A" w:rsidRPr="00643DCF">
        <w:rPr>
          <w:sz w:val="28"/>
          <w:szCs w:val="28"/>
        </w:rPr>
        <w:t>. N</w:t>
      </w:r>
      <w:r w:rsidRPr="00643DCF">
        <w:rPr>
          <w:sz w:val="28"/>
          <w:szCs w:val="28"/>
        </w:rPr>
        <w:t>uevamente mencion</w:t>
      </w:r>
      <w:r w:rsidR="00867CA3" w:rsidRPr="00643DCF">
        <w:rPr>
          <w:sz w:val="28"/>
          <w:szCs w:val="28"/>
        </w:rPr>
        <w:t>ó</w:t>
      </w:r>
      <w:r w:rsidRPr="00643DCF">
        <w:rPr>
          <w:sz w:val="28"/>
          <w:szCs w:val="28"/>
        </w:rPr>
        <w:t xml:space="preserve"> que la publicación en medio impreso de la sentencia </w:t>
      </w:r>
      <w:r w:rsidR="00BD4D86" w:rsidRPr="00643DCF">
        <w:rPr>
          <w:sz w:val="28"/>
          <w:szCs w:val="28"/>
        </w:rPr>
        <w:t xml:space="preserve">fue difundida </w:t>
      </w:r>
      <w:r w:rsidRPr="00643DCF">
        <w:rPr>
          <w:sz w:val="28"/>
          <w:szCs w:val="28"/>
        </w:rPr>
        <w:t>en su totalidad</w:t>
      </w:r>
      <w:r w:rsidR="00D0169A" w:rsidRPr="00643DCF">
        <w:rPr>
          <w:sz w:val="28"/>
          <w:szCs w:val="28"/>
        </w:rPr>
        <w:t xml:space="preserve"> </w:t>
      </w:r>
      <w:r w:rsidR="00BD4D86" w:rsidRPr="00643DCF">
        <w:rPr>
          <w:sz w:val="28"/>
          <w:szCs w:val="28"/>
        </w:rPr>
        <w:t xml:space="preserve">y que los </w:t>
      </w:r>
      <w:r w:rsidRPr="00643DCF">
        <w:rPr>
          <w:sz w:val="28"/>
          <w:szCs w:val="28"/>
        </w:rPr>
        <w:t xml:space="preserve">recursos de inversión </w:t>
      </w:r>
      <w:r w:rsidR="00BD4D86" w:rsidRPr="00643DCF">
        <w:rPr>
          <w:sz w:val="28"/>
          <w:szCs w:val="28"/>
        </w:rPr>
        <w:t>asignados a</w:t>
      </w:r>
      <w:r w:rsidRPr="00643DCF">
        <w:rPr>
          <w:sz w:val="28"/>
          <w:szCs w:val="28"/>
        </w:rPr>
        <w:t>l diseño y elaboración de folletos informativos</w:t>
      </w:r>
      <w:r w:rsidR="00BD4D86" w:rsidRPr="00643DCF">
        <w:rPr>
          <w:sz w:val="28"/>
          <w:szCs w:val="28"/>
        </w:rPr>
        <w:t xml:space="preserve"> est</w:t>
      </w:r>
      <w:r w:rsidR="00B11E74" w:rsidRPr="00643DCF">
        <w:rPr>
          <w:sz w:val="28"/>
          <w:szCs w:val="28"/>
        </w:rPr>
        <w:t>aba</w:t>
      </w:r>
      <w:r w:rsidR="00BD4D86" w:rsidRPr="00643DCF">
        <w:rPr>
          <w:sz w:val="28"/>
          <w:szCs w:val="28"/>
        </w:rPr>
        <w:t xml:space="preserve">n disponibles en espera </w:t>
      </w:r>
      <w:r w:rsidRPr="00643DCF">
        <w:rPr>
          <w:sz w:val="28"/>
          <w:szCs w:val="28"/>
        </w:rPr>
        <w:t>de que la Corte disp</w:t>
      </w:r>
      <w:r w:rsidR="00B11E74" w:rsidRPr="00643DCF">
        <w:rPr>
          <w:sz w:val="28"/>
          <w:szCs w:val="28"/>
        </w:rPr>
        <w:t>usiera</w:t>
      </w:r>
      <w:r w:rsidRPr="00643DCF">
        <w:rPr>
          <w:sz w:val="28"/>
          <w:szCs w:val="28"/>
        </w:rPr>
        <w:t xml:space="preserve"> lo pertinente</w:t>
      </w:r>
      <w:r w:rsidR="00BD4D86" w:rsidRPr="00643DCF">
        <w:rPr>
          <w:sz w:val="28"/>
          <w:szCs w:val="28"/>
        </w:rPr>
        <w:t>. Adicionalmente señaló que el</w:t>
      </w:r>
      <w:r w:rsidRPr="00643DCF">
        <w:rPr>
          <w:sz w:val="28"/>
          <w:szCs w:val="28"/>
        </w:rPr>
        <w:t xml:space="preserve"> programa de televisión “</w:t>
      </w:r>
      <w:r w:rsidRPr="00E94D7E">
        <w:rPr>
          <w:i/>
          <w:sz w:val="28"/>
          <w:szCs w:val="28"/>
        </w:rPr>
        <w:t>la Corte Constitucional y su Intervención en la crisis de la salud en Colombia</w:t>
      </w:r>
      <w:r w:rsidRPr="00643DCF">
        <w:rPr>
          <w:sz w:val="28"/>
          <w:szCs w:val="28"/>
        </w:rPr>
        <w:t>”, em</w:t>
      </w:r>
      <w:r w:rsidR="004E6EBA" w:rsidRPr="00643DCF">
        <w:rPr>
          <w:sz w:val="28"/>
          <w:szCs w:val="28"/>
        </w:rPr>
        <w:t>itido en varias oportunidades según el reporte enviado por “RTVC”</w:t>
      </w:r>
      <w:r w:rsidR="004E6EBA" w:rsidRPr="00643DCF">
        <w:rPr>
          <w:rStyle w:val="Refdenotaalpie"/>
          <w:sz w:val="28"/>
          <w:szCs w:val="28"/>
        </w:rPr>
        <w:footnoteReference w:id="74"/>
      </w:r>
      <w:r w:rsidR="004E6EBA" w:rsidRPr="00643DCF">
        <w:rPr>
          <w:sz w:val="28"/>
          <w:szCs w:val="28"/>
        </w:rPr>
        <w:t xml:space="preserve"> </w:t>
      </w:r>
      <w:r w:rsidR="00BD4D86" w:rsidRPr="00643DCF">
        <w:rPr>
          <w:sz w:val="28"/>
          <w:szCs w:val="28"/>
        </w:rPr>
        <w:t>está</w:t>
      </w:r>
      <w:r w:rsidR="004E6EBA" w:rsidRPr="00643DCF">
        <w:rPr>
          <w:sz w:val="28"/>
          <w:szCs w:val="28"/>
        </w:rPr>
        <w:t xml:space="preserve"> disponible en la videoteca del portal </w:t>
      </w:r>
      <w:r w:rsidR="006C6B21" w:rsidRPr="00643DCF">
        <w:rPr>
          <w:sz w:val="28"/>
          <w:szCs w:val="28"/>
        </w:rPr>
        <w:t>web</w:t>
      </w:r>
      <w:r w:rsidR="004E6EBA" w:rsidRPr="00643DCF">
        <w:rPr>
          <w:sz w:val="28"/>
          <w:szCs w:val="28"/>
        </w:rPr>
        <w:t>.</w:t>
      </w:r>
    </w:p>
    <w:p w14:paraId="163096B5" w14:textId="77777777" w:rsidR="00607DF1" w:rsidRPr="00643DCF" w:rsidRDefault="00607DF1" w:rsidP="00607DF1">
      <w:pPr>
        <w:pStyle w:val="Prrafodelista"/>
        <w:widowControl w:val="0"/>
        <w:tabs>
          <w:tab w:val="left" w:pos="426"/>
        </w:tabs>
        <w:autoSpaceDE w:val="0"/>
        <w:autoSpaceDN w:val="0"/>
        <w:adjustRightInd w:val="0"/>
        <w:ind w:left="0"/>
        <w:jc w:val="both"/>
        <w:rPr>
          <w:sz w:val="28"/>
          <w:szCs w:val="28"/>
        </w:rPr>
      </w:pPr>
    </w:p>
    <w:p w14:paraId="61126203" w14:textId="7FF490A6" w:rsidR="00605816" w:rsidRPr="00643DCF" w:rsidRDefault="00605816" w:rsidP="00B14E08">
      <w:pPr>
        <w:widowControl w:val="0"/>
        <w:numPr>
          <w:ilvl w:val="0"/>
          <w:numId w:val="3"/>
        </w:numPr>
        <w:tabs>
          <w:tab w:val="left" w:pos="426"/>
        </w:tabs>
        <w:autoSpaceDE w:val="0"/>
        <w:autoSpaceDN w:val="0"/>
        <w:adjustRightInd w:val="0"/>
        <w:ind w:left="0" w:firstLine="0"/>
        <w:jc w:val="both"/>
        <w:rPr>
          <w:sz w:val="28"/>
          <w:szCs w:val="28"/>
        </w:rPr>
      </w:pPr>
      <w:r w:rsidRPr="00643DCF">
        <w:rPr>
          <w:sz w:val="28"/>
          <w:szCs w:val="28"/>
        </w:rPr>
        <w:t>El 29 de noviembre de 2016</w:t>
      </w:r>
      <w:r w:rsidR="005A113B" w:rsidRPr="00643DCF">
        <w:rPr>
          <w:sz w:val="28"/>
          <w:szCs w:val="28"/>
        </w:rPr>
        <w:t>,</w:t>
      </w:r>
      <w:r w:rsidRPr="00643DCF">
        <w:rPr>
          <w:rStyle w:val="Refdenotaalpie"/>
          <w:sz w:val="28"/>
          <w:szCs w:val="28"/>
        </w:rPr>
        <w:footnoteReference w:id="75"/>
      </w:r>
      <w:r w:rsidRPr="00643DCF">
        <w:rPr>
          <w:sz w:val="28"/>
          <w:szCs w:val="28"/>
        </w:rPr>
        <w:t xml:space="preserve"> el </w:t>
      </w:r>
      <w:r w:rsidR="008A3668" w:rsidRPr="00643DCF">
        <w:rPr>
          <w:sz w:val="28"/>
          <w:szCs w:val="28"/>
        </w:rPr>
        <w:t xml:space="preserve">CSJ </w:t>
      </w:r>
      <w:r w:rsidR="002125A5" w:rsidRPr="00643DCF">
        <w:rPr>
          <w:sz w:val="28"/>
          <w:szCs w:val="28"/>
        </w:rPr>
        <w:t xml:space="preserve">hizo </w:t>
      </w:r>
      <w:r w:rsidR="00030A51" w:rsidRPr="00643DCF">
        <w:rPr>
          <w:sz w:val="28"/>
          <w:szCs w:val="28"/>
        </w:rPr>
        <w:t>mención a</w:t>
      </w:r>
      <w:r w:rsidR="00305BE3" w:rsidRPr="00643DCF">
        <w:rPr>
          <w:sz w:val="28"/>
          <w:szCs w:val="28"/>
        </w:rPr>
        <w:t xml:space="preserve"> la actualización del micrositio, el cual </w:t>
      </w:r>
      <w:r w:rsidR="00BE0B27" w:rsidRPr="00643DCF">
        <w:rPr>
          <w:sz w:val="28"/>
          <w:szCs w:val="28"/>
        </w:rPr>
        <w:t>calificó de</w:t>
      </w:r>
      <w:r w:rsidR="00305BE3" w:rsidRPr="00643DCF">
        <w:rPr>
          <w:sz w:val="28"/>
          <w:szCs w:val="28"/>
        </w:rPr>
        <w:t xml:space="preserve"> “</w:t>
      </w:r>
      <w:r w:rsidR="00305BE3" w:rsidRPr="00643DCF">
        <w:rPr>
          <w:i/>
          <w:sz w:val="28"/>
          <w:szCs w:val="28"/>
        </w:rPr>
        <w:t>especial y destacado</w:t>
      </w:r>
      <w:r w:rsidR="00305BE3" w:rsidRPr="00643DCF">
        <w:rPr>
          <w:sz w:val="28"/>
          <w:szCs w:val="28"/>
        </w:rPr>
        <w:t>”</w:t>
      </w:r>
      <w:r w:rsidR="0008734F" w:rsidRPr="00643DCF">
        <w:rPr>
          <w:sz w:val="28"/>
          <w:szCs w:val="28"/>
        </w:rPr>
        <w:t>, destinado exc</w:t>
      </w:r>
      <w:r w:rsidR="005A113B" w:rsidRPr="00643DCF">
        <w:rPr>
          <w:sz w:val="28"/>
          <w:szCs w:val="28"/>
        </w:rPr>
        <w:t>lusivamente a la difusión de la</w:t>
      </w:r>
      <w:r w:rsidR="0008734F" w:rsidRPr="00643DCF">
        <w:rPr>
          <w:sz w:val="28"/>
          <w:szCs w:val="28"/>
        </w:rPr>
        <w:t xml:space="preserve"> tutela 760 de 2008</w:t>
      </w:r>
      <w:r w:rsidR="005A113B" w:rsidRPr="00643DCF">
        <w:rPr>
          <w:sz w:val="28"/>
          <w:szCs w:val="28"/>
        </w:rPr>
        <w:t>,</w:t>
      </w:r>
      <w:r w:rsidR="0008734F" w:rsidRPr="00643DCF">
        <w:rPr>
          <w:sz w:val="28"/>
          <w:szCs w:val="28"/>
        </w:rPr>
        <w:t xml:space="preserve"> </w:t>
      </w:r>
      <w:r w:rsidR="00C804E3" w:rsidRPr="00643DCF">
        <w:rPr>
          <w:sz w:val="28"/>
          <w:szCs w:val="28"/>
        </w:rPr>
        <w:t xml:space="preserve">en donde se encuentran </w:t>
      </w:r>
      <w:r w:rsidR="0008734F" w:rsidRPr="00643DCF">
        <w:rPr>
          <w:sz w:val="28"/>
          <w:szCs w:val="28"/>
        </w:rPr>
        <w:t>“</w:t>
      </w:r>
      <w:r w:rsidR="0008734F" w:rsidRPr="00643DCF">
        <w:rPr>
          <w:i/>
          <w:sz w:val="28"/>
          <w:szCs w:val="28"/>
        </w:rPr>
        <w:t>todas las actividades y características establecidas</w:t>
      </w:r>
      <w:r w:rsidR="002C4B91" w:rsidRPr="00643DCF">
        <w:rPr>
          <w:i/>
          <w:sz w:val="28"/>
          <w:szCs w:val="28"/>
        </w:rPr>
        <w:t xml:space="preserve"> se cumplió (sic) en el año 2015</w:t>
      </w:r>
      <w:r w:rsidR="0008734F" w:rsidRPr="00643DCF">
        <w:rPr>
          <w:sz w:val="28"/>
          <w:szCs w:val="28"/>
        </w:rPr>
        <w:t>”</w:t>
      </w:r>
      <w:r w:rsidR="008A3668" w:rsidRPr="00643DCF">
        <w:rPr>
          <w:sz w:val="28"/>
          <w:szCs w:val="28"/>
        </w:rPr>
        <w:t>, resaltando que en</w:t>
      </w:r>
      <w:r w:rsidR="002125A5" w:rsidRPr="00643DCF">
        <w:rPr>
          <w:sz w:val="28"/>
          <w:szCs w:val="28"/>
        </w:rPr>
        <w:t xml:space="preserve"> d</w:t>
      </w:r>
      <w:r w:rsidR="0008734F" w:rsidRPr="00643DCF">
        <w:rPr>
          <w:sz w:val="28"/>
          <w:szCs w:val="28"/>
        </w:rPr>
        <w:t xml:space="preserve">icho enlace </w:t>
      </w:r>
      <w:r w:rsidR="002125A5" w:rsidRPr="00643DCF">
        <w:rPr>
          <w:sz w:val="28"/>
          <w:szCs w:val="28"/>
        </w:rPr>
        <w:t>se pueden encontrar</w:t>
      </w:r>
      <w:r w:rsidR="0008734F" w:rsidRPr="00643DCF">
        <w:rPr>
          <w:sz w:val="28"/>
          <w:szCs w:val="28"/>
        </w:rPr>
        <w:t xml:space="preserve"> los autos genéricos y específicos expedidos por la </w:t>
      </w:r>
      <w:r w:rsidR="00304FBE" w:rsidRPr="00643DCF">
        <w:rPr>
          <w:sz w:val="28"/>
          <w:szCs w:val="28"/>
        </w:rPr>
        <w:t xml:space="preserve">Sala Especial de Seguimiento </w:t>
      </w:r>
      <w:r w:rsidR="0008734F" w:rsidRPr="00643DCF">
        <w:rPr>
          <w:sz w:val="28"/>
          <w:szCs w:val="28"/>
        </w:rPr>
        <w:t>hasta el 22 de noviembre de 2016.</w:t>
      </w:r>
    </w:p>
    <w:p w14:paraId="1946F924" w14:textId="77777777" w:rsidR="0008734F" w:rsidRPr="00643DCF" w:rsidRDefault="0008734F" w:rsidP="0008734F">
      <w:pPr>
        <w:widowControl w:val="0"/>
        <w:tabs>
          <w:tab w:val="left" w:pos="426"/>
        </w:tabs>
        <w:autoSpaceDE w:val="0"/>
        <w:autoSpaceDN w:val="0"/>
        <w:adjustRightInd w:val="0"/>
        <w:jc w:val="both"/>
        <w:rPr>
          <w:sz w:val="28"/>
          <w:szCs w:val="28"/>
        </w:rPr>
      </w:pPr>
    </w:p>
    <w:p w14:paraId="726C099A" w14:textId="4EBDC72D" w:rsidR="00660483" w:rsidRPr="00643DCF" w:rsidRDefault="0008734F" w:rsidP="0008734F">
      <w:pPr>
        <w:widowControl w:val="0"/>
        <w:tabs>
          <w:tab w:val="left" w:pos="426"/>
        </w:tabs>
        <w:autoSpaceDE w:val="0"/>
        <w:autoSpaceDN w:val="0"/>
        <w:adjustRightInd w:val="0"/>
        <w:jc w:val="both"/>
        <w:rPr>
          <w:sz w:val="28"/>
          <w:szCs w:val="28"/>
        </w:rPr>
      </w:pPr>
      <w:r w:rsidRPr="00643DCF">
        <w:rPr>
          <w:sz w:val="28"/>
          <w:szCs w:val="28"/>
        </w:rPr>
        <w:t>En relación con las actividades de difusión</w:t>
      </w:r>
      <w:r w:rsidR="00086B69" w:rsidRPr="00643DCF">
        <w:rPr>
          <w:sz w:val="28"/>
          <w:szCs w:val="28"/>
        </w:rPr>
        <w:t xml:space="preserve"> </w:t>
      </w:r>
      <w:r w:rsidR="00483F9F" w:rsidRPr="00643DCF">
        <w:rPr>
          <w:sz w:val="28"/>
          <w:szCs w:val="28"/>
        </w:rPr>
        <w:t xml:space="preserve">afirmó haber </w:t>
      </w:r>
      <w:r w:rsidR="002320C3" w:rsidRPr="00643DCF">
        <w:rPr>
          <w:sz w:val="28"/>
          <w:szCs w:val="28"/>
        </w:rPr>
        <w:t>dado</w:t>
      </w:r>
      <w:r w:rsidR="00483F9F" w:rsidRPr="00643DCF">
        <w:rPr>
          <w:sz w:val="28"/>
          <w:szCs w:val="28"/>
        </w:rPr>
        <w:t xml:space="preserve"> cubrimiento vía </w:t>
      </w:r>
      <w:r w:rsidR="00483F9F" w:rsidRPr="00643DCF">
        <w:rPr>
          <w:i/>
          <w:sz w:val="28"/>
          <w:szCs w:val="28"/>
        </w:rPr>
        <w:t>streaming</w:t>
      </w:r>
      <w:r w:rsidR="00483F9F" w:rsidRPr="00643DCF">
        <w:rPr>
          <w:sz w:val="28"/>
          <w:szCs w:val="28"/>
        </w:rPr>
        <w:t xml:space="preserve"> </w:t>
      </w:r>
      <w:r w:rsidR="000F5DEC" w:rsidRPr="00643DCF">
        <w:rPr>
          <w:sz w:val="28"/>
          <w:szCs w:val="28"/>
        </w:rPr>
        <w:t>a</w:t>
      </w:r>
      <w:r w:rsidR="00483F9F" w:rsidRPr="00643DCF">
        <w:rPr>
          <w:sz w:val="28"/>
          <w:szCs w:val="28"/>
        </w:rPr>
        <w:t xml:space="preserve">l evento </w:t>
      </w:r>
      <w:r w:rsidR="002320C3" w:rsidRPr="00643DCF">
        <w:rPr>
          <w:sz w:val="28"/>
          <w:szCs w:val="28"/>
        </w:rPr>
        <w:t xml:space="preserve">realizado </w:t>
      </w:r>
      <w:r w:rsidR="00483F9F" w:rsidRPr="00643DCF">
        <w:rPr>
          <w:sz w:val="28"/>
          <w:szCs w:val="28"/>
        </w:rPr>
        <w:t xml:space="preserve">por la Corte en la ciudad de </w:t>
      </w:r>
      <w:r w:rsidR="00223032" w:rsidRPr="00643DCF">
        <w:rPr>
          <w:sz w:val="28"/>
          <w:szCs w:val="28"/>
        </w:rPr>
        <w:t>Quibdó</w:t>
      </w:r>
      <w:r w:rsidR="00483F9F" w:rsidRPr="00643DCF">
        <w:rPr>
          <w:sz w:val="28"/>
          <w:szCs w:val="28"/>
        </w:rPr>
        <w:t xml:space="preserve"> los días 20 y 21 de octubre de 2016</w:t>
      </w:r>
      <w:r w:rsidR="00C407FD" w:rsidRPr="00643DCF">
        <w:rPr>
          <w:sz w:val="28"/>
          <w:szCs w:val="28"/>
        </w:rPr>
        <w:t xml:space="preserve">; seguidamente </w:t>
      </w:r>
      <w:r w:rsidR="00CD73A8" w:rsidRPr="00643DCF">
        <w:rPr>
          <w:sz w:val="28"/>
          <w:szCs w:val="28"/>
        </w:rPr>
        <w:t>i</w:t>
      </w:r>
      <w:r w:rsidR="00483F9F" w:rsidRPr="00643DCF">
        <w:rPr>
          <w:sz w:val="28"/>
          <w:szCs w:val="28"/>
        </w:rPr>
        <w:t xml:space="preserve">nformó </w:t>
      </w:r>
      <w:r w:rsidR="00C407FD" w:rsidRPr="00643DCF">
        <w:rPr>
          <w:sz w:val="28"/>
          <w:szCs w:val="28"/>
        </w:rPr>
        <w:t>sobre el</w:t>
      </w:r>
      <w:r w:rsidR="002320C3" w:rsidRPr="00643DCF">
        <w:rPr>
          <w:sz w:val="28"/>
          <w:szCs w:val="28"/>
        </w:rPr>
        <w:t xml:space="preserve"> desarroll</w:t>
      </w:r>
      <w:r w:rsidR="00C407FD" w:rsidRPr="00643DCF">
        <w:rPr>
          <w:sz w:val="28"/>
          <w:szCs w:val="28"/>
        </w:rPr>
        <w:t>o de</w:t>
      </w:r>
      <w:r w:rsidR="00483F9F" w:rsidRPr="00643DCF">
        <w:rPr>
          <w:sz w:val="28"/>
          <w:szCs w:val="28"/>
        </w:rPr>
        <w:t xml:space="preserve"> actividades académicas en las ciudades de Barranquilla, Quibdó, Pereira y Bogotá, </w:t>
      </w:r>
      <w:r w:rsidR="00EE4CA5" w:rsidRPr="00643DCF">
        <w:rPr>
          <w:sz w:val="28"/>
          <w:szCs w:val="28"/>
        </w:rPr>
        <w:t xml:space="preserve">en donde se capacitaron </w:t>
      </w:r>
      <w:r w:rsidR="00483F9F" w:rsidRPr="00643DCF">
        <w:rPr>
          <w:sz w:val="28"/>
          <w:szCs w:val="28"/>
        </w:rPr>
        <w:t>un total de 13</w:t>
      </w:r>
      <w:r w:rsidR="0068674E" w:rsidRPr="00643DCF">
        <w:rPr>
          <w:sz w:val="28"/>
          <w:szCs w:val="28"/>
        </w:rPr>
        <w:t>1</w:t>
      </w:r>
      <w:r w:rsidR="00483F9F" w:rsidRPr="00643DCF">
        <w:rPr>
          <w:sz w:val="28"/>
          <w:szCs w:val="28"/>
        </w:rPr>
        <w:t xml:space="preserve"> personas. Asimismo</w:t>
      </w:r>
      <w:r w:rsidR="005A113B" w:rsidRPr="00643DCF">
        <w:rPr>
          <w:sz w:val="28"/>
          <w:szCs w:val="28"/>
        </w:rPr>
        <w:t>,</w:t>
      </w:r>
      <w:r w:rsidR="00483F9F" w:rsidRPr="00643DCF">
        <w:rPr>
          <w:sz w:val="28"/>
          <w:szCs w:val="28"/>
        </w:rPr>
        <w:t xml:space="preserve"> aseguró que la </w:t>
      </w:r>
      <w:r w:rsidR="00D13592" w:rsidRPr="00643DCF">
        <w:rPr>
          <w:sz w:val="28"/>
          <w:szCs w:val="28"/>
        </w:rPr>
        <w:t>Escuela J</w:t>
      </w:r>
      <w:r w:rsidR="00BE225C" w:rsidRPr="00643DCF">
        <w:rPr>
          <w:sz w:val="28"/>
          <w:szCs w:val="28"/>
        </w:rPr>
        <w:t>udicial</w:t>
      </w:r>
      <w:r w:rsidR="00483F9F" w:rsidRPr="00643DCF">
        <w:rPr>
          <w:sz w:val="28"/>
          <w:szCs w:val="28"/>
        </w:rPr>
        <w:t xml:space="preserve"> llevó a cabo tres conversatorios</w:t>
      </w:r>
      <w:r w:rsidR="0068674E" w:rsidRPr="00643DCF">
        <w:rPr>
          <w:sz w:val="28"/>
          <w:szCs w:val="28"/>
        </w:rPr>
        <w:t xml:space="preserve"> regionales</w:t>
      </w:r>
      <w:r w:rsidR="00483F9F" w:rsidRPr="00643DCF">
        <w:rPr>
          <w:sz w:val="28"/>
          <w:szCs w:val="28"/>
        </w:rPr>
        <w:t xml:space="preserve"> </w:t>
      </w:r>
      <w:r w:rsidR="00660483" w:rsidRPr="00643DCF">
        <w:rPr>
          <w:sz w:val="28"/>
          <w:szCs w:val="28"/>
        </w:rPr>
        <w:t>en Barranquilla, Pereira y Bogotá</w:t>
      </w:r>
      <w:r w:rsidR="004E08A7" w:rsidRPr="00643DCF">
        <w:rPr>
          <w:sz w:val="28"/>
          <w:szCs w:val="28"/>
        </w:rPr>
        <w:t xml:space="preserve"> y sost</w:t>
      </w:r>
      <w:r w:rsidR="000F5DEC" w:rsidRPr="00643DCF">
        <w:rPr>
          <w:sz w:val="28"/>
          <w:szCs w:val="28"/>
        </w:rPr>
        <w:t>uvo</w:t>
      </w:r>
      <w:r w:rsidR="004E08A7" w:rsidRPr="00643DCF">
        <w:rPr>
          <w:sz w:val="28"/>
          <w:szCs w:val="28"/>
        </w:rPr>
        <w:t xml:space="preserve"> que </w:t>
      </w:r>
      <w:r w:rsidR="006C78C6" w:rsidRPr="00643DCF">
        <w:rPr>
          <w:sz w:val="28"/>
          <w:szCs w:val="28"/>
        </w:rPr>
        <w:t>fueron convocados</w:t>
      </w:r>
      <w:r w:rsidR="002E3CEC" w:rsidRPr="00643DCF">
        <w:rPr>
          <w:sz w:val="28"/>
          <w:szCs w:val="28"/>
        </w:rPr>
        <w:t xml:space="preserve"> funcionarios y empleados de 22 distritos judiciales del país</w:t>
      </w:r>
      <w:r w:rsidR="004E08A7" w:rsidRPr="00643DCF">
        <w:rPr>
          <w:sz w:val="28"/>
          <w:szCs w:val="28"/>
        </w:rPr>
        <w:t>. F</w:t>
      </w:r>
      <w:r w:rsidR="00660483" w:rsidRPr="00643DCF">
        <w:rPr>
          <w:sz w:val="28"/>
          <w:szCs w:val="28"/>
        </w:rPr>
        <w:t>inalmente</w:t>
      </w:r>
      <w:r w:rsidR="00442918" w:rsidRPr="00643DCF">
        <w:rPr>
          <w:sz w:val="28"/>
          <w:szCs w:val="28"/>
        </w:rPr>
        <w:t xml:space="preserve"> </w:t>
      </w:r>
      <w:r w:rsidR="006C78C6" w:rsidRPr="00643DCF">
        <w:rPr>
          <w:sz w:val="28"/>
          <w:szCs w:val="28"/>
        </w:rPr>
        <w:t>manifestó tener</w:t>
      </w:r>
      <w:r w:rsidR="00442918" w:rsidRPr="00643DCF">
        <w:rPr>
          <w:sz w:val="28"/>
          <w:szCs w:val="28"/>
        </w:rPr>
        <w:t xml:space="preserve"> </w:t>
      </w:r>
      <w:r w:rsidR="00CE3441" w:rsidRPr="00643DCF">
        <w:rPr>
          <w:sz w:val="28"/>
          <w:szCs w:val="28"/>
        </w:rPr>
        <w:t>proyectado</w:t>
      </w:r>
      <w:r w:rsidR="00660483" w:rsidRPr="00643DCF">
        <w:rPr>
          <w:sz w:val="28"/>
          <w:szCs w:val="28"/>
        </w:rPr>
        <w:t xml:space="preserve"> el “</w:t>
      </w:r>
      <w:r w:rsidR="00660483" w:rsidRPr="00643DCF">
        <w:rPr>
          <w:i/>
          <w:sz w:val="28"/>
          <w:szCs w:val="28"/>
        </w:rPr>
        <w:t>Conversatorio Nacional de Jueces de Pequeñas Causas</w:t>
      </w:r>
      <w:r w:rsidR="00660483" w:rsidRPr="00643DCF">
        <w:rPr>
          <w:sz w:val="28"/>
          <w:szCs w:val="28"/>
        </w:rPr>
        <w:t>” el cual tendría lugar el día 5 de diciembre de 2016.</w:t>
      </w:r>
    </w:p>
    <w:p w14:paraId="35B95B06" w14:textId="77777777" w:rsidR="00CD0085" w:rsidRPr="00643DCF" w:rsidRDefault="00CD0085" w:rsidP="0008734F">
      <w:pPr>
        <w:widowControl w:val="0"/>
        <w:tabs>
          <w:tab w:val="left" w:pos="426"/>
        </w:tabs>
        <w:autoSpaceDE w:val="0"/>
        <w:autoSpaceDN w:val="0"/>
        <w:adjustRightInd w:val="0"/>
        <w:jc w:val="both"/>
        <w:rPr>
          <w:sz w:val="28"/>
          <w:szCs w:val="28"/>
        </w:rPr>
      </w:pPr>
    </w:p>
    <w:p w14:paraId="22E5B53F" w14:textId="250012A0" w:rsidR="00CD0085" w:rsidRPr="00643DCF" w:rsidRDefault="004B5DDC" w:rsidP="003E23A0">
      <w:pPr>
        <w:widowControl w:val="0"/>
        <w:numPr>
          <w:ilvl w:val="0"/>
          <w:numId w:val="3"/>
        </w:numPr>
        <w:tabs>
          <w:tab w:val="left" w:pos="426"/>
        </w:tabs>
        <w:autoSpaceDE w:val="0"/>
        <w:autoSpaceDN w:val="0"/>
        <w:adjustRightInd w:val="0"/>
        <w:ind w:left="0" w:firstLine="0"/>
        <w:jc w:val="both"/>
        <w:rPr>
          <w:sz w:val="28"/>
          <w:szCs w:val="28"/>
        </w:rPr>
      </w:pPr>
      <w:r w:rsidRPr="00643DCF">
        <w:rPr>
          <w:sz w:val="28"/>
          <w:szCs w:val="28"/>
        </w:rPr>
        <w:t>El 3 de abril de 2017</w:t>
      </w:r>
      <w:r w:rsidR="005A113B" w:rsidRPr="00643DCF">
        <w:rPr>
          <w:sz w:val="28"/>
          <w:szCs w:val="28"/>
        </w:rPr>
        <w:t>,</w:t>
      </w:r>
      <w:r w:rsidRPr="00643DCF">
        <w:rPr>
          <w:rStyle w:val="Refdenotaalpie"/>
          <w:sz w:val="28"/>
          <w:szCs w:val="28"/>
        </w:rPr>
        <w:footnoteReference w:id="76"/>
      </w:r>
      <w:r w:rsidR="00CD0085" w:rsidRPr="00643DCF">
        <w:rPr>
          <w:sz w:val="28"/>
          <w:szCs w:val="28"/>
        </w:rPr>
        <w:t xml:space="preserve"> </w:t>
      </w:r>
      <w:r w:rsidRPr="00643DCF">
        <w:rPr>
          <w:sz w:val="28"/>
          <w:szCs w:val="28"/>
        </w:rPr>
        <w:t>el Consejo Superior de la Judicatura allegó el informe peri</w:t>
      </w:r>
      <w:r w:rsidR="00F965B2" w:rsidRPr="00643DCF">
        <w:rPr>
          <w:sz w:val="28"/>
          <w:szCs w:val="28"/>
        </w:rPr>
        <w:t xml:space="preserve">ódico </w:t>
      </w:r>
      <w:r w:rsidR="00FC1D5C" w:rsidRPr="00643DCF">
        <w:rPr>
          <w:sz w:val="28"/>
          <w:szCs w:val="28"/>
        </w:rPr>
        <w:t>en el</w:t>
      </w:r>
      <w:r w:rsidR="00F965B2" w:rsidRPr="00643DCF">
        <w:rPr>
          <w:sz w:val="28"/>
          <w:szCs w:val="28"/>
        </w:rPr>
        <w:t xml:space="preserve"> </w:t>
      </w:r>
      <w:r w:rsidR="000F5DEC" w:rsidRPr="00643DCF">
        <w:rPr>
          <w:sz w:val="28"/>
          <w:szCs w:val="28"/>
        </w:rPr>
        <w:t xml:space="preserve">que </w:t>
      </w:r>
      <w:r w:rsidR="00F965B2" w:rsidRPr="00643DCF">
        <w:rPr>
          <w:sz w:val="28"/>
          <w:szCs w:val="28"/>
        </w:rPr>
        <w:t xml:space="preserve">enunció las </w:t>
      </w:r>
      <w:r w:rsidR="004E08A7" w:rsidRPr="00643DCF">
        <w:rPr>
          <w:sz w:val="28"/>
          <w:szCs w:val="28"/>
        </w:rPr>
        <w:t xml:space="preserve">siguientes </w:t>
      </w:r>
      <w:r w:rsidR="00F965B2" w:rsidRPr="00643DCF">
        <w:rPr>
          <w:sz w:val="28"/>
          <w:szCs w:val="28"/>
        </w:rPr>
        <w:t>actividades desarrolladas con la finalidad de darle cumplimiento al mandat</w:t>
      </w:r>
      <w:r w:rsidR="006C78C6" w:rsidRPr="00643DCF">
        <w:rPr>
          <w:sz w:val="28"/>
          <w:szCs w:val="28"/>
        </w:rPr>
        <w:t>o analizado</w:t>
      </w:r>
      <w:r w:rsidR="004E08A7" w:rsidRPr="00643DCF">
        <w:rPr>
          <w:sz w:val="28"/>
          <w:szCs w:val="28"/>
        </w:rPr>
        <w:t xml:space="preserve">: </w:t>
      </w:r>
      <w:r w:rsidR="006003DC" w:rsidRPr="00643DCF">
        <w:rPr>
          <w:i/>
          <w:sz w:val="28"/>
          <w:szCs w:val="28"/>
        </w:rPr>
        <w:t>(</w:t>
      </w:r>
      <w:r w:rsidR="004E08A7" w:rsidRPr="00643DCF">
        <w:rPr>
          <w:i/>
          <w:sz w:val="28"/>
          <w:szCs w:val="28"/>
        </w:rPr>
        <w:t>i)</w:t>
      </w:r>
      <w:r w:rsidR="00FC1D5C" w:rsidRPr="00643DCF">
        <w:rPr>
          <w:sz w:val="28"/>
          <w:szCs w:val="28"/>
        </w:rPr>
        <w:t xml:space="preserve"> </w:t>
      </w:r>
      <w:r w:rsidR="004E08A7" w:rsidRPr="00643DCF">
        <w:rPr>
          <w:sz w:val="28"/>
          <w:szCs w:val="28"/>
        </w:rPr>
        <w:t>s</w:t>
      </w:r>
      <w:r w:rsidR="005A113B" w:rsidRPr="00643DCF">
        <w:rPr>
          <w:sz w:val="28"/>
          <w:szCs w:val="28"/>
        </w:rPr>
        <w:t>eñaló</w:t>
      </w:r>
      <w:r w:rsidR="00917806" w:rsidRPr="00643DCF">
        <w:rPr>
          <w:sz w:val="28"/>
          <w:szCs w:val="28"/>
        </w:rPr>
        <w:t xml:space="preserve"> la actualización del micrositio i</w:t>
      </w:r>
      <w:r w:rsidR="002125A5" w:rsidRPr="00643DCF">
        <w:rPr>
          <w:sz w:val="28"/>
          <w:szCs w:val="28"/>
        </w:rPr>
        <w:t xml:space="preserve">ncluido en la página </w:t>
      </w:r>
      <w:r w:rsidR="006C6B21" w:rsidRPr="00643DCF">
        <w:rPr>
          <w:sz w:val="28"/>
          <w:szCs w:val="28"/>
        </w:rPr>
        <w:t>web</w:t>
      </w:r>
      <w:r w:rsidR="002125A5" w:rsidRPr="00643DCF">
        <w:rPr>
          <w:sz w:val="28"/>
          <w:szCs w:val="28"/>
        </w:rPr>
        <w:t xml:space="preserve"> de la R</w:t>
      </w:r>
      <w:r w:rsidR="00917806" w:rsidRPr="00643DCF">
        <w:rPr>
          <w:sz w:val="28"/>
          <w:szCs w:val="28"/>
        </w:rPr>
        <w:t xml:space="preserve">ama </w:t>
      </w:r>
      <w:r w:rsidR="002125A5" w:rsidRPr="00643DCF">
        <w:rPr>
          <w:sz w:val="28"/>
          <w:szCs w:val="28"/>
        </w:rPr>
        <w:t>J</w:t>
      </w:r>
      <w:r w:rsidR="00917806" w:rsidRPr="00643DCF">
        <w:rPr>
          <w:sz w:val="28"/>
          <w:szCs w:val="28"/>
        </w:rPr>
        <w:t>udicial</w:t>
      </w:r>
      <w:r w:rsidR="005A113B" w:rsidRPr="00643DCF">
        <w:rPr>
          <w:sz w:val="28"/>
          <w:szCs w:val="28"/>
        </w:rPr>
        <w:t>,</w:t>
      </w:r>
      <w:r w:rsidR="00917806" w:rsidRPr="00643DCF">
        <w:rPr>
          <w:sz w:val="28"/>
          <w:szCs w:val="28"/>
        </w:rPr>
        <w:t xml:space="preserve"> el cual contiene en su totalidad la </w:t>
      </w:r>
      <w:r w:rsidR="00CE0B78" w:rsidRPr="00643DCF">
        <w:rPr>
          <w:sz w:val="28"/>
          <w:szCs w:val="28"/>
        </w:rPr>
        <w:t>s</w:t>
      </w:r>
      <w:r w:rsidR="00917806" w:rsidRPr="00643DCF">
        <w:rPr>
          <w:sz w:val="28"/>
          <w:szCs w:val="28"/>
        </w:rPr>
        <w:t xml:space="preserve">entencia T-760 de 2008, 118 autos genéricos, 482 autos específicos expedidos por la </w:t>
      </w:r>
      <w:r w:rsidR="00304FBE" w:rsidRPr="00643DCF">
        <w:rPr>
          <w:sz w:val="28"/>
          <w:szCs w:val="28"/>
        </w:rPr>
        <w:t>Sala Especial</w:t>
      </w:r>
      <w:r w:rsidR="004E08A7" w:rsidRPr="00643DCF">
        <w:rPr>
          <w:sz w:val="28"/>
          <w:szCs w:val="28"/>
        </w:rPr>
        <w:t xml:space="preserve">; </w:t>
      </w:r>
      <w:r w:rsidR="006003DC" w:rsidRPr="00643DCF">
        <w:rPr>
          <w:i/>
          <w:sz w:val="28"/>
          <w:szCs w:val="28"/>
        </w:rPr>
        <w:t>(</w:t>
      </w:r>
      <w:r w:rsidR="004E08A7" w:rsidRPr="00643DCF">
        <w:rPr>
          <w:i/>
          <w:sz w:val="28"/>
          <w:szCs w:val="28"/>
        </w:rPr>
        <w:t>ii)</w:t>
      </w:r>
      <w:r w:rsidR="004E08A7" w:rsidRPr="00643DCF">
        <w:rPr>
          <w:sz w:val="28"/>
          <w:szCs w:val="28"/>
        </w:rPr>
        <w:t xml:space="preserve"> </w:t>
      </w:r>
      <w:r w:rsidR="00917806" w:rsidRPr="00643DCF">
        <w:rPr>
          <w:sz w:val="28"/>
          <w:szCs w:val="28"/>
        </w:rPr>
        <w:t xml:space="preserve">la inclusión en este enlace de 121 registros relacionados con la normatividad </w:t>
      </w:r>
      <w:r w:rsidR="007B0171" w:rsidRPr="00643DCF">
        <w:rPr>
          <w:sz w:val="28"/>
          <w:szCs w:val="28"/>
        </w:rPr>
        <w:t>vinculada</w:t>
      </w:r>
      <w:r w:rsidR="00917806" w:rsidRPr="00643DCF">
        <w:rPr>
          <w:sz w:val="28"/>
          <w:szCs w:val="28"/>
        </w:rPr>
        <w:t xml:space="preserve"> con el derecho a la salud y 58 </w:t>
      </w:r>
      <w:r w:rsidR="00030A51" w:rsidRPr="00643DCF">
        <w:rPr>
          <w:sz w:val="28"/>
          <w:szCs w:val="28"/>
        </w:rPr>
        <w:t>de</w:t>
      </w:r>
      <w:r w:rsidR="00917806" w:rsidRPr="00643DCF">
        <w:rPr>
          <w:sz w:val="28"/>
          <w:szCs w:val="28"/>
        </w:rPr>
        <w:t xml:space="preserve"> doctrina que reposa en la bibl</w:t>
      </w:r>
      <w:r w:rsidR="005A113B" w:rsidRPr="00643DCF">
        <w:rPr>
          <w:sz w:val="28"/>
          <w:szCs w:val="28"/>
        </w:rPr>
        <w:t>ioteca “Enrique Low Mutra”</w:t>
      </w:r>
      <w:r w:rsidR="00C648B3" w:rsidRPr="00643DCF">
        <w:rPr>
          <w:sz w:val="28"/>
          <w:szCs w:val="28"/>
        </w:rPr>
        <w:t>, aclarando que duran</w:t>
      </w:r>
      <w:r w:rsidR="00EF3916" w:rsidRPr="00643DCF">
        <w:rPr>
          <w:sz w:val="28"/>
          <w:szCs w:val="28"/>
        </w:rPr>
        <w:t>te el año 2017 han registrado 13</w:t>
      </w:r>
      <w:r w:rsidR="00C648B3" w:rsidRPr="00643DCF">
        <w:rPr>
          <w:sz w:val="28"/>
          <w:szCs w:val="28"/>
        </w:rPr>
        <w:t>94</w:t>
      </w:r>
      <w:r w:rsidR="0099516D" w:rsidRPr="00643DCF">
        <w:rPr>
          <w:sz w:val="28"/>
          <w:szCs w:val="28"/>
        </w:rPr>
        <w:t xml:space="preserve"> ingresos</w:t>
      </w:r>
      <w:r w:rsidR="00C648B3" w:rsidRPr="00643DCF">
        <w:rPr>
          <w:sz w:val="28"/>
          <w:szCs w:val="28"/>
        </w:rPr>
        <w:t xml:space="preserve"> al </w:t>
      </w:r>
      <w:r w:rsidR="00C648B3" w:rsidRPr="00643DCF">
        <w:rPr>
          <w:i/>
          <w:sz w:val="28"/>
          <w:szCs w:val="28"/>
        </w:rPr>
        <w:t>link</w:t>
      </w:r>
      <w:r w:rsidR="00C648B3" w:rsidRPr="00643DCF">
        <w:rPr>
          <w:sz w:val="28"/>
          <w:szCs w:val="28"/>
        </w:rPr>
        <w:t xml:space="preserve"> destinado a esta labor</w:t>
      </w:r>
      <w:r w:rsidR="004E08A7" w:rsidRPr="00643DCF">
        <w:rPr>
          <w:sz w:val="28"/>
          <w:szCs w:val="28"/>
        </w:rPr>
        <w:t xml:space="preserve">; </w:t>
      </w:r>
      <w:r w:rsidR="006003DC" w:rsidRPr="00643DCF">
        <w:rPr>
          <w:i/>
          <w:sz w:val="28"/>
          <w:szCs w:val="28"/>
        </w:rPr>
        <w:t>(</w:t>
      </w:r>
      <w:r w:rsidR="004E08A7" w:rsidRPr="00643DCF">
        <w:rPr>
          <w:i/>
          <w:sz w:val="28"/>
          <w:szCs w:val="28"/>
        </w:rPr>
        <w:t>iii)</w:t>
      </w:r>
      <w:r w:rsidR="00B70B17" w:rsidRPr="00643DCF">
        <w:rPr>
          <w:sz w:val="28"/>
          <w:szCs w:val="28"/>
        </w:rPr>
        <w:t xml:space="preserve"> </w:t>
      </w:r>
      <w:r w:rsidR="00C648B3" w:rsidRPr="00643DCF">
        <w:rPr>
          <w:sz w:val="28"/>
          <w:szCs w:val="28"/>
        </w:rPr>
        <w:t>la difusión de información mediante memorandos</w:t>
      </w:r>
      <w:r w:rsidR="0099516D" w:rsidRPr="00643DCF">
        <w:rPr>
          <w:sz w:val="28"/>
          <w:szCs w:val="28"/>
        </w:rPr>
        <w:t xml:space="preserve"> internos</w:t>
      </w:r>
      <w:r w:rsidR="005A113B" w:rsidRPr="00643DCF">
        <w:rPr>
          <w:sz w:val="28"/>
          <w:szCs w:val="28"/>
        </w:rPr>
        <w:t>;</w:t>
      </w:r>
      <w:r w:rsidR="00C648B3" w:rsidRPr="00643DCF">
        <w:rPr>
          <w:sz w:val="28"/>
          <w:szCs w:val="28"/>
        </w:rPr>
        <w:t xml:space="preserve"> </w:t>
      </w:r>
      <w:r w:rsidR="006003DC" w:rsidRPr="00643DCF">
        <w:rPr>
          <w:i/>
          <w:sz w:val="28"/>
          <w:szCs w:val="28"/>
        </w:rPr>
        <w:t>(</w:t>
      </w:r>
      <w:r w:rsidR="004E08A7" w:rsidRPr="00643DCF">
        <w:rPr>
          <w:i/>
          <w:sz w:val="28"/>
          <w:szCs w:val="28"/>
        </w:rPr>
        <w:t>iv)</w:t>
      </w:r>
      <w:r w:rsidR="004E08A7" w:rsidRPr="00643DCF">
        <w:rPr>
          <w:sz w:val="28"/>
          <w:szCs w:val="28"/>
        </w:rPr>
        <w:t xml:space="preserve"> </w:t>
      </w:r>
      <w:r w:rsidR="00C648B3" w:rsidRPr="00643DCF">
        <w:rPr>
          <w:sz w:val="28"/>
          <w:szCs w:val="28"/>
        </w:rPr>
        <w:t xml:space="preserve">la emisión de programas de televisión y proyecciones vía </w:t>
      </w:r>
      <w:r w:rsidR="00C648B3" w:rsidRPr="00643DCF">
        <w:rPr>
          <w:i/>
          <w:sz w:val="28"/>
          <w:szCs w:val="28"/>
        </w:rPr>
        <w:t>streaming</w:t>
      </w:r>
      <w:r w:rsidR="004E08A7" w:rsidRPr="00643DCF">
        <w:rPr>
          <w:sz w:val="28"/>
          <w:szCs w:val="28"/>
        </w:rPr>
        <w:t xml:space="preserve"> </w:t>
      </w:r>
      <w:r w:rsidR="00A63EBB" w:rsidRPr="00643DCF">
        <w:rPr>
          <w:sz w:val="28"/>
          <w:szCs w:val="28"/>
        </w:rPr>
        <w:t>y</w:t>
      </w:r>
      <w:r w:rsidR="00FC1D5C" w:rsidRPr="00643DCF">
        <w:rPr>
          <w:sz w:val="28"/>
          <w:szCs w:val="28"/>
        </w:rPr>
        <w:t>,</w:t>
      </w:r>
      <w:r w:rsidR="00A63EBB" w:rsidRPr="00643DCF">
        <w:rPr>
          <w:sz w:val="28"/>
          <w:szCs w:val="28"/>
        </w:rPr>
        <w:t xml:space="preserve"> </w:t>
      </w:r>
      <w:r w:rsidR="006003DC" w:rsidRPr="00643DCF">
        <w:rPr>
          <w:i/>
          <w:sz w:val="28"/>
          <w:szCs w:val="28"/>
        </w:rPr>
        <w:t>(</w:t>
      </w:r>
      <w:r w:rsidR="004E08A7" w:rsidRPr="00643DCF">
        <w:rPr>
          <w:i/>
          <w:sz w:val="28"/>
          <w:szCs w:val="28"/>
        </w:rPr>
        <w:t>v)</w:t>
      </w:r>
      <w:r w:rsidR="004E08A7" w:rsidRPr="00643DCF">
        <w:rPr>
          <w:sz w:val="28"/>
          <w:szCs w:val="28"/>
        </w:rPr>
        <w:t xml:space="preserve"> </w:t>
      </w:r>
      <w:r w:rsidR="00A63EBB" w:rsidRPr="00643DCF">
        <w:rPr>
          <w:sz w:val="28"/>
          <w:szCs w:val="28"/>
        </w:rPr>
        <w:t>recapituló</w:t>
      </w:r>
      <w:r w:rsidR="00C648B3" w:rsidRPr="00643DCF">
        <w:rPr>
          <w:sz w:val="28"/>
          <w:szCs w:val="28"/>
        </w:rPr>
        <w:t xml:space="preserve"> las actividades adelantadas de forma presencial </w:t>
      </w:r>
      <w:r w:rsidR="005879B0" w:rsidRPr="00643DCF">
        <w:rPr>
          <w:sz w:val="28"/>
          <w:szCs w:val="28"/>
        </w:rPr>
        <w:t>desde el año 2011 al 2016</w:t>
      </w:r>
      <w:r w:rsidR="00844992" w:rsidRPr="00643DCF">
        <w:rPr>
          <w:sz w:val="28"/>
          <w:szCs w:val="28"/>
        </w:rPr>
        <w:t xml:space="preserve"> </w:t>
      </w:r>
      <w:r w:rsidR="00C648B3" w:rsidRPr="00643DCF">
        <w:rPr>
          <w:sz w:val="28"/>
          <w:szCs w:val="28"/>
        </w:rPr>
        <w:t>en diferentes municipios del país</w:t>
      </w:r>
      <w:r w:rsidR="005A113B" w:rsidRPr="00643DCF">
        <w:rPr>
          <w:sz w:val="28"/>
          <w:szCs w:val="28"/>
        </w:rPr>
        <w:t>,</w:t>
      </w:r>
      <w:r w:rsidR="00C648B3" w:rsidRPr="00643DCF">
        <w:rPr>
          <w:sz w:val="28"/>
          <w:szCs w:val="28"/>
        </w:rPr>
        <w:t xml:space="preserve"> concluyendo que a la fecha </w:t>
      </w:r>
      <w:r w:rsidR="006C78C6" w:rsidRPr="00643DCF">
        <w:rPr>
          <w:sz w:val="28"/>
          <w:szCs w:val="28"/>
        </w:rPr>
        <w:t>capacitaron</w:t>
      </w:r>
      <w:r w:rsidR="00C648B3" w:rsidRPr="00643DCF">
        <w:rPr>
          <w:sz w:val="28"/>
          <w:szCs w:val="28"/>
        </w:rPr>
        <w:t xml:space="preserve"> 1566 funcionarios judiciales.</w:t>
      </w:r>
    </w:p>
    <w:p w14:paraId="1494DE1D" w14:textId="12735E03" w:rsidR="00C70E54" w:rsidRPr="00643DCF" w:rsidRDefault="00C70E54" w:rsidP="00B14E08">
      <w:pPr>
        <w:widowControl w:val="0"/>
        <w:numPr>
          <w:ilvl w:val="0"/>
          <w:numId w:val="3"/>
        </w:numPr>
        <w:tabs>
          <w:tab w:val="left" w:pos="426"/>
        </w:tabs>
        <w:autoSpaceDE w:val="0"/>
        <w:autoSpaceDN w:val="0"/>
        <w:adjustRightInd w:val="0"/>
        <w:ind w:left="0" w:firstLine="0"/>
        <w:jc w:val="both"/>
        <w:rPr>
          <w:sz w:val="28"/>
          <w:szCs w:val="28"/>
        </w:rPr>
      </w:pPr>
      <w:r w:rsidRPr="00643DCF">
        <w:rPr>
          <w:sz w:val="28"/>
          <w:szCs w:val="28"/>
        </w:rPr>
        <w:lastRenderedPageBreak/>
        <w:t>El 5 de julio de 2017,</w:t>
      </w:r>
      <w:r w:rsidRPr="00643DCF">
        <w:rPr>
          <w:rStyle w:val="Refdenotaalpie"/>
          <w:sz w:val="28"/>
          <w:szCs w:val="28"/>
        </w:rPr>
        <w:footnoteReference w:id="77"/>
      </w:r>
      <w:r w:rsidRPr="00643DCF">
        <w:rPr>
          <w:sz w:val="28"/>
          <w:szCs w:val="28"/>
        </w:rPr>
        <w:t xml:space="preserve"> la Defensoría del Pueblo entregó el noveno </w:t>
      </w:r>
      <w:r w:rsidR="00882939" w:rsidRPr="00643DCF">
        <w:rPr>
          <w:sz w:val="28"/>
          <w:szCs w:val="28"/>
        </w:rPr>
        <w:t xml:space="preserve">reporte </w:t>
      </w:r>
      <w:r w:rsidRPr="00643DCF">
        <w:rPr>
          <w:sz w:val="28"/>
          <w:szCs w:val="28"/>
        </w:rPr>
        <w:t xml:space="preserve">de seguimiento a la </w:t>
      </w:r>
      <w:r w:rsidR="00CE0B78" w:rsidRPr="00643DCF">
        <w:rPr>
          <w:sz w:val="28"/>
          <w:szCs w:val="28"/>
        </w:rPr>
        <w:t>s</w:t>
      </w:r>
      <w:r w:rsidRPr="00643DCF">
        <w:rPr>
          <w:sz w:val="28"/>
          <w:szCs w:val="28"/>
        </w:rPr>
        <w:t>entencia T-760 de 2008. En relación al mandato afirmó que no</w:t>
      </w:r>
      <w:r w:rsidR="006C78C6" w:rsidRPr="00643DCF">
        <w:rPr>
          <w:sz w:val="28"/>
          <w:szCs w:val="28"/>
        </w:rPr>
        <w:t xml:space="preserve"> </w:t>
      </w:r>
      <w:r w:rsidRPr="00643DCF">
        <w:rPr>
          <w:sz w:val="28"/>
          <w:szCs w:val="28"/>
        </w:rPr>
        <w:t>evidencia un avance</w:t>
      </w:r>
      <w:r w:rsidR="00086B69" w:rsidRPr="00643DCF">
        <w:rPr>
          <w:sz w:val="28"/>
          <w:szCs w:val="28"/>
        </w:rPr>
        <w:t xml:space="preserve"> </w:t>
      </w:r>
      <w:r w:rsidRPr="00643DCF">
        <w:rPr>
          <w:sz w:val="28"/>
          <w:szCs w:val="28"/>
        </w:rPr>
        <w:t>teniendo en cuenta que la información suministrada reitera lo comunicado en el año inmediatamente anterior y llamó la atención sobre la reducción de funcionarios capacitados durante 2016 en relación con 2015,</w:t>
      </w:r>
      <w:r w:rsidR="0042358D" w:rsidRPr="00643DCF">
        <w:rPr>
          <w:sz w:val="28"/>
          <w:szCs w:val="28"/>
        </w:rPr>
        <w:t xml:space="preserve"> pues se </w:t>
      </w:r>
      <w:r w:rsidR="005344FF" w:rsidRPr="00643DCF">
        <w:rPr>
          <w:sz w:val="28"/>
          <w:szCs w:val="28"/>
        </w:rPr>
        <w:t xml:space="preserve">advirtió </w:t>
      </w:r>
      <w:r w:rsidR="0042358D" w:rsidRPr="00643DCF">
        <w:rPr>
          <w:sz w:val="28"/>
          <w:szCs w:val="28"/>
        </w:rPr>
        <w:t>una</w:t>
      </w:r>
      <w:r w:rsidRPr="00643DCF">
        <w:rPr>
          <w:sz w:val="28"/>
          <w:szCs w:val="28"/>
        </w:rPr>
        <w:t xml:space="preserve"> disminución </w:t>
      </w:r>
      <w:r w:rsidR="0042358D" w:rsidRPr="00643DCF">
        <w:rPr>
          <w:sz w:val="28"/>
          <w:szCs w:val="28"/>
        </w:rPr>
        <w:t>del</w:t>
      </w:r>
      <w:r w:rsidRPr="00643DCF">
        <w:rPr>
          <w:sz w:val="28"/>
          <w:szCs w:val="28"/>
        </w:rPr>
        <w:t xml:space="preserve"> 80%.</w:t>
      </w:r>
    </w:p>
    <w:p w14:paraId="78B4C91B" w14:textId="77777777" w:rsidR="008C5DB0" w:rsidRPr="00643DCF" w:rsidRDefault="008C5DB0" w:rsidP="008C5DB0">
      <w:pPr>
        <w:widowControl w:val="0"/>
        <w:tabs>
          <w:tab w:val="left" w:pos="426"/>
        </w:tabs>
        <w:autoSpaceDE w:val="0"/>
        <w:autoSpaceDN w:val="0"/>
        <w:adjustRightInd w:val="0"/>
        <w:jc w:val="both"/>
        <w:rPr>
          <w:sz w:val="28"/>
          <w:szCs w:val="28"/>
        </w:rPr>
      </w:pPr>
    </w:p>
    <w:p w14:paraId="1B40B7C9" w14:textId="7A438E3A" w:rsidR="00B96FAB" w:rsidRPr="00643DCF" w:rsidRDefault="00682F35" w:rsidP="00B14E08">
      <w:pPr>
        <w:widowControl w:val="0"/>
        <w:numPr>
          <w:ilvl w:val="0"/>
          <w:numId w:val="3"/>
        </w:numPr>
        <w:tabs>
          <w:tab w:val="left" w:pos="426"/>
        </w:tabs>
        <w:autoSpaceDE w:val="0"/>
        <w:autoSpaceDN w:val="0"/>
        <w:adjustRightInd w:val="0"/>
        <w:ind w:left="0" w:firstLine="0"/>
        <w:jc w:val="both"/>
        <w:rPr>
          <w:sz w:val="28"/>
          <w:szCs w:val="28"/>
        </w:rPr>
      </w:pPr>
      <w:r w:rsidRPr="00643DCF">
        <w:rPr>
          <w:sz w:val="28"/>
          <w:szCs w:val="28"/>
        </w:rPr>
        <w:t>El 8 de agosto de 2017,</w:t>
      </w:r>
      <w:r w:rsidRPr="00643DCF">
        <w:rPr>
          <w:rStyle w:val="Refdenotaalpie"/>
          <w:sz w:val="28"/>
          <w:szCs w:val="28"/>
        </w:rPr>
        <w:footnoteReference w:id="78"/>
      </w:r>
      <w:r w:rsidRPr="00643DCF">
        <w:rPr>
          <w:sz w:val="28"/>
          <w:szCs w:val="28"/>
        </w:rPr>
        <w:t xml:space="preserve"> el </w:t>
      </w:r>
      <w:r w:rsidR="00C6448C" w:rsidRPr="00643DCF">
        <w:rPr>
          <w:sz w:val="28"/>
          <w:szCs w:val="28"/>
        </w:rPr>
        <w:t>P</w:t>
      </w:r>
      <w:r w:rsidRPr="00643DCF">
        <w:rPr>
          <w:sz w:val="28"/>
          <w:szCs w:val="28"/>
        </w:rPr>
        <w:t xml:space="preserve">residente del CSJ allegó el </w:t>
      </w:r>
      <w:r w:rsidR="005344FF" w:rsidRPr="00643DCF">
        <w:rPr>
          <w:sz w:val="28"/>
          <w:szCs w:val="28"/>
        </w:rPr>
        <w:t xml:space="preserve">reporte </w:t>
      </w:r>
      <w:r w:rsidRPr="00643DCF">
        <w:rPr>
          <w:sz w:val="28"/>
          <w:szCs w:val="28"/>
        </w:rPr>
        <w:t xml:space="preserve">correspondiente a los últimos </w:t>
      </w:r>
      <w:r w:rsidR="00E319EC" w:rsidRPr="00643DCF">
        <w:rPr>
          <w:sz w:val="28"/>
          <w:szCs w:val="28"/>
        </w:rPr>
        <w:t>cuatro meses</w:t>
      </w:r>
      <w:r w:rsidR="00C6448C" w:rsidRPr="00643DCF">
        <w:rPr>
          <w:sz w:val="28"/>
          <w:szCs w:val="28"/>
        </w:rPr>
        <w:t xml:space="preserve">, </w:t>
      </w:r>
      <w:r w:rsidR="005344FF" w:rsidRPr="00643DCF">
        <w:rPr>
          <w:sz w:val="28"/>
          <w:szCs w:val="28"/>
        </w:rPr>
        <w:t xml:space="preserve">enseñó </w:t>
      </w:r>
      <w:r w:rsidRPr="00643DCF">
        <w:rPr>
          <w:sz w:val="28"/>
          <w:szCs w:val="28"/>
        </w:rPr>
        <w:t xml:space="preserve">los avances realizados para el </w:t>
      </w:r>
      <w:r w:rsidR="00641A4A" w:rsidRPr="00643DCF">
        <w:rPr>
          <w:sz w:val="28"/>
          <w:szCs w:val="28"/>
        </w:rPr>
        <w:t xml:space="preserve">acatamiento </w:t>
      </w:r>
      <w:r w:rsidRPr="00643DCF">
        <w:rPr>
          <w:sz w:val="28"/>
          <w:szCs w:val="28"/>
        </w:rPr>
        <w:t xml:space="preserve">de la orden trigésima segunda, destacó </w:t>
      </w:r>
      <w:r w:rsidR="00626F7C" w:rsidRPr="00643DCF">
        <w:rPr>
          <w:sz w:val="28"/>
          <w:szCs w:val="28"/>
        </w:rPr>
        <w:t xml:space="preserve">que </w:t>
      </w:r>
      <w:r w:rsidR="00C545BB" w:rsidRPr="00643DCF">
        <w:rPr>
          <w:sz w:val="28"/>
          <w:szCs w:val="28"/>
        </w:rPr>
        <w:t xml:space="preserve">la </w:t>
      </w:r>
      <w:r w:rsidRPr="00643DCF">
        <w:rPr>
          <w:sz w:val="28"/>
          <w:szCs w:val="28"/>
        </w:rPr>
        <w:t xml:space="preserve">actualización del micrositio incluido en la página </w:t>
      </w:r>
      <w:r w:rsidR="006C6B21" w:rsidRPr="00643DCF">
        <w:rPr>
          <w:sz w:val="28"/>
          <w:szCs w:val="28"/>
        </w:rPr>
        <w:t>web</w:t>
      </w:r>
      <w:r w:rsidRPr="00643DCF">
        <w:rPr>
          <w:sz w:val="28"/>
          <w:szCs w:val="28"/>
        </w:rPr>
        <w:t xml:space="preserve"> de la Rama Judicial</w:t>
      </w:r>
      <w:r w:rsidR="00626F7C" w:rsidRPr="00643DCF">
        <w:rPr>
          <w:sz w:val="28"/>
          <w:szCs w:val="28"/>
        </w:rPr>
        <w:t xml:space="preserve"> </w:t>
      </w:r>
      <w:r w:rsidR="005344FF" w:rsidRPr="00643DCF">
        <w:rPr>
          <w:sz w:val="28"/>
          <w:szCs w:val="28"/>
        </w:rPr>
        <w:t xml:space="preserve">mostró </w:t>
      </w:r>
      <w:r w:rsidR="00626F7C" w:rsidRPr="00643DCF">
        <w:rPr>
          <w:sz w:val="28"/>
          <w:szCs w:val="28"/>
        </w:rPr>
        <w:t>un</w:t>
      </w:r>
      <w:r w:rsidRPr="00643DCF">
        <w:rPr>
          <w:sz w:val="28"/>
          <w:szCs w:val="28"/>
        </w:rPr>
        <w:t xml:space="preserve"> crecimiento </w:t>
      </w:r>
      <w:r w:rsidR="00626F7C" w:rsidRPr="00643DCF">
        <w:rPr>
          <w:sz w:val="28"/>
          <w:szCs w:val="28"/>
        </w:rPr>
        <w:t xml:space="preserve">del 232% </w:t>
      </w:r>
      <w:r w:rsidRPr="00643DCF">
        <w:rPr>
          <w:sz w:val="28"/>
          <w:szCs w:val="28"/>
        </w:rPr>
        <w:t>con relación a lo reportado el 31 de marzo de 2017</w:t>
      </w:r>
      <w:r w:rsidR="00626F7C" w:rsidRPr="00643DCF">
        <w:rPr>
          <w:sz w:val="28"/>
          <w:szCs w:val="28"/>
        </w:rPr>
        <w:t>, con un registro de 3224 visitas</w:t>
      </w:r>
      <w:r w:rsidR="00C545BB" w:rsidRPr="00643DCF">
        <w:rPr>
          <w:sz w:val="28"/>
          <w:szCs w:val="28"/>
        </w:rPr>
        <w:t>; indic</w:t>
      </w:r>
      <w:r w:rsidR="00C41EE9" w:rsidRPr="00643DCF">
        <w:rPr>
          <w:sz w:val="28"/>
          <w:szCs w:val="28"/>
        </w:rPr>
        <w:t xml:space="preserve">ó </w:t>
      </w:r>
      <w:r w:rsidRPr="00643DCF">
        <w:rPr>
          <w:sz w:val="28"/>
          <w:szCs w:val="28"/>
        </w:rPr>
        <w:t xml:space="preserve">que a la fecha </w:t>
      </w:r>
      <w:r w:rsidR="00C545BB" w:rsidRPr="00643DCF">
        <w:rPr>
          <w:sz w:val="28"/>
          <w:szCs w:val="28"/>
        </w:rPr>
        <w:t>est</w:t>
      </w:r>
      <w:r w:rsidR="00C41EE9" w:rsidRPr="00643DCF">
        <w:rPr>
          <w:sz w:val="28"/>
          <w:szCs w:val="28"/>
        </w:rPr>
        <w:t>aba</w:t>
      </w:r>
      <w:r w:rsidRPr="00643DCF">
        <w:rPr>
          <w:sz w:val="28"/>
          <w:szCs w:val="28"/>
        </w:rPr>
        <w:t xml:space="preserve"> aprobado el plan de formación y capacitación de la rama judicial para el año 2017, sin embargo</w:t>
      </w:r>
      <w:r w:rsidR="00DC1960" w:rsidRPr="00643DCF">
        <w:rPr>
          <w:sz w:val="28"/>
          <w:szCs w:val="28"/>
        </w:rPr>
        <w:t>,</w:t>
      </w:r>
      <w:r w:rsidRPr="00643DCF">
        <w:rPr>
          <w:sz w:val="28"/>
          <w:szCs w:val="28"/>
        </w:rPr>
        <w:t xml:space="preserve"> </w:t>
      </w:r>
      <w:r w:rsidR="00C545BB" w:rsidRPr="00643DCF">
        <w:rPr>
          <w:sz w:val="28"/>
          <w:szCs w:val="28"/>
        </w:rPr>
        <w:t>su ejecución se llevar</w:t>
      </w:r>
      <w:r w:rsidR="00C41EE9" w:rsidRPr="00643DCF">
        <w:rPr>
          <w:sz w:val="28"/>
          <w:szCs w:val="28"/>
        </w:rPr>
        <w:t xml:space="preserve">ía </w:t>
      </w:r>
      <w:r w:rsidR="00C545BB" w:rsidRPr="00643DCF">
        <w:rPr>
          <w:sz w:val="28"/>
          <w:szCs w:val="28"/>
        </w:rPr>
        <w:t>a cabo</w:t>
      </w:r>
      <w:r w:rsidR="00B96FAB" w:rsidRPr="00643DCF">
        <w:rPr>
          <w:sz w:val="28"/>
          <w:szCs w:val="28"/>
        </w:rPr>
        <w:t xml:space="preserve"> el siguiente cuatrimestre dado que en la actualidad los procesos contractuales</w:t>
      </w:r>
      <w:r w:rsidR="00C545BB" w:rsidRPr="00643DCF">
        <w:rPr>
          <w:sz w:val="28"/>
          <w:szCs w:val="28"/>
        </w:rPr>
        <w:t xml:space="preserve"> no h</w:t>
      </w:r>
      <w:r w:rsidR="00C41EE9" w:rsidRPr="00643DCF">
        <w:rPr>
          <w:sz w:val="28"/>
          <w:szCs w:val="28"/>
        </w:rPr>
        <w:t xml:space="preserve">abían </w:t>
      </w:r>
      <w:r w:rsidR="00C545BB" w:rsidRPr="00643DCF">
        <w:rPr>
          <w:sz w:val="28"/>
          <w:szCs w:val="28"/>
        </w:rPr>
        <w:t>finalizado</w:t>
      </w:r>
      <w:r w:rsidR="00DC1960" w:rsidRPr="00643DCF">
        <w:rPr>
          <w:sz w:val="28"/>
          <w:szCs w:val="28"/>
        </w:rPr>
        <w:t>. A</w:t>
      </w:r>
      <w:r w:rsidR="00721AD6" w:rsidRPr="00643DCF">
        <w:rPr>
          <w:sz w:val="28"/>
          <w:szCs w:val="28"/>
        </w:rPr>
        <w:t>dicionalmente</w:t>
      </w:r>
      <w:r w:rsidR="00B96FAB" w:rsidRPr="00643DCF">
        <w:rPr>
          <w:sz w:val="28"/>
          <w:szCs w:val="28"/>
        </w:rPr>
        <w:t xml:space="preserve"> </w:t>
      </w:r>
      <w:r w:rsidR="00A63EBB" w:rsidRPr="00643DCF">
        <w:rPr>
          <w:sz w:val="28"/>
          <w:szCs w:val="28"/>
        </w:rPr>
        <w:t xml:space="preserve">entregó </w:t>
      </w:r>
      <w:r w:rsidR="00B96FAB" w:rsidRPr="00643DCF">
        <w:rPr>
          <w:sz w:val="28"/>
          <w:szCs w:val="28"/>
        </w:rPr>
        <w:t xml:space="preserve">una relación de las actividades de capacitación y sensibilización de la sentencia </w:t>
      </w:r>
      <w:r w:rsidR="00E319EC" w:rsidRPr="00643DCF">
        <w:rPr>
          <w:sz w:val="28"/>
          <w:szCs w:val="28"/>
        </w:rPr>
        <w:t>de</w:t>
      </w:r>
      <w:r w:rsidR="008A6999" w:rsidRPr="00643DCF">
        <w:rPr>
          <w:sz w:val="28"/>
          <w:szCs w:val="28"/>
        </w:rPr>
        <w:t>sde el</w:t>
      </w:r>
      <w:r w:rsidR="00E319EC" w:rsidRPr="00643DCF">
        <w:rPr>
          <w:sz w:val="28"/>
          <w:szCs w:val="28"/>
        </w:rPr>
        <w:t xml:space="preserve"> año 2011 al 2017, </w:t>
      </w:r>
      <w:r w:rsidR="00B96FAB" w:rsidRPr="00643DCF">
        <w:rPr>
          <w:sz w:val="28"/>
          <w:szCs w:val="28"/>
        </w:rPr>
        <w:t xml:space="preserve">dirigida a funcionarios y empleados de la Rama Judicial pertenecientes a 19 distritos de los 23 existentes. </w:t>
      </w:r>
    </w:p>
    <w:p w14:paraId="1E601C46" w14:textId="77777777" w:rsidR="00721AD6" w:rsidRPr="00643DCF" w:rsidRDefault="00721AD6" w:rsidP="000C2A40">
      <w:pPr>
        <w:pStyle w:val="Prrafodelista"/>
        <w:rPr>
          <w:sz w:val="28"/>
          <w:szCs w:val="28"/>
        </w:rPr>
      </w:pPr>
    </w:p>
    <w:p w14:paraId="594610FE" w14:textId="53569F40" w:rsidR="00DC1960" w:rsidRPr="00643DCF" w:rsidRDefault="00721AD6" w:rsidP="00B14E08">
      <w:pPr>
        <w:widowControl w:val="0"/>
        <w:numPr>
          <w:ilvl w:val="0"/>
          <w:numId w:val="3"/>
        </w:numPr>
        <w:tabs>
          <w:tab w:val="left" w:pos="426"/>
        </w:tabs>
        <w:autoSpaceDE w:val="0"/>
        <w:autoSpaceDN w:val="0"/>
        <w:adjustRightInd w:val="0"/>
        <w:ind w:left="0" w:firstLine="0"/>
        <w:jc w:val="both"/>
        <w:rPr>
          <w:sz w:val="28"/>
          <w:szCs w:val="28"/>
        </w:rPr>
      </w:pPr>
      <w:r w:rsidRPr="00643DCF">
        <w:rPr>
          <w:sz w:val="28"/>
          <w:szCs w:val="28"/>
        </w:rPr>
        <w:t>Mediante</w:t>
      </w:r>
      <w:r w:rsidR="00882939" w:rsidRPr="00643DCF">
        <w:rPr>
          <w:sz w:val="28"/>
          <w:szCs w:val="28"/>
        </w:rPr>
        <w:t xml:space="preserve"> documento</w:t>
      </w:r>
      <w:r w:rsidRPr="00643DCF">
        <w:rPr>
          <w:sz w:val="28"/>
          <w:szCs w:val="28"/>
        </w:rPr>
        <w:t xml:space="preserve"> del 6 de diciembre de 2017</w:t>
      </w:r>
      <w:r w:rsidRPr="00643DCF">
        <w:rPr>
          <w:rStyle w:val="Refdenotaalpie"/>
          <w:sz w:val="28"/>
          <w:szCs w:val="28"/>
        </w:rPr>
        <w:footnoteReference w:id="79"/>
      </w:r>
      <w:r w:rsidRPr="00643DCF">
        <w:rPr>
          <w:sz w:val="28"/>
          <w:szCs w:val="28"/>
        </w:rPr>
        <w:t xml:space="preserve"> el CSJ</w:t>
      </w:r>
      <w:r w:rsidR="009A0977" w:rsidRPr="00643DCF">
        <w:rPr>
          <w:sz w:val="28"/>
          <w:szCs w:val="28"/>
        </w:rPr>
        <w:t xml:space="preserve"> </w:t>
      </w:r>
      <w:r w:rsidR="006C6B21" w:rsidRPr="00643DCF">
        <w:rPr>
          <w:sz w:val="28"/>
          <w:szCs w:val="28"/>
        </w:rPr>
        <w:t xml:space="preserve">señaló </w:t>
      </w:r>
      <w:r w:rsidR="009A0977" w:rsidRPr="00643DCF">
        <w:rPr>
          <w:sz w:val="28"/>
          <w:szCs w:val="28"/>
        </w:rPr>
        <w:t>los avances alcanzados en el periodo comprendido entre el 1</w:t>
      </w:r>
      <w:r w:rsidR="00E94D7E">
        <w:rPr>
          <w:sz w:val="28"/>
          <w:szCs w:val="28"/>
        </w:rPr>
        <w:t>º</w:t>
      </w:r>
      <w:r w:rsidR="009A0977" w:rsidRPr="00643DCF">
        <w:rPr>
          <w:sz w:val="28"/>
          <w:szCs w:val="28"/>
        </w:rPr>
        <w:t xml:space="preserve"> de agosto y el 30 de noviembre de 2017 </w:t>
      </w:r>
      <w:r w:rsidR="00FA72D1" w:rsidRPr="00643DCF">
        <w:rPr>
          <w:sz w:val="28"/>
          <w:szCs w:val="28"/>
        </w:rPr>
        <w:t xml:space="preserve">sobre la </w:t>
      </w:r>
      <w:r w:rsidR="009A0977" w:rsidRPr="00643DCF">
        <w:rPr>
          <w:sz w:val="28"/>
          <w:szCs w:val="28"/>
        </w:rPr>
        <w:t>difusión</w:t>
      </w:r>
      <w:r w:rsidR="00376576" w:rsidRPr="00643DCF">
        <w:rPr>
          <w:sz w:val="28"/>
          <w:szCs w:val="28"/>
        </w:rPr>
        <w:t xml:space="preserve"> de la </w:t>
      </w:r>
      <w:r w:rsidR="00CE0B78" w:rsidRPr="00643DCF">
        <w:rPr>
          <w:sz w:val="28"/>
          <w:szCs w:val="28"/>
        </w:rPr>
        <w:t>s</w:t>
      </w:r>
      <w:r w:rsidR="00376576" w:rsidRPr="00643DCF">
        <w:rPr>
          <w:sz w:val="28"/>
          <w:szCs w:val="28"/>
        </w:rPr>
        <w:t>entencia T-760 de 2008</w:t>
      </w:r>
      <w:r w:rsidR="009A0977" w:rsidRPr="00643DCF">
        <w:rPr>
          <w:sz w:val="28"/>
          <w:szCs w:val="28"/>
        </w:rPr>
        <w:t xml:space="preserve"> y capacitación de servidores judiciales</w:t>
      </w:r>
      <w:r w:rsidR="00FA72D1" w:rsidRPr="00643DCF">
        <w:rPr>
          <w:sz w:val="28"/>
          <w:szCs w:val="28"/>
        </w:rPr>
        <w:t>; d</w:t>
      </w:r>
      <w:r w:rsidR="000A6810" w:rsidRPr="00643DCF">
        <w:rPr>
          <w:sz w:val="28"/>
          <w:szCs w:val="28"/>
        </w:rPr>
        <w:t xml:space="preserve">e igual forma adujo </w:t>
      </w:r>
      <w:r w:rsidR="009A0977" w:rsidRPr="00643DCF">
        <w:rPr>
          <w:sz w:val="28"/>
          <w:szCs w:val="28"/>
        </w:rPr>
        <w:t xml:space="preserve">que el micrositio </w:t>
      </w:r>
      <w:r w:rsidR="00376576" w:rsidRPr="00643DCF">
        <w:rPr>
          <w:sz w:val="28"/>
          <w:szCs w:val="28"/>
        </w:rPr>
        <w:t xml:space="preserve">para la consulta del fallo </w:t>
      </w:r>
      <w:r w:rsidR="009A0977" w:rsidRPr="00643DCF">
        <w:rPr>
          <w:sz w:val="28"/>
          <w:szCs w:val="28"/>
        </w:rPr>
        <w:t xml:space="preserve">y las actuaciones de la </w:t>
      </w:r>
      <w:r w:rsidR="00C72774" w:rsidRPr="00643DCF">
        <w:rPr>
          <w:sz w:val="28"/>
          <w:szCs w:val="28"/>
        </w:rPr>
        <w:t>S</w:t>
      </w:r>
      <w:r w:rsidR="009A0977" w:rsidRPr="00643DCF">
        <w:rPr>
          <w:sz w:val="28"/>
          <w:szCs w:val="28"/>
        </w:rPr>
        <w:t xml:space="preserve">ala de </w:t>
      </w:r>
      <w:r w:rsidR="00C72774" w:rsidRPr="00643DCF">
        <w:rPr>
          <w:sz w:val="28"/>
          <w:szCs w:val="28"/>
        </w:rPr>
        <w:t>S</w:t>
      </w:r>
      <w:r w:rsidR="009A0977" w:rsidRPr="00643DCF">
        <w:rPr>
          <w:sz w:val="28"/>
          <w:szCs w:val="28"/>
        </w:rPr>
        <w:t>eguimiento contiene: “</w:t>
      </w:r>
      <w:r w:rsidR="009A0977" w:rsidRPr="00643DCF">
        <w:rPr>
          <w:i/>
          <w:sz w:val="28"/>
          <w:szCs w:val="28"/>
        </w:rPr>
        <w:t>Todos los autos de seguimiento, genéricos y específicos, informes de seguimiento, normatividad y doctrina en materia de salud, publicaciones realizadas por el CENDOJ sobre la sentencia estructural, inspecciones judiciales, videoteca, en la que se encuentran los programas de divulgación”</w:t>
      </w:r>
      <w:r w:rsidR="00DC1960" w:rsidRPr="00643DCF">
        <w:rPr>
          <w:i/>
          <w:sz w:val="28"/>
          <w:szCs w:val="28"/>
        </w:rPr>
        <w:t>.</w:t>
      </w:r>
    </w:p>
    <w:p w14:paraId="442289F7" w14:textId="77777777" w:rsidR="00EF061A" w:rsidRPr="00643DCF" w:rsidRDefault="00EF061A" w:rsidP="00EF061A">
      <w:pPr>
        <w:pStyle w:val="Prrafodelista"/>
        <w:rPr>
          <w:sz w:val="28"/>
          <w:szCs w:val="28"/>
        </w:rPr>
      </w:pPr>
    </w:p>
    <w:p w14:paraId="565F3AD0" w14:textId="543EC76A" w:rsidR="00721AD6" w:rsidRPr="00643DCF" w:rsidRDefault="00EF061A" w:rsidP="00500F88">
      <w:pPr>
        <w:widowControl w:val="0"/>
        <w:numPr>
          <w:ilvl w:val="0"/>
          <w:numId w:val="3"/>
        </w:numPr>
        <w:tabs>
          <w:tab w:val="left" w:pos="426"/>
        </w:tabs>
        <w:autoSpaceDE w:val="0"/>
        <w:autoSpaceDN w:val="0"/>
        <w:adjustRightInd w:val="0"/>
        <w:ind w:left="0" w:firstLine="0"/>
        <w:jc w:val="both"/>
        <w:rPr>
          <w:sz w:val="28"/>
          <w:szCs w:val="28"/>
        </w:rPr>
      </w:pPr>
      <w:r w:rsidRPr="00643DCF">
        <w:rPr>
          <w:sz w:val="28"/>
          <w:szCs w:val="28"/>
        </w:rPr>
        <w:t>Adicionalmente</w:t>
      </w:r>
      <w:r w:rsidR="00C72774" w:rsidRPr="00643DCF">
        <w:rPr>
          <w:sz w:val="28"/>
          <w:szCs w:val="28"/>
        </w:rPr>
        <w:t xml:space="preserve"> </w:t>
      </w:r>
      <w:r w:rsidR="00DC1960" w:rsidRPr="00643DCF">
        <w:rPr>
          <w:sz w:val="28"/>
          <w:szCs w:val="28"/>
        </w:rPr>
        <w:t>manifestó</w:t>
      </w:r>
      <w:r w:rsidR="00DC1960" w:rsidRPr="00643DCF">
        <w:rPr>
          <w:i/>
          <w:sz w:val="28"/>
          <w:szCs w:val="28"/>
        </w:rPr>
        <w:t xml:space="preserve"> </w:t>
      </w:r>
      <w:r w:rsidR="00376576" w:rsidRPr="00643DCF">
        <w:rPr>
          <w:sz w:val="28"/>
          <w:szCs w:val="28"/>
        </w:rPr>
        <w:t xml:space="preserve">que el portal </w:t>
      </w:r>
      <w:r w:rsidR="006C6B21" w:rsidRPr="00643DCF">
        <w:rPr>
          <w:sz w:val="28"/>
          <w:szCs w:val="28"/>
        </w:rPr>
        <w:t>web</w:t>
      </w:r>
      <w:r w:rsidR="00376576" w:rsidRPr="00643DCF">
        <w:rPr>
          <w:sz w:val="28"/>
          <w:szCs w:val="28"/>
        </w:rPr>
        <w:t xml:space="preserve"> </w:t>
      </w:r>
      <w:r w:rsidR="00C72774" w:rsidRPr="00643DCF">
        <w:rPr>
          <w:sz w:val="28"/>
          <w:szCs w:val="28"/>
        </w:rPr>
        <w:t>se actualiza</w:t>
      </w:r>
      <w:r w:rsidR="009A0977" w:rsidRPr="00643DCF">
        <w:rPr>
          <w:sz w:val="28"/>
          <w:szCs w:val="28"/>
        </w:rPr>
        <w:t xml:space="preserve"> de manera permanente, </w:t>
      </w:r>
      <w:r w:rsidR="00C72774" w:rsidRPr="00643DCF">
        <w:rPr>
          <w:sz w:val="28"/>
          <w:szCs w:val="28"/>
        </w:rPr>
        <w:t xml:space="preserve">destacando que para esa fecha se encontraban publicados </w:t>
      </w:r>
      <w:r w:rsidR="00376576" w:rsidRPr="00643DCF">
        <w:rPr>
          <w:sz w:val="28"/>
          <w:szCs w:val="28"/>
        </w:rPr>
        <w:t>118 autos ge</w:t>
      </w:r>
      <w:r w:rsidR="006E3914" w:rsidRPr="00643DCF">
        <w:rPr>
          <w:sz w:val="28"/>
          <w:szCs w:val="28"/>
        </w:rPr>
        <w:t>n</w:t>
      </w:r>
      <w:r w:rsidR="00FA72D1" w:rsidRPr="00643DCF">
        <w:rPr>
          <w:sz w:val="28"/>
          <w:szCs w:val="28"/>
        </w:rPr>
        <w:t>éricos,</w:t>
      </w:r>
      <w:r w:rsidR="006E3914" w:rsidRPr="00643DCF">
        <w:rPr>
          <w:sz w:val="28"/>
          <w:szCs w:val="28"/>
        </w:rPr>
        <w:t xml:space="preserve"> 493 específicos</w:t>
      </w:r>
      <w:r w:rsidR="00376576" w:rsidRPr="00643DCF">
        <w:rPr>
          <w:sz w:val="28"/>
          <w:szCs w:val="28"/>
        </w:rPr>
        <w:t xml:space="preserve"> y 5284 visitas a la fecha</w:t>
      </w:r>
      <w:r w:rsidR="00D234F9" w:rsidRPr="00643DCF">
        <w:rPr>
          <w:sz w:val="28"/>
          <w:szCs w:val="28"/>
        </w:rPr>
        <w:t>. M</w:t>
      </w:r>
      <w:r w:rsidR="006C6B21" w:rsidRPr="00643DCF">
        <w:rPr>
          <w:sz w:val="28"/>
          <w:szCs w:val="28"/>
        </w:rPr>
        <w:t>encion</w:t>
      </w:r>
      <w:r w:rsidR="00D234F9" w:rsidRPr="00643DCF">
        <w:rPr>
          <w:sz w:val="28"/>
          <w:szCs w:val="28"/>
        </w:rPr>
        <w:t>ó</w:t>
      </w:r>
      <w:r w:rsidR="006C6B21" w:rsidRPr="00643DCF">
        <w:rPr>
          <w:sz w:val="28"/>
          <w:szCs w:val="28"/>
        </w:rPr>
        <w:t xml:space="preserve"> </w:t>
      </w:r>
      <w:r w:rsidR="00376576" w:rsidRPr="00643DCF">
        <w:rPr>
          <w:sz w:val="28"/>
          <w:szCs w:val="28"/>
        </w:rPr>
        <w:t xml:space="preserve">que con dichas actuaciones el CSJ está cumpliendo con el cometido final de la orden, poniendo a disposición de los ciudadanos y de los jueces la jurisprudencia constitucional y el estado del arte en materia de seguimiento. </w:t>
      </w:r>
    </w:p>
    <w:p w14:paraId="61C2F2D0" w14:textId="77777777" w:rsidR="00376576" w:rsidRPr="00643DCF" w:rsidRDefault="00376576" w:rsidP="000C2A40">
      <w:pPr>
        <w:pStyle w:val="Prrafodelista"/>
        <w:rPr>
          <w:sz w:val="28"/>
          <w:szCs w:val="28"/>
        </w:rPr>
      </w:pPr>
    </w:p>
    <w:p w14:paraId="7D293E49" w14:textId="7B255C2C" w:rsidR="006A4D3E" w:rsidRPr="00643DCF" w:rsidRDefault="00244B92" w:rsidP="00FB31C7">
      <w:pPr>
        <w:pStyle w:val="Prrafodelista"/>
        <w:widowControl w:val="0"/>
        <w:tabs>
          <w:tab w:val="left" w:pos="284"/>
          <w:tab w:val="left" w:pos="426"/>
        </w:tabs>
        <w:autoSpaceDE w:val="0"/>
        <w:autoSpaceDN w:val="0"/>
        <w:adjustRightInd w:val="0"/>
        <w:ind w:left="0"/>
        <w:jc w:val="both"/>
        <w:rPr>
          <w:sz w:val="28"/>
          <w:szCs w:val="28"/>
        </w:rPr>
      </w:pPr>
      <w:r w:rsidRPr="00643DCF">
        <w:rPr>
          <w:sz w:val="28"/>
          <w:szCs w:val="28"/>
        </w:rPr>
        <w:t>4</w:t>
      </w:r>
      <w:r w:rsidR="00BD6689" w:rsidRPr="00643DCF">
        <w:rPr>
          <w:sz w:val="28"/>
          <w:szCs w:val="28"/>
        </w:rPr>
        <w:t>7</w:t>
      </w:r>
      <w:r w:rsidRPr="00643DCF">
        <w:rPr>
          <w:sz w:val="28"/>
          <w:szCs w:val="28"/>
        </w:rPr>
        <w:t xml:space="preserve">. </w:t>
      </w:r>
      <w:r w:rsidR="00376576" w:rsidRPr="00643DCF">
        <w:rPr>
          <w:sz w:val="28"/>
          <w:szCs w:val="28"/>
        </w:rPr>
        <w:t xml:space="preserve">Así mismo </w:t>
      </w:r>
      <w:r w:rsidR="00C72774" w:rsidRPr="00643DCF">
        <w:rPr>
          <w:sz w:val="28"/>
          <w:szCs w:val="28"/>
        </w:rPr>
        <w:t xml:space="preserve">resaltó </w:t>
      </w:r>
      <w:r w:rsidR="00376576" w:rsidRPr="00643DCF">
        <w:rPr>
          <w:sz w:val="28"/>
          <w:szCs w:val="28"/>
        </w:rPr>
        <w:t xml:space="preserve">que </w:t>
      </w:r>
      <w:r w:rsidR="00BE6EC8" w:rsidRPr="00643DCF">
        <w:rPr>
          <w:sz w:val="28"/>
          <w:szCs w:val="28"/>
        </w:rPr>
        <w:t xml:space="preserve">implementó </w:t>
      </w:r>
      <w:r w:rsidR="00376576" w:rsidRPr="00643DCF">
        <w:rPr>
          <w:sz w:val="28"/>
          <w:szCs w:val="28"/>
        </w:rPr>
        <w:t xml:space="preserve">la capacitación permanente de los servidores judiciales en el área de derecho </w:t>
      </w:r>
      <w:r w:rsidR="00EE5066" w:rsidRPr="00643DCF">
        <w:rPr>
          <w:sz w:val="28"/>
          <w:szCs w:val="28"/>
        </w:rPr>
        <w:t>c</w:t>
      </w:r>
      <w:r w:rsidR="00376576" w:rsidRPr="00643DCF">
        <w:rPr>
          <w:sz w:val="28"/>
          <w:szCs w:val="28"/>
        </w:rPr>
        <w:t xml:space="preserve">onstitucional, </w:t>
      </w:r>
      <w:r w:rsidR="00BE6EC8" w:rsidRPr="00643DCF">
        <w:rPr>
          <w:sz w:val="28"/>
          <w:szCs w:val="28"/>
        </w:rPr>
        <w:t>que contiene un</w:t>
      </w:r>
      <w:r w:rsidR="00376576" w:rsidRPr="00643DCF">
        <w:rPr>
          <w:sz w:val="28"/>
          <w:szCs w:val="28"/>
        </w:rPr>
        <w:t xml:space="preserve"> eje temático sobre el “</w:t>
      </w:r>
      <w:r w:rsidR="00376576" w:rsidRPr="009525E5">
        <w:rPr>
          <w:i/>
          <w:sz w:val="28"/>
          <w:szCs w:val="28"/>
        </w:rPr>
        <w:t>derecho fundamental a la salud</w:t>
      </w:r>
      <w:r w:rsidR="00376576" w:rsidRPr="00643DCF">
        <w:rPr>
          <w:sz w:val="28"/>
          <w:szCs w:val="28"/>
        </w:rPr>
        <w:t xml:space="preserve">” </w:t>
      </w:r>
      <w:r w:rsidR="00BE6EC8" w:rsidRPr="00643DCF">
        <w:rPr>
          <w:sz w:val="28"/>
          <w:szCs w:val="28"/>
        </w:rPr>
        <w:t xml:space="preserve">e </w:t>
      </w:r>
      <w:r w:rsidR="00376576" w:rsidRPr="00643DCF">
        <w:rPr>
          <w:sz w:val="28"/>
          <w:szCs w:val="28"/>
        </w:rPr>
        <w:t>incluye el análisis de la sentencia de la referencia y sus correspondientes autos de seguimiento</w:t>
      </w:r>
      <w:r w:rsidR="00BE6EC8" w:rsidRPr="00643DCF">
        <w:rPr>
          <w:sz w:val="28"/>
          <w:szCs w:val="28"/>
        </w:rPr>
        <w:t>;</w:t>
      </w:r>
      <w:r w:rsidR="00376576" w:rsidRPr="00643DCF">
        <w:rPr>
          <w:sz w:val="28"/>
          <w:szCs w:val="28"/>
        </w:rPr>
        <w:t xml:space="preserve"> </w:t>
      </w:r>
      <w:r w:rsidR="00BE6EC8" w:rsidRPr="00643DCF">
        <w:rPr>
          <w:sz w:val="28"/>
          <w:szCs w:val="28"/>
        </w:rPr>
        <w:t xml:space="preserve">en concreto </w:t>
      </w:r>
      <w:r w:rsidR="00376576" w:rsidRPr="00643DCF">
        <w:rPr>
          <w:sz w:val="28"/>
          <w:szCs w:val="28"/>
        </w:rPr>
        <w:t xml:space="preserve">para el periodo en mención </w:t>
      </w:r>
      <w:r w:rsidR="005344FF" w:rsidRPr="00643DCF">
        <w:rPr>
          <w:sz w:val="28"/>
          <w:szCs w:val="28"/>
        </w:rPr>
        <w:t xml:space="preserve">indicó </w:t>
      </w:r>
      <w:r w:rsidR="00BE6EC8" w:rsidRPr="00643DCF">
        <w:rPr>
          <w:sz w:val="28"/>
          <w:szCs w:val="28"/>
        </w:rPr>
        <w:t>que</w:t>
      </w:r>
      <w:r w:rsidR="00376576" w:rsidRPr="00643DCF">
        <w:rPr>
          <w:sz w:val="28"/>
          <w:szCs w:val="28"/>
        </w:rPr>
        <w:t xml:space="preserve"> realizaron dos cursos de formación judicial</w:t>
      </w:r>
      <w:r w:rsidR="00B47362" w:rsidRPr="00643DCF">
        <w:rPr>
          <w:sz w:val="28"/>
          <w:szCs w:val="28"/>
        </w:rPr>
        <w:t xml:space="preserve"> en la ciudad de Armenia y Bogotá, en los que se capacitaron a 127 funcionarios judiciales. </w:t>
      </w:r>
      <w:r w:rsidR="00794751" w:rsidRPr="00643DCF">
        <w:rPr>
          <w:sz w:val="28"/>
          <w:szCs w:val="28"/>
        </w:rPr>
        <w:t>Finalmente s</w:t>
      </w:r>
      <w:r w:rsidR="00BE6EC8" w:rsidRPr="00643DCF">
        <w:rPr>
          <w:sz w:val="28"/>
          <w:szCs w:val="28"/>
        </w:rPr>
        <w:t xml:space="preserve">olicitó a la Corte </w:t>
      </w:r>
      <w:r w:rsidR="00535C12" w:rsidRPr="00643DCF">
        <w:rPr>
          <w:sz w:val="28"/>
          <w:szCs w:val="28"/>
        </w:rPr>
        <w:t xml:space="preserve">poder </w:t>
      </w:r>
      <w:r w:rsidR="00BE6EC8" w:rsidRPr="00643DCF">
        <w:rPr>
          <w:sz w:val="28"/>
          <w:szCs w:val="28"/>
        </w:rPr>
        <w:t xml:space="preserve">presentar el informe cada seis meses, con el fin de contar con tiempo adicional para planear las jornadas </w:t>
      </w:r>
      <w:r w:rsidR="00BE6EC8" w:rsidRPr="00643DCF">
        <w:rPr>
          <w:sz w:val="28"/>
          <w:szCs w:val="28"/>
        </w:rPr>
        <w:lastRenderedPageBreak/>
        <w:t xml:space="preserve">de capacitación que se deberán incluir en el </w:t>
      </w:r>
      <w:r w:rsidR="005344FF" w:rsidRPr="00643DCF">
        <w:rPr>
          <w:sz w:val="28"/>
          <w:szCs w:val="28"/>
        </w:rPr>
        <w:t>p</w:t>
      </w:r>
      <w:r w:rsidR="00BE6EC8" w:rsidRPr="00643DCF">
        <w:rPr>
          <w:sz w:val="28"/>
          <w:szCs w:val="28"/>
        </w:rPr>
        <w:t xml:space="preserve">lan de </w:t>
      </w:r>
      <w:r w:rsidR="005344FF" w:rsidRPr="00643DCF">
        <w:rPr>
          <w:sz w:val="28"/>
          <w:szCs w:val="28"/>
        </w:rPr>
        <w:t>f</w:t>
      </w:r>
      <w:r w:rsidR="00BE6EC8" w:rsidRPr="00643DCF">
        <w:rPr>
          <w:sz w:val="28"/>
          <w:szCs w:val="28"/>
        </w:rPr>
        <w:t>or</w:t>
      </w:r>
      <w:r w:rsidR="008808B3" w:rsidRPr="00643DCF">
        <w:rPr>
          <w:sz w:val="28"/>
          <w:szCs w:val="28"/>
        </w:rPr>
        <w:t>mación de la escuela judicial del año 2018</w:t>
      </w:r>
      <w:r w:rsidR="0025336A" w:rsidRPr="00643DCF">
        <w:rPr>
          <w:sz w:val="28"/>
          <w:szCs w:val="28"/>
        </w:rPr>
        <w:t>, el cual depende del presupuesto anual asignado a la Rama Judicial</w:t>
      </w:r>
      <w:r w:rsidR="008808B3" w:rsidRPr="00643DCF">
        <w:rPr>
          <w:sz w:val="28"/>
          <w:szCs w:val="28"/>
        </w:rPr>
        <w:t>.</w:t>
      </w:r>
    </w:p>
    <w:p w14:paraId="2A239885" w14:textId="77777777" w:rsidR="00A973F5" w:rsidRPr="00643DCF" w:rsidRDefault="00A973F5" w:rsidP="00FB31C7">
      <w:pPr>
        <w:pStyle w:val="Prrafodelista"/>
        <w:widowControl w:val="0"/>
        <w:tabs>
          <w:tab w:val="left" w:pos="284"/>
          <w:tab w:val="left" w:pos="426"/>
        </w:tabs>
        <w:autoSpaceDE w:val="0"/>
        <w:autoSpaceDN w:val="0"/>
        <w:adjustRightInd w:val="0"/>
        <w:ind w:left="0"/>
        <w:jc w:val="both"/>
        <w:rPr>
          <w:sz w:val="28"/>
          <w:szCs w:val="28"/>
        </w:rPr>
      </w:pPr>
    </w:p>
    <w:p w14:paraId="2C630F0A" w14:textId="6B303BD4" w:rsidR="00D62F56" w:rsidRPr="00643DCF" w:rsidRDefault="006E3914">
      <w:pPr>
        <w:widowControl w:val="0"/>
        <w:tabs>
          <w:tab w:val="left" w:pos="426"/>
        </w:tabs>
        <w:autoSpaceDE w:val="0"/>
        <w:autoSpaceDN w:val="0"/>
        <w:adjustRightInd w:val="0"/>
        <w:jc w:val="both"/>
        <w:rPr>
          <w:sz w:val="28"/>
          <w:szCs w:val="28"/>
        </w:rPr>
      </w:pPr>
      <w:r w:rsidRPr="00643DCF">
        <w:rPr>
          <w:sz w:val="28"/>
          <w:szCs w:val="28"/>
        </w:rPr>
        <w:t>4</w:t>
      </w:r>
      <w:r w:rsidR="00BD6689" w:rsidRPr="00643DCF">
        <w:rPr>
          <w:sz w:val="28"/>
          <w:szCs w:val="28"/>
        </w:rPr>
        <w:t>8</w:t>
      </w:r>
      <w:r w:rsidR="000B1478" w:rsidRPr="00643DCF">
        <w:rPr>
          <w:sz w:val="28"/>
          <w:szCs w:val="28"/>
        </w:rPr>
        <w:t xml:space="preserve">. </w:t>
      </w:r>
      <w:r w:rsidR="00A973F5" w:rsidRPr="00643DCF">
        <w:rPr>
          <w:sz w:val="28"/>
          <w:szCs w:val="28"/>
        </w:rPr>
        <w:t>El 6 de agosto de 2018</w:t>
      </w:r>
      <w:r w:rsidR="00A973F5" w:rsidRPr="00643DCF">
        <w:rPr>
          <w:rStyle w:val="Refdenotaalpie"/>
          <w:sz w:val="28"/>
          <w:szCs w:val="28"/>
        </w:rPr>
        <w:footnoteReference w:id="80"/>
      </w:r>
      <w:r w:rsidR="00A973F5" w:rsidRPr="00643DCF">
        <w:rPr>
          <w:sz w:val="28"/>
          <w:szCs w:val="28"/>
        </w:rPr>
        <w:t xml:space="preserve"> el CSJ </w:t>
      </w:r>
      <w:r w:rsidR="005344FF" w:rsidRPr="00643DCF">
        <w:rPr>
          <w:sz w:val="28"/>
          <w:szCs w:val="28"/>
        </w:rPr>
        <w:t>entregó el reporte</w:t>
      </w:r>
      <w:r w:rsidR="00794751" w:rsidRPr="00643DCF">
        <w:rPr>
          <w:sz w:val="28"/>
          <w:szCs w:val="28"/>
        </w:rPr>
        <w:t xml:space="preserve"> del periodo comprendido entre el 1º de abril y el 31 de julio de 2018, </w:t>
      </w:r>
      <w:r w:rsidR="00B6470D" w:rsidRPr="00643DCF">
        <w:rPr>
          <w:sz w:val="28"/>
          <w:szCs w:val="28"/>
        </w:rPr>
        <w:t xml:space="preserve">anunció </w:t>
      </w:r>
      <w:r w:rsidR="00A973F5" w:rsidRPr="00643DCF">
        <w:rPr>
          <w:sz w:val="28"/>
          <w:szCs w:val="28"/>
        </w:rPr>
        <w:t xml:space="preserve">los avances alcanzados en relación con la divulgación de la </w:t>
      </w:r>
      <w:r w:rsidR="00C738B5" w:rsidRPr="00643DCF">
        <w:rPr>
          <w:sz w:val="28"/>
          <w:szCs w:val="28"/>
        </w:rPr>
        <w:t>s</w:t>
      </w:r>
      <w:r w:rsidR="00A973F5" w:rsidRPr="00643DCF">
        <w:rPr>
          <w:sz w:val="28"/>
          <w:szCs w:val="28"/>
        </w:rPr>
        <w:t>entencia T-760 de 2008 y</w:t>
      </w:r>
      <w:r w:rsidR="006B46BC" w:rsidRPr="00643DCF">
        <w:rPr>
          <w:sz w:val="28"/>
          <w:szCs w:val="28"/>
        </w:rPr>
        <w:t xml:space="preserve"> la</w:t>
      </w:r>
      <w:r w:rsidR="00A973F5" w:rsidRPr="00643DCF">
        <w:rPr>
          <w:sz w:val="28"/>
          <w:szCs w:val="28"/>
        </w:rPr>
        <w:t xml:space="preserve"> capacitación de servidores judiciales</w:t>
      </w:r>
      <w:r w:rsidR="00794751" w:rsidRPr="00643DCF">
        <w:rPr>
          <w:sz w:val="28"/>
          <w:szCs w:val="28"/>
        </w:rPr>
        <w:t>, dentro de los que destacó las siguientes acciones</w:t>
      </w:r>
      <w:r w:rsidR="00FA72D1" w:rsidRPr="00643DCF">
        <w:rPr>
          <w:sz w:val="28"/>
          <w:szCs w:val="28"/>
        </w:rPr>
        <w:t>:</w:t>
      </w:r>
      <w:r w:rsidR="00A973F5" w:rsidRPr="00643DCF">
        <w:rPr>
          <w:sz w:val="28"/>
          <w:szCs w:val="28"/>
        </w:rPr>
        <w:t xml:space="preserve"> </w:t>
      </w:r>
      <w:r w:rsidR="00FA72D1" w:rsidRPr="00643DCF">
        <w:rPr>
          <w:i/>
          <w:sz w:val="28"/>
          <w:szCs w:val="28"/>
        </w:rPr>
        <w:t>(</w:t>
      </w:r>
      <w:r w:rsidR="00A973F5" w:rsidRPr="00643DCF">
        <w:rPr>
          <w:i/>
          <w:sz w:val="28"/>
          <w:szCs w:val="28"/>
        </w:rPr>
        <w:t>i)</w:t>
      </w:r>
      <w:r w:rsidR="00A973F5" w:rsidRPr="00643DCF">
        <w:rPr>
          <w:sz w:val="28"/>
          <w:szCs w:val="28"/>
        </w:rPr>
        <w:t xml:space="preserve"> el seminario denominado </w:t>
      </w:r>
      <w:r w:rsidR="00A973F5" w:rsidRPr="00643DCF">
        <w:rPr>
          <w:i/>
          <w:sz w:val="28"/>
          <w:szCs w:val="28"/>
        </w:rPr>
        <w:t xml:space="preserve">“Acción de tutela y derecho fundamental a la salud T-760 de 2008”, </w:t>
      </w:r>
      <w:r w:rsidR="00A973F5" w:rsidRPr="00643DCF">
        <w:rPr>
          <w:sz w:val="28"/>
          <w:szCs w:val="28"/>
        </w:rPr>
        <w:t xml:space="preserve">actividad que fue trasmitida vía </w:t>
      </w:r>
      <w:r w:rsidR="00A973F5" w:rsidRPr="00643DCF">
        <w:rPr>
          <w:i/>
          <w:sz w:val="28"/>
          <w:szCs w:val="28"/>
        </w:rPr>
        <w:t>streaming</w:t>
      </w:r>
      <w:r w:rsidR="00A973F5" w:rsidRPr="00643DCF">
        <w:rPr>
          <w:sz w:val="28"/>
          <w:szCs w:val="28"/>
        </w:rPr>
        <w:t xml:space="preserve"> con el fin de llegar a un </w:t>
      </w:r>
      <w:r w:rsidR="007E06EB" w:rsidRPr="00643DCF">
        <w:rPr>
          <w:sz w:val="28"/>
          <w:szCs w:val="28"/>
        </w:rPr>
        <w:t>número</w:t>
      </w:r>
      <w:r w:rsidR="00A973F5" w:rsidRPr="00643DCF">
        <w:rPr>
          <w:sz w:val="28"/>
          <w:szCs w:val="28"/>
        </w:rPr>
        <w:t xml:space="preserve"> mayor de servidores judiciales en otras regiones del pa</w:t>
      </w:r>
      <w:r w:rsidR="007E06EB" w:rsidRPr="00643DCF">
        <w:rPr>
          <w:sz w:val="28"/>
          <w:szCs w:val="28"/>
        </w:rPr>
        <w:t xml:space="preserve">ís; </w:t>
      </w:r>
      <w:r w:rsidR="00FA72D1" w:rsidRPr="00643DCF">
        <w:rPr>
          <w:i/>
          <w:sz w:val="28"/>
          <w:szCs w:val="28"/>
        </w:rPr>
        <w:t>(</w:t>
      </w:r>
      <w:r w:rsidR="007E06EB" w:rsidRPr="00643DCF">
        <w:rPr>
          <w:i/>
          <w:sz w:val="28"/>
          <w:szCs w:val="28"/>
        </w:rPr>
        <w:t>ii)</w:t>
      </w:r>
      <w:r w:rsidR="00794751" w:rsidRPr="00643DCF">
        <w:rPr>
          <w:sz w:val="28"/>
          <w:szCs w:val="28"/>
        </w:rPr>
        <w:t xml:space="preserve"> diversas actividades de difusión y la actualización del micrositio que contiene : “</w:t>
      </w:r>
      <w:r w:rsidR="00794751" w:rsidRPr="00643DCF">
        <w:rPr>
          <w:i/>
          <w:sz w:val="28"/>
          <w:szCs w:val="28"/>
        </w:rPr>
        <w:t>Todos los autos de seguimiento, genéricos y específicos, normatividad y doctrina en materia de salud, informes de seguimiento, publicaciones realizadas por el CENDOJ sobre la sentencia estructural, inspecciones judiciales, videoteca, en la que se encuentran los programas de divulgación”</w:t>
      </w:r>
      <w:r w:rsidR="00794751" w:rsidRPr="00643DCF">
        <w:rPr>
          <w:sz w:val="28"/>
          <w:szCs w:val="28"/>
        </w:rPr>
        <w:t xml:space="preserve"> </w:t>
      </w:r>
      <w:r w:rsidR="00FA72D1" w:rsidRPr="00643DCF">
        <w:rPr>
          <w:sz w:val="28"/>
          <w:szCs w:val="28"/>
        </w:rPr>
        <w:t>e</w:t>
      </w:r>
      <w:r w:rsidRPr="00643DCF">
        <w:rPr>
          <w:sz w:val="28"/>
          <w:szCs w:val="28"/>
        </w:rPr>
        <w:t>,</w:t>
      </w:r>
      <w:r w:rsidR="00E67E7E" w:rsidRPr="00643DCF">
        <w:rPr>
          <w:sz w:val="28"/>
          <w:szCs w:val="28"/>
        </w:rPr>
        <w:t xml:space="preserve"> </w:t>
      </w:r>
      <w:r w:rsidR="00FA72D1" w:rsidRPr="00643DCF">
        <w:rPr>
          <w:i/>
          <w:sz w:val="28"/>
          <w:szCs w:val="28"/>
        </w:rPr>
        <w:t>(</w:t>
      </w:r>
      <w:r w:rsidR="00E67E7E" w:rsidRPr="00643DCF">
        <w:rPr>
          <w:i/>
          <w:sz w:val="28"/>
          <w:szCs w:val="28"/>
        </w:rPr>
        <w:t>iii)</w:t>
      </w:r>
      <w:r w:rsidR="00E67E7E" w:rsidRPr="00643DCF">
        <w:rPr>
          <w:sz w:val="28"/>
          <w:szCs w:val="28"/>
        </w:rPr>
        <w:t xml:space="preserve"> informó que </w:t>
      </w:r>
      <w:r w:rsidR="007E06EB" w:rsidRPr="00643DCF">
        <w:rPr>
          <w:sz w:val="28"/>
          <w:szCs w:val="28"/>
        </w:rPr>
        <w:t xml:space="preserve">en el plan de </w:t>
      </w:r>
      <w:r w:rsidR="00744C4B">
        <w:rPr>
          <w:sz w:val="28"/>
          <w:szCs w:val="28"/>
        </w:rPr>
        <w:t>capacitación</w:t>
      </w:r>
      <w:r w:rsidR="00744C4B" w:rsidRPr="00643DCF">
        <w:rPr>
          <w:sz w:val="28"/>
          <w:szCs w:val="28"/>
        </w:rPr>
        <w:t xml:space="preserve"> </w:t>
      </w:r>
      <w:r w:rsidR="007E06EB" w:rsidRPr="00643DCF">
        <w:rPr>
          <w:sz w:val="28"/>
          <w:szCs w:val="28"/>
        </w:rPr>
        <w:t xml:space="preserve">vigencia 2018 </w:t>
      </w:r>
      <w:r w:rsidR="00794751" w:rsidRPr="00643DCF">
        <w:rPr>
          <w:sz w:val="28"/>
          <w:szCs w:val="28"/>
        </w:rPr>
        <w:t xml:space="preserve">tiene </w:t>
      </w:r>
      <w:r w:rsidR="00FA72D1" w:rsidRPr="00643DCF">
        <w:rPr>
          <w:sz w:val="28"/>
          <w:szCs w:val="28"/>
        </w:rPr>
        <w:t>proyectado</w:t>
      </w:r>
      <w:r w:rsidR="00794751" w:rsidRPr="00643DCF">
        <w:rPr>
          <w:sz w:val="28"/>
          <w:szCs w:val="28"/>
        </w:rPr>
        <w:t xml:space="preserve"> realizar </w:t>
      </w:r>
      <w:r w:rsidR="007E06EB" w:rsidRPr="00643DCF">
        <w:rPr>
          <w:sz w:val="28"/>
          <w:szCs w:val="28"/>
        </w:rPr>
        <w:t>diplomados</w:t>
      </w:r>
      <w:r w:rsidR="00794751" w:rsidRPr="00643DCF">
        <w:rPr>
          <w:sz w:val="28"/>
          <w:szCs w:val="28"/>
        </w:rPr>
        <w:t xml:space="preserve"> y la virtualización de la </w:t>
      </w:r>
      <w:r w:rsidR="00744C4B" w:rsidRPr="00643DCF">
        <w:rPr>
          <w:sz w:val="28"/>
          <w:szCs w:val="28"/>
        </w:rPr>
        <w:t>formación</w:t>
      </w:r>
      <w:r w:rsidR="00794751" w:rsidRPr="00643DCF">
        <w:rPr>
          <w:sz w:val="28"/>
          <w:szCs w:val="28"/>
        </w:rPr>
        <w:t xml:space="preserve"> judicial,</w:t>
      </w:r>
      <w:r w:rsidR="007E06EB" w:rsidRPr="00643DCF">
        <w:rPr>
          <w:sz w:val="28"/>
          <w:szCs w:val="28"/>
        </w:rPr>
        <w:t xml:space="preserve"> con el fin de profundizar en las temáticas jurídicas, para lo cual la dirección ejecutiva de administración judicial está adelantando el proceso contractual y la selección del operador logístico</w:t>
      </w:r>
      <w:r w:rsidR="00E67E7E" w:rsidRPr="00643DCF">
        <w:rPr>
          <w:sz w:val="28"/>
          <w:szCs w:val="28"/>
        </w:rPr>
        <w:t>.</w:t>
      </w:r>
    </w:p>
    <w:p w14:paraId="3BD5819B" w14:textId="77777777" w:rsidR="00D62F56" w:rsidRPr="00643DCF" w:rsidRDefault="00D62F56">
      <w:pPr>
        <w:widowControl w:val="0"/>
        <w:tabs>
          <w:tab w:val="left" w:pos="426"/>
        </w:tabs>
        <w:autoSpaceDE w:val="0"/>
        <w:autoSpaceDN w:val="0"/>
        <w:adjustRightInd w:val="0"/>
        <w:jc w:val="both"/>
        <w:rPr>
          <w:sz w:val="28"/>
          <w:szCs w:val="28"/>
        </w:rPr>
      </w:pPr>
    </w:p>
    <w:p w14:paraId="30CAB0DA" w14:textId="661A1DDD" w:rsidR="00A973F5" w:rsidRPr="00643DCF" w:rsidRDefault="006E3914">
      <w:pPr>
        <w:widowControl w:val="0"/>
        <w:tabs>
          <w:tab w:val="left" w:pos="426"/>
        </w:tabs>
        <w:autoSpaceDE w:val="0"/>
        <w:autoSpaceDN w:val="0"/>
        <w:adjustRightInd w:val="0"/>
        <w:jc w:val="both"/>
        <w:rPr>
          <w:sz w:val="28"/>
          <w:szCs w:val="28"/>
        </w:rPr>
      </w:pPr>
      <w:r w:rsidRPr="00643DCF">
        <w:rPr>
          <w:sz w:val="28"/>
          <w:szCs w:val="28"/>
        </w:rPr>
        <w:t>4</w:t>
      </w:r>
      <w:r w:rsidR="00BD6689" w:rsidRPr="00643DCF">
        <w:rPr>
          <w:sz w:val="28"/>
          <w:szCs w:val="28"/>
        </w:rPr>
        <w:t>9</w:t>
      </w:r>
      <w:r w:rsidR="000B1478" w:rsidRPr="00643DCF">
        <w:rPr>
          <w:sz w:val="28"/>
          <w:szCs w:val="28"/>
        </w:rPr>
        <w:t xml:space="preserve">. </w:t>
      </w:r>
      <w:r w:rsidR="00D62F56" w:rsidRPr="00643DCF">
        <w:rPr>
          <w:sz w:val="28"/>
          <w:szCs w:val="28"/>
        </w:rPr>
        <w:t xml:space="preserve">Por último, el 4 de diciembre de la misma anualidad, el CSJ allegó </w:t>
      </w:r>
      <w:r w:rsidR="00714BAB" w:rsidRPr="00643DCF">
        <w:rPr>
          <w:sz w:val="28"/>
          <w:szCs w:val="28"/>
        </w:rPr>
        <w:t xml:space="preserve">informe de cumplimiento </w:t>
      </w:r>
      <w:r w:rsidR="003A2D23" w:rsidRPr="00643DCF">
        <w:rPr>
          <w:sz w:val="28"/>
          <w:szCs w:val="28"/>
        </w:rPr>
        <w:t>de los periodos comprendidos entre el 1</w:t>
      </w:r>
      <w:r w:rsidR="009525E5">
        <w:rPr>
          <w:sz w:val="28"/>
          <w:szCs w:val="28"/>
        </w:rPr>
        <w:t xml:space="preserve">º </w:t>
      </w:r>
      <w:r w:rsidR="003A2D23" w:rsidRPr="00643DCF">
        <w:rPr>
          <w:sz w:val="28"/>
          <w:szCs w:val="28"/>
        </w:rPr>
        <w:t xml:space="preserve">de agosto al 30 de noviembre de 2018, señalando haber realizado las siguientes actividades: </w:t>
      </w:r>
      <w:r w:rsidR="00FA72D1" w:rsidRPr="00643DCF">
        <w:rPr>
          <w:i/>
          <w:sz w:val="28"/>
          <w:szCs w:val="28"/>
        </w:rPr>
        <w:t>(</w:t>
      </w:r>
      <w:r w:rsidR="003A2D23" w:rsidRPr="00643DCF">
        <w:rPr>
          <w:i/>
          <w:sz w:val="28"/>
          <w:szCs w:val="28"/>
        </w:rPr>
        <w:t>i)</w:t>
      </w:r>
      <w:r w:rsidR="000312DD" w:rsidRPr="00643DCF">
        <w:rPr>
          <w:sz w:val="28"/>
          <w:szCs w:val="28"/>
        </w:rPr>
        <w:t xml:space="preserve"> </w:t>
      </w:r>
      <w:r w:rsidR="00BF768B" w:rsidRPr="00643DCF">
        <w:rPr>
          <w:sz w:val="28"/>
          <w:szCs w:val="28"/>
        </w:rPr>
        <w:t>conversatorios/taller de formación en</w:t>
      </w:r>
      <w:r w:rsidR="00FA72D1" w:rsidRPr="00643DCF">
        <w:rPr>
          <w:sz w:val="28"/>
          <w:szCs w:val="28"/>
        </w:rPr>
        <w:t xml:space="preserve"> derecho a la salud dirigido a magistrados, j</w:t>
      </w:r>
      <w:r w:rsidR="00BF768B" w:rsidRPr="00643DCF">
        <w:rPr>
          <w:sz w:val="28"/>
          <w:szCs w:val="28"/>
        </w:rPr>
        <w:t>ueces y empleados con funciones jurídicas, realizado por</w:t>
      </w:r>
      <w:r w:rsidR="006003DC" w:rsidRPr="00643DCF">
        <w:rPr>
          <w:sz w:val="28"/>
          <w:szCs w:val="28"/>
        </w:rPr>
        <w:t xml:space="preserve"> la Escuela Judicial Rodrigo Lara Bonilla</w:t>
      </w:r>
      <w:r w:rsidR="00C92F29" w:rsidRPr="00643DCF">
        <w:rPr>
          <w:sz w:val="28"/>
          <w:szCs w:val="28"/>
        </w:rPr>
        <w:t xml:space="preserve">, </w:t>
      </w:r>
      <w:r w:rsidR="00FA72D1" w:rsidRPr="00643DCF">
        <w:rPr>
          <w:i/>
          <w:sz w:val="28"/>
          <w:szCs w:val="28"/>
        </w:rPr>
        <w:t>(</w:t>
      </w:r>
      <w:r w:rsidR="000312DD" w:rsidRPr="00643DCF">
        <w:rPr>
          <w:i/>
          <w:sz w:val="28"/>
          <w:szCs w:val="28"/>
        </w:rPr>
        <w:t>ii)</w:t>
      </w:r>
      <w:r w:rsidR="000312DD" w:rsidRPr="00643DCF">
        <w:rPr>
          <w:sz w:val="28"/>
          <w:szCs w:val="28"/>
        </w:rPr>
        <w:t xml:space="preserve"> </w:t>
      </w:r>
      <w:r w:rsidR="00C92F29" w:rsidRPr="00643DCF">
        <w:rPr>
          <w:sz w:val="28"/>
          <w:szCs w:val="28"/>
        </w:rPr>
        <w:t xml:space="preserve">actividades de divulgación </w:t>
      </w:r>
      <w:r w:rsidR="00FA72D1" w:rsidRPr="00643DCF">
        <w:rPr>
          <w:sz w:val="28"/>
          <w:szCs w:val="28"/>
        </w:rPr>
        <w:t xml:space="preserve">desarrolladas </w:t>
      </w:r>
      <w:r w:rsidR="00C92F29" w:rsidRPr="00643DCF">
        <w:rPr>
          <w:sz w:val="28"/>
          <w:szCs w:val="28"/>
        </w:rPr>
        <w:t xml:space="preserve">por el CSJ a través del </w:t>
      </w:r>
      <w:r w:rsidR="00672BA2" w:rsidRPr="00643DCF">
        <w:rPr>
          <w:sz w:val="28"/>
          <w:szCs w:val="28"/>
        </w:rPr>
        <w:t>Cendoj</w:t>
      </w:r>
      <w:r w:rsidRPr="00643DCF">
        <w:rPr>
          <w:sz w:val="28"/>
          <w:szCs w:val="28"/>
        </w:rPr>
        <w:t>,</w:t>
      </w:r>
      <w:r w:rsidR="00F117AB" w:rsidRPr="00643DCF">
        <w:rPr>
          <w:sz w:val="28"/>
          <w:szCs w:val="28"/>
        </w:rPr>
        <w:t xml:space="preserve"> de </w:t>
      </w:r>
      <w:r w:rsidR="00E07C84" w:rsidRPr="00643DCF">
        <w:rPr>
          <w:sz w:val="28"/>
          <w:szCs w:val="28"/>
        </w:rPr>
        <w:t>implementación del mi</w:t>
      </w:r>
      <w:r w:rsidR="00F117AB" w:rsidRPr="00643DCF">
        <w:rPr>
          <w:sz w:val="28"/>
          <w:szCs w:val="28"/>
        </w:rPr>
        <w:t>crositio especial y destacado en el portal web de la Rama Judicial</w:t>
      </w:r>
      <w:r w:rsidR="00E1579C" w:rsidRPr="00643DCF">
        <w:rPr>
          <w:sz w:val="28"/>
          <w:szCs w:val="28"/>
        </w:rPr>
        <w:t>, el cual se actualiza de forma permanente con los autos genéricos y específicos</w:t>
      </w:r>
      <w:r w:rsidR="004E03CD" w:rsidRPr="00643DCF">
        <w:rPr>
          <w:sz w:val="28"/>
          <w:szCs w:val="28"/>
        </w:rPr>
        <w:t>,</w:t>
      </w:r>
      <w:r w:rsidR="00FD0803" w:rsidRPr="00643DCF">
        <w:rPr>
          <w:sz w:val="28"/>
          <w:szCs w:val="28"/>
        </w:rPr>
        <w:t xml:space="preserve"> la</w:t>
      </w:r>
      <w:r w:rsidR="004E03CD" w:rsidRPr="00643DCF">
        <w:rPr>
          <w:sz w:val="28"/>
          <w:szCs w:val="28"/>
        </w:rPr>
        <w:t xml:space="preserve"> </w:t>
      </w:r>
      <w:r w:rsidR="00FE6828" w:rsidRPr="00643DCF">
        <w:rPr>
          <w:sz w:val="28"/>
          <w:szCs w:val="28"/>
        </w:rPr>
        <w:t xml:space="preserve">publicación de </w:t>
      </w:r>
      <w:r w:rsidR="004E03CD" w:rsidRPr="00643DCF">
        <w:rPr>
          <w:sz w:val="28"/>
          <w:szCs w:val="28"/>
        </w:rPr>
        <w:t>la normatividad y doctrina</w:t>
      </w:r>
      <w:r w:rsidR="00FA72D1" w:rsidRPr="00643DCF">
        <w:rPr>
          <w:sz w:val="28"/>
          <w:szCs w:val="28"/>
        </w:rPr>
        <w:t xml:space="preserve">, </w:t>
      </w:r>
      <w:r w:rsidR="00FD0803" w:rsidRPr="00643DCF">
        <w:rPr>
          <w:sz w:val="28"/>
          <w:szCs w:val="28"/>
        </w:rPr>
        <w:t xml:space="preserve">además </w:t>
      </w:r>
      <w:r w:rsidR="00FA72D1" w:rsidRPr="00643DCF">
        <w:rPr>
          <w:sz w:val="28"/>
          <w:szCs w:val="28"/>
        </w:rPr>
        <w:t xml:space="preserve">con </w:t>
      </w:r>
      <w:r w:rsidR="004E03CD" w:rsidRPr="00643DCF">
        <w:rPr>
          <w:sz w:val="28"/>
          <w:szCs w:val="28"/>
        </w:rPr>
        <w:t>los informes de segu</w:t>
      </w:r>
      <w:r w:rsidR="00DB44A7" w:rsidRPr="00643DCF">
        <w:rPr>
          <w:sz w:val="28"/>
          <w:szCs w:val="28"/>
        </w:rPr>
        <w:t xml:space="preserve">imiento; respecto del cual indicó que tuvo un </w:t>
      </w:r>
      <w:r w:rsidR="00AC7BC5" w:rsidRPr="00643DCF">
        <w:rPr>
          <w:sz w:val="28"/>
          <w:szCs w:val="28"/>
        </w:rPr>
        <w:t>incremento de 1</w:t>
      </w:r>
      <w:r w:rsidR="004E03CD" w:rsidRPr="00643DCF">
        <w:rPr>
          <w:sz w:val="28"/>
          <w:szCs w:val="28"/>
        </w:rPr>
        <w:t xml:space="preserve">479 visitas desde la presentación del último </w:t>
      </w:r>
      <w:r w:rsidR="00DB44A7" w:rsidRPr="00643DCF">
        <w:rPr>
          <w:sz w:val="28"/>
          <w:szCs w:val="28"/>
        </w:rPr>
        <w:t xml:space="preserve">reporte </w:t>
      </w:r>
      <w:r w:rsidR="004E03CD" w:rsidRPr="00643DCF">
        <w:rPr>
          <w:sz w:val="28"/>
          <w:szCs w:val="28"/>
        </w:rPr>
        <w:t>informe a la fecha del presente.</w:t>
      </w:r>
      <w:r w:rsidR="00E1579C" w:rsidRPr="00643DCF">
        <w:rPr>
          <w:sz w:val="28"/>
          <w:szCs w:val="28"/>
        </w:rPr>
        <w:t xml:space="preserve"> </w:t>
      </w:r>
    </w:p>
    <w:p w14:paraId="329EEDF3" w14:textId="77777777" w:rsidR="00A973F5" w:rsidRPr="00643DCF" w:rsidRDefault="00A973F5" w:rsidP="00FB31C7">
      <w:pPr>
        <w:pStyle w:val="Prrafodelista"/>
        <w:widowControl w:val="0"/>
        <w:tabs>
          <w:tab w:val="left" w:pos="284"/>
          <w:tab w:val="left" w:pos="426"/>
        </w:tabs>
        <w:autoSpaceDE w:val="0"/>
        <w:autoSpaceDN w:val="0"/>
        <w:adjustRightInd w:val="0"/>
        <w:ind w:left="0"/>
        <w:jc w:val="both"/>
        <w:rPr>
          <w:sz w:val="28"/>
          <w:szCs w:val="28"/>
        </w:rPr>
      </w:pPr>
    </w:p>
    <w:p w14:paraId="32476796" w14:textId="77777777" w:rsidR="006A4D3E" w:rsidRPr="00643DCF" w:rsidRDefault="006A4D3E" w:rsidP="006A4D3E">
      <w:pPr>
        <w:pStyle w:val="Prrafodelista"/>
        <w:numPr>
          <w:ilvl w:val="0"/>
          <w:numId w:val="2"/>
        </w:numPr>
        <w:contextualSpacing/>
        <w:jc w:val="center"/>
        <w:rPr>
          <w:b/>
          <w:sz w:val="28"/>
          <w:szCs w:val="28"/>
          <w:lang w:val="es-ES_tradnl"/>
        </w:rPr>
      </w:pPr>
      <w:r w:rsidRPr="00643DCF">
        <w:rPr>
          <w:b/>
          <w:sz w:val="28"/>
          <w:szCs w:val="28"/>
          <w:lang w:val="es-ES_tradnl"/>
        </w:rPr>
        <w:t>CONSIDERACIONES DE LA CORTE CONSTITUCIONAL</w:t>
      </w:r>
    </w:p>
    <w:p w14:paraId="785DC313" w14:textId="77777777" w:rsidR="006A4D3E" w:rsidRPr="00643DCF" w:rsidRDefault="006A4D3E" w:rsidP="006A4D3E">
      <w:pPr>
        <w:pStyle w:val="Prrafodelista"/>
        <w:ind w:left="1080"/>
        <w:rPr>
          <w:b/>
          <w:sz w:val="28"/>
          <w:szCs w:val="28"/>
          <w:lang w:val="es-ES_tradnl"/>
        </w:rPr>
      </w:pPr>
    </w:p>
    <w:p w14:paraId="4011AB16" w14:textId="2CF9C6F0" w:rsidR="006A4D3E" w:rsidRPr="00643DCF" w:rsidRDefault="002440DF" w:rsidP="000961E6">
      <w:pPr>
        <w:tabs>
          <w:tab w:val="left" w:pos="426"/>
        </w:tabs>
        <w:ind w:left="360"/>
        <w:contextualSpacing/>
        <w:rPr>
          <w:b/>
          <w:sz w:val="28"/>
          <w:szCs w:val="28"/>
        </w:rPr>
      </w:pPr>
      <w:r w:rsidRPr="00643DCF">
        <w:rPr>
          <w:b/>
          <w:sz w:val="28"/>
          <w:szCs w:val="28"/>
        </w:rPr>
        <w:t>Competencia</w:t>
      </w:r>
    </w:p>
    <w:p w14:paraId="00DD3626" w14:textId="77777777" w:rsidR="006A4D3E" w:rsidRPr="00643DCF" w:rsidRDefault="006A4D3E" w:rsidP="006A4D3E">
      <w:pPr>
        <w:pStyle w:val="Prrafodelista"/>
        <w:tabs>
          <w:tab w:val="left" w:pos="426"/>
        </w:tabs>
        <w:ind w:left="360"/>
        <w:rPr>
          <w:b/>
          <w:sz w:val="28"/>
          <w:szCs w:val="28"/>
        </w:rPr>
      </w:pPr>
    </w:p>
    <w:p w14:paraId="1BDAC6CC" w14:textId="4E0B3CC5" w:rsidR="00471BE7" w:rsidRDefault="000B1478" w:rsidP="00471BE7">
      <w:pPr>
        <w:tabs>
          <w:tab w:val="left" w:pos="426"/>
        </w:tabs>
        <w:jc w:val="both"/>
        <w:rPr>
          <w:sz w:val="28"/>
          <w:szCs w:val="28"/>
        </w:rPr>
      </w:pPr>
      <w:r w:rsidRPr="00643DCF">
        <w:rPr>
          <w:sz w:val="28"/>
          <w:szCs w:val="28"/>
        </w:rPr>
        <w:t xml:space="preserve">1. </w:t>
      </w:r>
      <w:r w:rsidR="006A4D3E" w:rsidRPr="00643DCF">
        <w:rPr>
          <w:sz w:val="28"/>
          <w:szCs w:val="28"/>
        </w:rPr>
        <w:t>En atención a las facultades otorgadas por la Sala Plena de la Corte Constitucional en sesión del 1° de abril de 2009; el artículo 86 de la Constitución Política; el artículo 25, numeral 2, literal c)</w:t>
      </w:r>
      <w:r w:rsidR="006A4D3E" w:rsidRPr="00643DCF">
        <w:rPr>
          <w:rStyle w:val="Refdenotaalpie"/>
          <w:sz w:val="28"/>
          <w:szCs w:val="28"/>
        </w:rPr>
        <w:footnoteReference w:id="81"/>
      </w:r>
      <w:r w:rsidR="006A4D3E" w:rsidRPr="00643DCF">
        <w:rPr>
          <w:sz w:val="28"/>
          <w:szCs w:val="28"/>
        </w:rPr>
        <w:t xml:space="preserve"> de la Convención Americana sobre Derechos Humanos</w:t>
      </w:r>
      <w:r w:rsidR="006A4D3E" w:rsidRPr="00643DCF">
        <w:rPr>
          <w:rStyle w:val="Refdenotaalpie"/>
          <w:sz w:val="28"/>
          <w:szCs w:val="28"/>
        </w:rPr>
        <w:footnoteReference w:id="82"/>
      </w:r>
      <w:r w:rsidR="006E3914" w:rsidRPr="00643DCF">
        <w:rPr>
          <w:rStyle w:val="Refdenotaalpie"/>
          <w:sz w:val="28"/>
          <w:szCs w:val="28"/>
          <w:vertAlign w:val="baseline"/>
        </w:rPr>
        <w:t>;</w:t>
      </w:r>
      <w:r w:rsidR="006A4D3E" w:rsidRPr="00643DCF">
        <w:rPr>
          <w:sz w:val="28"/>
          <w:szCs w:val="28"/>
        </w:rPr>
        <w:t xml:space="preserve"> y el artículo 27 del Decreto Estatutario 2591 de 1991</w:t>
      </w:r>
      <w:r w:rsidR="006A4D3E" w:rsidRPr="00643DCF">
        <w:rPr>
          <w:rStyle w:val="Refdenotaalpie"/>
          <w:sz w:val="28"/>
          <w:szCs w:val="28"/>
        </w:rPr>
        <w:footnoteReference w:id="83"/>
      </w:r>
      <w:r w:rsidR="006A4D3E" w:rsidRPr="00643DCF">
        <w:rPr>
          <w:sz w:val="28"/>
          <w:szCs w:val="28"/>
        </w:rPr>
        <w:t xml:space="preserve">, esta Sala Especial de Seguimiento es competente para proferir </w:t>
      </w:r>
      <w:r w:rsidR="00B6470D" w:rsidRPr="00643DCF">
        <w:rPr>
          <w:sz w:val="28"/>
          <w:szCs w:val="28"/>
        </w:rPr>
        <w:t xml:space="preserve">el </w:t>
      </w:r>
      <w:r w:rsidR="006A4D3E" w:rsidRPr="00643DCF">
        <w:rPr>
          <w:sz w:val="28"/>
          <w:szCs w:val="28"/>
        </w:rPr>
        <w:t>auto</w:t>
      </w:r>
      <w:r w:rsidR="00B6470D" w:rsidRPr="00643DCF">
        <w:rPr>
          <w:sz w:val="28"/>
          <w:szCs w:val="28"/>
        </w:rPr>
        <w:t xml:space="preserve"> en cuestión</w:t>
      </w:r>
      <w:r w:rsidR="006A4D3E" w:rsidRPr="00643DCF">
        <w:rPr>
          <w:sz w:val="28"/>
          <w:szCs w:val="28"/>
        </w:rPr>
        <w:t>.</w:t>
      </w:r>
    </w:p>
    <w:p w14:paraId="52930D54" w14:textId="21EE9D31" w:rsidR="00E4237C" w:rsidRPr="00643DCF" w:rsidRDefault="00E4237C" w:rsidP="000961E6">
      <w:pPr>
        <w:pStyle w:val="Prrafodelista"/>
        <w:tabs>
          <w:tab w:val="left" w:pos="426"/>
        </w:tabs>
        <w:ind w:left="360"/>
        <w:contextualSpacing/>
        <w:rPr>
          <w:b/>
          <w:sz w:val="28"/>
          <w:szCs w:val="28"/>
        </w:rPr>
      </w:pPr>
      <w:r w:rsidRPr="00643DCF">
        <w:rPr>
          <w:b/>
          <w:sz w:val="28"/>
          <w:szCs w:val="28"/>
        </w:rPr>
        <w:lastRenderedPageBreak/>
        <w:t>M</w:t>
      </w:r>
      <w:r w:rsidR="004D4CBA" w:rsidRPr="00643DCF">
        <w:rPr>
          <w:b/>
          <w:sz w:val="28"/>
          <w:szCs w:val="28"/>
        </w:rPr>
        <w:t>etodología de la valoración</w:t>
      </w:r>
    </w:p>
    <w:p w14:paraId="6E7334BE" w14:textId="77777777" w:rsidR="00E4237C" w:rsidRPr="00643DCF" w:rsidRDefault="00E4237C" w:rsidP="00E4237C">
      <w:pPr>
        <w:pStyle w:val="Prrafodelista"/>
        <w:tabs>
          <w:tab w:val="left" w:pos="426"/>
        </w:tabs>
        <w:ind w:left="360"/>
        <w:rPr>
          <w:b/>
          <w:sz w:val="28"/>
          <w:szCs w:val="28"/>
        </w:rPr>
      </w:pPr>
    </w:p>
    <w:p w14:paraId="038DA002" w14:textId="060988E9" w:rsidR="00E4237C" w:rsidRPr="00643DCF" w:rsidRDefault="000B1478" w:rsidP="000961E6">
      <w:pPr>
        <w:pStyle w:val="Prrafodelista"/>
        <w:tabs>
          <w:tab w:val="left" w:pos="357"/>
          <w:tab w:val="left" w:pos="567"/>
        </w:tabs>
        <w:autoSpaceDN w:val="0"/>
        <w:ind w:left="0"/>
        <w:jc w:val="both"/>
        <w:rPr>
          <w:sz w:val="28"/>
          <w:szCs w:val="28"/>
        </w:rPr>
      </w:pPr>
      <w:r w:rsidRPr="00643DCF">
        <w:rPr>
          <w:sz w:val="28"/>
          <w:szCs w:val="28"/>
        </w:rPr>
        <w:t xml:space="preserve">2. </w:t>
      </w:r>
      <w:r w:rsidR="00E4237C" w:rsidRPr="00643DCF">
        <w:rPr>
          <w:sz w:val="28"/>
          <w:szCs w:val="28"/>
        </w:rPr>
        <w:t xml:space="preserve">En la presente </w:t>
      </w:r>
      <w:r w:rsidR="00E4237C" w:rsidRPr="00643DCF">
        <w:rPr>
          <w:sz w:val="28"/>
          <w:szCs w:val="28"/>
          <w:lang w:val="es-ES_tradnl"/>
        </w:rPr>
        <w:t>oportunidad</w:t>
      </w:r>
      <w:r w:rsidR="00E4237C" w:rsidRPr="00643DCF">
        <w:rPr>
          <w:sz w:val="28"/>
          <w:szCs w:val="28"/>
        </w:rPr>
        <w:t xml:space="preserve">, se efectuará la segunda evaluación del grado de acatamiento de la orden </w:t>
      </w:r>
      <w:r w:rsidR="00BE225C" w:rsidRPr="00643DCF">
        <w:rPr>
          <w:sz w:val="28"/>
          <w:szCs w:val="28"/>
        </w:rPr>
        <w:t>trigésima</w:t>
      </w:r>
      <w:r w:rsidR="00E4237C" w:rsidRPr="00643DCF">
        <w:rPr>
          <w:sz w:val="28"/>
          <w:szCs w:val="28"/>
        </w:rPr>
        <w:t xml:space="preserve"> segunda de la </w:t>
      </w:r>
      <w:r w:rsidR="00C738B5" w:rsidRPr="00643DCF">
        <w:rPr>
          <w:sz w:val="28"/>
          <w:szCs w:val="28"/>
        </w:rPr>
        <w:t>s</w:t>
      </w:r>
      <w:r w:rsidR="00E4237C" w:rsidRPr="00643DCF">
        <w:rPr>
          <w:sz w:val="28"/>
          <w:szCs w:val="28"/>
        </w:rPr>
        <w:t xml:space="preserve">entencia T-760 de 2008 teniendo </w:t>
      </w:r>
      <w:r w:rsidR="00086B69" w:rsidRPr="00643DCF">
        <w:rPr>
          <w:sz w:val="28"/>
          <w:szCs w:val="28"/>
        </w:rPr>
        <w:t>como base</w:t>
      </w:r>
      <w:r w:rsidR="00E4237C" w:rsidRPr="00643DCF">
        <w:rPr>
          <w:sz w:val="28"/>
          <w:szCs w:val="28"/>
        </w:rPr>
        <w:t xml:space="preserve"> el </w:t>
      </w:r>
      <w:r w:rsidR="00083215" w:rsidRPr="00643DCF">
        <w:rPr>
          <w:sz w:val="28"/>
          <w:szCs w:val="28"/>
        </w:rPr>
        <w:t>a</w:t>
      </w:r>
      <w:r w:rsidR="00E4237C" w:rsidRPr="00643DCF">
        <w:rPr>
          <w:sz w:val="28"/>
          <w:szCs w:val="28"/>
        </w:rPr>
        <w:t xml:space="preserve">uto 144 de 2011 </w:t>
      </w:r>
      <w:r w:rsidR="00086B69" w:rsidRPr="00643DCF">
        <w:rPr>
          <w:sz w:val="28"/>
          <w:szCs w:val="28"/>
        </w:rPr>
        <w:t xml:space="preserve">que </w:t>
      </w:r>
      <w:r w:rsidR="00E4237C" w:rsidRPr="00643DCF">
        <w:rPr>
          <w:sz w:val="28"/>
          <w:szCs w:val="28"/>
        </w:rPr>
        <w:t xml:space="preserve">declaró el nivel de cumplimiento bajo. La </w:t>
      </w:r>
      <w:r w:rsidR="00DB44A7" w:rsidRPr="00643DCF">
        <w:rPr>
          <w:sz w:val="28"/>
          <w:szCs w:val="28"/>
        </w:rPr>
        <w:t xml:space="preserve">valoración </w:t>
      </w:r>
      <w:r w:rsidR="00E4237C" w:rsidRPr="00643DCF">
        <w:rPr>
          <w:sz w:val="28"/>
          <w:szCs w:val="28"/>
        </w:rPr>
        <w:t xml:space="preserve">se realizará atendiendo los niveles que se han establecido paulatinamente a partir del </w:t>
      </w:r>
      <w:r w:rsidR="00083215" w:rsidRPr="00643DCF">
        <w:rPr>
          <w:sz w:val="28"/>
          <w:szCs w:val="28"/>
        </w:rPr>
        <w:t>a</w:t>
      </w:r>
      <w:r w:rsidR="00E4237C" w:rsidRPr="00643DCF">
        <w:rPr>
          <w:sz w:val="28"/>
          <w:szCs w:val="28"/>
        </w:rPr>
        <w:t>uto</w:t>
      </w:r>
      <w:r w:rsidR="00E4237C" w:rsidRPr="00643DCF">
        <w:rPr>
          <w:sz w:val="28"/>
          <w:szCs w:val="28"/>
          <w:lang w:val="es-ES_tradnl"/>
        </w:rPr>
        <w:t xml:space="preserve"> </w:t>
      </w:r>
      <w:r w:rsidR="00E4237C" w:rsidRPr="00643DCF">
        <w:rPr>
          <w:sz w:val="28"/>
          <w:szCs w:val="28"/>
        </w:rPr>
        <w:t>411 de 2015</w:t>
      </w:r>
      <w:r w:rsidR="00E4237C" w:rsidRPr="00643DCF">
        <w:rPr>
          <w:sz w:val="28"/>
          <w:szCs w:val="28"/>
          <w:vertAlign w:val="superscript"/>
        </w:rPr>
        <w:footnoteReference w:id="84"/>
      </w:r>
      <w:r w:rsidR="00E4237C" w:rsidRPr="00643DCF">
        <w:rPr>
          <w:sz w:val="28"/>
          <w:szCs w:val="28"/>
        </w:rPr>
        <w:t xml:space="preserve">, así mismo </w:t>
      </w:r>
      <w:r w:rsidR="00086B69" w:rsidRPr="00643DCF">
        <w:rPr>
          <w:sz w:val="28"/>
          <w:szCs w:val="28"/>
        </w:rPr>
        <w:t>se atenderán</w:t>
      </w:r>
      <w:r w:rsidR="00E4237C" w:rsidRPr="00643DCF">
        <w:rPr>
          <w:sz w:val="28"/>
          <w:szCs w:val="28"/>
        </w:rPr>
        <w:t xml:space="preserve"> los autos 154 de 2014 y 271 de 2014, </w:t>
      </w:r>
      <w:r w:rsidR="00086B69" w:rsidRPr="00643DCF">
        <w:rPr>
          <w:sz w:val="28"/>
          <w:szCs w:val="28"/>
        </w:rPr>
        <w:t xml:space="preserve">todo </w:t>
      </w:r>
      <w:r w:rsidR="00E4237C" w:rsidRPr="00643DCF">
        <w:rPr>
          <w:sz w:val="28"/>
          <w:szCs w:val="28"/>
        </w:rPr>
        <w:t>con fundamento en el acervo documen</w:t>
      </w:r>
      <w:r w:rsidR="006E3914" w:rsidRPr="00643DCF">
        <w:rPr>
          <w:sz w:val="28"/>
          <w:szCs w:val="28"/>
        </w:rPr>
        <w:t>tal que reposa en el expediente</w:t>
      </w:r>
      <w:r w:rsidR="00DF1096" w:rsidRPr="00643DCF">
        <w:rPr>
          <w:sz w:val="28"/>
          <w:szCs w:val="28"/>
        </w:rPr>
        <w:t xml:space="preserve"> </w:t>
      </w:r>
      <w:r w:rsidR="00E4237C" w:rsidRPr="00643DCF">
        <w:rPr>
          <w:sz w:val="28"/>
          <w:szCs w:val="28"/>
        </w:rPr>
        <w:t>y</w:t>
      </w:r>
      <w:r w:rsidR="006E3914" w:rsidRPr="00643DCF">
        <w:rPr>
          <w:sz w:val="28"/>
          <w:szCs w:val="28"/>
        </w:rPr>
        <w:t>,</w:t>
      </w:r>
      <w:r w:rsidR="00E4237C" w:rsidRPr="00643DCF">
        <w:rPr>
          <w:sz w:val="28"/>
          <w:szCs w:val="28"/>
        </w:rPr>
        <w:t xml:space="preserve"> las intervenciones de las demás entidades adscritas al trámite de supervisión. </w:t>
      </w:r>
    </w:p>
    <w:p w14:paraId="15D86B4C" w14:textId="77777777" w:rsidR="00E4237C" w:rsidRPr="00643DCF" w:rsidRDefault="00E4237C">
      <w:pPr>
        <w:pStyle w:val="Prrafodelista"/>
        <w:tabs>
          <w:tab w:val="left" w:pos="357"/>
          <w:tab w:val="left" w:pos="567"/>
        </w:tabs>
        <w:autoSpaceDN w:val="0"/>
        <w:ind w:left="0"/>
        <w:jc w:val="both"/>
        <w:rPr>
          <w:sz w:val="28"/>
          <w:szCs w:val="28"/>
        </w:rPr>
      </w:pPr>
    </w:p>
    <w:p w14:paraId="1020FC37" w14:textId="36ABCC76" w:rsidR="00E4237C" w:rsidRPr="00643DCF" w:rsidRDefault="000B1478" w:rsidP="000961E6">
      <w:pPr>
        <w:pStyle w:val="Prrafodelista"/>
        <w:tabs>
          <w:tab w:val="left" w:pos="357"/>
          <w:tab w:val="left" w:pos="567"/>
        </w:tabs>
        <w:autoSpaceDN w:val="0"/>
        <w:ind w:left="0"/>
        <w:jc w:val="both"/>
        <w:rPr>
          <w:sz w:val="28"/>
          <w:szCs w:val="28"/>
          <w:highlight w:val="yellow"/>
        </w:rPr>
      </w:pPr>
      <w:r w:rsidRPr="00643DCF">
        <w:rPr>
          <w:sz w:val="28"/>
          <w:szCs w:val="28"/>
        </w:rPr>
        <w:t xml:space="preserve">3. </w:t>
      </w:r>
      <w:r w:rsidR="00E4237C" w:rsidRPr="00643DCF">
        <w:rPr>
          <w:sz w:val="28"/>
          <w:szCs w:val="28"/>
        </w:rPr>
        <w:t xml:space="preserve">La nueva valoración tendrá como principal objetivo determinar si el Consejo Superior de la Judicatura ha divulgado de manera </w:t>
      </w:r>
      <w:r w:rsidR="00086B69" w:rsidRPr="00643DCF">
        <w:rPr>
          <w:sz w:val="28"/>
          <w:szCs w:val="28"/>
        </w:rPr>
        <w:t xml:space="preserve">oportuna y </w:t>
      </w:r>
      <w:r w:rsidR="00E4237C" w:rsidRPr="00643DCF">
        <w:rPr>
          <w:sz w:val="28"/>
          <w:szCs w:val="28"/>
        </w:rPr>
        <w:t xml:space="preserve">eficaz la </w:t>
      </w:r>
      <w:r w:rsidR="00C738B5" w:rsidRPr="00FA159B">
        <w:rPr>
          <w:sz w:val="28"/>
          <w:szCs w:val="28"/>
        </w:rPr>
        <w:t>s</w:t>
      </w:r>
      <w:r w:rsidR="00E4237C" w:rsidRPr="00FA159B">
        <w:rPr>
          <w:sz w:val="28"/>
          <w:szCs w:val="28"/>
        </w:rPr>
        <w:t xml:space="preserve">entencia T-760 de 2008 y sus autos de seguimiento entre los </w:t>
      </w:r>
      <w:r w:rsidR="00611ADD" w:rsidRPr="00FA159B">
        <w:rPr>
          <w:sz w:val="28"/>
          <w:szCs w:val="28"/>
        </w:rPr>
        <w:t>J</w:t>
      </w:r>
      <w:r w:rsidR="00E4237C" w:rsidRPr="00FA159B">
        <w:rPr>
          <w:sz w:val="28"/>
          <w:szCs w:val="28"/>
        </w:rPr>
        <w:t>ueces de la República</w:t>
      </w:r>
      <w:r w:rsidR="008D3DE3" w:rsidRPr="00FA159B">
        <w:rPr>
          <w:sz w:val="28"/>
          <w:szCs w:val="28"/>
        </w:rPr>
        <w:t xml:space="preserve">, </w:t>
      </w:r>
      <w:r w:rsidR="00271AF2" w:rsidRPr="00FA159B">
        <w:rPr>
          <w:sz w:val="28"/>
          <w:szCs w:val="28"/>
        </w:rPr>
        <w:t xml:space="preserve">como principal colectivo al que debe darse a conocer el contenido de la misma, </w:t>
      </w:r>
      <w:r w:rsidR="003D3A95" w:rsidRPr="00FA159B">
        <w:rPr>
          <w:sz w:val="28"/>
          <w:szCs w:val="28"/>
        </w:rPr>
        <w:t xml:space="preserve">por tratarse de quienes </w:t>
      </w:r>
      <w:r w:rsidR="00486F4D" w:rsidRPr="00FA159B">
        <w:rPr>
          <w:sz w:val="28"/>
          <w:szCs w:val="28"/>
        </w:rPr>
        <w:t xml:space="preserve">dan </w:t>
      </w:r>
      <w:r w:rsidR="003D3A95" w:rsidRPr="00FA159B">
        <w:rPr>
          <w:sz w:val="28"/>
          <w:szCs w:val="28"/>
        </w:rPr>
        <w:t xml:space="preserve">aplicación a esta, </w:t>
      </w:r>
      <w:r w:rsidR="008D3DE3" w:rsidRPr="00FA159B">
        <w:rPr>
          <w:sz w:val="28"/>
          <w:szCs w:val="28"/>
        </w:rPr>
        <w:t xml:space="preserve">así como </w:t>
      </w:r>
      <w:r w:rsidR="00171425" w:rsidRPr="00FA159B">
        <w:rPr>
          <w:sz w:val="28"/>
          <w:szCs w:val="28"/>
        </w:rPr>
        <w:t xml:space="preserve">a </w:t>
      </w:r>
      <w:r w:rsidR="002D337E" w:rsidRPr="00FA159B">
        <w:rPr>
          <w:sz w:val="28"/>
          <w:szCs w:val="28"/>
        </w:rPr>
        <w:t xml:space="preserve">un grupo </w:t>
      </w:r>
      <w:r w:rsidR="00171425" w:rsidRPr="00FA159B">
        <w:rPr>
          <w:sz w:val="28"/>
          <w:szCs w:val="28"/>
        </w:rPr>
        <w:t>poblaci</w:t>
      </w:r>
      <w:r w:rsidR="002D337E" w:rsidRPr="00FA159B">
        <w:rPr>
          <w:sz w:val="28"/>
          <w:szCs w:val="28"/>
        </w:rPr>
        <w:t>onal más amplio</w:t>
      </w:r>
      <w:r w:rsidR="00096AA9" w:rsidRPr="00FA159B">
        <w:rPr>
          <w:rStyle w:val="Refdenotaalpie"/>
          <w:sz w:val="28"/>
          <w:szCs w:val="28"/>
        </w:rPr>
        <w:footnoteReference w:id="85"/>
      </w:r>
      <w:r w:rsidR="00E4237C" w:rsidRPr="00FA159B">
        <w:rPr>
          <w:sz w:val="28"/>
          <w:szCs w:val="28"/>
        </w:rPr>
        <w:t xml:space="preserve">. </w:t>
      </w:r>
      <w:r w:rsidR="003502C6" w:rsidRPr="00FA159B">
        <w:rPr>
          <w:sz w:val="28"/>
          <w:szCs w:val="28"/>
        </w:rPr>
        <w:t>De igual forma</w:t>
      </w:r>
      <w:r w:rsidR="00E4237C" w:rsidRPr="00FA159B">
        <w:rPr>
          <w:sz w:val="28"/>
          <w:szCs w:val="28"/>
        </w:rPr>
        <w:t>, evaluará el carácter dinámico p</w:t>
      </w:r>
      <w:r w:rsidR="00F37136" w:rsidRPr="00FA159B">
        <w:rPr>
          <w:sz w:val="28"/>
          <w:szCs w:val="28"/>
        </w:rPr>
        <w:t>ropio de la directriz</w:t>
      </w:r>
      <w:r w:rsidR="00F37136" w:rsidRPr="00643DCF">
        <w:rPr>
          <w:sz w:val="28"/>
          <w:szCs w:val="28"/>
        </w:rPr>
        <w:t xml:space="preserve"> analizada</w:t>
      </w:r>
      <w:r w:rsidR="005D6F51" w:rsidRPr="00643DCF">
        <w:rPr>
          <w:sz w:val="28"/>
          <w:szCs w:val="28"/>
        </w:rPr>
        <w:t xml:space="preserve">. </w:t>
      </w:r>
    </w:p>
    <w:p w14:paraId="16E7725E" w14:textId="77777777" w:rsidR="00E4237C" w:rsidRPr="00643DCF" w:rsidRDefault="00E4237C" w:rsidP="00464A88">
      <w:pPr>
        <w:pStyle w:val="Prrafodelista"/>
        <w:rPr>
          <w:color w:val="000000" w:themeColor="text1"/>
          <w:sz w:val="28"/>
          <w:szCs w:val="28"/>
        </w:rPr>
      </w:pPr>
    </w:p>
    <w:p w14:paraId="6A826C6F" w14:textId="04F2FEF4" w:rsidR="00E4237C" w:rsidRPr="00643DCF" w:rsidRDefault="000B1478" w:rsidP="000961E6">
      <w:pPr>
        <w:pStyle w:val="Prrafodelista"/>
        <w:tabs>
          <w:tab w:val="left" w:pos="357"/>
          <w:tab w:val="left" w:pos="567"/>
        </w:tabs>
        <w:autoSpaceDN w:val="0"/>
        <w:ind w:left="0"/>
        <w:jc w:val="both"/>
        <w:rPr>
          <w:sz w:val="28"/>
          <w:szCs w:val="28"/>
        </w:rPr>
      </w:pPr>
      <w:r w:rsidRPr="00643DCF">
        <w:rPr>
          <w:color w:val="000000" w:themeColor="text1"/>
          <w:sz w:val="28"/>
          <w:szCs w:val="28"/>
        </w:rPr>
        <w:t xml:space="preserve">4. </w:t>
      </w:r>
      <w:r w:rsidR="00E4237C" w:rsidRPr="00643DCF">
        <w:rPr>
          <w:color w:val="000000" w:themeColor="text1"/>
          <w:sz w:val="28"/>
          <w:szCs w:val="28"/>
        </w:rPr>
        <w:t xml:space="preserve">Debido a que esta es la segunda </w:t>
      </w:r>
      <w:r w:rsidR="0023169D" w:rsidRPr="00643DCF">
        <w:rPr>
          <w:color w:val="000000" w:themeColor="text1"/>
          <w:sz w:val="28"/>
          <w:szCs w:val="28"/>
        </w:rPr>
        <w:t xml:space="preserve">calificación </w:t>
      </w:r>
      <w:r w:rsidR="00E4237C" w:rsidRPr="00643DCF">
        <w:rPr>
          <w:color w:val="000000" w:themeColor="text1"/>
          <w:sz w:val="28"/>
          <w:szCs w:val="28"/>
        </w:rPr>
        <w:t xml:space="preserve">que se adelanta respecto del cumplimiento de la orden treinta y dos de la </w:t>
      </w:r>
      <w:r w:rsidR="00C738B5" w:rsidRPr="00643DCF">
        <w:rPr>
          <w:color w:val="000000" w:themeColor="text1"/>
          <w:sz w:val="28"/>
          <w:szCs w:val="28"/>
        </w:rPr>
        <w:t>s</w:t>
      </w:r>
      <w:r w:rsidR="00E4237C" w:rsidRPr="00643DCF">
        <w:rPr>
          <w:color w:val="000000" w:themeColor="text1"/>
          <w:sz w:val="28"/>
          <w:szCs w:val="28"/>
        </w:rPr>
        <w:t>entencia T-760 de 2008, la Sala analizará</w:t>
      </w:r>
      <w:r w:rsidR="00DF1096" w:rsidRPr="00643DCF">
        <w:rPr>
          <w:color w:val="000000" w:themeColor="text1"/>
          <w:sz w:val="28"/>
          <w:szCs w:val="28"/>
        </w:rPr>
        <w:t xml:space="preserve"> </w:t>
      </w:r>
      <w:r w:rsidR="00E4237C" w:rsidRPr="00643DCF">
        <w:rPr>
          <w:color w:val="000000" w:themeColor="text1"/>
          <w:sz w:val="28"/>
          <w:szCs w:val="28"/>
        </w:rPr>
        <w:t xml:space="preserve">las actividades desarrolladas por el CSJ y los avances surtidos con posterioridad a la primera </w:t>
      </w:r>
      <w:r w:rsidR="0023169D" w:rsidRPr="00643DCF">
        <w:rPr>
          <w:color w:val="000000" w:themeColor="text1"/>
          <w:sz w:val="28"/>
          <w:szCs w:val="28"/>
        </w:rPr>
        <w:t xml:space="preserve">verificación </w:t>
      </w:r>
      <w:r w:rsidR="00E4237C" w:rsidRPr="00643DCF">
        <w:rPr>
          <w:color w:val="000000" w:themeColor="text1"/>
          <w:sz w:val="28"/>
          <w:szCs w:val="28"/>
        </w:rPr>
        <w:t xml:space="preserve">efectuada a través del </w:t>
      </w:r>
      <w:r w:rsidR="00876752" w:rsidRPr="00643DCF">
        <w:rPr>
          <w:color w:val="000000" w:themeColor="text1"/>
          <w:sz w:val="28"/>
          <w:szCs w:val="28"/>
        </w:rPr>
        <w:t>a</w:t>
      </w:r>
      <w:r w:rsidR="00E4237C" w:rsidRPr="00643DCF">
        <w:rPr>
          <w:color w:val="000000" w:themeColor="text1"/>
          <w:sz w:val="28"/>
          <w:szCs w:val="28"/>
        </w:rPr>
        <w:t xml:space="preserve">uto 144 de 2011, hasta la fecha. Atenderá también las inquietudes </w:t>
      </w:r>
      <w:r w:rsidR="00535C12" w:rsidRPr="00643DCF">
        <w:rPr>
          <w:color w:val="000000" w:themeColor="text1"/>
          <w:sz w:val="28"/>
          <w:szCs w:val="28"/>
        </w:rPr>
        <w:t xml:space="preserve">planteadas </w:t>
      </w:r>
      <w:r w:rsidR="00E4237C" w:rsidRPr="00643DCF">
        <w:rPr>
          <w:color w:val="000000" w:themeColor="text1"/>
          <w:sz w:val="28"/>
          <w:szCs w:val="28"/>
        </w:rPr>
        <w:t>por la Defensoría del Pueblo.</w:t>
      </w:r>
    </w:p>
    <w:p w14:paraId="2886C859" w14:textId="77777777" w:rsidR="00E4237C" w:rsidRPr="00643DCF" w:rsidRDefault="00E4237C" w:rsidP="00E4237C">
      <w:pPr>
        <w:pStyle w:val="Prrafodelista"/>
        <w:rPr>
          <w:sz w:val="28"/>
          <w:szCs w:val="28"/>
        </w:rPr>
      </w:pPr>
    </w:p>
    <w:p w14:paraId="15E6155C" w14:textId="3A0A2B98" w:rsidR="00123F90" w:rsidRPr="00643DCF" w:rsidRDefault="00123F90" w:rsidP="00123F90">
      <w:pPr>
        <w:pStyle w:val="Prrafodelista"/>
        <w:tabs>
          <w:tab w:val="left" w:pos="357"/>
          <w:tab w:val="left" w:pos="567"/>
        </w:tabs>
        <w:autoSpaceDN w:val="0"/>
        <w:ind w:left="0"/>
        <w:jc w:val="both"/>
        <w:rPr>
          <w:sz w:val="28"/>
          <w:szCs w:val="28"/>
        </w:rPr>
      </w:pPr>
      <w:r w:rsidRPr="00643DCF">
        <w:rPr>
          <w:sz w:val="28"/>
          <w:szCs w:val="28"/>
        </w:rPr>
        <w:t>La Corte efectuará la valoración conforme a los niveles de cumplimiento que ha desarrollado, aunque prescindiendo del empleo de indicadores cuya ausencia no imposibilita la verificación del goce efectivo de los derechos</w:t>
      </w:r>
      <w:r w:rsidR="00DF1096" w:rsidRPr="00643DCF">
        <w:rPr>
          <w:sz w:val="28"/>
          <w:szCs w:val="28"/>
        </w:rPr>
        <w:t xml:space="preserve"> </w:t>
      </w:r>
      <w:r w:rsidRPr="00643DCF">
        <w:rPr>
          <w:sz w:val="28"/>
          <w:szCs w:val="28"/>
        </w:rPr>
        <w:t xml:space="preserve">como lo ha </w:t>
      </w:r>
      <w:r w:rsidR="00DF1096" w:rsidRPr="00643DCF">
        <w:rPr>
          <w:sz w:val="28"/>
          <w:szCs w:val="28"/>
        </w:rPr>
        <w:t xml:space="preserve">sostenido </w:t>
      </w:r>
      <w:r w:rsidRPr="00643DCF">
        <w:rPr>
          <w:sz w:val="28"/>
          <w:szCs w:val="28"/>
        </w:rPr>
        <w:t>la jurisprudencia constitucional</w:t>
      </w:r>
      <w:r w:rsidRPr="00643DCF">
        <w:rPr>
          <w:rStyle w:val="Refdenotaalpie"/>
          <w:sz w:val="28"/>
          <w:szCs w:val="28"/>
        </w:rPr>
        <w:footnoteReference w:id="86"/>
      </w:r>
      <w:r w:rsidRPr="00643DCF">
        <w:rPr>
          <w:sz w:val="28"/>
          <w:szCs w:val="28"/>
        </w:rPr>
        <w:t xml:space="preserve">. </w:t>
      </w:r>
    </w:p>
    <w:p w14:paraId="36CE1EA6" w14:textId="77777777" w:rsidR="00123F90" w:rsidRPr="00643DCF" w:rsidRDefault="00123F90" w:rsidP="00123F90">
      <w:pPr>
        <w:pStyle w:val="Prrafodelista"/>
        <w:tabs>
          <w:tab w:val="left" w:pos="567"/>
        </w:tabs>
        <w:autoSpaceDN w:val="0"/>
        <w:ind w:left="0"/>
        <w:jc w:val="both"/>
        <w:rPr>
          <w:sz w:val="28"/>
          <w:szCs w:val="28"/>
        </w:rPr>
      </w:pPr>
    </w:p>
    <w:p w14:paraId="1B8E5986" w14:textId="6AA1BAAD" w:rsidR="00123F90" w:rsidRPr="00643DCF" w:rsidRDefault="00123F90" w:rsidP="00123F90">
      <w:pPr>
        <w:pStyle w:val="Prrafodelista"/>
        <w:tabs>
          <w:tab w:val="left" w:pos="567"/>
        </w:tabs>
        <w:autoSpaceDN w:val="0"/>
        <w:ind w:left="0"/>
        <w:jc w:val="both"/>
        <w:rPr>
          <w:sz w:val="28"/>
          <w:szCs w:val="28"/>
        </w:rPr>
      </w:pPr>
      <w:r w:rsidRPr="00643DCF">
        <w:rPr>
          <w:sz w:val="28"/>
          <w:szCs w:val="28"/>
        </w:rPr>
        <w:t>Respecto de la metodología para determinar el nivel de cumplimiento de las órdenes en el desarrollo de las labores de seguimiento, esta Corporación ha indicado que es válida la utilización de niveles que permitan valorar los avances, rezagos o retrocesos en la ejecución y el seguimiento de las políticas públicas</w:t>
      </w:r>
      <w:r w:rsidR="00B6470D" w:rsidRPr="00643DCF">
        <w:rPr>
          <w:rStyle w:val="Refdenotaalpie"/>
          <w:sz w:val="28"/>
          <w:szCs w:val="28"/>
          <w:bdr w:val="none" w:sz="0" w:space="0" w:color="auto" w:frame="1"/>
          <w:lang w:val="es-ES_tradnl"/>
        </w:rPr>
        <w:footnoteReference w:id="87"/>
      </w:r>
      <w:r w:rsidRPr="00643DCF">
        <w:rPr>
          <w:sz w:val="28"/>
          <w:szCs w:val="28"/>
        </w:rPr>
        <w:t xml:space="preserve"> </w:t>
      </w:r>
    </w:p>
    <w:p w14:paraId="5C22309C" w14:textId="77777777" w:rsidR="00123F90" w:rsidRPr="00643DCF" w:rsidRDefault="00123F90" w:rsidP="00FD38ED">
      <w:pPr>
        <w:shd w:val="clear" w:color="auto" w:fill="FFFFFF"/>
        <w:ind w:right="193"/>
        <w:jc w:val="both"/>
        <w:textAlignment w:val="baseline"/>
        <w:rPr>
          <w:sz w:val="28"/>
          <w:szCs w:val="28"/>
        </w:rPr>
      </w:pPr>
    </w:p>
    <w:p w14:paraId="52529022" w14:textId="7D8F1C7A" w:rsidR="00E4237C" w:rsidRPr="00643DCF" w:rsidRDefault="000B1478" w:rsidP="000961E6">
      <w:pPr>
        <w:pStyle w:val="Prrafodelista"/>
        <w:tabs>
          <w:tab w:val="left" w:pos="357"/>
          <w:tab w:val="left" w:pos="567"/>
        </w:tabs>
        <w:autoSpaceDN w:val="0"/>
        <w:ind w:left="0"/>
        <w:jc w:val="both"/>
        <w:rPr>
          <w:sz w:val="28"/>
          <w:szCs w:val="28"/>
        </w:rPr>
      </w:pPr>
      <w:r w:rsidRPr="00643DCF">
        <w:rPr>
          <w:color w:val="000000" w:themeColor="text1"/>
          <w:sz w:val="28"/>
          <w:szCs w:val="28"/>
        </w:rPr>
        <w:lastRenderedPageBreak/>
        <w:t xml:space="preserve">5. </w:t>
      </w:r>
      <w:r w:rsidR="00E4237C" w:rsidRPr="00643DCF">
        <w:rPr>
          <w:color w:val="000000" w:themeColor="text1"/>
          <w:sz w:val="28"/>
          <w:szCs w:val="28"/>
        </w:rPr>
        <w:t>Con base en las anteriores precisiones,</w:t>
      </w:r>
      <w:r w:rsidR="0023169D" w:rsidRPr="00643DCF">
        <w:rPr>
          <w:color w:val="000000" w:themeColor="text1"/>
          <w:sz w:val="28"/>
          <w:szCs w:val="28"/>
        </w:rPr>
        <w:t xml:space="preserve"> la Corte desarrollará </w:t>
      </w:r>
      <w:r w:rsidR="00E4237C" w:rsidRPr="00643DCF">
        <w:rPr>
          <w:color w:val="000000" w:themeColor="text1"/>
          <w:sz w:val="28"/>
          <w:szCs w:val="28"/>
        </w:rPr>
        <w:t xml:space="preserve">la estructura del análisis y evaluación </w:t>
      </w:r>
      <w:r w:rsidR="0023169D" w:rsidRPr="00643DCF">
        <w:rPr>
          <w:color w:val="000000" w:themeColor="text1"/>
          <w:sz w:val="28"/>
          <w:szCs w:val="28"/>
        </w:rPr>
        <w:t xml:space="preserve">pronunciándose sobre: </w:t>
      </w:r>
      <w:r w:rsidR="00E4237C" w:rsidRPr="00643DCF">
        <w:rPr>
          <w:i/>
          <w:color w:val="000000" w:themeColor="text1"/>
          <w:sz w:val="28"/>
          <w:szCs w:val="28"/>
        </w:rPr>
        <w:t>(i)</w:t>
      </w:r>
      <w:r w:rsidR="00E4237C" w:rsidRPr="00643DCF">
        <w:rPr>
          <w:color w:val="000000" w:themeColor="text1"/>
          <w:sz w:val="28"/>
          <w:szCs w:val="28"/>
        </w:rPr>
        <w:t xml:space="preserve"> </w:t>
      </w:r>
      <w:r w:rsidR="008F279E" w:rsidRPr="00643DCF">
        <w:rPr>
          <w:color w:val="000000" w:themeColor="text1"/>
          <w:sz w:val="28"/>
          <w:szCs w:val="28"/>
        </w:rPr>
        <w:t xml:space="preserve">el seguimiento de la </w:t>
      </w:r>
      <w:r w:rsidR="00C738B5" w:rsidRPr="00643DCF">
        <w:rPr>
          <w:color w:val="000000" w:themeColor="text1"/>
          <w:sz w:val="28"/>
          <w:szCs w:val="28"/>
        </w:rPr>
        <w:t>s</w:t>
      </w:r>
      <w:r w:rsidR="008F279E" w:rsidRPr="00643DCF">
        <w:rPr>
          <w:color w:val="000000" w:themeColor="text1"/>
          <w:sz w:val="28"/>
          <w:szCs w:val="28"/>
        </w:rPr>
        <w:t>entencia T-760 de 2008 y los niveles de cumplimiento</w:t>
      </w:r>
      <w:r w:rsidR="00876752" w:rsidRPr="00643DCF">
        <w:rPr>
          <w:color w:val="000000" w:themeColor="text1"/>
          <w:sz w:val="28"/>
          <w:szCs w:val="28"/>
        </w:rPr>
        <w:t xml:space="preserve"> utilizados en su</w:t>
      </w:r>
      <w:r w:rsidR="008F279E" w:rsidRPr="00643DCF">
        <w:rPr>
          <w:color w:val="000000" w:themeColor="text1"/>
          <w:sz w:val="28"/>
          <w:szCs w:val="28"/>
        </w:rPr>
        <w:t xml:space="preserve"> verificación</w:t>
      </w:r>
      <w:r w:rsidR="00E4237C" w:rsidRPr="00643DCF">
        <w:rPr>
          <w:color w:val="000000" w:themeColor="text1"/>
          <w:sz w:val="28"/>
          <w:szCs w:val="28"/>
        </w:rPr>
        <w:t xml:space="preserve">; </w:t>
      </w:r>
      <w:r w:rsidR="00E4237C" w:rsidRPr="00643DCF">
        <w:rPr>
          <w:i/>
          <w:color w:val="000000" w:themeColor="text1"/>
          <w:sz w:val="28"/>
          <w:szCs w:val="28"/>
        </w:rPr>
        <w:t>(ii)</w:t>
      </w:r>
      <w:r w:rsidR="00E4237C" w:rsidRPr="00643DCF">
        <w:rPr>
          <w:color w:val="000000" w:themeColor="text1"/>
          <w:sz w:val="28"/>
          <w:szCs w:val="28"/>
        </w:rPr>
        <w:t xml:space="preserve"> </w:t>
      </w:r>
      <w:r w:rsidR="00E4237C" w:rsidRPr="00643DCF">
        <w:rPr>
          <w:sz w:val="28"/>
          <w:szCs w:val="28"/>
        </w:rPr>
        <w:t xml:space="preserve">el alcance </w:t>
      </w:r>
      <w:r w:rsidR="00E4237C" w:rsidRPr="00643DCF">
        <w:rPr>
          <w:bCs/>
          <w:sz w:val="28"/>
          <w:szCs w:val="28"/>
        </w:rPr>
        <w:t xml:space="preserve">de la orden trigésima segunda de la </w:t>
      </w:r>
      <w:r w:rsidR="00C738B5" w:rsidRPr="00643DCF">
        <w:rPr>
          <w:bCs/>
          <w:sz w:val="28"/>
          <w:szCs w:val="28"/>
        </w:rPr>
        <w:t>s</w:t>
      </w:r>
      <w:r w:rsidR="00E4237C" w:rsidRPr="00643DCF">
        <w:rPr>
          <w:bCs/>
          <w:sz w:val="28"/>
          <w:szCs w:val="28"/>
        </w:rPr>
        <w:t xml:space="preserve">entencia T-760 de 2008; </w:t>
      </w:r>
      <w:r w:rsidR="00E4237C" w:rsidRPr="00643DCF">
        <w:rPr>
          <w:i/>
          <w:color w:val="000000" w:themeColor="text1"/>
          <w:sz w:val="28"/>
          <w:szCs w:val="28"/>
        </w:rPr>
        <w:t>(iii)</w:t>
      </w:r>
      <w:r w:rsidR="00E4237C" w:rsidRPr="00643DCF">
        <w:rPr>
          <w:color w:val="000000" w:themeColor="text1"/>
          <w:sz w:val="28"/>
          <w:szCs w:val="28"/>
        </w:rPr>
        <w:t xml:space="preserve"> realizará algunas precisiones sobre el deber de difusión de las decisiones judiciales y el principio de publicidad den</w:t>
      </w:r>
      <w:r w:rsidR="0023169D" w:rsidRPr="00643DCF">
        <w:rPr>
          <w:color w:val="000000" w:themeColor="text1"/>
          <w:sz w:val="28"/>
          <w:szCs w:val="28"/>
        </w:rPr>
        <w:t>tro de este tipo de actuaciones;</w:t>
      </w:r>
      <w:r w:rsidR="00E4237C" w:rsidRPr="00643DCF">
        <w:rPr>
          <w:color w:val="000000" w:themeColor="text1"/>
          <w:sz w:val="28"/>
          <w:szCs w:val="28"/>
        </w:rPr>
        <w:t xml:space="preserve"> </w:t>
      </w:r>
      <w:r w:rsidR="00E4237C" w:rsidRPr="00643DCF">
        <w:rPr>
          <w:i/>
          <w:color w:val="000000" w:themeColor="text1"/>
          <w:sz w:val="28"/>
          <w:szCs w:val="28"/>
        </w:rPr>
        <w:t>(iv)</w:t>
      </w:r>
      <w:r w:rsidR="00E4237C" w:rsidRPr="00643DCF">
        <w:rPr>
          <w:color w:val="000000" w:themeColor="text1"/>
          <w:sz w:val="28"/>
          <w:szCs w:val="28"/>
        </w:rPr>
        <w:t xml:space="preserve"> evaluar</w:t>
      </w:r>
      <w:r w:rsidR="0023169D" w:rsidRPr="00643DCF">
        <w:rPr>
          <w:color w:val="000000" w:themeColor="text1"/>
          <w:sz w:val="28"/>
          <w:szCs w:val="28"/>
        </w:rPr>
        <w:t>á</w:t>
      </w:r>
      <w:r w:rsidR="00E4237C" w:rsidRPr="00643DCF">
        <w:rPr>
          <w:color w:val="000000" w:themeColor="text1"/>
          <w:sz w:val="28"/>
          <w:szCs w:val="28"/>
        </w:rPr>
        <w:t xml:space="preserve"> las diferentes medidas adoptadas por el Consejo Superior de la Judicatura para dar acatamiento formal y material a la orden </w:t>
      </w:r>
      <w:r w:rsidR="00E4237C" w:rsidRPr="00643DCF">
        <w:rPr>
          <w:sz w:val="28"/>
          <w:szCs w:val="28"/>
        </w:rPr>
        <w:t>y culminará con</w:t>
      </w:r>
      <w:r w:rsidR="0023169D" w:rsidRPr="00643DCF">
        <w:rPr>
          <w:sz w:val="28"/>
          <w:szCs w:val="28"/>
        </w:rPr>
        <w:t>,</w:t>
      </w:r>
      <w:r w:rsidR="00E4237C" w:rsidRPr="00643DCF">
        <w:rPr>
          <w:sz w:val="28"/>
          <w:szCs w:val="28"/>
        </w:rPr>
        <w:t xml:space="preserve"> </w:t>
      </w:r>
      <w:r w:rsidR="00E4237C" w:rsidRPr="00643DCF">
        <w:rPr>
          <w:i/>
          <w:sz w:val="28"/>
          <w:szCs w:val="28"/>
        </w:rPr>
        <w:t>(v)</w:t>
      </w:r>
      <w:r w:rsidR="00E4237C" w:rsidRPr="00643DCF">
        <w:rPr>
          <w:sz w:val="28"/>
          <w:szCs w:val="28"/>
        </w:rPr>
        <w:t xml:space="preserve"> </w:t>
      </w:r>
      <w:r w:rsidR="00C54C90" w:rsidRPr="00643DCF">
        <w:rPr>
          <w:sz w:val="28"/>
          <w:szCs w:val="28"/>
        </w:rPr>
        <w:t>la v</w:t>
      </w:r>
      <w:r w:rsidR="0023169D" w:rsidRPr="00643DCF">
        <w:rPr>
          <w:sz w:val="28"/>
          <w:szCs w:val="28"/>
        </w:rPr>
        <w:t>alora</w:t>
      </w:r>
      <w:r w:rsidR="00C54C90" w:rsidRPr="00643DCF">
        <w:rPr>
          <w:sz w:val="28"/>
          <w:szCs w:val="28"/>
        </w:rPr>
        <w:t>ción d</w:t>
      </w:r>
      <w:r w:rsidR="0023169D" w:rsidRPr="00643DCF">
        <w:rPr>
          <w:sz w:val="28"/>
          <w:szCs w:val="28"/>
        </w:rPr>
        <w:t>el</w:t>
      </w:r>
      <w:r w:rsidR="00E4237C" w:rsidRPr="00643DCF">
        <w:rPr>
          <w:sz w:val="28"/>
          <w:szCs w:val="28"/>
        </w:rPr>
        <w:t xml:space="preserve"> nivel de cumplimiento</w:t>
      </w:r>
      <w:r w:rsidR="00DF1096" w:rsidRPr="00643DCF">
        <w:rPr>
          <w:sz w:val="28"/>
          <w:szCs w:val="28"/>
        </w:rPr>
        <w:t xml:space="preserve"> del</w:t>
      </w:r>
      <w:r w:rsidR="00E4237C" w:rsidRPr="00643DCF">
        <w:rPr>
          <w:sz w:val="28"/>
          <w:szCs w:val="28"/>
        </w:rPr>
        <w:t xml:space="preserve"> mandato examinado.</w:t>
      </w:r>
    </w:p>
    <w:p w14:paraId="31978A93" w14:textId="77777777" w:rsidR="00F17A9A" w:rsidRPr="00643DCF" w:rsidRDefault="00F17A9A" w:rsidP="00471BE7">
      <w:pPr>
        <w:tabs>
          <w:tab w:val="left" w:pos="426"/>
        </w:tabs>
        <w:jc w:val="both"/>
        <w:rPr>
          <w:sz w:val="28"/>
          <w:szCs w:val="28"/>
        </w:rPr>
      </w:pPr>
    </w:p>
    <w:p w14:paraId="22E14977" w14:textId="1E1C39F7" w:rsidR="00123F90" w:rsidRPr="00FA159B" w:rsidRDefault="009D2F4F" w:rsidP="000961E6">
      <w:pPr>
        <w:pStyle w:val="Prrafodelista"/>
        <w:shd w:val="clear" w:color="auto" w:fill="FFFFFF" w:themeFill="background1"/>
        <w:tabs>
          <w:tab w:val="left" w:pos="426"/>
        </w:tabs>
        <w:ind w:left="360"/>
        <w:contextualSpacing/>
        <w:jc w:val="both"/>
        <w:rPr>
          <w:sz w:val="28"/>
          <w:szCs w:val="28"/>
          <w:lang w:val="es-CR"/>
        </w:rPr>
      </w:pPr>
      <w:r w:rsidRPr="00643DCF">
        <w:rPr>
          <w:b/>
          <w:sz w:val="28"/>
          <w:szCs w:val="28"/>
        </w:rPr>
        <w:t>I</w:t>
      </w:r>
      <w:r w:rsidR="00DB44A7" w:rsidRPr="00643DCF">
        <w:rPr>
          <w:b/>
          <w:sz w:val="28"/>
          <w:szCs w:val="28"/>
        </w:rPr>
        <w:t>ntervención excepcional del j</w:t>
      </w:r>
      <w:r w:rsidR="00F6728B" w:rsidRPr="00643DCF">
        <w:rPr>
          <w:b/>
          <w:sz w:val="28"/>
          <w:szCs w:val="28"/>
        </w:rPr>
        <w:t xml:space="preserve">uez </w:t>
      </w:r>
      <w:r w:rsidR="00F6728B" w:rsidRPr="00FA159B">
        <w:rPr>
          <w:b/>
          <w:sz w:val="28"/>
          <w:szCs w:val="28"/>
        </w:rPr>
        <w:t xml:space="preserve">constitucional </w:t>
      </w:r>
      <w:r w:rsidR="007C229B" w:rsidRPr="00FA159B">
        <w:rPr>
          <w:b/>
          <w:sz w:val="28"/>
          <w:szCs w:val="28"/>
        </w:rPr>
        <w:t xml:space="preserve">en materia de políticas públicas </w:t>
      </w:r>
      <w:r w:rsidR="00F6728B" w:rsidRPr="00FA159B">
        <w:rPr>
          <w:b/>
          <w:sz w:val="28"/>
          <w:szCs w:val="28"/>
        </w:rPr>
        <w:t>y niveles de cumplimiento</w:t>
      </w:r>
    </w:p>
    <w:p w14:paraId="7CFDC6E4" w14:textId="77777777" w:rsidR="00F6728B" w:rsidRPr="00FA159B" w:rsidRDefault="00F6728B" w:rsidP="00F6728B">
      <w:pPr>
        <w:pStyle w:val="Prrafodelista"/>
        <w:shd w:val="clear" w:color="auto" w:fill="FFFFFF" w:themeFill="background1"/>
        <w:tabs>
          <w:tab w:val="left" w:pos="426"/>
        </w:tabs>
        <w:ind w:left="360"/>
        <w:contextualSpacing/>
        <w:jc w:val="both"/>
        <w:rPr>
          <w:sz w:val="28"/>
          <w:szCs w:val="28"/>
          <w:lang w:val="es-CR"/>
        </w:rPr>
      </w:pPr>
    </w:p>
    <w:p w14:paraId="40F17DDB" w14:textId="77777777" w:rsidR="005B4C00" w:rsidRPr="00643DCF" w:rsidRDefault="002713C0" w:rsidP="005B4C00">
      <w:pPr>
        <w:pStyle w:val="Prrafodelista"/>
        <w:tabs>
          <w:tab w:val="left" w:pos="426"/>
          <w:tab w:val="left" w:pos="567"/>
        </w:tabs>
        <w:ind w:left="0"/>
        <w:jc w:val="both"/>
        <w:rPr>
          <w:bCs/>
          <w:sz w:val="28"/>
          <w:szCs w:val="28"/>
        </w:rPr>
      </w:pPr>
      <w:r w:rsidRPr="00FA159B">
        <w:rPr>
          <w:sz w:val="28"/>
          <w:szCs w:val="28"/>
        </w:rPr>
        <w:t xml:space="preserve">6. </w:t>
      </w:r>
      <w:r w:rsidR="005B4C00" w:rsidRPr="00FA159B">
        <w:rPr>
          <w:sz w:val="28"/>
          <w:szCs w:val="28"/>
        </w:rPr>
        <w:t>Conforme al artículo 2º del Pacto Internacional de Derechos Económicos Sociales y Culturales</w:t>
      </w:r>
      <w:r w:rsidR="005B4C00" w:rsidRPr="00FA159B">
        <w:rPr>
          <w:rStyle w:val="Refdenotaalpie"/>
          <w:sz w:val="28"/>
          <w:szCs w:val="28"/>
        </w:rPr>
        <w:footnoteReference w:id="88"/>
      </w:r>
      <w:r w:rsidR="005B4C00" w:rsidRPr="00FA159B">
        <w:rPr>
          <w:sz w:val="28"/>
          <w:szCs w:val="28"/>
        </w:rPr>
        <w:t>, los Estados partes deben desplegar acciones tendientes a lograr la efectividad plena de los derechos reconocidos en tal compromiso.</w:t>
      </w:r>
    </w:p>
    <w:p w14:paraId="50079AA4" w14:textId="77777777" w:rsidR="005B4C00" w:rsidRPr="00643DCF" w:rsidRDefault="005B4C00" w:rsidP="00123F90">
      <w:pPr>
        <w:pStyle w:val="Sinespaciado"/>
        <w:jc w:val="both"/>
        <w:rPr>
          <w:rFonts w:ascii="Times New Roman" w:hAnsi="Times New Roman"/>
          <w:sz w:val="28"/>
          <w:szCs w:val="28"/>
        </w:rPr>
      </w:pPr>
    </w:p>
    <w:p w14:paraId="6C427412" w14:textId="08B972F4" w:rsidR="00123F90" w:rsidRPr="00643DCF" w:rsidRDefault="005B4C00" w:rsidP="00123F90">
      <w:pPr>
        <w:pStyle w:val="Sinespaciado"/>
        <w:jc w:val="both"/>
        <w:rPr>
          <w:rFonts w:ascii="Times New Roman" w:hAnsi="Times New Roman"/>
          <w:sz w:val="28"/>
          <w:szCs w:val="28"/>
        </w:rPr>
      </w:pPr>
      <w:r w:rsidRPr="00643DCF">
        <w:rPr>
          <w:rFonts w:ascii="Times New Roman" w:hAnsi="Times New Roman"/>
          <w:sz w:val="28"/>
          <w:szCs w:val="28"/>
        </w:rPr>
        <w:t xml:space="preserve">7. </w:t>
      </w:r>
      <w:r w:rsidR="00123F90" w:rsidRPr="00643DCF">
        <w:rPr>
          <w:rFonts w:ascii="Times New Roman" w:hAnsi="Times New Roman"/>
          <w:sz w:val="28"/>
          <w:szCs w:val="28"/>
        </w:rPr>
        <w:t xml:space="preserve">El seguimiento extraordinario que la Sala Especial realiza al acatamiento de las órdenes emitidas en la </w:t>
      </w:r>
      <w:r w:rsidR="00EA280E" w:rsidRPr="00643DCF">
        <w:rPr>
          <w:rFonts w:ascii="Times New Roman" w:hAnsi="Times New Roman"/>
          <w:sz w:val="28"/>
          <w:szCs w:val="28"/>
        </w:rPr>
        <w:t>s</w:t>
      </w:r>
      <w:r w:rsidR="00123F90" w:rsidRPr="00643DCF">
        <w:rPr>
          <w:rFonts w:ascii="Times New Roman" w:hAnsi="Times New Roman"/>
          <w:sz w:val="28"/>
          <w:szCs w:val="28"/>
        </w:rPr>
        <w:t>entencia T-760 de 2008</w:t>
      </w:r>
      <w:r w:rsidR="007F1D78">
        <w:rPr>
          <w:rFonts w:ascii="Times New Roman" w:hAnsi="Times New Roman"/>
          <w:sz w:val="28"/>
          <w:szCs w:val="28"/>
        </w:rPr>
        <w:t>,</w:t>
      </w:r>
      <w:r w:rsidR="00123F90" w:rsidRPr="00643DCF">
        <w:rPr>
          <w:rFonts w:ascii="Times New Roman" w:hAnsi="Times New Roman"/>
          <w:sz w:val="28"/>
          <w:szCs w:val="28"/>
        </w:rPr>
        <w:t xml:space="preserve"> tiene fundamento en la persistencia de afectaciones sobre el goce efectivo del derecho a la salud</w:t>
      </w:r>
      <w:r w:rsidR="00DF1096" w:rsidRPr="00643DCF">
        <w:rPr>
          <w:rFonts w:ascii="Times New Roman" w:hAnsi="Times New Roman"/>
          <w:sz w:val="28"/>
          <w:szCs w:val="28"/>
        </w:rPr>
        <w:t>.</w:t>
      </w:r>
      <w:r w:rsidR="00123F90" w:rsidRPr="00643DCF">
        <w:rPr>
          <w:rFonts w:ascii="Times New Roman" w:hAnsi="Times New Roman"/>
          <w:sz w:val="28"/>
          <w:szCs w:val="28"/>
        </w:rPr>
        <w:t xml:space="preserve"> </w:t>
      </w:r>
      <w:r w:rsidR="00DF1096" w:rsidRPr="00643DCF">
        <w:rPr>
          <w:rFonts w:ascii="Times New Roman" w:hAnsi="Times New Roman"/>
          <w:sz w:val="28"/>
          <w:szCs w:val="28"/>
        </w:rPr>
        <w:t>E</w:t>
      </w:r>
      <w:r w:rsidR="00123F90" w:rsidRPr="00643DCF">
        <w:rPr>
          <w:rFonts w:ascii="Times New Roman" w:hAnsi="Times New Roman"/>
          <w:sz w:val="28"/>
          <w:szCs w:val="28"/>
        </w:rPr>
        <w:t xml:space="preserve">l tiempo que se ha dispuesto para observar los mandatos generales al no </w:t>
      </w:r>
      <w:r w:rsidR="007F1D78">
        <w:rPr>
          <w:rFonts w:ascii="Times New Roman" w:hAnsi="Times New Roman"/>
          <w:sz w:val="28"/>
          <w:szCs w:val="28"/>
        </w:rPr>
        <w:t>cumplirse</w:t>
      </w:r>
      <w:r w:rsidR="00DB44A7" w:rsidRPr="00643DCF">
        <w:rPr>
          <w:rFonts w:ascii="Times New Roman" w:hAnsi="Times New Roman"/>
          <w:sz w:val="28"/>
          <w:szCs w:val="28"/>
        </w:rPr>
        <w:t xml:space="preserve"> </w:t>
      </w:r>
      <w:r w:rsidR="00123F90" w:rsidRPr="00643DCF">
        <w:rPr>
          <w:rFonts w:ascii="Times New Roman" w:hAnsi="Times New Roman"/>
          <w:sz w:val="28"/>
          <w:szCs w:val="28"/>
        </w:rPr>
        <w:t>integralmente exponen la eficacia de la providencia para la garantía del Estado social de derecho</w:t>
      </w:r>
      <w:r w:rsidR="00123F90" w:rsidRPr="00643DCF">
        <w:rPr>
          <w:rStyle w:val="Refdenotaalpie"/>
          <w:rFonts w:ascii="Times New Roman" w:hAnsi="Times New Roman"/>
          <w:sz w:val="28"/>
          <w:szCs w:val="28"/>
        </w:rPr>
        <w:footnoteReference w:id="89"/>
      </w:r>
      <w:r w:rsidR="004D3867" w:rsidRPr="00643DCF">
        <w:rPr>
          <w:rFonts w:ascii="Times New Roman" w:hAnsi="Times New Roman"/>
          <w:sz w:val="28"/>
          <w:szCs w:val="28"/>
        </w:rPr>
        <w:t>, y</w:t>
      </w:r>
      <w:r w:rsidR="009D2F4F" w:rsidRPr="00643DCF">
        <w:rPr>
          <w:rFonts w:ascii="Times New Roman" w:hAnsi="Times New Roman"/>
          <w:sz w:val="28"/>
          <w:szCs w:val="28"/>
        </w:rPr>
        <w:t xml:space="preserve"> el </w:t>
      </w:r>
      <w:r w:rsidR="007F1D78" w:rsidRPr="00643DCF">
        <w:rPr>
          <w:rFonts w:ascii="Times New Roman" w:hAnsi="Times New Roman"/>
          <w:sz w:val="28"/>
          <w:szCs w:val="28"/>
        </w:rPr>
        <w:t>respeto</w:t>
      </w:r>
      <w:r w:rsidR="009D2F4F" w:rsidRPr="00643DCF">
        <w:rPr>
          <w:rFonts w:ascii="Times New Roman" w:hAnsi="Times New Roman"/>
          <w:sz w:val="28"/>
          <w:szCs w:val="28"/>
        </w:rPr>
        <w:t xml:space="preserve"> de los fines esenciales como efectividad de los derechos (arts. 1º y 2º superior), </w:t>
      </w:r>
      <w:r w:rsidR="00123F90" w:rsidRPr="00643DCF">
        <w:rPr>
          <w:rFonts w:ascii="Times New Roman" w:hAnsi="Times New Roman"/>
          <w:sz w:val="28"/>
          <w:szCs w:val="28"/>
        </w:rPr>
        <w:t xml:space="preserve">lo cual </w:t>
      </w:r>
      <w:r w:rsidR="00DF1096" w:rsidRPr="00643DCF">
        <w:rPr>
          <w:rFonts w:ascii="Times New Roman" w:hAnsi="Times New Roman"/>
          <w:sz w:val="28"/>
          <w:szCs w:val="28"/>
        </w:rPr>
        <w:t>hace</w:t>
      </w:r>
      <w:r w:rsidR="00123F90" w:rsidRPr="00643DCF">
        <w:rPr>
          <w:rFonts w:ascii="Times New Roman" w:hAnsi="Times New Roman"/>
          <w:sz w:val="28"/>
          <w:szCs w:val="28"/>
        </w:rPr>
        <w:t xml:space="preserve"> que el control judicial </w:t>
      </w:r>
      <w:r w:rsidR="00DF1096" w:rsidRPr="00643DCF">
        <w:rPr>
          <w:rFonts w:ascii="Times New Roman" w:hAnsi="Times New Roman"/>
          <w:sz w:val="28"/>
          <w:szCs w:val="28"/>
        </w:rPr>
        <w:t xml:space="preserve">tienda a ser </w:t>
      </w:r>
      <w:r w:rsidR="00123F90" w:rsidRPr="00643DCF">
        <w:rPr>
          <w:rFonts w:ascii="Times New Roman" w:hAnsi="Times New Roman"/>
          <w:sz w:val="28"/>
          <w:szCs w:val="28"/>
        </w:rPr>
        <w:t>más activo</w:t>
      </w:r>
      <w:r w:rsidR="004D3867" w:rsidRPr="00643DCF">
        <w:rPr>
          <w:rFonts w:ascii="Times New Roman" w:hAnsi="Times New Roman"/>
          <w:sz w:val="28"/>
          <w:szCs w:val="28"/>
        </w:rPr>
        <w:t xml:space="preserve"> en la búsqueda de la superación definitiva de los obstáculos que impidan el goce y disfrute del derecho a la salud</w:t>
      </w:r>
      <w:r w:rsidR="00B6470D" w:rsidRPr="00643DCF">
        <w:rPr>
          <w:rStyle w:val="Refdenotaalpie"/>
          <w:rFonts w:ascii="Times New Roman" w:hAnsi="Times New Roman"/>
          <w:i/>
          <w:sz w:val="28"/>
          <w:szCs w:val="28"/>
          <w:lang w:val="es-CR"/>
        </w:rPr>
        <w:footnoteReference w:id="90"/>
      </w:r>
      <w:r w:rsidR="00123F90" w:rsidRPr="00643DCF">
        <w:rPr>
          <w:rFonts w:ascii="Times New Roman" w:hAnsi="Times New Roman"/>
          <w:sz w:val="28"/>
          <w:szCs w:val="28"/>
        </w:rPr>
        <w:t xml:space="preserve">. </w:t>
      </w:r>
    </w:p>
    <w:p w14:paraId="3BCABDA2" w14:textId="77777777" w:rsidR="005157CD" w:rsidRPr="00643DCF" w:rsidRDefault="005157CD" w:rsidP="00123F90">
      <w:pPr>
        <w:pStyle w:val="Sinespaciado"/>
        <w:jc w:val="both"/>
        <w:rPr>
          <w:rFonts w:ascii="Times New Roman" w:hAnsi="Times New Roman"/>
          <w:sz w:val="28"/>
          <w:szCs w:val="28"/>
        </w:rPr>
      </w:pPr>
    </w:p>
    <w:p w14:paraId="7C0E2334" w14:textId="3A65ACD3" w:rsidR="00123F90" w:rsidRPr="00643DCF" w:rsidRDefault="00F66D29" w:rsidP="0054531D">
      <w:pPr>
        <w:pStyle w:val="Sinespaciado"/>
        <w:jc w:val="both"/>
        <w:rPr>
          <w:rFonts w:ascii="Times New Roman" w:hAnsi="Times New Roman"/>
          <w:sz w:val="28"/>
          <w:szCs w:val="28"/>
          <w:lang w:eastAsia="es-ES_tradnl"/>
        </w:rPr>
      </w:pPr>
      <w:r w:rsidRPr="00643DCF">
        <w:rPr>
          <w:rFonts w:ascii="Times New Roman" w:hAnsi="Times New Roman"/>
          <w:sz w:val="28"/>
          <w:szCs w:val="28"/>
          <w:lang w:eastAsia="es-ES_tradnl"/>
        </w:rPr>
        <w:t>8</w:t>
      </w:r>
      <w:r w:rsidR="002713C0" w:rsidRPr="00643DCF">
        <w:rPr>
          <w:rFonts w:ascii="Times New Roman" w:hAnsi="Times New Roman"/>
          <w:sz w:val="28"/>
          <w:szCs w:val="28"/>
          <w:lang w:eastAsia="es-ES_tradnl"/>
        </w:rPr>
        <w:t xml:space="preserve">. </w:t>
      </w:r>
      <w:r w:rsidR="00123F90" w:rsidRPr="00643DCF">
        <w:rPr>
          <w:rFonts w:ascii="Times New Roman" w:hAnsi="Times New Roman"/>
          <w:sz w:val="28"/>
          <w:szCs w:val="28"/>
          <w:lang w:eastAsia="es-ES_tradnl"/>
        </w:rPr>
        <w:t>La intervención del juez constitucional en materia de políticas públicas ha de ser excepcional y, por ende, justificada ante situaciones complejas de bloqueos institucionales o prácticas inconstitucionales</w:t>
      </w:r>
      <w:r w:rsidR="005B34C6" w:rsidRPr="00643DCF">
        <w:rPr>
          <w:rStyle w:val="Refdenotaalpie"/>
          <w:rFonts w:ascii="Times New Roman" w:hAnsi="Times New Roman"/>
          <w:sz w:val="28"/>
          <w:szCs w:val="28"/>
          <w:lang w:eastAsia="es-ES_tradnl"/>
        </w:rPr>
        <w:footnoteReference w:id="91"/>
      </w:r>
      <w:r w:rsidR="00123F90" w:rsidRPr="00643DCF">
        <w:rPr>
          <w:rFonts w:ascii="Times New Roman" w:hAnsi="Times New Roman"/>
          <w:sz w:val="28"/>
          <w:szCs w:val="28"/>
          <w:lang w:eastAsia="es-ES_tradnl"/>
        </w:rPr>
        <w:t xml:space="preserve">, toda vez que el diseño e implementación son competencias del Gobierno </w:t>
      </w:r>
      <w:r w:rsidR="00C55747" w:rsidRPr="00643DCF">
        <w:rPr>
          <w:rFonts w:ascii="Times New Roman" w:hAnsi="Times New Roman"/>
          <w:sz w:val="28"/>
          <w:szCs w:val="28"/>
          <w:lang w:eastAsia="es-ES_tradnl"/>
        </w:rPr>
        <w:t>N</w:t>
      </w:r>
      <w:r w:rsidR="00123F90" w:rsidRPr="00643DCF">
        <w:rPr>
          <w:rFonts w:ascii="Times New Roman" w:hAnsi="Times New Roman"/>
          <w:sz w:val="28"/>
          <w:szCs w:val="28"/>
          <w:lang w:eastAsia="es-ES_tradnl"/>
        </w:rPr>
        <w:t>acional. Entonces, la función judicial constitucional</w:t>
      </w:r>
      <w:r w:rsidR="00223A47" w:rsidRPr="00643DCF">
        <w:rPr>
          <w:rFonts w:ascii="Times New Roman" w:hAnsi="Times New Roman"/>
          <w:sz w:val="28"/>
          <w:szCs w:val="28"/>
          <w:lang w:eastAsia="es-ES_tradnl"/>
        </w:rPr>
        <w:t xml:space="preserve"> en principio</w:t>
      </w:r>
      <w:r w:rsidR="00123F90" w:rsidRPr="00643DCF">
        <w:rPr>
          <w:rFonts w:ascii="Times New Roman" w:hAnsi="Times New Roman"/>
          <w:sz w:val="28"/>
          <w:szCs w:val="28"/>
          <w:lang w:eastAsia="es-ES_tradnl"/>
        </w:rPr>
        <w:t xml:space="preserve"> se expone deferente frente a las competencias de las autoridades responsables, generando </w:t>
      </w:r>
      <w:r w:rsidR="00123F90" w:rsidRPr="00643DCF">
        <w:rPr>
          <w:rFonts w:ascii="Times New Roman" w:hAnsi="Times New Roman"/>
          <w:sz w:val="28"/>
          <w:szCs w:val="28"/>
        </w:rPr>
        <w:t>espacios</w:t>
      </w:r>
      <w:r w:rsidR="00123F90" w:rsidRPr="00643DCF">
        <w:rPr>
          <w:rFonts w:ascii="Times New Roman" w:hAnsi="Times New Roman"/>
          <w:sz w:val="28"/>
          <w:szCs w:val="28"/>
          <w:lang w:eastAsia="es-ES_tradnl"/>
        </w:rPr>
        <w:t xml:space="preserve"> de interacción y diálogo entre los actores</w:t>
      </w:r>
      <w:r w:rsidR="0023169D" w:rsidRPr="00643DCF">
        <w:rPr>
          <w:rFonts w:ascii="Times New Roman" w:hAnsi="Times New Roman"/>
          <w:sz w:val="28"/>
          <w:szCs w:val="28"/>
          <w:lang w:eastAsia="es-ES_tradnl"/>
        </w:rPr>
        <w:t xml:space="preserve"> del sistema</w:t>
      </w:r>
      <w:r w:rsidR="00123F90" w:rsidRPr="00643DCF">
        <w:rPr>
          <w:rStyle w:val="Refdenotaalpie"/>
          <w:rFonts w:ascii="Times New Roman" w:hAnsi="Times New Roman"/>
          <w:sz w:val="28"/>
          <w:szCs w:val="28"/>
          <w:lang w:eastAsia="es-ES_tradnl"/>
        </w:rPr>
        <w:footnoteReference w:id="92"/>
      </w:r>
      <w:r w:rsidR="00123F90" w:rsidRPr="00643DCF">
        <w:rPr>
          <w:rFonts w:ascii="Times New Roman" w:hAnsi="Times New Roman"/>
          <w:sz w:val="28"/>
          <w:szCs w:val="28"/>
          <w:lang w:eastAsia="es-ES_tradnl"/>
        </w:rPr>
        <w:t xml:space="preserve">. </w:t>
      </w:r>
    </w:p>
    <w:p w14:paraId="1762D678" w14:textId="77777777" w:rsidR="00123F90" w:rsidRPr="00643DCF" w:rsidRDefault="00123F90" w:rsidP="00123F90">
      <w:pPr>
        <w:pStyle w:val="Prrafodelista"/>
        <w:ind w:left="0"/>
        <w:jc w:val="both"/>
        <w:rPr>
          <w:sz w:val="28"/>
          <w:szCs w:val="28"/>
          <w:lang w:eastAsia="es-ES_tradnl"/>
        </w:rPr>
      </w:pPr>
    </w:p>
    <w:p w14:paraId="45CA838C" w14:textId="18653817" w:rsidR="00123F90" w:rsidRDefault="00F66D29" w:rsidP="00123F90">
      <w:pPr>
        <w:pStyle w:val="Prrafodelista"/>
        <w:ind w:left="0"/>
        <w:jc w:val="both"/>
        <w:rPr>
          <w:sz w:val="28"/>
          <w:szCs w:val="28"/>
          <w:lang w:eastAsia="es-ES_tradnl"/>
        </w:rPr>
      </w:pPr>
      <w:r w:rsidRPr="00643DCF">
        <w:rPr>
          <w:sz w:val="28"/>
          <w:szCs w:val="28"/>
          <w:lang w:eastAsia="es-ES_tradnl"/>
        </w:rPr>
        <w:t>9</w:t>
      </w:r>
      <w:r w:rsidR="002713C0" w:rsidRPr="00643DCF">
        <w:rPr>
          <w:sz w:val="28"/>
          <w:szCs w:val="28"/>
          <w:lang w:eastAsia="es-ES_tradnl"/>
        </w:rPr>
        <w:t xml:space="preserve">. </w:t>
      </w:r>
      <w:r w:rsidR="00123F90" w:rsidRPr="00643DCF">
        <w:rPr>
          <w:sz w:val="28"/>
          <w:szCs w:val="28"/>
          <w:lang w:val="es-ES" w:eastAsia="es-ES_tradnl"/>
        </w:rPr>
        <w:t xml:space="preserve">Este Tribunal ha valorado </w:t>
      </w:r>
      <w:r w:rsidR="00223A47" w:rsidRPr="00643DCF">
        <w:rPr>
          <w:sz w:val="28"/>
          <w:szCs w:val="28"/>
          <w:lang w:val="es-ES" w:eastAsia="es-ES_tradnl"/>
        </w:rPr>
        <w:t xml:space="preserve">la </w:t>
      </w:r>
      <w:r w:rsidR="00947FA6" w:rsidRPr="00643DCF">
        <w:rPr>
          <w:sz w:val="28"/>
          <w:szCs w:val="28"/>
          <w:lang w:val="es-ES" w:eastAsia="es-ES_tradnl"/>
        </w:rPr>
        <w:t xml:space="preserve">mayoría </w:t>
      </w:r>
      <w:r w:rsidR="00123F90" w:rsidRPr="00643DCF">
        <w:rPr>
          <w:sz w:val="28"/>
          <w:szCs w:val="28"/>
          <w:lang w:val="es-ES" w:eastAsia="es-ES_tradnl"/>
        </w:rPr>
        <w:t>de las órdenes durante los diez años que han transcurrido desde la expedición del fallo estructural</w:t>
      </w:r>
      <w:r w:rsidR="00123F90" w:rsidRPr="00643DCF">
        <w:rPr>
          <w:sz w:val="28"/>
          <w:szCs w:val="28"/>
          <w:vertAlign w:val="superscript"/>
          <w:lang w:val="es-ES" w:eastAsia="es-ES_tradnl"/>
        </w:rPr>
        <w:footnoteReference w:id="93"/>
      </w:r>
      <w:r w:rsidR="00123F90" w:rsidRPr="00643DCF">
        <w:rPr>
          <w:sz w:val="28"/>
          <w:szCs w:val="28"/>
          <w:lang w:val="es-ES" w:eastAsia="es-ES_tradnl"/>
        </w:rPr>
        <w:t xml:space="preserve">. </w:t>
      </w:r>
      <w:r w:rsidR="00123F90" w:rsidRPr="00643DCF">
        <w:rPr>
          <w:sz w:val="28"/>
          <w:szCs w:val="28"/>
          <w:lang w:eastAsia="es-ES_tradnl"/>
        </w:rPr>
        <w:t xml:space="preserve">El tiempo que ha </w:t>
      </w:r>
      <w:r w:rsidR="00123F90" w:rsidRPr="00643DCF">
        <w:rPr>
          <w:sz w:val="28"/>
          <w:szCs w:val="28"/>
          <w:lang w:eastAsia="es-ES_tradnl"/>
        </w:rPr>
        <w:lastRenderedPageBreak/>
        <w:t>acontecido, a partir del momento en que fueron emitidas, hac</w:t>
      </w:r>
      <w:r w:rsidR="00067016" w:rsidRPr="00643DCF">
        <w:rPr>
          <w:sz w:val="28"/>
          <w:szCs w:val="28"/>
          <w:lang w:eastAsia="es-ES_tradnl"/>
        </w:rPr>
        <w:t>e</w:t>
      </w:r>
      <w:r w:rsidR="00123F90" w:rsidRPr="00643DCF">
        <w:rPr>
          <w:sz w:val="28"/>
          <w:szCs w:val="28"/>
          <w:lang w:eastAsia="es-ES_tradnl"/>
        </w:rPr>
        <w:t xml:space="preserve"> más riguroso el seguimiento jurisdiccional para evitar que las providencias de la Corte </w:t>
      </w:r>
      <w:r w:rsidR="00067016" w:rsidRPr="00643DCF">
        <w:rPr>
          <w:sz w:val="28"/>
          <w:szCs w:val="28"/>
          <w:lang w:eastAsia="es-ES_tradnl"/>
        </w:rPr>
        <w:t xml:space="preserve">terminen en una </w:t>
      </w:r>
      <w:r w:rsidR="00123F90" w:rsidRPr="00643DCF">
        <w:rPr>
          <w:sz w:val="28"/>
          <w:szCs w:val="28"/>
          <w:lang w:eastAsia="es-ES_tradnl"/>
        </w:rPr>
        <w:t>simbología. Ello</w:t>
      </w:r>
      <w:r w:rsidR="00067016" w:rsidRPr="00643DCF">
        <w:rPr>
          <w:sz w:val="28"/>
          <w:szCs w:val="28"/>
          <w:lang w:eastAsia="es-ES_tradnl"/>
        </w:rPr>
        <w:t xml:space="preserve"> </w:t>
      </w:r>
      <w:r w:rsidR="00123F90" w:rsidRPr="00643DCF">
        <w:rPr>
          <w:sz w:val="28"/>
          <w:szCs w:val="28"/>
          <w:lang w:eastAsia="es-ES_tradnl"/>
        </w:rPr>
        <w:t>sin desconocer los avances significativos que</w:t>
      </w:r>
      <w:r w:rsidR="00067016" w:rsidRPr="00643DCF">
        <w:rPr>
          <w:sz w:val="28"/>
          <w:szCs w:val="28"/>
          <w:lang w:eastAsia="es-ES_tradnl"/>
        </w:rPr>
        <w:t xml:space="preserve"> paulatinamente</w:t>
      </w:r>
      <w:r w:rsidR="00123F90" w:rsidRPr="00643DCF">
        <w:rPr>
          <w:sz w:val="28"/>
          <w:szCs w:val="28"/>
          <w:lang w:eastAsia="es-ES_tradnl"/>
        </w:rPr>
        <w:t xml:space="preserve"> se han registrado</w:t>
      </w:r>
      <w:r w:rsidR="00067016" w:rsidRPr="00643DCF">
        <w:rPr>
          <w:sz w:val="28"/>
          <w:szCs w:val="28"/>
          <w:lang w:eastAsia="es-ES_tradnl"/>
        </w:rPr>
        <w:t xml:space="preserve"> </w:t>
      </w:r>
      <w:r w:rsidR="00123F90" w:rsidRPr="00643DCF">
        <w:rPr>
          <w:sz w:val="28"/>
          <w:szCs w:val="28"/>
          <w:lang w:eastAsia="es-ES_tradnl"/>
        </w:rPr>
        <w:t>a través de las medidas gubernamentales adoptadas</w:t>
      </w:r>
      <w:r w:rsidR="00067016" w:rsidRPr="00643DCF">
        <w:rPr>
          <w:sz w:val="28"/>
          <w:szCs w:val="28"/>
          <w:lang w:eastAsia="es-ES_tradnl"/>
        </w:rPr>
        <w:t xml:space="preserve"> e implementadas</w:t>
      </w:r>
      <w:r w:rsidR="00123F90" w:rsidRPr="00643DCF">
        <w:rPr>
          <w:sz w:val="28"/>
          <w:szCs w:val="28"/>
          <w:lang w:eastAsia="es-ES_tradnl"/>
        </w:rPr>
        <w:t>.</w:t>
      </w:r>
    </w:p>
    <w:p w14:paraId="065D940C" w14:textId="77777777" w:rsidR="00CA7688" w:rsidRPr="00643DCF" w:rsidRDefault="00CA7688" w:rsidP="00123F90">
      <w:pPr>
        <w:pStyle w:val="Prrafodelista"/>
        <w:ind w:left="0"/>
        <w:jc w:val="both"/>
        <w:rPr>
          <w:sz w:val="28"/>
          <w:szCs w:val="28"/>
          <w:lang w:eastAsia="es-ES_tradnl"/>
        </w:rPr>
      </w:pPr>
    </w:p>
    <w:p w14:paraId="093C9136" w14:textId="037256DA" w:rsidR="00123F90" w:rsidRPr="00643DCF" w:rsidRDefault="00F66D29" w:rsidP="00123F90">
      <w:pPr>
        <w:pStyle w:val="Prrafodelista"/>
        <w:ind w:left="0"/>
        <w:jc w:val="both"/>
        <w:rPr>
          <w:sz w:val="28"/>
          <w:szCs w:val="28"/>
          <w:lang w:eastAsia="es-ES_tradnl"/>
        </w:rPr>
      </w:pPr>
      <w:r w:rsidRPr="00643DCF">
        <w:rPr>
          <w:sz w:val="28"/>
          <w:szCs w:val="28"/>
          <w:lang w:eastAsia="es-ES_tradnl"/>
        </w:rPr>
        <w:t>10</w:t>
      </w:r>
      <w:r w:rsidR="002713C0" w:rsidRPr="00643DCF">
        <w:rPr>
          <w:sz w:val="28"/>
          <w:szCs w:val="28"/>
          <w:lang w:eastAsia="es-ES_tradnl"/>
        </w:rPr>
        <w:t xml:space="preserve">. </w:t>
      </w:r>
      <w:r w:rsidR="00252C49" w:rsidRPr="00643DCF">
        <w:rPr>
          <w:sz w:val="28"/>
          <w:szCs w:val="28"/>
          <w:lang w:eastAsia="es-ES_tradnl"/>
        </w:rPr>
        <w:t>La labor</w:t>
      </w:r>
      <w:r w:rsidR="00123F90" w:rsidRPr="00643DCF">
        <w:rPr>
          <w:sz w:val="28"/>
          <w:szCs w:val="28"/>
          <w:lang w:eastAsia="es-ES_tradnl"/>
        </w:rPr>
        <w:t xml:space="preserve"> actual de la Sala de Seguimiento </w:t>
      </w:r>
      <w:r w:rsidR="00067016" w:rsidRPr="00643DCF">
        <w:rPr>
          <w:sz w:val="28"/>
          <w:szCs w:val="28"/>
          <w:lang w:eastAsia="es-ES_tradnl"/>
        </w:rPr>
        <w:t xml:space="preserve">expone </w:t>
      </w:r>
      <w:r w:rsidR="00123F90" w:rsidRPr="00643DCF">
        <w:rPr>
          <w:sz w:val="28"/>
          <w:szCs w:val="28"/>
          <w:lang w:eastAsia="es-ES_tradnl"/>
        </w:rPr>
        <w:t>una supervisión respetuosa de las competencias gubernamentales, que, lejos de interferir en el diseño de las políticas públicas en salud, busca generar</w:t>
      </w:r>
      <w:r w:rsidR="00420302" w:rsidRPr="00643DCF">
        <w:rPr>
          <w:sz w:val="28"/>
          <w:szCs w:val="28"/>
          <w:lang w:eastAsia="es-ES_tradnl"/>
        </w:rPr>
        <w:t xml:space="preserve"> de forma dialogada y constructiva</w:t>
      </w:r>
      <w:r w:rsidR="00123F90" w:rsidRPr="00643DCF">
        <w:rPr>
          <w:sz w:val="28"/>
          <w:szCs w:val="28"/>
          <w:lang w:eastAsia="es-ES_tradnl"/>
        </w:rPr>
        <w:t xml:space="preserve"> soluciones oportunas y eficaces para la superación definitiva del déficit en materia de salud</w:t>
      </w:r>
      <w:r w:rsidR="00123F90" w:rsidRPr="00643DCF">
        <w:rPr>
          <w:rStyle w:val="Refdenotaalpie"/>
          <w:sz w:val="28"/>
          <w:szCs w:val="28"/>
          <w:lang w:eastAsia="es-ES_tradnl"/>
        </w:rPr>
        <w:footnoteReference w:id="94"/>
      </w:r>
      <w:r w:rsidR="00123F90" w:rsidRPr="00643DCF">
        <w:rPr>
          <w:sz w:val="28"/>
          <w:szCs w:val="28"/>
          <w:lang w:eastAsia="es-ES_tradnl"/>
        </w:rPr>
        <w:t xml:space="preserve">. </w:t>
      </w:r>
      <w:r w:rsidR="00067016" w:rsidRPr="00643DCF">
        <w:rPr>
          <w:sz w:val="28"/>
          <w:szCs w:val="28"/>
          <w:lang w:eastAsia="es-ES_tradnl"/>
        </w:rPr>
        <w:t xml:space="preserve">Por lo </w:t>
      </w:r>
      <w:r w:rsidR="00123F90" w:rsidRPr="00643DCF">
        <w:rPr>
          <w:sz w:val="28"/>
          <w:szCs w:val="28"/>
          <w:lang w:eastAsia="es-ES_tradnl"/>
        </w:rPr>
        <w:t>tanto, esta Corte podrá acudir a</w:t>
      </w:r>
      <w:r w:rsidR="00067016" w:rsidRPr="00643DCF">
        <w:rPr>
          <w:sz w:val="28"/>
          <w:szCs w:val="28"/>
          <w:lang w:eastAsia="es-ES_tradnl"/>
        </w:rPr>
        <w:t xml:space="preserve"> diversos</w:t>
      </w:r>
      <w:r w:rsidR="00123F90" w:rsidRPr="00643DCF">
        <w:rPr>
          <w:sz w:val="28"/>
          <w:szCs w:val="28"/>
          <w:lang w:eastAsia="es-ES_tradnl"/>
        </w:rPr>
        <w:t xml:space="preserve"> mecanismos como el desarrollo de sesiones técnicas para la superación de obstáculos, solicitud</w:t>
      </w:r>
      <w:r w:rsidR="00067016" w:rsidRPr="00643DCF">
        <w:rPr>
          <w:sz w:val="28"/>
          <w:szCs w:val="28"/>
          <w:lang w:eastAsia="es-ES_tradnl"/>
        </w:rPr>
        <w:t>es</w:t>
      </w:r>
      <w:r w:rsidR="00123F90" w:rsidRPr="00643DCF">
        <w:rPr>
          <w:sz w:val="28"/>
          <w:szCs w:val="28"/>
          <w:lang w:eastAsia="es-ES_tradnl"/>
        </w:rPr>
        <w:t xml:space="preserve"> de informes de progreso y valoraciones de</w:t>
      </w:r>
      <w:r w:rsidR="00FA1B43" w:rsidRPr="00643DCF">
        <w:rPr>
          <w:sz w:val="28"/>
          <w:szCs w:val="28"/>
          <w:lang w:eastAsia="es-ES_tradnl"/>
        </w:rPr>
        <w:t xml:space="preserve"> las</w:t>
      </w:r>
      <w:r w:rsidR="00123F90" w:rsidRPr="00643DCF">
        <w:rPr>
          <w:sz w:val="28"/>
          <w:szCs w:val="28"/>
          <w:lang w:eastAsia="es-ES_tradnl"/>
        </w:rPr>
        <w:t xml:space="preserve"> órdenes impartidas, además de las inspecciones judiciales</w:t>
      </w:r>
      <w:r w:rsidR="00420302" w:rsidRPr="00643DCF">
        <w:rPr>
          <w:sz w:val="28"/>
          <w:szCs w:val="28"/>
          <w:lang w:eastAsia="es-ES_tradnl"/>
        </w:rPr>
        <w:t>, entre otras</w:t>
      </w:r>
      <w:r w:rsidR="00123F90" w:rsidRPr="00643DCF">
        <w:rPr>
          <w:sz w:val="28"/>
          <w:szCs w:val="28"/>
          <w:lang w:eastAsia="es-ES_tradnl"/>
        </w:rPr>
        <w:t>.</w:t>
      </w:r>
      <w:r w:rsidR="00123F90" w:rsidRPr="00643DCF">
        <w:rPr>
          <w:rStyle w:val="Refdenotaalpie"/>
          <w:sz w:val="28"/>
          <w:szCs w:val="28"/>
          <w:lang w:eastAsia="es-ES_tradnl"/>
        </w:rPr>
        <w:footnoteReference w:id="95"/>
      </w:r>
    </w:p>
    <w:p w14:paraId="2027F020" w14:textId="77777777" w:rsidR="002713C0" w:rsidRPr="00643DCF" w:rsidRDefault="002713C0" w:rsidP="00123F90">
      <w:pPr>
        <w:pStyle w:val="Prrafodelista"/>
        <w:ind w:left="0"/>
        <w:jc w:val="both"/>
        <w:rPr>
          <w:sz w:val="28"/>
          <w:szCs w:val="28"/>
          <w:lang w:eastAsia="es-ES_tradnl"/>
        </w:rPr>
      </w:pPr>
    </w:p>
    <w:p w14:paraId="2C35FB18" w14:textId="3C5110A1" w:rsidR="00123F90" w:rsidRPr="00643DCF" w:rsidRDefault="002713C0" w:rsidP="00123F90">
      <w:pPr>
        <w:pStyle w:val="Prrafodelista"/>
        <w:ind w:left="0"/>
        <w:jc w:val="both"/>
        <w:rPr>
          <w:sz w:val="28"/>
          <w:szCs w:val="28"/>
          <w:lang w:eastAsia="es-ES_tradnl"/>
        </w:rPr>
      </w:pPr>
      <w:r w:rsidRPr="00643DCF">
        <w:rPr>
          <w:sz w:val="28"/>
          <w:szCs w:val="28"/>
          <w:lang w:eastAsia="es-ES_tradnl"/>
        </w:rPr>
        <w:t>1</w:t>
      </w:r>
      <w:r w:rsidR="00F66D29" w:rsidRPr="00643DCF">
        <w:rPr>
          <w:sz w:val="28"/>
          <w:szCs w:val="28"/>
          <w:lang w:eastAsia="es-ES_tradnl"/>
        </w:rPr>
        <w:t>1</w:t>
      </w:r>
      <w:r w:rsidRPr="00643DCF">
        <w:rPr>
          <w:sz w:val="28"/>
          <w:szCs w:val="28"/>
          <w:lang w:eastAsia="es-ES_tradnl"/>
        </w:rPr>
        <w:t xml:space="preserve">. </w:t>
      </w:r>
      <w:r w:rsidR="00123F90" w:rsidRPr="00643DCF">
        <w:rPr>
          <w:sz w:val="28"/>
          <w:szCs w:val="28"/>
          <w:lang w:eastAsia="es-ES_tradnl"/>
        </w:rPr>
        <w:t xml:space="preserve">De esta manera, el estudio de los actos formales acreditados por el Gobierno </w:t>
      </w:r>
      <w:r w:rsidR="00835ABE" w:rsidRPr="00643DCF">
        <w:rPr>
          <w:sz w:val="28"/>
          <w:szCs w:val="28"/>
          <w:lang w:eastAsia="es-ES_tradnl"/>
        </w:rPr>
        <w:t>N</w:t>
      </w:r>
      <w:r w:rsidR="00123F90" w:rsidRPr="00643DCF">
        <w:rPr>
          <w:sz w:val="28"/>
          <w:szCs w:val="28"/>
          <w:lang w:eastAsia="es-ES_tradnl"/>
        </w:rPr>
        <w:t>acional conlleva que los logros conseguidos se midan no solo por la expedición del acto normativo, sino también desde la evidencia social y la materialización de los mismos, siempre en la búsqueda de la satisfacción efectiva de las necesidades de los usuarios del sistema de salud.</w:t>
      </w:r>
      <w:r w:rsidR="00123F90" w:rsidRPr="00643DCF">
        <w:rPr>
          <w:rStyle w:val="Refdenotaalpie"/>
          <w:sz w:val="28"/>
          <w:szCs w:val="28"/>
          <w:lang w:eastAsia="es-ES_tradnl"/>
        </w:rPr>
        <w:footnoteReference w:id="96"/>
      </w:r>
      <w:r w:rsidR="00123F90" w:rsidRPr="00643DCF">
        <w:rPr>
          <w:sz w:val="28"/>
          <w:szCs w:val="28"/>
          <w:lang w:eastAsia="es-ES_tradnl"/>
        </w:rPr>
        <w:t xml:space="preserve"> Así, esta Sala de Seguimiento valora el cumplimiento material de las órdenes impartidas en la </w:t>
      </w:r>
      <w:r w:rsidR="00EA280E" w:rsidRPr="00643DCF">
        <w:rPr>
          <w:sz w:val="28"/>
          <w:szCs w:val="28"/>
          <w:lang w:eastAsia="es-ES_tradnl"/>
        </w:rPr>
        <w:t>s</w:t>
      </w:r>
      <w:r w:rsidR="00123F90" w:rsidRPr="00643DCF">
        <w:rPr>
          <w:sz w:val="28"/>
          <w:szCs w:val="28"/>
          <w:lang w:eastAsia="es-ES_tradnl"/>
        </w:rPr>
        <w:t xml:space="preserve">entencia T-760 de 2008, partiendo de la verificación del avance en el goce efectivo de los derechos de </w:t>
      </w:r>
      <w:r w:rsidR="00947FA6" w:rsidRPr="00643DCF">
        <w:rPr>
          <w:sz w:val="28"/>
          <w:szCs w:val="28"/>
          <w:lang w:eastAsia="es-ES_tradnl"/>
        </w:rPr>
        <w:t>los usuarios</w:t>
      </w:r>
      <w:r w:rsidR="00123F90" w:rsidRPr="00643DCF">
        <w:rPr>
          <w:sz w:val="28"/>
          <w:szCs w:val="28"/>
          <w:lang w:eastAsia="es-ES_tradnl"/>
        </w:rPr>
        <w:t xml:space="preserve"> del sistema</w:t>
      </w:r>
      <w:r w:rsidR="00B60AA5" w:rsidRPr="00643DCF">
        <w:rPr>
          <w:sz w:val="28"/>
          <w:szCs w:val="28"/>
          <w:lang w:eastAsia="es-ES_tradnl"/>
        </w:rPr>
        <w:t>.</w:t>
      </w:r>
      <w:r w:rsidR="00123F90" w:rsidRPr="00643DCF">
        <w:rPr>
          <w:sz w:val="28"/>
          <w:szCs w:val="28"/>
          <w:lang w:eastAsia="es-ES_tradnl"/>
        </w:rPr>
        <w:t xml:space="preserve"> </w:t>
      </w:r>
    </w:p>
    <w:p w14:paraId="2DEE8EAD" w14:textId="77777777" w:rsidR="00123F90" w:rsidRPr="00643DCF" w:rsidRDefault="00123F90" w:rsidP="00123F90">
      <w:pPr>
        <w:pStyle w:val="Prrafodelista"/>
        <w:ind w:left="0"/>
        <w:jc w:val="both"/>
        <w:rPr>
          <w:sz w:val="28"/>
          <w:szCs w:val="28"/>
          <w:lang w:eastAsia="es-ES_tradnl"/>
        </w:rPr>
      </w:pPr>
    </w:p>
    <w:p w14:paraId="33E45D36" w14:textId="07599454" w:rsidR="00123F90" w:rsidRPr="00643DCF" w:rsidRDefault="002713C0" w:rsidP="00123F90">
      <w:pPr>
        <w:pStyle w:val="Prrafodelista"/>
        <w:ind w:left="0"/>
        <w:jc w:val="both"/>
        <w:rPr>
          <w:sz w:val="28"/>
          <w:szCs w:val="28"/>
          <w:lang w:eastAsia="es-ES_tradnl"/>
        </w:rPr>
      </w:pPr>
      <w:r w:rsidRPr="00643DCF">
        <w:rPr>
          <w:sz w:val="28"/>
          <w:szCs w:val="28"/>
          <w:lang w:eastAsia="es-ES_tradnl"/>
        </w:rPr>
        <w:t>1</w:t>
      </w:r>
      <w:r w:rsidR="00F66D29" w:rsidRPr="00643DCF">
        <w:rPr>
          <w:sz w:val="28"/>
          <w:szCs w:val="28"/>
          <w:lang w:eastAsia="es-ES_tradnl"/>
        </w:rPr>
        <w:t>2</w:t>
      </w:r>
      <w:r w:rsidR="007C13E9" w:rsidRPr="00643DCF">
        <w:rPr>
          <w:sz w:val="28"/>
          <w:szCs w:val="28"/>
          <w:lang w:eastAsia="es-ES_tradnl"/>
        </w:rPr>
        <w:t>.</w:t>
      </w:r>
      <w:r w:rsidR="00123F90" w:rsidRPr="00643DCF">
        <w:rPr>
          <w:sz w:val="28"/>
          <w:szCs w:val="28"/>
          <w:lang w:eastAsia="es-ES_tradnl"/>
        </w:rPr>
        <w:t xml:space="preserve"> Es importante resaltar que el papel del Tribunal Constitucional se articula con el diseño e implementación de las políticas públicas, a través de una labor abierta y deliberativa al momento de verificar </w:t>
      </w:r>
      <w:r w:rsidR="00ED05BB" w:rsidRPr="00643DCF">
        <w:rPr>
          <w:sz w:val="28"/>
          <w:szCs w:val="28"/>
          <w:lang w:eastAsia="es-ES_tradnl"/>
        </w:rPr>
        <w:t>la obediencia</w:t>
      </w:r>
      <w:r w:rsidR="00FA1B43" w:rsidRPr="00643DCF">
        <w:rPr>
          <w:sz w:val="28"/>
          <w:szCs w:val="28"/>
          <w:lang w:eastAsia="es-ES_tradnl"/>
        </w:rPr>
        <w:t xml:space="preserve"> </w:t>
      </w:r>
      <w:r w:rsidR="00123F90" w:rsidRPr="00643DCF">
        <w:rPr>
          <w:sz w:val="28"/>
          <w:szCs w:val="28"/>
          <w:lang w:eastAsia="es-ES_tradnl"/>
        </w:rPr>
        <w:t>de los mandatos emitidos, para lo cual tendrá que calificar las medidas adoptadas y las acciones desplegadas por las autoridades encargadas. En esas condiciones, las valoraciones de las órdenes se efectuarán de manera general y específicamente sobre cada uno de sus elementos constitucionalmente significativos.</w:t>
      </w:r>
    </w:p>
    <w:p w14:paraId="78E186BB" w14:textId="77777777" w:rsidR="008014C5" w:rsidRPr="00643DCF" w:rsidRDefault="008014C5" w:rsidP="008014C5">
      <w:pPr>
        <w:pStyle w:val="Prrafodelista"/>
        <w:tabs>
          <w:tab w:val="left" w:pos="426"/>
          <w:tab w:val="left" w:pos="567"/>
        </w:tabs>
        <w:ind w:left="0"/>
        <w:jc w:val="both"/>
        <w:rPr>
          <w:rFonts w:eastAsia="Cambria"/>
          <w:sz w:val="28"/>
          <w:szCs w:val="28"/>
          <w:lang w:val="es-ES"/>
        </w:rPr>
      </w:pPr>
    </w:p>
    <w:p w14:paraId="2F97BF7A" w14:textId="1B4F2AE0" w:rsidR="008014C5" w:rsidRPr="00FA159B" w:rsidRDefault="002713C0" w:rsidP="008014C5">
      <w:pPr>
        <w:pStyle w:val="Prrafodelista"/>
        <w:tabs>
          <w:tab w:val="left" w:pos="426"/>
          <w:tab w:val="left" w:pos="567"/>
        </w:tabs>
        <w:ind w:left="0"/>
        <w:jc w:val="both"/>
        <w:rPr>
          <w:bCs/>
          <w:sz w:val="28"/>
          <w:szCs w:val="28"/>
        </w:rPr>
      </w:pPr>
      <w:r w:rsidRPr="00FA159B">
        <w:rPr>
          <w:sz w:val="28"/>
          <w:szCs w:val="28"/>
          <w:lang w:eastAsia="es-ES_tradnl"/>
        </w:rPr>
        <w:t>1</w:t>
      </w:r>
      <w:r w:rsidR="00F66D29" w:rsidRPr="00FA159B">
        <w:rPr>
          <w:sz w:val="28"/>
          <w:szCs w:val="28"/>
          <w:lang w:eastAsia="es-ES_tradnl"/>
        </w:rPr>
        <w:t>3</w:t>
      </w:r>
      <w:r w:rsidR="00252C49" w:rsidRPr="00FA159B">
        <w:rPr>
          <w:sz w:val="28"/>
          <w:szCs w:val="28"/>
          <w:lang w:eastAsia="es-ES_tradnl"/>
        </w:rPr>
        <w:t xml:space="preserve">. </w:t>
      </w:r>
      <w:r w:rsidR="008014C5" w:rsidRPr="00FA159B">
        <w:rPr>
          <w:sz w:val="28"/>
          <w:szCs w:val="28"/>
        </w:rPr>
        <w:t xml:space="preserve">La Corte ha sostenido que para declarar el grado de observancia de una orden como general no es necesario su satisfacción plena, siempre que se evidencien cambios significativos en el funcionamiento del sistema de salud, derivados de actuaciones oportunas e idóneas que </w:t>
      </w:r>
      <w:r w:rsidR="00B447A9" w:rsidRPr="00FA159B">
        <w:rPr>
          <w:sz w:val="28"/>
          <w:szCs w:val="28"/>
        </w:rPr>
        <w:t>se reflejen</w:t>
      </w:r>
      <w:r w:rsidR="008014C5" w:rsidRPr="00FA159B">
        <w:rPr>
          <w:sz w:val="28"/>
          <w:szCs w:val="28"/>
        </w:rPr>
        <w:t xml:space="preserve"> en resultados y avances sostenibles para que la Sala pueda suspender o entregar</w:t>
      </w:r>
      <w:r w:rsidR="008014C5" w:rsidRPr="00FA159B">
        <w:rPr>
          <w:sz w:val="28"/>
          <w:szCs w:val="28"/>
          <w:vertAlign w:val="superscript"/>
        </w:rPr>
        <w:footnoteReference w:id="97"/>
      </w:r>
      <w:r w:rsidR="008014C5" w:rsidRPr="00FA159B">
        <w:rPr>
          <w:sz w:val="28"/>
          <w:szCs w:val="28"/>
        </w:rPr>
        <w:t xml:space="preserve"> el seguimiento. </w:t>
      </w:r>
    </w:p>
    <w:p w14:paraId="4642D870" w14:textId="19185CF3" w:rsidR="00123F90" w:rsidRPr="00FA159B" w:rsidRDefault="00123F90" w:rsidP="00123F90">
      <w:pPr>
        <w:tabs>
          <w:tab w:val="left" w:pos="567"/>
        </w:tabs>
        <w:jc w:val="both"/>
        <w:rPr>
          <w:sz w:val="28"/>
          <w:szCs w:val="28"/>
          <w:lang w:eastAsia="es-ES_tradnl"/>
        </w:rPr>
      </w:pPr>
      <w:r w:rsidRPr="00FA159B">
        <w:rPr>
          <w:sz w:val="28"/>
          <w:szCs w:val="28"/>
          <w:lang w:eastAsia="es-ES_tradnl"/>
        </w:rPr>
        <w:lastRenderedPageBreak/>
        <w:t xml:space="preserve">Adicionalmente, la persistencia en el incumplimiento resultaría más gravosa para el Estado desde el punto de vista </w:t>
      </w:r>
      <w:r w:rsidR="00B12ECE" w:rsidRPr="00FA159B">
        <w:rPr>
          <w:sz w:val="28"/>
          <w:szCs w:val="28"/>
          <w:lang w:eastAsia="es-ES_tradnl"/>
        </w:rPr>
        <w:t xml:space="preserve">de la relación </w:t>
      </w:r>
      <w:r w:rsidRPr="00FA159B">
        <w:rPr>
          <w:sz w:val="28"/>
          <w:szCs w:val="28"/>
          <w:lang w:eastAsia="es-ES_tradnl"/>
        </w:rPr>
        <w:t>costo-beneficio, razón por la cual se debe</w:t>
      </w:r>
      <w:r w:rsidR="00B12ECE" w:rsidRPr="00FA159B">
        <w:rPr>
          <w:sz w:val="28"/>
          <w:szCs w:val="28"/>
          <w:lang w:eastAsia="es-ES_tradnl"/>
        </w:rPr>
        <w:t>rían</w:t>
      </w:r>
      <w:r w:rsidRPr="00FA159B">
        <w:rPr>
          <w:sz w:val="28"/>
          <w:szCs w:val="28"/>
          <w:lang w:eastAsia="es-ES_tradnl"/>
        </w:rPr>
        <w:t xml:space="preserve"> asegurar con prontitud y eficacia niveles básicos de garantía de los derechos sociales</w:t>
      </w:r>
      <w:r w:rsidR="00B12ECE" w:rsidRPr="00FA159B">
        <w:rPr>
          <w:sz w:val="28"/>
          <w:szCs w:val="28"/>
          <w:lang w:eastAsia="es-ES_tradnl"/>
        </w:rPr>
        <w:t xml:space="preserve"> y particularmente para beneficio de la población vulnerable</w:t>
      </w:r>
      <w:r w:rsidRPr="00FA159B">
        <w:rPr>
          <w:sz w:val="28"/>
          <w:szCs w:val="28"/>
          <w:lang w:eastAsia="es-ES_tradnl"/>
        </w:rPr>
        <w:t>.</w:t>
      </w:r>
      <w:r w:rsidRPr="00FA159B">
        <w:rPr>
          <w:rStyle w:val="Refdenotaalpie"/>
          <w:sz w:val="28"/>
          <w:szCs w:val="28"/>
          <w:lang w:eastAsia="es-ES_tradnl"/>
        </w:rPr>
        <w:footnoteReference w:id="98"/>
      </w:r>
    </w:p>
    <w:p w14:paraId="09DBDDCE" w14:textId="77777777" w:rsidR="00123F90" w:rsidRPr="00FA159B" w:rsidRDefault="00123F90" w:rsidP="00123F90">
      <w:pPr>
        <w:tabs>
          <w:tab w:val="left" w:pos="567"/>
        </w:tabs>
        <w:jc w:val="both"/>
        <w:rPr>
          <w:sz w:val="28"/>
          <w:szCs w:val="28"/>
          <w:lang w:eastAsia="es-ES_tradnl"/>
        </w:rPr>
      </w:pPr>
    </w:p>
    <w:p w14:paraId="172A68DD" w14:textId="1E75F255" w:rsidR="00346BCB" w:rsidRPr="00FA159B" w:rsidRDefault="002713C0" w:rsidP="008014C5">
      <w:pPr>
        <w:tabs>
          <w:tab w:val="left" w:pos="426"/>
        </w:tabs>
        <w:jc w:val="both"/>
        <w:rPr>
          <w:bCs/>
          <w:sz w:val="28"/>
          <w:szCs w:val="28"/>
        </w:rPr>
      </w:pPr>
      <w:r w:rsidRPr="00FA159B">
        <w:rPr>
          <w:sz w:val="28"/>
          <w:szCs w:val="28"/>
          <w:lang w:eastAsia="es-ES_tradnl"/>
        </w:rPr>
        <w:t>1</w:t>
      </w:r>
      <w:r w:rsidR="00F66D29" w:rsidRPr="00FA159B">
        <w:rPr>
          <w:sz w:val="28"/>
          <w:szCs w:val="28"/>
          <w:lang w:eastAsia="es-ES_tradnl"/>
        </w:rPr>
        <w:t>4</w:t>
      </w:r>
      <w:r w:rsidR="00123F90" w:rsidRPr="00FA159B">
        <w:rPr>
          <w:sz w:val="28"/>
          <w:szCs w:val="28"/>
          <w:lang w:eastAsia="es-ES_tradnl"/>
        </w:rPr>
        <w:t>.</w:t>
      </w:r>
      <w:r w:rsidR="00D12207" w:rsidRPr="00FA159B">
        <w:rPr>
          <w:sz w:val="28"/>
          <w:szCs w:val="28"/>
          <w:lang w:eastAsia="es-ES_tradnl"/>
        </w:rPr>
        <w:t xml:space="preserve"> </w:t>
      </w:r>
      <w:r w:rsidR="00346BCB" w:rsidRPr="00FA159B">
        <w:rPr>
          <w:sz w:val="28"/>
          <w:szCs w:val="28"/>
        </w:rPr>
        <w:t>De conformidad con lo anterior, el cumplimiento se analizará atendiendo principalmente tres puntos: las medidas, los resultados y los avances</w:t>
      </w:r>
      <w:r w:rsidR="00346BCB" w:rsidRPr="00FA159B">
        <w:rPr>
          <w:sz w:val="28"/>
          <w:szCs w:val="28"/>
          <w:vertAlign w:val="superscript"/>
        </w:rPr>
        <w:footnoteReference w:id="99"/>
      </w:r>
      <w:r w:rsidR="00346BCB" w:rsidRPr="00FA159B">
        <w:rPr>
          <w:sz w:val="28"/>
          <w:szCs w:val="28"/>
        </w:rPr>
        <w:t>.</w:t>
      </w:r>
    </w:p>
    <w:p w14:paraId="51059C4F" w14:textId="77777777" w:rsidR="00346BCB" w:rsidRPr="00FA159B" w:rsidRDefault="00346BCB" w:rsidP="00346BCB">
      <w:pPr>
        <w:pStyle w:val="Prrafodelista"/>
        <w:tabs>
          <w:tab w:val="left" w:pos="426"/>
          <w:tab w:val="left" w:pos="567"/>
        </w:tabs>
        <w:ind w:left="0"/>
        <w:rPr>
          <w:sz w:val="28"/>
          <w:szCs w:val="28"/>
        </w:rPr>
      </w:pPr>
    </w:p>
    <w:p w14:paraId="5F4A5B1D" w14:textId="77777777" w:rsidR="00346BCB" w:rsidRPr="00FA159B" w:rsidRDefault="00346BCB" w:rsidP="008014C5">
      <w:pPr>
        <w:pStyle w:val="Prrafodelista"/>
        <w:tabs>
          <w:tab w:val="left" w:pos="426"/>
          <w:tab w:val="left" w:pos="567"/>
        </w:tabs>
        <w:ind w:left="0"/>
        <w:jc w:val="both"/>
        <w:rPr>
          <w:bCs/>
          <w:sz w:val="28"/>
          <w:szCs w:val="28"/>
        </w:rPr>
      </w:pPr>
      <w:r w:rsidRPr="00FA159B">
        <w:rPr>
          <w:sz w:val="28"/>
          <w:szCs w:val="28"/>
        </w:rPr>
        <w:t>La valoración inicia con la verificación del primer aspecto, a fin de determinar si son conducentes para la superación de la falla estructural, y con base en ello, declarar un nivel de cumplimiento</w:t>
      </w:r>
      <w:r w:rsidRPr="00FA159B">
        <w:rPr>
          <w:sz w:val="28"/>
          <w:szCs w:val="28"/>
          <w:vertAlign w:val="superscript"/>
        </w:rPr>
        <w:footnoteReference w:id="100"/>
      </w:r>
      <w:r w:rsidRPr="00FA159B">
        <w:rPr>
          <w:sz w:val="28"/>
          <w:szCs w:val="28"/>
        </w:rPr>
        <w:t xml:space="preserve">, que puede ser bajo, medio, alto, general o incluso incumplimiento general. </w:t>
      </w:r>
    </w:p>
    <w:p w14:paraId="42964E43" w14:textId="77777777" w:rsidR="00346BCB" w:rsidRPr="00FA159B" w:rsidRDefault="00346BCB" w:rsidP="00346BCB">
      <w:pPr>
        <w:pStyle w:val="Prrafodelista"/>
        <w:tabs>
          <w:tab w:val="left" w:pos="567"/>
        </w:tabs>
        <w:ind w:left="0"/>
        <w:rPr>
          <w:sz w:val="28"/>
          <w:szCs w:val="28"/>
        </w:rPr>
      </w:pPr>
    </w:p>
    <w:p w14:paraId="1B453B4E" w14:textId="77777777" w:rsidR="00346BCB" w:rsidRPr="00FA159B" w:rsidRDefault="00346BCB" w:rsidP="00346BCB">
      <w:pPr>
        <w:pStyle w:val="Prrafodelista"/>
        <w:tabs>
          <w:tab w:val="left" w:pos="284"/>
          <w:tab w:val="left" w:pos="567"/>
        </w:tabs>
        <w:ind w:left="0"/>
        <w:jc w:val="both"/>
        <w:rPr>
          <w:bCs/>
          <w:sz w:val="28"/>
          <w:szCs w:val="28"/>
        </w:rPr>
      </w:pPr>
      <w:r w:rsidRPr="00FA159B">
        <w:rPr>
          <w:sz w:val="28"/>
          <w:szCs w:val="28"/>
        </w:rPr>
        <w:t>A grandes rasgos, puede decirse que e</w:t>
      </w:r>
      <w:r w:rsidRPr="00FA159B">
        <w:rPr>
          <w:sz w:val="28"/>
          <w:szCs w:val="28"/>
          <w:lang w:eastAsia="es-ES_tradnl"/>
        </w:rPr>
        <w:t xml:space="preserve">ste último se decreta si, revisado el estado de la orden, se constata que la autoridad obligada no adoptó acciones para superar la falla. </w:t>
      </w:r>
    </w:p>
    <w:p w14:paraId="4A00E671" w14:textId="77777777" w:rsidR="00346BCB" w:rsidRPr="00FA159B" w:rsidRDefault="00346BCB" w:rsidP="00346BCB">
      <w:pPr>
        <w:tabs>
          <w:tab w:val="left" w:pos="567"/>
        </w:tabs>
        <w:jc w:val="both"/>
        <w:rPr>
          <w:sz w:val="28"/>
          <w:szCs w:val="28"/>
          <w:lang w:eastAsia="es-ES_tradnl"/>
        </w:rPr>
      </w:pPr>
    </w:p>
    <w:p w14:paraId="1F95655A" w14:textId="679C44BF" w:rsidR="00346BCB" w:rsidRPr="00FA159B" w:rsidRDefault="00346BCB" w:rsidP="00346BCB">
      <w:pPr>
        <w:tabs>
          <w:tab w:val="left" w:pos="567"/>
        </w:tabs>
        <w:jc w:val="both"/>
        <w:rPr>
          <w:b/>
          <w:sz w:val="28"/>
          <w:szCs w:val="28"/>
          <w:lang w:eastAsia="es-ES_tradnl"/>
        </w:rPr>
      </w:pPr>
      <w:r w:rsidRPr="00FA159B">
        <w:rPr>
          <w:sz w:val="28"/>
          <w:szCs w:val="28"/>
          <w:lang w:eastAsia="es-ES_tradnl"/>
        </w:rPr>
        <w:t xml:space="preserve">Se califica con cumplimiento bajo cuando los resultados evaluados pongan en evidencia la implementación de medidas por la autoridad obligada y </w:t>
      </w:r>
      <w:r w:rsidR="00BE7C08" w:rsidRPr="00FA159B">
        <w:rPr>
          <w:sz w:val="28"/>
          <w:szCs w:val="28"/>
          <w:lang w:eastAsia="es-ES_tradnl"/>
        </w:rPr>
        <w:t>se presente</w:t>
      </w:r>
      <w:r w:rsidRPr="00FA159B">
        <w:rPr>
          <w:sz w:val="28"/>
          <w:szCs w:val="28"/>
          <w:lang w:eastAsia="es-ES_tradnl"/>
        </w:rPr>
        <w:t xml:space="preserve"> al menos uno de los siguientes supuestos: </w:t>
      </w:r>
    </w:p>
    <w:p w14:paraId="415E018A" w14:textId="77777777" w:rsidR="00346BCB" w:rsidRPr="00FA159B" w:rsidRDefault="00346BCB" w:rsidP="00346BCB">
      <w:pPr>
        <w:pStyle w:val="Prrafodelista"/>
        <w:tabs>
          <w:tab w:val="left" w:pos="0"/>
          <w:tab w:val="left" w:pos="284"/>
          <w:tab w:val="left" w:pos="567"/>
        </w:tabs>
        <w:ind w:left="0"/>
        <w:contextualSpacing/>
        <w:jc w:val="both"/>
        <w:rPr>
          <w:i/>
          <w:sz w:val="28"/>
          <w:szCs w:val="28"/>
          <w:lang w:eastAsia="es-ES_tradnl"/>
        </w:rPr>
      </w:pPr>
    </w:p>
    <w:p w14:paraId="4E6DEEC9" w14:textId="77777777" w:rsidR="00346BCB" w:rsidRPr="00FA159B" w:rsidRDefault="00346BCB" w:rsidP="00346BCB">
      <w:pPr>
        <w:tabs>
          <w:tab w:val="left" w:pos="0"/>
          <w:tab w:val="left" w:pos="284"/>
          <w:tab w:val="left" w:pos="567"/>
        </w:tabs>
        <w:contextualSpacing/>
        <w:jc w:val="both"/>
        <w:rPr>
          <w:sz w:val="28"/>
          <w:szCs w:val="28"/>
          <w:lang w:eastAsia="es-ES_tradnl"/>
        </w:rPr>
      </w:pPr>
      <w:r w:rsidRPr="00FA159B">
        <w:rPr>
          <w:i/>
          <w:sz w:val="28"/>
          <w:szCs w:val="28"/>
          <w:lang w:eastAsia="es-ES_tradnl"/>
        </w:rPr>
        <w:t>(i)</w:t>
      </w:r>
      <w:r w:rsidRPr="00FA159B">
        <w:rPr>
          <w:sz w:val="28"/>
          <w:szCs w:val="28"/>
          <w:lang w:eastAsia="es-ES_tradnl"/>
        </w:rPr>
        <w:t xml:space="preserve"> que sean inconducentes para cumplir con el mandato estructural, toda vez que no son compatibles con los elementos del mandato, </w:t>
      </w:r>
      <w:r w:rsidRPr="00FA159B">
        <w:rPr>
          <w:i/>
          <w:sz w:val="28"/>
          <w:szCs w:val="28"/>
          <w:lang w:eastAsia="es-ES_tradnl"/>
        </w:rPr>
        <w:t>(ii)</w:t>
      </w:r>
      <w:r w:rsidRPr="00FA159B">
        <w:rPr>
          <w:sz w:val="28"/>
          <w:szCs w:val="28"/>
          <w:lang w:eastAsia="es-ES_tradnl"/>
        </w:rPr>
        <w:t xml:space="preserve"> que sean conducentes para la observancia de la disposición que se examine, por cuanto abordan acciones en relación con los requerimientos de la orden, pese a que la autoridad encargada no acreditó resultados</w:t>
      </w:r>
      <w:r w:rsidRPr="00FA159B">
        <w:rPr>
          <w:sz w:val="28"/>
          <w:szCs w:val="28"/>
          <w:vertAlign w:val="superscript"/>
          <w:lang w:eastAsia="es-ES_tradnl"/>
        </w:rPr>
        <w:footnoteReference w:id="101"/>
      </w:r>
      <w:r w:rsidRPr="00FA159B">
        <w:rPr>
          <w:sz w:val="28"/>
          <w:szCs w:val="28"/>
          <w:lang w:eastAsia="es-ES_tradnl"/>
        </w:rPr>
        <w:t xml:space="preserve">, </w:t>
      </w:r>
      <w:r w:rsidRPr="00FA159B">
        <w:rPr>
          <w:i/>
          <w:sz w:val="28"/>
          <w:szCs w:val="28"/>
          <w:lang w:eastAsia="es-ES_tradnl"/>
        </w:rPr>
        <w:t>(iii)</w:t>
      </w:r>
      <w:r w:rsidRPr="00FA159B">
        <w:rPr>
          <w:sz w:val="28"/>
          <w:szCs w:val="28"/>
          <w:lang w:eastAsia="es-ES_tradnl"/>
        </w:rPr>
        <w:t xml:space="preserve"> aunque sean conducentes y los resultados hayan sido informados a la Sala, no se advierten que estos últimas sean reales</w:t>
      </w:r>
      <w:r w:rsidRPr="00FA159B">
        <w:rPr>
          <w:sz w:val="28"/>
          <w:szCs w:val="28"/>
          <w:vertAlign w:val="superscript"/>
          <w:lang w:eastAsia="es-ES_tradnl"/>
        </w:rPr>
        <w:footnoteReference w:id="102"/>
      </w:r>
      <w:r w:rsidRPr="00FA159B">
        <w:rPr>
          <w:sz w:val="28"/>
          <w:szCs w:val="28"/>
          <w:lang w:eastAsia="es-ES_tradnl"/>
        </w:rPr>
        <w:t xml:space="preserve">, por lo que no es posible calificar el acatamiento con satisfacción del mandato al no evidenciarse que se haya superado la falla y, </w:t>
      </w:r>
      <w:r w:rsidRPr="00FA159B">
        <w:rPr>
          <w:i/>
          <w:sz w:val="28"/>
          <w:szCs w:val="28"/>
          <w:lang w:eastAsia="es-ES_tradnl"/>
        </w:rPr>
        <w:t>(iv)</w:t>
      </w:r>
      <w:r w:rsidRPr="00FA159B">
        <w:rPr>
          <w:sz w:val="28"/>
          <w:szCs w:val="28"/>
          <w:lang w:eastAsia="es-ES_tradnl"/>
        </w:rPr>
        <w:t xml:space="preserve"> l</w:t>
      </w:r>
      <w:r w:rsidRPr="00FA159B">
        <w:rPr>
          <w:sz w:val="28"/>
          <w:szCs w:val="28"/>
        </w:rPr>
        <w:t xml:space="preserve">as labores desplegadas aun cuando son conducentes concluyen en resultados que solo atienden al aspecto formal y no al material de la orden. </w:t>
      </w:r>
    </w:p>
    <w:p w14:paraId="6A6E852F" w14:textId="77777777" w:rsidR="00346BCB" w:rsidRPr="00FA159B" w:rsidRDefault="00346BCB" w:rsidP="00346BCB">
      <w:pPr>
        <w:tabs>
          <w:tab w:val="left" w:pos="567"/>
        </w:tabs>
        <w:jc w:val="both"/>
        <w:rPr>
          <w:sz w:val="28"/>
          <w:szCs w:val="28"/>
          <w:lang w:eastAsia="es-ES_tradnl"/>
        </w:rPr>
      </w:pPr>
    </w:p>
    <w:p w14:paraId="2CF8590E" w14:textId="07A25E26" w:rsidR="00346BCB" w:rsidRPr="00FA159B" w:rsidRDefault="00346BCB" w:rsidP="00346BCB">
      <w:pPr>
        <w:tabs>
          <w:tab w:val="left" w:pos="567"/>
        </w:tabs>
        <w:jc w:val="both"/>
        <w:rPr>
          <w:sz w:val="28"/>
          <w:szCs w:val="28"/>
          <w:lang w:eastAsia="es-ES_tradnl"/>
        </w:rPr>
      </w:pPr>
      <w:r w:rsidRPr="00FA159B">
        <w:rPr>
          <w:sz w:val="28"/>
          <w:szCs w:val="28"/>
          <w:lang w:eastAsia="es-ES_tradnl"/>
        </w:rPr>
        <w:t>El nivel de cumplimiento medio será declarado cuando a pesar de haber ejecutado acciones</w:t>
      </w:r>
      <w:r w:rsidRPr="00FA159B">
        <w:rPr>
          <w:rStyle w:val="Refdenotaalpie"/>
          <w:sz w:val="28"/>
          <w:szCs w:val="28"/>
          <w:lang w:eastAsia="es-ES_tradnl"/>
        </w:rPr>
        <w:footnoteReference w:id="103"/>
      </w:r>
      <w:r w:rsidRPr="00FA159B">
        <w:rPr>
          <w:sz w:val="28"/>
          <w:szCs w:val="28"/>
          <w:lang w:eastAsia="es-ES_tradnl"/>
        </w:rPr>
        <w:t>, las mejoras no sean suficientes sino parciales en la superación de la falla estructural</w:t>
      </w:r>
      <w:r w:rsidRPr="00FA159B">
        <w:rPr>
          <w:sz w:val="28"/>
          <w:szCs w:val="28"/>
          <w:lang w:val="es-ES_tradnl" w:eastAsia="es-ES_tradnl"/>
        </w:rPr>
        <w:t xml:space="preserve"> que dio origen a la orden. En estos casos la Sala o</w:t>
      </w:r>
      <w:r w:rsidRPr="00FA159B">
        <w:rPr>
          <w:sz w:val="28"/>
          <w:szCs w:val="28"/>
          <w:lang w:eastAsia="es-ES_tradnl"/>
        </w:rPr>
        <w:t xml:space="preserve">torgará un plazo razonable para que la autoridad encargada trabaje en el acatamiento de la </w:t>
      </w:r>
      <w:r w:rsidR="00CA7688" w:rsidRPr="00FA159B">
        <w:rPr>
          <w:sz w:val="28"/>
          <w:szCs w:val="28"/>
          <w:lang w:eastAsia="es-ES_tradnl"/>
        </w:rPr>
        <w:t>misma</w:t>
      </w:r>
      <w:r w:rsidRPr="00FA159B">
        <w:rPr>
          <w:sz w:val="28"/>
          <w:szCs w:val="28"/>
          <w:lang w:eastAsia="es-ES_tradnl"/>
        </w:rPr>
        <w:t>, al final del cual se verificará nuevamente las actuaciones realizadas y los resultados obtenidos.</w:t>
      </w:r>
    </w:p>
    <w:p w14:paraId="4E7D4706" w14:textId="77777777" w:rsidR="00346BCB" w:rsidRPr="00FA159B" w:rsidRDefault="00346BCB" w:rsidP="00346BCB">
      <w:pPr>
        <w:tabs>
          <w:tab w:val="left" w:pos="567"/>
        </w:tabs>
        <w:jc w:val="both"/>
        <w:rPr>
          <w:sz w:val="28"/>
          <w:szCs w:val="28"/>
          <w:lang w:eastAsia="es-ES_tradnl"/>
        </w:rPr>
      </w:pPr>
    </w:p>
    <w:p w14:paraId="371AA253" w14:textId="38D2EABA" w:rsidR="00346BCB" w:rsidRPr="00FA159B" w:rsidRDefault="00346BCB" w:rsidP="00346BCB">
      <w:pPr>
        <w:tabs>
          <w:tab w:val="left" w:pos="567"/>
        </w:tabs>
        <w:jc w:val="both"/>
        <w:rPr>
          <w:sz w:val="28"/>
          <w:szCs w:val="28"/>
          <w:lang w:eastAsia="es-ES_tradnl"/>
        </w:rPr>
      </w:pPr>
      <w:r w:rsidRPr="00FA159B">
        <w:rPr>
          <w:sz w:val="28"/>
          <w:szCs w:val="28"/>
          <w:lang w:eastAsia="es-ES_tradnl"/>
        </w:rPr>
        <w:lastRenderedPageBreak/>
        <w:t xml:space="preserve">Decretará el grado alto, cuando: </w:t>
      </w:r>
      <w:r w:rsidRPr="00FA159B">
        <w:rPr>
          <w:i/>
          <w:sz w:val="28"/>
          <w:szCs w:val="28"/>
          <w:lang w:eastAsia="es-ES_tradnl"/>
        </w:rPr>
        <w:t>(i)</w:t>
      </w:r>
      <w:r w:rsidRPr="00FA159B">
        <w:rPr>
          <w:sz w:val="28"/>
          <w:szCs w:val="28"/>
          <w:lang w:eastAsia="es-ES_tradnl"/>
        </w:rPr>
        <w:t xml:space="preserve"> se hayan adoptado las medidas adecuadas para cumplir con el mandato de que se trate; </w:t>
      </w:r>
      <w:r w:rsidRPr="00FA159B">
        <w:rPr>
          <w:i/>
          <w:sz w:val="28"/>
          <w:szCs w:val="28"/>
          <w:lang w:eastAsia="es-ES_tradnl"/>
        </w:rPr>
        <w:t>(ii)</w:t>
      </w:r>
      <w:r w:rsidRPr="00FA159B">
        <w:rPr>
          <w:sz w:val="28"/>
          <w:szCs w:val="28"/>
          <w:lang w:eastAsia="es-ES_tradnl"/>
        </w:rPr>
        <w:t xml:space="preserve"> la autoridad obligada reporte los resultados a la Sala; </w:t>
      </w:r>
      <w:r w:rsidRPr="00FA159B">
        <w:rPr>
          <w:i/>
          <w:sz w:val="28"/>
          <w:szCs w:val="28"/>
          <w:lang w:eastAsia="es-ES_tradnl"/>
        </w:rPr>
        <w:t>(iii)</w:t>
      </w:r>
      <w:r w:rsidRPr="00FA159B">
        <w:rPr>
          <w:sz w:val="28"/>
          <w:szCs w:val="28"/>
          <w:lang w:eastAsia="es-ES_tradnl"/>
        </w:rPr>
        <w:t xml:space="preserve"> s</w:t>
      </w:r>
      <w:r w:rsidRPr="00FA159B">
        <w:rPr>
          <w:sz w:val="28"/>
          <w:szCs w:val="28"/>
          <w:lang w:val="es-ES_tradnl" w:eastAsia="es-ES_tradnl"/>
        </w:rPr>
        <w:t>e evidencien avances suficientes, progresivos, sostenibles y significativos para el acatamiento de</w:t>
      </w:r>
      <w:r w:rsidR="0054773F" w:rsidRPr="00FA159B">
        <w:rPr>
          <w:sz w:val="28"/>
          <w:szCs w:val="28"/>
          <w:lang w:val="es-ES_tradnl" w:eastAsia="es-ES_tradnl"/>
        </w:rPr>
        <w:t xml:space="preserve"> </w:t>
      </w:r>
      <w:r w:rsidRPr="00FA159B">
        <w:rPr>
          <w:sz w:val="28"/>
          <w:szCs w:val="28"/>
          <w:lang w:val="es-ES_tradnl" w:eastAsia="es-ES_tradnl"/>
        </w:rPr>
        <w:t>l</w:t>
      </w:r>
      <w:r w:rsidR="0054773F" w:rsidRPr="00FA159B">
        <w:rPr>
          <w:sz w:val="28"/>
          <w:szCs w:val="28"/>
          <w:lang w:val="es-ES_tradnl" w:eastAsia="es-ES_tradnl"/>
        </w:rPr>
        <w:t>a orden</w:t>
      </w:r>
      <w:r w:rsidRPr="00FA159B">
        <w:rPr>
          <w:sz w:val="28"/>
          <w:szCs w:val="28"/>
          <w:lang w:val="es-ES_tradnl" w:eastAsia="es-ES_tradnl"/>
        </w:rPr>
        <w:t xml:space="preserve"> en cuestión; y </w:t>
      </w:r>
      <w:r w:rsidRPr="00FA159B">
        <w:rPr>
          <w:i/>
          <w:sz w:val="28"/>
          <w:szCs w:val="28"/>
          <w:lang w:val="es-ES_tradnl" w:eastAsia="es-ES_tradnl"/>
        </w:rPr>
        <w:t>(iv)</w:t>
      </w:r>
      <w:r w:rsidRPr="00FA159B">
        <w:rPr>
          <w:sz w:val="28"/>
          <w:szCs w:val="28"/>
          <w:lang w:val="es-ES_tradnl" w:eastAsia="es-ES_tradnl"/>
        </w:rPr>
        <w:t xml:space="preserve"> l</w:t>
      </w:r>
      <w:r w:rsidRPr="00FA159B">
        <w:rPr>
          <w:sz w:val="28"/>
          <w:szCs w:val="28"/>
          <w:lang w:eastAsia="es-ES_tradnl"/>
        </w:rPr>
        <w:t>a problemática que dio lugar a la orden valorada se pueda superar.</w:t>
      </w:r>
    </w:p>
    <w:p w14:paraId="13D20845" w14:textId="77777777" w:rsidR="00346BCB" w:rsidRPr="00FA159B" w:rsidRDefault="00346BCB" w:rsidP="00346BCB">
      <w:pPr>
        <w:pStyle w:val="Prrafodelista"/>
        <w:tabs>
          <w:tab w:val="left" w:pos="567"/>
        </w:tabs>
        <w:ind w:left="0"/>
        <w:jc w:val="both"/>
        <w:rPr>
          <w:sz w:val="28"/>
          <w:szCs w:val="28"/>
          <w:lang w:eastAsia="es-ES_tradnl"/>
        </w:rPr>
      </w:pPr>
    </w:p>
    <w:p w14:paraId="7B9408CB" w14:textId="77777777" w:rsidR="00346BCB" w:rsidRPr="00FA159B" w:rsidRDefault="00346BCB" w:rsidP="00346BCB">
      <w:pPr>
        <w:tabs>
          <w:tab w:val="left" w:pos="567"/>
        </w:tabs>
        <w:jc w:val="both"/>
        <w:rPr>
          <w:sz w:val="28"/>
          <w:szCs w:val="28"/>
          <w:lang w:eastAsia="es-ES_tradnl"/>
        </w:rPr>
      </w:pPr>
      <w:r w:rsidRPr="00FA159B">
        <w:rPr>
          <w:sz w:val="28"/>
          <w:szCs w:val="28"/>
          <w:lang w:eastAsia="es-ES_tradnl"/>
        </w:rPr>
        <w:t xml:space="preserve">Finalmente, si la Corte concluye que las actividades desarrolladas son adecuadas para cumplir con lo dispuesto en el mandato y que sus resultados son suficientes, sostenibles, significativos, progresivos a tal punto que permiten concluir que se superó la falla estructural que dio lugar a la expedición de la orden, calificará con cumplimiento general las actividades llevadas a cabo por la autoridad encargada. Adicionalmente, se espera que el sistema haya recopilado herramientas suficientes para enfrentar circunstancias similares a las que dieron origen a la sentencia T-760 de 2008 y que puedan presentarse en el futuro. </w:t>
      </w:r>
    </w:p>
    <w:p w14:paraId="1CEDB46C" w14:textId="77777777" w:rsidR="00742268" w:rsidRPr="00FA159B" w:rsidRDefault="00742268" w:rsidP="00346BCB">
      <w:pPr>
        <w:tabs>
          <w:tab w:val="left" w:pos="567"/>
        </w:tabs>
        <w:jc w:val="both"/>
        <w:rPr>
          <w:sz w:val="28"/>
          <w:szCs w:val="28"/>
          <w:lang w:eastAsia="es-ES_tradnl"/>
        </w:rPr>
      </w:pPr>
    </w:p>
    <w:p w14:paraId="662F5612" w14:textId="648772DA" w:rsidR="00742268" w:rsidRPr="00643DCF" w:rsidRDefault="0057282C" w:rsidP="00346BCB">
      <w:pPr>
        <w:tabs>
          <w:tab w:val="left" w:pos="567"/>
        </w:tabs>
        <w:jc w:val="both"/>
        <w:rPr>
          <w:sz w:val="28"/>
          <w:szCs w:val="28"/>
          <w:lang w:eastAsia="es-ES_tradnl"/>
        </w:rPr>
      </w:pPr>
      <w:r w:rsidRPr="00FA159B">
        <w:rPr>
          <w:sz w:val="28"/>
          <w:szCs w:val="28"/>
          <w:lang w:eastAsia="es-ES_tradnl"/>
        </w:rPr>
        <w:t xml:space="preserve">15. </w:t>
      </w:r>
      <w:r w:rsidR="00742268" w:rsidRPr="00FA159B">
        <w:rPr>
          <w:sz w:val="28"/>
          <w:szCs w:val="28"/>
          <w:lang w:eastAsia="es-ES_tradnl"/>
        </w:rPr>
        <w:t>Cuando una orden sea valorada con incumplimiento, nivel de cumplimiento bajo y medio, el trámite de supervisión también podrá cesarse si el mandato ha perdido los fundamentos de hecho o de derecho, que le dieron lugar o cuando se haya agotado su vigencia temporal. Es decir, cuando</w:t>
      </w:r>
      <w:r w:rsidR="00861352" w:rsidRPr="00FA159B">
        <w:rPr>
          <w:sz w:val="28"/>
          <w:szCs w:val="28"/>
          <w:lang w:eastAsia="es-ES_tradnl"/>
        </w:rPr>
        <w:t xml:space="preserve"> el cumplimiento del mandato estaba limitado en el tiempo y debía presentarse en una fecha específica, siempre que se permita determinar con claridad la superación formal </w:t>
      </w:r>
      <w:r w:rsidR="00756BA9" w:rsidRPr="00FA159B">
        <w:rPr>
          <w:sz w:val="28"/>
          <w:szCs w:val="28"/>
          <w:lang w:eastAsia="es-ES_tradnl"/>
        </w:rPr>
        <w:t>y</w:t>
      </w:r>
      <w:r w:rsidR="00861352" w:rsidRPr="00FA159B">
        <w:rPr>
          <w:sz w:val="28"/>
          <w:szCs w:val="28"/>
          <w:lang w:eastAsia="es-ES_tradnl"/>
        </w:rPr>
        <w:t xml:space="preserve"> material del motivo que dio lugar a lo ordenado y no continúe produciendo efectos jurídicos, dando lugar a </w:t>
      </w:r>
      <w:r w:rsidR="00E53987" w:rsidRPr="00FA159B">
        <w:rPr>
          <w:sz w:val="28"/>
          <w:szCs w:val="28"/>
          <w:lang w:eastAsia="es-ES_tradnl"/>
        </w:rPr>
        <w:t>re</w:t>
      </w:r>
      <w:r w:rsidR="00861352" w:rsidRPr="00FA159B">
        <w:rPr>
          <w:sz w:val="28"/>
          <w:szCs w:val="28"/>
          <w:lang w:eastAsia="es-ES_tradnl"/>
        </w:rPr>
        <w:t>stablecer el goce efectivo del derecho.</w:t>
      </w:r>
    </w:p>
    <w:p w14:paraId="46ABE613" w14:textId="77777777" w:rsidR="00346BCB" w:rsidRPr="00643DCF" w:rsidRDefault="00346BCB" w:rsidP="00123F90">
      <w:pPr>
        <w:pStyle w:val="Prrafodelista"/>
        <w:tabs>
          <w:tab w:val="left" w:pos="426"/>
        </w:tabs>
        <w:ind w:left="0"/>
        <w:jc w:val="both"/>
        <w:rPr>
          <w:sz w:val="28"/>
          <w:szCs w:val="28"/>
          <w:lang w:eastAsia="es-ES_tradnl"/>
        </w:rPr>
      </w:pPr>
    </w:p>
    <w:p w14:paraId="6E4AFBB3" w14:textId="3822BA94" w:rsidR="00123F90" w:rsidRPr="00643DCF" w:rsidRDefault="00123F90" w:rsidP="00123F90">
      <w:pPr>
        <w:pStyle w:val="Prrafodelista"/>
        <w:tabs>
          <w:tab w:val="left" w:pos="426"/>
        </w:tabs>
        <w:ind w:left="0"/>
        <w:jc w:val="both"/>
        <w:rPr>
          <w:sz w:val="28"/>
          <w:szCs w:val="28"/>
          <w:lang w:eastAsia="es-ES_tradnl"/>
        </w:rPr>
      </w:pPr>
      <w:r w:rsidRPr="00643DCF">
        <w:rPr>
          <w:sz w:val="28"/>
          <w:szCs w:val="28"/>
          <w:lang w:eastAsia="es-ES_tradnl"/>
        </w:rPr>
        <w:t>En caso de que las autoridades obligadas persistan en los tres primeros niveles de cumplimiento (incumplimiento general o</w:t>
      </w:r>
      <w:r w:rsidR="00144B27" w:rsidRPr="00643DCF">
        <w:rPr>
          <w:sz w:val="28"/>
          <w:szCs w:val="28"/>
          <w:lang w:eastAsia="es-ES_tradnl"/>
        </w:rPr>
        <w:t xml:space="preserve"> </w:t>
      </w:r>
      <w:r w:rsidRPr="00643DCF">
        <w:rPr>
          <w:sz w:val="28"/>
          <w:szCs w:val="28"/>
          <w:lang w:eastAsia="es-ES_tradnl"/>
        </w:rPr>
        <w:t xml:space="preserve">niveles de acatamiento bajo y medio), la Corte implementará </w:t>
      </w:r>
      <w:r w:rsidR="00144B27" w:rsidRPr="00643DCF">
        <w:rPr>
          <w:sz w:val="28"/>
          <w:szCs w:val="28"/>
          <w:lang w:eastAsia="es-ES_tradnl"/>
        </w:rPr>
        <w:t>medidas</w:t>
      </w:r>
      <w:r w:rsidRPr="00643DCF">
        <w:rPr>
          <w:sz w:val="28"/>
          <w:szCs w:val="28"/>
          <w:lang w:eastAsia="es-ES_tradnl"/>
        </w:rPr>
        <w:t xml:space="preserve"> para hacer efectivas sus órdenes, </w:t>
      </w:r>
      <w:r w:rsidR="00144B27" w:rsidRPr="00643DCF">
        <w:rPr>
          <w:sz w:val="28"/>
          <w:szCs w:val="28"/>
          <w:lang w:eastAsia="es-ES_tradnl"/>
        </w:rPr>
        <w:t>esto es</w:t>
      </w:r>
      <w:r w:rsidRPr="00643DCF">
        <w:rPr>
          <w:sz w:val="28"/>
          <w:szCs w:val="28"/>
          <w:lang w:eastAsia="es-ES_tradnl"/>
        </w:rPr>
        <w:t xml:space="preserve"> conseguir avances progresivos y significativos, </w:t>
      </w:r>
      <w:r w:rsidR="00144B27" w:rsidRPr="00643DCF">
        <w:rPr>
          <w:sz w:val="28"/>
          <w:szCs w:val="28"/>
          <w:lang w:eastAsia="es-ES_tradnl"/>
        </w:rPr>
        <w:t xml:space="preserve">evitando </w:t>
      </w:r>
      <w:r w:rsidRPr="00643DCF">
        <w:rPr>
          <w:sz w:val="28"/>
          <w:szCs w:val="28"/>
          <w:lang w:eastAsia="es-ES_tradnl"/>
        </w:rPr>
        <w:t xml:space="preserve">la secuencia de incumplimientos. En este contexto la Sala podrá ejercer un control y seguimiento adoptando medidas restaurativas, de reemplazo o cualquier otra que pueda estimar apropiada, en la pretensión de una mayor participación democrática y un empoderamiento </w:t>
      </w:r>
      <w:r w:rsidR="00144B27" w:rsidRPr="00643DCF">
        <w:rPr>
          <w:sz w:val="28"/>
          <w:szCs w:val="28"/>
          <w:lang w:eastAsia="es-ES_tradnl"/>
        </w:rPr>
        <w:t>ciudadano</w:t>
      </w:r>
      <w:r w:rsidRPr="00643DCF">
        <w:rPr>
          <w:sz w:val="28"/>
          <w:szCs w:val="28"/>
          <w:lang w:eastAsia="es-ES_tradnl"/>
        </w:rPr>
        <w:t>.</w:t>
      </w:r>
      <w:r w:rsidRPr="00643DCF">
        <w:rPr>
          <w:sz w:val="28"/>
          <w:szCs w:val="28"/>
          <w:vertAlign w:val="superscript"/>
          <w:lang w:eastAsia="es-ES_tradnl"/>
        </w:rPr>
        <w:footnoteReference w:id="104"/>
      </w:r>
    </w:p>
    <w:p w14:paraId="4DA6F87D" w14:textId="77777777" w:rsidR="00123F90" w:rsidRPr="00643DCF" w:rsidRDefault="00123F90" w:rsidP="00123F90">
      <w:pPr>
        <w:pStyle w:val="Prrafodelista"/>
        <w:tabs>
          <w:tab w:val="left" w:pos="426"/>
        </w:tabs>
        <w:ind w:left="0"/>
        <w:jc w:val="both"/>
        <w:rPr>
          <w:sz w:val="28"/>
          <w:szCs w:val="28"/>
          <w:lang w:eastAsia="es-ES_tradnl"/>
        </w:rPr>
      </w:pPr>
    </w:p>
    <w:p w14:paraId="1997B3FF" w14:textId="279D140D" w:rsidR="00123F90" w:rsidRPr="00643DCF" w:rsidRDefault="002713C0" w:rsidP="00123F90">
      <w:pPr>
        <w:tabs>
          <w:tab w:val="left" w:pos="567"/>
        </w:tabs>
        <w:jc w:val="both"/>
        <w:rPr>
          <w:sz w:val="28"/>
          <w:szCs w:val="28"/>
        </w:rPr>
      </w:pPr>
      <w:r w:rsidRPr="00643DCF">
        <w:rPr>
          <w:sz w:val="28"/>
          <w:szCs w:val="28"/>
          <w:lang w:eastAsia="es-ES_tradnl"/>
        </w:rPr>
        <w:t>1</w:t>
      </w:r>
      <w:r w:rsidR="0057282C" w:rsidRPr="00643DCF">
        <w:rPr>
          <w:sz w:val="28"/>
          <w:szCs w:val="28"/>
          <w:lang w:eastAsia="es-ES_tradnl"/>
        </w:rPr>
        <w:t>6</w:t>
      </w:r>
      <w:r w:rsidR="00DC08C1" w:rsidRPr="00643DCF">
        <w:rPr>
          <w:sz w:val="28"/>
          <w:szCs w:val="28"/>
          <w:lang w:eastAsia="es-ES_tradnl"/>
        </w:rPr>
        <w:t xml:space="preserve">. </w:t>
      </w:r>
      <w:r w:rsidR="00123F90" w:rsidRPr="00643DCF">
        <w:rPr>
          <w:sz w:val="28"/>
          <w:szCs w:val="28"/>
          <w:lang w:eastAsia="es-ES_tradnl"/>
        </w:rPr>
        <w:t xml:space="preserve">Finalmente, en pro del seguimiento al </w:t>
      </w:r>
      <w:r w:rsidR="00EF5B92" w:rsidRPr="00643DCF">
        <w:rPr>
          <w:sz w:val="28"/>
          <w:szCs w:val="28"/>
          <w:lang w:eastAsia="es-ES_tradnl"/>
        </w:rPr>
        <w:t xml:space="preserve">acatamiento </w:t>
      </w:r>
      <w:r w:rsidR="00123F90" w:rsidRPr="00643DCF">
        <w:rPr>
          <w:sz w:val="28"/>
          <w:szCs w:val="28"/>
          <w:lang w:eastAsia="es-ES_tradnl"/>
        </w:rPr>
        <w:t xml:space="preserve">de las órdenes emitidas en la </w:t>
      </w:r>
      <w:r w:rsidR="000961E6" w:rsidRPr="00643DCF">
        <w:rPr>
          <w:sz w:val="28"/>
          <w:szCs w:val="28"/>
          <w:lang w:eastAsia="es-ES_tradnl"/>
        </w:rPr>
        <w:t>s</w:t>
      </w:r>
      <w:r w:rsidR="00F11A05" w:rsidRPr="00643DCF">
        <w:rPr>
          <w:sz w:val="28"/>
          <w:szCs w:val="28"/>
          <w:lang w:eastAsia="es-ES_tradnl"/>
        </w:rPr>
        <w:t>entencia</w:t>
      </w:r>
      <w:r w:rsidR="00123F90" w:rsidRPr="00643DCF">
        <w:rPr>
          <w:sz w:val="28"/>
          <w:szCs w:val="28"/>
          <w:lang w:eastAsia="es-ES_tradnl"/>
        </w:rPr>
        <w:t xml:space="preserve"> T-760 de 2008 se cuenta con la Procuraduría General de Nación, la cual deberá realizar un acompañamiento con enfoque preventivo</w:t>
      </w:r>
      <w:r w:rsidR="00123F90" w:rsidRPr="00643DCF">
        <w:rPr>
          <w:sz w:val="28"/>
          <w:szCs w:val="28"/>
          <w:vertAlign w:val="superscript"/>
          <w:lang w:eastAsia="es-ES_tradnl"/>
        </w:rPr>
        <w:footnoteReference w:id="105"/>
      </w:r>
      <w:r w:rsidR="00123F90" w:rsidRPr="00643DCF">
        <w:rPr>
          <w:sz w:val="28"/>
          <w:szCs w:val="28"/>
          <w:lang w:eastAsia="es-ES_tradnl"/>
        </w:rPr>
        <w:t xml:space="preserve"> a las </w:t>
      </w:r>
      <w:r w:rsidR="00123F90" w:rsidRPr="00643DCF">
        <w:rPr>
          <w:sz w:val="28"/>
          <w:szCs w:val="28"/>
        </w:rPr>
        <w:t>entidades concernidas en la ejecución de los mandatos</w:t>
      </w:r>
      <w:r w:rsidR="00144B27" w:rsidRPr="00643DCF">
        <w:rPr>
          <w:sz w:val="28"/>
          <w:szCs w:val="28"/>
        </w:rPr>
        <w:t xml:space="preserve">, además de disponer de la potestad </w:t>
      </w:r>
      <w:r w:rsidR="00123F90" w:rsidRPr="00643DCF">
        <w:rPr>
          <w:sz w:val="28"/>
          <w:szCs w:val="28"/>
        </w:rPr>
        <w:t>disciplinaria</w:t>
      </w:r>
      <w:r w:rsidR="00123F90" w:rsidRPr="00643DCF">
        <w:rPr>
          <w:rStyle w:val="Refdenotaalpie"/>
          <w:sz w:val="28"/>
          <w:szCs w:val="28"/>
        </w:rPr>
        <w:footnoteReference w:id="106"/>
      </w:r>
      <w:r w:rsidR="00123F90" w:rsidRPr="00643DCF">
        <w:rPr>
          <w:sz w:val="28"/>
          <w:szCs w:val="28"/>
        </w:rPr>
        <w:t xml:space="preserve">, sin perjuicio de las decisiones que continúe profiriendo la Sala Especial mientras se mantenga </w:t>
      </w:r>
      <w:r w:rsidR="00144B27" w:rsidRPr="00643DCF">
        <w:rPr>
          <w:sz w:val="28"/>
          <w:szCs w:val="28"/>
        </w:rPr>
        <w:t xml:space="preserve">el incumplimiento de las </w:t>
      </w:r>
      <w:r w:rsidR="002C29CD" w:rsidRPr="00643DCF">
        <w:rPr>
          <w:sz w:val="28"/>
          <w:szCs w:val="28"/>
        </w:rPr>
        <w:t>ó</w:t>
      </w:r>
      <w:r w:rsidR="00144B27" w:rsidRPr="00643DCF">
        <w:rPr>
          <w:sz w:val="28"/>
          <w:szCs w:val="28"/>
        </w:rPr>
        <w:t>rdenes generales</w:t>
      </w:r>
      <w:r w:rsidR="00123F90" w:rsidRPr="00643DCF">
        <w:rPr>
          <w:sz w:val="28"/>
          <w:szCs w:val="28"/>
        </w:rPr>
        <w:t>.</w:t>
      </w:r>
    </w:p>
    <w:p w14:paraId="37AE0F14" w14:textId="77777777" w:rsidR="00E54CC7" w:rsidRPr="00643DCF" w:rsidRDefault="00E54CC7" w:rsidP="00E54CC7">
      <w:pPr>
        <w:tabs>
          <w:tab w:val="left" w:pos="567"/>
        </w:tabs>
        <w:jc w:val="both"/>
        <w:rPr>
          <w:sz w:val="28"/>
          <w:szCs w:val="28"/>
        </w:rPr>
      </w:pPr>
    </w:p>
    <w:p w14:paraId="1692435D" w14:textId="629F8A36" w:rsidR="00893C5D" w:rsidRPr="00643DCF" w:rsidRDefault="00893C5D" w:rsidP="000961E6">
      <w:pPr>
        <w:pStyle w:val="Prrafodelista"/>
        <w:tabs>
          <w:tab w:val="left" w:pos="426"/>
        </w:tabs>
        <w:ind w:left="360"/>
        <w:contextualSpacing/>
        <w:jc w:val="both"/>
        <w:rPr>
          <w:b/>
          <w:sz w:val="28"/>
          <w:szCs w:val="28"/>
        </w:rPr>
      </w:pPr>
      <w:r w:rsidRPr="00643DCF">
        <w:rPr>
          <w:b/>
          <w:sz w:val="28"/>
          <w:szCs w:val="28"/>
        </w:rPr>
        <w:lastRenderedPageBreak/>
        <w:t xml:space="preserve">Alcance de la </w:t>
      </w:r>
      <w:r w:rsidR="00144B27" w:rsidRPr="00643DCF">
        <w:rPr>
          <w:b/>
          <w:sz w:val="28"/>
          <w:szCs w:val="28"/>
        </w:rPr>
        <w:t>o</w:t>
      </w:r>
      <w:r w:rsidRPr="00643DCF">
        <w:rPr>
          <w:b/>
          <w:sz w:val="28"/>
          <w:szCs w:val="28"/>
        </w:rPr>
        <w:t xml:space="preserve">rden </w:t>
      </w:r>
      <w:r w:rsidR="00BE225C" w:rsidRPr="00643DCF">
        <w:rPr>
          <w:b/>
          <w:sz w:val="28"/>
          <w:szCs w:val="28"/>
        </w:rPr>
        <w:t>trigésima</w:t>
      </w:r>
      <w:r w:rsidR="007C13E9" w:rsidRPr="00643DCF">
        <w:rPr>
          <w:b/>
          <w:sz w:val="28"/>
          <w:szCs w:val="28"/>
        </w:rPr>
        <w:t xml:space="preserve"> segunda</w:t>
      </w:r>
      <w:r w:rsidRPr="00643DCF">
        <w:rPr>
          <w:b/>
          <w:sz w:val="28"/>
          <w:szCs w:val="28"/>
        </w:rPr>
        <w:t xml:space="preserve"> </w:t>
      </w:r>
      <w:r w:rsidR="00F54C3F" w:rsidRPr="00643DCF">
        <w:rPr>
          <w:b/>
          <w:sz w:val="28"/>
          <w:szCs w:val="28"/>
        </w:rPr>
        <w:t xml:space="preserve">y la importancia de la difusión de </w:t>
      </w:r>
      <w:r w:rsidR="00144B27" w:rsidRPr="00643DCF">
        <w:rPr>
          <w:b/>
          <w:sz w:val="28"/>
          <w:szCs w:val="28"/>
        </w:rPr>
        <w:t xml:space="preserve">las </w:t>
      </w:r>
      <w:r w:rsidR="00F54C3F" w:rsidRPr="00643DCF">
        <w:rPr>
          <w:b/>
          <w:sz w:val="28"/>
          <w:szCs w:val="28"/>
        </w:rPr>
        <w:t>decisiones judiciales</w:t>
      </w:r>
    </w:p>
    <w:p w14:paraId="042EF864" w14:textId="77777777" w:rsidR="00893C5D" w:rsidRPr="00643DCF" w:rsidRDefault="00893C5D" w:rsidP="00893C5D">
      <w:pPr>
        <w:pStyle w:val="Sinespaciado3"/>
        <w:tabs>
          <w:tab w:val="left" w:pos="567"/>
          <w:tab w:val="left" w:pos="2865"/>
        </w:tabs>
        <w:jc w:val="center"/>
        <w:rPr>
          <w:rFonts w:ascii="Times New Roman" w:hAnsi="Times New Roman"/>
          <w:sz w:val="28"/>
          <w:szCs w:val="28"/>
        </w:rPr>
      </w:pPr>
    </w:p>
    <w:p w14:paraId="18FBD13F" w14:textId="4D3D456D" w:rsidR="00893C5D" w:rsidRPr="00643DCF" w:rsidRDefault="002713C0" w:rsidP="000961E6">
      <w:pPr>
        <w:tabs>
          <w:tab w:val="left" w:pos="567"/>
        </w:tabs>
        <w:jc w:val="both"/>
        <w:rPr>
          <w:sz w:val="28"/>
          <w:szCs w:val="28"/>
        </w:rPr>
      </w:pPr>
      <w:r w:rsidRPr="00643DCF">
        <w:rPr>
          <w:sz w:val="28"/>
          <w:szCs w:val="28"/>
        </w:rPr>
        <w:t>1</w:t>
      </w:r>
      <w:r w:rsidR="0057282C" w:rsidRPr="00643DCF">
        <w:rPr>
          <w:sz w:val="28"/>
          <w:szCs w:val="28"/>
        </w:rPr>
        <w:t>7</w:t>
      </w:r>
      <w:r w:rsidRPr="00643DCF">
        <w:rPr>
          <w:sz w:val="28"/>
          <w:szCs w:val="28"/>
        </w:rPr>
        <w:t xml:space="preserve">. </w:t>
      </w:r>
      <w:r w:rsidR="00893C5D" w:rsidRPr="00643DCF">
        <w:rPr>
          <w:sz w:val="28"/>
          <w:szCs w:val="28"/>
        </w:rPr>
        <w:t xml:space="preserve">Teniendo en cuenta el número de casos estudiados por la </w:t>
      </w:r>
      <w:r w:rsidR="008C7C02" w:rsidRPr="00643DCF">
        <w:rPr>
          <w:sz w:val="28"/>
          <w:szCs w:val="28"/>
        </w:rPr>
        <w:t>s</w:t>
      </w:r>
      <w:r w:rsidR="00893C5D" w:rsidRPr="00643DCF">
        <w:rPr>
          <w:sz w:val="28"/>
          <w:szCs w:val="28"/>
        </w:rPr>
        <w:t xml:space="preserve">entencia T-760 de 2008 </w:t>
      </w:r>
      <w:r w:rsidR="00144B27" w:rsidRPr="00643DCF">
        <w:rPr>
          <w:sz w:val="28"/>
          <w:szCs w:val="28"/>
        </w:rPr>
        <w:t>que atendían a</w:t>
      </w:r>
      <w:r w:rsidR="00893C5D" w:rsidRPr="00643DCF">
        <w:rPr>
          <w:sz w:val="28"/>
          <w:szCs w:val="28"/>
        </w:rPr>
        <w:t xml:space="preserve"> situaciones </w:t>
      </w:r>
      <w:r w:rsidR="00144B27" w:rsidRPr="00643DCF">
        <w:rPr>
          <w:sz w:val="28"/>
          <w:szCs w:val="28"/>
        </w:rPr>
        <w:t>recurrentes por la vulneración del</w:t>
      </w:r>
      <w:r w:rsidR="00893C5D" w:rsidRPr="00643DCF">
        <w:rPr>
          <w:sz w:val="28"/>
          <w:szCs w:val="28"/>
        </w:rPr>
        <w:t xml:space="preserve"> derecho fundamental a la salud, la Corte ordenó al CSJ divulgar entre los jueces de la República el</w:t>
      </w:r>
      <w:r w:rsidR="00296B0B" w:rsidRPr="00643DCF">
        <w:rPr>
          <w:sz w:val="28"/>
          <w:szCs w:val="28"/>
        </w:rPr>
        <w:t xml:space="preserve"> contenido de dicha providencia;</w:t>
      </w:r>
      <w:r w:rsidR="00893C5D" w:rsidRPr="00643DCF">
        <w:rPr>
          <w:sz w:val="28"/>
          <w:szCs w:val="28"/>
        </w:rPr>
        <w:t xml:space="preserve"> labor que t</w:t>
      </w:r>
      <w:r w:rsidR="00524783" w:rsidRPr="00643DCF">
        <w:rPr>
          <w:sz w:val="28"/>
          <w:szCs w:val="28"/>
        </w:rPr>
        <w:t xml:space="preserve">enía </w:t>
      </w:r>
      <w:r w:rsidR="00144B27" w:rsidRPr="00643DCF">
        <w:rPr>
          <w:sz w:val="28"/>
          <w:szCs w:val="28"/>
        </w:rPr>
        <w:t xml:space="preserve">por </w:t>
      </w:r>
      <w:r w:rsidR="00893C5D" w:rsidRPr="00643DCF">
        <w:rPr>
          <w:sz w:val="28"/>
          <w:szCs w:val="28"/>
        </w:rPr>
        <w:t>finalidad que los funcionarios aplicaran</w:t>
      </w:r>
      <w:r w:rsidR="00144B27" w:rsidRPr="00643DCF">
        <w:rPr>
          <w:sz w:val="28"/>
          <w:szCs w:val="28"/>
        </w:rPr>
        <w:t xml:space="preserve"> efectivamente</w:t>
      </w:r>
      <w:r w:rsidR="00893C5D" w:rsidRPr="00643DCF">
        <w:rPr>
          <w:sz w:val="28"/>
          <w:szCs w:val="28"/>
        </w:rPr>
        <w:t xml:space="preserve"> las directrices</w:t>
      </w:r>
      <w:r w:rsidR="00144B27" w:rsidRPr="00643DCF">
        <w:rPr>
          <w:sz w:val="28"/>
          <w:szCs w:val="28"/>
        </w:rPr>
        <w:t xml:space="preserve"> </w:t>
      </w:r>
      <w:r w:rsidR="00893C5D" w:rsidRPr="00643DCF">
        <w:rPr>
          <w:sz w:val="28"/>
          <w:szCs w:val="28"/>
        </w:rPr>
        <w:t xml:space="preserve">impartidas, de tal suerte que unificaran los criterios de decisión y disminuyeran la cantidad de requerimientos ciudadanos ante las falencias identificadas dentro del </w:t>
      </w:r>
      <w:r w:rsidR="00707831" w:rsidRPr="00643DCF">
        <w:rPr>
          <w:sz w:val="28"/>
          <w:szCs w:val="28"/>
        </w:rPr>
        <w:t>s</w:t>
      </w:r>
      <w:r w:rsidR="00893C5D" w:rsidRPr="00643DCF">
        <w:rPr>
          <w:sz w:val="28"/>
          <w:szCs w:val="28"/>
        </w:rPr>
        <w:t>istema</w:t>
      </w:r>
      <w:r w:rsidR="00707831" w:rsidRPr="00643DCF">
        <w:rPr>
          <w:sz w:val="28"/>
          <w:szCs w:val="28"/>
        </w:rPr>
        <w:t xml:space="preserve"> de s</w:t>
      </w:r>
      <w:r w:rsidR="00893C5D" w:rsidRPr="00643DCF">
        <w:rPr>
          <w:sz w:val="28"/>
          <w:szCs w:val="28"/>
        </w:rPr>
        <w:t>alud.</w:t>
      </w:r>
    </w:p>
    <w:p w14:paraId="0F972B37" w14:textId="77777777" w:rsidR="00893C5D" w:rsidRPr="00643DCF" w:rsidRDefault="00893C5D" w:rsidP="00893C5D">
      <w:pPr>
        <w:pStyle w:val="Sinespaciado3"/>
        <w:tabs>
          <w:tab w:val="left" w:pos="567"/>
          <w:tab w:val="left" w:pos="2865"/>
        </w:tabs>
        <w:jc w:val="both"/>
        <w:rPr>
          <w:rFonts w:ascii="Times New Roman" w:hAnsi="Times New Roman"/>
          <w:sz w:val="28"/>
          <w:szCs w:val="28"/>
        </w:rPr>
      </w:pPr>
    </w:p>
    <w:p w14:paraId="3561A1D7" w14:textId="1BFCA6FC" w:rsidR="00893C5D" w:rsidRPr="00643DCF" w:rsidRDefault="00947FA6" w:rsidP="00893C5D">
      <w:pPr>
        <w:pStyle w:val="Sinespaciado3"/>
        <w:tabs>
          <w:tab w:val="left" w:pos="567"/>
          <w:tab w:val="left" w:pos="2865"/>
        </w:tabs>
        <w:jc w:val="both"/>
        <w:rPr>
          <w:rFonts w:ascii="Times New Roman" w:hAnsi="Times New Roman"/>
          <w:sz w:val="28"/>
          <w:szCs w:val="28"/>
        </w:rPr>
      </w:pPr>
      <w:r w:rsidRPr="00643DCF">
        <w:rPr>
          <w:rFonts w:ascii="Times New Roman" w:hAnsi="Times New Roman"/>
          <w:sz w:val="28"/>
          <w:szCs w:val="28"/>
        </w:rPr>
        <w:t>1</w:t>
      </w:r>
      <w:r w:rsidR="0057282C" w:rsidRPr="00643DCF">
        <w:rPr>
          <w:rFonts w:ascii="Times New Roman" w:hAnsi="Times New Roman"/>
          <w:sz w:val="28"/>
          <w:szCs w:val="28"/>
        </w:rPr>
        <w:t>8</w:t>
      </w:r>
      <w:r w:rsidRPr="00643DCF">
        <w:rPr>
          <w:rFonts w:ascii="Times New Roman" w:hAnsi="Times New Roman"/>
          <w:sz w:val="28"/>
          <w:szCs w:val="28"/>
        </w:rPr>
        <w:t xml:space="preserve">. </w:t>
      </w:r>
      <w:r w:rsidR="00893C5D" w:rsidRPr="00643DCF">
        <w:rPr>
          <w:rFonts w:ascii="Times New Roman" w:hAnsi="Times New Roman"/>
          <w:sz w:val="28"/>
          <w:szCs w:val="28"/>
        </w:rPr>
        <w:t xml:space="preserve">A través del </w:t>
      </w:r>
      <w:r w:rsidR="00D04117" w:rsidRPr="00643DCF">
        <w:rPr>
          <w:rFonts w:ascii="Times New Roman" w:hAnsi="Times New Roman"/>
          <w:sz w:val="28"/>
          <w:szCs w:val="28"/>
        </w:rPr>
        <w:t>a</w:t>
      </w:r>
      <w:r w:rsidR="00893C5D" w:rsidRPr="00643DCF">
        <w:rPr>
          <w:rFonts w:ascii="Times New Roman" w:hAnsi="Times New Roman"/>
          <w:sz w:val="28"/>
          <w:szCs w:val="28"/>
        </w:rPr>
        <w:t xml:space="preserve">uto del 13 de julio de 2009 la Sala aclaró que </w:t>
      </w:r>
      <w:r w:rsidR="00F44DBC" w:rsidRPr="00643DCF">
        <w:rPr>
          <w:rFonts w:ascii="Times New Roman" w:hAnsi="Times New Roman"/>
          <w:sz w:val="28"/>
          <w:szCs w:val="28"/>
        </w:rPr>
        <w:t>el mandato</w:t>
      </w:r>
      <w:r w:rsidR="00893C5D" w:rsidRPr="00643DCF">
        <w:rPr>
          <w:rFonts w:ascii="Times New Roman" w:hAnsi="Times New Roman"/>
          <w:sz w:val="28"/>
          <w:szCs w:val="28"/>
        </w:rPr>
        <w:t xml:space="preserve"> </w:t>
      </w:r>
      <w:r w:rsidR="00BE225C" w:rsidRPr="00643DCF">
        <w:rPr>
          <w:rFonts w:ascii="Times New Roman" w:hAnsi="Times New Roman"/>
          <w:sz w:val="28"/>
          <w:szCs w:val="28"/>
        </w:rPr>
        <w:t>trigésim</w:t>
      </w:r>
      <w:r w:rsidR="00F44DBC" w:rsidRPr="00643DCF">
        <w:rPr>
          <w:rFonts w:ascii="Times New Roman" w:hAnsi="Times New Roman"/>
          <w:sz w:val="28"/>
          <w:szCs w:val="28"/>
        </w:rPr>
        <w:t>o</w:t>
      </w:r>
      <w:r w:rsidR="00893C5D" w:rsidRPr="00643DCF">
        <w:rPr>
          <w:rFonts w:ascii="Times New Roman" w:hAnsi="Times New Roman"/>
          <w:sz w:val="28"/>
          <w:szCs w:val="28"/>
        </w:rPr>
        <w:t xml:space="preserve"> segund</w:t>
      </w:r>
      <w:r w:rsidR="00F44DBC" w:rsidRPr="00643DCF">
        <w:rPr>
          <w:rFonts w:ascii="Times New Roman" w:hAnsi="Times New Roman"/>
          <w:sz w:val="28"/>
          <w:szCs w:val="28"/>
        </w:rPr>
        <w:t>o</w:t>
      </w:r>
      <w:r w:rsidR="00893C5D" w:rsidRPr="00643DCF">
        <w:rPr>
          <w:rFonts w:ascii="Times New Roman" w:hAnsi="Times New Roman"/>
          <w:sz w:val="28"/>
          <w:szCs w:val="28"/>
        </w:rPr>
        <w:t xml:space="preserve"> no se limitaba a insertar un vínculo con el contenido de la sentencia en la página web de la Rama Judicial, ni al envío del fallo a través de correo electrónico; por el contrario, una interpretación conforme </w:t>
      </w:r>
      <w:r w:rsidR="00707831" w:rsidRPr="00643DCF">
        <w:rPr>
          <w:rFonts w:ascii="Times New Roman" w:hAnsi="Times New Roman"/>
          <w:sz w:val="28"/>
          <w:szCs w:val="28"/>
        </w:rPr>
        <w:t>a</w:t>
      </w:r>
      <w:r w:rsidR="00893C5D" w:rsidRPr="00643DCF">
        <w:rPr>
          <w:rFonts w:ascii="Times New Roman" w:hAnsi="Times New Roman"/>
          <w:sz w:val="28"/>
          <w:szCs w:val="28"/>
        </w:rPr>
        <w:t xml:space="preserve">l principio de publicidad </w:t>
      </w:r>
      <w:r w:rsidR="00707831" w:rsidRPr="00643DCF">
        <w:rPr>
          <w:rFonts w:ascii="Times New Roman" w:hAnsi="Times New Roman"/>
          <w:sz w:val="28"/>
          <w:szCs w:val="28"/>
        </w:rPr>
        <w:t xml:space="preserve">y eficacia </w:t>
      </w:r>
      <w:r w:rsidR="00FC5F86" w:rsidRPr="00643DCF">
        <w:rPr>
          <w:rFonts w:ascii="Times New Roman" w:hAnsi="Times New Roman"/>
          <w:sz w:val="28"/>
          <w:szCs w:val="28"/>
        </w:rPr>
        <w:t xml:space="preserve">del derecho </w:t>
      </w:r>
      <w:r w:rsidR="00893C5D" w:rsidRPr="00643DCF">
        <w:rPr>
          <w:rFonts w:ascii="Times New Roman" w:hAnsi="Times New Roman"/>
          <w:sz w:val="28"/>
          <w:szCs w:val="28"/>
        </w:rPr>
        <w:t>explica</w:t>
      </w:r>
      <w:r w:rsidR="00707831" w:rsidRPr="00643DCF">
        <w:rPr>
          <w:rFonts w:ascii="Times New Roman" w:hAnsi="Times New Roman"/>
          <w:sz w:val="28"/>
          <w:szCs w:val="28"/>
        </w:rPr>
        <w:t>ba</w:t>
      </w:r>
      <w:r w:rsidR="00893C5D" w:rsidRPr="00643DCF">
        <w:rPr>
          <w:rFonts w:ascii="Times New Roman" w:hAnsi="Times New Roman"/>
          <w:sz w:val="28"/>
          <w:szCs w:val="28"/>
        </w:rPr>
        <w:t xml:space="preserve"> que la Corte </w:t>
      </w:r>
      <w:r w:rsidR="00707831" w:rsidRPr="00643DCF">
        <w:rPr>
          <w:rFonts w:ascii="Times New Roman" w:hAnsi="Times New Roman"/>
          <w:sz w:val="28"/>
          <w:szCs w:val="28"/>
        </w:rPr>
        <w:t xml:space="preserve">hubiera </w:t>
      </w:r>
      <w:r w:rsidRPr="00643DCF">
        <w:rPr>
          <w:rFonts w:ascii="Times New Roman" w:hAnsi="Times New Roman"/>
          <w:sz w:val="28"/>
          <w:szCs w:val="28"/>
        </w:rPr>
        <w:t xml:space="preserve">dispuesto </w:t>
      </w:r>
      <w:r w:rsidR="00893C5D" w:rsidRPr="00643DCF">
        <w:rPr>
          <w:rFonts w:ascii="Times New Roman" w:hAnsi="Times New Roman"/>
          <w:sz w:val="28"/>
          <w:szCs w:val="28"/>
        </w:rPr>
        <w:t xml:space="preserve">que dicha labor se prolongara en el tiempo, cobijara </w:t>
      </w:r>
      <w:r w:rsidR="00707831" w:rsidRPr="00643DCF">
        <w:rPr>
          <w:rFonts w:ascii="Times New Roman" w:hAnsi="Times New Roman"/>
          <w:sz w:val="28"/>
          <w:szCs w:val="28"/>
        </w:rPr>
        <w:t>los problemas jurídicos examinados</w:t>
      </w:r>
      <w:r w:rsidR="00893C5D" w:rsidRPr="00643DCF">
        <w:rPr>
          <w:rFonts w:ascii="Times New Roman" w:hAnsi="Times New Roman"/>
          <w:sz w:val="28"/>
          <w:szCs w:val="28"/>
        </w:rPr>
        <w:t xml:space="preserve">, los </w:t>
      </w:r>
      <w:r w:rsidR="00707831" w:rsidRPr="00643DCF">
        <w:rPr>
          <w:rFonts w:ascii="Times New Roman" w:hAnsi="Times New Roman"/>
          <w:sz w:val="28"/>
          <w:szCs w:val="28"/>
        </w:rPr>
        <w:t xml:space="preserve">autos </w:t>
      </w:r>
      <w:r w:rsidRPr="00643DCF">
        <w:rPr>
          <w:rFonts w:ascii="Times New Roman" w:hAnsi="Times New Roman"/>
          <w:sz w:val="28"/>
          <w:szCs w:val="28"/>
        </w:rPr>
        <w:t xml:space="preserve">emitidos durante el </w:t>
      </w:r>
      <w:r w:rsidR="00C976C8" w:rsidRPr="00643DCF">
        <w:rPr>
          <w:rFonts w:ascii="Times New Roman" w:hAnsi="Times New Roman"/>
          <w:sz w:val="28"/>
          <w:szCs w:val="28"/>
        </w:rPr>
        <w:t>s</w:t>
      </w:r>
      <w:r w:rsidR="00893C5D" w:rsidRPr="00643DCF">
        <w:rPr>
          <w:rFonts w:ascii="Times New Roman" w:hAnsi="Times New Roman"/>
          <w:sz w:val="28"/>
          <w:szCs w:val="28"/>
        </w:rPr>
        <w:t xml:space="preserve">eguimiento y los informes que dan </w:t>
      </w:r>
      <w:r w:rsidR="00EF5B92" w:rsidRPr="00643DCF">
        <w:rPr>
          <w:rFonts w:ascii="Times New Roman" w:hAnsi="Times New Roman"/>
          <w:sz w:val="28"/>
          <w:szCs w:val="28"/>
        </w:rPr>
        <w:t>observancia</w:t>
      </w:r>
      <w:r w:rsidR="00893C5D" w:rsidRPr="00643DCF">
        <w:rPr>
          <w:rFonts w:ascii="Times New Roman" w:hAnsi="Times New Roman"/>
          <w:sz w:val="28"/>
          <w:szCs w:val="28"/>
        </w:rPr>
        <w:t xml:space="preserve"> a cada una de las órdenes, y a su vez se extendiera</w:t>
      </w:r>
      <w:r w:rsidR="00707831" w:rsidRPr="00643DCF">
        <w:rPr>
          <w:rFonts w:ascii="Times New Roman" w:hAnsi="Times New Roman"/>
          <w:sz w:val="28"/>
          <w:szCs w:val="28"/>
        </w:rPr>
        <w:t xml:space="preserve"> el conocimiento de todo lo mencionado</w:t>
      </w:r>
      <w:r w:rsidR="00893C5D" w:rsidRPr="00643DCF">
        <w:rPr>
          <w:rFonts w:ascii="Times New Roman" w:hAnsi="Times New Roman"/>
          <w:sz w:val="28"/>
          <w:szCs w:val="28"/>
        </w:rPr>
        <w:t xml:space="preserve"> a los </w:t>
      </w:r>
      <w:r w:rsidR="00707831" w:rsidRPr="00643DCF">
        <w:rPr>
          <w:rFonts w:ascii="Times New Roman" w:hAnsi="Times New Roman"/>
          <w:sz w:val="28"/>
          <w:szCs w:val="28"/>
        </w:rPr>
        <w:t>jueces de l</w:t>
      </w:r>
      <w:r w:rsidR="00FC5F86" w:rsidRPr="00643DCF">
        <w:rPr>
          <w:rFonts w:ascii="Times New Roman" w:hAnsi="Times New Roman"/>
          <w:sz w:val="28"/>
          <w:szCs w:val="28"/>
        </w:rPr>
        <w:t>a R</w:t>
      </w:r>
      <w:r w:rsidR="00707831" w:rsidRPr="00643DCF">
        <w:rPr>
          <w:rFonts w:ascii="Times New Roman" w:hAnsi="Times New Roman"/>
          <w:sz w:val="28"/>
          <w:szCs w:val="28"/>
        </w:rPr>
        <w:t>epública</w:t>
      </w:r>
      <w:r w:rsidR="00893C5D" w:rsidRPr="00643DCF">
        <w:rPr>
          <w:rFonts w:ascii="Times New Roman" w:hAnsi="Times New Roman"/>
          <w:sz w:val="28"/>
          <w:szCs w:val="28"/>
        </w:rPr>
        <w:t xml:space="preserve"> con el objeto de cumplir con la divulgación y masificación de lo establecido en </w:t>
      </w:r>
      <w:r w:rsidR="0012698D" w:rsidRPr="00643DCF">
        <w:rPr>
          <w:rFonts w:ascii="Times New Roman" w:hAnsi="Times New Roman"/>
          <w:sz w:val="28"/>
          <w:szCs w:val="28"/>
        </w:rPr>
        <w:t>el fallo</w:t>
      </w:r>
      <w:r w:rsidR="00893C5D" w:rsidRPr="00643DCF">
        <w:rPr>
          <w:rFonts w:ascii="Times New Roman" w:hAnsi="Times New Roman"/>
          <w:sz w:val="28"/>
          <w:szCs w:val="28"/>
        </w:rPr>
        <w:t xml:space="preserve"> estructural de manera</w:t>
      </w:r>
      <w:r w:rsidR="00707831" w:rsidRPr="00643DCF">
        <w:rPr>
          <w:rFonts w:ascii="Times New Roman" w:hAnsi="Times New Roman"/>
          <w:sz w:val="28"/>
          <w:szCs w:val="28"/>
        </w:rPr>
        <w:t xml:space="preserve"> oportuna y </w:t>
      </w:r>
      <w:r w:rsidR="00893C5D" w:rsidRPr="00643DCF">
        <w:rPr>
          <w:rFonts w:ascii="Times New Roman" w:hAnsi="Times New Roman"/>
          <w:sz w:val="28"/>
          <w:szCs w:val="28"/>
        </w:rPr>
        <w:t>efectiva.</w:t>
      </w:r>
    </w:p>
    <w:p w14:paraId="7D8A8C2B" w14:textId="77777777" w:rsidR="00893C5D" w:rsidRPr="00643DCF" w:rsidRDefault="00893C5D" w:rsidP="00893C5D">
      <w:pPr>
        <w:pStyle w:val="Sinespaciado3"/>
        <w:tabs>
          <w:tab w:val="left" w:pos="567"/>
          <w:tab w:val="left" w:pos="2865"/>
        </w:tabs>
        <w:jc w:val="both"/>
        <w:rPr>
          <w:rFonts w:ascii="Times New Roman" w:hAnsi="Times New Roman"/>
          <w:sz w:val="28"/>
          <w:szCs w:val="28"/>
        </w:rPr>
      </w:pPr>
    </w:p>
    <w:p w14:paraId="4730505F" w14:textId="503926DD" w:rsidR="00893C5D" w:rsidRPr="00643DCF" w:rsidRDefault="00893C5D" w:rsidP="00893C5D">
      <w:pPr>
        <w:tabs>
          <w:tab w:val="left" w:pos="567"/>
        </w:tabs>
        <w:jc w:val="both"/>
        <w:rPr>
          <w:sz w:val="28"/>
          <w:szCs w:val="28"/>
        </w:rPr>
      </w:pPr>
      <w:r w:rsidRPr="00643DCF">
        <w:rPr>
          <w:sz w:val="28"/>
          <w:szCs w:val="28"/>
        </w:rPr>
        <w:t>En efecto, el alcance de la directriz contenida en el fallo hace referencia al deber de difusión de sus contenidos</w:t>
      </w:r>
      <w:r w:rsidR="001373A8" w:rsidRPr="00643DCF">
        <w:rPr>
          <w:sz w:val="28"/>
          <w:szCs w:val="28"/>
        </w:rPr>
        <w:t>, que</w:t>
      </w:r>
      <w:r w:rsidRPr="00643DCF">
        <w:rPr>
          <w:sz w:val="28"/>
          <w:szCs w:val="28"/>
        </w:rPr>
        <w:t xml:space="preserve"> según la jurisprudencia, la legislación y la dogmática relacionada con el derecho a la salud</w:t>
      </w:r>
      <w:r w:rsidR="001373A8" w:rsidRPr="00643DCF">
        <w:rPr>
          <w:sz w:val="28"/>
          <w:szCs w:val="28"/>
        </w:rPr>
        <w:t xml:space="preserve"> </w:t>
      </w:r>
      <w:r w:rsidRPr="00643DCF">
        <w:rPr>
          <w:sz w:val="28"/>
          <w:szCs w:val="28"/>
        </w:rPr>
        <w:t>comportan un conjunto de medidas que deben ser desarrolladas por el Consejo Superior de la Judicatura para poder cumplir la meta trazada. Así, por ejemplo, a la fecha se han expedido</w:t>
      </w:r>
      <w:r w:rsidR="00707831" w:rsidRPr="00643DCF">
        <w:rPr>
          <w:sz w:val="28"/>
          <w:szCs w:val="28"/>
        </w:rPr>
        <w:t xml:space="preserve"> por la Sala Especial</w:t>
      </w:r>
      <w:r w:rsidRPr="00643DCF">
        <w:rPr>
          <w:sz w:val="28"/>
          <w:szCs w:val="28"/>
        </w:rPr>
        <w:t xml:space="preserve"> más de 600 autos (genéricos </w:t>
      </w:r>
      <w:r w:rsidR="00581741" w:rsidRPr="00643DCF">
        <w:rPr>
          <w:sz w:val="28"/>
          <w:szCs w:val="28"/>
        </w:rPr>
        <w:t>y</w:t>
      </w:r>
      <w:r w:rsidR="00707831" w:rsidRPr="00643DCF">
        <w:rPr>
          <w:sz w:val="28"/>
          <w:szCs w:val="28"/>
        </w:rPr>
        <w:t xml:space="preserve"> </w:t>
      </w:r>
      <w:r w:rsidRPr="00643DCF">
        <w:rPr>
          <w:sz w:val="28"/>
          <w:szCs w:val="28"/>
        </w:rPr>
        <w:t xml:space="preserve">específicos), en los que se ha definido el alcance y valorado </w:t>
      </w:r>
      <w:r w:rsidR="002C41A8" w:rsidRPr="00643DCF">
        <w:rPr>
          <w:sz w:val="28"/>
          <w:szCs w:val="28"/>
        </w:rPr>
        <w:t xml:space="preserve">la mayoría de las </w:t>
      </w:r>
      <w:r w:rsidRPr="00643DCF">
        <w:rPr>
          <w:sz w:val="28"/>
          <w:szCs w:val="28"/>
        </w:rPr>
        <w:t xml:space="preserve">órdenes. Esta situación lleva a que la propia dinamicidad del proceso de desarrollo de la problemática pública de la salud exija </w:t>
      </w:r>
      <w:r w:rsidR="00707831" w:rsidRPr="00643DCF">
        <w:rPr>
          <w:sz w:val="28"/>
          <w:szCs w:val="28"/>
        </w:rPr>
        <w:t xml:space="preserve">del </w:t>
      </w:r>
      <w:r w:rsidRPr="00643DCF">
        <w:rPr>
          <w:sz w:val="28"/>
          <w:szCs w:val="28"/>
        </w:rPr>
        <w:t xml:space="preserve">CSJ </w:t>
      </w:r>
      <w:r w:rsidR="00707831" w:rsidRPr="00643DCF">
        <w:rPr>
          <w:sz w:val="28"/>
          <w:szCs w:val="28"/>
        </w:rPr>
        <w:t xml:space="preserve">la adopción de </w:t>
      </w:r>
      <w:r w:rsidRPr="00643DCF">
        <w:rPr>
          <w:sz w:val="28"/>
          <w:szCs w:val="28"/>
        </w:rPr>
        <w:t xml:space="preserve">medidas </w:t>
      </w:r>
      <w:r w:rsidR="00707831" w:rsidRPr="00643DCF">
        <w:rPr>
          <w:sz w:val="28"/>
          <w:szCs w:val="28"/>
        </w:rPr>
        <w:t xml:space="preserve">profundas y sustanciales </w:t>
      </w:r>
      <w:r w:rsidRPr="00643DCF">
        <w:rPr>
          <w:sz w:val="28"/>
          <w:szCs w:val="28"/>
        </w:rPr>
        <w:t>para di</w:t>
      </w:r>
      <w:r w:rsidR="00F44DBC" w:rsidRPr="00643DCF">
        <w:rPr>
          <w:sz w:val="28"/>
          <w:szCs w:val="28"/>
        </w:rPr>
        <w:t>vulgar</w:t>
      </w:r>
      <w:r w:rsidRPr="00643DCF">
        <w:rPr>
          <w:sz w:val="28"/>
          <w:szCs w:val="28"/>
        </w:rPr>
        <w:t xml:space="preserve"> y capacitar a </w:t>
      </w:r>
      <w:r w:rsidR="00707831" w:rsidRPr="00643DCF">
        <w:rPr>
          <w:sz w:val="28"/>
          <w:szCs w:val="28"/>
        </w:rPr>
        <w:t>las autoridades judiciales</w:t>
      </w:r>
      <w:r w:rsidRPr="00643DCF">
        <w:rPr>
          <w:sz w:val="28"/>
          <w:szCs w:val="28"/>
        </w:rPr>
        <w:t>.</w:t>
      </w:r>
    </w:p>
    <w:p w14:paraId="23882501" w14:textId="77777777" w:rsidR="00893C5D" w:rsidRPr="00643DCF" w:rsidRDefault="00893C5D" w:rsidP="00893C5D">
      <w:pPr>
        <w:tabs>
          <w:tab w:val="left" w:pos="567"/>
        </w:tabs>
        <w:jc w:val="both"/>
        <w:rPr>
          <w:sz w:val="28"/>
          <w:szCs w:val="28"/>
        </w:rPr>
      </w:pPr>
    </w:p>
    <w:p w14:paraId="39005EB2" w14:textId="1B0BE7B4" w:rsidR="00893C5D" w:rsidRPr="00643DCF" w:rsidRDefault="00707831" w:rsidP="00893C5D">
      <w:pPr>
        <w:tabs>
          <w:tab w:val="left" w:pos="567"/>
        </w:tabs>
        <w:jc w:val="both"/>
        <w:rPr>
          <w:sz w:val="28"/>
          <w:szCs w:val="28"/>
        </w:rPr>
      </w:pPr>
      <w:r w:rsidRPr="00643DCF">
        <w:rPr>
          <w:sz w:val="28"/>
          <w:szCs w:val="28"/>
        </w:rPr>
        <w:t>Particularmente un</w:t>
      </w:r>
      <w:r w:rsidR="00893C5D" w:rsidRPr="00643DCF">
        <w:rPr>
          <w:sz w:val="28"/>
          <w:szCs w:val="28"/>
        </w:rPr>
        <w:t xml:space="preserve"> componente </w:t>
      </w:r>
      <w:r w:rsidR="008575A4" w:rsidRPr="00643DCF">
        <w:rPr>
          <w:sz w:val="28"/>
          <w:szCs w:val="28"/>
        </w:rPr>
        <w:t>d</w:t>
      </w:r>
      <w:r w:rsidR="00602D0A" w:rsidRPr="00643DCF">
        <w:rPr>
          <w:sz w:val="28"/>
          <w:szCs w:val="28"/>
        </w:rPr>
        <w:t xml:space="preserve">e los mandatos </w:t>
      </w:r>
      <w:r w:rsidR="008575A4" w:rsidRPr="00643DCF">
        <w:rPr>
          <w:sz w:val="28"/>
          <w:szCs w:val="28"/>
        </w:rPr>
        <w:t>generales h</w:t>
      </w:r>
      <w:r w:rsidR="00893C5D" w:rsidRPr="00643DCF">
        <w:rPr>
          <w:sz w:val="28"/>
          <w:szCs w:val="28"/>
        </w:rPr>
        <w:t xml:space="preserve">ace relación a la necesidad de mantener en el tiempo el deber de publicar y difundir los diferentes contenidos del derecho a la salud, </w:t>
      </w:r>
      <w:r w:rsidR="008575A4" w:rsidRPr="00643DCF">
        <w:rPr>
          <w:sz w:val="28"/>
          <w:szCs w:val="28"/>
        </w:rPr>
        <w:t>es decir</w:t>
      </w:r>
      <w:r w:rsidR="00602D0A" w:rsidRPr="00643DCF">
        <w:rPr>
          <w:sz w:val="28"/>
          <w:szCs w:val="28"/>
        </w:rPr>
        <w:t>,</w:t>
      </w:r>
      <w:r w:rsidR="00893C5D" w:rsidRPr="00643DCF">
        <w:rPr>
          <w:sz w:val="28"/>
          <w:szCs w:val="28"/>
        </w:rPr>
        <w:t xml:space="preserve"> el fallo estructural y los autos de seguimiento por el CSJ, hasta que se cumplan la totalidad de l</w:t>
      </w:r>
      <w:r w:rsidR="008B5FAA" w:rsidRPr="00643DCF">
        <w:rPr>
          <w:sz w:val="28"/>
          <w:szCs w:val="28"/>
        </w:rPr>
        <w:t>a</w:t>
      </w:r>
      <w:r w:rsidR="00893C5D" w:rsidRPr="00643DCF">
        <w:rPr>
          <w:sz w:val="28"/>
          <w:szCs w:val="28"/>
        </w:rPr>
        <w:t xml:space="preserve">s </w:t>
      </w:r>
      <w:r w:rsidR="008B5FAA" w:rsidRPr="00643DCF">
        <w:rPr>
          <w:sz w:val="28"/>
          <w:szCs w:val="28"/>
        </w:rPr>
        <w:t>órdenes</w:t>
      </w:r>
      <w:r w:rsidR="00893C5D" w:rsidRPr="00643DCF">
        <w:rPr>
          <w:sz w:val="28"/>
          <w:szCs w:val="28"/>
        </w:rPr>
        <w:t xml:space="preserve"> de la </w:t>
      </w:r>
      <w:r w:rsidR="007E1B9F" w:rsidRPr="00643DCF">
        <w:rPr>
          <w:sz w:val="28"/>
          <w:szCs w:val="28"/>
        </w:rPr>
        <w:t>s</w:t>
      </w:r>
      <w:r w:rsidR="00893C5D" w:rsidRPr="00643DCF">
        <w:rPr>
          <w:sz w:val="28"/>
          <w:szCs w:val="28"/>
        </w:rPr>
        <w:t>entencia T-760 de 2008</w:t>
      </w:r>
      <w:r w:rsidR="008575A4" w:rsidRPr="00643DCF">
        <w:rPr>
          <w:sz w:val="28"/>
          <w:szCs w:val="28"/>
        </w:rPr>
        <w:t xml:space="preserve"> y </w:t>
      </w:r>
      <w:r w:rsidR="00893C5D" w:rsidRPr="00643DCF">
        <w:rPr>
          <w:sz w:val="28"/>
          <w:szCs w:val="28"/>
        </w:rPr>
        <w:t>sin que ello sea óbice para que se pueda establecer un cumplimiento significativo y sostenible</w:t>
      </w:r>
      <w:r w:rsidR="008B5FAA" w:rsidRPr="00643DCF">
        <w:rPr>
          <w:sz w:val="28"/>
          <w:szCs w:val="28"/>
        </w:rPr>
        <w:t>.</w:t>
      </w:r>
    </w:p>
    <w:p w14:paraId="55A1F396" w14:textId="77777777" w:rsidR="005B34C6" w:rsidRPr="00643DCF" w:rsidRDefault="005B34C6">
      <w:pPr>
        <w:rPr>
          <w:sz w:val="28"/>
          <w:szCs w:val="28"/>
        </w:rPr>
      </w:pPr>
    </w:p>
    <w:p w14:paraId="566FF330" w14:textId="414C2460" w:rsidR="00B842EA" w:rsidRPr="00FA159B" w:rsidRDefault="00C976C8" w:rsidP="000961E6">
      <w:pPr>
        <w:tabs>
          <w:tab w:val="left" w:pos="567"/>
        </w:tabs>
        <w:jc w:val="both"/>
        <w:rPr>
          <w:rFonts w:eastAsia="Batang"/>
          <w:sz w:val="28"/>
          <w:szCs w:val="28"/>
        </w:rPr>
      </w:pPr>
      <w:r w:rsidRPr="00643DCF">
        <w:rPr>
          <w:rFonts w:eastAsia="Batang"/>
          <w:sz w:val="28"/>
          <w:szCs w:val="28"/>
        </w:rPr>
        <w:t>1</w:t>
      </w:r>
      <w:r w:rsidR="0057282C" w:rsidRPr="00643DCF">
        <w:rPr>
          <w:rFonts w:eastAsia="Batang"/>
          <w:sz w:val="28"/>
          <w:szCs w:val="28"/>
        </w:rPr>
        <w:t>9</w:t>
      </w:r>
      <w:r w:rsidRPr="00643DCF">
        <w:rPr>
          <w:rFonts w:eastAsia="Batang"/>
          <w:sz w:val="28"/>
          <w:szCs w:val="28"/>
        </w:rPr>
        <w:t xml:space="preserve">. </w:t>
      </w:r>
      <w:r w:rsidR="00B842EA" w:rsidRPr="00643DCF">
        <w:rPr>
          <w:rFonts w:eastAsia="Batang"/>
          <w:sz w:val="28"/>
          <w:szCs w:val="28"/>
        </w:rPr>
        <w:t>La</w:t>
      </w:r>
      <w:r w:rsidR="00DA649F" w:rsidRPr="00643DCF">
        <w:rPr>
          <w:rFonts w:eastAsia="Batang"/>
          <w:sz w:val="28"/>
          <w:szCs w:val="28"/>
        </w:rPr>
        <w:t xml:space="preserve"> orden </w:t>
      </w:r>
      <w:r w:rsidR="00BE225C" w:rsidRPr="00643DCF">
        <w:rPr>
          <w:rFonts w:eastAsia="Batang"/>
          <w:sz w:val="28"/>
          <w:szCs w:val="28"/>
        </w:rPr>
        <w:t>trigésima</w:t>
      </w:r>
      <w:r w:rsidR="005B3F1E" w:rsidRPr="00643DCF">
        <w:rPr>
          <w:rFonts w:eastAsia="Batang"/>
          <w:sz w:val="28"/>
          <w:szCs w:val="28"/>
        </w:rPr>
        <w:t xml:space="preserve"> </w:t>
      </w:r>
      <w:r w:rsidR="00DA649F" w:rsidRPr="00FA159B">
        <w:rPr>
          <w:rFonts w:eastAsia="Batang"/>
          <w:sz w:val="28"/>
          <w:szCs w:val="28"/>
        </w:rPr>
        <w:t>segunda fue</w:t>
      </w:r>
      <w:r w:rsidR="006B4707" w:rsidRPr="00FA159B">
        <w:rPr>
          <w:rFonts w:eastAsia="Batang"/>
          <w:sz w:val="28"/>
          <w:szCs w:val="28"/>
        </w:rPr>
        <w:t xml:space="preserve"> </w:t>
      </w:r>
      <w:r w:rsidR="00650566" w:rsidRPr="00FA159B">
        <w:rPr>
          <w:rFonts w:eastAsia="Batang"/>
          <w:sz w:val="28"/>
          <w:szCs w:val="28"/>
        </w:rPr>
        <w:t xml:space="preserve">proferida </w:t>
      </w:r>
      <w:r w:rsidR="006B4707" w:rsidRPr="00FA159B">
        <w:rPr>
          <w:rFonts w:eastAsia="Batang"/>
          <w:sz w:val="28"/>
          <w:szCs w:val="28"/>
        </w:rPr>
        <w:t xml:space="preserve">con el fin de que </w:t>
      </w:r>
      <w:r w:rsidR="00B842EA" w:rsidRPr="00FA159B">
        <w:rPr>
          <w:rFonts w:eastAsia="Batang"/>
          <w:sz w:val="28"/>
          <w:szCs w:val="28"/>
        </w:rPr>
        <w:t xml:space="preserve">todos los </w:t>
      </w:r>
      <w:r w:rsidR="00650566" w:rsidRPr="00FA159B">
        <w:rPr>
          <w:rFonts w:eastAsia="Batang"/>
          <w:sz w:val="28"/>
          <w:szCs w:val="28"/>
        </w:rPr>
        <w:t xml:space="preserve">jueces de la República </w:t>
      </w:r>
      <w:r w:rsidR="00B842EA" w:rsidRPr="00FA159B">
        <w:rPr>
          <w:rFonts w:eastAsia="Batang"/>
          <w:sz w:val="28"/>
          <w:szCs w:val="28"/>
        </w:rPr>
        <w:t xml:space="preserve">conocieran </w:t>
      </w:r>
      <w:r w:rsidR="00AB21A2" w:rsidRPr="00FA159B">
        <w:rPr>
          <w:rFonts w:eastAsia="Batang"/>
          <w:sz w:val="28"/>
          <w:szCs w:val="28"/>
        </w:rPr>
        <w:t xml:space="preserve">el alcance de </w:t>
      </w:r>
      <w:r w:rsidR="00B842EA" w:rsidRPr="00FA159B">
        <w:rPr>
          <w:rFonts w:eastAsia="Batang"/>
          <w:sz w:val="28"/>
          <w:szCs w:val="28"/>
        </w:rPr>
        <w:t xml:space="preserve">la </w:t>
      </w:r>
      <w:r w:rsidR="007E1B9F" w:rsidRPr="00FA159B">
        <w:rPr>
          <w:rFonts w:eastAsia="Batang"/>
          <w:sz w:val="28"/>
          <w:szCs w:val="28"/>
        </w:rPr>
        <w:t>s</w:t>
      </w:r>
      <w:r w:rsidR="00B842EA" w:rsidRPr="00FA159B">
        <w:rPr>
          <w:rFonts w:eastAsia="Batang"/>
          <w:sz w:val="28"/>
          <w:szCs w:val="28"/>
        </w:rPr>
        <w:t>entencia T-760 de 2008</w:t>
      </w:r>
      <w:r w:rsidR="000B6088" w:rsidRPr="00FA159B">
        <w:rPr>
          <w:rFonts w:eastAsia="Batang"/>
          <w:sz w:val="28"/>
          <w:szCs w:val="28"/>
        </w:rPr>
        <w:t>,</w:t>
      </w:r>
      <w:r w:rsidR="00E850AD" w:rsidRPr="00FA159B">
        <w:rPr>
          <w:rFonts w:eastAsia="Batang"/>
          <w:sz w:val="28"/>
          <w:szCs w:val="28"/>
        </w:rPr>
        <w:t xml:space="preserve"> por ser</w:t>
      </w:r>
      <w:r w:rsidR="00F25834" w:rsidRPr="00FA159B">
        <w:rPr>
          <w:rFonts w:eastAsia="Batang"/>
          <w:sz w:val="28"/>
          <w:szCs w:val="28"/>
        </w:rPr>
        <w:t xml:space="preserve"> </w:t>
      </w:r>
      <w:r w:rsidR="00650566" w:rsidRPr="00FA159B">
        <w:rPr>
          <w:rFonts w:eastAsia="Batang"/>
          <w:sz w:val="28"/>
          <w:szCs w:val="28"/>
        </w:rPr>
        <w:t xml:space="preserve">ellos los que </w:t>
      </w:r>
      <w:r w:rsidR="00F25834" w:rsidRPr="00FA159B">
        <w:rPr>
          <w:rFonts w:eastAsia="Batang"/>
          <w:sz w:val="28"/>
          <w:szCs w:val="28"/>
        </w:rPr>
        <w:t xml:space="preserve">resuelven </w:t>
      </w:r>
      <w:r w:rsidR="009C45FF" w:rsidRPr="00FA159B">
        <w:rPr>
          <w:rFonts w:eastAsia="Batang"/>
          <w:sz w:val="28"/>
          <w:szCs w:val="28"/>
        </w:rPr>
        <w:t xml:space="preserve">las </w:t>
      </w:r>
      <w:r w:rsidR="00D35B0D" w:rsidRPr="00FA159B">
        <w:rPr>
          <w:rFonts w:eastAsia="Batang"/>
          <w:sz w:val="28"/>
          <w:szCs w:val="28"/>
        </w:rPr>
        <w:t xml:space="preserve">acciones </w:t>
      </w:r>
      <w:r w:rsidR="00F25834" w:rsidRPr="00FA159B">
        <w:rPr>
          <w:rFonts w:eastAsia="Batang"/>
          <w:sz w:val="28"/>
          <w:szCs w:val="28"/>
        </w:rPr>
        <w:t>constitucionales</w:t>
      </w:r>
      <w:r w:rsidR="00D35B0D" w:rsidRPr="00FA159B">
        <w:rPr>
          <w:rFonts w:eastAsia="Batang"/>
          <w:sz w:val="28"/>
          <w:szCs w:val="28"/>
        </w:rPr>
        <w:t xml:space="preserve"> que se interponen por </w:t>
      </w:r>
      <w:r w:rsidR="00650566" w:rsidRPr="00FA159B">
        <w:rPr>
          <w:rFonts w:eastAsia="Batang"/>
          <w:sz w:val="28"/>
          <w:szCs w:val="28"/>
        </w:rPr>
        <w:t xml:space="preserve">la </w:t>
      </w:r>
      <w:r w:rsidR="009C45FF" w:rsidRPr="00FA159B">
        <w:rPr>
          <w:rFonts w:eastAsia="Batang"/>
          <w:sz w:val="28"/>
          <w:szCs w:val="28"/>
        </w:rPr>
        <w:t>presunta</w:t>
      </w:r>
      <w:r w:rsidR="00D35B0D" w:rsidRPr="00FA159B">
        <w:rPr>
          <w:rFonts w:eastAsia="Batang"/>
          <w:sz w:val="28"/>
          <w:szCs w:val="28"/>
        </w:rPr>
        <w:t xml:space="preserve"> </w:t>
      </w:r>
      <w:r w:rsidR="00650566" w:rsidRPr="00FA159B">
        <w:rPr>
          <w:rFonts w:eastAsia="Batang"/>
          <w:sz w:val="28"/>
          <w:szCs w:val="28"/>
        </w:rPr>
        <w:t xml:space="preserve">transgresión de </w:t>
      </w:r>
      <w:r w:rsidR="00D35B0D" w:rsidRPr="00FA159B">
        <w:rPr>
          <w:rFonts w:eastAsia="Batang"/>
          <w:sz w:val="28"/>
          <w:szCs w:val="28"/>
        </w:rPr>
        <w:t>derechos fundamental</w:t>
      </w:r>
      <w:r w:rsidR="00A15752" w:rsidRPr="00FA159B">
        <w:rPr>
          <w:rFonts w:eastAsia="Batang"/>
          <w:sz w:val="28"/>
          <w:szCs w:val="28"/>
        </w:rPr>
        <w:t>es</w:t>
      </w:r>
      <w:r w:rsidR="00333302" w:rsidRPr="00FA159B">
        <w:rPr>
          <w:rFonts w:eastAsia="Batang"/>
          <w:sz w:val="28"/>
          <w:szCs w:val="28"/>
        </w:rPr>
        <w:t>,</w:t>
      </w:r>
      <w:r w:rsidR="009C45FF" w:rsidRPr="00FA159B">
        <w:rPr>
          <w:rFonts w:eastAsia="Batang"/>
          <w:sz w:val="28"/>
          <w:szCs w:val="28"/>
        </w:rPr>
        <w:t xml:space="preserve"> entre ellos el de la </w:t>
      </w:r>
      <w:r w:rsidR="00D35B0D" w:rsidRPr="00FA159B">
        <w:rPr>
          <w:rFonts w:eastAsia="Batang"/>
          <w:sz w:val="28"/>
          <w:szCs w:val="28"/>
        </w:rPr>
        <w:t>salud</w:t>
      </w:r>
      <w:r w:rsidR="00B95CFD" w:rsidRPr="00FA159B">
        <w:rPr>
          <w:rFonts w:eastAsia="Batang"/>
          <w:sz w:val="28"/>
          <w:szCs w:val="28"/>
        </w:rPr>
        <w:t xml:space="preserve">, </w:t>
      </w:r>
      <w:r w:rsidR="00433B8C" w:rsidRPr="00FA159B">
        <w:rPr>
          <w:rFonts w:eastAsia="Batang"/>
          <w:sz w:val="28"/>
          <w:szCs w:val="28"/>
        </w:rPr>
        <w:t xml:space="preserve">para </w:t>
      </w:r>
      <w:r w:rsidR="006B59C9" w:rsidRPr="00FA159B">
        <w:rPr>
          <w:rFonts w:eastAsia="Batang"/>
          <w:sz w:val="28"/>
          <w:szCs w:val="28"/>
        </w:rPr>
        <w:t xml:space="preserve">que al </w:t>
      </w:r>
      <w:r w:rsidR="00B842EA" w:rsidRPr="00FA159B">
        <w:rPr>
          <w:rFonts w:eastAsia="Batang"/>
          <w:sz w:val="28"/>
          <w:szCs w:val="28"/>
        </w:rPr>
        <w:t>momento de</w:t>
      </w:r>
      <w:r w:rsidR="00502B62" w:rsidRPr="00FA159B">
        <w:rPr>
          <w:rFonts w:eastAsia="Batang"/>
          <w:sz w:val="28"/>
          <w:szCs w:val="28"/>
        </w:rPr>
        <w:t xml:space="preserve"> la</w:t>
      </w:r>
      <w:r w:rsidR="00B842EA" w:rsidRPr="00FA159B">
        <w:rPr>
          <w:rFonts w:eastAsia="Batang"/>
          <w:sz w:val="28"/>
          <w:szCs w:val="28"/>
        </w:rPr>
        <w:t xml:space="preserve"> toma</w:t>
      </w:r>
      <w:r w:rsidR="00502B62" w:rsidRPr="00FA159B">
        <w:rPr>
          <w:rFonts w:eastAsia="Batang"/>
          <w:sz w:val="28"/>
          <w:szCs w:val="28"/>
        </w:rPr>
        <w:t xml:space="preserve"> de</w:t>
      </w:r>
      <w:r w:rsidR="00433B8C" w:rsidRPr="00FA159B">
        <w:rPr>
          <w:rFonts w:eastAsia="Batang"/>
          <w:sz w:val="28"/>
          <w:szCs w:val="28"/>
        </w:rPr>
        <w:t xml:space="preserve"> </w:t>
      </w:r>
      <w:r w:rsidR="00B842EA" w:rsidRPr="00FA159B">
        <w:rPr>
          <w:rFonts w:eastAsia="Batang"/>
          <w:sz w:val="28"/>
          <w:szCs w:val="28"/>
        </w:rPr>
        <w:t>decisiones</w:t>
      </w:r>
      <w:r w:rsidR="00B95CFD" w:rsidRPr="00FA159B">
        <w:rPr>
          <w:rFonts w:eastAsia="Batang"/>
          <w:sz w:val="28"/>
          <w:szCs w:val="28"/>
        </w:rPr>
        <w:t xml:space="preserve">, </w:t>
      </w:r>
      <w:r w:rsidR="0012725A" w:rsidRPr="00FA159B">
        <w:rPr>
          <w:rFonts w:eastAsia="Batang"/>
          <w:sz w:val="28"/>
          <w:szCs w:val="28"/>
        </w:rPr>
        <w:t xml:space="preserve">cuenten con el conocimiento </w:t>
      </w:r>
      <w:r w:rsidR="006B59C9" w:rsidRPr="00FA159B">
        <w:rPr>
          <w:rFonts w:eastAsia="Batang"/>
          <w:sz w:val="28"/>
          <w:szCs w:val="28"/>
        </w:rPr>
        <w:t xml:space="preserve">sobre su </w:t>
      </w:r>
      <w:r w:rsidR="000B6088" w:rsidRPr="00FA159B">
        <w:rPr>
          <w:rFonts w:eastAsia="Batang"/>
          <w:sz w:val="28"/>
          <w:szCs w:val="28"/>
        </w:rPr>
        <w:t>alcance</w:t>
      </w:r>
      <w:r w:rsidR="0054773F" w:rsidRPr="00FA159B">
        <w:rPr>
          <w:rFonts w:eastAsia="Batang"/>
          <w:sz w:val="28"/>
          <w:szCs w:val="28"/>
        </w:rPr>
        <w:t>,</w:t>
      </w:r>
      <w:r w:rsidR="000B6088" w:rsidRPr="00FA159B">
        <w:rPr>
          <w:rFonts w:eastAsia="Batang"/>
          <w:sz w:val="28"/>
          <w:szCs w:val="28"/>
        </w:rPr>
        <w:t xml:space="preserve"> </w:t>
      </w:r>
      <w:r w:rsidR="006B59C9" w:rsidRPr="00FA159B">
        <w:rPr>
          <w:rFonts w:eastAsia="Batang"/>
          <w:sz w:val="28"/>
          <w:szCs w:val="28"/>
        </w:rPr>
        <w:t xml:space="preserve">con </w:t>
      </w:r>
      <w:r w:rsidR="000B6088" w:rsidRPr="00FA159B">
        <w:rPr>
          <w:rFonts w:eastAsia="Batang"/>
          <w:sz w:val="28"/>
          <w:szCs w:val="28"/>
        </w:rPr>
        <w:t>la certeza de brindar una amplia protección</w:t>
      </w:r>
      <w:r w:rsidR="006B59C9" w:rsidRPr="00FA159B">
        <w:rPr>
          <w:rFonts w:eastAsia="Batang"/>
          <w:sz w:val="28"/>
          <w:szCs w:val="28"/>
        </w:rPr>
        <w:t xml:space="preserve"> y de esta forma </w:t>
      </w:r>
      <w:r w:rsidR="00B842EA" w:rsidRPr="00FA159B">
        <w:rPr>
          <w:rFonts w:eastAsia="Batang"/>
          <w:sz w:val="28"/>
          <w:szCs w:val="28"/>
        </w:rPr>
        <w:t xml:space="preserve">prevenir la </w:t>
      </w:r>
      <w:r w:rsidR="00AB21A2" w:rsidRPr="00FA159B">
        <w:rPr>
          <w:rFonts w:eastAsia="Batang"/>
          <w:sz w:val="28"/>
          <w:szCs w:val="28"/>
        </w:rPr>
        <w:t>reiteración de la amenaza o</w:t>
      </w:r>
      <w:r w:rsidR="00B842EA" w:rsidRPr="00FA159B">
        <w:rPr>
          <w:rFonts w:eastAsia="Batang"/>
          <w:sz w:val="28"/>
          <w:szCs w:val="28"/>
        </w:rPr>
        <w:t xml:space="preserve"> vulneración</w:t>
      </w:r>
      <w:r w:rsidR="00D357F4" w:rsidRPr="00FA159B">
        <w:rPr>
          <w:rFonts w:eastAsia="Batang"/>
          <w:sz w:val="28"/>
          <w:szCs w:val="28"/>
        </w:rPr>
        <w:t xml:space="preserve"> del </w:t>
      </w:r>
      <w:r w:rsidR="00BC2B0D" w:rsidRPr="00FA159B">
        <w:rPr>
          <w:rFonts w:eastAsia="Batang"/>
          <w:sz w:val="28"/>
          <w:szCs w:val="28"/>
        </w:rPr>
        <w:t>mismo</w:t>
      </w:r>
      <w:r w:rsidR="00B842EA" w:rsidRPr="00FA159B">
        <w:rPr>
          <w:rFonts w:eastAsia="Batang"/>
          <w:sz w:val="28"/>
          <w:szCs w:val="28"/>
        </w:rPr>
        <w:t>.</w:t>
      </w:r>
    </w:p>
    <w:p w14:paraId="14A07A29" w14:textId="2FB40CA5" w:rsidR="00A83569" w:rsidRPr="00643DCF" w:rsidRDefault="00D357F4" w:rsidP="00464A88">
      <w:pPr>
        <w:tabs>
          <w:tab w:val="left" w:pos="567"/>
        </w:tabs>
        <w:jc w:val="both"/>
        <w:rPr>
          <w:sz w:val="28"/>
          <w:szCs w:val="28"/>
          <w:lang w:val="es-MX"/>
        </w:rPr>
      </w:pPr>
      <w:r w:rsidRPr="00643DCF">
        <w:rPr>
          <w:sz w:val="28"/>
          <w:szCs w:val="28"/>
          <w:lang w:val="es-MX"/>
        </w:rPr>
        <w:lastRenderedPageBreak/>
        <w:t>El reconocimiento de</w:t>
      </w:r>
      <w:r w:rsidR="00B842EA" w:rsidRPr="00643DCF">
        <w:rPr>
          <w:sz w:val="28"/>
          <w:szCs w:val="28"/>
          <w:lang w:val="es-MX"/>
        </w:rPr>
        <w:t xml:space="preserve"> </w:t>
      </w:r>
      <w:r w:rsidR="00F44DBC" w:rsidRPr="00643DCF">
        <w:rPr>
          <w:sz w:val="28"/>
          <w:szCs w:val="28"/>
          <w:lang w:val="es-MX"/>
        </w:rPr>
        <w:t xml:space="preserve">la </w:t>
      </w:r>
      <w:r w:rsidR="00B842EA" w:rsidRPr="00643DCF">
        <w:rPr>
          <w:sz w:val="28"/>
          <w:szCs w:val="28"/>
          <w:lang w:val="es-MX"/>
        </w:rPr>
        <w:t>fundamental</w:t>
      </w:r>
      <w:r w:rsidR="00F44DBC" w:rsidRPr="00643DCF">
        <w:rPr>
          <w:sz w:val="28"/>
          <w:szCs w:val="28"/>
          <w:lang w:val="es-MX"/>
        </w:rPr>
        <w:t>idad de la salud</w:t>
      </w:r>
      <w:r w:rsidR="00B6707D" w:rsidRPr="00643DCF">
        <w:rPr>
          <w:sz w:val="28"/>
          <w:szCs w:val="28"/>
          <w:lang w:val="es-MX"/>
        </w:rPr>
        <w:t>,</w:t>
      </w:r>
      <w:r w:rsidR="00B842EA" w:rsidRPr="00643DCF">
        <w:rPr>
          <w:sz w:val="28"/>
          <w:szCs w:val="28"/>
          <w:lang w:val="es-MX"/>
        </w:rPr>
        <w:t xml:space="preserve"> en las normas tanto </w:t>
      </w:r>
      <w:r w:rsidR="00AB21A2" w:rsidRPr="00643DCF">
        <w:rPr>
          <w:sz w:val="28"/>
          <w:szCs w:val="28"/>
          <w:lang w:val="es-MX"/>
        </w:rPr>
        <w:t>nacionales</w:t>
      </w:r>
      <w:r w:rsidRPr="00643DCF">
        <w:rPr>
          <w:sz w:val="28"/>
          <w:szCs w:val="28"/>
          <w:lang w:val="es-MX"/>
        </w:rPr>
        <w:t xml:space="preserve"> como internacionales</w:t>
      </w:r>
      <w:r w:rsidR="00B842EA" w:rsidRPr="00643DCF">
        <w:rPr>
          <w:sz w:val="28"/>
          <w:szCs w:val="28"/>
          <w:lang w:val="es-MX"/>
        </w:rPr>
        <w:t xml:space="preserve"> pone de presente la importancia de brindar la mayor difusión posible</w:t>
      </w:r>
      <w:r w:rsidR="00C44B3C" w:rsidRPr="00643DCF">
        <w:rPr>
          <w:sz w:val="28"/>
          <w:szCs w:val="28"/>
          <w:lang w:val="es-MX"/>
        </w:rPr>
        <w:t xml:space="preserve"> de la normatividad y la jurisprudencia </w:t>
      </w:r>
      <w:r w:rsidRPr="00643DCF">
        <w:rPr>
          <w:sz w:val="28"/>
          <w:szCs w:val="28"/>
          <w:lang w:val="es-MX"/>
        </w:rPr>
        <w:t>constitucional sobre</w:t>
      </w:r>
      <w:r w:rsidR="00A83569" w:rsidRPr="00643DCF">
        <w:rPr>
          <w:sz w:val="28"/>
          <w:szCs w:val="28"/>
          <w:lang w:val="es-MX"/>
        </w:rPr>
        <w:t xml:space="preserve"> esa materia</w:t>
      </w:r>
      <w:r w:rsidR="00C44B3C" w:rsidRPr="00643DCF">
        <w:rPr>
          <w:sz w:val="28"/>
          <w:szCs w:val="28"/>
          <w:lang w:val="es-MX"/>
        </w:rPr>
        <w:t>,</w:t>
      </w:r>
      <w:r w:rsidR="00B842EA" w:rsidRPr="00643DCF">
        <w:rPr>
          <w:sz w:val="28"/>
          <w:szCs w:val="28"/>
          <w:lang w:val="es-MX"/>
        </w:rPr>
        <w:t xml:space="preserve"> para </w:t>
      </w:r>
      <w:r w:rsidRPr="00643DCF">
        <w:rPr>
          <w:sz w:val="28"/>
          <w:szCs w:val="28"/>
          <w:lang w:val="es-MX"/>
        </w:rPr>
        <w:t xml:space="preserve">la garantía </w:t>
      </w:r>
      <w:r w:rsidR="00C44B3C" w:rsidRPr="00643DCF">
        <w:rPr>
          <w:sz w:val="28"/>
          <w:szCs w:val="28"/>
          <w:lang w:val="es-MX"/>
        </w:rPr>
        <w:t>efectiv</w:t>
      </w:r>
      <w:r w:rsidRPr="00643DCF">
        <w:rPr>
          <w:sz w:val="28"/>
          <w:szCs w:val="28"/>
          <w:lang w:val="es-MX"/>
        </w:rPr>
        <w:t>a</w:t>
      </w:r>
      <w:r w:rsidR="00C44B3C" w:rsidRPr="00643DCF">
        <w:rPr>
          <w:sz w:val="28"/>
          <w:szCs w:val="28"/>
          <w:lang w:val="es-MX"/>
        </w:rPr>
        <w:t xml:space="preserve"> de sus facetas </w:t>
      </w:r>
      <w:r w:rsidR="00B6707D" w:rsidRPr="00643DCF">
        <w:rPr>
          <w:sz w:val="28"/>
          <w:szCs w:val="28"/>
          <w:lang w:val="es-MX"/>
        </w:rPr>
        <w:t>esenciales</w:t>
      </w:r>
      <w:r w:rsidRPr="00643DCF">
        <w:rPr>
          <w:sz w:val="28"/>
          <w:szCs w:val="28"/>
          <w:lang w:val="es-MX"/>
        </w:rPr>
        <w:t xml:space="preserve"> (positiva-negativa)</w:t>
      </w:r>
      <w:r w:rsidR="00B842EA" w:rsidRPr="00643DCF">
        <w:rPr>
          <w:sz w:val="28"/>
          <w:szCs w:val="28"/>
          <w:lang w:val="es-MX"/>
        </w:rPr>
        <w:t>.</w:t>
      </w:r>
    </w:p>
    <w:p w14:paraId="6E351A45" w14:textId="77777777" w:rsidR="00A83569" w:rsidRPr="00643DCF" w:rsidRDefault="00A83569" w:rsidP="00464A88">
      <w:pPr>
        <w:tabs>
          <w:tab w:val="left" w:pos="567"/>
        </w:tabs>
        <w:jc w:val="both"/>
        <w:rPr>
          <w:sz w:val="28"/>
          <w:szCs w:val="28"/>
          <w:lang w:val="es-MX"/>
        </w:rPr>
      </w:pPr>
    </w:p>
    <w:p w14:paraId="3DB3406D" w14:textId="764FAAF0" w:rsidR="00B842EA" w:rsidRPr="00643DCF" w:rsidRDefault="00AB21A2" w:rsidP="00464A88">
      <w:pPr>
        <w:tabs>
          <w:tab w:val="left" w:pos="567"/>
        </w:tabs>
        <w:jc w:val="both"/>
        <w:rPr>
          <w:sz w:val="28"/>
          <w:szCs w:val="28"/>
          <w:lang w:val="es-MX"/>
        </w:rPr>
      </w:pPr>
      <w:r w:rsidRPr="00643DCF">
        <w:rPr>
          <w:sz w:val="28"/>
          <w:szCs w:val="28"/>
          <w:lang w:val="es-MX"/>
        </w:rPr>
        <w:t>E</w:t>
      </w:r>
      <w:r w:rsidR="00B6707D" w:rsidRPr="00643DCF">
        <w:rPr>
          <w:sz w:val="28"/>
          <w:szCs w:val="28"/>
          <w:lang w:val="es-MX"/>
        </w:rPr>
        <w:t>n particular,</w:t>
      </w:r>
      <w:r w:rsidRPr="00643DCF">
        <w:rPr>
          <w:sz w:val="28"/>
          <w:szCs w:val="28"/>
          <w:lang w:val="es-MX"/>
        </w:rPr>
        <w:t xml:space="preserve"> </w:t>
      </w:r>
      <w:r w:rsidR="00B842EA" w:rsidRPr="00643DCF">
        <w:rPr>
          <w:sz w:val="28"/>
          <w:szCs w:val="28"/>
          <w:lang w:val="es-MX"/>
        </w:rPr>
        <w:t>el artículo 41 de la Constitución</w:t>
      </w:r>
      <w:r w:rsidR="00E339C7" w:rsidRPr="00643DCF">
        <w:rPr>
          <w:sz w:val="28"/>
          <w:szCs w:val="28"/>
          <w:lang w:val="es-MX"/>
        </w:rPr>
        <w:t xml:space="preserve"> </w:t>
      </w:r>
      <w:r w:rsidR="00B6707D" w:rsidRPr="00643DCF">
        <w:rPr>
          <w:sz w:val="28"/>
          <w:szCs w:val="28"/>
          <w:lang w:val="es-MX"/>
        </w:rPr>
        <w:t xml:space="preserve">ordena </w:t>
      </w:r>
      <w:r w:rsidR="00B842EA" w:rsidRPr="00643DCF">
        <w:rPr>
          <w:sz w:val="28"/>
          <w:szCs w:val="28"/>
          <w:lang w:val="es-MX"/>
        </w:rPr>
        <w:t xml:space="preserve">que </w:t>
      </w:r>
      <w:r w:rsidR="00B842EA" w:rsidRPr="00643DCF">
        <w:rPr>
          <w:i/>
          <w:sz w:val="28"/>
          <w:szCs w:val="28"/>
        </w:rPr>
        <w:t>“</w:t>
      </w:r>
      <w:r w:rsidR="003C1551" w:rsidRPr="00643DCF">
        <w:rPr>
          <w:i/>
          <w:sz w:val="28"/>
          <w:szCs w:val="28"/>
        </w:rPr>
        <w:t>E</w:t>
      </w:r>
      <w:r w:rsidR="00B842EA" w:rsidRPr="00643DCF">
        <w:rPr>
          <w:i/>
          <w:sz w:val="28"/>
          <w:szCs w:val="28"/>
        </w:rPr>
        <w:t>n todas las instituciones de ed</w:t>
      </w:r>
      <w:r w:rsidR="00037248" w:rsidRPr="00643DCF">
        <w:rPr>
          <w:i/>
          <w:sz w:val="28"/>
          <w:szCs w:val="28"/>
        </w:rPr>
        <w:t>ucación, oficiales o privadas, sean</w:t>
      </w:r>
      <w:r w:rsidR="003C1551" w:rsidRPr="00643DCF">
        <w:rPr>
          <w:i/>
          <w:sz w:val="28"/>
          <w:szCs w:val="28"/>
        </w:rPr>
        <w:t xml:space="preserve"> </w:t>
      </w:r>
      <w:r w:rsidR="00B842EA" w:rsidRPr="00643DCF">
        <w:rPr>
          <w:i/>
          <w:sz w:val="28"/>
          <w:szCs w:val="28"/>
        </w:rPr>
        <w:t>obligatorios el estudio de la Constitución y la instrucción Cívica.</w:t>
      </w:r>
      <w:r w:rsidR="00037248" w:rsidRPr="00643DCF">
        <w:rPr>
          <w:sz w:val="28"/>
          <w:szCs w:val="28"/>
        </w:rPr>
        <w:t xml:space="preserve">” </w:t>
      </w:r>
      <w:r w:rsidR="005B3F1E" w:rsidRPr="00643DCF">
        <w:rPr>
          <w:sz w:val="28"/>
          <w:szCs w:val="28"/>
        </w:rPr>
        <w:t>Del mismo modo</w:t>
      </w:r>
      <w:r w:rsidR="00037248" w:rsidRPr="00643DCF">
        <w:rPr>
          <w:sz w:val="28"/>
          <w:szCs w:val="28"/>
        </w:rPr>
        <w:t>, se prescribe el fomento de</w:t>
      </w:r>
      <w:r w:rsidR="00B842EA" w:rsidRPr="00643DCF">
        <w:rPr>
          <w:i/>
          <w:sz w:val="28"/>
          <w:szCs w:val="28"/>
        </w:rPr>
        <w:t xml:space="preserve"> </w:t>
      </w:r>
      <w:r w:rsidR="00037248" w:rsidRPr="00643DCF">
        <w:rPr>
          <w:i/>
          <w:sz w:val="28"/>
          <w:szCs w:val="28"/>
        </w:rPr>
        <w:t>“</w:t>
      </w:r>
      <w:r w:rsidR="00B842EA" w:rsidRPr="00643DCF">
        <w:rPr>
          <w:i/>
          <w:sz w:val="28"/>
          <w:szCs w:val="28"/>
        </w:rPr>
        <w:t>prácticas democráticas para el aprendizaje de los principios y valores de la participación ciudadana</w:t>
      </w:r>
      <w:r w:rsidR="00B66ABA" w:rsidRPr="00643DCF">
        <w:rPr>
          <w:sz w:val="28"/>
          <w:szCs w:val="28"/>
        </w:rPr>
        <w:t xml:space="preserve">” </w:t>
      </w:r>
      <w:r w:rsidR="000A733F" w:rsidRPr="00643DCF">
        <w:rPr>
          <w:sz w:val="28"/>
          <w:szCs w:val="28"/>
        </w:rPr>
        <w:t>y se determina que “</w:t>
      </w:r>
      <w:r w:rsidR="003C1551" w:rsidRPr="00643DCF">
        <w:rPr>
          <w:i/>
          <w:sz w:val="28"/>
          <w:szCs w:val="28"/>
        </w:rPr>
        <w:t>El</w:t>
      </w:r>
      <w:r w:rsidR="00B842EA" w:rsidRPr="00643DCF">
        <w:rPr>
          <w:i/>
          <w:sz w:val="28"/>
          <w:szCs w:val="28"/>
        </w:rPr>
        <w:t xml:space="preserve"> Estado divulgará la Constitución”</w:t>
      </w:r>
      <w:r w:rsidR="00B842EA" w:rsidRPr="00643DCF">
        <w:rPr>
          <w:rStyle w:val="Refdenotaalpie"/>
          <w:i/>
          <w:sz w:val="28"/>
          <w:szCs w:val="28"/>
        </w:rPr>
        <w:footnoteReference w:id="107"/>
      </w:r>
      <w:r w:rsidR="00B842EA" w:rsidRPr="00643DCF">
        <w:rPr>
          <w:i/>
          <w:sz w:val="28"/>
          <w:szCs w:val="28"/>
        </w:rPr>
        <w:t>.</w:t>
      </w:r>
      <w:r w:rsidR="0042372C" w:rsidRPr="00643DCF">
        <w:rPr>
          <w:i/>
          <w:sz w:val="28"/>
          <w:szCs w:val="28"/>
        </w:rPr>
        <w:t xml:space="preserve"> </w:t>
      </w:r>
      <w:r w:rsidR="0042372C" w:rsidRPr="00643DCF">
        <w:rPr>
          <w:sz w:val="28"/>
          <w:szCs w:val="28"/>
          <w:lang w:val="es-MX"/>
        </w:rPr>
        <w:t>Con base en est</w:t>
      </w:r>
      <w:r w:rsidR="00C44B3C" w:rsidRPr="00643DCF">
        <w:rPr>
          <w:sz w:val="28"/>
          <w:szCs w:val="28"/>
          <w:lang w:val="es-MX"/>
        </w:rPr>
        <w:t>e</w:t>
      </w:r>
      <w:r w:rsidR="0042372C" w:rsidRPr="00643DCF">
        <w:rPr>
          <w:sz w:val="28"/>
          <w:szCs w:val="28"/>
          <w:lang w:val="es-MX"/>
        </w:rPr>
        <w:t xml:space="preserve"> mandato es clara la </w:t>
      </w:r>
      <w:r w:rsidR="00B842EA" w:rsidRPr="00643DCF">
        <w:rPr>
          <w:sz w:val="28"/>
          <w:szCs w:val="28"/>
          <w:lang w:val="es-MX"/>
        </w:rPr>
        <w:t>justifica</w:t>
      </w:r>
      <w:r w:rsidR="0042372C" w:rsidRPr="00643DCF">
        <w:rPr>
          <w:sz w:val="28"/>
          <w:szCs w:val="28"/>
          <w:lang w:val="es-MX"/>
        </w:rPr>
        <w:t>ción y</w:t>
      </w:r>
      <w:r w:rsidR="00B842EA" w:rsidRPr="00643DCF">
        <w:rPr>
          <w:sz w:val="28"/>
          <w:szCs w:val="28"/>
          <w:lang w:val="es-MX"/>
        </w:rPr>
        <w:t xml:space="preserve"> la necesidad de que </w:t>
      </w:r>
      <w:r w:rsidR="0042372C" w:rsidRPr="00643DCF">
        <w:rPr>
          <w:sz w:val="28"/>
          <w:szCs w:val="28"/>
          <w:lang w:val="es-MX"/>
        </w:rPr>
        <w:t xml:space="preserve">las autoridades públicas, como </w:t>
      </w:r>
      <w:r w:rsidR="00B842EA" w:rsidRPr="00643DCF">
        <w:rPr>
          <w:sz w:val="28"/>
          <w:szCs w:val="28"/>
          <w:lang w:val="es-MX"/>
        </w:rPr>
        <w:t>el Consejo Superior</w:t>
      </w:r>
      <w:r w:rsidR="0054106D" w:rsidRPr="00643DCF">
        <w:rPr>
          <w:sz w:val="28"/>
          <w:szCs w:val="28"/>
          <w:lang w:val="es-MX"/>
        </w:rPr>
        <w:t xml:space="preserve"> de la Judicatura</w:t>
      </w:r>
      <w:r w:rsidR="0042372C" w:rsidRPr="00643DCF">
        <w:rPr>
          <w:sz w:val="28"/>
          <w:szCs w:val="28"/>
          <w:lang w:val="es-MX"/>
        </w:rPr>
        <w:t>,</w:t>
      </w:r>
      <w:r w:rsidR="00B842EA" w:rsidRPr="00643DCF">
        <w:rPr>
          <w:sz w:val="28"/>
          <w:szCs w:val="28"/>
          <w:lang w:val="es-MX"/>
        </w:rPr>
        <w:t xml:space="preserve"> propugne</w:t>
      </w:r>
      <w:r w:rsidR="0042372C" w:rsidRPr="00643DCF">
        <w:rPr>
          <w:sz w:val="28"/>
          <w:szCs w:val="28"/>
          <w:lang w:val="es-MX"/>
        </w:rPr>
        <w:t>n</w:t>
      </w:r>
      <w:r w:rsidR="00B842EA" w:rsidRPr="00643DCF">
        <w:rPr>
          <w:sz w:val="28"/>
          <w:szCs w:val="28"/>
          <w:lang w:val="es-MX"/>
        </w:rPr>
        <w:t xml:space="preserve"> por una </w:t>
      </w:r>
      <w:r w:rsidR="00F44DBC" w:rsidRPr="00643DCF">
        <w:rPr>
          <w:sz w:val="28"/>
          <w:szCs w:val="28"/>
          <w:lang w:val="es-MX"/>
        </w:rPr>
        <w:t xml:space="preserve">divulgación </w:t>
      </w:r>
      <w:r w:rsidR="00B842EA" w:rsidRPr="00643DCF">
        <w:rPr>
          <w:sz w:val="28"/>
          <w:szCs w:val="28"/>
          <w:lang w:val="es-MX"/>
        </w:rPr>
        <w:t xml:space="preserve">amplia y eficiente de las diferentes dimensiones del derecho a la salud. </w:t>
      </w:r>
    </w:p>
    <w:p w14:paraId="20BB6566" w14:textId="77777777" w:rsidR="00B842EA" w:rsidRPr="00643DCF" w:rsidRDefault="00B842EA" w:rsidP="00CA0FA4">
      <w:pPr>
        <w:pStyle w:val="Sinespaciado3"/>
        <w:tabs>
          <w:tab w:val="left" w:pos="567"/>
          <w:tab w:val="left" w:pos="2865"/>
        </w:tabs>
        <w:jc w:val="both"/>
        <w:rPr>
          <w:rFonts w:ascii="Times New Roman" w:hAnsi="Times New Roman"/>
          <w:sz w:val="28"/>
          <w:szCs w:val="28"/>
          <w:lang w:val="es-MX"/>
        </w:rPr>
      </w:pPr>
    </w:p>
    <w:p w14:paraId="7B225C1A" w14:textId="77777777" w:rsidR="003319D7" w:rsidRDefault="0057282C" w:rsidP="00464A88">
      <w:pPr>
        <w:tabs>
          <w:tab w:val="left" w:pos="567"/>
        </w:tabs>
        <w:jc w:val="both"/>
        <w:rPr>
          <w:i/>
          <w:sz w:val="28"/>
          <w:szCs w:val="28"/>
        </w:rPr>
      </w:pPr>
      <w:r w:rsidRPr="00643DCF">
        <w:rPr>
          <w:sz w:val="28"/>
          <w:szCs w:val="28"/>
        </w:rPr>
        <w:t>20</w:t>
      </w:r>
      <w:r w:rsidR="00C976C8" w:rsidRPr="00643DCF">
        <w:rPr>
          <w:sz w:val="28"/>
          <w:szCs w:val="28"/>
        </w:rPr>
        <w:t xml:space="preserve">. </w:t>
      </w:r>
      <w:r w:rsidR="00424AF8" w:rsidRPr="00643DCF">
        <w:rPr>
          <w:sz w:val="28"/>
          <w:szCs w:val="28"/>
        </w:rPr>
        <w:t>En este sentido</w:t>
      </w:r>
      <w:r w:rsidR="00B842EA" w:rsidRPr="00643DCF">
        <w:rPr>
          <w:sz w:val="28"/>
          <w:szCs w:val="28"/>
        </w:rPr>
        <w:t>,</w:t>
      </w:r>
      <w:r w:rsidR="00AB21A2" w:rsidRPr="00643DCF">
        <w:rPr>
          <w:sz w:val="28"/>
          <w:szCs w:val="28"/>
        </w:rPr>
        <w:t xml:space="preserve"> </w:t>
      </w:r>
      <w:r w:rsidR="00B842EA" w:rsidRPr="00643DCF">
        <w:rPr>
          <w:sz w:val="28"/>
          <w:szCs w:val="28"/>
        </w:rPr>
        <w:t>l</w:t>
      </w:r>
      <w:r w:rsidR="00AB21A2" w:rsidRPr="00643DCF">
        <w:rPr>
          <w:sz w:val="28"/>
          <w:szCs w:val="28"/>
        </w:rPr>
        <w:t xml:space="preserve">a </w:t>
      </w:r>
      <w:r w:rsidR="002F5CD0" w:rsidRPr="00643DCF">
        <w:rPr>
          <w:sz w:val="28"/>
          <w:szCs w:val="28"/>
        </w:rPr>
        <w:t>L</w:t>
      </w:r>
      <w:r w:rsidR="00AB21A2" w:rsidRPr="00643DCF">
        <w:rPr>
          <w:sz w:val="28"/>
          <w:szCs w:val="28"/>
        </w:rPr>
        <w:t>ey 270 de 1996</w:t>
      </w:r>
      <w:r w:rsidR="00BA1AD5" w:rsidRPr="00643DCF">
        <w:rPr>
          <w:rStyle w:val="Refdenotaalpie"/>
          <w:sz w:val="28"/>
          <w:szCs w:val="28"/>
        </w:rPr>
        <w:footnoteReference w:id="108"/>
      </w:r>
      <w:r w:rsidR="00BA1AD5" w:rsidRPr="00643DCF">
        <w:rPr>
          <w:sz w:val="28"/>
          <w:szCs w:val="28"/>
        </w:rPr>
        <w:t xml:space="preserve"> </w:t>
      </w:r>
      <w:r w:rsidR="00AB21A2" w:rsidRPr="00643DCF">
        <w:rPr>
          <w:sz w:val="28"/>
          <w:szCs w:val="28"/>
        </w:rPr>
        <w:t xml:space="preserve">estableció </w:t>
      </w:r>
      <w:r w:rsidR="00203657" w:rsidRPr="00643DCF">
        <w:rPr>
          <w:sz w:val="28"/>
          <w:szCs w:val="28"/>
        </w:rPr>
        <w:t xml:space="preserve">en </w:t>
      </w:r>
      <w:r w:rsidR="00E339C7" w:rsidRPr="00643DCF">
        <w:rPr>
          <w:sz w:val="28"/>
          <w:szCs w:val="28"/>
        </w:rPr>
        <w:t>el</w:t>
      </w:r>
      <w:r w:rsidR="00B842EA" w:rsidRPr="00643DCF">
        <w:rPr>
          <w:sz w:val="28"/>
          <w:szCs w:val="28"/>
        </w:rPr>
        <w:t xml:space="preserve"> artículo </w:t>
      </w:r>
      <w:r w:rsidR="00203657" w:rsidRPr="00643DCF">
        <w:rPr>
          <w:sz w:val="28"/>
          <w:szCs w:val="28"/>
        </w:rPr>
        <w:t>85 las funciones administrativas de la Rama Judicial y en el numeral 23</w:t>
      </w:r>
      <w:r w:rsidR="00E339C7" w:rsidRPr="00643DCF">
        <w:rPr>
          <w:sz w:val="28"/>
          <w:szCs w:val="28"/>
        </w:rPr>
        <w:t xml:space="preserve"> </w:t>
      </w:r>
      <w:r w:rsidR="00BA1AD5" w:rsidRPr="00643DCF">
        <w:rPr>
          <w:sz w:val="28"/>
          <w:szCs w:val="28"/>
        </w:rPr>
        <w:t xml:space="preserve">determinó </w:t>
      </w:r>
      <w:r w:rsidR="00203657" w:rsidRPr="00643DCF">
        <w:rPr>
          <w:sz w:val="28"/>
          <w:szCs w:val="28"/>
        </w:rPr>
        <w:t>la obligación de</w:t>
      </w:r>
      <w:r w:rsidR="00E339C7" w:rsidRPr="00643DCF">
        <w:rPr>
          <w:sz w:val="28"/>
          <w:szCs w:val="28"/>
        </w:rPr>
        <w:t>l Consejo Superior de la Judicatura de</w:t>
      </w:r>
      <w:r w:rsidR="00203657" w:rsidRPr="00643DCF">
        <w:rPr>
          <w:sz w:val="28"/>
          <w:szCs w:val="28"/>
        </w:rPr>
        <w:t xml:space="preserve"> “</w:t>
      </w:r>
      <w:r w:rsidR="003C1551" w:rsidRPr="00643DCF">
        <w:rPr>
          <w:i/>
          <w:color w:val="000000"/>
          <w:sz w:val="28"/>
          <w:szCs w:val="28"/>
          <w:shd w:val="clear" w:color="auto" w:fill="FFFFFF"/>
        </w:rPr>
        <w:t>E</w:t>
      </w:r>
      <w:r w:rsidR="00203657" w:rsidRPr="00643DCF">
        <w:rPr>
          <w:i/>
          <w:color w:val="000000"/>
          <w:sz w:val="28"/>
          <w:szCs w:val="28"/>
          <w:shd w:val="clear" w:color="auto" w:fill="FFFFFF"/>
        </w:rPr>
        <w:t>laborar y desarrollar el plan de formación, capacitación, y adiestramiento de los funcionarios y empleados de la Rama Judicial</w:t>
      </w:r>
      <w:r w:rsidR="00203657" w:rsidRPr="00643DCF">
        <w:rPr>
          <w:color w:val="000000"/>
          <w:sz w:val="28"/>
          <w:szCs w:val="28"/>
          <w:shd w:val="clear" w:color="auto" w:fill="FFFFFF"/>
        </w:rPr>
        <w:t>”. Asimismo, e</w:t>
      </w:r>
      <w:r w:rsidR="00E339C7" w:rsidRPr="00643DCF">
        <w:rPr>
          <w:color w:val="000000"/>
          <w:sz w:val="28"/>
          <w:szCs w:val="28"/>
          <w:shd w:val="clear" w:color="auto" w:fill="FFFFFF"/>
        </w:rPr>
        <w:t>n el numeral 3º</w:t>
      </w:r>
      <w:r w:rsidR="00BA1AD5" w:rsidRPr="00643DCF">
        <w:rPr>
          <w:color w:val="000000"/>
          <w:sz w:val="28"/>
          <w:szCs w:val="28"/>
          <w:shd w:val="clear" w:color="auto" w:fill="FFFFFF"/>
        </w:rPr>
        <w:t xml:space="preserve"> </w:t>
      </w:r>
      <w:r w:rsidR="00E339C7" w:rsidRPr="00643DCF">
        <w:rPr>
          <w:color w:val="000000"/>
          <w:sz w:val="28"/>
          <w:szCs w:val="28"/>
          <w:shd w:val="clear" w:color="auto" w:fill="FFFFFF"/>
        </w:rPr>
        <w:t>del</w:t>
      </w:r>
      <w:r w:rsidR="00203657" w:rsidRPr="00643DCF">
        <w:rPr>
          <w:color w:val="000000"/>
          <w:sz w:val="28"/>
          <w:szCs w:val="28"/>
          <w:shd w:val="clear" w:color="auto" w:fill="FFFFFF"/>
        </w:rPr>
        <w:t xml:space="preserve"> articul</w:t>
      </w:r>
      <w:r w:rsidR="00BA1AD5" w:rsidRPr="00643DCF">
        <w:rPr>
          <w:color w:val="000000"/>
          <w:sz w:val="28"/>
          <w:szCs w:val="28"/>
          <w:shd w:val="clear" w:color="auto" w:fill="FFFFFF"/>
        </w:rPr>
        <w:t xml:space="preserve">o </w:t>
      </w:r>
      <w:r w:rsidR="00203657" w:rsidRPr="00643DCF">
        <w:rPr>
          <w:color w:val="000000"/>
          <w:sz w:val="28"/>
          <w:szCs w:val="28"/>
          <w:shd w:val="clear" w:color="auto" w:fill="FFFFFF"/>
        </w:rPr>
        <w:t>87</w:t>
      </w:r>
      <w:r w:rsidR="00BA1AD5" w:rsidRPr="00643DCF">
        <w:rPr>
          <w:color w:val="000000"/>
          <w:sz w:val="28"/>
          <w:szCs w:val="28"/>
          <w:shd w:val="clear" w:color="auto" w:fill="FFFFFF"/>
        </w:rPr>
        <w:t xml:space="preserve"> </w:t>
      </w:r>
      <w:r w:rsidR="004B2BB2" w:rsidRPr="00643DCF">
        <w:rPr>
          <w:color w:val="000000"/>
          <w:sz w:val="28"/>
          <w:szCs w:val="28"/>
          <w:shd w:val="clear" w:color="auto" w:fill="FFFFFF"/>
        </w:rPr>
        <w:t>indicó que el</w:t>
      </w:r>
      <w:r w:rsidR="00203657" w:rsidRPr="00643DCF">
        <w:rPr>
          <w:color w:val="000000"/>
          <w:sz w:val="28"/>
          <w:szCs w:val="28"/>
          <w:shd w:val="clear" w:color="auto" w:fill="FFFFFF"/>
        </w:rPr>
        <w:t xml:space="preserve"> “</w:t>
      </w:r>
      <w:r w:rsidR="00203657" w:rsidRPr="00643DCF">
        <w:rPr>
          <w:i/>
          <w:color w:val="000000"/>
          <w:sz w:val="28"/>
          <w:szCs w:val="28"/>
          <w:shd w:val="clear" w:color="auto" w:fill="FFFFFF"/>
        </w:rPr>
        <w:t>Plan de Desarrollo de la Rama Judicial</w:t>
      </w:r>
      <w:r w:rsidR="00203657" w:rsidRPr="00643DCF">
        <w:rPr>
          <w:color w:val="000000"/>
          <w:sz w:val="28"/>
          <w:szCs w:val="28"/>
          <w:shd w:val="clear" w:color="auto" w:fill="FFFFFF"/>
        </w:rPr>
        <w:t>”</w:t>
      </w:r>
      <w:r w:rsidR="006E6C6D" w:rsidRPr="00643DCF">
        <w:rPr>
          <w:color w:val="000000"/>
          <w:sz w:val="28"/>
          <w:szCs w:val="28"/>
          <w:shd w:val="clear" w:color="auto" w:fill="FFFFFF"/>
        </w:rPr>
        <w:t xml:space="preserve"> </w:t>
      </w:r>
      <w:r w:rsidR="004B2BB2" w:rsidRPr="00643DCF">
        <w:rPr>
          <w:color w:val="000000"/>
          <w:sz w:val="28"/>
          <w:szCs w:val="28"/>
          <w:shd w:val="clear" w:color="auto" w:fill="FFFFFF"/>
        </w:rPr>
        <w:t>debía comprender los siguientes aspectos:</w:t>
      </w:r>
      <w:r w:rsidR="00BA1AD5" w:rsidRPr="00643DCF">
        <w:rPr>
          <w:color w:val="000000"/>
          <w:sz w:val="28"/>
          <w:szCs w:val="28"/>
          <w:shd w:val="clear" w:color="auto" w:fill="FFFFFF"/>
        </w:rPr>
        <w:t xml:space="preserve"> </w:t>
      </w:r>
      <w:r w:rsidR="00203657" w:rsidRPr="00643DCF">
        <w:rPr>
          <w:color w:val="000000"/>
          <w:sz w:val="28"/>
          <w:szCs w:val="28"/>
          <w:shd w:val="clear" w:color="auto" w:fill="FFFFFF"/>
        </w:rPr>
        <w:t>“</w:t>
      </w:r>
      <w:r w:rsidR="00203657" w:rsidRPr="00643DCF">
        <w:rPr>
          <w:i/>
          <w:color w:val="000000"/>
          <w:sz w:val="28"/>
          <w:szCs w:val="28"/>
          <w:shd w:val="clear" w:color="auto" w:fill="FFFFFF"/>
        </w:rPr>
        <w:t>Los programas de formación, capacitación y adiestramiento de funcionarios y empleados de la Rama Judicial</w:t>
      </w:r>
      <w:r w:rsidR="00203657" w:rsidRPr="00643DCF">
        <w:rPr>
          <w:color w:val="000000"/>
          <w:sz w:val="28"/>
          <w:szCs w:val="28"/>
          <w:shd w:val="clear" w:color="auto" w:fill="FFFFFF"/>
        </w:rPr>
        <w:t>.”</w:t>
      </w:r>
      <w:r w:rsidR="00A058D2" w:rsidRPr="00643DCF">
        <w:rPr>
          <w:color w:val="000000"/>
          <w:sz w:val="28"/>
          <w:szCs w:val="28"/>
          <w:shd w:val="clear" w:color="auto" w:fill="FFFFFF"/>
        </w:rPr>
        <w:t xml:space="preserve"> Finalmente</w:t>
      </w:r>
      <w:r w:rsidR="00E92A82" w:rsidRPr="00643DCF">
        <w:rPr>
          <w:color w:val="000000"/>
          <w:sz w:val="28"/>
          <w:szCs w:val="28"/>
          <w:shd w:val="clear" w:color="auto" w:fill="FFFFFF"/>
        </w:rPr>
        <w:t>,</w:t>
      </w:r>
      <w:r w:rsidR="00A058D2" w:rsidRPr="00643DCF">
        <w:rPr>
          <w:color w:val="000000"/>
          <w:sz w:val="28"/>
          <w:szCs w:val="28"/>
          <w:shd w:val="clear" w:color="auto" w:fill="FFFFFF"/>
        </w:rPr>
        <w:t xml:space="preserve"> establec</w:t>
      </w:r>
      <w:r w:rsidR="00E92A82" w:rsidRPr="00643DCF">
        <w:rPr>
          <w:color w:val="000000"/>
          <w:sz w:val="28"/>
          <w:szCs w:val="28"/>
          <w:shd w:val="clear" w:color="auto" w:fill="FFFFFF"/>
        </w:rPr>
        <w:t>ió</w:t>
      </w:r>
      <w:r w:rsidR="00A058D2" w:rsidRPr="00643DCF">
        <w:rPr>
          <w:color w:val="000000"/>
          <w:sz w:val="28"/>
          <w:szCs w:val="28"/>
          <w:shd w:val="clear" w:color="auto" w:fill="FFFFFF"/>
        </w:rPr>
        <w:t xml:space="preserve"> </w:t>
      </w:r>
      <w:r w:rsidR="00E92A82" w:rsidRPr="00643DCF">
        <w:rPr>
          <w:color w:val="000000"/>
          <w:sz w:val="28"/>
          <w:szCs w:val="28"/>
          <w:shd w:val="clear" w:color="auto" w:fill="FFFFFF"/>
        </w:rPr>
        <w:t>que</w:t>
      </w:r>
      <w:r w:rsidR="00A058D2" w:rsidRPr="00643DCF">
        <w:rPr>
          <w:color w:val="000000"/>
          <w:sz w:val="28"/>
          <w:szCs w:val="28"/>
          <w:shd w:val="clear" w:color="auto" w:fill="FFFFFF"/>
        </w:rPr>
        <w:t xml:space="preserve"> los funcionarios tienen el derecho </w:t>
      </w:r>
      <w:r w:rsidR="0057168D" w:rsidRPr="00643DCF">
        <w:rPr>
          <w:color w:val="000000"/>
          <w:sz w:val="28"/>
          <w:szCs w:val="28"/>
          <w:shd w:val="clear" w:color="auto" w:fill="FFFFFF"/>
        </w:rPr>
        <w:t>a “</w:t>
      </w:r>
      <w:r w:rsidR="0057168D" w:rsidRPr="00643DCF">
        <w:rPr>
          <w:i/>
          <w:color w:val="000000"/>
          <w:sz w:val="28"/>
          <w:szCs w:val="28"/>
          <w:shd w:val="clear" w:color="auto" w:fill="FFFFFF"/>
        </w:rPr>
        <w:t>participar en programas de capacitación, siempre que no afecte la prestación del servicio</w:t>
      </w:r>
      <w:r w:rsidR="0057168D" w:rsidRPr="00643DCF">
        <w:rPr>
          <w:color w:val="000000"/>
          <w:sz w:val="28"/>
          <w:szCs w:val="28"/>
          <w:shd w:val="clear" w:color="auto" w:fill="FFFFFF"/>
        </w:rPr>
        <w:t>”</w:t>
      </w:r>
      <w:r w:rsidR="007232BB" w:rsidRPr="00643DCF">
        <w:rPr>
          <w:color w:val="000000"/>
          <w:sz w:val="28"/>
          <w:szCs w:val="28"/>
          <w:shd w:val="clear" w:color="auto" w:fill="FFFFFF"/>
        </w:rPr>
        <w:t xml:space="preserve"> </w:t>
      </w:r>
      <w:r w:rsidR="00B842EA" w:rsidRPr="00643DCF">
        <w:rPr>
          <w:sz w:val="28"/>
          <w:szCs w:val="28"/>
        </w:rPr>
        <w:t xml:space="preserve"> </w:t>
      </w:r>
      <w:r w:rsidR="0057168D" w:rsidRPr="00643DCF">
        <w:rPr>
          <w:sz w:val="28"/>
          <w:szCs w:val="28"/>
        </w:rPr>
        <w:t>y el de</w:t>
      </w:r>
      <w:r w:rsidR="006E6C6D" w:rsidRPr="00643DCF">
        <w:rPr>
          <w:sz w:val="28"/>
          <w:szCs w:val="28"/>
        </w:rPr>
        <w:t xml:space="preserve">ber de </w:t>
      </w:r>
      <w:r w:rsidR="0057168D" w:rsidRPr="00643DCF">
        <w:rPr>
          <w:sz w:val="28"/>
          <w:szCs w:val="28"/>
        </w:rPr>
        <w:t>“</w:t>
      </w:r>
      <w:r w:rsidR="0057168D" w:rsidRPr="00643DCF">
        <w:rPr>
          <w:i/>
          <w:sz w:val="28"/>
          <w:szCs w:val="28"/>
        </w:rPr>
        <w:t>atender regularmente las actividades de capacitación y perfeccionamiento y efectuar las prácticas y los trabajos que se les impongan”</w:t>
      </w:r>
      <w:r w:rsidR="00F44DBC" w:rsidRPr="00643DCF">
        <w:rPr>
          <w:rStyle w:val="Refdenotaalpie"/>
          <w:sz w:val="28"/>
          <w:szCs w:val="28"/>
        </w:rPr>
        <w:t xml:space="preserve"> </w:t>
      </w:r>
      <w:r w:rsidR="00F44DBC" w:rsidRPr="00643DCF">
        <w:rPr>
          <w:rStyle w:val="Refdenotaalpie"/>
          <w:sz w:val="28"/>
          <w:szCs w:val="28"/>
        </w:rPr>
        <w:footnoteReference w:id="109"/>
      </w:r>
      <w:r w:rsidR="00F44DBC" w:rsidRPr="00643DCF">
        <w:rPr>
          <w:i/>
          <w:sz w:val="28"/>
          <w:szCs w:val="28"/>
        </w:rPr>
        <w:t xml:space="preserve">. </w:t>
      </w:r>
      <w:r w:rsidR="0057168D" w:rsidRPr="00643DCF">
        <w:rPr>
          <w:i/>
          <w:sz w:val="28"/>
          <w:szCs w:val="28"/>
        </w:rPr>
        <w:t xml:space="preserve"> </w:t>
      </w:r>
    </w:p>
    <w:p w14:paraId="502DBEB0" w14:textId="70343B51" w:rsidR="0057168D" w:rsidRPr="00643DCF" w:rsidRDefault="0057168D" w:rsidP="00464A88">
      <w:pPr>
        <w:tabs>
          <w:tab w:val="left" w:pos="567"/>
        </w:tabs>
        <w:jc w:val="both"/>
        <w:rPr>
          <w:sz w:val="28"/>
          <w:szCs w:val="28"/>
        </w:rPr>
      </w:pPr>
      <w:r w:rsidRPr="00643DCF">
        <w:rPr>
          <w:i/>
          <w:sz w:val="28"/>
          <w:szCs w:val="28"/>
        </w:rPr>
        <w:t xml:space="preserve"> </w:t>
      </w:r>
    </w:p>
    <w:p w14:paraId="11E1C6A6" w14:textId="7FD97797" w:rsidR="00BB505F" w:rsidRPr="00643DCF" w:rsidRDefault="0057282C" w:rsidP="00464A88">
      <w:pPr>
        <w:tabs>
          <w:tab w:val="left" w:pos="567"/>
        </w:tabs>
        <w:jc w:val="both"/>
        <w:rPr>
          <w:iCs/>
          <w:sz w:val="28"/>
          <w:szCs w:val="28"/>
          <w:bdr w:val="none" w:sz="0" w:space="0" w:color="auto" w:frame="1"/>
        </w:rPr>
      </w:pPr>
      <w:r w:rsidRPr="00643DCF">
        <w:rPr>
          <w:sz w:val="28"/>
          <w:szCs w:val="28"/>
        </w:rPr>
        <w:t>2</w:t>
      </w:r>
      <w:r w:rsidR="00C976C8" w:rsidRPr="00643DCF">
        <w:rPr>
          <w:sz w:val="28"/>
          <w:szCs w:val="28"/>
        </w:rPr>
        <w:t xml:space="preserve">1. </w:t>
      </w:r>
      <w:r w:rsidR="007232BB" w:rsidRPr="00643DCF">
        <w:rPr>
          <w:sz w:val="28"/>
          <w:szCs w:val="28"/>
        </w:rPr>
        <w:t>L</w:t>
      </w:r>
      <w:r w:rsidR="00D43980" w:rsidRPr="00643DCF">
        <w:rPr>
          <w:sz w:val="28"/>
          <w:szCs w:val="28"/>
        </w:rPr>
        <w:t xml:space="preserve">a Corte se ha pronunciado sobre la publicidad de las decisiones judiciales en </w:t>
      </w:r>
      <w:r w:rsidR="00C172F1" w:rsidRPr="00643DCF">
        <w:rPr>
          <w:sz w:val="28"/>
          <w:szCs w:val="28"/>
        </w:rPr>
        <w:t>diferentes ocasiones</w:t>
      </w:r>
      <w:r w:rsidR="00D43980" w:rsidRPr="00643DCF">
        <w:rPr>
          <w:sz w:val="28"/>
          <w:szCs w:val="28"/>
        </w:rPr>
        <w:t xml:space="preserve">. En la </w:t>
      </w:r>
      <w:r w:rsidR="004C1846" w:rsidRPr="00643DCF">
        <w:rPr>
          <w:sz w:val="28"/>
          <w:szCs w:val="28"/>
        </w:rPr>
        <w:t>s</w:t>
      </w:r>
      <w:r w:rsidR="00D43980" w:rsidRPr="00643DCF">
        <w:rPr>
          <w:sz w:val="28"/>
          <w:szCs w:val="28"/>
        </w:rPr>
        <w:t xml:space="preserve">entencia </w:t>
      </w:r>
      <w:r w:rsidR="00BB505F" w:rsidRPr="00643DCF">
        <w:rPr>
          <w:sz w:val="28"/>
          <w:szCs w:val="28"/>
        </w:rPr>
        <w:t xml:space="preserve">C-037 de 1996 que realizó el control integral de constitucionalidad a la </w:t>
      </w:r>
      <w:r w:rsidR="004E1A7A" w:rsidRPr="00643DCF">
        <w:rPr>
          <w:sz w:val="28"/>
          <w:szCs w:val="28"/>
        </w:rPr>
        <w:t>L</w:t>
      </w:r>
      <w:r w:rsidR="00BB505F" w:rsidRPr="00643DCF">
        <w:rPr>
          <w:sz w:val="28"/>
          <w:szCs w:val="28"/>
        </w:rPr>
        <w:t xml:space="preserve">ey </w:t>
      </w:r>
      <w:r w:rsidR="004E1A7A" w:rsidRPr="00643DCF">
        <w:rPr>
          <w:sz w:val="28"/>
          <w:szCs w:val="28"/>
        </w:rPr>
        <w:t>E</w:t>
      </w:r>
      <w:r w:rsidR="00BB505F" w:rsidRPr="00643DCF">
        <w:rPr>
          <w:sz w:val="28"/>
          <w:szCs w:val="28"/>
        </w:rPr>
        <w:t xml:space="preserve">statutaria de </w:t>
      </w:r>
      <w:r w:rsidR="004E1A7A" w:rsidRPr="00643DCF">
        <w:rPr>
          <w:sz w:val="28"/>
          <w:szCs w:val="28"/>
        </w:rPr>
        <w:t>A</w:t>
      </w:r>
      <w:r w:rsidR="00BB505F" w:rsidRPr="00643DCF">
        <w:rPr>
          <w:sz w:val="28"/>
          <w:szCs w:val="28"/>
        </w:rPr>
        <w:t xml:space="preserve">dministración de </w:t>
      </w:r>
      <w:r w:rsidR="004E1A7A" w:rsidRPr="00643DCF">
        <w:rPr>
          <w:sz w:val="28"/>
          <w:szCs w:val="28"/>
        </w:rPr>
        <w:t>J</w:t>
      </w:r>
      <w:r w:rsidR="00BB505F" w:rsidRPr="00643DCF">
        <w:rPr>
          <w:sz w:val="28"/>
          <w:szCs w:val="28"/>
        </w:rPr>
        <w:t xml:space="preserve">usticia, señaló que la publicidad de las </w:t>
      </w:r>
      <w:r w:rsidR="00C976C8" w:rsidRPr="00643DCF">
        <w:rPr>
          <w:sz w:val="28"/>
          <w:szCs w:val="28"/>
        </w:rPr>
        <w:t xml:space="preserve">mencionadas </w:t>
      </w:r>
      <w:r w:rsidR="00BB505F" w:rsidRPr="00643DCF">
        <w:rPr>
          <w:sz w:val="28"/>
          <w:szCs w:val="28"/>
        </w:rPr>
        <w:t xml:space="preserve">actuaciones </w:t>
      </w:r>
      <w:r w:rsidR="00C976C8" w:rsidRPr="00643DCF">
        <w:rPr>
          <w:sz w:val="28"/>
          <w:szCs w:val="28"/>
        </w:rPr>
        <w:t>e</w:t>
      </w:r>
      <w:r w:rsidR="00BB505F" w:rsidRPr="00643DCF">
        <w:rPr>
          <w:sz w:val="28"/>
          <w:szCs w:val="28"/>
        </w:rPr>
        <w:t>s la regla general y la reserva de</w:t>
      </w:r>
      <w:r w:rsidR="0010574E" w:rsidRPr="00643DCF">
        <w:rPr>
          <w:sz w:val="28"/>
          <w:szCs w:val="28"/>
        </w:rPr>
        <w:t xml:space="preserve"> la información es la excepción</w:t>
      </w:r>
      <w:r w:rsidR="00BB505F" w:rsidRPr="00643DCF">
        <w:rPr>
          <w:sz w:val="28"/>
          <w:szCs w:val="28"/>
        </w:rPr>
        <w:t xml:space="preserve"> cuyo carácter es restrictivo. </w:t>
      </w:r>
    </w:p>
    <w:p w14:paraId="23C97288" w14:textId="77777777" w:rsidR="00BB505F" w:rsidRPr="00643DCF" w:rsidRDefault="00BB505F" w:rsidP="00BB505F">
      <w:pPr>
        <w:pStyle w:val="Sinespaciado3"/>
        <w:tabs>
          <w:tab w:val="left" w:pos="567"/>
          <w:tab w:val="left" w:pos="2865"/>
        </w:tabs>
        <w:jc w:val="both"/>
        <w:rPr>
          <w:rFonts w:ascii="Times New Roman" w:hAnsi="Times New Roman"/>
          <w:sz w:val="28"/>
          <w:szCs w:val="28"/>
        </w:rPr>
      </w:pPr>
    </w:p>
    <w:p w14:paraId="2668CA3C" w14:textId="78F2F805" w:rsidR="00A20413" w:rsidRPr="00643DCF" w:rsidRDefault="00AE2DD3" w:rsidP="00BB505F">
      <w:pPr>
        <w:pStyle w:val="Sinespaciado3"/>
        <w:tabs>
          <w:tab w:val="left" w:pos="567"/>
          <w:tab w:val="left" w:pos="2865"/>
        </w:tabs>
        <w:jc w:val="both"/>
        <w:rPr>
          <w:rFonts w:ascii="Times New Roman" w:hAnsi="Times New Roman"/>
          <w:sz w:val="28"/>
          <w:szCs w:val="28"/>
        </w:rPr>
      </w:pPr>
      <w:r w:rsidRPr="00643DCF">
        <w:rPr>
          <w:rFonts w:ascii="Times New Roman" w:hAnsi="Times New Roman"/>
          <w:sz w:val="28"/>
          <w:szCs w:val="28"/>
        </w:rPr>
        <w:t>2</w:t>
      </w:r>
      <w:r w:rsidR="0057282C" w:rsidRPr="00643DCF">
        <w:rPr>
          <w:rFonts w:ascii="Times New Roman" w:hAnsi="Times New Roman"/>
          <w:sz w:val="28"/>
          <w:szCs w:val="28"/>
        </w:rPr>
        <w:t>2</w:t>
      </w:r>
      <w:r w:rsidRPr="00643DCF">
        <w:rPr>
          <w:rFonts w:ascii="Times New Roman" w:hAnsi="Times New Roman"/>
          <w:sz w:val="28"/>
          <w:szCs w:val="28"/>
        </w:rPr>
        <w:t xml:space="preserve">. </w:t>
      </w:r>
      <w:r w:rsidR="00D357F4" w:rsidRPr="00643DCF">
        <w:rPr>
          <w:rFonts w:ascii="Times New Roman" w:hAnsi="Times New Roman"/>
          <w:sz w:val="28"/>
          <w:szCs w:val="28"/>
        </w:rPr>
        <w:t>Más adelante, e</w:t>
      </w:r>
      <w:r w:rsidR="000905D3" w:rsidRPr="00643DCF">
        <w:rPr>
          <w:rFonts w:ascii="Times New Roman" w:hAnsi="Times New Roman"/>
          <w:sz w:val="28"/>
          <w:szCs w:val="28"/>
        </w:rPr>
        <w:t xml:space="preserve">n la </w:t>
      </w:r>
      <w:r w:rsidR="004C1846" w:rsidRPr="00643DCF">
        <w:rPr>
          <w:rFonts w:ascii="Times New Roman" w:hAnsi="Times New Roman"/>
          <w:sz w:val="28"/>
          <w:szCs w:val="28"/>
        </w:rPr>
        <w:t>s</w:t>
      </w:r>
      <w:r w:rsidR="000905D3" w:rsidRPr="00643DCF">
        <w:rPr>
          <w:rFonts w:ascii="Times New Roman" w:hAnsi="Times New Roman"/>
          <w:sz w:val="28"/>
          <w:szCs w:val="28"/>
        </w:rPr>
        <w:t xml:space="preserve">entencia </w:t>
      </w:r>
      <w:r w:rsidR="00D43980" w:rsidRPr="00643DCF">
        <w:rPr>
          <w:rFonts w:ascii="Times New Roman" w:hAnsi="Times New Roman"/>
          <w:sz w:val="28"/>
          <w:szCs w:val="28"/>
        </w:rPr>
        <w:t>C-641 de 2002</w:t>
      </w:r>
      <w:r w:rsidRPr="00643DCF">
        <w:rPr>
          <w:rFonts w:ascii="Times New Roman" w:hAnsi="Times New Roman"/>
          <w:sz w:val="28"/>
          <w:szCs w:val="28"/>
        </w:rPr>
        <w:t xml:space="preserve"> se realizaron </w:t>
      </w:r>
      <w:r w:rsidR="00C95F42" w:rsidRPr="00643DCF">
        <w:rPr>
          <w:rFonts w:ascii="Times New Roman" w:hAnsi="Times New Roman"/>
          <w:sz w:val="28"/>
          <w:szCs w:val="28"/>
        </w:rPr>
        <w:t xml:space="preserve">importantes precisiones sobre el principio de publicidad en relación con las </w:t>
      </w:r>
      <w:r w:rsidR="00D357F4" w:rsidRPr="00643DCF">
        <w:rPr>
          <w:rFonts w:ascii="Times New Roman" w:hAnsi="Times New Roman"/>
          <w:sz w:val="28"/>
          <w:szCs w:val="28"/>
        </w:rPr>
        <w:t xml:space="preserve">decisiones </w:t>
      </w:r>
      <w:r w:rsidR="00C95F42" w:rsidRPr="00643DCF">
        <w:rPr>
          <w:rFonts w:ascii="Times New Roman" w:hAnsi="Times New Roman"/>
          <w:sz w:val="28"/>
          <w:szCs w:val="28"/>
        </w:rPr>
        <w:t>judiciales. Para empezar,</w:t>
      </w:r>
      <w:r w:rsidR="00D43980" w:rsidRPr="00643DCF">
        <w:rPr>
          <w:rFonts w:ascii="Times New Roman" w:hAnsi="Times New Roman"/>
          <w:sz w:val="28"/>
          <w:szCs w:val="28"/>
        </w:rPr>
        <w:t xml:space="preserve"> afirmó</w:t>
      </w:r>
      <w:r w:rsidR="00C172F1" w:rsidRPr="00643DCF">
        <w:rPr>
          <w:rFonts w:ascii="Times New Roman" w:hAnsi="Times New Roman"/>
          <w:sz w:val="28"/>
          <w:szCs w:val="28"/>
        </w:rPr>
        <w:t xml:space="preserve"> que</w:t>
      </w:r>
      <w:r w:rsidR="00D43980" w:rsidRPr="00643DCF">
        <w:rPr>
          <w:rFonts w:ascii="Times New Roman" w:hAnsi="Times New Roman"/>
          <w:sz w:val="28"/>
          <w:szCs w:val="28"/>
        </w:rPr>
        <w:t xml:space="preserve"> “</w:t>
      </w:r>
      <w:r w:rsidR="00D43980" w:rsidRPr="00643DCF">
        <w:rPr>
          <w:rFonts w:ascii="Times New Roman" w:hAnsi="Times New Roman"/>
          <w:i/>
          <w:iCs/>
          <w:sz w:val="28"/>
          <w:szCs w:val="28"/>
          <w:bdr w:val="none" w:sz="0" w:space="0" w:color="auto" w:frame="1"/>
        </w:rPr>
        <w:t>en las actuaciones judiciales surge la publicidad como uno de sus principios rectores, en virtud del cual, el juez tiene el deber de poner en conocimiento de los sujetos procesales y de la comunidad en general, los actos que conduzcan a la creación, modificación o extinción de un derecho”</w:t>
      </w:r>
      <w:r w:rsidR="00D43980" w:rsidRPr="00643DCF">
        <w:rPr>
          <w:rFonts w:ascii="Times New Roman" w:hAnsi="Times New Roman"/>
          <w:iCs/>
          <w:sz w:val="28"/>
          <w:szCs w:val="28"/>
          <w:bdr w:val="none" w:sz="0" w:space="0" w:color="auto" w:frame="1"/>
        </w:rPr>
        <w:t>.</w:t>
      </w:r>
      <w:r w:rsidR="00A20413" w:rsidRPr="00643DCF">
        <w:rPr>
          <w:rFonts w:ascii="Times New Roman" w:hAnsi="Times New Roman"/>
          <w:iCs/>
          <w:sz w:val="28"/>
          <w:szCs w:val="28"/>
          <w:bdr w:val="none" w:sz="0" w:space="0" w:color="auto" w:frame="1"/>
        </w:rPr>
        <w:t xml:space="preserve"> </w:t>
      </w:r>
      <w:r w:rsidR="00ED4491" w:rsidRPr="00643DCF">
        <w:rPr>
          <w:rFonts w:ascii="Times New Roman" w:hAnsi="Times New Roman"/>
          <w:iCs/>
          <w:sz w:val="28"/>
          <w:szCs w:val="28"/>
          <w:bdr w:val="none" w:sz="0" w:space="0" w:color="auto" w:frame="1"/>
        </w:rPr>
        <w:t>A</w:t>
      </w:r>
      <w:r w:rsidR="00891F94" w:rsidRPr="00643DCF">
        <w:rPr>
          <w:rFonts w:ascii="Times New Roman" w:hAnsi="Times New Roman"/>
          <w:iCs/>
          <w:sz w:val="28"/>
          <w:szCs w:val="28"/>
          <w:bdr w:val="none" w:sz="0" w:space="0" w:color="auto" w:frame="1"/>
        </w:rPr>
        <w:t xml:space="preserve"> re</w:t>
      </w:r>
      <w:r w:rsidR="00CC5C1A" w:rsidRPr="00643DCF">
        <w:rPr>
          <w:rFonts w:ascii="Times New Roman" w:hAnsi="Times New Roman"/>
          <w:iCs/>
          <w:sz w:val="28"/>
          <w:szCs w:val="28"/>
          <w:bdr w:val="none" w:sz="0" w:space="0" w:color="auto" w:frame="1"/>
        </w:rPr>
        <w:t>n</w:t>
      </w:r>
      <w:r w:rsidR="00891F94" w:rsidRPr="00643DCF">
        <w:rPr>
          <w:rFonts w:ascii="Times New Roman" w:hAnsi="Times New Roman"/>
          <w:iCs/>
          <w:sz w:val="28"/>
          <w:szCs w:val="28"/>
          <w:bdr w:val="none" w:sz="0" w:space="0" w:color="auto" w:frame="1"/>
        </w:rPr>
        <w:t>glón seguido</w:t>
      </w:r>
      <w:r w:rsidR="00D43980" w:rsidRPr="00643DCF">
        <w:rPr>
          <w:rFonts w:ascii="Times New Roman" w:hAnsi="Times New Roman"/>
          <w:iCs/>
          <w:sz w:val="28"/>
          <w:szCs w:val="28"/>
          <w:bdr w:val="none" w:sz="0" w:space="0" w:color="auto" w:frame="1"/>
        </w:rPr>
        <w:t xml:space="preserve"> aclaró</w:t>
      </w:r>
      <w:r w:rsidR="00891F94" w:rsidRPr="00643DCF">
        <w:rPr>
          <w:rFonts w:ascii="Times New Roman" w:hAnsi="Times New Roman"/>
          <w:iCs/>
          <w:sz w:val="28"/>
          <w:szCs w:val="28"/>
          <w:bdr w:val="none" w:sz="0" w:space="0" w:color="auto" w:frame="1"/>
        </w:rPr>
        <w:t xml:space="preserve"> </w:t>
      </w:r>
      <w:r w:rsidR="00ED4491" w:rsidRPr="00643DCF">
        <w:rPr>
          <w:rFonts w:ascii="Times New Roman" w:hAnsi="Times New Roman"/>
          <w:iCs/>
          <w:sz w:val="28"/>
          <w:szCs w:val="28"/>
          <w:bdr w:val="none" w:sz="0" w:space="0" w:color="auto" w:frame="1"/>
        </w:rPr>
        <w:t xml:space="preserve">que es deber de los jueces dar a conocer sus decisiones con el fin de propender por la legalidad de las </w:t>
      </w:r>
      <w:r w:rsidR="004C1846" w:rsidRPr="00643DCF">
        <w:rPr>
          <w:rFonts w:ascii="Times New Roman" w:hAnsi="Times New Roman"/>
          <w:iCs/>
          <w:sz w:val="28"/>
          <w:szCs w:val="28"/>
          <w:bdr w:val="none" w:sz="0" w:space="0" w:color="auto" w:frame="1"/>
        </w:rPr>
        <w:t>ó</w:t>
      </w:r>
      <w:r w:rsidR="00ED4491" w:rsidRPr="00643DCF">
        <w:rPr>
          <w:rFonts w:ascii="Times New Roman" w:hAnsi="Times New Roman"/>
          <w:iCs/>
          <w:sz w:val="28"/>
          <w:szCs w:val="28"/>
          <w:bdr w:val="none" w:sz="0" w:space="0" w:color="auto" w:frame="1"/>
        </w:rPr>
        <w:t>rdenes adoptadas con el fin de garantizar el debido proceso. Al respecto</w:t>
      </w:r>
      <w:r w:rsidR="00CC5C1A" w:rsidRPr="00643DCF">
        <w:rPr>
          <w:rFonts w:ascii="Times New Roman" w:hAnsi="Times New Roman"/>
          <w:iCs/>
          <w:sz w:val="28"/>
          <w:szCs w:val="28"/>
          <w:bdr w:val="none" w:sz="0" w:space="0" w:color="auto" w:frame="1"/>
        </w:rPr>
        <w:t>,</w:t>
      </w:r>
      <w:r w:rsidR="00ED4491" w:rsidRPr="00643DCF">
        <w:rPr>
          <w:rFonts w:ascii="Times New Roman" w:hAnsi="Times New Roman"/>
          <w:iCs/>
          <w:sz w:val="28"/>
          <w:szCs w:val="28"/>
          <w:bdr w:val="none" w:sz="0" w:space="0" w:color="auto" w:frame="1"/>
        </w:rPr>
        <w:t xml:space="preserve"> dijo l</w:t>
      </w:r>
      <w:r w:rsidR="00891F94" w:rsidRPr="00643DCF">
        <w:rPr>
          <w:rFonts w:ascii="Times New Roman" w:hAnsi="Times New Roman"/>
          <w:iCs/>
          <w:sz w:val="28"/>
          <w:szCs w:val="28"/>
          <w:bdr w:val="none" w:sz="0" w:space="0" w:color="auto" w:frame="1"/>
        </w:rPr>
        <w:t>o siguiente</w:t>
      </w:r>
      <w:r w:rsidR="00A20413" w:rsidRPr="00643DCF">
        <w:rPr>
          <w:rFonts w:ascii="Times New Roman" w:hAnsi="Times New Roman"/>
          <w:iCs/>
          <w:sz w:val="28"/>
          <w:szCs w:val="28"/>
          <w:bdr w:val="none" w:sz="0" w:space="0" w:color="auto" w:frame="1"/>
        </w:rPr>
        <w:t>:</w:t>
      </w:r>
      <w:r w:rsidR="00D43980" w:rsidRPr="00643DCF">
        <w:rPr>
          <w:rFonts w:ascii="Times New Roman" w:hAnsi="Times New Roman"/>
          <w:iCs/>
          <w:sz w:val="28"/>
          <w:szCs w:val="28"/>
          <w:bdr w:val="none" w:sz="0" w:space="0" w:color="auto" w:frame="1"/>
        </w:rPr>
        <w:t xml:space="preserve"> </w:t>
      </w:r>
    </w:p>
    <w:p w14:paraId="792BB03A" w14:textId="1D2336CB" w:rsidR="00D43980" w:rsidRPr="00643DCF" w:rsidRDefault="00D43980" w:rsidP="00175BA0">
      <w:pPr>
        <w:pStyle w:val="Sinespaciado3"/>
        <w:tabs>
          <w:tab w:val="left" w:pos="284"/>
          <w:tab w:val="left" w:pos="2865"/>
        </w:tabs>
        <w:ind w:left="284"/>
        <w:jc w:val="both"/>
        <w:rPr>
          <w:rFonts w:ascii="Times New Roman" w:hAnsi="Times New Roman"/>
          <w:iCs/>
          <w:sz w:val="28"/>
          <w:szCs w:val="28"/>
          <w:bdr w:val="none" w:sz="0" w:space="0" w:color="auto" w:frame="1"/>
        </w:rPr>
      </w:pPr>
      <w:r w:rsidRPr="00643DCF">
        <w:rPr>
          <w:rFonts w:ascii="Times New Roman" w:hAnsi="Times New Roman"/>
          <w:iCs/>
          <w:sz w:val="28"/>
          <w:szCs w:val="28"/>
          <w:bdr w:val="none" w:sz="0" w:space="0" w:color="auto" w:frame="1"/>
        </w:rPr>
        <w:lastRenderedPageBreak/>
        <w:t>“</w:t>
      </w:r>
      <w:r w:rsidRPr="003319D7">
        <w:rPr>
          <w:rFonts w:ascii="Times New Roman" w:hAnsi="Times New Roman"/>
          <w:i/>
          <w:iCs/>
          <w:sz w:val="27"/>
          <w:szCs w:val="27"/>
          <w:bdr w:val="none" w:sz="0" w:space="0" w:color="auto" w:frame="1"/>
        </w:rPr>
        <w:t>el principio de publicidad tiene dos vertientes en relación con su alcance y exigibilidad, a saber: a) En primer lugar, es deber de los jueces en los procesos y actuaciones judiciales dar a conocer sus decisiones tanto a las partes como a los otros sujetos procesales, mediante las comunicaciones o notificaciones que para el efecto consagre el ordenamiento jurídico. En este evento, se trata de un acto procesal de notificación, el cual más que pretender formalizar la comunicación del inicio, desarrollo o agotamiento de una actuación, procura asegurar la legalidad de las determinaciones judicialmente adoptadas, ya que su conocimiento ampara efectivamente los derechos de defensa, de contradicción y de impugnación. b) Por otra parte, el artículo 64 de la Ley Estatutaria de la Administración de Justicia en concordancia con los artículos 74 y 228 de la Constitución, impone el deber a los jueces de comunicar y divulgar a la opinión pública o a la comunidad en general, el contenido y los efectos de sus decisiones, salvo en aquellos casos en los cuales exista reserva legal</w:t>
      </w:r>
      <w:r w:rsidRPr="00643DCF">
        <w:rPr>
          <w:rFonts w:ascii="Times New Roman" w:hAnsi="Times New Roman"/>
          <w:iCs/>
          <w:sz w:val="28"/>
          <w:szCs w:val="28"/>
          <w:bdr w:val="none" w:sz="0" w:space="0" w:color="auto" w:frame="1"/>
        </w:rPr>
        <w:t>”.</w:t>
      </w:r>
    </w:p>
    <w:p w14:paraId="2FD428BD" w14:textId="77777777" w:rsidR="00D43980" w:rsidRPr="00643DCF" w:rsidRDefault="00D43980" w:rsidP="00CA0FA4">
      <w:pPr>
        <w:pStyle w:val="Sinespaciado3"/>
        <w:tabs>
          <w:tab w:val="left" w:pos="567"/>
          <w:tab w:val="left" w:pos="2865"/>
        </w:tabs>
        <w:jc w:val="both"/>
        <w:rPr>
          <w:rFonts w:ascii="Times New Roman" w:hAnsi="Times New Roman"/>
          <w:sz w:val="28"/>
          <w:szCs w:val="28"/>
        </w:rPr>
      </w:pPr>
    </w:p>
    <w:p w14:paraId="60FF557C" w14:textId="26D13F1B" w:rsidR="00CA0FA4" w:rsidRPr="00643DCF" w:rsidRDefault="00D43980" w:rsidP="00464A88">
      <w:pPr>
        <w:tabs>
          <w:tab w:val="left" w:pos="567"/>
        </w:tabs>
        <w:jc w:val="both"/>
        <w:rPr>
          <w:iCs/>
          <w:sz w:val="28"/>
          <w:szCs w:val="28"/>
          <w:bdr w:val="none" w:sz="0" w:space="0" w:color="auto" w:frame="1"/>
        </w:rPr>
      </w:pPr>
      <w:r w:rsidRPr="00643DCF">
        <w:rPr>
          <w:iCs/>
          <w:sz w:val="28"/>
          <w:szCs w:val="28"/>
          <w:bdr w:val="none" w:sz="0" w:space="0" w:color="auto" w:frame="1"/>
        </w:rPr>
        <w:t xml:space="preserve">Dentro del mismo </w:t>
      </w:r>
      <w:r w:rsidR="005A612B" w:rsidRPr="00643DCF">
        <w:rPr>
          <w:iCs/>
          <w:sz w:val="28"/>
          <w:szCs w:val="28"/>
          <w:bdr w:val="none" w:sz="0" w:space="0" w:color="auto" w:frame="1"/>
        </w:rPr>
        <w:t>pronunciamiento,</w:t>
      </w:r>
      <w:r w:rsidRPr="00643DCF">
        <w:rPr>
          <w:iCs/>
          <w:sz w:val="28"/>
          <w:szCs w:val="28"/>
          <w:bdr w:val="none" w:sz="0" w:space="0" w:color="auto" w:frame="1"/>
        </w:rPr>
        <w:t xml:space="preserve"> l</w:t>
      </w:r>
      <w:r w:rsidRPr="00643DCF">
        <w:rPr>
          <w:sz w:val="28"/>
          <w:szCs w:val="28"/>
        </w:rPr>
        <w:t>a Corte</w:t>
      </w:r>
      <w:r w:rsidR="005A612B" w:rsidRPr="00643DCF">
        <w:rPr>
          <w:iCs/>
          <w:sz w:val="28"/>
          <w:szCs w:val="28"/>
          <w:bdr w:val="none" w:sz="0" w:space="0" w:color="auto" w:frame="1"/>
        </w:rPr>
        <w:t xml:space="preserve"> explicó que e</w:t>
      </w:r>
      <w:r w:rsidRPr="00643DCF">
        <w:rPr>
          <w:iCs/>
          <w:sz w:val="28"/>
          <w:szCs w:val="28"/>
          <w:bdr w:val="none" w:sz="0" w:space="0" w:color="auto" w:frame="1"/>
        </w:rPr>
        <w:t xml:space="preserve">l principio de publicidad </w:t>
      </w:r>
      <w:r w:rsidR="005A612B" w:rsidRPr="00643DCF">
        <w:rPr>
          <w:iCs/>
          <w:sz w:val="28"/>
          <w:szCs w:val="28"/>
          <w:bdr w:val="none" w:sz="0" w:space="0" w:color="auto" w:frame="1"/>
        </w:rPr>
        <w:t xml:space="preserve">tiene </w:t>
      </w:r>
      <w:r w:rsidRPr="00643DCF">
        <w:rPr>
          <w:iCs/>
          <w:sz w:val="28"/>
          <w:szCs w:val="28"/>
          <w:bdr w:val="none" w:sz="0" w:space="0" w:color="auto" w:frame="1"/>
        </w:rPr>
        <w:t>una finalidad democrática</w:t>
      </w:r>
      <w:r w:rsidR="005B3F1E" w:rsidRPr="00643DCF">
        <w:rPr>
          <w:iCs/>
          <w:sz w:val="28"/>
          <w:szCs w:val="28"/>
          <w:bdr w:val="none" w:sz="0" w:space="0" w:color="auto" w:frame="1"/>
        </w:rPr>
        <w:t>,</w:t>
      </w:r>
      <w:r w:rsidRPr="00643DCF">
        <w:rPr>
          <w:iCs/>
          <w:sz w:val="28"/>
          <w:szCs w:val="28"/>
          <w:bdr w:val="none" w:sz="0" w:space="0" w:color="auto" w:frame="1"/>
        </w:rPr>
        <w:t xml:space="preserve"> </w:t>
      </w:r>
      <w:r w:rsidR="005B3F1E" w:rsidRPr="00643DCF">
        <w:rPr>
          <w:iCs/>
          <w:sz w:val="28"/>
          <w:szCs w:val="28"/>
          <w:bdr w:val="none" w:sz="0" w:space="0" w:color="auto" w:frame="1"/>
        </w:rPr>
        <w:t>toda vez que otorga</w:t>
      </w:r>
      <w:r w:rsidR="008210F0" w:rsidRPr="00643DCF">
        <w:rPr>
          <w:iCs/>
          <w:sz w:val="28"/>
          <w:szCs w:val="28"/>
          <w:bdr w:val="none" w:sz="0" w:space="0" w:color="auto" w:frame="1"/>
        </w:rPr>
        <w:t xml:space="preserve"> </w:t>
      </w:r>
      <w:r w:rsidRPr="00643DCF">
        <w:rPr>
          <w:iCs/>
          <w:sz w:val="28"/>
          <w:szCs w:val="28"/>
          <w:bdr w:val="none" w:sz="0" w:space="0" w:color="auto" w:frame="1"/>
        </w:rPr>
        <w:t xml:space="preserve">la posibilidad de conocer los fallos proferidos por las autoridades judiciales </w:t>
      </w:r>
      <w:r w:rsidR="005B3F1E" w:rsidRPr="00643DCF">
        <w:rPr>
          <w:iCs/>
          <w:sz w:val="28"/>
          <w:szCs w:val="28"/>
          <w:bdr w:val="none" w:sz="0" w:space="0" w:color="auto" w:frame="1"/>
        </w:rPr>
        <w:t>que puede</w:t>
      </w:r>
      <w:r w:rsidRPr="00643DCF">
        <w:rPr>
          <w:iCs/>
          <w:sz w:val="28"/>
          <w:szCs w:val="28"/>
          <w:bdr w:val="none" w:sz="0" w:space="0" w:color="auto" w:frame="1"/>
        </w:rPr>
        <w:t xml:space="preserve">n </w:t>
      </w:r>
      <w:r w:rsidR="005B3F1E" w:rsidRPr="00643DCF">
        <w:rPr>
          <w:iCs/>
          <w:sz w:val="28"/>
          <w:szCs w:val="28"/>
          <w:bdr w:val="none" w:sz="0" w:space="0" w:color="auto" w:frame="1"/>
        </w:rPr>
        <w:t>ser de interés para</w:t>
      </w:r>
      <w:r w:rsidRPr="00643DCF">
        <w:rPr>
          <w:iCs/>
          <w:sz w:val="28"/>
          <w:szCs w:val="28"/>
          <w:bdr w:val="none" w:sz="0" w:space="0" w:color="auto" w:frame="1"/>
        </w:rPr>
        <w:t xml:space="preserve"> la sociedad</w:t>
      </w:r>
      <w:r w:rsidR="008210F0" w:rsidRPr="00643DCF">
        <w:rPr>
          <w:iCs/>
          <w:sz w:val="28"/>
          <w:szCs w:val="28"/>
          <w:bdr w:val="none" w:sz="0" w:space="0" w:color="auto" w:frame="1"/>
        </w:rPr>
        <w:t xml:space="preserve">, </w:t>
      </w:r>
      <w:r w:rsidR="005B3F1E" w:rsidRPr="00643DCF">
        <w:rPr>
          <w:iCs/>
          <w:sz w:val="28"/>
          <w:szCs w:val="28"/>
          <w:bdr w:val="none" w:sz="0" w:space="0" w:color="auto" w:frame="1"/>
        </w:rPr>
        <w:t xml:space="preserve">y que </w:t>
      </w:r>
      <w:r w:rsidR="008210F0" w:rsidRPr="00643DCF">
        <w:rPr>
          <w:iCs/>
          <w:sz w:val="28"/>
          <w:szCs w:val="28"/>
          <w:bdr w:val="none" w:sz="0" w:space="0" w:color="auto" w:frame="1"/>
        </w:rPr>
        <w:t>constituyen</w:t>
      </w:r>
      <w:r w:rsidRPr="00643DCF">
        <w:rPr>
          <w:iCs/>
          <w:sz w:val="28"/>
          <w:szCs w:val="28"/>
          <w:bdr w:val="none" w:sz="0" w:space="0" w:color="auto" w:frame="1"/>
        </w:rPr>
        <w:t xml:space="preserve"> “</w:t>
      </w:r>
      <w:r w:rsidRPr="00643DCF">
        <w:rPr>
          <w:i/>
          <w:iCs/>
          <w:sz w:val="28"/>
          <w:szCs w:val="28"/>
          <w:bdr w:val="none" w:sz="0" w:space="0" w:color="auto" w:frame="1"/>
        </w:rPr>
        <w:t xml:space="preserve">una herramienta de control a la actividad judicial, ya que sirve de medio para el ejercicio de los derechos de contradicción e impugnación destinados a corregir las falencias en que incurra el juzgador y </w:t>
      </w:r>
      <w:r w:rsidR="00106E91" w:rsidRPr="00643DCF">
        <w:rPr>
          <w:i/>
          <w:iCs/>
          <w:sz w:val="28"/>
          <w:szCs w:val="28"/>
          <w:bdr w:val="none" w:sz="0" w:space="0" w:color="auto" w:frame="1"/>
        </w:rPr>
        <w:t>son</w:t>
      </w:r>
      <w:r w:rsidRPr="00643DCF">
        <w:rPr>
          <w:i/>
          <w:iCs/>
          <w:sz w:val="28"/>
          <w:szCs w:val="28"/>
          <w:bdr w:val="none" w:sz="0" w:space="0" w:color="auto" w:frame="1"/>
        </w:rPr>
        <w:t xml:space="preserve"> un medio </w:t>
      </w:r>
      <w:r w:rsidR="00106E91" w:rsidRPr="00643DCF">
        <w:rPr>
          <w:i/>
          <w:iCs/>
          <w:sz w:val="28"/>
          <w:szCs w:val="28"/>
          <w:bdr w:val="none" w:sz="0" w:space="0" w:color="auto" w:frame="1"/>
        </w:rPr>
        <w:t>para</w:t>
      </w:r>
      <w:r w:rsidRPr="00643DCF">
        <w:rPr>
          <w:i/>
          <w:iCs/>
          <w:sz w:val="28"/>
          <w:szCs w:val="28"/>
          <w:bdr w:val="none" w:sz="0" w:space="0" w:color="auto" w:frame="1"/>
        </w:rPr>
        <w:t xml:space="preserve"> preservar la trasparencia y razonabilidad de las decisiones judiciales, a menos que dichas actuaciones se encuentren sometidas a reserva</w:t>
      </w:r>
      <w:r w:rsidRPr="00643DCF">
        <w:rPr>
          <w:iCs/>
          <w:sz w:val="28"/>
          <w:szCs w:val="28"/>
          <w:bdr w:val="none" w:sz="0" w:space="0" w:color="auto" w:frame="1"/>
        </w:rPr>
        <w:t>”</w:t>
      </w:r>
      <w:r w:rsidR="00CC5C1A" w:rsidRPr="00643DCF">
        <w:rPr>
          <w:rStyle w:val="Refdenotaalpie"/>
          <w:iCs/>
          <w:sz w:val="28"/>
          <w:szCs w:val="28"/>
          <w:bdr w:val="none" w:sz="0" w:space="0" w:color="auto" w:frame="1"/>
        </w:rPr>
        <w:footnoteReference w:id="110"/>
      </w:r>
      <w:r w:rsidRPr="00643DCF">
        <w:rPr>
          <w:iCs/>
          <w:sz w:val="28"/>
          <w:szCs w:val="28"/>
          <w:bdr w:val="none" w:sz="0" w:space="0" w:color="auto" w:frame="1"/>
        </w:rPr>
        <w:t>.</w:t>
      </w:r>
    </w:p>
    <w:p w14:paraId="3C9E5C12" w14:textId="77777777" w:rsidR="00D43980" w:rsidRPr="00643DCF" w:rsidRDefault="00D43980" w:rsidP="00CA0FA4">
      <w:pPr>
        <w:pStyle w:val="Sinespaciado3"/>
        <w:tabs>
          <w:tab w:val="left" w:pos="567"/>
          <w:tab w:val="left" w:pos="2865"/>
        </w:tabs>
        <w:jc w:val="both"/>
        <w:rPr>
          <w:rFonts w:ascii="Times New Roman" w:eastAsia="Times New Roman" w:hAnsi="Times New Roman"/>
          <w:iCs/>
          <w:sz w:val="28"/>
          <w:szCs w:val="28"/>
          <w:bdr w:val="none" w:sz="0" w:space="0" w:color="auto" w:frame="1"/>
          <w:lang w:eastAsia="es-ES"/>
        </w:rPr>
      </w:pPr>
    </w:p>
    <w:p w14:paraId="38C7B54F" w14:textId="1E51C6F3" w:rsidR="005F772B" w:rsidRPr="00643DCF" w:rsidRDefault="00737494" w:rsidP="00464A88">
      <w:pPr>
        <w:tabs>
          <w:tab w:val="left" w:pos="567"/>
        </w:tabs>
        <w:jc w:val="both"/>
        <w:rPr>
          <w:i/>
          <w:iCs/>
          <w:sz w:val="28"/>
          <w:szCs w:val="28"/>
          <w:bdr w:val="none" w:sz="0" w:space="0" w:color="auto" w:frame="1"/>
        </w:rPr>
      </w:pPr>
      <w:r w:rsidRPr="00643DCF">
        <w:rPr>
          <w:sz w:val="28"/>
          <w:szCs w:val="28"/>
        </w:rPr>
        <w:t>Adicionalmente</w:t>
      </w:r>
      <w:r w:rsidR="00EF4EF2" w:rsidRPr="00643DCF">
        <w:rPr>
          <w:sz w:val="28"/>
          <w:szCs w:val="28"/>
        </w:rPr>
        <w:t xml:space="preserve">, </w:t>
      </w:r>
      <w:r w:rsidR="00CC5C1A" w:rsidRPr="00643DCF">
        <w:rPr>
          <w:sz w:val="28"/>
          <w:szCs w:val="28"/>
        </w:rPr>
        <w:t>ha indicado</w:t>
      </w:r>
      <w:r w:rsidR="00FA3E8E" w:rsidRPr="00643DCF">
        <w:rPr>
          <w:sz w:val="28"/>
          <w:szCs w:val="28"/>
        </w:rPr>
        <w:t xml:space="preserve"> que es imperativo el conocimiento de los ciudadanos de las decisiones judiciales, </w:t>
      </w:r>
      <w:r w:rsidR="00F068DA" w:rsidRPr="00643DCF">
        <w:rPr>
          <w:sz w:val="28"/>
          <w:szCs w:val="28"/>
        </w:rPr>
        <w:t>en virtud de</w:t>
      </w:r>
      <w:r w:rsidR="00FA3E8E" w:rsidRPr="00643DCF">
        <w:rPr>
          <w:sz w:val="28"/>
          <w:szCs w:val="28"/>
        </w:rPr>
        <w:t xml:space="preserve"> </w:t>
      </w:r>
      <w:r w:rsidR="00AB5DE0" w:rsidRPr="00643DCF">
        <w:rPr>
          <w:sz w:val="28"/>
          <w:szCs w:val="28"/>
        </w:rPr>
        <w:t xml:space="preserve">la obligatoriedad de las sentencias judiciales, el derecho de contradicción </w:t>
      </w:r>
      <w:r w:rsidR="00F068DA" w:rsidRPr="00643DCF">
        <w:rPr>
          <w:sz w:val="28"/>
          <w:szCs w:val="28"/>
        </w:rPr>
        <w:t>y en términos generales del Estado democrático de derecho</w:t>
      </w:r>
      <w:r w:rsidR="005515E0" w:rsidRPr="00643DCF">
        <w:rPr>
          <w:sz w:val="28"/>
          <w:szCs w:val="28"/>
        </w:rPr>
        <w:t>. Sobre el particular</w:t>
      </w:r>
      <w:r w:rsidR="00F068DA" w:rsidRPr="00643DCF">
        <w:rPr>
          <w:sz w:val="28"/>
          <w:szCs w:val="28"/>
        </w:rPr>
        <w:t>, expuso</w:t>
      </w:r>
      <w:r w:rsidR="005F772B" w:rsidRPr="00643DCF">
        <w:rPr>
          <w:sz w:val="28"/>
          <w:szCs w:val="28"/>
        </w:rPr>
        <w:t>:</w:t>
      </w:r>
      <w:r w:rsidR="00CA0FA4" w:rsidRPr="00643DCF">
        <w:rPr>
          <w:sz w:val="28"/>
          <w:szCs w:val="28"/>
        </w:rPr>
        <w:t xml:space="preserve"> </w:t>
      </w:r>
    </w:p>
    <w:p w14:paraId="702C3022" w14:textId="77777777" w:rsidR="005F772B" w:rsidRPr="00643DCF" w:rsidRDefault="005F772B" w:rsidP="00B14E08">
      <w:pPr>
        <w:tabs>
          <w:tab w:val="left" w:pos="567"/>
        </w:tabs>
        <w:jc w:val="both"/>
        <w:rPr>
          <w:sz w:val="28"/>
          <w:szCs w:val="28"/>
        </w:rPr>
      </w:pPr>
    </w:p>
    <w:p w14:paraId="6CC62E19" w14:textId="7F5CBE8B" w:rsidR="00CA0FA4" w:rsidRPr="00643DCF" w:rsidRDefault="00CA0FA4" w:rsidP="00B14E08">
      <w:pPr>
        <w:tabs>
          <w:tab w:val="left" w:pos="567"/>
        </w:tabs>
        <w:ind w:left="284"/>
        <w:jc w:val="both"/>
        <w:rPr>
          <w:i/>
          <w:iCs/>
          <w:sz w:val="28"/>
          <w:szCs w:val="28"/>
          <w:bdr w:val="none" w:sz="0" w:space="0" w:color="auto" w:frame="1"/>
        </w:rPr>
      </w:pPr>
      <w:r w:rsidRPr="003319D7">
        <w:rPr>
          <w:i/>
          <w:sz w:val="27"/>
          <w:szCs w:val="27"/>
        </w:rPr>
        <w:t>“</w:t>
      </w:r>
      <w:r w:rsidR="00BC2B0D" w:rsidRPr="003319D7">
        <w:rPr>
          <w:i/>
          <w:sz w:val="27"/>
          <w:szCs w:val="27"/>
        </w:rPr>
        <w:t>[</w:t>
      </w:r>
      <w:r w:rsidR="00BC2B0D" w:rsidRPr="003319D7">
        <w:rPr>
          <w:i/>
          <w:iCs/>
          <w:sz w:val="27"/>
          <w:szCs w:val="27"/>
          <w:bdr w:val="none" w:sz="0" w:space="0" w:color="auto" w:frame="1"/>
        </w:rPr>
        <w:t>C]</w:t>
      </w:r>
      <w:r w:rsidRPr="003319D7">
        <w:rPr>
          <w:i/>
          <w:iCs/>
          <w:sz w:val="27"/>
          <w:szCs w:val="27"/>
          <w:bdr w:val="none" w:sz="0" w:space="0" w:color="auto" w:frame="1"/>
        </w:rPr>
        <w:t>onduce al logro de la obediencia jurídica en un Estado democrático de derecho, ya que sólo en la medida en que las personas tienen conocimiento de las actuaciones judiciales, esto es, del</w:t>
      </w:r>
      <w:r w:rsidRPr="003319D7">
        <w:rPr>
          <w:rStyle w:val="apple-converted-space"/>
          <w:i/>
          <w:iCs/>
          <w:sz w:val="27"/>
          <w:szCs w:val="27"/>
          <w:bdr w:val="none" w:sz="0" w:space="0" w:color="auto" w:frame="1"/>
        </w:rPr>
        <w:t> </w:t>
      </w:r>
      <w:r w:rsidRPr="003319D7">
        <w:rPr>
          <w:i/>
          <w:iCs/>
          <w:spacing w:val="-3"/>
          <w:sz w:val="27"/>
          <w:szCs w:val="27"/>
          <w:bdr w:val="none" w:sz="0" w:space="0" w:color="auto" w:frame="1"/>
        </w:rPr>
        <w:t>principio, regla o razón jurídica que constituye la base de una decisión judicial, las partes o los interesados podrían apelar a dicho fundamento para ajustar su conducta a las decisiones de los jueces. En este orden de ideas,</w:t>
      </w:r>
      <w:r w:rsidRPr="003319D7">
        <w:rPr>
          <w:rStyle w:val="apple-converted-space"/>
          <w:i/>
          <w:iCs/>
          <w:spacing w:val="-3"/>
          <w:sz w:val="27"/>
          <w:szCs w:val="27"/>
          <w:bdr w:val="none" w:sz="0" w:space="0" w:color="auto" w:frame="1"/>
        </w:rPr>
        <w:t> </w:t>
      </w:r>
      <w:r w:rsidRPr="003319D7">
        <w:rPr>
          <w:i/>
          <w:iCs/>
          <w:sz w:val="27"/>
          <w:szCs w:val="27"/>
          <w:bdr w:val="none" w:sz="0" w:space="0" w:color="auto" w:frame="1"/>
        </w:rPr>
        <w:t xml:space="preserve">es preciso recordar que así como la imperatividad y obligatoriedad de la ley presupone su conocimiento por parte de los ciudadanos mediante su publicación en el diario oficial, </w:t>
      </w:r>
      <w:r w:rsidRPr="003319D7">
        <w:rPr>
          <w:b/>
          <w:i/>
          <w:iCs/>
          <w:sz w:val="27"/>
          <w:szCs w:val="27"/>
          <w:bdr w:val="none" w:sz="0" w:space="0" w:color="auto" w:frame="1"/>
        </w:rPr>
        <w:t>también la imperatividad y obligatoriedad de las sentencias judiciales suponen su publicidad</w:t>
      </w:r>
      <w:r w:rsidRPr="003319D7">
        <w:rPr>
          <w:i/>
          <w:iCs/>
          <w:sz w:val="27"/>
          <w:szCs w:val="27"/>
          <w:bdr w:val="none" w:sz="0" w:space="0" w:color="auto" w:frame="1"/>
        </w:rPr>
        <w:t>, pues lógicamente aquello que es desconocido por las partes o terceros no puede ser objeto de imposición, so pena de alterar y desconocer los valores, principios y reglas de un Estado Social Derecho</w:t>
      </w:r>
      <w:r w:rsidRPr="00643DCF">
        <w:rPr>
          <w:i/>
          <w:iCs/>
          <w:sz w:val="28"/>
          <w:szCs w:val="28"/>
          <w:bdr w:val="none" w:sz="0" w:space="0" w:color="auto" w:frame="1"/>
        </w:rPr>
        <w:t xml:space="preserve">”. </w:t>
      </w:r>
      <w:r w:rsidRPr="00643DCF">
        <w:rPr>
          <w:iCs/>
          <w:sz w:val="28"/>
          <w:szCs w:val="28"/>
          <w:bdr w:val="none" w:sz="0" w:space="0" w:color="auto" w:frame="1"/>
        </w:rPr>
        <w:t xml:space="preserve">(Negrilla </w:t>
      </w:r>
      <w:r w:rsidR="00600FC7" w:rsidRPr="00643DCF">
        <w:rPr>
          <w:iCs/>
          <w:sz w:val="28"/>
          <w:szCs w:val="28"/>
          <w:bdr w:val="none" w:sz="0" w:space="0" w:color="auto" w:frame="1"/>
        </w:rPr>
        <w:t xml:space="preserve">adicionada al </w:t>
      </w:r>
      <w:r w:rsidRPr="00643DCF">
        <w:rPr>
          <w:iCs/>
          <w:sz w:val="28"/>
          <w:szCs w:val="28"/>
          <w:bdr w:val="none" w:sz="0" w:space="0" w:color="auto" w:frame="1"/>
        </w:rPr>
        <w:t>texto)</w:t>
      </w:r>
    </w:p>
    <w:p w14:paraId="33E4AD32" w14:textId="77777777" w:rsidR="00BD3AA2" w:rsidRPr="00643DCF" w:rsidRDefault="00BD3AA2" w:rsidP="00BD3AA2">
      <w:pPr>
        <w:pStyle w:val="Prrafodelista"/>
        <w:rPr>
          <w:i/>
          <w:iCs/>
          <w:sz w:val="28"/>
          <w:szCs w:val="28"/>
          <w:bdr w:val="none" w:sz="0" w:space="0" w:color="auto" w:frame="1"/>
        </w:rPr>
      </w:pPr>
    </w:p>
    <w:p w14:paraId="461775B9" w14:textId="0D0C0391" w:rsidR="000A622B" w:rsidRDefault="00AE2DD3" w:rsidP="00464A88">
      <w:pPr>
        <w:tabs>
          <w:tab w:val="left" w:pos="567"/>
        </w:tabs>
        <w:jc w:val="both"/>
        <w:rPr>
          <w:iCs/>
          <w:sz w:val="28"/>
          <w:szCs w:val="28"/>
          <w:bdr w:val="none" w:sz="0" w:space="0" w:color="auto" w:frame="1"/>
        </w:rPr>
      </w:pPr>
      <w:r w:rsidRPr="00643DCF">
        <w:rPr>
          <w:iCs/>
          <w:sz w:val="28"/>
          <w:szCs w:val="28"/>
          <w:bdr w:val="none" w:sz="0" w:space="0" w:color="auto" w:frame="1"/>
        </w:rPr>
        <w:t>2</w:t>
      </w:r>
      <w:r w:rsidR="0057282C" w:rsidRPr="00643DCF">
        <w:rPr>
          <w:iCs/>
          <w:sz w:val="28"/>
          <w:szCs w:val="28"/>
          <w:bdr w:val="none" w:sz="0" w:space="0" w:color="auto" w:frame="1"/>
        </w:rPr>
        <w:t>3</w:t>
      </w:r>
      <w:r w:rsidRPr="00643DCF">
        <w:rPr>
          <w:iCs/>
          <w:sz w:val="28"/>
          <w:szCs w:val="28"/>
          <w:bdr w:val="none" w:sz="0" w:space="0" w:color="auto" w:frame="1"/>
        </w:rPr>
        <w:t xml:space="preserve">. </w:t>
      </w:r>
      <w:r w:rsidR="00BD3AA2" w:rsidRPr="00643DCF">
        <w:rPr>
          <w:iCs/>
          <w:sz w:val="28"/>
          <w:szCs w:val="28"/>
          <w:bdr w:val="none" w:sz="0" w:space="0" w:color="auto" w:frame="1"/>
        </w:rPr>
        <w:t xml:space="preserve">En la </w:t>
      </w:r>
      <w:r w:rsidR="00914655" w:rsidRPr="00643DCF">
        <w:rPr>
          <w:iCs/>
          <w:sz w:val="28"/>
          <w:szCs w:val="28"/>
          <w:bdr w:val="none" w:sz="0" w:space="0" w:color="auto" w:frame="1"/>
        </w:rPr>
        <w:t>s</w:t>
      </w:r>
      <w:r w:rsidR="00BD3AA2" w:rsidRPr="00643DCF">
        <w:rPr>
          <w:iCs/>
          <w:sz w:val="28"/>
          <w:szCs w:val="28"/>
          <w:bdr w:val="none" w:sz="0" w:space="0" w:color="auto" w:frame="1"/>
        </w:rPr>
        <w:t xml:space="preserve">entencia C-713 de 2008, </w:t>
      </w:r>
      <w:r w:rsidR="005F772B" w:rsidRPr="00643DCF">
        <w:rPr>
          <w:iCs/>
          <w:sz w:val="28"/>
          <w:szCs w:val="28"/>
          <w:bdr w:val="none" w:sz="0" w:space="0" w:color="auto" w:frame="1"/>
        </w:rPr>
        <w:t>este Tribunal</w:t>
      </w:r>
      <w:r w:rsidR="00684877" w:rsidRPr="00643DCF">
        <w:rPr>
          <w:iCs/>
          <w:sz w:val="28"/>
          <w:szCs w:val="28"/>
          <w:bdr w:val="none" w:sz="0" w:space="0" w:color="auto" w:frame="1"/>
        </w:rPr>
        <w:t xml:space="preserve"> </w:t>
      </w:r>
      <w:r w:rsidR="00BD3AA2" w:rsidRPr="00643DCF">
        <w:rPr>
          <w:iCs/>
          <w:sz w:val="28"/>
          <w:szCs w:val="28"/>
          <w:bdr w:val="none" w:sz="0" w:space="0" w:color="auto" w:frame="1"/>
        </w:rPr>
        <w:t>revis</w:t>
      </w:r>
      <w:r w:rsidR="00684877" w:rsidRPr="00643DCF">
        <w:rPr>
          <w:iCs/>
          <w:sz w:val="28"/>
          <w:szCs w:val="28"/>
          <w:bdr w:val="none" w:sz="0" w:space="0" w:color="auto" w:frame="1"/>
        </w:rPr>
        <w:t xml:space="preserve">ó </w:t>
      </w:r>
      <w:r w:rsidR="00524D67" w:rsidRPr="00643DCF">
        <w:rPr>
          <w:iCs/>
          <w:sz w:val="28"/>
          <w:szCs w:val="28"/>
          <w:bdr w:val="none" w:sz="0" w:space="0" w:color="auto" w:frame="1"/>
        </w:rPr>
        <w:t xml:space="preserve">la </w:t>
      </w:r>
      <w:r w:rsidR="008C7416" w:rsidRPr="00643DCF">
        <w:rPr>
          <w:iCs/>
          <w:sz w:val="28"/>
          <w:szCs w:val="28"/>
          <w:bdr w:val="none" w:sz="0" w:space="0" w:color="auto" w:frame="1"/>
        </w:rPr>
        <w:t>reforma a la Ley Estatutaria de Administración de Justicia</w:t>
      </w:r>
      <w:r w:rsidR="00BC2B0D" w:rsidRPr="00643DCF">
        <w:rPr>
          <w:iCs/>
          <w:sz w:val="28"/>
          <w:szCs w:val="28"/>
          <w:bdr w:val="none" w:sz="0" w:space="0" w:color="auto" w:frame="1"/>
        </w:rPr>
        <w:t>,</w:t>
      </w:r>
      <w:r w:rsidRPr="00643DCF">
        <w:rPr>
          <w:iCs/>
          <w:sz w:val="28"/>
          <w:szCs w:val="28"/>
          <w:bdr w:val="none" w:sz="0" w:space="0" w:color="auto" w:frame="1"/>
        </w:rPr>
        <w:t xml:space="preserve"> </w:t>
      </w:r>
      <w:r w:rsidR="008C7416" w:rsidRPr="00643DCF">
        <w:rPr>
          <w:iCs/>
          <w:sz w:val="28"/>
          <w:szCs w:val="28"/>
          <w:bdr w:val="none" w:sz="0" w:space="0" w:color="auto" w:frame="1"/>
        </w:rPr>
        <w:t>270 de 1996</w:t>
      </w:r>
      <w:r w:rsidR="00524D67" w:rsidRPr="00643DCF">
        <w:rPr>
          <w:rStyle w:val="Refdenotaalpie"/>
          <w:iCs/>
          <w:sz w:val="28"/>
          <w:szCs w:val="28"/>
          <w:bdr w:val="none" w:sz="0" w:space="0" w:color="auto" w:frame="1"/>
        </w:rPr>
        <w:footnoteReference w:id="111"/>
      </w:r>
      <w:r w:rsidR="008C7416" w:rsidRPr="00643DCF">
        <w:rPr>
          <w:iCs/>
          <w:sz w:val="28"/>
          <w:szCs w:val="28"/>
          <w:bdr w:val="none" w:sz="0" w:space="0" w:color="auto" w:frame="1"/>
        </w:rPr>
        <w:t xml:space="preserve">, </w:t>
      </w:r>
      <w:r w:rsidR="002F1BFB" w:rsidRPr="00643DCF">
        <w:rPr>
          <w:iCs/>
          <w:sz w:val="28"/>
          <w:szCs w:val="28"/>
          <w:bdr w:val="none" w:sz="0" w:space="0" w:color="auto" w:frame="1"/>
        </w:rPr>
        <w:t xml:space="preserve">en la cual </w:t>
      </w:r>
      <w:r w:rsidR="008C7416" w:rsidRPr="00643DCF">
        <w:rPr>
          <w:iCs/>
          <w:sz w:val="28"/>
          <w:szCs w:val="28"/>
          <w:bdr w:val="none" w:sz="0" w:space="0" w:color="auto" w:frame="1"/>
        </w:rPr>
        <w:t xml:space="preserve">se explicó que </w:t>
      </w:r>
      <w:r w:rsidR="005518C0" w:rsidRPr="00643DCF">
        <w:rPr>
          <w:iCs/>
          <w:sz w:val="28"/>
          <w:szCs w:val="28"/>
          <w:bdr w:val="none" w:sz="0" w:space="0" w:color="auto" w:frame="1"/>
        </w:rPr>
        <w:t xml:space="preserve">la defensa, el derecho a impugnar las decisiones y el principio de publicidad </w:t>
      </w:r>
      <w:r w:rsidR="004A52CE" w:rsidRPr="00643DCF">
        <w:rPr>
          <w:iCs/>
          <w:sz w:val="28"/>
          <w:szCs w:val="28"/>
          <w:bdr w:val="none" w:sz="0" w:space="0" w:color="auto" w:frame="1"/>
        </w:rPr>
        <w:t>son asuntos</w:t>
      </w:r>
      <w:r w:rsidR="005518C0" w:rsidRPr="00643DCF">
        <w:rPr>
          <w:iCs/>
          <w:sz w:val="28"/>
          <w:szCs w:val="28"/>
          <w:bdr w:val="none" w:sz="0" w:space="0" w:color="auto" w:frame="1"/>
        </w:rPr>
        <w:t xml:space="preserve"> fundamentales </w:t>
      </w:r>
      <w:r w:rsidR="00EA0975" w:rsidRPr="00643DCF">
        <w:rPr>
          <w:iCs/>
          <w:sz w:val="28"/>
          <w:szCs w:val="28"/>
          <w:bdr w:val="none" w:sz="0" w:space="0" w:color="auto" w:frame="1"/>
        </w:rPr>
        <w:t xml:space="preserve">y adicionales al </w:t>
      </w:r>
      <w:r w:rsidR="005518C0" w:rsidRPr="00643DCF">
        <w:rPr>
          <w:iCs/>
          <w:sz w:val="28"/>
          <w:szCs w:val="28"/>
          <w:bdr w:val="none" w:sz="0" w:space="0" w:color="auto" w:frame="1"/>
        </w:rPr>
        <w:t xml:space="preserve">debido proceso. </w:t>
      </w:r>
    </w:p>
    <w:p w14:paraId="20F17E7C" w14:textId="77777777" w:rsidR="000A622B" w:rsidRPr="00643DCF" w:rsidRDefault="000A622B" w:rsidP="00464A88">
      <w:pPr>
        <w:tabs>
          <w:tab w:val="left" w:pos="567"/>
        </w:tabs>
        <w:jc w:val="both"/>
        <w:rPr>
          <w:iCs/>
          <w:sz w:val="28"/>
          <w:szCs w:val="28"/>
          <w:bdr w:val="none" w:sz="0" w:space="0" w:color="auto" w:frame="1"/>
        </w:rPr>
      </w:pPr>
    </w:p>
    <w:p w14:paraId="72880C56" w14:textId="21E5D24D" w:rsidR="00CA0FA4" w:rsidRPr="00643DCF" w:rsidRDefault="00AE2DD3" w:rsidP="00464A88">
      <w:pPr>
        <w:tabs>
          <w:tab w:val="left" w:pos="567"/>
        </w:tabs>
        <w:jc w:val="both"/>
        <w:rPr>
          <w:sz w:val="28"/>
          <w:szCs w:val="28"/>
        </w:rPr>
      </w:pPr>
      <w:r w:rsidRPr="00643DCF">
        <w:rPr>
          <w:sz w:val="28"/>
          <w:szCs w:val="28"/>
        </w:rPr>
        <w:t>2</w:t>
      </w:r>
      <w:r w:rsidR="0057282C" w:rsidRPr="00643DCF">
        <w:rPr>
          <w:sz w:val="28"/>
          <w:szCs w:val="28"/>
        </w:rPr>
        <w:t>4</w:t>
      </w:r>
      <w:r w:rsidRPr="00643DCF">
        <w:rPr>
          <w:sz w:val="28"/>
          <w:szCs w:val="28"/>
        </w:rPr>
        <w:t xml:space="preserve">. </w:t>
      </w:r>
      <w:r w:rsidR="009C6C24" w:rsidRPr="00643DCF">
        <w:rPr>
          <w:sz w:val="28"/>
          <w:szCs w:val="28"/>
        </w:rPr>
        <w:t>Finalmente</w:t>
      </w:r>
      <w:r w:rsidR="00195E55" w:rsidRPr="00643DCF">
        <w:rPr>
          <w:sz w:val="28"/>
          <w:szCs w:val="28"/>
        </w:rPr>
        <w:t>,</w:t>
      </w:r>
      <w:r w:rsidR="009C6C24" w:rsidRPr="00643DCF">
        <w:rPr>
          <w:sz w:val="28"/>
          <w:szCs w:val="28"/>
        </w:rPr>
        <w:t xml:space="preserve"> se debe destacar que</w:t>
      </w:r>
      <w:r w:rsidR="00195E55" w:rsidRPr="00643DCF">
        <w:rPr>
          <w:sz w:val="28"/>
          <w:szCs w:val="28"/>
        </w:rPr>
        <w:t xml:space="preserve"> en sede de revisión de tutelas</w:t>
      </w:r>
      <w:r w:rsidR="00CA0FA4" w:rsidRPr="00643DCF">
        <w:rPr>
          <w:sz w:val="28"/>
          <w:szCs w:val="28"/>
        </w:rPr>
        <w:t xml:space="preserve"> esta </w:t>
      </w:r>
      <w:r w:rsidR="00195E55" w:rsidRPr="00643DCF">
        <w:rPr>
          <w:sz w:val="28"/>
          <w:szCs w:val="28"/>
        </w:rPr>
        <w:t>C</w:t>
      </w:r>
      <w:r w:rsidR="00CA0FA4" w:rsidRPr="00643DCF">
        <w:rPr>
          <w:sz w:val="28"/>
          <w:szCs w:val="28"/>
        </w:rPr>
        <w:t xml:space="preserve">orporación </w:t>
      </w:r>
      <w:r w:rsidR="00914655" w:rsidRPr="00643DCF">
        <w:rPr>
          <w:sz w:val="28"/>
          <w:szCs w:val="28"/>
        </w:rPr>
        <w:t xml:space="preserve">se </w:t>
      </w:r>
      <w:r w:rsidR="00195E55" w:rsidRPr="00643DCF">
        <w:rPr>
          <w:sz w:val="28"/>
          <w:szCs w:val="28"/>
        </w:rPr>
        <w:t xml:space="preserve">ha </w:t>
      </w:r>
      <w:r w:rsidR="00F068DA" w:rsidRPr="00643DCF">
        <w:rPr>
          <w:sz w:val="28"/>
          <w:szCs w:val="28"/>
        </w:rPr>
        <w:t>referido</w:t>
      </w:r>
      <w:r w:rsidRPr="00643DCF">
        <w:rPr>
          <w:sz w:val="28"/>
          <w:szCs w:val="28"/>
        </w:rPr>
        <w:t xml:space="preserve"> a dicho </w:t>
      </w:r>
      <w:r w:rsidR="00CA0FA4" w:rsidRPr="00643DCF">
        <w:rPr>
          <w:sz w:val="28"/>
          <w:szCs w:val="28"/>
        </w:rPr>
        <w:t xml:space="preserve">principio. </w:t>
      </w:r>
      <w:r w:rsidR="00221406" w:rsidRPr="00643DCF">
        <w:rPr>
          <w:sz w:val="28"/>
          <w:szCs w:val="28"/>
        </w:rPr>
        <w:t>Así por ejemplo, e</w:t>
      </w:r>
      <w:r w:rsidR="00195E55" w:rsidRPr="00643DCF">
        <w:rPr>
          <w:sz w:val="28"/>
          <w:szCs w:val="28"/>
        </w:rPr>
        <w:t xml:space="preserve">n </w:t>
      </w:r>
      <w:r w:rsidR="00CA0FA4" w:rsidRPr="00643DCF">
        <w:rPr>
          <w:sz w:val="28"/>
          <w:szCs w:val="28"/>
        </w:rPr>
        <w:t>la T-020 de 2014</w:t>
      </w:r>
      <w:r w:rsidR="00195E55" w:rsidRPr="00643DCF">
        <w:rPr>
          <w:sz w:val="28"/>
          <w:szCs w:val="28"/>
        </w:rPr>
        <w:t>,</w:t>
      </w:r>
      <w:r w:rsidR="00A04AC9" w:rsidRPr="00643DCF">
        <w:rPr>
          <w:sz w:val="28"/>
          <w:szCs w:val="28"/>
        </w:rPr>
        <w:t xml:space="preserve"> </w:t>
      </w:r>
      <w:r w:rsidR="00CA0FA4" w:rsidRPr="00643DCF">
        <w:rPr>
          <w:sz w:val="28"/>
          <w:szCs w:val="28"/>
        </w:rPr>
        <w:t>manifestó que “</w:t>
      </w:r>
      <w:r w:rsidR="002F1BFB" w:rsidRPr="00643DCF">
        <w:rPr>
          <w:i/>
          <w:iCs/>
          <w:sz w:val="28"/>
          <w:szCs w:val="28"/>
          <w:bdr w:val="none" w:sz="0" w:space="0" w:color="auto" w:frame="1"/>
          <w:shd w:val="clear" w:color="auto" w:fill="FFFFFF"/>
        </w:rPr>
        <w:t>L</w:t>
      </w:r>
      <w:r w:rsidR="00CA0FA4" w:rsidRPr="00643DCF">
        <w:rPr>
          <w:i/>
          <w:iCs/>
          <w:sz w:val="28"/>
          <w:szCs w:val="28"/>
          <w:bdr w:val="none" w:sz="0" w:space="0" w:color="auto" w:frame="1"/>
          <w:shd w:val="clear" w:color="auto" w:fill="FFFFFF"/>
        </w:rPr>
        <w:t>a publicidad de las sentencias cumple importantes fines constitucionales relacionados con propósitos de pedagogía, información y control social, a través de los cuales se permite el estudio de la manera como los jueces deciden sus causas o han decidido causas pretéritas”.</w:t>
      </w:r>
    </w:p>
    <w:p w14:paraId="684E2897" w14:textId="77777777" w:rsidR="009622D2" w:rsidRPr="00643DCF" w:rsidRDefault="009622D2" w:rsidP="009622D2">
      <w:pPr>
        <w:pStyle w:val="Prrafodelista"/>
        <w:ind w:left="0"/>
        <w:rPr>
          <w:sz w:val="28"/>
          <w:szCs w:val="28"/>
        </w:rPr>
      </w:pPr>
    </w:p>
    <w:p w14:paraId="2E4B1E79" w14:textId="07054F75" w:rsidR="009622D2" w:rsidRPr="00643DCF" w:rsidRDefault="00AE2DD3" w:rsidP="00464A88">
      <w:pPr>
        <w:tabs>
          <w:tab w:val="left" w:pos="567"/>
          <w:tab w:val="left" w:pos="2865"/>
        </w:tabs>
        <w:jc w:val="both"/>
        <w:rPr>
          <w:sz w:val="28"/>
          <w:szCs w:val="28"/>
        </w:rPr>
      </w:pPr>
      <w:r w:rsidRPr="00643DCF">
        <w:rPr>
          <w:sz w:val="28"/>
          <w:szCs w:val="28"/>
        </w:rPr>
        <w:t>2</w:t>
      </w:r>
      <w:r w:rsidR="0057282C" w:rsidRPr="00643DCF">
        <w:rPr>
          <w:sz w:val="28"/>
          <w:szCs w:val="28"/>
        </w:rPr>
        <w:t>5</w:t>
      </w:r>
      <w:r w:rsidRPr="00643DCF">
        <w:rPr>
          <w:sz w:val="28"/>
          <w:szCs w:val="28"/>
        </w:rPr>
        <w:t xml:space="preserve">. </w:t>
      </w:r>
      <w:r w:rsidR="00F068DA" w:rsidRPr="00643DCF">
        <w:rPr>
          <w:sz w:val="28"/>
          <w:szCs w:val="28"/>
        </w:rPr>
        <w:t>En suma,</w:t>
      </w:r>
      <w:r w:rsidR="00B91C82" w:rsidRPr="00643DCF">
        <w:rPr>
          <w:sz w:val="28"/>
          <w:szCs w:val="28"/>
        </w:rPr>
        <w:t xml:space="preserve"> d</w:t>
      </w:r>
      <w:r w:rsidR="009622D2" w:rsidRPr="00643DCF">
        <w:rPr>
          <w:sz w:val="28"/>
          <w:szCs w:val="28"/>
        </w:rPr>
        <w:t xml:space="preserve">entro de las funciones del Consejo Superior de la Judicatura </w:t>
      </w:r>
      <w:r w:rsidR="00F068DA" w:rsidRPr="00643DCF">
        <w:rPr>
          <w:sz w:val="28"/>
          <w:szCs w:val="28"/>
        </w:rPr>
        <w:t>está la capacitación de</w:t>
      </w:r>
      <w:r w:rsidR="009622D2" w:rsidRPr="00643DCF">
        <w:rPr>
          <w:sz w:val="28"/>
          <w:szCs w:val="28"/>
        </w:rPr>
        <w:t xml:space="preserve"> los empleados que pertenecen a la Rama Judicial</w:t>
      </w:r>
      <w:r w:rsidR="009622D2" w:rsidRPr="00643DCF">
        <w:rPr>
          <w:rStyle w:val="Refdenotaalpie"/>
          <w:sz w:val="28"/>
          <w:szCs w:val="28"/>
        </w:rPr>
        <w:footnoteReference w:id="112"/>
      </w:r>
      <w:r w:rsidR="00B65326" w:rsidRPr="00643DCF">
        <w:rPr>
          <w:sz w:val="28"/>
          <w:szCs w:val="28"/>
        </w:rPr>
        <w:t xml:space="preserve">, </w:t>
      </w:r>
      <w:r w:rsidR="007C379E" w:rsidRPr="00643DCF">
        <w:rPr>
          <w:sz w:val="28"/>
          <w:szCs w:val="28"/>
        </w:rPr>
        <w:t>cuyo objetivo es</w:t>
      </w:r>
      <w:r w:rsidR="009622D2" w:rsidRPr="00643DCF">
        <w:rPr>
          <w:sz w:val="28"/>
          <w:szCs w:val="28"/>
        </w:rPr>
        <w:t xml:space="preserve"> que se unifiquen los criterios de interpretación y aplicabilidad de la ley así como</w:t>
      </w:r>
      <w:r w:rsidR="002F1BFB" w:rsidRPr="00643DCF">
        <w:rPr>
          <w:sz w:val="28"/>
          <w:szCs w:val="28"/>
        </w:rPr>
        <w:t xml:space="preserve"> de</w:t>
      </w:r>
      <w:r w:rsidR="009622D2" w:rsidRPr="00643DCF">
        <w:rPr>
          <w:sz w:val="28"/>
          <w:szCs w:val="28"/>
        </w:rPr>
        <w:t xml:space="preserve"> la jurisprudencia dentro del ejercicio de la administración de justicia</w:t>
      </w:r>
      <w:r w:rsidR="00EA0975" w:rsidRPr="00643DCF">
        <w:rPr>
          <w:sz w:val="28"/>
          <w:szCs w:val="28"/>
        </w:rPr>
        <w:t xml:space="preserve">. </w:t>
      </w:r>
      <w:r w:rsidR="009622D2" w:rsidRPr="00643DCF">
        <w:rPr>
          <w:sz w:val="28"/>
          <w:szCs w:val="28"/>
        </w:rPr>
        <w:t xml:space="preserve">Por tal razón, el reglamento interno de esa Corporación establece que es deber de la Sala Administrativa del </w:t>
      </w:r>
      <w:r w:rsidR="00B65326" w:rsidRPr="00643DCF">
        <w:rPr>
          <w:sz w:val="28"/>
          <w:szCs w:val="28"/>
        </w:rPr>
        <w:t>CSJ</w:t>
      </w:r>
      <w:r w:rsidR="009622D2" w:rsidRPr="00643DCF">
        <w:rPr>
          <w:sz w:val="28"/>
          <w:szCs w:val="28"/>
        </w:rPr>
        <w:t xml:space="preserve"> la “</w:t>
      </w:r>
      <w:r w:rsidR="009622D2" w:rsidRPr="00643DCF">
        <w:rPr>
          <w:i/>
          <w:sz w:val="28"/>
          <w:szCs w:val="28"/>
        </w:rPr>
        <w:t>formación y capacitación”</w:t>
      </w:r>
      <w:r w:rsidR="009622D2" w:rsidRPr="00643DCF">
        <w:rPr>
          <w:rStyle w:val="Refdenotaalpie"/>
          <w:i/>
          <w:sz w:val="28"/>
          <w:szCs w:val="28"/>
        </w:rPr>
        <w:footnoteReference w:id="113"/>
      </w:r>
      <w:r w:rsidR="00D72A4C" w:rsidRPr="00643DCF">
        <w:rPr>
          <w:i/>
          <w:sz w:val="28"/>
          <w:szCs w:val="28"/>
        </w:rPr>
        <w:t xml:space="preserve">, </w:t>
      </w:r>
      <w:r w:rsidR="000B6E5E" w:rsidRPr="00643DCF">
        <w:rPr>
          <w:sz w:val="28"/>
          <w:szCs w:val="28"/>
        </w:rPr>
        <w:t>que</w:t>
      </w:r>
      <w:r w:rsidR="00F068DA" w:rsidRPr="00643DCF">
        <w:rPr>
          <w:sz w:val="28"/>
          <w:szCs w:val="28"/>
        </w:rPr>
        <w:t xml:space="preserve"> </w:t>
      </w:r>
      <w:r w:rsidR="009622D2" w:rsidRPr="00643DCF">
        <w:rPr>
          <w:sz w:val="28"/>
          <w:szCs w:val="28"/>
        </w:rPr>
        <w:t xml:space="preserve">impone </w:t>
      </w:r>
      <w:r w:rsidR="00D72A4C" w:rsidRPr="00643DCF">
        <w:rPr>
          <w:sz w:val="28"/>
          <w:szCs w:val="28"/>
        </w:rPr>
        <w:t>el compromiso</w:t>
      </w:r>
      <w:r w:rsidR="009622D2" w:rsidRPr="00643DCF">
        <w:rPr>
          <w:sz w:val="28"/>
          <w:szCs w:val="28"/>
        </w:rPr>
        <w:t xml:space="preserve"> de divulgar e informar sus actuaciones</w:t>
      </w:r>
      <w:r w:rsidR="00C43A45" w:rsidRPr="00643DCF">
        <w:rPr>
          <w:sz w:val="28"/>
          <w:szCs w:val="28"/>
        </w:rPr>
        <w:t>, de conformidad con lo establecido en el</w:t>
      </w:r>
      <w:r w:rsidR="009622D2" w:rsidRPr="00643DCF">
        <w:rPr>
          <w:sz w:val="28"/>
          <w:szCs w:val="28"/>
        </w:rPr>
        <w:t xml:space="preserve"> artículo 8</w:t>
      </w:r>
      <w:r w:rsidR="0010574E" w:rsidRPr="00643DCF">
        <w:rPr>
          <w:sz w:val="28"/>
          <w:szCs w:val="28"/>
        </w:rPr>
        <w:t>º</w:t>
      </w:r>
      <w:r w:rsidR="009622D2" w:rsidRPr="00643DCF">
        <w:rPr>
          <w:sz w:val="28"/>
          <w:szCs w:val="28"/>
        </w:rPr>
        <w:t xml:space="preserve"> del </w:t>
      </w:r>
      <w:r w:rsidR="00B91C82" w:rsidRPr="00643DCF">
        <w:rPr>
          <w:sz w:val="28"/>
          <w:szCs w:val="28"/>
        </w:rPr>
        <w:t>A</w:t>
      </w:r>
      <w:r w:rsidR="009622D2" w:rsidRPr="00643DCF">
        <w:rPr>
          <w:sz w:val="28"/>
          <w:szCs w:val="28"/>
        </w:rPr>
        <w:t>cuerdo 113 de 1993</w:t>
      </w:r>
      <w:r w:rsidR="00C43A45" w:rsidRPr="00643DCF">
        <w:rPr>
          <w:rStyle w:val="Refdenotaalpie"/>
          <w:sz w:val="28"/>
          <w:szCs w:val="28"/>
        </w:rPr>
        <w:footnoteReference w:id="114"/>
      </w:r>
      <w:r w:rsidR="00C43A45" w:rsidRPr="00643DCF">
        <w:rPr>
          <w:sz w:val="28"/>
          <w:szCs w:val="28"/>
        </w:rPr>
        <w:t xml:space="preserve">. </w:t>
      </w:r>
    </w:p>
    <w:p w14:paraId="5E104CD8" w14:textId="77777777" w:rsidR="00396DD9" w:rsidRPr="00643DCF" w:rsidRDefault="00396DD9" w:rsidP="00464A88">
      <w:pPr>
        <w:tabs>
          <w:tab w:val="left" w:pos="567"/>
          <w:tab w:val="left" w:pos="2865"/>
        </w:tabs>
        <w:jc w:val="both"/>
        <w:rPr>
          <w:sz w:val="28"/>
          <w:szCs w:val="28"/>
        </w:rPr>
      </w:pPr>
    </w:p>
    <w:p w14:paraId="3260F248" w14:textId="354D8610" w:rsidR="00396DD9" w:rsidRPr="00643DCF" w:rsidRDefault="00396DD9" w:rsidP="00464A88">
      <w:pPr>
        <w:tabs>
          <w:tab w:val="left" w:pos="567"/>
          <w:tab w:val="left" w:pos="2865"/>
        </w:tabs>
        <w:jc w:val="both"/>
        <w:rPr>
          <w:sz w:val="28"/>
          <w:szCs w:val="28"/>
        </w:rPr>
      </w:pPr>
      <w:r w:rsidRPr="00FA159B">
        <w:rPr>
          <w:sz w:val="28"/>
          <w:szCs w:val="28"/>
        </w:rPr>
        <w:t xml:space="preserve">26. </w:t>
      </w:r>
      <w:r w:rsidR="00B400B5" w:rsidRPr="00FA159B">
        <w:rPr>
          <w:sz w:val="28"/>
          <w:szCs w:val="28"/>
        </w:rPr>
        <w:t xml:space="preserve">De igual forma y como bien se estableciera desde el </w:t>
      </w:r>
      <w:r w:rsidR="00E1798E" w:rsidRPr="00FA159B">
        <w:rPr>
          <w:sz w:val="28"/>
          <w:szCs w:val="28"/>
        </w:rPr>
        <w:t xml:space="preserve">auto 144 de 2011, </w:t>
      </w:r>
      <w:r w:rsidR="00B400B5" w:rsidRPr="00FA159B">
        <w:rPr>
          <w:sz w:val="28"/>
          <w:szCs w:val="28"/>
        </w:rPr>
        <w:t xml:space="preserve">la sentencia estructural también debe ser publicitada </w:t>
      </w:r>
      <w:r w:rsidR="00002290" w:rsidRPr="00FA159B">
        <w:rPr>
          <w:sz w:val="28"/>
          <w:szCs w:val="28"/>
        </w:rPr>
        <w:t>a un grupo poblacional más amplio, en el que prevalezca la clase m</w:t>
      </w:r>
      <w:r w:rsidR="00867DCC" w:rsidRPr="00FA159B">
        <w:rPr>
          <w:sz w:val="28"/>
          <w:szCs w:val="28"/>
        </w:rPr>
        <w:t xml:space="preserve">ás </w:t>
      </w:r>
      <w:r w:rsidR="0036162A" w:rsidRPr="00FA159B">
        <w:rPr>
          <w:sz w:val="28"/>
          <w:szCs w:val="28"/>
        </w:rPr>
        <w:t xml:space="preserve">afectada por el desconocimiento que tiene de sus derechos, lo que disminuye su </w:t>
      </w:r>
      <w:r w:rsidR="00867DCC" w:rsidRPr="00FA159B">
        <w:rPr>
          <w:sz w:val="28"/>
          <w:szCs w:val="28"/>
        </w:rPr>
        <w:t xml:space="preserve">goce </w:t>
      </w:r>
      <w:r w:rsidR="00882E3E" w:rsidRPr="00FA159B">
        <w:rPr>
          <w:sz w:val="28"/>
          <w:szCs w:val="28"/>
        </w:rPr>
        <w:t>e</w:t>
      </w:r>
      <w:r w:rsidR="005A44BF" w:rsidRPr="00FA159B">
        <w:rPr>
          <w:sz w:val="28"/>
          <w:szCs w:val="28"/>
        </w:rPr>
        <w:t>fectivo del derecho a la salud.</w:t>
      </w:r>
    </w:p>
    <w:p w14:paraId="67C87A6C" w14:textId="77777777" w:rsidR="007E37A7" w:rsidRPr="00643DCF" w:rsidRDefault="007E37A7" w:rsidP="00DF4D85">
      <w:pPr>
        <w:pStyle w:val="Prrafodelista"/>
        <w:rPr>
          <w:sz w:val="28"/>
          <w:szCs w:val="28"/>
        </w:rPr>
      </w:pPr>
    </w:p>
    <w:p w14:paraId="05D31B94" w14:textId="77777777" w:rsidR="00F068DA" w:rsidRPr="00643DCF" w:rsidRDefault="006F3AE9" w:rsidP="000961E6">
      <w:pPr>
        <w:pStyle w:val="Prrafodelista"/>
        <w:tabs>
          <w:tab w:val="left" w:pos="426"/>
          <w:tab w:val="left" w:pos="567"/>
        </w:tabs>
        <w:ind w:left="360"/>
        <w:contextualSpacing/>
        <w:jc w:val="both"/>
        <w:rPr>
          <w:sz w:val="28"/>
          <w:szCs w:val="28"/>
        </w:rPr>
      </w:pPr>
      <w:r w:rsidRPr="00643DCF">
        <w:rPr>
          <w:b/>
          <w:sz w:val="28"/>
          <w:szCs w:val="28"/>
        </w:rPr>
        <w:t xml:space="preserve">Evaluación de las medidas implementadas por el CSJ para </w:t>
      </w:r>
      <w:r w:rsidR="00951832" w:rsidRPr="00643DCF">
        <w:rPr>
          <w:b/>
          <w:sz w:val="28"/>
          <w:szCs w:val="28"/>
        </w:rPr>
        <w:t xml:space="preserve">el cumplimiento </w:t>
      </w:r>
      <w:r w:rsidR="00AB748F" w:rsidRPr="00643DCF">
        <w:rPr>
          <w:b/>
          <w:sz w:val="28"/>
          <w:szCs w:val="28"/>
        </w:rPr>
        <w:t>de la orden trigésim</w:t>
      </w:r>
      <w:r w:rsidR="00BE6718" w:rsidRPr="00643DCF">
        <w:rPr>
          <w:b/>
          <w:sz w:val="28"/>
          <w:szCs w:val="28"/>
        </w:rPr>
        <w:t>a</w:t>
      </w:r>
      <w:r w:rsidR="00AB748F" w:rsidRPr="00643DCF">
        <w:rPr>
          <w:b/>
          <w:sz w:val="28"/>
          <w:szCs w:val="28"/>
        </w:rPr>
        <w:t xml:space="preserve"> segunda </w:t>
      </w:r>
    </w:p>
    <w:p w14:paraId="5CC72E84" w14:textId="77777777" w:rsidR="00AE2DD3" w:rsidRPr="00643DCF" w:rsidRDefault="00AE2DD3" w:rsidP="00AE2DD3">
      <w:pPr>
        <w:tabs>
          <w:tab w:val="left" w:pos="567"/>
        </w:tabs>
        <w:jc w:val="both"/>
        <w:rPr>
          <w:sz w:val="28"/>
          <w:szCs w:val="28"/>
        </w:rPr>
      </w:pPr>
    </w:p>
    <w:p w14:paraId="2190ADF5" w14:textId="7A1CE9FA" w:rsidR="00C54516" w:rsidRPr="00FA159B" w:rsidRDefault="00AE2DD3" w:rsidP="00AE2DD3">
      <w:pPr>
        <w:tabs>
          <w:tab w:val="left" w:pos="567"/>
        </w:tabs>
        <w:jc w:val="both"/>
        <w:rPr>
          <w:sz w:val="28"/>
          <w:szCs w:val="28"/>
        </w:rPr>
      </w:pPr>
      <w:r w:rsidRPr="00643DCF">
        <w:rPr>
          <w:sz w:val="28"/>
          <w:szCs w:val="28"/>
        </w:rPr>
        <w:t>2</w:t>
      </w:r>
      <w:r w:rsidR="00FA0698" w:rsidRPr="00643DCF">
        <w:rPr>
          <w:sz w:val="28"/>
          <w:szCs w:val="28"/>
        </w:rPr>
        <w:t>7</w:t>
      </w:r>
      <w:r w:rsidRPr="00643DCF">
        <w:rPr>
          <w:sz w:val="28"/>
          <w:szCs w:val="28"/>
        </w:rPr>
        <w:t xml:space="preserve">. </w:t>
      </w:r>
      <w:r w:rsidR="00413E65" w:rsidRPr="00643DCF">
        <w:rPr>
          <w:sz w:val="28"/>
          <w:szCs w:val="28"/>
        </w:rPr>
        <w:t xml:space="preserve">Dentro de la </w:t>
      </w:r>
      <w:r w:rsidR="00863EEF" w:rsidRPr="00643DCF">
        <w:rPr>
          <w:sz w:val="28"/>
          <w:szCs w:val="28"/>
        </w:rPr>
        <w:t>s</w:t>
      </w:r>
      <w:r w:rsidR="00413E65" w:rsidRPr="00643DCF">
        <w:rPr>
          <w:sz w:val="28"/>
          <w:szCs w:val="28"/>
        </w:rPr>
        <w:t xml:space="preserve">entencia T-760 de 2008 la </w:t>
      </w:r>
      <w:r w:rsidR="00413E65" w:rsidRPr="00FA159B">
        <w:rPr>
          <w:sz w:val="28"/>
          <w:szCs w:val="28"/>
        </w:rPr>
        <w:t>Corte ordenó al Consejo Superior de la Judicatura que di</w:t>
      </w:r>
      <w:r w:rsidR="004E1A7A" w:rsidRPr="00FA159B">
        <w:rPr>
          <w:sz w:val="28"/>
          <w:szCs w:val="28"/>
        </w:rPr>
        <w:t>fundiera</w:t>
      </w:r>
      <w:r w:rsidR="00BC2B0D" w:rsidRPr="00FA159B">
        <w:rPr>
          <w:sz w:val="28"/>
          <w:szCs w:val="28"/>
        </w:rPr>
        <w:t xml:space="preserve"> </w:t>
      </w:r>
      <w:r w:rsidR="00413E65" w:rsidRPr="00FA159B">
        <w:rPr>
          <w:sz w:val="28"/>
          <w:szCs w:val="28"/>
        </w:rPr>
        <w:t xml:space="preserve">el fallo </w:t>
      </w:r>
      <w:r w:rsidR="00664AA5" w:rsidRPr="00FA159B">
        <w:rPr>
          <w:sz w:val="28"/>
          <w:szCs w:val="28"/>
        </w:rPr>
        <w:t xml:space="preserve">entre los funcionarios y empleados judiciales </w:t>
      </w:r>
      <w:r w:rsidR="00413E65" w:rsidRPr="00FA159B">
        <w:rPr>
          <w:sz w:val="28"/>
          <w:szCs w:val="28"/>
        </w:rPr>
        <w:t>para que contaran con la normatividad y la jurisprudencia</w:t>
      </w:r>
      <w:r w:rsidR="00F068DA" w:rsidRPr="00FA159B">
        <w:rPr>
          <w:sz w:val="28"/>
          <w:szCs w:val="28"/>
        </w:rPr>
        <w:t xml:space="preserve"> constitucional</w:t>
      </w:r>
      <w:r w:rsidR="00413E65" w:rsidRPr="00FA159B">
        <w:rPr>
          <w:sz w:val="28"/>
          <w:szCs w:val="28"/>
        </w:rPr>
        <w:t xml:space="preserve"> actualizada al momento de tomar las decisiones </w:t>
      </w:r>
      <w:r w:rsidR="00F068DA" w:rsidRPr="00FA159B">
        <w:rPr>
          <w:sz w:val="28"/>
          <w:szCs w:val="28"/>
        </w:rPr>
        <w:t>sob</w:t>
      </w:r>
      <w:r w:rsidR="00413E65" w:rsidRPr="00FA159B">
        <w:rPr>
          <w:sz w:val="28"/>
          <w:szCs w:val="28"/>
        </w:rPr>
        <w:t>r</w:t>
      </w:r>
      <w:r w:rsidR="00F068DA" w:rsidRPr="00FA159B">
        <w:rPr>
          <w:sz w:val="28"/>
          <w:szCs w:val="28"/>
        </w:rPr>
        <w:t>e</w:t>
      </w:r>
      <w:r w:rsidR="00413E65" w:rsidRPr="00FA159B">
        <w:rPr>
          <w:sz w:val="28"/>
          <w:szCs w:val="28"/>
        </w:rPr>
        <w:t xml:space="preserve"> la protección efectiva del derecho fundamental a la salud</w:t>
      </w:r>
      <w:r w:rsidR="00413E65" w:rsidRPr="00FA159B">
        <w:rPr>
          <w:rStyle w:val="Refdenotaalpie"/>
          <w:sz w:val="28"/>
          <w:szCs w:val="28"/>
        </w:rPr>
        <w:footnoteReference w:id="115"/>
      </w:r>
      <w:r w:rsidR="00BB1052" w:rsidRPr="00FA159B">
        <w:rPr>
          <w:sz w:val="28"/>
          <w:szCs w:val="28"/>
        </w:rPr>
        <w:t>, lo que se vería reflejado en una mayor protección del mismo a la población en general, por ser esta la que acude al uso de la acci</w:t>
      </w:r>
      <w:r w:rsidR="00FA0698" w:rsidRPr="00FA159B">
        <w:rPr>
          <w:sz w:val="28"/>
          <w:szCs w:val="28"/>
        </w:rPr>
        <w:t xml:space="preserve">ón constitucional en busca </w:t>
      </w:r>
      <w:r w:rsidR="001F5DFD" w:rsidRPr="00FA159B">
        <w:rPr>
          <w:sz w:val="28"/>
          <w:szCs w:val="28"/>
        </w:rPr>
        <w:t>d</w:t>
      </w:r>
      <w:r w:rsidR="00FA0698" w:rsidRPr="00FA159B">
        <w:rPr>
          <w:sz w:val="28"/>
          <w:szCs w:val="28"/>
        </w:rPr>
        <w:t>e</w:t>
      </w:r>
      <w:r w:rsidR="00BB1052" w:rsidRPr="00FA159B">
        <w:rPr>
          <w:sz w:val="28"/>
          <w:szCs w:val="28"/>
        </w:rPr>
        <w:t xml:space="preserve">l </w:t>
      </w:r>
      <w:r w:rsidR="00FA0698" w:rsidRPr="00FA159B">
        <w:rPr>
          <w:sz w:val="28"/>
          <w:szCs w:val="28"/>
        </w:rPr>
        <w:t>amparo</w:t>
      </w:r>
      <w:r w:rsidR="00760328" w:rsidRPr="00FA159B">
        <w:rPr>
          <w:sz w:val="28"/>
          <w:szCs w:val="28"/>
        </w:rPr>
        <w:t xml:space="preserve"> de sus derechos. </w:t>
      </w:r>
    </w:p>
    <w:p w14:paraId="11E5976A" w14:textId="77777777" w:rsidR="00C54516" w:rsidRPr="00FA159B" w:rsidRDefault="00C54516" w:rsidP="00AE2DD3">
      <w:pPr>
        <w:tabs>
          <w:tab w:val="left" w:pos="567"/>
        </w:tabs>
        <w:jc w:val="both"/>
        <w:rPr>
          <w:sz w:val="28"/>
          <w:szCs w:val="28"/>
        </w:rPr>
      </w:pPr>
    </w:p>
    <w:p w14:paraId="5FB420D1" w14:textId="2D376557" w:rsidR="00413E65" w:rsidRPr="00643DCF" w:rsidRDefault="00305095" w:rsidP="00AE2DD3">
      <w:pPr>
        <w:tabs>
          <w:tab w:val="left" w:pos="567"/>
        </w:tabs>
        <w:jc w:val="both"/>
        <w:rPr>
          <w:sz w:val="28"/>
          <w:szCs w:val="28"/>
        </w:rPr>
      </w:pPr>
      <w:r w:rsidRPr="00FA159B">
        <w:rPr>
          <w:sz w:val="28"/>
          <w:szCs w:val="28"/>
        </w:rPr>
        <w:t>Posterior a ello</w:t>
      </w:r>
      <w:r w:rsidR="00DD0BB9" w:rsidRPr="00FA159B">
        <w:rPr>
          <w:rStyle w:val="Refdenotaalpie"/>
          <w:sz w:val="28"/>
          <w:szCs w:val="28"/>
        </w:rPr>
        <w:footnoteReference w:id="116"/>
      </w:r>
      <w:r w:rsidR="00C54516" w:rsidRPr="00FA159B">
        <w:rPr>
          <w:sz w:val="28"/>
          <w:szCs w:val="28"/>
        </w:rPr>
        <w:t xml:space="preserve">, </w:t>
      </w:r>
      <w:r w:rsidR="006B59C9" w:rsidRPr="00FA159B">
        <w:rPr>
          <w:sz w:val="28"/>
          <w:szCs w:val="28"/>
        </w:rPr>
        <w:t xml:space="preserve">la Sala </w:t>
      </w:r>
      <w:r w:rsidR="00C54516" w:rsidRPr="00FA159B">
        <w:rPr>
          <w:sz w:val="28"/>
          <w:szCs w:val="28"/>
        </w:rPr>
        <w:t xml:space="preserve">consideró </w:t>
      </w:r>
      <w:r w:rsidR="006B59C9" w:rsidRPr="00FA159B">
        <w:rPr>
          <w:sz w:val="28"/>
          <w:szCs w:val="28"/>
        </w:rPr>
        <w:t xml:space="preserve">que dicha información también debía </w:t>
      </w:r>
      <w:r w:rsidR="00C54516" w:rsidRPr="00FA159B">
        <w:rPr>
          <w:sz w:val="28"/>
          <w:szCs w:val="28"/>
        </w:rPr>
        <w:t>dar</w:t>
      </w:r>
      <w:r w:rsidR="005320B4" w:rsidRPr="00FA159B">
        <w:rPr>
          <w:sz w:val="28"/>
          <w:szCs w:val="28"/>
        </w:rPr>
        <w:t>se</w:t>
      </w:r>
      <w:r w:rsidR="00C54516" w:rsidRPr="00FA159B">
        <w:rPr>
          <w:sz w:val="28"/>
          <w:szCs w:val="28"/>
        </w:rPr>
        <w:t xml:space="preserve"> a conocer</w:t>
      </w:r>
      <w:r w:rsidR="00760328" w:rsidRPr="00FA159B">
        <w:rPr>
          <w:sz w:val="28"/>
          <w:szCs w:val="28"/>
        </w:rPr>
        <w:t xml:space="preserve"> a </w:t>
      </w:r>
      <w:r w:rsidR="00657EA0" w:rsidRPr="00FA159B">
        <w:rPr>
          <w:sz w:val="28"/>
          <w:szCs w:val="28"/>
        </w:rPr>
        <w:t xml:space="preserve">un grupo poblacional más amplio, especialmente </w:t>
      </w:r>
      <w:r w:rsidR="007367F3" w:rsidRPr="00FA159B">
        <w:rPr>
          <w:sz w:val="28"/>
          <w:szCs w:val="28"/>
        </w:rPr>
        <w:t>a</w:t>
      </w:r>
      <w:r w:rsidR="00657EA0" w:rsidRPr="00FA159B">
        <w:rPr>
          <w:sz w:val="28"/>
          <w:szCs w:val="28"/>
        </w:rPr>
        <w:t xml:space="preserve">l más </w:t>
      </w:r>
      <w:r w:rsidR="00C12807" w:rsidRPr="00FA159B">
        <w:rPr>
          <w:sz w:val="28"/>
          <w:szCs w:val="28"/>
        </w:rPr>
        <w:t>vulnerable</w:t>
      </w:r>
      <w:r w:rsidR="00C54516" w:rsidRPr="00FA159B">
        <w:rPr>
          <w:sz w:val="28"/>
          <w:szCs w:val="28"/>
        </w:rPr>
        <w:t>,</w:t>
      </w:r>
      <w:r w:rsidR="00AC17F9" w:rsidRPr="00FA159B">
        <w:rPr>
          <w:sz w:val="28"/>
          <w:szCs w:val="28"/>
        </w:rPr>
        <w:t xml:space="preserve"> para que</w:t>
      </w:r>
      <w:r w:rsidR="00C12807" w:rsidRPr="00FA159B">
        <w:rPr>
          <w:sz w:val="28"/>
          <w:szCs w:val="28"/>
        </w:rPr>
        <w:t xml:space="preserve"> accedan a mejor información respecto del </w:t>
      </w:r>
      <w:r w:rsidR="00AC17F9" w:rsidRPr="00FA159B">
        <w:rPr>
          <w:sz w:val="28"/>
          <w:szCs w:val="28"/>
        </w:rPr>
        <w:t>derecho</w:t>
      </w:r>
      <w:r w:rsidR="00C12807" w:rsidRPr="00FA159B">
        <w:rPr>
          <w:sz w:val="28"/>
          <w:szCs w:val="28"/>
        </w:rPr>
        <w:t xml:space="preserve"> a la </w:t>
      </w:r>
      <w:r w:rsidR="00AC17F9" w:rsidRPr="00FA159B">
        <w:rPr>
          <w:sz w:val="28"/>
          <w:szCs w:val="28"/>
        </w:rPr>
        <w:t xml:space="preserve">salud, </w:t>
      </w:r>
      <w:r w:rsidR="00C12807" w:rsidRPr="00FA159B">
        <w:rPr>
          <w:sz w:val="28"/>
          <w:szCs w:val="28"/>
        </w:rPr>
        <w:t xml:space="preserve">y de esta forma aumenten las posibilidades de </w:t>
      </w:r>
      <w:r w:rsidR="00AC17F9" w:rsidRPr="00FA159B">
        <w:rPr>
          <w:sz w:val="28"/>
          <w:szCs w:val="28"/>
        </w:rPr>
        <w:t>acceder a</w:t>
      </w:r>
      <w:r w:rsidR="00C12807" w:rsidRPr="00FA159B">
        <w:rPr>
          <w:sz w:val="28"/>
          <w:szCs w:val="28"/>
        </w:rPr>
        <w:t xml:space="preserve"> los servicios que requieran</w:t>
      </w:r>
      <w:r w:rsidR="00AC17F9" w:rsidRPr="00FA159B">
        <w:rPr>
          <w:sz w:val="28"/>
          <w:szCs w:val="28"/>
        </w:rPr>
        <w:t>.</w:t>
      </w:r>
    </w:p>
    <w:p w14:paraId="0ABE77B2" w14:textId="77777777" w:rsidR="00413E65" w:rsidRPr="00643DCF" w:rsidRDefault="00413E65" w:rsidP="00FB31C7">
      <w:pPr>
        <w:tabs>
          <w:tab w:val="left" w:pos="567"/>
        </w:tabs>
        <w:jc w:val="both"/>
        <w:rPr>
          <w:sz w:val="28"/>
          <w:szCs w:val="28"/>
        </w:rPr>
      </w:pPr>
    </w:p>
    <w:p w14:paraId="48029751" w14:textId="55381717" w:rsidR="00413E65" w:rsidRPr="00643DCF" w:rsidRDefault="00AF6CD3" w:rsidP="00AB748F">
      <w:pPr>
        <w:tabs>
          <w:tab w:val="left" w:pos="567"/>
        </w:tabs>
        <w:jc w:val="both"/>
        <w:rPr>
          <w:sz w:val="28"/>
          <w:szCs w:val="28"/>
        </w:rPr>
      </w:pPr>
      <w:r w:rsidRPr="00643DCF">
        <w:rPr>
          <w:sz w:val="28"/>
          <w:szCs w:val="28"/>
        </w:rPr>
        <w:t>2</w:t>
      </w:r>
      <w:r w:rsidR="00846C36" w:rsidRPr="00643DCF">
        <w:rPr>
          <w:sz w:val="28"/>
          <w:szCs w:val="28"/>
        </w:rPr>
        <w:t>8</w:t>
      </w:r>
      <w:r w:rsidRPr="00643DCF">
        <w:rPr>
          <w:sz w:val="28"/>
          <w:szCs w:val="28"/>
        </w:rPr>
        <w:t xml:space="preserve">. </w:t>
      </w:r>
      <w:r w:rsidR="008B66B7" w:rsidRPr="00643DCF">
        <w:rPr>
          <w:sz w:val="28"/>
          <w:szCs w:val="28"/>
        </w:rPr>
        <w:t>En el caso que ocupa a la Sala se ha mencionado que</w:t>
      </w:r>
      <w:r w:rsidR="00643202" w:rsidRPr="00643DCF">
        <w:rPr>
          <w:sz w:val="28"/>
          <w:szCs w:val="28"/>
        </w:rPr>
        <w:t xml:space="preserve"> dentro de un </w:t>
      </w:r>
      <w:r w:rsidR="00F14674" w:rsidRPr="00643DCF">
        <w:rPr>
          <w:sz w:val="28"/>
          <w:szCs w:val="28"/>
        </w:rPr>
        <w:t>E</w:t>
      </w:r>
      <w:r w:rsidR="00643202" w:rsidRPr="00643DCF">
        <w:rPr>
          <w:sz w:val="28"/>
          <w:szCs w:val="28"/>
        </w:rPr>
        <w:t>stado</w:t>
      </w:r>
      <w:r w:rsidR="00F14674" w:rsidRPr="00643DCF">
        <w:rPr>
          <w:sz w:val="28"/>
          <w:szCs w:val="28"/>
        </w:rPr>
        <w:t xml:space="preserve"> </w:t>
      </w:r>
      <w:r w:rsidR="00994F23" w:rsidRPr="00643DCF">
        <w:rPr>
          <w:sz w:val="28"/>
          <w:szCs w:val="28"/>
        </w:rPr>
        <w:t>s</w:t>
      </w:r>
      <w:r w:rsidR="00F14674" w:rsidRPr="00643DCF">
        <w:rPr>
          <w:sz w:val="28"/>
          <w:szCs w:val="28"/>
        </w:rPr>
        <w:t>ocial y</w:t>
      </w:r>
      <w:r w:rsidR="00643202" w:rsidRPr="00643DCF">
        <w:rPr>
          <w:sz w:val="28"/>
          <w:szCs w:val="28"/>
        </w:rPr>
        <w:t xml:space="preserve"> democrático de derecho</w:t>
      </w:r>
      <w:r w:rsidR="00E02D1F" w:rsidRPr="00643DCF">
        <w:rPr>
          <w:sz w:val="28"/>
          <w:szCs w:val="28"/>
        </w:rPr>
        <w:t xml:space="preserve"> l</w:t>
      </w:r>
      <w:r w:rsidR="00AB748F" w:rsidRPr="00643DCF">
        <w:rPr>
          <w:sz w:val="28"/>
          <w:szCs w:val="28"/>
        </w:rPr>
        <w:t>a divulgación de las decisiones judiciales</w:t>
      </w:r>
      <w:r w:rsidR="00437021" w:rsidRPr="00643DCF">
        <w:rPr>
          <w:sz w:val="28"/>
          <w:szCs w:val="28"/>
        </w:rPr>
        <w:t xml:space="preserve"> relacionadas con el derecho fundamental a la salud</w:t>
      </w:r>
      <w:r w:rsidR="00F14674" w:rsidRPr="00643DCF">
        <w:rPr>
          <w:sz w:val="28"/>
          <w:szCs w:val="28"/>
        </w:rPr>
        <w:t xml:space="preserve"> </w:t>
      </w:r>
      <w:r w:rsidR="00AB748F" w:rsidRPr="00643DCF">
        <w:rPr>
          <w:sz w:val="28"/>
          <w:szCs w:val="28"/>
        </w:rPr>
        <w:t>garantiza a los ciudadanos la posibilid</w:t>
      </w:r>
      <w:r w:rsidR="009669E8" w:rsidRPr="00643DCF">
        <w:rPr>
          <w:sz w:val="28"/>
          <w:szCs w:val="28"/>
        </w:rPr>
        <w:t xml:space="preserve">ad de </w:t>
      </w:r>
      <w:r w:rsidR="00A14CBB" w:rsidRPr="00643DCF">
        <w:rPr>
          <w:sz w:val="28"/>
          <w:szCs w:val="28"/>
        </w:rPr>
        <w:t>conocer</w:t>
      </w:r>
      <w:r w:rsidR="009669E8" w:rsidRPr="00643DCF">
        <w:rPr>
          <w:sz w:val="28"/>
          <w:szCs w:val="28"/>
        </w:rPr>
        <w:t xml:space="preserve"> y </w:t>
      </w:r>
      <w:r w:rsidR="00AB748F" w:rsidRPr="00643DCF">
        <w:rPr>
          <w:sz w:val="28"/>
          <w:szCs w:val="28"/>
        </w:rPr>
        <w:t>defender sus derechos</w:t>
      </w:r>
      <w:r w:rsidR="00F068DA" w:rsidRPr="00643DCF">
        <w:rPr>
          <w:sz w:val="28"/>
          <w:szCs w:val="28"/>
        </w:rPr>
        <w:t xml:space="preserve"> constitucionales</w:t>
      </w:r>
      <w:r w:rsidR="00AB748F" w:rsidRPr="00643DCF">
        <w:rPr>
          <w:sz w:val="28"/>
          <w:szCs w:val="28"/>
        </w:rPr>
        <w:t xml:space="preserve"> cuando </w:t>
      </w:r>
      <w:r w:rsidR="00C63098" w:rsidRPr="00643DCF">
        <w:rPr>
          <w:sz w:val="28"/>
          <w:szCs w:val="28"/>
        </w:rPr>
        <w:t>considere que</w:t>
      </w:r>
      <w:r w:rsidR="00F14674" w:rsidRPr="00643DCF">
        <w:rPr>
          <w:sz w:val="28"/>
          <w:szCs w:val="28"/>
        </w:rPr>
        <w:t xml:space="preserve"> </w:t>
      </w:r>
      <w:r w:rsidR="00C63098" w:rsidRPr="00643DCF">
        <w:rPr>
          <w:sz w:val="28"/>
          <w:szCs w:val="28"/>
        </w:rPr>
        <w:t xml:space="preserve">están siendo </w:t>
      </w:r>
      <w:r w:rsidR="00F068DA" w:rsidRPr="00643DCF">
        <w:rPr>
          <w:sz w:val="28"/>
          <w:szCs w:val="28"/>
        </w:rPr>
        <w:t xml:space="preserve">amenazados o </w:t>
      </w:r>
      <w:r w:rsidR="00C63098" w:rsidRPr="00643DCF">
        <w:rPr>
          <w:sz w:val="28"/>
          <w:szCs w:val="28"/>
        </w:rPr>
        <w:t>vulnerados</w:t>
      </w:r>
      <w:r w:rsidR="008B66B7" w:rsidRPr="00643DCF">
        <w:rPr>
          <w:sz w:val="28"/>
          <w:szCs w:val="28"/>
        </w:rPr>
        <w:t xml:space="preserve">, </w:t>
      </w:r>
      <w:r w:rsidR="00F068DA" w:rsidRPr="00643DCF">
        <w:rPr>
          <w:sz w:val="28"/>
          <w:szCs w:val="28"/>
        </w:rPr>
        <w:t xml:space="preserve">más aún </w:t>
      </w:r>
      <w:r w:rsidR="008B66B7" w:rsidRPr="00643DCF">
        <w:rPr>
          <w:sz w:val="28"/>
          <w:szCs w:val="28"/>
        </w:rPr>
        <w:t xml:space="preserve">cuando </w:t>
      </w:r>
      <w:r w:rsidR="00643202" w:rsidRPr="00643DCF">
        <w:rPr>
          <w:sz w:val="28"/>
          <w:szCs w:val="28"/>
        </w:rPr>
        <w:t>las estadísticas</w:t>
      </w:r>
      <w:r w:rsidR="00F14674" w:rsidRPr="00643DCF">
        <w:rPr>
          <w:rStyle w:val="Refdenotaalpie"/>
          <w:sz w:val="28"/>
          <w:szCs w:val="28"/>
        </w:rPr>
        <w:footnoteReference w:id="117"/>
      </w:r>
      <w:r w:rsidR="00643202" w:rsidRPr="00643DCF">
        <w:rPr>
          <w:sz w:val="28"/>
          <w:szCs w:val="28"/>
        </w:rPr>
        <w:t xml:space="preserve"> </w:t>
      </w:r>
      <w:r w:rsidR="00F068DA" w:rsidRPr="00643DCF">
        <w:rPr>
          <w:sz w:val="28"/>
          <w:szCs w:val="28"/>
        </w:rPr>
        <w:t xml:space="preserve">exponen </w:t>
      </w:r>
      <w:r w:rsidR="00643202" w:rsidRPr="00643DCF">
        <w:rPr>
          <w:sz w:val="28"/>
          <w:szCs w:val="28"/>
        </w:rPr>
        <w:t>que es una de la</w:t>
      </w:r>
      <w:r w:rsidR="008B66B7" w:rsidRPr="00643DCF">
        <w:rPr>
          <w:sz w:val="28"/>
          <w:szCs w:val="28"/>
        </w:rPr>
        <w:t>s</w:t>
      </w:r>
      <w:r w:rsidR="00643202" w:rsidRPr="00643DCF">
        <w:rPr>
          <w:sz w:val="28"/>
          <w:szCs w:val="28"/>
        </w:rPr>
        <w:t xml:space="preserve"> pr</w:t>
      </w:r>
      <w:r w:rsidR="00F068DA" w:rsidRPr="00643DCF">
        <w:rPr>
          <w:sz w:val="28"/>
          <w:szCs w:val="28"/>
        </w:rPr>
        <w:t>e</w:t>
      </w:r>
      <w:r w:rsidR="00643202" w:rsidRPr="00643DCF">
        <w:rPr>
          <w:sz w:val="28"/>
          <w:szCs w:val="28"/>
        </w:rPr>
        <w:t>rrogativas</w:t>
      </w:r>
      <w:r w:rsidR="008B66B7" w:rsidRPr="00643DCF">
        <w:rPr>
          <w:sz w:val="28"/>
          <w:szCs w:val="28"/>
        </w:rPr>
        <w:t xml:space="preserve"> </w:t>
      </w:r>
      <w:r w:rsidR="00643202" w:rsidRPr="00643DCF">
        <w:rPr>
          <w:sz w:val="28"/>
          <w:szCs w:val="28"/>
        </w:rPr>
        <w:t>más trasgredida</w:t>
      </w:r>
      <w:r w:rsidR="008B66B7" w:rsidRPr="00643DCF">
        <w:rPr>
          <w:sz w:val="28"/>
          <w:szCs w:val="28"/>
        </w:rPr>
        <w:t>s en el territorio nacional</w:t>
      </w:r>
      <w:r w:rsidR="00AC3A08" w:rsidRPr="00643DCF">
        <w:rPr>
          <w:sz w:val="28"/>
          <w:szCs w:val="28"/>
        </w:rPr>
        <w:t xml:space="preserve">. </w:t>
      </w:r>
    </w:p>
    <w:p w14:paraId="334CB3BF" w14:textId="77777777" w:rsidR="000D4C6D" w:rsidRPr="00643DCF" w:rsidRDefault="000D4C6D" w:rsidP="00AB748F">
      <w:pPr>
        <w:tabs>
          <w:tab w:val="left" w:pos="567"/>
        </w:tabs>
        <w:jc w:val="both"/>
        <w:rPr>
          <w:sz w:val="28"/>
          <w:szCs w:val="28"/>
        </w:rPr>
      </w:pPr>
    </w:p>
    <w:p w14:paraId="088DE41F" w14:textId="57A8CB30" w:rsidR="00AB748F" w:rsidRPr="00643DCF" w:rsidRDefault="00AF6CD3" w:rsidP="00AB748F">
      <w:pPr>
        <w:tabs>
          <w:tab w:val="left" w:pos="567"/>
        </w:tabs>
        <w:jc w:val="both"/>
        <w:rPr>
          <w:sz w:val="28"/>
          <w:szCs w:val="28"/>
        </w:rPr>
      </w:pPr>
      <w:r w:rsidRPr="00643DCF">
        <w:rPr>
          <w:sz w:val="28"/>
          <w:szCs w:val="28"/>
        </w:rPr>
        <w:t>2</w:t>
      </w:r>
      <w:r w:rsidR="00846C36" w:rsidRPr="00643DCF">
        <w:rPr>
          <w:sz w:val="28"/>
          <w:szCs w:val="28"/>
        </w:rPr>
        <w:t>9</w:t>
      </w:r>
      <w:r w:rsidRPr="00643DCF">
        <w:rPr>
          <w:sz w:val="28"/>
          <w:szCs w:val="28"/>
        </w:rPr>
        <w:t xml:space="preserve">. </w:t>
      </w:r>
      <w:r w:rsidR="00701816" w:rsidRPr="00643DCF">
        <w:rPr>
          <w:sz w:val="28"/>
          <w:szCs w:val="28"/>
        </w:rPr>
        <w:t>Entonces</w:t>
      </w:r>
      <w:r w:rsidR="00FA0795" w:rsidRPr="00643DCF">
        <w:rPr>
          <w:sz w:val="28"/>
          <w:szCs w:val="28"/>
        </w:rPr>
        <w:t>,</w:t>
      </w:r>
      <w:r w:rsidR="00701816" w:rsidRPr="00643DCF">
        <w:rPr>
          <w:sz w:val="28"/>
          <w:szCs w:val="28"/>
        </w:rPr>
        <w:t xml:space="preserve"> </w:t>
      </w:r>
      <w:r w:rsidR="00437021" w:rsidRPr="00643DCF">
        <w:rPr>
          <w:sz w:val="28"/>
          <w:szCs w:val="28"/>
        </w:rPr>
        <w:t xml:space="preserve">es indispensable </w:t>
      </w:r>
      <w:r w:rsidR="00994F23" w:rsidRPr="00643DCF">
        <w:rPr>
          <w:sz w:val="28"/>
          <w:szCs w:val="28"/>
        </w:rPr>
        <w:t>brindar permanente</w:t>
      </w:r>
      <w:r w:rsidR="00E02D1F" w:rsidRPr="00643DCF">
        <w:rPr>
          <w:sz w:val="28"/>
          <w:szCs w:val="28"/>
        </w:rPr>
        <w:t xml:space="preserve"> </w:t>
      </w:r>
      <w:r w:rsidR="003154BC" w:rsidRPr="00643DCF">
        <w:rPr>
          <w:sz w:val="28"/>
          <w:szCs w:val="28"/>
        </w:rPr>
        <w:t xml:space="preserve">formación, </w:t>
      </w:r>
      <w:r w:rsidR="00E02D1F" w:rsidRPr="00643DCF">
        <w:rPr>
          <w:sz w:val="28"/>
          <w:szCs w:val="28"/>
        </w:rPr>
        <w:t>capacitación</w:t>
      </w:r>
      <w:r w:rsidR="00994F23" w:rsidRPr="00643DCF">
        <w:rPr>
          <w:sz w:val="28"/>
          <w:szCs w:val="28"/>
        </w:rPr>
        <w:t xml:space="preserve"> e </w:t>
      </w:r>
      <w:r w:rsidR="003154BC" w:rsidRPr="00643DCF">
        <w:rPr>
          <w:sz w:val="28"/>
          <w:szCs w:val="28"/>
        </w:rPr>
        <w:t xml:space="preserve">información </w:t>
      </w:r>
      <w:r w:rsidR="00994F23" w:rsidRPr="00643DCF">
        <w:rPr>
          <w:sz w:val="28"/>
          <w:szCs w:val="28"/>
        </w:rPr>
        <w:t>a</w:t>
      </w:r>
      <w:r w:rsidR="00E02D1F" w:rsidRPr="00643DCF">
        <w:rPr>
          <w:sz w:val="28"/>
          <w:szCs w:val="28"/>
        </w:rPr>
        <w:t xml:space="preserve"> </w:t>
      </w:r>
      <w:r w:rsidR="00AB748F" w:rsidRPr="00643DCF">
        <w:rPr>
          <w:sz w:val="28"/>
          <w:szCs w:val="28"/>
        </w:rPr>
        <w:t xml:space="preserve">los operadores judiciales sobre el contenido de </w:t>
      </w:r>
      <w:r w:rsidR="00701816" w:rsidRPr="00643DCF">
        <w:rPr>
          <w:sz w:val="28"/>
          <w:szCs w:val="28"/>
        </w:rPr>
        <w:t xml:space="preserve">los </w:t>
      </w:r>
      <w:r w:rsidR="00413E65" w:rsidRPr="00643DCF">
        <w:rPr>
          <w:sz w:val="28"/>
          <w:szCs w:val="28"/>
        </w:rPr>
        <w:t xml:space="preserve">autos de valoración proferidos </w:t>
      </w:r>
      <w:r w:rsidR="00701816" w:rsidRPr="00643DCF">
        <w:rPr>
          <w:sz w:val="28"/>
          <w:szCs w:val="28"/>
        </w:rPr>
        <w:t xml:space="preserve">paulatinamente </w:t>
      </w:r>
      <w:r w:rsidR="00413E65" w:rsidRPr="00643DCF">
        <w:rPr>
          <w:sz w:val="28"/>
          <w:szCs w:val="28"/>
        </w:rPr>
        <w:t>por la Sala Especial</w:t>
      </w:r>
      <w:r w:rsidR="00E02D1F" w:rsidRPr="00643DCF">
        <w:rPr>
          <w:sz w:val="28"/>
          <w:szCs w:val="28"/>
        </w:rPr>
        <w:t xml:space="preserve">, en </w:t>
      </w:r>
      <w:r w:rsidR="008A16A8" w:rsidRPr="00643DCF">
        <w:rPr>
          <w:sz w:val="28"/>
          <w:szCs w:val="28"/>
        </w:rPr>
        <w:t>los</w:t>
      </w:r>
      <w:r w:rsidR="00E02D1F" w:rsidRPr="00643DCF">
        <w:rPr>
          <w:sz w:val="28"/>
          <w:szCs w:val="28"/>
        </w:rPr>
        <w:t xml:space="preserve"> que se analiza</w:t>
      </w:r>
      <w:r w:rsidR="008A16A8" w:rsidRPr="00643DCF">
        <w:rPr>
          <w:sz w:val="28"/>
          <w:szCs w:val="28"/>
        </w:rPr>
        <w:t>n</w:t>
      </w:r>
      <w:r w:rsidR="00701816" w:rsidRPr="00643DCF">
        <w:rPr>
          <w:sz w:val="28"/>
          <w:szCs w:val="28"/>
        </w:rPr>
        <w:t xml:space="preserve"> el cumplimiento a las órdenes generales impartidas en respuesta a los</w:t>
      </w:r>
      <w:r w:rsidR="00413E65" w:rsidRPr="00643DCF">
        <w:rPr>
          <w:sz w:val="28"/>
          <w:szCs w:val="28"/>
        </w:rPr>
        <w:t xml:space="preserve"> problemas jurídicos</w:t>
      </w:r>
      <w:r w:rsidR="00F65387" w:rsidRPr="00643DCF">
        <w:rPr>
          <w:rStyle w:val="Refdenotaalpie"/>
          <w:sz w:val="28"/>
          <w:szCs w:val="28"/>
        </w:rPr>
        <w:footnoteReference w:id="118"/>
      </w:r>
      <w:r w:rsidR="00413E65" w:rsidRPr="00643DCF">
        <w:rPr>
          <w:sz w:val="28"/>
          <w:szCs w:val="28"/>
        </w:rPr>
        <w:t xml:space="preserve"> y</w:t>
      </w:r>
      <w:r w:rsidR="00AB748F" w:rsidRPr="00643DCF">
        <w:rPr>
          <w:sz w:val="28"/>
          <w:szCs w:val="28"/>
        </w:rPr>
        <w:t xml:space="preserve"> que </w:t>
      </w:r>
      <w:r w:rsidR="00701816" w:rsidRPr="00643DCF">
        <w:rPr>
          <w:sz w:val="28"/>
          <w:szCs w:val="28"/>
        </w:rPr>
        <w:t>conciernen a</w:t>
      </w:r>
      <w:r w:rsidR="008A16A8" w:rsidRPr="00643DCF">
        <w:rPr>
          <w:sz w:val="28"/>
          <w:szCs w:val="28"/>
        </w:rPr>
        <w:t xml:space="preserve"> la labor </w:t>
      </w:r>
      <w:r w:rsidR="00AB748F" w:rsidRPr="00643DCF">
        <w:rPr>
          <w:sz w:val="28"/>
          <w:szCs w:val="28"/>
        </w:rPr>
        <w:t>diari</w:t>
      </w:r>
      <w:r w:rsidR="008A16A8" w:rsidRPr="00643DCF">
        <w:rPr>
          <w:sz w:val="28"/>
          <w:szCs w:val="28"/>
        </w:rPr>
        <w:t>a</w:t>
      </w:r>
      <w:r w:rsidR="00AB748F" w:rsidRPr="00643DCF">
        <w:rPr>
          <w:sz w:val="28"/>
          <w:szCs w:val="28"/>
        </w:rPr>
        <w:t xml:space="preserve"> de los jueces de tutela.</w:t>
      </w:r>
    </w:p>
    <w:p w14:paraId="49315E31" w14:textId="77777777" w:rsidR="00394135" w:rsidRPr="00643DCF" w:rsidRDefault="00394135" w:rsidP="00AB748F">
      <w:pPr>
        <w:tabs>
          <w:tab w:val="left" w:pos="567"/>
        </w:tabs>
        <w:jc w:val="both"/>
        <w:rPr>
          <w:sz w:val="28"/>
          <w:szCs w:val="28"/>
        </w:rPr>
      </w:pPr>
    </w:p>
    <w:p w14:paraId="373FCD51" w14:textId="424917AD" w:rsidR="00394135" w:rsidRPr="00FA159B" w:rsidRDefault="00846C36" w:rsidP="00AB748F">
      <w:pPr>
        <w:tabs>
          <w:tab w:val="left" w:pos="567"/>
        </w:tabs>
        <w:jc w:val="both"/>
        <w:rPr>
          <w:sz w:val="28"/>
          <w:szCs w:val="28"/>
        </w:rPr>
      </w:pPr>
      <w:r w:rsidRPr="00FA159B">
        <w:rPr>
          <w:sz w:val="28"/>
          <w:szCs w:val="28"/>
        </w:rPr>
        <w:t>30</w:t>
      </w:r>
      <w:r w:rsidR="0057282C" w:rsidRPr="00FA159B">
        <w:rPr>
          <w:sz w:val="28"/>
          <w:szCs w:val="28"/>
        </w:rPr>
        <w:t xml:space="preserve">. </w:t>
      </w:r>
      <w:r w:rsidR="007D6305" w:rsidRPr="00FA159B">
        <w:rPr>
          <w:sz w:val="28"/>
          <w:szCs w:val="28"/>
        </w:rPr>
        <w:t xml:space="preserve">Además, </w:t>
      </w:r>
      <w:r w:rsidR="00394135" w:rsidRPr="00FA159B">
        <w:rPr>
          <w:sz w:val="28"/>
          <w:szCs w:val="28"/>
        </w:rPr>
        <w:t xml:space="preserve">como </w:t>
      </w:r>
      <w:r w:rsidR="007D6305" w:rsidRPr="00FA159B">
        <w:rPr>
          <w:sz w:val="28"/>
          <w:szCs w:val="28"/>
        </w:rPr>
        <w:t>se estableció en</w:t>
      </w:r>
      <w:r w:rsidR="00394135" w:rsidRPr="00FA159B">
        <w:rPr>
          <w:sz w:val="28"/>
          <w:szCs w:val="28"/>
        </w:rPr>
        <w:t xml:space="preserve"> el auto 144 de 2011, </w:t>
      </w:r>
      <w:r w:rsidR="00C12807" w:rsidRPr="00FA159B">
        <w:rPr>
          <w:sz w:val="28"/>
          <w:szCs w:val="28"/>
        </w:rPr>
        <w:t xml:space="preserve">se </w:t>
      </w:r>
      <w:r w:rsidR="00394135" w:rsidRPr="00FA159B">
        <w:rPr>
          <w:sz w:val="28"/>
          <w:szCs w:val="28"/>
        </w:rPr>
        <w:t xml:space="preserve">hace imperioso darle publicidad </w:t>
      </w:r>
      <w:r w:rsidR="00A53723" w:rsidRPr="00FA159B">
        <w:rPr>
          <w:sz w:val="28"/>
          <w:szCs w:val="28"/>
        </w:rPr>
        <w:t xml:space="preserve">a la sentencia estructural, con el fin de que no sean </w:t>
      </w:r>
      <w:r w:rsidR="00871DBE" w:rsidRPr="00FA159B">
        <w:rPr>
          <w:sz w:val="28"/>
          <w:szCs w:val="28"/>
        </w:rPr>
        <w:t>solo</w:t>
      </w:r>
      <w:r w:rsidR="00A53723" w:rsidRPr="00FA159B">
        <w:rPr>
          <w:sz w:val="28"/>
          <w:szCs w:val="28"/>
        </w:rPr>
        <w:t xml:space="preserve"> los jueces y empleados de la Rama Judicial quienes se enteren del contenido de la misma, sino que también se extienda </w:t>
      </w:r>
      <w:r w:rsidR="00924090" w:rsidRPr="00FA159B">
        <w:rPr>
          <w:sz w:val="28"/>
          <w:szCs w:val="28"/>
        </w:rPr>
        <w:t xml:space="preserve">a </w:t>
      </w:r>
      <w:r w:rsidR="00695DEF" w:rsidRPr="00FA159B">
        <w:rPr>
          <w:sz w:val="28"/>
          <w:szCs w:val="28"/>
        </w:rPr>
        <w:t xml:space="preserve">la población que </w:t>
      </w:r>
      <w:r w:rsidR="00BA0D64" w:rsidRPr="00FA159B">
        <w:rPr>
          <w:sz w:val="28"/>
          <w:szCs w:val="28"/>
        </w:rPr>
        <w:t xml:space="preserve">tiene </w:t>
      </w:r>
      <w:r w:rsidR="00CE4207" w:rsidRPr="00FA159B">
        <w:rPr>
          <w:sz w:val="28"/>
          <w:szCs w:val="28"/>
        </w:rPr>
        <w:t xml:space="preserve">grandes dificultades para acceder </w:t>
      </w:r>
      <w:r w:rsidR="00176288" w:rsidRPr="00FA159B">
        <w:rPr>
          <w:sz w:val="28"/>
          <w:szCs w:val="28"/>
        </w:rPr>
        <w:t>a los servicios de salud y de esta forma</w:t>
      </w:r>
      <w:r w:rsidR="001F5DFD" w:rsidRPr="00FA159B">
        <w:rPr>
          <w:sz w:val="28"/>
          <w:szCs w:val="28"/>
        </w:rPr>
        <w:t>,</w:t>
      </w:r>
      <w:r w:rsidR="00176288" w:rsidRPr="00FA159B">
        <w:rPr>
          <w:sz w:val="28"/>
          <w:szCs w:val="28"/>
        </w:rPr>
        <w:t xml:space="preserve"> avanzar en la garantía del goce efectivo de este derecho fundamental.</w:t>
      </w:r>
    </w:p>
    <w:p w14:paraId="7F960381" w14:textId="77777777" w:rsidR="00FA0795" w:rsidRPr="00FA159B" w:rsidRDefault="00FA0795" w:rsidP="00AB748F">
      <w:pPr>
        <w:tabs>
          <w:tab w:val="left" w:pos="567"/>
        </w:tabs>
        <w:jc w:val="both"/>
        <w:rPr>
          <w:sz w:val="28"/>
          <w:szCs w:val="28"/>
        </w:rPr>
      </w:pPr>
    </w:p>
    <w:p w14:paraId="46753966" w14:textId="26EBA2F5" w:rsidR="00AB748F" w:rsidRPr="00643DCF" w:rsidRDefault="0057282C" w:rsidP="00AB748F">
      <w:pPr>
        <w:tabs>
          <w:tab w:val="left" w:pos="567"/>
        </w:tabs>
        <w:jc w:val="both"/>
        <w:rPr>
          <w:sz w:val="28"/>
          <w:szCs w:val="28"/>
        </w:rPr>
      </w:pPr>
      <w:r w:rsidRPr="00FA159B">
        <w:rPr>
          <w:sz w:val="28"/>
          <w:szCs w:val="28"/>
        </w:rPr>
        <w:t>3</w:t>
      </w:r>
      <w:r w:rsidR="00846C36" w:rsidRPr="00FA159B">
        <w:rPr>
          <w:sz w:val="28"/>
          <w:szCs w:val="28"/>
        </w:rPr>
        <w:t>1</w:t>
      </w:r>
      <w:r w:rsidR="00AF6CD3" w:rsidRPr="00FA159B">
        <w:rPr>
          <w:sz w:val="28"/>
          <w:szCs w:val="28"/>
        </w:rPr>
        <w:t xml:space="preserve">. </w:t>
      </w:r>
      <w:r w:rsidR="00A0404A" w:rsidRPr="00FA159B">
        <w:rPr>
          <w:sz w:val="28"/>
          <w:szCs w:val="28"/>
        </w:rPr>
        <w:t xml:space="preserve">Así las cosas, </w:t>
      </w:r>
      <w:r w:rsidR="00695DEF" w:rsidRPr="00FA159B">
        <w:rPr>
          <w:sz w:val="28"/>
          <w:szCs w:val="28"/>
        </w:rPr>
        <w:t xml:space="preserve">en </w:t>
      </w:r>
      <w:r w:rsidR="00D020E7" w:rsidRPr="00FA159B">
        <w:rPr>
          <w:sz w:val="28"/>
          <w:szCs w:val="28"/>
        </w:rPr>
        <w:t xml:space="preserve">los pronunciamientos realizados </w:t>
      </w:r>
      <w:r w:rsidR="00695DEF" w:rsidRPr="00FA159B">
        <w:rPr>
          <w:sz w:val="28"/>
          <w:szCs w:val="28"/>
        </w:rPr>
        <w:t xml:space="preserve">por la Sala en desarrollo del seguimiento a la </w:t>
      </w:r>
      <w:r w:rsidR="00D020E7" w:rsidRPr="00FA159B">
        <w:rPr>
          <w:sz w:val="28"/>
          <w:szCs w:val="28"/>
        </w:rPr>
        <w:t xml:space="preserve">orden treinta y dos, se </w:t>
      </w:r>
      <w:r w:rsidR="00176288" w:rsidRPr="00FA159B">
        <w:rPr>
          <w:sz w:val="28"/>
          <w:szCs w:val="28"/>
        </w:rPr>
        <w:t xml:space="preserve">ha </w:t>
      </w:r>
      <w:r w:rsidR="00695DEF" w:rsidRPr="00FA159B">
        <w:rPr>
          <w:sz w:val="28"/>
          <w:szCs w:val="28"/>
        </w:rPr>
        <w:t xml:space="preserve">propendido porque </w:t>
      </w:r>
      <w:r w:rsidR="00AB748F" w:rsidRPr="00FA159B">
        <w:rPr>
          <w:sz w:val="28"/>
          <w:szCs w:val="28"/>
        </w:rPr>
        <w:t xml:space="preserve">los </w:t>
      </w:r>
      <w:r w:rsidR="009669E8" w:rsidRPr="00FA159B">
        <w:rPr>
          <w:sz w:val="28"/>
          <w:szCs w:val="28"/>
        </w:rPr>
        <w:t>f</w:t>
      </w:r>
      <w:r w:rsidR="00261B35" w:rsidRPr="00FA159B">
        <w:rPr>
          <w:sz w:val="28"/>
          <w:szCs w:val="28"/>
        </w:rPr>
        <w:t xml:space="preserve">uncionarios de la Rama Judicial </w:t>
      </w:r>
      <w:r w:rsidR="00D020E7" w:rsidRPr="00FA159B">
        <w:rPr>
          <w:sz w:val="28"/>
          <w:szCs w:val="28"/>
        </w:rPr>
        <w:t xml:space="preserve">y la población en general </w:t>
      </w:r>
      <w:r w:rsidR="00AB748F" w:rsidRPr="00FA159B">
        <w:rPr>
          <w:sz w:val="28"/>
          <w:szCs w:val="28"/>
        </w:rPr>
        <w:t>cono</w:t>
      </w:r>
      <w:r w:rsidR="00695DEF" w:rsidRPr="00FA159B">
        <w:rPr>
          <w:sz w:val="28"/>
          <w:szCs w:val="28"/>
        </w:rPr>
        <w:t xml:space="preserve">zcan </w:t>
      </w:r>
      <w:r w:rsidR="00E66C6F" w:rsidRPr="00FA159B">
        <w:rPr>
          <w:sz w:val="28"/>
          <w:szCs w:val="28"/>
        </w:rPr>
        <w:t xml:space="preserve">el día a día del seguimiento </w:t>
      </w:r>
      <w:r w:rsidR="00F86FEC" w:rsidRPr="00FA159B">
        <w:rPr>
          <w:sz w:val="28"/>
          <w:szCs w:val="28"/>
        </w:rPr>
        <w:t>a la sentencia T-760 de 2008, sus</w:t>
      </w:r>
      <w:r w:rsidR="00F86FEC" w:rsidRPr="00643DCF">
        <w:rPr>
          <w:sz w:val="28"/>
          <w:szCs w:val="28"/>
        </w:rPr>
        <w:t xml:space="preserve"> derechos frente al </w:t>
      </w:r>
      <w:r w:rsidR="00437021" w:rsidRPr="00643DCF">
        <w:rPr>
          <w:sz w:val="28"/>
          <w:szCs w:val="28"/>
        </w:rPr>
        <w:t xml:space="preserve">sistema de salud, </w:t>
      </w:r>
      <w:r w:rsidR="00E66C6F" w:rsidRPr="00643DCF">
        <w:rPr>
          <w:sz w:val="28"/>
          <w:szCs w:val="28"/>
        </w:rPr>
        <w:t xml:space="preserve">así como </w:t>
      </w:r>
      <w:r w:rsidR="00AD0AB0" w:rsidRPr="00643DCF">
        <w:rPr>
          <w:sz w:val="28"/>
          <w:szCs w:val="28"/>
        </w:rPr>
        <w:t xml:space="preserve">los cambios normativos y </w:t>
      </w:r>
      <w:r w:rsidR="00AB748F" w:rsidRPr="00643DCF">
        <w:rPr>
          <w:sz w:val="28"/>
          <w:szCs w:val="28"/>
        </w:rPr>
        <w:t xml:space="preserve">la dinámica generada </w:t>
      </w:r>
      <w:r w:rsidR="00AD0AB0" w:rsidRPr="00643DCF">
        <w:rPr>
          <w:sz w:val="28"/>
          <w:szCs w:val="28"/>
        </w:rPr>
        <w:t xml:space="preserve">por </w:t>
      </w:r>
      <w:r w:rsidR="00E66C6F" w:rsidRPr="00643DCF">
        <w:rPr>
          <w:sz w:val="28"/>
          <w:szCs w:val="28"/>
        </w:rPr>
        <w:t>la implementación</w:t>
      </w:r>
      <w:r w:rsidR="00F86FEC" w:rsidRPr="00643DCF">
        <w:rPr>
          <w:sz w:val="28"/>
          <w:szCs w:val="28"/>
        </w:rPr>
        <w:t xml:space="preserve"> de las medidas con ocasión de los mandatos generales de la providencia objeto de seguimiento</w:t>
      </w:r>
      <w:r w:rsidR="00E66C6F" w:rsidRPr="00643DCF">
        <w:rPr>
          <w:sz w:val="28"/>
          <w:szCs w:val="28"/>
        </w:rPr>
        <w:t>, que en particular a hoy exigen la verificación</w:t>
      </w:r>
      <w:r w:rsidR="00F86FEC" w:rsidRPr="00643DCF">
        <w:rPr>
          <w:sz w:val="28"/>
          <w:szCs w:val="28"/>
        </w:rPr>
        <w:t xml:space="preserve"> del acatamiento </w:t>
      </w:r>
      <w:r w:rsidR="00E66C6F" w:rsidRPr="00643DCF">
        <w:rPr>
          <w:sz w:val="28"/>
          <w:szCs w:val="28"/>
        </w:rPr>
        <w:t xml:space="preserve">de </w:t>
      </w:r>
      <w:r w:rsidR="00413E65" w:rsidRPr="00643DCF">
        <w:rPr>
          <w:sz w:val="28"/>
          <w:szCs w:val="28"/>
        </w:rPr>
        <w:t xml:space="preserve">los autos 144 de 2011 y el </w:t>
      </w:r>
      <w:r w:rsidR="00AD0AB0" w:rsidRPr="00643DCF">
        <w:rPr>
          <w:sz w:val="28"/>
          <w:szCs w:val="28"/>
        </w:rPr>
        <w:t>154 de 2014.</w:t>
      </w:r>
      <w:r w:rsidR="0094506C" w:rsidRPr="00643DCF">
        <w:rPr>
          <w:rStyle w:val="Refdenotaalpie"/>
          <w:sz w:val="28"/>
          <w:szCs w:val="28"/>
        </w:rPr>
        <w:footnoteReference w:id="119"/>
      </w:r>
    </w:p>
    <w:p w14:paraId="1A27EA7B" w14:textId="77777777" w:rsidR="00AB748F" w:rsidRPr="00643DCF" w:rsidRDefault="00AB748F" w:rsidP="00AB748F">
      <w:pPr>
        <w:tabs>
          <w:tab w:val="left" w:pos="567"/>
        </w:tabs>
        <w:jc w:val="both"/>
        <w:rPr>
          <w:sz w:val="28"/>
          <w:szCs w:val="28"/>
        </w:rPr>
      </w:pPr>
    </w:p>
    <w:p w14:paraId="11A5B036" w14:textId="511B4ED5" w:rsidR="00527FCB" w:rsidRPr="00643DCF" w:rsidRDefault="0057282C" w:rsidP="00AF6CD3">
      <w:pPr>
        <w:tabs>
          <w:tab w:val="left" w:pos="567"/>
          <w:tab w:val="left" w:pos="709"/>
          <w:tab w:val="left" w:pos="993"/>
        </w:tabs>
        <w:jc w:val="both"/>
        <w:rPr>
          <w:sz w:val="28"/>
          <w:szCs w:val="28"/>
        </w:rPr>
      </w:pPr>
      <w:r w:rsidRPr="00643DCF">
        <w:rPr>
          <w:sz w:val="28"/>
          <w:szCs w:val="28"/>
        </w:rPr>
        <w:t>3</w:t>
      </w:r>
      <w:r w:rsidR="00846C36" w:rsidRPr="00643DCF">
        <w:rPr>
          <w:sz w:val="28"/>
          <w:szCs w:val="28"/>
        </w:rPr>
        <w:t>2</w:t>
      </w:r>
      <w:r w:rsidR="00AF6CD3" w:rsidRPr="00643DCF">
        <w:rPr>
          <w:sz w:val="28"/>
          <w:szCs w:val="28"/>
        </w:rPr>
        <w:t xml:space="preserve">. </w:t>
      </w:r>
      <w:r w:rsidR="00911C41" w:rsidRPr="00643DCF">
        <w:rPr>
          <w:sz w:val="28"/>
          <w:szCs w:val="28"/>
        </w:rPr>
        <w:t>Con base en estas precisiones</w:t>
      </w:r>
      <w:r w:rsidR="00726761" w:rsidRPr="00643DCF">
        <w:rPr>
          <w:sz w:val="28"/>
          <w:szCs w:val="28"/>
        </w:rPr>
        <w:t xml:space="preserve">, la Sala </w:t>
      </w:r>
      <w:r w:rsidR="004C0101" w:rsidRPr="00643DCF">
        <w:rPr>
          <w:sz w:val="28"/>
          <w:szCs w:val="28"/>
        </w:rPr>
        <w:t xml:space="preserve">Especial </w:t>
      </w:r>
      <w:r w:rsidR="00726761" w:rsidRPr="00643DCF">
        <w:rPr>
          <w:sz w:val="28"/>
          <w:szCs w:val="28"/>
        </w:rPr>
        <w:t>procede</w:t>
      </w:r>
      <w:r w:rsidR="00AB4AF3" w:rsidRPr="00643DCF">
        <w:rPr>
          <w:sz w:val="28"/>
          <w:szCs w:val="28"/>
        </w:rPr>
        <w:t xml:space="preserve"> a </w:t>
      </w:r>
      <w:r w:rsidR="00563F02" w:rsidRPr="00643DCF">
        <w:rPr>
          <w:sz w:val="28"/>
          <w:szCs w:val="28"/>
        </w:rPr>
        <w:t xml:space="preserve">analizar </w:t>
      </w:r>
      <w:r w:rsidR="00CE2337" w:rsidRPr="00643DCF">
        <w:rPr>
          <w:sz w:val="28"/>
          <w:szCs w:val="28"/>
        </w:rPr>
        <w:t xml:space="preserve">las diferentes actuaciones adelantadas por el Consejo Superior de la Judicatura, para determinar el </w:t>
      </w:r>
      <w:r w:rsidR="00563F02" w:rsidRPr="00643DCF">
        <w:rPr>
          <w:sz w:val="28"/>
          <w:szCs w:val="28"/>
        </w:rPr>
        <w:t>nivel de cumplimiento</w:t>
      </w:r>
      <w:r w:rsidR="00E66C6F" w:rsidRPr="00643DCF">
        <w:rPr>
          <w:sz w:val="28"/>
          <w:szCs w:val="28"/>
        </w:rPr>
        <w:t xml:space="preserve"> observado</w:t>
      </w:r>
      <w:r w:rsidR="00563F02" w:rsidRPr="00643DCF">
        <w:rPr>
          <w:sz w:val="28"/>
          <w:szCs w:val="28"/>
        </w:rPr>
        <w:t xml:space="preserve"> de</w:t>
      </w:r>
      <w:r w:rsidR="009669E8" w:rsidRPr="00643DCF">
        <w:rPr>
          <w:sz w:val="28"/>
          <w:szCs w:val="28"/>
        </w:rPr>
        <w:t>l mandato</w:t>
      </w:r>
      <w:r w:rsidR="00994F23" w:rsidRPr="00643DCF">
        <w:rPr>
          <w:sz w:val="28"/>
          <w:szCs w:val="28"/>
        </w:rPr>
        <w:t xml:space="preserve"> trigésimo segundo</w:t>
      </w:r>
      <w:r w:rsidR="00524D67" w:rsidRPr="00643DCF">
        <w:rPr>
          <w:sz w:val="28"/>
          <w:szCs w:val="28"/>
        </w:rPr>
        <w:t>.</w:t>
      </w:r>
    </w:p>
    <w:p w14:paraId="27170DB4" w14:textId="77777777" w:rsidR="00564E61" w:rsidRPr="00643DCF" w:rsidRDefault="00564E61" w:rsidP="00FB31C7">
      <w:pPr>
        <w:tabs>
          <w:tab w:val="left" w:pos="567"/>
          <w:tab w:val="left" w:pos="709"/>
          <w:tab w:val="left" w:pos="993"/>
        </w:tabs>
        <w:jc w:val="both"/>
        <w:rPr>
          <w:sz w:val="28"/>
          <w:szCs w:val="28"/>
        </w:rPr>
      </w:pPr>
    </w:p>
    <w:p w14:paraId="41D5A091" w14:textId="2228ED54" w:rsidR="00413E65" w:rsidRPr="00643DCF" w:rsidRDefault="0057282C" w:rsidP="00413E65">
      <w:pPr>
        <w:pStyle w:val="Prrafodelista"/>
        <w:widowControl w:val="0"/>
        <w:tabs>
          <w:tab w:val="left" w:pos="284"/>
        </w:tabs>
        <w:autoSpaceDE w:val="0"/>
        <w:autoSpaceDN w:val="0"/>
        <w:adjustRightInd w:val="0"/>
        <w:ind w:left="0"/>
        <w:jc w:val="both"/>
        <w:rPr>
          <w:sz w:val="28"/>
          <w:szCs w:val="28"/>
        </w:rPr>
      </w:pPr>
      <w:r w:rsidRPr="00643DCF">
        <w:rPr>
          <w:sz w:val="28"/>
          <w:szCs w:val="28"/>
        </w:rPr>
        <w:t>3</w:t>
      </w:r>
      <w:r w:rsidR="00846C36" w:rsidRPr="00643DCF">
        <w:rPr>
          <w:sz w:val="28"/>
          <w:szCs w:val="28"/>
        </w:rPr>
        <w:t>3</w:t>
      </w:r>
      <w:r w:rsidR="00AF6CD3" w:rsidRPr="00643DCF">
        <w:rPr>
          <w:sz w:val="28"/>
          <w:szCs w:val="28"/>
        </w:rPr>
        <w:t xml:space="preserve">. </w:t>
      </w:r>
      <w:r w:rsidR="00413E65" w:rsidRPr="00643DCF">
        <w:rPr>
          <w:sz w:val="28"/>
          <w:szCs w:val="28"/>
        </w:rPr>
        <w:t xml:space="preserve">Como primera medida, verificará </w:t>
      </w:r>
      <w:r w:rsidR="00E66C6F" w:rsidRPr="00643DCF">
        <w:rPr>
          <w:sz w:val="28"/>
          <w:szCs w:val="28"/>
        </w:rPr>
        <w:t>el acatamiento</w:t>
      </w:r>
      <w:r w:rsidR="00413E65" w:rsidRPr="00643DCF">
        <w:rPr>
          <w:sz w:val="28"/>
          <w:szCs w:val="28"/>
        </w:rPr>
        <w:t xml:space="preserve"> de los términos establecidos en el </w:t>
      </w:r>
      <w:r w:rsidR="00821D52" w:rsidRPr="00643DCF">
        <w:rPr>
          <w:sz w:val="28"/>
          <w:szCs w:val="28"/>
        </w:rPr>
        <w:t>a</w:t>
      </w:r>
      <w:r w:rsidR="00413E65" w:rsidRPr="00643DCF">
        <w:rPr>
          <w:sz w:val="28"/>
          <w:szCs w:val="28"/>
        </w:rPr>
        <w:t xml:space="preserve">uto 144 de 2011, </w:t>
      </w:r>
      <w:r w:rsidR="00C354E8" w:rsidRPr="00643DCF">
        <w:rPr>
          <w:sz w:val="28"/>
          <w:szCs w:val="28"/>
        </w:rPr>
        <w:t>que</w:t>
      </w:r>
      <w:r w:rsidR="00413E65" w:rsidRPr="00643DCF">
        <w:rPr>
          <w:sz w:val="28"/>
          <w:szCs w:val="28"/>
        </w:rPr>
        <w:t xml:space="preserve"> declaró </w:t>
      </w:r>
      <w:r w:rsidR="00C354E8" w:rsidRPr="00643DCF">
        <w:rPr>
          <w:sz w:val="28"/>
          <w:szCs w:val="28"/>
        </w:rPr>
        <w:t>un nivel</w:t>
      </w:r>
      <w:r w:rsidR="00413E65" w:rsidRPr="00643DCF">
        <w:rPr>
          <w:sz w:val="28"/>
          <w:szCs w:val="28"/>
        </w:rPr>
        <w:t xml:space="preserve"> bajo en las labores adelantadas por el Consejo </w:t>
      </w:r>
      <w:r w:rsidR="00C354E8" w:rsidRPr="00643DCF">
        <w:rPr>
          <w:sz w:val="28"/>
          <w:szCs w:val="28"/>
        </w:rPr>
        <w:t xml:space="preserve">y </w:t>
      </w:r>
      <w:r w:rsidR="00413E65" w:rsidRPr="00643DCF">
        <w:rPr>
          <w:sz w:val="28"/>
          <w:szCs w:val="28"/>
        </w:rPr>
        <w:t>le ordenó diseñar un nuevo programa y cronograma a partir de agosto de 201</w:t>
      </w:r>
      <w:r w:rsidR="00C354E8" w:rsidRPr="00643DCF">
        <w:rPr>
          <w:sz w:val="28"/>
          <w:szCs w:val="28"/>
        </w:rPr>
        <w:t>1, el cual debería</w:t>
      </w:r>
      <w:r w:rsidR="00413E65" w:rsidRPr="00643DCF">
        <w:rPr>
          <w:sz w:val="28"/>
          <w:szCs w:val="28"/>
        </w:rPr>
        <w:t xml:space="preserve"> presentar</w:t>
      </w:r>
      <w:r w:rsidR="00C354E8" w:rsidRPr="00643DCF">
        <w:rPr>
          <w:sz w:val="28"/>
          <w:szCs w:val="28"/>
        </w:rPr>
        <w:t>se</w:t>
      </w:r>
      <w:r w:rsidR="00413E65" w:rsidRPr="00643DCF">
        <w:rPr>
          <w:sz w:val="28"/>
          <w:szCs w:val="28"/>
        </w:rPr>
        <w:t xml:space="preserve"> en el término de 30 días contados a partir de la fecha de su comunicación</w:t>
      </w:r>
      <w:r w:rsidR="00413E65" w:rsidRPr="00643DCF">
        <w:rPr>
          <w:rStyle w:val="Refdenotaalpie"/>
          <w:sz w:val="28"/>
          <w:szCs w:val="28"/>
        </w:rPr>
        <w:footnoteReference w:id="120"/>
      </w:r>
      <w:r w:rsidR="00413E65" w:rsidRPr="00643DCF">
        <w:rPr>
          <w:sz w:val="28"/>
          <w:szCs w:val="28"/>
        </w:rPr>
        <w:t xml:space="preserve">. </w:t>
      </w:r>
    </w:p>
    <w:p w14:paraId="758EC764" w14:textId="77777777" w:rsidR="00413E65" w:rsidRPr="00643DCF" w:rsidRDefault="00413E65" w:rsidP="006F3AE9">
      <w:pPr>
        <w:tabs>
          <w:tab w:val="left" w:pos="567"/>
        </w:tabs>
        <w:jc w:val="both"/>
        <w:rPr>
          <w:sz w:val="28"/>
          <w:szCs w:val="28"/>
        </w:rPr>
      </w:pPr>
    </w:p>
    <w:p w14:paraId="3C00ACA5" w14:textId="0692B039" w:rsidR="006F3AE9" w:rsidRPr="00643DCF" w:rsidRDefault="00413E65" w:rsidP="00FB31C7">
      <w:pPr>
        <w:tabs>
          <w:tab w:val="left" w:pos="567"/>
        </w:tabs>
        <w:jc w:val="both"/>
        <w:rPr>
          <w:sz w:val="28"/>
          <w:szCs w:val="28"/>
        </w:rPr>
      </w:pPr>
      <w:r w:rsidRPr="00643DCF">
        <w:rPr>
          <w:sz w:val="28"/>
          <w:szCs w:val="28"/>
        </w:rPr>
        <w:t>Posteriormente</w:t>
      </w:r>
      <w:r w:rsidR="00F43F4B" w:rsidRPr="00643DCF">
        <w:rPr>
          <w:sz w:val="28"/>
          <w:szCs w:val="28"/>
        </w:rPr>
        <w:t xml:space="preserve">, </w:t>
      </w:r>
      <w:r w:rsidR="00414DF8" w:rsidRPr="00643DCF">
        <w:rPr>
          <w:sz w:val="28"/>
          <w:szCs w:val="28"/>
        </w:rPr>
        <w:t xml:space="preserve">en el </w:t>
      </w:r>
      <w:r w:rsidR="00821D52" w:rsidRPr="00643DCF">
        <w:rPr>
          <w:sz w:val="28"/>
          <w:szCs w:val="28"/>
        </w:rPr>
        <w:t>a</w:t>
      </w:r>
      <w:r w:rsidR="006F3AE9" w:rsidRPr="00643DCF">
        <w:rPr>
          <w:sz w:val="28"/>
          <w:szCs w:val="28"/>
        </w:rPr>
        <w:t xml:space="preserve">uto 154 de 2014, </w:t>
      </w:r>
      <w:r w:rsidR="00324DE7" w:rsidRPr="00643DCF">
        <w:rPr>
          <w:sz w:val="28"/>
          <w:szCs w:val="28"/>
        </w:rPr>
        <w:t>este Tribunal</w:t>
      </w:r>
      <w:r w:rsidR="006F3AE9" w:rsidRPr="00643DCF">
        <w:rPr>
          <w:sz w:val="28"/>
          <w:szCs w:val="28"/>
        </w:rPr>
        <w:t xml:space="preserve"> impartió una serie de medidas preventivas</w:t>
      </w:r>
      <w:r w:rsidR="005B617E" w:rsidRPr="00643DCF">
        <w:rPr>
          <w:rStyle w:val="Refdenotaalpie"/>
          <w:sz w:val="28"/>
          <w:szCs w:val="28"/>
        </w:rPr>
        <w:footnoteReference w:id="121"/>
      </w:r>
      <w:r w:rsidR="00F43F4B" w:rsidRPr="00643DCF">
        <w:rPr>
          <w:sz w:val="28"/>
          <w:szCs w:val="28"/>
        </w:rPr>
        <w:t xml:space="preserve"> </w:t>
      </w:r>
      <w:r w:rsidR="006F3AE9" w:rsidRPr="00643DCF">
        <w:rPr>
          <w:sz w:val="28"/>
          <w:szCs w:val="28"/>
        </w:rPr>
        <w:t xml:space="preserve">encaminadas a obtener </w:t>
      </w:r>
      <w:r w:rsidR="00F43F4B" w:rsidRPr="00643DCF">
        <w:rPr>
          <w:sz w:val="28"/>
          <w:szCs w:val="28"/>
        </w:rPr>
        <w:t>con mayor oportunidad el cumplimiento de la orden general</w:t>
      </w:r>
      <w:r w:rsidR="005D51CE" w:rsidRPr="00643DCF">
        <w:rPr>
          <w:sz w:val="28"/>
          <w:szCs w:val="28"/>
        </w:rPr>
        <w:t>, esto es,</w:t>
      </w:r>
      <w:r w:rsidR="006F3AE9" w:rsidRPr="00643DCF">
        <w:rPr>
          <w:sz w:val="28"/>
          <w:szCs w:val="28"/>
        </w:rPr>
        <w:t xml:space="preserve"> ampliar la difusión de la sentencia</w:t>
      </w:r>
      <w:r w:rsidR="005D51CE" w:rsidRPr="00643DCF">
        <w:rPr>
          <w:sz w:val="28"/>
          <w:szCs w:val="28"/>
        </w:rPr>
        <w:t xml:space="preserve"> estructural</w:t>
      </w:r>
      <w:r w:rsidR="006F3AE9" w:rsidRPr="00643DCF">
        <w:rPr>
          <w:sz w:val="28"/>
          <w:szCs w:val="28"/>
        </w:rPr>
        <w:t>,</w:t>
      </w:r>
      <w:r w:rsidR="00F43F4B" w:rsidRPr="00643DCF">
        <w:rPr>
          <w:sz w:val="28"/>
          <w:szCs w:val="28"/>
        </w:rPr>
        <w:t xml:space="preserve"> </w:t>
      </w:r>
      <w:r w:rsidR="005B617E" w:rsidRPr="00643DCF">
        <w:rPr>
          <w:sz w:val="28"/>
          <w:szCs w:val="28"/>
        </w:rPr>
        <w:t>divulg</w:t>
      </w:r>
      <w:r w:rsidR="00F43F4B" w:rsidRPr="00643DCF">
        <w:rPr>
          <w:sz w:val="28"/>
          <w:szCs w:val="28"/>
        </w:rPr>
        <w:t>ar lo</w:t>
      </w:r>
      <w:r w:rsidR="006F3AE9" w:rsidRPr="00643DCF">
        <w:rPr>
          <w:sz w:val="28"/>
          <w:szCs w:val="28"/>
        </w:rPr>
        <w:t xml:space="preserve">s autos genéricos y específicos proferidos por la Sala Especial, </w:t>
      </w:r>
      <w:r w:rsidR="005D51CE" w:rsidRPr="00643DCF">
        <w:rPr>
          <w:sz w:val="28"/>
          <w:szCs w:val="28"/>
        </w:rPr>
        <w:t>publica</w:t>
      </w:r>
      <w:r w:rsidR="00F43F4B" w:rsidRPr="00643DCF">
        <w:rPr>
          <w:sz w:val="28"/>
          <w:szCs w:val="28"/>
        </w:rPr>
        <w:t xml:space="preserve">r </w:t>
      </w:r>
      <w:r w:rsidR="005D51CE" w:rsidRPr="00643DCF">
        <w:rPr>
          <w:sz w:val="28"/>
          <w:szCs w:val="28"/>
        </w:rPr>
        <w:t>la</w:t>
      </w:r>
      <w:r w:rsidR="006F3AE9" w:rsidRPr="00643DCF">
        <w:rPr>
          <w:sz w:val="28"/>
          <w:szCs w:val="28"/>
        </w:rPr>
        <w:t xml:space="preserve"> jurisprudencia y la legislación relacionada con el derecho a la salud</w:t>
      </w:r>
      <w:r w:rsidR="00F43F4B" w:rsidRPr="00643DCF">
        <w:rPr>
          <w:sz w:val="28"/>
          <w:szCs w:val="28"/>
        </w:rPr>
        <w:t>, así como</w:t>
      </w:r>
      <w:r w:rsidR="005B617E" w:rsidRPr="00643DCF">
        <w:rPr>
          <w:sz w:val="28"/>
          <w:szCs w:val="28"/>
        </w:rPr>
        <w:t xml:space="preserve"> incluir</w:t>
      </w:r>
      <w:r w:rsidR="006F3AE9" w:rsidRPr="00643DCF">
        <w:rPr>
          <w:sz w:val="28"/>
          <w:szCs w:val="28"/>
        </w:rPr>
        <w:t xml:space="preserve"> una videoteca </w:t>
      </w:r>
      <w:r w:rsidR="005B617E" w:rsidRPr="00643DCF">
        <w:rPr>
          <w:sz w:val="28"/>
          <w:szCs w:val="28"/>
        </w:rPr>
        <w:t xml:space="preserve">en el sitio web de la </w:t>
      </w:r>
      <w:r w:rsidR="005D51CE" w:rsidRPr="00643DCF">
        <w:rPr>
          <w:sz w:val="28"/>
          <w:szCs w:val="28"/>
        </w:rPr>
        <w:t>R</w:t>
      </w:r>
      <w:r w:rsidR="005B617E" w:rsidRPr="00643DCF">
        <w:rPr>
          <w:sz w:val="28"/>
          <w:szCs w:val="28"/>
        </w:rPr>
        <w:t xml:space="preserve">ama </w:t>
      </w:r>
      <w:r w:rsidR="005D51CE" w:rsidRPr="00643DCF">
        <w:rPr>
          <w:sz w:val="28"/>
          <w:szCs w:val="28"/>
        </w:rPr>
        <w:t>J</w:t>
      </w:r>
      <w:r w:rsidR="005B617E" w:rsidRPr="00643DCF">
        <w:rPr>
          <w:sz w:val="28"/>
          <w:szCs w:val="28"/>
        </w:rPr>
        <w:t xml:space="preserve">udicial </w:t>
      </w:r>
      <w:r w:rsidR="00367C75" w:rsidRPr="00643DCF">
        <w:rPr>
          <w:sz w:val="28"/>
          <w:szCs w:val="28"/>
        </w:rPr>
        <w:t>con</w:t>
      </w:r>
      <w:r w:rsidR="006F3AE9" w:rsidRPr="00643DCF">
        <w:rPr>
          <w:sz w:val="28"/>
          <w:szCs w:val="28"/>
        </w:rPr>
        <w:t xml:space="preserve"> el material fílmico relevante y</w:t>
      </w:r>
      <w:r w:rsidR="005B617E" w:rsidRPr="00643DCF">
        <w:rPr>
          <w:sz w:val="28"/>
          <w:szCs w:val="28"/>
        </w:rPr>
        <w:t xml:space="preserve"> </w:t>
      </w:r>
      <w:r w:rsidR="006F3AE9" w:rsidRPr="00643DCF">
        <w:rPr>
          <w:sz w:val="28"/>
          <w:szCs w:val="28"/>
        </w:rPr>
        <w:t>la distribución del impreso.</w:t>
      </w:r>
    </w:p>
    <w:p w14:paraId="00EC0020" w14:textId="77777777" w:rsidR="006F3AE9" w:rsidRPr="00643DCF" w:rsidRDefault="006F3AE9" w:rsidP="006F3AE9">
      <w:pPr>
        <w:tabs>
          <w:tab w:val="left" w:pos="567"/>
        </w:tabs>
        <w:jc w:val="both"/>
        <w:rPr>
          <w:sz w:val="28"/>
          <w:szCs w:val="28"/>
        </w:rPr>
      </w:pPr>
    </w:p>
    <w:p w14:paraId="78CD785B" w14:textId="36089668" w:rsidR="006F3AE9" w:rsidRPr="00643DCF" w:rsidRDefault="00AF6CD3" w:rsidP="006F3AE9">
      <w:pPr>
        <w:tabs>
          <w:tab w:val="left" w:pos="567"/>
        </w:tabs>
        <w:jc w:val="both"/>
        <w:rPr>
          <w:sz w:val="28"/>
          <w:szCs w:val="28"/>
        </w:rPr>
      </w:pPr>
      <w:r w:rsidRPr="00643DCF">
        <w:rPr>
          <w:sz w:val="28"/>
          <w:szCs w:val="28"/>
        </w:rPr>
        <w:t>3</w:t>
      </w:r>
      <w:r w:rsidR="00846C36" w:rsidRPr="00643DCF">
        <w:rPr>
          <w:sz w:val="28"/>
          <w:szCs w:val="28"/>
        </w:rPr>
        <w:t>4</w:t>
      </w:r>
      <w:r w:rsidRPr="00643DCF">
        <w:rPr>
          <w:sz w:val="28"/>
          <w:szCs w:val="28"/>
        </w:rPr>
        <w:t xml:space="preserve">. </w:t>
      </w:r>
      <w:r w:rsidR="00F43F4B" w:rsidRPr="00643DCF">
        <w:rPr>
          <w:sz w:val="28"/>
          <w:szCs w:val="28"/>
        </w:rPr>
        <w:t>La</w:t>
      </w:r>
      <w:r w:rsidR="005D51CE" w:rsidRPr="00643DCF">
        <w:rPr>
          <w:sz w:val="28"/>
          <w:szCs w:val="28"/>
        </w:rPr>
        <w:t xml:space="preserve"> Sala</w:t>
      </w:r>
      <w:r w:rsidR="00F43F4B" w:rsidRPr="00643DCF">
        <w:rPr>
          <w:sz w:val="28"/>
          <w:szCs w:val="28"/>
        </w:rPr>
        <w:t xml:space="preserve"> Especial</w:t>
      </w:r>
      <w:r w:rsidR="005D51CE" w:rsidRPr="00643DCF">
        <w:rPr>
          <w:sz w:val="28"/>
          <w:szCs w:val="28"/>
        </w:rPr>
        <w:t xml:space="preserve"> analizará como parámetro</w:t>
      </w:r>
      <w:r w:rsidR="00175BA0" w:rsidRPr="00643DCF">
        <w:rPr>
          <w:sz w:val="28"/>
          <w:szCs w:val="28"/>
        </w:rPr>
        <w:t>s</w:t>
      </w:r>
      <w:r w:rsidR="005D51CE" w:rsidRPr="00643DCF">
        <w:rPr>
          <w:sz w:val="28"/>
          <w:szCs w:val="28"/>
        </w:rPr>
        <w:t xml:space="preserve"> de valoración integral de la orden </w:t>
      </w:r>
      <w:r w:rsidR="00BE225C" w:rsidRPr="00643DCF">
        <w:rPr>
          <w:sz w:val="28"/>
          <w:szCs w:val="28"/>
        </w:rPr>
        <w:t>trigésima</w:t>
      </w:r>
      <w:r w:rsidR="005D51CE" w:rsidRPr="00643DCF">
        <w:rPr>
          <w:sz w:val="28"/>
          <w:szCs w:val="28"/>
        </w:rPr>
        <w:t xml:space="preserve"> segunda</w:t>
      </w:r>
      <w:r w:rsidR="005D51CE" w:rsidRPr="00643DCF" w:rsidDel="00367C75">
        <w:rPr>
          <w:sz w:val="28"/>
          <w:szCs w:val="28"/>
        </w:rPr>
        <w:t xml:space="preserve"> </w:t>
      </w:r>
      <w:r w:rsidR="00524D67" w:rsidRPr="00643DCF">
        <w:rPr>
          <w:sz w:val="28"/>
          <w:szCs w:val="28"/>
        </w:rPr>
        <w:t>el alcance establecid</w:t>
      </w:r>
      <w:r w:rsidR="00175BA0" w:rsidRPr="00643DCF">
        <w:rPr>
          <w:sz w:val="28"/>
          <w:szCs w:val="28"/>
        </w:rPr>
        <w:t>o</w:t>
      </w:r>
      <w:r w:rsidR="00F43F4B" w:rsidRPr="00643DCF">
        <w:rPr>
          <w:sz w:val="28"/>
          <w:szCs w:val="28"/>
        </w:rPr>
        <w:t xml:space="preserve"> </w:t>
      </w:r>
      <w:r w:rsidR="00BB2AF2" w:rsidRPr="00643DCF">
        <w:rPr>
          <w:sz w:val="28"/>
          <w:szCs w:val="28"/>
        </w:rPr>
        <w:t xml:space="preserve">en </w:t>
      </w:r>
      <w:r w:rsidRPr="00643DCF">
        <w:rPr>
          <w:sz w:val="28"/>
          <w:szCs w:val="28"/>
        </w:rPr>
        <w:t xml:space="preserve">el mandato </w:t>
      </w:r>
      <w:r w:rsidR="00F43F4B" w:rsidRPr="00643DCF">
        <w:rPr>
          <w:sz w:val="28"/>
          <w:szCs w:val="28"/>
        </w:rPr>
        <w:t>general</w:t>
      </w:r>
      <w:r w:rsidR="00524D67" w:rsidRPr="00643DCF">
        <w:rPr>
          <w:sz w:val="28"/>
          <w:szCs w:val="28"/>
        </w:rPr>
        <w:t xml:space="preserve"> </w:t>
      </w:r>
      <w:r w:rsidR="002D53A2" w:rsidRPr="00643DCF">
        <w:rPr>
          <w:sz w:val="28"/>
          <w:szCs w:val="28"/>
        </w:rPr>
        <w:t xml:space="preserve">y </w:t>
      </w:r>
      <w:r w:rsidR="00BB2AF2" w:rsidRPr="00643DCF">
        <w:rPr>
          <w:sz w:val="28"/>
          <w:szCs w:val="28"/>
        </w:rPr>
        <w:t xml:space="preserve">en </w:t>
      </w:r>
      <w:r w:rsidR="002D53A2" w:rsidRPr="00643DCF">
        <w:rPr>
          <w:sz w:val="28"/>
          <w:szCs w:val="28"/>
        </w:rPr>
        <w:t>el auto del 13 de julio 2009</w:t>
      </w:r>
      <w:r w:rsidR="00524D67" w:rsidRPr="00643DCF">
        <w:rPr>
          <w:sz w:val="28"/>
          <w:szCs w:val="28"/>
        </w:rPr>
        <w:t xml:space="preserve">, a través de </w:t>
      </w:r>
      <w:r w:rsidR="005D51CE" w:rsidRPr="00643DCF">
        <w:rPr>
          <w:sz w:val="28"/>
          <w:szCs w:val="28"/>
        </w:rPr>
        <w:t xml:space="preserve">la implementación de las medidas decretadas en </w:t>
      </w:r>
      <w:r w:rsidR="00F43F4B" w:rsidRPr="00643DCF">
        <w:rPr>
          <w:sz w:val="28"/>
          <w:szCs w:val="28"/>
        </w:rPr>
        <w:t xml:space="preserve">los autos </w:t>
      </w:r>
      <w:r w:rsidR="002D53A2" w:rsidRPr="00643DCF">
        <w:rPr>
          <w:sz w:val="28"/>
          <w:szCs w:val="28"/>
        </w:rPr>
        <w:t>144 de 2011 y</w:t>
      </w:r>
      <w:r w:rsidR="006E6C6D" w:rsidRPr="00643DCF">
        <w:rPr>
          <w:sz w:val="28"/>
          <w:szCs w:val="28"/>
        </w:rPr>
        <w:t xml:space="preserve"> </w:t>
      </w:r>
      <w:r w:rsidR="006F3AE9" w:rsidRPr="00643DCF">
        <w:rPr>
          <w:sz w:val="28"/>
          <w:szCs w:val="28"/>
        </w:rPr>
        <w:t xml:space="preserve">154 de 2014. Por tanto, la </w:t>
      </w:r>
      <w:r w:rsidRPr="00643DCF">
        <w:rPr>
          <w:sz w:val="28"/>
          <w:szCs w:val="28"/>
        </w:rPr>
        <w:t xml:space="preserve">calificación </w:t>
      </w:r>
      <w:r w:rsidR="006F3AE9" w:rsidRPr="00643DCF">
        <w:rPr>
          <w:sz w:val="28"/>
          <w:szCs w:val="28"/>
        </w:rPr>
        <w:t xml:space="preserve">se basará en los siguientes criterios: </w:t>
      </w:r>
    </w:p>
    <w:p w14:paraId="7D8F25C1" w14:textId="77777777" w:rsidR="006F3AE9" w:rsidRPr="00643DCF" w:rsidRDefault="006F3AE9" w:rsidP="0019073A">
      <w:pPr>
        <w:tabs>
          <w:tab w:val="left" w:pos="709"/>
          <w:tab w:val="left" w:pos="1276"/>
        </w:tabs>
        <w:ind w:left="709" w:hanging="284"/>
        <w:jc w:val="both"/>
        <w:rPr>
          <w:sz w:val="28"/>
          <w:szCs w:val="28"/>
        </w:rPr>
      </w:pPr>
    </w:p>
    <w:p w14:paraId="06BE8E46" w14:textId="3CD31906" w:rsidR="00527FCB" w:rsidRPr="00643DCF" w:rsidRDefault="00527FCB" w:rsidP="00C36DD0">
      <w:pPr>
        <w:pStyle w:val="Prrafodelista"/>
        <w:numPr>
          <w:ilvl w:val="0"/>
          <w:numId w:val="11"/>
        </w:numPr>
        <w:tabs>
          <w:tab w:val="left" w:pos="426"/>
          <w:tab w:val="left" w:pos="1560"/>
        </w:tabs>
        <w:ind w:left="0" w:hanging="1"/>
        <w:jc w:val="both"/>
        <w:rPr>
          <w:sz w:val="28"/>
          <w:szCs w:val="28"/>
        </w:rPr>
      </w:pPr>
      <w:r w:rsidRPr="00643DCF">
        <w:rPr>
          <w:sz w:val="28"/>
          <w:szCs w:val="28"/>
        </w:rPr>
        <w:t>Entrega oportuna y adecuada del programa y cronograma,</w:t>
      </w:r>
      <w:r w:rsidR="005D4B53" w:rsidRPr="00643DCF">
        <w:rPr>
          <w:sz w:val="28"/>
          <w:szCs w:val="28"/>
        </w:rPr>
        <w:t xml:space="preserve"> solicitado en el a</w:t>
      </w:r>
      <w:r w:rsidRPr="00643DCF">
        <w:rPr>
          <w:sz w:val="28"/>
          <w:szCs w:val="28"/>
        </w:rPr>
        <w:t>uto 144 de 2011</w:t>
      </w:r>
      <w:r w:rsidR="007F3198" w:rsidRPr="00643DCF">
        <w:rPr>
          <w:sz w:val="28"/>
          <w:szCs w:val="28"/>
        </w:rPr>
        <w:t>.</w:t>
      </w:r>
    </w:p>
    <w:p w14:paraId="63F4D214" w14:textId="77777777" w:rsidR="007E36D9" w:rsidRPr="00643DCF" w:rsidRDefault="007E36D9" w:rsidP="00C36DD0">
      <w:pPr>
        <w:tabs>
          <w:tab w:val="left" w:pos="709"/>
          <w:tab w:val="left" w:pos="1418"/>
          <w:tab w:val="left" w:pos="1560"/>
        </w:tabs>
        <w:ind w:left="284"/>
        <w:jc w:val="both"/>
        <w:rPr>
          <w:sz w:val="28"/>
          <w:szCs w:val="28"/>
        </w:rPr>
      </w:pPr>
    </w:p>
    <w:p w14:paraId="1F6F48AA" w14:textId="76F9C87F" w:rsidR="005D3097" w:rsidRPr="00643DCF" w:rsidRDefault="00C36DD0" w:rsidP="00C36DD0">
      <w:pPr>
        <w:pStyle w:val="Prrafodelista"/>
        <w:numPr>
          <w:ilvl w:val="0"/>
          <w:numId w:val="11"/>
        </w:numPr>
        <w:tabs>
          <w:tab w:val="left" w:pos="426"/>
          <w:tab w:val="left" w:pos="1418"/>
          <w:tab w:val="left" w:pos="1560"/>
        </w:tabs>
        <w:ind w:left="284" w:hanging="284"/>
        <w:jc w:val="both"/>
        <w:rPr>
          <w:sz w:val="28"/>
          <w:szCs w:val="28"/>
        </w:rPr>
      </w:pPr>
      <w:r w:rsidRPr="00643DCF">
        <w:rPr>
          <w:sz w:val="28"/>
          <w:szCs w:val="28"/>
        </w:rPr>
        <w:t xml:space="preserve"> </w:t>
      </w:r>
      <w:r w:rsidR="00527FCB" w:rsidRPr="00643DCF">
        <w:rPr>
          <w:sz w:val="28"/>
          <w:szCs w:val="28"/>
        </w:rPr>
        <w:t>Análisis de las medidas implementadas por el CSJ</w:t>
      </w:r>
      <w:r w:rsidR="00612AA2" w:rsidRPr="00643DCF">
        <w:rPr>
          <w:sz w:val="28"/>
          <w:szCs w:val="28"/>
        </w:rPr>
        <w:t xml:space="preserve"> para dar divulgación al fallo</w:t>
      </w:r>
      <w:r w:rsidR="00527FCB" w:rsidRPr="00643DCF">
        <w:rPr>
          <w:sz w:val="28"/>
          <w:szCs w:val="28"/>
        </w:rPr>
        <w:t xml:space="preserve">: </w:t>
      </w:r>
    </w:p>
    <w:p w14:paraId="697310F7" w14:textId="77777777" w:rsidR="005D3097" w:rsidRPr="00643DCF" w:rsidRDefault="005D3097" w:rsidP="0019073A">
      <w:pPr>
        <w:pStyle w:val="Prrafodelista"/>
        <w:tabs>
          <w:tab w:val="left" w:pos="709"/>
          <w:tab w:val="left" w:pos="1418"/>
          <w:tab w:val="left" w:pos="1560"/>
        </w:tabs>
        <w:ind w:left="709"/>
        <w:jc w:val="both"/>
        <w:rPr>
          <w:sz w:val="28"/>
          <w:szCs w:val="28"/>
        </w:rPr>
      </w:pPr>
    </w:p>
    <w:p w14:paraId="7FFD45E7" w14:textId="77777777" w:rsidR="005D3097" w:rsidRPr="00643DCF" w:rsidRDefault="00527FCB" w:rsidP="00E31B37">
      <w:pPr>
        <w:pStyle w:val="Prrafodelista"/>
        <w:numPr>
          <w:ilvl w:val="1"/>
          <w:numId w:val="11"/>
        </w:numPr>
        <w:tabs>
          <w:tab w:val="left" w:pos="851"/>
          <w:tab w:val="left" w:pos="993"/>
        </w:tabs>
        <w:ind w:left="426" w:firstLine="0"/>
        <w:jc w:val="both"/>
        <w:rPr>
          <w:sz w:val="28"/>
          <w:szCs w:val="28"/>
        </w:rPr>
      </w:pPr>
      <w:r w:rsidRPr="00643DCF">
        <w:rPr>
          <w:sz w:val="28"/>
          <w:szCs w:val="28"/>
        </w:rPr>
        <w:t>Actualización del micrositio</w:t>
      </w:r>
      <w:r w:rsidR="005D3097" w:rsidRPr="00643DCF">
        <w:rPr>
          <w:sz w:val="28"/>
          <w:szCs w:val="28"/>
        </w:rPr>
        <w:t xml:space="preserve"> con los autos de seguimiento;</w:t>
      </w:r>
    </w:p>
    <w:p w14:paraId="37D392D1" w14:textId="678DA865" w:rsidR="005D3097" w:rsidRPr="00643DCF" w:rsidRDefault="005D3097" w:rsidP="00E31B37">
      <w:pPr>
        <w:pStyle w:val="Prrafodelista"/>
        <w:numPr>
          <w:ilvl w:val="1"/>
          <w:numId w:val="11"/>
        </w:numPr>
        <w:tabs>
          <w:tab w:val="left" w:pos="851"/>
          <w:tab w:val="left" w:pos="993"/>
        </w:tabs>
        <w:ind w:left="426" w:firstLine="0"/>
        <w:jc w:val="both"/>
        <w:rPr>
          <w:sz w:val="28"/>
          <w:szCs w:val="28"/>
        </w:rPr>
      </w:pPr>
      <w:r w:rsidRPr="00643DCF">
        <w:rPr>
          <w:sz w:val="28"/>
          <w:szCs w:val="28"/>
        </w:rPr>
        <w:t>Capacitaciones presenciales y virtuales</w:t>
      </w:r>
      <w:r w:rsidR="004B05C5" w:rsidRPr="00643DCF">
        <w:rPr>
          <w:sz w:val="28"/>
          <w:szCs w:val="28"/>
        </w:rPr>
        <w:t>,</w:t>
      </w:r>
      <w:r w:rsidRPr="00643DCF">
        <w:rPr>
          <w:sz w:val="28"/>
          <w:szCs w:val="28"/>
        </w:rPr>
        <w:t xml:space="preserve"> </w:t>
      </w:r>
    </w:p>
    <w:p w14:paraId="3DC54C98" w14:textId="0E5443AE" w:rsidR="005D3097" w:rsidRPr="00643DCF" w:rsidRDefault="005D3097" w:rsidP="00E31B37">
      <w:pPr>
        <w:pStyle w:val="Prrafodelista"/>
        <w:numPr>
          <w:ilvl w:val="1"/>
          <w:numId w:val="11"/>
        </w:numPr>
        <w:tabs>
          <w:tab w:val="left" w:pos="851"/>
          <w:tab w:val="left" w:pos="993"/>
        </w:tabs>
        <w:ind w:left="426" w:firstLine="0"/>
        <w:jc w:val="both"/>
        <w:rPr>
          <w:sz w:val="28"/>
          <w:szCs w:val="28"/>
        </w:rPr>
      </w:pPr>
      <w:r w:rsidRPr="00643DCF">
        <w:rPr>
          <w:sz w:val="28"/>
          <w:szCs w:val="28"/>
        </w:rPr>
        <w:t>Emisiones televisivas y</w:t>
      </w:r>
      <w:r w:rsidR="00AC6814">
        <w:rPr>
          <w:sz w:val="28"/>
          <w:szCs w:val="28"/>
        </w:rPr>
        <w:t>,</w:t>
      </w:r>
      <w:r w:rsidRPr="00643DCF">
        <w:rPr>
          <w:sz w:val="28"/>
          <w:szCs w:val="28"/>
        </w:rPr>
        <w:t xml:space="preserve"> </w:t>
      </w:r>
    </w:p>
    <w:p w14:paraId="7E5ECC5D" w14:textId="1B6B94CE" w:rsidR="005D3097" w:rsidRPr="00643DCF" w:rsidRDefault="00F41229" w:rsidP="00500F88">
      <w:pPr>
        <w:pStyle w:val="Prrafodelista"/>
        <w:numPr>
          <w:ilvl w:val="1"/>
          <w:numId w:val="11"/>
        </w:numPr>
        <w:tabs>
          <w:tab w:val="left" w:pos="851"/>
          <w:tab w:val="left" w:pos="993"/>
        </w:tabs>
        <w:ind w:left="426" w:firstLine="0"/>
        <w:jc w:val="both"/>
        <w:rPr>
          <w:sz w:val="28"/>
          <w:szCs w:val="28"/>
        </w:rPr>
      </w:pPr>
      <w:r w:rsidRPr="00643DCF">
        <w:rPr>
          <w:sz w:val="28"/>
          <w:szCs w:val="28"/>
        </w:rPr>
        <w:t>Difu</w:t>
      </w:r>
      <w:r w:rsidR="005D3097" w:rsidRPr="00643DCF">
        <w:rPr>
          <w:sz w:val="28"/>
          <w:szCs w:val="28"/>
        </w:rPr>
        <w:t>sión por medios impresos</w:t>
      </w:r>
      <w:r w:rsidR="00A54514" w:rsidRPr="00643DCF">
        <w:rPr>
          <w:sz w:val="28"/>
          <w:szCs w:val="28"/>
        </w:rPr>
        <w:t>.</w:t>
      </w:r>
    </w:p>
    <w:p w14:paraId="10D18105" w14:textId="198EECE8" w:rsidR="006F3AE9" w:rsidRPr="00643DCF" w:rsidRDefault="006F3AE9" w:rsidP="00BE3980">
      <w:pPr>
        <w:pStyle w:val="Prrafodelista"/>
        <w:tabs>
          <w:tab w:val="left" w:pos="709"/>
          <w:tab w:val="left" w:pos="993"/>
        </w:tabs>
        <w:ind w:left="709"/>
        <w:jc w:val="both"/>
        <w:rPr>
          <w:sz w:val="28"/>
          <w:szCs w:val="28"/>
        </w:rPr>
      </w:pPr>
    </w:p>
    <w:p w14:paraId="504F64D2" w14:textId="51B5287A" w:rsidR="006F3AE9" w:rsidRPr="00643DCF" w:rsidRDefault="006F3AE9" w:rsidP="007D4CC1">
      <w:pPr>
        <w:pStyle w:val="Prrafodelista"/>
        <w:numPr>
          <w:ilvl w:val="0"/>
          <w:numId w:val="11"/>
        </w:numPr>
        <w:tabs>
          <w:tab w:val="left" w:pos="0"/>
          <w:tab w:val="left" w:pos="284"/>
          <w:tab w:val="left" w:pos="426"/>
        </w:tabs>
        <w:ind w:left="0" w:firstLine="0"/>
        <w:jc w:val="both"/>
        <w:rPr>
          <w:sz w:val="28"/>
          <w:szCs w:val="28"/>
        </w:rPr>
      </w:pPr>
      <w:r w:rsidRPr="00643DCF">
        <w:rPr>
          <w:sz w:val="28"/>
          <w:szCs w:val="28"/>
        </w:rPr>
        <w:t>Las medidas preventivas</w:t>
      </w:r>
      <w:r w:rsidR="00CA49C3" w:rsidRPr="00643DCF">
        <w:rPr>
          <w:sz w:val="28"/>
          <w:szCs w:val="28"/>
        </w:rPr>
        <w:t xml:space="preserve"> ordenadas en el a</w:t>
      </w:r>
      <w:r w:rsidRPr="00643DCF">
        <w:rPr>
          <w:sz w:val="28"/>
          <w:szCs w:val="28"/>
        </w:rPr>
        <w:t>uto 154 de 2014</w:t>
      </w:r>
      <w:r w:rsidR="00CA49C3" w:rsidRPr="00643DCF">
        <w:rPr>
          <w:sz w:val="28"/>
          <w:szCs w:val="28"/>
        </w:rPr>
        <w:t>:</w:t>
      </w:r>
    </w:p>
    <w:p w14:paraId="10DBBB7C" w14:textId="77777777" w:rsidR="006F3AE9" w:rsidRPr="00643DCF" w:rsidRDefault="006F3AE9" w:rsidP="0019073A">
      <w:pPr>
        <w:pStyle w:val="Prrafodelista"/>
        <w:tabs>
          <w:tab w:val="left" w:pos="709"/>
          <w:tab w:val="left" w:pos="1276"/>
        </w:tabs>
        <w:ind w:left="426"/>
        <w:jc w:val="both"/>
        <w:rPr>
          <w:sz w:val="28"/>
          <w:szCs w:val="28"/>
        </w:rPr>
      </w:pPr>
    </w:p>
    <w:p w14:paraId="58B44CCD" w14:textId="500769D0" w:rsidR="006F3AE9" w:rsidRPr="00643DCF" w:rsidRDefault="006F3AE9" w:rsidP="00D92519">
      <w:pPr>
        <w:pStyle w:val="Prrafodelista"/>
        <w:numPr>
          <w:ilvl w:val="1"/>
          <w:numId w:val="11"/>
        </w:numPr>
        <w:tabs>
          <w:tab w:val="left" w:pos="851"/>
          <w:tab w:val="left" w:pos="993"/>
        </w:tabs>
        <w:ind w:left="426" w:firstLine="0"/>
        <w:jc w:val="both"/>
        <w:rPr>
          <w:sz w:val="28"/>
          <w:szCs w:val="28"/>
        </w:rPr>
      </w:pPr>
      <w:r w:rsidRPr="00643DCF">
        <w:rPr>
          <w:sz w:val="28"/>
          <w:szCs w:val="28"/>
        </w:rPr>
        <w:t xml:space="preserve"> Incluir de forma permanente un enlace</w:t>
      </w:r>
      <w:r w:rsidR="002632FC" w:rsidRPr="00643DCF">
        <w:rPr>
          <w:sz w:val="28"/>
          <w:szCs w:val="28"/>
        </w:rPr>
        <w:t xml:space="preserve"> destacado</w:t>
      </w:r>
      <w:r w:rsidRPr="00643DCF">
        <w:rPr>
          <w:sz w:val="28"/>
          <w:szCs w:val="28"/>
        </w:rPr>
        <w:t xml:space="preserve"> con el contenido de la sentencia en la página principal de la web de la Rama Judicial</w:t>
      </w:r>
      <w:r w:rsidR="002632FC" w:rsidRPr="00643DCF">
        <w:rPr>
          <w:rStyle w:val="Refdenotaalpie"/>
          <w:sz w:val="28"/>
          <w:szCs w:val="28"/>
        </w:rPr>
        <w:footnoteReference w:id="122"/>
      </w:r>
      <w:r w:rsidRPr="00643DCF">
        <w:rPr>
          <w:sz w:val="28"/>
          <w:szCs w:val="28"/>
        </w:rPr>
        <w:t xml:space="preserve">; </w:t>
      </w:r>
    </w:p>
    <w:p w14:paraId="572D1198" w14:textId="78DFBA86" w:rsidR="005B34C6" w:rsidRPr="00AC6814" w:rsidRDefault="006F3AE9" w:rsidP="00322682">
      <w:pPr>
        <w:pStyle w:val="Prrafodelista"/>
        <w:numPr>
          <w:ilvl w:val="1"/>
          <w:numId w:val="11"/>
        </w:numPr>
        <w:tabs>
          <w:tab w:val="left" w:pos="851"/>
          <w:tab w:val="left" w:pos="993"/>
        </w:tabs>
        <w:ind w:left="426" w:firstLine="0"/>
        <w:jc w:val="both"/>
        <w:rPr>
          <w:sz w:val="28"/>
          <w:szCs w:val="28"/>
        </w:rPr>
      </w:pPr>
      <w:r w:rsidRPr="00AC6814">
        <w:rPr>
          <w:sz w:val="28"/>
          <w:szCs w:val="28"/>
        </w:rPr>
        <w:t xml:space="preserve">El </w:t>
      </w:r>
      <w:r w:rsidRPr="00AC6814">
        <w:rPr>
          <w:i/>
          <w:sz w:val="28"/>
          <w:szCs w:val="28"/>
        </w:rPr>
        <w:t>link</w:t>
      </w:r>
      <w:r w:rsidRPr="00AC6814">
        <w:rPr>
          <w:sz w:val="28"/>
          <w:szCs w:val="28"/>
        </w:rPr>
        <w:t xml:space="preserve"> incorporará contador de visitas</w:t>
      </w:r>
      <w:r w:rsidR="00FC4EAB" w:rsidRPr="00643DCF">
        <w:rPr>
          <w:rStyle w:val="Refdenotaalpie"/>
          <w:sz w:val="28"/>
          <w:szCs w:val="28"/>
        </w:rPr>
        <w:footnoteReference w:id="123"/>
      </w:r>
      <w:r w:rsidRPr="00AC6814">
        <w:rPr>
          <w:sz w:val="28"/>
          <w:szCs w:val="28"/>
        </w:rPr>
        <w:t xml:space="preserve">; </w:t>
      </w:r>
    </w:p>
    <w:p w14:paraId="27BEE828" w14:textId="4DED06C0" w:rsidR="005B34C6" w:rsidRPr="00AC6814" w:rsidRDefault="006F3AE9" w:rsidP="00322682">
      <w:pPr>
        <w:pStyle w:val="Prrafodelista"/>
        <w:numPr>
          <w:ilvl w:val="1"/>
          <w:numId w:val="11"/>
        </w:numPr>
        <w:tabs>
          <w:tab w:val="left" w:pos="851"/>
          <w:tab w:val="left" w:pos="993"/>
        </w:tabs>
        <w:ind w:left="426" w:firstLine="0"/>
        <w:jc w:val="both"/>
        <w:rPr>
          <w:sz w:val="28"/>
          <w:szCs w:val="28"/>
        </w:rPr>
      </w:pPr>
      <w:r w:rsidRPr="00AC6814">
        <w:rPr>
          <w:sz w:val="28"/>
          <w:szCs w:val="28"/>
        </w:rPr>
        <w:t xml:space="preserve"> Se deben poder consultar los informes presentados por el Consejo Superior de la Judicatura, que se relacionen con el contenido de la orden treinta y dos, así como los autos genéricos y específicos expedidos por la Sala Especial de Seguimiento</w:t>
      </w:r>
      <w:r w:rsidR="00FC4EAB" w:rsidRPr="00643DCF">
        <w:rPr>
          <w:rStyle w:val="Refdenotaalpie"/>
          <w:sz w:val="28"/>
          <w:szCs w:val="28"/>
        </w:rPr>
        <w:footnoteReference w:id="124"/>
      </w:r>
      <w:r w:rsidRPr="00AC6814">
        <w:rPr>
          <w:sz w:val="28"/>
          <w:szCs w:val="28"/>
        </w:rPr>
        <w:t>;</w:t>
      </w:r>
    </w:p>
    <w:p w14:paraId="1E755FC5" w14:textId="1C002DE2" w:rsidR="005B34C6" w:rsidRPr="00AC6814" w:rsidRDefault="006F3AE9" w:rsidP="00322682">
      <w:pPr>
        <w:pStyle w:val="Prrafodelista"/>
        <w:numPr>
          <w:ilvl w:val="1"/>
          <w:numId w:val="11"/>
        </w:numPr>
        <w:tabs>
          <w:tab w:val="left" w:pos="851"/>
          <w:tab w:val="left" w:pos="993"/>
        </w:tabs>
        <w:ind w:left="426" w:firstLine="0"/>
        <w:jc w:val="both"/>
        <w:rPr>
          <w:sz w:val="28"/>
          <w:szCs w:val="28"/>
        </w:rPr>
      </w:pPr>
      <w:r w:rsidRPr="00AC6814">
        <w:rPr>
          <w:sz w:val="28"/>
          <w:szCs w:val="28"/>
        </w:rPr>
        <w:t>Debe contener material de audio y video relacionado con el derecho fundamental a la salud, así como un aparte en el que se pueda consultar la legislación y la doctrina sobre este mismo tema</w:t>
      </w:r>
      <w:r w:rsidR="00FC4EAB" w:rsidRPr="00643DCF">
        <w:rPr>
          <w:rStyle w:val="Refdenotaalpie"/>
          <w:sz w:val="28"/>
          <w:szCs w:val="28"/>
        </w:rPr>
        <w:footnoteReference w:id="125"/>
      </w:r>
      <w:r w:rsidRPr="00AC6814">
        <w:rPr>
          <w:sz w:val="28"/>
          <w:szCs w:val="28"/>
        </w:rPr>
        <w:t xml:space="preserve">; </w:t>
      </w:r>
    </w:p>
    <w:p w14:paraId="6C39B914" w14:textId="1311A3DA" w:rsidR="00A54514" w:rsidRPr="00643DCF" w:rsidRDefault="006F3AE9" w:rsidP="00E31B37">
      <w:pPr>
        <w:pStyle w:val="Prrafodelista"/>
        <w:numPr>
          <w:ilvl w:val="1"/>
          <w:numId w:val="11"/>
        </w:numPr>
        <w:tabs>
          <w:tab w:val="left" w:pos="851"/>
          <w:tab w:val="left" w:pos="993"/>
        </w:tabs>
        <w:ind w:left="426" w:firstLine="0"/>
        <w:jc w:val="both"/>
        <w:rPr>
          <w:sz w:val="28"/>
          <w:szCs w:val="28"/>
        </w:rPr>
      </w:pPr>
      <w:r w:rsidRPr="00643DCF">
        <w:rPr>
          <w:sz w:val="28"/>
          <w:szCs w:val="28"/>
        </w:rPr>
        <w:t xml:space="preserve"> Finalmente, el Consejo Superior de la Judicatura debía incluir dentro del concurso de méritos la temática relacionada con este derecho fundamenta</w:t>
      </w:r>
      <w:r w:rsidR="00A54514" w:rsidRPr="00643DCF">
        <w:rPr>
          <w:sz w:val="28"/>
          <w:szCs w:val="28"/>
        </w:rPr>
        <w:t>l</w:t>
      </w:r>
      <w:r w:rsidR="00FC4EAB" w:rsidRPr="00643DCF">
        <w:rPr>
          <w:rStyle w:val="Refdenotaalpie"/>
          <w:sz w:val="28"/>
          <w:szCs w:val="28"/>
        </w:rPr>
        <w:footnoteReference w:id="126"/>
      </w:r>
      <w:r w:rsidR="00A54514" w:rsidRPr="00643DCF">
        <w:rPr>
          <w:sz w:val="28"/>
          <w:szCs w:val="28"/>
        </w:rPr>
        <w:t xml:space="preserve">. </w:t>
      </w:r>
    </w:p>
    <w:p w14:paraId="2BFB79E4" w14:textId="0EB2036D" w:rsidR="006F3AE9" w:rsidRPr="00643DCF" w:rsidRDefault="006F3AE9" w:rsidP="0019073A">
      <w:pPr>
        <w:pStyle w:val="Prrafodelista"/>
        <w:tabs>
          <w:tab w:val="left" w:pos="709"/>
          <w:tab w:val="left" w:pos="1276"/>
        </w:tabs>
        <w:ind w:left="426"/>
        <w:jc w:val="both"/>
        <w:rPr>
          <w:sz w:val="28"/>
          <w:szCs w:val="28"/>
        </w:rPr>
      </w:pPr>
    </w:p>
    <w:p w14:paraId="0359C616" w14:textId="609A1C90" w:rsidR="003D7D96" w:rsidRPr="00643DCF" w:rsidRDefault="003D7D96" w:rsidP="003A2813">
      <w:pPr>
        <w:pStyle w:val="Prrafodelista"/>
        <w:numPr>
          <w:ilvl w:val="0"/>
          <w:numId w:val="11"/>
        </w:numPr>
        <w:shd w:val="clear" w:color="auto" w:fill="FFFFFF" w:themeFill="background1"/>
        <w:tabs>
          <w:tab w:val="left" w:pos="284"/>
          <w:tab w:val="left" w:pos="426"/>
        </w:tabs>
        <w:ind w:left="0" w:firstLine="0"/>
        <w:jc w:val="both"/>
        <w:rPr>
          <w:bCs/>
          <w:sz w:val="28"/>
          <w:szCs w:val="28"/>
        </w:rPr>
      </w:pPr>
      <w:r w:rsidRPr="00643DCF">
        <w:rPr>
          <w:bCs/>
          <w:sz w:val="28"/>
          <w:szCs w:val="28"/>
        </w:rPr>
        <w:t>La</w:t>
      </w:r>
      <w:r w:rsidRPr="00643DCF">
        <w:rPr>
          <w:bCs/>
          <w:i/>
          <w:sz w:val="28"/>
          <w:szCs w:val="28"/>
        </w:rPr>
        <w:t xml:space="preserve"> </w:t>
      </w:r>
      <w:r w:rsidR="00712919" w:rsidRPr="00643DCF">
        <w:rPr>
          <w:bCs/>
          <w:sz w:val="28"/>
          <w:szCs w:val="28"/>
        </w:rPr>
        <w:t>p</w:t>
      </w:r>
      <w:r w:rsidRPr="00643DCF">
        <w:rPr>
          <w:bCs/>
          <w:sz w:val="28"/>
          <w:szCs w:val="28"/>
        </w:rPr>
        <w:t xml:space="preserve">resentación de los informes por parte del CSJ según lo dispuesto en el </w:t>
      </w:r>
      <w:r w:rsidR="00821D52" w:rsidRPr="00643DCF">
        <w:rPr>
          <w:bCs/>
          <w:sz w:val="28"/>
          <w:szCs w:val="28"/>
        </w:rPr>
        <w:t>a</w:t>
      </w:r>
      <w:r w:rsidRPr="00643DCF">
        <w:rPr>
          <w:bCs/>
          <w:sz w:val="28"/>
          <w:szCs w:val="28"/>
        </w:rPr>
        <w:t>uto 271 de 2014</w:t>
      </w:r>
      <w:r w:rsidRPr="00643DCF">
        <w:rPr>
          <w:rStyle w:val="Refdenotaalpie"/>
          <w:bCs/>
          <w:sz w:val="28"/>
          <w:szCs w:val="28"/>
        </w:rPr>
        <w:footnoteReference w:id="127"/>
      </w:r>
      <w:r w:rsidRPr="00643DCF">
        <w:rPr>
          <w:bCs/>
          <w:sz w:val="28"/>
          <w:szCs w:val="28"/>
        </w:rPr>
        <w:t>.</w:t>
      </w:r>
    </w:p>
    <w:p w14:paraId="0237CDAB" w14:textId="77777777" w:rsidR="003D7D96" w:rsidRPr="00643DCF" w:rsidRDefault="003D7D96" w:rsidP="00564E61">
      <w:pPr>
        <w:pStyle w:val="Prrafodelista"/>
        <w:tabs>
          <w:tab w:val="left" w:pos="567"/>
          <w:tab w:val="left" w:pos="709"/>
          <w:tab w:val="left" w:pos="993"/>
        </w:tabs>
        <w:ind w:left="0"/>
        <w:jc w:val="both"/>
        <w:rPr>
          <w:sz w:val="28"/>
          <w:szCs w:val="28"/>
        </w:rPr>
      </w:pPr>
    </w:p>
    <w:p w14:paraId="026D3CEF" w14:textId="73D1B641" w:rsidR="00512E90" w:rsidRPr="00643DCF" w:rsidRDefault="009E16C1" w:rsidP="000961E6">
      <w:pPr>
        <w:tabs>
          <w:tab w:val="left" w:pos="567"/>
        </w:tabs>
        <w:ind w:left="567"/>
        <w:jc w:val="both"/>
        <w:rPr>
          <w:b/>
          <w:bCs/>
          <w:sz w:val="28"/>
          <w:szCs w:val="28"/>
        </w:rPr>
      </w:pPr>
      <w:r w:rsidRPr="00643DCF">
        <w:rPr>
          <w:b/>
          <w:bCs/>
          <w:sz w:val="28"/>
          <w:szCs w:val="28"/>
        </w:rPr>
        <w:t>Nivel de cumplimiento atendiendo las medidas adoptadas en</w:t>
      </w:r>
      <w:r w:rsidR="00355DA6" w:rsidRPr="00643DCF">
        <w:rPr>
          <w:b/>
          <w:bCs/>
          <w:sz w:val="28"/>
          <w:szCs w:val="28"/>
        </w:rPr>
        <w:t xml:space="preserve"> la orden </w:t>
      </w:r>
      <w:r w:rsidR="00BE225C" w:rsidRPr="00643DCF">
        <w:rPr>
          <w:b/>
          <w:bCs/>
          <w:sz w:val="28"/>
          <w:szCs w:val="28"/>
        </w:rPr>
        <w:t>trigésima</w:t>
      </w:r>
      <w:r w:rsidR="00355DA6" w:rsidRPr="00643DCF">
        <w:rPr>
          <w:b/>
          <w:bCs/>
          <w:sz w:val="28"/>
          <w:szCs w:val="28"/>
        </w:rPr>
        <w:t xml:space="preserve"> segunda</w:t>
      </w:r>
    </w:p>
    <w:p w14:paraId="43BDF721" w14:textId="77777777" w:rsidR="00512E90" w:rsidRPr="00643DCF" w:rsidRDefault="00512E90" w:rsidP="00DF4D85">
      <w:pPr>
        <w:tabs>
          <w:tab w:val="left" w:pos="567"/>
        </w:tabs>
        <w:jc w:val="both"/>
        <w:rPr>
          <w:b/>
          <w:bCs/>
          <w:sz w:val="28"/>
          <w:szCs w:val="28"/>
        </w:rPr>
      </w:pPr>
    </w:p>
    <w:p w14:paraId="25A6C40A" w14:textId="572A4411" w:rsidR="009E16C1" w:rsidRPr="00643DCF" w:rsidRDefault="00AF6CD3" w:rsidP="00FB31C7">
      <w:pPr>
        <w:pStyle w:val="Prrafodelista"/>
        <w:widowControl w:val="0"/>
        <w:tabs>
          <w:tab w:val="left" w:pos="426"/>
        </w:tabs>
        <w:autoSpaceDE w:val="0"/>
        <w:autoSpaceDN w:val="0"/>
        <w:adjustRightInd w:val="0"/>
        <w:ind w:left="0"/>
        <w:jc w:val="both"/>
        <w:rPr>
          <w:sz w:val="28"/>
          <w:szCs w:val="28"/>
        </w:rPr>
      </w:pPr>
      <w:r w:rsidRPr="00643DCF">
        <w:rPr>
          <w:bCs/>
          <w:sz w:val="28"/>
          <w:szCs w:val="28"/>
        </w:rPr>
        <w:t>3</w:t>
      </w:r>
      <w:r w:rsidR="00846C36" w:rsidRPr="00643DCF">
        <w:rPr>
          <w:bCs/>
          <w:sz w:val="28"/>
          <w:szCs w:val="28"/>
        </w:rPr>
        <w:t>5</w:t>
      </w:r>
      <w:r w:rsidRPr="00643DCF">
        <w:rPr>
          <w:bCs/>
          <w:sz w:val="28"/>
          <w:szCs w:val="28"/>
        </w:rPr>
        <w:t xml:space="preserve">. </w:t>
      </w:r>
      <w:r w:rsidR="00512E90" w:rsidRPr="00643DCF">
        <w:rPr>
          <w:bCs/>
          <w:sz w:val="28"/>
          <w:szCs w:val="28"/>
        </w:rPr>
        <w:t xml:space="preserve">La Sala de </w:t>
      </w:r>
      <w:r w:rsidR="00781F7F" w:rsidRPr="00643DCF">
        <w:rPr>
          <w:bCs/>
          <w:sz w:val="28"/>
          <w:szCs w:val="28"/>
        </w:rPr>
        <w:t>S</w:t>
      </w:r>
      <w:r w:rsidR="00512E90" w:rsidRPr="00643DCF">
        <w:rPr>
          <w:bCs/>
          <w:sz w:val="28"/>
          <w:szCs w:val="28"/>
        </w:rPr>
        <w:t xml:space="preserve">eguimiento realizará un estudio </w:t>
      </w:r>
      <w:r w:rsidR="009E16C1" w:rsidRPr="00643DCF">
        <w:rPr>
          <w:sz w:val="28"/>
          <w:szCs w:val="28"/>
        </w:rPr>
        <w:t xml:space="preserve">de la observancia de las medidas diseñadas por el CSJ con el fin de verificar si las mismas son conducentes para proporcionar el </w:t>
      </w:r>
      <w:r w:rsidR="009E7CE1" w:rsidRPr="00643DCF">
        <w:rPr>
          <w:sz w:val="28"/>
          <w:szCs w:val="28"/>
        </w:rPr>
        <w:t xml:space="preserve">acatamiento </w:t>
      </w:r>
      <w:r w:rsidR="009E16C1" w:rsidRPr="00643DCF">
        <w:rPr>
          <w:sz w:val="28"/>
          <w:szCs w:val="28"/>
        </w:rPr>
        <w:t>de</w:t>
      </w:r>
      <w:r w:rsidR="00512E90" w:rsidRPr="00643DCF">
        <w:rPr>
          <w:sz w:val="28"/>
          <w:szCs w:val="28"/>
        </w:rPr>
        <w:t xml:space="preserve"> </w:t>
      </w:r>
      <w:r w:rsidR="009E16C1" w:rsidRPr="00643DCF">
        <w:rPr>
          <w:sz w:val="28"/>
          <w:szCs w:val="28"/>
        </w:rPr>
        <w:t xml:space="preserve">la </w:t>
      </w:r>
      <w:r w:rsidR="00512E90" w:rsidRPr="00643DCF">
        <w:rPr>
          <w:sz w:val="28"/>
          <w:szCs w:val="28"/>
        </w:rPr>
        <w:t xml:space="preserve">orden </w:t>
      </w:r>
      <w:r w:rsidR="00BE225C" w:rsidRPr="00643DCF">
        <w:rPr>
          <w:sz w:val="28"/>
          <w:szCs w:val="28"/>
        </w:rPr>
        <w:t>trigésima</w:t>
      </w:r>
      <w:r w:rsidR="00512E90" w:rsidRPr="00643DCF">
        <w:rPr>
          <w:sz w:val="28"/>
          <w:szCs w:val="28"/>
        </w:rPr>
        <w:t xml:space="preserve"> segunda de la </w:t>
      </w:r>
      <w:r w:rsidR="00175823" w:rsidRPr="00643DCF">
        <w:rPr>
          <w:sz w:val="28"/>
          <w:szCs w:val="28"/>
        </w:rPr>
        <w:t>s</w:t>
      </w:r>
      <w:r w:rsidR="00512E90" w:rsidRPr="00643DCF">
        <w:rPr>
          <w:sz w:val="28"/>
          <w:szCs w:val="28"/>
        </w:rPr>
        <w:t>entencia T-760 de 2008</w:t>
      </w:r>
      <w:r w:rsidR="00CC6705" w:rsidRPr="00643DCF">
        <w:rPr>
          <w:sz w:val="28"/>
          <w:szCs w:val="28"/>
        </w:rPr>
        <w:t xml:space="preserve">. </w:t>
      </w:r>
    </w:p>
    <w:p w14:paraId="0FDC6F7C" w14:textId="77777777" w:rsidR="00943488" w:rsidRPr="00643DCF" w:rsidRDefault="00943488" w:rsidP="000961E6">
      <w:pPr>
        <w:pStyle w:val="Prrafodelista"/>
        <w:widowControl w:val="0"/>
        <w:tabs>
          <w:tab w:val="left" w:pos="426"/>
        </w:tabs>
        <w:autoSpaceDE w:val="0"/>
        <w:autoSpaceDN w:val="0"/>
        <w:adjustRightInd w:val="0"/>
        <w:ind w:left="0"/>
        <w:jc w:val="both"/>
        <w:rPr>
          <w:sz w:val="28"/>
          <w:szCs w:val="28"/>
        </w:rPr>
      </w:pPr>
    </w:p>
    <w:p w14:paraId="4549ED11" w14:textId="3BFBD71C" w:rsidR="00934C70" w:rsidRPr="00643DCF" w:rsidRDefault="00355DA6" w:rsidP="000961E6">
      <w:pPr>
        <w:pStyle w:val="Prrafodelista"/>
        <w:widowControl w:val="0"/>
        <w:tabs>
          <w:tab w:val="left" w:pos="426"/>
        </w:tabs>
        <w:autoSpaceDE w:val="0"/>
        <w:autoSpaceDN w:val="0"/>
        <w:adjustRightInd w:val="0"/>
        <w:ind w:left="0"/>
        <w:jc w:val="both"/>
        <w:rPr>
          <w:i/>
          <w:sz w:val="28"/>
          <w:szCs w:val="28"/>
        </w:rPr>
      </w:pPr>
      <w:r w:rsidRPr="00643DCF">
        <w:rPr>
          <w:i/>
          <w:sz w:val="28"/>
          <w:szCs w:val="28"/>
        </w:rPr>
        <w:t>En</w:t>
      </w:r>
      <w:r w:rsidR="008657B0" w:rsidRPr="00643DCF">
        <w:rPr>
          <w:i/>
          <w:sz w:val="28"/>
          <w:szCs w:val="28"/>
        </w:rPr>
        <w:t>trega de</w:t>
      </w:r>
      <w:r w:rsidR="00041832" w:rsidRPr="00643DCF">
        <w:rPr>
          <w:i/>
          <w:sz w:val="28"/>
          <w:szCs w:val="28"/>
        </w:rPr>
        <w:t>l programa y cronograma</w:t>
      </w:r>
      <w:r w:rsidR="00933C0A">
        <w:rPr>
          <w:i/>
          <w:sz w:val="28"/>
          <w:szCs w:val="28"/>
        </w:rPr>
        <w:t>,</w:t>
      </w:r>
      <w:r w:rsidR="00934C70" w:rsidRPr="00643DCF">
        <w:rPr>
          <w:i/>
          <w:sz w:val="28"/>
          <w:szCs w:val="28"/>
        </w:rPr>
        <w:t xml:space="preserve"> </w:t>
      </w:r>
      <w:r w:rsidR="008D5730" w:rsidRPr="00643DCF">
        <w:rPr>
          <w:i/>
          <w:sz w:val="28"/>
          <w:szCs w:val="28"/>
        </w:rPr>
        <w:t>ordenados en el auto 144 de 2011</w:t>
      </w:r>
    </w:p>
    <w:p w14:paraId="182A8AF0" w14:textId="77777777" w:rsidR="008657B0" w:rsidRPr="00643DCF" w:rsidRDefault="008657B0" w:rsidP="000C2A40">
      <w:pPr>
        <w:pStyle w:val="Prrafodelista"/>
        <w:widowControl w:val="0"/>
        <w:tabs>
          <w:tab w:val="left" w:pos="567"/>
        </w:tabs>
        <w:autoSpaceDE w:val="0"/>
        <w:autoSpaceDN w:val="0"/>
        <w:adjustRightInd w:val="0"/>
        <w:ind w:left="720"/>
        <w:jc w:val="both"/>
        <w:rPr>
          <w:b/>
          <w:sz w:val="28"/>
          <w:szCs w:val="28"/>
        </w:rPr>
      </w:pPr>
    </w:p>
    <w:p w14:paraId="615DFABA" w14:textId="1A9A03B5" w:rsidR="00A72F95" w:rsidRPr="00643DCF" w:rsidRDefault="00AF6CD3" w:rsidP="00665AB6">
      <w:pPr>
        <w:pStyle w:val="Prrafodelista"/>
        <w:widowControl w:val="0"/>
        <w:tabs>
          <w:tab w:val="left" w:pos="284"/>
        </w:tabs>
        <w:autoSpaceDE w:val="0"/>
        <w:autoSpaceDN w:val="0"/>
        <w:adjustRightInd w:val="0"/>
        <w:ind w:left="0"/>
        <w:jc w:val="both"/>
        <w:rPr>
          <w:sz w:val="28"/>
          <w:szCs w:val="28"/>
        </w:rPr>
      </w:pPr>
      <w:r w:rsidRPr="00643DCF">
        <w:rPr>
          <w:sz w:val="28"/>
          <w:szCs w:val="28"/>
        </w:rPr>
        <w:t>3</w:t>
      </w:r>
      <w:r w:rsidR="00846C36" w:rsidRPr="00643DCF">
        <w:rPr>
          <w:sz w:val="28"/>
          <w:szCs w:val="28"/>
        </w:rPr>
        <w:t>6</w:t>
      </w:r>
      <w:r w:rsidRPr="00643DCF">
        <w:rPr>
          <w:sz w:val="28"/>
          <w:szCs w:val="28"/>
        </w:rPr>
        <w:t xml:space="preserve">. </w:t>
      </w:r>
      <w:r w:rsidR="00CC6705" w:rsidRPr="00643DCF">
        <w:rPr>
          <w:sz w:val="28"/>
          <w:szCs w:val="28"/>
        </w:rPr>
        <w:t>E</w:t>
      </w:r>
      <w:r w:rsidR="008C328A" w:rsidRPr="00643DCF">
        <w:rPr>
          <w:sz w:val="28"/>
          <w:szCs w:val="28"/>
        </w:rPr>
        <w:t xml:space="preserve">n el </w:t>
      </w:r>
      <w:r w:rsidR="008D5730" w:rsidRPr="00643DCF">
        <w:rPr>
          <w:sz w:val="28"/>
          <w:szCs w:val="28"/>
        </w:rPr>
        <w:t>a</w:t>
      </w:r>
      <w:r w:rsidR="008C328A" w:rsidRPr="00643DCF">
        <w:rPr>
          <w:sz w:val="28"/>
          <w:szCs w:val="28"/>
        </w:rPr>
        <w:t>uto 144 de 2011</w:t>
      </w:r>
      <w:r w:rsidR="008C328A" w:rsidRPr="00643DCF">
        <w:rPr>
          <w:rStyle w:val="Refdenotaalpie"/>
          <w:sz w:val="28"/>
          <w:szCs w:val="28"/>
        </w:rPr>
        <w:footnoteReference w:id="128"/>
      </w:r>
      <w:r w:rsidR="008C328A" w:rsidRPr="00643DCF">
        <w:rPr>
          <w:sz w:val="28"/>
          <w:szCs w:val="28"/>
        </w:rPr>
        <w:t xml:space="preserve">, </w:t>
      </w:r>
      <w:r w:rsidR="00CC6705" w:rsidRPr="00643DCF">
        <w:rPr>
          <w:sz w:val="28"/>
          <w:szCs w:val="28"/>
        </w:rPr>
        <w:t>esta Corporación</w:t>
      </w:r>
      <w:r w:rsidR="00BE6718" w:rsidRPr="00643DCF">
        <w:rPr>
          <w:sz w:val="28"/>
          <w:szCs w:val="28"/>
        </w:rPr>
        <w:t xml:space="preserve"> ordenó</w:t>
      </w:r>
      <w:r w:rsidR="00CC6705" w:rsidRPr="00643DCF">
        <w:rPr>
          <w:sz w:val="28"/>
          <w:szCs w:val="28"/>
        </w:rPr>
        <w:t xml:space="preserve"> al Consejo Superior de la Judicatura</w:t>
      </w:r>
      <w:r w:rsidR="00BE6718" w:rsidRPr="00643DCF">
        <w:rPr>
          <w:sz w:val="28"/>
          <w:szCs w:val="28"/>
        </w:rPr>
        <w:t xml:space="preserve"> </w:t>
      </w:r>
      <w:r w:rsidR="00A72F95" w:rsidRPr="00643DCF">
        <w:rPr>
          <w:sz w:val="28"/>
          <w:szCs w:val="28"/>
        </w:rPr>
        <w:t>diseñar un nuevo programa y cronograma a partir de agosto de 2011</w:t>
      </w:r>
      <w:r w:rsidR="00952F81" w:rsidRPr="00643DCF">
        <w:rPr>
          <w:sz w:val="28"/>
          <w:szCs w:val="28"/>
        </w:rPr>
        <w:t xml:space="preserve"> </w:t>
      </w:r>
      <w:r w:rsidR="004D0469" w:rsidRPr="00643DCF">
        <w:rPr>
          <w:sz w:val="28"/>
          <w:szCs w:val="28"/>
        </w:rPr>
        <w:t xml:space="preserve">y </w:t>
      </w:r>
      <w:r w:rsidR="00952F81" w:rsidRPr="00643DCF">
        <w:rPr>
          <w:sz w:val="28"/>
          <w:szCs w:val="28"/>
        </w:rPr>
        <w:t>presentarlo</w:t>
      </w:r>
      <w:r w:rsidR="004D0469" w:rsidRPr="00643DCF">
        <w:rPr>
          <w:sz w:val="28"/>
          <w:szCs w:val="28"/>
        </w:rPr>
        <w:t xml:space="preserve"> en el término de treinta (30) días hábiles contados a partir de la fecha de su comunicación</w:t>
      </w:r>
      <w:r w:rsidR="00952F81" w:rsidRPr="00643DCF">
        <w:rPr>
          <w:rStyle w:val="Refdenotaalpie"/>
          <w:sz w:val="28"/>
          <w:szCs w:val="28"/>
        </w:rPr>
        <w:footnoteReference w:id="129"/>
      </w:r>
      <w:r w:rsidR="00E90366" w:rsidRPr="00643DCF">
        <w:rPr>
          <w:sz w:val="28"/>
          <w:szCs w:val="28"/>
        </w:rPr>
        <w:t xml:space="preserve">, el cual debía contener como mínimo los criterios mencionados en el </w:t>
      </w:r>
      <w:r w:rsidR="008D5730" w:rsidRPr="00643DCF">
        <w:rPr>
          <w:sz w:val="28"/>
          <w:szCs w:val="28"/>
        </w:rPr>
        <w:t>a</w:t>
      </w:r>
      <w:r w:rsidR="00E90366" w:rsidRPr="00643DCF">
        <w:rPr>
          <w:sz w:val="28"/>
          <w:szCs w:val="28"/>
        </w:rPr>
        <w:t>uto 004 de 2009</w:t>
      </w:r>
      <w:r w:rsidR="00781F7F" w:rsidRPr="00643DCF">
        <w:rPr>
          <w:rStyle w:val="Refdenotaalpie"/>
          <w:sz w:val="28"/>
          <w:szCs w:val="28"/>
        </w:rPr>
        <w:footnoteReference w:id="130"/>
      </w:r>
      <w:r w:rsidR="006651CB" w:rsidRPr="00643DCF">
        <w:rPr>
          <w:sz w:val="28"/>
          <w:szCs w:val="28"/>
        </w:rPr>
        <w:t>, relacionados en el numeral 13 de los antecedentes</w:t>
      </w:r>
      <w:r w:rsidR="00A72F95" w:rsidRPr="00643DCF">
        <w:rPr>
          <w:sz w:val="28"/>
          <w:szCs w:val="28"/>
        </w:rPr>
        <w:t xml:space="preserve">. </w:t>
      </w:r>
    </w:p>
    <w:p w14:paraId="3D9A7EB2" w14:textId="77777777" w:rsidR="00A54282" w:rsidRPr="00643DCF" w:rsidRDefault="00A54282" w:rsidP="000F191B">
      <w:pPr>
        <w:autoSpaceDE w:val="0"/>
        <w:autoSpaceDN w:val="0"/>
        <w:jc w:val="both"/>
        <w:rPr>
          <w:sz w:val="28"/>
          <w:szCs w:val="28"/>
        </w:rPr>
      </w:pPr>
    </w:p>
    <w:p w14:paraId="1FBAD741" w14:textId="76D82182" w:rsidR="00EF1703" w:rsidRPr="00643DCF" w:rsidRDefault="00A57994" w:rsidP="00500F88">
      <w:pPr>
        <w:pStyle w:val="Prrafodelista"/>
        <w:numPr>
          <w:ilvl w:val="0"/>
          <w:numId w:val="43"/>
        </w:numPr>
        <w:tabs>
          <w:tab w:val="left" w:pos="284"/>
          <w:tab w:val="left" w:pos="567"/>
        </w:tabs>
        <w:autoSpaceDE w:val="0"/>
        <w:autoSpaceDN w:val="0"/>
        <w:ind w:left="0" w:firstLine="0"/>
        <w:jc w:val="both"/>
        <w:rPr>
          <w:sz w:val="28"/>
          <w:szCs w:val="28"/>
        </w:rPr>
      </w:pPr>
      <w:r w:rsidRPr="00643DCF">
        <w:rPr>
          <w:sz w:val="28"/>
          <w:szCs w:val="28"/>
        </w:rPr>
        <w:t>Oportunidad en la entrega</w:t>
      </w:r>
      <w:r w:rsidR="00EF1703" w:rsidRPr="00643DCF">
        <w:rPr>
          <w:sz w:val="28"/>
          <w:szCs w:val="28"/>
        </w:rPr>
        <w:t>:</w:t>
      </w:r>
      <w:r w:rsidR="00330723" w:rsidRPr="00643DCF">
        <w:rPr>
          <w:sz w:val="28"/>
          <w:szCs w:val="28"/>
        </w:rPr>
        <w:t xml:space="preserve"> </w:t>
      </w:r>
      <w:r w:rsidR="00EF1703" w:rsidRPr="00643DCF">
        <w:rPr>
          <w:sz w:val="28"/>
          <w:szCs w:val="28"/>
        </w:rPr>
        <w:t>e</w:t>
      </w:r>
      <w:r w:rsidR="002870B8" w:rsidRPr="00643DCF">
        <w:rPr>
          <w:sz w:val="28"/>
          <w:szCs w:val="28"/>
        </w:rPr>
        <w:t xml:space="preserve">n </w:t>
      </w:r>
      <w:r w:rsidR="00330723" w:rsidRPr="00643DCF">
        <w:rPr>
          <w:sz w:val="28"/>
          <w:szCs w:val="28"/>
        </w:rPr>
        <w:t>relación con lo</w:t>
      </w:r>
      <w:r w:rsidR="002870B8" w:rsidRPr="00643DCF">
        <w:rPr>
          <w:sz w:val="28"/>
          <w:szCs w:val="28"/>
        </w:rPr>
        <w:t xml:space="preserve"> anterior</w:t>
      </w:r>
      <w:r w:rsidR="00244A38" w:rsidRPr="00643DCF">
        <w:rPr>
          <w:sz w:val="28"/>
          <w:szCs w:val="28"/>
        </w:rPr>
        <w:t>,</w:t>
      </w:r>
      <w:r w:rsidR="000F191B" w:rsidRPr="00643DCF">
        <w:rPr>
          <w:sz w:val="28"/>
          <w:szCs w:val="28"/>
        </w:rPr>
        <w:t xml:space="preserve"> </w:t>
      </w:r>
      <w:r w:rsidR="00A67CD7" w:rsidRPr="00643DCF">
        <w:rPr>
          <w:sz w:val="28"/>
          <w:szCs w:val="28"/>
        </w:rPr>
        <w:t xml:space="preserve">se puede establecer que </w:t>
      </w:r>
      <w:r w:rsidR="002870B8" w:rsidRPr="00643DCF">
        <w:rPr>
          <w:sz w:val="28"/>
          <w:szCs w:val="28"/>
        </w:rPr>
        <w:t>dentro del término otorgado por la Corte</w:t>
      </w:r>
      <w:r w:rsidR="00A54514" w:rsidRPr="00643DCF">
        <w:rPr>
          <w:sz w:val="28"/>
          <w:szCs w:val="28"/>
        </w:rPr>
        <w:t>,</w:t>
      </w:r>
      <w:r w:rsidR="00A67CD7" w:rsidRPr="00643DCF">
        <w:rPr>
          <w:sz w:val="28"/>
          <w:szCs w:val="28"/>
        </w:rPr>
        <w:t xml:space="preserve"> </w:t>
      </w:r>
      <w:r w:rsidR="00D0724D" w:rsidRPr="00643DCF">
        <w:rPr>
          <w:sz w:val="28"/>
          <w:szCs w:val="28"/>
        </w:rPr>
        <w:t>m</w:t>
      </w:r>
      <w:r w:rsidR="00A72F95" w:rsidRPr="00643DCF">
        <w:rPr>
          <w:sz w:val="28"/>
          <w:szCs w:val="28"/>
        </w:rPr>
        <w:t>ediante oficio del 23 de septiembre de 2011</w:t>
      </w:r>
      <w:r w:rsidR="00A72F95" w:rsidRPr="00643DCF">
        <w:rPr>
          <w:rStyle w:val="Refdenotaalpie"/>
          <w:sz w:val="28"/>
          <w:szCs w:val="28"/>
        </w:rPr>
        <w:footnoteReference w:id="131"/>
      </w:r>
      <w:r w:rsidR="00A54514" w:rsidRPr="00643DCF">
        <w:rPr>
          <w:sz w:val="28"/>
          <w:szCs w:val="28"/>
        </w:rPr>
        <w:t xml:space="preserve">, </w:t>
      </w:r>
      <w:r w:rsidR="00A72F95" w:rsidRPr="00643DCF">
        <w:rPr>
          <w:sz w:val="28"/>
          <w:szCs w:val="28"/>
        </w:rPr>
        <w:t xml:space="preserve">la Sala Administrativa del Consejo </w:t>
      </w:r>
      <w:r w:rsidR="00931026" w:rsidRPr="00643DCF">
        <w:rPr>
          <w:sz w:val="28"/>
          <w:szCs w:val="28"/>
        </w:rPr>
        <w:t>presentó</w:t>
      </w:r>
      <w:r w:rsidR="00A72F95" w:rsidRPr="00643DCF">
        <w:rPr>
          <w:sz w:val="28"/>
          <w:szCs w:val="28"/>
        </w:rPr>
        <w:t xml:space="preserve"> la propuesta de un “</w:t>
      </w:r>
      <w:r w:rsidR="00A72F95" w:rsidRPr="00643DCF">
        <w:rPr>
          <w:i/>
          <w:sz w:val="28"/>
          <w:szCs w:val="28"/>
        </w:rPr>
        <w:t>programa y cronograma</w:t>
      </w:r>
      <w:r w:rsidR="00A72F95" w:rsidRPr="00643DCF">
        <w:rPr>
          <w:sz w:val="28"/>
          <w:szCs w:val="28"/>
        </w:rPr>
        <w:t>”</w:t>
      </w:r>
      <w:r w:rsidR="00E03F1F" w:rsidRPr="00643DCF">
        <w:rPr>
          <w:sz w:val="28"/>
          <w:szCs w:val="28"/>
        </w:rPr>
        <w:t>, cumpliendo así con el plazo establecido</w:t>
      </w:r>
      <w:r w:rsidR="00943488" w:rsidRPr="00643DCF">
        <w:rPr>
          <w:sz w:val="28"/>
          <w:szCs w:val="28"/>
        </w:rPr>
        <w:t xml:space="preserve"> en el auto 144 de 2011.</w:t>
      </w:r>
    </w:p>
    <w:p w14:paraId="34877428" w14:textId="77777777" w:rsidR="00EF1703" w:rsidRPr="00643DCF" w:rsidRDefault="00EF1703" w:rsidP="00EF1703">
      <w:pPr>
        <w:pStyle w:val="Prrafodelista"/>
        <w:tabs>
          <w:tab w:val="left" w:pos="284"/>
          <w:tab w:val="left" w:pos="567"/>
        </w:tabs>
        <w:autoSpaceDE w:val="0"/>
        <w:autoSpaceDN w:val="0"/>
        <w:ind w:left="0"/>
        <w:jc w:val="both"/>
        <w:rPr>
          <w:sz w:val="28"/>
          <w:szCs w:val="28"/>
        </w:rPr>
      </w:pPr>
    </w:p>
    <w:p w14:paraId="62EF92B8" w14:textId="1F968A7F" w:rsidR="005D14C5" w:rsidRPr="00643DCF" w:rsidRDefault="00EF1703" w:rsidP="00500F88">
      <w:pPr>
        <w:pStyle w:val="Prrafodelista"/>
        <w:numPr>
          <w:ilvl w:val="0"/>
          <w:numId w:val="43"/>
        </w:numPr>
        <w:tabs>
          <w:tab w:val="left" w:pos="284"/>
          <w:tab w:val="left" w:pos="567"/>
        </w:tabs>
        <w:autoSpaceDE w:val="0"/>
        <w:autoSpaceDN w:val="0"/>
        <w:ind w:left="0" w:firstLine="0"/>
        <w:jc w:val="both"/>
        <w:rPr>
          <w:sz w:val="28"/>
          <w:szCs w:val="28"/>
        </w:rPr>
      </w:pPr>
      <w:r w:rsidRPr="00643DCF">
        <w:rPr>
          <w:sz w:val="28"/>
          <w:szCs w:val="28"/>
        </w:rPr>
        <w:t xml:space="preserve"> Contenido: en lo que se refiere a</w:t>
      </w:r>
      <w:r w:rsidR="0074663A" w:rsidRPr="00643DCF">
        <w:rPr>
          <w:sz w:val="28"/>
          <w:szCs w:val="28"/>
        </w:rPr>
        <w:t xml:space="preserve"> la información </w:t>
      </w:r>
      <w:r w:rsidR="002E3E4B" w:rsidRPr="00643DCF">
        <w:rPr>
          <w:sz w:val="28"/>
          <w:szCs w:val="28"/>
        </w:rPr>
        <w:t>incluida</w:t>
      </w:r>
      <w:r w:rsidR="0074663A" w:rsidRPr="00643DCF">
        <w:rPr>
          <w:sz w:val="28"/>
          <w:szCs w:val="28"/>
        </w:rPr>
        <w:t xml:space="preserve"> en el </w:t>
      </w:r>
      <w:r w:rsidRPr="00643DCF">
        <w:rPr>
          <w:sz w:val="28"/>
          <w:szCs w:val="28"/>
        </w:rPr>
        <w:t>programa</w:t>
      </w:r>
      <w:r w:rsidR="002E56D0" w:rsidRPr="00643DCF">
        <w:rPr>
          <w:sz w:val="28"/>
          <w:szCs w:val="28"/>
        </w:rPr>
        <w:t xml:space="preserve"> remitido se tiene que el mismo</w:t>
      </w:r>
      <w:r w:rsidR="007708B8" w:rsidRPr="00643DCF">
        <w:rPr>
          <w:sz w:val="28"/>
          <w:szCs w:val="28"/>
        </w:rPr>
        <w:t xml:space="preserve"> incluía</w:t>
      </w:r>
      <w:r w:rsidR="00A72F95" w:rsidRPr="00643DCF">
        <w:rPr>
          <w:sz w:val="28"/>
          <w:szCs w:val="28"/>
        </w:rPr>
        <w:t xml:space="preserve"> las</w:t>
      </w:r>
      <w:r w:rsidR="008657B0" w:rsidRPr="00643DCF">
        <w:rPr>
          <w:sz w:val="28"/>
          <w:szCs w:val="28"/>
        </w:rPr>
        <w:t xml:space="preserve"> siguientes</w:t>
      </w:r>
      <w:r w:rsidR="00A72F95" w:rsidRPr="00643DCF">
        <w:rPr>
          <w:sz w:val="28"/>
          <w:szCs w:val="28"/>
        </w:rPr>
        <w:t xml:space="preserve"> actividades</w:t>
      </w:r>
      <w:r w:rsidR="002870B8" w:rsidRPr="00643DCF">
        <w:rPr>
          <w:sz w:val="28"/>
          <w:szCs w:val="28"/>
        </w:rPr>
        <w:t xml:space="preserve"> a desarrollar</w:t>
      </w:r>
      <w:r w:rsidR="006651CB" w:rsidRPr="00643DCF">
        <w:rPr>
          <w:sz w:val="28"/>
          <w:szCs w:val="28"/>
        </w:rPr>
        <w:t xml:space="preserve"> a corto, mediano y largo plazo</w:t>
      </w:r>
      <w:r w:rsidR="008657B0" w:rsidRPr="00643DCF">
        <w:rPr>
          <w:sz w:val="28"/>
          <w:szCs w:val="28"/>
        </w:rPr>
        <w:t xml:space="preserve">: </w:t>
      </w:r>
      <w:r w:rsidR="00943488" w:rsidRPr="00643DCF">
        <w:rPr>
          <w:i/>
          <w:sz w:val="28"/>
          <w:szCs w:val="28"/>
        </w:rPr>
        <w:t>(</w:t>
      </w:r>
      <w:r w:rsidR="008657B0" w:rsidRPr="00643DCF">
        <w:rPr>
          <w:i/>
          <w:sz w:val="28"/>
          <w:szCs w:val="28"/>
        </w:rPr>
        <w:t>i)</w:t>
      </w:r>
      <w:r w:rsidR="00A72F95" w:rsidRPr="00643DCF">
        <w:rPr>
          <w:sz w:val="28"/>
          <w:szCs w:val="28"/>
        </w:rPr>
        <w:t xml:space="preserve"> tareas de comunicación virtual y medios televisivos e impresos para </w:t>
      </w:r>
      <w:r w:rsidR="00D0724D" w:rsidRPr="00643DCF">
        <w:rPr>
          <w:sz w:val="28"/>
          <w:szCs w:val="28"/>
        </w:rPr>
        <w:t>entregar</w:t>
      </w:r>
      <w:r w:rsidR="00BD1C06" w:rsidRPr="00643DCF">
        <w:rPr>
          <w:sz w:val="28"/>
          <w:szCs w:val="28"/>
        </w:rPr>
        <w:t>;</w:t>
      </w:r>
      <w:r w:rsidR="00A72F95" w:rsidRPr="00643DCF">
        <w:rPr>
          <w:i/>
          <w:sz w:val="28"/>
          <w:szCs w:val="28"/>
        </w:rPr>
        <w:t xml:space="preserve"> </w:t>
      </w:r>
      <w:r w:rsidR="00943488" w:rsidRPr="00643DCF">
        <w:rPr>
          <w:i/>
          <w:sz w:val="28"/>
          <w:szCs w:val="28"/>
        </w:rPr>
        <w:t>(</w:t>
      </w:r>
      <w:r w:rsidR="008657B0" w:rsidRPr="00643DCF">
        <w:rPr>
          <w:i/>
          <w:sz w:val="28"/>
          <w:szCs w:val="28"/>
        </w:rPr>
        <w:t>ii)</w:t>
      </w:r>
      <w:r w:rsidR="005D14C5" w:rsidRPr="00643DCF">
        <w:rPr>
          <w:i/>
          <w:sz w:val="28"/>
          <w:szCs w:val="28"/>
        </w:rPr>
        <w:t xml:space="preserve"> </w:t>
      </w:r>
      <w:r w:rsidR="005D14C5" w:rsidRPr="00643DCF">
        <w:rPr>
          <w:sz w:val="28"/>
          <w:szCs w:val="28"/>
        </w:rPr>
        <w:t xml:space="preserve">publicación en el portal </w:t>
      </w:r>
      <w:r w:rsidR="006C6B21" w:rsidRPr="00643DCF">
        <w:rPr>
          <w:sz w:val="28"/>
          <w:szCs w:val="28"/>
        </w:rPr>
        <w:t>web</w:t>
      </w:r>
      <w:r w:rsidR="005D14C5" w:rsidRPr="00643DCF">
        <w:rPr>
          <w:sz w:val="28"/>
          <w:szCs w:val="28"/>
        </w:rPr>
        <w:t xml:space="preserve"> de la Rama Judicial de la sentencia con los autos que profi</w:t>
      </w:r>
      <w:r w:rsidR="00933C0A">
        <w:rPr>
          <w:sz w:val="28"/>
          <w:szCs w:val="28"/>
        </w:rPr>
        <w:t>riera</w:t>
      </w:r>
      <w:r w:rsidR="005D14C5" w:rsidRPr="00643DCF">
        <w:rPr>
          <w:sz w:val="28"/>
          <w:szCs w:val="28"/>
        </w:rPr>
        <w:t xml:space="preserve"> la Sala Especial </w:t>
      </w:r>
      <w:r w:rsidR="002870B8" w:rsidRPr="00643DCF">
        <w:rPr>
          <w:sz w:val="28"/>
          <w:szCs w:val="28"/>
        </w:rPr>
        <w:t>de manera permanente</w:t>
      </w:r>
      <w:r w:rsidR="00D93A5C" w:rsidRPr="00643DCF">
        <w:rPr>
          <w:sz w:val="28"/>
          <w:szCs w:val="28"/>
        </w:rPr>
        <w:t xml:space="preserve">; </w:t>
      </w:r>
      <w:r w:rsidR="00943488" w:rsidRPr="00643DCF">
        <w:rPr>
          <w:i/>
          <w:sz w:val="28"/>
          <w:szCs w:val="28"/>
        </w:rPr>
        <w:t>(</w:t>
      </w:r>
      <w:r w:rsidR="00D93A5C" w:rsidRPr="00643DCF">
        <w:rPr>
          <w:i/>
          <w:sz w:val="28"/>
          <w:szCs w:val="28"/>
        </w:rPr>
        <w:t>iii)</w:t>
      </w:r>
      <w:r w:rsidR="005D14C5" w:rsidRPr="00643DCF">
        <w:rPr>
          <w:sz w:val="28"/>
          <w:szCs w:val="28"/>
        </w:rPr>
        <w:t xml:space="preserve"> vínculo</w:t>
      </w:r>
      <w:r w:rsidR="002870B8" w:rsidRPr="00643DCF">
        <w:rPr>
          <w:sz w:val="28"/>
          <w:szCs w:val="28"/>
        </w:rPr>
        <w:t xml:space="preserve"> con </w:t>
      </w:r>
      <w:r w:rsidR="005D14C5" w:rsidRPr="00643DCF">
        <w:rPr>
          <w:sz w:val="28"/>
          <w:szCs w:val="28"/>
        </w:rPr>
        <w:t>contador de ingreso</w:t>
      </w:r>
      <w:r w:rsidR="008657B0" w:rsidRPr="00643DCF">
        <w:rPr>
          <w:sz w:val="28"/>
          <w:szCs w:val="28"/>
        </w:rPr>
        <w:t>s</w:t>
      </w:r>
      <w:r w:rsidR="00BD1C06" w:rsidRPr="00643DCF">
        <w:rPr>
          <w:sz w:val="28"/>
          <w:szCs w:val="28"/>
        </w:rPr>
        <w:t>;</w:t>
      </w:r>
      <w:r w:rsidR="005D14C5" w:rsidRPr="00643DCF">
        <w:rPr>
          <w:sz w:val="28"/>
          <w:szCs w:val="28"/>
        </w:rPr>
        <w:t xml:space="preserve"> </w:t>
      </w:r>
      <w:r w:rsidR="00943488" w:rsidRPr="00643DCF">
        <w:rPr>
          <w:i/>
          <w:sz w:val="28"/>
          <w:szCs w:val="28"/>
        </w:rPr>
        <w:t>(</w:t>
      </w:r>
      <w:r w:rsidR="008657B0" w:rsidRPr="00643DCF">
        <w:rPr>
          <w:i/>
          <w:sz w:val="28"/>
          <w:szCs w:val="28"/>
        </w:rPr>
        <w:t>i</w:t>
      </w:r>
      <w:r w:rsidR="00D93A5C" w:rsidRPr="00643DCF">
        <w:rPr>
          <w:i/>
          <w:sz w:val="28"/>
          <w:szCs w:val="28"/>
        </w:rPr>
        <w:t>v</w:t>
      </w:r>
      <w:r w:rsidR="008657B0" w:rsidRPr="00643DCF">
        <w:rPr>
          <w:i/>
          <w:sz w:val="28"/>
          <w:szCs w:val="28"/>
        </w:rPr>
        <w:t>)</w:t>
      </w:r>
      <w:r w:rsidR="007708B8" w:rsidRPr="00643DCF">
        <w:rPr>
          <w:sz w:val="28"/>
          <w:szCs w:val="28"/>
        </w:rPr>
        <w:t xml:space="preserve"> </w:t>
      </w:r>
      <w:r w:rsidR="008657B0" w:rsidRPr="00643DCF">
        <w:rPr>
          <w:sz w:val="28"/>
          <w:szCs w:val="28"/>
        </w:rPr>
        <w:t xml:space="preserve">realización de </w:t>
      </w:r>
      <w:r w:rsidR="005D14C5" w:rsidRPr="00643DCF">
        <w:rPr>
          <w:sz w:val="28"/>
          <w:szCs w:val="28"/>
        </w:rPr>
        <w:t xml:space="preserve">foros, videoconferencias, teleconferencias, programas de televisión y chats </w:t>
      </w:r>
      <w:r w:rsidR="0074663A" w:rsidRPr="00643DCF">
        <w:rPr>
          <w:sz w:val="28"/>
          <w:szCs w:val="28"/>
        </w:rPr>
        <w:t xml:space="preserve">en el </w:t>
      </w:r>
      <w:r w:rsidR="00297610" w:rsidRPr="00643DCF">
        <w:rPr>
          <w:sz w:val="28"/>
          <w:szCs w:val="28"/>
        </w:rPr>
        <w:t xml:space="preserve">que </w:t>
      </w:r>
      <w:r w:rsidR="0074663A" w:rsidRPr="00643DCF">
        <w:rPr>
          <w:sz w:val="28"/>
          <w:szCs w:val="28"/>
        </w:rPr>
        <w:t xml:space="preserve">participaran </w:t>
      </w:r>
      <w:r w:rsidR="005D14C5" w:rsidRPr="00643DCF">
        <w:rPr>
          <w:sz w:val="28"/>
          <w:szCs w:val="28"/>
        </w:rPr>
        <w:t xml:space="preserve"> </w:t>
      </w:r>
      <w:r w:rsidR="00BD1C06" w:rsidRPr="00643DCF">
        <w:rPr>
          <w:sz w:val="28"/>
          <w:szCs w:val="28"/>
        </w:rPr>
        <w:t>m</w:t>
      </w:r>
      <w:r w:rsidR="005D14C5" w:rsidRPr="00643DCF">
        <w:rPr>
          <w:sz w:val="28"/>
          <w:szCs w:val="28"/>
        </w:rPr>
        <w:t>agistrados de la Corte</w:t>
      </w:r>
      <w:r w:rsidR="00BD1C06" w:rsidRPr="00643DCF">
        <w:rPr>
          <w:sz w:val="28"/>
          <w:szCs w:val="28"/>
        </w:rPr>
        <w:t xml:space="preserve">; </w:t>
      </w:r>
      <w:r w:rsidR="00943488" w:rsidRPr="00643DCF">
        <w:rPr>
          <w:i/>
          <w:sz w:val="28"/>
          <w:szCs w:val="28"/>
        </w:rPr>
        <w:t>(</w:t>
      </w:r>
      <w:r w:rsidR="008657B0" w:rsidRPr="00643DCF">
        <w:rPr>
          <w:i/>
          <w:sz w:val="28"/>
          <w:szCs w:val="28"/>
        </w:rPr>
        <w:t>v)</w:t>
      </w:r>
      <w:r w:rsidR="005D14C5" w:rsidRPr="00643DCF">
        <w:rPr>
          <w:sz w:val="28"/>
          <w:szCs w:val="28"/>
        </w:rPr>
        <w:t xml:space="preserve"> encuestas virtuales </w:t>
      </w:r>
      <w:r w:rsidR="00297610" w:rsidRPr="00643DCF">
        <w:rPr>
          <w:sz w:val="28"/>
          <w:szCs w:val="28"/>
        </w:rPr>
        <w:t>por el portal web de la entidad</w:t>
      </w:r>
      <w:r w:rsidR="00DB0666" w:rsidRPr="00643DCF">
        <w:rPr>
          <w:sz w:val="28"/>
          <w:szCs w:val="28"/>
        </w:rPr>
        <w:t xml:space="preserve"> y</w:t>
      </w:r>
      <w:r w:rsidR="00943488" w:rsidRPr="00643DCF">
        <w:rPr>
          <w:sz w:val="28"/>
          <w:szCs w:val="28"/>
        </w:rPr>
        <w:t>,</w:t>
      </w:r>
      <w:r w:rsidR="008657B0" w:rsidRPr="00643DCF">
        <w:rPr>
          <w:sz w:val="28"/>
          <w:szCs w:val="28"/>
        </w:rPr>
        <w:t xml:space="preserve"> </w:t>
      </w:r>
      <w:r w:rsidR="00943488" w:rsidRPr="00643DCF">
        <w:rPr>
          <w:i/>
          <w:sz w:val="28"/>
          <w:szCs w:val="28"/>
        </w:rPr>
        <w:t>(</w:t>
      </w:r>
      <w:r w:rsidR="008657B0" w:rsidRPr="00643DCF">
        <w:rPr>
          <w:i/>
          <w:sz w:val="28"/>
          <w:szCs w:val="28"/>
        </w:rPr>
        <w:t>v</w:t>
      </w:r>
      <w:r w:rsidR="00D93A5C" w:rsidRPr="00643DCF">
        <w:rPr>
          <w:i/>
          <w:sz w:val="28"/>
          <w:szCs w:val="28"/>
        </w:rPr>
        <w:t>i</w:t>
      </w:r>
      <w:r w:rsidR="008657B0" w:rsidRPr="00643DCF">
        <w:rPr>
          <w:i/>
          <w:sz w:val="28"/>
          <w:szCs w:val="28"/>
        </w:rPr>
        <w:t>)</w:t>
      </w:r>
      <w:r w:rsidR="005D14C5" w:rsidRPr="00643DCF">
        <w:rPr>
          <w:sz w:val="28"/>
          <w:szCs w:val="28"/>
        </w:rPr>
        <w:t xml:space="preserve"> </w:t>
      </w:r>
      <w:r w:rsidR="00297610" w:rsidRPr="00643DCF">
        <w:rPr>
          <w:sz w:val="28"/>
          <w:szCs w:val="28"/>
        </w:rPr>
        <w:t>vinculación</w:t>
      </w:r>
      <w:r w:rsidR="005D14C5" w:rsidRPr="00643DCF">
        <w:rPr>
          <w:sz w:val="28"/>
          <w:szCs w:val="28"/>
        </w:rPr>
        <w:t xml:space="preserve"> de los medios de comunicación como la radio, prensa y el canal institucional </w:t>
      </w:r>
      <w:r w:rsidR="00297610" w:rsidRPr="00643DCF">
        <w:rPr>
          <w:sz w:val="28"/>
          <w:szCs w:val="28"/>
        </w:rPr>
        <w:t xml:space="preserve">con el fin de tener colaboración en la </w:t>
      </w:r>
      <w:r w:rsidR="005D14C5" w:rsidRPr="00643DCF">
        <w:rPr>
          <w:sz w:val="28"/>
          <w:szCs w:val="28"/>
        </w:rPr>
        <w:t>difu</w:t>
      </w:r>
      <w:r w:rsidR="00297610" w:rsidRPr="00643DCF">
        <w:rPr>
          <w:sz w:val="28"/>
          <w:szCs w:val="28"/>
        </w:rPr>
        <w:t xml:space="preserve">sión y </w:t>
      </w:r>
      <w:r w:rsidR="005D14C5" w:rsidRPr="00643DCF">
        <w:rPr>
          <w:sz w:val="28"/>
          <w:szCs w:val="28"/>
        </w:rPr>
        <w:t>divulga</w:t>
      </w:r>
      <w:r w:rsidR="00297610" w:rsidRPr="00643DCF">
        <w:rPr>
          <w:sz w:val="28"/>
          <w:szCs w:val="28"/>
        </w:rPr>
        <w:t>ción</w:t>
      </w:r>
      <w:r w:rsidR="005D14C5" w:rsidRPr="00643DCF">
        <w:rPr>
          <w:sz w:val="28"/>
          <w:szCs w:val="28"/>
        </w:rPr>
        <w:t xml:space="preserve"> </w:t>
      </w:r>
      <w:r w:rsidR="00297610" w:rsidRPr="00643DCF">
        <w:rPr>
          <w:sz w:val="28"/>
          <w:szCs w:val="28"/>
        </w:rPr>
        <w:t>d</w:t>
      </w:r>
      <w:r w:rsidR="005D14C5" w:rsidRPr="00643DCF">
        <w:rPr>
          <w:sz w:val="28"/>
          <w:szCs w:val="28"/>
        </w:rPr>
        <w:t xml:space="preserve">el fallo </w:t>
      </w:r>
      <w:r w:rsidR="00AD0438" w:rsidRPr="00643DCF">
        <w:rPr>
          <w:sz w:val="28"/>
          <w:szCs w:val="28"/>
        </w:rPr>
        <w:t>de la sentencia estructural</w:t>
      </w:r>
      <w:r w:rsidR="005D14C5" w:rsidRPr="00643DCF">
        <w:rPr>
          <w:sz w:val="28"/>
          <w:szCs w:val="28"/>
        </w:rPr>
        <w:t>.</w:t>
      </w:r>
    </w:p>
    <w:p w14:paraId="388861F3" w14:textId="77777777" w:rsidR="006651CB" w:rsidRPr="00643DCF" w:rsidRDefault="006651CB" w:rsidP="000C2A40">
      <w:pPr>
        <w:pStyle w:val="Prrafodelista"/>
        <w:tabs>
          <w:tab w:val="left" w:pos="567"/>
        </w:tabs>
        <w:autoSpaceDE w:val="0"/>
        <w:autoSpaceDN w:val="0"/>
        <w:ind w:left="0"/>
        <w:jc w:val="both"/>
        <w:rPr>
          <w:sz w:val="28"/>
          <w:szCs w:val="28"/>
        </w:rPr>
      </w:pPr>
    </w:p>
    <w:p w14:paraId="1CE56EBD" w14:textId="5FC5298B" w:rsidR="00ED6E72" w:rsidRPr="00643DCF" w:rsidRDefault="00AF6CD3" w:rsidP="000C2A40">
      <w:pPr>
        <w:pStyle w:val="Prrafodelista"/>
        <w:tabs>
          <w:tab w:val="left" w:pos="567"/>
        </w:tabs>
        <w:autoSpaceDE w:val="0"/>
        <w:autoSpaceDN w:val="0"/>
        <w:ind w:left="0"/>
        <w:jc w:val="both"/>
        <w:rPr>
          <w:sz w:val="28"/>
          <w:szCs w:val="28"/>
        </w:rPr>
      </w:pPr>
      <w:r w:rsidRPr="00643DCF">
        <w:rPr>
          <w:sz w:val="28"/>
          <w:szCs w:val="28"/>
        </w:rPr>
        <w:t>3</w:t>
      </w:r>
      <w:r w:rsidR="00846C36" w:rsidRPr="00643DCF">
        <w:rPr>
          <w:sz w:val="28"/>
          <w:szCs w:val="28"/>
        </w:rPr>
        <w:t>7</w:t>
      </w:r>
      <w:r w:rsidRPr="00643DCF">
        <w:rPr>
          <w:sz w:val="28"/>
          <w:szCs w:val="28"/>
        </w:rPr>
        <w:t xml:space="preserve">. </w:t>
      </w:r>
      <w:r w:rsidR="00781F7F" w:rsidRPr="00643DCF">
        <w:rPr>
          <w:sz w:val="28"/>
          <w:szCs w:val="28"/>
        </w:rPr>
        <w:t>Además</w:t>
      </w:r>
      <w:r w:rsidR="00464A88" w:rsidRPr="00643DCF">
        <w:rPr>
          <w:sz w:val="28"/>
          <w:szCs w:val="28"/>
        </w:rPr>
        <w:t>,</w:t>
      </w:r>
      <w:r w:rsidR="006651CB" w:rsidRPr="00643DCF">
        <w:rPr>
          <w:sz w:val="28"/>
          <w:szCs w:val="28"/>
        </w:rPr>
        <w:t xml:space="preserve"> en </w:t>
      </w:r>
      <w:r w:rsidR="005F17A5" w:rsidRPr="00643DCF">
        <w:rPr>
          <w:sz w:val="28"/>
          <w:szCs w:val="28"/>
        </w:rPr>
        <w:t xml:space="preserve">acatamiento </w:t>
      </w:r>
      <w:r w:rsidR="00781F7F" w:rsidRPr="00643DCF">
        <w:rPr>
          <w:sz w:val="28"/>
          <w:szCs w:val="28"/>
        </w:rPr>
        <w:t>de la misma providencia</w:t>
      </w:r>
      <w:r w:rsidR="006651CB" w:rsidRPr="00643DCF">
        <w:rPr>
          <w:sz w:val="28"/>
          <w:szCs w:val="28"/>
        </w:rPr>
        <w:t>, el 28 de noviembre de 2011</w:t>
      </w:r>
      <w:r w:rsidR="006651CB" w:rsidRPr="00643DCF">
        <w:rPr>
          <w:rStyle w:val="Refdenotaalpie"/>
          <w:sz w:val="28"/>
          <w:szCs w:val="28"/>
        </w:rPr>
        <w:footnoteReference w:id="132"/>
      </w:r>
      <w:r w:rsidR="006651CB" w:rsidRPr="00643DCF">
        <w:rPr>
          <w:sz w:val="28"/>
          <w:szCs w:val="28"/>
        </w:rPr>
        <w:t xml:space="preserve"> presentó el </w:t>
      </w:r>
      <w:r w:rsidR="006651CB" w:rsidRPr="00643DCF">
        <w:rPr>
          <w:i/>
          <w:sz w:val="28"/>
          <w:szCs w:val="28"/>
        </w:rPr>
        <w:t>“Subprograma de formación judicial especializado sobre el régimen general de seguridad social en salud”</w:t>
      </w:r>
      <w:r w:rsidR="00126F83" w:rsidRPr="00643DCF">
        <w:rPr>
          <w:i/>
          <w:sz w:val="28"/>
          <w:szCs w:val="28"/>
        </w:rPr>
        <w:t>,</w:t>
      </w:r>
      <w:r w:rsidR="006651CB" w:rsidRPr="00643DCF">
        <w:rPr>
          <w:i/>
          <w:sz w:val="28"/>
          <w:szCs w:val="28"/>
        </w:rPr>
        <w:t xml:space="preserve"> </w:t>
      </w:r>
      <w:r w:rsidR="00E444E0" w:rsidRPr="00643DCF">
        <w:rPr>
          <w:sz w:val="28"/>
          <w:szCs w:val="28"/>
        </w:rPr>
        <w:t xml:space="preserve">dentro del </w:t>
      </w:r>
      <w:r w:rsidR="00126F83" w:rsidRPr="00643DCF">
        <w:rPr>
          <w:sz w:val="28"/>
          <w:szCs w:val="28"/>
        </w:rPr>
        <w:t xml:space="preserve">cual </w:t>
      </w:r>
      <w:r w:rsidR="00ED6E72" w:rsidRPr="00643DCF">
        <w:rPr>
          <w:sz w:val="28"/>
          <w:szCs w:val="28"/>
        </w:rPr>
        <w:t>señaló</w:t>
      </w:r>
      <w:r w:rsidR="006651CB" w:rsidRPr="00643DCF">
        <w:rPr>
          <w:sz w:val="28"/>
          <w:szCs w:val="28"/>
        </w:rPr>
        <w:t xml:space="preserve"> </w:t>
      </w:r>
      <w:r w:rsidR="00ED6E72" w:rsidRPr="00643DCF">
        <w:rPr>
          <w:sz w:val="28"/>
          <w:szCs w:val="28"/>
        </w:rPr>
        <w:t xml:space="preserve">las actividades, </w:t>
      </w:r>
      <w:r w:rsidR="00C0305E" w:rsidRPr="00643DCF">
        <w:rPr>
          <w:sz w:val="28"/>
          <w:szCs w:val="28"/>
        </w:rPr>
        <w:t xml:space="preserve">la </w:t>
      </w:r>
      <w:r w:rsidR="00ED6E72" w:rsidRPr="00643DCF">
        <w:rPr>
          <w:sz w:val="28"/>
          <w:szCs w:val="28"/>
        </w:rPr>
        <w:t xml:space="preserve">metodología y </w:t>
      </w:r>
      <w:r w:rsidR="00DE1872" w:rsidRPr="00643DCF">
        <w:rPr>
          <w:sz w:val="28"/>
          <w:szCs w:val="28"/>
        </w:rPr>
        <w:t xml:space="preserve">el </w:t>
      </w:r>
      <w:r w:rsidR="00ED6E72" w:rsidRPr="00643DCF">
        <w:rPr>
          <w:sz w:val="28"/>
          <w:szCs w:val="28"/>
        </w:rPr>
        <w:t>plan de estudios</w:t>
      </w:r>
      <w:r w:rsidR="00DE1872" w:rsidRPr="00643DCF">
        <w:rPr>
          <w:sz w:val="28"/>
          <w:szCs w:val="28"/>
        </w:rPr>
        <w:t xml:space="preserve"> a desarrollar </w:t>
      </w:r>
      <w:r w:rsidR="00E444E0" w:rsidRPr="00643DCF">
        <w:rPr>
          <w:sz w:val="28"/>
          <w:szCs w:val="28"/>
        </w:rPr>
        <w:t>haciendo</w:t>
      </w:r>
      <w:r w:rsidR="00C0305E" w:rsidRPr="00643DCF">
        <w:rPr>
          <w:sz w:val="28"/>
          <w:szCs w:val="28"/>
        </w:rPr>
        <w:t xml:space="preserve"> </w:t>
      </w:r>
      <w:r w:rsidR="0074663A" w:rsidRPr="00643DCF">
        <w:rPr>
          <w:sz w:val="28"/>
          <w:szCs w:val="28"/>
        </w:rPr>
        <w:t xml:space="preserve">mención </w:t>
      </w:r>
      <w:r w:rsidR="00C0305E" w:rsidRPr="00643DCF">
        <w:rPr>
          <w:sz w:val="28"/>
          <w:szCs w:val="28"/>
        </w:rPr>
        <w:t xml:space="preserve"> a los siguientes aspectos</w:t>
      </w:r>
      <w:r w:rsidR="00ED6E72" w:rsidRPr="00643DCF">
        <w:rPr>
          <w:sz w:val="28"/>
          <w:szCs w:val="28"/>
        </w:rPr>
        <w:t xml:space="preserve">: </w:t>
      </w:r>
      <w:r w:rsidR="00414DF8" w:rsidRPr="00643DCF">
        <w:rPr>
          <w:i/>
          <w:sz w:val="28"/>
          <w:szCs w:val="28"/>
        </w:rPr>
        <w:t>(</w:t>
      </w:r>
      <w:r w:rsidR="00ED6E72" w:rsidRPr="00643DCF">
        <w:rPr>
          <w:i/>
          <w:sz w:val="28"/>
          <w:szCs w:val="28"/>
        </w:rPr>
        <w:t>i)</w:t>
      </w:r>
      <w:r w:rsidR="00ED6E72" w:rsidRPr="00643DCF">
        <w:rPr>
          <w:sz w:val="28"/>
          <w:szCs w:val="28"/>
        </w:rPr>
        <w:t xml:space="preserve"> la justificación, los objetivos generales y específicos y </w:t>
      </w:r>
      <w:r w:rsidR="00DE1872" w:rsidRPr="00643DCF">
        <w:rPr>
          <w:sz w:val="28"/>
          <w:szCs w:val="28"/>
        </w:rPr>
        <w:t>los funcionarios a quienes estaba dirigido el subprograma</w:t>
      </w:r>
      <w:r w:rsidR="00ED6E72" w:rsidRPr="00643DCF">
        <w:rPr>
          <w:sz w:val="28"/>
          <w:szCs w:val="28"/>
        </w:rPr>
        <w:t xml:space="preserve">; </w:t>
      </w:r>
      <w:r w:rsidR="00414DF8" w:rsidRPr="00643DCF">
        <w:rPr>
          <w:i/>
          <w:sz w:val="28"/>
          <w:szCs w:val="28"/>
        </w:rPr>
        <w:t>(</w:t>
      </w:r>
      <w:r w:rsidR="00ED6E72" w:rsidRPr="00643DCF">
        <w:rPr>
          <w:i/>
          <w:sz w:val="28"/>
          <w:szCs w:val="28"/>
        </w:rPr>
        <w:t>ii)</w:t>
      </w:r>
      <w:r w:rsidR="00ED6E72" w:rsidRPr="00643DCF">
        <w:rPr>
          <w:sz w:val="28"/>
          <w:szCs w:val="28"/>
        </w:rPr>
        <w:t xml:space="preserve"> el diseño curricular</w:t>
      </w:r>
      <w:r w:rsidR="00126F83" w:rsidRPr="00643DCF">
        <w:rPr>
          <w:sz w:val="28"/>
          <w:szCs w:val="28"/>
        </w:rPr>
        <w:t xml:space="preserve"> </w:t>
      </w:r>
      <w:r w:rsidR="00DE1872" w:rsidRPr="00643DCF">
        <w:rPr>
          <w:sz w:val="28"/>
          <w:szCs w:val="28"/>
        </w:rPr>
        <w:t>que incluía dos etapas</w:t>
      </w:r>
      <w:r w:rsidR="00126F83" w:rsidRPr="00643DCF">
        <w:rPr>
          <w:sz w:val="28"/>
          <w:szCs w:val="28"/>
        </w:rPr>
        <w:t>:</w:t>
      </w:r>
      <w:r w:rsidR="00DE1872" w:rsidRPr="00643DCF">
        <w:rPr>
          <w:sz w:val="28"/>
          <w:szCs w:val="28"/>
        </w:rPr>
        <w:t xml:space="preserve"> una de diagnóstico y otra de planificación</w:t>
      </w:r>
      <w:r w:rsidR="00ED6E72" w:rsidRPr="00643DCF">
        <w:rPr>
          <w:sz w:val="28"/>
          <w:szCs w:val="28"/>
        </w:rPr>
        <w:t xml:space="preserve">; </w:t>
      </w:r>
      <w:r w:rsidR="00414DF8" w:rsidRPr="00643DCF">
        <w:rPr>
          <w:i/>
          <w:sz w:val="28"/>
          <w:szCs w:val="28"/>
        </w:rPr>
        <w:t>(</w:t>
      </w:r>
      <w:r w:rsidR="00ED6E72" w:rsidRPr="00643DCF">
        <w:rPr>
          <w:i/>
          <w:sz w:val="28"/>
          <w:szCs w:val="28"/>
        </w:rPr>
        <w:t>iii)</w:t>
      </w:r>
      <w:r w:rsidR="00ED6E72" w:rsidRPr="00643DCF">
        <w:rPr>
          <w:sz w:val="28"/>
          <w:szCs w:val="28"/>
        </w:rPr>
        <w:t xml:space="preserve"> la estructuración del plan educativo; </w:t>
      </w:r>
      <w:r w:rsidR="00414DF8" w:rsidRPr="00643DCF">
        <w:rPr>
          <w:i/>
          <w:sz w:val="28"/>
          <w:szCs w:val="28"/>
        </w:rPr>
        <w:t>(</w:t>
      </w:r>
      <w:r w:rsidR="00ED6E72" w:rsidRPr="00643DCF">
        <w:rPr>
          <w:i/>
          <w:sz w:val="28"/>
          <w:szCs w:val="28"/>
        </w:rPr>
        <w:t>iv)</w:t>
      </w:r>
      <w:r w:rsidR="00ED6E72" w:rsidRPr="00643DCF">
        <w:rPr>
          <w:sz w:val="28"/>
          <w:szCs w:val="28"/>
        </w:rPr>
        <w:t xml:space="preserve"> </w:t>
      </w:r>
      <w:r w:rsidR="00DE1872" w:rsidRPr="00643DCF">
        <w:rPr>
          <w:sz w:val="28"/>
          <w:szCs w:val="28"/>
        </w:rPr>
        <w:t xml:space="preserve">la </w:t>
      </w:r>
      <w:r w:rsidR="00ED6E72" w:rsidRPr="00643DCF">
        <w:rPr>
          <w:sz w:val="28"/>
          <w:szCs w:val="28"/>
        </w:rPr>
        <w:t>ejecución de los planes de estudio y</w:t>
      </w:r>
      <w:r w:rsidR="00B87FA8" w:rsidRPr="00643DCF">
        <w:rPr>
          <w:sz w:val="28"/>
          <w:szCs w:val="28"/>
        </w:rPr>
        <w:t xml:space="preserve"> </w:t>
      </w:r>
      <w:r w:rsidR="00ED6E72" w:rsidRPr="00643DCF">
        <w:rPr>
          <w:sz w:val="28"/>
          <w:szCs w:val="28"/>
        </w:rPr>
        <w:t xml:space="preserve">de formación </w:t>
      </w:r>
      <w:r w:rsidR="00B87FA8" w:rsidRPr="00643DCF">
        <w:rPr>
          <w:sz w:val="28"/>
          <w:szCs w:val="28"/>
        </w:rPr>
        <w:t xml:space="preserve">del año </w:t>
      </w:r>
      <w:r w:rsidR="00ED6E72" w:rsidRPr="00643DCF">
        <w:rPr>
          <w:sz w:val="28"/>
          <w:szCs w:val="28"/>
        </w:rPr>
        <w:t xml:space="preserve">2009 al 2013, </w:t>
      </w:r>
      <w:r w:rsidR="00B87FA8" w:rsidRPr="00643DCF">
        <w:rPr>
          <w:sz w:val="28"/>
          <w:szCs w:val="28"/>
        </w:rPr>
        <w:t xml:space="preserve">los cuales abarcaban </w:t>
      </w:r>
      <w:r w:rsidR="00ED6E72" w:rsidRPr="00643DCF">
        <w:rPr>
          <w:sz w:val="28"/>
          <w:szCs w:val="28"/>
        </w:rPr>
        <w:t xml:space="preserve">la divulgación de la </w:t>
      </w:r>
      <w:r w:rsidR="005C68A6" w:rsidRPr="00643DCF">
        <w:rPr>
          <w:sz w:val="28"/>
          <w:szCs w:val="28"/>
        </w:rPr>
        <w:t>s</w:t>
      </w:r>
      <w:r w:rsidR="00ED6E72" w:rsidRPr="00643DCF">
        <w:rPr>
          <w:sz w:val="28"/>
          <w:szCs w:val="28"/>
        </w:rPr>
        <w:t>entencia T-760 de 2008, la incorporación de los contenidos del fallo estructural e</w:t>
      </w:r>
      <w:r w:rsidR="00B87FA8" w:rsidRPr="00643DCF">
        <w:rPr>
          <w:sz w:val="28"/>
          <w:szCs w:val="28"/>
        </w:rPr>
        <w:t>n los</w:t>
      </w:r>
      <w:r w:rsidR="00ED6E72" w:rsidRPr="00643DCF">
        <w:rPr>
          <w:sz w:val="28"/>
          <w:szCs w:val="28"/>
        </w:rPr>
        <w:t xml:space="preserve"> programas de formación especializada del área del trabajo y la seguridad social,</w:t>
      </w:r>
      <w:r w:rsidR="00B87FA8" w:rsidRPr="00643DCF">
        <w:rPr>
          <w:sz w:val="28"/>
          <w:szCs w:val="28"/>
        </w:rPr>
        <w:t xml:space="preserve"> así como las</w:t>
      </w:r>
      <w:r w:rsidR="00ED6E72" w:rsidRPr="00643DCF">
        <w:rPr>
          <w:sz w:val="28"/>
          <w:szCs w:val="28"/>
        </w:rPr>
        <w:t xml:space="preserve"> disposiciones</w:t>
      </w:r>
      <w:r w:rsidR="00DD1C4F" w:rsidRPr="00643DCF">
        <w:rPr>
          <w:sz w:val="28"/>
          <w:szCs w:val="28"/>
        </w:rPr>
        <w:t xml:space="preserve"> de la Ley 1438 de 2011. </w:t>
      </w:r>
    </w:p>
    <w:p w14:paraId="32C6FC2A" w14:textId="77777777" w:rsidR="00C14BF8" w:rsidRPr="00643DCF" w:rsidRDefault="00C14BF8" w:rsidP="000C2A40">
      <w:pPr>
        <w:pStyle w:val="Prrafodelista"/>
        <w:tabs>
          <w:tab w:val="left" w:pos="567"/>
        </w:tabs>
        <w:autoSpaceDE w:val="0"/>
        <w:autoSpaceDN w:val="0"/>
        <w:ind w:left="0"/>
        <w:jc w:val="both"/>
        <w:rPr>
          <w:sz w:val="28"/>
          <w:szCs w:val="28"/>
        </w:rPr>
      </w:pPr>
    </w:p>
    <w:p w14:paraId="01A66719" w14:textId="203E721C" w:rsidR="007A2B9B" w:rsidRPr="00643DCF" w:rsidRDefault="00AF6CD3" w:rsidP="007A2B9B">
      <w:pPr>
        <w:tabs>
          <w:tab w:val="left" w:pos="567"/>
        </w:tabs>
        <w:autoSpaceDE w:val="0"/>
        <w:autoSpaceDN w:val="0"/>
        <w:jc w:val="both"/>
        <w:rPr>
          <w:sz w:val="28"/>
          <w:szCs w:val="28"/>
        </w:rPr>
      </w:pPr>
      <w:r w:rsidRPr="00643DCF">
        <w:rPr>
          <w:sz w:val="28"/>
          <w:szCs w:val="28"/>
        </w:rPr>
        <w:t>3</w:t>
      </w:r>
      <w:r w:rsidR="00846C36" w:rsidRPr="00643DCF">
        <w:rPr>
          <w:sz w:val="28"/>
          <w:szCs w:val="28"/>
        </w:rPr>
        <w:t>8</w:t>
      </w:r>
      <w:r w:rsidRPr="00643DCF">
        <w:rPr>
          <w:sz w:val="28"/>
          <w:szCs w:val="28"/>
        </w:rPr>
        <w:t xml:space="preserve">. </w:t>
      </w:r>
      <w:r w:rsidR="000F191B" w:rsidRPr="00643DCF">
        <w:rPr>
          <w:sz w:val="28"/>
          <w:szCs w:val="28"/>
        </w:rPr>
        <w:t xml:space="preserve">En atención a lo </w:t>
      </w:r>
      <w:r w:rsidR="008D4397" w:rsidRPr="00643DCF">
        <w:rPr>
          <w:sz w:val="28"/>
          <w:szCs w:val="28"/>
        </w:rPr>
        <w:t>expuesto</w:t>
      </w:r>
      <w:r w:rsidR="000F191B" w:rsidRPr="00643DCF">
        <w:rPr>
          <w:sz w:val="28"/>
          <w:szCs w:val="28"/>
        </w:rPr>
        <w:t xml:space="preserve">, la Sala concluye </w:t>
      </w:r>
      <w:r w:rsidR="00F14AFC" w:rsidRPr="00643DCF">
        <w:rPr>
          <w:sz w:val="28"/>
          <w:szCs w:val="28"/>
        </w:rPr>
        <w:t xml:space="preserve">que el CSJ </w:t>
      </w:r>
      <w:r w:rsidR="00037F5F" w:rsidRPr="00643DCF">
        <w:rPr>
          <w:sz w:val="28"/>
          <w:szCs w:val="28"/>
        </w:rPr>
        <w:t>en observancia a</w:t>
      </w:r>
      <w:r w:rsidR="008D4397" w:rsidRPr="00643DCF">
        <w:rPr>
          <w:sz w:val="28"/>
          <w:szCs w:val="28"/>
        </w:rPr>
        <w:t xml:space="preserve"> lo </w:t>
      </w:r>
      <w:r w:rsidR="00F14AFC" w:rsidRPr="00643DCF">
        <w:rPr>
          <w:sz w:val="28"/>
          <w:szCs w:val="28"/>
        </w:rPr>
        <w:t>dispuesto</w:t>
      </w:r>
      <w:r w:rsidR="008D4397" w:rsidRPr="00643DCF">
        <w:rPr>
          <w:sz w:val="28"/>
          <w:szCs w:val="28"/>
        </w:rPr>
        <w:t xml:space="preserve"> en </w:t>
      </w:r>
      <w:r w:rsidR="009B1184" w:rsidRPr="00643DCF">
        <w:rPr>
          <w:sz w:val="28"/>
          <w:szCs w:val="28"/>
        </w:rPr>
        <w:t xml:space="preserve">el auto de valoración </w:t>
      </w:r>
      <w:r w:rsidR="00F14AFC" w:rsidRPr="00643DCF">
        <w:rPr>
          <w:sz w:val="28"/>
          <w:szCs w:val="28"/>
        </w:rPr>
        <w:t>presentó</w:t>
      </w:r>
      <w:r w:rsidR="000F191B" w:rsidRPr="00643DCF">
        <w:rPr>
          <w:sz w:val="28"/>
          <w:szCs w:val="28"/>
        </w:rPr>
        <w:t xml:space="preserve"> </w:t>
      </w:r>
      <w:r w:rsidR="00F14AFC" w:rsidRPr="00643DCF">
        <w:rPr>
          <w:sz w:val="28"/>
          <w:szCs w:val="28"/>
        </w:rPr>
        <w:t xml:space="preserve">oportunamente </w:t>
      </w:r>
      <w:r w:rsidR="009B1184" w:rsidRPr="00643DCF">
        <w:rPr>
          <w:sz w:val="28"/>
          <w:szCs w:val="28"/>
        </w:rPr>
        <w:t>dos</w:t>
      </w:r>
      <w:r w:rsidR="00F14AFC" w:rsidRPr="00643DCF">
        <w:rPr>
          <w:sz w:val="28"/>
          <w:szCs w:val="28"/>
        </w:rPr>
        <w:t xml:space="preserve"> </w:t>
      </w:r>
      <w:r w:rsidR="000F191B" w:rsidRPr="00643DCF">
        <w:rPr>
          <w:sz w:val="28"/>
          <w:szCs w:val="28"/>
        </w:rPr>
        <w:t>informe</w:t>
      </w:r>
      <w:r w:rsidR="00DF6076" w:rsidRPr="00643DCF">
        <w:rPr>
          <w:sz w:val="28"/>
          <w:szCs w:val="28"/>
        </w:rPr>
        <w:t>s</w:t>
      </w:r>
      <w:r w:rsidR="009B1184" w:rsidRPr="00643DCF">
        <w:rPr>
          <w:sz w:val="28"/>
          <w:szCs w:val="28"/>
        </w:rPr>
        <w:t xml:space="preserve"> en el año 2011</w:t>
      </w:r>
      <w:r w:rsidR="008D4397" w:rsidRPr="00643DCF">
        <w:rPr>
          <w:sz w:val="28"/>
          <w:szCs w:val="28"/>
        </w:rPr>
        <w:t xml:space="preserve"> en los que</w:t>
      </w:r>
      <w:r w:rsidR="00F14AFC" w:rsidRPr="00643DCF">
        <w:rPr>
          <w:sz w:val="28"/>
          <w:szCs w:val="28"/>
        </w:rPr>
        <w:t xml:space="preserve"> estableció un</w:t>
      </w:r>
      <w:r w:rsidR="008D4397" w:rsidRPr="00643DCF">
        <w:rPr>
          <w:sz w:val="28"/>
          <w:szCs w:val="28"/>
        </w:rPr>
        <w:t xml:space="preserve"> </w:t>
      </w:r>
      <w:r w:rsidR="009B1184" w:rsidRPr="00643DCF">
        <w:rPr>
          <w:sz w:val="28"/>
          <w:szCs w:val="28"/>
        </w:rPr>
        <w:t>“</w:t>
      </w:r>
      <w:r w:rsidR="009B1184" w:rsidRPr="00643DCF">
        <w:rPr>
          <w:i/>
          <w:sz w:val="28"/>
          <w:szCs w:val="28"/>
        </w:rPr>
        <w:t xml:space="preserve">programa </w:t>
      </w:r>
      <w:r w:rsidR="008D4397" w:rsidRPr="00643DCF">
        <w:rPr>
          <w:i/>
          <w:sz w:val="28"/>
          <w:szCs w:val="28"/>
        </w:rPr>
        <w:t>cronograma</w:t>
      </w:r>
      <w:r w:rsidR="009B1184" w:rsidRPr="00643DCF">
        <w:rPr>
          <w:i/>
          <w:sz w:val="28"/>
          <w:szCs w:val="28"/>
        </w:rPr>
        <w:t>”</w:t>
      </w:r>
      <w:r w:rsidR="00F14AFC" w:rsidRPr="00643DCF">
        <w:rPr>
          <w:sz w:val="28"/>
          <w:szCs w:val="28"/>
        </w:rPr>
        <w:t xml:space="preserve"> y</w:t>
      </w:r>
      <w:r w:rsidR="009B1184" w:rsidRPr="00643DCF">
        <w:rPr>
          <w:sz w:val="28"/>
          <w:szCs w:val="28"/>
        </w:rPr>
        <w:t xml:space="preserve"> un </w:t>
      </w:r>
      <w:r w:rsidR="00EE0A92" w:rsidRPr="00643DCF">
        <w:rPr>
          <w:i/>
          <w:sz w:val="28"/>
          <w:szCs w:val="28"/>
        </w:rPr>
        <w:t>“Subprograma de formación judicial especializado sobre el régimen general de seguridad social en salud”</w:t>
      </w:r>
      <w:r w:rsidR="00A67CD7" w:rsidRPr="00643DCF">
        <w:rPr>
          <w:sz w:val="28"/>
          <w:szCs w:val="28"/>
        </w:rPr>
        <w:t>; s</w:t>
      </w:r>
      <w:r w:rsidR="007A2B9B" w:rsidRPr="00643DCF">
        <w:rPr>
          <w:sz w:val="28"/>
          <w:szCs w:val="28"/>
        </w:rPr>
        <w:t>in embargo</w:t>
      </w:r>
      <w:r w:rsidR="00126F83" w:rsidRPr="00643DCF">
        <w:rPr>
          <w:sz w:val="28"/>
          <w:szCs w:val="28"/>
        </w:rPr>
        <w:t>,</w:t>
      </w:r>
      <w:r w:rsidR="007A2B9B" w:rsidRPr="00643DCF">
        <w:rPr>
          <w:sz w:val="28"/>
          <w:szCs w:val="28"/>
        </w:rPr>
        <w:t xml:space="preserve"> advierte que los mismos no fueron construidos </w:t>
      </w:r>
      <w:r w:rsidR="007431A4" w:rsidRPr="00643DCF">
        <w:rPr>
          <w:sz w:val="28"/>
          <w:szCs w:val="28"/>
        </w:rPr>
        <w:t>con el contenido señalado</w:t>
      </w:r>
      <w:r w:rsidR="007A2B9B" w:rsidRPr="00643DCF">
        <w:rPr>
          <w:sz w:val="28"/>
          <w:szCs w:val="28"/>
        </w:rPr>
        <w:t xml:space="preserve"> en la providencia 144 de 2011, esto es: </w:t>
      </w:r>
      <w:r w:rsidR="00F319B0" w:rsidRPr="00643DCF">
        <w:rPr>
          <w:i/>
          <w:sz w:val="28"/>
          <w:szCs w:val="28"/>
        </w:rPr>
        <w:t>(</w:t>
      </w:r>
      <w:r w:rsidR="007A2B9B" w:rsidRPr="00643DCF">
        <w:rPr>
          <w:i/>
          <w:sz w:val="28"/>
          <w:szCs w:val="28"/>
        </w:rPr>
        <w:t>i)</w:t>
      </w:r>
      <w:r w:rsidR="007A2B9B" w:rsidRPr="00643DCF">
        <w:rPr>
          <w:sz w:val="28"/>
          <w:szCs w:val="28"/>
        </w:rPr>
        <w:t xml:space="preserve"> </w:t>
      </w:r>
      <w:r w:rsidR="00F80C34" w:rsidRPr="00643DCF">
        <w:rPr>
          <w:sz w:val="28"/>
          <w:szCs w:val="28"/>
        </w:rPr>
        <w:t>e</w:t>
      </w:r>
      <w:r w:rsidR="007A2B9B" w:rsidRPr="00643DCF">
        <w:rPr>
          <w:sz w:val="28"/>
          <w:szCs w:val="28"/>
        </w:rPr>
        <w:t xml:space="preserve">specificidad individual de cada </w:t>
      </w:r>
      <w:r w:rsidR="00F80C34" w:rsidRPr="00643DCF">
        <w:rPr>
          <w:sz w:val="28"/>
          <w:szCs w:val="28"/>
        </w:rPr>
        <w:t>p</w:t>
      </w:r>
      <w:r w:rsidR="007A2B9B" w:rsidRPr="00643DCF">
        <w:rPr>
          <w:sz w:val="28"/>
          <w:szCs w:val="28"/>
        </w:rPr>
        <w:t xml:space="preserve">lan, sus </w:t>
      </w:r>
      <w:r w:rsidR="00F80C34" w:rsidRPr="00643DCF">
        <w:rPr>
          <w:sz w:val="28"/>
          <w:szCs w:val="28"/>
        </w:rPr>
        <w:t>c</w:t>
      </w:r>
      <w:r w:rsidR="007A2B9B" w:rsidRPr="00643DCF">
        <w:rPr>
          <w:sz w:val="28"/>
          <w:szCs w:val="28"/>
        </w:rPr>
        <w:t xml:space="preserve">omponentes y sus respectivos </w:t>
      </w:r>
      <w:r w:rsidR="00F80C34" w:rsidRPr="00643DCF">
        <w:rPr>
          <w:sz w:val="28"/>
          <w:szCs w:val="28"/>
        </w:rPr>
        <w:t>e</w:t>
      </w:r>
      <w:r w:rsidR="007A2B9B" w:rsidRPr="00643DCF">
        <w:rPr>
          <w:sz w:val="28"/>
          <w:szCs w:val="28"/>
        </w:rPr>
        <w:t xml:space="preserve">lementos </w:t>
      </w:r>
      <w:r w:rsidR="00F80C34" w:rsidRPr="00643DCF">
        <w:rPr>
          <w:sz w:val="28"/>
          <w:szCs w:val="28"/>
        </w:rPr>
        <w:t>constitutivos</w:t>
      </w:r>
      <w:r w:rsidR="007A2B9B" w:rsidRPr="00643DCF">
        <w:rPr>
          <w:sz w:val="28"/>
          <w:szCs w:val="28"/>
        </w:rPr>
        <w:t xml:space="preserve">; </w:t>
      </w:r>
      <w:r w:rsidR="00F319B0" w:rsidRPr="00643DCF">
        <w:rPr>
          <w:i/>
          <w:sz w:val="28"/>
          <w:szCs w:val="28"/>
        </w:rPr>
        <w:t>(</w:t>
      </w:r>
      <w:r w:rsidR="007A2B9B" w:rsidRPr="00643DCF">
        <w:rPr>
          <w:i/>
          <w:sz w:val="28"/>
          <w:szCs w:val="28"/>
        </w:rPr>
        <w:t>ii)</w:t>
      </w:r>
      <w:r w:rsidR="007A2B9B" w:rsidRPr="00643DCF">
        <w:rPr>
          <w:sz w:val="28"/>
          <w:szCs w:val="28"/>
        </w:rPr>
        <w:t xml:space="preserve"> </w:t>
      </w:r>
      <w:r w:rsidR="00F80C34" w:rsidRPr="00643DCF">
        <w:rPr>
          <w:sz w:val="28"/>
          <w:szCs w:val="28"/>
        </w:rPr>
        <w:t>d</w:t>
      </w:r>
      <w:r w:rsidR="007A2B9B" w:rsidRPr="00643DCF">
        <w:rPr>
          <w:sz w:val="28"/>
          <w:szCs w:val="28"/>
        </w:rPr>
        <w:t xml:space="preserve">efinición de metas puntuales a corto, mediano y largo plazo; </w:t>
      </w:r>
      <w:r w:rsidR="00F319B0" w:rsidRPr="00643DCF">
        <w:rPr>
          <w:i/>
          <w:sz w:val="28"/>
          <w:szCs w:val="28"/>
        </w:rPr>
        <w:t>(</w:t>
      </w:r>
      <w:r w:rsidR="007A2B9B" w:rsidRPr="00643DCF">
        <w:rPr>
          <w:i/>
          <w:sz w:val="28"/>
          <w:szCs w:val="28"/>
        </w:rPr>
        <w:t>iii)</w:t>
      </w:r>
      <w:r w:rsidR="007A2B9B" w:rsidRPr="00643DCF">
        <w:rPr>
          <w:sz w:val="28"/>
          <w:szCs w:val="28"/>
        </w:rPr>
        <w:t xml:space="preserve"> </w:t>
      </w:r>
      <w:r w:rsidR="00F80C34" w:rsidRPr="00643DCF">
        <w:rPr>
          <w:sz w:val="28"/>
          <w:szCs w:val="28"/>
        </w:rPr>
        <w:t xml:space="preserve">cronograma </w:t>
      </w:r>
      <w:r w:rsidR="007A2B9B" w:rsidRPr="00643DCF">
        <w:rPr>
          <w:sz w:val="28"/>
          <w:szCs w:val="28"/>
        </w:rPr>
        <w:t xml:space="preserve">acelerado de implementación; </w:t>
      </w:r>
      <w:r w:rsidR="00F319B0" w:rsidRPr="00643DCF">
        <w:rPr>
          <w:i/>
          <w:sz w:val="28"/>
          <w:szCs w:val="28"/>
        </w:rPr>
        <w:t>(</w:t>
      </w:r>
      <w:r w:rsidR="007A2B9B" w:rsidRPr="00643DCF">
        <w:rPr>
          <w:i/>
          <w:sz w:val="28"/>
          <w:szCs w:val="28"/>
        </w:rPr>
        <w:t>iv)</w:t>
      </w:r>
      <w:r w:rsidR="007A2B9B" w:rsidRPr="00643DCF">
        <w:rPr>
          <w:sz w:val="28"/>
          <w:szCs w:val="28"/>
        </w:rPr>
        <w:t xml:space="preserve"> </w:t>
      </w:r>
      <w:r w:rsidR="00F80C34" w:rsidRPr="00643DCF">
        <w:rPr>
          <w:sz w:val="28"/>
          <w:szCs w:val="28"/>
        </w:rPr>
        <w:t xml:space="preserve">presupuesto </w:t>
      </w:r>
      <w:r w:rsidR="007A2B9B" w:rsidRPr="00643DCF">
        <w:rPr>
          <w:sz w:val="28"/>
          <w:szCs w:val="28"/>
        </w:rPr>
        <w:t xml:space="preserve">suficiente y oportunamente disponible; </w:t>
      </w:r>
      <w:r w:rsidR="00F319B0" w:rsidRPr="00643DCF">
        <w:rPr>
          <w:i/>
          <w:sz w:val="28"/>
          <w:szCs w:val="28"/>
        </w:rPr>
        <w:t>(</w:t>
      </w:r>
      <w:r w:rsidR="007A2B9B" w:rsidRPr="00643DCF">
        <w:rPr>
          <w:i/>
          <w:sz w:val="28"/>
          <w:szCs w:val="28"/>
        </w:rPr>
        <w:t>v)</w:t>
      </w:r>
      <w:r w:rsidR="007A2B9B" w:rsidRPr="00643DCF">
        <w:rPr>
          <w:sz w:val="28"/>
          <w:szCs w:val="28"/>
        </w:rPr>
        <w:t xml:space="preserve"> </w:t>
      </w:r>
      <w:r w:rsidR="00F80C34" w:rsidRPr="00643DCF">
        <w:rPr>
          <w:sz w:val="28"/>
          <w:szCs w:val="28"/>
        </w:rPr>
        <w:t xml:space="preserve">cobertura </w:t>
      </w:r>
      <w:r w:rsidR="007A2B9B" w:rsidRPr="00643DCF">
        <w:rPr>
          <w:sz w:val="28"/>
          <w:szCs w:val="28"/>
        </w:rPr>
        <w:t xml:space="preserve">material suficiente; </w:t>
      </w:r>
      <w:r w:rsidR="00F319B0" w:rsidRPr="00643DCF">
        <w:rPr>
          <w:i/>
          <w:sz w:val="28"/>
          <w:szCs w:val="28"/>
        </w:rPr>
        <w:t>(</w:t>
      </w:r>
      <w:r w:rsidR="007A2B9B" w:rsidRPr="00643DCF">
        <w:rPr>
          <w:i/>
          <w:sz w:val="28"/>
          <w:szCs w:val="28"/>
        </w:rPr>
        <w:t>vi)</w:t>
      </w:r>
      <w:r w:rsidR="007A2B9B" w:rsidRPr="00643DCF">
        <w:rPr>
          <w:sz w:val="28"/>
          <w:szCs w:val="28"/>
        </w:rPr>
        <w:t xml:space="preserve"> </w:t>
      </w:r>
      <w:r w:rsidR="00F80C34" w:rsidRPr="00643DCF">
        <w:rPr>
          <w:sz w:val="28"/>
          <w:szCs w:val="28"/>
        </w:rPr>
        <w:t xml:space="preserve">garantías </w:t>
      </w:r>
      <w:r w:rsidR="007A2B9B" w:rsidRPr="00643DCF">
        <w:rPr>
          <w:sz w:val="28"/>
          <w:szCs w:val="28"/>
        </w:rPr>
        <w:t xml:space="preserve">de continuidad hacia el futuro; </w:t>
      </w:r>
      <w:r w:rsidR="00F319B0" w:rsidRPr="00643DCF">
        <w:rPr>
          <w:i/>
          <w:sz w:val="28"/>
          <w:szCs w:val="28"/>
        </w:rPr>
        <w:t>(</w:t>
      </w:r>
      <w:r w:rsidR="007A2B9B" w:rsidRPr="00643DCF">
        <w:rPr>
          <w:i/>
          <w:sz w:val="28"/>
          <w:szCs w:val="28"/>
        </w:rPr>
        <w:t>vii)</w:t>
      </w:r>
      <w:r w:rsidR="007A2B9B" w:rsidRPr="00643DCF">
        <w:rPr>
          <w:sz w:val="28"/>
          <w:szCs w:val="28"/>
        </w:rPr>
        <w:t xml:space="preserve"> </w:t>
      </w:r>
      <w:r w:rsidR="00F80C34" w:rsidRPr="00643DCF">
        <w:rPr>
          <w:sz w:val="28"/>
          <w:szCs w:val="28"/>
        </w:rPr>
        <w:t xml:space="preserve">adopción </w:t>
      </w:r>
      <w:r w:rsidR="007A2B9B" w:rsidRPr="00643DCF">
        <w:rPr>
          <w:sz w:val="28"/>
          <w:szCs w:val="28"/>
        </w:rPr>
        <w:t xml:space="preserve">e implementación de indicadores de resultado, basados en el criterio del goce efectivo de los derechos fundamentales; </w:t>
      </w:r>
      <w:r w:rsidR="00F319B0" w:rsidRPr="00643DCF">
        <w:rPr>
          <w:i/>
          <w:sz w:val="28"/>
          <w:szCs w:val="28"/>
        </w:rPr>
        <w:t>(</w:t>
      </w:r>
      <w:r w:rsidR="007A2B9B" w:rsidRPr="00643DCF">
        <w:rPr>
          <w:i/>
          <w:sz w:val="28"/>
          <w:szCs w:val="28"/>
        </w:rPr>
        <w:t>viii)</w:t>
      </w:r>
      <w:r w:rsidR="007A2B9B" w:rsidRPr="00643DCF">
        <w:rPr>
          <w:sz w:val="28"/>
          <w:szCs w:val="28"/>
        </w:rPr>
        <w:t xml:space="preserve"> </w:t>
      </w:r>
      <w:r w:rsidR="00F80C34" w:rsidRPr="00643DCF">
        <w:rPr>
          <w:sz w:val="28"/>
          <w:szCs w:val="28"/>
        </w:rPr>
        <w:t xml:space="preserve">diseño </w:t>
      </w:r>
      <w:r w:rsidR="007A2B9B" w:rsidRPr="00643DCF">
        <w:rPr>
          <w:sz w:val="28"/>
          <w:szCs w:val="28"/>
        </w:rPr>
        <w:t xml:space="preserve">e implementación de mecanismos e instrumentos específicos de coordinación interinstitucional; </w:t>
      </w:r>
      <w:r w:rsidR="00F319B0" w:rsidRPr="00643DCF">
        <w:rPr>
          <w:i/>
          <w:sz w:val="28"/>
          <w:szCs w:val="28"/>
        </w:rPr>
        <w:t>(</w:t>
      </w:r>
      <w:r w:rsidR="007A2B9B" w:rsidRPr="00643DCF">
        <w:rPr>
          <w:i/>
          <w:sz w:val="28"/>
          <w:szCs w:val="28"/>
        </w:rPr>
        <w:t>ix)</w:t>
      </w:r>
      <w:r w:rsidR="007A2B9B" w:rsidRPr="00643DCF">
        <w:rPr>
          <w:sz w:val="28"/>
          <w:szCs w:val="28"/>
        </w:rPr>
        <w:t xml:space="preserve"> </w:t>
      </w:r>
      <w:r w:rsidR="00F80C34" w:rsidRPr="00643DCF">
        <w:rPr>
          <w:sz w:val="28"/>
          <w:szCs w:val="28"/>
        </w:rPr>
        <w:t xml:space="preserve">desarrollo </w:t>
      </w:r>
      <w:r w:rsidR="007A2B9B" w:rsidRPr="00643DCF">
        <w:rPr>
          <w:sz w:val="28"/>
          <w:szCs w:val="28"/>
        </w:rPr>
        <w:t xml:space="preserve">e implementación de mecanismos de evaluación y seguimiento; </w:t>
      </w:r>
      <w:r w:rsidR="00F319B0" w:rsidRPr="00643DCF">
        <w:rPr>
          <w:i/>
          <w:sz w:val="28"/>
          <w:szCs w:val="28"/>
        </w:rPr>
        <w:t>(</w:t>
      </w:r>
      <w:r w:rsidR="007A2B9B" w:rsidRPr="00643DCF">
        <w:rPr>
          <w:i/>
          <w:sz w:val="28"/>
          <w:szCs w:val="28"/>
        </w:rPr>
        <w:t>x)</w:t>
      </w:r>
      <w:r w:rsidR="007A2B9B" w:rsidRPr="00643DCF">
        <w:rPr>
          <w:sz w:val="28"/>
          <w:szCs w:val="28"/>
        </w:rPr>
        <w:t xml:space="preserve"> </w:t>
      </w:r>
      <w:r w:rsidR="00F80C34" w:rsidRPr="00643DCF">
        <w:rPr>
          <w:sz w:val="28"/>
          <w:szCs w:val="28"/>
        </w:rPr>
        <w:t xml:space="preserve">diseño </w:t>
      </w:r>
      <w:r w:rsidR="007A2B9B" w:rsidRPr="00643DCF">
        <w:rPr>
          <w:sz w:val="28"/>
          <w:szCs w:val="28"/>
        </w:rPr>
        <w:t xml:space="preserve">e implementación de instrumentos de corrección oportuna frente a estancamientos o retrocesos en el cumplimiento de las metas del </w:t>
      </w:r>
      <w:r w:rsidR="00F80C34" w:rsidRPr="00643DCF">
        <w:rPr>
          <w:sz w:val="28"/>
          <w:szCs w:val="28"/>
        </w:rPr>
        <w:t>plan</w:t>
      </w:r>
      <w:r w:rsidR="007A2B9B" w:rsidRPr="00643DCF">
        <w:rPr>
          <w:sz w:val="28"/>
          <w:szCs w:val="28"/>
        </w:rPr>
        <w:t xml:space="preserve">; </w:t>
      </w:r>
      <w:r w:rsidR="00F319B0" w:rsidRPr="00643DCF">
        <w:rPr>
          <w:i/>
          <w:sz w:val="28"/>
          <w:szCs w:val="28"/>
        </w:rPr>
        <w:t>(</w:t>
      </w:r>
      <w:r w:rsidR="007A2B9B" w:rsidRPr="00643DCF">
        <w:rPr>
          <w:i/>
          <w:sz w:val="28"/>
          <w:szCs w:val="28"/>
        </w:rPr>
        <w:t xml:space="preserve">xi) </w:t>
      </w:r>
      <w:r w:rsidR="00F80C34" w:rsidRPr="00643DCF">
        <w:rPr>
          <w:sz w:val="28"/>
          <w:szCs w:val="28"/>
        </w:rPr>
        <w:t xml:space="preserve">armonización </w:t>
      </w:r>
      <w:r w:rsidR="007A2B9B" w:rsidRPr="00643DCF">
        <w:rPr>
          <w:sz w:val="28"/>
          <w:szCs w:val="28"/>
        </w:rPr>
        <w:t xml:space="preserve">con otros procesos y programas que se adelantan por el </w:t>
      </w:r>
      <w:r w:rsidR="005C68A6" w:rsidRPr="00643DCF">
        <w:rPr>
          <w:sz w:val="28"/>
          <w:szCs w:val="28"/>
        </w:rPr>
        <w:t>G</w:t>
      </w:r>
      <w:r w:rsidR="00F80C34" w:rsidRPr="00643DCF">
        <w:rPr>
          <w:sz w:val="28"/>
          <w:szCs w:val="28"/>
        </w:rPr>
        <w:t xml:space="preserve">obierno </w:t>
      </w:r>
      <w:r w:rsidR="00F03370" w:rsidRPr="00643DCF">
        <w:rPr>
          <w:sz w:val="28"/>
          <w:szCs w:val="28"/>
        </w:rPr>
        <w:t>N</w:t>
      </w:r>
      <w:r w:rsidR="007A2B9B" w:rsidRPr="00643DCF">
        <w:rPr>
          <w:sz w:val="28"/>
          <w:szCs w:val="28"/>
        </w:rPr>
        <w:t xml:space="preserve">acional o por otras autoridades, pero siempre manteniendo su autonomía. </w:t>
      </w:r>
    </w:p>
    <w:p w14:paraId="2704FD28" w14:textId="77777777" w:rsidR="007A2B9B" w:rsidRPr="00643DCF" w:rsidRDefault="007A2B9B" w:rsidP="000C2A40">
      <w:pPr>
        <w:tabs>
          <w:tab w:val="left" w:pos="567"/>
        </w:tabs>
        <w:autoSpaceDE w:val="0"/>
        <w:autoSpaceDN w:val="0"/>
        <w:jc w:val="both"/>
        <w:rPr>
          <w:i/>
          <w:sz w:val="28"/>
          <w:szCs w:val="28"/>
        </w:rPr>
      </w:pPr>
    </w:p>
    <w:p w14:paraId="66201855" w14:textId="6E4CC462" w:rsidR="008F279E" w:rsidRPr="00643DCF" w:rsidRDefault="00AF6CD3" w:rsidP="000C2A40">
      <w:pPr>
        <w:tabs>
          <w:tab w:val="left" w:pos="567"/>
        </w:tabs>
        <w:autoSpaceDE w:val="0"/>
        <w:autoSpaceDN w:val="0"/>
        <w:jc w:val="both"/>
        <w:rPr>
          <w:sz w:val="28"/>
          <w:szCs w:val="28"/>
        </w:rPr>
      </w:pPr>
      <w:r w:rsidRPr="00643DCF">
        <w:rPr>
          <w:sz w:val="28"/>
          <w:szCs w:val="28"/>
        </w:rPr>
        <w:t>3</w:t>
      </w:r>
      <w:r w:rsidR="00846C36" w:rsidRPr="00643DCF">
        <w:rPr>
          <w:sz w:val="28"/>
          <w:szCs w:val="28"/>
        </w:rPr>
        <w:t>9</w:t>
      </w:r>
      <w:r w:rsidRPr="00643DCF">
        <w:rPr>
          <w:sz w:val="28"/>
          <w:szCs w:val="28"/>
        </w:rPr>
        <w:t xml:space="preserve">. </w:t>
      </w:r>
      <w:r w:rsidR="00872CB7" w:rsidRPr="00643DCF">
        <w:rPr>
          <w:sz w:val="28"/>
          <w:szCs w:val="28"/>
        </w:rPr>
        <w:t xml:space="preserve">No obstante, </w:t>
      </w:r>
      <w:r w:rsidR="00464A88" w:rsidRPr="00643DCF">
        <w:rPr>
          <w:sz w:val="28"/>
          <w:szCs w:val="28"/>
        </w:rPr>
        <w:t xml:space="preserve">la Sala </w:t>
      </w:r>
      <w:r w:rsidR="00872CB7" w:rsidRPr="00643DCF">
        <w:rPr>
          <w:sz w:val="28"/>
          <w:szCs w:val="28"/>
        </w:rPr>
        <w:t xml:space="preserve">observa </w:t>
      </w:r>
      <w:r w:rsidR="00F80C34" w:rsidRPr="00643DCF">
        <w:rPr>
          <w:sz w:val="28"/>
          <w:szCs w:val="28"/>
        </w:rPr>
        <w:t>en</w:t>
      </w:r>
      <w:r w:rsidR="00740216" w:rsidRPr="00643DCF">
        <w:rPr>
          <w:sz w:val="28"/>
          <w:szCs w:val="28"/>
        </w:rPr>
        <w:t xml:space="preserve"> los </w:t>
      </w:r>
      <w:r w:rsidR="00872CB7" w:rsidRPr="00643DCF">
        <w:rPr>
          <w:sz w:val="28"/>
          <w:szCs w:val="28"/>
        </w:rPr>
        <w:t>programas y cronogramas enviados</w:t>
      </w:r>
      <w:r w:rsidR="00F80C34" w:rsidRPr="00643DCF">
        <w:rPr>
          <w:sz w:val="28"/>
          <w:szCs w:val="28"/>
        </w:rPr>
        <w:t xml:space="preserve"> que </w:t>
      </w:r>
      <w:r w:rsidR="00464A88" w:rsidRPr="00643DCF">
        <w:rPr>
          <w:sz w:val="28"/>
          <w:szCs w:val="28"/>
        </w:rPr>
        <w:t>el</w:t>
      </w:r>
      <w:r w:rsidR="00872CB7" w:rsidRPr="00643DCF">
        <w:rPr>
          <w:sz w:val="28"/>
          <w:szCs w:val="28"/>
        </w:rPr>
        <w:t xml:space="preserve"> CSJ</w:t>
      </w:r>
      <w:r w:rsidR="00464A88" w:rsidRPr="00643DCF">
        <w:rPr>
          <w:sz w:val="28"/>
          <w:szCs w:val="28"/>
        </w:rPr>
        <w:t xml:space="preserve"> pretendía</w:t>
      </w:r>
      <w:r w:rsidR="00740216" w:rsidRPr="00643DCF">
        <w:rPr>
          <w:sz w:val="28"/>
          <w:szCs w:val="28"/>
        </w:rPr>
        <w:t xml:space="preserve"> </w:t>
      </w:r>
      <w:r w:rsidR="009E7CE1" w:rsidRPr="00643DCF">
        <w:rPr>
          <w:sz w:val="28"/>
          <w:szCs w:val="28"/>
        </w:rPr>
        <w:t>acatar</w:t>
      </w:r>
      <w:r w:rsidR="0084733E" w:rsidRPr="00643DCF">
        <w:rPr>
          <w:sz w:val="28"/>
          <w:szCs w:val="28"/>
        </w:rPr>
        <w:t xml:space="preserve"> lo ordenado en el auto </w:t>
      </w:r>
      <w:r w:rsidR="00C675AC" w:rsidRPr="00643DCF">
        <w:rPr>
          <w:sz w:val="28"/>
          <w:szCs w:val="28"/>
        </w:rPr>
        <w:t>144 de 2011</w:t>
      </w:r>
      <w:r w:rsidR="00416515" w:rsidRPr="00643DCF">
        <w:rPr>
          <w:sz w:val="28"/>
          <w:szCs w:val="28"/>
        </w:rPr>
        <w:t xml:space="preserve">, toda vez que el </w:t>
      </w:r>
      <w:r w:rsidR="00C675AC" w:rsidRPr="00643DCF">
        <w:rPr>
          <w:sz w:val="28"/>
          <w:szCs w:val="28"/>
        </w:rPr>
        <w:t>mismo dispuso</w:t>
      </w:r>
      <w:r w:rsidR="0084733E" w:rsidRPr="00643DCF">
        <w:rPr>
          <w:sz w:val="28"/>
          <w:szCs w:val="28"/>
        </w:rPr>
        <w:t xml:space="preserve"> </w:t>
      </w:r>
      <w:r w:rsidR="00740216" w:rsidRPr="00643DCF">
        <w:rPr>
          <w:sz w:val="28"/>
          <w:szCs w:val="28"/>
        </w:rPr>
        <w:t xml:space="preserve">hacer una difusión efectiva </w:t>
      </w:r>
      <w:r w:rsidR="00872CB7" w:rsidRPr="00643DCF">
        <w:rPr>
          <w:sz w:val="28"/>
          <w:szCs w:val="28"/>
        </w:rPr>
        <w:t>de la sentenci</w:t>
      </w:r>
      <w:r w:rsidR="00A67CD7" w:rsidRPr="00643DCF">
        <w:rPr>
          <w:sz w:val="28"/>
          <w:szCs w:val="28"/>
        </w:rPr>
        <w:t>a</w:t>
      </w:r>
      <w:r w:rsidR="005B19BD" w:rsidRPr="00643DCF">
        <w:rPr>
          <w:sz w:val="28"/>
          <w:szCs w:val="28"/>
        </w:rPr>
        <w:t xml:space="preserve"> y </w:t>
      </w:r>
      <w:r w:rsidR="00A67CD7" w:rsidRPr="00643DCF">
        <w:rPr>
          <w:sz w:val="28"/>
          <w:szCs w:val="28"/>
        </w:rPr>
        <w:t>q</w:t>
      </w:r>
      <w:r w:rsidR="00740216" w:rsidRPr="00643DCF">
        <w:rPr>
          <w:sz w:val="28"/>
          <w:szCs w:val="28"/>
        </w:rPr>
        <w:t xml:space="preserve">ue </w:t>
      </w:r>
      <w:r w:rsidR="004B2BB2" w:rsidRPr="00643DCF">
        <w:rPr>
          <w:sz w:val="28"/>
          <w:szCs w:val="28"/>
        </w:rPr>
        <w:t>est</w:t>
      </w:r>
      <w:r w:rsidR="00C675AC" w:rsidRPr="00643DCF">
        <w:rPr>
          <w:sz w:val="28"/>
          <w:szCs w:val="28"/>
        </w:rPr>
        <w:t>a</w:t>
      </w:r>
      <w:r w:rsidR="004B2BB2" w:rsidRPr="00643DCF">
        <w:rPr>
          <w:sz w:val="28"/>
          <w:szCs w:val="28"/>
        </w:rPr>
        <w:t xml:space="preserve"> </w:t>
      </w:r>
      <w:r w:rsidR="00740216" w:rsidRPr="00643DCF">
        <w:rPr>
          <w:sz w:val="28"/>
          <w:szCs w:val="28"/>
        </w:rPr>
        <w:t>se extendiera a un grupo poblacional más amplio</w:t>
      </w:r>
      <w:r w:rsidR="005B19BD" w:rsidRPr="00643DCF">
        <w:rPr>
          <w:sz w:val="28"/>
          <w:szCs w:val="28"/>
        </w:rPr>
        <w:t xml:space="preserve">, </w:t>
      </w:r>
      <w:r w:rsidR="00B965DA" w:rsidRPr="00643DCF">
        <w:rPr>
          <w:sz w:val="28"/>
          <w:szCs w:val="28"/>
        </w:rPr>
        <w:t xml:space="preserve">por </w:t>
      </w:r>
      <w:r w:rsidR="004B2BB2" w:rsidRPr="00643DCF">
        <w:rPr>
          <w:sz w:val="28"/>
          <w:szCs w:val="28"/>
        </w:rPr>
        <w:t xml:space="preserve">ese </w:t>
      </w:r>
      <w:r w:rsidR="00B965DA" w:rsidRPr="00643DCF">
        <w:rPr>
          <w:sz w:val="28"/>
          <w:szCs w:val="28"/>
        </w:rPr>
        <w:t>motivo</w:t>
      </w:r>
      <w:r w:rsidR="00A67CD7" w:rsidRPr="00643DCF">
        <w:rPr>
          <w:sz w:val="28"/>
          <w:szCs w:val="28"/>
        </w:rPr>
        <w:t xml:space="preserve"> </w:t>
      </w:r>
      <w:r w:rsidR="00B965DA" w:rsidRPr="00643DCF">
        <w:rPr>
          <w:sz w:val="28"/>
          <w:szCs w:val="28"/>
        </w:rPr>
        <w:t>presentó planes educativos dirigidos a los jueces y magistrados</w:t>
      </w:r>
      <w:r w:rsidR="005B19BD" w:rsidRPr="00643DCF">
        <w:rPr>
          <w:sz w:val="28"/>
          <w:szCs w:val="28"/>
        </w:rPr>
        <w:t xml:space="preserve"> que contenían </w:t>
      </w:r>
      <w:r w:rsidR="00B965DA" w:rsidRPr="00643DCF">
        <w:rPr>
          <w:sz w:val="28"/>
          <w:szCs w:val="28"/>
        </w:rPr>
        <w:t>temas de seguridad social en salud</w:t>
      </w:r>
      <w:r w:rsidR="00242C99" w:rsidRPr="00643DCF">
        <w:rPr>
          <w:sz w:val="28"/>
          <w:szCs w:val="28"/>
        </w:rPr>
        <w:t xml:space="preserve">. </w:t>
      </w:r>
    </w:p>
    <w:p w14:paraId="0ADBE0EA" w14:textId="77777777" w:rsidR="008F279E" w:rsidRPr="00643DCF" w:rsidRDefault="008F279E" w:rsidP="000C2A40">
      <w:pPr>
        <w:tabs>
          <w:tab w:val="left" w:pos="567"/>
        </w:tabs>
        <w:autoSpaceDE w:val="0"/>
        <w:autoSpaceDN w:val="0"/>
        <w:jc w:val="both"/>
        <w:rPr>
          <w:sz w:val="28"/>
          <w:szCs w:val="28"/>
        </w:rPr>
      </w:pPr>
    </w:p>
    <w:p w14:paraId="20080597" w14:textId="55240014" w:rsidR="008706C0" w:rsidRPr="00643DCF" w:rsidRDefault="00846C36" w:rsidP="000C2A40">
      <w:pPr>
        <w:tabs>
          <w:tab w:val="left" w:pos="567"/>
        </w:tabs>
        <w:autoSpaceDE w:val="0"/>
        <w:autoSpaceDN w:val="0"/>
        <w:jc w:val="both"/>
        <w:rPr>
          <w:sz w:val="28"/>
          <w:szCs w:val="28"/>
        </w:rPr>
      </w:pPr>
      <w:r w:rsidRPr="00643DCF">
        <w:rPr>
          <w:sz w:val="28"/>
          <w:szCs w:val="28"/>
        </w:rPr>
        <w:t>40</w:t>
      </w:r>
      <w:r w:rsidR="00AF6CD3" w:rsidRPr="00643DCF">
        <w:rPr>
          <w:sz w:val="28"/>
          <w:szCs w:val="28"/>
        </w:rPr>
        <w:t xml:space="preserve">. </w:t>
      </w:r>
      <w:r w:rsidR="00242C99" w:rsidRPr="00643DCF">
        <w:rPr>
          <w:sz w:val="28"/>
          <w:szCs w:val="28"/>
        </w:rPr>
        <w:t>D</w:t>
      </w:r>
      <w:r w:rsidR="00B965DA" w:rsidRPr="00643DCF">
        <w:rPr>
          <w:sz w:val="28"/>
          <w:szCs w:val="28"/>
        </w:rPr>
        <w:t>e igual manera</w:t>
      </w:r>
      <w:r w:rsidR="00417D68" w:rsidRPr="00643DCF">
        <w:rPr>
          <w:sz w:val="28"/>
          <w:szCs w:val="28"/>
        </w:rPr>
        <w:t>,</w:t>
      </w:r>
      <w:r w:rsidR="00B965DA" w:rsidRPr="00643DCF">
        <w:rPr>
          <w:sz w:val="28"/>
          <w:szCs w:val="28"/>
        </w:rPr>
        <w:t xml:space="preserve"> </w:t>
      </w:r>
      <w:r w:rsidR="00FC4EAB" w:rsidRPr="00643DCF">
        <w:rPr>
          <w:sz w:val="28"/>
          <w:szCs w:val="28"/>
        </w:rPr>
        <w:t>estableci</w:t>
      </w:r>
      <w:r w:rsidR="005B19BD" w:rsidRPr="00643DCF">
        <w:rPr>
          <w:sz w:val="28"/>
          <w:szCs w:val="28"/>
        </w:rPr>
        <w:t xml:space="preserve">ó </w:t>
      </w:r>
      <w:r w:rsidR="00B965DA" w:rsidRPr="00643DCF">
        <w:rPr>
          <w:sz w:val="28"/>
          <w:szCs w:val="28"/>
        </w:rPr>
        <w:t>mecanismos de divulgación con medios de comunicación</w:t>
      </w:r>
      <w:r w:rsidR="005C4FE7" w:rsidRPr="00643DCF">
        <w:rPr>
          <w:sz w:val="28"/>
          <w:szCs w:val="28"/>
        </w:rPr>
        <w:t xml:space="preserve"> tradicionales y virtuales</w:t>
      </w:r>
      <w:r w:rsidR="00FC4EAB" w:rsidRPr="00643DCF">
        <w:rPr>
          <w:sz w:val="28"/>
          <w:szCs w:val="28"/>
        </w:rPr>
        <w:t>,</w:t>
      </w:r>
      <w:r w:rsidR="005C4FE7" w:rsidRPr="00643DCF">
        <w:rPr>
          <w:sz w:val="28"/>
          <w:szCs w:val="28"/>
        </w:rPr>
        <w:t xml:space="preserve"> además publicaciones impresas</w:t>
      </w:r>
      <w:r w:rsidR="005B19BD" w:rsidRPr="00643DCF">
        <w:rPr>
          <w:sz w:val="28"/>
          <w:szCs w:val="28"/>
        </w:rPr>
        <w:t xml:space="preserve">, </w:t>
      </w:r>
      <w:r w:rsidR="0084733E" w:rsidRPr="00643DCF">
        <w:rPr>
          <w:sz w:val="28"/>
          <w:szCs w:val="28"/>
        </w:rPr>
        <w:t>todo ello</w:t>
      </w:r>
      <w:r w:rsidR="00B965DA" w:rsidRPr="00643DCF">
        <w:rPr>
          <w:sz w:val="28"/>
          <w:szCs w:val="28"/>
        </w:rPr>
        <w:t xml:space="preserve"> </w:t>
      </w:r>
      <w:r w:rsidR="00740216" w:rsidRPr="00643DCF">
        <w:rPr>
          <w:sz w:val="28"/>
          <w:szCs w:val="28"/>
        </w:rPr>
        <w:t>con el fin de</w:t>
      </w:r>
      <w:r w:rsidR="00A67CD7" w:rsidRPr="00643DCF">
        <w:rPr>
          <w:sz w:val="28"/>
          <w:szCs w:val="28"/>
        </w:rPr>
        <w:t xml:space="preserve"> hacer más eficaz y eficiente la función judicial</w:t>
      </w:r>
      <w:r w:rsidR="0021548A" w:rsidRPr="00643DCF">
        <w:rPr>
          <w:sz w:val="28"/>
          <w:szCs w:val="28"/>
        </w:rPr>
        <w:t xml:space="preserve"> y </w:t>
      </w:r>
      <w:r w:rsidR="00B965DA" w:rsidRPr="00643DCF">
        <w:rPr>
          <w:sz w:val="28"/>
          <w:szCs w:val="28"/>
        </w:rPr>
        <w:t xml:space="preserve">que los encargados de administrar justicia </w:t>
      </w:r>
      <w:r w:rsidR="0021548A" w:rsidRPr="00643DCF">
        <w:rPr>
          <w:sz w:val="28"/>
          <w:szCs w:val="28"/>
        </w:rPr>
        <w:t xml:space="preserve">adquirieran competencias para </w:t>
      </w:r>
      <w:r w:rsidR="005B19BD" w:rsidRPr="00643DCF">
        <w:rPr>
          <w:sz w:val="28"/>
          <w:szCs w:val="28"/>
        </w:rPr>
        <w:t xml:space="preserve">decidir </w:t>
      </w:r>
      <w:r w:rsidR="0021548A" w:rsidRPr="00643DCF">
        <w:rPr>
          <w:sz w:val="28"/>
          <w:szCs w:val="28"/>
        </w:rPr>
        <w:t xml:space="preserve">los asuntos de seguridad social en salud con un enfoque constitucional de protección de los derechos fundamentales </w:t>
      </w:r>
      <w:r w:rsidR="004B2BB2" w:rsidRPr="00643DCF">
        <w:rPr>
          <w:sz w:val="28"/>
          <w:szCs w:val="28"/>
        </w:rPr>
        <w:t xml:space="preserve">con el fin de </w:t>
      </w:r>
      <w:r w:rsidR="0021548A" w:rsidRPr="00643DCF">
        <w:rPr>
          <w:sz w:val="28"/>
          <w:szCs w:val="28"/>
        </w:rPr>
        <w:t>garantizar el acceso a los servicios de salud</w:t>
      </w:r>
      <w:r w:rsidR="005B19BD" w:rsidRPr="00643DCF">
        <w:rPr>
          <w:sz w:val="28"/>
          <w:szCs w:val="28"/>
        </w:rPr>
        <w:t xml:space="preserve">, circunstancias </w:t>
      </w:r>
      <w:r w:rsidR="005C4FE7" w:rsidRPr="00643DCF">
        <w:rPr>
          <w:sz w:val="28"/>
          <w:szCs w:val="28"/>
        </w:rPr>
        <w:t>que permite</w:t>
      </w:r>
      <w:r w:rsidR="005B19BD" w:rsidRPr="00643DCF">
        <w:rPr>
          <w:sz w:val="28"/>
          <w:szCs w:val="28"/>
        </w:rPr>
        <w:t>n</w:t>
      </w:r>
      <w:r w:rsidR="005C4FE7" w:rsidRPr="00643DCF">
        <w:rPr>
          <w:sz w:val="28"/>
          <w:szCs w:val="28"/>
        </w:rPr>
        <w:t xml:space="preserve"> concluir que son medidas conducentes </w:t>
      </w:r>
      <w:r w:rsidR="004B2BB2" w:rsidRPr="00643DCF">
        <w:rPr>
          <w:sz w:val="28"/>
          <w:szCs w:val="28"/>
        </w:rPr>
        <w:t xml:space="preserve">tendientes a </w:t>
      </w:r>
      <w:r w:rsidR="00646F47" w:rsidRPr="00643DCF">
        <w:rPr>
          <w:sz w:val="28"/>
          <w:szCs w:val="28"/>
        </w:rPr>
        <w:t xml:space="preserve">la </w:t>
      </w:r>
      <w:r w:rsidR="009E7CE1" w:rsidRPr="00643DCF">
        <w:rPr>
          <w:sz w:val="28"/>
          <w:szCs w:val="28"/>
        </w:rPr>
        <w:t xml:space="preserve">consecución </w:t>
      </w:r>
      <w:r w:rsidR="004B2BB2" w:rsidRPr="00643DCF">
        <w:rPr>
          <w:sz w:val="28"/>
          <w:szCs w:val="28"/>
        </w:rPr>
        <w:t>del objetivo planteado</w:t>
      </w:r>
      <w:r w:rsidR="00163F28" w:rsidRPr="00643DCF">
        <w:rPr>
          <w:sz w:val="28"/>
          <w:szCs w:val="28"/>
        </w:rPr>
        <w:t xml:space="preserve">. </w:t>
      </w:r>
    </w:p>
    <w:p w14:paraId="7E88F6BD" w14:textId="77777777" w:rsidR="008706C0" w:rsidRPr="00643DCF" w:rsidRDefault="008706C0" w:rsidP="000C2A40">
      <w:pPr>
        <w:tabs>
          <w:tab w:val="left" w:pos="567"/>
        </w:tabs>
        <w:autoSpaceDE w:val="0"/>
        <w:autoSpaceDN w:val="0"/>
        <w:jc w:val="both"/>
        <w:rPr>
          <w:sz w:val="28"/>
          <w:szCs w:val="28"/>
        </w:rPr>
      </w:pPr>
    </w:p>
    <w:p w14:paraId="14C717FB" w14:textId="38552695" w:rsidR="00E33EFD" w:rsidRPr="00643DCF" w:rsidRDefault="0057282C" w:rsidP="00E33EFD">
      <w:pPr>
        <w:tabs>
          <w:tab w:val="left" w:pos="567"/>
        </w:tabs>
        <w:autoSpaceDE w:val="0"/>
        <w:autoSpaceDN w:val="0"/>
        <w:jc w:val="both"/>
        <w:rPr>
          <w:sz w:val="28"/>
          <w:szCs w:val="28"/>
        </w:rPr>
      </w:pPr>
      <w:r w:rsidRPr="00643DCF">
        <w:rPr>
          <w:sz w:val="28"/>
          <w:szCs w:val="28"/>
        </w:rPr>
        <w:t>4</w:t>
      </w:r>
      <w:r w:rsidR="00846C36" w:rsidRPr="00643DCF">
        <w:rPr>
          <w:sz w:val="28"/>
          <w:szCs w:val="28"/>
        </w:rPr>
        <w:t>1</w:t>
      </w:r>
      <w:r w:rsidR="00AF6CD3" w:rsidRPr="00643DCF">
        <w:rPr>
          <w:sz w:val="28"/>
          <w:szCs w:val="28"/>
        </w:rPr>
        <w:t xml:space="preserve">. </w:t>
      </w:r>
      <w:r w:rsidR="00F1454B" w:rsidRPr="00643DCF">
        <w:rPr>
          <w:sz w:val="28"/>
          <w:szCs w:val="28"/>
        </w:rPr>
        <w:t>En relación con el contenido del cronograma la Defensoría del Pueblo</w:t>
      </w:r>
      <w:r w:rsidR="0065260F" w:rsidRPr="00643DCF">
        <w:rPr>
          <w:sz w:val="28"/>
          <w:szCs w:val="28"/>
        </w:rPr>
        <w:t xml:space="preserve"> manifestó que el documento elaborado contaba con una estructura adecuada, pero no </w:t>
      </w:r>
      <w:r w:rsidR="004E79F8" w:rsidRPr="00643DCF">
        <w:rPr>
          <w:sz w:val="28"/>
          <w:szCs w:val="28"/>
        </w:rPr>
        <w:t xml:space="preserve">presentó los resultados obtenidos en el proceso de diagnóstico de necesidades, ni estableció </w:t>
      </w:r>
      <w:r w:rsidR="002740F8" w:rsidRPr="00643DCF">
        <w:rPr>
          <w:sz w:val="28"/>
          <w:szCs w:val="28"/>
        </w:rPr>
        <w:t xml:space="preserve">las </w:t>
      </w:r>
      <w:r w:rsidR="00E33EFD" w:rsidRPr="00643DCF">
        <w:rPr>
          <w:sz w:val="28"/>
          <w:szCs w:val="28"/>
        </w:rPr>
        <w:t xml:space="preserve">metas de cobertura para cumplir con los </w:t>
      </w:r>
      <w:r w:rsidR="00AC7BC5" w:rsidRPr="00643DCF">
        <w:rPr>
          <w:sz w:val="28"/>
          <w:szCs w:val="28"/>
        </w:rPr>
        <w:t>objetivos propuestos</w:t>
      </w:r>
      <w:r w:rsidR="00E33EFD" w:rsidRPr="00643DCF">
        <w:rPr>
          <w:rStyle w:val="Refdenotaalpie"/>
          <w:sz w:val="28"/>
          <w:szCs w:val="28"/>
        </w:rPr>
        <w:footnoteReference w:id="133"/>
      </w:r>
      <w:r w:rsidR="00E33EFD" w:rsidRPr="00643DCF">
        <w:rPr>
          <w:sz w:val="28"/>
          <w:szCs w:val="28"/>
        </w:rPr>
        <w:t>.</w:t>
      </w:r>
    </w:p>
    <w:p w14:paraId="4544C4CB" w14:textId="77777777" w:rsidR="00D30825" w:rsidRPr="00643DCF" w:rsidRDefault="00D30825" w:rsidP="000C2A40">
      <w:pPr>
        <w:tabs>
          <w:tab w:val="left" w:pos="567"/>
        </w:tabs>
        <w:autoSpaceDE w:val="0"/>
        <w:autoSpaceDN w:val="0"/>
        <w:jc w:val="both"/>
        <w:rPr>
          <w:sz w:val="28"/>
          <w:szCs w:val="28"/>
        </w:rPr>
      </w:pPr>
    </w:p>
    <w:p w14:paraId="6F8F1745" w14:textId="222B63C9" w:rsidR="004F1D3D" w:rsidRPr="00643DCF" w:rsidRDefault="0057282C" w:rsidP="000C2A40">
      <w:pPr>
        <w:tabs>
          <w:tab w:val="left" w:pos="567"/>
        </w:tabs>
        <w:autoSpaceDE w:val="0"/>
        <w:autoSpaceDN w:val="0"/>
        <w:jc w:val="both"/>
        <w:rPr>
          <w:sz w:val="28"/>
          <w:szCs w:val="28"/>
        </w:rPr>
      </w:pPr>
      <w:r w:rsidRPr="00643DCF">
        <w:rPr>
          <w:sz w:val="28"/>
          <w:szCs w:val="28"/>
        </w:rPr>
        <w:t>4</w:t>
      </w:r>
      <w:r w:rsidR="00846C36" w:rsidRPr="00643DCF">
        <w:rPr>
          <w:sz w:val="28"/>
          <w:szCs w:val="28"/>
        </w:rPr>
        <w:t>2</w:t>
      </w:r>
      <w:r w:rsidR="00AF6CD3" w:rsidRPr="00643DCF">
        <w:rPr>
          <w:sz w:val="28"/>
          <w:szCs w:val="28"/>
        </w:rPr>
        <w:t xml:space="preserve">. </w:t>
      </w:r>
      <w:r w:rsidR="00D30825" w:rsidRPr="00643DCF">
        <w:rPr>
          <w:sz w:val="28"/>
          <w:szCs w:val="28"/>
        </w:rPr>
        <w:t>Analizada la información contenida en los p</w:t>
      </w:r>
      <w:r w:rsidR="008706C0" w:rsidRPr="00643DCF">
        <w:rPr>
          <w:sz w:val="28"/>
          <w:szCs w:val="28"/>
        </w:rPr>
        <w:t xml:space="preserve">rogramas </w:t>
      </w:r>
      <w:r w:rsidR="004F1D3D" w:rsidRPr="00643DCF">
        <w:rPr>
          <w:sz w:val="28"/>
          <w:szCs w:val="28"/>
        </w:rPr>
        <w:t xml:space="preserve">y subprogramas </w:t>
      </w:r>
      <w:r w:rsidR="008706C0" w:rsidRPr="00643DCF">
        <w:rPr>
          <w:sz w:val="28"/>
          <w:szCs w:val="28"/>
        </w:rPr>
        <w:t>de formación</w:t>
      </w:r>
      <w:r w:rsidR="00D30825" w:rsidRPr="00643DCF">
        <w:rPr>
          <w:sz w:val="28"/>
          <w:szCs w:val="28"/>
        </w:rPr>
        <w:t xml:space="preserve">, </w:t>
      </w:r>
      <w:r w:rsidR="00EC26FC" w:rsidRPr="00643DCF">
        <w:rPr>
          <w:sz w:val="28"/>
          <w:szCs w:val="28"/>
        </w:rPr>
        <w:t xml:space="preserve">observa la </w:t>
      </w:r>
      <w:r w:rsidR="00AF6CD3" w:rsidRPr="00643DCF">
        <w:rPr>
          <w:sz w:val="28"/>
          <w:szCs w:val="28"/>
        </w:rPr>
        <w:t xml:space="preserve">Corte </w:t>
      </w:r>
      <w:r w:rsidR="00EC26FC" w:rsidRPr="00643DCF">
        <w:rPr>
          <w:sz w:val="28"/>
          <w:szCs w:val="28"/>
        </w:rPr>
        <w:t xml:space="preserve">que </w:t>
      </w:r>
      <w:r w:rsidR="00D30825" w:rsidRPr="00643DCF">
        <w:rPr>
          <w:sz w:val="28"/>
          <w:szCs w:val="28"/>
        </w:rPr>
        <w:t xml:space="preserve">los mismos </w:t>
      </w:r>
      <w:r w:rsidR="008706C0" w:rsidRPr="00643DCF">
        <w:rPr>
          <w:sz w:val="28"/>
          <w:szCs w:val="28"/>
        </w:rPr>
        <w:t xml:space="preserve">no </w:t>
      </w:r>
      <w:r w:rsidR="00A82933" w:rsidRPr="00643DCF">
        <w:rPr>
          <w:sz w:val="28"/>
          <w:szCs w:val="28"/>
        </w:rPr>
        <w:t>determina</w:t>
      </w:r>
      <w:r w:rsidR="00752EC3" w:rsidRPr="00643DCF">
        <w:rPr>
          <w:sz w:val="28"/>
          <w:szCs w:val="28"/>
        </w:rPr>
        <w:t>n</w:t>
      </w:r>
      <w:r w:rsidR="00A82933" w:rsidRPr="00643DCF">
        <w:rPr>
          <w:sz w:val="28"/>
          <w:szCs w:val="28"/>
        </w:rPr>
        <w:t xml:space="preserve"> que </w:t>
      </w:r>
      <w:r w:rsidR="005B19BD" w:rsidRPr="00643DCF">
        <w:rPr>
          <w:sz w:val="28"/>
          <w:szCs w:val="28"/>
        </w:rPr>
        <w:t>las</w:t>
      </w:r>
      <w:r w:rsidR="004F1D3D" w:rsidRPr="00643DCF">
        <w:rPr>
          <w:sz w:val="28"/>
          <w:szCs w:val="28"/>
        </w:rPr>
        <w:t xml:space="preserve"> capacitac</w:t>
      </w:r>
      <w:r w:rsidR="005B19BD" w:rsidRPr="00643DCF">
        <w:rPr>
          <w:sz w:val="28"/>
          <w:szCs w:val="28"/>
        </w:rPr>
        <w:t>iones y la di</w:t>
      </w:r>
      <w:r w:rsidR="00414DF8" w:rsidRPr="00643DCF">
        <w:rPr>
          <w:sz w:val="28"/>
          <w:szCs w:val="28"/>
        </w:rPr>
        <w:t xml:space="preserve">fusión </w:t>
      </w:r>
      <w:r w:rsidR="005B19BD" w:rsidRPr="00643DCF">
        <w:rPr>
          <w:sz w:val="28"/>
          <w:szCs w:val="28"/>
        </w:rPr>
        <w:t>d</w:t>
      </w:r>
      <w:r w:rsidR="00FC4E5B" w:rsidRPr="00643DCF">
        <w:rPr>
          <w:sz w:val="28"/>
          <w:szCs w:val="28"/>
        </w:rPr>
        <w:t>e</w:t>
      </w:r>
      <w:r w:rsidR="00572754" w:rsidRPr="00643DCF">
        <w:rPr>
          <w:sz w:val="28"/>
          <w:szCs w:val="28"/>
        </w:rPr>
        <w:t>l fallo</w:t>
      </w:r>
      <w:r w:rsidR="00A82933" w:rsidRPr="00643DCF">
        <w:rPr>
          <w:sz w:val="28"/>
          <w:szCs w:val="28"/>
        </w:rPr>
        <w:t xml:space="preserve"> </w:t>
      </w:r>
      <w:r w:rsidR="00AC53E4" w:rsidRPr="00643DCF">
        <w:rPr>
          <w:sz w:val="28"/>
          <w:szCs w:val="28"/>
        </w:rPr>
        <w:t>se debía</w:t>
      </w:r>
      <w:r w:rsidR="00A82933" w:rsidRPr="00643DCF">
        <w:rPr>
          <w:sz w:val="28"/>
          <w:szCs w:val="28"/>
        </w:rPr>
        <w:t xml:space="preserve"> realizar</w:t>
      </w:r>
      <w:r w:rsidR="004F1D3D" w:rsidRPr="00643DCF">
        <w:rPr>
          <w:sz w:val="28"/>
          <w:szCs w:val="28"/>
        </w:rPr>
        <w:t xml:space="preserve"> </w:t>
      </w:r>
      <w:r w:rsidR="00572754" w:rsidRPr="00643DCF">
        <w:rPr>
          <w:sz w:val="28"/>
          <w:szCs w:val="28"/>
        </w:rPr>
        <w:t xml:space="preserve">también </w:t>
      </w:r>
      <w:r w:rsidR="004F1D3D" w:rsidRPr="00643DCF">
        <w:rPr>
          <w:sz w:val="28"/>
          <w:szCs w:val="28"/>
        </w:rPr>
        <w:t xml:space="preserve">respecto de los problemas jurídicos identificados en la </w:t>
      </w:r>
      <w:r w:rsidR="003B6894" w:rsidRPr="00643DCF">
        <w:rPr>
          <w:sz w:val="28"/>
          <w:szCs w:val="28"/>
        </w:rPr>
        <w:t>s</w:t>
      </w:r>
      <w:r w:rsidR="004F1D3D" w:rsidRPr="00643DCF">
        <w:rPr>
          <w:sz w:val="28"/>
          <w:szCs w:val="28"/>
        </w:rPr>
        <w:t>entencia T-760 de 2008</w:t>
      </w:r>
      <w:r w:rsidR="005B19BD" w:rsidRPr="00643DCF">
        <w:rPr>
          <w:sz w:val="28"/>
          <w:szCs w:val="28"/>
        </w:rPr>
        <w:t xml:space="preserve"> </w:t>
      </w:r>
      <w:r w:rsidR="00572754" w:rsidRPr="00643DCF">
        <w:rPr>
          <w:sz w:val="28"/>
          <w:szCs w:val="28"/>
        </w:rPr>
        <w:t>y</w:t>
      </w:r>
      <w:r w:rsidR="004F1D3D" w:rsidRPr="00643DCF">
        <w:rPr>
          <w:sz w:val="28"/>
          <w:szCs w:val="28"/>
        </w:rPr>
        <w:t xml:space="preserve"> </w:t>
      </w:r>
      <w:r w:rsidR="0041528F" w:rsidRPr="00643DCF">
        <w:rPr>
          <w:sz w:val="28"/>
          <w:szCs w:val="28"/>
        </w:rPr>
        <w:t xml:space="preserve">sobre </w:t>
      </w:r>
      <w:r w:rsidR="004F1D3D" w:rsidRPr="00643DCF">
        <w:rPr>
          <w:sz w:val="28"/>
          <w:szCs w:val="28"/>
        </w:rPr>
        <w:t>el análisis de los autos de seguimi</w:t>
      </w:r>
      <w:r w:rsidR="00AC53E4" w:rsidRPr="00643DCF">
        <w:rPr>
          <w:sz w:val="28"/>
          <w:szCs w:val="28"/>
        </w:rPr>
        <w:t xml:space="preserve">ento proferidos por </w:t>
      </w:r>
      <w:r w:rsidR="00572754" w:rsidRPr="00643DCF">
        <w:rPr>
          <w:sz w:val="28"/>
          <w:szCs w:val="28"/>
        </w:rPr>
        <w:t>la</w:t>
      </w:r>
      <w:r w:rsidR="00AC53E4" w:rsidRPr="00643DCF">
        <w:rPr>
          <w:sz w:val="28"/>
          <w:szCs w:val="28"/>
        </w:rPr>
        <w:t xml:space="preserve"> Sala de</w:t>
      </w:r>
      <w:r w:rsidR="00572754" w:rsidRPr="00643DCF">
        <w:rPr>
          <w:sz w:val="28"/>
          <w:szCs w:val="28"/>
        </w:rPr>
        <w:t xml:space="preserve"> Especial</w:t>
      </w:r>
      <w:r w:rsidR="004F1D3D" w:rsidRPr="00643DCF">
        <w:rPr>
          <w:sz w:val="28"/>
          <w:szCs w:val="28"/>
        </w:rPr>
        <w:t xml:space="preserve">, </w:t>
      </w:r>
      <w:r w:rsidR="0041528F" w:rsidRPr="00643DCF">
        <w:rPr>
          <w:sz w:val="28"/>
          <w:szCs w:val="28"/>
        </w:rPr>
        <w:t>aspectos que permitirían a</w:t>
      </w:r>
      <w:r w:rsidR="004F1D3D" w:rsidRPr="00643DCF">
        <w:rPr>
          <w:sz w:val="28"/>
          <w:szCs w:val="28"/>
        </w:rPr>
        <w:t xml:space="preserve"> los operadores judiciales conoc</w:t>
      </w:r>
      <w:r w:rsidR="0041528F" w:rsidRPr="00643DCF">
        <w:rPr>
          <w:sz w:val="28"/>
          <w:szCs w:val="28"/>
        </w:rPr>
        <w:t xml:space="preserve">er </w:t>
      </w:r>
      <w:r w:rsidR="00572754" w:rsidRPr="00643DCF">
        <w:rPr>
          <w:sz w:val="28"/>
          <w:szCs w:val="28"/>
        </w:rPr>
        <w:t xml:space="preserve">los avances, rezagos, </w:t>
      </w:r>
      <w:r w:rsidR="004F1D3D" w:rsidRPr="00643DCF">
        <w:rPr>
          <w:sz w:val="28"/>
          <w:szCs w:val="28"/>
        </w:rPr>
        <w:t>retrocesos</w:t>
      </w:r>
      <w:r w:rsidR="00572754" w:rsidRPr="00643DCF">
        <w:rPr>
          <w:sz w:val="28"/>
          <w:szCs w:val="28"/>
        </w:rPr>
        <w:t xml:space="preserve"> y el estado actual</w:t>
      </w:r>
      <w:r w:rsidR="0041528F" w:rsidRPr="00643DCF">
        <w:rPr>
          <w:sz w:val="28"/>
          <w:szCs w:val="28"/>
        </w:rPr>
        <w:t xml:space="preserve"> de las </w:t>
      </w:r>
      <w:r w:rsidR="00AE1AA2" w:rsidRPr="00643DCF">
        <w:rPr>
          <w:sz w:val="28"/>
          <w:szCs w:val="28"/>
        </w:rPr>
        <w:t>directrices</w:t>
      </w:r>
      <w:r w:rsidR="0041528F" w:rsidRPr="00643DCF">
        <w:rPr>
          <w:sz w:val="28"/>
          <w:szCs w:val="28"/>
        </w:rPr>
        <w:t xml:space="preserve">; aunado a lo anterior, </w:t>
      </w:r>
      <w:r w:rsidR="00AC53E4" w:rsidRPr="00643DCF">
        <w:rPr>
          <w:sz w:val="28"/>
          <w:szCs w:val="28"/>
        </w:rPr>
        <w:t xml:space="preserve">no fue posible determinar los resultados </w:t>
      </w:r>
      <w:r w:rsidR="00572754" w:rsidRPr="00643DCF">
        <w:rPr>
          <w:sz w:val="28"/>
          <w:szCs w:val="28"/>
        </w:rPr>
        <w:t>de las medidas implementadas</w:t>
      </w:r>
      <w:r w:rsidR="00AC53E4" w:rsidRPr="00643DCF">
        <w:rPr>
          <w:sz w:val="28"/>
          <w:szCs w:val="28"/>
        </w:rPr>
        <w:t xml:space="preserve"> para </w:t>
      </w:r>
      <w:r w:rsidR="009E7CE1" w:rsidRPr="00643DCF">
        <w:rPr>
          <w:sz w:val="28"/>
          <w:szCs w:val="28"/>
        </w:rPr>
        <w:t>acatar</w:t>
      </w:r>
      <w:r w:rsidR="00AC53E4" w:rsidRPr="00643DCF">
        <w:rPr>
          <w:sz w:val="28"/>
          <w:szCs w:val="28"/>
        </w:rPr>
        <w:t xml:space="preserve"> la orden </w:t>
      </w:r>
      <w:r w:rsidR="00AF6CD3" w:rsidRPr="00643DCF">
        <w:rPr>
          <w:sz w:val="28"/>
          <w:szCs w:val="28"/>
        </w:rPr>
        <w:t>bajo examen</w:t>
      </w:r>
      <w:r w:rsidR="00AC53E4" w:rsidRPr="00643DCF">
        <w:rPr>
          <w:sz w:val="28"/>
          <w:szCs w:val="28"/>
        </w:rPr>
        <w:t xml:space="preserve">. </w:t>
      </w:r>
    </w:p>
    <w:p w14:paraId="38665BC1" w14:textId="77777777" w:rsidR="00AC53E4" w:rsidRPr="00643DCF" w:rsidRDefault="00AC53E4" w:rsidP="000C2A40">
      <w:pPr>
        <w:tabs>
          <w:tab w:val="left" w:pos="567"/>
        </w:tabs>
        <w:autoSpaceDE w:val="0"/>
        <w:autoSpaceDN w:val="0"/>
        <w:jc w:val="both"/>
        <w:rPr>
          <w:sz w:val="28"/>
          <w:szCs w:val="28"/>
        </w:rPr>
      </w:pPr>
    </w:p>
    <w:p w14:paraId="6B04484E" w14:textId="68D274F7" w:rsidR="008551D9" w:rsidRPr="00643DCF" w:rsidRDefault="00A951F6" w:rsidP="000961E6">
      <w:pPr>
        <w:pStyle w:val="Prrafodelista"/>
        <w:widowControl w:val="0"/>
        <w:tabs>
          <w:tab w:val="left" w:pos="567"/>
        </w:tabs>
        <w:autoSpaceDE w:val="0"/>
        <w:autoSpaceDN w:val="0"/>
        <w:adjustRightInd w:val="0"/>
        <w:ind w:left="0"/>
        <w:jc w:val="both"/>
        <w:rPr>
          <w:i/>
          <w:sz w:val="28"/>
          <w:szCs w:val="28"/>
        </w:rPr>
      </w:pPr>
      <w:r w:rsidRPr="00643DCF">
        <w:rPr>
          <w:i/>
          <w:sz w:val="28"/>
          <w:szCs w:val="28"/>
        </w:rPr>
        <w:t>Análisis de las medidas implementadas</w:t>
      </w:r>
      <w:r w:rsidR="00A56B16" w:rsidRPr="00643DCF">
        <w:rPr>
          <w:i/>
          <w:sz w:val="28"/>
          <w:szCs w:val="28"/>
        </w:rPr>
        <w:t xml:space="preserve"> por </w:t>
      </w:r>
      <w:r w:rsidR="007A12DC" w:rsidRPr="00643DCF">
        <w:rPr>
          <w:i/>
          <w:sz w:val="28"/>
          <w:szCs w:val="28"/>
        </w:rPr>
        <w:t>e</w:t>
      </w:r>
      <w:r w:rsidR="00A56B16" w:rsidRPr="00643DCF">
        <w:rPr>
          <w:i/>
          <w:sz w:val="28"/>
          <w:szCs w:val="28"/>
        </w:rPr>
        <w:t>l Consejo Superior de la Judicatura</w:t>
      </w:r>
      <w:r w:rsidR="00511228" w:rsidRPr="00643DCF">
        <w:rPr>
          <w:i/>
          <w:sz w:val="28"/>
          <w:szCs w:val="28"/>
        </w:rPr>
        <w:t xml:space="preserve"> para dar divulgaci</w:t>
      </w:r>
      <w:r w:rsidR="0023652F" w:rsidRPr="00643DCF">
        <w:rPr>
          <w:i/>
          <w:sz w:val="28"/>
          <w:szCs w:val="28"/>
        </w:rPr>
        <w:t>ón al fallo</w:t>
      </w:r>
    </w:p>
    <w:p w14:paraId="4C291BD2" w14:textId="77777777" w:rsidR="00840814" w:rsidRPr="00643DCF" w:rsidRDefault="00840814" w:rsidP="00804206">
      <w:pPr>
        <w:widowControl w:val="0"/>
        <w:tabs>
          <w:tab w:val="left" w:pos="567"/>
        </w:tabs>
        <w:autoSpaceDE w:val="0"/>
        <w:autoSpaceDN w:val="0"/>
        <w:adjustRightInd w:val="0"/>
        <w:jc w:val="both"/>
        <w:rPr>
          <w:sz w:val="28"/>
          <w:szCs w:val="28"/>
        </w:rPr>
      </w:pPr>
    </w:p>
    <w:p w14:paraId="01894C3A" w14:textId="0F15D266" w:rsidR="00F02C44" w:rsidRPr="00643DCF" w:rsidRDefault="00846C36" w:rsidP="00804206">
      <w:pPr>
        <w:widowControl w:val="0"/>
        <w:tabs>
          <w:tab w:val="left" w:pos="567"/>
        </w:tabs>
        <w:autoSpaceDE w:val="0"/>
        <w:autoSpaceDN w:val="0"/>
        <w:adjustRightInd w:val="0"/>
        <w:jc w:val="both"/>
        <w:rPr>
          <w:sz w:val="28"/>
          <w:szCs w:val="28"/>
        </w:rPr>
      </w:pPr>
      <w:r w:rsidRPr="00643DCF">
        <w:rPr>
          <w:sz w:val="28"/>
          <w:szCs w:val="28"/>
        </w:rPr>
        <w:t>43</w:t>
      </w:r>
      <w:r w:rsidR="00AF6CD3" w:rsidRPr="00643DCF">
        <w:rPr>
          <w:sz w:val="28"/>
          <w:szCs w:val="28"/>
        </w:rPr>
        <w:t xml:space="preserve">. </w:t>
      </w:r>
      <w:r w:rsidR="00B53036" w:rsidRPr="00643DCF">
        <w:rPr>
          <w:sz w:val="28"/>
          <w:szCs w:val="28"/>
        </w:rPr>
        <w:t>Corresponde a</w:t>
      </w:r>
      <w:r w:rsidR="003B6894" w:rsidRPr="00643DCF">
        <w:rPr>
          <w:sz w:val="28"/>
          <w:szCs w:val="28"/>
        </w:rPr>
        <w:t xml:space="preserve"> la Sala</w:t>
      </w:r>
      <w:r w:rsidR="007F3364" w:rsidRPr="00643DCF">
        <w:rPr>
          <w:sz w:val="28"/>
          <w:szCs w:val="28"/>
        </w:rPr>
        <w:t xml:space="preserve"> </w:t>
      </w:r>
      <w:r w:rsidR="00804206" w:rsidRPr="00643DCF">
        <w:rPr>
          <w:sz w:val="28"/>
          <w:szCs w:val="28"/>
        </w:rPr>
        <w:t>estudiar</w:t>
      </w:r>
      <w:r w:rsidR="007F3364" w:rsidRPr="00643DCF">
        <w:rPr>
          <w:sz w:val="28"/>
          <w:szCs w:val="28"/>
        </w:rPr>
        <w:t xml:space="preserve"> las </w:t>
      </w:r>
      <w:r w:rsidR="00014069" w:rsidRPr="00643DCF">
        <w:rPr>
          <w:sz w:val="28"/>
          <w:szCs w:val="28"/>
        </w:rPr>
        <w:t xml:space="preserve">diferentes </w:t>
      </w:r>
      <w:r w:rsidR="00E7228E" w:rsidRPr="00643DCF">
        <w:rPr>
          <w:sz w:val="28"/>
          <w:szCs w:val="28"/>
        </w:rPr>
        <w:t xml:space="preserve">medidas </w:t>
      </w:r>
      <w:r w:rsidR="007F3364" w:rsidRPr="00643DCF">
        <w:rPr>
          <w:sz w:val="28"/>
          <w:szCs w:val="28"/>
        </w:rPr>
        <w:t xml:space="preserve">desarrolladas por el CSJ </w:t>
      </w:r>
      <w:r w:rsidR="00804206" w:rsidRPr="00643DCF">
        <w:rPr>
          <w:sz w:val="28"/>
          <w:szCs w:val="28"/>
        </w:rPr>
        <w:t xml:space="preserve">con el fin de dar cumplimiento a lo </w:t>
      </w:r>
      <w:r w:rsidR="00E7228E" w:rsidRPr="00643DCF">
        <w:rPr>
          <w:sz w:val="28"/>
          <w:szCs w:val="28"/>
        </w:rPr>
        <w:t xml:space="preserve">dispuesto </w:t>
      </w:r>
      <w:r w:rsidR="00804206" w:rsidRPr="00643DCF">
        <w:rPr>
          <w:sz w:val="28"/>
          <w:szCs w:val="28"/>
        </w:rPr>
        <w:t xml:space="preserve">en la orden trigésima segunda de la </w:t>
      </w:r>
      <w:r w:rsidR="003B6894" w:rsidRPr="00643DCF">
        <w:rPr>
          <w:sz w:val="28"/>
          <w:szCs w:val="28"/>
        </w:rPr>
        <w:t>s</w:t>
      </w:r>
      <w:r w:rsidR="00804206" w:rsidRPr="00643DCF">
        <w:rPr>
          <w:sz w:val="28"/>
          <w:szCs w:val="28"/>
        </w:rPr>
        <w:t>entencia T-760 de 2008</w:t>
      </w:r>
      <w:r w:rsidR="003B6894" w:rsidRPr="00643DCF">
        <w:rPr>
          <w:sz w:val="28"/>
          <w:szCs w:val="28"/>
        </w:rPr>
        <w:t xml:space="preserve">, </w:t>
      </w:r>
      <w:r w:rsidR="00E7228E" w:rsidRPr="00643DCF">
        <w:rPr>
          <w:sz w:val="28"/>
          <w:szCs w:val="28"/>
        </w:rPr>
        <w:t xml:space="preserve">analizando </w:t>
      </w:r>
      <w:r w:rsidR="00454CF0" w:rsidRPr="00643DCF">
        <w:rPr>
          <w:sz w:val="28"/>
          <w:szCs w:val="28"/>
        </w:rPr>
        <w:t>la conducencia</w:t>
      </w:r>
      <w:r w:rsidR="00305740" w:rsidRPr="00643DCF">
        <w:rPr>
          <w:sz w:val="28"/>
          <w:szCs w:val="28"/>
        </w:rPr>
        <w:t xml:space="preserve">, </w:t>
      </w:r>
      <w:r w:rsidR="00E7228E" w:rsidRPr="00643DCF">
        <w:rPr>
          <w:sz w:val="28"/>
          <w:szCs w:val="28"/>
        </w:rPr>
        <w:t xml:space="preserve">verificando los resultados obtenidos como consecuencia de su implementación y los avances logrados en el propósito de materializar el mandato general bajo examen. </w:t>
      </w:r>
    </w:p>
    <w:p w14:paraId="527271D3" w14:textId="77777777" w:rsidR="000F191B" w:rsidRPr="00643DCF" w:rsidRDefault="000F191B" w:rsidP="008551D9">
      <w:pPr>
        <w:pStyle w:val="Sinespaciado3"/>
        <w:tabs>
          <w:tab w:val="left" w:pos="851"/>
          <w:tab w:val="left" w:pos="1276"/>
          <w:tab w:val="left" w:pos="2865"/>
        </w:tabs>
        <w:jc w:val="both"/>
        <w:rPr>
          <w:rFonts w:ascii="Times New Roman" w:hAnsi="Times New Roman"/>
          <w:b/>
          <w:sz w:val="28"/>
          <w:szCs w:val="28"/>
        </w:rPr>
      </w:pPr>
    </w:p>
    <w:p w14:paraId="6BCBF2D4" w14:textId="724C6FC0" w:rsidR="00A56B16" w:rsidRPr="00643DCF" w:rsidRDefault="00E7228E" w:rsidP="00C43A45">
      <w:pPr>
        <w:tabs>
          <w:tab w:val="left" w:pos="567"/>
          <w:tab w:val="left" w:pos="851"/>
        </w:tabs>
        <w:jc w:val="both"/>
        <w:rPr>
          <w:b/>
          <w:sz w:val="28"/>
          <w:szCs w:val="28"/>
        </w:rPr>
      </w:pPr>
      <w:r w:rsidRPr="00643DCF">
        <w:rPr>
          <w:sz w:val="28"/>
          <w:szCs w:val="28"/>
        </w:rPr>
        <w:t xml:space="preserve">a. </w:t>
      </w:r>
      <w:r w:rsidR="007A12E5" w:rsidRPr="00643DCF">
        <w:rPr>
          <w:sz w:val="28"/>
          <w:szCs w:val="28"/>
        </w:rPr>
        <w:t xml:space="preserve">Actualización del micrositio con </w:t>
      </w:r>
      <w:r w:rsidR="00A56B16" w:rsidRPr="00643DCF">
        <w:rPr>
          <w:sz w:val="28"/>
          <w:szCs w:val="28"/>
        </w:rPr>
        <w:t>los autos de seguimiento</w:t>
      </w:r>
      <w:r w:rsidR="00314826" w:rsidRPr="00643DCF">
        <w:rPr>
          <w:rStyle w:val="Refdenotaalpie"/>
          <w:sz w:val="28"/>
          <w:szCs w:val="28"/>
        </w:rPr>
        <w:footnoteReference w:id="134"/>
      </w:r>
      <w:r w:rsidR="00D4448A" w:rsidRPr="00643DCF">
        <w:rPr>
          <w:b/>
          <w:sz w:val="28"/>
          <w:szCs w:val="28"/>
        </w:rPr>
        <w:t xml:space="preserve">. </w:t>
      </w:r>
    </w:p>
    <w:p w14:paraId="02312141" w14:textId="77777777" w:rsidR="00F503E1" w:rsidRPr="00643DCF" w:rsidRDefault="00F503E1" w:rsidP="00F503E1">
      <w:pPr>
        <w:pStyle w:val="Prrafodelista"/>
        <w:tabs>
          <w:tab w:val="left" w:pos="567"/>
        </w:tabs>
        <w:ind w:left="0"/>
        <w:jc w:val="both"/>
        <w:rPr>
          <w:sz w:val="28"/>
          <w:szCs w:val="28"/>
        </w:rPr>
      </w:pPr>
    </w:p>
    <w:p w14:paraId="517BF660" w14:textId="62B892EC" w:rsidR="00145A84" w:rsidRPr="00643DCF" w:rsidRDefault="00F503E1" w:rsidP="00F503E1">
      <w:pPr>
        <w:pStyle w:val="Prrafodelista"/>
        <w:tabs>
          <w:tab w:val="left" w:pos="567"/>
        </w:tabs>
        <w:ind w:left="0"/>
        <w:jc w:val="both"/>
        <w:rPr>
          <w:sz w:val="28"/>
          <w:szCs w:val="28"/>
        </w:rPr>
      </w:pPr>
      <w:r w:rsidRPr="00643DCF">
        <w:rPr>
          <w:sz w:val="28"/>
          <w:szCs w:val="28"/>
        </w:rPr>
        <w:t xml:space="preserve">Desde la presidencia del Consejo Superior de la Judicatura </w:t>
      </w:r>
      <w:r w:rsidR="000A0F2E" w:rsidRPr="00643DCF">
        <w:rPr>
          <w:sz w:val="28"/>
          <w:szCs w:val="28"/>
        </w:rPr>
        <w:t xml:space="preserve">a través del </w:t>
      </w:r>
      <w:r w:rsidR="00672BA2" w:rsidRPr="00643DCF">
        <w:rPr>
          <w:sz w:val="28"/>
          <w:szCs w:val="28"/>
        </w:rPr>
        <w:t>Cendoj</w:t>
      </w:r>
      <w:r w:rsidR="00836410" w:rsidRPr="00643DCF">
        <w:rPr>
          <w:sz w:val="28"/>
          <w:szCs w:val="28"/>
        </w:rPr>
        <w:t xml:space="preserve">, </w:t>
      </w:r>
      <w:r w:rsidRPr="00643DCF">
        <w:rPr>
          <w:sz w:val="28"/>
          <w:szCs w:val="28"/>
        </w:rPr>
        <w:t>se implementó y</w:t>
      </w:r>
      <w:r w:rsidR="00836410" w:rsidRPr="00643DCF">
        <w:rPr>
          <w:sz w:val="28"/>
          <w:szCs w:val="28"/>
        </w:rPr>
        <w:t xml:space="preserve"> </w:t>
      </w:r>
      <w:r w:rsidRPr="00643DCF">
        <w:rPr>
          <w:sz w:val="28"/>
          <w:szCs w:val="28"/>
        </w:rPr>
        <w:t>actuali</w:t>
      </w:r>
      <w:r w:rsidR="00836410" w:rsidRPr="00643DCF">
        <w:rPr>
          <w:sz w:val="28"/>
          <w:szCs w:val="28"/>
        </w:rPr>
        <w:t>z</w:t>
      </w:r>
      <w:r w:rsidR="001E391C" w:rsidRPr="00643DCF">
        <w:rPr>
          <w:sz w:val="28"/>
          <w:szCs w:val="28"/>
        </w:rPr>
        <w:t>ó</w:t>
      </w:r>
      <w:r w:rsidR="00836410" w:rsidRPr="00643DCF">
        <w:rPr>
          <w:sz w:val="28"/>
          <w:szCs w:val="28"/>
        </w:rPr>
        <w:t xml:space="preserve"> </w:t>
      </w:r>
      <w:r w:rsidRPr="00643DCF">
        <w:rPr>
          <w:sz w:val="28"/>
          <w:szCs w:val="28"/>
        </w:rPr>
        <w:t>el micrositio</w:t>
      </w:r>
      <w:r w:rsidR="00836410" w:rsidRPr="00643DCF">
        <w:rPr>
          <w:sz w:val="28"/>
          <w:szCs w:val="28"/>
        </w:rPr>
        <w:t xml:space="preserve"> que</w:t>
      </w:r>
      <w:r w:rsidRPr="00643DCF">
        <w:rPr>
          <w:sz w:val="28"/>
          <w:szCs w:val="28"/>
        </w:rPr>
        <w:t xml:space="preserve"> fue introducido en la página principal de la Rama Judicial</w:t>
      </w:r>
      <w:r w:rsidR="00A864D4" w:rsidRPr="00643DCF">
        <w:rPr>
          <w:sz w:val="28"/>
          <w:szCs w:val="28"/>
        </w:rPr>
        <w:t xml:space="preserve"> </w:t>
      </w:r>
      <w:hyperlink r:id="rId11" w:history="1">
        <w:r w:rsidR="00A864D4" w:rsidRPr="00643DCF">
          <w:rPr>
            <w:rStyle w:val="Hipervnculo"/>
            <w:color w:val="auto"/>
            <w:sz w:val="28"/>
            <w:szCs w:val="28"/>
          </w:rPr>
          <w:t>www.ramajudicial.gov.co</w:t>
        </w:r>
      </w:hyperlink>
      <w:r w:rsidR="00414DF8" w:rsidRPr="00643DCF">
        <w:rPr>
          <w:rStyle w:val="Refdenotaalpie"/>
          <w:sz w:val="28"/>
          <w:szCs w:val="28"/>
          <w:u w:val="single"/>
        </w:rPr>
        <w:footnoteReference w:id="135"/>
      </w:r>
      <w:r w:rsidR="00A864D4" w:rsidRPr="00643DCF">
        <w:rPr>
          <w:sz w:val="28"/>
          <w:szCs w:val="28"/>
        </w:rPr>
        <w:t xml:space="preserve">, el cual </w:t>
      </w:r>
      <w:r w:rsidRPr="00643DCF">
        <w:rPr>
          <w:sz w:val="28"/>
          <w:szCs w:val="28"/>
        </w:rPr>
        <w:t xml:space="preserve">contiene </w:t>
      </w:r>
      <w:r w:rsidR="00A864D4" w:rsidRPr="00643DCF">
        <w:rPr>
          <w:sz w:val="28"/>
          <w:szCs w:val="28"/>
        </w:rPr>
        <w:t xml:space="preserve">el texto completo de la </w:t>
      </w:r>
      <w:r w:rsidR="00FD4FF0" w:rsidRPr="00643DCF">
        <w:rPr>
          <w:sz w:val="28"/>
          <w:szCs w:val="28"/>
        </w:rPr>
        <w:t>s</w:t>
      </w:r>
      <w:r w:rsidRPr="00643DCF">
        <w:rPr>
          <w:sz w:val="28"/>
          <w:szCs w:val="28"/>
        </w:rPr>
        <w:t>entencia</w:t>
      </w:r>
      <w:r w:rsidR="00A864D4" w:rsidRPr="00643DCF">
        <w:rPr>
          <w:sz w:val="28"/>
          <w:szCs w:val="28"/>
        </w:rPr>
        <w:t xml:space="preserve"> T-760 de 2008 y sus anexos</w:t>
      </w:r>
      <w:r w:rsidR="00834CBD" w:rsidRPr="00643DCF">
        <w:rPr>
          <w:sz w:val="28"/>
          <w:szCs w:val="28"/>
        </w:rPr>
        <w:t>,</w:t>
      </w:r>
      <w:r w:rsidRPr="00643DCF">
        <w:rPr>
          <w:sz w:val="28"/>
          <w:szCs w:val="28"/>
        </w:rPr>
        <w:t xml:space="preserve"> así como los autos genéricos y específicos que </w:t>
      </w:r>
      <w:r w:rsidR="00F04237" w:rsidRPr="00643DCF">
        <w:rPr>
          <w:sz w:val="28"/>
          <w:szCs w:val="28"/>
        </w:rPr>
        <w:t>ha</w:t>
      </w:r>
      <w:r w:rsidRPr="00643DCF">
        <w:rPr>
          <w:sz w:val="28"/>
          <w:szCs w:val="28"/>
        </w:rPr>
        <w:t xml:space="preserve"> expedido </w:t>
      </w:r>
      <w:r w:rsidR="000A0F2E" w:rsidRPr="00643DCF">
        <w:rPr>
          <w:sz w:val="28"/>
          <w:szCs w:val="28"/>
        </w:rPr>
        <w:t>durante el s</w:t>
      </w:r>
      <w:r w:rsidR="00A864D4" w:rsidRPr="00643DCF">
        <w:rPr>
          <w:sz w:val="28"/>
          <w:szCs w:val="28"/>
        </w:rPr>
        <w:t>eguimiento</w:t>
      </w:r>
      <w:r w:rsidR="001E391C" w:rsidRPr="00643DCF">
        <w:rPr>
          <w:sz w:val="28"/>
          <w:szCs w:val="28"/>
        </w:rPr>
        <w:t xml:space="preserve"> </w:t>
      </w:r>
      <w:r w:rsidR="00836410" w:rsidRPr="00643DCF">
        <w:rPr>
          <w:sz w:val="28"/>
          <w:szCs w:val="28"/>
        </w:rPr>
        <w:t>para</w:t>
      </w:r>
      <w:r w:rsidRPr="00643DCF">
        <w:rPr>
          <w:sz w:val="28"/>
          <w:szCs w:val="28"/>
        </w:rPr>
        <w:t xml:space="preserve"> un total de 6</w:t>
      </w:r>
      <w:r w:rsidR="004A0EEA">
        <w:rPr>
          <w:sz w:val="28"/>
          <w:szCs w:val="28"/>
        </w:rPr>
        <w:t>72</w:t>
      </w:r>
      <w:r w:rsidR="001E391C" w:rsidRPr="00643DCF">
        <w:rPr>
          <w:sz w:val="28"/>
          <w:szCs w:val="28"/>
        </w:rPr>
        <w:t xml:space="preserve"> pronunciamientos</w:t>
      </w:r>
      <w:r w:rsidR="00251C5D" w:rsidRPr="00643DCF">
        <w:rPr>
          <w:sz w:val="28"/>
          <w:szCs w:val="28"/>
        </w:rPr>
        <w:t xml:space="preserve"> publicados</w:t>
      </w:r>
      <w:r w:rsidR="000A0F2E" w:rsidRPr="00643DCF">
        <w:rPr>
          <w:sz w:val="28"/>
          <w:szCs w:val="28"/>
        </w:rPr>
        <w:t xml:space="preserve"> como se observa a continuación</w:t>
      </w:r>
      <w:r w:rsidR="00F51672" w:rsidRPr="00643DCF">
        <w:rPr>
          <w:sz w:val="28"/>
          <w:szCs w:val="28"/>
        </w:rPr>
        <w:t>:</w:t>
      </w:r>
      <w:r w:rsidR="00145A84" w:rsidRPr="00643DCF">
        <w:rPr>
          <w:sz w:val="28"/>
          <w:szCs w:val="28"/>
        </w:rPr>
        <w:t xml:space="preserve"> </w:t>
      </w:r>
    </w:p>
    <w:p w14:paraId="592EA21C" w14:textId="77777777" w:rsidR="00145A84" w:rsidRPr="00643DCF" w:rsidDel="00836410" w:rsidRDefault="00145A84" w:rsidP="00F503E1">
      <w:pPr>
        <w:pStyle w:val="Prrafodelista"/>
        <w:tabs>
          <w:tab w:val="left" w:pos="567"/>
        </w:tabs>
        <w:ind w:left="0"/>
        <w:jc w:val="both"/>
        <w:rPr>
          <w:sz w:val="28"/>
          <w:szCs w:val="28"/>
        </w:rPr>
      </w:pPr>
    </w:p>
    <w:tbl>
      <w:tblPr>
        <w:tblStyle w:val="Tablaconcuadrcula"/>
        <w:tblpPr w:leftFromText="141" w:rightFromText="141" w:vertAnchor="text" w:horzAnchor="page" w:tblpX="6395" w:tblpY="76"/>
        <w:tblW w:w="0" w:type="auto"/>
        <w:tblLook w:val="04A0" w:firstRow="1" w:lastRow="0" w:firstColumn="1" w:lastColumn="0" w:noHBand="0" w:noVBand="1"/>
      </w:tblPr>
      <w:tblGrid>
        <w:gridCol w:w="2273"/>
        <w:gridCol w:w="1266"/>
      </w:tblGrid>
      <w:tr w:rsidR="00840814" w:rsidRPr="00643DCF" w14:paraId="646853CE" w14:textId="77777777" w:rsidTr="00A94416">
        <w:tc>
          <w:tcPr>
            <w:tcW w:w="2273" w:type="dxa"/>
          </w:tcPr>
          <w:p w14:paraId="2ED8ABBD" w14:textId="77777777" w:rsidR="00840814" w:rsidRPr="00643DCF" w:rsidRDefault="00840814" w:rsidP="00A94416">
            <w:pPr>
              <w:pStyle w:val="Prrafodelista"/>
              <w:tabs>
                <w:tab w:val="left" w:pos="567"/>
              </w:tabs>
              <w:ind w:left="-113"/>
              <w:jc w:val="center"/>
              <w:rPr>
                <w:rFonts w:ascii="Times New Roman" w:hAnsi="Times New Roman"/>
                <w:b/>
                <w:bCs/>
                <w:sz w:val="28"/>
                <w:szCs w:val="28"/>
              </w:rPr>
            </w:pPr>
            <w:r w:rsidRPr="00643DCF">
              <w:rPr>
                <w:rFonts w:ascii="Times New Roman" w:hAnsi="Times New Roman"/>
                <w:b/>
                <w:bCs/>
                <w:sz w:val="28"/>
                <w:szCs w:val="28"/>
              </w:rPr>
              <w:t>Autos genéricos por año</w:t>
            </w:r>
          </w:p>
        </w:tc>
        <w:tc>
          <w:tcPr>
            <w:tcW w:w="1266" w:type="dxa"/>
          </w:tcPr>
          <w:p w14:paraId="49412D01" w14:textId="77777777" w:rsidR="00840814" w:rsidRPr="00643DCF" w:rsidRDefault="00840814" w:rsidP="00A94416">
            <w:pPr>
              <w:pStyle w:val="Prrafodelista"/>
              <w:tabs>
                <w:tab w:val="left" w:pos="567"/>
              </w:tabs>
              <w:ind w:left="0"/>
              <w:jc w:val="center"/>
              <w:rPr>
                <w:rFonts w:ascii="Times New Roman" w:hAnsi="Times New Roman"/>
                <w:b/>
                <w:bCs/>
                <w:sz w:val="28"/>
                <w:szCs w:val="28"/>
              </w:rPr>
            </w:pPr>
            <w:r w:rsidRPr="00643DCF">
              <w:rPr>
                <w:rFonts w:ascii="Times New Roman" w:hAnsi="Times New Roman"/>
                <w:b/>
                <w:bCs/>
                <w:sz w:val="28"/>
                <w:szCs w:val="28"/>
              </w:rPr>
              <w:t>Total autos</w:t>
            </w:r>
          </w:p>
        </w:tc>
      </w:tr>
      <w:tr w:rsidR="00840814" w:rsidRPr="00643DCF" w14:paraId="5A4D0B04" w14:textId="77777777" w:rsidTr="00A94416">
        <w:tc>
          <w:tcPr>
            <w:tcW w:w="2273" w:type="dxa"/>
          </w:tcPr>
          <w:p w14:paraId="1163FAE1" w14:textId="77777777" w:rsidR="00840814" w:rsidRPr="00643DCF" w:rsidRDefault="00840814" w:rsidP="00A94416">
            <w:pPr>
              <w:pStyle w:val="Prrafodelista"/>
              <w:tabs>
                <w:tab w:val="left" w:pos="567"/>
              </w:tabs>
              <w:ind w:left="-113"/>
              <w:jc w:val="center"/>
              <w:rPr>
                <w:rFonts w:ascii="Times New Roman" w:hAnsi="Times New Roman"/>
                <w:bCs/>
                <w:sz w:val="28"/>
                <w:szCs w:val="28"/>
              </w:rPr>
            </w:pPr>
            <w:r w:rsidRPr="00643DCF">
              <w:rPr>
                <w:rFonts w:ascii="Times New Roman" w:hAnsi="Times New Roman"/>
                <w:bCs/>
                <w:sz w:val="28"/>
                <w:szCs w:val="28"/>
              </w:rPr>
              <w:t>2008</w:t>
            </w:r>
          </w:p>
        </w:tc>
        <w:tc>
          <w:tcPr>
            <w:tcW w:w="1266" w:type="dxa"/>
          </w:tcPr>
          <w:p w14:paraId="439C3293" w14:textId="77777777" w:rsidR="00840814" w:rsidRPr="00643DCF" w:rsidRDefault="00840814" w:rsidP="00A94416">
            <w:pPr>
              <w:pStyle w:val="Prrafodelista"/>
              <w:tabs>
                <w:tab w:val="left" w:pos="567"/>
              </w:tabs>
              <w:ind w:left="0"/>
              <w:jc w:val="center"/>
              <w:rPr>
                <w:rFonts w:ascii="Times New Roman" w:hAnsi="Times New Roman"/>
                <w:bCs/>
                <w:sz w:val="28"/>
                <w:szCs w:val="28"/>
              </w:rPr>
            </w:pPr>
            <w:r w:rsidRPr="00643DCF">
              <w:rPr>
                <w:rFonts w:ascii="Times New Roman" w:hAnsi="Times New Roman"/>
                <w:sz w:val="28"/>
                <w:szCs w:val="28"/>
              </w:rPr>
              <w:t>6</w:t>
            </w:r>
          </w:p>
        </w:tc>
      </w:tr>
      <w:tr w:rsidR="00840814" w:rsidRPr="00643DCF" w14:paraId="6CABF333" w14:textId="77777777" w:rsidTr="00A94416">
        <w:tc>
          <w:tcPr>
            <w:tcW w:w="2273" w:type="dxa"/>
          </w:tcPr>
          <w:p w14:paraId="58AC7B95" w14:textId="77777777" w:rsidR="00840814" w:rsidRPr="00643DCF" w:rsidRDefault="00840814" w:rsidP="00A94416">
            <w:pPr>
              <w:pStyle w:val="Prrafodelista"/>
              <w:tabs>
                <w:tab w:val="left" w:pos="567"/>
              </w:tabs>
              <w:ind w:left="-113"/>
              <w:jc w:val="center"/>
              <w:rPr>
                <w:rFonts w:ascii="Times New Roman" w:hAnsi="Times New Roman"/>
                <w:bCs/>
                <w:sz w:val="28"/>
                <w:szCs w:val="28"/>
              </w:rPr>
            </w:pPr>
            <w:r w:rsidRPr="00643DCF">
              <w:rPr>
                <w:rFonts w:ascii="Times New Roman" w:hAnsi="Times New Roman"/>
                <w:bCs/>
                <w:sz w:val="28"/>
                <w:szCs w:val="28"/>
              </w:rPr>
              <w:t>2009</w:t>
            </w:r>
          </w:p>
        </w:tc>
        <w:tc>
          <w:tcPr>
            <w:tcW w:w="1266" w:type="dxa"/>
          </w:tcPr>
          <w:p w14:paraId="6C0DE8E1" w14:textId="77777777" w:rsidR="00840814" w:rsidRPr="00643DCF" w:rsidRDefault="00840814" w:rsidP="00A94416">
            <w:pPr>
              <w:pStyle w:val="Prrafodelista"/>
              <w:tabs>
                <w:tab w:val="left" w:pos="567"/>
              </w:tabs>
              <w:ind w:left="0"/>
              <w:jc w:val="center"/>
              <w:rPr>
                <w:rFonts w:ascii="Times New Roman" w:hAnsi="Times New Roman"/>
                <w:bCs/>
                <w:sz w:val="28"/>
                <w:szCs w:val="28"/>
              </w:rPr>
            </w:pPr>
            <w:r w:rsidRPr="00643DCF">
              <w:rPr>
                <w:rFonts w:ascii="Times New Roman" w:hAnsi="Times New Roman"/>
                <w:bCs/>
                <w:sz w:val="28"/>
                <w:szCs w:val="28"/>
              </w:rPr>
              <w:t>18</w:t>
            </w:r>
          </w:p>
        </w:tc>
      </w:tr>
      <w:tr w:rsidR="00840814" w:rsidRPr="00643DCF" w14:paraId="52BC8A99" w14:textId="77777777" w:rsidTr="00A94416">
        <w:tc>
          <w:tcPr>
            <w:tcW w:w="2273" w:type="dxa"/>
          </w:tcPr>
          <w:p w14:paraId="1B9DE849" w14:textId="77777777" w:rsidR="00840814" w:rsidRPr="00643DCF" w:rsidRDefault="00840814" w:rsidP="00A94416">
            <w:pPr>
              <w:pStyle w:val="Prrafodelista"/>
              <w:tabs>
                <w:tab w:val="left" w:pos="567"/>
              </w:tabs>
              <w:ind w:left="-113"/>
              <w:jc w:val="center"/>
              <w:rPr>
                <w:rFonts w:ascii="Times New Roman" w:hAnsi="Times New Roman"/>
                <w:bCs/>
                <w:sz w:val="28"/>
                <w:szCs w:val="28"/>
              </w:rPr>
            </w:pPr>
            <w:r w:rsidRPr="00643DCF">
              <w:rPr>
                <w:rFonts w:ascii="Times New Roman" w:hAnsi="Times New Roman"/>
                <w:bCs/>
                <w:sz w:val="28"/>
                <w:szCs w:val="28"/>
              </w:rPr>
              <w:t>2010</w:t>
            </w:r>
          </w:p>
        </w:tc>
        <w:tc>
          <w:tcPr>
            <w:tcW w:w="1266" w:type="dxa"/>
          </w:tcPr>
          <w:p w14:paraId="13E4FCA2" w14:textId="3BCAC6D5" w:rsidR="00840814" w:rsidRPr="00643DCF" w:rsidRDefault="008D4D06" w:rsidP="00A94416">
            <w:pPr>
              <w:pStyle w:val="Prrafodelista"/>
              <w:tabs>
                <w:tab w:val="left" w:pos="567"/>
              </w:tabs>
              <w:ind w:left="0"/>
              <w:jc w:val="center"/>
              <w:rPr>
                <w:rFonts w:ascii="Times New Roman" w:hAnsi="Times New Roman"/>
                <w:bCs/>
                <w:sz w:val="28"/>
                <w:szCs w:val="28"/>
              </w:rPr>
            </w:pPr>
            <w:r w:rsidRPr="00643DCF">
              <w:rPr>
                <w:rFonts w:ascii="Times New Roman" w:hAnsi="Times New Roman"/>
                <w:sz w:val="28"/>
                <w:szCs w:val="28"/>
              </w:rPr>
              <w:t>8</w:t>
            </w:r>
          </w:p>
        </w:tc>
      </w:tr>
      <w:tr w:rsidR="00840814" w:rsidRPr="00643DCF" w14:paraId="200756CD" w14:textId="77777777" w:rsidTr="00A94416">
        <w:tc>
          <w:tcPr>
            <w:tcW w:w="2273" w:type="dxa"/>
          </w:tcPr>
          <w:p w14:paraId="261DEED1" w14:textId="77777777" w:rsidR="00840814" w:rsidRPr="00643DCF" w:rsidRDefault="00840814" w:rsidP="00A94416">
            <w:pPr>
              <w:pStyle w:val="Prrafodelista"/>
              <w:tabs>
                <w:tab w:val="left" w:pos="567"/>
              </w:tabs>
              <w:ind w:left="-113"/>
              <w:jc w:val="center"/>
              <w:rPr>
                <w:rFonts w:ascii="Times New Roman" w:hAnsi="Times New Roman"/>
                <w:bCs/>
                <w:sz w:val="28"/>
                <w:szCs w:val="28"/>
              </w:rPr>
            </w:pPr>
            <w:r w:rsidRPr="00643DCF">
              <w:rPr>
                <w:rFonts w:ascii="Times New Roman" w:hAnsi="Times New Roman"/>
                <w:bCs/>
                <w:sz w:val="28"/>
                <w:szCs w:val="28"/>
              </w:rPr>
              <w:t>2011</w:t>
            </w:r>
          </w:p>
        </w:tc>
        <w:tc>
          <w:tcPr>
            <w:tcW w:w="1266" w:type="dxa"/>
          </w:tcPr>
          <w:p w14:paraId="655F9C98" w14:textId="7D177E40" w:rsidR="00840814" w:rsidRPr="00643DCF" w:rsidRDefault="008D4D06" w:rsidP="00A94416">
            <w:pPr>
              <w:pStyle w:val="Prrafodelista"/>
              <w:tabs>
                <w:tab w:val="left" w:pos="567"/>
              </w:tabs>
              <w:ind w:left="0"/>
              <w:jc w:val="center"/>
              <w:rPr>
                <w:rFonts w:ascii="Times New Roman" w:hAnsi="Times New Roman"/>
                <w:bCs/>
                <w:sz w:val="28"/>
                <w:szCs w:val="28"/>
              </w:rPr>
            </w:pPr>
            <w:r w:rsidRPr="00643DCF">
              <w:rPr>
                <w:rFonts w:ascii="Times New Roman" w:hAnsi="Times New Roman"/>
                <w:bCs/>
                <w:sz w:val="28"/>
                <w:szCs w:val="28"/>
              </w:rPr>
              <w:t>17</w:t>
            </w:r>
          </w:p>
        </w:tc>
      </w:tr>
      <w:tr w:rsidR="00840814" w:rsidRPr="00643DCF" w14:paraId="0EA32F42" w14:textId="77777777" w:rsidTr="00A94416">
        <w:tc>
          <w:tcPr>
            <w:tcW w:w="2273" w:type="dxa"/>
          </w:tcPr>
          <w:p w14:paraId="5499B94F" w14:textId="77777777" w:rsidR="00840814" w:rsidRPr="00643DCF" w:rsidRDefault="00840814" w:rsidP="00A94416">
            <w:pPr>
              <w:pStyle w:val="Prrafodelista"/>
              <w:tabs>
                <w:tab w:val="left" w:pos="567"/>
              </w:tabs>
              <w:ind w:left="-113"/>
              <w:jc w:val="center"/>
              <w:rPr>
                <w:rFonts w:ascii="Times New Roman" w:hAnsi="Times New Roman"/>
                <w:bCs/>
                <w:sz w:val="28"/>
                <w:szCs w:val="28"/>
              </w:rPr>
            </w:pPr>
            <w:r w:rsidRPr="00643DCF">
              <w:rPr>
                <w:rFonts w:ascii="Times New Roman" w:hAnsi="Times New Roman"/>
                <w:bCs/>
                <w:sz w:val="28"/>
                <w:szCs w:val="28"/>
              </w:rPr>
              <w:t>2012</w:t>
            </w:r>
          </w:p>
        </w:tc>
        <w:tc>
          <w:tcPr>
            <w:tcW w:w="1266" w:type="dxa"/>
          </w:tcPr>
          <w:p w14:paraId="2866E670" w14:textId="77777777" w:rsidR="00840814" w:rsidRPr="00643DCF" w:rsidRDefault="00840814" w:rsidP="00A94416">
            <w:pPr>
              <w:pStyle w:val="Prrafodelista"/>
              <w:tabs>
                <w:tab w:val="left" w:pos="567"/>
              </w:tabs>
              <w:ind w:left="0"/>
              <w:jc w:val="center"/>
              <w:rPr>
                <w:rFonts w:ascii="Times New Roman" w:hAnsi="Times New Roman"/>
                <w:bCs/>
                <w:sz w:val="28"/>
                <w:szCs w:val="28"/>
              </w:rPr>
            </w:pPr>
            <w:r w:rsidRPr="00643DCF">
              <w:rPr>
                <w:rFonts w:ascii="Times New Roman" w:hAnsi="Times New Roman"/>
                <w:sz w:val="28"/>
                <w:szCs w:val="28"/>
              </w:rPr>
              <w:t>1</w:t>
            </w:r>
          </w:p>
        </w:tc>
      </w:tr>
      <w:tr w:rsidR="00840814" w:rsidRPr="00643DCF" w14:paraId="387A52CA" w14:textId="77777777" w:rsidTr="00A94416">
        <w:tc>
          <w:tcPr>
            <w:tcW w:w="2273" w:type="dxa"/>
          </w:tcPr>
          <w:p w14:paraId="25589EEA" w14:textId="77777777" w:rsidR="00840814" w:rsidRPr="00643DCF" w:rsidRDefault="00840814" w:rsidP="00A94416">
            <w:pPr>
              <w:pStyle w:val="Prrafodelista"/>
              <w:tabs>
                <w:tab w:val="left" w:pos="567"/>
              </w:tabs>
              <w:ind w:left="-113"/>
              <w:jc w:val="center"/>
              <w:rPr>
                <w:rFonts w:ascii="Times New Roman" w:hAnsi="Times New Roman"/>
                <w:bCs/>
                <w:sz w:val="28"/>
                <w:szCs w:val="28"/>
              </w:rPr>
            </w:pPr>
            <w:r w:rsidRPr="00643DCF">
              <w:rPr>
                <w:rFonts w:ascii="Times New Roman" w:hAnsi="Times New Roman"/>
                <w:bCs/>
                <w:sz w:val="28"/>
                <w:szCs w:val="28"/>
              </w:rPr>
              <w:t>2013</w:t>
            </w:r>
          </w:p>
        </w:tc>
        <w:tc>
          <w:tcPr>
            <w:tcW w:w="1266" w:type="dxa"/>
          </w:tcPr>
          <w:p w14:paraId="53D549BA" w14:textId="77777777" w:rsidR="00840814" w:rsidRPr="00643DCF" w:rsidRDefault="00840814" w:rsidP="00A94416">
            <w:pPr>
              <w:pStyle w:val="Prrafodelista"/>
              <w:tabs>
                <w:tab w:val="left" w:pos="567"/>
              </w:tabs>
              <w:ind w:left="0"/>
              <w:jc w:val="center"/>
              <w:rPr>
                <w:rFonts w:ascii="Times New Roman" w:hAnsi="Times New Roman"/>
                <w:bCs/>
                <w:sz w:val="28"/>
                <w:szCs w:val="28"/>
              </w:rPr>
            </w:pPr>
            <w:r w:rsidRPr="00643DCF">
              <w:rPr>
                <w:rFonts w:ascii="Times New Roman" w:hAnsi="Times New Roman"/>
                <w:bCs/>
                <w:sz w:val="28"/>
                <w:szCs w:val="28"/>
              </w:rPr>
              <w:t>13</w:t>
            </w:r>
          </w:p>
        </w:tc>
      </w:tr>
      <w:tr w:rsidR="00840814" w:rsidRPr="00643DCF" w14:paraId="4EF2B2CE" w14:textId="77777777" w:rsidTr="00A94416">
        <w:tc>
          <w:tcPr>
            <w:tcW w:w="2273" w:type="dxa"/>
          </w:tcPr>
          <w:p w14:paraId="47C6F0A4" w14:textId="77777777" w:rsidR="00840814" w:rsidRPr="00643DCF" w:rsidRDefault="00840814" w:rsidP="00A94416">
            <w:pPr>
              <w:pStyle w:val="Prrafodelista"/>
              <w:tabs>
                <w:tab w:val="left" w:pos="567"/>
              </w:tabs>
              <w:ind w:left="-113"/>
              <w:jc w:val="center"/>
              <w:rPr>
                <w:rFonts w:ascii="Times New Roman" w:hAnsi="Times New Roman"/>
                <w:bCs/>
                <w:sz w:val="28"/>
                <w:szCs w:val="28"/>
              </w:rPr>
            </w:pPr>
            <w:r w:rsidRPr="00643DCF">
              <w:rPr>
                <w:rFonts w:ascii="Times New Roman" w:hAnsi="Times New Roman"/>
                <w:bCs/>
                <w:sz w:val="28"/>
                <w:szCs w:val="28"/>
              </w:rPr>
              <w:t>2014</w:t>
            </w:r>
          </w:p>
        </w:tc>
        <w:tc>
          <w:tcPr>
            <w:tcW w:w="1266" w:type="dxa"/>
          </w:tcPr>
          <w:p w14:paraId="360A9494" w14:textId="5BE4D787" w:rsidR="00840814" w:rsidRPr="00643DCF" w:rsidRDefault="008D4D06" w:rsidP="00A94416">
            <w:pPr>
              <w:pStyle w:val="Prrafodelista"/>
              <w:tabs>
                <w:tab w:val="left" w:pos="567"/>
              </w:tabs>
              <w:ind w:left="0"/>
              <w:jc w:val="center"/>
              <w:rPr>
                <w:rFonts w:ascii="Times New Roman" w:hAnsi="Times New Roman"/>
                <w:bCs/>
                <w:sz w:val="28"/>
                <w:szCs w:val="28"/>
              </w:rPr>
            </w:pPr>
            <w:r w:rsidRPr="00643DCF">
              <w:rPr>
                <w:rFonts w:ascii="Times New Roman" w:hAnsi="Times New Roman"/>
                <w:bCs/>
                <w:sz w:val="28"/>
                <w:szCs w:val="28"/>
              </w:rPr>
              <w:t>12</w:t>
            </w:r>
          </w:p>
        </w:tc>
      </w:tr>
      <w:tr w:rsidR="00840814" w:rsidRPr="00643DCF" w14:paraId="61119A83" w14:textId="77777777" w:rsidTr="00A94416">
        <w:tc>
          <w:tcPr>
            <w:tcW w:w="2273" w:type="dxa"/>
          </w:tcPr>
          <w:p w14:paraId="4FC255C9" w14:textId="77777777" w:rsidR="00840814" w:rsidRPr="00643DCF" w:rsidRDefault="00840814" w:rsidP="00A94416">
            <w:pPr>
              <w:pStyle w:val="Prrafodelista"/>
              <w:tabs>
                <w:tab w:val="left" w:pos="567"/>
              </w:tabs>
              <w:ind w:left="-113"/>
              <w:jc w:val="center"/>
              <w:rPr>
                <w:rFonts w:ascii="Times New Roman" w:hAnsi="Times New Roman"/>
                <w:bCs/>
                <w:sz w:val="28"/>
                <w:szCs w:val="28"/>
              </w:rPr>
            </w:pPr>
            <w:r w:rsidRPr="00643DCF">
              <w:rPr>
                <w:rFonts w:ascii="Times New Roman" w:hAnsi="Times New Roman"/>
                <w:bCs/>
                <w:sz w:val="28"/>
                <w:szCs w:val="28"/>
              </w:rPr>
              <w:t>2015</w:t>
            </w:r>
          </w:p>
        </w:tc>
        <w:tc>
          <w:tcPr>
            <w:tcW w:w="1266" w:type="dxa"/>
          </w:tcPr>
          <w:p w14:paraId="6D61EEC3" w14:textId="634A8EFC" w:rsidR="00840814" w:rsidRPr="00643DCF" w:rsidRDefault="008D4D06" w:rsidP="00A94416">
            <w:pPr>
              <w:pStyle w:val="Prrafodelista"/>
              <w:tabs>
                <w:tab w:val="left" w:pos="567"/>
              </w:tabs>
              <w:ind w:left="0"/>
              <w:jc w:val="center"/>
              <w:rPr>
                <w:rFonts w:ascii="Times New Roman" w:hAnsi="Times New Roman"/>
                <w:bCs/>
                <w:sz w:val="28"/>
                <w:szCs w:val="28"/>
              </w:rPr>
            </w:pPr>
            <w:r w:rsidRPr="00643DCF">
              <w:rPr>
                <w:rFonts w:ascii="Times New Roman" w:hAnsi="Times New Roman"/>
                <w:bCs/>
                <w:sz w:val="28"/>
                <w:szCs w:val="28"/>
              </w:rPr>
              <w:t>33</w:t>
            </w:r>
          </w:p>
        </w:tc>
      </w:tr>
      <w:tr w:rsidR="00840814" w:rsidRPr="00643DCF" w14:paraId="3CEFD126" w14:textId="77777777" w:rsidTr="00A94416">
        <w:tc>
          <w:tcPr>
            <w:tcW w:w="2273" w:type="dxa"/>
          </w:tcPr>
          <w:p w14:paraId="7B616E2D" w14:textId="77777777" w:rsidR="00840814" w:rsidRPr="00643DCF" w:rsidRDefault="00840814" w:rsidP="00A94416">
            <w:pPr>
              <w:pStyle w:val="Prrafodelista"/>
              <w:tabs>
                <w:tab w:val="left" w:pos="567"/>
              </w:tabs>
              <w:ind w:left="-113"/>
              <w:jc w:val="center"/>
              <w:rPr>
                <w:rFonts w:ascii="Times New Roman" w:hAnsi="Times New Roman"/>
                <w:bCs/>
                <w:sz w:val="28"/>
                <w:szCs w:val="28"/>
              </w:rPr>
            </w:pPr>
            <w:r w:rsidRPr="00643DCF">
              <w:rPr>
                <w:rFonts w:ascii="Times New Roman" w:hAnsi="Times New Roman"/>
                <w:bCs/>
                <w:sz w:val="28"/>
                <w:szCs w:val="28"/>
              </w:rPr>
              <w:t>2016</w:t>
            </w:r>
          </w:p>
        </w:tc>
        <w:tc>
          <w:tcPr>
            <w:tcW w:w="1266" w:type="dxa"/>
          </w:tcPr>
          <w:p w14:paraId="63CCA556" w14:textId="755C89E8" w:rsidR="00840814" w:rsidRPr="00643DCF" w:rsidRDefault="008D4D06" w:rsidP="00A94416">
            <w:pPr>
              <w:pStyle w:val="Prrafodelista"/>
              <w:tabs>
                <w:tab w:val="left" w:pos="567"/>
              </w:tabs>
              <w:ind w:left="0"/>
              <w:jc w:val="center"/>
              <w:rPr>
                <w:rFonts w:ascii="Times New Roman" w:hAnsi="Times New Roman"/>
                <w:bCs/>
                <w:sz w:val="28"/>
                <w:szCs w:val="28"/>
              </w:rPr>
            </w:pPr>
            <w:r w:rsidRPr="00643DCF">
              <w:rPr>
                <w:rFonts w:ascii="Times New Roman" w:hAnsi="Times New Roman"/>
                <w:bCs/>
                <w:sz w:val="28"/>
                <w:szCs w:val="28"/>
              </w:rPr>
              <w:t>12</w:t>
            </w:r>
          </w:p>
        </w:tc>
      </w:tr>
      <w:tr w:rsidR="00A94416" w:rsidRPr="00643DCF" w14:paraId="48CDFC58" w14:textId="77777777" w:rsidTr="00A94416">
        <w:tc>
          <w:tcPr>
            <w:tcW w:w="2273" w:type="dxa"/>
          </w:tcPr>
          <w:p w14:paraId="5E4A42EE" w14:textId="215685DA" w:rsidR="00A94416" w:rsidRPr="00643DCF" w:rsidRDefault="00A94416" w:rsidP="00A94416">
            <w:pPr>
              <w:pStyle w:val="Prrafodelista"/>
              <w:tabs>
                <w:tab w:val="left" w:pos="567"/>
              </w:tabs>
              <w:ind w:left="-113"/>
              <w:jc w:val="center"/>
              <w:rPr>
                <w:rFonts w:ascii="Times New Roman" w:hAnsi="Times New Roman"/>
                <w:bCs/>
                <w:sz w:val="28"/>
                <w:szCs w:val="28"/>
              </w:rPr>
            </w:pPr>
            <w:r w:rsidRPr="00643DCF">
              <w:rPr>
                <w:rFonts w:ascii="Times New Roman" w:hAnsi="Times New Roman"/>
                <w:bCs/>
                <w:sz w:val="28"/>
                <w:szCs w:val="28"/>
              </w:rPr>
              <w:t>2017</w:t>
            </w:r>
          </w:p>
        </w:tc>
        <w:tc>
          <w:tcPr>
            <w:tcW w:w="1266" w:type="dxa"/>
          </w:tcPr>
          <w:p w14:paraId="61F6815F" w14:textId="6B23B135" w:rsidR="00A94416" w:rsidRPr="00643DCF" w:rsidRDefault="005E1CEB" w:rsidP="00A94416">
            <w:pPr>
              <w:pStyle w:val="Prrafodelista"/>
              <w:tabs>
                <w:tab w:val="left" w:pos="567"/>
              </w:tabs>
              <w:ind w:left="0"/>
              <w:jc w:val="center"/>
              <w:rPr>
                <w:rFonts w:ascii="Times New Roman" w:hAnsi="Times New Roman"/>
                <w:bCs/>
                <w:sz w:val="28"/>
                <w:szCs w:val="28"/>
              </w:rPr>
            </w:pPr>
            <w:r w:rsidRPr="00643DCF">
              <w:rPr>
                <w:rFonts w:ascii="Times New Roman" w:hAnsi="Times New Roman"/>
                <w:bCs/>
                <w:sz w:val="28"/>
                <w:szCs w:val="28"/>
              </w:rPr>
              <w:t>8</w:t>
            </w:r>
          </w:p>
        </w:tc>
      </w:tr>
      <w:tr w:rsidR="00A94416" w:rsidRPr="00643DCF" w14:paraId="2D1611DF" w14:textId="77777777" w:rsidTr="002804AE">
        <w:trPr>
          <w:trHeight w:val="51"/>
        </w:trPr>
        <w:tc>
          <w:tcPr>
            <w:tcW w:w="2273" w:type="dxa"/>
          </w:tcPr>
          <w:p w14:paraId="65B1C7EA" w14:textId="48BA6689" w:rsidR="00A94416" w:rsidRPr="00643DCF" w:rsidRDefault="00A94416" w:rsidP="00A94416">
            <w:pPr>
              <w:pStyle w:val="Prrafodelista"/>
              <w:tabs>
                <w:tab w:val="left" w:pos="567"/>
              </w:tabs>
              <w:ind w:left="-113"/>
              <w:jc w:val="center"/>
              <w:rPr>
                <w:rFonts w:ascii="Times New Roman" w:hAnsi="Times New Roman"/>
                <w:bCs/>
                <w:sz w:val="28"/>
                <w:szCs w:val="28"/>
              </w:rPr>
            </w:pPr>
            <w:r w:rsidRPr="00643DCF">
              <w:rPr>
                <w:rFonts w:ascii="Times New Roman" w:hAnsi="Times New Roman"/>
                <w:bCs/>
                <w:sz w:val="28"/>
                <w:szCs w:val="28"/>
              </w:rPr>
              <w:t>2018</w:t>
            </w:r>
          </w:p>
        </w:tc>
        <w:tc>
          <w:tcPr>
            <w:tcW w:w="1266" w:type="dxa"/>
          </w:tcPr>
          <w:p w14:paraId="704F4BA6" w14:textId="7A23758D" w:rsidR="00A94416" w:rsidRPr="00643DCF" w:rsidRDefault="008D4D06" w:rsidP="00A94416">
            <w:pPr>
              <w:pStyle w:val="Prrafodelista"/>
              <w:tabs>
                <w:tab w:val="left" w:pos="567"/>
              </w:tabs>
              <w:ind w:left="0"/>
              <w:jc w:val="center"/>
              <w:rPr>
                <w:rFonts w:ascii="Times New Roman" w:hAnsi="Times New Roman"/>
                <w:bCs/>
                <w:sz w:val="28"/>
                <w:szCs w:val="28"/>
              </w:rPr>
            </w:pPr>
            <w:r w:rsidRPr="00643DCF">
              <w:rPr>
                <w:rFonts w:ascii="Times New Roman" w:hAnsi="Times New Roman"/>
                <w:bCs/>
                <w:sz w:val="28"/>
                <w:szCs w:val="28"/>
              </w:rPr>
              <w:t>3</w:t>
            </w:r>
            <w:r w:rsidR="005E1CEB" w:rsidRPr="00643DCF">
              <w:rPr>
                <w:rFonts w:ascii="Times New Roman" w:hAnsi="Times New Roman"/>
                <w:bCs/>
                <w:sz w:val="28"/>
                <w:szCs w:val="28"/>
              </w:rPr>
              <w:t>0</w:t>
            </w:r>
          </w:p>
        </w:tc>
      </w:tr>
      <w:tr w:rsidR="00840814" w:rsidRPr="00643DCF" w14:paraId="45ADA8E8" w14:textId="77777777" w:rsidTr="00A94416">
        <w:tc>
          <w:tcPr>
            <w:tcW w:w="2273" w:type="dxa"/>
          </w:tcPr>
          <w:p w14:paraId="573770C6" w14:textId="77777777" w:rsidR="00840814" w:rsidRPr="00643DCF" w:rsidRDefault="00840814" w:rsidP="00A94416">
            <w:pPr>
              <w:pStyle w:val="Prrafodelista"/>
              <w:tabs>
                <w:tab w:val="left" w:pos="567"/>
              </w:tabs>
              <w:ind w:left="-113"/>
              <w:jc w:val="center"/>
              <w:rPr>
                <w:rFonts w:ascii="Times New Roman" w:hAnsi="Times New Roman"/>
                <w:bCs/>
                <w:sz w:val="28"/>
                <w:szCs w:val="28"/>
              </w:rPr>
            </w:pPr>
            <w:r w:rsidRPr="00643DCF">
              <w:rPr>
                <w:rFonts w:ascii="Times New Roman" w:hAnsi="Times New Roman"/>
                <w:b/>
                <w:bCs/>
                <w:sz w:val="28"/>
                <w:szCs w:val="28"/>
              </w:rPr>
              <w:t xml:space="preserve">Total </w:t>
            </w:r>
          </w:p>
        </w:tc>
        <w:tc>
          <w:tcPr>
            <w:tcW w:w="1266" w:type="dxa"/>
          </w:tcPr>
          <w:p w14:paraId="04EE5132" w14:textId="1E79BEDA" w:rsidR="00840814" w:rsidRPr="00643DCF" w:rsidRDefault="00840814" w:rsidP="008D4D06">
            <w:pPr>
              <w:pStyle w:val="Prrafodelista"/>
              <w:tabs>
                <w:tab w:val="left" w:pos="567"/>
              </w:tabs>
              <w:ind w:left="0"/>
              <w:jc w:val="center"/>
              <w:rPr>
                <w:rFonts w:ascii="Times New Roman" w:hAnsi="Times New Roman"/>
                <w:bCs/>
                <w:sz w:val="28"/>
                <w:szCs w:val="28"/>
              </w:rPr>
            </w:pPr>
            <w:r w:rsidRPr="00643DCF">
              <w:rPr>
                <w:rFonts w:ascii="Times New Roman" w:hAnsi="Times New Roman"/>
                <w:b/>
                <w:bCs/>
                <w:sz w:val="28"/>
                <w:szCs w:val="28"/>
              </w:rPr>
              <w:t>1</w:t>
            </w:r>
            <w:r w:rsidR="008D4D06" w:rsidRPr="00643DCF">
              <w:rPr>
                <w:rFonts w:ascii="Times New Roman" w:hAnsi="Times New Roman"/>
                <w:b/>
                <w:bCs/>
                <w:sz w:val="28"/>
                <w:szCs w:val="28"/>
              </w:rPr>
              <w:t>58</w:t>
            </w:r>
            <w:r w:rsidRPr="00643DCF">
              <w:rPr>
                <w:rFonts w:ascii="Times New Roman" w:hAnsi="Times New Roman"/>
                <w:b/>
                <w:bCs/>
                <w:sz w:val="28"/>
                <w:szCs w:val="28"/>
              </w:rPr>
              <w:t xml:space="preserve"> </w:t>
            </w:r>
          </w:p>
        </w:tc>
      </w:tr>
    </w:tbl>
    <w:tbl>
      <w:tblPr>
        <w:tblStyle w:val="Tablaconcuadrcula"/>
        <w:tblW w:w="0" w:type="auto"/>
        <w:tblInd w:w="-5" w:type="dxa"/>
        <w:tblLook w:val="04A0" w:firstRow="1" w:lastRow="0" w:firstColumn="1" w:lastColumn="0" w:noHBand="0" w:noVBand="1"/>
      </w:tblPr>
      <w:tblGrid>
        <w:gridCol w:w="1980"/>
        <w:gridCol w:w="1701"/>
      </w:tblGrid>
      <w:tr w:rsidR="00840814" w:rsidRPr="00643DCF" w14:paraId="0B846096" w14:textId="77777777" w:rsidTr="00CF606C">
        <w:tc>
          <w:tcPr>
            <w:tcW w:w="1980" w:type="dxa"/>
          </w:tcPr>
          <w:p w14:paraId="32359989" w14:textId="77777777" w:rsidR="00840814" w:rsidRPr="00643DCF" w:rsidRDefault="00840814" w:rsidP="00CF606C">
            <w:pPr>
              <w:pStyle w:val="Prrafodelista"/>
              <w:tabs>
                <w:tab w:val="left" w:pos="567"/>
              </w:tabs>
              <w:ind w:left="0"/>
              <w:jc w:val="center"/>
              <w:rPr>
                <w:rFonts w:ascii="Times New Roman" w:hAnsi="Times New Roman"/>
                <w:b/>
                <w:sz w:val="28"/>
                <w:szCs w:val="28"/>
              </w:rPr>
            </w:pPr>
            <w:r w:rsidRPr="00643DCF">
              <w:rPr>
                <w:rFonts w:ascii="Times New Roman" w:hAnsi="Times New Roman"/>
                <w:b/>
                <w:bCs/>
                <w:sz w:val="28"/>
                <w:szCs w:val="28"/>
              </w:rPr>
              <w:t>Numero de orden</w:t>
            </w:r>
          </w:p>
        </w:tc>
        <w:tc>
          <w:tcPr>
            <w:tcW w:w="1701" w:type="dxa"/>
          </w:tcPr>
          <w:p w14:paraId="4D4FDAA9" w14:textId="77777777" w:rsidR="00840814" w:rsidRPr="00643DCF" w:rsidRDefault="00840814" w:rsidP="00CF606C">
            <w:pPr>
              <w:pStyle w:val="Prrafodelista"/>
              <w:tabs>
                <w:tab w:val="left" w:pos="567"/>
              </w:tabs>
              <w:ind w:left="0"/>
              <w:jc w:val="center"/>
              <w:rPr>
                <w:rFonts w:ascii="Times New Roman" w:hAnsi="Times New Roman"/>
                <w:b/>
                <w:sz w:val="28"/>
                <w:szCs w:val="28"/>
              </w:rPr>
            </w:pPr>
            <w:r w:rsidRPr="00643DCF">
              <w:rPr>
                <w:rFonts w:ascii="Times New Roman" w:hAnsi="Times New Roman"/>
                <w:b/>
                <w:bCs/>
                <w:sz w:val="28"/>
                <w:szCs w:val="28"/>
              </w:rPr>
              <w:t>Total autos específicos</w:t>
            </w:r>
          </w:p>
        </w:tc>
      </w:tr>
      <w:tr w:rsidR="00840814" w:rsidRPr="00643DCF" w14:paraId="03FB9B80" w14:textId="77777777" w:rsidTr="00CF606C">
        <w:tc>
          <w:tcPr>
            <w:tcW w:w="1980" w:type="dxa"/>
          </w:tcPr>
          <w:p w14:paraId="707A1023" w14:textId="77777777" w:rsidR="00840814" w:rsidRPr="00643DCF" w:rsidRDefault="00840814" w:rsidP="00CF606C">
            <w:pPr>
              <w:pStyle w:val="Prrafodelista"/>
              <w:tabs>
                <w:tab w:val="left" w:pos="567"/>
              </w:tabs>
              <w:ind w:left="0"/>
              <w:jc w:val="center"/>
              <w:rPr>
                <w:rFonts w:ascii="Times New Roman" w:hAnsi="Times New Roman"/>
                <w:sz w:val="28"/>
                <w:szCs w:val="28"/>
              </w:rPr>
            </w:pPr>
            <w:r w:rsidRPr="00643DCF">
              <w:rPr>
                <w:rFonts w:ascii="Times New Roman" w:hAnsi="Times New Roman"/>
                <w:bCs/>
                <w:sz w:val="28"/>
                <w:szCs w:val="28"/>
              </w:rPr>
              <w:t>Orden 16</w:t>
            </w:r>
          </w:p>
        </w:tc>
        <w:tc>
          <w:tcPr>
            <w:tcW w:w="1701" w:type="dxa"/>
          </w:tcPr>
          <w:p w14:paraId="15CA1105" w14:textId="3D8ACD28" w:rsidR="00840814" w:rsidRPr="00643DCF" w:rsidRDefault="00840814" w:rsidP="0042421A">
            <w:pPr>
              <w:pStyle w:val="Prrafodelista"/>
              <w:tabs>
                <w:tab w:val="left" w:pos="567"/>
              </w:tabs>
              <w:ind w:left="0"/>
              <w:jc w:val="center"/>
              <w:rPr>
                <w:rFonts w:ascii="Times New Roman" w:hAnsi="Times New Roman"/>
                <w:sz w:val="28"/>
                <w:szCs w:val="28"/>
              </w:rPr>
            </w:pPr>
            <w:r w:rsidRPr="00643DCF">
              <w:rPr>
                <w:rFonts w:ascii="Times New Roman" w:hAnsi="Times New Roman"/>
                <w:bCs/>
                <w:sz w:val="28"/>
                <w:szCs w:val="28"/>
              </w:rPr>
              <w:t>5</w:t>
            </w:r>
            <w:r w:rsidR="007E1FB8" w:rsidRPr="00643DCF">
              <w:rPr>
                <w:rFonts w:ascii="Times New Roman" w:hAnsi="Times New Roman"/>
                <w:bCs/>
                <w:sz w:val="28"/>
                <w:szCs w:val="28"/>
              </w:rPr>
              <w:t>4</w:t>
            </w:r>
          </w:p>
        </w:tc>
      </w:tr>
      <w:tr w:rsidR="00840814" w:rsidRPr="00643DCF" w14:paraId="476995AF" w14:textId="77777777" w:rsidTr="00CF606C">
        <w:tc>
          <w:tcPr>
            <w:tcW w:w="1980" w:type="dxa"/>
          </w:tcPr>
          <w:p w14:paraId="2CEA8150" w14:textId="77777777" w:rsidR="00840814" w:rsidRPr="00643DCF" w:rsidRDefault="00840814" w:rsidP="00CF606C">
            <w:pPr>
              <w:pStyle w:val="Prrafodelista"/>
              <w:tabs>
                <w:tab w:val="left" w:pos="567"/>
              </w:tabs>
              <w:ind w:left="0"/>
              <w:jc w:val="center"/>
              <w:rPr>
                <w:rFonts w:ascii="Times New Roman" w:hAnsi="Times New Roman"/>
                <w:sz w:val="28"/>
                <w:szCs w:val="28"/>
              </w:rPr>
            </w:pPr>
            <w:r w:rsidRPr="00643DCF">
              <w:rPr>
                <w:rFonts w:ascii="Times New Roman" w:hAnsi="Times New Roman"/>
                <w:bCs/>
                <w:sz w:val="28"/>
                <w:szCs w:val="28"/>
              </w:rPr>
              <w:t>Orden 17</w:t>
            </w:r>
          </w:p>
        </w:tc>
        <w:tc>
          <w:tcPr>
            <w:tcW w:w="1701" w:type="dxa"/>
          </w:tcPr>
          <w:p w14:paraId="3B6FB46D" w14:textId="7A4F0714" w:rsidR="00840814" w:rsidRPr="00643DCF" w:rsidRDefault="00840814" w:rsidP="00F42416">
            <w:pPr>
              <w:pStyle w:val="Prrafodelista"/>
              <w:tabs>
                <w:tab w:val="left" w:pos="567"/>
              </w:tabs>
              <w:ind w:left="0"/>
              <w:jc w:val="center"/>
              <w:rPr>
                <w:rFonts w:ascii="Times New Roman" w:hAnsi="Times New Roman"/>
                <w:sz w:val="28"/>
                <w:szCs w:val="28"/>
              </w:rPr>
            </w:pPr>
            <w:r w:rsidRPr="00643DCF">
              <w:rPr>
                <w:rFonts w:ascii="Times New Roman" w:hAnsi="Times New Roman"/>
                <w:bCs/>
                <w:sz w:val="28"/>
                <w:szCs w:val="28"/>
              </w:rPr>
              <w:t>2</w:t>
            </w:r>
            <w:r w:rsidR="007E1FB8" w:rsidRPr="00643DCF">
              <w:rPr>
                <w:rFonts w:ascii="Times New Roman" w:hAnsi="Times New Roman"/>
                <w:bCs/>
                <w:sz w:val="28"/>
                <w:szCs w:val="28"/>
              </w:rPr>
              <w:t>3</w:t>
            </w:r>
            <w:r w:rsidRPr="00643DCF">
              <w:rPr>
                <w:rFonts w:ascii="Times New Roman" w:hAnsi="Times New Roman"/>
                <w:bCs/>
                <w:sz w:val="28"/>
                <w:szCs w:val="28"/>
              </w:rPr>
              <w:t xml:space="preserve"> </w:t>
            </w:r>
          </w:p>
        </w:tc>
      </w:tr>
      <w:tr w:rsidR="00840814" w:rsidRPr="00643DCF" w14:paraId="5EAE02DE" w14:textId="77777777" w:rsidTr="00CF606C">
        <w:tc>
          <w:tcPr>
            <w:tcW w:w="1980" w:type="dxa"/>
          </w:tcPr>
          <w:p w14:paraId="38A03D7B" w14:textId="77777777" w:rsidR="00840814" w:rsidRPr="00643DCF" w:rsidRDefault="00840814" w:rsidP="00CF606C">
            <w:pPr>
              <w:pStyle w:val="Prrafodelista"/>
              <w:tabs>
                <w:tab w:val="left" w:pos="567"/>
              </w:tabs>
              <w:ind w:left="0"/>
              <w:jc w:val="center"/>
              <w:rPr>
                <w:rFonts w:ascii="Times New Roman" w:hAnsi="Times New Roman"/>
                <w:sz w:val="28"/>
                <w:szCs w:val="28"/>
              </w:rPr>
            </w:pPr>
            <w:r w:rsidRPr="00643DCF">
              <w:rPr>
                <w:rFonts w:ascii="Times New Roman" w:hAnsi="Times New Roman"/>
                <w:bCs/>
                <w:sz w:val="28"/>
                <w:szCs w:val="28"/>
              </w:rPr>
              <w:t>Orden 18</w:t>
            </w:r>
          </w:p>
        </w:tc>
        <w:tc>
          <w:tcPr>
            <w:tcW w:w="1701" w:type="dxa"/>
          </w:tcPr>
          <w:p w14:paraId="76636887" w14:textId="012A7082" w:rsidR="00840814" w:rsidRPr="00643DCF" w:rsidRDefault="00840814" w:rsidP="00414DF8">
            <w:pPr>
              <w:pStyle w:val="Prrafodelista"/>
              <w:tabs>
                <w:tab w:val="left" w:pos="567"/>
              </w:tabs>
              <w:ind w:left="0"/>
              <w:jc w:val="center"/>
              <w:rPr>
                <w:rFonts w:ascii="Times New Roman" w:hAnsi="Times New Roman"/>
                <w:sz w:val="28"/>
                <w:szCs w:val="28"/>
              </w:rPr>
            </w:pPr>
            <w:r w:rsidRPr="00643DCF">
              <w:rPr>
                <w:rFonts w:ascii="Times New Roman" w:hAnsi="Times New Roman"/>
                <w:bCs/>
                <w:sz w:val="28"/>
                <w:szCs w:val="28"/>
              </w:rPr>
              <w:t xml:space="preserve">17 </w:t>
            </w:r>
          </w:p>
        </w:tc>
      </w:tr>
      <w:tr w:rsidR="00840814" w:rsidRPr="00643DCF" w14:paraId="0F18C69A" w14:textId="77777777" w:rsidTr="00CF606C">
        <w:tc>
          <w:tcPr>
            <w:tcW w:w="1980" w:type="dxa"/>
          </w:tcPr>
          <w:p w14:paraId="54B0FA5B" w14:textId="77777777" w:rsidR="00840814" w:rsidRPr="00643DCF" w:rsidRDefault="00840814" w:rsidP="00CF606C">
            <w:pPr>
              <w:pStyle w:val="Prrafodelista"/>
              <w:tabs>
                <w:tab w:val="left" w:pos="567"/>
              </w:tabs>
              <w:ind w:left="0"/>
              <w:jc w:val="center"/>
              <w:rPr>
                <w:rFonts w:ascii="Times New Roman" w:hAnsi="Times New Roman"/>
                <w:sz w:val="28"/>
                <w:szCs w:val="28"/>
              </w:rPr>
            </w:pPr>
            <w:r w:rsidRPr="00643DCF">
              <w:rPr>
                <w:rFonts w:ascii="Times New Roman" w:hAnsi="Times New Roman"/>
                <w:bCs/>
                <w:sz w:val="28"/>
                <w:szCs w:val="28"/>
              </w:rPr>
              <w:t>Orden 19</w:t>
            </w:r>
          </w:p>
        </w:tc>
        <w:tc>
          <w:tcPr>
            <w:tcW w:w="1701" w:type="dxa"/>
          </w:tcPr>
          <w:p w14:paraId="24814AA1" w14:textId="0C5249B2" w:rsidR="00840814" w:rsidRPr="00643DCF" w:rsidRDefault="00840814" w:rsidP="00414DF8">
            <w:pPr>
              <w:pStyle w:val="Prrafodelista"/>
              <w:tabs>
                <w:tab w:val="left" w:pos="567"/>
              </w:tabs>
              <w:ind w:left="0"/>
              <w:jc w:val="center"/>
              <w:rPr>
                <w:rFonts w:ascii="Times New Roman" w:hAnsi="Times New Roman"/>
                <w:sz w:val="28"/>
                <w:szCs w:val="28"/>
              </w:rPr>
            </w:pPr>
            <w:r w:rsidRPr="00643DCF">
              <w:rPr>
                <w:rFonts w:ascii="Times New Roman" w:hAnsi="Times New Roman"/>
                <w:bCs/>
                <w:sz w:val="28"/>
                <w:szCs w:val="28"/>
              </w:rPr>
              <w:t xml:space="preserve">21 </w:t>
            </w:r>
          </w:p>
        </w:tc>
      </w:tr>
      <w:tr w:rsidR="00840814" w:rsidRPr="00643DCF" w14:paraId="5A944E70" w14:textId="77777777" w:rsidTr="00CF606C">
        <w:tc>
          <w:tcPr>
            <w:tcW w:w="1980" w:type="dxa"/>
          </w:tcPr>
          <w:p w14:paraId="4487B9B1" w14:textId="77777777" w:rsidR="00840814" w:rsidRPr="00643DCF" w:rsidRDefault="00840814" w:rsidP="00CF606C">
            <w:pPr>
              <w:pStyle w:val="Prrafodelista"/>
              <w:tabs>
                <w:tab w:val="left" w:pos="567"/>
              </w:tabs>
              <w:ind w:left="0"/>
              <w:jc w:val="center"/>
              <w:rPr>
                <w:rFonts w:ascii="Times New Roman" w:hAnsi="Times New Roman"/>
                <w:sz w:val="28"/>
                <w:szCs w:val="28"/>
              </w:rPr>
            </w:pPr>
            <w:r w:rsidRPr="00643DCF">
              <w:rPr>
                <w:rFonts w:ascii="Times New Roman" w:hAnsi="Times New Roman"/>
                <w:bCs/>
                <w:sz w:val="28"/>
                <w:szCs w:val="28"/>
              </w:rPr>
              <w:t xml:space="preserve"> Orden 20</w:t>
            </w:r>
          </w:p>
        </w:tc>
        <w:tc>
          <w:tcPr>
            <w:tcW w:w="1701" w:type="dxa"/>
          </w:tcPr>
          <w:p w14:paraId="25EB9A89" w14:textId="684237E0" w:rsidR="00840814" w:rsidRPr="00643DCF" w:rsidRDefault="007E1FB8" w:rsidP="00414DF8">
            <w:pPr>
              <w:pStyle w:val="Prrafodelista"/>
              <w:tabs>
                <w:tab w:val="left" w:pos="567"/>
              </w:tabs>
              <w:ind w:left="0"/>
              <w:jc w:val="center"/>
              <w:rPr>
                <w:rFonts w:ascii="Times New Roman" w:hAnsi="Times New Roman"/>
                <w:sz w:val="28"/>
                <w:szCs w:val="28"/>
              </w:rPr>
            </w:pPr>
            <w:r w:rsidRPr="00643DCF">
              <w:rPr>
                <w:rFonts w:ascii="Times New Roman" w:hAnsi="Times New Roman"/>
                <w:bCs/>
                <w:sz w:val="28"/>
                <w:szCs w:val="28"/>
              </w:rPr>
              <w:t>30</w:t>
            </w:r>
            <w:r w:rsidR="00840814" w:rsidRPr="00643DCF">
              <w:rPr>
                <w:rFonts w:ascii="Times New Roman" w:hAnsi="Times New Roman"/>
                <w:bCs/>
                <w:sz w:val="28"/>
                <w:szCs w:val="28"/>
              </w:rPr>
              <w:t xml:space="preserve"> </w:t>
            </w:r>
          </w:p>
        </w:tc>
      </w:tr>
      <w:tr w:rsidR="00840814" w:rsidRPr="00643DCF" w14:paraId="52671FA8" w14:textId="77777777" w:rsidTr="00CF606C">
        <w:tc>
          <w:tcPr>
            <w:tcW w:w="1980" w:type="dxa"/>
          </w:tcPr>
          <w:p w14:paraId="06920245" w14:textId="77777777" w:rsidR="00840814" w:rsidRPr="00643DCF" w:rsidRDefault="00840814" w:rsidP="00CF606C">
            <w:pPr>
              <w:pStyle w:val="Prrafodelista"/>
              <w:tabs>
                <w:tab w:val="left" w:pos="567"/>
              </w:tabs>
              <w:ind w:left="0"/>
              <w:jc w:val="center"/>
              <w:rPr>
                <w:rFonts w:ascii="Times New Roman" w:hAnsi="Times New Roman"/>
                <w:sz w:val="28"/>
                <w:szCs w:val="28"/>
              </w:rPr>
            </w:pPr>
            <w:r w:rsidRPr="00643DCF">
              <w:rPr>
                <w:rFonts w:ascii="Times New Roman" w:hAnsi="Times New Roman"/>
                <w:bCs/>
                <w:sz w:val="28"/>
                <w:szCs w:val="28"/>
              </w:rPr>
              <w:t xml:space="preserve"> Orden 21</w:t>
            </w:r>
          </w:p>
        </w:tc>
        <w:tc>
          <w:tcPr>
            <w:tcW w:w="1701" w:type="dxa"/>
          </w:tcPr>
          <w:p w14:paraId="2A6DD3E7" w14:textId="3511DCE3" w:rsidR="00840814" w:rsidRPr="00643DCF" w:rsidRDefault="00840814" w:rsidP="00414DF8">
            <w:pPr>
              <w:pStyle w:val="Prrafodelista"/>
              <w:tabs>
                <w:tab w:val="left" w:pos="567"/>
              </w:tabs>
              <w:ind w:left="0"/>
              <w:jc w:val="center"/>
              <w:rPr>
                <w:rFonts w:ascii="Times New Roman" w:hAnsi="Times New Roman"/>
                <w:sz w:val="28"/>
                <w:szCs w:val="28"/>
              </w:rPr>
            </w:pPr>
            <w:r w:rsidRPr="00643DCF">
              <w:rPr>
                <w:rFonts w:ascii="Times New Roman" w:hAnsi="Times New Roman"/>
                <w:bCs/>
                <w:sz w:val="28"/>
                <w:szCs w:val="28"/>
              </w:rPr>
              <w:t xml:space="preserve">45 </w:t>
            </w:r>
          </w:p>
        </w:tc>
      </w:tr>
      <w:tr w:rsidR="00840814" w:rsidRPr="00643DCF" w14:paraId="1BB227D3" w14:textId="77777777" w:rsidTr="00CF606C">
        <w:tc>
          <w:tcPr>
            <w:tcW w:w="1980" w:type="dxa"/>
          </w:tcPr>
          <w:p w14:paraId="59364898" w14:textId="77777777" w:rsidR="00840814" w:rsidRPr="00643DCF" w:rsidRDefault="00840814" w:rsidP="00CF606C">
            <w:pPr>
              <w:pStyle w:val="Prrafodelista"/>
              <w:tabs>
                <w:tab w:val="left" w:pos="567"/>
              </w:tabs>
              <w:ind w:left="0"/>
              <w:jc w:val="center"/>
              <w:rPr>
                <w:rFonts w:ascii="Times New Roman" w:hAnsi="Times New Roman"/>
                <w:sz w:val="28"/>
                <w:szCs w:val="28"/>
              </w:rPr>
            </w:pPr>
            <w:r w:rsidRPr="00643DCF">
              <w:rPr>
                <w:rFonts w:ascii="Times New Roman" w:hAnsi="Times New Roman"/>
                <w:bCs/>
                <w:sz w:val="28"/>
                <w:szCs w:val="28"/>
              </w:rPr>
              <w:t>Orden 22</w:t>
            </w:r>
          </w:p>
        </w:tc>
        <w:tc>
          <w:tcPr>
            <w:tcW w:w="1701" w:type="dxa"/>
          </w:tcPr>
          <w:p w14:paraId="128BE3E3" w14:textId="27EA6C74" w:rsidR="00840814" w:rsidRPr="00643DCF" w:rsidRDefault="007E1FB8" w:rsidP="00414DF8">
            <w:pPr>
              <w:pStyle w:val="Prrafodelista"/>
              <w:tabs>
                <w:tab w:val="left" w:pos="567"/>
              </w:tabs>
              <w:ind w:left="0"/>
              <w:jc w:val="center"/>
              <w:rPr>
                <w:rFonts w:ascii="Times New Roman" w:hAnsi="Times New Roman"/>
                <w:sz w:val="28"/>
                <w:szCs w:val="28"/>
              </w:rPr>
            </w:pPr>
            <w:r w:rsidRPr="00643DCF">
              <w:rPr>
                <w:rFonts w:ascii="Times New Roman" w:hAnsi="Times New Roman"/>
                <w:bCs/>
                <w:sz w:val="28"/>
                <w:szCs w:val="28"/>
              </w:rPr>
              <w:t>43</w:t>
            </w:r>
            <w:r w:rsidR="00840814" w:rsidRPr="00643DCF">
              <w:rPr>
                <w:rFonts w:ascii="Times New Roman" w:hAnsi="Times New Roman"/>
                <w:bCs/>
                <w:sz w:val="28"/>
                <w:szCs w:val="28"/>
              </w:rPr>
              <w:t xml:space="preserve"> </w:t>
            </w:r>
          </w:p>
        </w:tc>
      </w:tr>
      <w:tr w:rsidR="00840814" w:rsidRPr="00643DCF" w14:paraId="58A5AB0B" w14:textId="77777777" w:rsidTr="00CF606C">
        <w:tc>
          <w:tcPr>
            <w:tcW w:w="1980" w:type="dxa"/>
          </w:tcPr>
          <w:p w14:paraId="1CAE9183" w14:textId="77777777" w:rsidR="00840814" w:rsidRPr="00643DCF" w:rsidRDefault="00840814" w:rsidP="00CF606C">
            <w:pPr>
              <w:pStyle w:val="Prrafodelista"/>
              <w:tabs>
                <w:tab w:val="left" w:pos="567"/>
              </w:tabs>
              <w:ind w:left="0"/>
              <w:jc w:val="center"/>
              <w:rPr>
                <w:rFonts w:ascii="Times New Roman" w:hAnsi="Times New Roman"/>
                <w:sz w:val="28"/>
                <w:szCs w:val="28"/>
              </w:rPr>
            </w:pPr>
            <w:r w:rsidRPr="00643DCF">
              <w:rPr>
                <w:rFonts w:ascii="Times New Roman" w:hAnsi="Times New Roman"/>
                <w:bCs/>
                <w:sz w:val="28"/>
                <w:szCs w:val="28"/>
              </w:rPr>
              <w:t>Orden 23</w:t>
            </w:r>
          </w:p>
        </w:tc>
        <w:tc>
          <w:tcPr>
            <w:tcW w:w="1701" w:type="dxa"/>
          </w:tcPr>
          <w:p w14:paraId="7011097B" w14:textId="6E512655" w:rsidR="00840814" w:rsidRPr="00643DCF" w:rsidRDefault="00840814" w:rsidP="00414DF8">
            <w:pPr>
              <w:pStyle w:val="Prrafodelista"/>
              <w:tabs>
                <w:tab w:val="left" w:pos="567"/>
              </w:tabs>
              <w:ind w:left="0"/>
              <w:jc w:val="center"/>
              <w:rPr>
                <w:rFonts w:ascii="Times New Roman" w:hAnsi="Times New Roman"/>
                <w:sz w:val="28"/>
                <w:szCs w:val="28"/>
              </w:rPr>
            </w:pPr>
            <w:r w:rsidRPr="00643DCF">
              <w:rPr>
                <w:rFonts w:ascii="Times New Roman" w:hAnsi="Times New Roman"/>
                <w:bCs/>
                <w:sz w:val="28"/>
                <w:szCs w:val="28"/>
              </w:rPr>
              <w:t xml:space="preserve">19 </w:t>
            </w:r>
          </w:p>
        </w:tc>
      </w:tr>
      <w:tr w:rsidR="00840814" w:rsidRPr="00643DCF" w14:paraId="572588FF" w14:textId="77777777" w:rsidTr="00CF606C">
        <w:tc>
          <w:tcPr>
            <w:tcW w:w="1980" w:type="dxa"/>
          </w:tcPr>
          <w:p w14:paraId="669FAC78" w14:textId="77777777" w:rsidR="00840814" w:rsidRPr="00643DCF" w:rsidRDefault="00840814" w:rsidP="00CF606C">
            <w:pPr>
              <w:pStyle w:val="Prrafodelista"/>
              <w:tabs>
                <w:tab w:val="left" w:pos="567"/>
              </w:tabs>
              <w:ind w:left="0"/>
              <w:jc w:val="center"/>
              <w:rPr>
                <w:rFonts w:ascii="Times New Roman" w:hAnsi="Times New Roman"/>
                <w:sz w:val="28"/>
                <w:szCs w:val="28"/>
              </w:rPr>
            </w:pPr>
            <w:r w:rsidRPr="00643DCF">
              <w:rPr>
                <w:rFonts w:ascii="Times New Roman" w:hAnsi="Times New Roman"/>
                <w:bCs/>
                <w:sz w:val="28"/>
                <w:szCs w:val="28"/>
              </w:rPr>
              <w:t>Orden 24</w:t>
            </w:r>
          </w:p>
        </w:tc>
        <w:tc>
          <w:tcPr>
            <w:tcW w:w="1701" w:type="dxa"/>
          </w:tcPr>
          <w:p w14:paraId="16A871E1" w14:textId="6D02DDA4" w:rsidR="00840814" w:rsidRPr="00643DCF" w:rsidRDefault="007E1FB8" w:rsidP="003D241E">
            <w:pPr>
              <w:pStyle w:val="Prrafodelista"/>
              <w:tabs>
                <w:tab w:val="left" w:pos="567"/>
              </w:tabs>
              <w:ind w:left="0"/>
              <w:jc w:val="center"/>
              <w:rPr>
                <w:rFonts w:ascii="Times New Roman" w:hAnsi="Times New Roman"/>
                <w:sz w:val="28"/>
                <w:szCs w:val="28"/>
              </w:rPr>
            </w:pPr>
            <w:r w:rsidRPr="00643DCF">
              <w:rPr>
                <w:rFonts w:ascii="Times New Roman" w:hAnsi="Times New Roman"/>
                <w:bCs/>
                <w:sz w:val="28"/>
                <w:szCs w:val="28"/>
              </w:rPr>
              <w:t>51</w:t>
            </w:r>
            <w:r w:rsidR="00840814" w:rsidRPr="00643DCF">
              <w:rPr>
                <w:rFonts w:ascii="Times New Roman" w:hAnsi="Times New Roman"/>
                <w:bCs/>
                <w:sz w:val="28"/>
                <w:szCs w:val="28"/>
              </w:rPr>
              <w:t xml:space="preserve"> </w:t>
            </w:r>
          </w:p>
        </w:tc>
      </w:tr>
      <w:tr w:rsidR="00840814" w:rsidRPr="00643DCF" w14:paraId="5BEEBA18" w14:textId="77777777" w:rsidTr="00CF606C">
        <w:tc>
          <w:tcPr>
            <w:tcW w:w="1980" w:type="dxa"/>
          </w:tcPr>
          <w:p w14:paraId="56058AAF" w14:textId="77777777" w:rsidR="00840814" w:rsidRPr="00643DCF" w:rsidRDefault="00840814" w:rsidP="00CF606C">
            <w:pPr>
              <w:pStyle w:val="Prrafodelista"/>
              <w:tabs>
                <w:tab w:val="left" w:pos="567"/>
              </w:tabs>
              <w:ind w:left="0"/>
              <w:jc w:val="center"/>
              <w:rPr>
                <w:rFonts w:ascii="Times New Roman" w:hAnsi="Times New Roman"/>
                <w:sz w:val="28"/>
                <w:szCs w:val="28"/>
              </w:rPr>
            </w:pPr>
            <w:r w:rsidRPr="00643DCF">
              <w:rPr>
                <w:rFonts w:ascii="Times New Roman" w:hAnsi="Times New Roman"/>
                <w:bCs/>
                <w:sz w:val="28"/>
                <w:szCs w:val="28"/>
              </w:rPr>
              <w:t>Orden 25</w:t>
            </w:r>
          </w:p>
        </w:tc>
        <w:tc>
          <w:tcPr>
            <w:tcW w:w="1701" w:type="dxa"/>
          </w:tcPr>
          <w:p w14:paraId="2DA63291" w14:textId="1FBBBC7B" w:rsidR="00840814" w:rsidRPr="00643DCF" w:rsidRDefault="00840814" w:rsidP="006573C4">
            <w:pPr>
              <w:pStyle w:val="Prrafodelista"/>
              <w:tabs>
                <w:tab w:val="left" w:pos="567"/>
              </w:tabs>
              <w:ind w:left="0"/>
              <w:jc w:val="center"/>
              <w:rPr>
                <w:rFonts w:ascii="Times New Roman" w:hAnsi="Times New Roman"/>
                <w:sz w:val="28"/>
                <w:szCs w:val="28"/>
              </w:rPr>
            </w:pPr>
            <w:r w:rsidRPr="00643DCF">
              <w:rPr>
                <w:rFonts w:ascii="Times New Roman" w:hAnsi="Times New Roman"/>
                <w:bCs/>
                <w:sz w:val="28"/>
                <w:szCs w:val="28"/>
              </w:rPr>
              <w:t>3</w:t>
            </w:r>
            <w:r w:rsidR="007E1FB8" w:rsidRPr="00643DCF">
              <w:rPr>
                <w:rFonts w:ascii="Times New Roman" w:hAnsi="Times New Roman"/>
                <w:bCs/>
                <w:sz w:val="28"/>
                <w:szCs w:val="28"/>
              </w:rPr>
              <w:t>4</w:t>
            </w:r>
            <w:r w:rsidRPr="00643DCF">
              <w:rPr>
                <w:rFonts w:ascii="Times New Roman" w:hAnsi="Times New Roman"/>
                <w:bCs/>
                <w:sz w:val="28"/>
                <w:szCs w:val="28"/>
              </w:rPr>
              <w:t xml:space="preserve"> </w:t>
            </w:r>
          </w:p>
        </w:tc>
      </w:tr>
      <w:tr w:rsidR="00840814" w:rsidRPr="00643DCF" w14:paraId="1AE3985E" w14:textId="77777777" w:rsidTr="00CF606C">
        <w:tc>
          <w:tcPr>
            <w:tcW w:w="1980" w:type="dxa"/>
          </w:tcPr>
          <w:p w14:paraId="70660741" w14:textId="77777777" w:rsidR="00840814" w:rsidRPr="00643DCF" w:rsidRDefault="00840814" w:rsidP="00CF606C">
            <w:pPr>
              <w:pStyle w:val="Prrafodelista"/>
              <w:tabs>
                <w:tab w:val="left" w:pos="567"/>
              </w:tabs>
              <w:ind w:left="0"/>
              <w:jc w:val="center"/>
              <w:rPr>
                <w:rFonts w:ascii="Times New Roman" w:hAnsi="Times New Roman"/>
                <w:sz w:val="28"/>
                <w:szCs w:val="28"/>
              </w:rPr>
            </w:pPr>
            <w:r w:rsidRPr="00643DCF">
              <w:rPr>
                <w:rFonts w:ascii="Times New Roman" w:hAnsi="Times New Roman"/>
                <w:bCs/>
                <w:sz w:val="28"/>
                <w:szCs w:val="28"/>
              </w:rPr>
              <w:t>Orden 26</w:t>
            </w:r>
          </w:p>
        </w:tc>
        <w:tc>
          <w:tcPr>
            <w:tcW w:w="1701" w:type="dxa"/>
          </w:tcPr>
          <w:p w14:paraId="15312EF8" w14:textId="60865FB0" w:rsidR="00840814" w:rsidRPr="00643DCF" w:rsidRDefault="007E1FB8" w:rsidP="00414DF8">
            <w:pPr>
              <w:pStyle w:val="Prrafodelista"/>
              <w:tabs>
                <w:tab w:val="left" w:pos="567"/>
              </w:tabs>
              <w:ind w:left="0"/>
              <w:jc w:val="center"/>
              <w:rPr>
                <w:rFonts w:ascii="Times New Roman" w:hAnsi="Times New Roman"/>
                <w:sz w:val="28"/>
                <w:szCs w:val="28"/>
              </w:rPr>
            </w:pPr>
            <w:r w:rsidRPr="00643DCF">
              <w:rPr>
                <w:rFonts w:ascii="Times New Roman" w:hAnsi="Times New Roman"/>
                <w:bCs/>
                <w:sz w:val="28"/>
                <w:szCs w:val="28"/>
              </w:rPr>
              <w:t>31</w:t>
            </w:r>
            <w:r w:rsidR="00840814" w:rsidRPr="00643DCF">
              <w:rPr>
                <w:rFonts w:ascii="Times New Roman" w:hAnsi="Times New Roman"/>
                <w:bCs/>
                <w:sz w:val="28"/>
                <w:szCs w:val="28"/>
              </w:rPr>
              <w:t xml:space="preserve"> </w:t>
            </w:r>
          </w:p>
        </w:tc>
      </w:tr>
      <w:tr w:rsidR="00840814" w:rsidRPr="00643DCF" w14:paraId="74533A6D" w14:textId="77777777" w:rsidTr="00CF606C">
        <w:tc>
          <w:tcPr>
            <w:tcW w:w="1980" w:type="dxa"/>
          </w:tcPr>
          <w:p w14:paraId="28591170" w14:textId="77777777" w:rsidR="00840814" w:rsidRPr="00643DCF" w:rsidRDefault="00840814" w:rsidP="00CF606C">
            <w:pPr>
              <w:pStyle w:val="Prrafodelista"/>
              <w:tabs>
                <w:tab w:val="left" w:pos="567"/>
              </w:tabs>
              <w:ind w:left="0"/>
              <w:jc w:val="center"/>
              <w:rPr>
                <w:rFonts w:ascii="Times New Roman" w:hAnsi="Times New Roman"/>
                <w:sz w:val="28"/>
                <w:szCs w:val="28"/>
              </w:rPr>
            </w:pPr>
            <w:r w:rsidRPr="00643DCF">
              <w:rPr>
                <w:rFonts w:ascii="Times New Roman" w:hAnsi="Times New Roman"/>
                <w:bCs/>
                <w:sz w:val="28"/>
                <w:szCs w:val="28"/>
              </w:rPr>
              <w:t>Orden 27</w:t>
            </w:r>
          </w:p>
        </w:tc>
        <w:tc>
          <w:tcPr>
            <w:tcW w:w="1701" w:type="dxa"/>
          </w:tcPr>
          <w:p w14:paraId="7BFEAD81" w14:textId="2D9D2F26" w:rsidR="00840814" w:rsidRPr="00643DCF" w:rsidRDefault="00840814" w:rsidP="00882ADD">
            <w:pPr>
              <w:pStyle w:val="Prrafodelista"/>
              <w:tabs>
                <w:tab w:val="left" w:pos="567"/>
              </w:tabs>
              <w:ind w:left="0"/>
              <w:jc w:val="center"/>
              <w:rPr>
                <w:rFonts w:ascii="Times New Roman" w:hAnsi="Times New Roman"/>
                <w:sz w:val="28"/>
                <w:szCs w:val="28"/>
              </w:rPr>
            </w:pPr>
            <w:r w:rsidRPr="00643DCF">
              <w:rPr>
                <w:rFonts w:ascii="Times New Roman" w:hAnsi="Times New Roman"/>
                <w:bCs/>
                <w:sz w:val="28"/>
                <w:szCs w:val="28"/>
              </w:rPr>
              <w:t>3</w:t>
            </w:r>
            <w:r w:rsidR="007E1FB8" w:rsidRPr="00643DCF">
              <w:rPr>
                <w:rFonts w:ascii="Times New Roman" w:hAnsi="Times New Roman"/>
                <w:bCs/>
                <w:sz w:val="28"/>
                <w:szCs w:val="28"/>
              </w:rPr>
              <w:t>3</w:t>
            </w:r>
          </w:p>
        </w:tc>
      </w:tr>
      <w:tr w:rsidR="00840814" w:rsidRPr="00643DCF" w14:paraId="7BFFFB42" w14:textId="77777777" w:rsidTr="00CF606C">
        <w:tc>
          <w:tcPr>
            <w:tcW w:w="1980" w:type="dxa"/>
          </w:tcPr>
          <w:p w14:paraId="37F55E82" w14:textId="77777777" w:rsidR="00840814" w:rsidRPr="00643DCF" w:rsidRDefault="00840814" w:rsidP="00CF606C">
            <w:pPr>
              <w:pStyle w:val="Prrafodelista"/>
              <w:tabs>
                <w:tab w:val="left" w:pos="567"/>
              </w:tabs>
              <w:ind w:left="0"/>
              <w:jc w:val="center"/>
              <w:rPr>
                <w:rFonts w:ascii="Times New Roman" w:hAnsi="Times New Roman"/>
                <w:sz w:val="28"/>
                <w:szCs w:val="28"/>
              </w:rPr>
            </w:pPr>
            <w:r w:rsidRPr="00643DCF">
              <w:rPr>
                <w:rFonts w:ascii="Times New Roman" w:hAnsi="Times New Roman"/>
                <w:bCs/>
                <w:sz w:val="28"/>
                <w:szCs w:val="28"/>
              </w:rPr>
              <w:t>Orden 28</w:t>
            </w:r>
          </w:p>
        </w:tc>
        <w:tc>
          <w:tcPr>
            <w:tcW w:w="1701" w:type="dxa"/>
          </w:tcPr>
          <w:p w14:paraId="5B378541" w14:textId="47BDF749" w:rsidR="00840814" w:rsidRPr="00643DCF" w:rsidRDefault="00840814" w:rsidP="00414DF8">
            <w:pPr>
              <w:pStyle w:val="Prrafodelista"/>
              <w:tabs>
                <w:tab w:val="left" w:pos="567"/>
              </w:tabs>
              <w:ind w:left="0"/>
              <w:jc w:val="center"/>
              <w:rPr>
                <w:rFonts w:ascii="Times New Roman" w:hAnsi="Times New Roman"/>
                <w:sz w:val="28"/>
                <w:szCs w:val="28"/>
              </w:rPr>
            </w:pPr>
            <w:r w:rsidRPr="00643DCF">
              <w:rPr>
                <w:rFonts w:ascii="Times New Roman" w:hAnsi="Times New Roman"/>
                <w:bCs/>
                <w:sz w:val="28"/>
                <w:szCs w:val="28"/>
              </w:rPr>
              <w:t xml:space="preserve">24 </w:t>
            </w:r>
          </w:p>
        </w:tc>
      </w:tr>
      <w:tr w:rsidR="00840814" w:rsidRPr="00643DCF" w14:paraId="7338E8A1" w14:textId="77777777" w:rsidTr="00CF606C">
        <w:tc>
          <w:tcPr>
            <w:tcW w:w="1980" w:type="dxa"/>
          </w:tcPr>
          <w:p w14:paraId="2656FB5B" w14:textId="77777777" w:rsidR="00840814" w:rsidRPr="00643DCF" w:rsidRDefault="00840814" w:rsidP="00CF606C">
            <w:pPr>
              <w:pStyle w:val="Prrafodelista"/>
              <w:tabs>
                <w:tab w:val="left" w:pos="567"/>
              </w:tabs>
              <w:ind w:left="0"/>
              <w:jc w:val="center"/>
              <w:rPr>
                <w:rFonts w:ascii="Times New Roman" w:hAnsi="Times New Roman"/>
                <w:sz w:val="28"/>
                <w:szCs w:val="28"/>
              </w:rPr>
            </w:pPr>
            <w:r w:rsidRPr="00643DCF">
              <w:rPr>
                <w:rFonts w:ascii="Times New Roman" w:hAnsi="Times New Roman"/>
                <w:bCs/>
                <w:sz w:val="28"/>
                <w:szCs w:val="28"/>
              </w:rPr>
              <w:t>Orden 29</w:t>
            </w:r>
          </w:p>
        </w:tc>
        <w:tc>
          <w:tcPr>
            <w:tcW w:w="1701" w:type="dxa"/>
          </w:tcPr>
          <w:p w14:paraId="71F58695" w14:textId="488F9A70" w:rsidR="00840814" w:rsidRPr="00643DCF" w:rsidRDefault="00840814" w:rsidP="00222B0F">
            <w:pPr>
              <w:pStyle w:val="Prrafodelista"/>
              <w:tabs>
                <w:tab w:val="left" w:pos="567"/>
              </w:tabs>
              <w:ind w:left="0"/>
              <w:jc w:val="center"/>
              <w:rPr>
                <w:rFonts w:ascii="Times New Roman" w:hAnsi="Times New Roman"/>
                <w:sz w:val="28"/>
                <w:szCs w:val="28"/>
              </w:rPr>
            </w:pPr>
            <w:r w:rsidRPr="00643DCF">
              <w:rPr>
                <w:rFonts w:ascii="Times New Roman" w:hAnsi="Times New Roman"/>
                <w:bCs/>
                <w:sz w:val="28"/>
                <w:szCs w:val="28"/>
              </w:rPr>
              <w:t>4</w:t>
            </w:r>
            <w:r w:rsidR="002E069B" w:rsidRPr="00643DCF">
              <w:rPr>
                <w:rFonts w:ascii="Times New Roman" w:hAnsi="Times New Roman"/>
                <w:bCs/>
                <w:sz w:val="28"/>
                <w:szCs w:val="28"/>
              </w:rPr>
              <w:t>9</w:t>
            </w:r>
          </w:p>
        </w:tc>
      </w:tr>
      <w:tr w:rsidR="00840814" w:rsidRPr="00643DCF" w14:paraId="1CEF1996" w14:textId="77777777" w:rsidTr="00CF606C">
        <w:tc>
          <w:tcPr>
            <w:tcW w:w="1980" w:type="dxa"/>
          </w:tcPr>
          <w:p w14:paraId="694154E8" w14:textId="77777777" w:rsidR="00840814" w:rsidRPr="00643DCF" w:rsidRDefault="00840814" w:rsidP="00CF606C">
            <w:pPr>
              <w:pStyle w:val="Prrafodelista"/>
              <w:tabs>
                <w:tab w:val="left" w:pos="567"/>
              </w:tabs>
              <w:ind w:left="0"/>
              <w:jc w:val="center"/>
              <w:rPr>
                <w:rFonts w:ascii="Times New Roman" w:hAnsi="Times New Roman"/>
                <w:sz w:val="28"/>
                <w:szCs w:val="28"/>
              </w:rPr>
            </w:pPr>
            <w:r w:rsidRPr="00643DCF">
              <w:rPr>
                <w:rFonts w:ascii="Times New Roman" w:hAnsi="Times New Roman"/>
                <w:bCs/>
                <w:sz w:val="28"/>
                <w:szCs w:val="28"/>
              </w:rPr>
              <w:t>Orden 30</w:t>
            </w:r>
          </w:p>
        </w:tc>
        <w:tc>
          <w:tcPr>
            <w:tcW w:w="1701" w:type="dxa"/>
          </w:tcPr>
          <w:p w14:paraId="0A634231" w14:textId="1CA42882" w:rsidR="00840814" w:rsidRPr="00643DCF" w:rsidRDefault="00840814" w:rsidP="009D6542">
            <w:pPr>
              <w:pStyle w:val="Prrafodelista"/>
              <w:tabs>
                <w:tab w:val="left" w:pos="567"/>
              </w:tabs>
              <w:ind w:left="0"/>
              <w:jc w:val="center"/>
              <w:rPr>
                <w:rFonts w:ascii="Times New Roman" w:hAnsi="Times New Roman"/>
                <w:sz w:val="28"/>
                <w:szCs w:val="28"/>
              </w:rPr>
            </w:pPr>
            <w:r w:rsidRPr="00643DCF">
              <w:rPr>
                <w:rFonts w:ascii="Times New Roman" w:hAnsi="Times New Roman"/>
                <w:bCs/>
                <w:sz w:val="28"/>
                <w:szCs w:val="28"/>
              </w:rPr>
              <w:t>2</w:t>
            </w:r>
            <w:r w:rsidR="007E1FB8" w:rsidRPr="00643DCF">
              <w:rPr>
                <w:rFonts w:ascii="Times New Roman" w:hAnsi="Times New Roman"/>
                <w:bCs/>
                <w:sz w:val="28"/>
                <w:szCs w:val="28"/>
              </w:rPr>
              <w:t>9</w:t>
            </w:r>
          </w:p>
        </w:tc>
      </w:tr>
      <w:tr w:rsidR="00840814" w:rsidRPr="00643DCF" w14:paraId="4E45B4F0" w14:textId="77777777" w:rsidTr="00CF606C">
        <w:tc>
          <w:tcPr>
            <w:tcW w:w="1980" w:type="dxa"/>
          </w:tcPr>
          <w:p w14:paraId="1BB5436C" w14:textId="77777777" w:rsidR="00840814" w:rsidRPr="00643DCF" w:rsidRDefault="00840814" w:rsidP="00CF606C">
            <w:pPr>
              <w:pStyle w:val="Prrafodelista"/>
              <w:tabs>
                <w:tab w:val="left" w:pos="567"/>
              </w:tabs>
              <w:ind w:left="0"/>
              <w:jc w:val="center"/>
              <w:rPr>
                <w:rFonts w:ascii="Times New Roman" w:hAnsi="Times New Roman"/>
                <w:sz w:val="28"/>
                <w:szCs w:val="28"/>
              </w:rPr>
            </w:pPr>
            <w:r w:rsidRPr="00643DCF">
              <w:rPr>
                <w:rFonts w:ascii="Times New Roman" w:hAnsi="Times New Roman"/>
                <w:bCs/>
                <w:sz w:val="28"/>
                <w:szCs w:val="28"/>
              </w:rPr>
              <w:t>Orden 32</w:t>
            </w:r>
          </w:p>
        </w:tc>
        <w:tc>
          <w:tcPr>
            <w:tcW w:w="1701" w:type="dxa"/>
          </w:tcPr>
          <w:p w14:paraId="13E834FE" w14:textId="3BA0CC5C" w:rsidR="00840814" w:rsidRPr="00643DCF" w:rsidRDefault="00840814" w:rsidP="00414DF8">
            <w:pPr>
              <w:pStyle w:val="Prrafodelista"/>
              <w:tabs>
                <w:tab w:val="left" w:pos="567"/>
              </w:tabs>
              <w:ind w:left="0"/>
              <w:jc w:val="center"/>
              <w:rPr>
                <w:rFonts w:ascii="Times New Roman" w:hAnsi="Times New Roman"/>
                <w:sz w:val="28"/>
                <w:szCs w:val="28"/>
              </w:rPr>
            </w:pPr>
            <w:r w:rsidRPr="00643DCF">
              <w:rPr>
                <w:rFonts w:ascii="Times New Roman" w:hAnsi="Times New Roman"/>
                <w:bCs/>
                <w:sz w:val="28"/>
                <w:szCs w:val="28"/>
              </w:rPr>
              <w:t xml:space="preserve">11 </w:t>
            </w:r>
          </w:p>
        </w:tc>
      </w:tr>
      <w:tr w:rsidR="00840814" w:rsidRPr="00643DCF" w14:paraId="504EA609" w14:textId="77777777" w:rsidTr="00CF606C">
        <w:trPr>
          <w:trHeight w:val="50"/>
        </w:trPr>
        <w:tc>
          <w:tcPr>
            <w:tcW w:w="1980" w:type="dxa"/>
          </w:tcPr>
          <w:p w14:paraId="633B2BA9" w14:textId="77777777" w:rsidR="00840814" w:rsidRPr="00643DCF" w:rsidRDefault="00840814" w:rsidP="00CF606C">
            <w:pPr>
              <w:pStyle w:val="Prrafodelista"/>
              <w:tabs>
                <w:tab w:val="left" w:pos="567"/>
              </w:tabs>
              <w:ind w:left="0"/>
              <w:jc w:val="center"/>
              <w:rPr>
                <w:rFonts w:ascii="Times New Roman" w:hAnsi="Times New Roman"/>
                <w:b/>
                <w:sz w:val="28"/>
                <w:szCs w:val="28"/>
              </w:rPr>
            </w:pPr>
            <w:r w:rsidRPr="00643DCF">
              <w:rPr>
                <w:rFonts w:ascii="Times New Roman" w:hAnsi="Times New Roman"/>
                <w:b/>
                <w:bCs/>
                <w:sz w:val="28"/>
                <w:szCs w:val="28"/>
              </w:rPr>
              <w:t>Total</w:t>
            </w:r>
          </w:p>
        </w:tc>
        <w:tc>
          <w:tcPr>
            <w:tcW w:w="1701" w:type="dxa"/>
          </w:tcPr>
          <w:p w14:paraId="7006CF61" w14:textId="6561019E" w:rsidR="00840814" w:rsidRPr="00643DCF" w:rsidRDefault="00840814" w:rsidP="00923943">
            <w:pPr>
              <w:pStyle w:val="Prrafodelista"/>
              <w:tabs>
                <w:tab w:val="left" w:pos="567"/>
              </w:tabs>
              <w:ind w:left="0"/>
              <w:jc w:val="center"/>
              <w:rPr>
                <w:rFonts w:ascii="Times New Roman" w:hAnsi="Times New Roman"/>
                <w:b/>
                <w:sz w:val="28"/>
                <w:szCs w:val="28"/>
              </w:rPr>
            </w:pPr>
            <w:r w:rsidRPr="00643DCF">
              <w:rPr>
                <w:rFonts w:ascii="Times New Roman" w:hAnsi="Times New Roman"/>
                <w:b/>
                <w:bCs/>
                <w:sz w:val="28"/>
                <w:szCs w:val="28"/>
              </w:rPr>
              <w:t>5</w:t>
            </w:r>
            <w:r w:rsidR="007E2428" w:rsidRPr="00643DCF">
              <w:rPr>
                <w:rFonts w:ascii="Times New Roman" w:hAnsi="Times New Roman"/>
                <w:b/>
                <w:bCs/>
                <w:sz w:val="28"/>
                <w:szCs w:val="28"/>
              </w:rPr>
              <w:t>14</w:t>
            </w:r>
          </w:p>
        </w:tc>
      </w:tr>
    </w:tbl>
    <w:p w14:paraId="0536B803" w14:textId="77777777" w:rsidR="004A0EEA" w:rsidRDefault="004A0EEA" w:rsidP="00F503E1">
      <w:pPr>
        <w:pStyle w:val="Prrafodelista"/>
        <w:tabs>
          <w:tab w:val="left" w:pos="567"/>
        </w:tabs>
        <w:ind w:left="0"/>
        <w:jc w:val="both"/>
        <w:rPr>
          <w:sz w:val="28"/>
          <w:szCs w:val="28"/>
        </w:rPr>
      </w:pPr>
    </w:p>
    <w:p w14:paraId="55877603" w14:textId="2B303671" w:rsidR="00EC1052" w:rsidRPr="00643DCF" w:rsidRDefault="000A0F2E" w:rsidP="00F503E1">
      <w:pPr>
        <w:pStyle w:val="Prrafodelista"/>
        <w:tabs>
          <w:tab w:val="left" w:pos="567"/>
        </w:tabs>
        <w:ind w:left="0"/>
        <w:jc w:val="both"/>
        <w:rPr>
          <w:sz w:val="28"/>
          <w:szCs w:val="28"/>
        </w:rPr>
      </w:pPr>
      <w:r w:rsidRPr="00643DCF">
        <w:rPr>
          <w:sz w:val="28"/>
          <w:szCs w:val="28"/>
        </w:rPr>
        <w:t>4</w:t>
      </w:r>
      <w:r w:rsidR="00846C36" w:rsidRPr="00643DCF">
        <w:rPr>
          <w:sz w:val="28"/>
          <w:szCs w:val="28"/>
        </w:rPr>
        <w:t>4</w:t>
      </w:r>
      <w:r w:rsidRPr="00643DCF">
        <w:rPr>
          <w:sz w:val="28"/>
          <w:szCs w:val="28"/>
        </w:rPr>
        <w:t xml:space="preserve">. </w:t>
      </w:r>
      <w:r w:rsidR="00B14E08" w:rsidRPr="00643DCF">
        <w:rPr>
          <w:sz w:val="28"/>
          <w:szCs w:val="28"/>
        </w:rPr>
        <w:t xml:space="preserve">De otra parte, </w:t>
      </w:r>
      <w:r w:rsidR="00425C2E" w:rsidRPr="00643DCF">
        <w:rPr>
          <w:sz w:val="28"/>
          <w:szCs w:val="28"/>
        </w:rPr>
        <w:t>e</w:t>
      </w:r>
      <w:r w:rsidR="00F503E1" w:rsidRPr="00643DCF">
        <w:rPr>
          <w:sz w:val="28"/>
          <w:szCs w:val="28"/>
        </w:rPr>
        <w:t xml:space="preserve">n el mismo enlace </w:t>
      </w:r>
      <w:r w:rsidR="00F04237" w:rsidRPr="00643DCF">
        <w:rPr>
          <w:sz w:val="28"/>
          <w:szCs w:val="28"/>
        </w:rPr>
        <w:t>es posible</w:t>
      </w:r>
      <w:r w:rsidR="006F44CA" w:rsidRPr="00643DCF">
        <w:rPr>
          <w:sz w:val="28"/>
          <w:szCs w:val="28"/>
        </w:rPr>
        <w:t xml:space="preserve"> consultar </w:t>
      </w:r>
      <w:r w:rsidR="002C23D1" w:rsidRPr="00643DCF">
        <w:rPr>
          <w:sz w:val="28"/>
          <w:szCs w:val="28"/>
        </w:rPr>
        <w:t>43</w:t>
      </w:r>
      <w:r w:rsidR="00F503E1" w:rsidRPr="00643DCF">
        <w:rPr>
          <w:sz w:val="28"/>
          <w:szCs w:val="28"/>
        </w:rPr>
        <w:t xml:space="preserve"> informes presentados por diferentes entidades</w:t>
      </w:r>
      <w:r w:rsidR="00836753" w:rsidRPr="00643DCF">
        <w:rPr>
          <w:sz w:val="28"/>
          <w:szCs w:val="28"/>
        </w:rPr>
        <w:t xml:space="preserve"> que funcio</w:t>
      </w:r>
      <w:r w:rsidR="00120E1E" w:rsidRPr="00643DCF">
        <w:rPr>
          <w:sz w:val="28"/>
          <w:szCs w:val="28"/>
        </w:rPr>
        <w:t xml:space="preserve">nalmente participan en las </w:t>
      </w:r>
      <w:r w:rsidR="00836753" w:rsidRPr="00643DCF">
        <w:rPr>
          <w:sz w:val="28"/>
          <w:szCs w:val="28"/>
        </w:rPr>
        <w:t xml:space="preserve">actividades orientadas al </w:t>
      </w:r>
      <w:r w:rsidR="009E7CE1" w:rsidRPr="00643DCF">
        <w:rPr>
          <w:sz w:val="28"/>
          <w:szCs w:val="28"/>
        </w:rPr>
        <w:t xml:space="preserve">acatamiento </w:t>
      </w:r>
      <w:r w:rsidR="00836753" w:rsidRPr="00643DCF">
        <w:rPr>
          <w:sz w:val="28"/>
          <w:szCs w:val="28"/>
        </w:rPr>
        <w:t xml:space="preserve">de las </w:t>
      </w:r>
      <w:r w:rsidR="001E391C" w:rsidRPr="00643DCF">
        <w:rPr>
          <w:sz w:val="28"/>
          <w:szCs w:val="28"/>
        </w:rPr>
        <w:t>órdenes proporcionadas en el fallo estructural</w:t>
      </w:r>
      <w:r w:rsidR="00F503E1" w:rsidRPr="00643DCF">
        <w:rPr>
          <w:rStyle w:val="Refdenotaalpie"/>
          <w:sz w:val="28"/>
          <w:szCs w:val="28"/>
        </w:rPr>
        <w:footnoteReference w:id="136"/>
      </w:r>
      <w:r w:rsidR="00F503E1" w:rsidRPr="00643DCF">
        <w:rPr>
          <w:sz w:val="28"/>
          <w:szCs w:val="28"/>
        </w:rPr>
        <w:t>, reposan 1</w:t>
      </w:r>
      <w:r w:rsidR="00F51672" w:rsidRPr="00643DCF">
        <w:rPr>
          <w:sz w:val="28"/>
          <w:szCs w:val="28"/>
        </w:rPr>
        <w:t>45</w:t>
      </w:r>
      <w:r w:rsidR="00F503E1" w:rsidRPr="00643DCF">
        <w:rPr>
          <w:sz w:val="28"/>
          <w:szCs w:val="28"/>
        </w:rPr>
        <w:t xml:space="preserve"> archivos de normatividad referente al derecho a la salud</w:t>
      </w:r>
      <w:r w:rsidR="00120E1E" w:rsidRPr="00643DCF">
        <w:rPr>
          <w:sz w:val="28"/>
          <w:szCs w:val="28"/>
        </w:rPr>
        <w:t>,</w:t>
      </w:r>
      <w:r w:rsidR="00FA5DC6" w:rsidRPr="00643DCF">
        <w:rPr>
          <w:sz w:val="28"/>
          <w:szCs w:val="28"/>
        </w:rPr>
        <w:t xml:space="preserve"> </w:t>
      </w:r>
      <w:r w:rsidR="00A34105" w:rsidRPr="00643DCF">
        <w:rPr>
          <w:sz w:val="28"/>
          <w:szCs w:val="28"/>
        </w:rPr>
        <w:t xml:space="preserve">extraída </w:t>
      </w:r>
      <w:r w:rsidR="0041528F" w:rsidRPr="00643DCF">
        <w:rPr>
          <w:sz w:val="28"/>
          <w:szCs w:val="28"/>
        </w:rPr>
        <w:t>d</w:t>
      </w:r>
      <w:r w:rsidR="00FA5DC6" w:rsidRPr="00643DCF">
        <w:rPr>
          <w:sz w:val="28"/>
          <w:szCs w:val="28"/>
        </w:rPr>
        <w:t xml:space="preserve">el </w:t>
      </w:r>
      <w:r w:rsidR="00D4448A" w:rsidRPr="00643DCF">
        <w:rPr>
          <w:sz w:val="28"/>
          <w:szCs w:val="28"/>
        </w:rPr>
        <w:t>d</w:t>
      </w:r>
      <w:r w:rsidR="00FA5DC6" w:rsidRPr="00643DCF">
        <w:rPr>
          <w:sz w:val="28"/>
          <w:szCs w:val="28"/>
        </w:rPr>
        <w:t xml:space="preserve">iario </w:t>
      </w:r>
      <w:r w:rsidR="00D4448A" w:rsidRPr="00643DCF">
        <w:rPr>
          <w:sz w:val="28"/>
          <w:szCs w:val="28"/>
        </w:rPr>
        <w:t>o</w:t>
      </w:r>
      <w:r w:rsidR="00FA5DC6" w:rsidRPr="00643DCF">
        <w:rPr>
          <w:sz w:val="28"/>
          <w:szCs w:val="28"/>
        </w:rPr>
        <w:t>ficial</w:t>
      </w:r>
      <w:r w:rsidR="00120E1E" w:rsidRPr="00643DCF">
        <w:rPr>
          <w:sz w:val="28"/>
          <w:szCs w:val="28"/>
        </w:rPr>
        <w:t>,</w:t>
      </w:r>
      <w:r w:rsidR="00FA5DC6" w:rsidRPr="00643DCF">
        <w:rPr>
          <w:sz w:val="28"/>
          <w:szCs w:val="28"/>
        </w:rPr>
        <w:t xml:space="preserve"> en </w:t>
      </w:r>
      <w:r w:rsidR="00120E1E" w:rsidRPr="00643DCF">
        <w:rPr>
          <w:sz w:val="28"/>
          <w:szCs w:val="28"/>
        </w:rPr>
        <w:t>los</w:t>
      </w:r>
      <w:r w:rsidR="00FA5DC6" w:rsidRPr="00643DCF">
        <w:rPr>
          <w:sz w:val="28"/>
          <w:szCs w:val="28"/>
        </w:rPr>
        <w:t xml:space="preserve"> que se señala el título de la </w:t>
      </w:r>
      <w:r w:rsidR="0016310F" w:rsidRPr="00643DCF">
        <w:rPr>
          <w:sz w:val="28"/>
          <w:szCs w:val="28"/>
        </w:rPr>
        <w:t>norma</w:t>
      </w:r>
      <w:r w:rsidR="00FA5DC6" w:rsidRPr="00643DCF">
        <w:rPr>
          <w:sz w:val="28"/>
          <w:szCs w:val="28"/>
        </w:rPr>
        <w:t xml:space="preserve"> y la entidad generadora</w:t>
      </w:r>
      <w:r w:rsidR="00F503E1" w:rsidRPr="00643DCF">
        <w:rPr>
          <w:sz w:val="28"/>
          <w:szCs w:val="28"/>
        </w:rPr>
        <w:t xml:space="preserve"> y 5</w:t>
      </w:r>
      <w:r w:rsidR="00F51672" w:rsidRPr="00643DCF">
        <w:rPr>
          <w:sz w:val="28"/>
          <w:szCs w:val="28"/>
        </w:rPr>
        <w:t>8</w:t>
      </w:r>
      <w:r w:rsidR="00FA5DC6" w:rsidRPr="00643DCF">
        <w:rPr>
          <w:sz w:val="28"/>
          <w:szCs w:val="28"/>
        </w:rPr>
        <w:t xml:space="preserve"> archivos</w:t>
      </w:r>
      <w:r w:rsidR="00F503E1" w:rsidRPr="00643DCF">
        <w:rPr>
          <w:sz w:val="28"/>
          <w:szCs w:val="28"/>
        </w:rPr>
        <w:t xml:space="preserve"> de doctri</w:t>
      </w:r>
      <w:r w:rsidR="00FA5DC6" w:rsidRPr="00643DCF">
        <w:rPr>
          <w:sz w:val="28"/>
          <w:szCs w:val="28"/>
        </w:rPr>
        <w:t>na relacionada con la misma temática proveniente del Sistema Nacional de Bibliotecas Enrique Low Murtra –</w:t>
      </w:r>
      <w:r w:rsidRPr="00643DCF">
        <w:rPr>
          <w:sz w:val="28"/>
          <w:szCs w:val="28"/>
        </w:rPr>
        <w:t xml:space="preserve"> </w:t>
      </w:r>
      <w:r w:rsidR="00672BA2" w:rsidRPr="00643DCF">
        <w:rPr>
          <w:sz w:val="28"/>
          <w:szCs w:val="28"/>
        </w:rPr>
        <w:t>Cendoj</w:t>
      </w:r>
      <w:r w:rsidR="001816AD" w:rsidRPr="00643DCF">
        <w:rPr>
          <w:sz w:val="28"/>
          <w:szCs w:val="28"/>
        </w:rPr>
        <w:t xml:space="preserve">. </w:t>
      </w:r>
    </w:p>
    <w:p w14:paraId="44382288" w14:textId="77777777" w:rsidR="001241C5" w:rsidRPr="00643DCF" w:rsidRDefault="001241C5" w:rsidP="00F503E1">
      <w:pPr>
        <w:pStyle w:val="Prrafodelista"/>
        <w:tabs>
          <w:tab w:val="left" w:pos="567"/>
        </w:tabs>
        <w:ind w:left="0"/>
        <w:jc w:val="both"/>
        <w:rPr>
          <w:sz w:val="28"/>
          <w:szCs w:val="28"/>
        </w:rPr>
      </w:pPr>
    </w:p>
    <w:p w14:paraId="31D55B95" w14:textId="53500702" w:rsidR="00F503E1" w:rsidRPr="00643DCF" w:rsidRDefault="001816AD" w:rsidP="00F503E1">
      <w:pPr>
        <w:pStyle w:val="Prrafodelista"/>
        <w:tabs>
          <w:tab w:val="left" w:pos="567"/>
        </w:tabs>
        <w:ind w:left="0"/>
        <w:jc w:val="both"/>
        <w:rPr>
          <w:sz w:val="28"/>
          <w:szCs w:val="28"/>
        </w:rPr>
      </w:pPr>
      <w:r w:rsidRPr="00643DCF">
        <w:rPr>
          <w:sz w:val="28"/>
          <w:szCs w:val="28"/>
        </w:rPr>
        <w:t>I</w:t>
      </w:r>
      <w:r w:rsidR="00F503E1" w:rsidRPr="00643DCF">
        <w:rPr>
          <w:sz w:val="28"/>
          <w:szCs w:val="28"/>
        </w:rPr>
        <w:t xml:space="preserve">gualmente, hace parte de este </w:t>
      </w:r>
      <w:r w:rsidR="0023312A" w:rsidRPr="00643DCF">
        <w:rPr>
          <w:i/>
          <w:sz w:val="28"/>
          <w:szCs w:val="28"/>
        </w:rPr>
        <w:t>link</w:t>
      </w:r>
      <w:r w:rsidR="00F503E1" w:rsidRPr="00643DCF">
        <w:rPr>
          <w:sz w:val="28"/>
          <w:szCs w:val="28"/>
        </w:rPr>
        <w:t xml:space="preserve"> una videoteca organizada por años en la que reposa </w:t>
      </w:r>
      <w:r w:rsidR="0023312A" w:rsidRPr="00643DCF">
        <w:rPr>
          <w:sz w:val="28"/>
          <w:szCs w:val="28"/>
        </w:rPr>
        <w:t xml:space="preserve">el </w:t>
      </w:r>
      <w:r w:rsidR="00F503E1" w:rsidRPr="00643DCF">
        <w:rPr>
          <w:sz w:val="28"/>
          <w:szCs w:val="28"/>
        </w:rPr>
        <w:t>material</w:t>
      </w:r>
      <w:r w:rsidR="00564E61" w:rsidRPr="00643DCF">
        <w:rPr>
          <w:sz w:val="28"/>
          <w:szCs w:val="28"/>
        </w:rPr>
        <w:t xml:space="preserve"> fílmico </w:t>
      </w:r>
      <w:r w:rsidR="00120E1E" w:rsidRPr="00643DCF">
        <w:rPr>
          <w:sz w:val="28"/>
          <w:szCs w:val="28"/>
        </w:rPr>
        <w:t>con diferentes contenidos: audiencias públicas, rendiciones de cuentas, programas de televisión y</w:t>
      </w:r>
      <w:r w:rsidR="000A0F2E" w:rsidRPr="00643DCF">
        <w:rPr>
          <w:sz w:val="28"/>
          <w:szCs w:val="28"/>
        </w:rPr>
        <w:t xml:space="preserve"> un</w:t>
      </w:r>
      <w:r w:rsidR="00120E1E" w:rsidRPr="00643DCF">
        <w:rPr>
          <w:sz w:val="28"/>
          <w:szCs w:val="28"/>
        </w:rPr>
        <w:t xml:space="preserve"> encuentro jurisdiccional, entre otros. </w:t>
      </w:r>
      <w:r w:rsidR="00F62D88" w:rsidRPr="00643DCF">
        <w:rPr>
          <w:sz w:val="28"/>
          <w:szCs w:val="28"/>
        </w:rPr>
        <w:t xml:space="preserve">A la fecha se observa que cuenta con un total de </w:t>
      </w:r>
      <w:r w:rsidR="005D485D" w:rsidRPr="00643DCF">
        <w:rPr>
          <w:sz w:val="28"/>
          <w:szCs w:val="28"/>
        </w:rPr>
        <w:t>1</w:t>
      </w:r>
      <w:r w:rsidR="00D20AC7" w:rsidRPr="00643DCF">
        <w:rPr>
          <w:sz w:val="28"/>
          <w:szCs w:val="28"/>
        </w:rPr>
        <w:t>1360</w:t>
      </w:r>
      <w:r w:rsidR="00EC1052" w:rsidRPr="00643DCF">
        <w:rPr>
          <w:sz w:val="28"/>
          <w:szCs w:val="28"/>
        </w:rPr>
        <w:t xml:space="preserve"> </w:t>
      </w:r>
      <w:r w:rsidR="00F62D88" w:rsidRPr="00643DCF">
        <w:rPr>
          <w:sz w:val="28"/>
          <w:szCs w:val="28"/>
        </w:rPr>
        <w:t xml:space="preserve">visitas. </w:t>
      </w:r>
    </w:p>
    <w:p w14:paraId="74840D7A" w14:textId="77777777" w:rsidR="00EB37CA" w:rsidRPr="00643DCF" w:rsidRDefault="00EB37CA" w:rsidP="00F503E1">
      <w:pPr>
        <w:pStyle w:val="Prrafodelista"/>
        <w:tabs>
          <w:tab w:val="left" w:pos="567"/>
        </w:tabs>
        <w:ind w:left="0"/>
        <w:jc w:val="both"/>
        <w:rPr>
          <w:sz w:val="28"/>
          <w:szCs w:val="28"/>
        </w:rPr>
      </w:pPr>
    </w:p>
    <w:p w14:paraId="546A92AD" w14:textId="39C448A1" w:rsidR="00D0724D" w:rsidRPr="00643DCF" w:rsidRDefault="000A0F2E" w:rsidP="00D0724D">
      <w:pPr>
        <w:tabs>
          <w:tab w:val="left" w:pos="567"/>
        </w:tabs>
        <w:autoSpaceDE w:val="0"/>
        <w:autoSpaceDN w:val="0"/>
        <w:jc w:val="both"/>
        <w:rPr>
          <w:rFonts w:eastAsia="Batang"/>
          <w:bCs/>
          <w:sz w:val="28"/>
          <w:szCs w:val="28"/>
        </w:rPr>
      </w:pPr>
      <w:r w:rsidRPr="00643DCF">
        <w:rPr>
          <w:rFonts w:eastAsia="Batang"/>
          <w:bCs/>
          <w:sz w:val="28"/>
          <w:szCs w:val="28"/>
        </w:rPr>
        <w:t>4</w:t>
      </w:r>
      <w:r w:rsidR="001356D4" w:rsidRPr="00643DCF">
        <w:rPr>
          <w:rFonts w:eastAsia="Batang"/>
          <w:bCs/>
          <w:sz w:val="28"/>
          <w:szCs w:val="28"/>
        </w:rPr>
        <w:t>5</w:t>
      </w:r>
      <w:r w:rsidRPr="00643DCF">
        <w:rPr>
          <w:rFonts w:eastAsia="Batang"/>
          <w:bCs/>
          <w:sz w:val="28"/>
          <w:szCs w:val="28"/>
        </w:rPr>
        <w:t xml:space="preserve">. </w:t>
      </w:r>
      <w:r w:rsidR="0016310F" w:rsidRPr="00643DCF">
        <w:rPr>
          <w:rFonts w:eastAsia="Batang"/>
          <w:bCs/>
          <w:sz w:val="28"/>
          <w:szCs w:val="28"/>
        </w:rPr>
        <w:t>En torno a este punto e</w:t>
      </w:r>
      <w:r w:rsidR="00D0724D" w:rsidRPr="00643DCF">
        <w:rPr>
          <w:rFonts w:eastAsia="Batang"/>
          <w:bCs/>
          <w:sz w:val="28"/>
          <w:szCs w:val="28"/>
        </w:rPr>
        <w:t xml:space="preserve">l CSJ </w:t>
      </w:r>
      <w:r w:rsidR="00575C45" w:rsidRPr="00643DCF">
        <w:rPr>
          <w:rFonts w:eastAsia="Batang"/>
          <w:bCs/>
          <w:sz w:val="28"/>
          <w:szCs w:val="28"/>
        </w:rPr>
        <w:t xml:space="preserve">con el fin de garantizar </w:t>
      </w:r>
      <w:r w:rsidR="00306A17" w:rsidRPr="00643DCF">
        <w:rPr>
          <w:rFonts w:eastAsia="Batang"/>
          <w:bCs/>
          <w:sz w:val="28"/>
          <w:szCs w:val="28"/>
        </w:rPr>
        <w:t>la consecución</w:t>
      </w:r>
      <w:r w:rsidR="00575C45" w:rsidRPr="00643DCF">
        <w:rPr>
          <w:rFonts w:eastAsia="Batang"/>
          <w:bCs/>
          <w:sz w:val="28"/>
          <w:szCs w:val="28"/>
        </w:rPr>
        <w:t xml:space="preserve"> efectiv</w:t>
      </w:r>
      <w:r w:rsidR="00306A17" w:rsidRPr="00643DCF">
        <w:rPr>
          <w:rFonts w:eastAsia="Batang"/>
          <w:bCs/>
          <w:sz w:val="28"/>
          <w:szCs w:val="28"/>
        </w:rPr>
        <w:t>a</w:t>
      </w:r>
      <w:r w:rsidR="00575C45" w:rsidRPr="00643DCF">
        <w:rPr>
          <w:rFonts w:eastAsia="Batang"/>
          <w:bCs/>
          <w:sz w:val="28"/>
          <w:szCs w:val="28"/>
        </w:rPr>
        <w:t xml:space="preserve"> de las decisiones</w:t>
      </w:r>
      <w:r w:rsidR="00BF232A" w:rsidRPr="00643DCF">
        <w:rPr>
          <w:rFonts w:eastAsia="Batang"/>
          <w:bCs/>
          <w:sz w:val="28"/>
          <w:szCs w:val="28"/>
        </w:rPr>
        <w:t>,</w:t>
      </w:r>
      <w:r w:rsidR="001816AD" w:rsidRPr="00643DCF">
        <w:rPr>
          <w:rFonts w:eastAsia="Batang"/>
          <w:bCs/>
          <w:sz w:val="28"/>
          <w:szCs w:val="28"/>
        </w:rPr>
        <w:t xml:space="preserve"> </w:t>
      </w:r>
      <w:r w:rsidR="00575C45" w:rsidRPr="00643DCF">
        <w:rPr>
          <w:rFonts w:eastAsia="Batang"/>
          <w:bCs/>
          <w:sz w:val="28"/>
          <w:szCs w:val="28"/>
        </w:rPr>
        <w:t>emitió el memorando PSA 13-3912 del 13 de septiembre de 2013</w:t>
      </w:r>
      <w:r w:rsidR="00575C45" w:rsidRPr="00643DCF">
        <w:rPr>
          <w:rStyle w:val="Refdenotaalpie"/>
          <w:rFonts w:eastAsia="Batang"/>
          <w:bCs/>
          <w:sz w:val="28"/>
          <w:szCs w:val="28"/>
        </w:rPr>
        <w:footnoteReference w:id="137"/>
      </w:r>
      <w:r w:rsidR="00575C45" w:rsidRPr="00643DCF">
        <w:rPr>
          <w:rFonts w:eastAsia="Batang"/>
          <w:bCs/>
          <w:sz w:val="28"/>
          <w:szCs w:val="28"/>
        </w:rPr>
        <w:t xml:space="preserve"> </w:t>
      </w:r>
      <w:r w:rsidR="00D0724D" w:rsidRPr="00643DCF">
        <w:rPr>
          <w:rFonts w:eastAsia="Batang"/>
          <w:bCs/>
          <w:sz w:val="28"/>
          <w:szCs w:val="28"/>
        </w:rPr>
        <w:t xml:space="preserve">por medio del cual el Presidente de </w:t>
      </w:r>
      <w:r w:rsidR="0016310F" w:rsidRPr="00643DCF">
        <w:rPr>
          <w:rFonts w:eastAsia="Batang"/>
          <w:bCs/>
          <w:sz w:val="28"/>
          <w:szCs w:val="28"/>
        </w:rPr>
        <w:t xml:space="preserve">la </w:t>
      </w:r>
      <w:r w:rsidR="00D0724D" w:rsidRPr="00643DCF">
        <w:rPr>
          <w:rFonts w:eastAsia="Batang"/>
          <w:bCs/>
          <w:sz w:val="28"/>
          <w:szCs w:val="28"/>
        </w:rPr>
        <w:t>Corporación le</w:t>
      </w:r>
      <w:r w:rsidR="00BF232A" w:rsidRPr="00643DCF">
        <w:rPr>
          <w:rFonts w:eastAsia="Batang"/>
          <w:bCs/>
          <w:sz w:val="28"/>
          <w:szCs w:val="28"/>
        </w:rPr>
        <w:t xml:space="preserve"> recordó a los funcionarios judiciales el deber de dar estrict</w:t>
      </w:r>
      <w:r w:rsidR="00306A17" w:rsidRPr="00643DCF">
        <w:rPr>
          <w:rFonts w:eastAsia="Batang"/>
          <w:bCs/>
          <w:sz w:val="28"/>
          <w:szCs w:val="28"/>
        </w:rPr>
        <w:t>a</w:t>
      </w:r>
      <w:r w:rsidR="00BF232A" w:rsidRPr="00643DCF">
        <w:rPr>
          <w:rFonts w:eastAsia="Batang"/>
          <w:bCs/>
          <w:sz w:val="28"/>
          <w:szCs w:val="28"/>
        </w:rPr>
        <w:t xml:space="preserve"> </w:t>
      </w:r>
      <w:r w:rsidR="00306A17" w:rsidRPr="00643DCF">
        <w:rPr>
          <w:rFonts w:eastAsia="Batang"/>
          <w:bCs/>
          <w:sz w:val="28"/>
          <w:szCs w:val="28"/>
        </w:rPr>
        <w:t xml:space="preserve">obediencia </w:t>
      </w:r>
      <w:r w:rsidR="00BF232A" w:rsidRPr="00643DCF">
        <w:rPr>
          <w:rFonts w:eastAsia="Batang"/>
          <w:bCs/>
          <w:sz w:val="28"/>
          <w:szCs w:val="28"/>
        </w:rPr>
        <w:t>a los artículos 27 y 52 del Decreto 2591 de 1991, especialmente en las tutelas cuyo objeto verse sobre el derecho a la salud</w:t>
      </w:r>
      <w:r w:rsidR="00FE009D" w:rsidRPr="00643DCF">
        <w:rPr>
          <w:rFonts w:eastAsia="Batang"/>
          <w:bCs/>
          <w:sz w:val="28"/>
          <w:szCs w:val="28"/>
        </w:rPr>
        <w:t xml:space="preserve">. </w:t>
      </w:r>
    </w:p>
    <w:p w14:paraId="1CF63C79" w14:textId="77777777" w:rsidR="00D0724D" w:rsidRPr="00643DCF" w:rsidRDefault="00D0724D" w:rsidP="00F503E1">
      <w:pPr>
        <w:pStyle w:val="Prrafodelista"/>
        <w:tabs>
          <w:tab w:val="left" w:pos="567"/>
        </w:tabs>
        <w:ind w:left="0"/>
        <w:jc w:val="both"/>
        <w:rPr>
          <w:sz w:val="28"/>
          <w:szCs w:val="28"/>
        </w:rPr>
      </w:pPr>
    </w:p>
    <w:p w14:paraId="1302DC0C" w14:textId="705908A7" w:rsidR="00605B26" w:rsidRPr="00643DCF" w:rsidRDefault="000A0F2E" w:rsidP="00605B26">
      <w:pPr>
        <w:pStyle w:val="Prrafodelista"/>
        <w:tabs>
          <w:tab w:val="left" w:pos="567"/>
        </w:tabs>
        <w:ind w:left="0"/>
        <w:jc w:val="both"/>
        <w:rPr>
          <w:sz w:val="28"/>
          <w:szCs w:val="28"/>
        </w:rPr>
      </w:pPr>
      <w:r w:rsidRPr="00643DCF">
        <w:rPr>
          <w:sz w:val="28"/>
          <w:szCs w:val="28"/>
        </w:rPr>
        <w:t>4</w:t>
      </w:r>
      <w:r w:rsidR="001356D4" w:rsidRPr="00643DCF">
        <w:rPr>
          <w:sz w:val="28"/>
          <w:szCs w:val="28"/>
        </w:rPr>
        <w:t>6</w:t>
      </w:r>
      <w:r w:rsidRPr="00643DCF">
        <w:rPr>
          <w:sz w:val="28"/>
          <w:szCs w:val="28"/>
        </w:rPr>
        <w:t xml:space="preserve">. </w:t>
      </w:r>
      <w:r w:rsidR="00605B26" w:rsidRPr="00643DCF">
        <w:rPr>
          <w:sz w:val="28"/>
          <w:szCs w:val="28"/>
        </w:rPr>
        <w:t xml:space="preserve">Sobre este </w:t>
      </w:r>
      <w:r w:rsidR="003843ED" w:rsidRPr="00643DCF">
        <w:rPr>
          <w:sz w:val="28"/>
          <w:szCs w:val="28"/>
        </w:rPr>
        <w:t xml:space="preserve">componente, </w:t>
      </w:r>
      <w:r w:rsidR="00605B26" w:rsidRPr="00643DCF">
        <w:rPr>
          <w:sz w:val="28"/>
          <w:szCs w:val="28"/>
        </w:rPr>
        <w:t xml:space="preserve">la Defensoría del Pueblo manifestó que </w:t>
      </w:r>
      <w:r w:rsidR="003843ED" w:rsidRPr="00643DCF">
        <w:rPr>
          <w:sz w:val="28"/>
          <w:szCs w:val="28"/>
        </w:rPr>
        <w:t xml:space="preserve">si bien el CSJ </w:t>
      </w:r>
      <w:r w:rsidR="004E79F8" w:rsidRPr="00643DCF">
        <w:rPr>
          <w:sz w:val="28"/>
          <w:szCs w:val="28"/>
        </w:rPr>
        <w:t>conserva</w:t>
      </w:r>
      <w:r w:rsidR="003843ED" w:rsidRPr="00643DCF">
        <w:rPr>
          <w:sz w:val="28"/>
          <w:szCs w:val="28"/>
        </w:rPr>
        <w:t xml:space="preserve"> los</w:t>
      </w:r>
      <w:r w:rsidR="004E79F8" w:rsidRPr="00643DCF">
        <w:rPr>
          <w:sz w:val="28"/>
          <w:szCs w:val="28"/>
        </w:rPr>
        <w:t xml:space="preserve"> </w:t>
      </w:r>
      <w:r w:rsidR="003843ED" w:rsidRPr="00643DCF">
        <w:rPr>
          <w:sz w:val="28"/>
          <w:szCs w:val="28"/>
        </w:rPr>
        <w:t xml:space="preserve">canales de difusión y </w:t>
      </w:r>
      <w:r w:rsidRPr="00643DCF">
        <w:rPr>
          <w:sz w:val="28"/>
          <w:szCs w:val="28"/>
        </w:rPr>
        <w:t>capacitación</w:t>
      </w:r>
      <w:r w:rsidR="003843ED" w:rsidRPr="00643DCF">
        <w:rPr>
          <w:sz w:val="28"/>
          <w:szCs w:val="28"/>
        </w:rPr>
        <w:t xml:space="preserve">, así como los </w:t>
      </w:r>
      <w:r w:rsidR="00605B26" w:rsidRPr="00643DCF">
        <w:rPr>
          <w:sz w:val="28"/>
          <w:szCs w:val="28"/>
        </w:rPr>
        <w:t>contenidos sobre la sentencia T-760 de 2018</w:t>
      </w:r>
      <w:r w:rsidR="003843ED" w:rsidRPr="00643DCF">
        <w:rPr>
          <w:sz w:val="28"/>
          <w:szCs w:val="28"/>
        </w:rPr>
        <w:t xml:space="preserve"> y dem</w:t>
      </w:r>
      <w:r w:rsidR="003B475E" w:rsidRPr="00643DCF">
        <w:rPr>
          <w:sz w:val="28"/>
          <w:szCs w:val="28"/>
        </w:rPr>
        <w:t>ás</w:t>
      </w:r>
      <w:r w:rsidR="005C4E0F" w:rsidRPr="00643DCF">
        <w:rPr>
          <w:sz w:val="28"/>
          <w:szCs w:val="28"/>
        </w:rPr>
        <w:t xml:space="preserve"> t</w:t>
      </w:r>
      <w:r w:rsidR="00605B26" w:rsidRPr="00643DCF">
        <w:rPr>
          <w:sz w:val="28"/>
          <w:szCs w:val="28"/>
        </w:rPr>
        <w:t xml:space="preserve">emas </w:t>
      </w:r>
      <w:r w:rsidR="003843ED" w:rsidRPr="00643DCF">
        <w:rPr>
          <w:sz w:val="28"/>
          <w:szCs w:val="28"/>
        </w:rPr>
        <w:t xml:space="preserve">relacionados con el </w:t>
      </w:r>
      <w:r w:rsidR="005C4E0F" w:rsidRPr="00643DCF">
        <w:rPr>
          <w:sz w:val="28"/>
          <w:szCs w:val="28"/>
        </w:rPr>
        <w:t>derecho a la</w:t>
      </w:r>
      <w:r w:rsidR="00605B26" w:rsidRPr="00643DCF">
        <w:rPr>
          <w:sz w:val="28"/>
          <w:szCs w:val="28"/>
        </w:rPr>
        <w:t xml:space="preserve"> salud, no existe un plan de medios que acompañe </w:t>
      </w:r>
      <w:r w:rsidR="003843ED" w:rsidRPr="00643DCF">
        <w:rPr>
          <w:sz w:val="28"/>
          <w:szCs w:val="28"/>
        </w:rPr>
        <w:t xml:space="preserve">la </w:t>
      </w:r>
      <w:r w:rsidR="00605B26" w:rsidRPr="00643DCF">
        <w:rPr>
          <w:sz w:val="28"/>
          <w:szCs w:val="28"/>
        </w:rPr>
        <w:t>estrategia pedagógica y de producción de contenidos para la información</w:t>
      </w:r>
      <w:r w:rsidR="003B475E" w:rsidRPr="00643DCF">
        <w:rPr>
          <w:sz w:val="28"/>
          <w:szCs w:val="28"/>
        </w:rPr>
        <w:t xml:space="preserve">, </w:t>
      </w:r>
      <w:r w:rsidR="00605B26" w:rsidRPr="00643DCF">
        <w:rPr>
          <w:sz w:val="28"/>
          <w:szCs w:val="28"/>
        </w:rPr>
        <w:t>el desarrollo de competencias</w:t>
      </w:r>
      <w:r w:rsidR="003B475E" w:rsidRPr="00643DCF">
        <w:rPr>
          <w:sz w:val="28"/>
          <w:szCs w:val="28"/>
        </w:rPr>
        <w:t xml:space="preserve"> y la formación</w:t>
      </w:r>
      <w:r w:rsidR="00605B26" w:rsidRPr="00643DCF">
        <w:rPr>
          <w:sz w:val="28"/>
          <w:szCs w:val="28"/>
        </w:rPr>
        <w:t xml:space="preserve">. </w:t>
      </w:r>
      <w:r w:rsidR="003B475E" w:rsidRPr="00643DCF">
        <w:rPr>
          <w:sz w:val="28"/>
          <w:szCs w:val="28"/>
        </w:rPr>
        <w:t>Finalmente c</w:t>
      </w:r>
      <w:r w:rsidR="00605B26" w:rsidRPr="00643DCF">
        <w:rPr>
          <w:sz w:val="28"/>
          <w:szCs w:val="28"/>
        </w:rPr>
        <w:t>oncluy</w:t>
      </w:r>
      <w:r w:rsidR="003B475E" w:rsidRPr="00643DCF">
        <w:rPr>
          <w:sz w:val="28"/>
          <w:szCs w:val="28"/>
        </w:rPr>
        <w:t xml:space="preserve">ó </w:t>
      </w:r>
      <w:r w:rsidR="00605B26" w:rsidRPr="00643DCF">
        <w:rPr>
          <w:sz w:val="28"/>
          <w:szCs w:val="28"/>
        </w:rPr>
        <w:t xml:space="preserve">que no </w:t>
      </w:r>
      <w:r w:rsidR="008630B2" w:rsidRPr="00643DCF">
        <w:rPr>
          <w:sz w:val="28"/>
          <w:szCs w:val="28"/>
        </w:rPr>
        <w:t>observa</w:t>
      </w:r>
      <w:r w:rsidR="00605B26" w:rsidRPr="00643DCF">
        <w:rPr>
          <w:sz w:val="28"/>
          <w:szCs w:val="28"/>
        </w:rPr>
        <w:t xml:space="preserve"> la publicidad que se brinda a las actuaciones realizadas por esta Corporación ni de los actores involucrados</w:t>
      </w:r>
      <w:r w:rsidR="00605B26" w:rsidRPr="00643DCF">
        <w:rPr>
          <w:rStyle w:val="Refdenotaalpie"/>
          <w:sz w:val="28"/>
          <w:szCs w:val="28"/>
        </w:rPr>
        <w:footnoteReference w:id="138"/>
      </w:r>
      <w:r w:rsidR="00605B26" w:rsidRPr="00643DCF">
        <w:rPr>
          <w:sz w:val="28"/>
          <w:szCs w:val="28"/>
        </w:rPr>
        <w:t>.</w:t>
      </w:r>
    </w:p>
    <w:p w14:paraId="1181B4C5" w14:textId="77777777" w:rsidR="00605B26" w:rsidRPr="00643DCF" w:rsidRDefault="00605B26" w:rsidP="00801703">
      <w:pPr>
        <w:pStyle w:val="Prrafodelista"/>
        <w:tabs>
          <w:tab w:val="left" w:pos="567"/>
        </w:tabs>
        <w:ind w:left="0"/>
        <w:jc w:val="both"/>
        <w:rPr>
          <w:sz w:val="28"/>
          <w:szCs w:val="28"/>
        </w:rPr>
      </w:pPr>
    </w:p>
    <w:p w14:paraId="38288C0D" w14:textId="0CBA3F83" w:rsidR="00747E3A" w:rsidRPr="00643DCF" w:rsidRDefault="000A0F2E" w:rsidP="00801703">
      <w:pPr>
        <w:pStyle w:val="Prrafodelista"/>
        <w:tabs>
          <w:tab w:val="left" w:pos="567"/>
        </w:tabs>
        <w:ind w:left="0"/>
        <w:jc w:val="both"/>
        <w:rPr>
          <w:sz w:val="28"/>
          <w:szCs w:val="28"/>
        </w:rPr>
      </w:pPr>
      <w:r w:rsidRPr="00643DCF">
        <w:rPr>
          <w:sz w:val="28"/>
          <w:szCs w:val="28"/>
        </w:rPr>
        <w:t>4</w:t>
      </w:r>
      <w:r w:rsidR="001356D4" w:rsidRPr="00643DCF">
        <w:rPr>
          <w:sz w:val="28"/>
          <w:szCs w:val="28"/>
        </w:rPr>
        <w:t>7</w:t>
      </w:r>
      <w:r w:rsidRPr="00643DCF">
        <w:rPr>
          <w:sz w:val="28"/>
          <w:szCs w:val="28"/>
        </w:rPr>
        <w:t xml:space="preserve">. </w:t>
      </w:r>
      <w:r w:rsidR="00F62D88" w:rsidRPr="00643DCF">
        <w:rPr>
          <w:sz w:val="28"/>
          <w:szCs w:val="28"/>
        </w:rPr>
        <w:t xml:space="preserve">De conformidad con </w:t>
      </w:r>
      <w:r w:rsidR="0064208D" w:rsidRPr="00643DCF">
        <w:rPr>
          <w:sz w:val="28"/>
          <w:szCs w:val="28"/>
        </w:rPr>
        <w:t xml:space="preserve">lo anterior, </w:t>
      </w:r>
      <w:r w:rsidR="00482C9B" w:rsidRPr="00643DCF">
        <w:rPr>
          <w:sz w:val="28"/>
          <w:szCs w:val="28"/>
        </w:rPr>
        <w:t xml:space="preserve">este </w:t>
      </w:r>
      <w:r w:rsidR="00EC6479" w:rsidRPr="00643DCF">
        <w:rPr>
          <w:sz w:val="28"/>
          <w:szCs w:val="28"/>
        </w:rPr>
        <w:t>T</w:t>
      </w:r>
      <w:r w:rsidR="00482C9B" w:rsidRPr="00643DCF">
        <w:rPr>
          <w:sz w:val="28"/>
          <w:szCs w:val="28"/>
        </w:rPr>
        <w:t xml:space="preserve">ribunal </w:t>
      </w:r>
      <w:r w:rsidR="004B2BB2" w:rsidRPr="00643DCF">
        <w:rPr>
          <w:sz w:val="28"/>
          <w:szCs w:val="28"/>
        </w:rPr>
        <w:t xml:space="preserve">evidencia </w:t>
      </w:r>
      <w:r w:rsidR="00F62D88" w:rsidRPr="00643DCF">
        <w:rPr>
          <w:sz w:val="28"/>
          <w:szCs w:val="28"/>
        </w:rPr>
        <w:t>que el Consejo Superior de la Judicatura</w:t>
      </w:r>
      <w:r w:rsidR="00D0724D" w:rsidRPr="00643DCF">
        <w:rPr>
          <w:sz w:val="28"/>
          <w:szCs w:val="28"/>
        </w:rPr>
        <w:t xml:space="preserve"> </w:t>
      </w:r>
      <w:r w:rsidR="00EC1052" w:rsidRPr="00643DCF">
        <w:rPr>
          <w:sz w:val="28"/>
          <w:szCs w:val="28"/>
        </w:rPr>
        <w:t>ha adoptado medidas</w:t>
      </w:r>
      <w:r w:rsidR="009731FF" w:rsidRPr="00643DCF">
        <w:rPr>
          <w:sz w:val="28"/>
          <w:szCs w:val="28"/>
        </w:rPr>
        <w:t xml:space="preserve"> conducentes</w:t>
      </w:r>
      <w:r w:rsidR="00EC1052" w:rsidRPr="00643DCF">
        <w:rPr>
          <w:sz w:val="28"/>
          <w:szCs w:val="28"/>
        </w:rPr>
        <w:t xml:space="preserve"> con el fin de dar </w:t>
      </w:r>
      <w:r w:rsidR="00306A17" w:rsidRPr="00643DCF">
        <w:rPr>
          <w:sz w:val="28"/>
          <w:szCs w:val="28"/>
        </w:rPr>
        <w:t xml:space="preserve">observancia </w:t>
      </w:r>
      <w:r w:rsidR="00EC1052" w:rsidRPr="00643DCF">
        <w:rPr>
          <w:sz w:val="28"/>
          <w:szCs w:val="28"/>
        </w:rPr>
        <w:t>a la orden, sin embargo</w:t>
      </w:r>
      <w:r w:rsidR="00425C2E" w:rsidRPr="00643DCF">
        <w:rPr>
          <w:sz w:val="28"/>
          <w:szCs w:val="28"/>
        </w:rPr>
        <w:t>,</w:t>
      </w:r>
      <w:r w:rsidR="00EC1052" w:rsidRPr="00643DCF">
        <w:rPr>
          <w:sz w:val="28"/>
          <w:szCs w:val="28"/>
        </w:rPr>
        <w:t xml:space="preserve"> </w:t>
      </w:r>
      <w:r w:rsidR="009731FF" w:rsidRPr="00643DCF">
        <w:rPr>
          <w:sz w:val="28"/>
          <w:szCs w:val="28"/>
        </w:rPr>
        <w:t xml:space="preserve">es necesario advertir </w:t>
      </w:r>
      <w:r w:rsidR="00EC1052" w:rsidRPr="00643DCF">
        <w:rPr>
          <w:sz w:val="28"/>
          <w:szCs w:val="28"/>
        </w:rPr>
        <w:t xml:space="preserve">que </w:t>
      </w:r>
      <w:r w:rsidR="001F6EB2" w:rsidRPr="00643DCF">
        <w:rPr>
          <w:sz w:val="28"/>
          <w:szCs w:val="28"/>
        </w:rPr>
        <w:t xml:space="preserve">no </w:t>
      </w:r>
      <w:r w:rsidR="00425C2E" w:rsidRPr="00643DCF">
        <w:rPr>
          <w:sz w:val="28"/>
          <w:szCs w:val="28"/>
        </w:rPr>
        <w:t xml:space="preserve">se </w:t>
      </w:r>
      <w:r w:rsidR="001F6EB2" w:rsidRPr="00643DCF">
        <w:rPr>
          <w:sz w:val="28"/>
          <w:szCs w:val="28"/>
        </w:rPr>
        <w:t xml:space="preserve">está </w:t>
      </w:r>
      <w:r w:rsidR="00EB37CA" w:rsidRPr="00643DCF">
        <w:rPr>
          <w:sz w:val="28"/>
          <w:szCs w:val="28"/>
        </w:rPr>
        <w:t>actualiza</w:t>
      </w:r>
      <w:r w:rsidR="001F6EB2" w:rsidRPr="00643DCF">
        <w:rPr>
          <w:sz w:val="28"/>
          <w:szCs w:val="28"/>
        </w:rPr>
        <w:t>ndo</w:t>
      </w:r>
      <w:r w:rsidR="00EB37CA" w:rsidRPr="00643DCF">
        <w:rPr>
          <w:sz w:val="28"/>
          <w:szCs w:val="28"/>
        </w:rPr>
        <w:t xml:space="preserve"> periódicamente la información que </w:t>
      </w:r>
      <w:r w:rsidR="002E3E4B" w:rsidRPr="00643DCF">
        <w:rPr>
          <w:sz w:val="28"/>
          <w:szCs w:val="28"/>
        </w:rPr>
        <w:t xml:space="preserve">se </w:t>
      </w:r>
      <w:r w:rsidR="00EB37CA" w:rsidRPr="00643DCF">
        <w:rPr>
          <w:sz w:val="28"/>
          <w:szCs w:val="28"/>
        </w:rPr>
        <w:t>debe divulgar en cumplimiento del fallo estructural</w:t>
      </w:r>
      <w:r w:rsidR="001F6EB2" w:rsidRPr="00643DCF">
        <w:rPr>
          <w:sz w:val="28"/>
          <w:szCs w:val="28"/>
        </w:rPr>
        <w:t>, toda vez que</w:t>
      </w:r>
      <w:r w:rsidR="00EC1052" w:rsidRPr="00643DCF">
        <w:rPr>
          <w:sz w:val="28"/>
          <w:szCs w:val="28"/>
        </w:rPr>
        <w:t xml:space="preserve"> </w:t>
      </w:r>
      <w:r w:rsidR="00A34105" w:rsidRPr="00643DCF">
        <w:rPr>
          <w:sz w:val="28"/>
          <w:szCs w:val="28"/>
        </w:rPr>
        <w:t>a</w:t>
      </w:r>
      <w:r w:rsidR="00A82A98" w:rsidRPr="00643DCF">
        <w:rPr>
          <w:sz w:val="28"/>
          <w:szCs w:val="28"/>
        </w:rPr>
        <w:t>l mes de marzo</w:t>
      </w:r>
      <w:r w:rsidR="00EC1052" w:rsidRPr="00643DCF">
        <w:rPr>
          <w:sz w:val="28"/>
          <w:szCs w:val="28"/>
        </w:rPr>
        <w:t xml:space="preserve"> de 201</w:t>
      </w:r>
      <w:r w:rsidR="00FA3DC9" w:rsidRPr="00643DCF">
        <w:rPr>
          <w:sz w:val="28"/>
          <w:szCs w:val="28"/>
        </w:rPr>
        <w:t>9</w:t>
      </w:r>
      <w:r w:rsidR="00EC1052" w:rsidRPr="00643DCF">
        <w:rPr>
          <w:sz w:val="28"/>
          <w:szCs w:val="28"/>
        </w:rPr>
        <w:t xml:space="preserve">, </w:t>
      </w:r>
      <w:r w:rsidR="003B53B1" w:rsidRPr="00643DCF">
        <w:rPr>
          <w:sz w:val="28"/>
          <w:szCs w:val="28"/>
        </w:rPr>
        <w:t xml:space="preserve">se </w:t>
      </w:r>
      <w:r w:rsidR="008E258D" w:rsidRPr="00643DCF">
        <w:rPr>
          <w:sz w:val="28"/>
          <w:szCs w:val="28"/>
        </w:rPr>
        <w:t xml:space="preserve">hallaban </w:t>
      </w:r>
      <w:r w:rsidR="003B53B1" w:rsidRPr="00643DCF">
        <w:rPr>
          <w:sz w:val="28"/>
          <w:szCs w:val="28"/>
        </w:rPr>
        <w:t>publicados</w:t>
      </w:r>
      <w:r w:rsidR="000959B4" w:rsidRPr="00643DCF">
        <w:rPr>
          <w:sz w:val="28"/>
          <w:szCs w:val="28"/>
        </w:rPr>
        <w:t xml:space="preserve"> </w:t>
      </w:r>
      <w:r w:rsidR="00A628FC" w:rsidRPr="00643DCF">
        <w:rPr>
          <w:sz w:val="28"/>
          <w:szCs w:val="28"/>
        </w:rPr>
        <w:t xml:space="preserve">dentro de </w:t>
      </w:r>
      <w:r w:rsidR="003B53B1" w:rsidRPr="00643DCF">
        <w:rPr>
          <w:sz w:val="28"/>
          <w:szCs w:val="28"/>
        </w:rPr>
        <w:t xml:space="preserve">los </w:t>
      </w:r>
      <w:r w:rsidR="001F6EB2" w:rsidRPr="00643DCF">
        <w:rPr>
          <w:sz w:val="28"/>
          <w:szCs w:val="28"/>
        </w:rPr>
        <w:t>autos de seguimie</w:t>
      </w:r>
      <w:r w:rsidR="00A628FC" w:rsidRPr="00643DCF">
        <w:rPr>
          <w:sz w:val="28"/>
          <w:szCs w:val="28"/>
        </w:rPr>
        <w:t>nto</w:t>
      </w:r>
      <w:r w:rsidR="00513B8E" w:rsidRPr="00643DCF">
        <w:rPr>
          <w:sz w:val="28"/>
          <w:szCs w:val="28"/>
        </w:rPr>
        <w:t xml:space="preserve"> a la sentencia</w:t>
      </w:r>
      <w:r w:rsidR="00A628FC" w:rsidRPr="00643DCF">
        <w:rPr>
          <w:sz w:val="28"/>
          <w:szCs w:val="28"/>
        </w:rPr>
        <w:t xml:space="preserve">, </w:t>
      </w:r>
      <w:r w:rsidR="00513B8E" w:rsidRPr="00643DCF">
        <w:rPr>
          <w:sz w:val="28"/>
          <w:szCs w:val="28"/>
        </w:rPr>
        <w:t xml:space="preserve">los </w:t>
      </w:r>
      <w:r w:rsidR="00A628FC" w:rsidRPr="00643DCF">
        <w:rPr>
          <w:sz w:val="28"/>
          <w:szCs w:val="28"/>
        </w:rPr>
        <w:t xml:space="preserve">genéricos </w:t>
      </w:r>
      <w:r w:rsidR="00513B8E" w:rsidRPr="00643DCF">
        <w:rPr>
          <w:sz w:val="28"/>
          <w:szCs w:val="28"/>
        </w:rPr>
        <w:t xml:space="preserve">proferidos </w:t>
      </w:r>
      <w:r w:rsidR="00A628FC" w:rsidRPr="00643DCF">
        <w:rPr>
          <w:sz w:val="28"/>
          <w:szCs w:val="28"/>
        </w:rPr>
        <w:t xml:space="preserve">hasta el año 2017, en cuanto a los específicos </w:t>
      </w:r>
      <w:r w:rsidR="00E41AAC" w:rsidRPr="00643DCF">
        <w:rPr>
          <w:sz w:val="28"/>
          <w:szCs w:val="28"/>
        </w:rPr>
        <w:t xml:space="preserve">se tiene para algunas </w:t>
      </w:r>
      <w:r w:rsidR="00A628FC" w:rsidRPr="00643DCF">
        <w:rPr>
          <w:sz w:val="28"/>
          <w:szCs w:val="28"/>
        </w:rPr>
        <w:t>órdenes</w:t>
      </w:r>
      <w:r w:rsidR="00E41AAC" w:rsidRPr="00643DCF">
        <w:rPr>
          <w:sz w:val="28"/>
          <w:szCs w:val="28"/>
        </w:rPr>
        <w:t xml:space="preserve"> publicaciones hasta el año </w:t>
      </w:r>
      <w:r w:rsidR="007621CB" w:rsidRPr="00643DCF">
        <w:rPr>
          <w:sz w:val="28"/>
          <w:szCs w:val="28"/>
        </w:rPr>
        <w:t>2015</w:t>
      </w:r>
      <w:r w:rsidR="007621CB" w:rsidRPr="00643DCF">
        <w:rPr>
          <w:rStyle w:val="Refdenotaalpie"/>
          <w:sz w:val="28"/>
          <w:szCs w:val="28"/>
        </w:rPr>
        <w:footnoteReference w:id="139"/>
      </w:r>
      <w:r w:rsidR="007621CB" w:rsidRPr="00643DCF">
        <w:rPr>
          <w:sz w:val="28"/>
          <w:szCs w:val="28"/>
        </w:rPr>
        <w:t xml:space="preserve">, </w:t>
      </w:r>
      <w:r w:rsidR="00E41AAC" w:rsidRPr="00643DCF">
        <w:rPr>
          <w:sz w:val="28"/>
          <w:szCs w:val="28"/>
        </w:rPr>
        <w:t>2016</w:t>
      </w:r>
      <w:r w:rsidR="00E41AAC" w:rsidRPr="00643DCF">
        <w:rPr>
          <w:rStyle w:val="Refdenotaalpie"/>
          <w:sz w:val="28"/>
          <w:szCs w:val="28"/>
        </w:rPr>
        <w:footnoteReference w:id="140"/>
      </w:r>
      <w:r w:rsidR="00B53C35" w:rsidRPr="00643DCF">
        <w:rPr>
          <w:sz w:val="28"/>
          <w:szCs w:val="28"/>
        </w:rPr>
        <w:t>, 2017</w:t>
      </w:r>
      <w:r w:rsidR="00B53C35" w:rsidRPr="00643DCF">
        <w:rPr>
          <w:rStyle w:val="Refdenotaalpie"/>
          <w:sz w:val="28"/>
          <w:szCs w:val="28"/>
        </w:rPr>
        <w:footnoteReference w:id="141"/>
      </w:r>
      <w:r w:rsidR="00241801" w:rsidRPr="00643DCF">
        <w:rPr>
          <w:sz w:val="28"/>
          <w:szCs w:val="28"/>
        </w:rPr>
        <w:t xml:space="preserve"> y</w:t>
      </w:r>
      <w:r w:rsidR="00E41AAC" w:rsidRPr="00643DCF">
        <w:rPr>
          <w:sz w:val="28"/>
          <w:szCs w:val="28"/>
        </w:rPr>
        <w:t xml:space="preserve"> 2018</w:t>
      </w:r>
      <w:r w:rsidR="00241801" w:rsidRPr="00643DCF">
        <w:rPr>
          <w:rStyle w:val="Refdenotaalpie"/>
          <w:sz w:val="28"/>
          <w:szCs w:val="28"/>
        </w:rPr>
        <w:footnoteReference w:id="142"/>
      </w:r>
      <w:r w:rsidR="000959B4" w:rsidRPr="00643DCF">
        <w:rPr>
          <w:sz w:val="28"/>
          <w:szCs w:val="28"/>
        </w:rPr>
        <w:t xml:space="preserve">, </w:t>
      </w:r>
      <w:r w:rsidR="00997BA2" w:rsidRPr="00643DCF">
        <w:rPr>
          <w:sz w:val="28"/>
          <w:szCs w:val="28"/>
        </w:rPr>
        <w:t xml:space="preserve">lo que deja en evidencia que a la fecha la </w:t>
      </w:r>
      <w:r w:rsidR="008E258D" w:rsidRPr="00643DCF">
        <w:rPr>
          <w:sz w:val="28"/>
          <w:szCs w:val="28"/>
        </w:rPr>
        <w:t xml:space="preserve">información </w:t>
      </w:r>
      <w:r w:rsidR="00FB5B20">
        <w:rPr>
          <w:sz w:val="28"/>
          <w:szCs w:val="28"/>
        </w:rPr>
        <w:t>presente en la página</w:t>
      </w:r>
      <w:r w:rsidR="00997BA2" w:rsidRPr="00643DCF">
        <w:rPr>
          <w:sz w:val="28"/>
          <w:szCs w:val="28"/>
        </w:rPr>
        <w:t xml:space="preserve"> no se </w:t>
      </w:r>
      <w:r w:rsidR="00D80758" w:rsidRPr="00643DCF">
        <w:rPr>
          <w:sz w:val="28"/>
          <w:szCs w:val="28"/>
        </w:rPr>
        <w:t xml:space="preserve">encuentra </w:t>
      </w:r>
      <w:r w:rsidR="00997BA2" w:rsidRPr="00643DCF">
        <w:rPr>
          <w:sz w:val="28"/>
          <w:szCs w:val="28"/>
        </w:rPr>
        <w:t>actualizada,</w:t>
      </w:r>
      <w:r w:rsidR="00EC1052" w:rsidRPr="00643DCF">
        <w:rPr>
          <w:sz w:val="28"/>
          <w:szCs w:val="28"/>
        </w:rPr>
        <w:t xml:space="preserve"> presentando una inactividad </w:t>
      </w:r>
      <w:r w:rsidR="00352C86" w:rsidRPr="00643DCF">
        <w:rPr>
          <w:sz w:val="28"/>
          <w:szCs w:val="28"/>
        </w:rPr>
        <w:t>amplia en la mayoría de l</w:t>
      </w:r>
      <w:r w:rsidR="00657CAF" w:rsidRPr="00643DCF">
        <w:rPr>
          <w:sz w:val="28"/>
          <w:szCs w:val="28"/>
        </w:rPr>
        <w:t>os</w:t>
      </w:r>
      <w:r w:rsidR="00352C86" w:rsidRPr="00643DCF">
        <w:rPr>
          <w:sz w:val="28"/>
          <w:szCs w:val="28"/>
        </w:rPr>
        <w:t xml:space="preserve"> </w:t>
      </w:r>
      <w:r w:rsidR="00657CAF" w:rsidRPr="00643DCF">
        <w:rPr>
          <w:sz w:val="28"/>
          <w:szCs w:val="28"/>
        </w:rPr>
        <w:t>mandatos</w:t>
      </w:r>
      <w:r w:rsidR="00EC1052" w:rsidRPr="00643DCF">
        <w:rPr>
          <w:sz w:val="28"/>
          <w:szCs w:val="28"/>
        </w:rPr>
        <w:t xml:space="preserve">. </w:t>
      </w:r>
    </w:p>
    <w:p w14:paraId="77A2485F" w14:textId="77777777" w:rsidR="00747E3A" w:rsidRPr="00643DCF" w:rsidRDefault="00747E3A" w:rsidP="00801703">
      <w:pPr>
        <w:pStyle w:val="Prrafodelista"/>
        <w:tabs>
          <w:tab w:val="left" w:pos="567"/>
        </w:tabs>
        <w:ind w:left="0"/>
        <w:jc w:val="both"/>
        <w:rPr>
          <w:sz w:val="28"/>
          <w:szCs w:val="28"/>
          <w:highlight w:val="yellow"/>
        </w:rPr>
      </w:pPr>
    </w:p>
    <w:p w14:paraId="755FF718" w14:textId="430E02AE" w:rsidR="000C0746" w:rsidRPr="00FA159B" w:rsidRDefault="008A7233" w:rsidP="00801703">
      <w:pPr>
        <w:pStyle w:val="Prrafodelista"/>
        <w:tabs>
          <w:tab w:val="left" w:pos="567"/>
        </w:tabs>
        <w:ind w:left="0"/>
        <w:jc w:val="both"/>
        <w:rPr>
          <w:sz w:val="28"/>
          <w:szCs w:val="28"/>
        </w:rPr>
      </w:pPr>
      <w:r w:rsidRPr="00FA159B">
        <w:rPr>
          <w:sz w:val="28"/>
          <w:szCs w:val="28"/>
        </w:rPr>
        <w:t>Contrario a ello</w:t>
      </w:r>
      <w:r w:rsidR="000C0746" w:rsidRPr="00FA159B">
        <w:rPr>
          <w:sz w:val="28"/>
          <w:szCs w:val="28"/>
        </w:rPr>
        <w:t xml:space="preserve">, </w:t>
      </w:r>
      <w:r w:rsidRPr="00FA159B">
        <w:rPr>
          <w:sz w:val="28"/>
          <w:szCs w:val="28"/>
        </w:rPr>
        <w:t xml:space="preserve">en cuanto a </w:t>
      </w:r>
      <w:r w:rsidR="00747E3A" w:rsidRPr="00FA159B">
        <w:rPr>
          <w:sz w:val="28"/>
          <w:szCs w:val="28"/>
        </w:rPr>
        <w:t>la</w:t>
      </w:r>
      <w:r w:rsidR="000959B4" w:rsidRPr="00FA159B">
        <w:rPr>
          <w:sz w:val="28"/>
          <w:szCs w:val="28"/>
        </w:rPr>
        <w:t xml:space="preserve"> normatividad </w:t>
      </w:r>
      <w:r w:rsidR="001F5D15" w:rsidRPr="00FA159B">
        <w:rPr>
          <w:sz w:val="28"/>
          <w:szCs w:val="28"/>
        </w:rPr>
        <w:t xml:space="preserve">en salud </w:t>
      </w:r>
      <w:r w:rsidR="00967067" w:rsidRPr="00FA159B">
        <w:rPr>
          <w:sz w:val="28"/>
          <w:szCs w:val="28"/>
        </w:rPr>
        <w:t>divulgada</w:t>
      </w:r>
      <w:r w:rsidR="000C0746" w:rsidRPr="00FA159B">
        <w:rPr>
          <w:sz w:val="28"/>
          <w:szCs w:val="28"/>
        </w:rPr>
        <w:t xml:space="preserve"> </w:t>
      </w:r>
      <w:r w:rsidR="001F5D15" w:rsidRPr="00FA159B">
        <w:rPr>
          <w:sz w:val="28"/>
          <w:szCs w:val="28"/>
        </w:rPr>
        <w:t xml:space="preserve">en </w:t>
      </w:r>
      <w:r w:rsidR="000959B4" w:rsidRPr="00FA159B">
        <w:rPr>
          <w:sz w:val="28"/>
          <w:szCs w:val="28"/>
        </w:rPr>
        <w:t>la página web</w:t>
      </w:r>
      <w:r w:rsidRPr="00FA159B">
        <w:rPr>
          <w:sz w:val="28"/>
          <w:szCs w:val="28"/>
        </w:rPr>
        <w:t>,</w:t>
      </w:r>
      <w:r w:rsidR="009C7E5C" w:rsidRPr="00FA159B">
        <w:rPr>
          <w:sz w:val="28"/>
          <w:szCs w:val="28"/>
        </w:rPr>
        <w:t xml:space="preserve"> debe decirse que </w:t>
      </w:r>
      <w:r w:rsidR="00522511" w:rsidRPr="00FA159B">
        <w:rPr>
          <w:sz w:val="28"/>
          <w:szCs w:val="28"/>
        </w:rPr>
        <w:t xml:space="preserve">esta </w:t>
      </w:r>
      <w:r w:rsidR="001F5D15" w:rsidRPr="00FA159B">
        <w:rPr>
          <w:sz w:val="28"/>
          <w:szCs w:val="28"/>
        </w:rPr>
        <w:t xml:space="preserve">se encuentra actualizada, </w:t>
      </w:r>
      <w:r w:rsidR="009B0E41" w:rsidRPr="00FA159B">
        <w:rPr>
          <w:sz w:val="28"/>
          <w:szCs w:val="28"/>
        </w:rPr>
        <w:t xml:space="preserve">ya que </w:t>
      </w:r>
      <w:r w:rsidR="000C0746" w:rsidRPr="00FA159B">
        <w:rPr>
          <w:sz w:val="28"/>
          <w:szCs w:val="28"/>
        </w:rPr>
        <w:t xml:space="preserve">se observan </w:t>
      </w:r>
      <w:r w:rsidR="009B0E41" w:rsidRPr="00FA159B">
        <w:rPr>
          <w:sz w:val="28"/>
          <w:szCs w:val="28"/>
        </w:rPr>
        <w:t>algunas</w:t>
      </w:r>
      <w:r w:rsidR="001F5D15" w:rsidRPr="00FA159B">
        <w:rPr>
          <w:sz w:val="28"/>
          <w:szCs w:val="28"/>
        </w:rPr>
        <w:t xml:space="preserve"> resoluciones</w:t>
      </w:r>
      <w:r w:rsidR="009B0E41" w:rsidRPr="00FA159B">
        <w:rPr>
          <w:sz w:val="28"/>
          <w:szCs w:val="28"/>
        </w:rPr>
        <w:t>, decretos y circulares</w:t>
      </w:r>
      <w:r w:rsidR="001F5D15" w:rsidRPr="00FA159B">
        <w:rPr>
          <w:sz w:val="28"/>
          <w:szCs w:val="28"/>
        </w:rPr>
        <w:t xml:space="preserve"> del año que avanza</w:t>
      </w:r>
      <w:r w:rsidR="004A71DE" w:rsidRPr="00FA159B">
        <w:rPr>
          <w:sz w:val="28"/>
          <w:szCs w:val="28"/>
        </w:rPr>
        <w:t>,</w:t>
      </w:r>
      <w:r w:rsidR="00AF5FBF" w:rsidRPr="00FA159B">
        <w:rPr>
          <w:sz w:val="28"/>
          <w:szCs w:val="28"/>
        </w:rPr>
        <w:t xml:space="preserve"> lo que </w:t>
      </w:r>
      <w:r w:rsidR="00B81D04" w:rsidRPr="00FA159B">
        <w:rPr>
          <w:sz w:val="28"/>
          <w:szCs w:val="28"/>
        </w:rPr>
        <w:t xml:space="preserve">permite concluir que </w:t>
      </w:r>
      <w:r w:rsidR="000C0746" w:rsidRPr="00FA159B">
        <w:rPr>
          <w:sz w:val="28"/>
          <w:szCs w:val="28"/>
        </w:rPr>
        <w:t>c</w:t>
      </w:r>
      <w:r w:rsidR="00B81D04" w:rsidRPr="00FA159B">
        <w:rPr>
          <w:sz w:val="28"/>
          <w:szCs w:val="28"/>
        </w:rPr>
        <w:t>uenta con informaci</w:t>
      </w:r>
      <w:r w:rsidR="00A24AB7" w:rsidRPr="00FA159B">
        <w:rPr>
          <w:sz w:val="28"/>
          <w:szCs w:val="28"/>
        </w:rPr>
        <w:t>ón recient</w:t>
      </w:r>
      <w:r w:rsidR="000C0746" w:rsidRPr="00FA159B">
        <w:rPr>
          <w:sz w:val="28"/>
          <w:szCs w:val="28"/>
        </w:rPr>
        <w:t>e.</w:t>
      </w:r>
    </w:p>
    <w:p w14:paraId="602293A7" w14:textId="77777777" w:rsidR="000C0746" w:rsidRPr="00643DCF" w:rsidRDefault="000C0746" w:rsidP="00801703">
      <w:pPr>
        <w:pStyle w:val="Prrafodelista"/>
        <w:tabs>
          <w:tab w:val="left" w:pos="567"/>
        </w:tabs>
        <w:ind w:left="0"/>
        <w:jc w:val="both"/>
        <w:rPr>
          <w:sz w:val="28"/>
          <w:szCs w:val="28"/>
          <w:highlight w:val="yellow"/>
        </w:rPr>
      </w:pPr>
    </w:p>
    <w:p w14:paraId="2AED58C6" w14:textId="39854F47" w:rsidR="00F503E1" w:rsidRPr="00643DCF" w:rsidRDefault="00DA3C70" w:rsidP="00C43A45">
      <w:pPr>
        <w:pStyle w:val="Prrafodelista"/>
        <w:tabs>
          <w:tab w:val="left" w:pos="567"/>
          <w:tab w:val="left" w:pos="851"/>
        </w:tabs>
        <w:ind w:left="0"/>
        <w:jc w:val="both"/>
        <w:rPr>
          <w:sz w:val="28"/>
          <w:szCs w:val="28"/>
        </w:rPr>
      </w:pPr>
      <w:r w:rsidRPr="00643DCF">
        <w:rPr>
          <w:sz w:val="28"/>
          <w:szCs w:val="28"/>
        </w:rPr>
        <w:t xml:space="preserve">b. </w:t>
      </w:r>
      <w:r w:rsidR="00F503E1" w:rsidRPr="00643DCF">
        <w:rPr>
          <w:sz w:val="28"/>
          <w:szCs w:val="28"/>
        </w:rPr>
        <w:t>Capacitac</w:t>
      </w:r>
      <w:r w:rsidR="00697D32" w:rsidRPr="00643DCF">
        <w:rPr>
          <w:sz w:val="28"/>
          <w:szCs w:val="28"/>
        </w:rPr>
        <w:t>iones presenciales y virtuales</w:t>
      </w:r>
      <w:r w:rsidR="000A0F2E" w:rsidRPr="00643DCF">
        <w:rPr>
          <w:sz w:val="28"/>
          <w:szCs w:val="28"/>
        </w:rPr>
        <w:t>.</w:t>
      </w:r>
    </w:p>
    <w:p w14:paraId="6E73724E" w14:textId="77777777" w:rsidR="00F503E1" w:rsidRPr="00643DCF" w:rsidRDefault="00F503E1" w:rsidP="00F503E1">
      <w:pPr>
        <w:pStyle w:val="Prrafodelista"/>
        <w:tabs>
          <w:tab w:val="left" w:pos="567"/>
        </w:tabs>
        <w:ind w:left="0"/>
        <w:jc w:val="both"/>
        <w:rPr>
          <w:sz w:val="28"/>
          <w:szCs w:val="28"/>
        </w:rPr>
      </w:pPr>
    </w:p>
    <w:p w14:paraId="35633BA9" w14:textId="707DC557" w:rsidR="005E6F52" w:rsidRPr="00643DCF" w:rsidRDefault="000A0F2E" w:rsidP="003E33F2">
      <w:pPr>
        <w:tabs>
          <w:tab w:val="left" w:pos="567"/>
        </w:tabs>
        <w:jc w:val="both"/>
        <w:rPr>
          <w:sz w:val="28"/>
          <w:szCs w:val="28"/>
        </w:rPr>
      </w:pPr>
      <w:r w:rsidRPr="00643DCF">
        <w:rPr>
          <w:sz w:val="28"/>
          <w:szCs w:val="28"/>
        </w:rPr>
        <w:t>4</w:t>
      </w:r>
      <w:r w:rsidR="001356D4" w:rsidRPr="00643DCF">
        <w:rPr>
          <w:sz w:val="28"/>
          <w:szCs w:val="28"/>
        </w:rPr>
        <w:t>8</w:t>
      </w:r>
      <w:r w:rsidRPr="00643DCF">
        <w:rPr>
          <w:sz w:val="28"/>
          <w:szCs w:val="28"/>
        </w:rPr>
        <w:t xml:space="preserve">. </w:t>
      </w:r>
      <w:r w:rsidR="001C711F" w:rsidRPr="00643DCF">
        <w:rPr>
          <w:sz w:val="28"/>
          <w:szCs w:val="28"/>
        </w:rPr>
        <w:t xml:space="preserve">El CSJ informó que </w:t>
      </w:r>
      <w:r w:rsidR="00416819" w:rsidRPr="00643DCF">
        <w:rPr>
          <w:sz w:val="28"/>
          <w:szCs w:val="28"/>
        </w:rPr>
        <w:t>durante los años 2011 a 201</w:t>
      </w:r>
      <w:r w:rsidR="00440B79" w:rsidRPr="00643DCF">
        <w:rPr>
          <w:sz w:val="28"/>
          <w:szCs w:val="28"/>
        </w:rPr>
        <w:t>8</w:t>
      </w:r>
      <w:r w:rsidR="00416819" w:rsidRPr="00643DCF">
        <w:rPr>
          <w:sz w:val="28"/>
          <w:szCs w:val="28"/>
        </w:rPr>
        <w:t xml:space="preserve"> </w:t>
      </w:r>
      <w:r w:rsidR="00482C9B" w:rsidRPr="00643DCF">
        <w:rPr>
          <w:sz w:val="28"/>
          <w:szCs w:val="28"/>
        </w:rPr>
        <w:t>desarrolló</w:t>
      </w:r>
      <w:r w:rsidR="0042522F" w:rsidRPr="00643DCF">
        <w:rPr>
          <w:sz w:val="28"/>
          <w:szCs w:val="28"/>
        </w:rPr>
        <w:t xml:space="preserve"> diferentes actividades </w:t>
      </w:r>
      <w:r w:rsidR="00416819" w:rsidRPr="00643DCF">
        <w:rPr>
          <w:sz w:val="28"/>
          <w:szCs w:val="28"/>
        </w:rPr>
        <w:t xml:space="preserve">y capacitaciones </w:t>
      </w:r>
      <w:r w:rsidR="0042522F" w:rsidRPr="00643DCF">
        <w:rPr>
          <w:sz w:val="28"/>
          <w:szCs w:val="28"/>
        </w:rPr>
        <w:t xml:space="preserve">a través del </w:t>
      </w:r>
      <w:r w:rsidR="00A9458E" w:rsidRPr="00643DCF">
        <w:rPr>
          <w:i/>
          <w:sz w:val="28"/>
          <w:szCs w:val="28"/>
        </w:rPr>
        <w:t>“</w:t>
      </w:r>
      <w:r w:rsidR="0042522F" w:rsidRPr="00643DCF">
        <w:rPr>
          <w:i/>
          <w:sz w:val="28"/>
          <w:szCs w:val="28"/>
        </w:rPr>
        <w:t>programa de formación en derecho a la salud”</w:t>
      </w:r>
      <w:r w:rsidR="0042522F" w:rsidRPr="00643DCF">
        <w:rPr>
          <w:sz w:val="28"/>
          <w:szCs w:val="28"/>
        </w:rPr>
        <w:t xml:space="preserve"> dirigido a funcionarios y empleados de la Rama Judicial, realizadas por la </w:t>
      </w:r>
      <w:r w:rsidR="00BE225C" w:rsidRPr="00643DCF">
        <w:rPr>
          <w:sz w:val="28"/>
          <w:szCs w:val="28"/>
        </w:rPr>
        <w:t>Escuela judicial</w:t>
      </w:r>
      <w:r w:rsidR="0042522F" w:rsidRPr="00643DCF">
        <w:rPr>
          <w:sz w:val="28"/>
          <w:szCs w:val="28"/>
        </w:rPr>
        <w:t xml:space="preserve"> </w:t>
      </w:r>
      <w:r w:rsidR="00145AA1" w:rsidRPr="00643DCF">
        <w:rPr>
          <w:sz w:val="28"/>
          <w:szCs w:val="28"/>
        </w:rPr>
        <w:t>Rodrigo Lara Bonilla</w:t>
      </w:r>
      <w:r w:rsidR="0042522F" w:rsidRPr="00643DCF">
        <w:rPr>
          <w:sz w:val="28"/>
          <w:szCs w:val="28"/>
        </w:rPr>
        <w:t xml:space="preserve"> sobre la </w:t>
      </w:r>
      <w:r w:rsidR="00B6535C" w:rsidRPr="00643DCF">
        <w:rPr>
          <w:sz w:val="28"/>
          <w:szCs w:val="28"/>
        </w:rPr>
        <w:t>s</w:t>
      </w:r>
      <w:r w:rsidR="004C0101" w:rsidRPr="00643DCF">
        <w:rPr>
          <w:sz w:val="28"/>
          <w:szCs w:val="28"/>
        </w:rPr>
        <w:t xml:space="preserve">entencia </w:t>
      </w:r>
      <w:r w:rsidR="0042522F" w:rsidRPr="00643DCF">
        <w:rPr>
          <w:sz w:val="28"/>
          <w:szCs w:val="28"/>
        </w:rPr>
        <w:t xml:space="preserve">T-760 de 2008, </w:t>
      </w:r>
      <w:r w:rsidR="00B6535C" w:rsidRPr="00643DCF">
        <w:rPr>
          <w:sz w:val="28"/>
          <w:szCs w:val="28"/>
        </w:rPr>
        <w:t xml:space="preserve">en las que se trataron </w:t>
      </w:r>
      <w:r w:rsidR="0042522F" w:rsidRPr="00643DCF">
        <w:rPr>
          <w:sz w:val="28"/>
          <w:szCs w:val="28"/>
        </w:rPr>
        <w:t>las principales líneas jurisprudenciales en materia de acción de tutela</w:t>
      </w:r>
      <w:r w:rsidR="00B6535C" w:rsidRPr="00643DCF">
        <w:rPr>
          <w:sz w:val="28"/>
          <w:szCs w:val="28"/>
        </w:rPr>
        <w:t>,</w:t>
      </w:r>
      <w:r w:rsidR="00420218" w:rsidRPr="00643DCF">
        <w:rPr>
          <w:sz w:val="28"/>
          <w:szCs w:val="28"/>
        </w:rPr>
        <w:t xml:space="preserve"> </w:t>
      </w:r>
      <w:r w:rsidR="00B6535C" w:rsidRPr="00643DCF">
        <w:rPr>
          <w:sz w:val="28"/>
          <w:szCs w:val="28"/>
        </w:rPr>
        <w:t xml:space="preserve">sobre </w:t>
      </w:r>
      <w:r w:rsidR="0042522F" w:rsidRPr="00643DCF">
        <w:rPr>
          <w:sz w:val="28"/>
          <w:szCs w:val="28"/>
        </w:rPr>
        <w:t>el derecho fundamental a la salud y</w:t>
      </w:r>
      <w:r w:rsidR="00416819" w:rsidRPr="00643DCF">
        <w:rPr>
          <w:sz w:val="28"/>
          <w:szCs w:val="28"/>
        </w:rPr>
        <w:t xml:space="preserve"> la</w:t>
      </w:r>
      <w:r w:rsidR="0042522F" w:rsidRPr="00643DCF">
        <w:rPr>
          <w:sz w:val="28"/>
          <w:szCs w:val="28"/>
        </w:rPr>
        <w:t xml:space="preserve"> actualización de la normatividad vigente</w:t>
      </w:r>
      <w:r w:rsidR="00416819" w:rsidRPr="00643DCF">
        <w:rPr>
          <w:sz w:val="28"/>
          <w:szCs w:val="28"/>
        </w:rPr>
        <w:t xml:space="preserve"> relacionada </w:t>
      </w:r>
      <w:r w:rsidR="0042522F" w:rsidRPr="00643DCF">
        <w:rPr>
          <w:sz w:val="28"/>
          <w:szCs w:val="28"/>
        </w:rPr>
        <w:t xml:space="preserve">mediante la </w:t>
      </w:r>
      <w:r w:rsidR="00F55820" w:rsidRPr="00643DCF">
        <w:rPr>
          <w:sz w:val="28"/>
          <w:szCs w:val="28"/>
        </w:rPr>
        <w:t xml:space="preserve">creación </w:t>
      </w:r>
      <w:r w:rsidR="0042522F" w:rsidRPr="00643DCF">
        <w:rPr>
          <w:sz w:val="28"/>
          <w:szCs w:val="28"/>
        </w:rPr>
        <w:t>de</w:t>
      </w:r>
      <w:r w:rsidR="005E6F52" w:rsidRPr="00643DCF">
        <w:rPr>
          <w:sz w:val="28"/>
          <w:szCs w:val="28"/>
        </w:rPr>
        <w:t xml:space="preserve"> espacios de discusión y capacitación. </w:t>
      </w:r>
    </w:p>
    <w:p w14:paraId="6F193FAA" w14:textId="77777777" w:rsidR="000443FC" w:rsidRPr="00643DCF" w:rsidRDefault="000443FC" w:rsidP="003E33F2">
      <w:pPr>
        <w:tabs>
          <w:tab w:val="left" w:pos="567"/>
        </w:tabs>
        <w:jc w:val="both"/>
        <w:rPr>
          <w:sz w:val="28"/>
          <w:szCs w:val="28"/>
        </w:rPr>
      </w:pPr>
    </w:p>
    <w:p w14:paraId="4D9F49C7" w14:textId="756D73E1" w:rsidR="0033303E" w:rsidRPr="00643DCF" w:rsidRDefault="000A0F2E" w:rsidP="00A139F8">
      <w:pPr>
        <w:jc w:val="both"/>
        <w:rPr>
          <w:sz w:val="28"/>
          <w:szCs w:val="28"/>
        </w:rPr>
      </w:pPr>
      <w:r w:rsidRPr="00643DCF">
        <w:rPr>
          <w:sz w:val="28"/>
          <w:szCs w:val="28"/>
        </w:rPr>
        <w:t>4</w:t>
      </w:r>
      <w:r w:rsidR="001356D4" w:rsidRPr="00643DCF">
        <w:rPr>
          <w:sz w:val="28"/>
          <w:szCs w:val="28"/>
        </w:rPr>
        <w:t>9</w:t>
      </w:r>
      <w:r w:rsidRPr="00643DCF">
        <w:rPr>
          <w:sz w:val="28"/>
          <w:szCs w:val="28"/>
        </w:rPr>
        <w:t xml:space="preserve">. </w:t>
      </w:r>
      <w:r w:rsidR="005E6F52" w:rsidRPr="00643DCF">
        <w:rPr>
          <w:sz w:val="28"/>
          <w:szCs w:val="28"/>
        </w:rPr>
        <w:t>Dichos encuentros t</w:t>
      </w:r>
      <w:r w:rsidR="00A01311" w:rsidRPr="00643DCF">
        <w:rPr>
          <w:sz w:val="28"/>
          <w:szCs w:val="28"/>
        </w:rPr>
        <w:t>enían como propósito</w:t>
      </w:r>
      <w:r w:rsidR="00C3136F" w:rsidRPr="00643DCF">
        <w:rPr>
          <w:sz w:val="28"/>
          <w:szCs w:val="28"/>
        </w:rPr>
        <w:t xml:space="preserve"> </w:t>
      </w:r>
      <w:r w:rsidR="00A6174B" w:rsidRPr="00643DCF">
        <w:rPr>
          <w:sz w:val="28"/>
          <w:szCs w:val="28"/>
        </w:rPr>
        <w:t>ilustrar</w:t>
      </w:r>
      <w:r w:rsidR="00C3136F" w:rsidRPr="00643DCF">
        <w:rPr>
          <w:sz w:val="28"/>
          <w:szCs w:val="28"/>
        </w:rPr>
        <w:t xml:space="preserve"> </w:t>
      </w:r>
      <w:r w:rsidR="005E6F52" w:rsidRPr="00643DCF">
        <w:rPr>
          <w:sz w:val="28"/>
          <w:szCs w:val="28"/>
        </w:rPr>
        <w:t xml:space="preserve">a los jueces de tutela </w:t>
      </w:r>
      <w:r w:rsidR="0042522F" w:rsidRPr="00643DCF">
        <w:rPr>
          <w:sz w:val="28"/>
          <w:szCs w:val="28"/>
        </w:rPr>
        <w:t>sobre las dificultades a las que se enfrentan cuando asumen la competencia para resolver una posible vulneración al derecho a la salud, con el fin de avanzar en la identificación de estrategias eficaces que permit</w:t>
      </w:r>
      <w:r w:rsidR="00F55820" w:rsidRPr="00643DCF">
        <w:rPr>
          <w:sz w:val="28"/>
          <w:szCs w:val="28"/>
        </w:rPr>
        <w:t xml:space="preserve">ieran </w:t>
      </w:r>
      <w:r w:rsidR="0042522F" w:rsidRPr="00643DCF">
        <w:rPr>
          <w:sz w:val="28"/>
          <w:szCs w:val="28"/>
        </w:rPr>
        <w:t>que las decisiones judiciales se ejecut</w:t>
      </w:r>
      <w:r w:rsidR="00F55820" w:rsidRPr="00643DCF">
        <w:rPr>
          <w:sz w:val="28"/>
          <w:szCs w:val="28"/>
        </w:rPr>
        <w:t>aran</w:t>
      </w:r>
      <w:r w:rsidR="0042522F" w:rsidRPr="00643DCF">
        <w:rPr>
          <w:sz w:val="28"/>
          <w:szCs w:val="28"/>
        </w:rPr>
        <w:t xml:space="preserve"> materialmente</w:t>
      </w:r>
      <w:r w:rsidR="000725CB" w:rsidRPr="00643DCF">
        <w:rPr>
          <w:sz w:val="28"/>
          <w:szCs w:val="28"/>
        </w:rPr>
        <w:t xml:space="preserve"> y reflejaran el estado actual del seguimiento a la sentencia T-760 de 2008</w:t>
      </w:r>
      <w:r w:rsidR="0074186F" w:rsidRPr="00643DCF">
        <w:rPr>
          <w:sz w:val="28"/>
          <w:szCs w:val="28"/>
        </w:rPr>
        <w:t>. D</w:t>
      </w:r>
      <w:r w:rsidR="009043E8" w:rsidRPr="00643DCF">
        <w:rPr>
          <w:sz w:val="28"/>
          <w:szCs w:val="28"/>
        </w:rPr>
        <w:t xml:space="preserve">entro de las actividades de capacitación se pueden destacar las siguientes: </w:t>
      </w:r>
    </w:p>
    <w:p w14:paraId="4F9A07D6" w14:textId="77777777" w:rsidR="0033303E" w:rsidRPr="00643DCF" w:rsidRDefault="0033303E" w:rsidP="00A139F8">
      <w:pPr>
        <w:jc w:val="both"/>
        <w:rPr>
          <w:sz w:val="28"/>
          <w:szCs w:val="28"/>
        </w:rPr>
      </w:pPr>
    </w:p>
    <w:p w14:paraId="4625245F" w14:textId="77777777" w:rsidR="0074186F" w:rsidRPr="00643DCF" w:rsidRDefault="00B376C4" w:rsidP="00093018">
      <w:pPr>
        <w:pStyle w:val="Prrafodelista"/>
        <w:numPr>
          <w:ilvl w:val="0"/>
          <w:numId w:val="39"/>
        </w:numPr>
        <w:ind w:left="567" w:hanging="207"/>
        <w:jc w:val="both"/>
        <w:rPr>
          <w:sz w:val="28"/>
          <w:szCs w:val="28"/>
        </w:rPr>
      </w:pPr>
      <w:r w:rsidRPr="00643DCF">
        <w:rPr>
          <w:sz w:val="28"/>
          <w:szCs w:val="28"/>
        </w:rPr>
        <w:t>2011</w:t>
      </w:r>
      <w:r w:rsidR="009043E8" w:rsidRPr="00643DCF">
        <w:rPr>
          <w:i/>
          <w:sz w:val="28"/>
          <w:szCs w:val="28"/>
        </w:rPr>
        <w:t>“</w:t>
      </w:r>
      <w:r w:rsidR="009043E8" w:rsidRPr="003319D7">
        <w:rPr>
          <w:i/>
          <w:sz w:val="27"/>
          <w:szCs w:val="27"/>
        </w:rPr>
        <w:t>Conversatorio Especializado sobre Salud</w:t>
      </w:r>
      <w:r w:rsidR="009043E8" w:rsidRPr="00643DCF">
        <w:rPr>
          <w:i/>
          <w:sz w:val="28"/>
          <w:szCs w:val="28"/>
        </w:rPr>
        <w:t>”</w:t>
      </w:r>
      <w:r w:rsidR="009043E8" w:rsidRPr="00643DCF">
        <w:rPr>
          <w:rStyle w:val="Refdenotaalpie"/>
          <w:i/>
          <w:sz w:val="28"/>
          <w:szCs w:val="28"/>
        </w:rPr>
        <w:footnoteReference w:id="143"/>
      </w:r>
      <w:r w:rsidRPr="00643DCF">
        <w:rPr>
          <w:i/>
          <w:sz w:val="28"/>
          <w:szCs w:val="28"/>
        </w:rPr>
        <w:t>;</w:t>
      </w:r>
      <w:r w:rsidR="00DB1D77" w:rsidRPr="00643DCF">
        <w:rPr>
          <w:i/>
          <w:sz w:val="28"/>
          <w:szCs w:val="28"/>
        </w:rPr>
        <w:t xml:space="preserve"> </w:t>
      </w:r>
    </w:p>
    <w:p w14:paraId="53D011EB" w14:textId="6A3D567E" w:rsidR="0074186F" w:rsidRPr="00643DCF" w:rsidRDefault="00B376C4" w:rsidP="00093018">
      <w:pPr>
        <w:pStyle w:val="Prrafodelista"/>
        <w:numPr>
          <w:ilvl w:val="0"/>
          <w:numId w:val="39"/>
        </w:numPr>
        <w:ind w:left="567" w:hanging="207"/>
        <w:jc w:val="both"/>
        <w:rPr>
          <w:sz w:val="28"/>
          <w:szCs w:val="28"/>
        </w:rPr>
      </w:pPr>
      <w:r w:rsidRPr="00643DCF">
        <w:rPr>
          <w:sz w:val="28"/>
          <w:szCs w:val="28"/>
        </w:rPr>
        <w:t>2012-2013</w:t>
      </w:r>
      <w:r w:rsidRPr="00643DCF">
        <w:rPr>
          <w:i/>
          <w:sz w:val="28"/>
          <w:szCs w:val="28"/>
        </w:rPr>
        <w:t xml:space="preserve"> “</w:t>
      </w:r>
      <w:r w:rsidRPr="003319D7">
        <w:rPr>
          <w:i/>
          <w:sz w:val="27"/>
          <w:szCs w:val="27"/>
        </w:rPr>
        <w:t>Modulo Practica Judicial en el sistema General de seguridad social en salud Sentencia T-760 DE</w:t>
      </w:r>
      <w:r w:rsidR="000A0F2E" w:rsidRPr="003319D7">
        <w:rPr>
          <w:i/>
          <w:sz w:val="27"/>
          <w:szCs w:val="27"/>
        </w:rPr>
        <w:t xml:space="preserve"> (sic)</w:t>
      </w:r>
      <w:r w:rsidRPr="003319D7">
        <w:rPr>
          <w:i/>
          <w:sz w:val="27"/>
          <w:szCs w:val="27"/>
        </w:rPr>
        <w:t xml:space="preserve"> 2008</w:t>
      </w:r>
      <w:r w:rsidRPr="00643DCF">
        <w:rPr>
          <w:i/>
          <w:sz w:val="28"/>
          <w:szCs w:val="28"/>
        </w:rPr>
        <w:t>”</w:t>
      </w:r>
      <w:r w:rsidRPr="00643DCF">
        <w:rPr>
          <w:rStyle w:val="Refdenotaalpie"/>
          <w:i/>
          <w:sz w:val="28"/>
          <w:szCs w:val="28"/>
        </w:rPr>
        <w:footnoteReference w:id="144"/>
      </w:r>
      <w:r w:rsidRPr="00643DCF">
        <w:rPr>
          <w:i/>
          <w:sz w:val="28"/>
          <w:szCs w:val="28"/>
        </w:rPr>
        <w:t>;</w:t>
      </w:r>
    </w:p>
    <w:p w14:paraId="1E0D7A4A" w14:textId="77777777" w:rsidR="0074186F" w:rsidRPr="00643DCF" w:rsidRDefault="00B376C4" w:rsidP="00093018">
      <w:pPr>
        <w:pStyle w:val="Prrafodelista"/>
        <w:numPr>
          <w:ilvl w:val="0"/>
          <w:numId w:val="39"/>
        </w:numPr>
        <w:ind w:left="567" w:hanging="207"/>
        <w:jc w:val="both"/>
        <w:rPr>
          <w:sz w:val="28"/>
          <w:szCs w:val="28"/>
        </w:rPr>
      </w:pPr>
      <w:r w:rsidRPr="00643DCF">
        <w:rPr>
          <w:sz w:val="28"/>
          <w:szCs w:val="28"/>
        </w:rPr>
        <w:t xml:space="preserve">2014 </w:t>
      </w:r>
      <w:r w:rsidRPr="00643DCF">
        <w:rPr>
          <w:i/>
          <w:sz w:val="28"/>
          <w:szCs w:val="28"/>
        </w:rPr>
        <w:t>“</w:t>
      </w:r>
      <w:r w:rsidRPr="003319D7">
        <w:rPr>
          <w:i/>
          <w:sz w:val="27"/>
          <w:szCs w:val="27"/>
        </w:rPr>
        <w:t>Curso de Formación de Formadores/as sobre el Módulo de Práctica Judicial en Derecho a la Salud</w:t>
      </w:r>
      <w:r w:rsidRPr="00643DCF">
        <w:rPr>
          <w:i/>
          <w:sz w:val="28"/>
          <w:szCs w:val="28"/>
        </w:rPr>
        <w:t>”</w:t>
      </w:r>
      <w:r w:rsidRPr="00643DCF">
        <w:rPr>
          <w:rStyle w:val="Refdenotaalpie"/>
          <w:i/>
          <w:sz w:val="28"/>
          <w:szCs w:val="28"/>
        </w:rPr>
        <w:footnoteReference w:id="145"/>
      </w:r>
      <w:r w:rsidRPr="00643DCF">
        <w:rPr>
          <w:i/>
          <w:sz w:val="28"/>
          <w:szCs w:val="28"/>
        </w:rPr>
        <w:t xml:space="preserve">; </w:t>
      </w:r>
    </w:p>
    <w:p w14:paraId="0CF75760" w14:textId="77777777" w:rsidR="0074186F" w:rsidRPr="00643DCF" w:rsidRDefault="00B376C4" w:rsidP="00093018">
      <w:pPr>
        <w:pStyle w:val="Prrafodelista"/>
        <w:numPr>
          <w:ilvl w:val="0"/>
          <w:numId w:val="39"/>
        </w:numPr>
        <w:ind w:left="567" w:hanging="207"/>
        <w:jc w:val="both"/>
        <w:rPr>
          <w:sz w:val="28"/>
          <w:szCs w:val="28"/>
        </w:rPr>
      </w:pPr>
      <w:r w:rsidRPr="00643DCF">
        <w:rPr>
          <w:sz w:val="28"/>
          <w:szCs w:val="28"/>
        </w:rPr>
        <w:t xml:space="preserve">2015 </w:t>
      </w:r>
      <w:r w:rsidRPr="00643DCF">
        <w:rPr>
          <w:i/>
          <w:sz w:val="28"/>
          <w:szCs w:val="28"/>
        </w:rPr>
        <w:t>“</w:t>
      </w:r>
      <w:r w:rsidRPr="003319D7">
        <w:rPr>
          <w:i/>
          <w:sz w:val="27"/>
          <w:szCs w:val="27"/>
        </w:rPr>
        <w:t>Seminario de Actualización sobre el Derecho Fundamental a la Salud</w:t>
      </w:r>
      <w:r w:rsidRPr="00643DCF">
        <w:rPr>
          <w:i/>
          <w:sz w:val="28"/>
          <w:szCs w:val="28"/>
        </w:rPr>
        <w:t>”</w:t>
      </w:r>
      <w:r w:rsidRPr="00643DCF">
        <w:rPr>
          <w:rStyle w:val="Refdenotaalpie"/>
          <w:i/>
          <w:sz w:val="28"/>
          <w:szCs w:val="28"/>
        </w:rPr>
        <w:footnoteReference w:id="146"/>
      </w:r>
      <w:r w:rsidRPr="00643DCF">
        <w:rPr>
          <w:i/>
          <w:sz w:val="28"/>
          <w:szCs w:val="28"/>
        </w:rPr>
        <w:t>, “</w:t>
      </w:r>
      <w:r w:rsidRPr="003319D7">
        <w:rPr>
          <w:i/>
          <w:sz w:val="27"/>
          <w:szCs w:val="27"/>
        </w:rPr>
        <w:t>Curso de Formación sobre el Derecho Fundamental a la Salud -Enfermedades Catastróficas y de Alto Costo”</w:t>
      </w:r>
      <w:r w:rsidRPr="003319D7">
        <w:rPr>
          <w:rStyle w:val="Refdenotaalpie"/>
          <w:i/>
          <w:sz w:val="27"/>
          <w:szCs w:val="27"/>
        </w:rPr>
        <w:footnoteReference w:id="147"/>
      </w:r>
      <w:r w:rsidR="00A139F8" w:rsidRPr="003319D7">
        <w:rPr>
          <w:i/>
          <w:sz w:val="27"/>
          <w:szCs w:val="27"/>
        </w:rPr>
        <w:t>, “Seminario sobre la Perspectiva del Derecho a la Salud y el desarrollo de las Telecomunicaciones</w:t>
      </w:r>
      <w:r w:rsidR="00A139F8" w:rsidRPr="00643DCF">
        <w:rPr>
          <w:i/>
          <w:sz w:val="28"/>
          <w:szCs w:val="28"/>
        </w:rPr>
        <w:t>”</w:t>
      </w:r>
      <w:r w:rsidR="00A139F8" w:rsidRPr="00643DCF">
        <w:rPr>
          <w:rStyle w:val="Refdenotaalpie"/>
          <w:i/>
          <w:sz w:val="28"/>
          <w:szCs w:val="28"/>
        </w:rPr>
        <w:footnoteReference w:id="148"/>
      </w:r>
      <w:r w:rsidR="00A139F8" w:rsidRPr="00643DCF">
        <w:rPr>
          <w:i/>
          <w:sz w:val="28"/>
          <w:szCs w:val="28"/>
        </w:rPr>
        <w:t xml:space="preserve">; </w:t>
      </w:r>
    </w:p>
    <w:p w14:paraId="2C97F060" w14:textId="447F8AD7" w:rsidR="0074186F" w:rsidRPr="00643DCF" w:rsidRDefault="00A139F8" w:rsidP="00093018">
      <w:pPr>
        <w:pStyle w:val="Prrafodelista"/>
        <w:numPr>
          <w:ilvl w:val="0"/>
          <w:numId w:val="39"/>
        </w:numPr>
        <w:ind w:left="567" w:hanging="207"/>
        <w:jc w:val="both"/>
        <w:rPr>
          <w:sz w:val="28"/>
          <w:szCs w:val="28"/>
        </w:rPr>
      </w:pPr>
      <w:r w:rsidRPr="00643DCF">
        <w:rPr>
          <w:sz w:val="28"/>
          <w:szCs w:val="28"/>
        </w:rPr>
        <w:t xml:space="preserve">2016 </w:t>
      </w:r>
      <w:r w:rsidRPr="00643DCF">
        <w:rPr>
          <w:i/>
          <w:sz w:val="28"/>
          <w:szCs w:val="28"/>
        </w:rPr>
        <w:t>“</w:t>
      </w:r>
      <w:r w:rsidRPr="003319D7">
        <w:rPr>
          <w:i/>
          <w:sz w:val="27"/>
          <w:szCs w:val="27"/>
        </w:rPr>
        <w:t>Conversatorio Regional sobre el Derecho Fundamental a la Salud</w:t>
      </w:r>
      <w:r w:rsidRPr="00643DCF">
        <w:rPr>
          <w:i/>
          <w:sz w:val="28"/>
          <w:szCs w:val="28"/>
        </w:rPr>
        <w:t>”</w:t>
      </w:r>
      <w:r w:rsidRPr="00643DCF">
        <w:rPr>
          <w:rStyle w:val="Refdenotaalpie"/>
          <w:sz w:val="28"/>
          <w:szCs w:val="28"/>
        </w:rPr>
        <w:footnoteReference w:id="149"/>
      </w:r>
      <w:r w:rsidRPr="00643DCF">
        <w:rPr>
          <w:sz w:val="28"/>
          <w:szCs w:val="28"/>
        </w:rPr>
        <w:t xml:space="preserve">, </w:t>
      </w:r>
      <w:r w:rsidRPr="00643DCF">
        <w:rPr>
          <w:i/>
          <w:sz w:val="28"/>
          <w:szCs w:val="28"/>
        </w:rPr>
        <w:t>“</w:t>
      </w:r>
      <w:r w:rsidRPr="003319D7">
        <w:rPr>
          <w:i/>
          <w:sz w:val="27"/>
          <w:szCs w:val="27"/>
        </w:rPr>
        <w:t>Monitoreo al Cumplimiento de la Sentencia T-760 de 2008</w:t>
      </w:r>
      <w:r w:rsidRPr="00643DCF">
        <w:rPr>
          <w:i/>
          <w:sz w:val="28"/>
          <w:szCs w:val="28"/>
        </w:rPr>
        <w:t>”</w:t>
      </w:r>
      <w:r w:rsidRPr="00643DCF">
        <w:rPr>
          <w:rStyle w:val="Refdenotaalpie"/>
          <w:i/>
          <w:sz w:val="28"/>
          <w:szCs w:val="28"/>
        </w:rPr>
        <w:footnoteReference w:id="150"/>
      </w:r>
      <w:r w:rsidRPr="00643DCF">
        <w:rPr>
          <w:i/>
          <w:sz w:val="28"/>
          <w:szCs w:val="28"/>
        </w:rPr>
        <w:t>, “</w:t>
      </w:r>
      <w:r w:rsidRPr="003319D7">
        <w:rPr>
          <w:i/>
          <w:sz w:val="27"/>
          <w:szCs w:val="27"/>
        </w:rPr>
        <w:t>Conversatorio Regional sobre el Derecho Fundamental a la Salud</w:t>
      </w:r>
      <w:r w:rsidRPr="00643DCF">
        <w:rPr>
          <w:i/>
          <w:sz w:val="28"/>
          <w:szCs w:val="28"/>
        </w:rPr>
        <w:t>”</w:t>
      </w:r>
      <w:r w:rsidRPr="00643DCF">
        <w:rPr>
          <w:rStyle w:val="Refdenotaalpie"/>
          <w:i/>
          <w:sz w:val="28"/>
          <w:szCs w:val="28"/>
        </w:rPr>
        <w:footnoteReference w:id="151"/>
      </w:r>
      <w:r w:rsidRPr="00643DCF">
        <w:rPr>
          <w:i/>
          <w:sz w:val="28"/>
          <w:szCs w:val="28"/>
        </w:rPr>
        <w:t>, “</w:t>
      </w:r>
      <w:r w:rsidRPr="003319D7">
        <w:rPr>
          <w:i/>
          <w:sz w:val="27"/>
          <w:szCs w:val="27"/>
        </w:rPr>
        <w:t>Conversatorio Nacional de Jueces de Pequeñas Causas</w:t>
      </w:r>
      <w:r w:rsidRPr="00643DCF">
        <w:rPr>
          <w:i/>
          <w:sz w:val="28"/>
          <w:szCs w:val="28"/>
        </w:rPr>
        <w:t>”</w:t>
      </w:r>
      <w:r w:rsidRPr="00643DCF">
        <w:rPr>
          <w:rStyle w:val="Refdenotaalpie"/>
          <w:i/>
          <w:sz w:val="28"/>
          <w:szCs w:val="28"/>
        </w:rPr>
        <w:footnoteReference w:id="152"/>
      </w:r>
      <w:r w:rsidR="0074186F" w:rsidRPr="00643DCF">
        <w:rPr>
          <w:i/>
          <w:sz w:val="28"/>
          <w:szCs w:val="28"/>
        </w:rPr>
        <w:t>;</w:t>
      </w:r>
      <w:r w:rsidRPr="00643DCF">
        <w:rPr>
          <w:i/>
          <w:sz w:val="28"/>
          <w:szCs w:val="28"/>
        </w:rPr>
        <w:t xml:space="preserve"> </w:t>
      </w:r>
    </w:p>
    <w:p w14:paraId="3D9EA398" w14:textId="73AE126B" w:rsidR="0074186F" w:rsidRPr="00643DCF" w:rsidRDefault="00DB1D77" w:rsidP="00093018">
      <w:pPr>
        <w:pStyle w:val="Prrafodelista"/>
        <w:numPr>
          <w:ilvl w:val="0"/>
          <w:numId w:val="39"/>
        </w:numPr>
        <w:ind w:left="567" w:hanging="207"/>
        <w:jc w:val="both"/>
        <w:rPr>
          <w:sz w:val="28"/>
          <w:szCs w:val="28"/>
        </w:rPr>
      </w:pPr>
      <w:r w:rsidRPr="00643DCF">
        <w:rPr>
          <w:sz w:val="28"/>
          <w:szCs w:val="28"/>
        </w:rPr>
        <w:t xml:space="preserve">2017 </w:t>
      </w:r>
      <w:r w:rsidR="00A139F8" w:rsidRPr="00643DCF">
        <w:rPr>
          <w:i/>
          <w:sz w:val="28"/>
          <w:szCs w:val="28"/>
        </w:rPr>
        <w:t>“</w:t>
      </w:r>
      <w:r w:rsidR="00A139F8" w:rsidRPr="003319D7">
        <w:rPr>
          <w:i/>
          <w:sz w:val="27"/>
          <w:szCs w:val="27"/>
        </w:rPr>
        <w:t>Curso de Formación Judicial en Constitucional</w:t>
      </w:r>
      <w:r w:rsidR="00A139F8" w:rsidRPr="00643DCF">
        <w:rPr>
          <w:i/>
          <w:sz w:val="28"/>
          <w:szCs w:val="28"/>
        </w:rPr>
        <w:t>”</w:t>
      </w:r>
      <w:r w:rsidRPr="00643DCF">
        <w:rPr>
          <w:rStyle w:val="Refdenotaalpie"/>
          <w:i/>
          <w:sz w:val="28"/>
          <w:szCs w:val="28"/>
        </w:rPr>
        <w:footnoteReference w:id="153"/>
      </w:r>
      <w:r w:rsidR="0074186F" w:rsidRPr="00643DCF">
        <w:rPr>
          <w:i/>
          <w:sz w:val="28"/>
          <w:szCs w:val="28"/>
        </w:rPr>
        <w:t xml:space="preserve">; </w:t>
      </w:r>
      <w:r w:rsidR="0074186F" w:rsidRPr="00643DCF">
        <w:rPr>
          <w:sz w:val="28"/>
          <w:szCs w:val="28"/>
        </w:rPr>
        <w:t>y</w:t>
      </w:r>
    </w:p>
    <w:p w14:paraId="6EF5A7F8" w14:textId="5FC2906D" w:rsidR="008E1F99" w:rsidRPr="00643DCF" w:rsidRDefault="00DB1D77" w:rsidP="008E1F99">
      <w:pPr>
        <w:pStyle w:val="Prrafodelista"/>
        <w:numPr>
          <w:ilvl w:val="0"/>
          <w:numId w:val="39"/>
        </w:numPr>
        <w:ind w:left="567" w:hanging="207"/>
        <w:jc w:val="both"/>
        <w:rPr>
          <w:sz w:val="28"/>
          <w:szCs w:val="28"/>
        </w:rPr>
      </w:pPr>
      <w:r w:rsidRPr="00643DCF">
        <w:rPr>
          <w:sz w:val="28"/>
          <w:szCs w:val="28"/>
        </w:rPr>
        <w:t xml:space="preserve">2018 </w:t>
      </w:r>
      <w:r w:rsidRPr="00643DCF">
        <w:rPr>
          <w:i/>
          <w:sz w:val="28"/>
          <w:szCs w:val="28"/>
        </w:rPr>
        <w:t>“</w:t>
      </w:r>
      <w:r w:rsidRPr="003319D7">
        <w:rPr>
          <w:i/>
          <w:sz w:val="27"/>
          <w:szCs w:val="27"/>
        </w:rPr>
        <w:t>Seminario acción de tutela y derecho fundamental a la salud sentencia T-760 de 2008</w:t>
      </w:r>
      <w:r w:rsidRPr="00643DCF">
        <w:rPr>
          <w:i/>
          <w:sz w:val="28"/>
          <w:szCs w:val="28"/>
        </w:rPr>
        <w:t>”</w:t>
      </w:r>
      <w:r w:rsidRPr="00643DCF">
        <w:rPr>
          <w:rStyle w:val="Refdenotaalpie"/>
          <w:sz w:val="28"/>
          <w:szCs w:val="28"/>
        </w:rPr>
        <w:footnoteReference w:id="154"/>
      </w:r>
      <w:r w:rsidR="007A26FC" w:rsidRPr="00643DCF">
        <w:rPr>
          <w:i/>
          <w:sz w:val="28"/>
          <w:szCs w:val="28"/>
        </w:rPr>
        <w:t>;“</w:t>
      </w:r>
      <w:r w:rsidR="007A26FC" w:rsidRPr="003319D7">
        <w:rPr>
          <w:i/>
          <w:sz w:val="27"/>
          <w:szCs w:val="27"/>
        </w:rPr>
        <w:t>Conversatorio/ Taller Regional de formación en Derecho a la Salud y acción de tutela, Sentencia T-760 de 2008 y Tutelas atípicas</w:t>
      </w:r>
      <w:r w:rsidR="007A26FC" w:rsidRPr="00643DCF">
        <w:rPr>
          <w:i/>
          <w:sz w:val="28"/>
          <w:szCs w:val="28"/>
        </w:rPr>
        <w:t>”</w:t>
      </w:r>
      <w:r w:rsidR="007A26FC" w:rsidRPr="00643DCF">
        <w:rPr>
          <w:rStyle w:val="Refdenotaalpie"/>
          <w:i/>
          <w:sz w:val="28"/>
          <w:szCs w:val="28"/>
        </w:rPr>
        <w:footnoteReference w:id="155"/>
      </w:r>
      <w:r w:rsidR="008E1F99" w:rsidRPr="00643DCF">
        <w:rPr>
          <w:i/>
          <w:sz w:val="28"/>
          <w:szCs w:val="28"/>
        </w:rPr>
        <w:t>;”</w:t>
      </w:r>
      <w:r w:rsidR="008E1F99" w:rsidRPr="003319D7">
        <w:rPr>
          <w:i/>
          <w:sz w:val="27"/>
          <w:szCs w:val="27"/>
        </w:rPr>
        <w:t>Conversatorio/ Taller Regional de formación en Derecho a la Salud y acción de tutela, Sentencia T-760 de 2008 y Tutelas atípicas</w:t>
      </w:r>
      <w:r w:rsidR="008E1F99" w:rsidRPr="00643DCF">
        <w:rPr>
          <w:i/>
          <w:sz w:val="28"/>
          <w:szCs w:val="28"/>
        </w:rPr>
        <w:t>”</w:t>
      </w:r>
      <w:r w:rsidR="008E1F99" w:rsidRPr="00643DCF">
        <w:rPr>
          <w:rStyle w:val="Refdenotaalpie"/>
          <w:i/>
          <w:sz w:val="28"/>
          <w:szCs w:val="28"/>
        </w:rPr>
        <w:footnoteReference w:id="156"/>
      </w:r>
      <w:r w:rsidR="009C26B4" w:rsidRPr="00643DCF">
        <w:rPr>
          <w:i/>
          <w:sz w:val="28"/>
          <w:szCs w:val="28"/>
        </w:rPr>
        <w:t>; “</w:t>
      </w:r>
      <w:r w:rsidR="009C26B4" w:rsidRPr="003319D7">
        <w:rPr>
          <w:i/>
          <w:sz w:val="27"/>
          <w:szCs w:val="27"/>
        </w:rPr>
        <w:t>Conversatorio/ Taller Regional de formación en Derecho a la Salud y acción de tutela, Sentencia T-760 de 2008 y Tutelas atípicas</w:t>
      </w:r>
      <w:r w:rsidR="009C26B4" w:rsidRPr="00643DCF">
        <w:rPr>
          <w:i/>
          <w:sz w:val="28"/>
          <w:szCs w:val="28"/>
        </w:rPr>
        <w:t>”</w:t>
      </w:r>
      <w:r w:rsidR="009C26B4" w:rsidRPr="00643DCF">
        <w:rPr>
          <w:rStyle w:val="Refdenotaalpie"/>
          <w:i/>
          <w:sz w:val="28"/>
          <w:szCs w:val="28"/>
        </w:rPr>
        <w:footnoteReference w:id="157"/>
      </w:r>
      <w:r w:rsidR="009C26B4" w:rsidRPr="00643DCF">
        <w:rPr>
          <w:i/>
          <w:sz w:val="28"/>
          <w:szCs w:val="28"/>
        </w:rPr>
        <w:t>y, “</w:t>
      </w:r>
      <w:r w:rsidR="009C26B4" w:rsidRPr="003319D7">
        <w:rPr>
          <w:i/>
          <w:sz w:val="27"/>
          <w:szCs w:val="27"/>
        </w:rPr>
        <w:t>Conversatorio/ Taller Regional de formación en Derecho a la Salud y acción de tutela, Sentencia T-760 de 2008 y Tutelas atípicas</w:t>
      </w:r>
      <w:r w:rsidR="009C26B4" w:rsidRPr="00643DCF">
        <w:rPr>
          <w:i/>
          <w:sz w:val="28"/>
          <w:szCs w:val="28"/>
        </w:rPr>
        <w:t>”</w:t>
      </w:r>
      <w:r w:rsidR="009C26B4" w:rsidRPr="00643DCF">
        <w:rPr>
          <w:rStyle w:val="Refdenotaalpie"/>
          <w:i/>
          <w:sz w:val="28"/>
          <w:szCs w:val="28"/>
        </w:rPr>
        <w:footnoteReference w:id="158"/>
      </w:r>
      <w:r w:rsidR="008E1F99" w:rsidRPr="00643DCF">
        <w:rPr>
          <w:i/>
          <w:sz w:val="28"/>
          <w:szCs w:val="28"/>
        </w:rPr>
        <w:t>.</w:t>
      </w:r>
    </w:p>
    <w:p w14:paraId="24B5BCD6" w14:textId="1FD80472" w:rsidR="00A139F8" w:rsidRPr="00643DCF" w:rsidRDefault="00A139F8" w:rsidP="00B376C4">
      <w:pPr>
        <w:jc w:val="both"/>
        <w:rPr>
          <w:i/>
          <w:sz w:val="28"/>
          <w:szCs w:val="28"/>
        </w:rPr>
      </w:pPr>
    </w:p>
    <w:p w14:paraId="4624ED94" w14:textId="15BEBC23" w:rsidR="007703AA" w:rsidRPr="00643DCF" w:rsidRDefault="001356D4" w:rsidP="003E33F2">
      <w:pPr>
        <w:tabs>
          <w:tab w:val="left" w:pos="567"/>
        </w:tabs>
        <w:jc w:val="both"/>
        <w:rPr>
          <w:sz w:val="28"/>
          <w:szCs w:val="28"/>
        </w:rPr>
      </w:pPr>
      <w:r w:rsidRPr="00643DCF">
        <w:rPr>
          <w:sz w:val="28"/>
          <w:szCs w:val="28"/>
        </w:rPr>
        <w:t>50</w:t>
      </w:r>
      <w:r w:rsidR="000A0F2E" w:rsidRPr="00643DCF">
        <w:rPr>
          <w:sz w:val="28"/>
          <w:szCs w:val="28"/>
        </w:rPr>
        <w:t xml:space="preserve">. </w:t>
      </w:r>
      <w:r w:rsidR="00DB1D77" w:rsidRPr="00643DCF">
        <w:rPr>
          <w:sz w:val="28"/>
          <w:szCs w:val="28"/>
        </w:rPr>
        <w:t>Se resalta que la</w:t>
      </w:r>
      <w:r w:rsidR="00B26981" w:rsidRPr="00643DCF">
        <w:rPr>
          <w:sz w:val="28"/>
          <w:szCs w:val="28"/>
        </w:rPr>
        <w:t xml:space="preserve"> </w:t>
      </w:r>
      <w:r w:rsidR="00DB1D77" w:rsidRPr="00643DCF">
        <w:rPr>
          <w:sz w:val="28"/>
          <w:szCs w:val="28"/>
        </w:rPr>
        <w:t xml:space="preserve">capacitación realizada en el mes de junio de 2018 estuvo </w:t>
      </w:r>
      <w:r w:rsidR="0041528F" w:rsidRPr="00643DCF">
        <w:rPr>
          <w:sz w:val="28"/>
          <w:szCs w:val="28"/>
        </w:rPr>
        <w:t>basada en</w:t>
      </w:r>
      <w:r w:rsidR="00DB1D77" w:rsidRPr="00643DCF">
        <w:rPr>
          <w:sz w:val="28"/>
          <w:szCs w:val="28"/>
        </w:rPr>
        <w:t xml:space="preserve"> el seguimiento y difusión de la </w:t>
      </w:r>
      <w:r w:rsidR="006544D8" w:rsidRPr="00643DCF">
        <w:rPr>
          <w:sz w:val="28"/>
          <w:szCs w:val="28"/>
        </w:rPr>
        <w:t>s</w:t>
      </w:r>
      <w:r w:rsidR="00DB1D77" w:rsidRPr="00643DCF">
        <w:rPr>
          <w:sz w:val="28"/>
          <w:szCs w:val="28"/>
        </w:rPr>
        <w:t xml:space="preserve">entencia T-760 de 2008 y las </w:t>
      </w:r>
      <w:r w:rsidR="00830F5B" w:rsidRPr="00643DCF">
        <w:rPr>
          <w:sz w:val="28"/>
          <w:szCs w:val="28"/>
        </w:rPr>
        <w:t>ó</w:t>
      </w:r>
      <w:r w:rsidR="00DB1D77" w:rsidRPr="00643DCF">
        <w:rPr>
          <w:sz w:val="28"/>
          <w:szCs w:val="28"/>
        </w:rPr>
        <w:t>rdenes de acceso impartidas por el fallo estructural</w:t>
      </w:r>
      <w:r w:rsidR="00DB1D77" w:rsidRPr="00643DCF">
        <w:rPr>
          <w:rStyle w:val="Refdenotaalpie"/>
          <w:sz w:val="28"/>
          <w:szCs w:val="28"/>
        </w:rPr>
        <w:footnoteReference w:id="159"/>
      </w:r>
      <w:r w:rsidR="00511984" w:rsidRPr="00643DCF">
        <w:rPr>
          <w:sz w:val="28"/>
          <w:szCs w:val="28"/>
        </w:rPr>
        <w:t>;</w:t>
      </w:r>
      <w:r w:rsidR="00A34105" w:rsidRPr="00643DCF">
        <w:rPr>
          <w:sz w:val="28"/>
          <w:szCs w:val="28"/>
        </w:rPr>
        <w:t xml:space="preserve"> </w:t>
      </w:r>
      <w:r w:rsidR="00830F5B" w:rsidRPr="00643DCF">
        <w:rPr>
          <w:sz w:val="28"/>
          <w:szCs w:val="28"/>
        </w:rPr>
        <w:t>en la que</w:t>
      </w:r>
      <w:r w:rsidR="00DB1D77" w:rsidRPr="00643DCF">
        <w:rPr>
          <w:sz w:val="28"/>
          <w:szCs w:val="28"/>
        </w:rPr>
        <w:t xml:space="preserve"> se desarrollaron asuntos relacionad</w:t>
      </w:r>
      <w:r w:rsidR="0041528F" w:rsidRPr="00643DCF">
        <w:rPr>
          <w:sz w:val="28"/>
          <w:szCs w:val="28"/>
        </w:rPr>
        <w:t>o</w:t>
      </w:r>
      <w:r w:rsidR="00DB1D77" w:rsidRPr="00643DCF">
        <w:rPr>
          <w:sz w:val="28"/>
          <w:szCs w:val="28"/>
        </w:rPr>
        <w:t>s con el derecho fundamental a la salud, la Ley Estatutaria 1751 de 2015, el SGSS</w:t>
      </w:r>
      <w:r w:rsidR="00830F5B" w:rsidRPr="00643DCF">
        <w:rPr>
          <w:sz w:val="28"/>
          <w:szCs w:val="28"/>
        </w:rPr>
        <w:t>S</w:t>
      </w:r>
      <w:r w:rsidR="00DB1D77" w:rsidRPr="00643DCF">
        <w:rPr>
          <w:sz w:val="28"/>
          <w:szCs w:val="28"/>
        </w:rPr>
        <w:t xml:space="preserve"> y sus</w:t>
      </w:r>
      <w:r w:rsidR="007703AA" w:rsidRPr="00643DCF">
        <w:rPr>
          <w:sz w:val="28"/>
          <w:szCs w:val="28"/>
        </w:rPr>
        <w:t xml:space="preserve"> actores, </w:t>
      </w:r>
      <w:r w:rsidR="00DB1D77" w:rsidRPr="00643DCF">
        <w:rPr>
          <w:sz w:val="28"/>
          <w:szCs w:val="28"/>
        </w:rPr>
        <w:t xml:space="preserve">la </w:t>
      </w:r>
      <w:r w:rsidR="007703AA" w:rsidRPr="00643DCF">
        <w:rPr>
          <w:sz w:val="28"/>
          <w:szCs w:val="28"/>
        </w:rPr>
        <w:t xml:space="preserve">cobertura universal, </w:t>
      </w:r>
      <w:r w:rsidR="00DB1D77" w:rsidRPr="00643DCF">
        <w:rPr>
          <w:sz w:val="28"/>
          <w:szCs w:val="28"/>
        </w:rPr>
        <w:t xml:space="preserve">los </w:t>
      </w:r>
      <w:r w:rsidR="007703AA" w:rsidRPr="00643DCF">
        <w:rPr>
          <w:sz w:val="28"/>
          <w:szCs w:val="28"/>
        </w:rPr>
        <w:t xml:space="preserve">estándares de accesibilidad, </w:t>
      </w:r>
      <w:r w:rsidR="0033303E" w:rsidRPr="00643DCF">
        <w:rPr>
          <w:sz w:val="28"/>
          <w:szCs w:val="28"/>
        </w:rPr>
        <w:t xml:space="preserve">los </w:t>
      </w:r>
      <w:r w:rsidR="007703AA" w:rsidRPr="00643DCF">
        <w:rPr>
          <w:sz w:val="28"/>
          <w:szCs w:val="28"/>
        </w:rPr>
        <w:t xml:space="preserve">servicios complementarios y negaciones, </w:t>
      </w:r>
      <w:r w:rsidR="0033303E" w:rsidRPr="00643DCF">
        <w:rPr>
          <w:sz w:val="28"/>
          <w:szCs w:val="28"/>
        </w:rPr>
        <w:t xml:space="preserve">las </w:t>
      </w:r>
      <w:r w:rsidR="007703AA" w:rsidRPr="00643DCF">
        <w:rPr>
          <w:sz w:val="28"/>
          <w:szCs w:val="28"/>
        </w:rPr>
        <w:t>acci</w:t>
      </w:r>
      <w:r w:rsidR="00830F5B" w:rsidRPr="00643DCF">
        <w:rPr>
          <w:sz w:val="28"/>
          <w:szCs w:val="28"/>
        </w:rPr>
        <w:t>o</w:t>
      </w:r>
      <w:r w:rsidR="007703AA" w:rsidRPr="00643DCF">
        <w:rPr>
          <w:sz w:val="28"/>
          <w:szCs w:val="28"/>
        </w:rPr>
        <w:t>n</w:t>
      </w:r>
      <w:r w:rsidR="00511984" w:rsidRPr="00643DCF">
        <w:rPr>
          <w:sz w:val="28"/>
          <w:szCs w:val="28"/>
        </w:rPr>
        <w:t>es</w:t>
      </w:r>
      <w:r w:rsidR="007703AA" w:rsidRPr="00643DCF">
        <w:rPr>
          <w:sz w:val="28"/>
          <w:szCs w:val="28"/>
        </w:rPr>
        <w:t xml:space="preserve"> de tutela y </w:t>
      </w:r>
      <w:r w:rsidR="00CA1368" w:rsidRPr="00643DCF">
        <w:rPr>
          <w:sz w:val="28"/>
          <w:szCs w:val="28"/>
        </w:rPr>
        <w:t xml:space="preserve">la </w:t>
      </w:r>
      <w:r w:rsidR="007703AA" w:rsidRPr="00643DCF">
        <w:rPr>
          <w:sz w:val="28"/>
          <w:szCs w:val="28"/>
        </w:rPr>
        <w:t>protección del derecho a la salud</w:t>
      </w:r>
      <w:r w:rsidR="00DA3C70" w:rsidRPr="00643DCF">
        <w:rPr>
          <w:sz w:val="28"/>
          <w:szCs w:val="28"/>
        </w:rPr>
        <w:t xml:space="preserve">, así como en </w:t>
      </w:r>
      <w:r w:rsidR="007703AA" w:rsidRPr="00643DCF">
        <w:rPr>
          <w:sz w:val="28"/>
          <w:szCs w:val="28"/>
        </w:rPr>
        <w:t>aspectos sustanciales y procedimentales</w:t>
      </w:r>
      <w:r w:rsidR="00DB1D77" w:rsidRPr="00643DCF">
        <w:rPr>
          <w:sz w:val="28"/>
          <w:szCs w:val="28"/>
        </w:rPr>
        <w:t xml:space="preserve">. </w:t>
      </w:r>
    </w:p>
    <w:p w14:paraId="55B8CB21" w14:textId="77777777" w:rsidR="007703AA" w:rsidRPr="00643DCF" w:rsidRDefault="007703AA" w:rsidP="003E33F2">
      <w:pPr>
        <w:tabs>
          <w:tab w:val="left" w:pos="567"/>
        </w:tabs>
        <w:jc w:val="both"/>
        <w:rPr>
          <w:sz w:val="28"/>
          <w:szCs w:val="28"/>
        </w:rPr>
      </w:pPr>
    </w:p>
    <w:p w14:paraId="2B49E0CA" w14:textId="43857ECA" w:rsidR="0013410C" w:rsidRPr="00643DCF" w:rsidRDefault="0057282C" w:rsidP="003E33F2">
      <w:pPr>
        <w:tabs>
          <w:tab w:val="left" w:pos="567"/>
        </w:tabs>
        <w:jc w:val="both"/>
        <w:rPr>
          <w:sz w:val="28"/>
          <w:szCs w:val="28"/>
        </w:rPr>
      </w:pPr>
      <w:r w:rsidRPr="00643DCF">
        <w:rPr>
          <w:sz w:val="28"/>
          <w:szCs w:val="28"/>
        </w:rPr>
        <w:t>5</w:t>
      </w:r>
      <w:r w:rsidR="001356D4" w:rsidRPr="00643DCF">
        <w:rPr>
          <w:sz w:val="28"/>
          <w:szCs w:val="28"/>
        </w:rPr>
        <w:t>1</w:t>
      </w:r>
      <w:r w:rsidR="000A0F2E" w:rsidRPr="00643DCF">
        <w:rPr>
          <w:sz w:val="28"/>
          <w:szCs w:val="28"/>
        </w:rPr>
        <w:t xml:space="preserve">. </w:t>
      </w:r>
      <w:r w:rsidR="00F701F6" w:rsidRPr="00643DCF">
        <w:rPr>
          <w:sz w:val="28"/>
          <w:szCs w:val="28"/>
        </w:rPr>
        <w:t>De conformidad con lo anterior, se observa que el CSJ ha implementado medidas conducentes</w:t>
      </w:r>
      <w:r w:rsidR="00051ED3" w:rsidRPr="00643DCF">
        <w:rPr>
          <w:rStyle w:val="Refdenotaalpie"/>
          <w:sz w:val="28"/>
          <w:szCs w:val="28"/>
        </w:rPr>
        <w:footnoteReference w:id="160"/>
      </w:r>
      <w:r w:rsidR="00F701F6" w:rsidRPr="00643DCF">
        <w:rPr>
          <w:sz w:val="28"/>
          <w:szCs w:val="28"/>
        </w:rPr>
        <w:t xml:space="preserve"> para capacitar a los funcionarios judiciales</w:t>
      </w:r>
      <w:r w:rsidR="0055371C" w:rsidRPr="00643DCF">
        <w:rPr>
          <w:sz w:val="28"/>
          <w:szCs w:val="28"/>
        </w:rPr>
        <w:t xml:space="preserve">, toda vez que </w:t>
      </w:r>
      <w:r w:rsidR="00642782" w:rsidRPr="00643DCF">
        <w:rPr>
          <w:sz w:val="28"/>
          <w:szCs w:val="28"/>
        </w:rPr>
        <w:t>ha</w:t>
      </w:r>
      <w:r w:rsidR="0055371C" w:rsidRPr="00643DCF">
        <w:rPr>
          <w:sz w:val="28"/>
          <w:szCs w:val="28"/>
        </w:rPr>
        <w:t xml:space="preserve"> llevado a cabo </w:t>
      </w:r>
      <w:r w:rsidR="00642782" w:rsidRPr="00643DCF">
        <w:rPr>
          <w:sz w:val="28"/>
          <w:szCs w:val="28"/>
        </w:rPr>
        <w:t>seminarios de actualización y actividades</w:t>
      </w:r>
      <w:r w:rsidR="003C5E0F" w:rsidRPr="00643DCF">
        <w:rPr>
          <w:sz w:val="28"/>
          <w:szCs w:val="28"/>
        </w:rPr>
        <w:t xml:space="preserve"> de</w:t>
      </w:r>
      <w:r w:rsidR="00C3136F" w:rsidRPr="00643DCF">
        <w:rPr>
          <w:sz w:val="28"/>
          <w:szCs w:val="28"/>
        </w:rPr>
        <w:t xml:space="preserve"> </w:t>
      </w:r>
      <w:r w:rsidR="0055371C" w:rsidRPr="00643DCF">
        <w:rPr>
          <w:sz w:val="28"/>
          <w:szCs w:val="28"/>
        </w:rPr>
        <w:t>“</w:t>
      </w:r>
      <w:r w:rsidR="003C5E0F" w:rsidRPr="00643DCF">
        <w:rPr>
          <w:i/>
          <w:sz w:val="28"/>
          <w:szCs w:val="28"/>
        </w:rPr>
        <w:t>Fo</w:t>
      </w:r>
      <w:r w:rsidR="00AF2FC8" w:rsidRPr="00643DCF">
        <w:rPr>
          <w:i/>
          <w:sz w:val="28"/>
          <w:szCs w:val="28"/>
        </w:rPr>
        <w:t xml:space="preserve">rmación Judicial en el Programa </w:t>
      </w:r>
      <w:r w:rsidR="003C5E0F" w:rsidRPr="00643DCF">
        <w:rPr>
          <w:i/>
          <w:sz w:val="28"/>
          <w:szCs w:val="28"/>
        </w:rPr>
        <w:t>de Constitucional</w:t>
      </w:r>
      <w:r w:rsidR="0055371C" w:rsidRPr="00643DCF">
        <w:rPr>
          <w:i/>
          <w:sz w:val="28"/>
          <w:szCs w:val="28"/>
        </w:rPr>
        <w:t>”</w:t>
      </w:r>
      <w:r w:rsidR="000E0B0C" w:rsidRPr="00643DCF">
        <w:rPr>
          <w:sz w:val="28"/>
          <w:szCs w:val="28"/>
        </w:rPr>
        <w:t>,</w:t>
      </w:r>
      <w:r w:rsidR="00AF2FC8" w:rsidRPr="00643DCF">
        <w:rPr>
          <w:sz w:val="28"/>
          <w:szCs w:val="28"/>
        </w:rPr>
        <w:t xml:space="preserve"> </w:t>
      </w:r>
      <w:r w:rsidR="00C63E84" w:rsidRPr="00643DCF">
        <w:rPr>
          <w:sz w:val="28"/>
          <w:szCs w:val="28"/>
        </w:rPr>
        <w:t xml:space="preserve">cuyo </w:t>
      </w:r>
      <w:r w:rsidR="003C5E0F" w:rsidRPr="00643DCF">
        <w:rPr>
          <w:sz w:val="28"/>
          <w:szCs w:val="28"/>
        </w:rPr>
        <w:t>eje temático transversal</w:t>
      </w:r>
      <w:r w:rsidR="00C63E84" w:rsidRPr="00643DCF">
        <w:rPr>
          <w:sz w:val="28"/>
          <w:szCs w:val="28"/>
        </w:rPr>
        <w:t xml:space="preserve"> desarrollado </w:t>
      </w:r>
      <w:r w:rsidR="0041528F" w:rsidRPr="00643DCF">
        <w:rPr>
          <w:sz w:val="28"/>
          <w:szCs w:val="28"/>
        </w:rPr>
        <w:t>fue el</w:t>
      </w:r>
      <w:r w:rsidR="003C5E0F" w:rsidRPr="00643DCF">
        <w:rPr>
          <w:sz w:val="28"/>
          <w:szCs w:val="28"/>
        </w:rPr>
        <w:t xml:space="preserve"> </w:t>
      </w:r>
      <w:r w:rsidR="00C63E84" w:rsidRPr="00643DCF">
        <w:rPr>
          <w:sz w:val="28"/>
          <w:szCs w:val="28"/>
        </w:rPr>
        <w:t>d</w:t>
      </w:r>
      <w:r w:rsidR="003C5E0F" w:rsidRPr="00643DCF">
        <w:rPr>
          <w:sz w:val="28"/>
          <w:szCs w:val="28"/>
        </w:rPr>
        <w:t xml:space="preserve">erecho fundamental a la </w:t>
      </w:r>
      <w:r w:rsidR="00C63E84" w:rsidRPr="00643DCF">
        <w:rPr>
          <w:sz w:val="28"/>
          <w:szCs w:val="28"/>
        </w:rPr>
        <w:t>s</w:t>
      </w:r>
      <w:r w:rsidR="003C5E0F" w:rsidRPr="00643DCF">
        <w:rPr>
          <w:sz w:val="28"/>
          <w:szCs w:val="28"/>
        </w:rPr>
        <w:t>alud</w:t>
      </w:r>
      <w:r w:rsidR="0033303E" w:rsidRPr="00643DCF">
        <w:rPr>
          <w:rStyle w:val="Refdenotaalpie"/>
          <w:sz w:val="28"/>
          <w:szCs w:val="28"/>
        </w:rPr>
        <w:footnoteReference w:id="161"/>
      </w:r>
      <w:r w:rsidR="0033303E" w:rsidRPr="00643DCF">
        <w:rPr>
          <w:sz w:val="28"/>
          <w:szCs w:val="28"/>
        </w:rPr>
        <w:t xml:space="preserve">, </w:t>
      </w:r>
      <w:r w:rsidR="00A34105" w:rsidRPr="00643DCF">
        <w:rPr>
          <w:sz w:val="28"/>
          <w:szCs w:val="28"/>
        </w:rPr>
        <w:t xml:space="preserve">formando </w:t>
      </w:r>
      <w:r w:rsidR="003317D1" w:rsidRPr="00643DCF">
        <w:rPr>
          <w:sz w:val="28"/>
          <w:szCs w:val="28"/>
        </w:rPr>
        <w:t>un total de 1566 funcionarios j</w:t>
      </w:r>
      <w:r w:rsidR="00670776" w:rsidRPr="00643DCF">
        <w:rPr>
          <w:sz w:val="28"/>
          <w:szCs w:val="28"/>
        </w:rPr>
        <w:t>udiciales, pertenecientes a 19 d</w:t>
      </w:r>
      <w:r w:rsidR="003317D1" w:rsidRPr="00643DCF">
        <w:rPr>
          <w:sz w:val="28"/>
          <w:szCs w:val="28"/>
        </w:rPr>
        <w:t>istritos de los 23 existentes</w:t>
      </w:r>
      <w:r w:rsidR="002C6920" w:rsidRPr="00643DCF">
        <w:rPr>
          <w:rStyle w:val="Refdenotaalpie"/>
          <w:sz w:val="28"/>
          <w:szCs w:val="28"/>
        </w:rPr>
        <w:footnoteReference w:id="162"/>
      </w:r>
      <w:r w:rsidR="003317D1" w:rsidRPr="00643DCF">
        <w:rPr>
          <w:sz w:val="28"/>
          <w:szCs w:val="28"/>
        </w:rPr>
        <w:t>,</w:t>
      </w:r>
      <w:r w:rsidR="00602460" w:rsidRPr="00643DCF">
        <w:rPr>
          <w:sz w:val="28"/>
          <w:szCs w:val="28"/>
        </w:rPr>
        <w:t xml:space="preserve"> </w:t>
      </w:r>
      <w:r w:rsidR="00384A1F" w:rsidRPr="00643DCF">
        <w:rPr>
          <w:sz w:val="28"/>
          <w:szCs w:val="28"/>
        </w:rPr>
        <w:t>en su mayoría procedentes de las capitales de departamentos y algunos municipios vecinos de las mismas</w:t>
      </w:r>
      <w:r w:rsidR="0062398B" w:rsidRPr="00643DCF">
        <w:rPr>
          <w:sz w:val="28"/>
          <w:szCs w:val="28"/>
        </w:rPr>
        <w:t>,</w:t>
      </w:r>
      <w:r w:rsidR="00384A1F" w:rsidRPr="00643DCF">
        <w:rPr>
          <w:sz w:val="28"/>
          <w:szCs w:val="28"/>
        </w:rPr>
        <w:t xml:space="preserve"> </w:t>
      </w:r>
      <w:r w:rsidR="00F4470E" w:rsidRPr="00643DCF">
        <w:rPr>
          <w:sz w:val="28"/>
          <w:szCs w:val="28"/>
        </w:rPr>
        <w:t xml:space="preserve">además, </w:t>
      </w:r>
      <w:r w:rsidR="00602460" w:rsidRPr="00643DCF">
        <w:rPr>
          <w:sz w:val="28"/>
          <w:szCs w:val="28"/>
        </w:rPr>
        <w:t>en el último informe presentado</w:t>
      </w:r>
      <w:r w:rsidR="00F4470E" w:rsidRPr="00643DCF">
        <w:rPr>
          <w:rStyle w:val="Refdenotaalpie"/>
          <w:sz w:val="28"/>
          <w:szCs w:val="28"/>
        </w:rPr>
        <w:footnoteReference w:id="163"/>
      </w:r>
      <w:r w:rsidR="00B770F1" w:rsidRPr="00643DCF">
        <w:rPr>
          <w:sz w:val="28"/>
          <w:szCs w:val="28"/>
        </w:rPr>
        <w:t>,</w:t>
      </w:r>
      <w:r w:rsidR="00602460" w:rsidRPr="00643DCF">
        <w:rPr>
          <w:sz w:val="28"/>
          <w:szCs w:val="28"/>
        </w:rPr>
        <w:t xml:space="preserve"> se </w:t>
      </w:r>
      <w:r w:rsidR="004F7E20" w:rsidRPr="00643DCF">
        <w:rPr>
          <w:sz w:val="28"/>
          <w:szCs w:val="28"/>
        </w:rPr>
        <w:t>indicó</w:t>
      </w:r>
      <w:r w:rsidR="00602460" w:rsidRPr="00643DCF">
        <w:rPr>
          <w:sz w:val="28"/>
          <w:szCs w:val="28"/>
        </w:rPr>
        <w:t xml:space="preserve"> haber </w:t>
      </w:r>
      <w:r w:rsidR="00A34105" w:rsidRPr="00643DCF">
        <w:rPr>
          <w:sz w:val="28"/>
          <w:szCs w:val="28"/>
        </w:rPr>
        <w:t>capacitado</w:t>
      </w:r>
      <w:r w:rsidR="00F4470E" w:rsidRPr="00643DCF">
        <w:rPr>
          <w:sz w:val="28"/>
          <w:szCs w:val="28"/>
        </w:rPr>
        <w:t xml:space="preserve"> </w:t>
      </w:r>
      <w:r w:rsidR="00602460" w:rsidRPr="00643DCF">
        <w:rPr>
          <w:sz w:val="28"/>
          <w:szCs w:val="28"/>
        </w:rPr>
        <w:t xml:space="preserve">a 129 </w:t>
      </w:r>
      <w:r w:rsidR="00A34105" w:rsidRPr="00643DCF">
        <w:rPr>
          <w:sz w:val="28"/>
          <w:szCs w:val="28"/>
        </w:rPr>
        <w:t>operadores judiciales</w:t>
      </w:r>
      <w:r w:rsidR="0013410C" w:rsidRPr="00643DCF">
        <w:rPr>
          <w:sz w:val="28"/>
          <w:szCs w:val="28"/>
        </w:rPr>
        <w:t xml:space="preserve">. </w:t>
      </w:r>
    </w:p>
    <w:p w14:paraId="3260275E" w14:textId="77777777" w:rsidR="0013410C" w:rsidRPr="00643DCF" w:rsidRDefault="0013410C" w:rsidP="003E33F2">
      <w:pPr>
        <w:tabs>
          <w:tab w:val="left" w:pos="567"/>
        </w:tabs>
        <w:jc w:val="both"/>
        <w:rPr>
          <w:sz w:val="28"/>
          <w:szCs w:val="28"/>
        </w:rPr>
      </w:pPr>
    </w:p>
    <w:p w14:paraId="46CB1D82" w14:textId="74F024B6" w:rsidR="008A0900" w:rsidRPr="00643DCF" w:rsidRDefault="0057282C" w:rsidP="00FB31C7">
      <w:pPr>
        <w:tabs>
          <w:tab w:val="left" w:pos="567"/>
        </w:tabs>
        <w:jc w:val="both"/>
        <w:rPr>
          <w:sz w:val="28"/>
          <w:szCs w:val="28"/>
        </w:rPr>
      </w:pPr>
      <w:r w:rsidRPr="00643DCF">
        <w:rPr>
          <w:sz w:val="28"/>
          <w:szCs w:val="28"/>
        </w:rPr>
        <w:t>5</w:t>
      </w:r>
      <w:r w:rsidR="001356D4" w:rsidRPr="00643DCF">
        <w:rPr>
          <w:sz w:val="28"/>
          <w:szCs w:val="28"/>
        </w:rPr>
        <w:t>2</w:t>
      </w:r>
      <w:r w:rsidR="00670776" w:rsidRPr="00643DCF">
        <w:rPr>
          <w:sz w:val="28"/>
          <w:szCs w:val="28"/>
        </w:rPr>
        <w:t xml:space="preserve">. </w:t>
      </w:r>
      <w:r w:rsidR="0013410C" w:rsidRPr="00643DCF">
        <w:rPr>
          <w:sz w:val="28"/>
          <w:szCs w:val="28"/>
        </w:rPr>
        <w:t>S</w:t>
      </w:r>
      <w:r w:rsidR="00137C12" w:rsidRPr="00643DCF">
        <w:rPr>
          <w:sz w:val="28"/>
          <w:szCs w:val="28"/>
        </w:rPr>
        <w:t xml:space="preserve">in embargo </w:t>
      </w:r>
      <w:r w:rsidR="006D4CA2" w:rsidRPr="00643DCF">
        <w:rPr>
          <w:sz w:val="28"/>
          <w:szCs w:val="28"/>
        </w:rPr>
        <w:t xml:space="preserve">al verificar los resultados se evidencia que </w:t>
      </w:r>
      <w:r w:rsidR="00137C12" w:rsidRPr="00643DCF">
        <w:rPr>
          <w:sz w:val="28"/>
          <w:szCs w:val="28"/>
        </w:rPr>
        <w:t>los funcionarios de los</w:t>
      </w:r>
      <w:r w:rsidR="00C63098" w:rsidRPr="00643DCF">
        <w:rPr>
          <w:sz w:val="28"/>
          <w:szCs w:val="28"/>
        </w:rPr>
        <w:t xml:space="preserve"> </w:t>
      </w:r>
      <w:r w:rsidR="003E00C3" w:rsidRPr="00643DCF">
        <w:rPr>
          <w:sz w:val="28"/>
          <w:szCs w:val="28"/>
        </w:rPr>
        <w:t xml:space="preserve">departamentos y </w:t>
      </w:r>
      <w:r w:rsidR="00C63098" w:rsidRPr="00643DCF">
        <w:rPr>
          <w:sz w:val="28"/>
          <w:szCs w:val="28"/>
        </w:rPr>
        <w:t xml:space="preserve">municipios alejados no han contado con la </w:t>
      </w:r>
      <w:r w:rsidR="002357E1" w:rsidRPr="00643DCF">
        <w:rPr>
          <w:sz w:val="28"/>
          <w:szCs w:val="28"/>
        </w:rPr>
        <w:t xml:space="preserve">misma </w:t>
      </w:r>
      <w:r w:rsidR="00C63098" w:rsidRPr="00643DCF">
        <w:rPr>
          <w:sz w:val="28"/>
          <w:szCs w:val="28"/>
        </w:rPr>
        <w:t>posibilidad de acceder a las diferentes actividades</w:t>
      </w:r>
      <w:r w:rsidR="00953951" w:rsidRPr="00643DCF">
        <w:rPr>
          <w:sz w:val="28"/>
          <w:szCs w:val="28"/>
        </w:rPr>
        <w:t xml:space="preserve"> de capacitación mencionadas,</w:t>
      </w:r>
      <w:r w:rsidR="00C63098" w:rsidRPr="00643DCF">
        <w:rPr>
          <w:sz w:val="28"/>
          <w:szCs w:val="28"/>
        </w:rPr>
        <w:t xml:space="preserve"> </w:t>
      </w:r>
      <w:r w:rsidR="00F354B6" w:rsidRPr="00643DCF">
        <w:rPr>
          <w:sz w:val="28"/>
          <w:szCs w:val="28"/>
        </w:rPr>
        <w:t xml:space="preserve">toda vez que </w:t>
      </w:r>
      <w:r w:rsidR="008A0900" w:rsidRPr="00643DCF">
        <w:rPr>
          <w:sz w:val="28"/>
          <w:szCs w:val="28"/>
        </w:rPr>
        <w:t xml:space="preserve">de </w:t>
      </w:r>
      <w:r w:rsidR="008716B9" w:rsidRPr="00643DCF">
        <w:rPr>
          <w:sz w:val="28"/>
          <w:szCs w:val="28"/>
        </w:rPr>
        <w:t xml:space="preserve">la documentación allegada </w:t>
      </w:r>
      <w:r w:rsidR="008A0900" w:rsidRPr="00643DCF">
        <w:rPr>
          <w:sz w:val="28"/>
          <w:szCs w:val="28"/>
        </w:rPr>
        <w:t xml:space="preserve">por el Consejo Superior de la Judicatura </w:t>
      </w:r>
      <w:r w:rsidR="00953951" w:rsidRPr="00643DCF">
        <w:rPr>
          <w:sz w:val="28"/>
          <w:szCs w:val="28"/>
        </w:rPr>
        <w:t>no se extrae</w:t>
      </w:r>
      <w:r w:rsidR="008A0900" w:rsidRPr="00643DCF">
        <w:rPr>
          <w:sz w:val="28"/>
          <w:szCs w:val="28"/>
        </w:rPr>
        <w:t xml:space="preserve"> que </w:t>
      </w:r>
      <w:r w:rsidR="00953951" w:rsidRPr="00643DCF">
        <w:rPr>
          <w:sz w:val="28"/>
          <w:szCs w:val="28"/>
        </w:rPr>
        <w:t xml:space="preserve">alguno </w:t>
      </w:r>
      <w:r w:rsidR="008A0900" w:rsidRPr="00643DCF">
        <w:rPr>
          <w:sz w:val="28"/>
          <w:szCs w:val="28"/>
        </w:rPr>
        <w:t xml:space="preserve">de </w:t>
      </w:r>
      <w:r w:rsidR="00953951" w:rsidRPr="00643DCF">
        <w:rPr>
          <w:sz w:val="28"/>
          <w:szCs w:val="28"/>
        </w:rPr>
        <w:t>los programas de formación y divulgación</w:t>
      </w:r>
      <w:r w:rsidR="008A0900" w:rsidRPr="00643DCF">
        <w:rPr>
          <w:sz w:val="28"/>
          <w:szCs w:val="28"/>
        </w:rPr>
        <w:t xml:space="preserve"> se </w:t>
      </w:r>
      <w:r w:rsidR="00953951" w:rsidRPr="00643DCF">
        <w:rPr>
          <w:sz w:val="28"/>
          <w:szCs w:val="28"/>
        </w:rPr>
        <w:t>hubiera</w:t>
      </w:r>
      <w:r w:rsidR="003E00C3" w:rsidRPr="00643DCF">
        <w:rPr>
          <w:sz w:val="28"/>
          <w:szCs w:val="28"/>
        </w:rPr>
        <w:t>n</w:t>
      </w:r>
      <w:r w:rsidR="00953951" w:rsidRPr="00643DCF">
        <w:rPr>
          <w:sz w:val="28"/>
          <w:szCs w:val="28"/>
        </w:rPr>
        <w:t xml:space="preserve"> realizado </w:t>
      </w:r>
      <w:r w:rsidR="008A0900" w:rsidRPr="00643DCF">
        <w:rPr>
          <w:sz w:val="28"/>
          <w:szCs w:val="28"/>
        </w:rPr>
        <w:t xml:space="preserve">en </w:t>
      </w:r>
      <w:r w:rsidR="00953951" w:rsidRPr="00643DCF">
        <w:rPr>
          <w:sz w:val="28"/>
          <w:szCs w:val="28"/>
        </w:rPr>
        <w:t xml:space="preserve"> </w:t>
      </w:r>
      <w:r w:rsidR="00640176" w:rsidRPr="00643DCF">
        <w:rPr>
          <w:sz w:val="28"/>
          <w:szCs w:val="28"/>
        </w:rPr>
        <w:t>departamentos</w:t>
      </w:r>
      <w:r w:rsidR="00DD66F9" w:rsidRPr="00643DCF">
        <w:rPr>
          <w:sz w:val="28"/>
          <w:szCs w:val="28"/>
        </w:rPr>
        <w:t xml:space="preserve"> </w:t>
      </w:r>
      <w:r w:rsidR="008A0900" w:rsidRPr="00643DCF">
        <w:rPr>
          <w:sz w:val="28"/>
          <w:szCs w:val="28"/>
        </w:rPr>
        <w:t>aparta</w:t>
      </w:r>
      <w:r w:rsidR="003E00C3" w:rsidRPr="00643DCF">
        <w:rPr>
          <w:sz w:val="28"/>
          <w:szCs w:val="28"/>
        </w:rPr>
        <w:t>d</w:t>
      </w:r>
      <w:r w:rsidR="00640176" w:rsidRPr="00643DCF">
        <w:rPr>
          <w:sz w:val="28"/>
          <w:szCs w:val="28"/>
        </w:rPr>
        <w:t>o</w:t>
      </w:r>
      <w:r w:rsidR="008A0900" w:rsidRPr="00643DCF">
        <w:rPr>
          <w:sz w:val="28"/>
          <w:szCs w:val="28"/>
        </w:rPr>
        <w:t>s</w:t>
      </w:r>
      <w:r w:rsidR="00F354B6" w:rsidRPr="00643DCF">
        <w:rPr>
          <w:sz w:val="28"/>
          <w:szCs w:val="28"/>
        </w:rPr>
        <w:t xml:space="preserve"> del país</w:t>
      </w:r>
      <w:r w:rsidR="00953951" w:rsidRPr="00643DCF">
        <w:rPr>
          <w:sz w:val="28"/>
          <w:szCs w:val="28"/>
        </w:rPr>
        <w:t xml:space="preserve"> </w:t>
      </w:r>
      <w:r w:rsidR="00F354B6" w:rsidRPr="00643DCF">
        <w:rPr>
          <w:sz w:val="28"/>
          <w:szCs w:val="28"/>
        </w:rPr>
        <w:t xml:space="preserve">como </w:t>
      </w:r>
      <w:r w:rsidR="00640176" w:rsidRPr="00643DCF">
        <w:rPr>
          <w:sz w:val="28"/>
          <w:szCs w:val="28"/>
        </w:rPr>
        <w:t>Guainía</w:t>
      </w:r>
      <w:r w:rsidR="00F354B6" w:rsidRPr="00643DCF">
        <w:rPr>
          <w:sz w:val="28"/>
          <w:szCs w:val="28"/>
        </w:rPr>
        <w:t xml:space="preserve">, Vaupés, Vichada, </w:t>
      </w:r>
      <w:r w:rsidR="00B56565" w:rsidRPr="00643DCF">
        <w:rPr>
          <w:sz w:val="28"/>
          <w:szCs w:val="28"/>
        </w:rPr>
        <w:t>Guaviare, la Guajira</w:t>
      </w:r>
      <w:r w:rsidR="00640176" w:rsidRPr="00643DCF">
        <w:rPr>
          <w:sz w:val="28"/>
          <w:szCs w:val="28"/>
        </w:rPr>
        <w:t>,</w:t>
      </w:r>
      <w:r w:rsidR="00B56565" w:rsidRPr="00643DCF">
        <w:rPr>
          <w:sz w:val="28"/>
          <w:szCs w:val="28"/>
        </w:rPr>
        <w:t xml:space="preserve"> Amazonas, Cauca</w:t>
      </w:r>
      <w:r w:rsidR="00640176" w:rsidRPr="00643DCF">
        <w:rPr>
          <w:sz w:val="28"/>
          <w:szCs w:val="28"/>
        </w:rPr>
        <w:t xml:space="preserve"> y Nariño.</w:t>
      </w:r>
      <w:r w:rsidR="00DD66F9" w:rsidRPr="00643DCF">
        <w:rPr>
          <w:sz w:val="28"/>
          <w:szCs w:val="28"/>
        </w:rPr>
        <w:t xml:space="preserve"> </w:t>
      </w:r>
      <w:r w:rsidR="00640176" w:rsidRPr="00643DCF">
        <w:rPr>
          <w:sz w:val="28"/>
          <w:szCs w:val="28"/>
        </w:rPr>
        <w:t>S</w:t>
      </w:r>
      <w:r w:rsidR="008A0900" w:rsidRPr="00643DCF">
        <w:rPr>
          <w:sz w:val="28"/>
          <w:szCs w:val="28"/>
        </w:rPr>
        <w:t>olo un</w:t>
      </w:r>
      <w:r w:rsidR="00953951" w:rsidRPr="00643DCF">
        <w:rPr>
          <w:sz w:val="28"/>
          <w:szCs w:val="28"/>
        </w:rPr>
        <w:t>o</w:t>
      </w:r>
      <w:r w:rsidR="008A0900" w:rsidRPr="00643DCF">
        <w:rPr>
          <w:sz w:val="28"/>
          <w:szCs w:val="28"/>
        </w:rPr>
        <w:t>s poc</w:t>
      </w:r>
      <w:r w:rsidR="00642782" w:rsidRPr="00643DCF">
        <w:rPr>
          <w:sz w:val="28"/>
          <w:szCs w:val="28"/>
        </w:rPr>
        <w:t>o</w:t>
      </w:r>
      <w:r w:rsidR="008A0900" w:rsidRPr="00643DCF">
        <w:rPr>
          <w:sz w:val="28"/>
          <w:szCs w:val="28"/>
        </w:rPr>
        <w:t>s</w:t>
      </w:r>
      <w:r w:rsidR="00642782" w:rsidRPr="00643DCF">
        <w:rPr>
          <w:sz w:val="28"/>
          <w:szCs w:val="28"/>
        </w:rPr>
        <w:t xml:space="preserve"> seminarios</w:t>
      </w:r>
      <w:r w:rsidR="008A0900" w:rsidRPr="00643DCF">
        <w:rPr>
          <w:sz w:val="28"/>
          <w:szCs w:val="28"/>
        </w:rPr>
        <w:t xml:space="preserve"> </w:t>
      </w:r>
      <w:r w:rsidR="00640176" w:rsidRPr="00643DCF">
        <w:rPr>
          <w:sz w:val="28"/>
          <w:szCs w:val="28"/>
        </w:rPr>
        <w:t>tuvieron</w:t>
      </w:r>
      <w:r w:rsidR="008A0900" w:rsidRPr="00643DCF">
        <w:rPr>
          <w:sz w:val="28"/>
          <w:szCs w:val="28"/>
        </w:rPr>
        <w:t xml:space="preserve"> lugar en ciudades intermedias</w:t>
      </w:r>
      <w:r w:rsidR="003E00C3" w:rsidRPr="00643DCF">
        <w:rPr>
          <w:sz w:val="28"/>
          <w:szCs w:val="28"/>
        </w:rPr>
        <w:t xml:space="preserve">. </w:t>
      </w:r>
    </w:p>
    <w:p w14:paraId="460705C8" w14:textId="77777777" w:rsidR="00F354B6" w:rsidRPr="00643DCF" w:rsidRDefault="00F354B6" w:rsidP="008A0900">
      <w:pPr>
        <w:pStyle w:val="Textonotapie"/>
        <w:jc w:val="both"/>
        <w:rPr>
          <w:sz w:val="28"/>
          <w:szCs w:val="28"/>
        </w:rPr>
      </w:pPr>
    </w:p>
    <w:p w14:paraId="3C7DD4BF" w14:textId="690E1B3E" w:rsidR="00F354B6" w:rsidRPr="00643DCF" w:rsidRDefault="0057282C" w:rsidP="00F354B6">
      <w:pPr>
        <w:tabs>
          <w:tab w:val="left" w:pos="567"/>
        </w:tabs>
        <w:jc w:val="both"/>
        <w:rPr>
          <w:snapToGrid w:val="0"/>
          <w:sz w:val="28"/>
          <w:szCs w:val="28"/>
        </w:rPr>
      </w:pPr>
      <w:r w:rsidRPr="00643DCF">
        <w:rPr>
          <w:sz w:val="28"/>
          <w:szCs w:val="28"/>
        </w:rPr>
        <w:t>5</w:t>
      </w:r>
      <w:r w:rsidR="001356D4" w:rsidRPr="00643DCF">
        <w:rPr>
          <w:sz w:val="28"/>
          <w:szCs w:val="28"/>
        </w:rPr>
        <w:t>3</w:t>
      </w:r>
      <w:r w:rsidR="00670776" w:rsidRPr="00643DCF">
        <w:rPr>
          <w:sz w:val="28"/>
          <w:szCs w:val="28"/>
        </w:rPr>
        <w:t xml:space="preserve">. </w:t>
      </w:r>
      <w:r w:rsidR="00F354B6" w:rsidRPr="00643DCF">
        <w:rPr>
          <w:sz w:val="28"/>
          <w:szCs w:val="28"/>
        </w:rPr>
        <w:t>Así mismo</w:t>
      </w:r>
      <w:r w:rsidR="00870FC6" w:rsidRPr="00643DCF">
        <w:rPr>
          <w:sz w:val="28"/>
          <w:szCs w:val="28"/>
        </w:rPr>
        <w:t>,</w:t>
      </w:r>
      <w:r w:rsidR="00F354B6" w:rsidRPr="00643DCF">
        <w:rPr>
          <w:sz w:val="28"/>
          <w:szCs w:val="28"/>
        </w:rPr>
        <w:t xml:space="preserve"> es preciso señalar que</w:t>
      </w:r>
      <w:r w:rsidR="00051ED3" w:rsidRPr="00643DCF">
        <w:rPr>
          <w:sz w:val="28"/>
          <w:szCs w:val="28"/>
        </w:rPr>
        <w:t xml:space="preserve"> si bien algunas medidas</w:t>
      </w:r>
      <w:r w:rsidR="00870FC6" w:rsidRPr="00643DCF">
        <w:rPr>
          <w:sz w:val="28"/>
          <w:szCs w:val="28"/>
        </w:rPr>
        <w:t xml:space="preserve"> </w:t>
      </w:r>
      <w:r w:rsidR="008716B9" w:rsidRPr="00643DCF">
        <w:rPr>
          <w:sz w:val="28"/>
          <w:szCs w:val="28"/>
        </w:rPr>
        <w:t xml:space="preserve">adoptadas </w:t>
      </w:r>
      <w:r w:rsidR="00870FC6" w:rsidRPr="00643DCF">
        <w:rPr>
          <w:sz w:val="28"/>
          <w:szCs w:val="28"/>
        </w:rPr>
        <w:t>con el aspecto que se analiza</w:t>
      </w:r>
      <w:r w:rsidR="00051ED3" w:rsidRPr="00643DCF">
        <w:rPr>
          <w:sz w:val="28"/>
          <w:szCs w:val="28"/>
        </w:rPr>
        <w:t xml:space="preserve"> son conducentes</w:t>
      </w:r>
      <w:r w:rsidR="00953951" w:rsidRPr="00643DCF">
        <w:rPr>
          <w:sz w:val="28"/>
          <w:szCs w:val="28"/>
        </w:rPr>
        <w:t xml:space="preserve"> para el acatami</w:t>
      </w:r>
      <w:r w:rsidR="00870FC6" w:rsidRPr="00643DCF">
        <w:rPr>
          <w:sz w:val="28"/>
          <w:szCs w:val="28"/>
        </w:rPr>
        <w:t xml:space="preserve">ento de la orden, </w:t>
      </w:r>
      <w:r w:rsidR="00051ED3" w:rsidRPr="00643DCF">
        <w:rPr>
          <w:sz w:val="28"/>
          <w:szCs w:val="28"/>
        </w:rPr>
        <w:t>los resultados siguen siendo insuficientes en atención a que los</w:t>
      </w:r>
      <w:r w:rsidR="00F354B6" w:rsidRPr="00643DCF">
        <w:rPr>
          <w:sz w:val="28"/>
          <w:szCs w:val="28"/>
        </w:rPr>
        <w:t xml:space="preserve"> </w:t>
      </w:r>
      <w:r w:rsidR="00512C7E" w:rsidRPr="00643DCF">
        <w:rPr>
          <w:sz w:val="28"/>
          <w:szCs w:val="28"/>
        </w:rPr>
        <w:t xml:space="preserve">reportes </w:t>
      </w:r>
      <w:r w:rsidR="00F354B6" w:rsidRPr="00643DCF">
        <w:rPr>
          <w:sz w:val="28"/>
          <w:szCs w:val="28"/>
        </w:rPr>
        <w:t>presentados tampoco</w:t>
      </w:r>
      <w:r w:rsidR="008716B9" w:rsidRPr="00643DCF">
        <w:rPr>
          <w:sz w:val="28"/>
          <w:szCs w:val="28"/>
        </w:rPr>
        <w:t xml:space="preserve"> demuestran </w:t>
      </w:r>
      <w:r w:rsidR="00F354B6" w:rsidRPr="00643DCF">
        <w:rPr>
          <w:sz w:val="28"/>
          <w:szCs w:val="28"/>
        </w:rPr>
        <w:t xml:space="preserve">que </w:t>
      </w:r>
      <w:r w:rsidR="00051ED3" w:rsidRPr="00643DCF">
        <w:rPr>
          <w:sz w:val="28"/>
          <w:szCs w:val="28"/>
        </w:rPr>
        <w:t xml:space="preserve">en los programas de formación judicial se hayan realizado jornadas de </w:t>
      </w:r>
      <w:r w:rsidR="00F354B6" w:rsidRPr="00643DCF">
        <w:rPr>
          <w:sz w:val="28"/>
          <w:szCs w:val="28"/>
        </w:rPr>
        <w:t>capacita</w:t>
      </w:r>
      <w:r w:rsidR="00051ED3" w:rsidRPr="00643DCF">
        <w:rPr>
          <w:sz w:val="28"/>
          <w:szCs w:val="28"/>
        </w:rPr>
        <w:t>ción</w:t>
      </w:r>
      <w:r w:rsidR="00F354B6" w:rsidRPr="00643DCF">
        <w:rPr>
          <w:sz w:val="28"/>
          <w:szCs w:val="28"/>
        </w:rPr>
        <w:t xml:space="preserve"> a los jueces </w:t>
      </w:r>
      <w:r w:rsidR="00051ED3" w:rsidRPr="00643DCF">
        <w:rPr>
          <w:sz w:val="28"/>
          <w:szCs w:val="28"/>
        </w:rPr>
        <w:t>en temas relacionados con la</w:t>
      </w:r>
      <w:r w:rsidR="00F354B6" w:rsidRPr="00643DCF">
        <w:rPr>
          <w:sz w:val="28"/>
          <w:szCs w:val="28"/>
        </w:rPr>
        <w:t xml:space="preserve"> comprensión de nivel de cumplimiento de cada una de las órdenes que analizan </w:t>
      </w:r>
      <w:r w:rsidR="00B317EA" w:rsidRPr="00643DCF">
        <w:rPr>
          <w:snapToGrid w:val="0"/>
          <w:sz w:val="28"/>
          <w:szCs w:val="28"/>
        </w:rPr>
        <w:t xml:space="preserve">los problemas jurídicos identificados en la </w:t>
      </w:r>
      <w:r w:rsidR="00735179" w:rsidRPr="00643DCF">
        <w:rPr>
          <w:snapToGrid w:val="0"/>
          <w:sz w:val="28"/>
          <w:szCs w:val="28"/>
        </w:rPr>
        <w:t>s</w:t>
      </w:r>
      <w:r w:rsidR="00B317EA" w:rsidRPr="00643DCF">
        <w:rPr>
          <w:snapToGrid w:val="0"/>
          <w:sz w:val="28"/>
          <w:szCs w:val="28"/>
        </w:rPr>
        <w:t>entencia T-760 de 2008</w:t>
      </w:r>
      <w:r w:rsidR="00B317EA" w:rsidRPr="00643DCF">
        <w:rPr>
          <w:rStyle w:val="Refdenotaalpie"/>
          <w:snapToGrid w:val="0"/>
          <w:sz w:val="28"/>
          <w:szCs w:val="28"/>
        </w:rPr>
        <w:footnoteReference w:id="164"/>
      </w:r>
      <w:r w:rsidR="00051ED3" w:rsidRPr="00643DCF">
        <w:rPr>
          <w:snapToGrid w:val="0"/>
          <w:sz w:val="28"/>
          <w:szCs w:val="28"/>
        </w:rPr>
        <w:t xml:space="preserve"> o</w:t>
      </w:r>
      <w:r w:rsidR="0074186F" w:rsidRPr="00643DCF">
        <w:rPr>
          <w:snapToGrid w:val="0"/>
          <w:sz w:val="28"/>
          <w:szCs w:val="28"/>
        </w:rPr>
        <w:t xml:space="preserve"> el estado actual</w:t>
      </w:r>
      <w:r w:rsidR="00051ED3" w:rsidRPr="00643DCF">
        <w:rPr>
          <w:snapToGrid w:val="0"/>
          <w:sz w:val="28"/>
          <w:szCs w:val="28"/>
        </w:rPr>
        <w:t xml:space="preserve"> del seguimiento </w:t>
      </w:r>
      <w:r w:rsidR="0067258F" w:rsidRPr="00643DCF">
        <w:rPr>
          <w:snapToGrid w:val="0"/>
          <w:sz w:val="28"/>
          <w:szCs w:val="28"/>
        </w:rPr>
        <w:t xml:space="preserve">a la </w:t>
      </w:r>
      <w:r w:rsidR="00735179" w:rsidRPr="00643DCF">
        <w:rPr>
          <w:snapToGrid w:val="0"/>
          <w:sz w:val="28"/>
          <w:szCs w:val="28"/>
        </w:rPr>
        <w:t>mismas</w:t>
      </w:r>
      <w:r w:rsidR="00051ED3" w:rsidRPr="00643DCF">
        <w:rPr>
          <w:snapToGrid w:val="0"/>
          <w:sz w:val="28"/>
          <w:szCs w:val="28"/>
        </w:rPr>
        <w:t xml:space="preserve">. </w:t>
      </w:r>
    </w:p>
    <w:p w14:paraId="5B011F91" w14:textId="77777777" w:rsidR="00365973" w:rsidRPr="00643DCF" w:rsidRDefault="00365973" w:rsidP="00F354B6">
      <w:pPr>
        <w:tabs>
          <w:tab w:val="left" w:pos="567"/>
        </w:tabs>
        <w:jc w:val="both"/>
        <w:rPr>
          <w:snapToGrid w:val="0"/>
          <w:sz w:val="28"/>
          <w:szCs w:val="28"/>
        </w:rPr>
      </w:pPr>
    </w:p>
    <w:p w14:paraId="5524EDFE" w14:textId="49B34399" w:rsidR="00365973" w:rsidRDefault="00670776" w:rsidP="00F354B6">
      <w:pPr>
        <w:tabs>
          <w:tab w:val="left" w:pos="567"/>
        </w:tabs>
        <w:jc w:val="both"/>
        <w:rPr>
          <w:snapToGrid w:val="0"/>
          <w:sz w:val="28"/>
          <w:szCs w:val="28"/>
        </w:rPr>
      </w:pPr>
      <w:r w:rsidRPr="00643DCF">
        <w:rPr>
          <w:snapToGrid w:val="0"/>
          <w:sz w:val="28"/>
          <w:szCs w:val="28"/>
        </w:rPr>
        <w:t>5</w:t>
      </w:r>
      <w:r w:rsidR="001356D4" w:rsidRPr="00643DCF">
        <w:rPr>
          <w:snapToGrid w:val="0"/>
          <w:sz w:val="28"/>
          <w:szCs w:val="28"/>
        </w:rPr>
        <w:t>4</w:t>
      </w:r>
      <w:r w:rsidRPr="00643DCF">
        <w:rPr>
          <w:snapToGrid w:val="0"/>
          <w:sz w:val="28"/>
          <w:szCs w:val="28"/>
        </w:rPr>
        <w:t xml:space="preserve">. </w:t>
      </w:r>
      <w:r w:rsidR="00365973" w:rsidRPr="00643DCF">
        <w:rPr>
          <w:snapToGrid w:val="0"/>
          <w:sz w:val="28"/>
          <w:szCs w:val="28"/>
        </w:rPr>
        <w:t xml:space="preserve">Situación que también </w:t>
      </w:r>
      <w:r w:rsidR="001F349E" w:rsidRPr="00643DCF">
        <w:rPr>
          <w:snapToGrid w:val="0"/>
          <w:sz w:val="28"/>
          <w:szCs w:val="28"/>
        </w:rPr>
        <w:t xml:space="preserve">fue </w:t>
      </w:r>
      <w:r w:rsidR="00365973" w:rsidRPr="00643DCF">
        <w:rPr>
          <w:snapToGrid w:val="0"/>
          <w:sz w:val="28"/>
          <w:szCs w:val="28"/>
        </w:rPr>
        <w:t xml:space="preserve">evidenciada </w:t>
      </w:r>
      <w:r w:rsidR="001F349E" w:rsidRPr="00643DCF">
        <w:rPr>
          <w:snapToGrid w:val="0"/>
          <w:sz w:val="28"/>
          <w:szCs w:val="28"/>
        </w:rPr>
        <w:t xml:space="preserve">por </w:t>
      </w:r>
      <w:r w:rsidR="00365973" w:rsidRPr="00643DCF">
        <w:rPr>
          <w:snapToGrid w:val="0"/>
          <w:sz w:val="28"/>
          <w:szCs w:val="28"/>
        </w:rPr>
        <w:t>la Defensoría del Pueblo</w:t>
      </w:r>
      <w:r w:rsidRPr="00643DCF">
        <w:rPr>
          <w:snapToGrid w:val="0"/>
          <w:sz w:val="28"/>
          <w:szCs w:val="28"/>
        </w:rPr>
        <w:t xml:space="preserve"> que </w:t>
      </w:r>
      <w:r w:rsidR="00C726A2" w:rsidRPr="00643DCF">
        <w:rPr>
          <w:snapToGrid w:val="0"/>
          <w:sz w:val="28"/>
          <w:szCs w:val="28"/>
        </w:rPr>
        <w:t xml:space="preserve">señaló </w:t>
      </w:r>
      <w:r w:rsidR="006C1855" w:rsidRPr="00643DCF">
        <w:rPr>
          <w:snapToGrid w:val="0"/>
          <w:sz w:val="28"/>
          <w:szCs w:val="28"/>
        </w:rPr>
        <w:t xml:space="preserve">que </w:t>
      </w:r>
      <w:r w:rsidR="00365973" w:rsidRPr="00643DCF">
        <w:rPr>
          <w:snapToGrid w:val="0"/>
          <w:sz w:val="28"/>
          <w:szCs w:val="28"/>
        </w:rPr>
        <w:t>la divulgación debe realizarse a través de un programa pedagógico regi</w:t>
      </w:r>
      <w:r w:rsidR="00712EAA" w:rsidRPr="00643DCF">
        <w:rPr>
          <w:snapToGrid w:val="0"/>
          <w:sz w:val="28"/>
          <w:szCs w:val="28"/>
        </w:rPr>
        <w:t>onalizado, ya que el simple envío d</w:t>
      </w:r>
      <w:r w:rsidR="00666815" w:rsidRPr="00643DCF">
        <w:rPr>
          <w:snapToGrid w:val="0"/>
          <w:sz w:val="28"/>
          <w:szCs w:val="28"/>
        </w:rPr>
        <w:t xml:space="preserve">e la información </w:t>
      </w:r>
      <w:r w:rsidR="00712EAA" w:rsidRPr="00643DCF">
        <w:rPr>
          <w:snapToGrid w:val="0"/>
          <w:sz w:val="28"/>
          <w:szCs w:val="28"/>
        </w:rPr>
        <w:t>no es garant</w:t>
      </w:r>
      <w:r w:rsidR="00B85A37" w:rsidRPr="00643DCF">
        <w:rPr>
          <w:snapToGrid w:val="0"/>
          <w:sz w:val="28"/>
          <w:szCs w:val="28"/>
        </w:rPr>
        <w:t>ía de q</w:t>
      </w:r>
      <w:r w:rsidR="00712EAA" w:rsidRPr="00643DCF">
        <w:rPr>
          <w:snapToGrid w:val="0"/>
          <w:sz w:val="28"/>
          <w:szCs w:val="28"/>
        </w:rPr>
        <w:t xml:space="preserve">ue </w:t>
      </w:r>
      <w:r w:rsidR="001F349E" w:rsidRPr="00643DCF">
        <w:rPr>
          <w:snapToGrid w:val="0"/>
          <w:sz w:val="28"/>
          <w:szCs w:val="28"/>
        </w:rPr>
        <w:t xml:space="preserve">esta </w:t>
      </w:r>
      <w:r w:rsidR="006C1855" w:rsidRPr="00643DCF">
        <w:rPr>
          <w:snapToGrid w:val="0"/>
          <w:sz w:val="28"/>
          <w:szCs w:val="28"/>
        </w:rPr>
        <w:t>sea l</w:t>
      </w:r>
      <w:r w:rsidR="00712EAA" w:rsidRPr="00643DCF">
        <w:rPr>
          <w:snapToGrid w:val="0"/>
          <w:sz w:val="28"/>
          <w:szCs w:val="28"/>
        </w:rPr>
        <w:t>eída y estudiada por los destinatarios</w:t>
      </w:r>
      <w:r w:rsidR="00712EAA" w:rsidRPr="00643DCF">
        <w:rPr>
          <w:rStyle w:val="Refdenotaalpie"/>
          <w:snapToGrid w:val="0"/>
          <w:sz w:val="28"/>
          <w:szCs w:val="28"/>
        </w:rPr>
        <w:footnoteReference w:id="165"/>
      </w:r>
      <w:r w:rsidR="00B85A37" w:rsidRPr="00643DCF">
        <w:rPr>
          <w:snapToGrid w:val="0"/>
          <w:sz w:val="28"/>
          <w:szCs w:val="28"/>
        </w:rPr>
        <w:t xml:space="preserve">, </w:t>
      </w:r>
      <w:r w:rsidR="001F349E" w:rsidRPr="00643DCF">
        <w:rPr>
          <w:snapToGrid w:val="0"/>
          <w:sz w:val="28"/>
          <w:szCs w:val="28"/>
        </w:rPr>
        <w:t xml:space="preserve">además, el de formación debe ser complementado </w:t>
      </w:r>
      <w:r w:rsidR="00B85A37" w:rsidRPr="00643DCF">
        <w:rPr>
          <w:snapToGrid w:val="0"/>
          <w:sz w:val="28"/>
          <w:szCs w:val="28"/>
        </w:rPr>
        <w:t xml:space="preserve">con la </w:t>
      </w:r>
      <w:r w:rsidR="00666815" w:rsidRPr="00643DCF">
        <w:rPr>
          <w:snapToGrid w:val="0"/>
          <w:sz w:val="28"/>
          <w:szCs w:val="28"/>
        </w:rPr>
        <w:t>L</w:t>
      </w:r>
      <w:r w:rsidR="00B85A37" w:rsidRPr="00643DCF">
        <w:rPr>
          <w:snapToGrid w:val="0"/>
          <w:sz w:val="28"/>
          <w:szCs w:val="28"/>
        </w:rPr>
        <w:t xml:space="preserve">ey </w:t>
      </w:r>
      <w:r w:rsidR="00666815" w:rsidRPr="00643DCF">
        <w:rPr>
          <w:snapToGrid w:val="0"/>
          <w:sz w:val="28"/>
          <w:szCs w:val="28"/>
        </w:rPr>
        <w:t>E</w:t>
      </w:r>
      <w:r w:rsidR="00B85A37" w:rsidRPr="00643DCF">
        <w:rPr>
          <w:snapToGrid w:val="0"/>
          <w:sz w:val="28"/>
          <w:szCs w:val="28"/>
        </w:rPr>
        <w:t>statutaria</w:t>
      </w:r>
      <w:r w:rsidR="001F349E" w:rsidRPr="00643DCF">
        <w:rPr>
          <w:snapToGrid w:val="0"/>
          <w:sz w:val="28"/>
          <w:szCs w:val="28"/>
        </w:rPr>
        <w:t xml:space="preserve"> 1751 de 2015</w:t>
      </w:r>
      <w:r w:rsidR="00B85A37" w:rsidRPr="00643DCF">
        <w:rPr>
          <w:rStyle w:val="Refdenotaalpie"/>
          <w:snapToGrid w:val="0"/>
          <w:sz w:val="28"/>
          <w:szCs w:val="28"/>
        </w:rPr>
        <w:footnoteReference w:id="166"/>
      </w:r>
      <w:r w:rsidR="00365AC3" w:rsidRPr="00643DCF">
        <w:rPr>
          <w:snapToGrid w:val="0"/>
          <w:sz w:val="28"/>
          <w:szCs w:val="28"/>
        </w:rPr>
        <w:t>.</w:t>
      </w:r>
    </w:p>
    <w:p w14:paraId="62574FDA" w14:textId="77777777" w:rsidR="003319D7" w:rsidRPr="00643DCF" w:rsidRDefault="003319D7" w:rsidP="00F354B6">
      <w:pPr>
        <w:tabs>
          <w:tab w:val="left" w:pos="567"/>
        </w:tabs>
        <w:jc w:val="both"/>
        <w:rPr>
          <w:snapToGrid w:val="0"/>
          <w:sz w:val="28"/>
          <w:szCs w:val="28"/>
        </w:rPr>
      </w:pPr>
    </w:p>
    <w:p w14:paraId="623D27A6" w14:textId="7C01EE34" w:rsidR="003A67AB" w:rsidRPr="00643DCF" w:rsidRDefault="00670776" w:rsidP="00F354B6">
      <w:pPr>
        <w:tabs>
          <w:tab w:val="left" w:pos="567"/>
        </w:tabs>
        <w:jc w:val="both"/>
        <w:rPr>
          <w:sz w:val="28"/>
          <w:szCs w:val="28"/>
        </w:rPr>
      </w:pPr>
      <w:r w:rsidRPr="00643DCF">
        <w:rPr>
          <w:sz w:val="28"/>
          <w:szCs w:val="28"/>
        </w:rPr>
        <w:t>5</w:t>
      </w:r>
      <w:r w:rsidR="001356D4" w:rsidRPr="00643DCF">
        <w:rPr>
          <w:sz w:val="28"/>
          <w:szCs w:val="28"/>
        </w:rPr>
        <w:t>5</w:t>
      </w:r>
      <w:r w:rsidRPr="00643DCF">
        <w:rPr>
          <w:sz w:val="28"/>
          <w:szCs w:val="28"/>
        </w:rPr>
        <w:t xml:space="preserve">. </w:t>
      </w:r>
      <w:r w:rsidR="00365AC3" w:rsidRPr="00643DCF">
        <w:rPr>
          <w:sz w:val="28"/>
          <w:szCs w:val="28"/>
        </w:rPr>
        <w:t xml:space="preserve">Concluye emitiendo una alerta sobre la cobertura y contenidos de las capacitaciones en cuanto a la implementación de la Ley </w:t>
      </w:r>
      <w:r w:rsidR="00081561" w:rsidRPr="00643DCF">
        <w:rPr>
          <w:sz w:val="28"/>
          <w:szCs w:val="28"/>
        </w:rPr>
        <w:t>E</w:t>
      </w:r>
      <w:r w:rsidR="00365AC3" w:rsidRPr="00643DCF">
        <w:rPr>
          <w:sz w:val="28"/>
          <w:szCs w:val="28"/>
        </w:rPr>
        <w:t>statutaria, ya que introduce criterios posiblemente restrict</w:t>
      </w:r>
      <w:r w:rsidRPr="00643DCF">
        <w:rPr>
          <w:sz w:val="28"/>
          <w:szCs w:val="28"/>
        </w:rPr>
        <w:t>ivos en cuanto a la autonomía mé</w:t>
      </w:r>
      <w:r w:rsidR="00365AC3" w:rsidRPr="00643DCF">
        <w:rPr>
          <w:sz w:val="28"/>
          <w:szCs w:val="28"/>
        </w:rPr>
        <w:t xml:space="preserve">dica en lo referente a tecnologías </w:t>
      </w:r>
      <w:r w:rsidR="008F1242" w:rsidRPr="00643DCF">
        <w:rPr>
          <w:sz w:val="28"/>
          <w:szCs w:val="28"/>
        </w:rPr>
        <w:t>excluidas</w:t>
      </w:r>
      <w:r w:rsidR="00365AC3" w:rsidRPr="00643DCF">
        <w:rPr>
          <w:sz w:val="28"/>
          <w:szCs w:val="28"/>
        </w:rPr>
        <w:t>, acompañados de un conjunto de tecnicismos que puede según su c</w:t>
      </w:r>
      <w:r w:rsidR="00784375" w:rsidRPr="00643DCF">
        <w:rPr>
          <w:sz w:val="28"/>
          <w:szCs w:val="28"/>
        </w:rPr>
        <w:t>r</w:t>
      </w:r>
      <w:r w:rsidR="00365AC3" w:rsidRPr="00643DCF">
        <w:rPr>
          <w:sz w:val="28"/>
          <w:szCs w:val="28"/>
        </w:rPr>
        <w:t>iterio, afectar el fallo en derecho de los funcionarios frente al derecho a la salud</w:t>
      </w:r>
      <w:r w:rsidR="00365AC3" w:rsidRPr="00643DCF">
        <w:rPr>
          <w:rStyle w:val="Refdenotaalpie"/>
          <w:sz w:val="28"/>
          <w:szCs w:val="28"/>
        </w:rPr>
        <w:footnoteReference w:id="167"/>
      </w:r>
      <w:r w:rsidR="008C462B" w:rsidRPr="00643DCF">
        <w:rPr>
          <w:sz w:val="28"/>
          <w:szCs w:val="28"/>
        </w:rPr>
        <w:t>.</w:t>
      </w:r>
    </w:p>
    <w:p w14:paraId="772904B9" w14:textId="77777777" w:rsidR="00365AC3" w:rsidRPr="00643DCF" w:rsidRDefault="00365AC3" w:rsidP="00F354B6">
      <w:pPr>
        <w:tabs>
          <w:tab w:val="left" w:pos="567"/>
        </w:tabs>
        <w:jc w:val="both"/>
        <w:rPr>
          <w:sz w:val="28"/>
          <w:szCs w:val="28"/>
        </w:rPr>
      </w:pPr>
    </w:p>
    <w:p w14:paraId="6B4CB86A" w14:textId="60F1EA62" w:rsidR="0013410C" w:rsidRPr="00643DCF" w:rsidRDefault="00670776" w:rsidP="0013410C">
      <w:pPr>
        <w:tabs>
          <w:tab w:val="left" w:pos="567"/>
        </w:tabs>
        <w:jc w:val="both"/>
        <w:rPr>
          <w:sz w:val="28"/>
          <w:szCs w:val="28"/>
        </w:rPr>
      </w:pPr>
      <w:r w:rsidRPr="00643DCF">
        <w:rPr>
          <w:sz w:val="28"/>
          <w:szCs w:val="28"/>
        </w:rPr>
        <w:t>5</w:t>
      </w:r>
      <w:r w:rsidR="001356D4" w:rsidRPr="00643DCF">
        <w:rPr>
          <w:sz w:val="28"/>
          <w:szCs w:val="28"/>
        </w:rPr>
        <w:t>6</w:t>
      </w:r>
      <w:r w:rsidRPr="00643DCF">
        <w:rPr>
          <w:sz w:val="28"/>
          <w:szCs w:val="28"/>
        </w:rPr>
        <w:t xml:space="preserve">. </w:t>
      </w:r>
      <w:r w:rsidR="00F354B6" w:rsidRPr="00643DCF">
        <w:rPr>
          <w:sz w:val="28"/>
          <w:szCs w:val="28"/>
        </w:rPr>
        <w:t xml:space="preserve">Aunando a lo anterior, </w:t>
      </w:r>
      <w:r w:rsidR="00870FC6" w:rsidRPr="00643DCF">
        <w:rPr>
          <w:sz w:val="28"/>
          <w:szCs w:val="28"/>
        </w:rPr>
        <w:t xml:space="preserve">no </w:t>
      </w:r>
      <w:r w:rsidR="00F354B6" w:rsidRPr="00643DCF">
        <w:rPr>
          <w:sz w:val="28"/>
          <w:szCs w:val="28"/>
        </w:rPr>
        <w:t xml:space="preserve">se observa </w:t>
      </w:r>
      <w:r w:rsidR="00051ED3" w:rsidRPr="00643DCF">
        <w:rPr>
          <w:sz w:val="28"/>
          <w:szCs w:val="28"/>
        </w:rPr>
        <w:t xml:space="preserve">que el CSJ </w:t>
      </w:r>
      <w:r w:rsidR="00F354B6" w:rsidRPr="00643DCF">
        <w:rPr>
          <w:sz w:val="28"/>
          <w:szCs w:val="28"/>
        </w:rPr>
        <w:t xml:space="preserve">haya </w:t>
      </w:r>
      <w:r w:rsidR="0013410C" w:rsidRPr="00643DCF">
        <w:rPr>
          <w:sz w:val="28"/>
          <w:szCs w:val="28"/>
        </w:rPr>
        <w:t>distribuido</w:t>
      </w:r>
      <w:r w:rsidR="00051ED3" w:rsidRPr="00643DCF">
        <w:rPr>
          <w:sz w:val="28"/>
          <w:szCs w:val="28"/>
        </w:rPr>
        <w:t xml:space="preserve"> entre los servidores de la Rama Judicial de las zonas dispersas del país</w:t>
      </w:r>
      <w:r w:rsidR="00F4470E" w:rsidRPr="00643DCF">
        <w:rPr>
          <w:sz w:val="28"/>
          <w:szCs w:val="28"/>
        </w:rPr>
        <w:t>,</w:t>
      </w:r>
      <w:r w:rsidR="0013410C" w:rsidRPr="00643DCF">
        <w:rPr>
          <w:sz w:val="28"/>
          <w:szCs w:val="28"/>
        </w:rPr>
        <w:t xml:space="preserve"> </w:t>
      </w:r>
      <w:r w:rsidR="009B004A" w:rsidRPr="00643DCF">
        <w:rPr>
          <w:sz w:val="28"/>
          <w:szCs w:val="28"/>
        </w:rPr>
        <w:t xml:space="preserve">los </w:t>
      </w:r>
      <w:r w:rsidR="0013410C" w:rsidRPr="00643DCF">
        <w:rPr>
          <w:sz w:val="28"/>
          <w:szCs w:val="28"/>
        </w:rPr>
        <w:t xml:space="preserve">ejemplares impresos de la </w:t>
      </w:r>
      <w:r w:rsidR="00735179" w:rsidRPr="00643DCF">
        <w:rPr>
          <w:sz w:val="28"/>
          <w:szCs w:val="28"/>
        </w:rPr>
        <w:t>providencia en mención</w:t>
      </w:r>
      <w:r w:rsidR="0013410C" w:rsidRPr="00643DCF">
        <w:rPr>
          <w:sz w:val="28"/>
          <w:szCs w:val="28"/>
        </w:rPr>
        <w:t xml:space="preserve"> con los autos de seguimiento</w:t>
      </w:r>
      <w:r w:rsidR="00DD54DE" w:rsidRPr="00643DCF">
        <w:rPr>
          <w:sz w:val="28"/>
          <w:szCs w:val="28"/>
        </w:rPr>
        <w:t>,</w:t>
      </w:r>
      <w:r w:rsidR="007A323D" w:rsidRPr="00643DCF">
        <w:rPr>
          <w:sz w:val="28"/>
          <w:szCs w:val="28"/>
        </w:rPr>
        <w:t xml:space="preserve"> </w:t>
      </w:r>
      <w:r w:rsidR="0013410C" w:rsidRPr="00643DCF">
        <w:rPr>
          <w:sz w:val="28"/>
          <w:szCs w:val="28"/>
        </w:rPr>
        <w:t xml:space="preserve">vía electrónica </w:t>
      </w:r>
      <w:r w:rsidR="007A323D" w:rsidRPr="00643DCF">
        <w:rPr>
          <w:sz w:val="28"/>
          <w:szCs w:val="28"/>
        </w:rPr>
        <w:t>o a través de</w:t>
      </w:r>
      <w:r w:rsidRPr="00643DCF">
        <w:rPr>
          <w:sz w:val="28"/>
          <w:szCs w:val="28"/>
        </w:rPr>
        <w:t xml:space="preserve"> su página</w:t>
      </w:r>
      <w:r w:rsidR="00051ED3" w:rsidRPr="00643DCF">
        <w:rPr>
          <w:sz w:val="28"/>
          <w:szCs w:val="28"/>
        </w:rPr>
        <w:t xml:space="preserve">. </w:t>
      </w:r>
    </w:p>
    <w:p w14:paraId="794BA8B9" w14:textId="77777777" w:rsidR="0013410C" w:rsidRPr="00643DCF" w:rsidRDefault="0013410C" w:rsidP="0013410C">
      <w:pPr>
        <w:tabs>
          <w:tab w:val="left" w:pos="567"/>
        </w:tabs>
        <w:jc w:val="both"/>
        <w:rPr>
          <w:sz w:val="28"/>
          <w:szCs w:val="28"/>
        </w:rPr>
      </w:pPr>
    </w:p>
    <w:p w14:paraId="16A4CCFE" w14:textId="5929F415" w:rsidR="00C63098" w:rsidRPr="00643DCF" w:rsidRDefault="00670776" w:rsidP="00491A95">
      <w:pPr>
        <w:tabs>
          <w:tab w:val="left" w:pos="567"/>
        </w:tabs>
        <w:jc w:val="both"/>
        <w:rPr>
          <w:sz w:val="28"/>
          <w:szCs w:val="28"/>
        </w:rPr>
      </w:pPr>
      <w:r w:rsidRPr="00643DCF">
        <w:rPr>
          <w:sz w:val="28"/>
          <w:szCs w:val="28"/>
        </w:rPr>
        <w:t>5</w:t>
      </w:r>
      <w:r w:rsidR="001356D4" w:rsidRPr="00643DCF">
        <w:rPr>
          <w:sz w:val="28"/>
          <w:szCs w:val="28"/>
        </w:rPr>
        <w:t>7</w:t>
      </w:r>
      <w:r w:rsidRPr="00643DCF">
        <w:rPr>
          <w:sz w:val="28"/>
          <w:szCs w:val="28"/>
        </w:rPr>
        <w:t xml:space="preserve">. </w:t>
      </w:r>
      <w:r w:rsidR="000A74DD" w:rsidRPr="00643DCF">
        <w:rPr>
          <w:sz w:val="28"/>
          <w:szCs w:val="28"/>
        </w:rPr>
        <w:t>En este orden de ideas y t</w:t>
      </w:r>
      <w:r w:rsidR="003E33F2" w:rsidRPr="00643DCF">
        <w:rPr>
          <w:sz w:val="28"/>
          <w:szCs w:val="28"/>
        </w:rPr>
        <w:t xml:space="preserve">eniendo en cuenta que </w:t>
      </w:r>
      <w:r w:rsidR="00ED7B54" w:rsidRPr="00643DCF">
        <w:rPr>
          <w:sz w:val="28"/>
          <w:szCs w:val="28"/>
        </w:rPr>
        <w:t xml:space="preserve">la tasa </w:t>
      </w:r>
      <w:r w:rsidR="0003644C" w:rsidRPr="00643DCF">
        <w:rPr>
          <w:sz w:val="28"/>
          <w:szCs w:val="28"/>
        </w:rPr>
        <w:t xml:space="preserve">más alta </w:t>
      </w:r>
      <w:r w:rsidR="00ED7B54" w:rsidRPr="00643DCF">
        <w:rPr>
          <w:sz w:val="28"/>
          <w:szCs w:val="28"/>
        </w:rPr>
        <w:t>de</w:t>
      </w:r>
      <w:r w:rsidR="003E33F2" w:rsidRPr="00643DCF">
        <w:rPr>
          <w:sz w:val="28"/>
          <w:szCs w:val="28"/>
        </w:rPr>
        <w:t xml:space="preserve"> tutelas</w:t>
      </w:r>
      <w:r w:rsidR="0003644C" w:rsidRPr="00643DCF">
        <w:rPr>
          <w:sz w:val="28"/>
          <w:szCs w:val="28"/>
        </w:rPr>
        <w:t xml:space="preserve"> en materia de salud</w:t>
      </w:r>
      <w:r w:rsidR="00ED7B54" w:rsidRPr="00643DCF">
        <w:rPr>
          <w:sz w:val="28"/>
          <w:szCs w:val="28"/>
        </w:rPr>
        <w:t xml:space="preserve"> </w:t>
      </w:r>
      <w:r w:rsidR="003E33F2" w:rsidRPr="00643DCF">
        <w:rPr>
          <w:sz w:val="28"/>
          <w:szCs w:val="28"/>
        </w:rPr>
        <w:t xml:space="preserve">se </w:t>
      </w:r>
      <w:r w:rsidR="00747C7E" w:rsidRPr="00643DCF">
        <w:rPr>
          <w:sz w:val="28"/>
          <w:szCs w:val="28"/>
        </w:rPr>
        <w:t xml:space="preserve">centra </w:t>
      </w:r>
      <w:r w:rsidR="003E33F2" w:rsidRPr="00643DCF">
        <w:rPr>
          <w:sz w:val="28"/>
          <w:szCs w:val="28"/>
        </w:rPr>
        <w:t>en l</w:t>
      </w:r>
      <w:r w:rsidR="000A74DD" w:rsidRPr="00643DCF">
        <w:rPr>
          <w:sz w:val="28"/>
          <w:szCs w:val="28"/>
        </w:rPr>
        <w:t>o</w:t>
      </w:r>
      <w:r w:rsidR="003E33F2" w:rsidRPr="00643DCF">
        <w:rPr>
          <w:sz w:val="28"/>
          <w:szCs w:val="28"/>
        </w:rPr>
        <w:t xml:space="preserve">s </w:t>
      </w:r>
      <w:r w:rsidR="00C63098" w:rsidRPr="00643DCF">
        <w:rPr>
          <w:sz w:val="28"/>
          <w:szCs w:val="28"/>
        </w:rPr>
        <w:t>municipios diferentes a las capitales de departamento</w:t>
      </w:r>
      <w:r w:rsidR="000A74DD" w:rsidRPr="00643DCF">
        <w:rPr>
          <w:rStyle w:val="Refdenotaalpie"/>
          <w:sz w:val="28"/>
          <w:szCs w:val="28"/>
        </w:rPr>
        <w:footnoteReference w:id="168"/>
      </w:r>
      <w:r w:rsidR="003E33F2" w:rsidRPr="00643DCF">
        <w:rPr>
          <w:sz w:val="28"/>
          <w:szCs w:val="28"/>
        </w:rPr>
        <w:t xml:space="preserve">, la Corte encuentra necesario </w:t>
      </w:r>
      <w:r w:rsidR="009618EE" w:rsidRPr="00643DCF">
        <w:rPr>
          <w:sz w:val="28"/>
          <w:szCs w:val="28"/>
        </w:rPr>
        <w:t xml:space="preserve">que </w:t>
      </w:r>
      <w:r w:rsidR="00B60364" w:rsidRPr="00643DCF">
        <w:rPr>
          <w:sz w:val="28"/>
          <w:szCs w:val="28"/>
        </w:rPr>
        <w:t>el</w:t>
      </w:r>
      <w:r w:rsidR="000A74DD" w:rsidRPr="00643DCF">
        <w:rPr>
          <w:sz w:val="28"/>
          <w:szCs w:val="28"/>
        </w:rPr>
        <w:t xml:space="preserve"> plan de</w:t>
      </w:r>
      <w:r w:rsidR="00C63098" w:rsidRPr="00643DCF">
        <w:rPr>
          <w:sz w:val="28"/>
          <w:szCs w:val="28"/>
        </w:rPr>
        <w:t xml:space="preserve"> capacit</w:t>
      </w:r>
      <w:r w:rsidR="000A74DD" w:rsidRPr="00643DCF">
        <w:rPr>
          <w:sz w:val="28"/>
          <w:szCs w:val="28"/>
        </w:rPr>
        <w:t>ación</w:t>
      </w:r>
      <w:r w:rsidR="00B60364" w:rsidRPr="00643DCF">
        <w:rPr>
          <w:sz w:val="28"/>
          <w:szCs w:val="28"/>
        </w:rPr>
        <w:t xml:space="preserve"> esté</w:t>
      </w:r>
      <w:r w:rsidR="000A74DD" w:rsidRPr="00643DCF">
        <w:rPr>
          <w:sz w:val="28"/>
          <w:szCs w:val="28"/>
        </w:rPr>
        <w:t xml:space="preserve"> dirigido </w:t>
      </w:r>
      <w:r w:rsidR="00C63098" w:rsidRPr="00643DCF">
        <w:rPr>
          <w:sz w:val="28"/>
          <w:szCs w:val="28"/>
        </w:rPr>
        <w:t>a todos los operadores judiciales del país, incluyendo</w:t>
      </w:r>
      <w:r w:rsidR="00F65387" w:rsidRPr="00643DCF">
        <w:rPr>
          <w:sz w:val="28"/>
          <w:szCs w:val="28"/>
        </w:rPr>
        <w:t xml:space="preserve"> </w:t>
      </w:r>
      <w:r w:rsidR="00C63098" w:rsidRPr="00643DCF">
        <w:rPr>
          <w:sz w:val="28"/>
          <w:szCs w:val="28"/>
        </w:rPr>
        <w:t xml:space="preserve">aquellos que desempeñan sus funciones en los lugares más apartados de nuestra geografía, razón por la </w:t>
      </w:r>
      <w:r w:rsidR="009B6B6F" w:rsidRPr="00643DCF">
        <w:rPr>
          <w:sz w:val="28"/>
          <w:szCs w:val="28"/>
        </w:rPr>
        <w:t>que</w:t>
      </w:r>
      <w:r w:rsidR="00C63098" w:rsidRPr="00643DCF">
        <w:rPr>
          <w:sz w:val="28"/>
          <w:szCs w:val="28"/>
        </w:rPr>
        <w:t xml:space="preserve"> se requerirá al Consejo Superior de la Judicatura para que adelante las labores necesarias que permitan lograr divulgar la sentencia y sus autos</w:t>
      </w:r>
      <w:r w:rsidR="00482680" w:rsidRPr="00643DCF">
        <w:rPr>
          <w:sz w:val="28"/>
          <w:szCs w:val="28"/>
        </w:rPr>
        <w:t xml:space="preserve"> de seguimiento</w:t>
      </w:r>
      <w:r w:rsidR="00C63098" w:rsidRPr="00643DCF">
        <w:rPr>
          <w:sz w:val="28"/>
          <w:szCs w:val="28"/>
        </w:rPr>
        <w:t xml:space="preserve"> a todos los jueces de la República.</w:t>
      </w:r>
    </w:p>
    <w:p w14:paraId="5E136467" w14:textId="77777777" w:rsidR="008A0900" w:rsidRPr="00643DCF" w:rsidRDefault="008A0900" w:rsidP="00491A95">
      <w:pPr>
        <w:tabs>
          <w:tab w:val="left" w:pos="567"/>
        </w:tabs>
        <w:jc w:val="both"/>
        <w:rPr>
          <w:sz w:val="28"/>
          <w:szCs w:val="28"/>
        </w:rPr>
      </w:pPr>
    </w:p>
    <w:p w14:paraId="5016C411" w14:textId="0CFBD28C" w:rsidR="007E54C5" w:rsidRPr="00643DCF" w:rsidRDefault="00A6115F" w:rsidP="00C43A45">
      <w:pPr>
        <w:pStyle w:val="Prrafodelista"/>
        <w:tabs>
          <w:tab w:val="left" w:pos="567"/>
          <w:tab w:val="left" w:pos="851"/>
        </w:tabs>
        <w:ind w:left="0"/>
        <w:jc w:val="both"/>
        <w:rPr>
          <w:rFonts w:eastAsia="Batang"/>
          <w:b/>
          <w:bCs/>
          <w:sz w:val="28"/>
          <w:szCs w:val="28"/>
        </w:rPr>
      </w:pPr>
      <w:r w:rsidRPr="00643DCF">
        <w:rPr>
          <w:rFonts w:eastAsia="Batang"/>
          <w:bCs/>
          <w:sz w:val="28"/>
          <w:szCs w:val="28"/>
        </w:rPr>
        <w:t xml:space="preserve">c. </w:t>
      </w:r>
      <w:r w:rsidR="007E54C5" w:rsidRPr="00643DCF">
        <w:rPr>
          <w:rFonts w:eastAsia="Batang"/>
          <w:bCs/>
          <w:sz w:val="28"/>
          <w:szCs w:val="28"/>
        </w:rPr>
        <w:t>Emisiones televisivas</w:t>
      </w:r>
      <w:r w:rsidR="003E7A48" w:rsidRPr="00643DCF">
        <w:rPr>
          <w:rStyle w:val="Refdenotaalpie"/>
          <w:rFonts w:eastAsia="Batang"/>
          <w:bCs/>
          <w:sz w:val="28"/>
          <w:szCs w:val="28"/>
        </w:rPr>
        <w:footnoteReference w:id="169"/>
      </w:r>
      <w:r w:rsidR="003E7A48" w:rsidRPr="00643DCF">
        <w:rPr>
          <w:rFonts w:eastAsia="Batang"/>
          <w:bCs/>
          <w:sz w:val="28"/>
          <w:szCs w:val="28"/>
        </w:rPr>
        <w:t>.</w:t>
      </w:r>
    </w:p>
    <w:p w14:paraId="6BB14B3A" w14:textId="77777777" w:rsidR="007E54C5" w:rsidRPr="00643DCF" w:rsidRDefault="007E54C5" w:rsidP="000C2A40">
      <w:pPr>
        <w:pStyle w:val="Sinespaciado3"/>
        <w:tabs>
          <w:tab w:val="left" w:pos="851"/>
          <w:tab w:val="left" w:pos="993"/>
          <w:tab w:val="left" w:pos="1276"/>
        </w:tabs>
        <w:jc w:val="both"/>
        <w:rPr>
          <w:rFonts w:ascii="Times New Roman" w:eastAsia="Batang" w:hAnsi="Times New Roman"/>
          <w:bCs/>
          <w:sz w:val="28"/>
          <w:szCs w:val="28"/>
        </w:rPr>
      </w:pPr>
    </w:p>
    <w:p w14:paraId="15C88F37" w14:textId="58B46F0E" w:rsidR="00604E12" w:rsidRPr="00643DCF" w:rsidRDefault="00670776" w:rsidP="000C2A40">
      <w:pPr>
        <w:pStyle w:val="Prrafodelista"/>
        <w:tabs>
          <w:tab w:val="left" w:pos="567"/>
        </w:tabs>
        <w:ind w:left="0"/>
        <w:jc w:val="both"/>
        <w:rPr>
          <w:rFonts w:eastAsia="Batang"/>
          <w:bCs/>
          <w:sz w:val="28"/>
          <w:szCs w:val="28"/>
        </w:rPr>
      </w:pPr>
      <w:r w:rsidRPr="00643DCF">
        <w:rPr>
          <w:sz w:val="28"/>
          <w:szCs w:val="28"/>
        </w:rPr>
        <w:t>5</w:t>
      </w:r>
      <w:r w:rsidR="001356D4" w:rsidRPr="00643DCF">
        <w:rPr>
          <w:sz w:val="28"/>
          <w:szCs w:val="28"/>
        </w:rPr>
        <w:t>8</w:t>
      </w:r>
      <w:r w:rsidRPr="00643DCF">
        <w:rPr>
          <w:sz w:val="28"/>
          <w:szCs w:val="28"/>
        </w:rPr>
        <w:t xml:space="preserve">. </w:t>
      </w:r>
      <w:r w:rsidR="009C03CB" w:rsidRPr="00643DCF">
        <w:rPr>
          <w:sz w:val="28"/>
          <w:szCs w:val="28"/>
        </w:rPr>
        <w:t xml:space="preserve">Revisadas las actuaciones obrantes en los documentos de seguimiento de la orden se observa que el CSJ </w:t>
      </w:r>
      <w:r w:rsidR="00604E12" w:rsidRPr="00643DCF">
        <w:rPr>
          <w:rFonts w:eastAsia="Batang"/>
          <w:bCs/>
          <w:sz w:val="28"/>
          <w:szCs w:val="28"/>
        </w:rPr>
        <w:t>transmitió</w:t>
      </w:r>
      <w:r w:rsidR="00A440F4" w:rsidRPr="00643DCF">
        <w:rPr>
          <w:rFonts w:eastAsia="Batang"/>
          <w:bCs/>
          <w:sz w:val="28"/>
          <w:szCs w:val="28"/>
        </w:rPr>
        <w:t xml:space="preserve"> </w:t>
      </w:r>
      <w:r w:rsidR="00A440F4" w:rsidRPr="00643DCF">
        <w:rPr>
          <w:sz w:val="28"/>
          <w:szCs w:val="28"/>
        </w:rPr>
        <w:t>el día 27 de agosto de 2011 entre las 6 y las 7 pm</w:t>
      </w:r>
      <w:r w:rsidR="00D751CC" w:rsidRPr="00643DCF">
        <w:rPr>
          <w:sz w:val="28"/>
          <w:szCs w:val="28"/>
        </w:rPr>
        <w:t>.</w:t>
      </w:r>
      <w:r w:rsidR="00A440F4" w:rsidRPr="00643DCF">
        <w:rPr>
          <w:sz w:val="28"/>
          <w:szCs w:val="28"/>
        </w:rPr>
        <w:t xml:space="preserve"> un programa de televisión relacionado con el contenido de la </w:t>
      </w:r>
      <w:r w:rsidR="001E463B" w:rsidRPr="00643DCF">
        <w:rPr>
          <w:sz w:val="28"/>
          <w:szCs w:val="28"/>
        </w:rPr>
        <w:t>s</w:t>
      </w:r>
      <w:r w:rsidR="00A440F4" w:rsidRPr="00643DCF">
        <w:rPr>
          <w:sz w:val="28"/>
          <w:szCs w:val="28"/>
        </w:rPr>
        <w:t>entencia T-760 de 2008 y el derecho a la salud</w:t>
      </w:r>
      <w:r w:rsidR="005C165B" w:rsidRPr="00643DCF">
        <w:rPr>
          <w:sz w:val="28"/>
          <w:szCs w:val="28"/>
        </w:rPr>
        <w:t>;</w:t>
      </w:r>
      <w:r w:rsidR="00A440F4" w:rsidRPr="00643DCF">
        <w:rPr>
          <w:sz w:val="28"/>
          <w:szCs w:val="28"/>
        </w:rPr>
        <w:t xml:space="preserve"> así mismo</w:t>
      </w:r>
      <w:r w:rsidR="00DB7CA1" w:rsidRPr="00643DCF">
        <w:rPr>
          <w:sz w:val="28"/>
          <w:szCs w:val="28"/>
        </w:rPr>
        <w:t>,</w:t>
      </w:r>
      <w:r w:rsidR="00604E12" w:rsidRPr="00643DCF">
        <w:rPr>
          <w:rFonts w:eastAsia="Batang"/>
          <w:bCs/>
          <w:sz w:val="28"/>
          <w:szCs w:val="28"/>
        </w:rPr>
        <w:t xml:space="preserve"> a través de la señal institucional</w:t>
      </w:r>
      <w:r w:rsidR="00A440F4" w:rsidRPr="00643DCF">
        <w:rPr>
          <w:rFonts w:eastAsia="Batang"/>
          <w:bCs/>
          <w:sz w:val="28"/>
          <w:szCs w:val="28"/>
        </w:rPr>
        <w:t xml:space="preserve"> se p</w:t>
      </w:r>
      <w:r w:rsidR="00DB7CA1" w:rsidRPr="00643DCF">
        <w:rPr>
          <w:rFonts w:eastAsia="Batang"/>
          <w:bCs/>
          <w:sz w:val="28"/>
          <w:szCs w:val="28"/>
        </w:rPr>
        <w:t>ublicitó</w:t>
      </w:r>
      <w:r w:rsidR="00604E12" w:rsidRPr="00643DCF">
        <w:rPr>
          <w:rFonts w:eastAsia="Batang"/>
          <w:bCs/>
          <w:sz w:val="28"/>
          <w:szCs w:val="28"/>
        </w:rPr>
        <w:t xml:space="preserve"> la audiencia pública de seguimiento a la </w:t>
      </w:r>
      <w:r w:rsidR="00B32FAE" w:rsidRPr="00643DCF">
        <w:rPr>
          <w:rFonts w:eastAsia="Batang"/>
          <w:bCs/>
          <w:sz w:val="28"/>
          <w:szCs w:val="28"/>
        </w:rPr>
        <w:t>tutela</w:t>
      </w:r>
      <w:r w:rsidR="00604E12" w:rsidRPr="00643DCF">
        <w:rPr>
          <w:rFonts w:eastAsia="Batang"/>
          <w:bCs/>
          <w:sz w:val="28"/>
          <w:szCs w:val="28"/>
        </w:rPr>
        <w:t xml:space="preserve"> T-760 de 2008 el 19 de marzo de 2015</w:t>
      </w:r>
      <w:r w:rsidR="008A0900" w:rsidRPr="00643DCF">
        <w:rPr>
          <w:rFonts w:eastAsia="Batang"/>
          <w:bCs/>
          <w:sz w:val="28"/>
          <w:szCs w:val="28"/>
        </w:rPr>
        <w:t>;</w:t>
      </w:r>
      <w:r w:rsidR="00604E12" w:rsidRPr="00643DCF">
        <w:rPr>
          <w:rFonts w:eastAsia="Batang"/>
          <w:bCs/>
          <w:sz w:val="28"/>
          <w:szCs w:val="28"/>
        </w:rPr>
        <w:t xml:space="preserve"> adicionalmente, el 24 de diciembre de 2015 se emitió por el canal institucional el programa titulado “</w:t>
      </w:r>
      <w:r w:rsidR="00604E12" w:rsidRPr="00643DCF">
        <w:rPr>
          <w:rFonts w:eastAsia="Batang"/>
          <w:bCs/>
          <w:i/>
          <w:sz w:val="28"/>
          <w:szCs w:val="28"/>
        </w:rPr>
        <w:t>La Corte Constitucional y su intervención en la crisis de la salud en Colombia</w:t>
      </w:r>
      <w:r w:rsidR="00604E12" w:rsidRPr="00643DCF">
        <w:rPr>
          <w:rFonts w:eastAsia="Batang"/>
          <w:bCs/>
          <w:sz w:val="28"/>
          <w:szCs w:val="28"/>
        </w:rPr>
        <w:t>”, el cual fue retransmitido los días 7 y 28 de enero, 3 de marzo y 12 de mayo de 2016 denominándolo “</w:t>
      </w:r>
      <w:r w:rsidR="00604E12" w:rsidRPr="00643DCF">
        <w:rPr>
          <w:rFonts w:eastAsia="Batang"/>
          <w:bCs/>
          <w:i/>
          <w:sz w:val="28"/>
          <w:szCs w:val="28"/>
        </w:rPr>
        <w:t>Programa de Derecho Laboral, trabajo, Seguridad Social, Instrumentos de Paz, garantía de los Derechos Humanos</w:t>
      </w:r>
      <w:r w:rsidR="00604E12" w:rsidRPr="00643DCF">
        <w:rPr>
          <w:rFonts w:eastAsia="Batang"/>
          <w:bCs/>
          <w:sz w:val="28"/>
          <w:szCs w:val="28"/>
        </w:rPr>
        <w:t>”</w:t>
      </w:r>
      <w:r w:rsidR="00604E12" w:rsidRPr="00643DCF">
        <w:rPr>
          <w:rStyle w:val="Refdenotaalpie"/>
          <w:rFonts w:eastAsia="Batang"/>
          <w:bCs/>
          <w:sz w:val="28"/>
          <w:szCs w:val="28"/>
        </w:rPr>
        <w:footnoteReference w:id="170"/>
      </w:r>
      <w:r w:rsidR="00604E12" w:rsidRPr="00643DCF">
        <w:rPr>
          <w:rFonts w:eastAsia="Batang"/>
          <w:bCs/>
          <w:sz w:val="28"/>
          <w:szCs w:val="28"/>
        </w:rPr>
        <w:t xml:space="preserve">. </w:t>
      </w:r>
    </w:p>
    <w:p w14:paraId="1C3FE8A5" w14:textId="77777777" w:rsidR="005978A0" w:rsidRPr="00643DCF" w:rsidRDefault="005978A0" w:rsidP="000C2A40">
      <w:pPr>
        <w:pStyle w:val="Prrafodelista"/>
        <w:tabs>
          <w:tab w:val="left" w:pos="567"/>
        </w:tabs>
        <w:ind w:left="0"/>
        <w:jc w:val="both"/>
        <w:rPr>
          <w:rFonts w:eastAsia="Batang"/>
          <w:bCs/>
          <w:sz w:val="28"/>
          <w:szCs w:val="28"/>
        </w:rPr>
      </w:pPr>
    </w:p>
    <w:p w14:paraId="08BAE482" w14:textId="564A8E32" w:rsidR="00482680" w:rsidRPr="00643DCF" w:rsidRDefault="00670776" w:rsidP="00491A95">
      <w:pPr>
        <w:pStyle w:val="Prrafodelista"/>
        <w:tabs>
          <w:tab w:val="left" w:pos="567"/>
        </w:tabs>
        <w:ind w:left="0"/>
        <w:jc w:val="both"/>
        <w:rPr>
          <w:sz w:val="28"/>
          <w:szCs w:val="28"/>
        </w:rPr>
      </w:pPr>
      <w:r w:rsidRPr="00643DCF">
        <w:rPr>
          <w:rFonts w:eastAsia="Batang"/>
          <w:bCs/>
          <w:sz w:val="28"/>
          <w:szCs w:val="28"/>
        </w:rPr>
        <w:t>5</w:t>
      </w:r>
      <w:r w:rsidR="001356D4" w:rsidRPr="00643DCF">
        <w:rPr>
          <w:rFonts w:eastAsia="Batang"/>
          <w:bCs/>
          <w:sz w:val="28"/>
          <w:szCs w:val="28"/>
        </w:rPr>
        <w:t>9</w:t>
      </w:r>
      <w:r w:rsidRPr="00643DCF">
        <w:rPr>
          <w:rFonts w:eastAsia="Batang"/>
          <w:bCs/>
          <w:sz w:val="28"/>
          <w:szCs w:val="28"/>
        </w:rPr>
        <w:t xml:space="preserve">. </w:t>
      </w:r>
      <w:r w:rsidR="009C03CB" w:rsidRPr="00643DCF">
        <w:rPr>
          <w:rFonts w:eastAsia="Batang"/>
          <w:bCs/>
          <w:sz w:val="28"/>
          <w:szCs w:val="28"/>
        </w:rPr>
        <w:t xml:space="preserve">De esta manera, </w:t>
      </w:r>
      <w:r w:rsidR="00747C7E" w:rsidRPr="00643DCF">
        <w:rPr>
          <w:rFonts w:eastAsia="Batang"/>
          <w:bCs/>
          <w:sz w:val="28"/>
          <w:szCs w:val="28"/>
        </w:rPr>
        <w:t xml:space="preserve">el </w:t>
      </w:r>
      <w:r w:rsidR="00604E12" w:rsidRPr="00643DCF">
        <w:rPr>
          <w:rFonts w:eastAsia="Batang"/>
          <w:bCs/>
          <w:sz w:val="28"/>
          <w:szCs w:val="28"/>
        </w:rPr>
        <w:t xml:space="preserve">Tribunal considera que </w:t>
      </w:r>
      <w:r w:rsidR="009C03CB" w:rsidRPr="00643DCF">
        <w:rPr>
          <w:rFonts w:eastAsia="Batang"/>
          <w:bCs/>
          <w:sz w:val="28"/>
          <w:szCs w:val="28"/>
        </w:rPr>
        <w:t>la</w:t>
      </w:r>
      <w:r w:rsidR="00747C7E" w:rsidRPr="00643DCF">
        <w:rPr>
          <w:rFonts w:eastAsia="Batang"/>
          <w:bCs/>
          <w:sz w:val="28"/>
          <w:szCs w:val="28"/>
        </w:rPr>
        <w:t>s</w:t>
      </w:r>
      <w:r w:rsidR="009C03CB" w:rsidRPr="00643DCF">
        <w:rPr>
          <w:rFonts w:eastAsia="Batang"/>
          <w:bCs/>
          <w:sz w:val="28"/>
          <w:szCs w:val="28"/>
        </w:rPr>
        <w:t xml:space="preserve"> medidas adoptadas son</w:t>
      </w:r>
      <w:r w:rsidR="00604E12" w:rsidRPr="00643DCF">
        <w:rPr>
          <w:rFonts w:eastAsia="Batang"/>
          <w:bCs/>
          <w:sz w:val="28"/>
          <w:szCs w:val="28"/>
        </w:rPr>
        <w:t xml:space="preserve"> </w:t>
      </w:r>
      <w:r w:rsidR="00B56565" w:rsidRPr="00643DCF">
        <w:rPr>
          <w:rFonts w:eastAsia="Batang"/>
          <w:bCs/>
          <w:sz w:val="28"/>
          <w:szCs w:val="28"/>
        </w:rPr>
        <w:t xml:space="preserve">conducentes </w:t>
      </w:r>
      <w:r w:rsidR="00604E12" w:rsidRPr="00643DCF">
        <w:rPr>
          <w:rFonts w:eastAsia="Batang"/>
          <w:bCs/>
          <w:sz w:val="28"/>
          <w:szCs w:val="28"/>
        </w:rPr>
        <w:t xml:space="preserve">para </w:t>
      </w:r>
      <w:r w:rsidR="003C1309" w:rsidRPr="00643DCF">
        <w:rPr>
          <w:sz w:val="28"/>
          <w:szCs w:val="28"/>
        </w:rPr>
        <w:t xml:space="preserve">dar </w:t>
      </w:r>
      <w:r w:rsidR="00DB7CA1" w:rsidRPr="00643DCF">
        <w:rPr>
          <w:sz w:val="28"/>
          <w:szCs w:val="28"/>
        </w:rPr>
        <w:t>publicidad</w:t>
      </w:r>
      <w:r w:rsidR="003C1309" w:rsidRPr="00643DCF">
        <w:rPr>
          <w:sz w:val="28"/>
          <w:szCs w:val="28"/>
        </w:rPr>
        <w:t xml:space="preserve"> a la </w:t>
      </w:r>
      <w:r w:rsidR="00DF02F1" w:rsidRPr="00643DCF">
        <w:rPr>
          <w:sz w:val="28"/>
          <w:szCs w:val="28"/>
        </w:rPr>
        <w:t>s</w:t>
      </w:r>
      <w:r w:rsidR="003C1309" w:rsidRPr="00643DCF">
        <w:rPr>
          <w:sz w:val="28"/>
          <w:szCs w:val="28"/>
        </w:rPr>
        <w:t>entencia T-760 de 2008</w:t>
      </w:r>
      <w:r w:rsidR="00D04947" w:rsidRPr="00643DCF">
        <w:rPr>
          <w:sz w:val="28"/>
          <w:szCs w:val="28"/>
        </w:rPr>
        <w:t>,</w:t>
      </w:r>
      <w:r w:rsidR="00D239C7" w:rsidRPr="00643DCF">
        <w:rPr>
          <w:sz w:val="28"/>
          <w:szCs w:val="28"/>
        </w:rPr>
        <w:t xml:space="preserve"> </w:t>
      </w:r>
      <w:r w:rsidR="003C1309" w:rsidRPr="00643DCF">
        <w:rPr>
          <w:sz w:val="28"/>
          <w:szCs w:val="28"/>
        </w:rPr>
        <w:t>a</w:t>
      </w:r>
      <w:r w:rsidR="00DB7CA1" w:rsidRPr="00643DCF">
        <w:rPr>
          <w:sz w:val="28"/>
          <w:szCs w:val="28"/>
        </w:rPr>
        <w:t xml:space="preserve"> </w:t>
      </w:r>
      <w:r w:rsidR="003C1309" w:rsidRPr="00643DCF">
        <w:rPr>
          <w:sz w:val="28"/>
          <w:szCs w:val="28"/>
        </w:rPr>
        <w:t>l</w:t>
      </w:r>
      <w:r w:rsidR="00DB7CA1" w:rsidRPr="00643DCF">
        <w:rPr>
          <w:sz w:val="28"/>
          <w:szCs w:val="28"/>
        </w:rPr>
        <w:t>os autos</w:t>
      </w:r>
      <w:r w:rsidR="00D04947" w:rsidRPr="00643DCF">
        <w:rPr>
          <w:sz w:val="28"/>
          <w:szCs w:val="28"/>
        </w:rPr>
        <w:t xml:space="preserve"> </w:t>
      </w:r>
      <w:r w:rsidR="00D239C7" w:rsidRPr="00643DCF">
        <w:rPr>
          <w:sz w:val="28"/>
          <w:szCs w:val="28"/>
        </w:rPr>
        <w:t xml:space="preserve">de valoración </w:t>
      </w:r>
      <w:r w:rsidR="00D04947" w:rsidRPr="00643DCF">
        <w:rPr>
          <w:sz w:val="28"/>
          <w:szCs w:val="28"/>
        </w:rPr>
        <w:t>y a</w:t>
      </w:r>
      <w:r w:rsidR="00D239C7" w:rsidRPr="00643DCF">
        <w:rPr>
          <w:sz w:val="28"/>
          <w:szCs w:val="28"/>
        </w:rPr>
        <w:t xml:space="preserve"> </w:t>
      </w:r>
      <w:r w:rsidR="00D04947" w:rsidRPr="00643DCF">
        <w:rPr>
          <w:sz w:val="28"/>
          <w:szCs w:val="28"/>
        </w:rPr>
        <w:t>l</w:t>
      </w:r>
      <w:r w:rsidR="00D239C7" w:rsidRPr="00643DCF">
        <w:rPr>
          <w:sz w:val="28"/>
          <w:szCs w:val="28"/>
        </w:rPr>
        <w:t xml:space="preserve">as acciones que se </w:t>
      </w:r>
      <w:r w:rsidR="00B87FA4" w:rsidRPr="00643DCF">
        <w:rPr>
          <w:sz w:val="28"/>
          <w:szCs w:val="28"/>
        </w:rPr>
        <w:t xml:space="preserve">implementan </w:t>
      </w:r>
      <w:r w:rsidR="003579DC" w:rsidRPr="00643DCF">
        <w:rPr>
          <w:sz w:val="28"/>
          <w:szCs w:val="28"/>
        </w:rPr>
        <w:t>para lograr</w:t>
      </w:r>
      <w:r w:rsidR="003C1309" w:rsidRPr="00643DCF">
        <w:rPr>
          <w:sz w:val="28"/>
          <w:szCs w:val="28"/>
        </w:rPr>
        <w:t xml:space="preserve"> el cumplimiento de l</w:t>
      </w:r>
      <w:r w:rsidR="00A74F2B" w:rsidRPr="00643DCF">
        <w:rPr>
          <w:sz w:val="28"/>
          <w:szCs w:val="28"/>
        </w:rPr>
        <w:t>o</w:t>
      </w:r>
      <w:r w:rsidR="003C1309" w:rsidRPr="00643DCF">
        <w:rPr>
          <w:sz w:val="28"/>
          <w:szCs w:val="28"/>
        </w:rPr>
        <w:t xml:space="preserve">s mandatos emitidos </w:t>
      </w:r>
      <w:r w:rsidR="00D239C7" w:rsidRPr="00643DCF">
        <w:rPr>
          <w:sz w:val="28"/>
          <w:szCs w:val="28"/>
        </w:rPr>
        <w:t xml:space="preserve">en </w:t>
      </w:r>
      <w:r w:rsidR="00747C7E" w:rsidRPr="00643DCF">
        <w:rPr>
          <w:sz w:val="28"/>
          <w:szCs w:val="28"/>
        </w:rPr>
        <w:t>la providencia estructural</w:t>
      </w:r>
      <w:r w:rsidR="00CC7C9B" w:rsidRPr="00643DCF">
        <w:rPr>
          <w:sz w:val="28"/>
          <w:szCs w:val="28"/>
        </w:rPr>
        <w:t>,</w:t>
      </w:r>
      <w:r w:rsidR="00604E12" w:rsidRPr="00643DCF">
        <w:rPr>
          <w:rFonts w:eastAsia="Batang"/>
          <w:bCs/>
          <w:sz w:val="28"/>
          <w:szCs w:val="28"/>
        </w:rPr>
        <w:t xml:space="preserve"> </w:t>
      </w:r>
      <w:r w:rsidR="00C43412" w:rsidRPr="00643DCF">
        <w:rPr>
          <w:rFonts w:eastAsia="Batang"/>
          <w:bCs/>
          <w:sz w:val="28"/>
          <w:szCs w:val="28"/>
        </w:rPr>
        <w:t xml:space="preserve">toda vez </w:t>
      </w:r>
      <w:r w:rsidR="000809A1" w:rsidRPr="00643DCF">
        <w:rPr>
          <w:rFonts w:eastAsia="Batang"/>
          <w:bCs/>
          <w:sz w:val="28"/>
          <w:szCs w:val="28"/>
        </w:rPr>
        <w:t xml:space="preserve">que </w:t>
      </w:r>
      <w:r w:rsidR="009C03CB" w:rsidRPr="00643DCF">
        <w:rPr>
          <w:rFonts w:eastAsia="Batang"/>
          <w:bCs/>
          <w:sz w:val="28"/>
          <w:szCs w:val="28"/>
        </w:rPr>
        <w:t xml:space="preserve">la </w:t>
      </w:r>
      <w:r w:rsidR="000809A1" w:rsidRPr="00643DCF">
        <w:rPr>
          <w:rFonts w:eastAsia="Batang"/>
          <w:bCs/>
          <w:sz w:val="28"/>
          <w:szCs w:val="28"/>
        </w:rPr>
        <w:t xml:space="preserve">grabación y </w:t>
      </w:r>
      <w:r w:rsidR="009C03CB" w:rsidRPr="00643DCF">
        <w:rPr>
          <w:rFonts w:eastAsia="Batang"/>
          <w:bCs/>
          <w:sz w:val="28"/>
          <w:szCs w:val="28"/>
        </w:rPr>
        <w:t>transmisión de programas</w:t>
      </w:r>
      <w:r w:rsidR="000809A1" w:rsidRPr="00643DCF">
        <w:rPr>
          <w:rFonts w:eastAsia="Batang"/>
          <w:bCs/>
          <w:sz w:val="28"/>
          <w:szCs w:val="28"/>
        </w:rPr>
        <w:t xml:space="preserve"> de televisión son</w:t>
      </w:r>
      <w:r w:rsidR="00604E12" w:rsidRPr="00643DCF">
        <w:rPr>
          <w:sz w:val="28"/>
          <w:szCs w:val="28"/>
        </w:rPr>
        <w:t xml:space="preserve"> labor</w:t>
      </w:r>
      <w:r w:rsidR="00A440F4" w:rsidRPr="00643DCF">
        <w:rPr>
          <w:sz w:val="28"/>
          <w:szCs w:val="28"/>
        </w:rPr>
        <w:t>es</w:t>
      </w:r>
      <w:r w:rsidR="00604E12" w:rsidRPr="00643DCF">
        <w:rPr>
          <w:sz w:val="28"/>
          <w:szCs w:val="28"/>
        </w:rPr>
        <w:t xml:space="preserve"> </w:t>
      </w:r>
      <w:r w:rsidR="003C1309" w:rsidRPr="00643DCF">
        <w:rPr>
          <w:sz w:val="28"/>
          <w:szCs w:val="28"/>
        </w:rPr>
        <w:t>adecuadas</w:t>
      </w:r>
      <w:r w:rsidR="00A74F2B" w:rsidRPr="00643DCF">
        <w:rPr>
          <w:sz w:val="28"/>
          <w:szCs w:val="28"/>
        </w:rPr>
        <w:t xml:space="preserve"> </w:t>
      </w:r>
      <w:r w:rsidR="003C1309" w:rsidRPr="00643DCF">
        <w:rPr>
          <w:sz w:val="28"/>
          <w:szCs w:val="28"/>
        </w:rPr>
        <w:t xml:space="preserve">y pertinentes que </w:t>
      </w:r>
      <w:r w:rsidR="00C43412" w:rsidRPr="00643DCF">
        <w:rPr>
          <w:sz w:val="28"/>
          <w:szCs w:val="28"/>
        </w:rPr>
        <w:t>permit</w:t>
      </w:r>
      <w:r w:rsidR="003C1309" w:rsidRPr="00643DCF">
        <w:rPr>
          <w:sz w:val="28"/>
          <w:szCs w:val="28"/>
        </w:rPr>
        <w:t xml:space="preserve">en </w:t>
      </w:r>
      <w:r w:rsidR="00125A29" w:rsidRPr="00643DCF">
        <w:rPr>
          <w:sz w:val="28"/>
          <w:szCs w:val="28"/>
        </w:rPr>
        <w:t>generar espacio</w:t>
      </w:r>
      <w:r w:rsidR="003C1309" w:rsidRPr="00643DCF">
        <w:rPr>
          <w:sz w:val="28"/>
          <w:szCs w:val="28"/>
        </w:rPr>
        <w:t>s</w:t>
      </w:r>
      <w:r w:rsidR="00125A29" w:rsidRPr="00643DCF">
        <w:rPr>
          <w:sz w:val="28"/>
          <w:szCs w:val="28"/>
        </w:rPr>
        <w:t xml:space="preserve"> de reflexión sobre las dificultades </w:t>
      </w:r>
      <w:r w:rsidR="00CC7C9B" w:rsidRPr="00643DCF">
        <w:rPr>
          <w:sz w:val="28"/>
          <w:szCs w:val="28"/>
        </w:rPr>
        <w:t>que se presentan en el sector salud</w:t>
      </w:r>
      <w:r w:rsidR="00A74F2B" w:rsidRPr="00643DCF">
        <w:rPr>
          <w:sz w:val="28"/>
          <w:szCs w:val="28"/>
        </w:rPr>
        <w:t xml:space="preserve"> </w:t>
      </w:r>
      <w:r w:rsidR="000809A1" w:rsidRPr="00643DCF">
        <w:rPr>
          <w:sz w:val="28"/>
          <w:szCs w:val="28"/>
        </w:rPr>
        <w:t>y</w:t>
      </w:r>
      <w:r w:rsidR="00DB7CA1" w:rsidRPr="00643DCF">
        <w:rPr>
          <w:sz w:val="28"/>
          <w:szCs w:val="28"/>
        </w:rPr>
        <w:t>,</w:t>
      </w:r>
      <w:r w:rsidR="000809A1" w:rsidRPr="00643DCF">
        <w:rPr>
          <w:sz w:val="28"/>
          <w:szCs w:val="28"/>
        </w:rPr>
        <w:t xml:space="preserve"> </w:t>
      </w:r>
      <w:r w:rsidR="00C4390E" w:rsidRPr="00643DCF">
        <w:rPr>
          <w:sz w:val="28"/>
          <w:szCs w:val="28"/>
        </w:rPr>
        <w:t>de otra parte</w:t>
      </w:r>
      <w:r w:rsidR="00DB7CA1" w:rsidRPr="00643DCF">
        <w:rPr>
          <w:sz w:val="28"/>
          <w:szCs w:val="28"/>
        </w:rPr>
        <w:t>,</w:t>
      </w:r>
      <w:r w:rsidR="00C4390E" w:rsidRPr="00643DCF">
        <w:rPr>
          <w:sz w:val="28"/>
          <w:szCs w:val="28"/>
        </w:rPr>
        <w:t xml:space="preserve"> </w:t>
      </w:r>
      <w:r w:rsidR="003C1309" w:rsidRPr="00643DCF">
        <w:rPr>
          <w:sz w:val="28"/>
          <w:szCs w:val="28"/>
        </w:rPr>
        <w:t>propenden porque e</w:t>
      </w:r>
      <w:r w:rsidR="000809A1" w:rsidRPr="00643DCF">
        <w:rPr>
          <w:sz w:val="28"/>
          <w:szCs w:val="28"/>
        </w:rPr>
        <w:t>l ciudadano</w:t>
      </w:r>
      <w:r w:rsidR="003C1309" w:rsidRPr="00643DCF">
        <w:rPr>
          <w:sz w:val="28"/>
          <w:szCs w:val="28"/>
        </w:rPr>
        <w:t xml:space="preserve"> adquiera</w:t>
      </w:r>
      <w:r w:rsidR="000809A1" w:rsidRPr="00643DCF">
        <w:rPr>
          <w:sz w:val="28"/>
          <w:szCs w:val="28"/>
        </w:rPr>
        <w:t xml:space="preserve"> una mejor comprensión acerca de la dimensión del derecho a la salud y </w:t>
      </w:r>
      <w:r w:rsidR="00D239C7" w:rsidRPr="00643DCF">
        <w:rPr>
          <w:sz w:val="28"/>
          <w:szCs w:val="28"/>
        </w:rPr>
        <w:t>las condiciones en las que los usuarios deben acceder a los servicios</w:t>
      </w:r>
      <w:r w:rsidR="00482680" w:rsidRPr="00643DCF">
        <w:rPr>
          <w:sz w:val="28"/>
          <w:szCs w:val="28"/>
        </w:rPr>
        <w:t xml:space="preserve">. </w:t>
      </w:r>
    </w:p>
    <w:p w14:paraId="7B3FD8CC" w14:textId="77777777" w:rsidR="00B56565" w:rsidRPr="00643DCF" w:rsidRDefault="00B56565" w:rsidP="00491A95">
      <w:pPr>
        <w:pStyle w:val="Prrafodelista"/>
        <w:tabs>
          <w:tab w:val="left" w:pos="567"/>
        </w:tabs>
        <w:ind w:left="0"/>
        <w:jc w:val="both"/>
        <w:rPr>
          <w:sz w:val="28"/>
          <w:szCs w:val="28"/>
        </w:rPr>
      </w:pPr>
    </w:p>
    <w:p w14:paraId="12F3DAF5" w14:textId="4554984C" w:rsidR="00857973" w:rsidRPr="00643DCF" w:rsidRDefault="001356D4" w:rsidP="00491A95">
      <w:pPr>
        <w:pStyle w:val="Prrafodelista"/>
        <w:tabs>
          <w:tab w:val="left" w:pos="567"/>
        </w:tabs>
        <w:ind w:left="0"/>
        <w:jc w:val="both"/>
        <w:rPr>
          <w:rFonts w:eastAsia="Batang"/>
          <w:bCs/>
          <w:sz w:val="28"/>
          <w:szCs w:val="28"/>
        </w:rPr>
      </w:pPr>
      <w:r w:rsidRPr="00643DCF">
        <w:rPr>
          <w:sz w:val="28"/>
          <w:szCs w:val="28"/>
        </w:rPr>
        <w:t>60</w:t>
      </w:r>
      <w:r w:rsidR="00670776" w:rsidRPr="00643DCF">
        <w:rPr>
          <w:sz w:val="28"/>
          <w:szCs w:val="28"/>
        </w:rPr>
        <w:t xml:space="preserve">. </w:t>
      </w:r>
      <w:r w:rsidR="00482680" w:rsidRPr="00643DCF">
        <w:rPr>
          <w:sz w:val="28"/>
          <w:szCs w:val="28"/>
        </w:rPr>
        <w:t>S</w:t>
      </w:r>
      <w:r w:rsidR="00C43412" w:rsidRPr="00643DCF">
        <w:rPr>
          <w:sz w:val="28"/>
          <w:szCs w:val="28"/>
        </w:rPr>
        <w:t>in embargo</w:t>
      </w:r>
      <w:r w:rsidR="008A0900" w:rsidRPr="00643DCF">
        <w:rPr>
          <w:sz w:val="28"/>
          <w:szCs w:val="28"/>
        </w:rPr>
        <w:t>,</w:t>
      </w:r>
      <w:r w:rsidR="00C43412" w:rsidRPr="00643DCF">
        <w:rPr>
          <w:sz w:val="28"/>
          <w:szCs w:val="28"/>
        </w:rPr>
        <w:t xml:space="preserve"> </w:t>
      </w:r>
      <w:r w:rsidR="002948F8" w:rsidRPr="00643DCF">
        <w:rPr>
          <w:sz w:val="28"/>
          <w:szCs w:val="28"/>
        </w:rPr>
        <w:t xml:space="preserve">para la Sala </w:t>
      </w:r>
      <w:r w:rsidR="00C43412" w:rsidRPr="00643DCF">
        <w:rPr>
          <w:sz w:val="28"/>
          <w:szCs w:val="28"/>
        </w:rPr>
        <w:t>no es posible determinar</w:t>
      </w:r>
      <w:r w:rsidR="00C43412" w:rsidRPr="00643DCF">
        <w:rPr>
          <w:rFonts w:eastAsia="Batang"/>
          <w:bCs/>
          <w:sz w:val="28"/>
          <w:szCs w:val="28"/>
        </w:rPr>
        <w:t xml:space="preserve"> </w:t>
      </w:r>
      <w:r w:rsidR="002948F8" w:rsidRPr="00643DCF">
        <w:rPr>
          <w:rFonts w:eastAsia="Batang"/>
          <w:bCs/>
          <w:sz w:val="28"/>
          <w:szCs w:val="28"/>
        </w:rPr>
        <w:t>el</w:t>
      </w:r>
      <w:r w:rsidR="00C43412" w:rsidRPr="00643DCF">
        <w:rPr>
          <w:rFonts w:eastAsia="Batang"/>
          <w:bCs/>
          <w:sz w:val="28"/>
          <w:szCs w:val="28"/>
        </w:rPr>
        <w:t xml:space="preserve"> impacto</w:t>
      </w:r>
      <w:r w:rsidR="002948F8" w:rsidRPr="00643DCF">
        <w:rPr>
          <w:rFonts w:eastAsia="Batang"/>
          <w:bCs/>
          <w:sz w:val="28"/>
          <w:szCs w:val="28"/>
        </w:rPr>
        <w:t xml:space="preserve"> de las emisiones televisivas informadas por el Consejo Superior,</w:t>
      </w:r>
      <w:r w:rsidR="00A256BB" w:rsidRPr="00643DCF">
        <w:rPr>
          <w:rFonts w:eastAsia="Batang"/>
          <w:bCs/>
          <w:sz w:val="28"/>
          <w:szCs w:val="28"/>
        </w:rPr>
        <w:t xml:space="preserve"> </w:t>
      </w:r>
      <w:r w:rsidR="005D5380" w:rsidRPr="00643DCF">
        <w:rPr>
          <w:rFonts w:eastAsia="Batang"/>
          <w:bCs/>
          <w:sz w:val="28"/>
          <w:szCs w:val="28"/>
        </w:rPr>
        <w:t>en atención a que</w:t>
      </w:r>
      <w:r w:rsidR="00C43412" w:rsidRPr="00643DCF">
        <w:rPr>
          <w:rFonts w:eastAsia="Batang"/>
          <w:bCs/>
          <w:sz w:val="28"/>
          <w:szCs w:val="28"/>
        </w:rPr>
        <w:t xml:space="preserve"> n</w:t>
      </w:r>
      <w:r w:rsidR="00A256BB" w:rsidRPr="00643DCF">
        <w:rPr>
          <w:rFonts w:eastAsia="Batang"/>
          <w:bCs/>
          <w:sz w:val="28"/>
          <w:szCs w:val="28"/>
        </w:rPr>
        <w:t>o</w:t>
      </w:r>
      <w:r w:rsidR="00C43412" w:rsidRPr="00643DCF">
        <w:rPr>
          <w:rFonts w:eastAsia="Batang"/>
          <w:bCs/>
          <w:sz w:val="28"/>
          <w:szCs w:val="28"/>
        </w:rPr>
        <w:t xml:space="preserve"> hay </w:t>
      </w:r>
      <w:r w:rsidR="00A74F2B" w:rsidRPr="00643DCF">
        <w:rPr>
          <w:rFonts w:eastAsia="Batang"/>
          <w:bCs/>
          <w:sz w:val="28"/>
          <w:szCs w:val="28"/>
        </w:rPr>
        <w:t xml:space="preserve">datos </w:t>
      </w:r>
      <w:r w:rsidR="00ED7B54" w:rsidRPr="00643DCF">
        <w:rPr>
          <w:rFonts w:eastAsia="Batang"/>
          <w:bCs/>
          <w:sz w:val="28"/>
          <w:szCs w:val="28"/>
        </w:rPr>
        <w:t>de</w:t>
      </w:r>
      <w:r w:rsidR="00C43412" w:rsidRPr="00643DCF">
        <w:rPr>
          <w:rFonts w:eastAsia="Batang"/>
          <w:bCs/>
          <w:sz w:val="28"/>
          <w:szCs w:val="28"/>
        </w:rPr>
        <w:t xml:space="preserve"> los </w:t>
      </w:r>
      <w:r w:rsidR="00DB76F5" w:rsidRPr="00643DCF">
        <w:rPr>
          <w:rFonts w:eastAsia="Batang"/>
          <w:bCs/>
          <w:sz w:val="28"/>
          <w:szCs w:val="28"/>
        </w:rPr>
        <w:t>resultados</w:t>
      </w:r>
      <w:r w:rsidR="00C43412" w:rsidRPr="00643DCF">
        <w:rPr>
          <w:rFonts w:eastAsia="Batang"/>
          <w:bCs/>
          <w:sz w:val="28"/>
          <w:szCs w:val="28"/>
        </w:rPr>
        <w:t xml:space="preserve"> obtenidos con esta medida</w:t>
      </w:r>
      <w:r w:rsidR="002948F8" w:rsidRPr="00643DCF">
        <w:rPr>
          <w:rFonts w:eastAsia="Batang"/>
          <w:bCs/>
          <w:sz w:val="28"/>
          <w:szCs w:val="28"/>
        </w:rPr>
        <w:t xml:space="preserve">, </w:t>
      </w:r>
      <w:r w:rsidR="00A256BB" w:rsidRPr="00643DCF">
        <w:rPr>
          <w:rFonts w:eastAsia="Batang"/>
          <w:bCs/>
          <w:sz w:val="28"/>
          <w:szCs w:val="28"/>
        </w:rPr>
        <w:t xml:space="preserve">ni tampoco </w:t>
      </w:r>
      <w:r w:rsidR="002948F8" w:rsidRPr="00643DCF">
        <w:rPr>
          <w:rFonts w:eastAsia="Batang"/>
          <w:bCs/>
          <w:sz w:val="28"/>
          <w:szCs w:val="28"/>
        </w:rPr>
        <w:t xml:space="preserve">un </w:t>
      </w:r>
      <w:r w:rsidR="00512C7E" w:rsidRPr="00643DCF">
        <w:rPr>
          <w:rFonts w:eastAsia="Batang"/>
          <w:bCs/>
          <w:sz w:val="28"/>
          <w:szCs w:val="28"/>
        </w:rPr>
        <w:t xml:space="preserve">reporte </w:t>
      </w:r>
      <w:r w:rsidR="002948F8" w:rsidRPr="00643DCF">
        <w:rPr>
          <w:rFonts w:eastAsia="Batang"/>
          <w:bCs/>
          <w:sz w:val="28"/>
          <w:szCs w:val="28"/>
        </w:rPr>
        <w:t xml:space="preserve">que indique </w:t>
      </w:r>
      <w:r w:rsidR="00A256BB" w:rsidRPr="00643DCF">
        <w:rPr>
          <w:rFonts w:eastAsia="Batang"/>
          <w:bCs/>
          <w:sz w:val="28"/>
          <w:szCs w:val="28"/>
        </w:rPr>
        <w:t xml:space="preserve">el </w:t>
      </w:r>
      <w:r w:rsidR="008D0842" w:rsidRPr="00643DCF">
        <w:rPr>
          <w:rFonts w:eastAsia="Batang"/>
          <w:bCs/>
          <w:sz w:val="28"/>
          <w:szCs w:val="28"/>
        </w:rPr>
        <w:t>índice</w:t>
      </w:r>
      <w:r w:rsidR="00A256BB" w:rsidRPr="00643DCF">
        <w:rPr>
          <w:rFonts w:eastAsia="Batang"/>
          <w:bCs/>
          <w:sz w:val="28"/>
          <w:szCs w:val="28"/>
        </w:rPr>
        <w:t xml:space="preserve"> de audiencia o </w:t>
      </w:r>
      <w:r w:rsidR="00A256BB" w:rsidRPr="00643DCF">
        <w:rPr>
          <w:rFonts w:eastAsia="Batang"/>
          <w:bCs/>
          <w:i/>
          <w:sz w:val="28"/>
          <w:szCs w:val="28"/>
        </w:rPr>
        <w:t>rating</w:t>
      </w:r>
      <w:r w:rsidR="00A256BB" w:rsidRPr="00643DCF">
        <w:rPr>
          <w:rFonts w:eastAsia="Batang"/>
          <w:bCs/>
          <w:sz w:val="28"/>
          <w:szCs w:val="28"/>
        </w:rPr>
        <w:t xml:space="preserve"> que alcanzaron las trasmisiones de los programas</w:t>
      </w:r>
      <w:r w:rsidR="008D0842" w:rsidRPr="00643DCF">
        <w:rPr>
          <w:rFonts w:eastAsia="Batang"/>
          <w:bCs/>
          <w:sz w:val="28"/>
          <w:szCs w:val="28"/>
        </w:rPr>
        <w:t xml:space="preserve"> de televisión</w:t>
      </w:r>
      <w:r w:rsidR="00A256BB" w:rsidRPr="00643DCF">
        <w:rPr>
          <w:rFonts w:eastAsia="Batang"/>
          <w:bCs/>
          <w:sz w:val="28"/>
          <w:szCs w:val="28"/>
        </w:rPr>
        <w:t xml:space="preserve"> mencionados; circunstancias que</w:t>
      </w:r>
      <w:r w:rsidR="008D0842" w:rsidRPr="00643DCF">
        <w:rPr>
          <w:rFonts w:eastAsia="Batang"/>
          <w:bCs/>
          <w:sz w:val="28"/>
          <w:szCs w:val="28"/>
        </w:rPr>
        <w:t xml:space="preserve"> verdaderamente</w:t>
      </w:r>
      <w:r w:rsidR="00A256BB" w:rsidRPr="00643DCF">
        <w:rPr>
          <w:rFonts w:eastAsia="Batang"/>
          <w:bCs/>
          <w:sz w:val="28"/>
          <w:szCs w:val="28"/>
        </w:rPr>
        <w:t xml:space="preserve"> permiti</w:t>
      </w:r>
      <w:r w:rsidR="002948F8" w:rsidRPr="00643DCF">
        <w:rPr>
          <w:rFonts w:eastAsia="Batang"/>
          <w:bCs/>
          <w:sz w:val="28"/>
          <w:szCs w:val="28"/>
        </w:rPr>
        <w:t>ría</w:t>
      </w:r>
      <w:r w:rsidR="00A256BB" w:rsidRPr="00643DCF">
        <w:rPr>
          <w:rFonts w:eastAsia="Batang"/>
          <w:bCs/>
          <w:sz w:val="28"/>
          <w:szCs w:val="28"/>
        </w:rPr>
        <w:t>n</w:t>
      </w:r>
      <w:r w:rsidR="00C43412" w:rsidRPr="00643DCF">
        <w:rPr>
          <w:rFonts w:eastAsia="Batang"/>
          <w:bCs/>
          <w:sz w:val="28"/>
          <w:szCs w:val="28"/>
        </w:rPr>
        <w:t xml:space="preserve"> </w:t>
      </w:r>
      <w:r w:rsidR="00ED7B54" w:rsidRPr="00643DCF">
        <w:rPr>
          <w:rFonts w:eastAsia="Batang"/>
          <w:bCs/>
          <w:sz w:val="28"/>
          <w:szCs w:val="28"/>
        </w:rPr>
        <w:t xml:space="preserve">identificar </w:t>
      </w:r>
      <w:r w:rsidR="009041AF" w:rsidRPr="00643DCF">
        <w:rPr>
          <w:rFonts w:eastAsia="Batang"/>
          <w:bCs/>
          <w:sz w:val="28"/>
          <w:szCs w:val="28"/>
        </w:rPr>
        <w:t xml:space="preserve">los resultados y </w:t>
      </w:r>
      <w:r w:rsidR="00ED7B54" w:rsidRPr="00643DCF">
        <w:rPr>
          <w:rFonts w:eastAsia="Batang"/>
          <w:bCs/>
          <w:sz w:val="28"/>
          <w:szCs w:val="28"/>
        </w:rPr>
        <w:t>avance</w:t>
      </w:r>
      <w:r w:rsidR="009041AF" w:rsidRPr="00643DCF">
        <w:rPr>
          <w:rFonts w:eastAsia="Batang"/>
          <w:bCs/>
          <w:sz w:val="28"/>
          <w:szCs w:val="28"/>
        </w:rPr>
        <w:t>s</w:t>
      </w:r>
      <w:r w:rsidR="00ED7B54" w:rsidRPr="00643DCF">
        <w:rPr>
          <w:rFonts w:eastAsia="Batang"/>
          <w:bCs/>
          <w:sz w:val="28"/>
          <w:szCs w:val="28"/>
        </w:rPr>
        <w:t xml:space="preserve"> en el cumplimiento de la orden</w:t>
      </w:r>
      <w:r w:rsidR="0034291F" w:rsidRPr="00643DCF">
        <w:rPr>
          <w:rFonts w:eastAsia="Batang"/>
          <w:bCs/>
          <w:sz w:val="28"/>
          <w:szCs w:val="28"/>
        </w:rPr>
        <w:t xml:space="preserve">. </w:t>
      </w:r>
    </w:p>
    <w:p w14:paraId="643F0970" w14:textId="77777777" w:rsidR="00857973" w:rsidRPr="00643DCF" w:rsidRDefault="00857973" w:rsidP="00491A95">
      <w:pPr>
        <w:pStyle w:val="Prrafodelista"/>
        <w:tabs>
          <w:tab w:val="left" w:pos="567"/>
        </w:tabs>
        <w:ind w:left="0"/>
        <w:jc w:val="both"/>
        <w:rPr>
          <w:rFonts w:eastAsia="Batang"/>
          <w:bCs/>
          <w:sz w:val="28"/>
          <w:szCs w:val="28"/>
        </w:rPr>
      </w:pPr>
    </w:p>
    <w:p w14:paraId="1FDD7BDD" w14:textId="201B787A" w:rsidR="00DB36C6" w:rsidRPr="00643DCF" w:rsidRDefault="002948F8" w:rsidP="00491A95">
      <w:pPr>
        <w:pStyle w:val="Prrafodelista"/>
        <w:tabs>
          <w:tab w:val="left" w:pos="567"/>
        </w:tabs>
        <w:ind w:left="0"/>
        <w:jc w:val="both"/>
        <w:rPr>
          <w:rFonts w:eastAsia="Batang"/>
          <w:bCs/>
          <w:sz w:val="28"/>
          <w:szCs w:val="28"/>
        </w:rPr>
      </w:pPr>
      <w:r w:rsidRPr="00643DCF">
        <w:rPr>
          <w:rFonts w:eastAsia="Batang"/>
          <w:bCs/>
          <w:sz w:val="28"/>
          <w:szCs w:val="28"/>
        </w:rPr>
        <w:t>A</w:t>
      </w:r>
      <w:r w:rsidR="00482680" w:rsidRPr="00643DCF">
        <w:rPr>
          <w:rFonts w:eastAsia="Batang"/>
          <w:bCs/>
          <w:sz w:val="28"/>
          <w:szCs w:val="28"/>
        </w:rPr>
        <w:t xml:space="preserve">demás, no </w:t>
      </w:r>
      <w:r w:rsidR="00482680" w:rsidRPr="00643DCF">
        <w:rPr>
          <w:sz w:val="28"/>
          <w:szCs w:val="28"/>
        </w:rPr>
        <w:t xml:space="preserve">se observa que </w:t>
      </w:r>
      <w:r w:rsidR="00A256BB" w:rsidRPr="00643DCF">
        <w:rPr>
          <w:sz w:val="28"/>
          <w:szCs w:val="28"/>
        </w:rPr>
        <w:t xml:space="preserve">para </w:t>
      </w:r>
      <w:r w:rsidR="005C2D2C" w:rsidRPr="00643DCF">
        <w:rPr>
          <w:sz w:val="28"/>
          <w:szCs w:val="28"/>
        </w:rPr>
        <w:t>los</w:t>
      </w:r>
      <w:r w:rsidR="00A256BB" w:rsidRPr="00643DCF">
        <w:rPr>
          <w:sz w:val="28"/>
          <w:szCs w:val="28"/>
        </w:rPr>
        <w:t xml:space="preserve"> año</w:t>
      </w:r>
      <w:r w:rsidR="005C2D2C" w:rsidRPr="00643DCF">
        <w:rPr>
          <w:sz w:val="28"/>
          <w:szCs w:val="28"/>
        </w:rPr>
        <w:t>s</w:t>
      </w:r>
      <w:r w:rsidR="00482680" w:rsidRPr="00643DCF">
        <w:rPr>
          <w:sz w:val="28"/>
          <w:szCs w:val="28"/>
        </w:rPr>
        <w:t xml:space="preserve"> 2017</w:t>
      </w:r>
      <w:r w:rsidR="00B87FA4" w:rsidRPr="00643DCF">
        <w:rPr>
          <w:sz w:val="28"/>
          <w:szCs w:val="28"/>
        </w:rPr>
        <w:t xml:space="preserve"> y </w:t>
      </w:r>
      <w:r w:rsidR="005C2D2C" w:rsidRPr="00643DCF">
        <w:rPr>
          <w:sz w:val="28"/>
          <w:szCs w:val="28"/>
        </w:rPr>
        <w:t xml:space="preserve">2018 </w:t>
      </w:r>
      <w:r w:rsidR="00A256BB" w:rsidRPr="00643DCF">
        <w:rPr>
          <w:sz w:val="28"/>
          <w:szCs w:val="28"/>
        </w:rPr>
        <w:t xml:space="preserve">el CSJ </w:t>
      </w:r>
      <w:r w:rsidR="00482680" w:rsidRPr="00643DCF">
        <w:rPr>
          <w:sz w:val="28"/>
          <w:szCs w:val="28"/>
        </w:rPr>
        <w:t>haya</w:t>
      </w:r>
      <w:r w:rsidR="00A256BB" w:rsidRPr="00643DCF">
        <w:rPr>
          <w:sz w:val="28"/>
          <w:szCs w:val="28"/>
        </w:rPr>
        <w:t xml:space="preserve"> </w:t>
      </w:r>
      <w:r w:rsidR="00482680" w:rsidRPr="00643DCF">
        <w:rPr>
          <w:sz w:val="28"/>
          <w:szCs w:val="28"/>
        </w:rPr>
        <w:t xml:space="preserve">realizado y trasmitido programas </w:t>
      </w:r>
      <w:r w:rsidR="00857973" w:rsidRPr="00643DCF">
        <w:rPr>
          <w:sz w:val="28"/>
          <w:szCs w:val="28"/>
        </w:rPr>
        <w:t>de televisión</w:t>
      </w:r>
      <w:r w:rsidR="00482680" w:rsidRPr="00643DCF">
        <w:rPr>
          <w:sz w:val="28"/>
          <w:szCs w:val="28"/>
        </w:rPr>
        <w:t xml:space="preserve"> que tengan relación</w:t>
      </w:r>
      <w:r w:rsidR="00A256BB" w:rsidRPr="00643DCF">
        <w:rPr>
          <w:sz w:val="28"/>
          <w:szCs w:val="28"/>
        </w:rPr>
        <w:t xml:space="preserve"> con la </w:t>
      </w:r>
      <w:r w:rsidR="00DF02F1" w:rsidRPr="00643DCF">
        <w:rPr>
          <w:sz w:val="28"/>
          <w:szCs w:val="28"/>
        </w:rPr>
        <w:t>s</w:t>
      </w:r>
      <w:r w:rsidR="00A256BB" w:rsidRPr="00643DCF">
        <w:rPr>
          <w:sz w:val="28"/>
          <w:szCs w:val="28"/>
        </w:rPr>
        <w:t xml:space="preserve">entencia T-760 de 2008, </w:t>
      </w:r>
      <w:r w:rsidR="00482680" w:rsidRPr="00643DCF">
        <w:rPr>
          <w:sz w:val="28"/>
          <w:szCs w:val="28"/>
        </w:rPr>
        <w:t xml:space="preserve">los problemas jurídicos analizados en </w:t>
      </w:r>
      <w:r w:rsidR="00A256BB" w:rsidRPr="00643DCF">
        <w:rPr>
          <w:sz w:val="28"/>
          <w:szCs w:val="28"/>
        </w:rPr>
        <w:t>ella</w:t>
      </w:r>
      <w:r w:rsidR="00C4390E" w:rsidRPr="00643DCF">
        <w:rPr>
          <w:sz w:val="28"/>
          <w:szCs w:val="28"/>
        </w:rPr>
        <w:t xml:space="preserve">, </w:t>
      </w:r>
      <w:r w:rsidR="00857973" w:rsidRPr="00643DCF">
        <w:rPr>
          <w:sz w:val="28"/>
          <w:szCs w:val="28"/>
        </w:rPr>
        <w:t xml:space="preserve">el estado actual del asunto </w:t>
      </w:r>
      <w:r w:rsidR="009041AF" w:rsidRPr="00643DCF">
        <w:rPr>
          <w:sz w:val="28"/>
          <w:szCs w:val="28"/>
        </w:rPr>
        <w:t>y</w:t>
      </w:r>
      <w:r w:rsidR="00857973" w:rsidRPr="00643DCF">
        <w:rPr>
          <w:sz w:val="28"/>
          <w:szCs w:val="28"/>
        </w:rPr>
        <w:t xml:space="preserve"> </w:t>
      </w:r>
      <w:r w:rsidR="00482680" w:rsidRPr="00643DCF">
        <w:rPr>
          <w:sz w:val="28"/>
          <w:szCs w:val="28"/>
        </w:rPr>
        <w:t xml:space="preserve">los </w:t>
      </w:r>
      <w:r w:rsidR="00172174" w:rsidRPr="00643DCF">
        <w:rPr>
          <w:sz w:val="28"/>
          <w:szCs w:val="28"/>
        </w:rPr>
        <w:t>progresos</w:t>
      </w:r>
      <w:r w:rsidR="00482680" w:rsidRPr="00643DCF">
        <w:rPr>
          <w:sz w:val="28"/>
          <w:szCs w:val="28"/>
        </w:rPr>
        <w:t xml:space="preserve"> que se han evidenciado en los autos de seguimiento</w:t>
      </w:r>
      <w:r w:rsidR="00A74F2B" w:rsidRPr="00643DCF">
        <w:rPr>
          <w:sz w:val="28"/>
          <w:szCs w:val="28"/>
        </w:rPr>
        <w:t xml:space="preserve">, </w:t>
      </w:r>
      <w:r w:rsidR="004847FD" w:rsidRPr="00643DCF">
        <w:rPr>
          <w:sz w:val="28"/>
          <w:szCs w:val="28"/>
        </w:rPr>
        <w:t xml:space="preserve">lo que </w:t>
      </w:r>
      <w:r w:rsidR="00592D3B" w:rsidRPr="00643DCF">
        <w:rPr>
          <w:sz w:val="28"/>
          <w:szCs w:val="28"/>
        </w:rPr>
        <w:t>permite inferir que a partir de mayo de 2016, no se le ha dado continuidad a esta estrategia de di</w:t>
      </w:r>
      <w:r w:rsidR="008C462B" w:rsidRPr="00643DCF">
        <w:rPr>
          <w:sz w:val="28"/>
          <w:szCs w:val="28"/>
        </w:rPr>
        <w:t>vulgación</w:t>
      </w:r>
      <w:r w:rsidR="00592D3B" w:rsidRPr="00643DCF">
        <w:rPr>
          <w:sz w:val="28"/>
          <w:szCs w:val="28"/>
        </w:rPr>
        <w:t xml:space="preserve"> y los televidentes no han sido informados sobre el estado actual de las órdenes</w:t>
      </w:r>
      <w:r w:rsidR="00482680" w:rsidRPr="00643DCF">
        <w:rPr>
          <w:sz w:val="28"/>
          <w:szCs w:val="28"/>
        </w:rPr>
        <w:t>.</w:t>
      </w:r>
    </w:p>
    <w:p w14:paraId="6ABF0585" w14:textId="77777777" w:rsidR="00A239DB" w:rsidRPr="00643DCF" w:rsidRDefault="00A239DB" w:rsidP="007E54C5">
      <w:pPr>
        <w:pStyle w:val="Sinespaciado3"/>
        <w:tabs>
          <w:tab w:val="left" w:pos="567"/>
          <w:tab w:val="left" w:pos="851"/>
          <w:tab w:val="left" w:pos="1134"/>
        </w:tabs>
        <w:jc w:val="both"/>
        <w:rPr>
          <w:rFonts w:ascii="Times New Roman" w:eastAsia="Batang" w:hAnsi="Times New Roman"/>
          <w:bCs/>
          <w:sz w:val="28"/>
          <w:szCs w:val="28"/>
        </w:rPr>
      </w:pPr>
    </w:p>
    <w:p w14:paraId="0B9FD467" w14:textId="1CB79DCB" w:rsidR="007E54C5" w:rsidRPr="00643DCF" w:rsidRDefault="00B87FA4" w:rsidP="00C43A45">
      <w:pPr>
        <w:pStyle w:val="Prrafodelista"/>
        <w:tabs>
          <w:tab w:val="left" w:pos="567"/>
          <w:tab w:val="left" w:pos="851"/>
        </w:tabs>
        <w:ind w:left="0"/>
        <w:jc w:val="both"/>
        <w:rPr>
          <w:rFonts w:eastAsia="Batang"/>
          <w:bCs/>
          <w:sz w:val="28"/>
          <w:szCs w:val="28"/>
        </w:rPr>
      </w:pPr>
      <w:r w:rsidRPr="00643DCF">
        <w:rPr>
          <w:rFonts w:eastAsia="Batang"/>
          <w:bCs/>
          <w:sz w:val="28"/>
          <w:szCs w:val="28"/>
        </w:rPr>
        <w:t xml:space="preserve">d. </w:t>
      </w:r>
      <w:r w:rsidR="007E54C5" w:rsidRPr="00643DCF">
        <w:rPr>
          <w:rFonts w:eastAsia="Batang"/>
          <w:bCs/>
          <w:sz w:val="28"/>
          <w:szCs w:val="28"/>
        </w:rPr>
        <w:t>Difusión por medios impresos</w:t>
      </w:r>
    </w:p>
    <w:p w14:paraId="0DA42F4A" w14:textId="77777777" w:rsidR="007E54C5" w:rsidRPr="00643DCF" w:rsidRDefault="007E54C5" w:rsidP="007E54C5">
      <w:pPr>
        <w:pStyle w:val="Sinespaciado3"/>
        <w:tabs>
          <w:tab w:val="left" w:pos="567"/>
          <w:tab w:val="left" w:pos="851"/>
          <w:tab w:val="left" w:pos="1134"/>
        </w:tabs>
        <w:jc w:val="both"/>
        <w:rPr>
          <w:rFonts w:ascii="Times New Roman" w:eastAsia="Batang" w:hAnsi="Times New Roman"/>
          <w:bCs/>
          <w:sz w:val="28"/>
          <w:szCs w:val="28"/>
        </w:rPr>
      </w:pPr>
    </w:p>
    <w:p w14:paraId="5C880868" w14:textId="7415DC4D" w:rsidR="001A55F5" w:rsidRPr="00FA159B" w:rsidRDefault="0057282C" w:rsidP="00A8782C">
      <w:pPr>
        <w:pStyle w:val="Sinespaciado3"/>
        <w:tabs>
          <w:tab w:val="left" w:pos="567"/>
          <w:tab w:val="left" w:pos="851"/>
          <w:tab w:val="left" w:pos="1134"/>
        </w:tabs>
        <w:jc w:val="both"/>
        <w:rPr>
          <w:rFonts w:ascii="Times New Roman" w:eastAsia="Batang" w:hAnsi="Times New Roman"/>
          <w:bCs/>
          <w:sz w:val="28"/>
          <w:szCs w:val="28"/>
        </w:rPr>
      </w:pPr>
      <w:r w:rsidRPr="00643DCF">
        <w:rPr>
          <w:rFonts w:ascii="Times New Roman" w:eastAsia="Batang" w:hAnsi="Times New Roman"/>
          <w:bCs/>
          <w:sz w:val="28"/>
          <w:szCs w:val="28"/>
        </w:rPr>
        <w:t>6</w:t>
      </w:r>
      <w:r w:rsidR="001356D4" w:rsidRPr="00643DCF">
        <w:rPr>
          <w:rFonts w:ascii="Times New Roman" w:eastAsia="Batang" w:hAnsi="Times New Roman"/>
          <w:bCs/>
          <w:sz w:val="28"/>
          <w:szCs w:val="28"/>
        </w:rPr>
        <w:t>1</w:t>
      </w:r>
      <w:r w:rsidR="00670776" w:rsidRPr="00643DCF">
        <w:rPr>
          <w:rFonts w:ascii="Times New Roman" w:eastAsia="Batang" w:hAnsi="Times New Roman"/>
          <w:bCs/>
          <w:sz w:val="28"/>
          <w:szCs w:val="28"/>
        </w:rPr>
        <w:t xml:space="preserve">. </w:t>
      </w:r>
      <w:r w:rsidR="004847FD" w:rsidRPr="00643DCF">
        <w:rPr>
          <w:rFonts w:ascii="Times New Roman" w:eastAsia="Batang" w:hAnsi="Times New Roman"/>
          <w:bCs/>
          <w:sz w:val="28"/>
          <w:szCs w:val="28"/>
        </w:rPr>
        <w:t>El Consejo Superior de la Judicatura r</w:t>
      </w:r>
      <w:r w:rsidR="00C052EE" w:rsidRPr="00643DCF">
        <w:rPr>
          <w:rFonts w:ascii="Times New Roman" w:eastAsia="Batang" w:hAnsi="Times New Roman"/>
          <w:bCs/>
          <w:sz w:val="28"/>
          <w:szCs w:val="28"/>
        </w:rPr>
        <w:t xml:space="preserve">eportó en </w:t>
      </w:r>
      <w:r w:rsidR="00F74028" w:rsidRPr="00643DCF">
        <w:rPr>
          <w:rFonts w:ascii="Times New Roman" w:eastAsia="Batang" w:hAnsi="Times New Roman"/>
          <w:bCs/>
          <w:sz w:val="28"/>
          <w:szCs w:val="28"/>
        </w:rPr>
        <w:t xml:space="preserve">los </w:t>
      </w:r>
      <w:r w:rsidR="00C052EE" w:rsidRPr="00643DCF">
        <w:rPr>
          <w:rFonts w:ascii="Times New Roman" w:eastAsia="Batang" w:hAnsi="Times New Roman"/>
          <w:bCs/>
          <w:sz w:val="28"/>
          <w:szCs w:val="28"/>
        </w:rPr>
        <w:t>informes</w:t>
      </w:r>
      <w:r w:rsidR="00263485" w:rsidRPr="00643DCF">
        <w:rPr>
          <w:rStyle w:val="Refdenotaalpie"/>
          <w:rFonts w:ascii="Times New Roman" w:eastAsia="Batang" w:hAnsi="Times New Roman"/>
          <w:bCs/>
          <w:sz w:val="28"/>
          <w:szCs w:val="28"/>
        </w:rPr>
        <w:footnoteReference w:id="171"/>
      </w:r>
      <w:r w:rsidR="00263485" w:rsidRPr="00643DCF">
        <w:rPr>
          <w:rFonts w:ascii="Times New Roman" w:eastAsia="Batang" w:hAnsi="Times New Roman"/>
          <w:bCs/>
          <w:sz w:val="28"/>
          <w:szCs w:val="28"/>
        </w:rPr>
        <w:t xml:space="preserve"> haber</w:t>
      </w:r>
      <w:r w:rsidR="00F74028" w:rsidRPr="00643DCF">
        <w:rPr>
          <w:rFonts w:ascii="Times New Roman" w:eastAsia="Batang" w:hAnsi="Times New Roman"/>
          <w:bCs/>
          <w:sz w:val="28"/>
          <w:szCs w:val="28"/>
        </w:rPr>
        <w:t xml:space="preserve"> </w:t>
      </w:r>
      <w:r w:rsidR="00263485" w:rsidRPr="00643DCF">
        <w:rPr>
          <w:rFonts w:ascii="Times New Roman" w:eastAsia="Batang" w:hAnsi="Times New Roman"/>
          <w:bCs/>
          <w:sz w:val="28"/>
          <w:szCs w:val="28"/>
        </w:rPr>
        <w:t xml:space="preserve">editado y </w:t>
      </w:r>
      <w:r w:rsidR="007E54C5" w:rsidRPr="00643DCF">
        <w:rPr>
          <w:rFonts w:ascii="Times New Roman" w:eastAsia="Batang" w:hAnsi="Times New Roman"/>
          <w:bCs/>
          <w:sz w:val="28"/>
          <w:szCs w:val="28"/>
        </w:rPr>
        <w:t>distribu</w:t>
      </w:r>
      <w:r w:rsidR="00263485" w:rsidRPr="00643DCF">
        <w:rPr>
          <w:rFonts w:ascii="Times New Roman" w:eastAsia="Batang" w:hAnsi="Times New Roman"/>
          <w:bCs/>
          <w:sz w:val="28"/>
          <w:szCs w:val="28"/>
        </w:rPr>
        <w:t>ido</w:t>
      </w:r>
      <w:r w:rsidR="00AC7BC5" w:rsidRPr="00643DCF">
        <w:rPr>
          <w:rFonts w:ascii="Times New Roman" w:eastAsia="Batang" w:hAnsi="Times New Roman"/>
          <w:bCs/>
          <w:sz w:val="28"/>
          <w:szCs w:val="28"/>
        </w:rPr>
        <w:t xml:space="preserve"> 5</w:t>
      </w:r>
      <w:r w:rsidR="007E54C5" w:rsidRPr="00643DCF">
        <w:rPr>
          <w:rFonts w:ascii="Times New Roman" w:eastAsia="Batang" w:hAnsi="Times New Roman"/>
          <w:bCs/>
          <w:sz w:val="28"/>
          <w:szCs w:val="28"/>
        </w:rPr>
        <w:t xml:space="preserve">000 ejemplares impresos de la </w:t>
      </w:r>
      <w:r w:rsidR="006A46CF" w:rsidRPr="00643DCF">
        <w:rPr>
          <w:rFonts w:ascii="Times New Roman" w:eastAsia="Batang" w:hAnsi="Times New Roman"/>
          <w:bCs/>
          <w:sz w:val="28"/>
          <w:szCs w:val="28"/>
        </w:rPr>
        <w:t>s</w:t>
      </w:r>
      <w:r w:rsidR="007E54C5" w:rsidRPr="00643DCF">
        <w:rPr>
          <w:rFonts w:ascii="Times New Roman" w:eastAsia="Batang" w:hAnsi="Times New Roman"/>
          <w:bCs/>
          <w:sz w:val="28"/>
          <w:szCs w:val="28"/>
        </w:rPr>
        <w:t>entencia T-760 de 2008</w:t>
      </w:r>
      <w:r w:rsidR="004847FD" w:rsidRPr="00643DCF">
        <w:rPr>
          <w:rFonts w:ascii="Times New Roman" w:eastAsia="Batang" w:hAnsi="Times New Roman"/>
          <w:bCs/>
          <w:sz w:val="28"/>
          <w:szCs w:val="28"/>
        </w:rPr>
        <w:t xml:space="preserve"> entre los funcionarios de la </w:t>
      </w:r>
      <w:r w:rsidR="004847FD" w:rsidRPr="00FA159B">
        <w:rPr>
          <w:rFonts w:ascii="Times New Roman" w:eastAsia="Batang" w:hAnsi="Times New Roman"/>
          <w:bCs/>
          <w:sz w:val="28"/>
          <w:szCs w:val="28"/>
        </w:rPr>
        <w:t>Rama judicial</w:t>
      </w:r>
      <w:r w:rsidR="00BE19B9" w:rsidRPr="00FA159B">
        <w:rPr>
          <w:rFonts w:ascii="Times New Roman" w:eastAsia="Batang" w:hAnsi="Times New Roman"/>
          <w:bCs/>
          <w:sz w:val="28"/>
          <w:szCs w:val="28"/>
        </w:rPr>
        <w:t>, bibliotecas, universidades y entidades promotoras de salud</w:t>
      </w:r>
      <w:r w:rsidR="004847FD" w:rsidRPr="00FA159B">
        <w:rPr>
          <w:rFonts w:ascii="Times New Roman" w:eastAsia="Batang" w:hAnsi="Times New Roman"/>
          <w:bCs/>
          <w:sz w:val="28"/>
          <w:szCs w:val="28"/>
        </w:rPr>
        <w:t xml:space="preserve">, </w:t>
      </w:r>
      <w:r w:rsidR="009A4E6A" w:rsidRPr="00FA159B">
        <w:rPr>
          <w:rFonts w:ascii="Times New Roman" w:eastAsia="Batang" w:hAnsi="Times New Roman"/>
          <w:bCs/>
          <w:sz w:val="28"/>
          <w:szCs w:val="28"/>
        </w:rPr>
        <w:t xml:space="preserve">medidas que </w:t>
      </w:r>
      <w:r w:rsidR="00926F23" w:rsidRPr="00FA159B">
        <w:rPr>
          <w:rFonts w:ascii="Times New Roman" w:eastAsia="Batang" w:hAnsi="Times New Roman"/>
          <w:bCs/>
          <w:sz w:val="28"/>
          <w:szCs w:val="28"/>
        </w:rPr>
        <w:t>se mu</w:t>
      </w:r>
      <w:r w:rsidR="009A4E6A" w:rsidRPr="00FA159B">
        <w:rPr>
          <w:rFonts w:ascii="Times New Roman" w:eastAsia="Batang" w:hAnsi="Times New Roman"/>
          <w:bCs/>
          <w:sz w:val="28"/>
          <w:szCs w:val="28"/>
        </w:rPr>
        <w:t>estran</w:t>
      </w:r>
      <w:r w:rsidR="00926F23" w:rsidRPr="00FA159B">
        <w:rPr>
          <w:rFonts w:ascii="Times New Roman" w:eastAsia="Batang" w:hAnsi="Times New Roman"/>
          <w:bCs/>
          <w:sz w:val="28"/>
          <w:szCs w:val="28"/>
        </w:rPr>
        <w:t xml:space="preserve"> convenientes</w:t>
      </w:r>
      <w:r w:rsidR="00797C69" w:rsidRPr="00FA159B">
        <w:rPr>
          <w:rFonts w:ascii="Times New Roman" w:eastAsia="Batang" w:hAnsi="Times New Roman"/>
          <w:bCs/>
          <w:sz w:val="28"/>
          <w:szCs w:val="28"/>
        </w:rPr>
        <w:t xml:space="preserve"> para </w:t>
      </w:r>
      <w:r w:rsidR="00926F23" w:rsidRPr="00FA159B">
        <w:rPr>
          <w:rFonts w:ascii="Times New Roman" w:eastAsia="Batang" w:hAnsi="Times New Roman"/>
          <w:bCs/>
          <w:sz w:val="28"/>
          <w:szCs w:val="28"/>
        </w:rPr>
        <w:t>lograr de una forma e</w:t>
      </w:r>
      <w:r w:rsidR="004F0BF6" w:rsidRPr="00FA159B">
        <w:rPr>
          <w:rFonts w:ascii="Times New Roman" w:eastAsia="Batang" w:hAnsi="Times New Roman"/>
          <w:bCs/>
          <w:sz w:val="28"/>
          <w:szCs w:val="28"/>
        </w:rPr>
        <w:t xml:space="preserve">ficiente la difusión de la </w:t>
      </w:r>
      <w:r w:rsidR="006A46CF" w:rsidRPr="00FA159B">
        <w:rPr>
          <w:rFonts w:ascii="Times New Roman" w:eastAsia="Batang" w:hAnsi="Times New Roman"/>
          <w:bCs/>
          <w:sz w:val="28"/>
          <w:szCs w:val="28"/>
        </w:rPr>
        <w:t>misma</w:t>
      </w:r>
      <w:r w:rsidR="00294F1A" w:rsidRPr="00FA159B">
        <w:rPr>
          <w:rFonts w:ascii="Times New Roman" w:eastAsia="Batang" w:hAnsi="Times New Roman"/>
          <w:bCs/>
          <w:sz w:val="28"/>
          <w:szCs w:val="28"/>
        </w:rPr>
        <w:t xml:space="preserve"> para la población</w:t>
      </w:r>
      <w:r w:rsidR="005B20C2" w:rsidRPr="00FA159B">
        <w:rPr>
          <w:rFonts w:ascii="Times New Roman" w:eastAsia="Batang" w:hAnsi="Times New Roman"/>
          <w:bCs/>
          <w:sz w:val="28"/>
          <w:szCs w:val="28"/>
        </w:rPr>
        <w:t xml:space="preserve"> en general</w:t>
      </w:r>
      <w:r w:rsidR="00286AFB" w:rsidRPr="00FA159B">
        <w:rPr>
          <w:rFonts w:ascii="Times New Roman" w:eastAsia="Batang" w:hAnsi="Times New Roman"/>
          <w:bCs/>
          <w:sz w:val="28"/>
          <w:szCs w:val="28"/>
        </w:rPr>
        <w:t xml:space="preserve"> y en particular a los usuarios de las EPS</w:t>
      </w:r>
      <w:r w:rsidR="004F0BF6" w:rsidRPr="00FA159B">
        <w:rPr>
          <w:rFonts w:ascii="Times New Roman" w:eastAsia="Batang" w:hAnsi="Times New Roman"/>
          <w:bCs/>
          <w:sz w:val="28"/>
          <w:szCs w:val="28"/>
        </w:rPr>
        <w:t xml:space="preserve">, </w:t>
      </w:r>
      <w:r w:rsidR="009234BE" w:rsidRPr="00FA159B">
        <w:rPr>
          <w:rFonts w:ascii="Times New Roman" w:eastAsia="Batang" w:hAnsi="Times New Roman"/>
          <w:bCs/>
          <w:sz w:val="28"/>
          <w:szCs w:val="28"/>
        </w:rPr>
        <w:t>ya que</w:t>
      </w:r>
      <w:r w:rsidR="004F0BF6" w:rsidRPr="00FA159B">
        <w:rPr>
          <w:rFonts w:ascii="Times New Roman" w:eastAsia="Batang" w:hAnsi="Times New Roman"/>
          <w:bCs/>
          <w:sz w:val="28"/>
          <w:szCs w:val="28"/>
        </w:rPr>
        <w:t xml:space="preserve"> la información plasmada en </w:t>
      </w:r>
      <w:r w:rsidR="009234BE" w:rsidRPr="00FA159B">
        <w:rPr>
          <w:rFonts w:ascii="Times New Roman" w:eastAsia="Batang" w:hAnsi="Times New Roman"/>
          <w:bCs/>
          <w:sz w:val="28"/>
          <w:szCs w:val="28"/>
        </w:rPr>
        <w:t>el</w:t>
      </w:r>
      <w:r w:rsidR="004F0BF6" w:rsidRPr="00FA159B">
        <w:rPr>
          <w:rFonts w:ascii="Times New Roman" w:eastAsia="Batang" w:hAnsi="Times New Roman"/>
          <w:bCs/>
          <w:sz w:val="28"/>
          <w:szCs w:val="28"/>
        </w:rPr>
        <w:t xml:space="preserve"> texto </w:t>
      </w:r>
      <w:r w:rsidR="00DD5D40" w:rsidRPr="00FA159B">
        <w:rPr>
          <w:rFonts w:ascii="Times New Roman" w:eastAsia="Batang" w:hAnsi="Times New Roman"/>
          <w:bCs/>
          <w:sz w:val="28"/>
          <w:szCs w:val="28"/>
        </w:rPr>
        <w:t xml:space="preserve">permite a sus destinatarios </w:t>
      </w:r>
      <w:r w:rsidR="009234BE" w:rsidRPr="00FA159B">
        <w:rPr>
          <w:rFonts w:ascii="Times New Roman" w:eastAsia="Batang" w:hAnsi="Times New Roman"/>
          <w:bCs/>
          <w:sz w:val="28"/>
          <w:szCs w:val="28"/>
        </w:rPr>
        <w:t xml:space="preserve">contar con datos más específicos y de fácil consulta </w:t>
      </w:r>
      <w:r w:rsidR="00664839" w:rsidRPr="00FA159B">
        <w:rPr>
          <w:rFonts w:ascii="Times New Roman" w:eastAsia="Batang" w:hAnsi="Times New Roman"/>
          <w:bCs/>
          <w:sz w:val="28"/>
          <w:szCs w:val="28"/>
        </w:rPr>
        <w:t xml:space="preserve">respecto de </w:t>
      </w:r>
      <w:r w:rsidR="009234BE" w:rsidRPr="00FA159B">
        <w:rPr>
          <w:rFonts w:ascii="Times New Roman" w:eastAsia="Batang" w:hAnsi="Times New Roman"/>
          <w:bCs/>
          <w:sz w:val="28"/>
          <w:szCs w:val="28"/>
        </w:rPr>
        <w:t xml:space="preserve">las </w:t>
      </w:r>
      <w:r w:rsidR="00056508" w:rsidRPr="00FA159B">
        <w:rPr>
          <w:rFonts w:ascii="Times New Roman" w:eastAsia="Batang" w:hAnsi="Times New Roman"/>
          <w:bCs/>
          <w:sz w:val="28"/>
          <w:szCs w:val="28"/>
        </w:rPr>
        <w:t>ó</w:t>
      </w:r>
      <w:r w:rsidR="009234BE" w:rsidRPr="00FA159B">
        <w:rPr>
          <w:rFonts w:ascii="Times New Roman" w:eastAsia="Batang" w:hAnsi="Times New Roman"/>
          <w:bCs/>
          <w:sz w:val="28"/>
          <w:szCs w:val="28"/>
        </w:rPr>
        <w:t xml:space="preserve">rdenes y problemas jurídicos identificados </w:t>
      </w:r>
      <w:r w:rsidR="009B004A" w:rsidRPr="00FA159B">
        <w:rPr>
          <w:rFonts w:ascii="Times New Roman" w:eastAsia="Batang" w:hAnsi="Times New Roman"/>
          <w:bCs/>
          <w:sz w:val="28"/>
          <w:szCs w:val="28"/>
        </w:rPr>
        <w:t xml:space="preserve">tanto </w:t>
      </w:r>
      <w:r w:rsidR="009234BE" w:rsidRPr="00FA159B">
        <w:rPr>
          <w:rFonts w:ascii="Times New Roman" w:eastAsia="Batang" w:hAnsi="Times New Roman"/>
          <w:bCs/>
          <w:sz w:val="28"/>
          <w:szCs w:val="28"/>
        </w:rPr>
        <w:t>en el fallo estructural</w:t>
      </w:r>
      <w:r w:rsidR="009B004A" w:rsidRPr="00FA159B">
        <w:rPr>
          <w:rFonts w:ascii="Times New Roman" w:eastAsia="Batang" w:hAnsi="Times New Roman"/>
          <w:bCs/>
          <w:sz w:val="28"/>
          <w:szCs w:val="28"/>
        </w:rPr>
        <w:t>, como e</w:t>
      </w:r>
      <w:r w:rsidR="00DD13C6" w:rsidRPr="00FA159B">
        <w:rPr>
          <w:rFonts w:ascii="Times New Roman" w:eastAsia="Batang" w:hAnsi="Times New Roman"/>
          <w:bCs/>
          <w:sz w:val="28"/>
          <w:szCs w:val="28"/>
        </w:rPr>
        <w:t>n</w:t>
      </w:r>
      <w:r w:rsidR="009B004A" w:rsidRPr="00FA159B">
        <w:rPr>
          <w:rFonts w:ascii="Times New Roman" w:eastAsia="Batang" w:hAnsi="Times New Roman"/>
          <w:bCs/>
          <w:sz w:val="28"/>
          <w:szCs w:val="28"/>
        </w:rPr>
        <w:t xml:space="preserve"> l</w:t>
      </w:r>
      <w:r w:rsidR="009041AF" w:rsidRPr="00FA159B">
        <w:rPr>
          <w:rFonts w:ascii="Times New Roman" w:eastAsia="Batang" w:hAnsi="Times New Roman"/>
          <w:bCs/>
          <w:sz w:val="28"/>
          <w:szCs w:val="28"/>
        </w:rPr>
        <w:t>os autos de seguimiento.</w:t>
      </w:r>
      <w:r w:rsidR="004847FD" w:rsidRPr="00FA159B">
        <w:rPr>
          <w:rFonts w:ascii="Times New Roman" w:eastAsia="Batang" w:hAnsi="Times New Roman"/>
          <w:bCs/>
          <w:sz w:val="28"/>
          <w:szCs w:val="28"/>
        </w:rPr>
        <w:t xml:space="preserve"> </w:t>
      </w:r>
    </w:p>
    <w:p w14:paraId="70AEEC3C" w14:textId="77777777" w:rsidR="009234BE" w:rsidRPr="00FA159B" w:rsidRDefault="009234BE" w:rsidP="00A8782C">
      <w:pPr>
        <w:pStyle w:val="Sinespaciado3"/>
        <w:tabs>
          <w:tab w:val="left" w:pos="567"/>
          <w:tab w:val="left" w:pos="851"/>
          <w:tab w:val="left" w:pos="1134"/>
        </w:tabs>
        <w:jc w:val="both"/>
        <w:rPr>
          <w:rFonts w:ascii="Times New Roman" w:eastAsia="Batang" w:hAnsi="Times New Roman"/>
          <w:bCs/>
          <w:sz w:val="28"/>
          <w:szCs w:val="28"/>
        </w:rPr>
      </w:pPr>
    </w:p>
    <w:p w14:paraId="14E6FCDC" w14:textId="73C1C213" w:rsidR="007E54C5" w:rsidRPr="00643DCF" w:rsidRDefault="0057282C" w:rsidP="00A8782C">
      <w:pPr>
        <w:pStyle w:val="Sinespaciado3"/>
        <w:tabs>
          <w:tab w:val="left" w:pos="567"/>
          <w:tab w:val="left" w:pos="851"/>
          <w:tab w:val="left" w:pos="1134"/>
        </w:tabs>
        <w:jc w:val="both"/>
        <w:rPr>
          <w:rFonts w:ascii="Times New Roman" w:eastAsia="Batang" w:hAnsi="Times New Roman"/>
          <w:bCs/>
          <w:sz w:val="28"/>
          <w:szCs w:val="28"/>
        </w:rPr>
      </w:pPr>
      <w:r w:rsidRPr="00FA159B">
        <w:rPr>
          <w:rFonts w:ascii="Times New Roman" w:eastAsia="Batang" w:hAnsi="Times New Roman"/>
          <w:bCs/>
          <w:sz w:val="28"/>
          <w:szCs w:val="28"/>
        </w:rPr>
        <w:t>6</w:t>
      </w:r>
      <w:r w:rsidR="001356D4" w:rsidRPr="00FA159B">
        <w:rPr>
          <w:rFonts w:ascii="Times New Roman" w:eastAsia="Batang" w:hAnsi="Times New Roman"/>
          <w:bCs/>
          <w:sz w:val="28"/>
          <w:szCs w:val="28"/>
        </w:rPr>
        <w:t>2</w:t>
      </w:r>
      <w:r w:rsidR="00670776" w:rsidRPr="00FA159B">
        <w:rPr>
          <w:rFonts w:ascii="Times New Roman" w:eastAsia="Batang" w:hAnsi="Times New Roman"/>
          <w:bCs/>
          <w:sz w:val="28"/>
          <w:szCs w:val="28"/>
        </w:rPr>
        <w:t xml:space="preserve">. </w:t>
      </w:r>
      <w:r w:rsidR="004847FD" w:rsidRPr="00FA159B">
        <w:rPr>
          <w:rFonts w:ascii="Times New Roman" w:eastAsia="Batang" w:hAnsi="Times New Roman"/>
          <w:bCs/>
          <w:sz w:val="28"/>
          <w:szCs w:val="28"/>
        </w:rPr>
        <w:t>S</w:t>
      </w:r>
      <w:r w:rsidR="00A8782C" w:rsidRPr="00FA159B">
        <w:rPr>
          <w:rFonts w:ascii="Times New Roman" w:eastAsia="Batang" w:hAnsi="Times New Roman"/>
          <w:bCs/>
          <w:sz w:val="28"/>
          <w:szCs w:val="28"/>
        </w:rPr>
        <w:t xml:space="preserve">in embargo, no existe un registro detallado de las entregas, ni un censo del total de los </w:t>
      </w:r>
      <w:r w:rsidR="004847FD" w:rsidRPr="00FA159B">
        <w:rPr>
          <w:rFonts w:ascii="Times New Roman" w:eastAsia="Batang" w:hAnsi="Times New Roman"/>
          <w:bCs/>
          <w:sz w:val="28"/>
          <w:szCs w:val="28"/>
        </w:rPr>
        <w:t xml:space="preserve">servidores </w:t>
      </w:r>
      <w:r w:rsidR="0098525E" w:rsidRPr="00FA159B">
        <w:rPr>
          <w:rFonts w:ascii="Times New Roman" w:eastAsia="Batang" w:hAnsi="Times New Roman"/>
          <w:bCs/>
          <w:sz w:val="28"/>
          <w:szCs w:val="28"/>
        </w:rPr>
        <w:t xml:space="preserve">judiciales </w:t>
      </w:r>
      <w:r w:rsidR="00C37B21" w:rsidRPr="00FA159B">
        <w:rPr>
          <w:rFonts w:ascii="Times New Roman" w:eastAsia="Batang" w:hAnsi="Times New Roman"/>
          <w:bCs/>
          <w:sz w:val="28"/>
          <w:szCs w:val="28"/>
        </w:rPr>
        <w:t xml:space="preserve">y población en general </w:t>
      </w:r>
      <w:r w:rsidR="00A8782C" w:rsidRPr="00FA159B">
        <w:rPr>
          <w:rFonts w:ascii="Times New Roman" w:eastAsia="Batang" w:hAnsi="Times New Roman"/>
          <w:bCs/>
          <w:sz w:val="28"/>
          <w:szCs w:val="28"/>
        </w:rPr>
        <w:t>que</w:t>
      </w:r>
      <w:r w:rsidR="00A8782C" w:rsidRPr="00643DCF">
        <w:rPr>
          <w:rFonts w:ascii="Times New Roman" w:eastAsia="Batang" w:hAnsi="Times New Roman"/>
          <w:bCs/>
          <w:sz w:val="28"/>
          <w:szCs w:val="28"/>
        </w:rPr>
        <w:t xml:space="preserve"> </w:t>
      </w:r>
      <w:r w:rsidR="00DF5D22" w:rsidRPr="00643DCF">
        <w:rPr>
          <w:rFonts w:ascii="Times New Roman" w:eastAsia="Batang" w:hAnsi="Times New Roman"/>
          <w:bCs/>
          <w:sz w:val="28"/>
          <w:szCs w:val="28"/>
        </w:rPr>
        <w:t xml:space="preserve">recibieron </w:t>
      </w:r>
      <w:r w:rsidR="004847FD" w:rsidRPr="00643DCF">
        <w:rPr>
          <w:rFonts w:ascii="Times New Roman" w:eastAsia="Batang" w:hAnsi="Times New Roman"/>
          <w:bCs/>
          <w:sz w:val="28"/>
          <w:szCs w:val="28"/>
        </w:rPr>
        <w:t>la cartilla</w:t>
      </w:r>
      <w:r w:rsidR="00DF5D22" w:rsidRPr="00643DCF">
        <w:rPr>
          <w:rFonts w:ascii="Times New Roman" w:eastAsia="Batang" w:hAnsi="Times New Roman"/>
          <w:bCs/>
          <w:sz w:val="28"/>
          <w:szCs w:val="28"/>
        </w:rPr>
        <w:t xml:space="preserve"> </w:t>
      </w:r>
      <w:r w:rsidR="00DE1B4E" w:rsidRPr="00643DCF">
        <w:rPr>
          <w:rFonts w:ascii="Times New Roman" w:eastAsia="Batang" w:hAnsi="Times New Roman"/>
          <w:bCs/>
          <w:sz w:val="28"/>
          <w:szCs w:val="28"/>
        </w:rPr>
        <w:t>y qui</w:t>
      </w:r>
      <w:r w:rsidR="008C462B" w:rsidRPr="00643DCF">
        <w:rPr>
          <w:rFonts w:ascii="Times New Roman" w:eastAsia="Batang" w:hAnsi="Times New Roman"/>
          <w:bCs/>
          <w:sz w:val="28"/>
          <w:szCs w:val="28"/>
        </w:rPr>
        <w:t>é</w:t>
      </w:r>
      <w:r w:rsidR="00DE1B4E" w:rsidRPr="00643DCF">
        <w:rPr>
          <w:rFonts w:ascii="Times New Roman" w:eastAsia="Batang" w:hAnsi="Times New Roman"/>
          <w:bCs/>
          <w:sz w:val="28"/>
          <w:szCs w:val="28"/>
        </w:rPr>
        <w:t>nes no</w:t>
      </w:r>
      <w:r w:rsidR="0098525E" w:rsidRPr="00643DCF">
        <w:rPr>
          <w:rFonts w:ascii="Times New Roman" w:eastAsia="Batang" w:hAnsi="Times New Roman"/>
          <w:bCs/>
          <w:sz w:val="28"/>
          <w:szCs w:val="28"/>
        </w:rPr>
        <w:t>; p</w:t>
      </w:r>
      <w:r w:rsidR="00353603" w:rsidRPr="00643DCF">
        <w:rPr>
          <w:rFonts w:ascii="Times New Roman" w:eastAsia="Batang" w:hAnsi="Times New Roman"/>
          <w:bCs/>
          <w:sz w:val="28"/>
          <w:szCs w:val="28"/>
        </w:rPr>
        <w:t>or lo</w:t>
      </w:r>
      <w:r w:rsidR="009B004A" w:rsidRPr="00643DCF">
        <w:rPr>
          <w:rFonts w:ascii="Times New Roman" w:eastAsia="Batang" w:hAnsi="Times New Roman"/>
          <w:bCs/>
          <w:sz w:val="28"/>
          <w:szCs w:val="28"/>
        </w:rPr>
        <w:t xml:space="preserve"> que</w:t>
      </w:r>
      <w:r w:rsidR="00670776" w:rsidRPr="00643DCF">
        <w:rPr>
          <w:rFonts w:ascii="Times New Roman" w:eastAsia="Batang" w:hAnsi="Times New Roman"/>
          <w:bCs/>
          <w:sz w:val="28"/>
          <w:szCs w:val="28"/>
        </w:rPr>
        <w:t xml:space="preserve"> </w:t>
      </w:r>
      <w:r w:rsidR="00DE1B4E" w:rsidRPr="00643DCF">
        <w:rPr>
          <w:rFonts w:ascii="Times New Roman" w:eastAsia="Batang" w:hAnsi="Times New Roman"/>
          <w:bCs/>
          <w:sz w:val="28"/>
          <w:szCs w:val="28"/>
        </w:rPr>
        <w:t xml:space="preserve">resulta difícil para esta Sala de Seguimiento </w:t>
      </w:r>
      <w:r w:rsidR="00353603" w:rsidRPr="00643DCF">
        <w:rPr>
          <w:rFonts w:ascii="Times New Roman" w:eastAsia="Batang" w:hAnsi="Times New Roman"/>
          <w:bCs/>
          <w:sz w:val="28"/>
          <w:szCs w:val="28"/>
        </w:rPr>
        <w:t>establecer resultados en razón a esta medida</w:t>
      </w:r>
      <w:r w:rsidR="008120A3" w:rsidRPr="00643DCF">
        <w:rPr>
          <w:rFonts w:ascii="Times New Roman" w:eastAsia="Batang" w:hAnsi="Times New Roman"/>
          <w:bCs/>
          <w:sz w:val="28"/>
          <w:szCs w:val="28"/>
        </w:rPr>
        <w:t>.</w:t>
      </w:r>
    </w:p>
    <w:p w14:paraId="2ABFD499" w14:textId="77777777" w:rsidR="000E62A2" w:rsidRPr="00643DCF" w:rsidRDefault="000E62A2" w:rsidP="00A8782C">
      <w:pPr>
        <w:pStyle w:val="Sinespaciado3"/>
        <w:tabs>
          <w:tab w:val="left" w:pos="567"/>
          <w:tab w:val="left" w:pos="851"/>
          <w:tab w:val="left" w:pos="1134"/>
        </w:tabs>
        <w:jc w:val="both"/>
        <w:rPr>
          <w:rFonts w:ascii="Times New Roman" w:eastAsia="Batang" w:hAnsi="Times New Roman"/>
          <w:bCs/>
          <w:sz w:val="28"/>
          <w:szCs w:val="28"/>
        </w:rPr>
      </w:pPr>
    </w:p>
    <w:p w14:paraId="249F2BE3" w14:textId="6B3F40BF" w:rsidR="00DF5D22" w:rsidRPr="00643DCF" w:rsidRDefault="001356D4" w:rsidP="007E54C5">
      <w:pPr>
        <w:pStyle w:val="Sinespaciado3"/>
        <w:tabs>
          <w:tab w:val="left" w:pos="567"/>
          <w:tab w:val="left" w:pos="851"/>
          <w:tab w:val="left" w:pos="1276"/>
          <w:tab w:val="left" w:pos="2865"/>
        </w:tabs>
        <w:jc w:val="both"/>
        <w:rPr>
          <w:rFonts w:ascii="Times New Roman" w:eastAsia="Batang" w:hAnsi="Times New Roman"/>
          <w:bCs/>
          <w:sz w:val="28"/>
          <w:szCs w:val="28"/>
        </w:rPr>
      </w:pPr>
      <w:r w:rsidRPr="00643DCF">
        <w:rPr>
          <w:rFonts w:ascii="Times New Roman" w:eastAsia="Batang" w:hAnsi="Times New Roman"/>
          <w:bCs/>
          <w:sz w:val="28"/>
          <w:szCs w:val="28"/>
        </w:rPr>
        <w:t>63</w:t>
      </w:r>
      <w:r w:rsidR="0057282C" w:rsidRPr="00643DCF">
        <w:rPr>
          <w:rFonts w:ascii="Times New Roman" w:eastAsia="Batang" w:hAnsi="Times New Roman"/>
          <w:bCs/>
          <w:sz w:val="28"/>
          <w:szCs w:val="28"/>
        </w:rPr>
        <w:t>.</w:t>
      </w:r>
      <w:r w:rsidR="00670776" w:rsidRPr="00643DCF">
        <w:rPr>
          <w:rFonts w:ascii="Times New Roman" w:eastAsia="Batang" w:hAnsi="Times New Roman"/>
          <w:bCs/>
          <w:sz w:val="28"/>
          <w:szCs w:val="28"/>
        </w:rPr>
        <w:t xml:space="preserve"> </w:t>
      </w:r>
      <w:r w:rsidR="00DF5D22" w:rsidRPr="00643DCF">
        <w:rPr>
          <w:rFonts w:ascii="Times New Roman" w:eastAsia="Batang" w:hAnsi="Times New Roman"/>
          <w:bCs/>
          <w:sz w:val="28"/>
          <w:szCs w:val="28"/>
        </w:rPr>
        <w:t xml:space="preserve">Adicionalmente </w:t>
      </w:r>
      <w:r w:rsidR="00A61A63" w:rsidRPr="00643DCF">
        <w:rPr>
          <w:rFonts w:ascii="Times New Roman" w:eastAsia="Batang" w:hAnsi="Times New Roman"/>
          <w:bCs/>
          <w:sz w:val="28"/>
          <w:szCs w:val="28"/>
        </w:rPr>
        <w:t xml:space="preserve">no es aceptable </w:t>
      </w:r>
      <w:r w:rsidR="00DD6409" w:rsidRPr="00643DCF">
        <w:rPr>
          <w:rFonts w:ascii="Times New Roman" w:eastAsia="Batang" w:hAnsi="Times New Roman"/>
          <w:bCs/>
          <w:sz w:val="28"/>
          <w:szCs w:val="28"/>
        </w:rPr>
        <w:t xml:space="preserve">que </w:t>
      </w:r>
      <w:r w:rsidR="00A61A63" w:rsidRPr="00643DCF">
        <w:rPr>
          <w:rFonts w:ascii="Times New Roman" w:eastAsia="Batang" w:hAnsi="Times New Roman"/>
          <w:bCs/>
          <w:sz w:val="28"/>
          <w:szCs w:val="28"/>
        </w:rPr>
        <w:t>el CSJ mencion</w:t>
      </w:r>
      <w:r w:rsidR="00DD6409" w:rsidRPr="00643DCF">
        <w:rPr>
          <w:rFonts w:ascii="Times New Roman" w:eastAsia="Batang" w:hAnsi="Times New Roman"/>
          <w:bCs/>
          <w:sz w:val="28"/>
          <w:szCs w:val="28"/>
        </w:rPr>
        <w:t xml:space="preserve">e </w:t>
      </w:r>
      <w:r w:rsidR="00A61A63" w:rsidRPr="00643DCF">
        <w:rPr>
          <w:rFonts w:ascii="Times New Roman" w:eastAsia="Batang" w:hAnsi="Times New Roman"/>
          <w:bCs/>
          <w:sz w:val="28"/>
          <w:szCs w:val="28"/>
        </w:rPr>
        <w:t xml:space="preserve">que </w:t>
      </w:r>
      <w:r w:rsidR="00DF5D22" w:rsidRPr="00643DCF">
        <w:rPr>
          <w:rFonts w:ascii="Times New Roman" w:eastAsia="Batang" w:hAnsi="Times New Roman"/>
          <w:bCs/>
          <w:sz w:val="28"/>
          <w:szCs w:val="28"/>
        </w:rPr>
        <w:t xml:space="preserve">cuenta con los recursos necesarios para diseñar y publicar folletos informativos relacionados con el derecho a la salud </w:t>
      </w:r>
      <w:r w:rsidR="00A61A63" w:rsidRPr="00643DCF">
        <w:rPr>
          <w:rFonts w:ascii="Times New Roman" w:eastAsia="Batang" w:hAnsi="Times New Roman"/>
          <w:bCs/>
          <w:sz w:val="28"/>
          <w:szCs w:val="28"/>
        </w:rPr>
        <w:t xml:space="preserve">en el momento en que </w:t>
      </w:r>
      <w:r w:rsidR="00DF5D22" w:rsidRPr="00643DCF">
        <w:rPr>
          <w:rFonts w:ascii="Times New Roman" w:eastAsia="Batang" w:hAnsi="Times New Roman"/>
          <w:bCs/>
          <w:sz w:val="28"/>
          <w:szCs w:val="28"/>
        </w:rPr>
        <w:t>la Corte lo estime conveniente</w:t>
      </w:r>
      <w:r w:rsidR="007A26E0" w:rsidRPr="00643DCF">
        <w:rPr>
          <w:rStyle w:val="Refdenotaalpie"/>
          <w:rFonts w:ascii="Times New Roman" w:eastAsia="Batang" w:hAnsi="Times New Roman"/>
          <w:bCs/>
          <w:sz w:val="28"/>
          <w:szCs w:val="28"/>
        </w:rPr>
        <w:footnoteReference w:id="172"/>
      </w:r>
      <w:r w:rsidR="00DF5D22" w:rsidRPr="00643DCF">
        <w:rPr>
          <w:rFonts w:ascii="Times New Roman" w:eastAsia="Batang" w:hAnsi="Times New Roman"/>
          <w:bCs/>
          <w:sz w:val="28"/>
          <w:szCs w:val="28"/>
        </w:rPr>
        <w:t xml:space="preserve">, </w:t>
      </w:r>
      <w:r w:rsidR="00FD7D5F" w:rsidRPr="00643DCF">
        <w:rPr>
          <w:rFonts w:ascii="Times New Roman" w:eastAsia="Batang" w:hAnsi="Times New Roman"/>
          <w:bCs/>
          <w:sz w:val="28"/>
          <w:szCs w:val="28"/>
        </w:rPr>
        <w:t>ya que</w:t>
      </w:r>
      <w:r w:rsidR="001003C2" w:rsidRPr="00643DCF">
        <w:rPr>
          <w:rFonts w:ascii="Times New Roman" w:eastAsia="Batang" w:hAnsi="Times New Roman"/>
          <w:bCs/>
          <w:sz w:val="28"/>
          <w:szCs w:val="28"/>
        </w:rPr>
        <w:t xml:space="preserve"> </w:t>
      </w:r>
      <w:r w:rsidR="00DF5D22" w:rsidRPr="00643DCF">
        <w:rPr>
          <w:rFonts w:ascii="Times New Roman" w:eastAsia="Batang" w:hAnsi="Times New Roman"/>
          <w:bCs/>
          <w:sz w:val="28"/>
          <w:szCs w:val="28"/>
        </w:rPr>
        <w:t>es</w:t>
      </w:r>
      <w:r w:rsidR="00A61A63" w:rsidRPr="00643DCF">
        <w:rPr>
          <w:rFonts w:ascii="Times New Roman" w:eastAsia="Batang" w:hAnsi="Times New Roman"/>
          <w:bCs/>
          <w:sz w:val="28"/>
          <w:szCs w:val="28"/>
        </w:rPr>
        <w:t xml:space="preserve"> </w:t>
      </w:r>
      <w:r w:rsidR="004E4CF1" w:rsidRPr="00643DCF">
        <w:rPr>
          <w:rFonts w:ascii="Times New Roman" w:eastAsia="Batang" w:hAnsi="Times New Roman"/>
          <w:bCs/>
          <w:sz w:val="28"/>
          <w:szCs w:val="28"/>
        </w:rPr>
        <w:t>dicha</w:t>
      </w:r>
      <w:r w:rsidR="004847FD" w:rsidRPr="00643DCF">
        <w:rPr>
          <w:rFonts w:ascii="Times New Roman" w:eastAsia="Batang" w:hAnsi="Times New Roman"/>
          <w:bCs/>
          <w:sz w:val="28"/>
          <w:szCs w:val="28"/>
        </w:rPr>
        <w:t xml:space="preserve"> </w:t>
      </w:r>
      <w:r w:rsidR="004A4DC8" w:rsidRPr="00643DCF">
        <w:rPr>
          <w:rFonts w:ascii="Times New Roman" w:eastAsia="Batang" w:hAnsi="Times New Roman"/>
          <w:bCs/>
          <w:sz w:val="28"/>
          <w:szCs w:val="28"/>
        </w:rPr>
        <w:t xml:space="preserve">entidad </w:t>
      </w:r>
      <w:r w:rsidR="004E4CF1" w:rsidRPr="00643DCF">
        <w:rPr>
          <w:rFonts w:ascii="Times New Roman" w:eastAsia="Batang" w:hAnsi="Times New Roman"/>
          <w:bCs/>
          <w:sz w:val="28"/>
          <w:szCs w:val="28"/>
        </w:rPr>
        <w:t xml:space="preserve">la </w:t>
      </w:r>
      <w:r w:rsidR="004A4DC8" w:rsidRPr="00643DCF">
        <w:rPr>
          <w:rFonts w:ascii="Times New Roman" w:eastAsia="Batang" w:hAnsi="Times New Roman"/>
          <w:bCs/>
          <w:sz w:val="28"/>
          <w:szCs w:val="28"/>
        </w:rPr>
        <w:t xml:space="preserve">que debe dar cumplimiento </w:t>
      </w:r>
      <w:r w:rsidR="004E4CF1" w:rsidRPr="00643DCF">
        <w:rPr>
          <w:rFonts w:ascii="Times New Roman" w:eastAsia="Batang" w:hAnsi="Times New Roman"/>
          <w:bCs/>
          <w:sz w:val="28"/>
          <w:szCs w:val="28"/>
        </w:rPr>
        <w:t xml:space="preserve">de una manera estricta </w:t>
      </w:r>
      <w:r w:rsidR="004A4DC8" w:rsidRPr="00643DCF">
        <w:rPr>
          <w:rFonts w:ascii="Times New Roman" w:eastAsia="Batang" w:hAnsi="Times New Roman"/>
          <w:bCs/>
          <w:sz w:val="28"/>
          <w:szCs w:val="28"/>
        </w:rPr>
        <w:t xml:space="preserve">al mandato </w:t>
      </w:r>
      <w:r w:rsidR="004E4CF1" w:rsidRPr="00643DCF">
        <w:rPr>
          <w:rFonts w:ascii="Times New Roman" w:eastAsia="Batang" w:hAnsi="Times New Roman"/>
          <w:bCs/>
          <w:sz w:val="28"/>
          <w:szCs w:val="28"/>
        </w:rPr>
        <w:t xml:space="preserve">general, así como </w:t>
      </w:r>
      <w:r w:rsidR="004847FD" w:rsidRPr="00643DCF">
        <w:rPr>
          <w:rFonts w:ascii="Times New Roman" w:eastAsia="Batang" w:hAnsi="Times New Roman"/>
          <w:bCs/>
          <w:sz w:val="28"/>
          <w:szCs w:val="28"/>
        </w:rPr>
        <w:t xml:space="preserve">programar </w:t>
      </w:r>
      <w:r w:rsidR="004A4DC8" w:rsidRPr="00643DCF">
        <w:rPr>
          <w:rFonts w:ascii="Times New Roman" w:eastAsia="Batang" w:hAnsi="Times New Roman"/>
          <w:bCs/>
          <w:sz w:val="28"/>
          <w:szCs w:val="28"/>
        </w:rPr>
        <w:t xml:space="preserve">y </w:t>
      </w:r>
      <w:r w:rsidR="00A61A63" w:rsidRPr="00643DCF">
        <w:rPr>
          <w:rFonts w:ascii="Times New Roman" w:eastAsia="Batang" w:hAnsi="Times New Roman"/>
          <w:bCs/>
          <w:sz w:val="28"/>
          <w:szCs w:val="28"/>
        </w:rPr>
        <w:t xml:space="preserve">desarrollar </w:t>
      </w:r>
      <w:r w:rsidR="004847FD" w:rsidRPr="00643DCF">
        <w:rPr>
          <w:rFonts w:ascii="Times New Roman" w:eastAsia="Batang" w:hAnsi="Times New Roman"/>
          <w:bCs/>
          <w:sz w:val="28"/>
          <w:szCs w:val="28"/>
        </w:rPr>
        <w:t>el contenido temático y demás</w:t>
      </w:r>
      <w:r w:rsidR="00A61A63" w:rsidRPr="00643DCF">
        <w:rPr>
          <w:rFonts w:ascii="Times New Roman" w:eastAsia="Batang" w:hAnsi="Times New Roman"/>
          <w:bCs/>
          <w:sz w:val="28"/>
          <w:szCs w:val="28"/>
        </w:rPr>
        <w:t xml:space="preserve"> </w:t>
      </w:r>
      <w:r w:rsidR="00AE1695" w:rsidRPr="00643DCF">
        <w:rPr>
          <w:rFonts w:ascii="Times New Roman" w:eastAsia="Batang" w:hAnsi="Times New Roman"/>
          <w:bCs/>
          <w:sz w:val="28"/>
          <w:szCs w:val="28"/>
        </w:rPr>
        <w:t>actividades</w:t>
      </w:r>
      <w:r w:rsidR="004847FD" w:rsidRPr="00643DCF">
        <w:rPr>
          <w:rFonts w:ascii="Times New Roman" w:eastAsia="Batang" w:hAnsi="Times New Roman"/>
          <w:bCs/>
          <w:sz w:val="28"/>
          <w:szCs w:val="28"/>
        </w:rPr>
        <w:t xml:space="preserve"> que considere necesarias</w:t>
      </w:r>
      <w:r w:rsidR="00AE1695" w:rsidRPr="00643DCF">
        <w:rPr>
          <w:rFonts w:ascii="Times New Roman" w:eastAsia="Batang" w:hAnsi="Times New Roman"/>
          <w:bCs/>
          <w:sz w:val="28"/>
          <w:szCs w:val="28"/>
        </w:rPr>
        <w:t xml:space="preserve"> </w:t>
      </w:r>
      <w:r w:rsidR="00B87FA4" w:rsidRPr="00643DCF">
        <w:rPr>
          <w:rFonts w:ascii="Times New Roman" w:eastAsia="Batang" w:hAnsi="Times New Roman"/>
          <w:bCs/>
          <w:sz w:val="28"/>
          <w:szCs w:val="28"/>
        </w:rPr>
        <w:t xml:space="preserve">para </w:t>
      </w:r>
      <w:r w:rsidR="00AE1695" w:rsidRPr="00643DCF">
        <w:rPr>
          <w:rFonts w:ascii="Times New Roman" w:eastAsia="Batang" w:hAnsi="Times New Roman"/>
          <w:bCs/>
          <w:sz w:val="28"/>
          <w:szCs w:val="28"/>
        </w:rPr>
        <w:t xml:space="preserve">la </w:t>
      </w:r>
      <w:r w:rsidR="00DF5D22" w:rsidRPr="00643DCF">
        <w:rPr>
          <w:rFonts w:ascii="Times New Roman" w:eastAsia="Batang" w:hAnsi="Times New Roman"/>
          <w:bCs/>
          <w:sz w:val="28"/>
          <w:szCs w:val="28"/>
        </w:rPr>
        <w:t>labor</w:t>
      </w:r>
      <w:r w:rsidR="00DD6409" w:rsidRPr="00643DCF">
        <w:rPr>
          <w:rFonts w:ascii="Times New Roman" w:eastAsia="Batang" w:hAnsi="Times New Roman"/>
          <w:bCs/>
          <w:sz w:val="28"/>
          <w:szCs w:val="28"/>
        </w:rPr>
        <w:t xml:space="preserve"> de capacitación</w:t>
      </w:r>
      <w:r w:rsidR="004A4DC8" w:rsidRPr="00643DCF">
        <w:rPr>
          <w:rFonts w:ascii="Times New Roman" w:eastAsia="Batang" w:hAnsi="Times New Roman"/>
          <w:bCs/>
          <w:sz w:val="28"/>
          <w:szCs w:val="28"/>
        </w:rPr>
        <w:t>,</w:t>
      </w:r>
      <w:r w:rsidR="00DD6409" w:rsidRPr="00643DCF">
        <w:rPr>
          <w:rFonts w:ascii="Times New Roman" w:eastAsia="Batang" w:hAnsi="Times New Roman"/>
          <w:bCs/>
          <w:sz w:val="28"/>
          <w:szCs w:val="28"/>
        </w:rPr>
        <w:t xml:space="preserve"> formación y actualización </w:t>
      </w:r>
      <w:r w:rsidR="00AE1695" w:rsidRPr="00643DCF">
        <w:rPr>
          <w:rFonts w:ascii="Times New Roman" w:eastAsia="Batang" w:hAnsi="Times New Roman"/>
          <w:bCs/>
          <w:sz w:val="28"/>
          <w:szCs w:val="28"/>
        </w:rPr>
        <w:t>encomendada en la orden valorada</w:t>
      </w:r>
      <w:r w:rsidR="008A0900" w:rsidRPr="00643DCF">
        <w:rPr>
          <w:rFonts w:ascii="Times New Roman" w:eastAsia="Batang" w:hAnsi="Times New Roman"/>
          <w:bCs/>
          <w:sz w:val="28"/>
          <w:szCs w:val="28"/>
        </w:rPr>
        <w:t>,</w:t>
      </w:r>
      <w:r w:rsidR="00FD7D5F" w:rsidRPr="00643DCF">
        <w:rPr>
          <w:rFonts w:ascii="Times New Roman" w:eastAsia="Batang" w:hAnsi="Times New Roman"/>
          <w:bCs/>
          <w:sz w:val="28"/>
          <w:szCs w:val="28"/>
        </w:rPr>
        <w:t xml:space="preserve"> sin que deba esta Corporación </w:t>
      </w:r>
      <w:r w:rsidR="009105D1" w:rsidRPr="00643DCF">
        <w:rPr>
          <w:rFonts w:ascii="Times New Roman" w:eastAsia="Batang" w:hAnsi="Times New Roman"/>
          <w:bCs/>
          <w:sz w:val="28"/>
          <w:szCs w:val="28"/>
        </w:rPr>
        <w:t>determinar los mecanismos</w:t>
      </w:r>
      <w:r w:rsidR="00472954" w:rsidRPr="00643DCF">
        <w:rPr>
          <w:rFonts w:ascii="Times New Roman" w:eastAsia="Batang" w:hAnsi="Times New Roman"/>
          <w:bCs/>
          <w:sz w:val="28"/>
          <w:szCs w:val="28"/>
        </w:rPr>
        <w:t xml:space="preserve">, formas y </w:t>
      </w:r>
      <w:r w:rsidR="00E959AD" w:rsidRPr="00643DCF">
        <w:rPr>
          <w:rFonts w:ascii="Times New Roman" w:eastAsia="Batang" w:hAnsi="Times New Roman"/>
          <w:bCs/>
          <w:sz w:val="28"/>
          <w:szCs w:val="28"/>
        </w:rPr>
        <w:t>tiempos</w:t>
      </w:r>
      <w:r w:rsidR="005E791F" w:rsidRPr="00643DCF">
        <w:rPr>
          <w:rFonts w:ascii="Times New Roman" w:eastAsia="Batang" w:hAnsi="Times New Roman"/>
          <w:bCs/>
          <w:sz w:val="28"/>
          <w:szCs w:val="28"/>
        </w:rPr>
        <w:t xml:space="preserve"> en que los mismos </w:t>
      </w:r>
      <w:r w:rsidR="0074536D" w:rsidRPr="00643DCF">
        <w:rPr>
          <w:rFonts w:ascii="Times New Roman" w:eastAsia="Batang" w:hAnsi="Times New Roman"/>
          <w:bCs/>
          <w:sz w:val="28"/>
          <w:szCs w:val="28"/>
        </w:rPr>
        <w:t xml:space="preserve">se </w:t>
      </w:r>
      <w:r w:rsidR="00B87FA4" w:rsidRPr="00643DCF">
        <w:rPr>
          <w:rFonts w:ascii="Times New Roman" w:eastAsia="Batang" w:hAnsi="Times New Roman"/>
          <w:bCs/>
          <w:sz w:val="28"/>
          <w:szCs w:val="28"/>
        </w:rPr>
        <w:t>lleven a cabo</w:t>
      </w:r>
      <w:r w:rsidR="005E791F" w:rsidRPr="00643DCF">
        <w:rPr>
          <w:rFonts w:ascii="Times New Roman" w:eastAsia="Batang" w:hAnsi="Times New Roman"/>
          <w:bCs/>
          <w:sz w:val="28"/>
          <w:szCs w:val="28"/>
        </w:rPr>
        <w:t>.</w:t>
      </w:r>
    </w:p>
    <w:p w14:paraId="66719638" w14:textId="77777777" w:rsidR="008B79CB" w:rsidRPr="00643DCF" w:rsidRDefault="008B79CB" w:rsidP="007E54C5">
      <w:pPr>
        <w:pStyle w:val="Sinespaciado3"/>
        <w:tabs>
          <w:tab w:val="left" w:pos="567"/>
          <w:tab w:val="left" w:pos="851"/>
          <w:tab w:val="left" w:pos="1276"/>
          <w:tab w:val="left" w:pos="2865"/>
        </w:tabs>
        <w:jc w:val="both"/>
        <w:rPr>
          <w:rFonts w:ascii="Times New Roman" w:eastAsia="Batang" w:hAnsi="Times New Roman"/>
          <w:bCs/>
          <w:sz w:val="28"/>
          <w:szCs w:val="28"/>
        </w:rPr>
      </w:pPr>
    </w:p>
    <w:p w14:paraId="5B177BB6" w14:textId="2A381645" w:rsidR="00A11EAF" w:rsidRPr="00643DCF" w:rsidRDefault="00670776" w:rsidP="007E54C5">
      <w:pPr>
        <w:pStyle w:val="Sinespaciado3"/>
        <w:tabs>
          <w:tab w:val="left" w:pos="567"/>
          <w:tab w:val="left" w:pos="851"/>
          <w:tab w:val="left" w:pos="1276"/>
          <w:tab w:val="left" w:pos="2865"/>
        </w:tabs>
        <w:jc w:val="both"/>
        <w:rPr>
          <w:rFonts w:ascii="Times New Roman" w:hAnsi="Times New Roman"/>
          <w:sz w:val="28"/>
          <w:szCs w:val="28"/>
        </w:rPr>
      </w:pPr>
      <w:r w:rsidRPr="00643DCF">
        <w:rPr>
          <w:rFonts w:ascii="Times New Roman" w:hAnsi="Times New Roman"/>
          <w:sz w:val="28"/>
          <w:szCs w:val="28"/>
        </w:rPr>
        <w:t>6</w:t>
      </w:r>
      <w:r w:rsidR="001356D4" w:rsidRPr="00643DCF">
        <w:rPr>
          <w:rFonts w:ascii="Times New Roman" w:hAnsi="Times New Roman"/>
          <w:sz w:val="28"/>
          <w:szCs w:val="28"/>
        </w:rPr>
        <w:t>4</w:t>
      </w:r>
      <w:r w:rsidRPr="00643DCF">
        <w:rPr>
          <w:rFonts w:ascii="Times New Roman" w:hAnsi="Times New Roman"/>
          <w:sz w:val="28"/>
          <w:szCs w:val="28"/>
        </w:rPr>
        <w:t xml:space="preserve">. </w:t>
      </w:r>
      <w:r w:rsidR="004A4DC8" w:rsidRPr="00643DCF">
        <w:rPr>
          <w:rFonts w:ascii="Times New Roman" w:hAnsi="Times New Roman"/>
          <w:sz w:val="28"/>
          <w:szCs w:val="28"/>
        </w:rPr>
        <w:t>Por lo anterior, a pesar de la conducencia de la medida</w:t>
      </w:r>
      <w:r w:rsidR="00D31E79" w:rsidRPr="00643DCF">
        <w:rPr>
          <w:rFonts w:ascii="Times New Roman" w:hAnsi="Times New Roman"/>
          <w:sz w:val="28"/>
          <w:szCs w:val="28"/>
        </w:rPr>
        <w:t>,</w:t>
      </w:r>
      <w:r w:rsidR="00BB15AD" w:rsidRPr="00643DCF">
        <w:rPr>
          <w:rFonts w:ascii="Times New Roman" w:hAnsi="Times New Roman"/>
          <w:sz w:val="28"/>
          <w:szCs w:val="28"/>
        </w:rPr>
        <w:t xml:space="preserve"> </w:t>
      </w:r>
      <w:r w:rsidR="00D31E79" w:rsidRPr="00643DCF">
        <w:rPr>
          <w:rFonts w:ascii="Times New Roman" w:hAnsi="Times New Roman"/>
          <w:sz w:val="28"/>
          <w:szCs w:val="28"/>
        </w:rPr>
        <w:t xml:space="preserve">no se observan </w:t>
      </w:r>
      <w:r w:rsidR="00BB15AD" w:rsidRPr="00643DCF">
        <w:rPr>
          <w:rFonts w:ascii="Times New Roman" w:hAnsi="Times New Roman"/>
          <w:sz w:val="28"/>
          <w:szCs w:val="28"/>
        </w:rPr>
        <w:t xml:space="preserve">resultados </w:t>
      </w:r>
      <w:r w:rsidR="004E4CF1" w:rsidRPr="00643DCF">
        <w:rPr>
          <w:rFonts w:ascii="Times New Roman" w:hAnsi="Times New Roman"/>
          <w:sz w:val="28"/>
          <w:szCs w:val="28"/>
        </w:rPr>
        <w:t xml:space="preserve">significativos </w:t>
      </w:r>
      <w:r w:rsidR="00D31E79" w:rsidRPr="00643DCF">
        <w:rPr>
          <w:rFonts w:ascii="Times New Roman" w:hAnsi="Times New Roman"/>
          <w:sz w:val="28"/>
          <w:szCs w:val="28"/>
        </w:rPr>
        <w:t xml:space="preserve">que permitan determinar el número de servidores judiciales que </w:t>
      </w:r>
      <w:r w:rsidR="006605CE" w:rsidRPr="00643DCF">
        <w:rPr>
          <w:rFonts w:ascii="Times New Roman" w:hAnsi="Times New Roman"/>
          <w:sz w:val="28"/>
          <w:szCs w:val="28"/>
        </w:rPr>
        <w:t>recibieron</w:t>
      </w:r>
      <w:r w:rsidR="00D31E79" w:rsidRPr="00643DCF">
        <w:rPr>
          <w:rFonts w:ascii="Times New Roman" w:hAnsi="Times New Roman"/>
          <w:sz w:val="28"/>
          <w:szCs w:val="28"/>
        </w:rPr>
        <w:t xml:space="preserve"> la publicación impresa de la </w:t>
      </w:r>
      <w:r w:rsidR="003C7559" w:rsidRPr="00643DCF">
        <w:rPr>
          <w:rFonts w:ascii="Times New Roman" w:hAnsi="Times New Roman"/>
          <w:sz w:val="28"/>
          <w:szCs w:val="28"/>
        </w:rPr>
        <w:t>s</w:t>
      </w:r>
      <w:r w:rsidR="00D31E79" w:rsidRPr="00643DCF">
        <w:rPr>
          <w:rFonts w:ascii="Times New Roman" w:hAnsi="Times New Roman"/>
          <w:sz w:val="28"/>
          <w:szCs w:val="28"/>
        </w:rPr>
        <w:t>entencia T- 760 de 2008, aunado a que no se ha realizado una actualización</w:t>
      </w:r>
      <w:r w:rsidR="00A11EAF" w:rsidRPr="00643DCF">
        <w:rPr>
          <w:rFonts w:ascii="Times New Roman" w:hAnsi="Times New Roman"/>
          <w:sz w:val="28"/>
          <w:szCs w:val="28"/>
        </w:rPr>
        <w:t xml:space="preserve"> constante de la información allí transcrita, con los autos de seguimiento</w:t>
      </w:r>
      <w:r w:rsidRPr="00643DCF">
        <w:rPr>
          <w:rFonts w:ascii="Times New Roman" w:hAnsi="Times New Roman"/>
          <w:sz w:val="28"/>
          <w:szCs w:val="28"/>
        </w:rPr>
        <w:t xml:space="preserve"> proferidos </w:t>
      </w:r>
      <w:r w:rsidR="00A11EAF" w:rsidRPr="00643DCF">
        <w:rPr>
          <w:rFonts w:ascii="Times New Roman" w:hAnsi="Times New Roman"/>
          <w:sz w:val="28"/>
          <w:szCs w:val="28"/>
        </w:rPr>
        <w:t>con posterioridad a la impresión</w:t>
      </w:r>
      <w:r w:rsidR="00A11EAF" w:rsidRPr="00643DCF">
        <w:rPr>
          <w:rStyle w:val="Refdenotaalpie"/>
          <w:rFonts w:ascii="Times New Roman" w:hAnsi="Times New Roman"/>
          <w:sz w:val="28"/>
          <w:szCs w:val="28"/>
        </w:rPr>
        <w:footnoteReference w:id="173"/>
      </w:r>
      <w:r w:rsidR="00A11EAF" w:rsidRPr="00643DCF">
        <w:rPr>
          <w:rFonts w:ascii="Times New Roman" w:hAnsi="Times New Roman"/>
          <w:sz w:val="28"/>
          <w:szCs w:val="28"/>
        </w:rPr>
        <w:t>.</w:t>
      </w:r>
    </w:p>
    <w:p w14:paraId="436B349A" w14:textId="77777777" w:rsidR="000944A7" w:rsidRPr="00643DCF" w:rsidRDefault="000944A7" w:rsidP="007E54C5">
      <w:pPr>
        <w:pStyle w:val="Sinespaciado3"/>
        <w:tabs>
          <w:tab w:val="left" w:pos="567"/>
          <w:tab w:val="left" w:pos="851"/>
          <w:tab w:val="left" w:pos="1276"/>
          <w:tab w:val="left" w:pos="2865"/>
        </w:tabs>
        <w:jc w:val="both"/>
        <w:rPr>
          <w:rFonts w:ascii="Times New Roman" w:hAnsi="Times New Roman"/>
          <w:sz w:val="28"/>
          <w:szCs w:val="28"/>
        </w:rPr>
      </w:pPr>
    </w:p>
    <w:p w14:paraId="1242F0E7" w14:textId="58D8B06C" w:rsidR="006605CE" w:rsidRPr="00643DCF" w:rsidRDefault="00670776" w:rsidP="00E00F9B">
      <w:pPr>
        <w:widowControl w:val="0"/>
        <w:tabs>
          <w:tab w:val="left" w:pos="284"/>
        </w:tabs>
        <w:autoSpaceDE w:val="0"/>
        <w:autoSpaceDN w:val="0"/>
        <w:adjustRightInd w:val="0"/>
        <w:jc w:val="both"/>
        <w:rPr>
          <w:sz w:val="28"/>
          <w:szCs w:val="28"/>
          <w:lang w:val="es-ES_tradnl"/>
        </w:rPr>
      </w:pPr>
      <w:r w:rsidRPr="00643DCF">
        <w:rPr>
          <w:sz w:val="28"/>
          <w:szCs w:val="28"/>
          <w:lang w:val="es-ES_tradnl"/>
        </w:rPr>
        <w:t>6</w:t>
      </w:r>
      <w:r w:rsidR="001356D4" w:rsidRPr="00643DCF">
        <w:rPr>
          <w:sz w:val="28"/>
          <w:szCs w:val="28"/>
          <w:lang w:val="es-ES_tradnl"/>
        </w:rPr>
        <w:t>5</w:t>
      </w:r>
      <w:r w:rsidRPr="00643DCF">
        <w:rPr>
          <w:sz w:val="28"/>
          <w:szCs w:val="28"/>
          <w:lang w:val="es-ES_tradnl"/>
        </w:rPr>
        <w:t xml:space="preserve">. </w:t>
      </w:r>
      <w:r w:rsidR="00FF565F" w:rsidRPr="00643DCF">
        <w:rPr>
          <w:sz w:val="28"/>
          <w:szCs w:val="28"/>
          <w:lang w:val="es-ES_tradnl"/>
        </w:rPr>
        <w:t>De conformidad con lo expuesto</w:t>
      </w:r>
      <w:r w:rsidR="00BB15AD" w:rsidRPr="00643DCF">
        <w:rPr>
          <w:sz w:val="28"/>
          <w:szCs w:val="28"/>
          <w:lang w:val="es-ES_tradnl"/>
        </w:rPr>
        <w:t xml:space="preserve">, se </w:t>
      </w:r>
      <w:r w:rsidR="006605CE" w:rsidRPr="00643DCF">
        <w:rPr>
          <w:sz w:val="28"/>
          <w:szCs w:val="28"/>
          <w:lang w:val="es-ES_tradnl"/>
        </w:rPr>
        <w:t xml:space="preserve">advierte </w:t>
      </w:r>
      <w:r w:rsidR="00BB15AD" w:rsidRPr="00643DCF">
        <w:rPr>
          <w:sz w:val="28"/>
          <w:szCs w:val="28"/>
          <w:lang w:val="es-ES_tradnl"/>
        </w:rPr>
        <w:t xml:space="preserve">que aun cuando el CSJ ha desplegado actuaciones conducentes para difundir el fallo estructural, las mismas no han sido suficientes para </w:t>
      </w:r>
      <w:r w:rsidR="00FF565F" w:rsidRPr="00643DCF">
        <w:rPr>
          <w:sz w:val="28"/>
          <w:szCs w:val="28"/>
          <w:lang w:val="es-ES_tradnl"/>
        </w:rPr>
        <w:t xml:space="preserve">obtener resultados </w:t>
      </w:r>
      <w:r w:rsidR="00BB15AD" w:rsidRPr="00643DCF">
        <w:rPr>
          <w:sz w:val="28"/>
          <w:szCs w:val="28"/>
          <w:lang w:val="es-ES_tradnl"/>
        </w:rPr>
        <w:t>que</w:t>
      </w:r>
      <w:r w:rsidR="0090724D" w:rsidRPr="00643DCF">
        <w:rPr>
          <w:sz w:val="28"/>
          <w:szCs w:val="28"/>
          <w:lang w:val="es-ES_tradnl"/>
        </w:rPr>
        <w:t xml:space="preserve"> permitan a la Sala determinar que los funcionarios judiciales conocen e implementan de manera eficiente el contenido de la sentencia y los autos de seguimiento proferidos por la Sala Es</w:t>
      </w:r>
      <w:r w:rsidR="000F02A2" w:rsidRPr="00643DCF">
        <w:rPr>
          <w:sz w:val="28"/>
          <w:szCs w:val="28"/>
          <w:lang w:val="es-ES_tradnl"/>
        </w:rPr>
        <w:t>pecial y de esta forma evidenciar que a través de l</w:t>
      </w:r>
      <w:r w:rsidR="00ED6261" w:rsidRPr="00643DCF">
        <w:rPr>
          <w:sz w:val="28"/>
          <w:szCs w:val="28"/>
          <w:lang w:val="es-ES_tradnl"/>
        </w:rPr>
        <w:t>as mismas se dará cumplimiento al propósito de la orden.</w:t>
      </w:r>
    </w:p>
    <w:p w14:paraId="7E503708" w14:textId="771996E5" w:rsidR="00A61A63" w:rsidRPr="00643DCF" w:rsidRDefault="00A61A63" w:rsidP="007E54C5">
      <w:pPr>
        <w:pStyle w:val="Sinespaciado3"/>
        <w:tabs>
          <w:tab w:val="left" w:pos="567"/>
          <w:tab w:val="left" w:pos="851"/>
          <w:tab w:val="left" w:pos="1276"/>
          <w:tab w:val="left" w:pos="2865"/>
        </w:tabs>
        <w:jc w:val="both"/>
        <w:rPr>
          <w:rFonts w:ascii="Times New Roman" w:hAnsi="Times New Roman"/>
          <w:b/>
          <w:sz w:val="28"/>
          <w:szCs w:val="28"/>
        </w:rPr>
      </w:pPr>
    </w:p>
    <w:p w14:paraId="0AFDBFAF" w14:textId="3320C0D2" w:rsidR="00564E61" w:rsidRPr="00643DCF" w:rsidRDefault="00564E61" w:rsidP="000961E6">
      <w:pPr>
        <w:widowControl w:val="0"/>
        <w:tabs>
          <w:tab w:val="left" w:pos="567"/>
        </w:tabs>
        <w:autoSpaceDE w:val="0"/>
        <w:autoSpaceDN w:val="0"/>
        <w:adjustRightInd w:val="0"/>
        <w:jc w:val="both"/>
        <w:rPr>
          <w:i/>
          <w:sz w:val="28"/>
          <w:szCs w:val="28"/>
        </w:rPr>
      </w:pPr>
      <w:r w:rsidRPr="00643DCF">
        <w:rPr>
          <w:i/>
          <w:sz w:val="28"/>
          <w:szCs w:val="28"/>
        </w:rPr>
        <w:t>Análisis de las medidas</w:t>
      </w:r>
      <w:r w:rsidR="00F16366" w:rsidRPr="00643DCF">
        <w:rPr>
          <w:i/>
          <w:sz w:val="28"/>
          <w:szCs w:val="28"/>
        </w:rPr>
        <w:t xml:space="preserve"> preventivas </w:t>
      </w:r>
      <w:r w:rsidRPr="00643DCF">
        <w:rPr>
          <w:i/>
          <w:sz w:val="28"/>
          <w:szCs w:val="28"/>
        </w:rPr>
        <w:t>adoptadas por el Consejo Superior de la Judicatura</w:t>
      </w:r>
      <w:r w:rsidR="0093354E" w:rsidRPr="00643DCF">
        <w:rPr>
          <w:i/>
          <w:sz w:val="28"/>
          <w:szCs w:val="28"/>
        </w:rPr>
        <w:t>,</w:t>
      </w:r>
      <w:r w:rsidR="00C73CD9" w:rsidRPr="00643DCF">
        <w:rPr>
          <w:i/>
          <w:sz w:val="28"/>
          <w:szCs w:val="28"/>
        </w:rPr>
        <w:t xml:space="preserve"> </w:t>
      </w:r>
      <w:r w:rsidR="00F16366" w:rsidRPr="00643DCF">
        <w:rPr>
          <w:i/>
          <w:sz w:val="28"/>
          <w:szCs w:val="28"/>
        </w:rPr>
        <w:t xml:space="preserve">ordenadas en el </w:t>
      </w:r>
      <w:r w:rsidR="00BF3699" w:rsidRPr="00643DCF">
        <w:rPr>
          <w:i/>
          <w:sz w:val="28"/>
          <w:szCs w:val="28"/>
        </w:rPr>
        <w:t>A</w:t>
      </w:r>
      <w:r w:rsidR="00F16366" w:rsidRPr="00643DCF">
        <w:rPr>
          <w:i/>
          <w:sz w:val="28"/>
          <w:szCs w:val="28"/>
        </w:rPr>
        <w:t>uto 154 de 2014</w:t>
      </w:r>
    </w:p>
    <w:p w14:paraId="29BEEA32" w14:textId="77777777" w:rsidR="00564E61" w:rsidRPr="00643DCF" w:rsidRDefault="00564E61" w:rsidP="007E54C5">
      <w:pPr>
        <w:pStyle w:val="Sinespaciado3"/>
        <w:tabs>
          <w:tab w:val="left" w:pos="567"/>
          <w:tab w:val="left" w:pos="851"/>
          <w:tab w:val="left" w:pos="1276"/>
          <w:tab w:val="left" w:pos="2865"/>
        </w:tabs>
        <w:jc w:val="both"/>
        <w:rPr>
          <w:rFonts w:ascii="Times New Roman" w:hAnsi="Times New Roman"/>
          <w:b/>
          <w:sz w:val="28"/>
          <w:szCs w:val="28"/>
        </w:rPr>
      </w:pPr>
    </w:p>
    <w:p w14:paraId="131B8D55" w14:textId="51A20CF3" w:rsidR="00527FCB" w:rsidRPr="00643DCF" w:rsidRDefault="00B962D4" w:rsidP="00527FCB">
      <w:pPr>
        <w:pStyle w:val="Prrafodelista"/>
        <w:widowControl w:val="0"/>
        <w:tabs>
          <w:tab w:val="left" w:pos="284"/>
          <w:tab w:val="left" w:pos="567"/>
        </w:tabs>
        <w:autoSpaceDE w:val="0"/>
        <w:autoSpaceDN w:val="0"/>
        <w:adjustRightInd w:val="0"/>
        <w:ind w:left="0"/>
        <w:jc w:val="both"/>
        <w:rPr>
          <w:sz w:val="28"/>
          <w:szCs w:val="28"/>
        </w:rPr>
      </w:pPr>
      <w:r w:rsidRPr="00643DCF">
        <w:rPr>
          <w:rFonts w:eastAsia="Batang"/>
          <w:bCs/>
          <w:sz w:val="28"/>
          <w:szCs w:val="28"/>
        </w:rPr>
        <w:t>6</w:t>
      </w:r>
      <w:r w:rsidR="001356D4" w:rsidRPr="00643DCF">
        <w:rPr>
          <w:rFonts w:eastAsia="Batang"/>
          <w:bCs/>
          <w:sz w:val="28"/>
          <w:szCs w:val="28"/>
        </w:rPr>
        <w:t>6</w:t>
      </w:r>
      <w:r w:rsidRPr="00643DCF">
        <w:rPr>
          <w:rFonts w:eastAsia="Batang"/>
          <w:bCs/>
          <w:sz w:val="28"/>
          <w:szCs w:val="28"/>
        </w:rPr>
        <w:t xml:space="preserve">. </w:t>
      </w:r>
      <w:r w:rsidR="00172174" w:rsidRPr="00643DCF">
        <w:rPr>
          <w:rFonts w:eastAsia="Batang"/>
          <w:bCs/>
          <w:sz w:val="28"/>
          <w:szCs w:val="28"/>
        </w:rPr>
        <w:t>A continuación</w:t>
      </w:r>
      <w:r w:rsidR="00675FC0" w:rsidRPr="00643DCF">
        <w:rPr>
          <w:rFonts w:eastAsia="Batang"/>
          <w:bCs/>
          <w:sz w:val="28"/>
          <w:szCs w:val="28"/>
        </w:rPr>
        <w:t xml:space="preserve"> </w:t>
      </w:r>
      <w:r w:rsidR="00527FCB" w:rsidRPr="00643DCF">
        <w:rPr>
          <w:rFonts w:eastAsia="Batang"/>
          <w:bCs/>
          <w:sz w:val="28"/>
          <w:szCs w:val="28"/>
        </w:rPr>
        <w:t xml:space="preserve">se </w:t>
      </w:r>
      <w:r w:rsidR="00DE1253" w:rsidRPr="00643DCF">
        <w:rPr>
          <w:rFonts w:eastAsia="Batang"/>
          <w:bCs/>
          <w:sz w:val="28"/>
          <w:szCs w:val="28"/>
        </w:rPr>
        <w:t xml:space="preserve">estudiarán </w:t>
      </w:r>
      <w:r w:rsidR="00675FC0" w:rsidRPr="00643DCF">
        <w:rPr>
          <w:rFonts w:eastAsia="Batang"/>
          <w:bCs/>
          <w:sz w:val="28"/>
          <w:szCs w:val="28"/>
        </w:rPr>
        <w:t xml:space="preserve">las medidas desarrolladas en </w:t>
      </w:r>
      <w:r w:rsidR="003371A6" w:rsidRPr="00643DCF">
        <w:rPr>
          <w:rFonts w:eastAsia="Batang"/>
          <w:bCs/>
          <w:sz w:val="28"/>
          <w:szCs w:val="28"/>
        </w:rPr>
        <w:t xml:space="preserve">cumplimiento </w:t>
      </w:r>
      <w:r w:rsidR="00DE1253" w:rsidRPr="00643DCF">
        <w:rPr>
          <w:rFonts w:eastAsia="Batang"/>
          <w:bCs/>
          <w:sz w:val="28"/>
          <w:szCs w:val="28"/>
        </w:rPr>
        <w:t xml:space="preserve">a </w:t>
      </w:r>
      <w:r w:rsidR="00527FCB" w:rsidRPr="00643DCF">
        <w:rPr>
          <w:rFonts w:eastAsia="Batang"/>
          <w:bCs/>
          <w:sz w:val="28"/>
          <w:szCs w:val="28"/>
        </w:rPr>
        <w:t xml:space="preserve">lo ordenado en </w:t>
      </w:r>
      <w:r w:rsidR="00E408FB" w:rsidRPr="00643DCF">
        <w:rPr>
          <w:rFonts w:eastAsia="Batang"/>
          <w:bCs/>
          <w:sz w:val="28"/>
          <w:szCs w:val="28"/>
        </w:rPr>
        <w:t xml:space="preserve">el </w:t>
      </w:r>
      <w:r w:rsidR="00527FCB" w:rsidRPr="00643DCF">
        <w:rPr>
          <w:rFonts w:eastAsia="Batang"/>
          <w:bCs/>
          <w:sz w:val="28"/>
          <w:szCs w:val="28"/>
        </w:rPr>
        <w:t>au</w:t>
      </w:r>
      <w:r w:rsidR="00527FCB" w:rsidRPr="00643DCF">
        <w:rPr>
          <w:sz w:val="28"/>
          <w:szCs w:val="28"/>
        </w:rPr>
        <w:t>to del 28 de mayo de 2014</w:t>
      </w:r>
      <w:r w:rsidR="00527FCB" w:rsidRPr="00643DCF">
        <w:rPr>
          <w:rStyle w:val="Refdenotaalpie"/>
          <w:sz w:val="28"/>
          <w:szCs w:val="28"/>
        </w:rPr>
        <w:footnoteReference w:id="174"/>
      </w:r>
      <w:r w:rsidR="00DE1253" w:rsidRPr="00643DCF">
        <w:rPr>
          <w:sz w:val="28"/>
          <w:szCs w:val="28"/>
        </w:rPr>
        <w:t xml:space="preserve"> </w:t>
      </w:r>
      <w:r w:rsidR="00527FCB" w:rsidRPr="00643DCF">
        <w:rPr>
          <w:sz w:val="28"/>
          <w:szCs w:val="28"/>
        </w:rPr>
        <w:t xml:space="preserve">a través del cual </w:t>
      </w:r>
      <w:r w:rsidR="00670776" w:rsidRPr="00643DCF">
        <w:rPr>
          <w:sz w:val="28"/>
          <w:szCs w:val="28"/>
        </w:rPr>
        <w:t xml:space="preserve">este Tribunal </w:t>
      </w:r>
      <w:r w:rsidR="00527FCB" w:rsidRPr="00643DCF">
        <w:rPr>
          <w:sz w:val="28"/>
          <w:szCs w:val="28"/>
        </w:rPr>
        <w:t xml:space="preserve">requirió a la Sala Administrativa del CSJ para que adoptara una serie de </w:t>
      </w:r>
      <w:r w:rsidR="008C462B" w:rsidRPr="00643DCF">
        <w:rPr>
          <w:sz w:val="28"/>
          <w:szCs w:val="28"/>
        </w:rPr>
        <w:t>acciones</w:t>
      </w:r>
      <w:r w:rsidR="00527FCB" w:rsidRPr="00643DCF">
        <w:rPr>
          <w:sz w:val="28"/>
          <w:szCs w:val="28"/>
        </w:rPr>
        <w:t xml:space="preserve"> preventivas con el fin de </w:t>
      </w:r>
      <w:r w:rsidR="003371A6" w:rsidRPr="00643DCF">
        <w:rPr>
          <w:sz w:val="28"/>
          <w:szCs w:val="28"/>
        </w:rPr>
        <w:t>mejorar la calidad de los reportes</w:t>
      </w:r>
      <w:r w:rsidR="00AA3227" w:rsidRPr="00643DCF">
        <w:rPr>
          <w:sz w:val="28"/>
          <w:szCs w:val="28"/>
        </w:rPr>
        <w:t xml:space="preserve">, que </w:t>
      </w:r>
      <w:r w:rsidRPr="00643DCF">
        <w:rPr>
          <w:sz w:val="28"/>
          <w:szCs w:val="28"/>
        </w:rPr>
        <w:t xml:space="preserve">le </w:t>
      </w:r>
      <w:r w:rsidR="00545EC8" w:rsidRPr="00643DCF">
        <w:rPr>
          <w:sz w:val="28"/>
          <w:szCs w:val="28"/>
        </w:rPr>
        <w:t xml:space="preserve">permitieran </w:t>
      </w:r>
      <w:r w:rsidR="00AA3227" w:rsidRPr="00643DCF">
        <w:rPr>
          <w:sz w:val="28"/>
          <w:szCs w:val="28"/>
        </w:rPr>
        <w:t>contar</w:t>
      </w:r>
      <w:r w:rsidR="00545EC8" w:rsidRPr="00643DCF">
        <w:rPr>
          <w:sz w:val="28"/>
          <w:szCs w:val="28"/>
        </w:rPr>
        <w:t xml:space="preserve"> </w:t>
      </w:r>
      <w:r w:rsidR="00AA3227" w:rsidRPr="00643DCF">
        <w:rPr>
          <w:sz w:val="28"/>
          <w:szCs w:val="28"/>
        </w:rPr>
        <w:t>con</w:t>
      </w:r>
      <w:r w:rsidR="00761AF3" w:rsidRPr="00643DCF">
        <w:rPr>
          <w:sz w:val="28"/>
          <w:szCs w:val="28"/>
        </w:rPr>
        <w:t xml:space="preserve"> informaci</w:t>
      </w:r>
      <w:r w:rsidR="00AA3227" w:rsidRPr="00643DCF">
        <w:rPr>
          <w:sz w:val="28"/>
          <w:szCs w:val="28"/>
        </w:rPr>
        <w:t>ón oportuna y precisa sobre</w:t>
      </w:r>
      <w:r w:rsidR="00761AF3" w:rsidRPr="00643DCF">
        <w:rPr>
          <w:sz w:val="28"/>
          <w:szCs w:val="28"/>
        </w:rPr>
        <w:t xml:space="preserve"> las acciones de divulgación implementadas y</w:t>
      </w:r>
      <w:r w:rsidR="00E408FB" w:rsidRPr="00643DCF">
        <w:rPr>
          <w:sz w:val="28"/>
          <w:szCs w:val="28"/>
        </w:rPr>
        <w:t>,</w:t>
      </w:r>
      <w:r w:rsidR="00761AF3" w:rsidRPr="00643DCF">
        <w:rPr>
          <w:sz w:val="28"/>
          <w:szCs w:val="28"/>
        </w:rPr>
        <w:t xml:space="preserve"> </w:t>
      </w:r>
      <w:r w:rsidR="00AA3227" w:rsidRPr="00643DCF">
        <w:rPr>
          <w:sz w:val="28"/>
          <w:szCs w:val="28"/>
        </w:rPr>
        <w:t>de igual forma</w:t>
      </w:r>
      <w:r w:rsidR="00E408FB" w:rsidRPr="00643DCF">
        <w:rPr>
          <w:sz w:val="28"/>
          <w:szCs w:val="28"/>
        </w:rPr>
        <w:t>,</w:t>
      </w:r>
      <w:r w:rsidR="00AA3227" w:rsidRPr="00643DCF">
        <w:rPr>
          <w:sz w:val="28"/>
          <w:szCs w:val="28"/>
        </w:rPr>
        <w:t xml:space="preserve"> se hiciera </w:t>
      </w:r>
      <w:r w:rsidR="00761AF3" w:rsidRPr="00643DCF">
        <w:rPr>
          <w:sz w:val="28"/>
          <w:szCs w:val="28"/>
        </w:rPr>
        <w:t xml:space="preserve">más eficiente la </w:t>
      </w:r>
      <w:r w:rsidR="000861AD" w:rsidRPr="00643DCF">
        <w:rPr>
          <w:sz w:val="28"/>
          <w:szCs w:val="28"/>
        </w:rPr>
        <w:t>publicidad</w:t>
      </w:r>
      <w:r w:rsidR="00AA3227" w:rsidRPr="00643DCF">
        <w:rPr>
          <w:sz w:val="28"/>
          <w:szCs w:val="28"/>
        </w:rPr>
        <w:t xml:space="preserve"> de la sentencia</w:t>
      </w:r>
      <w:r w:rsidR="00527FCB" w:rsidRPr="00643DCF">
        <w:rPr>
          <w:sz w:val="28"/>
          <w:szCs w:val="28"/>
        </w:rPr>
        <w:t xml:space="preserve">. </w:t>
      </w:r>
    </w:p>
    <w:p w14:paraId="2309BE09" w14:textId="77777777" w:rsidR="00527FCB" w:rsidRPr="00643DCF" w:rsidRDefault="00527FCB" w:rsidP="00527FCB">
      <w:pPr>
        <w:tabs>
          <w:tab w:val="left" w:pos="567"/>
        </w:tabs>
        <w:autoSpaceDE w:val="0"/>
        <w:autoSpaceDN w:val="0"/>
        <w:jc w:val="both"/>
        <w:rPr>
          <w:sz w:val="28"/>
          <w:szCs w:val="28"/>
        </w:rPr>
      </w:pPr>
    </w:p>
    <w:p w14:paraId="3E616897" w14:textId="1D2BEB07" w:rsidR="00FB117A" w:rsidRPr="00643DCF" w:rsidRDefault="00B962D4" w:rsidP="00527FCB">
      <w:pPr>
        <w:tabs>
          <w:tab w:val="left" w:pos="567"/>
        </w:tabs>
        <w:autoSpaceDE w:val="0"/>
        <w:autoSpaceDN w:val="0"/>
        <w:jc w:val="both"/>
        <w:rPr>
          <w:sz w:val="28"/>
          <w:szCs w:val="28"/>
        </w:rPr>
      </w:pPr>
      <w:r w:rsidRPr="00643DCF">
        <w:rPr>
          <w:sz w:val="28"/>
          <w:szCs w:val="28"/>
        </w:rPr>
        <w:t>6</w:t>
      </w:r>
      <w:r w:rsidR="001356D4" w:rsidRPr="00643DCF">
        <w:rPr>
          <w:sz w:val="28"/>
          <w:szCs w:val="28"/>
        </w:rPr>
        <w:t>7</w:t>
      </w:r>
      <w:r w:rsidRPr="00643DCF">
        <w:rPr>
          <w:sz w:val="28"/>
          <w:szCs w:val="28"/>
        </w:rPr>
        <w:t xml:space="preserve">. </w:t>
      </w:r>
      <w:r w:rsidR="00ED05BB" w:rsidRPr="00643DCF">
        <w:rPr>
          <w:sz w:val="28"/>
          <w:szCs w:val="28"/>
        </w:rPr>
        <w:t xml:space="preserve">Atendiendo </w:t>
      </w:r>
      <w:r w:rsidR="00FB117A" w:rsidRPr="00643DCF">
        <w:rPr>
          <w:sz w:val="28"/>
          <w:szCs w:val="28"/>
        </w:rPr>
        <w:t xml:space="preserve">a </w:t>
      </w:r>
      <w:r w:rsidR="00527FCB" w:rsidRPr="00643DCF">
        <w:rPr>
          <w:sz w:val="28"/>
          <w:szCs w:val="28"/>
        </w:rPr>
        <w:t>lo ordenado</w:t>
      </w:r>
      <w:r w:rsidR="00E408FB" w:rsidRPr="00643DCF">
        <w:rPr>
          <w:sz w:val="28"/>
          <w:szCs w:val="28"/>
        </w:rPr>
        <w:t>,</w:t>
      </w:r>
      <w:r w:rsidR="00527FCB" w:rsidRPr="00643DCF">
        <w:rPr>
          <w:sz w:val="28"/>
          <w:szCs w:val="28"/>
        </w:rPr>
        <w:t xml:space="preserve"> el Presidente de la Sala Administrativa del Consejo Superior de la Judicatura radicó el </w:t>
      </w:r>
      <w:r w:rsidR="00512C7E" w:rsidRPr="00643DCF">
        <w:rPr>
          <w:sz w:val="28"/>
          <w:szCs w:val="28"/>
        </w:rPr>
        <w:t xml:space="preserve">documento </w:t>
      </w:r>
      <w:r w:rsidR="00527FCB" w:rsidRPr="00643DCF">
        <w:rPr>
          <w:sz w:val="28"/>
          <w:szCs w:val="28"/>
        </w:rPr>
        <w:t>correspondiente al tercer bimestre de ese año</w:t>
      </w:r>
      <w:r w:rsidR="00527FCB" w:rsidRPr="00643DCF">
        <w:rPr>
          <w:rStyle w:val="Refdenotaalpie"/>
          <w:sz w:val="28"/>
          <w:szCs w:val="28"/>
        </w:rPr>
        <w:footnoteReference w:id="175"/>
      </w:r>
      <w:r w:rsidR="00527FCB" w:rsidRPr="00643DCF">
        <w:rPr>
          <w:sz w:val="28"/>
          <w:szCs w:val="28"/>
        </w:rPr>
        <w:t xml:space="preserve">, en el que proponía un plan de acción para la difusión de la </w:t>
      </w:r>
      <w:r w:rsidR="0074386F" w:rsidRPr="00643DCF">
        <w:rPr>
          <w:sz w:val="28"/>
          <w:szCs w:val="28"/>
        </w:rPr>
        <w:t>s</w:t>
      </w:r>
      <w:r w:rsidR="00527FCB" w:rsidRPr="00643DCF">
        <w:rPr>
          <w:sz w:val="28"/>
          <w:szCs w:val="28"/>
        </w:rPr>
        <w:t>entencia T-760 de 2008 y los demás temas relacionados con el derecho fundamental a la salud</w:t>
      </w:r>
      <w:r w:rsidR="00527FCB" w:rsidRPr="00643DCF">
        <w:rPr>
          <w:rStyle w:val="Refdenotaalpie"/>
          <w:sz w:val="28"/>
          <w:szCs w:val="28"/>
        </w:rPr>
        <w:footnoteReference w:id="176"/>
      </w:r>
      <w:r w:rsidR="00527FCB" w:rsidRPr="00643DCF">
        <w:rPr>
          <w:sz w:val="28"/>
          <w:szCs w:val="28"/>
        </w:rPr>
        <w:t>. Reporte que fue presentado en el tiempo otorgado en el proveído en mención</w:t>
      </w:r>
      <w:r w:rsidR="00FB117A" w:rsidRPr="00643DCF">
        <w:rPr>
          <w:sz w:val="28"/>
          <w:szCs w:val="28"/>
        </w:rPr>
        <w:t xml:space="preserve">. </w:t>
      </w:r>
    </w:p>
    <w:p w14:paraId="40F50708" w14:textId="77777777" w:rsidR="00527FCB" w:rsidRPr="00643DCF" w:rsidRDefault="00527FCB" w:rsidP="000961E6">
      <w:pPr>
        <w:tabs>
          <w:tab w:val="left" w:pos="567"/>
        </w:tabs>
        <w:autoSpaceDE w:val="0"/>
        <w:autoSpaceDN w:val="0"/>
        <w:jc w:val="both"/>
        <w:rPr>
          <w:b/>
          <w:sz w:val="28"/>
          <w:szCs w:val="28"/>
        </w:rPr>
      </w:pPr>
    </w:p>
    <w:p w14:paraId="68A2A461" w14:textId="2D802233" w:rsidR="00527FCB" w:rsidRPr="00643DCF" w:rsidRDefault="00B962D4" w:rsidP="00527FCB">
      <w:pPr>
        <w:tabs>
          <w:tab w:val="left" w:pos="567"/>
        </w:tabs>
        <w:autoSpaceDE w:val="0"/>
        <w:autoSpaceDN w:val="0"/>
        <w:jc w:val="both"/>
        <w:rPr>
          <w:sz w:val="28"/>
          <w:szCs w:val="28"/>
        </w:rPr>
      </w:pPr>
      <w:r w:rsidRPr="00643DCF">
        <w:rPr>
          <w:sz w:val="28"/>
          <w:szCs w:val="28"/>
        </w:rPr>
        <w:t>6</w:t>
      </w:r>
      <w:r w:rsidR="001356D4" w:rsidRPr="00643DCF">
        <w:rPr>
          <w:sz w:val="28"/>
          <w:szCs w:val="28"/>
        </w:rPr>
        <w:t>8</w:t>
      </w:r>
      <w:r w:rsidRPr="00643DCF">
        <w:rPr>
          <w:sz w:val="28"/>
          <w:szCs w:val="28"/>
        </w:rPr>
        <w:t xml:space="preserve">. </w:t>
      </w:r>
      <w:r w:rsidR="00675FC0" w:rsidRPr="00643DCF">
        <w:rPr>
          <w:sz w:val="28"/>
          <w:szCs w:val="28"/>
        </w:rPr>
        <w:t xml:space="preserve">Así mismo, es preciso anotar que </w:t>
      </w:r>
      <w:r w:rsidR="00172174" w:rsidRPr="00643DCF">
        <w:rPr>
          <w:sz w:val="28"/>
          <w:szCs w:val="28"/>
        </w:rPr>
        <w:t>entregó</w:t>
      </w:r>
      <w:r w:rsidR="00527FCB" w:rsidRPr="00643DCF">
        <w:rPr>
          <w:sz w:val="28"/>
          <w:szCs w:val="28"/>
        </w:rPr>
        <w:t xml:space="preserve"> oportunamente un plan de acción en el 2014, en </w:t>
      </w:r>
      <w:r w:rsidR="00172174" w:rsidRPr="00643DCF">
        <w:rPr>
          <w:sz w:val="28"/>
          <w:szCs w:val="28"/>
        </w:rPr>
        <w:t>el</w:t>
      </w:r>
      <w:r w:rsidR="00527FCB" w:rsidRPr="00643DCF">
        <w:rPr>
          <w:sz w:val="28"/>
          <w:szCs w:val="28"/>
        </w:rPr>
        <w:t xml:space="preserve"> que</w:t>
      </w:r>
      <w:r w:rsidR="00172174" w:rsidRPr="00643DCF">
        <w:rPr>
          <w:sz w:val="28"/>
          <w:szCs w:val="28"/>
        </w:rPr>
        <w:t xml:space="preserve"> </w:t>
      </w:r>
      <w:r w:rsidR="00527FCB" w:rsidRPr="00643DCF">
        <w:rPr>
          <w:sz w:val="28"/>
          <w:szCs w:val="28"/>
        </w:rPr>
        <w:t>plant</w:t>
      </w:r>
      <w:r w:rsidR="00172174" w:rsidRPr="00643DCF">
        <w:rPr>
          <w:sz w:val="28"/>
          <w:szCs w:val="28"/>
        </w:rPr>
        <w:t>eó</w:t>
      </w:r>
      <w:r w:rsidR="00527FCB" w:rsidRPr="00643DCF">
        <w:rPr>
          <w:sz w:val="28"/>
          <w:szCs w:val="28"/>
        </w:rPr>
        <w:t xml:space="preserve"> puntos relevantes y diversas estrategias de divulgación para tratar el problema estructural de que trata la orden 3</w:t>
      </w:r>
      <w:r w:rsidR="00D8164A" w:rsidRPr="00643DCF">
        <w:rPr>
          <w:sz w:val="28"/>
          <w:szCs w:val="28"/>
        </w:rPr>
        <w:t xml:space="preserve">2, lo cual permite determinar </w:t>
      </w:r>
      <w:r w:rsidR="003B1D44" w:rsidRPr="00FA159B">
        <w:rPr>
          <w:sz w:val="28"/>
          <w:szCs w:val="28"/>
        </w:rPr>
        <w:t xml:space="preserve">el cumplimiento </w:t>
      </w:r>
      <w:r w:rsidR="00527FCB" w:rsidRPr="00FA159B">
        <w:rPr>
          <w:sz w:val="28"/>
          <w:szCs w:val="28"/>
        </w:rPr>
        <w:t xml:space="preserve">formal </w:t>
      </w:r>
      <w:r w:rsidR="00172174" w:rsidRPr="00FA159B">
        <w:rPr>
          <w:sz w:val="28"/>
          <w:szCs w:val="28"/>
        </w:rPr>
        <w:t>del mandato analizado</w:t>
      </w:r>
      <w:r w:rsidR="00527FCB" w:rsidRPr="00FA159B">
        <w:rPr>
          <w:sz w:val="28"/>
          <w:szCs w:val="28"/>
        </w:rPr>
        <w:t>.</w:t>
      </w:r>
      <w:r w:rsidR="00527FCB" w:rsidRPr="00FA159B">
        <w:rPr>
          <w:sz w:val="28"/>
          <w:szCs w:val="28"/>
          <w:vertAlign w:val="superscript"/>
        </w:rPr>
        <w:footnoteReference w:id="177"/>
      </w:r>
      <w:r w:rsidR="00527FCB" w:rsidRPr="00643DCF">
        <w:rPr>
          <w:sz w:val="28"/>
          <w:szCs w:val="28"/>
        </w:rPr>
        <w:t xml:space="preserve"> </w:t>
      </w:r>
    </w:p>
    <w:p w14:paraId="1FF3D798" w14:textId="77777777" w:rsidR="00527FCB" w:rsidRPr="00643DCF" w:rsidRDefault="00527FCB" w:rsidP="007E54C5">
      <w:pPr>
        <w:pStyle w:val="Sinespaciado3"/>
        <w:tabs>
          <w:tab w:val="left" w:pos="567"/>
          <w:tab w:val="left" w:pos="851"/>
          <w:tab w:val="left" w:pos="1276"/>
          <w:tab w:val="left" w:pos="2865"/>
        </w:tabs>
        <w:jc w:val="both"/>
        <w:rPr>
          <w:rFonts w:ascii="Times New Roman" w:hAnsi="Times New Roman"/>
          <w:b/>
          <w:sz w:val="28"/>
          <w:szCs w:val="28"/>
        </w:rPr>
      </w:pPr>
    </w:p>
    <w:p w14:paraId="1B6731DC" w14:textId="297D27C9" w:rsidR="00B60AA0" w:rsidRPr="00643DCF" w:rsidRDefault="00B962D4" w:rsidP="007E54C5">
      <w:pPr>
        <w:pStyle w:val="Sinespaciado3"/>
        <w:tabs>
          <w:tab w:val="left" w:pos="567"/>
          <w:tab w:val="left" w:pos="851"/>
          <w:tab w:val="left" w:pos="1276"/>
          <w:tab w:val="left" w:pos="2865"/>
        </w:tabs>
        <w:jc w:val="both"/>
        <w:rPr>
          <w:rFonts w:ascii="Times New Roman" w:hAnsi="Times New Roman"/>
          <w:sz w:val="28"/>
          <w:szCs w:val="28"/>
        </w:rPr>
      </w:pPr>
      <w:r w:rsidRPr="00643DCF">
        <w:rPr>
          <w:rFonts w:ascii="Times New Roman" w:hAnsi="Times New Roman"/>
          <w:sz w:val="28"/>
          <w:szCs w:val="28"/>
        </w:rPr>
        <w:t>6</w:t>
      </w:r>
      <w:r w:rsidR="001356D4" w:rsidRPr="00643DCF">
        <w:rPr>
          <w:rFonts w:ascii="Times New Roman" w:hAnsi="Times New Roman"/>
          <w:sz w:val="28"/>
          <w:szCs w:val="28"/>
        </w:rPr>
        <w:t>9</w:t>
      </w:r>
      <w:r w:rsidRPr="00643DCF">
        <w:rPr>
          <w:rFonts w:ascii="Times New Roman" w:hAnsi="Times New Roman"/>
          <w:sz w:val="28"/>
          <w:szCs w:val="28"/>
        </w:rPr>
        <w:t xml:space="preserve">. </w:t>
      </w:r>
      <w:r w:rsidR="00B60AA0" w:rsidRPr="00643DCF">
        <w:rPr>
          <w:rFonts w:ascii="Times New Roman" w:hAnsi="Times New Roman"/>
          <w:sz w:val="28"/>
          <w:szCs w:val="28"/>
        </w:rPr>
        <w:t xml:space="preserve">En </w:t>
      </w:r>
      <w:r w:rsidR="0093354E" w:rsidRPr="00643DCF">
        <w:rPr>
          <w:rFonts w:ascii="Times New Roman" w:hAnsi="Times New Roman"/>
          <w:sz w:val="28"/>
          <w:szCs w:val="28"/>
        </w:rPr>
        <w:t xml:space="preserve">relación </w:t>
      </w:r>
      <w:r w:rsidR="00B60AA0" w:rsidRPr="00643DCF">
        <w:rPr>
          <w:rFonts w:ascii="Times New Roman" w:hAnsi="Times New Roman"/>
          <w:sz w:val="28"/>
          <w:szCs w:val="28"/>
        </w:rPr>
        <w:t>con las medidas preventivas</w:t>
      </w:r>
      <w:r w:rsidR="000923BC" w:rsidRPr="00643DCF">
        <w:rPr>
          <w:rStyle w:val="Refdenotaalpie"/>
          <w:rFonts w:ascii="Times New Roman" w:hAnsi="Times New Roman"/>
          <w:sz w:val="28"/>
          <w:szCs w:val="28"/>
        </w:rPr>
        <w:footnoteReference w:id="178"/>
      </w:r>
      <w:r w:rsidR="00B60AA0" w:rsidRPr="00643DCF">
        <w:rPr>
          <w:rFonts w:ascii="Times New Roman" w:hAnsi="Times New Roman"/>
          <w:sz w:val="28"/>
          <w:szCs w:val="28"/>
        </w:rPr>
        <w:t xml:space="preserve"> del </w:t>
      </w:r>
      <w:r w:rsidR="00FB117A" w:rsidRPr="00643DCF">
        <w:rPr>
          <w:rFonts w:ascii="Times New Roman" w:hAnsi="Times New Roman"/>
          <w:sz w:val="28"/>
          <w:szCs w:val="28"/>
        </w:rPr>
        <w:t>a</w:t>
      </w:r>
      <w:r w:rsidR="00B60AA0" w:rsidRPr="00643DCF">
        <w:rPr>
          <w:rFonts w:ascii="Times New Roman" w:hAnsi="Times New Roman"/>
          <w:sz w:val="28"/>
          <w:szCs w:val="28"/>
        </w:rPr>
        <w:t>uto 154 de 2014, el CSJ adelantó las siguientes actuaciones</w:t>
      </w:r>
      <w:r w:rsidR="006A6C27" w:rsidRPr="00643DCF">
        <w:rPr>
          <w:rFonts w:ascii="Times New Roman" w:hAnsi="Times New Roman"/>
          <w:sz w:val="28"/>
          <w:szCs w:val="28"/>
        </w:rPr>
        <w:t>:</w:t>
      </w:r>
    </w:p>
    <w:p w14:paraId="2CFBBD45" w14:textId="77777777" w:rsidR="00C74343" w:rsidRPr="00643DCF" w:rsidRDefault="00C74343" w:rsidP="007E54C5">
      <w:pPr>
        <w:pStyle w:val="Sinespaciado3"/>
        <w:tabs>
          <w:tab w:val="left" w:pos="567"/>
          <w:tab w:val="left" w:pos="851"/>
          <w:tab w:val="left" w:pos="1276"/>
          <w:tab w:val="left" w:pos="2865"/>
        </w:tabs>
        <w:jc w:val="both"/>
        <w:rPr>
          <w:rFonts w:ascii="Times New Roman" w:hAnsi="Times New Roman"/>
          <w:sz w:val="28"/>
          <w:szCs w:val="28"/>
        </w:rPr>
      </w:pPr>
    </w:p>
    <w:p w14:paraId="141CBBCF" w14:textId="649F542E" w:rsidR="00550215" w:rsidRPr="00643DCF" w:rsidRDefault="00B8495B" w:rsidP="00DB12AB">
      <w:pPr>
        <w:pStyle w:val="Sinespaciado3"/>
        <w:tabs>
          <w:tab w:val="left" w:pos="567"/>
          <w:tab w:val="left" w:pos="851"/>
          <w:tab w:val="left" w:pos="1276"/>
          <w:tab w:val="left" w:pos="2865"/>
        </w:tabs>
        <w:jc w:val="both"/>
        <w:rPr>
          <w:rFonts w:ascii="Times New Roman" w:hAnsi="Times New Roman"/>
          <w:sz w:val="28"/>
          <w:szCs w:val="28"/>
        </w:rPr>
      </w:pPr>
      <w:r w:rsidRPr="00643DCF">
        <w:rPr>
          <w:rFonts w:ascii="Times New Roman" w:hAnsi="Times New Roman"/>
          <w:sz w:val="28"/>
          <w:szCs w:val="28"/>
        </w:rPr>
        <w:t xml:space="preserve">a. </w:t>
      </w:r>
      <w:r w:rsidR="00550215" w:rsidRPr="00643DCF">
        <w:rPr>
          <w:rFonts w:ascii="Times New Roman" w:hAnsi="Times New Roman"/>
          <w:sz w:val="28"/>
          <w:szCs w:val="28"/>
        </w:rPr>
        <w:t xml:space="preserve">Crear un </w:t>
      </w:r>
      <w:r w:rsidR="00550215" w:rsidRPr="00643DCF">
        <w:rPr>
          <w:rFonts w:ascii="Times New Roman" w:hAnsi="Times New Roman"/>
          <w:i/>
          <w:sz w:val="28"/>
          <w:szCs w:val="28"/>
        </w:rPr>
        <w:t xml:space="preserve">link </w:t>
      </w:r>
      <w:r w:rsidR="00550215" w:rsidRPr="00643DCF">
        <w:rPr>
          <w:rFonts w:ascii="Times New Roman" w:hAnsi="Times New Roman"/>
          <w:sz w:val="28"/>
          <w:szCs w:val="28"/>
        </w:rPr>
        <w:t>en la página web de la Rama Judicial el cual permitiera acceder al contenido de la sentencia en la página principal en un sitio destacado.</w:t>
      </w:r>
    </w:p>
    <w:p w14:paraId="66C36017" w14:textId="77777777" w:rsidR="00550215" w:rsidRPr="00643DCF" w:rsidRDefault="00550215" w:rsidP="00550215">
      <w:pPr>
        <w:pStyle w:val="Sinespaciado3"/>
        <w:tabs>
          <w:tab w:val="left" w:pos="567"/>
          <w:tab w:val="left" w:pos="851"/>
          <w:tab w:val="left" w:pos="1276"/>
          <w:tab w:val="left" w:pos="2865"/>
        </w:tabs>
        <w:jc w:val="both"/>
        <w:rPr>
          <w:rFonts w:ascii="Times New Roman" w:hAnsi="Times New Roman"/>
          <w:b/>
          <w:i/>
          <w:sz w:val="28"/>
          <w:szCs w:val="28"/>
        </w:rPr>
      </w:pPr>
    </w:p>
    <w:p w14:paraId="28320374" w14:textId="1A1AD06C" w:rsidR="00EE6DD0" w:rsidRPr="00643DCF" w:rsidRDefault="001356D4" w:rsidP="00FB31C7">
      <w:pPr>
        <w:pStyle w:val="Sinespaciado3"/>
        <w:tabs>
          <w:tab w:val="left" w:pos="567"/>
          <w:tab w:val="left" w:pos="851"/>
          <w:tab w:val="left" w:pos="2865"/>
        </w:tabs>
        <w:jc w:val="both"/>
        <w:rPr>
          <w:rFonts w:ascii="Times New Roman" w:hAnsi="Times New Roman"/>
          <w:b/>
          <w:sz w:val="28"/>
          <w:szCs w:val="28"/>
        </w:rPr>
      </w:pPr>
      <w:r w:rsidRPr="00643DCF">
        <w:rPr>
          <w:rFonts w:ascii="Times New Roman" w:hAnsi="Times New Roman"/>
          <w:sz w:val="28"/>
          <w:szCs w:val="28"/>
        </w:rPr>
        <w:t>70</w:t>
      </w:r>
      <w:r w:rsidR="00B962D4" w:rsidRPr="00643DCF">
        <w:rPr>
          <w:rFonts w:ascii="Times New Roman" w:hAnsi="Times New Roman"/>
          <w:sz w:val="28"/>
          <w:szCs w:val="28"/>
        </w:rPr>
        <w:t xml:space="preserve">. </w:t>
      </w:r>
      <w:r w:rsidR="00205F30" w:rsidRPr="00643DCF">
        <w:rPr>
          <w:rFonts w:ascii="Times New Roman" w:hAnsi="Times New Roman"/>
          <w:sz w:val="28"/>
          <w:szCs w:val="28"/>
        </w:rPr>
        <w:t>E</w:t>
      </w:r>
      <w:r w:rsidR="003F40E6" w:rsidRPr="00643DCF">
        <w:rPr>
          <w:rFonts w:ascii="Times New Roman" w:hAnsi="Times New Roman"/>
          <w:sz w:val="28"/>
          <w:szCs w:val="28"/>
        </w:rPr>
        <w:t xml:space="preserve">n </w:t>
      </w:r>
      <w:r w:rsidR="00FB117A" w:rsidRPr="00643DCF">
        <w:rPr>
          <w:rFonts w:ascii="Times New Roman" w:hAnsi="Times New Roman"/>
          <w:sz w:val="28"/>
          <w:szCs w:val="28"/>
        </w:rPr>
        <w:t xml:space="preserve">el sitio </w:t>
      </w:r>
      <w:r w:rsidR="006C6B21" w:rsidRPr="00643DCF">
        <w:rPr>
          <w:rFonts w:ascii="Times New Roman" w:hAnsi="Times New Roman"/>
          <w:sz w:val="28"/>
          <w:szCs w:val="28"/>
        </w:rPr>
        <w:t>web</w:t>
      </w:r>
      <w:r w:rsidR="003F40E6" w:rsidRPr="00643DCF">
        <w:rPr>
          <w:rFonts w:ascii="Times New Roman" w:hAnsi="Times New Roman"/>
          <w:sz w:val="28"/>
          <w:szCs w:val="28"/>
        </w:rPr>
        <w:t xml:space="preserve"> de la Rama Judicial se encuentra el </w:t>
      </w:r>
      <w:r w:rsidR="003F40E6" w:rsidRPr="00643DCF">
        <w:rPr>
          <w:rFonts w:ascii="Times New Roman" w:hAnsi="Times New Roman"/>
          <w:i/>
          <w:sz w:val="28"/>
          <w:szCs w:val="28"/>
        </w:rPr>
        <w:t>link</w:t>
      </w:r>
      <w:r w:rsidR="003F40E6" w:rsidRPr="00643DCF">
        <w:rPr>
          <w:rFonts w:ascii="Times New Roman" w:hAnsi="Times New Roman"/>
          <w:sz w:val="28"/>
          <w:szCs w:val="28"/>
        </w:rPr>
        <w:t xml:space="preserve"> </w:t>
      </w:r>
      <w:r w:rsidR="0093354E" w:rsidRPr="00643DCF">
        <w:rPr>
          <w:rFonts w:ascii="Times New Roman" w:hAnsi="Times New Roman"/>
          <w:sz w:val="28"/>
          <w:szCs w:val="28"/>
        </w:rPr>
        <w:t>de</w:t>
      </w:r>
      <w:r w:rsidR="003F40E6" w:rsidRPr="00643DCF">
        <w:rPr>
          <w:rFonts w:ascii="Times New Roman" w:hAnsi="Times New Roman"/>
          <w:sz w:val="28"/>
          <w:szCs w:val="28"/>
        </w:rPr>
        <w:t xml:space="preserve"> acce</w:t>
      </w:r>
      <w:r w:rsidR="0093354E" w:rsidRPr="00643DCF">
        <w:rPr>
          <w:rFonts w:ascii="Times New Roman" w:hAnsi="Times New Roman"/>
          <w:sz w:val="28"/>
          <w:szCs w:val="28"/>
        </w:rPr>
        <w:t>so</w:t>
      </w:r>
      <w:r w:rsidR="003F40E6" w:rsidRPr="00643DCF">
        <w:rPr>
          <w:rFonts w:ascii="Times New Roman" w:hAnsi="Times New Roman"/>
          <w:sz w:val="28"/>
          <w:szCs w:val="28"/>
        </w:rPr>
        <w:t xml:space="preserve"> al fallo de tutela T-760 de 2008, situación que fue comprobada por </w:t>
      </w:r>
      <w:r w:rsidR="001D3176" w:rsidRPr="00643DCF">
        <w:rPr>
          <w:rFonts w:ascii="Times New Roman" w:hAnsi="Times New Roman"/>
          <w:sz w:val="28"/>
          <w:szCs w:val="28"/>
        </w:rPr>
        <w:t>la</w:t>
      </w:r>
      <w:r w:rsidR="003F40E6" w:rsidRPr="00643DCF">
        <w:rPr>
          <w:rFonts w:ascii="Times New Roman" w:hAnsi="Times New Roman"/>
          <w:sz w:val="28"/>
          <w:szCs w:val="28"/>
        </w:rPr>
        <w:t xml:space="preserve"> Sala </w:t>
      </w:r>
      <w:r w:rsidR="0093354E" w:rsidRPr="00643DCF">
        <w:rPr>
          <w:rFonts w:ascii="Times New Roman" w:hAnsi="Times New Roman"/>
          <w:sz w:val="28"/>
          <w:szCs w:val="28"/>
        </w:rPr>
        <w:t>ingresando</w:t>
      </w:r>
      <w:r w:rsidR="003F40E6" w:rsidRPr="00643DCF">
        <w:rPr>
          <w:rFonts w:ascii="Times New Roman" w:hAnsi="Times New Roman"/>
          <w:sz w:val="28"/>
          <w:szCs w:val="28"/>
        </w:rPr>
        <w:t xml:space="preserve"> a través de la dirección </w:t>
      </w:r>
      <w:hyperlink r:id="rId12" w:history="1">
        <w:r w:rsidR="003F40E6" w:rsidRPr="00643DCF">
          <w:rPr>
            <w:rStyle w:val="Hipervnculo"/>
            <w:rFonts w:ascii="Times New Roman" w:hAnsi="Times New Roman"/>
            <w:color w:val="auto"/>
            <w:sz w:val="28"/>
            <w:szCs w:val="28"/>
            <w:u w:val="none"/>
          </w:rPr>
          <w:t>https://www.ramajudicial.gov.co/</w:t>
        </w:r>
      </w:hyperlink>
      <w:r w:rsidR="003F40E6" w:rsidRPr="00643DCF">
        <w:rPr>
          <w:rFonts w:ascii="Times New Roman" w:hAnsi="Times New Roman"/>
          <w:sz w:val="28"/>
          <w:szCs w:val="28"/>
        </w:rPr>
        <w:t>.</w:t>
      </w:r>
      <w:r w:rsidR="00602EC6" w:rsidRPr="00643DCF">
        <w:rPr>
          <w:rFonts w:ascii="Times New Roman" w:hAnsi="Times New Roman"/>
          <w:sz w:val="28"/>
          <w:szCs w:val="28"/>
        </w:rPr>
        <w:t xml:space="preserve"> </w:t>
      </w:r>
      <w:r w:rsidR="0093354E" w:rsidRPr="00643DCF">
        <w:rPr>
          <w:rFonts w:ascii="Times New Roman" w:hAnsi="Times New Roman"/>
          <w:sz w:val="28"/>
          <w:szCs w:val="28"/>
        </w:rPr>
        <w:t>El e</w:t>
      </w:r>
      <w:r w:rsidR="00602EC6" w:rsidRPr="00643DCF">
        <w:rPr>
          <w:rFonts w:ascii="Times New Roman" w:hAnsi="Times New Roman"/>
          <w:sz w:val="28"/>
          <w:szCs w:val="28"/>
        </w:rPr>
        <w:t xml:space="preserve">nlace </w:t>
      </w:r>
      <w:r w:rsidR="0093354E" w:rsidRPr="00643DCF">
        <w:rPr>
          <w:rFonts w:ascii="Times New Roman" w:hAnsi="Times New Roman"/>
          <w:sz w:val="28"/>
          <w:szCs w:val="28"/>
        </w:rPr>
        <w:t>localizado</w:t>
      </w:r>
      <w:r w:rsidR="00602EC6" w:rsidRPr="00643DCF">
        <w:rPr>
          <w:rFonts w:ascii="Times New Roman" w:hAnsi="Times New Roman"/>
          <w:sz w:val="28"/>
          <w:szCs w:val="28"/>
        </w:rPr>
        <w:t xml:space="preserve"> en la página principal</w:t>
      </w:r>
      <w:r w:rsidR="0093354E" w:rsidRPr="00643DCF">
        <w:rPr>
          <w:rFonts w:ascii="Times New Roman" w:hAnsi="Times New Roman"/>
          <w:sz w:val="28"/>
          <w:szCs w:val="28"/>
        </w:rPr>
        <w:t xml:space="preserve"> cuenta </w:t>
      </w:r>
      <w:r w:rsidR="0026693F" w:rsidRPr="00643DCF">
        <w:rPr>
          <w:rFonts w:ascii="Times New Roman" w:hAnsi="Times New Roman"/>
          <w:sz w:val="28"/>
          <w:szCs w:val="28"/>
        </w:rPr>
        <w:t>con</w:t>
      </w:r>
      <w:r w:rsidR="0093354E" w:rsidRPr="00643DCF">
        <w:rPr>
          <w:rFonts w:ascii="Times New Roman" w:hAnsi="Times New Roman"/>
          <w:sz w:val="28"/>
          <w:szCs w:val="28"/>
        </w:rPr>
        <w:t xml:space="preserve"> </w:t>
      </w:r>
      <w:r w:rsidR="00DB653D" w:rsidRPr="00643DCF">
        <w:rPr>
          <w:rFonts w:ascii="Times New Roman" w:hAnsi="Times New Roman"/>
          <w:sz w:val="28"/>
          <w:szCs w:val="28"/>
        </w:rPr>
        <w:t xml:space="preserve">una adecuada </w:t>
      </w:r>
      <w:r w:rsidR="0026693F" w:rsidRPr="00643DCF">
        <w:rPr>
          <w:rFonts w:ascii="Times New Roman" w:hAnsi="Times New Roman"/>
          <w:sz w:val="28"/>
          <w:szCs w:val="28"/>
        </w:rPr>
        <w:t>diagramación en los colores institucionales y</w:t>
      </w:r>
      <w:r w:rsidR="00E7230F" w:rsidRPr="00643DCF">
        <w:rPr>
          <w:rFonts w:ascii="Times New Roman" w:hAnsi="Times New Roman"/>
          <w:sz w:val="28"/>
          <w:szCs w:val="28"/>
        </w:rPr>
        <w:t xml:space="preserve"> </w:t>
      </w:r>
      <w:r w:rsidR="0026693F" w:rsidRPr="00643DCF">
        <w:rPr>
          <w:rFonts w:ascii="Times New Roman" w:hAnsi="Times New Roman"/>
          <w:sz w:val="28"/>
          <w:szCs w:val="28"/>
        </w:rPr>
        <w:t>presentación de contenidos</w:t>
      </w:r>
      <w:r w:rsidR="00602EC6" w:rsidRPr="00643DCF">
        <w:rPr>
          <w:rFonts w:ascii="Times New Roman" w:hAnsi="Times New Roman"/>
          <w:sz w:val="28"/>
          <w:szCs w:val="28"/>
        </w:rPr>
        <w:t>.</w:t>
      </w:r>
    </w:p>
    <w:p w14:paraId="018AF0FF" w14:textId="77777777" w:rsidR="00120FD1" w:rsidRPr="00643DCF" w:rsidRDefault="00120FD1" w:rsidP="00451D6B">
      <w:pPr>
        <w:pStyle w:val="Sinespaciado3"/>
        <w:tabs>
          <w:tab w:val="left" w:pos="567"/>
          <w:tab w:val="left" w:pos="851"/>
          <w:tab w:val="left" w:pos="2865"/>
        </w:tabs>
        <w:jc w:val="both"/>
        <w:rPr>
          <w:sz w:val="28"/>
          <w:szCs w:val="28"/>
        </w:rPr>
      </w:pPr>
    </w:p>
    <w:p w14:paraId="5F04C712" w14:textId="3C4A99B3" w:rsidR="0031222E" w:rsidRPr="00643DCF" w:rsidRDefault="0057282C" w:rsidP="00FB31C7">
      <w:pPr>
        <w:pStyle w:val="Sinespaciado3"/>
        <w:tabs>
          <w:tab w:val="left" w:pos="567"/>
          <w:tab w:val="left" w:pos="851"/>
          <w:tab w:val="left" w:pos="2865"/>
        </w:tabs>
        <w:jc w:val="both"/>
        <w:rPr>
          <w:rFonts w:ascii="Times New Roman" w:hAnsi="Times New Roman"/>
          <w:sz w:val="28"/>
          <w:szCs w:val="28"/>
        </w:rPr>
      </w:pPr>
      <w:r w:rsidRPr="00643DCF">
        <w:rPr>
          <w:rFonts w:ascii="Times New Roman" w:hAnsi="Times New Roman"/>
          <w:sz w:val="28"/>
          <w:szCs w:val="28"/>
        </w:rPr>
        <w:t>7</w:t>
      </w:r>
      <w:r w:rsidR="001356D4" w:rsidRPr="00643DCF">
        <w:rPr>
          <w:rFonts w:ascii="Times New Roman" w:hAnsi="Times New Roman"/>
          <w:sz w:val="28"/>
          <w:szCs w:val="28"/>
        </w:rPr>
        <w:t>1</w:t>
      </w:r>
      <w:r w:rsidR="00B962D4" w:rsidRPr="00643DCF">
        <w:rPr>
          <w:rFonts w:ascii="Times New Roman" w:hAnsi="Times New Roman"/>
          <w:sz w:val="28"/>
          <w:szCs w:val="28"/>
        </w:rPr>
        <w:t xml:space="preserve">. </w:t>
      </w:r>
      <w:r w:rsidR="003F40E6" w:rsidRPr="00643DCF">
        <w:rPr>
          <w:rFonts w:ascii="Times New Roman" w:hAnsi="Times New Roman"/>
          <w:sz w:val="28"/>
          <w:szCs w:val="28"/>
        </w:rPr>
        <w:t>En relación con el contador de visitas, a</w:t>
      </w:r>
      <w:r w:rsidR="003E3D06" w:rsidRPr="00643DCF">
        <w:rPr>
          <w:rFonts w:ascii="Times New Roman" w:hAnsi="Times New Roman"/>
          <w:sz w:val="28"/>
          <w:szCs w:val="28"/>
        </w:rPr>
        <w:t>l ingresar al vínculo “</w:t>
      </w:r>
      <w:r w:rsidR="004C0101" w:rsidRPr="00643DCF">
        <w:rPr>
          <w:rFonts w:ascii="Times New Roman" w:hAnsi="Times New Roman"/>
          <w:i/>
          <w:sz w:val="28"/>
          <w:szCs w:val="28"/>
        </w:rPr>
        <w:t>s</w:t>
      </w:r>
      <w:r w:rsidR="003E3D06" w:rsidRPr="00643DCF">
        <w:rPr>
          <w:rFonts w:ascii="Times New Roman" w:hAnsi="Times New Roman"/>
          <w:i/>
          <w:sz w:val="28"/>
          <w:szCs w:val="28"/>
        </w:rPr>
        <w:t>entencia T-760 de 2008 Derecho a la Salud</w:t>
      </w:r>
      <w:r w:rsidR="003E3D06" w:rsidRPr="00643DCF">
        <w:rPr>
          <w:rFonts w:ascii="Times New Roman" w:hAnsi="Times New Roman"/>
          <w:sz w:val="28"/>
          <w:szCs w:val="28"/>
        </w:rPr>
        <w:t xml:space="preserve">”, </w:t>
      </w:r>
      <w:r w:rsidR="00DB653D" w:rsidRPr="00643DCF">
        <w:rPr>
          <w:rFonts w:ascii="Times New Roman" w:hAnsi="Times New Roman"/>
          <w:sz w:val="28"/>
          <w:szCs w:val="28"/>
        </w:rPr>
        <w:t xml:space="preserve">la </w:t>
      </w:r>
      <w:r w:rsidR="00B962D4" w:rsidRPr="00643DCF">
        <w:rPr>
          <w:rFonts w:ascii="Times New Roman" w:hAnsi="Times New Roman"/>
          <w:sz w:val="28"/>
          <w:szCs w:val="28"/>
        </w:rPr>
        <w:t xml:space="preserve">Corte </w:t>
      </w:r>
      <w:r w:rsidR="00475CD1" w:rsidRPr="00643DCF">
        <w:rPr>
          <w:rFonts w:ascii="Times New Roman" w:hAnsi="Times New Roman"/>
          <w:sz w:val="28"/>
          <w:szCs w:val="28"/>
        </w:rPr>
        <w:t>verific</w:t>
      </w:r>
      <w:r w:rsidR="00DB653D" w:rsidRPr="00643DCF">
        <w:rPr>
          <w:rFonts w:ascii="Times New Roman" w:hAnsi="Times New Roman"/>
          <w:sz w:val="28"/>
          <w:szCs w:val="28"/>
        </w:rPr>
        <w:t>ó</w:t>
      </w:r>
      <w:r w:rsidR="0093354E" w:rsidRPr="00643DCF">
        <w:rPr>
          <w:rFonts w:ascii="Times New Roman" w:hAnsi="Times New Roman"/>
          <w:sz w:val="28"/>
          <w:szCs w:val="28"/>
        </w:rPr>
        <w:t xml:space="preserve"> que </w:t>
      </w:r>
      <w:r w:rsidR="00475CD1" w:rsidRPr="00643DCF">
        <w:rPr>
          <w:rFonts w:ascii="Times New Roman" w:hAnsi="Times New Roman"/>
          <w:sz w:val="28"/>
          <w:szCs w:val="28"/>
        </w:rPr>
        <w:t xml:space="preserve">está </w:t>
      </w:r>
      <w:r w:rsidR="003F40E6" w:rsidRPr="00643DCF">
        <w:rPr>
          <w:rFonts w:ascii="Times New Roman" w:hAnsi="Times New Roman"/>
          <w:sz w:val="28"/>
          <w:szCs w:val="28"/>
        </w:rPr>
        <w:t>activo y a la fecha</w:t>
      </w:r>
      <w:r w:rsidR="00146941" w:rsidRPr="00643DCF">
        <w:rPr>
          <w:rFonts w:ascii="Times New Roman" w:hAnsi="Times New Roman"/>
          <w:sz w:val="28"/>
          <w:szCs w:val="28"/>
        </w:rPr>
        <w:t xml:space="preserve"> registra un total de </w:t>
      </w:r>
      <w:r w:rsidR="00EB208A" w:rsidRPr="00643DCF">
        <w:rPr>
          <w:rFonts w:ascii="Times New Roman" w:hAnsi="Times New Roman"/>
          <w:sz w:val="28"/>
          <w:szCs w:val="28"/>
        </w:rPr>
        <w:t>1</w:t>
      </w:r>
      <w:r w:rsidR="00FB117A" w:rsidRPr="00643DCF">
        <w:rPr>
          <w:rFonts w:ascii="Times New Roman" w:hAnsi="Times New Roman"/>
          <w:sz w:val="28"/>
          <w:szCs w:val="28"/>
        </w:rPr>
        <w:t>1360</w:t>
      </w:r>
      <w:r w:rsidR="00602EC6" w:rsidRPr="00643DCF">
        <w:rPr>
          <w:rStyle w:val="Refdenotaalpie"/>
          <w:rFonts w:ascii="Times New Roman" w:hAnsi="Times New Roman"/>
          <w:sz w:val="28"/>
          <w:szCs w:val="28"/>
        </w:rPr>
        <w:footnoteReference w:id="179"/>
      </w:r>
      <w:r w:rsidR="00146941" w:rsidRPr="00643DCF">
        <w:rPr>
          <w:rFonts w:ascii="Times New Roman" w:hAnsi="Times New Roman"/>
          <w:sz w:val="28"/>
          <w:szCs w:val="28"/>
        </w:rPr>
        <w:t xml:space="preserve"> ingresos</w:t>
      </w:r>
      <w:r w:rsidR="00B13972" w:rsidRPr="00643DCF">
        <w:rPr>
          <w:rFonts w:ascii="Times New Roman" w:hAnsi="Times New Roman"/>
          <w:sz w:val="28"/>
          <w:szCs w:val="28"/>
        </w:rPr>
        <w:t>, dato que puede confirmar</w:t>
      </w:r>
      <w:r w:rsidR="00BD52B8" w:rsidRPr="00643DCF">
        <w:rPr>
          <w:rFonts w:ascii="Times New Roman" w:hAnsi="Times New Roman"/>
          <w:sz w:val="28"/>
          <w:szCs w:val="28"/>
        </w:rPr>
        <w:t>se</w:t>
      </w:r>
      <w:r w:rsidR="00B13972" w:rsidRPr="00643DCF">
        <w:rPr>
          <w:rFonts w:ascii="Times New Roman" w:hAnsi="Times New Roman"/>
          <w:sz w:val="28"/>
          <w:szCs w:val="28"/>
        </w:rPr>
        <w:t xml:space="preserve"> en la dirección</w:t>
      </w:r>
      <w:r w:rsidR="00475CD1" w:rsidRPr="00643DCF">
        <w:rPr>
          <w:rFonts w:ascii="Times New Roman" w:hAnsi="Times New Roman"/>
          <w:sz w:val="28"/>
          <w:szCs w:val="28"/>
        </w:rPr>
        <w:t xml:space="preserve"> </w:t>
      </w:r>
      <w:hyperlink r:id="rId13" w:history="1">
        <w:r w:rsidR="00B13972" w:rsidRPr="00643DCF">
          <w:rPr>
            <w:rStyle w:val="Hipervnculo"/>
            <w:rFonts w:ascii="Times New Roman" w:hAnsi="Times New Roman"/>
            <w:color w:val="auto"/>
            <w:sz w:val="28"/>
            <w:szCs w:val="28"/>
            <w:u w:val="none"/>
          </w:rPr>
          <w:t>https://www.ramajudicial.gov.co/</w:t>
        </w:r>
        <w:r w:rsidR="006C6B21" w:rsidRPr="00643DCF">
          <w:rPr>
            <w:rStyle w:val="Hipervnculo"/>
            <w:rFonts w:ascii="Times New Roman" w:hAnsi="Times New Roman"/>
            <w:color w:val="auto"/>
            <w:sz w:val="28"/>
            <w:szCs w:val="28"/>
            <w:u w:val="none"/>
          </w:rPr>
          <w:t>web</w:t>
        </w:r>
        <w:r w:rsidR="00B13972" w:rsidRPr="00643DCF">
          <w:rPr>
            <w:rStyle w:val="Hipervnculo"/>
            <w:rFonts w:ascii="Times New Roman" w:hAnsi="Times New Roman"/>
            <w:color w:val="auto"/>
            <w:sz w:val="28"/>
            <w:szCs w:val="28"/>
            <w:u w:val="none"/>
          </w:rPr>
          <w:t>/seguimiento-tutela-t_760-del-2008/inicio</w:t>
        </w:r>
      </w:hyperlink>
      <w:r w:rsidR="00B55898" w:rsidRPr="00643DCF">
        <w:rPr>
          <w:rFonts w:ascii="Times New Roman" w:hAnsi="Times New Roman"/>
          <w:sz w:val="28"/>
          <w:szCs w:val="28"/>
        </w:rPr>
        <w:t>.</w:t>
      </w:r>
    </w:p>
    <w:p w14:paraId="0BD8742E" w14:textId="77777777" w:rsidR="00675FC0" w:rsidRPr="00643DCF" w:rsidRDefault="00675FC0" w:rsidP="00B14E08">
      <w:pPr>
        <w:pStyle w:val="Sinespaciado3"/>
        <w:tabs>
          <w:tab w:val="left" w:pos="567"/>
          <w:tab w:val="left" w:pos="851"/>
          <w:tab w:val="left" w:pos="2865"/>
        </w:tabs>
        <w:jc w:val="both"/>
        <w:rPr>
          <w:rFonts w:ascii="Times New Roman" w:hAnsi="Times New Roman"/>
          <w:sz w:val="28"/>
          <w:szCs w:val="28"/>
        </w:rPr>
      </w:pPr>
    </w:p>
    <w:p w14:paraId="7290ECBA" w14:textId="6ADAC803" w:rsidR="00B13972" w:rsidRPr="00643DCF" w:rsidRDefault="0057282C" w:rsidP="00FB31C7">
      <w:pPr>
        <w:pStyle w:val="Sinespaciado3"/>
        <w:tabs>
          <w:tab w:val="left" w:pos="567"/>
          <w:tab w:val="left" w:pos="851"/>
          <w:tab w:val="left" w:pos="2865"/>
        </w:tabs>
        <w:jc w:val="both"/>
        <w:rPr>
          <w:rFonts w:ascii="Times New Roman" w:hAnsi="Times New Roman"/>
          <w:sz w:val="28"/>
          <w:szCs w:val="28"/>
        </w:rPr>
      </w:pPr>
      <w:r w:rsidRPr="00643DCF">
        <w:rPr>
          <w:rFonts w:ascii="Times New Roman" w:hAnsi="Times New Roman"/>
          <w:sz w:val="28"/>
          <w:szCs w:val="28"/>
        </w:rPr>
        <w:t>7</w:t>
      </w:r>
      <w:r w:rsidR="001356D4" w:rsidRPr="00643DCF">
        <w:rPr>
          <w:rFonts w:ascii="Times New Roman" w:hAnsi="Times New Roman"/>
          <w:sz w:val="28"/>
          <w:szCs w:val="28"/>
        </w:rPr>
        <w:t>2</w:t>
      </w:r>
      <w:r w:rsidR="00B962D4" w:rsidRPr="00643DCF">
        <w:rPr>
          <w:rFonts w:ascii="Times New Roman" w:hAnsi="Times New Roman"/>
          <w:sz w:val="28"/>
          <w:szCs w:val="28"/>
        </w:rPr>
        <w:t xml:space="preserve">. </w:t>
      </w:r>
      <w:r w:rsidR="00B13972" w:rsidRPr="00643DCF">
        <w:rPr>
          <w:rFonts w:ascii="Times New Roman" w:hAnsi="Times New Roman"/>
          <w:sz w:val="28"/>
          <w:szCs w:val="28"/>
        </w:rPr>
        <w:t xml:space="preserve">En lo que respecta a los </w:t>
      </w:r>
      <w:r w:rsidR="00512C7E" w:rsidRPr="00643DCF">
        <w:rPr>
          <w:rFonts w:ascii="Times New Roman" w:hAnsi="Times New Roman"/>
          <w:sz w:val="28"/>
          <w:szCs w:val="28"/>
        </w:rPr>
        <w:t xml:space="preserve">reportes </w:t>
      </w:r>
      <w:r w:rsidR="00563F02" w:rsidRPr="00643DCF">
        <w:rPr>
          <w:rFonts w:ascii="Times New Roman" w:hAnsi="Times New Roman"/>
          <w:sz w:val="28"/>
          <w:szCs w:val="28"/>
        </w:rPr>
        <w:t>presentados por el Consejo Superior de la Judicatura</w:t>
      </w:r>
      <w:r w:rsidR="00B13972" w:rsidRPr="00643DCF">
        <w:rPr>
          <w:rFonts w:ascii="Times New Roman" w:hAnsi="Times New Roman"/>
          <w:sz w:val="28"/>
          <w:szCs w:val="28"/>
        </w:rPr>
        <w:t xml:space="preserve">, estos están incluidos en el </w:t>
      </w:r>
      <w:r w:rsidR="00B13972" w:rsidRPr="00643DCF">
        <w:rPr>
          <w:rFonts w:ascii="Times New Roman" w:hAnsi="Times New Roman"/>
          <w:i/>
          <w:sz w:val="28"/>
          <w:szCs w:val="28"/>
        </w:rPr>
        <w:t>link</w:t>
      </w:r>
      <w:r w:rsidR="00B13972" w:rsidRPr="00643DCF">
        <w:rPr>
          <w:rFonts w:ascii="Times New Roman" w:hAnsi="Times New Roman"/>
          <w:sz w:val="28"/>
          <w:szCs w:val="28"/>
        </w:rPr>
        <w:t xml:space="preserve">, </w:t>
      </w:r>
      <w:hyperlink r:id="rId14" w:history="1">
        <w:r w:rsidR="00823C4A" w:rsidRPr="003F06B1">
          <w:rPr>
            <w:rStyle w:val="Hipervnculo"/>
            <w:rFonts w:ascii="Times New Roman" w:hAnsi="Times New Roman"/>
            <w:color w:val="auto"/>
            <w:sz w:val="28"/>
            <w:szCs w:val="28"/>
            <w:u w:val="none"/>
          </w:rPr>
          <w:t>https:</w:t>
        </w:r>
        <w:r w:rsidR="00823C4A" w:rsidRPr="00E00F9B">
          <w:rPr>
            <w:rStyle w:val="Hipervnculo"/>
            <w:rFonts w:ascii="Times New Roman" w:hAnsi="Times New Roman"/>
            <w:color w:val="auto"/>
            <w:sz w:val="27"/>
            <w:szCs w:val="27"/>
            <w:u w:val="none"/>
          </w:rPr>
          <w:t>//www.ramajudicial.gov.co/web/seguimiento-tutela-t_760-del-2008/informes</w:t>
        </w:r>
      </w:hyperlink>
      <w:r w:rsidR="0026693F" w:rsidRPr="00643DCF">
        <w:rPr>
          <w:rFonts w:ascii="Times New Roman" w:hAnsi="Times New Roman"/>
          <w:sz w:val="28"/>
          <w:szCs w:val="28"/>
        </w:rPr>
        <w:t>,</w:t>
      </w:r>
      <w:r w:rsidR="00823C4A" w:rsidRPr="00643DCF">
        <w:rPr>
          <w:rFonts w:ascii="Times New Roman" w:hAnsi="Times New Roman"/>
          <w:sz w:val="28"/>
          <w:szCs w:val="28"/>
        </w:rPr>
        <w:t xml:space="preserve"> </w:t>
      </w:r>
      <w:r w:rsidR="00B13972" w:rsidRPr="00643DCF">
        <w:rPr>
          <w:rFonts w:ascii="Times New Roman" w:hAnsi="Times New Roman"/>
          <w:sz w:val="28"/>
          <w:szCs w:val="28"/>
        </w:rPr>
        <w:t>evidencia</w:t>
      </w:r>
      <w:r w:rsidR="0026693F" w:rsidRPr="00643DCF">
        <w:rPr>
          <w:rFonts w:ascii="Times New Roman" w:hAnsi="Times New Roman"/>
          <w:sz w:val="28"/>
          <w:szCs w:val="28"/>
        </w:rPr>
        <w:t>ndo</w:t>
      </w:r>
      <w:r w:rsidR="00B13972" w:rsidRPr="00643DCF">
        <w:rPr>
          <w:rFonts w:ascii="Times New Roman" w:hAnsi="Times New Roman"/>
          <w:sz w:val="28"/>
          <w:szCs w:val="28"/>
        </w:rPr>
        <w:t xml:space="preserve"> que el último documento incluido en el enlace es el “</w:t>
      </w:r>
      <w:hyperlink r:id="rId15" w:tgtFrame="_blank" w:history="1">
        <w:r w:rsidR="0026693F" w:rsidRPr="00643DCF">
          <w:rPr>
            <w:rFonts w:ascii="Times New Roman" w:hAnsi="Times New Roman"/>
            <w:sz w:val="28"/>
            <w:szCs w:val="28"/>
          </w:rPr>
          <w:t>PCSJO1</w:t>
        </w:r>
        <w:r w:rsidR="00675FC0" w:rsidRPr="00643DCF">
          <w:rPr>
            <w:rFonts w:ascii="Times New Roman" w:hAnsi="Times New Roman"/>
            <w:sz w:val="28"/>
            <w:szCs w:val="28"/>
          </w:rPr>
          <w:t>8</w:t>
        </w:r>
        <w:r w:rsidR="0026693F" w:rsidRPr="00643DCF">
          <w:rPr>
            <w:rFonts w:ascii="Times New Roman" w:hAnsi="Times New Roman"/>
            <w:sz w:val="28"/>
            <w:szCs w:val="28"/>
          </w:rPr>
          <w:t>-</w:t>
        </w:r>
        <w:r w:rsidR="00675FC0" w:rsidRPr="00643DCF">
          <w:rPr>
            <w:rFonts w:ascii="Times New Roman" w:hAnsi="Times New Roman"/>
            <w:sz w:val="28"/>
            <w:szCs w:val="28"/>
          </w:rPr>
          <w:t>441</w:t>
        </w:r>
      </w:hyperlink>
      <w:r w:rsidR="00B13972" w:rsidRPr="00643DCF">
        <w:rPr>
          <w:rFonts w:ascii="Times New Roman" w:hAnsi="Times New Roman"/>
          <w:sz w:val="28"/>
          <w:szCs w:val="28"/>
        </w:rPr>
        <w:t xml:space="preserve">” del </w:t>
      </w:r>
      <w:r w:rsidR="00675FC0" w:rsidRPr="00643DCF">
        <w:rPr>
          <w:rFonts w:ascii="Times New Roman" w:hAnsi="Times New Roman"/>
          <w:sz w:val="28"/>
          <w:szCs w:val="28"/>
        </w:rPr>
        <w:t xml:space="preserve">22 </w:t>
      </w:r>
      <w:r w:rsidR="00B13972" w:rsidRPr="00643DCF">
        <w:rPr>
          <w:rFonts w:ascii="Times New Roman" w:hAnsi="Times New Roman"/>
          <w:sz w:val="28"/>
          <w:szCs w:val="28"/>
        </w:rPr>
        <w:t xml:space="preserve">de </w:t>
      </w:r>
      <w:r w:rsidR="00675FC0" w:rsidRPr="00643DCF">
        <w:rPr>
          <w:rFonts w:ascii="Times New Roman" w:hAnsi="Times New Roman"/>
          <w:sz w:val="28"/>
          <w:szCs w:val="28"/>
        </w:rPr>
        <w:t>marzo</w:t>
      </w:r>
      <w:r w:rsidR="00B13972" w:rsidRPr="00643DCF">
        <w:rPr>
          <w:rFonts w:ascii="Times New Roman" w:hAnsi="Times New Roman"/>
          <w:sz w:val="28"/>
          <w:szCs w:val="28"/>
        </w:rPr>
        <w:t xml:space="preserve"> de 201</w:t>
      </w:r>
      <w:r w:rsidR="00675FC0" w:rsidRPr="00643DCF">
        <w:rPr>
          <w:rFonts w:ascii="Times New Roman" w:hAnsi="Times New Roman"/>
          <w:sz w:val="28"/>
          <w:szCs w:val="28"/>
        </w:rPr>
        <w:t>8</w:t>
      </w:r>
      <w:r w:rsidR="001D3176" w:rsidRPr="00643DCF">
        <w:rPr>
          <w:rStyle w:val="Refdenotaalpie"/>
          <w:rFonts w:ascii="Times New Roman" w:hAnsi="Times New Roman"/>
          <w:sz w:val="28"/>
          <w:szCs w:val="28"/>
        </w:rPr>
        <w:footnoteReference w:id="180"/>
      </w:r>
      <w:r w:rsidR="00B13972" w:rsidRPr="00643DCF">
        <w:rPr>
          <w:rFonts w:ascii="Times New Roman" w:hAnsi="Times New Roman"/>
          <w:sz w:val="28"/>
          <w:szCs w:val="28"/>
        </w:rPr>
        <w:t xml:space="preserve">, lo que </w:t>
      </w:r>
      <w:r w:rsidR="00602EC6" w:rsidRPr="00643DCF">
        <w:rPr>
          <w:rFonts w:ascii="Times New Roman" w:hAnsi="Times New Roman"/>
          <w:sz w:val="28"/>
          <w:szCs w:val="28"/>
        </w:rPr>
        <w:t>demuestra</w:t>
      </w:r>
      <w:r w:rsidR="00B13972" w:rsidRPr="00643DCF">
        <w:rPr>
          <w:rFonts w:ascii="Times New Roman" w:hAnsi="Times New Roman"/>
          <w:sz w:val="28"/>
          <w:szCs w:val="28"/>
        </w:rPr>
        <w:t xml:space="preserve"> que a la fecha no ha</w:t>
      </w:r>
      <w:r w:rsidR="009C230E" w:rsidRPr="00643DCF">
        <w:rPr>
          <w:rFonts w:ascii="Times New Roman" w:hAnsi="Times New Roman"/>
          <w:sz w:val="28"/>
          <w:szCs w:val="28"/>
        </w:rPr>
        <w:t>n</w:t>
      </w:r>
      <w:r w:rsidR="00BD52B8" w:rsidRPr="00643DCF">
        <w:rPr>
          <w:rFonts w:ascii="Times New Roman" w:hAnsi="Times New Roman"/>
          <w:sz w:val="28"/>
          <w:szCs w:val="28"/>
        </w:rPr>
        <w:t xml:space="preserve"> </w:t>
      </w:r>
      <w:r w:rsidR="00B13972" w:rsidRPr="00643DCF">
        <w:rPr>
          <w:rFonts w:ascii="Times New Roman" w:hAnsi="Times New Roman"/>
          <w:sz w:val="28"/>
          <w:szCs w:val="28"/>
        </w:rPr>
        <w:t>sido</w:t>
      </w:r>
      <w:r w:rsidR="00BD52B8" w:rsidRPr="00643DCF">
        <w:rPr>
          <w:rFonts w:ascii="Times New Roman" w:hAnsi="Times New Roman"/>
          <w:sz w:val="28"/>
          <w:szCs w:val="28"/>
        </w:rPr>
        <w:t xml:space="preserve"> </w:t>
      </w:r>
      <w:r w:rsidR="00185995" w:rsidRPr="00643DCF">
        <w:rPr>
          <w:rFonts w:ascii="Times New Roman" w:hAnsi="Times New Roman"/>
          <w:sz w:val="28"/>
          <w:szCs w:val="28"/>
        </w:rPr>
        <w:t>cargado</w:t>
      </w:r>
      <w:r w:rsidR="009C230E" w:rsidRPr="00643DCF">
        <w:rPr>
          <w:rFonts w:ascii="Times New Roman" w:hAnsi="Times New Roman"/>
          <w:sz w:val="28"/>
          <w:szCs w:val="28"/>
        </w:rPr>
        <w:t>s</w:t>
      </w:r>
      <w:r w:rsidR="00185995" w:rsidRPr="00643DCF">
        <w:rPr>
          <w:rFonts w:ascii="Times New Roman" w:hAnsi="Times New Roman"/>
          <w:sz w:val="28"/>
          <w:szCs w:val="28"/>
        </w:rPr>
        <w:t xml:space="preserve"> en la página </w:t>
      </w:r>
      <w:r w:rsidR="009C230E" w:rsidRPr="00643DCF">
        <w:rPr>
          <w:rFonts w:ascii="Times New Roman" w:hAnsi="Times New Roman"/>
          <w:sz w:val="28"/>
          <w:szCs w:val="28"/>
        </w:rPr>
        <w:t>los</w:t>
      </w:r>
      <w:r w:rsidR="0026693F" w:rsidRPr="00643DCF">
        <w:rPr>
          <w:rFonts w:ascii="Times New Roman" w:hAnsi="Times New Roman"/>
          <w:sz w:val="28"/>
          <w:szCs w:val="28"/>
        </w:rPr>
        <w:t xml:space="preserve"> informe</w:t>
      </w:r>
      <w:r w:rsidR="009C230E" w:rsidRPr="00643DCF">
        <w:rPr>
          <w:rFonts w:ascii="Times New Roman" w:hAnsi="Times New Roman"/>
          <w:sz w:val="28"/>
          <w:szCs w:val="28"/>
        </w:rPr>
        <w:t>s</w:t>
      </w:r>
      <w:r w:rsidR="0026693F" w:rsidRPr="00643DCF">
        <w:rPr>
          <w:rFonts w:ascii="Times New Roman" w:hAnsi="Times New Roman"/>
          <w:sz w:val="28"/>
          <w:szCs w:val="28"/>
        </w:rPr>
        <w:t xml:space="preserve"> </w:t>
      </w:r>
      <w:r w:rsidR="00BD52B8" w:rsidRPr="00643DCF">
        <w:rPr>
          <w:rFonts w:ascii="Times New Roman" w:hAnsi="Times New Roman"/>
          <w:sz w:val="28"/>
          <w:szCs w:val="28"/>
        </w:rPr>
        <w:t xml:space="preserve">que </w:t>
      </w:r>
      <w:r w:rsidR="00711D39" w:rsidRPr="00643DCF">
        <w:rPr>
          <w:rFonts w:ascii="Times New Roman" w:hAnsi="Times New Roman"/>
          <w:sz w:val="28"/>
          <w:szCs w:val="28"/>
        </w:rPr>
        <w:t>fue</w:t>
      </w:r>
      <w:r w:rsidR="009C230E" w:rsidRPr="00643DCF">
        <w:rPr>
          <w:rFonts w:ascii="Times New Roman" w:hAnsi="Times New Roman"/>
          <w:sz w:val="28"/>
          <w:szCs w:val="28"/>
        </w:rPr>
        <w:t>ron</w:t>
      </w:r>
      <w:r w:rsidR="00BD52B8" w:rsidRPr="00643DCF">
        <w:rPr>
          <w:rFonts w:ascii="Times New Roman" w:hAnsi="Times New Roman"/>
          <w:sz w:val="28"/>
          <w:szCs w:val="28"/>
        </w:rPr>
        <w:t xml:space="preserve"> presentado</w:t>
      </w:r>
      <w:r w:rsidR="009C230E" w:rsidRPr="00643DCF">
        <w:rPr>
          <w:rFonts w:ascii="Times New Roman" w:hAnsi="Times New Roman"/>
          <w:sz w:val="28"/>
          <w:szCs w:val="28"/>
        </w:rPr>
        <w:t>s</w:t>
      </w:r>
      <w:r w:rsidR="00BD52B8" w:rsidRPr="00643DCF">
        <w:rPr>
          <w:rFonts w:ascii="Times New Roman" w:hAnsi="Times New Roman"/>
          <w:sz w:val="28"/>
          <w:szCs w:val="28"/>
        </w:rPr>
        <w:t xml:space="preserve"> en </w:t>
      </w:r>
      <w:r w:rsidR="009C230E" w:rsidRPr="00643DCF">
        <w:rPr>
          <w:rFonts w:ascii="Times New Roman" w:hAnsi="Times New Roman"/>
          <w:sz w:val="28"/>
          <w:szCs w:val="28"/>
        </w:rPr>
        <w:t>los</w:t>
      </w:r>
      <w:r w:rsidR="00BD52B8" w:rsidRPr="00643DCF">
        <w:rPr>
          <w:rFonts w:ascii="Times New Roman" w:hAnsi="Times New Roman"/>
          <w:sz w:val="28"/>
          <w:szCs w:val="28"/>
        </w:rPr>
        <w:t xml:space="preserve"> mes</w:t>
      </w:r>
      <w:r w:rsidR="009C230E" w:rsidRPr="00643DCF">
        <w:rPr>
          <w:rFonts w:ascii="Times New Roman" w:hAnsi="Times New Roman"/>
          <w:sz w:val="28"/>
          <w:szCs w:val="28"/>
        </w:rPr>
        <w:t>es</w:t>
      </w:r>
      <w:r w:rsidR="00BD52B8" w:rsidRPr="00643DCF">
        <w:rPr>
          <w:rFonts w:ascii="Times New Roman" w:hAnsi="Times New Roman"/>
          <w:sz w:val="28"/>
          <w:szCs w:val="28"/>
        </w:rPr>
        <w:t xml:space="preserve"> de </w:t>
      </w:r>
      <w:r w:rsidR="00265931" w:rsidRPr="00643DCF">
        <w:rPr>
          <w:rFonts w:ascii="Times New Roman" w:hAnsi="Times New Roman"/>
          <w:sz w:val="28"/>
          <w:szCs w:val="28"/>
        </w:rPr>
        <w:t>julio</w:t>
      </w:r>
      <w:r w:rsidR="00E17AC9" w:rsidRPr="00643DCF">
        <w:rPr>
          <w:rFonts w:ascii="Times New Roman" w:hAnsi="Times New Roman"/>
          <w:sz w:val="28"/>
          <w:szCs w:val="28"/>
        </w:rPr>
        <w:t xml:space="preserve"> </w:t>
      </w:r>
      <w:r w:rsidR="009C230E" w:rsidRPr="00643DCF">
        <w:rPr>
          <w:rFonts w:ascii="Times New Roman" w:hAnsi="Times New Roman"/>
          <w:sz w:val="28"/>
          <w:szCs w:val="28"/>
        </w:rPr>
        <w:t xml:space="preserve">y diciembre </w:t>
      </w:r>
      <w:r w:rsidR="00BD52B8" w:rsidRPr="00643DCF">
        <w:rPr>
          <w:rFonts w:ascii="Times New Roman" w:hAnsi="Times New Roman"/>
          <w:sz w:val="28"/>
          <w:szCs w:val="28"/>
        </w:rPr>
        <w:t>de 201</w:t>
      </w:r>
      <w:r w:rsidR="00185995" w:rsidRPr="00643DCF">
        <w:rPr>
          <w:rFonts w:ascii="Times New Roman" w:hAnsi="Times New Roman"/>
          <w:sz w:val="28"/>
          <w:szCs w:val="28"/>
        </w:rPr>
        <w:t>8</w:t>
      </w:r>
      <w:r w:rsidR="006A2260" w:rsidRPr="00643DCF">
        <w:rPr>
          <w:rStyle w:val="Refdenotaalpie"/>
          <w:rFonts w:ascii="Times New Roman" w:hAnsi="Times New Roman"/>
          <w:sz w:val="28"/>
          <w:szCs w:val="28"/>
        </w:rPr>
        <w:footnoteReference w:id="181"/>
      </w:r>
      <w:r w:rsidR="00DE53FA" w:rsidRPr="00643DCF">
        <w:rPr>
          <w:rFonts w:ascii="Times New Roman" w:hAnsi="Times New Roman"/>
          <w:sz w:val="28"/>
          <w:szCs w:val="28"/>
        </w:rPr>
        <w:t>.</w:t>
      </w:r>
      <w:r w:rsidR="0026693F" w:rsidRPr="00643DCF">
        <w:rPr>
          <w:rFonts w:ascii="Times New Roman" w:hAnsi="Times New Roman"/>
          <w:sz w:val="28"/>
          <w:szCs w:val="28"/>
        </w:rPr>
        <w:t xml:space="preserve"> </w:t>
      </w:r>
    </w:p>
    <w:p w14:paraId="117EA4BD" w14:textId="77777777" w:rsidR="00B8495B" w:rsidRPr="00643DCF" w:rsidRDefault="00B8495B" w:rsidP="00F43AE5">
      <w:pPr>
        <w:pStyle w:val="Sinespaciado3"/>
        <w:tabs>
          <w:tab w:val="left" w:pos="567"/>
          <w:tab w:val="left" w:pos="851"/>
          <w:tab w:val="left" w:pos="2865"/>
        </w:tabs>
        <w:jc w:val="both"/>
        <w:rPr>
          <w:rFonts w:ascii="Times New Roman" w:hAnsi="Times New Roman"/>
          <w:sz w:val="28"/>
          <w:szCs w:val="28"/>
        </w:rPr>
      </w:pPr>
    </w:p>
    <w:p w14:paraId="2AF1824A" w14:textId="01757A2E" w:rsidR="00A30F11" w:rsidRPr="00643DCF" w:rsidRDefault="00B8495B" w:rsidP="00FB31C7">
      <w:pPr>
        <w:pStyle w:val="Sinespaciado3"/>
        <w:tabs>
          <w:tab w:val="left" w:pos="567"/>
          <w:tab w:val="left" w:pos="851"/>
          <w:tab w:val="left" w:pos="2865"/>
        </w:tabs>
        <w:jc w:val="both"/>
        <w:rPr>
          <w:rFonts w:ascii="Times New Roman" w:hAnsi="Times New Roman"/>
          <w:b/>
          <w:i/>
          <w:sz w:val="28"/>
          <w:szCs w:val="28"/>
        </w:rPr>
      </w:pPr>
      <w:r w:rsidRPr="00643DCF">
        <w:rPr>
          <w:rFonts w:ascii="Times New Roman" w:hAnsi="Times New Roman"/>
          <w:sz w:val="28"/>
          <w:szCs w:val="28"/>
        </w:rPr>
        <w:t>b. Contenido del espacio dedicado</w:t>
      </w:r>
      <w:r w:rsidR="004D1111" w:rsidRPr="00643DCF">
        <w:rPr>
          <w:rFonts w:ascii="Times New Roman" w:hAnsi="Times New Roman"/>
          <w:sz w:val="28"/>
          <w:szCs w:val="28"/>
        </w:rPr>
        <w:t xml:space="preserve"> </w:t>
      </w:r>
      <w:r w:rsidR="00A30F11" w:rsidRPr="00643DCF">
        <w:rPr>
          <w:rFonts w:ascii="Times New Roman" w:hAnsi="Times New Roman"/>
          <w:sz w:val="28"/>
          <w:szCs w:val="28"/>
        </w:rPr>
        <w:t>al derecho a la salud</w:t>
      </w:r>
      <w:r w:rsidR="004D1111" w:rsidRPr="00643DCF">
        <w:rPr>
          <w:rStyle w:val="Refdenotaalpie"/>
          <w:rFonts w:ascii="Times New Roman" w:hAnsi="Times New Roman"/>
          <w:sz w:val="28"/>
          <w:szCs w:val="28"/>
        </w:rPr>
        <w:footnoteReference w:id="182"/>
      </w:r>
      <w:r w:rsidR="00AA3368" w:rsidRPr="00643DCF">
        <w:rPr>
          <w:rFonts w:ascii="Times New Roman" w:hAnsi="Times New Roman"/>
          <w:sz w:val="28"/>
          <w:szCs w:val="28"/>
        </w:rPr>
        <w:t>.</w:t>
      </w:r>
    </w:p>
    <w:p w14:paraId="0E201359" w14:textId="77777777" w:rsidR="00A30F11" w:rsidRPr="00643DCF" w:rsidRDefault="00A30F11" w:rsidP="00FB31C7">
      <w:pPr>
        <w:pStyle w:val="Sinespaciado3"/>
        <w:tabs>
          <w:tab w:val="left" w:pos="567"/>
          <w:tab w:val="left" w:pos="851"/>
          <w:tab w:val="left" w:pos="2865"/>
        </w:tabs>
        <w:jc w:val="both"/>
        <w:rPr>
          <w:rFonts w:ascii="Times New Roman" w:hAnsi="Times New Roman"/>
          <w:sz w:val="28"/>
          <w:szCs w:val="28"/>
        </w:rPr>
      </w:pPr>
    </w:p>
    <w:p w14:paraId="6C7538F1" w14:textId="0CBED492" w:rsidR="005459E9" w:rsidRPr="00643DCF" w:rsidRDefault="0057282C" w:rsidP="00FB31C7">
      <w:pPr>
        <w:pStyle w:val="Sinespaciado3"/>
        <w:tabs>
          <w:tab w:val="left" w:pos="567"/>
          <w:tab w:val="left" w:pos="851"/>
          <w:tab w:val="left" w:pos="2865"/>
        </w:tabs>
        <w:jc w:val="both"/>
        <w:rPr>
          <w:rFonts w:ascii="Times New Roman" w:hAnsi="Times New Roman"/>
          <w:sz w:val="28"/>
          <w:szCs w:val="28"/>
        </w:rPr>
      </w:pPr>
      <w:r w:rsidRPr="00643DCF">
        <w:rPr>
          <w:rFonts w:ascii="Times New Roman" w:hAnsi="Times New Roman"/>
          <w:sz w:val="28"/>
          <w:szCs w:val="28"/>
        </w:rPr>
        <w:t>7</w:t>
      </w:r>
      <w:r w:rsidR="001356D4" w:rsidRPr="00643DCF">
        <w:rPr>
          <w:rFonts w:ascii="Times New Roman" w:hAnsi="Times New Roman"/>
          <w:sz w:val="28"/>
          <w:szCs w:val="28"/>
        </w:rPr>
        <w:t>3</w:t>
      </w:r>
      <w:r w:rsidR="00B962D4" w:rsidRPr="00643DCF">
        <w:rPr>
          <w:rFonts w:ascii="Times New Roman" w:hAnsi="Times New Roman"/>
          <w:sz w:val="28"/>
          <w:szCs w:val="28"/>
        </w:rPr>
        <w:t xml:space="preserve">. </w:t>
      </w:r>
      <w:r w:rsidR="00DB653D" w:rsidRPr="00643DCF">
        <w:rPr>
          <w:rFonts w:ascii="Times New Roman" w:hAnsi="Times New Roman"/>
          <w:sz w:val="28"/>
          <w:szCs w:val="28"/>
        </w:rPr>
        <w:t>A</w:t>
      </w:r>
      <w:r w:rsidR="007572A3" w:rsidRPr="00643DCF">
        <w:rPr>
          <w:rFonts w:ascii="Times New Roman" w:hAnsi="Times New Roman"/>
          <w:sz w:val="28"/>
          <w:szCs w:val="28"/>
        </w:rPr>
        <w:t xml:space="preserve">l revisar el </w:t>
      </w:r>
      <w:r w:rsidR="00C648A1" w:rsidRPr="00643DCF">
        <w:rPr>
          <w:rFonts w:ascii="Times New Roman" w:hAnsi="Times New Roman"/>
          <w:sz w:val="28"/>
          <w:szCs w:val="28"/>
        </w:rPr>
        <w:t>aplica</w:t>
      </w:r>
      <w:r w:rsidR="00B13972" w:rsidRPr="00643DCF">
        <w:rPr>
          <w:rFonts w:ascii="Times New Roman" w:hAnsi="Times New Roman"/>
          <w:sz w:val="28"/>
          <w:szCs w:val="28"/>
        </w:rPr>
        <w:t>tivo</w:t>
      </w:r>
      <w:r w:rsidR="007572A3" w:rsidRPr="00643DCF">
        <w:rPr>
          <w:rFonts w:ascii="Times New Roman" w:hAnsi="Times New Roman"/>
          <w:sz w:val="28"/>
          <w:szCs w:val="28"/>
        </w:rPr>
        <w:t xml:space="preserve"> correspondiente </w:t>
      </w:r>
      <w:r w:rsidR="00DB653D" w:rsidRPr="00643DCF">
        <w:rPr>
          <w:rFonts w:ascii="Times New Roman" w:hAnsi="Times New Roman"/>
          <w:sz w:val="28"/>
          <w:szCs w:val="28"/>
        </w:rPr>
        <w:t xml:space="preserve">se localizó </w:t>
      </w:r>
      <w:r w:rsidR="007572A3" w:rsidRPr="00643DCF">
        <w:rPr>
          <w:rFonts w:ascii="Times New Roman" w:hAnsi="Times New Roman"/>
          <w:sz w:val="28"/>
          <w:szCs w:val="28"/>
        </w:rPr>
        <w:t>una videoteca</w:t>
      </w:r>
      <w:r w:rsidR="00B13972" w:rsidRPr="00643DCF">
        <w:rPr>
          <w:rFonts w:ascii="Times New Roman" w:hAnsi="Times New Roman"/>
          <w:sz w:val="28"/>
          <w:szCs w:val="28"/>
        </w:rPr>
        <w:t xml:space="preserve"> </w:t>
      </w:r>
      <w:r w:rsidR="007572A3" w:rsidRPr="00643DCF">
        <w:rPr>
          <w:rFonts w:ascii="Times New Roman" w:hAnsi="Times New Roman"/>
          <w:sz w:val="28"/>
          <w:szCs w:val="28"/>
        </w:rPr>
        <w:t xml:space="preserve">en la que está disponible </w:t>
      </w:r>
      <w:r w:rsidR="00B13972" w:rsidRPr="00643DCF">
        <w:rPr>
          <w:rFonts w:ascii="Times New Roman" w:hAnsi="Times New Roman"/>
          <w:sz w:val="28"/>
          <w:szCs w:val="28"/>
        </w:rPr>
        <w:t>material</w:t>
      </w:r>
      <w:r w:rsidR="005459E9" w:rsidRPr="00643DCF">
        <w:rPr>
          <w:rFonts w:ascii="Times New Roman" w:hAnsi="Times New Roman"/>
          <w:sz w:val="28"/>
          <w:szCs w:val="28"/>
        </w:rPr>
        <w:t xml:space="preserve"> con archivos audiovisuales relacionados con el derecho a la salud y actividades adelantadas por la Sala Especial de Seguimiento dentro del </w:t>
      </w:r>
      <w:r w:rsidR="00306A17" w:rsidRPr="00643DCF">
        <w:rPr>
          <w:rFonts w:ascii="Times New Roman" w:hAnsi="Times New Roman"/>
          <w:sz w:val="28"/>
          <w:szCs w:val="28"/>
        </w:rPr>
        <w:t xml:space="preserve">desarrollo </w:t>
      </w:r>
      <w:r w:rsidR="005459E9" w:rsidRPr="00643DCF">
        <w:rPr>
          <w:rFonts w:ascii="Times New Roman" w:hAnsi="Times New Roman"/>
          <w:sz w:val="28"/>
          <w:szCs w:val="28"/>
        </w:rPr>
        <w:t>de sus funciones organizada por años</w:t>
      </w:r>
      <w:r w:rsidR="003414B5" w:rsidRPr="00643DCF">
        <w:rPr>
          <w:rFonts w:ascii="Times New Roman" w:hAnsi="Times New Roman"/>
          <w:sz w:val="28"/>
          <w:szCs w:val="28"/>
        </w:rPr>
        <w:t xml:space="preserve"> hasta el 2016</w:t>
      </w:r>
      <w:r w:rsidR="005459E9" w:rsidRPr="00643DCF">
        <w:rPr>
          <w:rFonts w:ascii="Times New Roman" w:hAnsi="Times New Roman"/>
          <w:sz w:val="28"/>
          <w:szCs w:val="28"/>
        </w:rPr>
        <w:t xml:space="preserve">, </w:t>
      </w:r>
      <w:r w:rsidR="007572A3" w:rsidRPr="00643DCF">
        <w:rPr>
          <w:rFonts w:ascii="Times New Roman" w:hAnsi="Times New Roman"/>
          <w:sz w:val="28"/>
          <w:szCs w:val="28"/>
        </w:rPr>
        <w:t xml:space="preserve">en la dirección </w:t>
      </w:r>
      <w:r w:rsidR="006C6B21" w:rsidRPr="00643DCF">
        <w:rPr>
          <w:rFonts w:ascii="Times New Roman" w:hAnsi="Times New Roman"/>
          <w:sz w:val="28"/>
          <w:szCs w:val="28"/>
        </w:rPr>
        <w:t>web</w:t>
      </w:r>
      <w:r w:rsidR="005459E9" w:rsidRPr="00643DCF">
        <w:rPr>
          <w:rFonts w:ascii="Times New Roman" w:hAnsi="Times New Roman"/>
          <w:sz w:val="28"/>
          <w:szCs w:val="28"/>
        </w:rPr>
        <w:t xml:space="preserve"> </w:t>
      </w:r>
      <w:hyperlink r:id="rId16" w:history="1">
        <w:r w:rsidR="00535422" w:rsidRPr="00643DCF">
          <w:rPr>
            <w:rStyle w:val="Hipervnculo"/>
            <w:rFonts w:ascii="Times New Roman" w:hAnsi="Times New Roman"/>
            <w:color w:val="auto"/>
            <w:sz w:val="28"/>
            <w:szCs w:val="28"/>
            <w:u w:val="none"/>
          </w:rPr>
          <w:t>https:/</w:t>
        </w:r>
        <w:r w:rsidR="00535422" w:rsidRPr="003F06B1">
          <w:rPr>
            <w:rStyle w:val="Hipervnculo"/>
            <w:rFonts w:ascii="Times New Roman" w:hAnsi="Times New Roman"/>
            <w:color w:val="auto"/>
            <w:sz w:val="27"/>
            <w:szCs w:val="27"/>
            <w:u w:val="none"/>
          </w:rPr>
          <w:t>/www.ramajudicial.gov.co/</w:t>
        </w:r>
        <w:r w:rsidR="006C6B21" w:rsidRPr="003F06B1">
          <w:rPr>
            <w:rStyle w:val="Hipervnculo"/>
            <w:rFonts w:ascii="Times New Roman" w:hAnsi="Times New Roman"/>
            <w:color w:val="auto"/>
            <w:sz w:val="27"/>
            <w:szCs w:val="27"/>
            <w:u w:val="none"/>
          </w:rPr>
          <w:t>web</w:t>
        </w:r>
        <w:r w:rsidR="00535422" w:rsidRPr="003F06B1">
          <w:rPr>
            <w:rStyle w:val="Hipervnculo"/>
            <w:rFonts w:ascii="Times New Roman" w:hAnsi="Times New Roman"/>
            <w:color w:val="auto"/>
            <w:sz w:val="27"/>
            <w:szCs w:val="27"/>
            <w:u w:val="none"/>
          </w:rPr>
          <w:t>/seguimiento-tutela-t_760-del-2008/videoteca</w:t>
        </w:r>
      </w:hyperlink>
      <w:r w:rsidR="006A4D50" w:rsidRPr="00643DCF">
        <w:rPr>
          <w:rStyle w:val="Hipervnculo"/>
          <w:rFonts w:ascii="Times New Roman" w:hAnsi="Times New Roman"/>
          <w:color w:val="auto"/>
          <w:sz w:val="28"/>
          <w:szCs w:val="28"/>
          <w:u w:val="none"/>
        </w:rPr>
        <w:t>.</w:t>
      </w:r>
    </w:p>
    <w:p w14:paraId="16B37B73" w14:textId="421F0D72" w:rsidR="00C648A1" w:rsidRPr="00643DCF" w:rsidRDefault="00C648A1" w:rsidP="00B14E08">
      <w:pPr>
        <w:pStyle w:val="Sinespaciado3"/>
        <w:tabs>
          <w:tab w:val="left" w:pos="567"/>
          <w:tab w:val="left" w:pos="851"/>
          <w:tab w:val="left" w:pos="2865"/>
        </w:tabs>
        <w:jc w:val="both"/>
        <w:rPr>
          <w:rFonts w:ascii="Times New Roman" w:eastAsia="Batang" w:hAnsi="Times New Roman"/>
          <w:bCs/>
          <w:sz w:val="28"/>
          <w:szCs w:val="28"/>
        </w:rPr>
      </w:pPr>
    </w:p>
    <w:p w14:paraId="795E3B79" w14:textId="2BE39064" w:rsidR="00C648A1" w:rsidRPr="00643DCF" w:rsidRDefault="00B962D4" w:rsidP="00602EC6">
      <w:pPr>
        <w:pStyle w:val="NormalWeb"/>
        <w:shd w:val="clear" w:color="auto" w:fill="FFFFFF"/>
        <w:tabs>
          <w:tab w:val="left" w:pos="284"/>
          <w:tab w:val="left" w:pos="567"/>
        </w:tabs>
        <w:spacing w:before="0" w:beforeAutospacing="0" w:after="240" w:afterAutospacing="0"/>
        <w:jc w:val="both"/>
        <w:rPr>
          <w:sz w:val="28"/>
          <w:szCs w:val="28"/>
        </w:rPr>
      </w:pPr>
      <w:r w:rsidRPr="00643DCF">
        <w:rPr>
          <w:rFonts w:eastAsia="Batang"/>
          <w:bCs/>
          <w:sz w:val="28"/>
          <w:szCs w:val="28"/>
        </w:rPr>
        <w:t>7</w:t>
      </w:r>
      <w:r w:rsidR="001356D4" w:rsidRPr="00643DCF">
        <w:rPr>
          <w:rFonts w:eastAsia="Batang"/>
          <w:bCs/>
          <w:sz w:val="28"/>
          <w:szCs w:val="28"/>
        </w:rPr>
        <w:t>4</w:t>
      </w:r>
      <w:r w:rsidRPr="00643DCF">
        <w:rPr>
          <w:rFonts w:eastAsia="Batang"/>
          <w:bCs/>
          <w:sz w:val="28"/>
          <w:szCs w:val="28"/>
        </w:rPr>
        <w:t xml:space="preserve">. </w:t>
      </w:r>
      <w:r w:rsidR="0024476C" w:rsidRPr="00643DCF">
        <w:rPr>
          <w:rFonts w:eastAsia="Batang"/>
          <w:bCs/>
          <w:sz w:val="28"/>
          <w:szCs w:val="28"/>
        </w:rPr>
        <w:t>En</w:t>
      </w:r>
      <w:r w:rsidR="00E10B3B" w:rsidRPr="00643DCF">
        <w:rPr>
          <w:rFonts w:eastAsia="Batang"/>
          <w:bCs/>
          <w:sz w:val="28"/>
          <w:szCs w:val="28"/>
        </w:rPr>
        <w:t xml:space="preserve"> las actividades </w:t>
      </w:r>
      <w:r w:rsidR="00602EC6" w:rsidRPr="00643DCF">
        <w:rPr>
          <w:rFonts w:eastAsia="Batang"/>
          <w:bCs/>
          <w:sz w:val="28"/>
          <w:szCs w:val="28"/>
        </w:rPr>
        <w:t>de</w:t>
      </w:r>
      <w:r w:rsidR="00E10B3B" w:rsidRPr="00643DCF">
        <w:rPr>
          <w:rFonts w:eastAsia="Batang"/>
          <w:bCs/>
          <w:sz w:val="28"/>
          <w:szCs w:val="28"/>
        </w:rPr>
        <w:t>l año 2015 se puede encontrar el</w:t>
      </w:r>
      <w:r w:rsidR="00E10B3B" w:rsidRPr="00643DCF">
        <w:rPr>
          <w:rFonts w:eastAsia="Batang"/>
          <w:b/>
          <w:bCs/>
          <w:sz w:val="28"/>
          <w:szCs w:val="28"/>
        </w:rPr>
        <w:t xml:space="preserve"> </w:t>
      </w:r>
      <w:r w:rsidR="003414B5" w:rsidRPr="00643DCF">
        <w:rPr>
          <w:rFonts w:eastAsia="Batang"/>
          <w:bCs/>
          <w:sz w:val="28"/>
          <w:szCs w:val="28"/>
        </w:rPr>
        <w:t>v</w:t>
      </w:r>
      <w:r w:rsidR="001202A7" w:rsidRPr="00643DCF">
        <w:rPr>
          <w:rFonts w:eastAsia="Batang"/>
          <w:bCs/>
          <w:sz w:val="28"/>
          <w:szCs w:val="28"/>
        </w:rPr>
        <w:t>ideo de la i</w:t>
      </w:r>
      <w:r w:rsidR="00C648A1" w:rsidRPr="00643DCF">
        <w:rPr>
          <w:rFonts w:eastAsia="Batang"/>
          <w:bCs/>
          <w:sz w:val="28"/>
          <w:szCs w:val="28"/>
        </w:rPr>
        <w:t xml:space="preserve">nspección </w:t>
      </w:r>
      <w:r w:rsidR="001202A7" w:rsidRPr="00643DCF">
        <w:rPr>
          <w:rFonts w:eastAsia="Batang"/>
          <w:bCs/>
          <w:sz w:val="28"/>
          <w:szCs w:val="28"/>
        </w:rPr>
        <w:t>j</w:t>
      </w:r>
      <w:r w:rsidR="00C648A1" w:rsidRPr="00643DCF">
        <w:rPr>
          <w:rFonts w:eastAsia="Batang"/>
          <w:bCs/>
          <w:sz w:val="28"/>
          <w:szCs w:val="28"/>
        </w:rPr>
        <w:t>udicial</w:t>
      </w:r>
      <w:r w:rsidR="001202A7" w:rsidRPr="00643DCF">
        <w:rPr>
          <w:rFonts w:eastAsia="Batang"/>
          <w:bCs/>
          <w:sz w:val="28"/>
          <w:szCs w:val="28"/>
        </w:rPr>
        <w:t xml:space="preserve">, </w:t>
      </w:r>
      <w:r w:rsidR="00BD52B8" w:rsidRPr="00643DCF">
        <w:rPr>
          <w:rFonts w:eastAsia="Batang"/>
          <w:bCs/>
          <w:sz w:val="28"/>
          <w:szCs w:val="28"/>
        </w:rPr>
        <w:t xml:space="preserve">que </w:t>
      </w:r>
      <w:r w:rsidR="001202A7" w:rsidRPr="00643DCF">
        <w:rPr>
          <w:rFonts w:eastAsia="Batang"/>
          <w:bCs/>
          <w:sz w:val="28"/>
          <w:szCs w:val="28"/>
        </w:rPr>
        <w:t xml:space="preserve">tuvo lugar en el </w:t>
      </w:r>
      <w:r w:rsidR="00C648A1" w:rsidRPr="00643DCF">
        <w:rPr>
          <w:rFonts w:eastAsia="Batang"/>
          <w:bCs/>
          <w:sz w:val="28"/>
          <w:szCs w:val="28"/>
        </w:rPr>
        <w:t>Hospital San Francisco de Asís de Quibdó</w:t>
      </w:r>
      <w:r w:rsidR="001202A7" w:rsidRPr="00643DCF">
        <w:rPr>
          <w:rFonts w:eastAsia="Batang"/>
          <w:bCs/>
          <w:sz w:val="28"/>
          <w:szCs w:val="28"/>
        </w:rPr>
        <w:t xml:space="preserve"> </w:t>
      </w:r>
      <w:r w:rsidR="00E10B3B" w:rsidRPr="00643DCF">
        <w:rPr>
          <w:rFonts w:eastAsia="Batang"/>
          <w:bCs/>
          <w:sz w:val="28"/>
          <w:szCs w:val="28"/>
        </w:rPr>
        <w:t>el 19 de marzo de esa anualidad</w:t>
      </w:r>
      <w:r w:rsidR="00C648A1" w:rsidRPr="00643DCF">
        <w:rPr>
          <w:rFonts w:eastAsia="Batang"/>
          <w:bCs/>
          <w:sz w:val="28"/>
          <w:szCs w:val="28"/>
        </w:rPr>
        <w:t>.</w:t>
      </w:r>
      <w:r w:rsidR="00C648A1" w:rsidRPr="00643DCF">
        <w:rPr>
          <w:rStyle w:val="Refdenotaalpie"/>
          <w:rFonts w:eastAsia="Batang"/>
          <w:bCs/>
          <w:sz w:val="28"/>
          <w:szCs w:val="28"/>
        </w:rPr>
        <w:footnoteReference w:id="183"/>
      </w:r>
      <w:r w:rsidR="005459E9" w:rsidRPr="00643DCF">
        <w:rPr>
          <w:rFonts w:eastAsia="Batang"/>
          <w:bCs/>
          <w:sz w:val="28"/>
          <w:szCs w:val="28"/>
        </w:rPr>
        <w:t>,</w:t>
      </w:r>
      <w:r w:rsidR="00602EC6" w:rsidRPr="00643DCF">
        <w:rPr>
          <w:rFonts w:eastAsia="Batang"/>
          <w:bCs/>
          <w:sz w:val="28"/>
          <w:szCs w:val="28"/>
        </w:rPr>
        <w:t xml:space="preserve"> el </w:t>
      </w:r>
      <w:r w:rsidR="00C648A1" w:rsidRPr="00643DCF">
        <w:rPr>
          <w:rFonts w:eastAsia="Batang"/>
          <w:bCs/>
          <w:sz w:val="28"/>
          <w:szCs w:val="28"/>
        </w:rPr>
        <w:t>“</w:t>
      </w:r>
      <w:r w:rsidR="00C648A1" w:rsidRPr="00643DCF">
        <w:rPr>
          <w:rFonts w:eastAsia="Batang"/>
          <w:bCs/>
          <w:i/>
          <w:sz w:val="28"/>
          <w:szCs w:val="28"/>
        </w:rPr>
        <w:t>Seminario de Actualización sobre el Derecho Fundamental a la Salud-</w:t>
      </w:r>
      <w:r w:rsidR="004C0101" w:rsidRPr="00643DCF">
        <w:rPr>
          <w:rFonts w:eastAsia="Batang"/>
          <w:bCs/>
          <w:i/>
          <w:sz w:val="28"/>
          <w:szCs w:val="28"/>
        </w:rPr>
        <w:t>s</w:t>
      </w:r>
      <w:r w:rsidR="00C648A1" w:rsidRPr="00643DCF">
        <w:rPr>
          <w:rFonts w:eastAsia="Batang"/>
          <w:bCs/>
          <w:i/>
          <w:sz w:val="28"/>
          <w:szCs w:val="28"/>
        </w:rPr>
        <w:t>entencia T-760 de 2008</w:t>
      </w:r>
      <w:r w:rsidR="00C648A1" w:rsidRPr="00643DCF">
        <w:rPr>
          <w:rFonts w:eastAsia="Batang"/>
          <w:bCs/>
          <w:sz w:val="28"/>
          <w:szCs w:val="28"/>
        </w:rPr>
        <w:t xml:space="preserve">” </w:t>
      </w:r>
      <w:r w:rsidR="003A3770" w:rsidRPr="00643DCF">
        <w:rPr>
          <w:rFonts w:eastAsia="Batang"/>
          <w:bCs/>
          <w:sz w:val="28"/>
          <w:szCs w:val="28"/>
        </w:rPr>
        <w:t>realizado</w:t>
      </w:r>
      <w:r w:rsidR="00C648A1" w:rsidRPr="00643DCF">
        <w:rPr>
          <w:rFonts w:eastAsia="Batang"/>
          <w:bCs/>
          <w:sz w:val="28"/>
          <w:szCs w:val="28"/>
        </w:rPr>
        <w:t xml:space="preserve"> los días 25 y 26 de enero de 2015</w:t>
      </w:r>
      <w:r w:rsidR="003A3770" w:rsidRPr="00643DCF">
        <w:rPr>
          <w:rFonts w:eastAsia="Batang"/>
          <w:bCs/>
          <w:sz w:val="28"/>
          <w:szCs w:val="28"/>
        </w:rPr>
        <w:t xml:space="preserve"> con un reporte mayor a</w:t>
      </w:r>
      <w:r w:rsidR="00AC7BC5" w:rsidRPr="00643DCF">
        <w:rPr>
          <w:rFonts w:eastAsia="Batang"/>
          <w:bCs/>
          <w:sz w:val="28"/>
          <w:szCs w:val="28"/>
        </w:rPr>
        <w:t xml:space="preserve"> 4</w:t>
      </w:r>
      <w:r w:rsidR="00C648A1" w:rsidRPr="00643DCF">
        <w:rPr>
          <w:rFonts w:eastAsia="Batang"/>
          <w:bCs/>
          <w:sz w:val="28"/>
          <w:szCs w:val="28"/>
        </w:rPr>
        <w:t xml:space="preserve">000 conexiones vía </w:t>
      </w:r>
      <w:r w:rsidR="00C648A1" w:rsidRPr="00643DCF">
        <w:rPr>
          <w:rFonts w:eastAsia="Batang"/>
          <w:bCs/>
          <w:i/>
          <w:sz w:val="28"/>
          <w:szCs w:val="28"/>
        </w:rPr>
        <w:t>streaming</w:t>
      </w:r>
      <w:r w:rsidR="00C648A1" w:rsidRPr="00643DCF">
        <w:rPr>
          <w:rFonts w:eastAsia="Batang"/>
          <w:bCs/>
          <w:sz w:val="28"/>
          <w:szCs w:val="28"/>
        </w:rPr>
        <w:t xml:space="preserve"> y </w:t>
      </w:r>
      <w:r w:rsidR="003A3770" w:rsidRPr="00643DCF">
        <w:rPr>
          <w:rFonts w:eastAsia="Batang"/>
          <w:bCs/>
          <w:sz w:val="28"/>
          <w:szCs w:val="28"/>
        </w:rPr>
        <w:t>capacitación de</w:t>
      </w:r>
      <w:r w:rsidR="00C648A1" w:rsidRPr="00643DCF">
        <w:rPr>
          <w:rFonts w:eastAsia="Batang"/>
          <w:bCs/>
          <w:sz w:val="28"/>
          <w:szCs w:val="28"/>
        </w:rPr>
        <w:t xml:space="preserve"> 238 personas en ese mismo evento</w:t>
      </w:r>
      <w:r w:rsidR="00480551" w:rsidRPr="00643DCF">
        <w:rPr>
          <w:rFonts w:eastAsia="Batang"/>
          <w:bCs/>
          <w:sz w:val="28"/>
          <w:szCs w:val="28"/>
        </w:rPr>
        <w:t>.</w:t>
      </w:r>
    </w:p>
    <w:p w14:paraId="2F1C9B93" w14:textId="7960DA49" w:rsidR="00C648A1" w:rsidRPr="00643DCF" w:rsidRDefault="00B962D4" w:rsidP="0024476C">
      <w:pPr>
        <w:pStyle w:val="NormalWeb"/>
        <w:shd w:val="clear" w:color="auto" w:fill="FFFFFF"/>
        <w:tabs>
          <w:tab w:val="left" w:pos="567"/>
        </w:tabs>
        <w:spacing w:before="0" w:beforeAutospacing="0" w:after="0" w:afterAutospacing="0"/>
        <w:jc w:val="both"/>
        <w:rPr>
          <w:rFonts w:eastAsia="Batang"/>
          <w:bCs/>
          <w:sz w:val="28"/>
          <w:szCs w:val="28"/>
        </w:rPr>
      </w:pPr>
      <w:r w:rsidRPr="00643DCF">
        <w:rPr>
          <w:sz w:val="28"/>
          <w:szCs w:val="28"/>
        </w:rPr>
        <w:t>7</w:t>
      </w:r>
      <w:r w:rsidR="001356D4" w:rsidRPr="00643DCF">
        <w:rPr>
          <w:sz w:val="28"/>
          <w:szCs w:val="28"/>
        </w:rPr>
        <w:t>5</w:t>
      </w:r>
      <w:r w:rsidRPr="00643DCF">
        <w:rPr>
          <w:sz w:val="28"/>
          <w:szCs w:val="28"/>
        </w:rPr>
        <w:t xml:space="preserve">. </w:t>
      </w:r>
      <w:r w:rsidR="0024476C" w:rsidRPr="00643DCF">
        <w:rPr>
          <w:sz w:val="28"/>
          <w:szCs w:val="28"/>
        </w:rPr>
        <w:t>Con relación al año</w:t>
      </w:r>
      <w:r w:rsidR="00C648A1" w:rsidRPr="00643DCF">
        <w:rPr>
          <w:sz w:val="28"/>
          <w:szCs w:val="28"/>
        </w:rPr>
        <w:t xml:space="preserve"> 2016</w:t>
      </w:r>
      <w:r w:rsidR="0024476C" w:rsidRPr="00643DCF">
        <w:rPr>
          <w:sz w:val="28"/>
          <w:szCs w:val="28"/>
        </w:rPr>
        <w:t xml:space="preserve"> </w:t>
      </w:r>
      <w:r w:rsidR="003A3770" w:rsidRPr="00643DCF">
        <w:rPr>
          <w:sz w:val="28"/>
          <w:szCs w:val="28"/>
        </w:rPr>
        <w:t>contiene</w:t>
      </w:r>
      <w:r w:rsidR="0024476C" w:rsidRPr="00643DCF">
        <w:rPr>
          <w:sz w:val="28"/>
          <w:szCs w:val="28"/>
        </w:rPr>
        <w:t xml:space="preserve"> la grabación de la </w:t>
      </w:r>
      <w:r w:rsidR="00E10B3B" w:rsidRPr="00643DCF">
        <w:rPr>
          <w:rFonts w:eastAsia="Batang"/>
          <w:bCs/>
          <w:sz w:val="28"/>
          <w:szCs w:val="28"/>
        </w:rPr>
        <w:t>i</w:t>
      </w:r>
      <w:r w:rsidR="00C648A1" w:rsidRPr="00643DCF">
        <w:rPr>
          <w:rFonts w:eastAsia="Batang"/>
          <w:bCs/>
          <w:sz w:val="28"/>
          <w:szCs w:val="28"/>
        </w:rPr>
        <w:t xml:space="preserve">nspección </w:t>
      </w:r>
      <w:r w:rsidR="00E10B3B" w:rsidRPr="00643DCF">
        <w:rPr>
          <w:rFonts w:eastAsia="Batang"/>
          <w:bCs/>
          <w:sz w:val="28"/>
          <w:szCs w:val="28"/>
        </w:rPr>
        <w:t>j</w:t>
      </w:r>
      <w:r w:rsidR="00C648A1" w:rsidRPr="00643DCF">
        <w:rPr>
          <w:rFonts w:eastAsia="Batang"/>
          <w:bCs/>
          <w:sz w:val="28"/>
          <w:szCs w:val="28"/>
        </w:rPr>
        <w:t xml:space="preserve">udicial </w:t>
      </w:r>
      <w:r w:rsidRPr="00643DCF">
        <w:rPr>
          <w:rFonts w:eastAsia="Batang"/>
          <w:bCs/>
          <w:sz w:val="28"/>
          <w:szCs w:val="28"/>
        </w:rPr>
        <w:t>adelantada por este Tribunal a</w:t>
      </w:r>
      <w:r w:rsidR="00E10B3B" w:rsidRPr="00643DCF">
        <w:rPr>
          <w:rFonts w:eastAsia="Batang"/>
          <w:bCs/>
          <w:sz w:val="28"/>
          <w:szCs w:val="28"/>
        </w:rPr>
        <w:t xml:space="preserve">l Hospital San Francisco de Asís en el municipio de Quibdó, </w:t>
      </w:r>
      <w:r w:rsidR="0024476C" w:rsidRPr="00643DCF">
        <w:rPr>
          <w:rFonts w:eastAsia="Batang"/>
          <w:bCs/>
          <w:sz w:val="28"/>
          <w:szCs w:val="28"/>
        </w:rPr>
        <w:t>los días 20 y 21 de octubre</w:t>
      </w:r>
      <w:r w:rsidR="00797C69" w:rsidRPr="00643DCF">
        <w:rPr>
          <w:rFonts w:eastAsia="Batang"/>
          <w:bCs/>
          <w:sz w:val="28"/>
          <w:szCs w:val="28"/>
        </w:rPr>
        <w:t xml:space="preserve"> de ese año</w:t>
      </w:r>
      <w:r w:rsidR="00C648A1" w:rsidRPr="00643DCF">
        <w:rPr>
          <w:rFonts w:eastAsia="Batang"/>
          <w:bCs/>
          <w:sz w:val="28"/>
          <w:szCs w:val="28"/>
        </w:rPr>
        <w:t>.</w:t>
      </w:r>
      <w:r w:rsidR="00C648A1" w:rsidRPr="00643DCF">
        <w:rPr>
          <w:rStyle w:val="Refdenotaalpie"/>
          <w:rFonts w:eastAsia="Batang"/>
          <w:bCs/>
          <w:sz w:val="28"/>
          <w:szCs w:val="28"/>
        </w:rPr>
        <w:footnoteReference w:id="184"/>
      </w:r>
    </w:p>
    <w:p w14:paraId="778931BD" w14:textId="77777777" w:rsidR="00C648A1" w:rsidRPr="00643DCF" w:rsidRDefault="00C648A1" w:rsidP="007E54C5">
      <w:pPr>
        <w:pStyle w:val="Sinespaciado3"/>
        <w:tabs>
          <w:tab w:val="left" w:pos="567"/>
          <w:tab w:val="left" w:pos="993"/>
          <w:tab w:val="left" w:pos="1276"/>
        </w:tabs>
        <w:jc w:val="both"/>
        <w:rPr>
          <w:rFonts w:ascii="Times New Roman" w:hAnsi="Times New Roman"/>
          <w:sz w:val="28"/>
          <w:szCs w:val="28"/>
        </w:rPr>
      </w:pPr>
    </w:p>
    <w:p w14:paraId="0CC35796" w14:textId="74B44229" w:rsidR="003414B5" w:rsidRPr="00643DCF" w:rsidRDefault="00B962D4" w:rsidP="00FB31C7">
      <w:pPr>
        <w:pStyle w:val="Sinespaciado3"/>
        <w:tabs>
          <w:tab w:val="left" w:pos="567"/>
          <w:tab w:val="left" w:pos="851"/>
          <w:tab w:val="left" w:pos="2865"/>
        </w:tabs>
        <w:jc w:val="both"/>
        <w:rPr>
          <w:rFonts w:ascii="Times New Roman" w:hAnsi="Times New Roman"/>
          <w:sz w:val="28"/>
          <w:szCs w:val="28"/>
        </w:rPr>
      </w:pPr>
      <w:r w:rsidRPr="00643DCF">
        <w:rPr>
          <w:rFonts w:ascii="Times New Roman" w:hAnsi="Times New Roman"/>
          <w:sz w:val="28"/>
          <w:szCs w:val="28"/>
        </w:rPr>
        <w:t>7</w:t>
      </w:r>
      <w:r w:rsidR="001356D4" w:rsidRPr="00643DCF">
        <w:rPr>
          <w:rFonts w:ascii="Times New Roman" w:hAnsi="Times New Roman"/>
          <w:sz w:val="28"/>
          <w:szCs w:val="28"/>
        </w:rPr>
        <w:t>6</w:t>
      </w:r>
      <w:r w:rsidRPr="00643DCF">
        <w:rPr>
          <w:rFonts w:ascii="Times New Roman" w:hAnsi="Times New Roman"/>
          <w:sz w:val="28"/>
          <w:szCs w:val="28"/>
        </w:rPr>
        <w:t xml:space="preserve">. </w:t>
      </w:r>
      <w:r w:rsidR="003414B5" w:rsidRPr="00643DCF">
        <w:rPr>
          <w:rFonts w:ascii="Times New Roman" w:hAnsi="Times New Roman"/>
          <w:sz w:val="28"/>
          <w:szCs w:val="28"/>
        </w:rPr>
        <w:t>E</w:t>
      </w:r>
      <w:r w:rsidR="0040379A" w:rsidRPr="00643DCF">
        <w:rPr>
          <w:rFonts w:ascii="Times New Roman" w:hAnsi="Times New Roman"/>
          <w:sz w:val="28"/>
          <w:szCs w:val="28"/>
        </w:rPr>
        <w:t xml:space="preserve">l </w:t>
      </w:r>
      <w:r w:rsidR="009D656B" w:rsidRPr="00643DCF">
        <w:rPr>
          <w:rFonts w:ascii="Times New Roman" w:hAnsi="Times New Roman"/>
          <w:sz w:val="28"/>
          <w:szCs w:val="28"/>
        </w:rPr>
        <w:t>m</w:t>
      </w:r>
      <w:r w:rsidR="0040379A" w:rsidRPr="00643DCF">
        <w:rPr>
          <w:rFonts w:ascii="Times New Roman" w:hAnsi="Times New Roman"/>
          <w:sz w:val="28"/>
          <w:szCs w:val="28"/>
        </w:rPr>
        <w:t xml:space="preserve">icrositio cuenta con un vínculo </w:t>
      </w:r>
      <w:r w:rsidR="003B2803" w:rsidRPr="00643DCF">
        <w:rPr>
          <w:rFonts w:ascii="Times New Roman" w:hAnsi="Times New Roman"/>
          <w:sz w:val="28"/>
          <w:szCs w:val="28"/>
        </w:rPr>
        <w:t>de</w:t>
      </w:r>
      <w:r w:rsidR="0040379A" w:rsidRPr="00643DCF">
        <w:rPr>
          <w:rFonts w:ascii="Times New Roman" w:hAnsi="Times New Roman"/>
          <w:sz w:val="28"/>
          <w:szCs w:val="28"/>
        </w:rPr>
        <w:t xml:space="preserve"> consulta </w:t>
      </w:r>
      <w:r w:rsidR="003B2803" w:rsidRPr="00643DCF">
        <w:rPr>
          <w:rFonts w:ascii="Times New Roman" w:hAnsi="Times New Roman"/>
          <w:sz w:val="28"/>
          <w:szCs w:val="28"/>
        </w:rPr>
        <w:t xml:space="preserve">de </w:t>
      </w:r>
      <w:r w:rsidR="0040379A" w:rsidRPr="00643DCF">
        <w:rPr>
          <w:rFonts w:ascii="Times New Roman" w:hAnsi="Times New Roman"/>
          <w:sz w:val="28"/>
          <w:szCs w:val="28"/>
        </w:rPr>
        <w:t>la normatividad</w:t>
      </w:r>
      <w:r w:rsidR="003B2803" w:rsidRPr="00643DCF">
        <w:rPr>
          <w:rFonts w:ascii="Times New Roman" w:hAnsi="Times New Roman"/>
          <w:sz w:val="28"/>
          <w:szCs w:val="28"/>
        </w:rPr>
        <w:t xml:space="preserve"> y d</w:t>
      </w:r>
      <w:r w:rsidR="0040379A" w:rsidRPr="00643DCF">
        <w:rPr>
          <w:rFonts w:ascii="Times New Roman" w:hAnsi="Times New Roman"/>
          <w:sz w:val="28"/>
          <w:szCs w:val="28"/>
        </w:rPr>
        <w:t xml:space="preserve">octrina relacionada con el </w:t>
      </w:r>
      <w:r w:rsidR="007E54C5" w:rsidRPr="00643DCF">
        <w:rPr>
          <w:rFonts w:ascii="Times New Roman" w:hAnsi="Times New Roman"/>
          <w:sz w:val="28"/>
          <w:szCs w:val="28"/>
        </w:rPr>
        <w:t>derecho a la</w:t>
      </w:r>
      <w:r w:rsidR="003414B5" w:rsidRPr="00643DCF">
        <w:rPr>
          <w:rFonts w:ascii="Times New Roman" w:hAnsi="Times New Roman"/>
          <w:sz w:val="28"/>
          <w:szCs w:val="28"/>
        </w:rPr>
        <w:t xml:space="preserve"> </w:t>
      </w:r>
      <w:r w:rsidR="007E54C5" w:rsidRPr="00643DCF">
        <w:rPr>
          <w:rFonts w:ascii="Times New Roman" w:hAnsi="Times New Roman"/>
          <w:sz w:val="28"/>
          <w:szCs w:val="28"/>
        </w:rPr>
        <w:t xml:space="preserve">salud </w:t>
      </w:r>
      <w:hyperlink r:id="rId17" w:history="1">
        <w:r w:rsidR="00A340CE" w:rsidRPr="00643DCF">
          <w:rPr>
            <w:rStyle w:val="Hipervnculo"/>
            <w:rFonts w:ascii="Times New Roman" w:hAnsi="Times New Roman"/>
            <w:color w:val="auto"/>
            <w:sz w:val="28"/>
            <w:szCs w:val="28"/>
            <w:u w:val="none"/>
          </w:rPr>
          <w:t>https://www.ramajudicial.gov.co</w:t>
        </w:r>
        <w:r w:rsidR="009D656B" w:rsidRPr="00643DCF">
          <w:rPr>
            <w:rStyle w:val="Hipervnculo"/>
            <w:rFonts w:ascii="Times New Roman" w:hAnsi="Times New Roman"/>
            <w:color w:val="auto"/>
            <w:sz w:val="28"/>
            <w:szCs w:val="28"/>
            <w:u w:val="none"/>
          </w:rPr>
          <w:t xml:space="preserve"> </w:t>
        </w:r>
        <w:r w:rsidR="00A340CE" w:rsidRPr="00643DCF">
          <w:rPr>
            <w:rStyle w:val="Hipervnculo"/>
            <w:rFonts w:ascii="Times New Roman" w:hAnsi="Times New Roman"/>
            <w:color w:val="auto"/>
            <w:sz w:val="28"/>
            <w:szCs w:val="28"/>
            <w:u w:val="none"/>
          </w:rPr>
          <w:t>/web/seguimiento-tutela-t_760-del-2008normatividad-y-doctrina-sidn</w:t>
        </w:r>
      </w:hyperlink>
      <w:r w:rsidR="005E6253" w:rsidRPr="00643DCF">
        <w:rPr>
          <w:rFonts w:ascii="Times New Roman" w:hAnsi="Times New Roman"/>
          <w:sz w:val="28"/>
          <w:szCs w:val="28"/>
        </w:rPr>
        <w:t>.</w:t>
      </w:r>
    </w:p>
    <w:p w14:paraId="3ADAA391" w14:textId="77777777" w:rsidR="005E6253" w:rsidRPr="00643DCF" w:rsidRDefault="005E6253" w:rsidP="00491A95">
      <w:pPr>
        <w:pStyle w:val="Sinespaciado3"/>
        <w:tabs>
          <w:tab w:val="left" w:pos="567"/>
          <w:tab w:val="left" w:pos="851"/>
          <w:tab w:val="left" w:pos="2865"/>
        </w:tabs>
        <w:jc w:val="both"/>
        <w:rPr>
          <w:rFonts w:ascii="Times New Roman" w:hAnsi="Times New Roman"/>
          <w:sz w:val="28"/>
          <w:szCs w:val="28"/>
        </w:rPr>
      </w:pPr>
    </w:p>
    <w:p w14:paraId="2B7D1179" w14:textId="3B3B059F" w:rsidR="00B11D90" w:rsidRDefault="00B962D4" w:rsidP="00FB31C7">
      <w:pPr>
        <w:pStyle w:val="Sinespaciado3"/>
        <w:tabs>
          <w:tab w:val="left" w:pos="567"/>
          <w:tab w:val="left" w:pos="993"/>
        </w:tabs>
        <w:jc w:val="both"/>
        <w:rPr>
          <w:rFonts w:ascii="Times New Roman" w:hAnsi="Times New Roman"/>
          <w:sz w:val="28"/>
          <w:szCs w:val="28"/>
        </w:rPr>
      </w:pPr>
      <w:r w:rsidRPr="00643DCF">
        <w:rPr>
          <w:rFonts w:ascii="Times New Roman" w:hAnsi="Times New Roman"/>
          <w:sz w:val="28"/>
          <w:szCs w:val="28"/>
        </w:rPr>
        <w:t>7</w:t>
      </w:r>
      <w:r w:rsidR="001356D4" w:rsidRPr="00643DCF">
        <w:rPr>
          <w:rFonts w:ascii="Times New Roman" w:hAnsi="Times New Roman"/>
          <w:sz w:val="28"/>
          <w:szCs w:val="28"/>
        </w:rPr>
        <w:t>7</w:t>
      </w:r>
      <w:r w:rsidRPr="00643DCF">
        <w:rPr>
          <w:rFonts w:ascii="Times New Roman" w:hAnsi="Times New Roman"/>
          <w:sz w:val="28"/>
          <w:szCs w:val="28"/>
        </w:rPr>
        <w:t xml:space="preserve">. </w:t>
      </w:r>
      <w:r w:rsidR="00F548C1" w:rsidRPr="00643DCF">
        <w:rPr>
          <w:rFonts w:ascii="Times New Roman" w:hAnsi="Times New Roman"/>
          <w:sz w:val="28"/>
          <w:szCs w:val="28"/>
        </w:rPr>
        <w:t xml:space="preserve">Igualmente el sitio web </w:t>
      </w:r>
      <w:r w:rsidR="003075E8" w:rsidRPr="00643DCF">
        <w:rPr>
          <w:rFonts w:ascii="Times New Roman" w:hAnsi="Times New Roman"/>
          <w:sz w:val="28"/>
          <w:szCs w:val="28"/>
        </w:rPr>
        <w:t>contiene</w:t>
      </w:r>
      <w:r w:rsidR="00F548C1" w:rsidRPr="00643DCF">
        <w:rPr>
          <w:rFonts w:ascii="Times New Roman" w:hAnsi="Times New Roman"/>
          <w:sz w:val="28"/>
          <w:szCs w:val="28"/>
        </w:rPr>
        <w:t xml:space="preserve"> un </w:t>
      </w:r>
      <w:r w:rsidR="00101479" w:rsidRPr="00643DCF">
        <w:rPr>
          <w:rFonts w:ascii="Times New Roman" w:hAnsi="Times New Roman"/>
          <w:sz w:val="28"/>
          <w:szCs w:val="28"/>
        </w:rPr>
        <w:t xml:space="preserve">link </w:t>
      </w:r>
      <w:r w:rsidR="00B11D90" w:rsidRPr="00643DCF">
        <w:rPr>
          <w:rFonts w:ascii="Times New Roman" w:hAnsi="Times New Roman"/>
          <w:sz w:val="28"/>
          <w:szCs w:val="28"/>
        </w:rPr>
        <w:t>de dedicación exclusiva al derecho a la salud</w:t>
      </w:r>
      <w:r w:rsidR="00D758F4" w:rsidRPr="00643DCF">
        <w:rPr>
          <w:rFonts w:ascii="Times New Roman" w:hAnsi="Times New Roman"/>
          <w:sz w:val="28"/>
          <w:szCs w:val="28"/>
        </w:rPr>
        <w:t xml:space="preserve"> </w:t>
      </w:r>
      <w:r w:rsidR="00F548C1" w:rsidRPr="00643DCF">
        <w:rPr>
          <w:rFonts w:ascii="Times New Roman" w:hAnsi="Times New Roman"/>
          <w:sz w:val="28"/>
          <w:szCs w:val="28"/>
        </w:rPr>
        <w:t>cuyo</w:t>
      </w:r>
      <w:r w:rsidR="00B11D90" w:rsidRPr="00643DCF">
        <w:rPr>
          <w:rFonts w:ascii="Times New Roman" w:hAnsi="Times New Roman"/>
          <w:sz w:val="28"/>
          <w:szCs w:val="28"/>
        </w:rPr>
        <w:t xml:space="preserve"> contenido</w:t>
      </w:r>
      <w:r w:rsidR="00F548C1" w:rsidRPr="00643DCF">
        <w:rPr>
          <w:rFonts w:ascii="Times New Roman" w:hAnsi="Times New Roman"/>
          <w:sz w:val="28"/>
          <w:szCs w:val="28"/>
        </w:rPr>
        <w:t xml:space="preserve"> principal es l</w:t>
      </w:r>
      <w:r w:rsidR="00B11D90" w:rsidRPr="00643DCF">
        <w:rPr>
          <w:rFonts w:ascii="Times New Roman" w:hAnsi="Times New Roman"/>
          <w:sz w:val="28"/>
          <w:szCs w:val="28"/>
        </w:rPr>
        <w:t>a sentencia</w:t>
      </w:r>
      <w:r w:rsidR="00F548C1" w:rsidRPr="00643DCF">
        <w:rPr>
          <w:rFonts w:ascii="Times New Roman" w:hAnsi="Times New Roman"/>
          <w:sz w:val="28"/>
          <w:szCs w:val="28"/>
        </w:rPr>
        <w:t xml:space="preserve"> estructural</w:t>
      </w:r>
      <w:r w:rsidR="00B11D90" w:rsidRPr="00643DCF">
        <w:rPr>
          <w:rFonts w:ascii="Times New Roman" w:hAnsi="Times New Roman"/>
          <w:sz w:val="28"/>
          <w:szCs w:val="28"/>
        </w:rPr>
        <w:t xml:space="preserve">, </w:t>
      </w:r>
      <w:r w:rsidR="00DB653D" w:rsidRPr="00643DCF">
        <w:rPr>
          <w:rFonts w:ascii="Times New Roman" w:hAnsi="Times New Roman"/>
          <w:sz w:val="28"/>
          <w:szCs w:val="28"/>
        </w:rPr>
        <w:t xml:space="preserve">así como los </w:t>
      </w:r>
      <w:r w:rsidR="00B11D90" w:rsidRPr="00643DCF">
        <w:rPr>
          <w:rFonts w:ascii="Times New Roman" w:hAnsi="Times New Roman"/>
          <w:sz w:val="28"/>
          <w:szCs w:val="28"/>
        </w:rPr>
        <w:t xml:space="preserve">autos genéricos y específicos emitidos por la </w:t>
      </w:r>
      <w:r w:rsidR="00304FBE" w:rsidRPr="00643DCF">
        <w:rPr>
          <w:rFonts w:ascii="Times New Roman" w:hAnsi="Times New Roman"/>
          <w:sz w:val="28"/>
          <w:szCs w:val="28"/>
        </w:rPr>
        <w:t>Sala Especial de Seguimiento</w:t>
      </w:r>
      <w:r w:rsidR="00C1683E" w:rsidRPr="00643DCF">
        <w:rPr>
          <w:rFonts w:ascii="Times New Roman" w:hAnsi="Times New Roman"/>
          <w:sz w:val="28"/>
          <w:szCs w:val="28"/>
        </w:rPr>
        <w:t xml:space="preserve">; </w:t>
      </w:r>
      <w:r w:rsidR="005E6253" w:rsidRPr="00643DCF">
        <w:rPr>
          <w:rFonts w:ascii="Times New Roman" w:hAnsi="Times New Roman"/>
          <w:sz w:val="28"/>
          <w:szCs w:val="28"/>
        </w:rPr>
        <w:t xml:space="preserve">actualizados </w:t>
      </w:r>
      <w:r w:rsidR="000565AD" w:rsidRPr="00643DCF">
        <w:rPr>
          <w:rFonts w:ascii="Times New Roman" w:hAnsi="Times New Roman"/>
          <w:sz w:val="28"/>
          <w:szCs w:val="28"/>
        </w:rPr>
        <w:t xml:space="preserve">al </w:t>
      </w:r>
      <w:r w:rsidR="00C1683E" w:rsidRPr="00643DCF">
        <w:rPr>
          <w:rFonts w:ascii="Times New Roman" w:hAnsi="Times New Roman"/>
          <w:sz w:val="28"/>
          <w:szCs w:val="28"/>
        </w:rPr>
        <w:t xml:space="preserve">mes de julio del </w:t>
      </w:r>
      <w:r w:rsidR="005E6253" w:rsidRPr="00643DCF">
        <w:rPr>
          <w:rFonts w:ascii="Times New Roman" w:hAnsi="Times New Roman"/>
          <w:sz w:val="28"/>
          <w:szCs w:val="28"/>
        </w:rPr>
        <w:t>201</w:t>
      </w:r>
      <w:r w:rsidR="000565AD" w:rsidRPr="00643DCF">
        <w:rPr>
          <w:rFonts w:ascii="Times New Roman" w:hAnsi="Times New Roman"/>
          <w:sz w:val="28"/>
          <w:szCs w:val="28"/>
        </w:rPr>
        <w:t xml:space="preserve">8. </w:t>
      </w:r>
      <w:hyperlink r:id="rId18" w:history="1">
        <w:r w:rsidR="00B11D90" w:rsidRPr="00643DCF">
          <w:rPr>
            <w:rStyle w:val="Hipervnculo"/>
            <w:rFonts w:ascii="Times New Roman" w:hAnsi="Times New Roman"/>
            <w:color w:val="auto"/>
            <w:sz w:val="28"/>
            <w:szCs w:val="28"/>
            <w:u w:val="none"/>
          </w:rPr>
          <w:t>https://www.ramajudicial.gov.co/</w:t>
        </w:r>
        <w:r w:rsidR="006C6B21" w:rsidRPr="00643DCF">
          <w:rPr>
            <w:rStyle w:val="Hipervnculo"/>
            <w:rFonts w:ascii="Times New Roman" w:hAnsi="Times New Roman"/>
            <w:color w:val="auto"/>
            <w:sz w:val="28"/>
            <w:szCs w:val="28"/>
            <w:u w:val="none"/>
          </w:rPr>
          <w:t>web</w:t>
        </w:r>
        <w:r w:rsidR="00B11D90" w:rsidRPr="00643DCF">
          <w:rPr>
            <w:rStyle w:val="Hipervnculo"/>
            <w:rFonts w:ascii="Times New Roman" w:hAnsi="Times New Roman"/>
            <w:color w:val="auto"/>
            <w:sz w:val="28"/>
            <w:szCs w:val="28"/>
            <w:u w:val="none"/>
          </w:rPr>
          <w:t>/seguimiento-tutela-t_760-del-2008/autos-genericos</w:t>
        </w:r>
      </w:hyperlink>
      <w:r w:rsidR="00B11D90" w:rsidRPr="00643DCF">
        <w:rPr>
          <w:rFonts w:ascii="Times New Roman" w:hAnsi="Times New Roman"/>
          <w:sz w:val="28"/>
          <w:szCs w:val="28"/>
        </w:rPr>
        <w:t>.</w:t>
      </w:r>
    </w:p>
    <w:p w14:paraId="471999DE" w14:textId="77777777" w:rsidR="00BE7466" w:rsidRPr="00643DCF" w:rsidRDefault="00BE7466" w:rsidP="00FB31C7">
      <w:pPr>
        <w:pStyle w:val="Sinespaciado3"/>
        <w:tabs>
          <w:tab w:val="left" w:pos="567"/>
          <w:tab w:val="left" w:pos="993"/>
        </w:tabs>
        <w:jc w:val="both"/>
        <w:rPr>
          <w:rFonts w:ascii="Times New Roman" w:hAnsi="Times New Roman"/>
          <w:sz w:val="28"/>
          <w:szCs w:val="28"/>
        </w:rPr>
      </w:pPr>
    </w:p>
    <w:p w14:paraId="4EE48A53" w14:textId="5952DCD0" w:rsidR="00AA3368" w:rsidRPr="00643DCF" w:rsidRDefault="00243D6D" w:rsidP="00FB31C7">
      <w:pPr>
        <w:pStyle w:val="Sinespaciado6"/>
        <w:tabs>
          <w:tab w:val="left" w:pos="142"/>
          <w:tab w:val="left" w:pos="567"/>
          <w:tab w:val="left" w:pos="851"/>
          <w:tab w:val="left" w:pos="993"/>
        </w:tabs>
        <w:jc w:val="both"/>
        <w:rPr>
          <w:rFonts w:ascii="Times New Roman" w:hAnsi="Times New Roman"/>
          <w:sz w:val="28"/>
          <w:szCs w:val="28"/>
        </w:rPr>
      </w:pPr>
      <w:r w:rsidRPr="00643DCF">
        <w:rPr>
          <w:rFonts w:ascii="Times New Roman" w:hAnsi="Times New Roman"/>
          <w:sz w:val="28"/>
          <w:szCs w:val="28"/>
        </w:rPr>
        <w:t>c.</w:t>
      </w:r>
      <w:r w:rsidR="00C86F1C" w:rsidRPr="00643DCF">
        <w:rPr>
          <w:rFonts w:ascii="Times New Roman" w:hAnsi="Times New Roman"/>
          <w:sz w:val="28"/>
          <w:szCs w:val="28"/>
        </w:rPr>
        <w:t xml:space="preserve"> </w:t>
      </w:r>
      <w:r w:rsidR="00AA3368" w:rsidRPr="00643DCF">
        <w:rPr>
          <w:rFonts w:ascii="Times New Roman" w:hAnsi="Times New Roman"/>
          <w:sz w:val="28"/>
          <w:szCs w:val="28"/>
        </w:rPr>
        <w:t xml:space="preserve">Inclusión de un módulo sobre el derecho fundamental a la salud en el curso de formación judicial </w:t>
      </w:r>
      <w:r w:rsidR="00C86F1C" w:rsidRPr="00643DCF">
        <w:rPr>
          <w:rFonts w:ascii="Times New Roman" w:hAnsi="Times New Roman"/>
          <w:sz w:val="28"/>
          <w:szCs w:val="28"/>
        </w:rPr>
        <w:t>(Convocatoria No. 22)</w:t>
      </w:r>
      <w:r w:rsidR="00AA3368" w:rsidRPr="00643DCF">
        <w:rPr>
          <w:rFonts w:ascii="Times New Roman" w:hAnsi="Times New Roman"/>
          <w:sz w:val="28"/>
          <w:szCs w:val="28"/>
        </w:rPr>
        <w:t>.</w:t>
      </w:r>
      <w:r w:rsidR="00C86F1C" w:rsidRPr="00643DCF">
        <w:rPr>
          <w:rFonts w:ascii="Times New Roman" w:hAnsi="Times New Roman"/>
          <w:sz w:val="28"/>
          <w:szCs w:val="28"/>
        </w:rPr>
        <w:t xml:space="preserve"> </w:t>
      </w:r>
    </w:p>
    <w:p w14:paraId="6F76B909" w14:textId="77777777" w:rsidR="00275A04" w:rsidRPr="00643DCF" w:rsidRDefault="00275A04" w:rsidP="00FB31C7">
      <w:pPr>
        <w:pStyle w:val="Sinespaciado6"/>
        <w:tabs>
          <w:tab w:val="left" w:pos="142"/>
          <w:tab w:val="left" w:pos="567"/>
          <w:tab w:val="left" w:pos="851"/>
          <w:tab w:val="left" w:pos="993"/>
        </w:tabs>
        <w:jc w:val="both"/>
        <w:rPr>
          <w:rFonts w:ascii="Times New Roman" w:hAnsi="Times New Roman"/>
          <w:sz w:val="28"/>
          <w:szCs w:val="28"/>
        </w:rPr>
      </w:pPr>
    </w:p>
    <w:p w14:paraId="52CAABC2" w14:textId="38914717" w:rsidR="00F2215F" w:rsidRPr="00643DCF" w:rsidRDefault="00B962D4" w:rsidP="00FB31C7">
      <w:pPr>
        <w:pStyle w:val="Sinespaciado6"/>
        <w:tabs>
          <w:tab w:val="left" w:pos="142"/>
          <w:tab w:val="left" w:pos="567"/>
          <w:tab w:val="left" w:pos="851"/>
          <w:tab w:val="left" w:pos="993"/>
        </w:tabs>
        <w:jc w:val="both"/>
        <w:rPr>
          <w:rFonts w:ascii="Times New Roman" w:hAnsi="Times New Roman"/>
          <w:sz w:val="28"/>
          <w:szCs w:val="28"/>
        </w:rPr>
      </w:pPr>
      <w:r w:rsidRPr="00643DCF">
        <w:rPr>
          <w:rFonts w:ascii="Times New Roman" w:hAnsi="Times New Roman"/>
          <w:sz w:val="28"/>
          <w:szCs w:val="28"/>
        </w:rPr>
        <w:t>7</w:t>
      </w:r>
      <w:r w:rsidR="001356D4" w:rsidRPr="00643DCF">
        <w:rPr>
          <w:rFonts w:ascii="Times New Roman" w:hAnsi="Times New Roman"/>
          <w:sz w:val="28"/>
          <w:szCs w:val="28"/>
        </w:rPr>
        <w:t>8</w:t>
      </w:r>
      <w:r w:rsidRPr="00643DCF">
        <w:rPr>
          <w:rFonts w:ascii="Times New Roman" w:hAnsi="Times New Roman"/>
          <w:sz w:val="28"/>
          <w:szCs w:val="28"/>
        </w:rPr>
        <w:t xml:space="preserve">. </w:t>
      </w:r>
      <w:r w:rsidR="003075E8" w:rsidRPr="00643DCF">
        <w:rPr>
          <w:rFonts w:ascii="Times New Roman" w:hAnsi="Times New Roman"/>
          <w:sz w:val="28"/>
          <w:szCs w:val="28"/>
        </w:rPr>
        <w:t>En relación con esta directriz,</w:t>
      </w:r>
      <w:r w:rsidR="00AB1605" w:rsidRPr="00643DCF">
        <w:rPr>
          <w:rFonts w:ascii="Times New Roman" w:hAnsi="Times New Roman"/>
          <w:sz w:val="28"/>
          <w:szCs w:val="28"/>
        </w:rPr>
        <w:t xml:space="preserve"> al proferir el auto 154 de 2014</w:t>
      </w:r>
      <w:r w:rsidR="003075E8" w:rsidRPr="00643DCF">
        <w:rPr>
          <w:rFonts w:ascii="Times New Roman" w:hAnsi="Times New Roman"/>
          <w:sz w:val="28"/>
          <w:szCs w:val="28"/>
        </w:rPr>
        <w:t xml:space="preserve"> la Sala </w:t>
      </w:r>
      <w:r w:rsidR="0044497F" w:rsidRPr="00643DCF">
        <w:rPr>
          <w:rFonts w:ascii="Times New Roman" w:hAnsi="Times New Roman"/>
          <w:sz w:val="28"/>
          <w:szCs w:val="28"/>
        </w:rPr>
        <w:t xml:space="preserve">estableció que </w:t>
      </w:r>
      <w:r w:rsidR="003075E8" w:rsidRPr="00643DCF">
        <w:rPr>
          <w:rFonts w:ascii="Times New Roman" w:hAnsi="Times New Roman"/>
          <w:sz w:val="28"/>
          <w:szCs w:val="28"/>
        </w:rPr>
        <w:t>el</w:t>
      </w:r>
      <w:r w:rsidR="00AB1605" w:rsidRPr="00643DCF">
        <w:rPr>
          <w:rFonts w:ascii="Times New Roman" w:hAnsi="Times New Roman"/>
          <w:sz w:val="28"/>
          <w:szCs w:val="28"/>
        </w:rPr>
        <w:t xml:space="preserve"> concurso para proveer</w:t>
      </w:r>
      <w:r w:rsidR="003075E8" w:rsidRPr="00643DCF">
        <w:rPr>
          <w:rFonts w:ascii="Times New Roman" w:hAnsi="Times New Roman"/>
          <w:sz w:val="28"/>
          <w:szCs w:val="28"/>
        </w:rPr>
        <w:t xml:space="preserve"> </w:t>
      </w:r>
      <w:r w:rsidR="00AB1605" w:rsidRPr="00643DCF">
        <w:rPr>
          <w:rFonts w:ascii="Times New Roman" w:hAnsi="Times New Roman"/>
          <w:sz w:val="28"/>
          <w:szCs w:val="28"/>
        </w:rPr>
        <w:t xml:space="preserve">cargos al interior de la Rama Judicial, debía incluir en su temática de capacitación y evaluación contenidos relacionados con la sentencia T-760 de 2008, el derecho fundamental a la salud y </w:t>
      </w:r>
      <w:r w:rsidR="00F2215F" w:rsidRPr="00643DCF">
        <w:rPr>
          <w:rFonts w:ascii="Times New Roman" w:hAnsi="Times New Roman"/>
          <w:sz w:val="28"/>
          <w:szCs w:val="28"/>
        </w:rPr>
        <w:t>los medios de amparo administrativos y judiciales que permitan su protección efectiva</w:t>
      </w:r>
      <w:r w:rsidR="00AB1605" w:rsidRPr="00643DCF">
        <w:rPr>
          <w:rFonts w:ascii="Times New Roman" w:hAnsi="Times New Roman"/>
          <w:sz w:val="28"/>
          <w:szCs w:val="28"/>
        </w:rPr>
        <w:t xml:space="preserve">; lo anterior desarrollado en </w:t>
      </w:r>
      <w:r w:rsidR="00F2215F" w:rsidRPr="00643DCF">
        <w:rPr>
          <w:rFonts w:ascii="Times New Roman" w:hAnsi="Times New Roman"/>
          <w:sz w:val="28"/>
          <w:szCs w:val="28"/>
        </w:rPr>
        <w:t>un módulo independiente</w:t>
      </w:r>
      <w:r w:rsidR="00AB1605" w:rsidRPr="00643DCF">
        <w:rPr>
          <w:rFonts w:ascii="Times New Roman" w:hAnsi="Times New Roman"/>
          <w:sz w:val="28"/>
          <w:szCs w:val="28"/>
        </w:rPr>
        <w:t>.</w:t>
      </w:r>
    </w:p>
    <w:p w14:paraId="0E901137" w14:textId="77777777" w:rsidR="00940FC1" w:rsidRPr="00643DCF" w:rsidRDefault="00940FC1" w:rsidP="00FB31C7">
      <w:pPr>
        <w:pStyle w:val="Sinespaciado6"/>
        <w:tabs>
          <w:tab w:val="left" w:pos="142"/>
          <w:tab w:val="left" w:pos="567"/>
          <w:tab w:val="left" w:pos="851"/>
          <w:tab w:val="left" w:pos="993"/>
        </w:tabs>
        <w:jc w:val="both"/>
        <w:rPr>
          <w:rFonts w:ascii="Times New Roman" w:hAnsi="Times New Roman"/>
          <w:sz w:val="28"/>
          <w:szCs w:val="28"/>
        </w:rPr>
      </w:pPr>
    </w:p>
    <w:p w14:paraId="649A0FEB" w14:textId="0113FBB5" w:rsidR="00122F06" w:rsidRPr="00643DCF" w:rsidRDefault="00B962D4" w:rsidP="000C2A40">
      <w:pPr>
        <w:pStyle w:val="Sinespaciado6"/>
        <w:tabs>
          <w:tab w:val="left" w:pos="142"/>
          <w:tab w:val="left" w:pos="567"/>
          <w:tab w:val="left" w:pos="851"/>
          <w:tab w:val="left" w:pos="993"/>
        </w:tabs>
        <w:jc w:val="both"/>
        <w:rPr>
          <w:rFonts w:ascii="Times New Roman" w:hAnsi="Times New Roman"/>
          <w:sz w:val="28"/>
          <w:szCs w:val="28"/>
        </w:rPr>
      </w:pPr>
      <w:r w:rsidRPr="00643DCF">
        <w:rPr>
          <w:rFonts w:ascii="Times New Roman" w:hAnsi="Times New Roman"/>
          <w:sz w:val="28"/>
          <w:szCs w:val="28"/>
        </w:rPr>
        <w:t>7</w:t>
      </w:r>
      <w:r w:rsidR="001356D4" w:rsidRPr="00643DCF">
        <w:rPr>
          <w:rFonts w:ascii="Times New Roman" w:hAnsi="Times New Roman"/>
          <w:sz w:val="28"/>
          <w:szCs w:val="28"/>
        </w:rPr>
        <w:t>9</w:t>
      </w:r>
      <w:r w:rsidRPr="00643DCF">
        <w:rPr>
          <w:rFonts w:ascii="Times New Roman" w:hAnsi="Times New Roman"/>
          <w:sz w:val="28"/>
          <w:szCs w:val="28"/>
        </w:rPr>
        <w:t xml:space="preserve">. </w:t>
      </w:r>
      <w:r w:rsidR="00117E43" w:rsidRPr="00643DCF">
        <w:rPr>
          <w:rFonts w:ascii="Times New Roman" w:hAnsi="Times New Roman"/>
          <w:sz w:val="28"/>
          <w:szCs w:val="28"/>
        </w:rPr>
        <w:t>Con el propósito de dar cumplimiento al mandato bajo examen</w:t>
      </w:r>
      <w:r w:rsidR="0040379A" w:rsidRPr="00643DCF">
        <w:rPr>
          <w:rFonts w:ascii="Times New Roman" w:hAnsi="Times New Roman"/>
          <w:sz w:val="28"/>
          <w:szCs w:val="28"/>
        </w:rPr>
        <w:t xml:space="preserve">, el Consejo Superior de la Judicatura en </w:t>
      </w:r>
      <w:r w:rsidR="00F2215F" w:rsidRPr="00643DCF">
        <w:rPr>
          <w:rFonts w:ascii="Times New Roman" w:hAnsi="Times New Roman"/>
          <w:sz w:val="28"/>
          <w:szCs w:val="28"/>
        </w:rPr>
        <w:t>el</w:t>
      </w:r>
      <w:r w:rsidR="0040379A" w:rsidRPr="00643DCF">
        <w:rPr>
          <w:rFonts w:ascii="Times New Roman" w:hAnsi="Times New Roman"/>
          <w:sz w:val="28"/>
          <w:szCs w:val="28"/>
        </w:rPr>
        <w:t xml:space="preserve"> informe</w:t>
      </w:r>
      <w:r w:rsidR="00F2215F" w:rsidRPr="00643DCF">
        <w:rPr>
          <w:rFonts w:ascii="Times New Roman" w:hAnsi="Times New Roman"/>
          <w:sz w:val="28"/>
          <w:szCs w:val="28"/>
        </w:rPr>
        <w:t xml:space="preserve"> de </w:t>
      </w:r>
      <w:r w:rsidR="0047489D" w:rsidRPr="00643DCF">
        <w:rPr>
          <w:rFonts w:ascii="Times New Roman" w:hAnsi="Times New Roman"/>
          <w:sz w:val="28"/>
          <w:szCs w:val="28"/>
        </w:rPr>
        <w:t>26 de junio de 2014</w:t>
      </w:r>
      <w:r w:rsidR="0047489D" w:rsidRPr="00643DCF">
        <w:rPr>
          <w:rStyle w:val="Refdenotaalpie"/>
          <w:rFonts w:ascii="Times New Roman" w:hAnsi="Times New Roman"/>
          <w:sz w:val="28"/>
          <w:szCs w:val="28"/>
        </w:rPr>
        <w:footnoteReference w:id="185"/>
      </w:r>
      <w:r w:rsidR="00F2215F" w:rsidRPr="00643DCF">
        <w:rPr>
          <w:rFonts w:ascii="Times New Roman" w:hAnsi="Times New Roman"/>
          <w:sz w:val="28"/>
          <w:szCs w:val="28"/>
        </w:rPr>
        <w:t xml:space="preserve"> </w:t>
      </w:r>
      <w:r w:rsidR="00117E43" w:rsidRPr="00643DCF">
        <w:rPr>
          <w:rFonts w:ascii="Times New Roman" w:hAnsi="Times New Roman"/>
          <w:sz w:val="28"/>
          <w:szCs w:val="28"/>
        </w:rPr>
        <w:t xml:space="preserve">demostró </w:t>
      </w:r>
      <w:r w:rsidR="0040379A" w:rsidRPr="00643DCF">
        <w:rPr>
          <w:rFonts w:ascii="Times New Roman" w:hAnsi="Times New Roman"/>
          <w:sz w:val="28"/>
          <w:szCs w:val="28"/>
        </w:rPr>
        <w:t>haber</w:t>
      </w:r>
      <w:r w:rsidR="00F716D2" w:rsidRPr="00643DCF">
        <w:rPr>
          <w:rFonts w:ascii="Times New Roman" w:hAnsi="Times New Roman"/>
          <w:sz w:val="28"/>
          <w:szCs w:val="28"/>
        </w:rPr>
        <w:t xml:space="preserve"> </w:t>
      </w:r>
      <w:r w:rsidR="003075E8" w:rsidRPr="00643DCF">
        <w:rPr>
          <w:rFonts w:ascii="Times New Roman" w:hAnsi="Times New Roman"/>
          <w:sz w:val="28"/>
          <w:szCs w:val="28"/>
        </w:rPr>
        <w:t xml:space="preserve">adoptado medidas conducentes para el </w:t>
      </w:r>
      <w:r w:rsidR="00F716D2" w:rsidRPr="00643DCF">
        <w:rPr>
          <w:rFonts w:ascii="Times New Roman" w:hAnsi="Times New Roman"/>
          <w:sz w:val="28"/>
          <w:szCs w:val="28"/>
        </w:rPr>
        <w:t xml:space="preserve">cumplimiento </w:t>
      </w:r>
      <w:r w:rsidR="00F6595C" w:rsidRPr="00643DCF">
        <w:rPr>
          <w:rFonts w:ascii="Times New Roman" w:hAnsi="Times New Roman"/>
          <w:sz w:val="28"/>
          <w:szCs w:val="28"/>
        </w:rPr>
        <w:t>a la orden en mención,</w:t>
      </w:r>
      <w:r w:rsidR="0040379A" w:rsidRPr="00643DCF">
        <w:rPr>
          <w:rFonts w:ascii="Times New Roman" w:hAnsi="Times New Roman"/>
          <w:sz w:val="28"/>
          <w:szCs w:val="28"/>
        </w:rPr>
        <w:t xml:space="preserve"> </w:t>
      </w:r>
      <w:r w:rsidR="0047489D" w:rsidRPr="00643DCF">
        <w:rPr>
          <w:rFonts w:ascii="Times New Roman" w:hAnsi="Times New Roman"/>
          <w:sz w:val="28"/>
          <w:szCs w:val="28"/>
        </w:rPr>
        <w:t>a</w:t>
      </w:r>
      <w:r w:rsidR="00117E43" w:rsidRPr="00643DCF">
        <w:rPr>
          <w:rFonts w:ascii="Times New Roman" w:hAnsi="Times New Roman"/>
          <w:sz w:val="28"/>
          <w:szCs w:val="28"/>
        </w:rPr>
        <w:t>l</w:t>
      </w:r>
      <w:r w:rsidR="0047489D" w:rsidRPr="00643DCF">
        <w:rPr>
          <w:rFonts w:ascii="Times New Roman" w:hAnsi="Times New Roman"/>
          <w:sz w:val="28"/>
          <w:szCs w:val="28"/>
        </w:rPr>
        <w:t xml:space="preserve"> inclu</w:t>
      </w:r>
      <w:r w:rsidR="003075E8" w:rsidRPr="00643DCF">
        <w:rPr>
          <w:rFonts w:ascii="Times New Roman" w:hAnsi="Times New Roman"/>
          <w:sz w:val="28"/>
          <w:szCs w:val="28"/>
        </w:rPr>
        <w:t xml:space="preserve">ir </w:t>
      </w:r>
      <w:r w:rsidR="00972BFB" w:rsidRPr="00643DCF">
        <w:rPr>
          <w:rFonts w:ascii="Times New Roman" w:hAnsi="Times New Roman"/>
          <w:sz w:val="28"/>
          <w:szCs w:val="28"/>
        </w:rPr>
        <w:t xml:space="preserve">este aspecto </w:t>
      </w:r>
      <w:r w:rsidR="0040379A" w:rsidRPr="00643DCF">
        <w:rPr>
          <w:rFonts w:ascii="Times New Roman" w:hAnsi="Times New Roman"/>
          <w:sz w:val="28"/>
          <w:szCs w:val="28"/>
        </w:rPr>
        <w:t>dentro del desarrollo de</w:t>
      </w:r>
      <w:r w:rsidR="007E1FF5" w:rsidRPr="00643DCF">
        <w:rPr>
          <w:rFonts w:ascii="Times New Roman" w:hAnsi="Times New Roman"/>
          <w:sz w:val="28"/>
          <w:szCs w:val="28"/>
        </w:rPr>
        <w:t xml:space="preserve"> </w:t>
      </w:r>
      <w:r w:rsidR="0040379A" w:rsidRPr="00643DCF">
        <w:rPr>
          <w:rFonts w:ascii="Times New Roman" w:hAnsi="Times New Roman"/>
          <w:sz w:val="28"/>
          <w:szCs w:val="28"/>
        </w:rPr>
        <w:t>l</w:t>
      </w:r>
      <w:r w:rsidR="007E1FF5" w:rsidRPr="00643DCF">
        <w:rPr>
          <w:rFonts w:ascii="Times New Roman" w:hAnsi="Times New Roman"/>
          <w:sz w:val="28"/>
          <w:szCs w:val="28"/>
        </w:rPr>
        <w:t>os</w:t>
      </w:r>
      <w:r w:rsidR="0040379A" w:rsidRPr="00643DCF">
        <w:rPr>
          <w:rFonts w:ascii="Times New Roman" w:hAnsi="Times New Roman"/>
          <w:sz w:val="28"/>
          <w:szCs w:val="28"/>
        </w:rPr>
        <w:t xml:space="preserve"> concurso</w:t>
      </w:r>
      <w:r w:rsidR="007E1FF5" w:rsidRPr="00643DCF">
        <w:rPr>
          <w:rFonts w:ascii="Times New Roman" w:hAnsi="Times New Roman"/>
          <w:sz w:val="28"/>
          <w:szCs w:val="28"/>
        </w:rPr>
        <w:t>s</w:t>
      </w:r>
      <w:r w:rsidR="0040379A" w:rsidRPr="00643DCF">
        <w:rPr>
          <w:rFonts w:ascii="Times New Roman" w:hAnsi="Times New Roman"/>
          <w:sz w:val="28"/>
          <w:szCs w:val="28"/>
        </w:rPr>
        <w:t xml:space="preserve"> de méritos que </w:t>
      </w:r>
      <w:r w:rsidR="003075E8" w:rsidRPr="00643DCF">
        <w:rPr>
          <w:rFonts w:ascii="Times New Roman" w:hAnsi="Times New Roman"/>
          <w:sz w:val="28"/>
          <w:szCs w:val="28"/>
        </w:rPr>
        <w:t xml:space="preserve">se </w:t>
      </w:r>
      <w:r w:rsidR="0040379A" w:rsidRPr="00643DCF">
        <w:rPr>
          <w:rFonts w:ascii="Times New Roman" w:hAnsi="Times New Roman"/>
          <w:sz w:val="28"/>
          <w:szCs w:val="28"/>
        </w:rPr>
        <w:t>adelanta</w:t>
      </w:r>
      <w:r w:rsidR="00175C97" w:rsidRPr="00643DCF">
        <w:rPr>
          <w:rFonts w:ascii="Times New Roman" w:hAnsi="Times New Roman"/>
          <w:sz w:val="28"/>
          <w:szCs w:val="28"/>
        </w:rPr>
        <w:t>n</w:t>
      </w:r>
      <w:r w:rsidR="0040379A" w:rsidRPr="00643DCF">
        <w:rPr>
          <w:rFonts w:ascii="Times New Roman" w:hAnsi="Times New Roman"/>
          <w:sz w:val="28"/>
          <w:szCs w:val="28"/>
        </w:rPr>
        <w:t xml:space="preserve"> e</w:t>
      </w:r>
      <w:r w:rsidR="00117E43" w:rsidRPr="00643DCF">
        <w:rPr>
          <w:rFonts w:ascii="Times New Roman" w:hAnsi="Times New Roman"/>
          <w:sz w:val="28"/>
          <w:szCs w:val="28"/>
        </w:rPr>
        <w:t>n</w:t>
      </w:r>
      <w:r w:rsidR="0040379A" w:rsidRPr="00643DCF">
        <w:rPr>
          <w:rFonts w:ascii="Times New Roman" w:hAnsi="Times New Roman"/>
          <w:sz w:val="28"/>
          <w:szCs w:val="28"/>
        </w:rPr>
        <w:t xml:space="preserve"> la Rama Judicial</w:t>
      </w:r>
      <w:r w:rsidR="00022A03" w:rsidRPr="00643DCF">
        <w:rPr>
          <w:rFonts w:ascii="Times New Roman" w:hAnsi="Times New Roman"/>
          <w:sz w:val="28"/>
          <w:szCs w:val="28"/>
        </w:rPr>
        <w:t>. A</w:t>
      </w:r>
      <w:r w:rsidR="007E1FF5" w:rsidRPr="00643DCF">
        <w:rPr>
          <w:rFonts w:ascii="Times New Roman" w:hAnsi="Times New Roman"/>
          <w:sz w:val="28"/>
          <w:szCs w:val="28"/>
        </w:rPr>
        <w:t>l respecto</w:t>
      </w:r>
      <w:r w:rsidR="00022A03" w:rsidRPr="00643DCF">
        <w:rPr>
          <w:rFonts w:ascii="Times New Roman" w:hAnsi="Times New Roman"/>
          <w:sz w:val="28"/>
          <w:szCs w:val="28"/>
        </w:rPr>
        <w:t>,</w:t>
      </w:r>
      <w:r w:rsidR="007E1FF5" w:rsidRPr="00643DCF">
        <w:rPr>
          <w:rFonts w:ascii="Times New Roman" w:hAnsi="Times New Roman"/>
          <w:sz w:val="28"/>
          <w:szCs w:val="28"/>
        </w:rPr>
        <w:t xml:space="preserve"> inform</w:t>
      </w:r>
      <w:r w:rsidR="00175C97" w:rsidRPr="00643DCF">
        <w:rPr>
          <w:rFonts w:ascii="Times New Roman" w:hAnsi="Times New Roman"/>
          <w:sz w:val="28"/>
          <w:szCs w:val="28"/>
        </w:rPr>
        <w:t>ó</w:t>
      </w:r>
      <w:r w:rsidR="007E1FF5" w:rsidRPr="00643DCF">
        <w:rPr>
          <w:rFonts w:ascii="Times New Roman" w:hAnsi="Times New Roman"/>
          <w:sz w:val="28"/>
          <w:szCs w:val="28"/>
        </w:rPr>
        <w:t xml:space="preserve"> que</w:t>
      </w:r>
      <w:r w:rsidR="00042A1B" w:rsidRPr="00643DCF">
        <w:rPr>
          <w:rFonts w:ascii="Times New Roman" w:hAnsi="Times New Roman"/>
          <w:sz w:val="28"/>
          <w:szCs w:val="28"/>
        </w:rPr>
        <w:t>:</w:t>
      </w:r>
    </w:p>
    <w:p w14:paraId="5F197208" w14:textId="77777777" w:rsidR="00122F06" w:rsidRPr="00643DCF" w:rsidRDefault="00122F06" w:rsidP="000C2A40">
      <w:pPr>
        <w:pStyle w:val="Sinespaciado6"/>
        <w:tabs>
          <w:tab w:val="left" w:pos="142"/>
          <w:tab w:val="left" w:pos="567"/>
          <w:tab w:val="left" w:pos="851"/>
          <w:tab w:val="left" w:pos="993"/>
        </w:tabs>
        <w:jc w:val="both"/>
        <w:rPr>
          <w:rFonts w:ascii="Times New Roman" w:hAnsi="Times New Roman"/>
          <w:sz w:val="28"/>
          <w:szCs w:val="28"/>
        </w:rPr>
      </w:pPr>
    </w:p>
    <w:p w14:paraId="1BA97682" w14:textId="14F8702A" w:rsidR="00F716D2" w:rsidRDefault="007E1FF5" w:rsidP="003075E8">
      <w:pPr>
        <w:pStyle w:val="Sinespaciado6"/>
        <w:tabs>
          <w:tab w:val="left" w:pos="142"/>
          <w:tab w:val="left" w:pos="284"/>
          <w:tab w:val="left" w:pos="851"/>
          <w:tab w:val="left" w:pos="993"/>
        </w:tabs>
        <w:ind w:left="284"/>
        <w:jc w:val="both"/>
        <w:rPr>
          <w:rFonts w:ascii="Times New Roman" w:hAnsi="Times New Roman"/>
          <w:i/>
          <w:sz w:val="28"/>
          <w:szCs w:val="28"/>
        </w:rPr>
      </w:pPr>
      <w:r w:rsidRPr="00643DCF">
        <w:rPr>
          <w:rFonts w:ascii="Times New Roman" w:hAnsi="Times New Roman"/>
          <w:i/>
          <w:sz w:val="28"/>
          <w:szCs w:val="28"/>
        </w:rPr>
        <w:t>“</w:t>
      </w:r>
      <w:r w:rsidR="0047489D" w:rsidRPr="004A604F">
        <w:rPr>
          <w:rFonts w:ascii="Times New Roman" w:hAnsi="Times New Roman"/>
          <w:i/>
          <w:sz w:val="27"/>
          <w:szCs w:val="27"/>
        </w:rPr>
        <w:t xml:space="preserve">oficio CJOFI14-2314 del 22 de mayo de 2014, la Unidad de Carrera Judicial requirió a la Universidad Nacional, con el fin de </w:t>
      </w:r>
      <w:r w:rsidRPr="004A604F">
        <w:rPr>
          <w:rFonts w:ascii="Times New Roman" w:hAnsi="Times New Roman"/>
          <w:i/>
          <w:sz w:val="27"/>
          <w:szCs w:val="27"/>
        </w:rPr>
        <w:t>prever</w:t>
      </w:r>
      <w:r w:rsidR="0047489D" w:rsidRPr="004A604F">
        <w:rPr>
          <w:rFonts w:ascii="Times New Roman" w:hAnsi="Times New Roman"/>
          <w:i/>
          <w:sz w:val="27"/>
          <w:szCs w:val="27"/>
        </w:rPr>
        <w:t xml:space="preserve"> la inclusión en el banco de preguntas de la estructura general de la prueba para los aspirantes a cargos de empleados de carrera de la Corte Constitucional, Corte Suprema de Justicia, Consejo de Estado y Sala Jurisdiccional Disciplinaria del Consejo Superior de la Judicatura</w:t>
      </w:r>
      <w:r w:rsidRPr="004A604F">
        <w:rPr>
          <w:rFonts w:ascii="Times New Roman" w:hAnsi="Times New Roman"/>
          <w:i/>
          <w:sz w:val="27"/>
          <w:szCs w:val="27"/>
        </w:rPr>
        <w:t>, un componente relacionado con los aspectos de que trata la sentencia T-760</w:t>
      </w:r>
      <w:r w:rsidR="00F716D2" w:rsidRPr="00643DCF">
        <w:rPr>
          <w:rFonts w:ascii="Times New Roman" w:hAnsi="Times New Roman"/>
          <w:i/>
          <w:sz w:val="28"/>
          <w:szCs w:val="28"/>
        </w:rPr>
        <w:t>”.</w:t>
      </w:r>
      <w:r w:rsidRPr="00643DCF">
        <w:rPr>
          <w:rFonts w:ascii="Times New Roman" w:hAnsi="Times New Roman"/>
          <w:i/>
          <w:sz w:val="28"/>
          <w:szCs w:val="28"/>
        </w:rPr>
        <w:t xml:space="preserve"> </w:t>
      </w:r>
    </w:p>
    <w:p w14:paraId="08E706DA" w14:textId="77777777" w:rsidR="004A604F" w:rsidRPr="00643DCF" w:rsidRDefault="004A604F" w:rsidP="003075E8">
      <w:pPr>
        <w:pStyle w:val="Sinespaciado6"/>
        <w:tabs>
          <w:tab w:val="left" w:pos="142"/>
          <w:tab w:val="left" w:pos="284"/>
          <w:tab w:val="left" w:pos="851"/>
          <w:tab w:val="left" w:pos="993"/>
        </w:tabs>
        <w:ind w:left="284"/>
        <w:jc w:val="both"/>
        <w:rPr>
          <w:rFonts w:ascii="Times New Roman" w:hAnsi="Times New Roman"/>
          <w:i/>
          <w:sz w:val="28"/>
          <w:szCs w:val="28"/>
        </w:rPr>
      </w:pPr>
    </w:p>
    <w:p w14:paraId="06EF7AF9" w14:textId="115F049C" w:rsidR="00042A1B" w:rsidRPr="00643DCF" w:rsidRDefault="007E1FF5" w:rsidP="000C2A40">
      <w:pPr>
        <w:pStyle w:val="Sinespaciado6"/>
        <w:tabs>
          <w:tab w:val="left" w:pos="142"/>
          <w:tab w:val="left" w:pos="567"/>
          <w:tab w:val="left" w:pos="851"/>
          <w:tab w:val="left" w:pos="993"/>
        </w:tabs>
        <w:jc w:val="both"/>
        <w:rPr>
          <w:rFonts w:ascii="Times New Roman" w:hAnsi="Times New Roman"/>
          <w:sz w:val="28"/>
          <w:szCs w:val="28"/>
        </w:rPr>
      </w:pPr>
      <w:r w:rsidRPr="00643DCF">
        <w:rPr>
          <w:rFonts w:ascii="Times New Roman" w:hAnsi="Times New Roman"/>
          <w:sz w:val="28"/>
          <w:szCs w:val="28"/>
        </w:rPr>
        <w:t>De otro lado</w:t>
      </w:r>
      <w:r w:rsidR="00022A03" w:rsidRPr="00643DCF">
        <w:rPr>
          <w:rFonts w:ascii="Times New Roman" w:hAnsi="Times New Roman"/>
          <w:sz w:val="28"/>
          <w:szCs w:val="28"/>
        </w:rPr>
        <w:t xml:space="preserve"> ese Consejo</w:t>
      </w:r>
      <w:r w:rsidRPr="00643DCF">
        <w:rPr>
          <w:rFonts w:ascii="Times New Roman" w:hAnsi="Times New Roman"/>
          <w:sz w:val="28"/>
          <w:szCs w:val="28"/>
        </w:rPr>
        <w:t xml:space="preserve">, </w:t>
      </w:r>
      <w:r w:rsidR="00F716D2" w:rsidRPr="00643DCF">
        <w:rPr>
          <w:rFonts w:ascii="Times New Roman" w:hAnsi="Times New Roman"/>
          <w:sz w:val="28"/>
          <w:szCs w:val="28"/>
        </w:rPr>
        <w:t>manifestó que</w:t>
      </w:r>
      <w:r w:rsidR="00042A1B" w:rsidRPr="00643DCF">
        <w:rPr>
          <w:rFonts w:ascii="Times New Roman" w:hAnsi="Times New Roman"/>
          <w:sz w:val="28"/>
          <w:szCs w:val="28"/>
        </w:rPr>
        <w:t xml:space="preserve">: </w:t>
      </w:r>
    </w:p>
    <w:p w14:paraId="1A6C65DA" w14:textId="77777777" w:rsidR="00042A1B" w:rsidRPr="00643DCF" w:rsidRDefault="00042A1B" w:rsidP="000C2A40">
      <w:pPr>
        <w:pStyle w:val="Sinespaciado6"/>
        <w:tabs>
          <w:tab w:val="left" w:pos="142"/>
          <w:tab w:val="left" w:pos="567"/>
          <w:tab w:val="left" w:pos="851"/>
          <w:tab w:val="left" w:pos="993"/>
        </w:tabs>
        <w:jc w:val="both"/>
        <w:rPr>
          <w:rFonts w:ascii="Times New Roman" w:hAnsi="Times New Roman"/>
          <w:sz w:val="28"/>
          <w:szCs w:val="28"/>
        </w:rPr>
      </w:pPr>
    </w:p>
    <w:p w14:paraId="1E0C849B" w14:textId="271F73C7" w:rsidR="00AF7486" w:rsidRPr="00643DCF" w:rsidRDefault="00F716D2" w:rsidP="00042A1B">
      <w:pPr>
        <w:pStyle w:val="Sinespaciado6"/>
        <w:tabs>
          <w:tab w:val="left" w:pos="142"/>
          <w:tab w:val="left" w:pos="567"/>
          <w:tab w:val="left" w:pos="851"/>
          <w:tab w:val="left" w:pos="993"/>
        </w:tabs>
        <w:ind w:left="284"/>
        <w:jc w:val="both"/>
        <w:rPr>
          <w:rFonts w:ascii="Times New Roman" w:hAnsi="Times New Roman"/>
          <w:sz w:val="28"/>
          <w:szCs w:val="28"/>
          <w:lang w:eastAsia="es-ES"/>
        </w:rPr>
      </w:pPr>
      <w:r w:rsidRPr="00643DCF">
        <w:rPr>
          <w:rFonts w:ascii="Times New Roman" w:hAnsi="Times New Roman"/>
          <w:i/>
          <w:sz w:val="28"/>
          <w:szCs w:val="28"/>
        </w:rPr>
        <w:t>“</w:t>
      </w:r>
      <w:r w:rsidRPr="004A604F">
        <w:rPr>
          <w:rFonts w:ascii="Times New Roman" w:hAnsi="Times New Roman"/>
          <w:i/>
          <w:sz w:val="27"/>
          <w:szCs w:val="27"/>
        </w:rPr>
        <w:t>con</w:t>
      </w:r>
      <w:r w:rsidR="007E1FF5" w:rsidRPr="004A604F">
        <w:rPr>
          <w:rFonts w:ascii="Times New Roman" w:hAnsi="Times New Roman"/>
          <w:i/>
          <w:sz w:val="27"/>
          <w:szCs w:val="27"/>
        </w:rPr>
        <w:t xml:space="preserve"> la intención de dar cumplimiento a la orden de la Corte Constitucional, la Escuela Judicial garantizará que en los próximos Planes de Estudios que correspondan a la Fase II de los Curso de Formación Judicial, se imparta y evalúe el módulo Práctica Judicial en el Derecho a la Salud. Acerca de la inclusión de los cursos de inducción, de actualización judicial, las capacitaciones y actualizaciones en técnicas de administración y gestión judicial a los que se refiere el artículo 176 de la Ley 270 de 1996, la Escuela Rodrigo Lara Bonilla, desde el año 2009, ha venido impartiendo el módulo Práctica Judicial en el Derecho a la Salud, no solo en la formación judicial inicial, sino también en la continua, como una respuesta inmediata a fin de apoyar a los jueces</w:t>
      </w:r>
      <w:r w:rsidR="007E1FF5" w:rsidRPr="00643DCF">
        <w:rPr>
          <w:rFonts w:ascii="Times New Roman" w:hAnsi="Times New Roman"/>
          <w:i/>
          <w:sz w:val="28"/>
          <w:szCs w:val="28"/>
        </w:rPr>
        <w:t>”.</w:t>
      </w:r>
    </w:p>
    <w:p w14:paraId="52F4C40F" w14:textId="77777777" w:rsidR="00F2215F" w:rsidRPr="00643DCF" w:rsidRDefault="00F2215F" w:rsidP="000C2A40">
      <w:pPr>
        <w:pStyle w:val="Sinespaciado6"/>
        <w:tabs>
          <w:tab w:val="left" w:pos="142"/>
          <w:tab w:val="left" w:pos="567"/>
          <w:tab w:val="left" w:pos="851"/>
          <w:tab w:val="left" w:pos="993"/>
        </w:tabs>
        <w:jc w:val="both"/>
        <w:rPr>
          <w:rFonts w:ascii="Times New Roman" w:hAnsi="Times New Roman"/>
          <w:sz w:val="28"/>
          <w:szCs w:val="28"/>
          <w:lang w:eastAsia="es-ES"/>
        </w:rPr>
      </w:pPr>
    </w:p>
    <w:p w14:paraId="5721E83B" w14:textId="6EAFD64D" w:rsidR="00D867CB" w:rsidRPr="00643DCF" w:rsidRDefault="001356D4" w:rsidP="00491A95">
      <w:pPr>
        <w:tabs>
          <w:tab w:val="left" w:pos="142"/>
          <w:tab w:val="left" w:pos="567"/>
          <w:tab w:val="left" w:pos="851"/>
          <w:tab w:val="left" w:pos="993"/>
        </w:tabs>
        <w:jc w:val="both"/>
        <w:rPr>
          <w:sz w:val="28"/>
          <w:szCs w:val="28"/>
        </w:rPr>
      </w:pPr>
      <w:r w:rsidRPr="00643DCF">
        <w:rPr>
          <w:sz w:val="28"/>
          <w:szCs w:val="28"/>
        </w:rPr>
        <w:t>80</w:t>
      </w:r>
      <w:r w:rsidR="00B962D4" w:rsidRPr="00643DCF">
        <w:rPr>
          <w:sz w:val="28"/>
          <w:szCs w:val="28"/>
        </w:rPr>
        <w:t xml:space="preserve">. </w:t>
      </w:r>
      <w:r w:rsidR="00972BFB" w:rsidRPr="00643DCF">
        <w:rPr>
          <w:sz w:val="28"/>
          <w:szCs w:val="28"/>
        </w:rPr>
        <w:t>En suma, a</w:t>
      </w:r>
      <w:r w:rsidR="008551D9" w:rsidRPr="00643DCF">
        <w:rPr>
          <w:sz w:val="28"/>
          <w:szCs w:val="28"/>
        </w:rPr>
        <w:t>nalizada la implementación de las medidas preventivas</w:t>
      </w:r>
      <w:r w:rsidR="00175C97" w:rsidRPr="00643DCF">
        <w:rPr>
          <w:sz w:val="28"/>
          <w:szCs w:val="28"/>
        </w:rPr>
        <w:t xml:space="preserve"> ordenadas en el </w:t>
      </w:r>
      <w:r w:rsidR="00821D52" w:rsidRPr="00643DCF">
        <w:rPr>
          <w:sz w:val="28"/>
          <w:szCs w:val="28"/>
        </w:rPr>
        <w:t>a</w:t>
      </w:r>
      <w:r w:rsidR="00175C97" w:rsidRPr="00643DCF">
        <w:rPr>
          <w:sz w:val="28"/>
          <w:szCs w:val="28"/>
        </w:rPr>
        <w:t>uto 154 de 2014</w:t>
      </w:r>
      <w:r w:rsidR="008551D9" w:rsidRPr="00643DCF">
        <w:rPr>
          <w:sz w:val="28"/>
          <w:szCs w:val="28"/>
        </w:rPr>
        <w:t xml:space="preserve">, observa </w:t>
      </w:r>
      <w:r w:rsidR="00042A1B" w:rsidRPr="00643DCF">
        <w:rPr>
          <w:sz w:val="28"/>
          <w:szCs w:val="28"/>
        </w:rPr>
        <w:t xml:space="preserve">la </w:t>
      </w:r>
      <w:r w:rsidR="008551D9" w:rsidRPr="00643DCF">
        <w:rPr>
          <w:sz w:val="28"/>
          <w:szCs w:val="28"/>
        </w:rPr>
        <w:t xml:space="preserve">Sala que </w:t>
      </w:r>
      <w:r w:rsidR="00972BFB" w:rsidRPr="00643DCF">
        <w:rPr>
          <w:sz w:val="28"/>
          <w:szCs w:val="28"/>
        </w:rPr>
        <w:t xml:space="preserve">la mayoría de </w:t>
      </w:r>
      <w:r w:rsidR="008551D9" w:rsidRPr="00643DCF">
        <w:rPr>
          <w:sz w:val="28"/>
          <w:szCs w:val="28"/>
        </w:rPr>
        <w:t>las mismas han sido</w:t>
      </w:r>
      <w:r w:rsidR="00175C97" w:rsidRPr="00643DCF">
        <w:rPr>
          <w:sz w:val="28"/>
          <w:szCs w:val="28"/>
        </w:rPr>
        <w:t xml:space="preserve"> cumplidas y</w:t>
      </w:r>
      <w:r w:rsidR="008551D9" w:rsidRPr="00643DCF">
        <w:rPr>
          <w:sz w:val="28"/>
          <w:szCs w:val="28"/>
        </w:rPr>
        <w:t xml:space="preserve"> tenidas en cuenta por el Consejo Superior de la Judicatura</w:t>
      </w:r>
      <w:r w:rsidR="00175C97" w:rsidRPr="00643DCF">
        <w:rPr>
          <w:sz w:val="28"/>
          <w:szCs w:val="28"/>
        </w:rPr>
        <w:t xml:space="preserve"> en aras de lograr </w:t>
      </w:r>
      <w:r w:rsidR="00BF3323" w:rsidRPr="00643DCF">
        <w:rPr>
          <w:sz w:val="28"/>
          <w:szCs w:val="28"/>
        </w:rPr>
        <w:t>el</w:t>
      </w:r>
      <w:r w:rsidR="00175C97" w:rsidRPr="00643DCF">
        <w:rPr>
          <w:sz w:val="28"/>
          <w:szCs w:val="28"/>
        </w:rPr>
        <w:t xml:space="preserve"> acatamiento de la orden trigésima segunda de la </w:t>
      </w:r>
      <w:r w:rsidR="003E0A81" w:rsidRPr="00643DCF">
        <w:rPr>
          <w:sz w:val="28"/>
          <w:szCs w:val="28"/>
        </w:rPr>
        <w:t>s</w:t>
      </w:r>
      <w:r w:rsidR="00175C97" w:rsidRPr="00643DCF">
        <w:rPr>
          <w:sz w:val="28"/>
          <w:szCs w:val="28"/>
        </w:rPr>
        <w:t>entencia T-760 de 2008</w:t>
      </w:r>
      <w:r w:rsidR="005E6253" w:rsidRPr="00643DCF">
        <w:rPr>
          <w:sz w:val="28"/>
          <w:szCs w:val="28"/>
        </w:rPr>
        <w:t>,</w:t>
      </w:r>
      <w:r w:rsidR="000565AD" w:rsidRPr="00643DCF">
        <w:rPr>
          <w:sz w:val="28"/>
          <w:szCs w:val="28"/>
        </w:rPr>
        <w:t xml:space="preserve"> toda vez que: </w:t>
      </w:r>
      <w:r w:rsidR="009B004A" w:rsidRPr="00643DCF">
        <w:rPr>
          <w:i/>
          <w:sz w:val="28"/>
          <w:szCs w:val="28"/>
        </w:rPr>
        <w:t>(</w:t>
      </w:r>
      <w:r w:rsidR="000565AD" w:rsidRPr="00643DCF">
        <w:rPr>
          <w:i/>
          <w:sz w:val="28"/>
          <w:szCs w:val="28"/>
        </w:rPr>
        <w:t>i)</w:t>
      </w:r>
      <w:r w:rsidR="000565AD" w:rsidRPr="00643DCF">
        <w:rPr>
          <w:sz w:val="28"/>
          <w:szCs w:val="28"/>
        </w:rPr>
        <w:t xml:space="preserve"> creó un espacio de divulgación especial y destacado en la página principal de la Rama Judicial destinado a la difusión</w:t>
      </w:r>
      <w:r w:rsidR="00117E43" w:rsidRPr="00643DCF">
        <w:rPr>
          <w:sz w:val="28"/>
          <w:szCs w:val="28"/>
        </w:rPr>
        <w:t xml:space="preserve"> la providencia</w:t>
      </w:r>
      <w:r w:rsidR="006914C6" w:rsidRPr="00643DCF">
        <w:rPr>
          <w:sz w:val="28"/>
          <w:szCs w:val="28"/>
        </w:rPr>
        <w:t>;</w:t>
      </w:r>
      <w:r w:rsidR="000565AD" w:rsidRPr="00643DCF">
        <w:rPr>
          <w:sz w:val="28"/>
          <w:szCs w:val="28"/>
        </w:rPr>
        <w:t xml:space="preserve"> </w:t>
      </w:r>
      <w:r w:rsidR="009B004A" w:rsidRPr="00643DCF">
        <w:rPr>
          <w:i/>
          <w:sz w:val="28"/>
          <w:szCs w:val="28"/>
        </w:rPr>
        <w:t>(</w:t>
      </w:r>
      <w:r w:rsidR="000565AD" w:rsidRPr="00643DCF">
        <w:rPr>
          <w:i/>
          <w:sz w:val="28"/>
          <w:szCs w:val="28"/>
        </w:rPr>
        <w:t>ii)</w:t>
      </w:r>
      <w:r w:rsidR="000565AD" w:rsidRPr="00643DCF">
        <w:rPr>
          <w:sz w:val="28"/>
          <w:szCs w:val="28"/>
        </w:rPr>
        <w:t xml:space="preserve"> la diagramación de</w:t>
      </w:r>
      <w:r w:rsidR="00117E43" w:rsidRPr="00643DCF">
        <w:rPr>
          <w:sz w:val="28"/>
          <w:szCs w:val="28"/>
        </w:rPr>
        <w:t>l</w:t>
      </w:r>
      <w:r w:rsidR="000565AD" w:rsidRPr="00643DCF">
        <w:rPr>
          <w:sz w:val="28"/>
          <w:szCs w:val="28"/>
        </w:rPr>
        <w:t xml:space="preserve"> mism</w:t>
      </w:r>
      <w:r w:rsidR="00117E43" w:rsidRPr="00643DCF">
        <w:rPr>
          <w:sz w:val="28"/>
          <w:szCs w:val="28"/>
        </w:rPr>
        <w:t>o</w:t>
      </w:r>
      <w:r w:rsidR="000565AD" w:rsidRPr="00643DCF">
        <w:rPr>
          <w:sz w:val="28"/>
          <w:szCs w:val="28"/>
        </w:rPr>
        <w:t xml:space="preserve"> es idónea para incentivar en los visitantes del portal el interés de consulta de la informaci</w:t>
      </w:r>
      <w:r w:rsidR="006914C6" w:rsidRPr="00643DCF">
        <w:rPr>
          <w:sz w:val="28"/>
          <w:szCs w:val="28"/>
        </w:rPr>
        <w:t>ón entregada;</w:t>
      </w:r>
      <w:r w:rsidR="000565AD" w:rsidRPr="00643DCF">
        <w:rPr>
          <w:sz w:val="28"/>
          <w:szCs w:val="28"/>
        </w:rPr>
        <w:t xml:space="preserve"> </w:t>
      </w:r>
      <w:r w:rsidR="001A77C3" w:rsidRPr="00643DCF">
        <w:rPr>
          <w:i/>
          <w:sz w:val="28"/>
          <w:szCs w:val="28"/>
        </w:rPr>
        <w:t>(</w:t>
      </w:r>
      <w:r w:rsidR="000565AD" w:rsidRPr="00643DCF">
        <w:rPr>
          <w:i/>
          <w:sz w:val="28"/>
          <w:szCs w:val="28"/>
        </w:rPr>
        <w:t>iii)</w:t>
      </w:r>
      <w:r w:rsidR="000565AD" w:rsidRPr="00643DCF">
        <w:rPr>
          <w:sz w:val="28"/>
          <w:szCs w:val="28"/>
        </w:rPr>
        <w:t xml:space="preserve"> el contador estadístico permite determinar de forma sencilla cu</w:t>
      </w:r>
      <w:r w:rsidR="00BF3323" w:rsidRPr="00643DCF">
        <w:rPr>
          <w:sz w:val="28"/>
          <w:szCs w:val="28"/>
        </w:rPr>
        <w:t>á</w:t>
      </w:r>
      <w:r w:rsidR="000565AD" w:rsidRPr="00643DCF">
        <w:rPr>
          <w:sz w:val="28"/>
          <w:szCs w:val="28"/>
        </w:rPr>
        <w:t>ntos han sido los consultan</w:t>
      </w:r>
      <w:r w:rsidR="006914C6" w:rsidRPr="00643DCF">
        <w:rPr>
          <w:sz w:val="28"/>
          <w:szCs w:val="28"/>
        </w:rPr>
        <w:t>tes</w:t>
      </w:r>
      <w:r w:rsidR="001A77C3" w:rsidRPr="00643DCF">
        <w:rPr>
          <w:sz w:val="28"/>
          <w:szCs w:val="28"/>
        </w:rPr>
        <w:t xml:space="preserve"> y, </w:t>
      </w:r>
      <w:r w:rsidR="001A77C3" w:rsidRPr="00643DCF">
        <w:rPr>
          <w:i/>
          <w:sz w:val="28"/>
          <w:szCs w:val="28"/>
        </w:rPr>
        <w:t>(</w:t>
      </w:r>
      <w:r w:rsidR="006914C6" w:rsidRPr="00643DCF">
        <w:rPr>
          <w:i/>
          <w:sz w:val="28"/>
          <w:szCs w:val="28"/>
        </w:rPr>
        <w:t>iv)</w:t>
      </w:r>
      <w:r w:rsidR="006914C6" w:rsidRPr="00643DCF">
        <w:rPr>
          <w:sz w:val="28"/>
          <w:szCs w:val="28"/>
        </w:rPr>
        <w:t xml:space="preserve"> el sitio web cuenta con varias secciones destinadas a la publicación</w:t>
      </w:r>
      <w:r w:rsidR="006D3E96" w:rsidRPr="00643DCF">
        <w:rPr>
          <w:sz w:val="28"/>
          <w:szCs w:val="28"/>
        </w:rPr>
        <w:t xml:space="preserve"> y actualización</w:t>
      </w:r>
      <w:r w:rsidR="006914C6" w:rsidRPr="00643DCF">
        <w:rPr>
          <w:sz w:val="28"/>
          <w:szCs w:val="28"/>
        </w:rPr>
        <w:t xml:space="preserve"> de los autos de seguimiento, los ma</w:t>
      </w:r>
      <w:r w:rsidR="006D3E96" w:rsidRPr="00643DCF">
        <w:rPr>
          <w:sz w:val="28"/>
          <w:szCs w:val="28"/>
        </w:rPr>
        <w:t>teriales audiovisuales y</w:t>
      </w:r>
      <w:r w:rsidR="006914C6" w:rsidRPr="00643DCF">
        <w:rPr>
          <w:sz w:val="28"/>
          <w:szCs w:val="28"/>
        </w:rPr>
        <w:t xml:space="preserve"> de capacitación como folletos, cartillas, boletines jurisprudenciales, manuales,</w:t>
      </w:r>
      <w:r w:rsidR="006D3E96" w:rsidRPr="00643DCF">
        <w:rPr>
          <w:sz w:val="28"/>
          <w:szCs w:val="28"/>
        </w:rPr>
        <w:t xml:space="preserve"> </w:t>
      </w:r>
      <w:r w:rsidR="006914C6" w:rsidRPr="00643DCF">
        <w:rPr>
          <w:sz w:val="28"/>
          <w:szCs w:val="28"/>
        </w:rPr>
        <w:t>documentos de tipo administrativo y la biblioteca virtual con la normatividad y la doctrina en materia de salud, entre otro</w:t>
      </w:r>
      <w:r w:rsidR="00D867CB" w:rsidRPr="00643DCF">
        <w:rPr>
          <w:sz w:val="28"/>
          <w:szCs w:val="28"/>
        </w:rPr>
        <w:t xml:space="preserve">s. </w:t>
      </w:r>
    </w:p>
    <w:p w14:paraId="36BAE65C" w14:textId="77777777" w:rsidR="00D867CB" w:rsidRPr="00643DCF" w:rsidRDefault="00D867CB" w:rsidP="00491A95">
      <w:pPr>
        <w:tabs>
          <w:tab w:val="left" w:pos="142"/>
          <w:tab w:val="left" w:pos="567"/>
          <w:tab w:val="left" w:pos="851"/>
          <w:tab w:val="left" w:pos="993"/>
        </w:tabs>
        <w:jc w:val="both"/>
        <w:rPr>
          <w:sz w:val="28"/>
          <w:szCs w:val="28"/>
        </w:rPr>
      </w:pPr>
    </w:p>
    <w:p w14:paraId="5C1AC349" w14:textId="6A17C72B" w:rsidR="00721907" w:rsidRPr="00643DCF" w:rsidRDefault="00680721" w:rsidP="00491A95">
      <w:pPr>
        <w:tabs>
          <w:tab w:val="left" w:pos="142"/>
          <w:tab w:val="left" w:pos="567"/>
          <w:tab w:val="left" w:pos="851"/>
          <w:tab w:val="left" w:pos="993"/>
        </w:tabs>
        <w:jc w:val="both"/>
        <w:rPr>
          <w:sz w:val="28"/>
          <w:szCs w:val="28"/>
        </w:rPr>
      </w:pPr>
      <w:r w:rsidRPr="00643DCF">
        <w:rPr>
          <w:sz w:val="28"/>
          <w:szCs w:val="28"/>
        </w:rPr>
        <w:t>8</w:t>
      </w:r>
      <w:r w:rsidR="001356D4" w:rsidRPr="00643DCF">
        <w:rPr>
          <w:sz w:val="28"/>
          <w:szCs w:val="28"/>
        </w:rPr>
        <w:t>1</w:t>
      </w:r>
      <w:r w:rsidR="00B962D4" w:rsidRPr="00643DCF">
        <w:rPr>
          <w:sz w:val="28"/>
          <w:szCs w:val="28"/>
        </w:rPr>
        <w:t xml:space="preserve">. </w:t>
      </w:r>
      <w:r w:rsidR="00D867CB" w:rsidRPr="00643DCF">
        <w:rPr>
          <w:sz w:val="28"/>
          <w:szCs w:val="28"/>
        </w:rPr>
        <w:t xml:space="preserve">En ese orden de ideas, la </w:t>
      </w:r>
      <w:r w:rsidR="00B962D4" w:rsidRPr="00643DCF">
        <w:rPr>
          <w:sz w:val="28"/>
          <w:szCs w:val="28"/>
        </w:rPr>
        <w:t xml:space="preserve">Corte </w:t>
      </w:r>
      <w:r w:rsidR="00D867CB" w:rsidRPr="00643DCF">
        <w:rPr>
          <w:sz w:val="28"/>
          <w:szCs w:val="28"/>
        </w:rPr>
        <w:t xml:space="preserve">considera que dichas </w:t>
      </w:r>
      <w:r w:rsidR="006A2260" w:rsidRPr="00643DCF">
        <w:rPr>
          <w:sz w:val="28"/>
          <w:szCs w:val="28"/>
        </w:rPr>
        <w:t xml:space="preserve">actividades </w:t>
      </w:r>
      <w:r w:rsidR="00D867CB" w:rsidRPr="00643DCF">
        <w:rPr>
          <w:sz w:val="28"/>
          <w:szCs w:val="28"/>
        </w:rPr>
        <w:t xml:space="preserve">han permitido evidenciar </w:t>
      </w:r>
      <w:r w:rsidR="006A2260" w:rsidRPr="00643DCF">
        <w:rPr>
          <w:sz w:val="28"/>
          <w:szCs w:val="28"/>
        </w:rPr>
        <w:t>la adecuada actuación</w:t>
      </w:r>
      <w:r w:rsidR="00D867CB" w:rsidRPr="00643DCF">
        <w:rPr>
          <w:sz w:val="28"/>
          <w:szCs w:val="28"/>
        </w:rPr>
        <w:t xml:space="preserve"> </w:t>
      </w:r>
      <w:r w:rsidR="00BE7466">
        <w:rPr>
          <w:sz w:val="28"/>
          <w:szCs w:val="28"/>
        </w:rPr>
        <w:t xml:space="preserve">del </w:t>
      </w:r>
      <w:r w:rsidR="00D867CB" w:rsidRPr="00643DCF">
        <w:rPr>
          <w:sz w:val="28"/>
          <w:szCs w:val="28"/>
        </w:rPr>
        <w:t xml:space="preserve">CSJ y su compromiso de acatar parámetros fijos, </w:t>
      </w:r>
      <w:r w:rsidR="007959F6" w:rsidRPr="00643DCF">
        <w:rPr>
          <w:sz w:val="28"/>
          <w:szCs w:val="28"/>
        </w:rPr>
        <w:t xml:space="preserve">circunstancias </w:t>
      </w:r>
      <w:r w:rsidR="006A2260" w:rsidRPr="00643DCF">
        <w:rPr>
          <w:sz w:val="28"/>
          <w:szCs w:val="28"/>
        </w:rPr>
        <w:t>que</w:t>
      </w:r>
      <w:r w:rsidR="00D867CB" w:rsidRPr="00643DCF">
        <w:rPr>
          <w:sz w:val="28"/>
          <w:szCs w:val="28"/>
        </w:rPr>
        <w:t xml:space="preserve"> </w:t>
      </w:r>
      <w:r w:rsidR="006D3E96" w:rsidRPr="00643DCF">
        <w:rPr>
          <w:sz w:val="28"/>
          <w:szCs w:val="28"/>
        </w:rPr>
        <w:t>acredita</w:t>
      </w:r>
      <w:r w:rsidR="006A2260" w:rsidRPr="00643DCF">
        <w:rPr>
          <w:sz w:val="28"/>
          <w:szCs w:val="28"/>
        </w:rPr>
        <w:t>n</w:t>
      </w:r>
      <w:r w:rsidR="006D3E96" w:rsidRPr="00643DCF">
        <w:rPr>
          <w:sz w:val="28"/>
          <w:szCs w:val="28"/>
        </w:rPr>
        <w:t xml:space="preserve"> avances y resultados significativos en el cumplimiento de la</w:t>
      </w:r>
      <w:r w:rsidR="00D867CB" w:rsidRPr="00643DCF">
        <w:rPr>
          <w:sz w:val="28"/>
          <w:szCs w:val="28"/>
        </w:rPr>
        <w:t>s</w:t>
      </w:r>
      <w:r w:rsidR="006D3E96" w:rsidRPr="00643DCF">
        <w:rPr>
          <w:sz w:val="28"/>
          <w:szCs w:val="28"/>
        </w:rPr>
        <w:t xml:space="preserve"> </w:t>
      </w:r>
      <w:r w:rsidR="00D867CB" w:rsidRPr="00643DCF">
        <w:rPr>
          <w:sz w:val="28"/>
          <w:szCs w:val="28"/>
        </w:rPr>
        <w:t xml:space="preserve">órdenes dadas en el </w:t>
      </w:r>
      <w:r w:rsidR="00821D52" w:rsidRPr="00643DCF">
        <w:rPr>
          <w:sz w:val="28"/>
          <w:szCs w:val="28"/>
        </w:rPr>
        <w:t>a</w:t>
      </w:r>
      <w:r w:rsidR="00D867CB" w:rsidRPr="00643DCF">
        <w:rPr>
          <w:sz w:val="28"/>
          <w:szCs w:val="28"/>
        </w:rPr>
        <w:t>uto 154 de 2014</w:t>
      </w:r>
      <w:r w:rsidR="006D3E96" w:rsidRPr="00643DCF">
        <w:rPr>
          <w:sz w:val="28"/>
          <w:szCs w:val="28"/>
        </w:rPr>
        <w:t xml:space="preserve"> y reflejan que de continuarse con estos resultados se conjurarán las fallas evidencia</w:t>
      </w:r>
      <w:r w:rsidR="00471A03">
        <w:rPr>
          <w:sz w:val="28"/>
          <w:szCs w:val="28"/>
        </w:rPr>
        <w:t>das</w:t>
      </w:r>
      <w:r w:rsidR="007238D2" w:rsidRPr="00643DCF">
        <w:rPr>
          <w:sz w:val="28"/>
          <w:szCs w:val="28"/>
        </w:rPr>
        <w:t xml:space="preserve"> en </w:t>
      </w:r>
      <w:r w:rsidR="00531B9A" w:rsidRPr="00643DCF">
        <w:rPr>
          <w:sz w:val="28"/>
          <w:szCs w:val="28"/>
        </w:rPr>
        <w:t>la providencia en mención</w:t>
      </w:r>
      <w:r w:rsidR="006D3E96" w:rsidRPr="00643DCF">
        <w:rPr>
          <w:sz w:val="28"/>
          <w:szCs w:val="28"/>
        </w:rPr>
        <w:t xml:space="preserve">. </w:t>
      </w:r>
    </w:p>
    <w:p w14:paraId="0C27E76A" w14:textId="77777777" w:rsidR="00721907" w:rsidRPr="00643DCF" w:rsidRDefault="00721907" w:rsidP="00491A95">
      <w:pPr>
        <w:tabs>
          <w:tab w:val="left" w:pos="142"/>
          <w:tab w:val="left" w:pos="567"/>
          <w:tab w:val="left" w:pos="851"/>
          <w:tab w:val="left" w:pos="993"/>
        </w:tabs>
        <w:jc w:val="both"/>
        <w:rPr>
          <w:sz w:val="28"/>
          <w:szCs w:val="28"/>
        </w:rPr>
      </w:pPr>
    </w:p>
    <w:p w14:paraId="493E27A5" w14:textId="5D9C2BB8" w:rsidR="009734CE" w:rsidRPr="00643DCF" w:rsidRDefault="009734CE" w:rsidP="000961E6">
      <w:pPr>
        <w:widowControl w:val="0"/>
        <w:tabs>
          <w:tab w:val="left" w:pos="567"/>
        </w:tabs>
        <w:autoSpaceDE w:val="0"/>
        <w:autoSpaceDN w:val="0"/>
        <w:adjustRightInd w:val="0"/>
        <w:jc w:val="both"/>
        <w:rPr>
          <w:i/>
          <w:sz w:val="28"/>
          <w:szCs w:val="28"/>
        </w:rPr>
      </w:pPr>
      <w:r w:rsidRPr="00643DCF">
        <w:rPr>
          <w:i/>
          <w:sz w:val="28"/>
          <w:szCs w:val="28"/>
        </w:rPr>
        <w:t>P</w:t>
      </w:r>
      <w:r w:rsidR="00117E43" w:rsidRPr="00643DCF">
        <w:rPr>
          <w:rFonts w:eastAsiaTheme="minorHAnsi"/>
          <w:i/>
          <w:sz w:val="28"/>
          <w:szCs w:val="28"/>
          <w:lang w:val="es-ES"/>
        </w:rPr>
        <w:t>resentación</w:t>
      </w:r>
      <w:r w:rsidRPr="00643DCF">
        <w:rPr>
          <w:rFonts w:eastAsiaTheme="minorHAnsi"/>
          <w:i/>
          <w:sz w:val="28"/>
          <w:szCs w:val="28"/>
          <w:lang w:val="es-ES"/>
        </w:rPr>
        <w:t xml:space="preserve"> del informe por el CJS según lo dispuesto en el </w:t>
      </w:r>
      <w:r w:rsidR="00821D52" w:rsidRPr="00643DCF">
        <w:rPr>
          <w:rFonts w:eastAsiaTheme="minorHAnsi"/>
          <w:i/>
          <w:sz w:val="28"/>
          <w:szCs w:val="28"/>
          <w:lang w:val="es-ES"/>
        </w:rPr>
        <w:t>a</w:t>
      </w:r>
      <w:r w:rsidR="001B1042" w:rsidRPr="00643DCF">
        <w:rPr>
          <w:rFonts w:eastAsiaTheme="minorHAnsi"/>
          <w:i/>
          <w:sz w:val="28"/>
          <w:szCs w:val="28"/>
          <w:lang w:val="es-ES"/>
        </w:rPr>
        <w:t>uto 271 de 2014.</w:t>
      </w:r>
    </w:p>
    <w:p w14:paraId="7083BC74" w14:textId="77777777" w:rsidR="009734CE" w:rsidRPr="00643DCF" w:rsidRDefault="009734CE" w:rsidP="009734CE">
      <w:pPr>
        <w:pStyle w:val="Prrafodelista"/>
        <w:tabs>
          <w:tab w:val="left" w:pos="360"/>
        </w:tabs>
        <w:ind w:left="142"/>
        <w:jc w:val="both"/>
        <w:rPr>
          <w:b/>
          <w:bCs/>
          <w:sz w:val="28"/>
          <w:szCs w:val="28"/>
        </w:rPr>
      </w:pPr>
    </w:p>
    <w:p w14:paraId="2094A5B0" w14:textId="6F72CB57" w:rsidR="007959F6" w:rsidRPr="00643DCF" w:rsidRDefault="00680721" w:rsidP="009734CE">
      <w:pPr>
        <w:pStyle w:val="Prrafodelista"/>
        <w:tabs>
          <w:tab w:val="left" w:pos="360"/>
        </w:tabs>
        <w:ind w:left="0"/>
        <w:jc w:val="both"/>
        <w:rPr>
          <w:sz w:val="28"/>
          <w:szCs w:val="28"/>
          <w:lang w:eastAsia="es-ES_tradnl"/>
        </w:rPr>
      </w:pPr>
      <w:r w:rsidRPr="00643DCF">
        <w:rPr>
          <w:sz w:val="28"/>
          <w:szCs w:val="28"/>
          <w:lang w:eastAsia="es-ES_tradnl"/>
        </w:rPr>
        <w:t>8</w:t>
      </w:r>
      <w:r w:rsidR="001356D4" w:rsidRPr="00643DCF">
        <w:rPr>
          <w:sz w:val="28"/>
          <w:szCs w:val="28"/>
          <w:lang w:eastAsia="es-ES_tradnl"/>
        </w:rPr>
        <w:t>2</w:t>
      </w:r>
      <w:r w:rsidR="00B962D4" w:rsidRPr="00643DCF">
        <w:rPr>
          <w:sz w:val="28"/>
          <w:szCs w:val="28"/>
          <w:lang w:eastAsia="es-ES_tradnl"/>
        </w:rPr>
        <w:t xml:space="preserve">. </w:t>
      </w:r>
      <w:r w:rsidR="007238D2" w:rsidRPr="00643DCF">
        <w:rPr>
          <w:sz w:val="28"/>
          <w:szCs w:val="28"/>
          <w:lang w:eastAsia="es-ES_tradnl"/>
        </w:rPr>
        <w:t>Finalmente</w:t>
      </w:r>
      <w:r w:rsidR="009734CE" w:rsidRPr="00643DCF">
        <w:rPr>
          <w:sz w:val="28"/>
          <w:szCs w:val="28"/>
          <w:lang w:eastAsia="es-ES_tradnl"/>
        </w:rPr>
        <w:t xml:space="preserve"> la Corte verifica el acatamiento de lo dispuesto en el </w:t>
      </w:r>
      <w:r w:rsidR="00821D52" w:rsidRPr="00643DCF">
        <w:rPr>
          <w:sz w:val="28"/>
          <w:szCs w:val="28"/>
          <w:lang w:eastAsia="es-ES_tradnl"/>
        </w:rPr>
        <w:t>a</w:t>
      </w:r>
      <w:r w:rsidR="009734CE" w:rsidRPr="00643DCF">
        <w:rPr>
          <w:sz w:val="28"/>
          <w:szCs w:val="28"/>
          <w:lang w:eastAsia="es-ES_tradnl"/>
        </w:rPr>
        <w:t xml:space="preserve">uto 271 de 2014, el cual determinó </w:t>
      </w:r>
      <w:r w:rsidR="009734CE" w:rsidRPr="00643DCF">
        <w:rPr>
          <w:sz w:val="28"/>
          <w:szCs w:val="28"/>
        </w:rPr>
        <w:t>que los informes periódicos no deberían ser presentados de manera bimensual, sino cada cuatrimestre y que el primero de ellos debía entregarse el último día hábil del mes de noviembre de esa misma anualidad</w:t>
      </w:r>
      <w:r w:rsidR="007959F6" w:rsidRPr="00643DCF">
        <w:rPr>
          <w:sz w:val="28"/>
          <w:szCs w:val="28"/>
          <w:lang w:eastAsia="es-ES_tradnl"/>
        </w:rPr>
        <w:t xml:space="preserve">. </w:t>
      </w:r>
    </w:p>
    <w:p w14:paraId="56677822" w14:textId="77777777" w:rsidR="007670CA" w:rsidRPr="00643DCF" w:rsidRDefault="007670CA" w:rsidP="009734CE">
      <w:pPr>
        <w:pStyle w:val="Prrafodelista"/>
        <w:tabs>
          <w:tab w:val="left" w:pos="360"/>
        </w:tabs>
        <w:ind w:left="0"/>
        <w:jc w:val="both"/>
        <w:rPr>
          <w:sz w:val="28"/>
          <w:szCs w:val="28"/>
          <w:lang w:eastAsia="es-ES_tradnl"/>
        </w:rPr>
      </w:pPr>
    </w:p>
    <w:p w14:paraId="08E1B457" w14:textId="0300CCAD" w:rsidR="009734CE" w:rsidRPr="00643DCF" w:rsidRDefault="00680721" w:rsidP="009734CE">
      <w:pPr>
        <w:pStyle w:val="Prrafodelista"/>
        <w:tabs>
          <w:tab w:val="left" w:pos="360"/>
        </w:tabs>
        <w:ind w:left="0"/>
        <w:jc w:val="both"/>
        <w:rPr>
          <w:sz w:val="28"/>
          <w:szCs w:val="28"/>
          <w:lang w:eastAsia="es-ES_tradnl"/>
        </w:rPr>
      </w:pPr>
      <w:r w:rsidRPr="00643DCF">
        <w:rPr>
          <w:sz w:val="28"/>
          <w:szCs w:val="28"/>
          <w:lang w:eastAsia="es-ES_tradnl"/>
        </w:rPr>
        <w:t>8</w:t>
      </w:r>
      <w:r w:rsidR="001356D4" w:rsidRPr="00643DCF">
        <w:rPr>
          <w:sz w:val="28"/>
          <w:szCs w:val="28"/>
          <w:lang w:eastAsia="es-ES_tradnl"/>
        </w:rPr>
        <w:t>3</w:t>
      </w:r>
      <w:r w:rsidR="00B962D4" w:rsidRPr="00643DCF">
        <w:rPr>
          <w:sz w:val="28"/>
          <w:szCs w:val="28"/>
          <w:lang w:eastAsia="es-ES_tradnl"/>
        </w:rPr>
        <w:t xml:space="preserve">. </w:t>
      </w:r>
      <w:r w:rsidR="007959F6" w:rsidRPr="00643DCF">
        <w:rPr>
          <w:sz w:val="28"/>
          <w:szCs w:val="28"/>
          <w:lang w:eastAsia="es-ES_tradnl"/>
        </w:rPr>
        <w:t>E</w:t>
      </w:r>
      <w:r w:rsidR="009734CE" w:rsidRPr="00643DCF">
        <w:rPr>
          <w:sz w:val="28"/>
          <w:szCs w:val="28"/>
          <w:lang w:eastAsia="es-ES_tradnl"/>
        </w:rPr>
        <w:t xml:space="preserve">n </w:t>
      </w:r>
      <w:r w:rsidR="007670CA" w:rsidRPr="00643DCF">
        <w:rPr>
          <w:sz w:val="28"/>
          <w:szCs w:val="28"/>
          <w:lang w:eastAsia="es-ES_tradnl"/>
        </w:rPr>
        <w:t>atención a</w:t>
      </w:r>
      <w:r w:rsidR="009734CE" w:rsidRPr="00643DCF">
        <w:rPr>
          <w:sz w:val="28"/>
          <w:szCs w:val="28"/>
          <w:lang w:eastAsia="es-ES_tradnl"/>
        </w:rPr>
        <w:t xml:space="preserve"> lo anterior, el Consejo Superior de la Judicatura allegó el 28 de noviembre de 2014 el respectivo </w:t>
      </w:r>
      <w:r w:rsidR="0082362C" w:rsidRPr="00643DCF">
        <w:rPr>
          <w:sz w:val="28"/>
          <w:szCs w:val="28"/>
          <w:lang w:eastAsia="es-ES_tradnl"/>
        </w:rPr>
        <w:t>documento</w:t>
      </w:r>
      <w:r w:rsidR="009734CE" w:rsidRPr="00643DCF">
        <w:rPr>
          <w:sz w:val="28"/>
          <w:szCs w:val="28"/>
          <w:lang w:eastAsia="es-ES_tradnl"/>
        </w:rPr>
        <w:t xml:space="preserve">, reportando cada cuatro meses la información solicitada hasta el mes de </w:t>
      </w:r>
      <w:r w:rsidR="00750903" w:rsidRPr="00643DCF">
        <w:rPr>
          <w:sz w:val="28"/>
          <w:szCs w:val="28"/>
          <w:lang w:eastAsia="es-ES_tradnl"/>
        </w:rPr>
        <w:t xml:space="preserve">agosto </w:t>
      </w:r>
      <w:r w:rsidR="009734CE" w:rsidRPr="00643DCF">
        <w:rPr>
          <w:sz w:val="28"/>
          <w:szCs w:val="28"/>
          <w:lang w:eastAsia="es-ES_tradnl"/>
        </w:rPr>
        <w:t>del año 201</w:t>
      </w:r>
      <w:r w:rsidR="00750903" w:rsidRPr="00643DCF">
        <w:rPr>
          <w:sz w:val="28"/>
          <w:szCs w:val="28"/>
          <w:lang w:eastAsia="es-ES_tradnl"/>
        </w:rPr>
        <w:t>8</w:t>
      </w:r>
      <w:r w:rsidR="000A39C5" w:rsidRPr="00643DCF">
        <w:rPr>
          <w:sz w:val="28"/>
          <w:szCs w:val="28"/>
          <w:lang w:eastAsia="es-ES_tradnl"/>
        </w:rPr>
        <w:t>.</w:t>
      </w:r>
      <w:r w:rsidR="00E83459" w:rsidRPr="00643DCF">
        <w:rPr>
          <w:sz w:val="28"/>
          <w:szCs w:val="28"/>
          <w:lang w:eastAsia="es-ES_tradnl"/>
        </w:rPr>
        <w:t xml:space="preserve"> </w:t>
      </w:r>
      <w:r w:rsidR="000A39C5" w:rsidRPr="00643DCF">
        <w:rPr>
          <w:sz w:val="28"/>
          <w:szCs w:val="28"/>
          <w:lang w:eastAsia="es-ES_tradnl"/>
        </w:rPr>
        <w:t>P</w:t>
      </w:r>
      <w:r w:rsidR="009734CE" w:rsidRPr="00643DCF">
        <w:rPr>
          <w:sz w:val="28"/>
          <w:szCs w:val="28"/>
          <w:lang w:eastAsia="es-ES_tradnl"/>
        </w:rPr>
        <w:t xml:space="preserve">ara el efecto </w:t>
      </w:r>
      <w:r w:rsidR="009734CE" w:rsidRPr="00643DCF">
        <w:rPr>
          <w:sz w:val="28"/>
          <w:szCs w:val="28"/>
        </w:rPr>
        <w:t xml:space="preserve">aportaron ante la Sala los siguientes </w:t>
      </w:r>
      <w:r w:rsidR="0082362C" w:rsidRPr="00643DCF">
        <w:rPr>
          <w:sz w:val="28"/>
          <w:szCs w:val="28"/>
        </w:rPr>
        <w:t>reportes</w:t>
      </w:r>
      <w:r w:rsidR="009734CE" w:rsidRPr="00643DCF">
        <w:rPr>
          <w:sz w:val="28"/>
          <w:szCs w:val="28"/>
        </w:rPr>
        <w:t>:</w:t>
      </w:r>
    </w:p>
    <w:p w14:paraId="55D02D5E" w14:textId="77777777" w:rsidR="009734CE" w:rsidRPr="00643DCF" w:rsidRDefault="009734CE" w:rsidP="009734CE">
      <w:pPr>
        <w:pStyle w:val="Prrafodelista"/>
        <w:tabs>
          <w:tab w:val="left" w:pos="567"/>
        </w:tabs>
        <w:autoSpaceDE w:val="0"/>
        <w:autoSpaceDN w:val="0"/>
        <w:ind w:left="780"/>
        <w:jc w:val="both"/>
        <w:rPr>
          <w:sz w:val="28"/>
          <w:szCs w:val="28"/>
          <w:u w:val="single"/>
        </w:rPr>
      </w:pPr>
    </w:p>
    <w:tbl>
      <w:tblPr>
        <w:tblStyle w:val="Tablaconcuadrcula"/>
        <w:tblW w:w="0" w:type="auto"/>
        <w:jc w:val="center"/>
        <w:tblLayout w:type="fixed"/>
        <w:tblLook w:val="04A0" w:firstRow="1" w:lastRow="0" w:firstColumn="1" w:lastColumn="0" w:noHBand="0" w:noVBand="1"/>
      </w:tblPr>
      <w:tblGrid>
        <w:gridCol w:w="1129"/>
        <w:gridCol w:w="1853"/>
        <w:gridCol w:w="4299"/>
      </w:tblGrid>
      <w:tr w:rsidR="000143A3" w:rsidRPr="00643DCF" w14:paraId="5A1EDE2D" w14:textId="77777777" w:rsidTr="000961E6">
        <w:trPr>
          <w:jc w:val="center"/>
        </w:trPr>
        <w:tc>
          <w:tcPr>
            <w:tcW w:w="1129" w:type="dxa"/>
          </w:tcPr>
          <w:p w14:paraId="2E695F18" w14:textId="77777777" w:rsidR="000143A3" w:rsidRPr="00643DCF" w:rsidRDefault="000143A3" w:rsidP="00482680">
            <w:pPr>
              <w:tabs>
                <w:tab w:val="left" w:pos="567"/>
              </w:tabs>
              <w:autoSpaceDE w:val="0"/>
              <w:autoSpaceDN w:val="0"/>
              <w:jc w:val="center"/>
              <w:rPr>
                <w:rFonts w:ascii="Times New Roman" w:hAnsi="Times New Roman"/>
                <w:b/>
                <w:sz w:val="28"/>
                <w:szCs w:val="28"/>
              </w:rPr>
            </w:pPr>
            <w:r w:rsidRPr="00643DCF">
              <w:rPr>
                <w:rFonts w:ascii="Times New Roman" w:hAnsi="Times New Roman"/>
                <w:b/>
                <w:sz w:val="28"/>
                <w:szCs w:val="28"/>
              </w:rPr>
              <w:t>Informe</w:t>
            </w:r>
          </w:p>
        </w:tc>
        <w:tc>
          <w:tcPr>
            <w:tcW w:w="1853" w:type="dxa"/>
          </w:tcPr>
          <w:p w14:paraId="1B71DD6F" w14:textId="77777777" w:rsidR="000143A3" w:rsidRPr="00643DCF" w:rsidRDefault="000143A3" w:rsidP="00482680">
            <w:pPr>
              <w:tabs>
                <w:tab w:val="left" w:pos="567"/>
              </w:tabs>
              <w:autoSpaceDE w:val="0"/>
              <w:autoSpaceDN w:val="0"/>
              <w:jc w:val="center"/>
              <w:rPr>
                <w:rFonts w:ascii="Times New Roman" w:hAnsi="Times New Roman"/>
                <w:b/>
                <w:sz w:val="28"/>
                <w:szCs w:val="28"/>
              </w:rPr>
            </w:pPr>
            <w:r w:rsidRPr="00643DCF">
              <w:rPr>
                <w:rFonts w:ascii="Times New Roman" w:hAnsi="Times New Roman"/>
                <w:b/>
                <w:sz w:val="28"/>
                <w:szCs w:val="28"/>
              </w:rPr>
              <w:t>Fecha</w:t>
            </w:r>
          </w:p>
        </w:tc>
        <w:tc>
          <w:tcPr>
            <w:tcW w:w="4299" w:type="dxa"/>
          </w:tcPr>
          <w:p w14:paraId="50B8BC5B" w14:textId="77777777" w:rsidR="000143A3" w:rsidRPr="00643DCF" w:rsidRDefault="000143A3" w:rsidP="00482680">
            <w:pPr>
              <w:tabs>
                <w:tab w:val="left" w:pos="567"/>
              </w:tabs>
              <w:autoSpaceDE w:val="0"/>
              <w:autoSpaceDN w:val="0"/>
              <w:jc w:val="center"/>
              <w:rPr>
                <w:rFonts w:ascii="Times New Roman" w:hAnsi="Times New Roman"/>
                <w:b/>
                <w:sz w:val="28"/>
                <w:szCs w:val="28"/>
              </w:rPr>
            </w:pPr>
            <w:r w:rsidRPr="00643DCF">
              <w:rPr>
                <w:rFonts w:ascii="Times New Roman" w:hAnsi="Times New Roman"/>
                <w:b/>
                <w:sz w:val="28"/>
                <w:szCs w:val="28"/>
              </w:rPr>
              <w:t>Periodo Analizado</w:t>
            </w:r>
          </w:p>
        </w:tc>
      </w:tr>
      <w:tr w:rsidR="000143A3" w:rsidRPr="00643DCF" w14:paraId="19717D42" w14:textId="77777777" w:rsidTr="000961E6">
        <w:trPr>
          <w:jc w:val="center"/>
        </w:trPr>
        <w:tc>
          <w:tcPr>
            <w:tcW w:w="1129" w:type="dxa"/>
          </w:tcPr>
          <w:p w14:paraId="6D3E4C7F" w14:textId="77777777" w:rsidR="000143A3" w:rsidRPr="00643DCF" w:rsidRDefault="000143A3" w:rsidP="00482680">
            <w:pPr>
              <w:tabs>
                <w:tab w:val="left" w:pos="567"/>
              </w:tabs>
              <w:autoSpaceDE w:val="0"/>
              <w:autoSpaceDN w:val="0"/>
              <w:jc w:val="center"/>
              <w:rPr>
                <w:rFonts w:ascii="Times New Roman" w:hAnsi="Times New Roman"/>
                <w:sz w:val="28"/>
                <w:szCs w:val="28"/>
              </w:rPr>
            </w:pPr>
            <w:r w:rsidRPr="00643DCF">
              <w:rPr>
                <w:rFonts w:ascii="Times New Roman" w:hAnsi="Times New Roman"/>
                <w:sz w:val="28"/>
                <w:szCs w:val="28"/>
              </w:rPr>
              <w:t>I</w:t>
            </w:r>
            <w:r w:rsidRPr="00643DCF">
              <w:rPr>
                <w:rStyle w:val="Refdenotaalpie"/>
                <w:rFonts w:ascii="Times New Roman" w:hAnsi="Times New Roman"/>
                <w:sz w:val="28"/>
                <w:szCs w:val="28"/>
              </w:rPr>
              <w:footnoteReference w:id="186"/>
            </w:r>
          </w:p>
        </w:tc>
        <w:tc>
          <w:tcPr>
            <w:tcW w:w="1853" w:type="dxa"/>
          </w:tcPr>
          <w:p w14:paraId="0A099069" w14:textId="77777777" w:rsidR="000143A3" w:rsidRPr="00643DCF" w:rsidRDefault="000143A3" w:rsidP="00482680">
            <w:pPr>
              <w:tabs>
                <w:tab w:val="left" w:pos="567"/>
              </w:tabs>
              <w:autoSpaceDE w:val="0"/>
              <w:autoSpaceDN w:val="0"/>
              <w:ind w:firstLine="154"/>
              <w:jc w:val="center"/>
              <w:rPr>
                <w:rFonts w:ascii="Times New Roman" w:hAnsi="Times New Roman"/>
                <w:sz w:val="28"/>
                <w:szCs w:val="28"/>
              </w:rPr>
            </w:pPr>
            <w:r w:rsidRPr="00643DCF">
              <w:rPr>
                <w:rFonts w:ascii="Times New Roman" w:hAnsi="Times New Roman"/>
                <w:sz w:val="28"/>
                <w:szCs w:val="28"/>
              </w:rPr>
              <w:t>28 de noviembre de 2014</w:t>
            </w:r>
          </w:p>
        </w:tc>
        <w:tc>
          <w:tcPr>
            <w:tcW w:w="4299" w:type="dxa"/>
          </w:tcPr>
          <w:p w14:paraId="107CA924" w14:textId="77777777" w:rsidR="000143A3" w:rsidRPr="00643DCF" w:rsidRDefault="000143A3" w:rsidP="00482680">
            <w:pPr>
              <w:tabs>
                <w:tab w:val="left" w:pos="567"/>
              </w:tabs>
              <w:autoSpaceDE w:val="0"/>
              <w:autoSpaceDN w:val="0"/>
              <w:jc w:val="both"/>
              <w:rPr>
                <w:rFonts w:ascii="Times New Roman" w:hAnsi="Times New Roman"/>
                <w:sz w:val="28"/>
                <w:szCs w:val="28"/>
              </w:rPr>
            </w:pPr>
            <w:r w:rsidRPr="00643DCF">
              <w:rPr>
                <w:rFonts w:ascii="Times New Roman" w:hAnsi="Times New Roman"/>
                <w:sz w:val="28"/>
                <w:szCs w:val="28"/>
              </w:rPr>
              <w:t>1 de agosto de 2014 a 30 de noviembre de 2014.</w:t>
            </w:r>
          </w:p>
        </w:tc>
      </w:tr>
      <w:tr w:rsidR="000143A3" w:rsidRPr="00643DCF" w14:paraId="068C6DD8" w14:textId="77777777" w:rsidTr="000961E6">
        <w:trPr>
          <w:jc w:val="center"/>
        </w:trPr>
        <w:tc>
          <w:tcPr>
            <w:tcW w:w="1129" w:type="dxa"/>
          </w:tcPr>
          <w:p w14:paraId="31DF02C7" w14:textId="77777777" w:rsidR="000143A3" w:rsidRPr="00643DCF" w:rsidRDefault="000143A3" w:rsidP="00482680">
            <w:pPr>
              <w:tabs>
                <w:tab w:val="left" w:pos="567"/>
              </w:tabs>
              <w:autoSpaceDE w:val="0"/>
              <w:autoSpaceDN w:val="0"/>
              <w:jc w:val="center"/>
              <w:rPr>
                <w:rFonts w:ascii="Times New Roman" w:hAnsi="Times New Roman"/>
                <w:sz w:val="28"/>
                <w:szCs w:val="28"/>
              </w:rPr>
            </w:pPr>
            <w:r w:rsidRPr="00643DCF">
              <w:rPr>
                <w:rFonts w:ascii="Times New Roman" w:hAnsi="Times New Roman"/>
                <w:sz w:val="28"/>
                <w:szCs w:val="28"/>
              </w:rPr>
              <w:t>II</w:t>
            </w:r>
            <w:r w:rsidRPr="00643DCF">
              <w:rPr>
                <w:rStyle w:val="Refdenotaalpie"/>
                <w:rFonts w:ascii="Times New Roman" w:hAnsi="Times New Roman"/>
                <w:sz w:val="28"/>
                <w:szCs w:val="28"/>
              </w:rPr>
              <w:footnoteReference w:id="187"/>
            </w:r>
          </w:p>
        </w:tc>
        <w:tc>
          <w:tcPr>
            <w:tcW w:w="1853" w:type="dxa"/>
          </w:tcPr>
          <w:p w14:paraId="537A4FCD" w14:textId="77777777" w:rsidR="000143A3" w:rsidRPr="00643DCF" w:rsidRDefault="000143A3" w:rsidP="00482680">
            <w:pPr>
              <w:tabs>
                <w:tab w:val="left" w:pos="567"/>
              </w:tabs>
              <w:autoSpaceDE w:val="0"/>
              <w:autoSpaceDN w:val="0"/>
              <w:ind w:firstLine="154"/>
              <w:jc w:val="center"/>
              <w:rPr>
                <w:rFonts w:ascii="Times New Roman" w:hAnsi="Times New Roman"/>
                <w:sz w:val="28"/>
                <w:szCs w:val="28"/>
              </w:rPr>
            </w:pPr>
            <w:r w:rsidRPr="00643DCF">
              <w:rPr>
                <w:rFonts w:ascii="Times New Roman" w:hAnsi="Times New Roman"/>
                <w:sz w:val="28"/>
                <w:szCs w:val="28"/>
              </w:rPr>
              <w:t>8 de abril de 2015</w:t>
            </w:r>
          </w:p>
        </w:tc>
        <w:tc>
          <w:tcPr>
            <w:tcW w:w="4299" w:type="dxa"/>
          </w:tcPr>
          <w:p w14:paraId="3DBC9427" w14:textId="77777777" w:rsidR="000143A3" w:rsidRPr="00643DCF" w:rsidRDefault="000143A3" w:rsidP="00482680">
            <w:pPr>
              <w:tabs>
                <w:tab w:val="left" w:pos="567"/>
              </w:tabs>
              <w:autoSpaceDE w:val="0"/>
              <w:autoSpaceDN w:val="0"/>
              <w:jc w:val="both"/>
              <w:rPr>
                <w:rFonts w:ascii="Times New Roman" w:hAnsi="Times New Roman"/>
                <w:sz w:val="28"/>
                <w:szCs w:val="28"/>
              </w:rPr>
            </w:pPr>
            <w:r w:rsidRPr="00643DCF">
              <w:rPr>
                <w:rFonts w:ascii="Times New Roman" w:hAnsi="Times New Roman"/>
                <w:sz w:val="28"/>
                <w:szCs w:val="28"/>
              </w:rPr>
              <w:t>1 de diciembre de 2014 a 31 de marzo de 2015.</w:t>
            </w:r>
          </w:p>
        </w:tc>
      </w:tr>
      <w:tr w:rsidR="000143A3" w:rsidRPr="00643DCF" w14:paraId="77E0300D" w14:textId="77777777" w:rsidTr="000961E6">
        <w:trPr>
          <w:jc w:val="center"/>
        </w:trPr>
        <w:tc>
          <w:tcPr>
            <w:tcW w:w="1129" w:type="dxa"/>
          </w:tcPr>
          <w:p w14:paraId="545EAA7E" w14:textId="77777777" w:rsidR="000143A3" w:rsidRPr="00643DCF" w:rsidRDefault="000143A3" w:rsidP="00482680">
            <w:pPr>
              <w:tabs>
                <w:tab w:val="left" w:pos="567"/>
              </w:tabs>
              <w:autoSpaceDE w:val="0"/>
              <w:autoSpaceDN w:val="0"/>
              <w:jc w:val="center"/>
              <w:rPr>
                <w:rFonts w:ascii="Times New Roman" w:hAnsi="Times New Roman"/>
                <w:sz w:val="28"/>
                <w:szCs w:val="28"/>
              </w:rPr>
            </w:pPr>
            <w:r w:rsidRPr="00643DCF">
              <w:rPr>
                <w:rFonts w:ascii="Times New Roman" w:hAnsi="Times New Roman"/>
                <w:sz w:val="28"/>
                <w:szCs w:val="28"/>
              </w:rPr>
              <w:t>III</w:t>
            </w:r>
            <w:r w:rsidRPr="00643DCF">
              <w:rPr>
                <w:rStyle w:val="Refdenotaalpie"/>
                <w:rFonts w:ascii="Times New Roman" w:hAnsi="Times New Roman"/>
                <w:sz w:val="28"/>
                <w:szCs w:val="28"/>
              </w:rPr>
              <w:footnoteReference w:id="188"/>
            </w:r>
          </w:p>
        </w:tc>
        <w:tc>
          <w:tcPr>
            <w:tcW w:w="1853" w:type="dxa"/>
          </w:tcPr>
          <w:p w14:paraId="4EBF985C" w14:textId="77777777" w:rsidR="000143A3" w:rsidRPr="00643DCF" w:rsidRDefault="000143A3" w:rsidP="00482680">
            <w:pPr>
              <w:tabs>
                <w:tab w:val="left" w:pos="567"/>
              </w:tabs>
              <w:autoSpaceDE w:val="0"/>
              <w:autoSpaceDN w:val="0"/>
              <w:ind w:firstLine="154"/>
              <w:jc w:val="center"/>
              <w:rPr>
                <w:rFonts w:ascii="Times New Roman" w:hAnsi="Times New Roman"/>
                <w:sz w:val="28"/>
                <w:szCs w:val="28"/>
              </w:rPr>
            </w:pPr>
            <w:r w:rsidRPr="00643DCF">
              <w:rPr>
                <w:rFonts w:ascii="Times New Roman" w:hAnsi="Times New Roman"/>
                <w:sz w:val="28"/>
                <w:szCs w:val="28"/>
              </w:rPr>
              <w:t>3 de agosto de 2015</w:t>
            </w:r>
          </w:p>
        </w:tc>
        <w:tc>
          <w:tcPr>
            <w:tcW w:w="4299" w:type="dxa"/>
          </w:tcPr>
          <w:p w14:paraId="1B3FC11D" w14:textId="77777777" w:rsidR="000143A3" w:rsidRPr="00643DCF" w:rsidRDefault="000143A3" w:rsidP="00482680">
            <w:pPr>
              <w:tabs>
                <w:tab w:val="left" w:pos="567"/>
              </w:tabs>
              <w:autoSpaceDE w:val="0"/>
              <w:autoSpaceDN w:val="0"/>
              <w:jc w:val="both"/>
              <w:rPr>
                <w:rFonts w:ascii="Times New Roman" w:hAnsi="Times New Roman"/>
                <w:sz w:val="28"/>
                <w:szCs w:val="28"/>
              </w:rPr>
            </w:pPr>
            <w:r w:rsidRPr="00643DCF">
              <w:rPr>
                <w:rFonts w:ascii="Times New Roman" w:hAnsi="Times New Roman"/>
                <w:sz w:val="28"/>
                <w:szCs w:val="28"/>
              </w:rPr>
              <w:t>1 de abril de 2015 a 31 de julio de 2015.</w:t>
            </w:r>
          </w:p>
        </w:tc>
      </w:tr>
      <w:tr w:rsidR="000143A3" w:rsidRPr="00643DCF" w14:paraId="1CDD1C08" w14:textId="77777777" w:rsidTr="000961E6">
        <w:trPr>
          <w:jc w:val="center"/>
        </w:trPr>
        <w:tc>
          <w:tcPr>
            <w:tcW w:w="1129" w:type="dxa"/>
          </w:tcPr>
          <w:p w14:paraId="6EA05D9A" w14:textId="77777777" w:rsidR="000143A3" w:rsidRPr="00643DCF" w:rsidRDefault="000143A3" w:rsidP="00482680">
            <w:pPr>
              <w:tabs>
                <w:tab w:val="left" w:pos="567"/>
              </w:tabs>
              <w:autoSpaceDE w:val="0"/>
              <w:autoSpaceDN w:val="0"/>
              <w:jc w:val="center"/>
              <w:rPr>
                <w:rFonts w:ascii="Times New Roman" w:hAnsi="Times New Roman"/>
                <w:sz w:val="28"/>
                <w:szCs w:val="28"/>
              </w:rPr>
            </w:pPr>
            <w:r w:rsidRPr="00643DCF">
              <w:rPr>
                <w:rFonts w:ascii="Times New Roman" w:hAnsi="Times New Roman"/>
                <w:sz w:val="28"/>
                <w:szCs w:val="28"/>
              </w:rPr>
              <w:t>IV</w:t>
            </w:r>
            <w:r w:rsidRPr="00643DCF">
              <w:rPr>
                <w:rStyle w:val="Refdenotaalpie"/>
                <w:rFonts w:ascii="Times New Roman" w:hAnsi="Times New Roman"/>
                <w:sz w:val="28"/>
                <w:szCs w:val="28"/>
              </w:rPr>
              <w:footnoteReference w:id="189"/>
            </w:r>
          </w:p>
        </w:tc>
        <w:tc>
          <w:tcPr>
            <w:tcW w:w="1853" w:type="dxa"/>
          </w:tcPr>
          <w:p w14:paraId="1933D8F4" w14:textId="77777777" w:rsidR="000143A3" w:rsidRPr="00643DCF" w:rsidRDefault="000143A3" w:rsidP="00482680">
            <w:pPr>
              <w:tabs>
                <w:tab w:val="left" w:pos="567"/>
              </w:tabs>
              <w:autoSpaceDE w:val="0"/>
              <w:autoSpaceDN w:val="0"/>
              <w:ind w:firstLine="154"/>
              <w:jc w:val="center"/>
              <w:rPr>
                <w:rFonts w:ascii="Times New Roman" w:hAnsi="Times New Roman"/>
                <w:sz w:val="28"/>
                <w:szCs w:val="28"/>
              </w:rPr>
            </w:pPr>
            <w:r w:rsidRPr="00643DCF">
              <w:rPr>
                <w:rFonts w:ascii="Times New Roman" w:hAnsi="Times New Roman"/>
                <w:sz w:val="28"/>
                <w:szCs w:val="28"/>
              </w:rPr>
              <w:t>3 de diciembre de 2015</w:t>
            </w:r>
          </w:p>
        </w:tc>
        <w:tc>
          <w:tcPr>
            <w:tcW w:w="4299" w:type="dxa"/>
          </w:tcPr>
          <w:p w14:paraId="07C7F3B5" w14:textId="77777777" w:rsidR="000143A3" w:rsidRPr="00643DCF" w:rsidRDefault="000143A3" w:rsidP="00482680">
            <w:pPr>
              <w:tabs>
                <w:tab w:val="left" w:pos="567"/>
              </w:tabs>
              <w:autoSpaceDE w:val="0"/>
              <w:autoSpaceDN w:val="0"/>
              <w:jc w:val="both"/>
              <w:rPr>
                <w:rFonts w:ascii="Times New Roman" w:hAnsi="Times New Roman"/>
                <w:sz w:val="28"/>
                <w:szCs w:val="28"/>
              </w:rPr>
            </w:pPr>
            <w:r w:rsidRPr="00643DCF">
              <w:rPr>
                <w:rFonts w:ascii="Times New Roman" w:hAnsi="Times New Roman"/>
                <w:sz w:val="28"/>
                <w:szCs w:val="28"/>
              </w:rPr>
              <w:t>1 de agosto de 2015 a 30 de noviembre de 2015.</w:t>
            </w:r>
          </w:p>
        </w:tc>
      </w:tr>
      <w:tr w:rsidR="000143A3" w:rsidRPr="00643DCF" w14:paraId="0E00D762" w14:textId="77777777" w:rsidTr="000961E6">
        <w:trPr>
          <w:jc w:val="center"/>
        </w:trPr>
        <w:tc>
          <w:tcPr>
            <w:tcW w:w="1129" w:type="dxa"/>
          </w:tcPr>
          <w:p w14:paraId="69891800" w14:textId="77777777" w:rsidR="000143A3" w:rsidRPr="00643DCF" w:rsidRDefault="000143A3" w:rsidP="00482680">
            <w:pPr>
              <w:tabs>
                <w:tab w:val="left" w:pos="567"/>
              </w:tabs>
              <w:autoSpaceDE w:val="0"/>
              <w:autoSpaceDN w:val="0"/>
              <w:jc w:val="center"/>
              <w:rPr>
                <w:rFonts w:ascii="Times New Roman" w:hAnsi="Times New Roman"/>
                <w:sz w:val="28"/>
                <w:szCs w:val="28"/>
              </w:rPr>
            </w:pPr>
            <w:r w:rsidRPr="00643DCF">
              <w:rPr>
                <w:rFonts w:ascii="Times New Roman" w:hAnsi="Times New Roman"/>
                <w:sz w:val="28"/>
                <w:szCs w:val="28"/>
              </w:rPr>
              <w:t>V</w:t>
            </w:r>
            <w:r w:rsidRPr="00643DCF">
              <w:rPr>
                <w:rStyle w:val="Refdenotaalpie"/>
                <w:rFonts w:ascii="Times New Roman" w:hAnsi="Times New Roman"/>
                <w:sz w:val="28"/>
                <w:szCs w:val="28"/>
              </w:rPr>
              <w:footnoteReference w:id="190"/>
            </w:r>
          </w:p>
        </w:tc>
        <w:tc>
          <w:tcPr>
            <w:tcW w:w="1853" w:type="dxa"/>
          </w:tcPr>
          <w:p w14:paraId="4B6AA193" w14:textId="77777777" w:rsidR="000143A3" w:rsidRPr="00643DCF" w:rsidRDefault="000143A3" w:rsidP="00482680">
            <w:pPr>
              <w:tabs>
                <w:tab w:val="left" w:pos="567"/>
              </w:tabs>
              <w:autoSpaceDE w:val="0"/>
              <w:autoSpaceDN w:val="0"/>
              <w:ind w:firstLine="154"/>
              <w:jc w:val="center"/>
              <w:rPr>
                <w:rFonts w:ascii="Times New Roman" w:hAnsi="Times New Roman"/>
                <w:sz w:val="28"/>
                <w:szCs w:val="28"/>
              </w:rPr>
            </w:pPr>
            <w:r w:rsidRPr="00643DCF">
              <w:rPr>
                <w:rFonts w:ascii="Times New Roman" w:hAnsi="Times New Roman"/>
                <w:sz w:val="28"/>
                <w:szCs w:val="28"/>
              </w:rPr>
              <w:t>1 de abril de 2016</w:t>
            </w:r>
          </w:p>
        </w:tc>
        <w:tc>
          <w:tcPr>
            <w:tcW w:w="4299" w:type="dxa"/>
          </w:tcPr>
          <w:p w14:paraId="3258A6B9" w14:textId="77777777" w:rsidR="000143A3" w:rsidRPr="00643DCF" w:rsidRDefault="000143A3" w:rsidP="00482680">
            <w:pPr>
              <w:tabs>
                <w:tab w:val="left" w:pos="567"/>
              </w:tabs>
              <w:autoSpaceDE w:val="0"/>
              <w:autoSpaceDN w:val="0"/>
              <w:jc w:val="both"/>
              <w:rPr>
                <w:rFonts w:ascii="Times New Roman" w:hAnsi="Times New Roman"/>
                <w:sz w:val="28"/>
                <w:szCs w:val="28"/>
              </w:rPr>
            </w:pPr>
            <w:r w:rsidRPr="00643DCF">
              <w:rPr>
                <w:rFonts w:ascii="Times New Roman" w:hAnsi="Times New Roman"/>
                <w:sz w:val="28"/>
                <w:szCs w:val="28"/>
              </w:rPr>
              <w:t>1 de diciembre de 2015 a 31 de marzo de 2016.</w:t>
            </w:r>
          </w:p>
        </w:tc>
      </w:tr>
      <w:tr w:rsidR="000143A3" w:rsidRPr="00643DCF" w14:paraId="00116630" w14:textId="77777777" w:rsidTr="000961E6">
        <w:trPr>
          <w:jc w:val="center"/>
        </w:trPr>
        <w:tc>
          <w:tcPr>
            <w:tcW w:w="1129" w:type="dxa"/>
          </w:tcPr>
          <w:p w14:paraId="51538BB7" w14:textId="77777777" w:rsidR="000143A3" w:rsidRPr="00643DCF" w:rsidRDefault="000143A3" w:rsidP="00482680">
            <w:pPr>
              <w:tabs>
                <w:tab w:val="left" w:pos="567"/>
              </w:tabs>
              <w:autoSpaceDE w:val="0"/>
              <w:autoSpaceDN w:val="0"/>
              <w:jc w:val="center"/>
              <w:rPr>
                <w:rFonts w:ascii="Times New Roman" w:hAnsi="Times New Roman"/>
                <w:sz w:val="28"/>
                <w:szCs w:val="28"/>
              </w:rPr>
            </w:pPr>
            <w:r w:rsidRPr="00643DCF">
              <w:rPr>
                <w:rFonts w:ascii="Times New Roman" w:hAnsi="Times New Roman"/>
                <w:sz w:val="28"/>
                <w:szCs w:val="28"/>
              </w:rPr>
              <w:t>VI</w:t>
            </w:r>
            <w:r w:rsidRPr="00643DCF">
              <w:rPr>
                <w:rStyle w:val="Refdenotaalpie"/>
                <w:rFonts w:ascii="Times New Roman" w:hAnsi="Times New Roman"/>
                <w:sz w:val="28"/>
                <w:szCs w:val="28"/>
              </w:rPr>
              <w:footnoteReference w:id="191"/>
            </w:r>
          </w:p>
        </w:tc>
        <w:tc>
          <w:tcPr>
            <w:tcW w:w="1853" w:type="dxa"/>
          </w:tcPr>
          <w:p w14:paraId="0D23BF67" w14:textId="77777777" w:rsidR="000143A3" w:rsidRPr="00643DCF" w:rsidRDefault="000143A3" w:rsidP="00482680">
            <w:pPr>
              <w:tabs>
                <w:tab w:val="left" w:pos="567"/>
              </w:tabs>
              <w:autoSpaceDE w:val="0"/>
              <w:autoSpaceDN w:val="0"/>
              <w:ind w:firstLine="154"/>
              <w:jc w:val="center"/>
              <w:rPr>
                <w:rFonts w:ascii="Times New Roman" w:hAnsi="Times New Roman"/>
                <w:sz w:val="28"/>
                <w:szCs w:val="28"/>
              </w:rPr>
            </w:pPr>
            <w:r w:rsidRPr="00643DCF">
              <w:rPr>
                <w:rFonts w:ascii="Times New Roman" w:hAnsi="Times New Roman"/>
                <w:sz w:val="28"/>
                <w:szCs w:val="28"/>
              </w:rPr>
              <w:t>8 de agosto de 2016</w:t>
            </w:r>
          </w:p>
        </w:tc>
        <w:tc>
          <w:tcPr>
            <w:tcW w:w="4299" w:type="dxa"/>
          </w:tcPr>
          <w:p w14:paraId="5A0B56E5" w14:textId="77777777" w:rsidR="000143A3" w:rsidRPr="00643DCF" w:rsidRDefault="000143A3" w:rsidP="00482680">
            <w:pPr>
              <w:tabs>
                <w:tab w:val="left" w:pos="567"/>
              </w:tabs>
              <w:autoSpaceDE w:val="0"/>
              <w:autoSpaceDN w:val="0"/>
              <w:jc w:val="both"/>
              <w:rPr>
                <w:rFonts w:ascii="Times New Roman" w:hAnsi="Times New Roman"/>
                <w:sz w:val="28"/>
                <w:szCs w:val="28"/>
              </w:rPr>
            </w:pPr>
            <w:r w:rsidRPr="00643DCF">
              <w:rPr>
                <w:rFonts w:ascii="Times New Roman" w:hAnsi="Times New Roman"/>
                <w:sz w:val="28"/>
                <w:szCs w:val="28"/>
              </w:rPr>
              <w:t>1 de abril de 2016 a 31 de julio de 2016.</w:t>
            </w:r>
          </w:p>
        </w:tc>
      </w:tr>
      <w:tr w:rsidR="000143A3" w:rsidRPr="00643DCF" w14:paraId="48ED6B11" w14:textId="77777777" w:rsidTr="000961E6">
        <w:trPr>
          <w:jc w:val="center"/>
        </w:trPr>
        <w:tc>
          <w:tcPr>
            <w:tcW w:w="1129" w:type="dxa"/>
          </w:tcPr>
          <w:p w14:paraId="3689EE7E" w14:textId="77777777" w:rsidR="000143A3" w:rsidRPr="00643DCF" w:rsidRDefault="000143A3" w:rsidP="00482680">
            <w:pPr>
              <w:tabs>
                <w:tab w:val="left" w:pos="567"/>
              </w:tabs>
              <w:autoSpaceDE w:val="0"/>
              <w:autoSpaceDN w:val="0"/>
              <w:jc w:val="center"/>
              <w:rPr>
                <w:rFonts w:ascii="Times New Roman" w:hAnsi="Times New Roman"/>
                <w:sz w:val="28"/>
                <w:szCs w:val="28"/>
              </w:rPr>
            </w:pPr>
            <w:r w:rsidRPr="00643DCF">
              <w:rPr>
                <w:rFonts w:ascii="Times New Roman" w:hAnsi="Times New Roman"/>
                <w:sz w:val="28"/>
                <w:szCs w:val="28"/>
              </w:rPr>
              <w:t>VII</w:t>
            </w:r>
            <w:r w:rsidRPr="00643DCF">
              <w:rPr>
                <w:rStyle w:val="Refdenotaalpie"/>
                <w:rFonts w:ascii="Times New Roman" w:hAnsi="Times New Roman"/>
                <w:sz w:val="28"/>
                <w:szCs w:val="28"/>
              </w:rPr>
              <w:footnoteReference w:id="192"/>
            </w:r>
          </w:p>
        </w:tc>
        <w:tc>
          <w:tcPr>
            <w:tcW w:w="1853" w:type="dxa"/>
          </w:tcPr>
          <w:p w14:paraId="648F344F" w14:textId="77777777" w:rsidR="000143A3" w:rsidRPr="00643DCF" w:rsidRDefault="000143A3" w:rsidP="00482680">
            <w:pPr>
              <w:tabs>
                <w:tab w:val="left" w:pos="567"/>
              </w:tabs>
              <w:autoSpaceDE w:val="0"/>
              <w:autoSpaceDN w:val="0"/>
              <w:ind w:firstLine="154"/>
              <w:jc w:val="center"/>
              <w:rPr>
                <w:rFonts w:ascii="Times New Roman" w:hAnsi="Times New Roman"/>
                <w:sz w:val="28"/>
                <w:szCs w:val="28"/>
              </w:rPr>
            </w:pPr>
            <w:r w:rsidRPr="00643DCF">
              <w:rPr>
                <w:rFonts w:ascii="Times New Roman" w:hAnsi="Times New Roman"/>
                <w:sz w:val="28"/>
                <w:szCs w:val="28"/>
              </w:rPr>
              <w:t>29 de noviembre de 2016</w:t>
            </w:r>
          </w:p>
        </w:tc>
        <w:tc>
          <w:tcPr>
            <w:tcW w:w="4299" w:type="dxa"/>
          </w:tcPr>
          <w:p w14:paraId="1AF876AC" w14:textId="77777777" w:rsidR="000143A3" w:rsidRPr="00643DCF" w:rsidRDefault="000143A3" w:rsidP="00482680">
            <w:pPr>
              <w:tabs>
                <w:tab w:val="left" w:pos="567"/>
              </w:tabs>
              <w:autoSpaceDE w:val="0"/>
              <w:autoSpaceDN w:val="0"/>
              <w:jc w:val="both"/>
              <w:rPr>
                <w:rFonts w:ascii="Times New Roman" w:hAnsi="Times New Roman"/>
                <w:sz w:val="28"/>
                <w:szCs w:val="28"/>
              </w:rPr>
            </w:pPr>
            <w:r w:rsidRPr="00643DCF">
              <w:rPr>
                <w:rFonts w:ascii="Times New Roman" w:hAnsi="Times New Roman"/>
                <w:sz w:val="28"/>
                <w:szCs w:val="28"/>
              </w:rPr>
              <w:t>1 de agosto de 2016 a 30 de noviembre de 2016.</w:t>
            </w:r>
          </w:p>
        </w:tc>
      </w:tr>
      <w:tr w:rsidR="000143A3" w:rsidRPr="00643DCF" w14:paraId="0ABFB0E5" w14:textId="77777777" w:rsidTr="000961E6">
        <w:trPr>
          <w:jc w:val="center"/>
        </w:trPr>
        <w:tc>
          <w:tcPr>
            <w:tcW w:w="1129" w:type="dxa"/>
          </w:tcPr>
          <w:p w14:paraId="5731490F" w14:textId="77777777" w:rsidR="000143A3" w:rsidRPr="00643DCF" w:rsidRDefault="000143A3" w:rsidP="00482680">
            <w:pPr>
              <w:tabs>
                <w:tab w:val="left" w:pos="567"/>
              </w:tabs>
              <w:autoSpaceDE w:val="0"/>
              <w:autoSpaceDN w:val="0"/>
              <w:jc w:val="center"/>
              <w:rPr>
                <w:rFonts w:ascii="Times New Roman" w:hAnsi="Times New Roman"/>
                <w:sz w:val="28"/>
                <w:szCs w:val="28"/>
              </w:rPr>
            </w:pPr>
            <w:r w:rsidRPr="00643DCF">
              <w:rPr>
                <w:rFonts w:ascii="Times New Roman" w:hAnsi="Times New Roman"/>
                <w:sz w:val="28"/>
                <w:szCs w:val="28"/>
              </w:rPr>
              <w:t>VIII</w:t>
            </w:r>
            <w:r w:rsidRPr="00643DCF">
              <w:rPr>
                <w:rStyle w:val="Refdenotaalpie"/>
                <w:rFonts w:ascii="Times New Roman" w:hAnsi="Times New Roman"/>
                <w:sz w:val="28"/>
                <w:szCs w:val="28"/>
              </w:rPr>
              <w:footnoteReference w:id="193"/>
            </w:r>
          </w:p>
        </w:tc>
        <w:tc>
          <w:tcPr>
            <w:tcW w:w="1853" w:type="dxa"/>
          </w:tcPr>
          <w:p w14:paraId="18CCB525" w14:textId="77777777" w:rsidR="000143A3" w:rsidRPr="00643DCF" w:rsidRDefault="000143A3" w:rsidP="00482680">
            <w:pPr>
              <w:tabs>
                <w:tab w:val="left" w:pos="567"/>
              </w:tabs>
              <w:autoSpaceDE w:val="0"/>
              <w:autoSpaceDN w:val="0"/>
              <w:ind w:firstLine="154"/>
              <w:jc w:val="center"/>
              <w:rPr>
                <w:rFonts w:ascii="Times New Roman" w:hAnsi="Times New Roman"/>
                <w:sz w:val="28"/>
                <w:szCs w:val="28"/>
              </w:rPr>
            </w:pPr>
            <w:r w:rsidRPr="00643DCF">
              <w:rPr>
                <w:rFonts w:ascii="Times New Roman" w:hAnsi="Times New Roman"/>
                <w:sz w:val="28"/>
                <w:szCs w:val="28"/>
              </w:rPr>
              <w:t>3 de abril de 2017</w:t>
            </w:r>
          </w:p>
        </w:tc>
        <w:tc>
          <w:tcPr>
            <w:tcW w:w="4299" w:type="dxa"/>
          </w:tcPr>
          <w:p w14:paraId="4C739FA1" w14:textId="77777777" w:rsidR="000143A3" w:rsidRPr="00643DCF" w:rsidRDefault="000143A3" w:rsidP="00482680">
            <w:pPr>
              <w:tabs>
                <w:tab w:val="left" w:pos="567"/>
              </w:tabs>
              <w:autoSpaceDE w:val="0"/>
              <w:autoSpaceDN w:val="0"/>
              <w:jc w:val="both"/>
              <w:rPr>
                <w:rFonts w:ascii="Times New Roman" w:hAnsi="Times New Roman"/>
                <w:sz w:val="28"/>
                <w:szCs w:val="28"/>
              </w:rPr>
            </w:pPr>
            <w:r w:rsidRPr="00643DCF">
              <w:rPr>
                <w:rFonts w:ascii="Times New Roman" w:hAnsi="Times New Roman"/>
                <w:sz w:val="28"/>
                <w:szCs w:val="28"/>
              </w:rPr>
              <w:t>1 de diciembre de 2016 a 31 de marzo de 2017.</w:t>
            </w:r>
          </w:p>
        </w:tc>
      </w:tr>
      <w:tr w:rsidR="000143A3" w:rsidRPr="00643DCF" w14:paraId="4F8EAA1F" w14:textId="77777777" w:rsidTr="000961E6">
        <w:trPr>
          <w:jc w:val="center"/>
        </w:trPr>
        <w:tc>
          <w:tcPr>
            <w:tcW w:w="1129" w:type="dxa"/>
          </w:tcPr>
          <w:p w14:paraId="76F1F50A" w14:textId="77777777" w:rsidR="000143A3" w:rsidRPr="00643DCF" w:rsidRDefault="000143A3" w:rsidP="00482680">
            <w:pPr>
              <w:tabs>
                <w:tab w:val="left" w:pos="567"/>
              </w:tabs>
              <w:autoSpaceDE w:val="0"/>
              <w:autoSpaceDN w:val="0"/>
              <w:jc w:val="center"/>
              <w:rPr>
                <w:rFonts w:ascii="Times New Roman" w:hAnsi="Times New Roman"/>
                <w:sz w:val="28"/>
                <w:szCs w:val="28"/>
              </w:rPr>
            </w:pPr>
            <w:r w:rsidRPr="00643DCF">
              <w:rPr>
                <w:rFonts w:ascii="Times New Roman" w:hAnsi="Times New Roman"/>
                <w:sz w:val="28"/>
                <w:szCs w:val="28"/>
              </w:rPr>
              <w:t>IX</w:t>
            </w:r>
            <w:r w:rsidRPr="00643DCF">
              <w:rPr>
                <w:rStyle w:val="Refdenotaalpie"/>
                <w:rFonts w:ascii="Times New Roman" w:hAnsi="Times New Roman"/>
                <w:sz w:val="28"/>
                <w:szCs w:val="28"/>
              </w:rPr>
              <w:footnoteReference w:id="194"/>
            </w:r>
          </w:p>
          <w:p w14:paraId="3B527526" w14:textId="77777777" w:rsidR="000143A3" w:rsidRPr="00643DCF" w:rsidRDefault="000143A3" w:rsidP="00482680">
            <w:pPr>
              <w:tabs>
                <w:tab w:val="left" w:pos="989"/>
              </w:tabs>
              <w:rPr>
                <w:rFonts w:ascii="Times New Roman" w:hAnsi="Times New Roman"/>
                <w:sz w:val="28"/>
                <w:szCs w:val="28"/>
              </w:rPr>
            </w:pPr>
          </w:p>
        </w:tc>
        <w:tc>
          <w:tcPr>
            <w:tcW w:w="1853" w:type="dxa"/>
          </w:tcPr>
          <w:p w14:paraId="6564F7A9" w14:textId="77777777" w:rsidR="000143A3" w:rsidRPr="00643DCF" w:rsidRDefault="000143A3" w:rsidP="00482680">
            <w:pPr>
              <w:tabs>
                <w:tab w:val="left" w:pos="567"/>
              </w:tabs>
              <w:autoSpaceDE w:val="0"/>
              <w:autoSpaceDN w:val="0"/>
              <w:ind w:firstLine="154"/>
              <w:jc w:val="center"/>
              <w:rPr>
                <w:rFonts w:ascii="Times New Roman" w:hAnsi="Times New Roman"/>
                <w:sz w:val="28"/>
                <w:szCs w:val="28"/>
              </w:rPr>
            </w:pPr>
            <w:r w:rsidRPr="00643DCF">
              <w:rPr>
                <w:rFonts w:ascii="Times New Roman" w:hAnsi="Times New Roman"/>
                <w:sz w:val="28"/>
                <w:szCs w:val="28"/>
              </w:rPr>
              <w:t>8 de agosto de 2017</w:t>
            </w:r>
          </w:p>
        </w:tc>
        <w:tc>
          <w:tcPr>
            <w:tcW w:w="4299" w:type="dxa"/>
          </w:tcPr>
          <w:p w14:paraId="17987A0B" w14:textId="77777777" w:rsidR="000143A3" w:rsidRPr="00643DCF" w:rsidRDefault="000143A3" w:rsidP="00482680">
            <w:pPr>
              <w:tabs>
                <w:tab w:val="left" w:pos="567"/>
              </w:tabs>
              <w:autoSpaceDE w:val="0"/>
              <w:autoSpaceDN w:val="0"/>
              <w:jc w:val="both"/>
              <w:rPr>
                <w:rFonts w:ascii="Times New Roman" w:hAnsi="Times New Roman"/>
                <w:sz w:val="28"/>
                <w:szCs w:val="28"/>
              </w:rPr>
            </w:pPr>
            <w:r w:rsidRPr="00643DCF">
              <w:rPr>
                <w:rFonts w:ascii="Times New Roman" w:hAnsi="Times New Roman"/>
                <w:sz w:val="28"/>
                <w:szCs w:val="28"/>
              </w:rPr>
              <w:t>1 de abril de 2017 a 31 de julio de 2017.</w:t>
            </w:r>
          </w:p>
        </w:tc>
      </w:tr>
      <w:tr w:rsidR="000143A3" w:rsidRPr="00643DCF" w14:paraId="367B9448" w14:textId="77777777" w:rsidTr="000961E6">
        <w:trPr>
          <w:jc w:val="center"/>
        </w:trPr>
        <w:tc>
          <w:tcPr>
            <w:tcW w:w="1129" w:type="dxa"/>
          </w:tcPr>
          <w:p w14:paraId="2F2154F5" w14:textId="77777777" w:rsidR="000143A3" w:rsidRPr="00643DCF" w:rsidRDefault="000143A3" w:rsidP="00482680">
            <w:pPr>
              <w:tabs>
                <w:tab w:val="left" w:pos="567"/>
              </w:tabs>
              <w:autoSpaceDE w:val="0"/>
              <w:autoSpaceDN w:val="0"/>
              <w:jc w:val="center"/>
              <w:rPr>
                <w:rFonts w:ascii="Times New Roman" w:hAnsi="Times New Roman"/>
                <w:sz w:val="28"/>
                <w:szCs w:val="28"/>
              </w:rPr>
            </w:pPr>
            <w:r w:rsidRPr="00643DCF">
              <w:rPr>
                <w:rFonts w:ascii="Times New Roman" w:hAnsi="Times New Roman"/>
                <w:sz w:val="28"/>
                <w:szCs w:val="28"/>
              </w:rPr>
              <w:t>X</w:t>
            </w:r>
            <w:r w:rsidRPr="00643DCF">
              <w:rPr>
                <w:rStyle w:val="Refdenotaalpie"/>
                <w:rFonts w:ascii="Times New Roman" w:hAnsi="Times New Roman"/>
                <w:sz w:val="28"/>
                <w:szCs w:val="28"/>
              </w:rPr>
              <w:footnoteReference w:id="195"/>
            </w:r>
          </w:p>
          <w:p w14:paraId="2CC511D9" w14:textId="77777777" w:rsidR="000143A3" w:rsidRPr="00643DCF" w:rsidRDefault="000143A3" w:rsidP="00482680">
            <w:pPr>
              <w:tabs>
                <w:tab w:val="left" w:pos="567"/>
              </w:tabs>
              <w:autoSpaceDE w:val="0"/>
              <w:autoSpaceDN w:val="0"/>
              <w:jc w:val="center"/>
              <w:rPr>
                <w:rFonts w:ascii="Times New Roman" w:hAnsi="Times New Roman"/>
                <w:sz w:val="28"/>
                <w:szCs w:val="28"/>
              </w:rPr>
            </w:pPr>
          </w:p>
        </w:tc>
        <w:tc>
          <w:tcPr>
            <w:tcW w:w="1853" w:type="dxa"/>
          </w:tcPr>
          <w:p w14:paraId="1F4A7951" w14:textId="77777777" w:rsidR="000143A3" w:rsidRPr="00643DCF" w:rsidRDefault="000143A3" w:rsidP="00482680">
            <w:pPr>
              <w:tabs>
                <w:tab w:val="left" w:pos="567"/>
              </w:tabs>
              <w:autoSpaceDE w:val="0"/>
              <w:autoSpaceDN w:val="0"/>
              <w:ind w:firstLine="154"/>
              <w:jc w:val="center"/>
              <w:rPr>
                <w:rFonts w:ascii="Times New Roman" w:hAnsi="Times New Roman"/>
                <w:sz w:val="28"/>
                <w:szCs w:val="28"/>
              </w:rPr>
            </w:pPr>
            <w:r w:rsidRPr="00643DCF">
              <w:rPr>
                <w:rFonts w:ascii="Times New Roman" w:hAnsi="Times New Roman"/>
                <w:sz w:val="28"/>
                <w:szCs w:val="28"/>
              </w:rPr>
              <w:t>6 de diciembre de 2017</w:t>
            </w:r>
          </w:p>
        </w:tc>
        <w:tc>
          <w:tcPr>
            <w:tcW w:w="4299" w:type="dxa"/>
          </w:tcPr>
          <w:p w14:paraId="786ADBB5" w14:textId="77777777" w:rsidR="000143A3" w:rsidRPr="00643DCF" w:rsidRDefault="000143A3" w:rsidP="00482680">
            <w:pPr>
              <w:tabs>
                <w:tab w:val="left" w:pos="567"/>
              </w:tabs>
              <w:autoSpaceDE w:val="0"/>
              <w:autoSpaceDN w:val="0"/>
              <w:jc w:val="both"/>
              <w:rPr>
                <w:rFonts w:ascii="Times New Roman" w:hAnsi="Times New Roman"/>
                <w:sz w:val="28"/>
                <w:szCs w:val="28"/>
              </w:rPr>
            </w:pPr>
            <w:r w:rsidRPr="00643DCF">
              <w:rPr>
                <w:rFonts w:ascii="Times New Roman" w:hAnsi="Times New Roman"/>
                <w:sz w:val="28"/>
                <w:szCs w:val="28"/>
              </w:rPr>
              <w:t>1 de agosto de 2017 a 30 de noviembre de 2017.</w:t>
            </w:r>
          </w:p>
        </w:tc>
      </w:tr>
      <w:tr w:rsidR="000143A3" w:rsidRPr="00643DCF" w14:paraId="6EE6094C" w14:textId="77777777" w:rsidTr="000961E6">
        <w:trPr>
          <w:jc w:val="center"/>
        </w:trPr>
        <w:tc>
          <w:tcPr>
            <w:tcW w:w="1129" w:type="dxa"/>
          </w:tcPr>
          <w:p w14:paraId="7D1C6614" w14:textId="2A785F6D" w:rsidR="000143A3" w:rsidRPr="00643DCF" w:rsidRDefault="000143A3" w:rsidP="007F7CFD">
            <w:pPr>
              <w:tabs>
                <w:tab w:val="left" w:pos="567"/>
              </w:tabs>
              <w:autoSpaceDE w:val="0"/>
              <w:autoSpaceDN w:val="0"/>
              <w:jc w:val="center"/>
              <w:rPr>
                <w:rFonts w:ascii="Times New Roman" w:hAnsi="Times New Roman"/>
                <w:sz w:val="28"/>
                <w:szCs w:val="28"/>
              </w:rPr>
            </w:pPr>
            <w:r w:rsidRPr="00643DCF">
              <w:rPr>
                <w:rFonts w:ascii="Times New Roman" w:hAnsi="Times New Roman"/>
                <w:sz w:val="28"/>
                <w:szCs w:val="28"/>
              </w:rPr>
              <w:t>XI</w:t>
            </w:r>
            <w:r w:rsidRPr="00643DCF">
              <w:rPr>
                <w:rStyle w:val="Refdenotaalpie"/>
                <w:rFonts w:ascii="Times New Roman" w:hAnsi="Times New Roman"/>
                <w:sz w:val="28"/>
                <w:szCs w:val="28"/>
              </w:rPr>
              <w:footnoteReference w:id="196"/>
            </w:r>
          </w:p>
          <w:p w14:paraId="2390DF86" w14:textId="77777777" w:rsidR="000143A3" w:rsidRPr="00643DCF" w:rsidRDefault="000143A3" w:rsidP="007F7CFD">
            <w:pPr>
              <w:tabs>
                <w:tab w:val="left" w:pos="567"/>
              </w:tabs>
              <w:autoSpaceDE w:val="0"/>
              <w:autoSpaceDN w:val="0"/>
              <w:jc w:val="center"/>
              <w:rPr>
                <w:sz w:val="28"/>
                <w:szCs w:val="28"/>
              </w:rPr>
            </w:pPr>
          </w:p>
        </w:tc>
        <w:tc>
          <w:tcPr>
            <w:tcW w:w="1853" w:type="dxa"/>
          </w:tcPr>
          <w:p w14:paraId="07DBD92C" w14:textId="484067C8" w:rsidR="000143A3" w:rsidRPr="00643DCF" w:rsidRDefault="000143A3">
            <w:pPr>
              <w:tabs>
                <w:tab w:val="left" w:pos="567"/>
              </w:tabs>
              <w:autoSpaceDE w:val="0"/>
              <w:autoSpaceDN w:val="0"/>
              <w:ind w:firstLine="154"/>
              <w:jc w:val="center"/>
              <w:rPr>
                <w:sz w:val="28"/>
                <w:szCs w:val="28"/>
              </w:rPr>
            </w:pPr>
            <w:r w:rsidRPr="00643DCF">
              <w:rPr>
                <w:rFonts w:ascii="Times New Roman" w:hAnsi="Times New Roman"/>
                <w:sz w:val="28"/>
                <w:szCs w:val="28"/>
              </w:rPr>
              <w:t>6 de agosto de 2018</w:t>
            </w:r>
          </w:p>
        </w:tc>
        <w:tc>
          <w:tcPr>
            <w:tcW w:w="4299" w:type="dxa"/>
          </w:tcPr>
          <w:p w14:paraId="2EAAF0D6" w14:textId="7D7C3ADC" w:rsidR="000143A3" w:rsidRPr="00643DCF" w:rsidRDefault="000143A3">
            <w:pPr>
              <w:tabs>
                <w:tab w:val="left" w:pos="567"/>
              </w:tabs>
              <w:autoSpaceDE w:val="0"/>
              <w:autoSpaceDN w:val="0"/>
              <w:jc w:val="both"/>
              <w:rPr>
                <w:sz w:val="28"/>
                <w:szCs w:val="28"/>
              </w:rPr>
            </w:pPr>
            <w:r w:rsidRPr="00643DCF">
              <w:rPr>
                <w:rFonts w:ascii="Times New Roman" w:hAnsi="Times New Roman"/>
                <w:sz w:val="28"/>
                <w:szCs w:val="28"/>
              </w:rPr>
              <w:t>1 de abril de 2018 a 31 de julio de 2018.</w:t>
            </w:r>
          </w:p>
        </w:tc>
      </w:tr>
      <w:tr w:rsidR="000143A3" w:rsidRPr="00643DCF" w14:paraId="626F914B" w14:textId="77777777" w:rsidTr="000961E6">
        <w:trPr>
          <w:jc w:val="center"/>
        </w:trPr>
        <w:tc>
          <w:tcPr>
            <w:tcW w:w="1129" w:type="dxa"/>
          </w:tcPr>
          <w:p w14:paraId="1ABF0E54" w14:textId="25BD4D9B" w:rsidR="000143A3" w:rsidRPr="00643DCF" w:rsidRDefault="000143A3" w:rsidP="007F7CFD">
            <w:pPr>
              <w:tabs>
                <w:tab w:val="left" w:pos="567"/>
              </w:tabs>
              <w:autoSpaceDE w:val="0"/>
              <w:autoSpaceDN w:val="0"/>
              <w:jc w:val="center"/>
              <w:rPr>
                <w:rFonts w:ascii="Times New Roman" w:hAnsi="Times New Roman"/>
                <w:sz w:val="28"/>
                <w:szCs w:val="28"/>
              </w:rPr>
            </w:pPr>
            <w:r w:rsidRPr="00643DCF">
              <w:rPr>
                <w:rFonts w:ascii="Times New Roman" w:hAnsi="Times New Roman"/>
                <w:sz w:val="28"/>
                <w:szCs w:val="28"/>
              </w:rPr>
              <w:t>XII</w:t>
            </w:r>
            <w:r w:rsidRPr="00643DCF">
              <w:rPr>
                <w:rStyle w:val="Refdenotaalpie"/>
                <w:rFonts w:ascii="Times New Roman" w:hAnsi="Times New Roman"/>
                <w:sz w:val="28"/>
                <w:szCs w:val="28"/>
              </w:rPr>
              <w:footnoteReference w:id="197"/>
            </w:r>
          </w:p>
        </w:tc>
        <w:tc>
          <w:tcPr>
            <w:tcW w:w="1853" w:type="dxa"/>
          </w:tcPr>
          <w:p w14:paraId="2E9573D9" w14:textId="44917282" w:rsidR="000143A3" w:rsidRPr="00643DCF" w:rsidRDefault="000143A3">
            <w:pPr>
              <w:tabs>
                <w:tab w:val="left" w:pos="567"/>
              </w:tabs>
              <w:autoSpaceDE w:val="0"/>
              <w:autoSpaceDN w:val="0"/>
              <w:ind w:firstLine="154"/>
              <w:jc w:val="center"/>
              <w:rPr>
                <w:rFonts w:ascii="Times New Roman" w:hAnsi="Times New Roman"/>
                <w:sz w:val="28"/>
                <w:szCs w:val="28"/>
              </w:rPr>
            </w:pPr>
            <w:r w:rsidRPr="00643DCF">
              <w:rPr>
                <w:rFonts w:ascii="Times New Roman" w:hAnsi="Times New Roman"/>
                <w:sz w:val="28"/>
                <w:szCs w:val="28"/>
              </w:rPr>
              <w:t>4 de diciembre de 2018</w:t>
            </w:r>
          </w:p>
        </w:tc>
        <w:tc>
          <w:tcPr>
            <w:tcW w:w="4299" w:type="dxa"/>
          </w:tcPr>
          <w:p w14:paraId="6C610E54" w14:textId="059DF9D0" w:rsidR="000143A3" w:rsidRPr="00643DCF" w:rsidRDefault="000143A3">
            <w:pPr>
              <w:tabs>
                <w:tab w:val="left" w:pos="567"/>
              </w:tabs>
              <w:autoSpaceDE w:val="0"/>
              <w:autoSpaceDN w:val="0"/>
              <w:jc w:val="both"/>
              <w:rPr>
                <w:rFonts w:ascii="Times New Roman" w:hAnsi="Times New Roman"/>
                <w:sz w:val="28"/>
                <w:szCs w:val="28"/>
              </w:rPr>
            </w:pPr>
            <w:r w:rsidRPr="00643DCF">
              <w:rPr>
                <w:rFonts w:ascii="Times New Roman" w:hAnsi="Times New Roman"/>
                <w:sz w:val="28"/>
                <w:szCs w:val="28"/>
              </w:rPr>
              <w:t>1 de agosto de 2018 al 30 de noviembre de 2018.</w:t>
            </w:r>
          </w:p>
        </w:tc>
      </w:tr>
    </w:tbl>
    <w:p w14:paraId="3DF46CCB" w14:textId="77777777" w:rsidR="009734CE" w:rsidRPr="00643DCF" w:rsidRDefault="009734CE" w:rsidP="009734CE">
      <w:pPr>
        <w:tabs>
          <w:tab w:val="left" w:pos="567"/>
        </w:tabs>
        <w:autoSpaceDE w:val="0"/>
        <w:autoSpaceDN w:val="0"/>
        <w:jc w:val="both"/>
        <w:rPr>
          <w:sz w:val="28"/>
          <w:szCs w:val="28"/>
          <w:u w:val="single"/>
        </w:rPr>
      </w:pPr>
    </w:p>
    <w:p w14:paraId="24F4B2F6" w14:textId="5BAD1BD9" w:rsidR="007F7CFD" w:rsidRDefault="00B962D4" w:rsidP="009734CE">
      <w:pPr>
        <w:tabs>
          <w:tab w:val="left" w:pos="567"/>
        </w:tabs>
        <w:autoSpaceDE w:val="0"/>
        <w:autoSpaceDN w:val="0"/>
        <w:jc w:val="both"/>
        <w:rPr>
          <w:sz w:val="28"/>
          <w:szCs w:val="28"/>
        </w:rPr>
      </w:pPr>
      <w:r w:rsidRPr="00643DCF">
        <w:rPr>
          <w:sz w:val="28"/>
          <w:szCs w:val="28"/>
        </w:rPr>
        <w:t>8</w:t>
      </w:r>
      <w:r w:rsidR="001356D4" w:rsidRPr="00643DCF">
        <w:rPr>
          <w:sz w:val="28"/>
          <w:szCs w:val="28"/>
        </w:rPr>
        <w:t>4</w:t>
      </w:r>
      <w:r w:rsidRPr="00643DCF">
        <w:rPr>
          <w:sz w:val="28"/>
          <w:szCs w:val="28"/>
        </w:rPr>
        <w:t xml:space="preserve">. </w:t>
      </w:r>
      <w:r w:rsidR="009734CE" w:rsidRPr="00643DCF">
        <w:rPr>
          <w:sz w:val="28"/>
          <w:szCs w:val="28"/>
        </w:rPr>
        <w:t xml:space="preserve">En ese orden, la Sala Especial de Seguimiento recibió </w:t>
      </w:r>
      <w:r w:rsidR="00722E0A" w:rsidRPr="00643DCF">
        <w:rPr>
          <w:sz w:val="28"/>
          <w:szCs w:val="28"/>
        </w:rPr>
        <w:t>doce</w:t>
      </w:r>
      <w:r w:rsidR="007F7CFD" w:rsidRPr="00643DCF">
        <w:rPr>
          <w:sz w:val="28"/>
          <w:szCs w:val="28"/>
        </w:rPr>
        <w:t xml:space="preserve"> </w:t>
      </w:r>
      <w:r w:rsidR="009734CE" w:rsidRPr="00643DCF">
        <w:rPr>
          <w:sz w:val="28"/>
          <w:szCs w:val="28"/>
        </w:rPr>
        <w:t>(1</w:t>
      </w:r>
      <w:r w:rsidR="00722E0A" w:rsidRPr="00643DCF">
        <w:rPr>
          <w:sz w:val="28"/>
          <w:szCs w:val="28"/>
        </w:rPr>
        <w:t>2</w:t>
      </w:r>
      <w:r w:rsidR="009734CE" w:rsidRPr="00643DCF">
        <w:rPr>
          <w:sz w:val="28"/>
          <w:szCs w:val="28"/>
        </w:rPr>
        <w:t xml:space="preserve">) informes por parte del presidente del CSJ en </w:t>
      </w:r>
      <w:r w:rsidR="007A0B88" w:rsidRPr="00643DCF">
        <w:rPr>
          <w:sz w:val="28"/>
          <w:szCs w:val="28"/>
        </w:rPr>
        <w:t>atención a</w:t>
      </w:r>
      <w:r w:rsidR="009734CE" w:rsidRPr="00643DCF">
        <w:rPr>
          <w:sz w:val="28"/>
          <w:szCs w:val="28"/>
        </w:rPr>
        <w:t xml:space="preserve">l requerimiento efectuado por esta Corporación, condición que fue </w:t>
      </w:r>
      <w:r w:rsidR="000143A3" w:rsidRPr="00643DCF">
        <w:rPr>
          <w:sz w:val="28"/>
          <w:szCs w:val="28"/>
        </w:rPr>
        <w:t xml:space="preserve">cumplida </w:t>
      </w:r>
      <w:r w:rsidR="009734CE" w:rsidRPr="00643DCF">
        <w:rPr>
          <w:sz w:val="28"/>
          <w:szCs w:val="28"/>
        </w:rPr>
        <w:t xml:space="preserve">por la autoridad mencionada hasta el mes de </w:t>
      </w:r>
      <w:r w:rsidR="00722E0A" w:rsidRPr="00643DCF">
        <w:rPr>
          <w:sz w:val="28"/>
          <w:szCs w:val="28"/>
        </w:rPr>
        <w:t>noviembre</w:t>
      </w:r>
      <w:r w:rsidR="00531B9A" w:rsidRPr="00643DCF">
        <w:rPr>
          <w:sz w:val="28"/>
          <w:szCs w:val="28"/>
        </w:rPr>
        <w:t xml:space="preserve"> de 2018</w:t>
      </w:r>
      <w:r w:rsidR="00531B9A" w:rsidRPr="00643DCF">
        <w:rPr>
          <w:rStyle w:val="Refdenotaalpie"/>
          <w:sz w:val="28"/>
          <w:szCs w:val="28"/>
        </w:rPr>
        <w:footnoteReference w:id="198"/>
      </w:r>
      <w:r w:rsidR="009734CE" w:rsidRPr="00643DCF">
        <w:rPr>
          <w:sz w:val="28"/>
          <w:szCs w:val="28"/>
        </w:rPr>
        <w:t xml:space="preserve">, como se evidenció en los reportes consignados en el cuadro anterior. </w:t>
      </w:r>
    </w:p>
    <w:p w14:paraId="21FE9D28" w14:textId="77777777" w:rsidR="004A604F" w:rsidRPr="00643DCF" w:rsidRDefault="004A604F" w:rsidP="009734CE">
      <w:pPr>
        <w:tabs>
          <w:tab w:val="left" w:pos="567"/>
        </w:tabs>
        <w:autoSpaceDE w:val="0"/>
        <w:autoSpaceDN w:val="0"/>
        <w:jc w:val="both"/>
        <w:rPr>
          <w:sz w:val="28"/>
          <w:szCs w:val="28"/>
        </w:rPr>
      </w:pPr>
    </w:p>
    <w:p w14:paraId="7E8B95F1" w14:textId="2734C5B4" w:rsidR="00531B9A" w:rsidRPr="00643DCF" w:rsidRDefault="00B962D4" w:rsidP="009734CE">
      <w:pPr>
        <w:tabs>
          <w:tab w:val="left" w:pos="567"/>
        </w:tabs>
        <w:autoSpaceDE w:val="0"/>
        <w:autoSpaceDN w:val="0"/>
        <w:jc w:val="both"/>
        <w:rPr>
          <w:sz w:val="28"/>
          <w:szCs w:val="28"/>
        </w:rPr>
      </w:pPr>
      <w:r w:rsidRPr="00643DCF">
        <w:rPr>
          <w:sz w:val="28"/>
          <w:szCs w:val="28"/>
        </w:rPr>
        <w:t>8</w:t>
      </w:r>
      <w:r w:rsidR="001356D4" w:rsidRPr="00643DCF">
        <w:rPr>
          <w:sz w:val="28"/>
          <w:szCs w:val="28"/>
        </w:rPr>
        <w:t>5</w:t>
      </w:r>
      <w:r w:rsidRPr="00643DCF">
        <w:rPr>
          <w:sz w:val="28"/>
          <w:szCs w:val="28"/>
        </w:rPr>
        <w:t xml:space="preserve">. </w:t>
      </w:r>
      <w:r w:rsidR="007F7CFD" w:rsidRPr="00643DCF">
        <w:rPr>
          <w:sz w:val="28"/>
          <w:szCs w:val="28"/>
        </w:rPr>
        <w:t>Revisado el acervo probatorio se observ</w:t>
      </w:r>
      <w:r w:rsidR="000143A3" w:rsidRPr="00643DCF">
        <w:rPr>
          <w:sz w:val="28"/>
          <w:szCs w:val="28"/>
        </w:rPr>
        <w:t>ó</w:t>
      </w:r>
      <w:r w:rsidR="007F7CFD" w:rsidRPr="00643DCF">
        <w:rPr>
          <w:sz w:val="28"/>
          <w:szCs w:val="28"/>
        </w:rPr>
        <w:t xml:space="preserve"> que l</w:t>
      </w:r>
      <w:r w:rsidR="009734CE" w:rsidRPr="00643DCF">
        <w:rPr>
          <w:sz w:val="28"/>
          <w:szCs w:val="28"/>
        </w:rPr>
        <w:t xml:space="preserve">a entidad obligada no </w:t>
      </w:r>
      <w:r w:rsidR="00DC67A4" w:rsidRPr="00643DCF">
        <w:rPr>
          <w:sz w:val="28"/>
          <w:szCs w:val="28"/>
        </w:rPr>
        <w:t xml:space="preserve">remitió </w:t>
      </w:r>
      <w:r w:rsidR="009734CE" w:rsidRPr="00643DCF">
        <w:rPr>
          <w:sz w:val="28"/>
          <w:szCs w:val="28"/>
        </w:rPr>
        <w:t xml:space="preserve">el informe correspondiente al periodo 1º de diciembre de 2017 al 31 de marzo de 2018 </w:t>
      </w:r>
      <w:r w:rsidR="007F7CFD" w:rsidRPr="00643DCF">
        <w:rPr>
          <w:sz w:val="28"/>
          <w:szCs w:val="28"/>
        </w:rPr>
        <w:t xml:space="preserve">y posteriormente el 6 de agosto del año en curso </w:t>
      </w:r>
      <w:r w:rsidR="00C32731" w:rsidRPr="00643DCF">
        <w:rPr>
          <w:sz w:val="28"/>
          <w:szCs w:val="28"/>
        </w:rPr>
        <w:t>entregó el reporte</w:t>
      </w:r>
      <w:r w:rsidR="007238D2" w:rsidRPr="00643DCF">
        <w:rPr>
          <w:sz w:val="28"/>
          <w:szCs w:val="28"/>
        </w:rPr>
        <w:t xml:space="preserve"> </w:t>
      </w:r>
      <w:r w:rsidR="00531B9A" w:rsidRPr="00643DCF">
        <w:rPr>
          <w:sz w:val="28"/>
          <w:szCs w:val="28"/>
        </w:rPr>
        <w:t>propio</w:t>
      </w:r>
      <w:r w:rsidR="007238D2" w:rsidRPr="00643DCF">
        <w:rPr>
          <w:sz w:val="28"/>
          <w:szCs w:val="28"/>
        </w:rPr>
        <w:t xml:space="preserve"> al cuatrimestre del 1º de abril al 31 de julio de 2018, </w:t>
      </w:r>
      <w:r w:rsidR="009734CE" w:rsidRPr="00643DCF">
        <w:rPr>
          <w:sz w:val="28"/>
          <w:szCs w:val="28"/>
          <w:lang w:eastAsia="es-ES_tradnl"/>
        </w:rPr>
        <w:t>dentro del término previsto en el mencionado mandato</w:t>
      </w:r>
      <w:r w:rsidR="007238D2" w:rsidRPr="00643DCF">
        <w:rPr>
          <w:sz w:val="28"/>
          <w:szCs w:val="28"/>
          <w:lang w:eastAsia="es-ES_tradnl"/>
        </w:rPr>
        <w:t xml:space="preserve">. </w:t>
      </w:r>
    </w:p>
    <w:p w14:paraId="5037DB8C" w14:textId="77777777" w:rsidR="007F7CFD" w:rsidRPr="00643DCF" w:rsidRDefault="007F7CFD" w:rsidP="009734CE">
      <w:pPr>
        <w:tabs>
          <w:tab w:val="left" w:pos="567"/>
        </w:tabs>
        <w:autoSpaceDE w:val="0"/>
        <w:autoSpaceDN w:val="0"/>
        <w:jc w:val="both"/>
        <w:rPr>
          <w:sz w:val="28"/>
          <w:szCs w:val="28"/>
        </w:rPr>
      </w:pPr>
    </w:p>
    <w:p w14:paraId="7B73888E" w14:textId="1A23C417" w:rsidR="009734CE" w:rsidRPr="00643DCF" w:rsidRDefault="00B962D4" w:rsidP="00FB31C7">
      <w:pPr>
        <w:tabs>
          <w:tab w:val="left" w:pos="567"/>
        </w:tabs>
        <w:autoSpaceDE w:val="0"/>
        <w:autoSpaceDN w:val="0"/>
        <w:jc w:val="both"/>
        <w:rPr>
          <w:sz w:val="28"/>
          <w:szCs w:val="28"/>
        </w:rPr>
      </w:pPr>
      <w:r w:rsidRPr="00643DCF">
        <w:rPr>
          <w:sz w:val="28"/>
          <w:szCs w:val="28"/>
        </w:rPr>
        <w:t>8</w:t>
      </w:r>
      <w:r w:rsidR="001356D4" w:rsidRPr="00643DCF">
        <w:rPr>
          <w:sz w:val="28"/>
          <w:szCs w:val="28"/>
        </w:rPr>
        <w:t>6</w:t>
      </w:r>
      <w:r w:rsidRPr="00643DCF">
        <w:rPr>
          <w:sz w:val="28"/>
          <w:szCs w:val="28"/>
        </w:rPr>
        <w:t xml:space="preserve">. </w:t>
      </w:r>
      <w:r w:rsidR="00C203A4" w:rsidRPr="00643DCF">
        <w:rPr>
          <w:sz w:val="28"/>
          <w:szCs w:val="28"/>
        </w:rPr>
        <w:t xml:space="preserve">De conformidad con lo expuesto, en atención a que el CSJ no dio cumplimiento total al mandato del </w:t>
      </w:r>
      <w:r w:rsidR="00821D52" w:rsidRPr="00643DCF">
        <w:rPr>
          <w:sz w:val="28"/>
          <w:szCs w:val="28"/>
        </w:rPr>
        <w:t>a</w:t>
      </w:r>
      <w:r w:rsidR="00C203A4" w:rsidRPr="00643DCF">
        <w:rPr>
          <w:sz w:val="28"/>
          <w:szCs w:val="28"/>
        </w:rPr>
        <w:t xml:space="preserve">uto 271 de 2014 </w:t>
      </w:r>
      <w:r w:rsidR="009734CE" w:rsidRPr="00643DCF">
        <w:rPr>
          <w:sz w:val="28"/>
          <w:szCs w:val="28"/>
        </w:rPr>
        <w:t xml:space="preserve">se requerirá para que </w:t>
      </w:r>
      <w:r w:rsidR="006229CD" w:rsidRPr="00643DCF">
        <w:rPr>
          <w:sz w:val="28"/>
          <w:szCs w:val="28"/>
        </w:rPr>
        <w:t>envíe</w:t>
      </w:r>
      <w:r w:rsidR="009734CE" w:rsidRPr="00643DCF">
        <w:rPr>
          <w:sz w:val="28"/>
          <w:szCs w:val="28"/>
        </w:rPr>
        <w:t xml:space="preserve"> </w:t>
      </w:r>
      <w:r w:rsidR="007F7CFD" w:rsidRPr="00643DCF">
        <w:rPr>
          <w:sz w:val="28"/>
          <w:szCs w:val="28"/>
        </w:rPr>
        <w:t xml:space="preserve">a la </w:t>
      </w:r>
      <w:r w:rsidR="006C3ADE" w:rsidRPr="00643DCF">
        <w:rPr>
          <w:sz w:val="28"/>
          <w:szCs w:val="28"/>
        </w:rPr>
        <w:t xml:space="preserve">Corte </w:t>
      </w:r>
      <w:r w:rsidR="009734CE" w:rsidRPr="00643DCF">
        <w:rPr>
          <w:sz w:val="28"/>
          <w:szCs w:val="28"/>
        </w:rPr>
        <w:t xml:space="preserve">el informe </w:t>
      </w:r>
      <w:r w:rsidR="000143A3" w:rsidRPr="00643DCF">
        <w:rPr>
          <w:sz w:val="28"/>
          <w:szCs w:val="28"/>
        </w:rPr>
        <w:t xml:space="preserve">relativo </w:t>
      </w:r>
      <w:r w:rsidR="009734CE" w:rsidRPr="00643DCF">
        <w:rPr>
          <w:sz w:val="28"/>
          <w:szCs w:val="28"/>
        </w:rPr>
        <w:t xml:space="preserve">al primer cuatrimestre del año 2018 y continúe </w:t>
      </w:r>
      <w:r w:rsidR="006229CD" w:rsidRPr="00643DCF">
        <w:rPr>
          <w:sz w:val="28"/>
          <w:szCs w:val="28"/>
        </w:rPr>
        <w:t xml:space="preserve">allegando </w:t>
      </w:r>
      <w:r w:rsidR="009734CE" w:rsidRPr="00643DCF">
        <w:rPr>
          <w:sz w:val="28"/>
          <w:szCs w:val="28"/>
        </w:rPr>
        <w:t xml:space="preserve">en los términos previstos en </w:t>
      </w:r>
      <w:r w:rsidR="00C203A4" w:rsidRPr="00643DCF">
        <w:rPr>
          <w:sz w:val="28"/>
          <w:szCs w:val="28"/>
        </w:rPr>
        <w:t>el proveído mencionado</w:t>
      </w:r>
      <w:r w:rsidR="009734CE" w:rsidRPr="00643DCF">
        <w:rPr>
          <w:sz w:val="28"/>
          <w:szCs w:val="28"/>
        </w:rPr>
        <w:t xml:space="preserve"> los reportes de progreso del plan de trabajo implementado para </w:t>
      </w:r>
      <w:r w:rsidR="000143A3" w:rsidRPr="00643DCF">
        <w:rPr>
          <w:sz w:val="28"/>
          <w:szCs w:val="28"/>
        </w:rPr>
        <w:t xml:space="preserve">dar </w:t>
      </w:r>
      <w:r w:rsidR="007A0B88" w:rsidRPr="00643DCF">
        <w:rPr>
          <w:sz w:val="28"/>
          <w:szCs w:val="28"/>
        </w:rPr>
        <w:t xml:space="preserve">observancia </w:t>
      </w:r>
      <w:r w:rsidR="009734CE" w:rsidRPr="00643DCF">
        <w:rPr>
          <w:sz w:val="28"/>
          <w:szCs w:val="28"/>
        </w:rPr>
        <w:t>a la orden analizada.</w:t>
      </w:r>
    </w:p>
    <w:p w14:paraId="7113DE06" w14:textId="77777777" w:rsidR="0095691B" w:rsidRPr="00643DCF" w:rsidRDefault="0095691B" w:rsidP="00FB31C7">
      <w:pPr>
        <w:tabs>
          <w:tab w:val="left" w:pos="567"/>
        </w:tabs>
        <w:autoSpaceDE w:val="0"/>
        <w:autoSpaceDN w:val="0"/>
        <w:jc w:val="both"/>
        <w:rPr>
          <w:sz w:val="28"/>
          <w:szCs w:val="28"/>
        </w:rPr>
      </w:pPr>
    </w:p>
    <w:p w14:paraId="61CA12A7" w14:textId="03DA5DCF" w:rsidR="00716BE0" w:rsidRPr="00643DCF" w:rsidRDefault="00B962D4" w:rsidP="000961E6">
      <w:pPr>
        <w:tabs>
          <w:tab w:val="left" w:pos="567"/>
        </w:tabs>
        <w:autoSpaceDE w:val="0"/>
        <w:autoSpaceDN w:val="0"/>
        <w:jc w:val="both"/>
        <w:rPr>
          <w:sz w:val="28"/>
          <w:szCs w:val="28"/>
        </w:rPr>
      </w:pPr>
      <w:r w:rsidRPr="00643DCF">
        <w:rPr>
          <w:sz w:val="28"/>
          <w:szCs w:val="28"/>
        </w:rPr>
        <w:t>8</w:t>
      </w:r>
      <w:r w:rsidR="001356D4" w:rsidRPr="00643DCF">
        <w:rPr>
          <w:sz w:val="28"/>
          <w:szCs w:val="28"/>
        </w:rPr>
        <w:t>7</w:t>
      </w:r>
      <w:r w:rsidRPr="00643DCF">
        <w:rPr>
          <w:sz w:val="28"/>
          <w:szCs w:val="28"/>
        </w:rPr>
        <w:t xml:space="preserve">. </w:t>
      </w:r>
      <w:r w:rsidR="00716BE0" w:rsidRPr="00643DCF">
        <w:rPr>
          <w:sz w:val="28"/>
          <w:szCs w:val="28"/>
        </w:rPr>
        <w:t>De otro lado, respecto de la solicitud efectuada por el C</w:t>
      </w:r>
      <w:r w:rsidR="00DE53FA" w:rsidRPr="00643DCF">
        <w:rPr>
          <w:sz w:val="28"/>
          <w:szCs w:val="28"/>
        </w:rPr>
        <w:t xml:space="preserve">onsejo </w:t>
      </w:r>
      <w:r w:rsidR="00716BE0" w:rsidRPr="00643DCF">
        <w:rPr>
          <w:sz w:val="28"/>
          <w:szCs w:val="28"/>
        </w:rPr>
        <w:t>en relación con la posibilidad de entregar el informe cada seis meses</w:t>
      </w:r>
      <w:r w:rsidR="00716BE0" w:rsidRPr="00643DCF">
        <w:rPr>
          <w:rStyle w:val="Refdenotaalpie"/>
          <w:sz w:val="28"/>
          <w:szCs w:val="28"/>
        </w:rPr>
        <w:footnoteReference w:id="199"/>
      </w:r>
      <w:r w:rsidR="00716BE0" w:rsidRPr="00643DCF">
        <w:rPr>
          <w:sz w:val="28"/>
          <w:szCs w:val="28"/>
        </w:rPr>
        <w:t xml:space="preserve">, esta Sala considera que pese a que el correspondiente al mes de abril del 2018 no fue enviado, es posible acceder a la misma con el fin de que cuente con tiempo adicional para realizar las jornadas de capacitación que dependen del presupuesto asignado a la Rama Judicial y de esta forma se ajusten a los tiempos de contratación y ejecución presupuestal; por lo anterior el reporte ordenado en el auto 271 de 2014, deberá ser allegado a esta Corporación cada seis (6) meses. </w:t>
      </w:r>
    </w:p>
    <w:p w14:paraId="278140AA" w14:textId="15829C53" w:rsidR="006C05DB" w:rsidRPr="00643DCF" w:rsidRDefault="006C05DB" w:rsidP="000961E6">
      <w:pPr>
        <w:tabs>
          <w:tab w:val="left" w:pos="567"/>
        </w:tabs>
        <w:autoSpaceDE w:val="0"/>
        <w:autoSpaceDN w:val="0"/>
        <w:jc w:val="both"/>
        <w:rPr>
          <w:sz w:val="28"/>
          <w:szCs w:val="28"/>
        </w:rPr>
      </w:pPr>
    </w:p>
    <w:p w14:paraId="5BD029BF" w14:textId="5BAC1173" w:rsidR="00F207A7" w:rsidRPr="00643DCF" w:rsidRDefault="006C05DB" w:rsidP="00B962D4">
      <w:pPr>
        <w:tabs>
          <w:tab w:val="left" w:pos="567"/>
        </w:tabs>
        <w:ind w:left="567"/>
        <w:jc w:val="both"/>
        <w:rPr>
          <w:rFonts w:eastAsiaTheme="minorHAnsi"/>
          <w:b/>
          <w:sz w:val="28"/>
          <w:szCs w:val="28"/>
          <w:lang w:val="es-ES"/>
        </w:rPr>
      </w:pPr>
      <w:r w:rsidRPr="00643DCF">
        <w:rPr>
          <w:rFonts w:eastAsiaTheme="minorHAnsi"/>
          <w:b/>
          <w:sz w:val="28"/>
          <w:szCs w:val="28"/>
          <w:lang w:val="es-ES"/>
        </w:rPr>
        <w:t>S</w:t>
      </w:r>
      <w:r w:rsidR="00F207A7" w:rsidRPr="00643DCF">
        <w:rPr>
          <w:rFonts w:eastAsiaTheme="minorHAnsi"/>
          <w:b/>
          <w:sz w:val="28"/>
          <w:szCs w:val="28"/>
          <w:lang w:val="es-ES"/>
        </w:rPr>
        <w:t xml:space="preserve">eguimiento de la orden </w:t>
      </w:r>
      <w:r w:rsidR="00BE225C" w:rsidRPr="00643DCF">
        <w:rPr>
          <w:rFonts w:eastAsiaTheme="minorHAnsi"/>
          <w:b/>
          <w:sz w:val="28"/>
          <w:szCs w:val="28"/>
          <w:lang w:val="es-ES"/>
        </w:rPr>
        <w:t>trigésima</w:t>
      </w:r>
      <w:r w:rsidR="00F207A7" w:rsidRPr="00643DCF">
        <w:rPr>
          <w:rFonts w:eastAsiaTheme="minorHAnsi"/>
          <w:b/>
          <w:sz w:val="28"/>
          <w:szCs w:val="28"/>
          <w:lang w:val="es-ES"/>
        </w:rPr>
        <w:t xml:space="preserve"> segunda de la </w:t>
      </w:r>
      <w:r w:rsidR="000961E6" w:rsidRPr="00643DCF">
        <w:rPr>
          <w:rFonts w:eastAsiaTheme="minorHAnsi"/>
          <w:b/>
          <w:sz w:val="28"/>
          <w:szCs w:val="28"/>
          <w:lang w:val="es-ES"/>
        </w:rPr>
        <w:t>s</w:t>
      </w:r>
      <w:r w:rsidR="00F11A05" w:rsidRPr="00643DCF">
        <w:rPr>
          <w:rFonts w:eastAsiaTheme="minorHAnsi"/>
          <w:b/>
          <w:sz w:val="28"/>
          <w:szCs w:val="28"/>
          <w:lang w:val="es-ES"/>
        </w:rPr>
        <w:t>entencia</w:t>
      </w:r>
      <w:r w:rsidR="00F207A7" w:rsidRPr="00643DCF">
        <w:rPr>
          <w:rFonts w:eastAsiaTheme="minorHAnsi"/>
          <w:b/>
          <w:sz w:val="28"/>
          <w:szCs w:val="28"/>
          <w:lang w:val="es-ES"/>
        </w:rPr>
        <w:t xml:space="preserve"> T-760 de 2008 adelantad</w:t>
      </w:r>
      <w:r w:rsidRPr="00643DCF">
        <w:rPr>
          <w:rFonts w:eastAsiaTheme="minorHAnsi"/>
          <w:b/>
          <w:sz w:val="28"/>
          <w:szCs w:val="28"/>
          <w:lang w:val="es-ES"/>
        </w:rPr>
        <w:t>o</w:t>
      </w:r>
      <w:r w:rsidR="00F207A7" w:rsidRPr="00643DCF">
        <w:rPr>
          <w:rFonts w:eastAsiaTheme="minorHAnsi"/>
          <w:b/>
          <w:sz w:val="28"/>
          <w:szCs w:val="28"/>
          <w:lang w:val="es-ES"/>
        </w:rPr>
        <w:t xml:space="preserve"> por la Defensoría del Pueblo</w:t>
      </w:r>
    </w:p>
    <w:p w14:paraId="5BDE7501" w14:textId="77777777" w:rsidR="00F207A7" w:rsidRPr="00643DCF" w:rsidRDefault="00F207A7" w:rsidP="00B962D4">
      <w:pPr>
        <w:tabs>
          <w:tab w:val="left" w:pos="567"/>
        </w:tabs>
        <w:autoSpaceDE w:val="0"/>
        <w:autoSpaceDN w:val="0"/>
        <w:ind w:left="567"/>
        <w:jc w:val="both"/>
        <w:rPr>
          <w:sz w:val="28"/>
          <w:szCs w:val="28"/>
        </w:rPr>
      </w:pPr>
    </w:p>
    <w:p w14:paraId="7C625D20" w14:textId="1518F6AE" w:rsidR="00F207A7" w:rsidRPr="00643DCF" w:rsidRDefault="00B962D4" w:rsidP="00820F25">
      <w:pPr>
        <w:tabs>
          <w:tab w:val="left" w:pos="567"/>
        </w:tabs>
        <w:autoSpaceDE w:val="0"/>
        <w:autoSpaceDN w:val="0"/>
        <w:jc w:val="both"/>
        <w:rPr>
          <w:sz w:val="28"/>
          <w:szCs w:val="28"/>
        </w:rPr>
      </w:pPr>
      <w:r w:rsidRPr="00643DCF">
        <w:rPr>
          <w:sz w:val="28"/>
          <w:szCs w:val="28"/>
        </w:rPr>
        <w:t>8</w:t>
      </w:r>
      <w:r w:rsidR="001356D4" w:rsidRPr="00643DCF">
        <w:rPr>
          <w:sz w:val="28"/>
          <w:szCs w:val="28"/>
        </w:rPr>
        <w:t>8</w:t>
      </w:r>
      <w:r w:rsidRPr="00643DCF">
        <w:rPr>
          <w:sz w:val="28"/>
          <w:szCs w:val="28"/>
        </w:rPr>
        <w:t xml:space="preserve">. </w:t>
      </w:r>
      <w:r w:rsidR="007A0B88" w:rsidRPr="00643DCF">
        <w:rPr>
          <w:sz w:val="28"/>
          <w:szCs w:val="28"/>
        </w:rPr>
        <w:t>Atendiendo</w:t>
      </w:r>
      <w:r w:rsidR="00F207A7" w:rsidRPr="00643DCF">
        <w:rPr>
          <w:sz w:val="28"/>
          <w:szCs w:val="28"/>
        </w:rPr>
        <w:t xml:space="preserve"> lo dispuesto en la </w:t>
      </w:r>
      <w:r w:rsidR="000961E6" w:rsidRPr="00643DCF">
        <w:rPr>
          <w:sz w:val="28"/>
          <w:szCs w:val="28"/>
        </w:rPr>
        <w:t>s</w:t>
      </w:r>
      <w:r w:rsidR="00F11A05" w:rsidRPr="00643DCF">
        <w:rPr>
          <w:sz w:val="28"/>
          <w:szCs w:val="28"/>
        </w:rPr>
        <w:t>entencia</w:t>
      </w:r>
      <w:r w:rsidR="00F207A7" w:rsidRPr="00643DCF">
        <w:rPr>
          <w:sz w:val="28"/>
          <w:szCs w:val="28"/>
        </w:rPr>
        <w:t xml:space="preserve"> T-760 de 2008 la Defensoría del Pueblo adelantó actuaciones de seguimiento </w:t>
      </w:r>
      <w:r w:rsidR="00ED05BB" w:rsidRPr="00643DCF">
        <w:rPr>
          <w:sz w:val="28"/>
          <w:szCs w:val="28"/>
        </w:rPr>
        <w:t>a</w:t>
      </w:r>
      <w:r w:rsidR="009A30FC" w:rsidRPr="00643DCF">
        <w:rPr>
          <w:sz w:val="28"/>
          <w:szCs w:val="28"/>
        </w:rPr>
        <w:t xml:space="preserve">l acatamiento </w:t>
      </w:r>
      <w:r w:rsidR="00F207A7" w:rsidRPr="00643DCF">
        <w:rPr>
          <w:sz w:val="28"/>
          <w:szCs w:val="28"/>
        </w:rPr>
        <w:t xml:space="preserve">de la orden </w:t>
      </w:r>
      <w:r w:rsidR="00BE225C" w:rsidRPr="00643DCF">
        <w:rPr>
          <w:sz w:val="28"/>
          <w:szCs w:val="28"/>
        </w:rPr>
        <w:t>trigésima</w:t>
      </w:r>
      <w:r w:rsidR="00F207A7" w:rsidRPr="00643DCF">
        <w:rPr>
          <w:sz w:val="28"/>
          <w:szCs w:val="28"/>
        </w:rPr>
        <w:t xml:space="preserve"> segunda</w:t>
      </w:r>
      <w:r w:rsidR="009A30FC" w:rsidRPr="00643DCF">
        <w:rPr>
          <w:sz w:val="28"/>
          <w:szCs w:val="28"/>
        </w:rPr>
        <w:t>,</w:t>
      </w:r>
      <w:r w:rsidR="00F207A7" w:rsidRPr="00643DCF">
        <w:rPr>
          <w:sz w:val="28"/>
          <w:szCs w:val="28"/>
        </w:rPr>
        <w:t xml:space="preserve"> allegó </w:t>
      </w:r>
      <w:r w:rsidR="00414EAC" w:rsidRPr="00643DCF">
        <w:rPr>
          <w:sz w:val="28"/>
          <w:szCs w:val="28"/>
        </w:rPr>
        <w:t>seis</w:t>
      </w:r>
      <w:r w:rsidR="003E1513" w:rsidRPr="00643DCF">
        <w:rPr>
          <w:sz w:val="28"/>
          <w:szCs w:val="28"/>
        </w:rPr>
        <w:t xml:space="preserve"> </w:t>
      </w:r>
      <w:r w:rsidR="00F207A7" w:rsidRPr="00643DCF">
        <w:rPr>
          <w:sz w:val="28"/>
          <w:szCs w:val="28"/>
        </w:rPr>
        <w:t>informes</w:t>
      </w:r>
      <w:r w:rsidR="003E1513" w:rsidRPr="00643DCF">
        <w:rPr>
          <w:rStyle w:val="Refdenotaalpie"/>
          <w:sz w:val="28"/>
          <w:szCs w:val="28"/>
        </w:rPr>
        <w:footnoteReference w:id="200"/>
      </w:r>
      <w:r w:rsidR="00F207A7" w:rsidRPr="00643DCF">
        <w:rPr>
          <w:sz w:val="28"/>
          <w:szCs w:val="28"/>
        </w:rPr>
        <w:t xml:space="preserve"> en los que relacionó las actividades desarrolladas por el CSJ</w:t>
      </w:r>
      <w:r w:rsidR="003E1513" w:rsidRPr="00643DCF">
        <w:rPr>
          <w:sz w:val="28"/>
          <w:szCs w:val="28"/>
        </w:rPr>
        <w:t xml:space="preserve">, evaluó la efectividad de las medidas y emitió pronunciamientos positivos frente a las mismas. </w:t>
      </w:r>
    </w:p>
    <w:p w14:paraId="3CEBFA52" w14:textId="77777777" w:rsidR="00F207A7" w:rsidRPr="00643DCF" w:rsidRDefault="00F207A7" w:rsidP="00820F25">
      <w:pPr>
        <w:tabs>
          <w:tab w:val="left" w:pos="567"/>
        </w:tabs>
        <w:autoSpaceDE w:val="0"/>
        <w:autoSpaceDN w:val="0"/>
        <w:jc w:val="both"/>
        <w:rPr>
          <w:sz w:val="28"/>
          <w:szCs w:val="28"/>
        </w:rPr>
      </w:pPr>
    </w:p>
    <w:p w14:paraId="483ED5C2" w14:textId="44FD2166" w:rsidR="00F207A7" w:rsidRPr="00643DCF" w:rsidRDefault="00B962D4" w:rsidP="00820F25">
      <w:pPr>
        <w:tabs>
          <w:tab w:val="left" w:pos="567"/>
        </w:tabs>
        <w:autoSpaceDE w:val="0"/>
        <w:autoSpaceDN w:val="0"/>
        <w:jc w:val="both"/>
        <w:rPr>
          <w:sz w:val="28"/>
          <w:szCs w:val="28"/>
        </w:rPr>
      </w:pPr>
      <w:r w:rsidRPr="00643DCF">
        <w:rPr>
          <w:sz w:val="28"/>
          <w:szCs w:val="28"/>
        </w:rPr>
        <w:t>8</w:t>
      </w:r>
      <w:r w:rsidR="001356D4" w:rsidRPr="00643DCF">
        <w:rPr>
          <w:sz w:val="28"/>
          <w:szCs w:val="28"/>
        </w:rPr>
        <w:t>9</w:t>
      </w:r>
      <w:r w:rsidRPr="00643DCF">
        <w:rPr>
          <w:sz w:val="28"/>
          <w:szCs w:val="28"/>
        </w:rPr>
        <w:t xml:space="preserve">. </w:t>
      </w:r>
      <w:r w:rsidR="00F207A7" w:rsidRPr="00643DCF">
        <w:rPr>
          <w:sz w:val="28"/>
          <w:szCs w:val="28"/>
        </w:rPr>
        <w:t xml:space="preserve">De lo anterior, la Sala Especial evidencia la diligencia a cargo de la Defensoría del Pueblo al entregar </w:t>
      </w:r>
      <w:r w:rsidR="003E1513" w:rsidRPr="00643DCF">
        <w:rPr>
          <w:sz w:val="28"/>
          <w:szCs w:val="28"/>
        </w:rPr>
        <w:t xml:space="preserve">las consideraciones </w:t>
      </w:r>
      <w:r w:rsidR="00F207A7" w:rsidRPr="00643DCF">
        <w:rPr>
          <w:sz w:val="28"/>
          <w:szCs w:val="28"/>
        </w:rPr>
        <w:t>relacionados con el acatamiento d</w:t>
      </w:r>
      <w:r w:rsidR="00DE53FA" w:rsidRPr="00643DCF">
        <w:rPr>
          <w:sz w:val="28"/>
          <w:szCs w:val="28"/>
        </w:rPr>
        <w:t>el mandato</w:t>
      </w:r>
      <w:r w:rsidR="003E1513" w:rsidRPr="00643DCF">
        <w:rPr>
          <w:sz w:val="28"/>
          <w:szCs w:val="28"/>
        </w:rPr>
        <w:t xml:space="preserve"> bajo estudio</w:t>
      </w:r>
      <w:r w:rsidR="00F207A7" w:rsidRPr="00643DCF">
        <w:rPr>
          <w:sz w:val="28"/>
          <w:szCs w:val="28"/>
        </w:rPr>
        <w:t>, cuyo principal propósito ha sido analizar las disposiciones impartidas</w:t>
      </w:r>
      <w:r w:rsidR="00E02E6F" w:rsidRPr="00643DCF">
        <w:rPr>
          <w:sz w:val="28"/>
          <w:szCs w:val="28"/>
        </w:rPr>
        <w:t xml:space="preserve"> y </w:t>
      </w:r>
      <w:r w:rsidR="00F207A7" w:rsidRPr="00643DCF">
        <w:rPr>
          <w:sz w:val="28"/>
          <w:szCs w:val="28"/>
        </w:rPr>
        <w:t>verificar el cumplimiento dado por el CSJ con el fin de determinar la materialización de la difusión del fallo estructural entre los funcionarios judiciales.</w:t>
      </w:r>
    </w:p>
    <w:p w14:paraId="2D9B454D" w14:textId="77777777" w:rsidR="00F207A7" w:rsidRPr="00643DCF" w:rsidRDefault="00F207A7" w:rsidP="00F207A7">
      <w:pPr>
        <w:pStyle w:val="Sinespaciado"/>
        <w:jc w:val="both"/>
        <w:rPr>
          <w:rFonts w:ascii="Times New Roman" w:hAnsi="Times New Roman"/>
          <w:sz w:val="28"/>
          <w:szCs w:val="28"/>
        </w:rPr>
      </w:pPr>
    </w:p>
    <w:p w14:paraId="09F77891" w14:textId="1B3E2C5C" w:rsidR="00EE4D04" w:rsidRPr="00643DCF" w:rsidRDefault="00F207A7" w:rsidP="00801703">
      <w:pPr>
        <w:widowControl w:val="0"/>
        <w:tabs>
          <w:tab w:val="left" w:pos="426"/>
        </w:tabs>
        <w:autoSpaceDE w:val="0"/>
        <w:autoSpaceDN w:val="0"/>
        <w:adjustRightInd w:val="0"/>
        <w:jc w:val="both"/>
        <w:rPr>
          <w:sz w:val="28"/>
          <w:szCs w:val="28"/>
        </w:rPr>
      </w:pPr>
      <w:r w:rsidRPr="00643DCF">
        <w:rPr>
          <w:sz w:val="28"/>
          <w:szCs w:val="28"/>
        </w:rPr>
        <w:t xml:space="preserve">Es así como dicha autoridad ha contribuido con </w:t>
      </w:r>
      <w:r w:rsidR="00E02E6F" w:rsidRPr="00643DCF">
        <w:rPr>
          <w:sz w:val="28"/>
          <w:szCs w:val="28"/>
        </w:rPr>
        <w:t>el</w:t>
      </w:r>
      <w:r w:rsidR="00E02E6F" w:rsidRPr="00643DCF">
        <w:rPr>
          <w:snapToGrid w:val="0"/>
          <w:sz w:val="28"/>
          <w:szCs w:val="28"/>
        </w:rPr>
        <w:t xml:space="preserve"> control</w:t>
      </w:r>
      <w:r w:rsidRPr="00643DCF">
        <w:rPr>
          <w:snapToGrid w:val="0"/>
          <w:sz w:val="28"/>
          <w:szCs w:val="28"/>
        </w:rPr>
        <w:t xml:space="preserve"> de la divulgación </w:t>
      </w:r>
      <w:r w:rsidR="002D35D3" w:rsidRPr="00643DCF">
        <w:rPr>
          <w:snapToGrid w:val="0"/>
          <w:sz w:val="28"/>
          <w:szCs w:val="28"/>
        </w:rPr>
        <w:t xml:space="preserve">de </w:t>
      </w:r>
      <w:r w:rsidR="000A0C6D" w:rsidRPr="00643DCF">
        <w:rPr>
          <w:snapToGrid w:val="0"/>
          <w:sz w:val="28"/>
          <w:szCs w:val="28"/>
        </w:rPr>
        <w:t xml:space="preserve">la </w:t>
      </w:r>
      <w:r w:rsidR="002D35D3" w:rsidRPr="00643DCF">
        <w:rPr>
          <w:snapToGrid w:val="0"/>
          <w:sz w:val="28"/>
          <w:szCs w:val="28"/>
        </w:rPr>
        <w:t>s</w:t>
      </w:r>
      <w:r w:rsidR="000A0C6D" w:rsidRPr="00643DCF">
        <w:rPr>
          <w:snapToGrid w:val="0"/>
          <w:sz w:val="28"/>
          <w:szCs w:val="28"/>
        </w:rPr>
        <w:t>entencia</w:t>
      </w:r>
      <w:r w:rsidRPr="00643DCF">
        <w:rPr>
          <w:snapToGrid w:val="0"/>
          <w:sz w:val="28"/>
          <w:szCs w:val="28"/>
        </w:rPr>
        <w:t xml:space="preserve"> T-760 de 2008</w:t>
      </w:r>
      <w:r w:rsidRPr="00643DCF">
        <w:rPr>
          <w:sz w:val="28"/>
          <w:szCs w:val="28"/>
        </w:rPr>
        <w:t xml:space="preserve">, emitiendo pronunciamientos </w:t>
      </w:r>
      <w:r w:rsidR="00290AB3" w:rsidRPr="00643DCF">
        <w:rPr>
          <w:sz w:val="28"/>
          <w:szCs w:val="28"/>
        </w:rPr>
        <w:t>n</w:t>
      </w:r>
      <w:r w:rsidRPr="00643DCF">
        <w:rPr>
          <w:sz w:val="28"/>
          <w:szCs w:val="28"/>
        </w:rPr>
        <w:t>egativos</w:t>
      </w:r>
      <w:r w:rsidR="00290AB3" w:rsidRPr="00643DCF">
        <w:rPr>
          <w:sz w:val="28"/>
          <w:szCs w:val="28"/>
        </w:rPr>
        <w:t xml:space="preserve"> y positivos</w:t>
      </w:r>
      <w:r w:rsidRPr="00643DCF">
        <w:rPr>
          <w:sz w:val="28"/>
          <w:szCs w:val="28"/>
        </w:rPr>
        <w:t xml:space="preserve"> sobre el grado de </w:t>
      </w:r>
      <w:r w:rsidR="00ED05BB" w:rsidRPr="00643DCF">
        <w:rPr>
          <w:sz w:val="28"/>
          <w:szCs w:val="28"/>
        </w:rPr>
        <w:t xml:space="preserve">atención </w:t>
      </w:r>
      <w:r w:rsidRPr="00643DCF">
        <w:rPr>
          <w:sz w:val="28"/>
          <w:szCs w:val="28"/>
        </w:rPr>
        <w:t>de</w:t>
      </w:r>
      <w:r w:rsidR="00DE53FA" w:rsidRPr="00643DCF">
        <w:rPr>
          <w:sz w:val="28"/>
          <w:szCs w:val="28"/>
        </w:rPr>
        <w:t xml:space="preserve"> </w:t>
      </w:r>
      <w:r w:rsidR="00EE4D04" w:rsidRPr="00643DCF">
        <w:rPr>
          <w:sz w:val="28"/>
          <w:szCs w:val="28"/>
        </w:rPr>
        <w:t>l</w:t>
      </w:r>
      <w:r w:rsidR="00DE53FA" w:rsidRPr="00643DCF">
        <w:rPr>
          <w:sz w:val="28"/>
          <w:szCs w:val="28"/>
        </w:rPr>
        <w:t>a</w:t>
      </w:r>
      <w:r w:rsidR="00EE4D04" w:rsidRPr="00643DCF">
        <w:rPr>
          <w:sz w:val="28"/>
          <w:szCs w:val="28"/>
        </w:rPr>
        <w:t xml:space="preserve"> </w:t>
      </w:r>
      <w:r w:rsidR="00DE53FA" w:rsidRPr="00643DCF">
        <w:rPr>
          <w:sz w:val="28"/>
          <w:szCs w:val="28"/>
        </w:rPr>
        <w:t>directriz</w:t>
      </w:r>
      <w:r w:rsidR="00290AB3" w:rsidRPr="00643DCF">
        <w:rPr>
          <w:sz w:val="28"/>
          <w:szCs w:val="28"/>
        </w:rPr>
        <w:t xml:space="preserve"> por </w:t>
      </w:r>
      <w:r w:rsidR="002D35D3" w:rsidRPr="00643DCF">
        <w:rPr>
          <w:sz w:val="28"/>
          <w:szCs w:val="28"/>
        </w:rPr>
        <w:t>parte d</w:t>
      </w:r>
      <w:r w:rsidR="00290AB3" w:rsidRPr="00643DCF">
        <w:rPr>
          <w:sz w:val="28"/>
          <w:szCs w:val="28"/>
        </w:rPr>
        <w:t>el CSJ</w:t>
      </w:r>
      <w:r w:rsidR="00615DFF" w:rsidRPr="00643DCF">
        <w:rPr>
          <w:sz w:val="28"/>
          <w:szCs w:val="28"/>
        </w:rPr>
        <w:t>. M</w:t>
      </w:r>
      <w:r w:rsidR="00EE4D04" w:rsidRPr="00643DCF">
        <w:rPr>
          <w:sz w:val="28"/>
          <w:szCs w:val="28"/>
        </w:rPr>
        <w:t xml:space="preserve">encionó que aunque en principio el cumplimiento de la orden </w:t>
      </w:r>
      <w:r w:rsidR="00BE225C" w:rsidRPr="00643DCF">
        <w:rPr>
          <w:sz w:val="28"/>
          <w:szCs w:val="28"/>
        </w:rPr>
        <w:t>trigésima</w:t>
      </w:r>
      <w:r w:rsidR="00EE4D04" w:rsidRPr="00643DCF">
        <w:rPr>
          <w:sz w:val="28"/>
          <w:szCs w:val="28"/>
        </w:rPr>
        <w:t xml:space="preserve"> segunda se había reducido a publicar el fallo en la página web </w:t>
      </w:r>
      <w:r w:rsidR="00290AB3" w:rsidRPr="00643DCF">
        <w:rPr>
          <w:sz w:val="28"/>
          <w:szCs w:val="28"/>
        </w:rPr>
        <w:t xml:space="preserve">de la Rama Judicial </w:t>
      </w:r>
      <w:r w:rsidR="00EE4D04" w:rsidRPr="00643DCF">
        <w:rPr>
          <w:sz w:val="28"/>
          <w:szCs w:val="28"/>
        </w:rPr>
        <w:t xml:space="preserve">y a la </w:t>
      </w:r>
      <w:r w:rsidR="00DE53FA" w:rsidRPr="00643DCF">
        <w:rPr>
          <w:sz w:val="28"/>
          <w:szCs w:val="28"/>
        </w:rPr>
        <w:t>transmisión de</w:t>
      </w:r>
      <w:r w:rsidR="00EE4D04" w:rsidRPr="00643DCF">
        <w:rPr>
          <w:sz w:val="28"/>
          <w:szCs w:val="28"/>
        </w:rPr>
        <w:t xml:space="preserve"> </w:t>
      </w:r>
      <w:r w:rsidR="00DE53FA" w:rsidRPr="00643DCF">
        <w:rPr>
          <w:sz w:val="28"/>
          <w:szCs w:val="28"/>
        </w:rPr>
        <w:t xml:space="preserve">asuntos </w:t>
      </w:r>
      <w:r w:rsidR="00EE4D04" w:rsidRPr="00643DCF">
        <w:rPr>
          <w:sz w:val="28"/>
          <w:szCs w:val="28"/>
        </w:rPr>
        <w:t xml:space="preserve">académicos por medios virtuales, </w:t>
      </w:r>
      <w:r w:rsidR="002D35D3" w:rsidRPr="00643DCF">
        <w:rPr>
          <w:sz w:val="28"/>
          <w:szCs w:val="28"/>
        </w:rPr>
        <w:t xml:space="preserve">con </w:t>
      </w:r>
      <w:r w:rsidR="00EE4D04" w:rsidRPr="00643DCF">
        <w:rPr>
          <w:sz w:val="28"/>
          <w:szCs w:val="28"/>
        </w:rPr>
        <w:t>posterior</w:t>
      </w:r>
      <w:r w:rsidR="002D35D3" w:rsidRPr="00643DCF">
        <w:rPr>
          <w:sz w:val="28"/>
          <w:szCs w:val="28"/>
        </w:rPr>
        <w:t xml:space="preserve">idad </w:t>
      </w:r>
      <w:r w:rsidR="00C66EA4" w:rsidRPr="00643DCF">
        <w:rPr>
          <w:sz w:val="28"/>
          <w:szCs w:val="28"/>
        </w:rPr>
        <w:t>la entidad obligada</w:t>
      </w:r>
      <w:r w:rsidR="00EE4D04" w:rsidRPr="00643DCF">
        <w:rPr>
          <w:sz w:val="28"/>
          <w:szCs w:val="28"/>
        </w:rPr>
        <w:t xml:space="preserve"> adelantó conversatorios regionales sobre el derecho a la salud y la sentencia estructural</w:t>
      </w:r>
      <w:r w:rsidR="00B535CF" w:rsidRPr="00643DCF">
        <w:rPr>
          <w:sz w:val="28"/>
          <w:szCs w:val="28"/>
        </w:rPr>
        <w:t>, as</w:t>
      </w:r>
      <w:r w:rsidR="00E91C57" w:rsidRPr="00643DCF">
        <w:rPr>
          <w:sz w:val="28"/>
          <w:szCs w:val="28"/>
        </w:rPr>
        <w:t>i</w:t>
      </w:r>
      <w:r w:rsidR="00B535CF" w:rsidRPr="00643DCF">
        <w:rPr>
          <w:sz w:val="28"/>
          <w:szCs w:val="28"/>
        </w:rPr>
        <w:t xml:space="preserve">mismo </w:t>
      </w:r>
      <w:r w:rsidR="00290AB3" w:rsidRPr="00643DCF">
        <w:rPr>
          <w:sz w:val="28"/>
          <w:szCs w:val="28"/>
        </w:rPr>
        <w:t>aumentó</w:t>
      </w:r>
      <w:r w:rsidR="00EE4D04" w:rsidRPr="00643DCF">
        <w:rPr>
          <w:sz w:val="28"/>
          <w:szCs w:val="28"/>
        </w:rPr>
        <w:t xml:space="preserve"> el número de estrategias y jueces capacitados</w:t>
      </w:r>
      <w:r w:rsidR="00B535CF" w:rsidRPr="00643DCF">
        <w:rPr>
          <w:sz w:val="28"/>
          <w:szCs w:val="28"/>
        </w:rPr>
        <w:t>;</w:t>
      </w:r>
      <w:r w:rsidR="00EE4D04" w:rsidRPr="00643DCF">
        <w:rPr>
          <w:sz w:val="28"/>
          <w:szCs w:val="28"/>
        </w:rPr>
        <w:t xml:space="preserve"> concluyendo que a pesar de no haber alcanzado el objetivo planteado</w:t>
      </w:r>
      <w:r w:rsidR="00290AB3" w:rsidRPr="00643DCF">
        <w:rPr>
          <w:sz w:val="28"/>
          <w:szCs w:val="28"/>
        </w:rPr>
        <w:t xml:space="preserve"> estaban obteniendo resultados efectivos</w:t>
      </w:r>
      <w:r w:rsidR="00B535CF" w:rsidRPr="00643DCF">
        <w:rPr>
          <w:sz w:val="28"/>
          <w:szCs w:val="28"/>
        </w:rPr>
        <w:t xml:space="preserve"> y en consecuencia atendiendo </w:t>
      </w:r>
      <w:r w:rsidR="00DE53FA" w:rsidRPr="00643DCF">
        <w:rPr>
          <w:sz w:val="28"/>
          <w:szCs w:val="28"/>
        </w:rPr>
        <w:t xml:space="preserve">la </w:t>
      </w:r>
      <w:r w:rsidR="00F4470E" w:rsidRPr="00643DCF">
        <w:rPr>
          <w:sz w:val="28"/>
          <w:szCs w:val="28"/>
        </w:rPr>
        <w:t>directriz</w:t>
      </w:r>
      <w:r w:rsidR="00B535CF" w:rsidRPr="00643DCF">
        <w:rPr>
          <w:sz w:val="28"/>
          <w:szCs w:val="28"/>
        </w:rPr>
        <w:t xml:space="preserve"> examinad</w:t>
      </w:r>
      <w:r w:rsidR="00DE53FA" w:rsidRPr="00643DCF">
        <w:rPr>
          <w:sz w:val="28"/>
          <w:szCs w:val="28"/>
        </w:rPr>
        <w:t>a</w:t>
      </w:r>
      <w:r w:rsidR="00B535CF" w:rsidRPr="00643DCF">
        <w:rPr>
          <w:sz w:val="28"/>
          <w:szCs w:val="28"/>
        </w:rPr>
        <w:t>.</w:t>
      </w:r>
      <w:r w:rsidR="00EE4D04" w:rsidRPr="00643DCF">
        <w:rPr>
          <w:sz w:val="28"/>
          <w:szCs w:val="28"/>
        </w:rPr>
        <w:t xml:space="preserve"> </w:t>
      </w:r>
    </w:p>
    <w:p w14:paraId="79D9CC2B" w14:textId="77777777" w:rsidR="00F207A7" w:rsidRPr="00643DCF" w:rsidRDefault="00F207A7" w:rsidP="00F207A7">
      <w:pPr>
        <w:pStyle w:val="Sinespaciado"/>
        <w:jc w:val="both"/>
        <w:rPr>
          <w:rFonts w:ascii="Times New Roman" w:hAnsi="Times New Roman"/>
          <w:sz w:val="28"/>
          <w:szCs w:val="28"/>
        </w:rPr>
      </w:pPr>
    </w:p>
    <w:p w14:paraId="7E2490B3" w14:textId="1D965334" w:rsidR="00F207A7" w:rsidRPr="00643DCF" w:rsidRDefault="000A0C6D" w:rsidP="00820F25">
      <w:pPr>
        <w:pStyle w:val="Sinespaciado"/>
        <w:jc w:val="both"/>
        <w:rPr>
          <w:rFonts w:ascii="Times New Roman" w:hAnsi="Times New Roman"/>
          <w:sz w:val="28"/>
          <w:szCs w:val="28"/>
        </w:rPr>
      </w:pPr>
      <w:r w:rsidRPr="00643DCF">
        <w:rPr>
          <w:rFonts w:ascii="Times New Roman" w:hAnsi="Times New Roman"/>
          <w:sz w:val="28"/>
          <w:szCs w:val="28"/>
        </w:rPr>
        <w:t>Por lo anterior</w:t>
      </w:r>
      <w:r w:rsidR="00F207A7" w:rsidRPr="00643DCF">
        <w:rPr>
          <w:rFonts w:ascii="Times New Roman" w:hAnsi="Times New Roman"/>
          <w:sz w:val="28"/>
          <w:szCs w:val="28"/>
        </w:rPr>
        <w:t xml:space="preserve">, </w:t>
      </w:r>
      <w:r w:rsidR="00C66EA4" w:rsidRPr="00643DCF">
        <w:rPr>
          <w:rFonts w:ascii="Times New Roman" w:hAnsi="Times New Roman"/>
          <w:sz w:val="28"/>
          <w:szCs w:val="28"/>
        </w:rPr>
        <w:t xml:space="preserve">se dispondrá que </w:t>
      </w:r>
      <w:r w:rsidR="00F207A7" w:rsidRPr="00643DCF">
        <w:rPr>
          <w:rFonts w:ascii="Times New Roman" w:hAnsi="Times New Roman"/>
          <w:sz w:val="28"/>
          <w:szCs w:val="28"/>
        </w:rPr>
        <w:t xml:space="preserve">la Defensoría del Pueblo </w:t>
      </w:r>
      <w:r w:rsidR="00C66EA4" w:rsidRPr="00643DCF">
        <w:rPr>
          <w:rFonts w:ascii="Times New Roman" w:hAnsi="Times New Roman"/>
          <w:sz w:val="28"/>
          <w:szCs w:val="28"/>
        </w:rPr>
        <w:t>continúe</w:t>
      </w:r>
      <w:r w:rsidR="00F207A7" w:rsidRPr="00643DCF">
        <w:rPr>
          <w:rFonts w:ascii="Times New Roman" w:hAnsi="Times New Roman"/>
          <w:sz w:val="28"/>
          <w:szCs w:val="28"/>
        </w:rPr>
        <w:t xml:space="preserve"> ejerciendo su función constitucional</w:t>
      </w:r>
      <w:r w:rsidR="00F207A7" w:rsidRPr="00643DCF">
        <w:rPr>
          <w:rStyle w:val="Refdenotaalpie"/>
          <w:rFonts w:ascii="Times New Roman" w:hAnsi="Times New Roman"/>
          <w:sz w:val="28"/>
          <w:szCs w:val="28"/>
        </w:rPr>
        <w:footnoteReference w:id="201"/>
      </w:r>
      <w:r w:rsidR="00C66EA4" w:rsidRPr="00643DCF">
        <w:rPr>
          <w:rFonts w:ascii="Times New Roman" w:hAnsi="Times New Roman"/>
          <w:sz w:val="28"/>
          <w:szCs w:val="28"/>
        </w:rPr>
        <w:t xml:space="preserve"> </w:t>
      </w:r>
      <w:r w:rsidR="00F207A7" w:rsidRPr="00643DCF">
        <w:rPr>
          <w:rFonts w:ascii="Times New Roman" w:hAnsi="Times New Roman"/>
          <w:sz w:val="28"/>
          <w:szCs w:val="28"/>
        </w:rPr>
        <w:t>relacionada con la gestión de verificación y acompañamiento al CSJ</w:t>
      </w:r>
      <w:r w:rsidR="00187CE1" w:rsidRPr="00643DCF">
        <w:rPr>
          <w:rFonts w:ascii="Times New Roman" w:hAnsi="Times New Roman"/>
          <w:sz w:val="28"/>
          <w:szCs w:val="28"/>
        </w:rPr>
        <w:t xml:space="preserve"> en la divulgación de la </w:t>
      </w:r>
      <w:r w:rsidR="00B535CF" w:rsidRPr="00643DCF">
        <w:rPr>
          <w:rFonts w:ascii="Times New Roman" w:hAnsi="Times New Roman"/>
          <w:sz w:val="28"/>
          <w:szCs w:val="28"/>
        </w:rPr>
        <w:t>s</w:t>
      </w:r>
      <w:r w:rsidR="00187CE1" w:rsidRPr="00643DCF">
        <w:rPr>
          <w:rFonts w:ascii="Times New Roman" w:hAnsi="Times New Roman"/>
          <w:sz w:val="28"/>
          <w:szCs w:val="28"/>
        </w:rPr>
        <w:t>entencia T-760 de 2008 y los autos de seguimiento</w:t>
      </w:r>
      <w:r w:rsidR="00C66EA4" w:rsidRPr="00643DCF">
        <w:rPr>
          <w:rFonts w:ascii="Times New Roman" w:hAnsi="Times New Roman"/>
          <w:sz w:val="28"/>
          <w:szCs w:val="28"/>
        </w:rPr>
        <w:t xml:space="preserve"> a las órdenes</w:t>
      </w:r>
      <w:r w:rsidR="00187CE1" w:rsidRPr="00643DCF">
        <w:rPr>
          <w:rFonts w:ascii="Times New Roman" w:hAnsi="Times New Roman"/>
          <w:sz w:val="28"/>
          <w:szCs w:val="28"/>
        </w:rPr>
        <w:t xml:space="preserve"> </w:t>
      </w:r>
      <w:r w:rsidR="00F207A7" w:rsidRPr="00643DCF">
        <w:rPr>
          <w:rFonts w:ascii="Times New Roman" w:hAnsi="Times New Roman"/>
          <w:sz w:val="28"/>
          <w:szCs w:val="28"/>
        </w:rPr>
        <w:t>hasta tanto</w:t>
      </w:r>
      <w:r w:rsidR="00187CE1" w:rsidRPr="00643DCF">
        <w:rPr>
          <w:rFonts w:ascii="Times New Roman" w:hAnsi="Times New Roman"/>
          <w:sz w:val="28"/>
          <w:szCs w:val="28"/>
        </w:rPr>
        <w:t xml:space="preserve"> se encuentren superados los problemas jurídicos </w:t>
      </w:r>
      <w:r w:rsidR="009D42AA" w:rsidRPr="00643DCF">
        <w:rPr>
          <w:rFonts w:ascii="Times New Roman" w:hAnsi="Times New Roman"/>
          <w:sz w:val="28"/>
          <w:szCs w:val="28"/>
        </w:rPr>
        <w:t>evidenciados en la providencia mencionada</w:t>
      </w:r>
      <w:r w:rsidR="00F207A7" w:rsidRPr="00643DCF">
        <w:rPr>
          <w:rFonts w:ascii="Times New Roman" w:hAnsi="Times New Roman"/>
          <w:sz w:val="28"/>
          <w:szCs w:val="28"/>
        </w:rPr>
        <w:t>.</w:t>
      </w:r>
    </w:p>
    <w:p w14:paraId="31B51603" w14:textId="77777777" w:rsidR="00A6174B" w:rsidRPr="00643DCF" w:rsidRDefault="00A6174B" w:rsidP="002577AB">
      <w:pPr>
        <w:tabs>
          <w:tab w:val="left" w:pos="142"/>
          <w:tab w:val="left" w:pos="567"/>
          <w:tab w:val="left" w:pos="851"/>
          <w:tab w:val="left" w:pos="993"/>
        </w:tabs>
        <w:jc w:val="both"/>
        <w:rPr>
          <w:b/>
          <w:sz w:val="28"/>
          <w:szCs w:val="28"/>
        </w:rPr>
      </w:pPr>
    </w:p>
    <w:p w14:paraId="4EE41974" w14:textId="030FB083" w:rsidR="0040379A" w:rsidRPr="00643DCF" w:rsidRDefault="00A87EC3" w:rsidP="009329FA">
      <w:pPr>
        <w:tabs>
          <w:tab w:val="left" w:pos="142"/>
          <w:tab w:val="left" w:pos="426"/>
          <w:tab w:val="left" w:pos="851"/>
          <w:tab w:val="left" w:pos="993"/>
        </w:tabs>
        <w:ind w:left="426"/>
        <w:rPr>
          <w:b/>
          <w:sz w:val="28"/>
          <w:szCs w:val="28"/>
        </w:rPr>
      </w:pPr>
      <w:r w:rsidRPr="00643DCF">
        <w:rPr>
          <w:b/>
          <w:sz w:val="28"/>
          <w:szCs w:val="28"/>
        </w:rPr>
        <w:t>Valoración del nivel de cumplimiento de la orden</w:t>
      </w:r>
    </w:p>
    <w:p w14:paraId="49C44C80" w14:textId="77777777" w:rsidR="00E47E87" w:rsidRPr="00643DCF" w:rsidRDefault="00E47E87" w:rsidP="000C2A40">
      <w:pPr>
        <w:pStyle w:val="Prrafodelista"/>
        <w:tabs>
          <w:tab w:val="left" w:pos="142"/>
          <w:tab w:val="left" w:pos="567"/>
          <w:tab w:val="left" w:pos="851"/>
          <w:tab w:val="left" w:pos="993"/>
        </w:tabs>
        <w:ind w:left="375"/>
        <w:jc w:val="both"/>
        <w:rPr>
          <w:b/>
          <w:sz w:val="28"/>
          <w:szCs w:val="28"/>
          <w:highlight w:val="darkYellow"/>
        </w:rPr>
      </w:pPr>
    </w:p>
    <w:p w14:paraId="0B10E13F" w14:textId="04C8076E" w:rsidR="00E47E87" w:rsidRPr="00643DCF" w:rsidRDefault="001356D4" w:rsidP="00820F25">
      <w:pPr>
        <w:pStyle w:val="Sinespaciado3"/>
        <w:tabs>
          <w:tab w:val="left" w:pos="0"/>
          <w:tab w:val="left" w:pos="426"/>
          <w:tab w:val="left" w:pos="2865"/>
        </w:tabs>
        <w:jc w:val="both"/>
        <w:rPr>
          <w:rFonts w:ascii="Times New Roman" w:hAnsi="Times New Roman"/>
          <w:sz w:val="28"/>
          <w:szCs w:val="28"/>
        </w:rPr>
      </w:pPr>
      <w:r w:rsidRPr="00643DCF">
        <w:rPr>
          <w:rFonts w:ascii="Times New Roman" w:hAnsi="Times New Roman"/>
          <w:sz w:val="28"/>
          <w:szCs w:val="28"/>
        </w:rPr>
        <w:t>90</w:t>
      </w:r>
      <w:r w:rsidR="00B962D4" w:rsidRPr="00643DCF">
        <w:rPr>
          <w:rFonts w:ascii="Times New Roman" w:hAnsi="Times New Roman"/>
          <w:sz w:val="28"/>
          <w:szCs w:val="28"/>
        </w:rPr>
        <w:t xml:space="preserve">. </w:t>
      </w:r>
      <w:r w:rsidR="00E47E87" w:rsidRPr="00643DCF">
        <w:rPr>
          <w:rFonts w:ascii="Times New Roman" w:hAnsi="Times New Roman"/>
          <w:sz w:val="28"/>
          <w:szCs w:val="28"/>
        </w:rPr>
        <w:t>De acuerdo con</w:t>
      </w:r>
      <w:r w:rsidR="007A64E0" w:rsidRPr="00643DCF">
        <w:rPr>
          <w:rFonts w:ascii="Times New Roman" w:hAnsi="Times New Roman"/>
          <w:sz w:val="28"/>
          <w:szCs w:val="28"/>
        </w:rPr>
        <w:t xml:space="preserve"> </w:t>
      </w:r>
      <w:r w:rsidR="00E47E87" w:rsidRPr="00643DCF">
        <w:rPr>
          <w:rFonts w:ascii="Times New Roman" w:hAnsi="Times New Roman"/>
          <w:bCs/>
          <w:sz w:val="28"/>
          <w:szCs w:val="28"/>
        </w:rPr>
        <w:t xml:space="preserve">la metodología </w:t>
      </w:r>
      <w:r w:rsidR="00BB64F7" w:rsidRPr="00643DCF">
        <w:rPr>
          <w:rFonts w:ascii="Times New Roman" w:hAnsi="Times New Roman"/>
          <w:bCs/>
          <w:sz w:val="28"/>
          <w:szCs w:val="28"/>
        </w:rPr>
        <w:t>de</w:t>
      </w:r>
      <w:r w:rsidR="00E47E87" w:rsidRPr="00643DCF">
        <w:rPr>
          <w:rFonts w:ascii="Times New Roman" w:hAnsi="Times New Roman"/>
          <w:bCs/>
          <w:sz w:val="28"/>
          <w:szCs w:val="28"/>
        </w:rPr>
        <w:t xml:space="preserve"> evaluación fijad</w:t>
      </w:r>
      <w:r w:rsidR="00BB64F7" w:rsidRPr="00643DCF">
        <w:rPr>
          <w:rFonts w:ascii="Times New Roman" w:hAnsi="Times New Roman"/>
          <w:bCs/>
          <w:sz w:val="28"/>
          <w:szCs w:val="28"/>
        </w:rPr>
        <w:t xml:space="preserve">a </w:t>
      </w:r>
      <w:r w:rsidR="00C203A4" w:rsidRPr="00643DCF">
        <w:rPr>
          <w:rFonts w:ascii="Times New Roman" w:hAnsi="Times New Roman"/>
          <w:bCs/>
          <w:sz w:val="28"/>
          <w:szCs w:val="28"/>
        </w:rPr>
        <w:t>a partir del</w:t>
      </w:r>
      <w:r w:rsidR="00E47E87" w:rsidRPr="00643DCF">
        <w:rPr>
          <w:rFonts w:ascii="Times New Roman" w:hAnsi="Times New Roman"/>
          <w:bCs/>
          <w:sz w:val="28"/>
          <w:szCs w:val="28"/>
        </w:rPr>
        <w:t xml:space="preserve"> </w:t>
      </w:r>
      <w:r w:rsidR="00B535CF" w:rsidRPr="00643DCF">
        <w:rPr>
          <w:rFonts w:ascii="Times New Roman" w:hAnsi="Times New Roman"/>
          <w:sz w:val="28"/>
          <w:szCs w:val="28"/>
          <w:lang w:val="es-ES_tradnl"/>
        </w:rPr>
        <w:t>a</w:t>
      </w:r>
      <w:r w:rsidR="00E47E87" w:rsidRPr="00643DCF">
        <w:rPr>
          <w:rFonts w:ascii="Times New Roman" w:hAnsi="Times New Roman"/>
          <w:sz w:val="28"/>
          <w:szCs w:val="28"/>
          <w:lang w:val="es-ES_tradnl"/>
        </w:rPr>
        <w:t xml:space="preserve">uto </w:t>
      </w:r>
      <w:r w:rsidR="00E47E87" w:rsidRPr="00643DCF">
        <w:rPr>
          <w:rFonts w:ascii="Times New Roman" w:hAnsi="Times New Roman"/>
          <w:bCs/>
          <w:sz w:val="28"/>
          <w:szCs w:val="28"/>
        </w:rPr>
        <w:t>411 de 2015</w:t>
      </w:r>
      <w:r w:rsidR="00E47E87" w:rsidRPr="00643DCF">
        <w:rPr>
          <w:rFonts w:ascii="Times New Roman" w:hAnsi="Times New Roman"/>
          <w:bCs/>
          <w:sz w:val="28"/>
          <w:szCs w:val="28"/>
          <w:vertAlign w:val="superscript"/>
        </w:rPr>
        <w:footnoteReference w:id="202"/>
      </w:r>
      <w:r w:rsidR="00E47E87" w:rsidRPr="00643DCF">
        <w:rPr>
          <w:rFonts w:ascii="Times New Roman" w:hAnsi="Times New Roman"/>
          <w:bCs/>
          <w:sz w:val="28"/>
          <w:szCs w:val="28"/>
        </w:rPr>
        <w:t xml:space="preserve"> y los hechos expuestos, entrará </w:t>
      </w:r>
      <w:r w:rsidR="00772ABF" w:rsidRPr="00643DCF">
        <w:rPr>
          <w:rFonts w:ascii="Times New Roman" w:hAnsi="Times New Roman"/>
          <w:bCs/>
          <w:sz w:val="28"/>
          <w:szCs w:val="28"/>
        </w:rPr>
        <w:t xml:space="preserve">la </w:t>
      </w:r>
      <w:r w:rsidR="00E47E87" w:rsidRPr="00643DCF">
        <w:rPr>
          <w:rFonts w:ascii="Times New Roman" w:hAnsi="Times New Roman"/>
          <w:bCs/>
          <w:sz w:val="28"/>
          <w:szCs w:val="28"/>
        </w:rPr>
        <w:t xml:space="preserve">Sala a </w:t>
      </w:r>
      <w:r w:rsidR="00772ABF" w:rsidRPr="00643DCF">
        <w:rPr>
          <w:rFonts w:ascii="Times New Roman" w:hAnsi="Times New Roman"/>
          <w:bCs/>
          <w:sz w:val="28"/>
          <w:szCs w:val="28"/>
        </w:rPr>
        <w:t>determinar</w:t>
      </w:r>
      <w:r w:rsidR="00263CC1">
        <w:rPr>
          <w:rFonts w:ascii="Times New Roman" w:hAnsi="Times New Roman"/>
          <w:bCs/>
          <w:sz w:val="28"/>
          <w:szCs w:val="28"/>
        </w:rPr>
        <w:t>:</w:t>
      </w:r>
      <w:r w:rsidR="00772ABF" w:rsidRPr="00643DCF">
        <w:rPr>
          <w:rFonts w:ascii="Times New Roman" w:hAnsi="Times New Roman"/>
          <w:bCs/>
          <w:sz w:val="28"/>
          <w:szCs w:val="28"/>
        </w:rPr>
        <w:t xml:space="preserve"> </w:t>
      </w:r>
      <w:r w:rsidR="00E47E87" w:rsidRPr="00643DCF">
        <w:rPr>
          <w:rFonts w:ascii="Times New Roman" w:hAnsi="Times New Roman"/>
          <w:bCs/>
          <w:i/>
          <w:sz w:val="28"/>
          <w:szCs w:val="28"/>
        </w:rPr>
        <w:t>(i)</w:t>
      </w:r>
      <w:r w:rsidR="00E47E87" w:rsidRPr="00643DCF">
        <w:rPr>
          <w:rFonts w:ascii="Times New Roman" w:hAnsi="Times New Roman"/>
          <w:bCs/>
          <w:sz w:val="28"/>
          <w:szCs w:val="28"/>
        </w:rPr>
        <w:t xml:space="preserve"> la </w:t>
      </w:r>
      <w:r w:rsidR="00390203" w:rsidRPr="00643DCF">
        <w:rPr>
          <w:rFonts w:ascii="Times New Roman" w:hAnsi="Times New Roman"/>
          <w:bCs/>
          <w:sz w:val="28"/>
          <w:szCs w:val="28"/>
        </w:rPr>
        <w:t xml:space="preserve">existencia de medidas </w:t>
      </w:r>
      <w:r w:rsidR="00E47E87" w:rsidRPr="00643DCF">
        <w:rPr>
          <w:rFonts w:ascii="Times New Roman" w:hAnsi="Times New Roman"/>
          <w:bCs/>
          <w:sz w:val="28"/>
          <w:szCs w:val="28"/>
        </w:rPr>
        <w:t>adop</w:t>
      </w:r>
      <w:r w:rsidR="00390203" w:rsidRPr="00643DCF">
        <w:rPr>
          <w:rFonts w:ascii="Times New Roman" w:hAnsi="Times New Roman"/>
          <w:bCs/>
          <w:sz w:val="28"/>
          <w:szCs w:val="28"/>
        </w:rPr>
        <w:t>tadas</w:t>
      </w:r>
      <w:r w:rsidR="00E47E87" w:rsidRPr="00643DCF">
        <w:rPr>
          <w:rFonts w:ascii="Times New Roman" w:hAnsi="Times New Roman"/>
          <w:bCs/>
          <w:sz w:val="28"/>
          <w:szCs w:val="28"/>
        </w:rPr>
        <w:t xml:space="preserve"> por el CJS</w:t>
      </w:r>
      <w:r w:rsidR="00B535CF" w:rsidRPr="00643DCF">
        <w:rPr>
          <w:rFonts w:ascii="Times New Roman" w:hAnsi="Times New Roman"/>
          <w:bCs/>
          <w:sz w:val="28"/>
          <w:szCs w:val="28"/>
        </w:rPr>
        <w:t>;</w:t>
      </w:r>
      <w:r w:rsidR="00E47E87" w:rsidRPr="00643DCF">
        <w:rPr>
          <w:rFonts w:ascii="Times New Roman" w:hAnsi="Times New Roman"/>
          <w:bCs/>
          <w:sz w:val="28"/>
          <w:szCs w:val="28"/>
        </w:rPr>
        <w:t xml:space="preserve"> </w:t>
      </w:r>
      <w:r w:rsidR="00E47E87" w:rsidRPr="00643DCF">
        <w:rPr>
          <w:rFonts w:ascii="Times New Roman" w:hAnsi="Times New Roman"/>
          <w:bCs/>
          <w:i/>
          <w:sz w:val="28"/>
          <w:szCs w:val="28"/>
        </w:rPr>
        <w:t>(ii)</w:t>
      </w:r>
      <w:r w:rsidR="00E47E87" w:rsidRPr="00643DCF">
        <w:rPr>
          <w:rFonts w:ascii="Times New Roman" w:hAnsi="Times New Roman"/>
          <w:bCs/>
          <w:sz w:val="28"/>
          <w:szCs w:val="28"/>
        </w:rPr>
        <w:t xml:space="preserve"> </w:t>
      </w:r>
      <w:r w:rsidR="00B535CF" w:rsidRPr="00643DCF">
        <w:rPr>
          <w:rFonts w:ascii="Times New Roman" w:hAnsi="Times New Roman"/>
          <w:bCs/>
          <w:sz w:val="28"/>
          <w:szCs w:val="28"/>
        </w:rPr>
        <w:t>su</w:t>
      </w:r>
      <w:r w:rsidR="00E47E87" w:rsidRPr="00643DCF">
        <w:rPr>
          <w:rFonts w:ascii="Times New Roman" w:hAnsi="Times New Roman"/>
          <w:bCs/>
          <w:sz w:val="28"/>
          <w:szCs w:val="28"/>
        </w:rPr>
        <w:t xml:space="preserve"> conducencia y</w:t>
      </w:r>
      <w:r w:rsidR="00B535CF" w:rsidRPr="00643DCF">
        <w:rPr>
          <w:rFonts w:ascii="Times New Roman" w:hAnsi="Times New Roman"/>
          <w:bCs/>
          <w:sz w:val="28"/>
          <w:szCs w:val="28"/>
        </w:rPr>
        <w:t>,</w:t>
      </w:r>
      <w:r w:rsidR="00E47E87" w:rsidRPr="00643DCF">
        <w:rPr>
          <w:rFonts w:ascii="Times New Roman" w:hAnsi="Times New Roman"/>
          <w:bCs/>
          <w:sz w:val="28"/>
          <w:szCs w:val="28"/>
        </w:rPr>
        <w:t xml:space="preserve"> </w:t>
      </w:r>
      <w:r w:rsidR="00E47E87" w:rsidRPr="00643DCF">
        <w:rPr>
          <w:rFonts w:ascii="Times New Roman" w:hAnsi="Times New Roman"/>
          <w:bCs/>
          <w:i/>
          <w:sz w:val="28"/>
          <w:szCs w:val="28"/>
        </w:rPr>
        <w:t>(iii)</w:t>
      </w:r>
      <w:r w:rsidR="00E47E87" w:rsidRPr="00643DCF">
        <w:rPr>
          <w:rFonts w:ascii="Times New Roman" w:hAnsi="Times New Roman"/>
          <w:bCs/>
          <w:sz w:val="28"/>
          <w:szCs w:val="28"/>
        </w:rPr>
        <w:t xml:space="preserve"> los resultados y avances obtenidos. </w:t>
      </w:r>
    </w:p>
    <w:p w14:paraId="191C6495" w14:textId="77777777" w:rsidR="00390203" w:rsidRPr="00643DCF" w:rsidRDefault="00390203" w:rsidP="001F497E">
      <w:pPr>
        <w:pStyle w:val="Sinespaciado3"/>
        <w:tabs>
          <w:tab w:val="left" w:pos="0"/>
          <w:tab w:val="left" w:pos="426"/>
          <w:tab w:val="left" w:pos="2865"/>
        </w:tabs>
        <w:jc w:val="both"/>
        <w:rPr>
          <w:rFonts w:ascii="Times New Roman" w:hAnsi="Times New Roman"/>
          <w:bCs/>
          <w:sz w:val="28"/>
          <w:szCs w:val="28"/>
        </w:rPr>
      </w:pPr>
    </w:p>
    <w:p w14:paraId="760B5830" w14:textId="6865776B" w:rsidR="00390203" w:rsidRPr="00643DCF" w:rsidRDefault="00680721" w:rsidP="00820F25">
      <w:pPr>
        <w:pStyle w:val="Sinespaciado6"/>
        <w:tabs>
          <w:tab w:val="left" w:pos="142"/>
          <w:tab w:val="left" w:pos="567"/>
          <w:tab w:val="left" w:pos="851"/>
          <w:tab w:val="left" w:pos="993"/>
        </w:tabs>
        <w:jc w:val="both"/>
        <w:rPr>
          <w:rFonts w:ascii="Times New Roman" w:hAnsi="Times New Roman"/>
          <w:sz w:val="28"/>
          <w:szCs w:val="28"/>
        </w:rPr>
      </w:pPr>
      <w:r w:rsidRPr="00643DCF">
        <w:rPr>
          <w:rFonts w:ascii="Times New Roman" w:hAnsi="Times New Roman"/>
          <w:sz w:val="28"/>
          <w:szCs w:val="28"/>
        </w:rPr>
        <w:t>9</w:t>
      </w:r>
      <w:r w:rsidR="001356D4" w:rsidRPr="00643DCF">
        <w:rPr>
          <w:rFonts w:ascii="Times New Roman" w:hAnsi="Times New Roman"/>
          <w:sz w:val="28"/>
          <w:szCs w:val="28"/>
        </w:rPr>
        <w:t>1</w:t>
      </w:r>
      <w:r w:rsidR="00B962D4" w:rsidRPr="00643DCF">
        <w:rPr>
          <w:rFonts w:ascii="Times New Roman" w:hAnsi="Times New Roman"/>
          <w:sz w:val="28"/>
          <w:szCs w:val="28"/>
        </w:rPr>
        <w:t xml:space="preserve">. </w:t>
      </w:r>
      <w:r w:rsidR="00390203" w:rsidRPr="00643DCF">
        <w:rPr>
          <w:rFonts w:ascii="Times New Roman" w:hAnsi="Times New Roman"/>
          <w:sz w:val="28"/>
          <w:szCs w:val="28"/>
        </w:rPr>
        <w:t>En cuanto a la existencia de las medidas</w:t>
      </w:r>
      <w:r w:rsidR="00390203" w:rsidRPr="00643DCF">
        <w:rPr>
          <w:rFonts w:ascii="Times New Roman" w:hAnsi="Times New Roman"/>
          <w:b/>
          <w:sz w:val="28"/>
          <w:szCs w:val="28"/>
        </w:rPr>
        <w:t xml:space="preserve"> </w:t>
      </w:r>
      <w:r w:rsidR="00390203" w:rsidRPr="00643DCF">
        <w:rPr>
          <w:rFonts w:ascii="Times New Roman" w:hAnsi="Times New Roman"/>
          <w:sz w:val="28"/>
          <w:szCs w:val="28"/>
        </w:rPr>
        <w:t xml:space="preserve">para superar la problemática, </w:t>
      </w:r>
      <w:r w:rsidR="00DF54A0" w:rsidRPr="00643DCF">
        <w:rPr>
          <w:rFonts w:ascii="Times New Roman" w:hAnsi="Times New Roman"/>
          <w:sz w:val="28"/>
          <w:szCs w:val="28"/>
        </w:rPr>
        <w:t>se observa que</w:t>
      </w:r>
      <w:r w:rsidR="00390203" w:rsidRPr="00643DCF">
        <w:rPr>
          <w:rFonts w:ascii="Times New Roman" w:hAnsi="Times New Roman"/>
          <w:sz w:val="28"/>
          <w:szCs w:val="28"/>
        </w:rPr>
        <w:t xml:space="preserve"> el Consejo Superior de la Judicatura implement</w:t>
      </w:r>
      <w:r w:rsidR="00C446BD" w:rsidRPr="00643DCF">
        <w:rPr>
          <w:rFonts w:ascii="Times New Roman" w:hAnsi="Times New Roman"/>
          <w:sz w:val="28"/>
          <w:szCs w:val="28"/>
        </w:rPr>
        <w:t>ó</w:t>
      </w:r>
      <w:r w:rsidR="00390203" w:rsidRPr="00643DCF">
        <w:rPr>
          <w:rFonts w:ascii="Times New Roman" w:hAnsi="Times New Roman"/>
          <w:sz w:val="28"/>
          <w:szCs w:val="28"/>
        </w:rPr>
        <w:t xml:space="preserve"> </w:t>
      </w:r>
      <w:r w:rsidR="00C446BD" w:rsidRPr="00643DCF">
        <w:rPr>
          <w:rFonts w:ascii="Times New Roman" w:hAnsi="Times New Roman"/>
          <w:sz w:val="28"/>
          <w:szCs w:val="28"/>
        </w:rPr>
        <w:t xml:space="preserve">gran parte </w:t>
      </w:r>
      <w:r w:rsidR="00390203" w:rsidRPr="00643DCF">
        <w:rPr>
          <w:rFonts w:ascii="Times New Roman" w:hAnsi="Times New Roman"/>
          <w:sz w:val="28"/>
          <w:szCs w:val="28"/>
        </w:rPr>
        <w:t xml:space="preserve">de las actuaciones solicitadas por la Sala Especial de </w:t>
      </w:r>
      <w:r w:rsidR="00BB64F7" w:rsidRPr="00643DCF">
        <w:rPr>
          <w:rFonts w:ascii="Times New Roman" w:hAnsi="Times New Roman"/>
          <w:sz w:val="28"/>
          <w:szCs w:val="28"/>
        </w:rPr>
        <w:t>S</w:t>
      </w:r>
      <w:r w:rsidR="00390203" w:rsidRPr="00643DCF">
        <w:rPr>
          <w:rFonts w:ascii="Times New Roman" w:hAnsi="Times New Roman"/>
          <w:sz w:val="28"/>
          <w:szCs w:val="28"/>
        </w:rPr>
        <w:t xml:space="preserve">eguimiento para darle </w:t>
      </w:r>
      <w:r w:rsidR="007A0B88" w:rsidRPr="00643DCF">
        <w:rPr>
          <w:rFonts w:ascii="Times New Roman" w:hAnsi="Times New Roman"/>
          <w:sz w:val="28"/>
          <w:szCs w:val="28"/>
        </w:rPr>
        <w:t xml:space="preserve">acatamiento </w:t>
      </w:r>
      <w:r w:rsidR="00390203" w:rsidRPr="00643DCF">
        <w:rPr>
          <w:rFonts w:ascii="Times New Roman" w:hAnsi="Times New Roman"/>
          <w:sz w:val="28"/>
          <w:szCs w:val="28"/>
        </w:rPr>
        <w:t xml:space="preserve">a la orden trigésima segunda de la </w:t>
      </w:r>
      <w:r w:rsidR="00E91C57" w:rsidRPr="00643DCF">
        <w:rPr>
          <w:rFonts w:ascii="Times New Roman" w:hAnsi="Times New Roman"/>
          <w:sz w:val="28"/>
          <w:szCs w:val="28"/>
        </w:rPr>
        <w:t>se</w:t>
      </w:r>
      <w:r w:rsidR="00390203" w:rsidRPr="00643DCF">
        <w:rPr>
          <w:rFonts w:ascii="Times New Roman" w:hAnsi="Times New Roman"/>
          <w:sz w:val="28"/>
          <w:szCs w:val="28"/>
        </w:rPr>
        <w:t>ntencia T-760 de 2008</w:t>
      </w:r>
      <w:r w:rsidR="00DF54A0" w:rsidRPr="00643DCF">
        <w:rPr>
          <w:rFonts w:ascii="Times New Roman" w:hAnsi="Times New Roman"/>
          <w:sz w:val="28"/>
          <w:szCs w:val="28"/>
        </w:rPr>
        <w:t xml:space="preserve"> de la siguiente manera</w:t>
      </w:r>
      <w:r w:rsidR="00C446BD" w:rsidRPr="00643DCF">
        <w:rPr>
          <w:rFonts w:ascii="Times New Roman" w:hAnsi="Times New Roman"/>
          <w:sz w:val="28"/>
          <w:szCs w:val="28"/>
        </w:rPr>
        <w:t>:</w:t>
      </w:r>
      <w:r w:rsidR="00390203" w:rsidRPr="00643DCF">
        <w:rPr>
          <w:rFonts w:ascii="Times New Roman" w:hAnsi="Times New Roman"/>
          <w:sz w:val="28"/>
          <w:szCs w:val="28"/>
        </w:rPr>
        <w:t xml:space="preserve"> </w:t>
      </w:r>
    </w:p>
    <w:p w14:paraId="2C432D3D" w14:textId="77777777" w:rsidR="00390203" w:rsidRPr="00643DCF" w:rsidRDefault="00390203" w:rsidP="00390203">
      <w:pPr>
        <w:tabs>
          <w:tab w:val="left" w:pos="567"/>
        </w:tabs>
        <w:jc w:val="both"/>
        <w:rPr>
          <w:sz w:val="28"/>
          <w:szCs w:val="28"/>
        </w:rPr>
      </w:pPr>
    </w:p>
    <w:p w14:paraId="7EC09C3D" w14:textId="539B659C" w:rsidR="001D4FA8" w:rsidRPr="00643DCF" w:rsidRDefault="00C66EA4" w:rsidP="00390203">
      <w:pPr>
        <w:tabs>
          <w:tab w:val="left" w:pos="567"/>
        </w:tabs>
        <w:jc w:val="both"/>
        <w:rPr>
          <w:sz w:val="28"/>
          <w:szCs w:val="28"/>
        </w:rPr>
      </w:pPr>
      <w:r w:rsidRPr="00643DCF">
        <w:rPr>
          <w:sz w:val="28"/>
          <w:szCs w:val="28"/>
        </w:rPr>
        <w:t>H</w:t>
      </w:r>
      <w:r w:rsidR="00390203" w:rsidRPr="00643DCF">
        <w:rPr>
          <w:sz w:val="28"/>
          <w:szCs w:val="28"/>
        </w:rPr>
        <w:t xml:space="preserve">a adelantado eventos académicos en los </w:t>
      </w:r>
      <w:r w:rsidR="00C1683E" w:rsidRPr="00643DCF">
        <w:rPr>
          <w:sz w:val="28"/>
          <w:szCs w:val="28"/>
        </w:rPr>
        <w:t xml:space="preserve">que </w:t>
      </w:r>
      <w:r w:rsidRPr="00643DCF">
        <w:rPr>
          <w:sz w:val="28"/>
          <w:szCs w:val="28"/>
        </w:rPr>
        <w:t>convocaron</w:t>
      </w:r>
      <w:r w:rsidR="00390203" w:rsidRPr="00643DCF">
        <w:rPr>
          <w:sz w:val="28"/>
          <w:szCs w:val="28"/>
        </w:rPr>
        <w:t xml:space="preserve"> a los jueces de diferentes municipios del país para ser capacitados sobre el contenido del fallo</w:t>
      </w:r>
      <w:r w:rsidR="007B4424" w:rsidRPr="00643DCF">
        <w:rPr>
          <w:sz w:val="28"/>
          <w:szCs w:val="28"/>
        </w:rPr>
        <w:t xml:space="preserve">, </w:t>
      </w:r>
      <w:r w:rsidR="00390203" w:rsidRPr="00643DCF">
        <w:rPr>
          <w:sz w:val="28"/>
          <w:szCs w:val="28"/>
        </w:rPr>
        <w:t>se llevaron a cabo video-conf</w:t>
      </w:r>
      <w:r w:rsidR="007B4424" w:rsidRPr="00643DCF">
        <w:rPr>
          <w:sz w:val="28"/>
          <w:szCs w:val="28"/>
        </w:rPr>
        <w:t xml:space="preserve">erencias y cursos presenciales, asimismo se imprimieron y entregaron </w:t>
      </w:r>
      <w:r w:rsidR="00AC7BC5" w:rsidRPr="00643DCF">
        <w:rPr>
          <w:sz w:val="28"/>
          <w:szCs w:val="28"/>
        </w:rPr>
        <w:t>5</w:t>
      </w:r>
      <w:r w:rsidR="00390203" w:rsidRPr="00643DCF">
        <w:rPr>
          <w:sz w:val="28"/>
          <w:szCs w:val="28"/>
        </w:rPr>
        <w:t xml:space="preserve">000 ejemplares </w:t>
      </w:r>
      <w:r w:rsidR="007B4424" w:rsidRPr="00643DCF">
        <w:rPr>
          <w:sz w:val="28"/>
          <w:szCs w:val="28"/>
        </w:rPr>
        <w:t>contentivos de la sentencia</w:t>
      </w:r>
      <w:r w:rsidR="001D4FA8" w:rsidRPr="00643DCF">
        <w:rPr>
          <w:sz w:val="28"/>
          <w:szCs w:val="28"/>
        </w:rPr>
        <w:t xml:space="preserve">. </w:t>
      </w:r>
    </w:p>
    <w:p w14:paraId="56186639" w14:textId="77777777" w:rsidR="001D4FA8" w:rsidRPr="00643DCF" w:rsidRDefault="001D4FA8" w:rsidP="00390203">
      <w:pPr>
        <w:tabs>
          <w:tab w:val="left" w:pos="567"/>
        </w:tabs>
        <w:jc w:val="both"/>
        <w:rPr>
          <w:sz w:val="28"/>
          <w:szCs w:val="28"/>
        </w:rPr>
      </w:pPr>
    </w:p>
    <w:p w14:paraId="282B441E" w14:textId="3D97310F" w:rsidR="00390203" w:rsidRDefault="001D4FA8" w:rsidP="00390203">
      <w:pPr>
        <w:tabs>
          <w:tab w:val="left" w:pos="567"/>
        </w:tabs>
        <w:jc w:val="both"/>
        <w:rPr>
          <w:sz w:val="28"/>
          <w:szCs w:val="28"/>
        </w:rPr>
      </w:pPr>
      <w:r w:rsidRPr="00643DCF">
        <w:rPr>
          <w:sz w:val="28"/>
          <w:szCs w:val="28"/>
        </w:rPr>
        <w:t>A</w:t>
      </w:r>
      <w:r w:rsidR="00390203" w:rsidRPr="00643DCF">
        <w:rPr>
          <w:sz w:val="28"/>
          <w:szCs w:val="28"/>
        </w:rPr>
        <w:t xml:space="preserve">unado a lo anterior, </w:t>
      </w:r>
      <w:r w:rsidRPr="00643DCF">
        <w:rPr>
          <w:sz w:val="28"/>
          <w:szCs w:val="28"/>
        </w:rPr>
        <w:t xml:space="preserve">junto con </w:t>
      </w:r>
      <w:r w:rsidR="00390203" w:rsidRPr="00643DCF">
        <w:rPr>
          <w:sz w:val="28"/>
          <w:szCs w:val="28"/>
        </w:rPr>
        <w:t>e</w:t>
      </w:r>
      <w:r w:rsidR="006003DC" w:rsidRPr="00643DCF">
        <w:rPr>
          <w:sz w:val="28"/>
          <w:szCs w:val="28"/>
        </w:rPr>
        <w:t xml:space="preserve">l Cendoj y la Escuela Judicial </w:t>
      </w:r>
      <w:r w:rsidR="00390203" w:rsidRPr="00643DCF">
        <w:rPr>
          <w:sz w:val="28"/>
          <w:szCs w:val="28"/>
        </w:rPr>
        <w:t>Rodrigo Lara Bonilla</w:t>
      </w:r>
      <w:r w:rsidR="00831988" w:rsidRPr="00643DCF">
        <w:rPr>
          <w:sz w:val="28"/>
          <w:szCs w:val="28"/>
        </w:rPr>
        <w:t>,</w:t>
      </w:r>
      <w:r w:rsidR="00EE1A3D" w:rsidRPr="00643DCF">
        <w:rPr>
          <w:sz w:val="28"/>
          <w:szCs w:val="28"/>
        </w:rPr>
        <w:t xml:space="preserve"> </w:t>
      </w:r>
      <w:r w:rsidR="00390203" w:rsidRPr="00643DCF">
        <w:rPr>
          <w:sz w:val="28"/>
          <w:szCs w:val="28"/>
        </w:rPr>
        <w:t xml:space="preserve">adelantaron la trasmisión vía </w:t>
      </w:r>
      <w:r w:rsidR="00390203" w:rsidRPr="00643DCF">
        <w:rPr>
          <w:i/>
          <w:sz w:val="28"/>
          <w:szCs w:val="28"/>
        </w:rPr>
        <w:t>streaming</w:t>
      </w:r>
      <w:r w:rsidR="00390203" w:rsidRPr="00643DCF">
        <w:rPr>
          <w:sz w:val="28"/>
          <w:szCs w:val="28"/>
        </w:rPr>
        <w:t xml:space="preserve"> del evento realizado los días 25 y 26 de enero de 2015 en el </w:t>
      </w:r>
      <w:r w:rsidR="00831988" w:rsidRPr="00643DCF">
        <w:rPr>
          <w:sz w:val="28"/>
          <w:szCs w:val="28"/>
        </w:rPr>
        <w:t>D</w:t>
      </w:r>
      <w:r w:rsidR="00390203" w:rsidRPr="00643DCF">
        <w:rPr>
          <w:sz w:val="28"/>
          <w:szCs w:val="28"/>
        </w:rPr>
        <w:t>epartamento de Chocó en</w:t>
      </w:r>
      <w:r w:rsidR="00AC7BC5" w:rsidRPr="00643DCF">
        <w:rPr>
          <w:sz w:val="28"/>
          <w:szCs w:val="28"/>
        </w:rPr>
        <w:t xml:space="preserve"> el que se registraron más de 4</w:t>
      </w:r>
      <w:r w:rsidR="00390203" w:rsidRPr="00643DCF">
        <w:rPr>
          <w:sz w:val="28"/>
          <w:szCs w:val="28"/>
        </w:rPr>
        <w:t>000 visitas al sitio web y transmitieron programas de televisión en los que el tema principal era el derecho fundamental a la salud</w:t>
      </w:r>
      <w:r w:rsidR="007B4424" w:rsidRPr="00643DCF">
        <w:rPr>
          <w:sz w:val="28"/>
          <w:szCs w:val="28"/>
        </w:rPr>
        <w:t xml:space="preserve">, así mismo en el micrositio se dispuso un </w:t>
      </w:r>
      <w:r w:rsidR="007B4424" w:rsidRPr="00643DCF">
        <w:rPr>
          <w:i/>
          <w:sz w:val="28"/>
          <w:szCs w:val="28"/>
        </w:rPr>
        <w:t>link</w:t>
      </w:r>
      <w:r w:rsidR="007B4424" w:rsidRPr="00643DCF">
        <w:rPr>
          <w:sz w:val="28"/>
          <w:szCs w:val="28"/>
        </w:rPr>
        <w:t xml:space="preserve"> en el que se publicó la sentencia estructural y</w:t>
      </w:r>
      <w:r w:rsidR="00A1473F" w:rsidRPr="00643DCF">
        <w:rPr>
          <w:sz w:val="28"/>
          <w:szCs w:val="28"/>
        </w:rPr>
        <w:t xml:space="preserve"> los autos</w:t>
      </w:r>
      <w:r w:rsidR="007B4424" w:rsidRPr="00643DCF">
        <w:rPr>
          <w:sz w:val="28"/>
          <w:szCs w:val="28"/>
        </w:rPr>
        <w:t xml:space="preserve"> específicos emitidos </w:t>
      </w:r>
      <w:r w:rsidR="009723AA" w:rsidRPr="00643DCF">
        <w:rPr>
          <w:sz w:val="28"/>
          <w:szCs w:val="28"/>
        </w:rPr>
        <w:t>durante el s</w:t>
      </w:r>
      <w:r w:rsidR="007B4424" w:rsidRPr="00643DCF">
        <w:rPr>
          <w:sz w:val="28"/>
          <w:szCs w:val="28"/>
        </w:rPr>
        <w:t>eguimiento</w:t>
      </w:r>
      <w:r w:rsidR="00A1473F" w:rsidRPr="00643DCF">
        <w:rPr>
          <w:sz w:val="28"/>
          <w:szCs w:val="28"/>
        </w:rPr>
        <w:t>, los cuales se encuentran actual</w:t>
      </w:r>
      <w:r w:rsidR="00785C44" w:rsidRPr="00643DCF">
        <w:rPr>
          <w:sz w:val="28"/>
          <w:szCs w:val="28"/>
        </w:rPr>
        <w:t xml:space="preserve">izados al mes de </w:t>
      </w:r>
      <w:r w:rsidR="000E0BF4" w:rsidRPr="00643DCF">
        <w:rPr>
          <w:sz w:val="28"/>
          <w:szCs w:val="28"/>
        </w:rPr>
        <w:t>octubre</w:t>
      </w:r>
      <w:r w:rsidR="00785C44" w:rsidRPr="00643DCF">
        <w:rPr>
          <w:sz w:val="28"/>
          <w:szCs w:val="28"/>
        </w:rPr>
        <w:t xml:space="preserve"> del 2018</w:t>
      </w:r>
      <w:r w:rsidR="00AE71DF" w:rsidRPr="00643DCF">
        <w:rPr>
          <w:sz w:val="28"/>
          <w:szCs w:val="28"/>
        </w:rPr>
        <w:t xml:space="preserve"> en algunos de los mandatos</w:t>
      </w:r>
      <w:r w:rsidR="007B4424" w:rsidRPr="00643DCF">
        <w:rPr>
          <w:sz w:val="28"/>
          <w:szCs w:val="28"/>
        </w:rPr>
        <w:t>.</w:t>
      </w:r>
    </w:p>
    <w:p w14:paraId="13E4AF18" w14:textId="77777777" w:rsidR="0095489E" w:rsidRPr="00643DCF" w:rsidRDefault="0095489E" w:rsidP="00390203">
      <w:pPr>
        <w:tabs>
          <w:tab w:val="left" w:pos="567"/>
        </w:tabs>
        <w:jc w:val="both"/>
        <w:rPr>
          <w:sz w:val="28"/>
          <w:szCs w:val="28"/>
        </w:rPr>
      </w:pPr>
    </w:p>
    <w:p w14:paraId="350ADA3E" w14:textId="69472ECF" w:rsidR="00EE1A3D" w:rsidRPr="00643DCF" w:rsidRDefault="00680721" w:rsidP="00820F25">
      <w:pPr>
        <w:pStyle w:val="Sinespaciado6"/>
        <w:tabs>
          <w:tab w:val="left" w:pos="142"/>
          <w:tab w:val="left" w:pos="567"/>
          <w:tab w:val="left" w:pos="851"/>
          <w:tab w:val="left" w:pos="993"/>
        </w:tabs>
        <w:jc w:val="both"/>
        <w:rPr>
          <w:rFonts w:ascii="Times New Roman" w:hAnsi="Times New Roman"/>
          <w:sz w:val="28"/>
          <w:szCs w:val="28"/>
        </w:rPr>
      </w:pPr>
      <w:r w:rsidRPr="00643DCF">
        <w:rPr>
          <w:rFonts w:ascii="Times New Roman" w:hAnsi="Times New Roman"/>
          <w:sz w:val="28"/>
          <w:szCs w:val="28"/>
        </w:rPr>
        <w:t>9</w:t>
      </w:r>
      <w:r w:rsidR="001356D4" w:rsidRPr="00643DCF">
        <w:rPr>
          <w:rFonts w:ascii="Times New Roman" w:hAnsi="Times New Roman"/>
          <w:sz w:val="28"/>
          <w:szCs w:val="28"/>
        </w:rPr>
        <w:t>2</w:t>
      </w:r>
      <w:r w:rsidR="00B962D4" w:rsidRPr="00643DCF">
        <w:rPr>
          <w:rFonts w:ascii="Times New Roman" w:hAnsi="Times New Roman"/>
          <w:sz w:val="28"/>
          <w:szCs w:val="28"/>
        </w:rPr>
        <w:t xml:space="preserve">. </w:t>
      </w:r>
      <w:r w:rsidR="000D3A43" w:rsidRPr="00643DCF">
        <w:rPr>
          <w:rFonts w:ascii="Times New Roman" w:hAnsi="Times New Roman"/>
          <w:sz w:val="28"/>
          <w:szCs w:val="28"/>
        </w:rPr>
        <w:t xml:space="preserve">En </w:t>
      </w:r>
      <w:r w:rsidR="007E2320" w:rsidRPr="00643DCF">
        <w:rPr>
          <w:rFonts w:ascii="Times New Roman" w:hAnsi="Times New Roman"/>
          <w:sz w:val="28"/>
          <w:szCs w:val="28"/>
        </w:rPr>
        <w:t xml:space="preserve">relación </w:t>
      </w:r>
      <w:r w:rsidR="000D3A43" w:rsidRPr="00643DCF">
        <w:rPr>
          <w:rFonts w:ascii="Times New Roman" w:hAnsi="Times New Roman"/>
          <w:sz w:val="28"/>
          <w:szCs w:val="28"/>
        </w:rPr>
        <w:t>a la conducencia de las medidas</w:t>
      </w:r>
      <w:r w:rsidR="00037C21" w:rsidRPr="00643DCF">
        <w:rPr>
          <w:rFonts w:ascii="Times New Roman" w:hAnsi="Times New Roman"/>
          <w:sz w:val="28"/>
          <w:szCs w:val="28"/>
        </w:rPr>
        <w:t>, la Corte reconoce que</w:t>
      </w:r>
      <w:r w:rsidR="000074EC" w:rsidRPr="00643DCF">
        <w:rPr>
          <w:rFonts w:ascii="Times New Roman" w:hAnsi="Times New Roman"/>
          <w:sz w:val="28"/>
          <w:szCs w:val="28"/>
        </w:rPr>
        <w:t xml:space="preserve"> en su mayoría</w:t>
      </w:r>
      <w:r w:rsidR="00037C21" w:rsidRPr="00643DCF">
        <w:rPr>
          <w:rFonts w:ascii="Times New Roman" w:hAnsi="Times New Roman"/>
          <w:sz w:val="28"/>
          <w:szCs w:val="28"/>
        </w:rPr>
        <w:t xml:space="preserve"> los mecanismos utilizados por parte del Consejo Superior de la Judicatura, el Cendoj y la EJRLB son idóneos</w:t>
      </w:r>
      <w:r w:rsidR="00037C21" w:rsidRPr="00643DCF">
        <w:rPr>
          <w:rStyle w:val="Refdenotaalpie"/>
          <w:rFonts w:ascii="Times New Roman" w:hAnsi="Times New Roman"/>
          <w:sz w:val="28"/>
          <w:szCs w:val="28"/>
        </w:rPr>
        <w:footnoteReference w:id="203"/>
      </w:r>
      <w:r w:rsidR="00037C21" w:rsidRPr="00643DCF">
        <w:rPr>
          <w:rFonts w:ascii="Times New Roman" w:hAnsi="Times New Roman"/>
          <w:sz w:val="28"/>
          <w:szCs w:val="28"/>
        </w:rPr>
        <w:t xml:space="preserve"> para alcanzar </w:t>
      </w:r>
      <w:r w:rsidR="00156835" w:rsidRPr="00643DCF">
        <w:rPr>
          <w:rFonts w:ascii="Times New Roman" w:hAnsi="Times New Roman"/>
          <w:sz w:val="28"/>
          <w:szCs w:val="28"/>
        </w:rPr>
        <w:t>los objetivos</w:t>
      </w:r>
      <w:r w:rsidR="00037C21" w:rsidRPr="00643DCF">
        <w:rPr>
          <w:rFonts w:ascii="Times New Roman" w:hAnsi="Times New Roman"/>
          <w:sz w:val="28"/>
          <w:szCs w:val="28"/>
        </w:rPr>
        <w:t xml:space="preserve"> trazad</w:t>
      </w:r>
      <w:r w:rsidR="00156835" w:rsidRPr="00643DCF">
        <w:rPr>
          <w:rFonts w:ascii="Times New Roman" w:hAnsi="Times New Roman"/>
          <w:sz w:val="28"/>
          <w:szCs w:val="28"/>
        </w:rPr>
        <w:t>os</w:t>
      </w:r>
      <w:r w:rsidR="00037C21" w:rsidRPr="00643DCF">
        <w:rPr>
          <w:rFonts w:ascii="Times New Roman" w:hAnsi="Times New Roman"/>
          <w:sz w:val="28"/>
          <w:szCs w:val="28"/>
        </w:rPr>
        <w:t xml:space="preserve"> por la </w:t>
      </w:r>
      <w:r w:rsidR="00E91C57" w:rsidRPr="00643DCF">
        <w:rPr>
          <w:rFonts w:ascii="Times New Roman" w:hAnsi="Times New Roman"/>
          <w:sz w:val="28"/>
          <w:szCs w:val="28"/>
        </w:rPr>
        <w:t>s</w:t>
      </w:r>
      <w:r w:rsidR="00037C21" w:rsidRPr="00643DCF">
        <w:rPr>
          <w:rFonts w:ascii="Times New Roman" w:hAnsi="Times New Roman"/>
          <w:sz w:val="28"/>
          <w:szCs w:val="28"/>
        </w:rPr>
        <w:t xml:space="preserve">entencia T-760 de 2008 en su </w:t>
      </w:r>
      <w:r w:rsidR="00602EC6" w:rsidRPr="00643DCF">
        <w:rPr>
          <w:rFonts w:ascii="Times New Roman" w:hAnsi="Times New Roman"/>
          <w:sz w:val="28"/>
          <w:szCs w:val="28"/>
        </w:rPr>
        <w:t xml:space="preserve">ordinal </w:t>
      </w:r>
      <w:r w:rsidR="00037C21" w:rsidRPr="00643DCF">
        <w:rPr>
          <w:rFonts w:ascii="Times New Roman" w:hAnsi="Times New Roman"/>
          <w:sz w:val="28"/>
          <w:szCs w:val="28"/>
        </w:rPr>
        <w:t>trigésim</w:t>
      </w:r>
      <w:r w:rsidR="00E91C57" w:rsidRPr="00643DCF">
        <w:rPr>
          <w:rFonts w:ascii="Times New Roman" w:hAnsi="Times New Roman"/>
          <w:sz w:val="28"/>
          <w:szCs w:val="28"/>
        </w:rPr>
        <w:t>o</w:t>
      </w:r>
      <w:r w:rsidR="00602EC6" w:rsidRPr="00643DCF">
        <w:rPr>
          <w:rFonts w:ascii="Times New Roman" w:hAnsi="Times New Roman"/>
          <w:sz w:val="28"/>
          <w:szCs w:val="28"/>
        </w:rPr>
        <w:t xml:space="preserve"> segund</w:t>
      </w:r>
      <w:r w:rsidR="00E91C57" w:rsidRPr="00643DCF">
        <w:rPr>
          <w:rFonts w:ascii="Times New Roman" w:hAnsi="Times New Roman"/>
          <w:sz w:val="28"/>
          <w:szCs w:val="28"/>
        </w:rPr>
        <w:t>o</w:t>
      </w:r>
      <w:r w:rsidR="00037C21" w:rsidRPr="00643DCF">
        <w:rPr>
          <w:rFonts w:ascii="Times New Roman" w:hAnsi="Times New Roman"/>
          <w:sz w:val="28"/>
          <w:szCs w:val="28"/>
        </w:rPr>
        <w:t>,</w:t>
      </w:r>
      <w:r w:rsidR="00504F24" w:rsidRPr="00643DCF">
        <w:rPr>
          <w:rFonts w:ascii="Times New Roman" w:hAnsi="Times New Roman"/>
          <w:sz w:val="28"/>
          <w:szCs w:val="28"/>
        </w:rPr>
        <w:t xml:space="preserve"> y lograr una mayor y más eficiente difusión del fallo,</w:t>
      </w:r>
      <w:r w:rsidR="00037C21" w:rsidRPr="00643DCF">
        <w:rPr>
          <w:rFonts w:ascii="Times New Roman" w:hAnsi="Times New Roman"/>
          <w:sz w:val="28"/>
          <w:szCs w:val="28"/>
        </w:rPr>
        <w:t xml:space="preserve"> </w:t>
      </w:r>
      <w:r w:rsidR="00504F24" w:rsidRPr="00643DCF">
        <w:rPr>
          <w:rFonts w:ascii="Times New Roman" w:hAnsi="Times New Roman"/>
          <w:bCs/>
          <w:sz w:val="28"/>
          <w:szCs w:val="28"/>
        </w:rPr>
        <w:t>en atención a</w:t>
      </w:r>
      <w:r w:rsidR="000054C8" w:rsidRPr="00643DCF">
        <w:rPr>
          <w:rFonts w:ascii="Times New Roman" w:hAnsi="Times New Roman"/>
          <w:bCs/>
          <w:sz w:val="28"/>
          <w:szCs w:val="28"/>
        </w:rPr>
        <w:t xml:space="preserve"> </w:t>
      </w:r>
      <w:r w:rsidR="000B11EA" w:rsidRPr="00643DCF">
        <w:rPr>
          <w:rFonts w:ascii="Times New Roman" w:hAnsi="Times New Roman"/>
          <w:sz w:val="28"/>
          <w:szCs w:val="28"/>
        </w:rPr>
        <w:t>que</w:t>
      </w:r>
      <w:r w:rsidR="00831988" w:rsidRPr="00643DCF">
        <w:rPr>
          <w:rFonts w:ascii="Times New Roman" w:hAnsi="Times New Roman"/>
          <w:sz w:val="28"/>
          <w:szCs w:val="28"/>
        </w:rPr>
        <w:t>:</w:t>
      </w:r>
      <w:r w:rsidR="000B11EA" w:rsidRPr="00643DCF">
        <w:rPr>
          <w:rFonts w:ascii="Times New Roman" w:hAnsi="Times New Roman"/>
          <w:sz w:val="28"/>
          <w:szCs w:val="28"/>
        </w:rPr>
        <w:t xml:space="preserve"> </w:t>
      </w:r>
      <w:r w:rsidR="00E91C57" w:rsidRPr="00643DCF">
        <w:rPr>
          <w:rFonts w:ascii="Times New Roman" w:hAnsi="Times New Roman"/>
          <w:i/>
          <w:sz w:val="28"/>
          <w:szCs w:val="28"/>
        </w:rPr>
        <w:t>(</w:t>
      </w:r>
      <w:r w:rsidR="000B11EA" w:rsidRPr="00643DCF">
        <w:rPr>
          <w:rFonts w:ascii="Times New Roman" w:hAnsi="Times New Roman"/>
          <w:i/>
          <w:sz w:val="28"/>
          <w:szCs w:val="28"/>
        </w:rPr>
        <w:t>i)</w:t>
      </w:r>
      <w:r w:rsidR="000B11EA" w:rsidRPr="00643DCF">
        <w:rPr>
          <w:rFonts w:ascii="Times New Roman" w:hAnsi="Times New Roman"/>
          <w:sz w:val="28"/>
          <w:szCs w:val="28"/>
        </w:rPr>
        <w:t xml:space="preserve"> incluyó de forma permanente un enlace en la página de la Rama Judicial, el cual incorpora un contador de visitas, permite consultar los informes presentados por el CJS</w:t>
      </w:r>
      <w:r w:rsidR="00C066E1" w:rsidRPr="00643DCF">
        <w:rPr>
          <w:rFonts w:ascii="Times New Roman" w:hAnsi="Times New Roman"/>
          <w:sz w:val="28"/>
          <w:szCs w:val="28"/>
        </w:rPr>
        <w:t xml:space="preserve">, </w:t>
      </w:r>
      <w:r w:rsidR="000B11EA" w:rsidRPr="00643DCF">
        <w:rPr>
          <w:rFonts w:ascii="Times New Roman" w:hAnsi="Times New Roman"/>
          <w:sz w:val="28"/>
          <w:szCs w:val="28"/>
        </w:rPr>
        <w:t>los autos de seguimiento de la Sala Especial actualizados</w:t>
      </w:r>
      <w:r w:rsidR="00504F24" w:rsidRPr="00643DCF">
        <w:rPr>
          <w:rFonts w:ascii="Times New Roman" w:hAnsi="Times New Roman"/>
          <w:sz w:val="28"/>
          <w:szCs w:val="28"/>
        </w:rPr>
        <w:t xml:space="preserve"> y</w:t>
      </w:r>
      <w:r w:rsidR="001A77C3" w:rsidRPr="00643DCF">
        <w:rPr>
          <w:rFonts w:ascii="Times New Roman" w:hAnsi="Times New Roman"/>
          <w:sz w:val="28"/>
          <w:szCs w:val="28"/>
        </w:rPr>
        <w:t>,</w:t>
      </w:r>
      <w:r w:rsidR="00504F24" w:rsidRPr="00643DCF">
        <w:rPr>
          <w:rFonts w:ascii="Times New Roman" w:hAnsi="Times New Roman"/>
          <w:sz w:val="28"/>
          <w:szCs w:val="28"/>
        </w:rPr>
        <w:t xml:space="preserve"> contiene material de audio, video, doctrina y jurisprudencia relacionada</w:t>
      </w:r>
      <w:r w:rsidR="000B11EA" w:rsidRPr="00643DCF">
        <w:rPr>
          <w:rFonts w:ascii="Times New Roman" w:hAnsi="Times New Roman"/>
          <w:sz w:val="28"/>
          <w:szCs w:val="28"/>
        </w:rPr>
        <w:t xml:space="preserve"> con el derecho a la salud</w:t>
      </w:r>
      <w:r w:rsidR="00E24F44" w:rsidRPr="00643DCF">
        <w:rPr>
          <w:rFonts w:ascii="Times New Roman" w:hAnsi="Times New Roman"/>
          <w:sz w:val="28"/>
          <w:szCs w:val="28"/>
        </w:rPr>
        <w:t>;</w:t>
      </w:r>
      <w:r w:rsidR="000B11EA" w:rsidRPr="00643DCF">
        <w:rPr>
          <w:rFonts w:ascii="Times New Roman" w:hAnsi="Times New Roman"/>
          <w:sz w:val="28"/>
          <w:szCs w:val="28"/>
        </w:rPr>
        <w:t xml:space="preserve"> </w:t>
      </w:r>
      <w:r w:rsidR="00E91C57" w:rsidRPr="00643DCF">
        <w:rPr>
          <w:rFonts w:ascii="Times New Roman" w:hAnsi="Times New Roman"/>
          <w:i/>
          <w:sz w:val="28"/>
          <w:szCs w:val="28"/>
        </w:rPr>
        <w:t>(</w:t>
      </w:r>
      <w:r w:rsidR="000B11EA" w:rsidRPr="00643DCF">
        <w:rPr>
          <w:rFonts w:ascii="Times New Roman" w:hAnsi="Times New Roman"/>
          <w:i/>
          <w:sz w:val="28"/>
          <w:szCs w:val="28"/>
        </w:rPr>
        <w:t>ii)</w:t>
      </w:r>
      <w:r w:rsidR="000B11EA" w:rsidRPr="00643DCF">
        <w:rPr>
          <w:rFonts w:ascii="Times New Roman" w:hAnsi="Times New Roman"/>
          <w:sz w:val="28"/>
          <w:szCs w:val="28"/>
        </w:rPr>
        <w:t xml:space="preserve"> </w:t>
      </w:r>
      <w:r w:rsidR="00504F24" w:rsidRPr="00643DCF">
        <w:rPr>
          <w:rFonts w:ascii="Times New Roman" w:hAnsi="Times New Roman"/>
          <w:sz w:val="28"/>
          <w:szCs w:val="28"/>
        </w:rPr>
        <w:t xml:space="preserve">programó y desarrolló </w:t>
      </w:r>
      <w:r w:rsidR="000B11EA" w:rsidRPr="00643DCF">
        <w:rPr>
          <w:rFonts w:ascii="Times New Roman" w:hAnsi="Times New Roman"/>
          <w:sz w:val="28"/>
          <w:szCs w:val="28"/>
        </w:rPr>
        <w:t>actividades de capacitación y formaci</w:t>
      </w:r>
      <w:r w:rsidR="00504F24" w:rsidRPr="00643DCF">
        <w:rPr>
          <w:rFonts w:ascii="Times New Roman" w:hAnsi="Times New Roman"/>
          <w:sz w:val="28"/>
          <w:szCs w:val="28"/>
        </w:rPr>
        <w:t xml:space="preserve">ón </w:t>
      </w:r>
      <w:r w:rsidR="00C066E1" w:rsidRPr="00643DCF">
        <w:rPr>
          <w:rFonts w:ascii="Times New Roman" w:hAnsi="Times New Roman"/>
          <w:sz w:val="28"/>
          <w:szCs w:val="28"/>
        </w:rPr>
        <w:t>a los</w:t>
      </w:r>
      <w:r w:rsidR="00504F24" w:rsidRPr="00643DCF">
        <w:rPr>
          <w:rFonts w:ascii="Times New Roman" w:hAnsi="Times New Roman"/>
          <w:sz w:val="28"/>
          <w:szCs w:val="28"/>
        </w:rPr>
        <w:t xml:space="preserve"> </w:t>
      </w:r>
      <w:r w:rsidR="000B11EA" w:rsidRPr="00643DCF">
        <w:rPr>
          <w:rFonts w:ascii="Times New Roman" w:hAnsi="Times New Roman"/>
          <w:sz w:val="28"/>
          <w:szCs w:val="28"/>
        </w:rPr>
        <w:t>servidores judiciales de diversas partes del territorio nacional</w:t>
      </w:r>
      <w:r w:rsidR="00504F24" w:rsidRPr="00643DCF">
        <w:rPr>
          <w:rFonts w:ascii="Times New Roman" w:hAnsi="Times New Roman"/>
          <w:sz w:val="28"/>
          <w:szCs w:val="28"/>
        </w:rPr>
        <w:t xml:space="preserve"> </w:t>
      </w:r>
      <w:r w:rsidR="00E91C57" w:rsidRPr="00643DCF">
        <w:rPr>
          <w:rFonts w:ascii="Times New Roman" w:hAnsi="Times New Roman"/>
          <w:sz w:val="28"/>
          <w:szCs w:val="28"/>
        </w:rPr>
        <w:t xml:space="preserve">y, </w:t>
      </w:r>
      <w:r w:rsidR="00E91C57" w:rsidRPr="00643DCF">
        <w:rPr>
          <w:rFonts w:ascii="Times New Roman" w:hAnsi="Times New Roman"/>
          <w:i/>
          <w:sz w:val="28"/>
          <w:szCs w:val="28"/>
        </w:rPr>
        <w:t>(</w:t>
      </w:r>
      <w:r w:rsidR="00504F24" w:rsidRPr="00643DCF">
        <w:rPr>
          <w:rFonts w:ascii="Times New Roman" w:hAnsi="Times New Roman"/>
          <w:i/>
          <w:sz w:val="28"/>
          <w:szCs w:val="28"/>
        </w:rPr>
        <w:t>iii)</w:t>
      </w:r>
      <w:r w:rsidR="00504F24" w:rsidRPr="00643DCF">
        <w:rPr>
          <w:rFonts w:ascii="Times New Roman" w:hAnsi="Times New Roman"/>
          <w:sz w:val="28"/>
          <w:szCs w:val="28"/>
        </w:rPr>
        <w:t xml:space="preserve"> emitió programas de televisión y difundió por medios impresos el contenido de la sentencia estructural </w:t>
      </w:r>
      <w:r w:rsidR="00D0298D" w:rsidRPr="00643DCF">
        <w:rPr>
          <w:rFonts w:ascii="Times New Roman" w:hAnsi="Times New Roman"/>
          <w:sz w:val="28"/>
          <w:szCs w:val="28"/>
        </w:rPr>
        <w:t>y demás temas relacionados con el derecho fundamental a la salud</w:t>
      </w:r>
      <w:r w:rsidR="000D6D05" w:rsidRPr="00643DCF">
        <w:rPr>
          <w:rFonts w:ascii="Times New Roman" w:hAnsi="Times New Roman"/>
          <w:sz w:val="28"/>
          <w:szCs w:val="28"/>
        </w:rPr>
        <w:t xml:space="preserve"> entre los funcionarios judiciales y la comunidad</w:t>
      </w:r>
      <w:r w:rsidR="00C02909" w:rsidRPr="00643DCF">
        <w:rPr>
          <w:rFonts w:ascii="Times New Roman" w:hAnsi="Times New Roman"/>
          <w:sz w:val="28"/>
          <w:szCs w:val="28"/>
        </w:rPr>
        <w:t xml:space="preserve"> en general</w:t>
      </w:r>
      <w:r w:rsidR="00D0298D" w:rsidRPr="00643DCF">
        <w:rPr>
          <w:rFonts w:ascii="Times New Roman" w:hAnsi="Times New Roman"/>
          <w:sz w:val="28"/>
          <w:szCs w:val="28"/>
        </w:rPr>
        <w:t>.</w:t>
      </w:r>
      <w:r w:rsidR="000D6D05" w:rsidRPr="00643DCF">
        <w:rPr>
          <w:rFonts w:ascii="Times New Roman" w:hAnsi="Times New Roman"/>
          <w:sz w:val="28"/>
          <w:szCs w:val="28"/>
        </w:rPr>
        <w:t xml:space="preserve"> </w:t>
      </w:r>
    </w:p>
    <w:p w14:paraId="5238AE8E" w14:textId="77777777" w:rsidR="000054C8" w:rsidRPr="00643DCF" w:rsidRDefault="000054C8" w:rsidP="000054C8">
      <w:pPr>
        <w:pStyle w:val="Prrafodelista"/>
        <w:tabs>
          <w:tab w:val="left" w:pos="567"/>
        </w:tabs>
        <w:ind w:left="0"/>
        <w:jc w:val="both"/>
        <w:rPr>
          <w:sz w:val="28"/>
          <w:szCs w:val="28"/>
        </w:rPr>
      </w:pPr>
    </w:p>
    <w:p w14:paraId="16FA3384" w14:textId="22C21945" w:rsidR="000054C8" w:rsidRPr="00643DCF" w:rsidRDefault="00680721" w:rsidP="00FB31C7">
      <w:pPr>
        <w:pStyle w:val="Prrafodelista"/>
        <w:tabs>
          <w:tab w:val="left" w:pos="567"/>
        </w:tabs>
        <w:ind w:left="0"/>
        <w:jc w:val="both"/>
        <w:rPr>
          <w:sz w:val="28"/>
          <w:szCs w:val="28"/>
        </w:rPr>
      </w:pPr>
      <w:r w:rsidRPr="00643DCF">
        <w:rPr>
          <w:sz w:val="28"/>
          <w:szCs w:val="28"/>
        </w:rPr>
        <w:t>9</w:t>
      </w:r>
      <w:r w:rsidR="00BA4985" w:rsidRPr="00643DCF">
        <w:rPr>
          <w:sz w:val="28"/>
          <w:szCs w:val="28"/>
        </w:rPr>
        <w:t>3</w:t>
      </w:r>
      <w:r w:rsidR="00B962D4" w:rsidRPr="00643DCF">
        <w:rPr>
          <w:sz w:val="28"/>
          <w:szCs w:val="28"/>
        </w:rPr>
        <w:t xml:space="preserve">. </w:t>
      </w:r>
      <w:r w:rsidR="007F7D68" w:rsidRPr="00643DCF">
        <w:rPr>
          <w:sz w:val="28"/>
          <w:szCs w:val="28"/>
        </w:rPr>
        <w:t>Ahora bien, lo anterior no implica</w:t>
      </w:r>
      <w:r w:rsidR="000054C8" w:rsidRPr="00643DCF">
        <w:rPr>
          <w:sz w:val="28"/>
          <w:szCs w:val="28"/>
        </w:rPr>
        <w:t xml:space="preserve"> que</w:t>
      </w:r>
      <w:r w:rsidR="007F7D68" w:rsidRPr="00643DCF">
        <w:rPr>
          <w:sz w:val="28"/>
          <w:szCs w:val="28"/>
        </w:rPr>
        <w:t xml:space="preserve"> estas medidas deban ser</w:t>
      </w:r>
      <w:r w:rsidR="000054C8" w:rsidRPr="00643DCF">
        <w:rPr>
          <w:sz w:val="28"/>
          <w:szCs w:val="28"/>
        </w:rPr>
        <w:t xml:space="preserve"> el único medio utilizado para alcanzar el objetivo planteado, toda vez que </w:t>
      </w:r>
      <w:r w:rsidR="00124A94" w:rsidRPr="00643DCF">
        <w:rPr>
          <w:sz w:val="28"/>
          <w:szCs w:val="28"/>
        </w:rPr>
        <w:t xml:space="preserve">si bien </w:t>
      </w:r>
      <w:r w:rsidR="007B4424" w:rsidRPr="00FA159B">
        <w:rPr>
          <w:sz w:val="28"/>
          <w:szCs w:val="28"/>
        </w:rPr>
        <w:t>brindan</w:t>
      </w:r>
      <w:r w:rsidR="007F7D68" w:rsidRPr="00FA159B">
        <w:rPr>
          <w:sz w:val="28"/>
          <w:szCs w:val="28"/>
        </w:rPr>
        <w:t xml:space="preserve"> </w:t>
      </w:r>
      <w:r w:rsidR="000054C8" w:rsidRPr="00FA159B">
        <w:rPr>
          <w:sz w:val="28"/>
          <w:szCs w:val="28"/>
        </w:rPr>
        <w:t>a l</w:t>
      </w:r>
      <w:r w:rsidR="007B4424" w:rsidRPr="00FA159B">
        <w:rPr>
          <w:sz w:val="28"/>
          <w:szCs w:val="28"/>
        </w:rPr>
        <w:t xml:space="preserve">os </w:t>
      </w:r>
      <w:r w:rsidR="009723AA" w:rsidRPr="00FA159B">
        <w:rPr>
          <w:sz w:val="28"/>
          <w:szCs w:val="28"/>
        </w:rPr>
        <w:t xml:space="preserve">operadores judiciales </w:t>
      </w:r>
      <w:r w:rsidR="00286AFB" w:rsidRPr="00FA159B">
        <w:rPr>
          <w:sz w:val="28"/>
          <w:szCs w:val="28"/>
        </w:rPr>
        <w:t>la posibilidad</w:t>
      </w:r>
      <w:r w:rsidR="00531651" w:rsidRPr="00FA159B">
        <w:rPr>
          <w:sz w:val="28"/>
          <w:szCs w:val="28"/>
        </w:rPr>
        <w:t xml:space="preserve"> </w:t>
      </w:r>
      <w:r w:rsidR="00E60C6E" w:rsidRPr="00FA159B">
        <w:rPr>
          <w:sz w:val="28"/>
          <w:szCs w:val="28"/>
        </w:rPr>
        <w:t xml:space="preserve">de </w:t>
      </w:r>
      <w:r w:rsidR="000054C8" w:rsidRPr="00FA159B">
        <w:rPr>
          <w:sz w:val="28"/>
          <w:szCs w:val="28"/>
        </w:rPr>
        <w:t>acceder al contenido del fallo</w:t>
      </w:r>
      <w:r w:rsidR="007B4424" w:rsidRPr="00FA159B">
        <w:rPr>
          <w:sz w:val="28"/>
          <w:szCs w:val="28"/>
        </w:rPr>
        <w:t xml:space="preserve"> y los autos de seguimiento</w:t>
      </w:r>
      <w:r w:rsidR="00124A94" w:rsidRPr="00FA159B">
        <w:rPr>
          <w:sz w:val="28"/>
          <w:szCs w:val="28"/>
        </w:rPr>
        <w:t xml:space="preserve">, </w:t>
      </w:r>
      <w:r w:rsidR="007F7D68" w:rsidRPr="00FA159B">
        <w:rPr>
          <w:sz w:val="28"/>
          <w:szCs w:val="28"/>
        </w:rPr>
        <w:t xml:space="preserve">de </w:t>
      </w:r>
      <w:r w:rsidR="003D7E0C" w:rsidRPr="00FA159B">
        <w:rPr>
          <w:sz w:val="28"/>
          <w:szCs w:val="28"/>
        </w:rPr>
        <w:t>su implementación</w:t>
      </w:r>
      <w:r w:rsidR="007F7D68" w:rsidRPr="00FA159B">
        <w:rPr>
          <w:sz w:val="28"/>
          <w:szCs w:val="28"/>
        </w:rPr>
        <w:t xml:space="preserve"> </w:t>
      </w:r>
      <w:r w:rsidR="00124A94" w:rsidRPr="00FA159B">
        <w:rPr>
          <w:sz w:val="28"/>
          <w:szCs w:val="28"/>
        </w:rPr>
        <w:t xml:space="preserve">no </w:t>
      </w:r>
      <w:r w:rsidR="007F7D68" w:rsidRPr="00FA159B">
        <w:rPr>
          <w:sz w:val="28"/>
          <w:szCs w:val="28"/>
        </w:rPr>
        <w:t>se pued</w:t>
      </w:r>
      <w:r w:rsidR="00480551" w:rsidRPr="00FA159B">
        <w:rPr>
          <w:sz w:val="28"/>
          <w:szCs w:val="28"/>
        </w:rPr>
        <w:t>e</w:t>
      </w:r>
      <w:r w:rsidR="000054C8" w:rsidRPr="00FA159B">
        <w:rPr>
          <w:sz w:val="28"/>
          <w:szCs w:val="28"/>
        </w:rPr>
        <w:t xml:space="preserve"> establecer el número de </w:t>
      </w:r>
      <w:r w:rsidR="009723AA" w:rsidRPr="00FA159B">
        <w:rPr>
          <w:sz w:val="28"/>
          <w:szCs w:val="28"/>
        </w:rPr>
        <w:t xml:space="preserve">funcionarios </w:t>
      </w:r>
      <w:r w:rsidR="000054C8" w:rsidRPr="00FA159B">
        <w:rPr>
          <w:sz w:val="28"/>
          <w:szCs w:val="28"/>
        </w:rPr>
        <w:t xml:space="preserve">capacitados, </w:t>
      </w:r>
      <w:r w:rsidR="003D7E0C" w:rsidRPr="00FA159B">
        <w:rPr>
          <w:sz w:val="28"/>
          <w:szCs w:val="28"/>
        </w:rPr>
        <w:t>llamando</w:t>
      </w:r>
      <w:r w:rsidR="002135EC" w:rsidRPr="00FA159B">
        <w:rPr>
          <w:sz w:val="28"/>
          <w:szCs w:val="28"/>
        </w:rPr>
        <w:t>,</w:t>
      </w:r>
      <w:r w:rsidR="003D7E0C" w:rsidRPr="00FA159B">
        <w:rPr>
          <w:sz w:val="28"/>
          <w:szCs w:val="28"/>
        </w:rPr>
        <w:t xml:space="preserve"> por el contrario</w:t>
      </w:r>
      <w:r w:rsidR="002135EC" w:rsidRPr="00FA159B">
        <w:rPr>
          <w:sz w:val="28"/>
          <w:szCs w:val="28"/>
        </w:rPr>
        <w:t>,</w:t>
      </w:r>
      <w:r w:rsidR="003D7E0C" w:rsidRPr="00FA159B">
        <w:rPr>
          <w:sz w:val="28"/>
          <w:szCs w:val="28"/>
        </w:rPr>
        <w:t xml:space="preserve"> la atención</w:t>
      </w:r>
      <w:r w:rsidR="000054C8" w:rsidRPr="00FA159B">
        <w:rPr>
          <w:sz w:val="28"/>
          <w:szCs w:val="28"/>
        </w:rPr>
        <w:t xml:space="preserve"> </w:t>
      </w:r>
      <w:r w:rsidR="005E0122" w:rsidRPr="00FA159B">
        <w:rPr>
          <w:sz w:val="28"/>
          <w:szCs w:val="28"/>
        </w:rPr>
        <w:t xml:space="preserve">que </w:t>
      </w:r>
      <w:r w:rsidR="00E91C57" w:rsidRPr="00FA159B">
        <w:rPr>
          <w:sz w:val="28"/>
          <w:szCs w:val="28"/>
        </w:rPr>
        <w:t xml:space="preserve">jueces </w:t>
      </w:r>
      <w:r w:rsidR="00672C6E" w:rsidRPr="00FA159B">
        <w:rPr>
          <w:sz w:val="28"/>
          <w:szCs w:val="28"/>
        </w:rPr>
        <w:t xml:space="preserve">ubicados </w:t>
      </w:r>
      <w:r w:rsidR="005E0122" w:rsidRPr="00FA159B">
        <w:rPr>
          <w:sz w:val="28"/>
          <w:szCs w:val="28"/>
        </w:rPr>
        <w:t>en territorios apartados de la geografía nacional no han tenido</w:t>
      </w:r>
      <w:r w:rsidR="000054C8" w:rsidRPr="00FA159B">
        <w:rPr>
          <w:sz w:val="28"/>
          <w:szCs w:val="28"/>
        </w:rPr>
        <w:t xml:space="preserve"> las capacitaciones </w:t>
      </w:r>
      <w:r w:rsidR="005E0122" w:rsidRPr="00FA159B">
        <w:rPr>
          <w:sz w:val="28"/>
          <w:szCs w:val="28"/>
        </w:rPr>
        <w:t xml:space="preserve">en igualdad de condiciones a </w:t>
      </w:r>
      <w:r w:rsidR="00E91C57" w:rsidRPr="00FA159B">
        <w:rPr>
          <w:sz w:val="28"/>
          <w:szCs w:val="28"/>
        </w:rPr>
        <w:t>quienes ejercen en otras zonas</w:t>
      </w:r>
      <w:r w:rsidR="005E0122" w:rsidRPr="00FA159B">
        <w:rPr>
          <w:sz w:val="28"/>
          <w:szCs w:val="28"/>
        </w:rPr>
        <w:t xml:space="preserve"> </w:t>
      </w:r>
      <w:r w:rsidR="006F3CDD" w:rsidRPr="00FA159B">
        <w:rPr>
          <w:sz w:val="28"/>
          <w:szCs w:val="28"/>
        </w:rPr>
        <w:t>del país.</w:t>
      </w:r>
      <w:r w:rsidR="00E63C22" w:rsidRPr="00FA159B">
        <w:rPr>
          <w:sz w:val="28"/>
          <w:szCs w:val="28"/>
        </w:rPr>
        <w:t xml:space="preserve"> </w:t>
      </w:r>
      <w:r w:rsidR="00FD122C" w:rsidRPr="00FA159B">
        <w:rPr>
          <w:sz w:val="28"/>
          <w:szCs w:val="28"/>
        </w:rPr>
        <w:t>Así mismo</w:t>
      </w:r>
      <w:r w:rsidR="006E2AC1" w:rsidRPr="00FA159B">
        <w:rPr>
          <w:sz w:val="28"/>
          <w:szCs w:val="28"/>
        </w:rPr>
        <w:t>,</w:t>
      </w:r>
      <w:r w:rsidR="00FD122C" w:rsidRPr="00FA159B">
        <w:rPr>
          <w:sz w:val="28"/>
          <w:szCs w:val="28"/>
        </w:rPr>
        <w:t xml:space="preserve"> </w:t>
      </w:r>
      <w:r w:rsidR="006E2AC1" w:rsidRPr="00FA159B">
        <w:rPr>
          <w:sz w:val="28"/>
          <w:szCs w:val="28"/>
        </w:rPr>
        <w:t xml:space="preserve">se debe </w:t>
      </w:r>
      <w:r w:rsidR="00FD122C" w:rsidRPr="00FA159B">
        <w:rPr>
          <w:sz w:val="28"/>
          <w:szCs w:val="28"/>
        </w:rPr>
        <w:t xml:space="preserve">mencionar que habiéndose implementado medidas </w:t>
      </w:r>
      <w:r w:rsidR="006E2AC1" w:rsidRPr="00FA159B">
        <w:rPr>
          <w:sz w:val="28"/>
          <w:szCs w:val="28"/>
        </w:rPr>
        <w:t xml:space="preserve">para </w:t>
      </w:r>
      <w:r w:rsidR="00BF1530" w:rsidRPr="00FA159B">
        <w:rPr>
          <w:sz w:val="28"/>
          <w:szCs w:val="28"/>
        </w:rPr>
        <w:t>llegar</w:t>
      </w:r>
      <w:r w:rsidR="00FD122C" w:rsidRPr="00FA159B">
        <w:rPr>
          <w:sz w:val="28"/>
          <w:szCs w:val="28"/>
        </w:rPr>
        <w:t xml:space="preserve"> </w:t>
      </w:r>
      <w:r w:rsidR="00BF1530" w:rsidRPr="00FA159B">
        <w:rPr>
          <w:sz w:val="28"/>
          <w:szCs w:val="28"/>
        </w:rPr>
        <w:t xml:space="preserve">a </w:t>
      </w:r>
      <w:r w:rsidR="00FD122C" w:rsidRPr="00FA159B">
        <w:rPr>
          <w:sz w:val="28"/>
          <w:szCs w:val="28"/>
        </w:rPr>
        <w:t xml:space="preserve">la población en general y </w:t>
      </w:r>
      <w:r w:rsidR="006E2AC1" w:rsidRPr="00FA159B">
        <w:rPr>
          <w:sz w:val="28"/>
          <w:szCs w:val="28"/>
        </w:rPr>
        <w:t>en particular a quienes tienen dificultades para acceder a los servicios de salud</w:t>
      </w:r>
      <w:r w:rsidR="004D0BA0" w:rsidRPr="00FA159B">
        <w:rPr>
          <w:sz w:val="28"/>
          <w:szCs w:val="28"/>
        </w:rPr>
        <w:t xml:space="preserve">, </w:t>
      </w:r>
      <w:r w:rsidR="00BF1530" w:rsidRPr="00FA159B">
        <w:rPr>
          <w:sz w:val="28"/>
          <w:szCs w:val="28"/>
        </w:rPr>
        <w:t xml:space="preserve">se desconoce el impacto que las mismas pudieron tener, </w:t>
      </w:r>
      <w:r w:rsidR="00C1136E" w:rsidRPr="00FA159B">
        <w:rPr>
          <w:sz w:val="28"/>
          <w:szCs w:val="28"/>
        </w:rPr>
        <w:t xml:space="preserve">ya que no existe una herramienta que permita medirlas. </w:t>
      </w:r>
    </w:p>
    <w:p w14:paraId="3BF8D805" w14:textId="77777777" w:rsidR="00E91C57" w:rsidRPr="00643DCF" w:rsidRDefault="00E91C57" w:rsidP="00FB31C7">
      <w:pPr>
        <w:pStyle w:val="Prrafodelista"/>
        <w:tabs>
          <w:tab w:val="left" w:pos="567"/>
        </w:tabs>
        <w:ind w:left="0"/>
        <w:jc w:val="both"/>
        <w:rPr>
          <w:sz w:val="28"/>
          <w:szCs w:val="28"/>
        </w:rPr>
      </w:pPr>
    </w:p>
    <w:p w14:paraId="1EB1919A" w14:textId="6589E6F9" w:rsidR="009D42AA" w:rsidRPr="00643DCF" w:rsidRDefault="00B962D4" w:rsidP="000054C8">
      <w:pPr>
        <w:tabs>
          <w:tab w:val="left" w:pos="567"/>
        </w:tabs>
        <w:jc w:val="both"/>
        <w:rPr>
          <w:sz w:val="28"/>
          <w:szCs w:val="28"/>
        </w:rPr>
      </w:pPr>
      <w:r w:rsidRPr="00643DCF">
        <w:rPr>
          <w:sz w:val="28"/>
          <w:szCs w:val="28"/>
        </w:rPr>
        <w:t>9</w:t>
      </w:r>
      <w:r w:rsidR="00BA4985" w:rsidRPr="00643DCF">
        <w:rPr>
          <w:sz w:val="28"/>
          <w:szCs w:val="28"/>
        </w:rPr>
        <w:t>4</w:t>
      </w:r>
      <w:r w:rsidRPr="00643DCF">
        <w:rPr>
          <w:sz w:val="28"/>
          <w:szCs w:val="28"/>
        </w:rPr>
        <w:t xml:space="preserve">. </w:t>
      </w:r>
      <w:r w:rsidR="00124A94" w:rsidRPr="00643DCF">
        <w:rPr>
          <w:sz w:val="28"/>
          <w:szCs w:val="28"/>
        </w:rPr>
        <w:t xml:space="preserve">Además, </w:t>
      </w:r>
      <w:r w:rsidR="003C001A" w:rsidRPr="00643DCF">
        <w:rPr>
          <w:sz w:val="28"/>
          <w:szCs w:val="28"/>
        </w:rPr>
        <w:t>aunque</w:t>
      </w:r>
      <w:r w:rsidR="000054C8" w:rsidRPr="00643DCF">
        <w:rPr>
          <w:sz w:val="28"/>
          <w:szCs w:val="28"/>
        </w:rPr>
        <w:t xml:space="preserve"> es cierto que gran parte de los jueces de la República han tenido la posibilidad de conocer el contenido del fallo ya que el mismo ha sido enviado por correo electrónico</w:t>
      </w:r>
      <w:r w:rsidR="006766D1" w:rsidRPr="00643DCF">
        <w:rPr>
          <w:sz w:val="28"/>
          <w:szCs w:val="28"/>
        </w:rPr>
        <w:t xml:space="preserve">; </w:t>
      </w:r>
      <w:r w:rsidR="00EE1A3D" w:rsidRPr="00643DCF">
        <w:rPr>
          <w:sz w:val="28"/>
          <w:szCs w:val="28"/>
        </w:rPr>
        <w:t xml:space="preserve">las </w:t>
      </w:r>
      <w:r w:rsidR="000054C8" w:rsidRPr="00643DCF">
        <w:rPr>
          <w:sz w:val="28"/>
          <w:szCs w:val="28"/>
        </w:rPr>
        <w:t>actividades</w:t>
      </w:r>
      <w:r w:rsidR="00EE1A3D" w:rsidRPr="00643DCF">
        <w:rPr>
          <w:sz w:val="28"/>
          <w:szCs w:val="28"/>
        </w:rPr>
        <w:t xml:space="preserve"> descritas</w:t>
      </w:r>
      <w:r w:rsidR="000054C8" w:rsidRPr="00643DCF">
        <w:rPr>
          <w:sz w:val="28"/>
          <w:szCs w:val="28"/>
        </w:rPr>
        <w:t xml:space="preserve"> no garantiza</w:t>
      </w:r>
      <w:r w:rsidR="00EE1A3D" w:rsidRPr="00643DCF">
        <w:rPr>
          <w:sz w:val="28"/>
          <w:szCs w:val="28"/>
        </w:rPr>
        <w:t>n</w:t>
      </w:r>
      <w:r w:rsidR="000054C8" w:rsidRPr="00643DCF">
        <w:rPr>
          <w:sz w:val="28"/>
          <w:szCs w:val="28"/>
        </w:rPr>
        <w:t xml:space="preserve"> la aprehensión del conocimiento</w:t>
      </w:r>
      <w:r w:rsidR="006F3CDD" w:rsidRPr="00643DCF">
        <w:rPr>
          <w:sz w:val="28"/>
          <w:szCs w:val="28"/>
        </w:rPr>
        <w:t xml:space="preserve"> de los autos de seguimiento que determinan el nivel </w:t>
      </w:r>
      <w:r w:rsidR="009723AA" w:rsidRPr="00643DCF">
        <w:rPr>
          <w:sz w:val="28"/>
          <w:szCs w:val="28"/>
        </w:rPr>
        <w:t>de cumplimiento de las ó</w:t>
      </w:r>
      <w:r w:rsidR="006F3CDD" w:rsidRPr="00643DCF">
        <w:rPr>
          <w:sz w:val="28"/>
          <w:szCs w:val="28"/>
        </w:rPr>
        <w:t xml:space="preserve">rdenes generales dadas en la </w:t>
      </w:r>
      <w:r w:rsidR="00672C6E" w:rsidRPr="00643DCF">
        <w:rPr>
          <w:sz w:val="28"/>
          <w:szCs w:val="28"/>
        </w:rPr>
        <w:t>s</w:t>
      </w:r>
      <w:r w:rsidR="006F3CDD" w:rsidRPr="00643DCF">
        <w:rPr>
          <w:sz w:val="28"/>
          <w:szCs w:val="28"/>
        </w:rPr>
        <w:t>entencia T- 760 de 2008</w:t>
      </w:r>
      <w:r w:rsidR="00A1473F" w:rsidRPr="00643DCF">
        <w:rPr>
          <w:sz w:val="28"/>
          <w:szCs w:val="28"/>
        </w:rPr>
        <w:t xml:space="preserve">, como </w:t>
      </w:r>
      <w:r w:rsidR="006F3CDD" w:rsidRPr="00643DCF">
        <w:rPr>
          <w:sz w:val="28"/>
          <w:szCs w:val="28"/>
        </w:rPr>
        <w:t>tampoco le</w:t>
      </w:r>
      <w:r w:rsidR="007B46A5" w:rsidRPr="00643DCF">
        <w:rPr>
          <w:sz w:val="28"/>
          <w:szCs w:val="28"/>
        </w:rPr>
        <w:t>s</w:t>
      </w:r>
      <w:r w:rsidR="006F3CDD" w:rsidRPr="00643DCF">
        <w:rPr>
          <w:sz w:val="28"/>
          <w:szCs w:val="28"/>
        </w:rPr>
        <w:t xml:space="preserve"> permite </w:t>
      </w:r>
      <w:r w:rsidR="007B46A5" w:rsidRPr="00643DCF">
        <w:rPr>
          <w:sz w:val="28"/>
          <w:szCs w:val="28"/>
        </w:rPr>
        <w:t xml:space="preserve">a los funcionarios judiciales </w:t>
      </w:r>
      <w:r w:rsidR="006F3CDD" w:rsidRPr="00643DCF">
        <w:rPr>
          <w:sz w:val="28"/>
          <w:szCs w:val="28"/>
        </w:rPr>
        <w:t>establecer</w:t>
      </w:r>
      <w:r w:rsidR="00A1473F" w:rsidRPr="00643DCF">
        <w:rPr>
          <w:sz w:val="28"/>
          <w:szCs w:val="28"/>
        </w:rPr>
        <w:t xml:space="preserve"> </w:t>
      </w:r>
      <w:r w:rsidR="006F3CDD" w:rsidRPr="00643DCF">
        <w:rPr>
          <w:sz w:val="28"/>
          <w:szCs w:val="28"/>
        </w:rPr>
        <w:t>cuáles de est</w:t>
      </w:r>
      <w:r w:rsidR="00A1473F" w:rsidRPr="00643DCF">
        <w:rPr>
          <w:sz w:val="28"/>
          <w:szCs w:val="28"/>
        </w:rPr>
        <w:t>o</w:t>
      </w:r>
      <w:r w:rsidR="006F3CDD" w:rsidRPr="00643DCF">
        <w:rPr>
          <w:sz w:val="28"/>
          <w:szCs w:val="28"/>
        </w:rPr>
        <w:t>s</w:t>
      </w:r>
      <w:r w:rsidR="00A1473F" w:rsidRPr="00643DCF">
        <w:rPr>
          <w:sz w:val="28"/>
          <w:szCs w:val="28"/>
        </w:rPr>
        <w:t xml:space="preserve"> mandatos</w:t>
      </w:r>
      <w:r w:rsidR="006F3CDD" w:rsidRPr="00643DCF">
        <w:rPr>
          <w:sz w:val="28"/>
          <w:szCs w:val="28"/>
        </w:rPr>
        <w:t xml:space="preserve"> presentan avances, rezagos </w:t>
      </w:r>
      <w:r w:rsidR="009D42AA" w:rsidRPr="00643DCF">
        <w:rPr>
          <w:sz w:val="28"/>
          <w:szCs w:val="28"/>
        </w:rPr>
        <w:t xml:space="preserve">y </w:t>
      </w:r>
      <w:r w:rsidR="006F3CDD" w:rsidRPr="00643DCF">
        <w:rPr>
          <w:sz w:val="28"/>
          <w:szCs w:val="28"/>
        </w:rPr>
        <w:t>retrocesos</w:t>
      </w:r>
      <w:r w:rsidR="00A1473F" w:rsidRPr="00643DCF">
        <w:rPr>
          <w:sz w:val="28"/>
          <w:szCs w:val="28"/>
        </w:rPr>
        <w:t>,</w:t>
      </w:r>
      <w:r w:rsidR="009723AA" w:rsidRPr="00643DCF">
        <w:rPr>
          <w:sz w:val="28"/>
          <w:szCs w:val="28"/>
        </w:rPr>
        <w:t xml:space="preserve"> o cuá</w:t>
      </w:r>
      <w:r w:rsidR="009D42AA" w:rsidRPr="00643DCF">
        <w:rPr>
          <w:sz w:val="28"/>
          <w:szCs w:val="28"/>
        </w:rPr>
        <w:t>l es el estado actual del asunto,</w:t>
      </w:r>
      <w:r w:rsidR="006F3CDD" w:rsidRPr="00643DCF">
        <w:rPr>
          <w:sz w:val="28"/>
          <w:szCs w:val="28"/>
        </w:rPr>
        <w:t xml:space="preserve"> con el fin de que sus decisiones judiciales estén encaminadas </w:t>
      </w:r>
      <w:r w:rsidR="00A1473F" w:rsidRPr="00643DCF">
        <w:rPr>
          <w:sz w:val="28"/>
          <w:szCs w:val="28"/>
        </w:rPr>
        <w:t>en garantizar el derecho fundamental a la salud de manera oportuna y ajustada a los parámetros establecidos a la fecha</w:t>
      </w:r>
      <w:r w:rsidR="007B46A5" w:rsidRPr="00643DCF">
        <w:rPr>
          <w:sz w:val="28"/>
          <w:szCs w:val="28"/>
        </w:rPr>
        <w:t xml:space="preserve">. </w:t>
      </w:r>
    </w:p>
    <w:p w14:paraId="2AE11995" w14:textId="77777777" w:rsidR="009D42AA" w:rsidRPr="00643DCF" w:rsidRDefault="009D42AA" w:rsidP="000054C8">
      <w:pPr>
        <w:tabs>
          <w:tab w:val="left" w:pos="567"/>
        </w:tabs>
        <w:jc w:val="both"/>
        <w:rPr>
          <w:sz w:val="28"/>
          <w:szCs w:val="28"/>
        </w:rPr>
      </w:pPr>
    </w:p>
    <w:p w14:paraId="7FFD92DC" w14:textId="371F9AA0" w:rsidR="00EE1A3D" w:rsidRPr="00643DCF" w:rsidRDefault="007B46A5" w:rsidP="000054C8">
      <w:pPr>
        <w:tabs>
          <w:tab w:val="left" w:pos="567"/>
        </w:tabs>
        <w:jc w:val="both"/>
        <w:rPr>
          <w:sz w:val="28"/>
          <w:szCs w:val="28"/>
        </w:rPr>
      </w:pPr>
      <w:r w:rsidRPr="00643DCF">
        <w:rPr>
          <w:sz w:val="28"/>
          <w:szCs w:val="28"/>
        </w:rPr>
        <w:t>I</w:t>
      </w:r>
      <w:r w:rsidR="000054C8" w:rsidRPr="00643DCF">
        <w:rPr>
          <w:sz w:val="28"/>
          <w:szCs w:val="28"/>
        </w:rPr>
        <w:t>ncluso la remisión</w:t>
      </w:r>
      <w:r w:rsidR="006F3CDD" w:rsidRPr="00643DCF">
        <w:rPr>
          <w:sz w:val="28"/>
          <w:szCs w:val="28"/>
        </w:rPr>
        <w:t xml:space="preserve"> a través de correo electrónico </w:t>
      </w:r>
      <w:r w:rsidR="000054C8" w:rsidRPr="00643DCF">
        <w:rPr>
          <w:sz w:val="28"/>
          <w:szCs w:val="28"/>
        </w:rPr>
        <w:t>no conlleva necesariamente a la consulta de la sentencia</w:t>
      </w:r>
      <w:r w:rsidR="006F3CDD" w:rsidRPr="00643DCF">
        <w:rPr>
          <w:sz w:val="28"/>
          <w:szCs w:val="28"/>
        </w:rPr>
        <w:t xml:space="preserve"> o de la jurisprudencia que en la materia profiere la </w:t>
      </w:r>
      <w:r w:rsidRPr="00643DCF">
        <w:rPr>
          <w:sz w:val="28"/>
          <w:szCs w:val="28"/>
        </w:rPr>
        <w:t>S</w:t>
      </w:r>
      <w:r w:rsidR="006F3CDD" w:rsidRPr="00643DCF">
        <w:rPr>
          <w:sz w:val="28"/>
          <w:szCs w:val="28"/>
        </w:rPr>
        <w:t xml:space="preserve">ala, </w:t>
      </w:r>
      <w:r w:rsidRPr="00643DCF">
        <w:rPr>
          <w:sz w:val="28"/>
          <w:szCs w:val="28"/>
        </w:rPr>
        <w:t>resultados que se podrían evidenciar</w:t>
      </w:r>
      <w:r w:rsidR="006F3CDD" w:rsidRPr="00643DCF">
        <w:rPr>
          <w:sz w:val="28"/>
          <w:szCs w:val="28"/>
        </w:rPr>
        <w:t xml:space="preserve"> </w:t>
      </w:r>
      <w:r w:rsidR="00547816" w:rsidRPr="00643DCF">
        <w:rPr>
          <w:sz w:val="28"/>
          <w:szCs w:val="28"/>
        </w:rPr>
        <w:t>s</w:t>
      </w:r>
      <w:r w:rsidR="003A6DA0" w:rsidRPr="00643DCF">
        <w:rPr>
          <w:sz w:val="28"/>
          <w:szCs w:val="28"/>
        </w:rPr>
        <w:t>i</w:t>
      </w:r>
      <w:r w:rsidR="006F3CDD" w:rsidRPr="00643DCF">
        <w:rPr>
          <w:sz w:val="28"/>
          <w:szCs w:val="28"/>
        </w:rPr>
        <w:t xml:space="preserve"> las capacitaciones y los cursos de formación realizados a los funcionarios judiciales</w:t>
      </w:r>
      <w:r w:rsidR="00C066E1" w:rsidRPr="00643DCF">
        <w:rPr>
          <w:sz w:val="28"/>
          <w:szCs w:val="28"/>
        </w:rPr>
        <w:t xml:space="preserve"> </w:t>
      </w:r>
      <w:r w:rsidR="006F3CDD" w:rsidRPr="00643DCF">
        <w:rPr>
          <w:sz w:val="28"/>
          <w:szCs w:val="28"/>
        </w:rPr>
        <w:t xml:space="preserve">estuvieran encaminados </w:t>
      </w:r>
      <w:r w:rsidR="00B0561C" w:rsidRPr="00643DCF">
        <w:rPr>
          <w:sz w:val="28"/>
          <w:szCs w:val="28"/>
        </w:rPr>
        <w:t>a la comprensión</w:t>
      </w:r>
      <w:r w:rsidRPr="00643DCF">
        <w:rPr>
          <w:sz w:val="28"/>
          <w:szCs w:val="28"/>
        </w:rPr>
        <w:t xml:space="preserve"> de las providencias de la Corte en materia de salud</w:t>
      </w:r>
      <w:r w:rsidR="000054C8" w:rsidRPr="00643DCF">
        <w:rPr>
          <w:sz w:val="28"/>
          <w:szCs w:val="28"/>
        </w:rPr>
        <w:t xml:space="preserve">. </w:t>
      </w:r>
    </w:p>
    <w:p w14:paraId="6B96787A" w14:textId="77777777" w:rsidR="00EE1A3D" w:rsidRPr="00643DCF" w:rsidRDefault="00EE1A3D" w:rsidP="000054C8">
      <w:pPr>
        <w:tabs>
          <w:tab w:val="left" w:pos="567"/>
        </w:tabs>
        <w:jc w:val="both"/>
        <w:rPr>
          <w:sz w:val="28"/>
          <w:szCs w:val="28"/>
        </w:rPr>
      </w:pPr>
    </w:p>
    <w:p w14:paraId="3F9225D2" w14:textId="12E5B329" w:rsidR="00ED6311" w:rsidRPr="00643DCF" w:rsidRDefault="00B962D4" w:rsidP="00ED6311">
      <w:pPr>
        <w:tabs>
          <w:tab w:val="left" w:pos="567"/>
        </w:tabs>
        <w:jc w:val="both"/>
        <w:rPr>
          <w:sz w:val="28"/>
          <w:szCs w:val="28"/>
        </w:rPr>
      </w:pPr>
      <w:r w:rsidRPr="00643DCF">
        <w:rPr>
          <w:sz w:val="28"/>
          <w:szCs w:val="28"/>
        </w:rPr>
        <w:t>9</w:t>
      </w:r>
      <w:r w:rsidR="00BA4985" w:rsidRPr="00643DCF">
        <w:rPr>
          <w:sz w:val="28"/>
          <w:szCs w:val="28"/>
        </w:rPr>
        <w:t>5</w:t>
      </w:r>
      <w:r w:rsidRPr="00643DCF">
        <w:rPr>
          <w:sz w:val="28"/>
          <w:szCs w:val="28"/>
        </w:rPr>
        <w:t xml:space="preserve">. </w:t>
      </w:r>
      <w:r w:rsidR="000054C8" w:rsidRPr="00643DCF">
        <w:rPr>
          <w:sz w:val="28"/>
          <w:szCs w:val="28"/>
        </w:rPr>
        <w:t xml:space="preserve">Adicionalmente, es necesario tener en cuenta </w:t>
      </w:r>
      <w:r w:rsidR="00A1473F" w:rsidRPr="00643DCF">
        <w:rPr>
          <w:sz w:val="28"/>
          <w:szCs w:val="28"/>
        </w:rPr>
        <w:t xml:space="preserve">que </w:t>
      </w:r>
      <w:r w:rsidR="00017B73" w:rsidRPr="00643DCF">
        <w:rPr>
          <w:sz w:val="28"/>
          <w:szCs w:val="28"/>
        </w:rPr>
        <w:t xml:space="preserve">la actualización oportuna y eficaz es la clave de la publicidad, </w:t>
      </w:r>
      <w:r w:rsidR="00ED6311" w:rsidRPr="00643DCF">
        <w:rPr>
          <w:sz w:val="28"/>
          <w:szCs w:val="28"/>
        </w:rPr>
        <w:t>la cual en el caso que se analiza deb</w:t>
      </w:r>
      <w:r w:rsidR="00017B73" w:rsidRPr="00643DCF">
        <w:rPr>
          <w:sz w:val="28"/>
          <w:szCs w:val="28"/>
        </w:rPr>
        <w:t>e</w:t>
      </w:r>
      <w:r w:rsidR="00ED6311" w:rsidRPr="00643DCF">
        <w:rPr>
          <w:sz w:val="28"/>
          <w:szCs w:val="28"/>
        </w:rPr>
        <w:t xml:space="preserve"> realizarse</w:t>
      </w:r>
      <w:r w:rsidR="00017B73" w:rsidRPr="00643DCF">
        <w:rPr>
          <w:sz w:val="28"/>
          <w:szCs w:val="28"/>
        </w:rPr>
        <w:t xml:space="preserve"> a través de la difusión de </w:t>
      </w:r>
      <w:r w:rsidR="000054C8" w:rsidRPr="00643DCF">
        <w:rPr>
          <w:sz w:val="28"/>
          <w:szCs w:val="28"/>
        </w:rPr>
        <w:t>los cambios normativos y las variaciones que ha implicado el mismo proceso de supervisión adelantado por este Tribunal</w:t>
      </w:r>
      <w:r w:rsidR="005E0122" w:rsidRPr="00643DCF">
        <w:rPr>
          <w:sz w:val="28"/>
          <w:szCs w:val="28"/>
        </w:rPr>
        <w:t xml:space="preserve"> a través de los autos de seguimiento</w:t>
      </w:r>
      <w:r w:rsidR="007C691D" w:rsidRPr="00643DCF">
        <w:rPr>
          <w:sz w:val="28"/>
          <w:szCs w:val="28"/>
        </w:rPr>
        <w:t xml:space="preserve">. </w:t>
      </w:r>
      <w:r w:rsidR="00E02E6F" w:rsidRPr="00643DCF">
        <w:rPr>
          <w:sz w:val="28"/>
          <w:szCs w:val="28"/>
        </w:rPr>
        <w:t>Esto, c</w:t>
      </w:r>
      <w:r w:rsidR="00ED6311" w:rsidRPr="00643DCF">
        <w:rPr>
          <w:sz w:val="28"/>
          <w:szCs w:val="28"/>
        </w:rPr>
        <w:t>on la advertencia de</w:t>
      </w:r>
      <w:r w:rsidR="00A1473F" w:rsidRPr="00643DCF">
        <w:rPr>
          <w:sz w:val="28"/>
          <w:szCs w:val="28"/>
        </w:rPr>
        <w:t xml:space="preserve"> que así se declar</w:t>
      </w:r>
      <w:r w:rsidR="001A77C3" w:rsidRPr="00643DCF">
        <w:rPr>
          <w:sz w:val="28"/>
          <w:szCs w:val="28"/>
        </w:rPr>
        <w:t>e</w:t>
      </w:r>
      <w:r w:rsidR="00EC4914" w:rsidRPr="00643DCF">
        <w:rPr>
          <w:sz w:val="28"/>
          <w:szCs w:val="28"/>
        </w:rPr>
        <w:t xml:space="preserve"> el acatamiento </w:t>
      </w:r>
      <w:r w:rsidR="00A1473F" w:rsidRPr="00643DCF">
        <w:rPr>
          <w:sz w:val="28"/>
          <w:szCs w:val="28"/>
        </w:rPr>
        <w:t>alto o general de esta orden, la misma deberá permanecer en el tiempo hasta tanto se superen en su totalidad el resto de l</w:t>
      </w:r>
      <w:r w:rsidR="009B004A" w:rsidRPr="00643DCF">
        <w:rPr>
          <w:sz w:val="28"/>
          <w:szCs w:val="28"/>
        </w:rPr>
        <w:t>os</w:t>
      </w:r>
      <w:r w:rsidR="00A1473F" w:rsidRPr="00643DCF">
        <w:rPr>
          <w:sz w:val="28"/>
          <w:szCs w:val="28"/>
        </w:rPr>
        <w:t xml:space="preserve"> </w:t>
      </w:r>
      <w:r w:rsidR="009B004A" w:rsidRPr="00643DCF">
        <w:rPr>
          <w:sz w:val="28"/>
          <w:szCs w:val="28"/>
        </w:rPr>
        <w:t>mandatos</w:t>
      </w:r>
      <w:r w:rsidR="00A1473F" w:rsidRPr="00643DCF">
        <w:rPr>
          <w:sz w:val="28"/>
          <w:szCs w:val="28"/>
        </w:rPr>
        <w:t xml:space="preserve"> que </w:t>
      </w:r>
      <w:r w:rsidR="00ED6311" w:rsidRPr="00643DCF">
        <w:rPr>
          <w:sz w:val="28"/>
          <w:szCs w:val="28"/>
        </w:rPr>
        <w:t>estudian</w:t>
      </w:r>
      <w:r w:rsidR="00A1473F" w:rsidRPr="00643DCF">
        <w:rPr>
          <w:sz w:val="28"/>
          <w:szCs w:val="28"/>
        </w:rPr>
        <w:t xml:space="preserve"> los problemas jurídicos de la </w:t>
      </w:r>
      <w:r w:rsidR="00672C6E" w:rsidRPr="00643DCF">
        <w:rPr>
          <w:sz w:val="28"/>
          <w:szCs w:val="28"/>
        </w:rPr>
        <w:t>s</w:t>
      </w:r>
      <w:r w:rsidR="00A1473F" w:rsidRPr="00643DCF">
        <w:rPr>
          <w:sz w:val="28"/>
          <w:szCs w:val="28"/>
        </w:rPr>
        <w:t xml:space="preserve">entencia T-760 de 2008. </w:t>
      </w:r>
    </w:p>
    <w:p w14:paraId="18C9162D" w14:textId="77777777" w:rsidR="000054C8" w:rsidRPr="00643DCF" w:rsidRDefault="000054C8" w:rsidP="000054C8">
      <w:pPr>
        <w:tabs>
          <w:tab w:val="left" w:pos="567"/>
        </w:tabs>
        <w:jc w:val="both"/>
        <w:rPr>
          <w:sz w:val="28"/>
          <w:szCs w:val="28"/>
          <w:highlight w:val="yellow"/>
        </w:rPr>
      </w:pPr>
    </w:p>
    <w:p w14:paraId="189F430C" w14:textId="372D7E0B" w:rsidR="009D42AA" w:rsidRPr="00643DCF" w:rsidRDefault="00B962D4" w:rsidP="000054C8">
      <w:pPr>
        <w:tabs>
          <w:tab w:val="left" w:pos="567"/>
        </w:tabs>
        <w:jc w:val="both"/>
        <w:rPr>
          <w:sz w:val="28"/>
          <w:szCs w:val="28"/>
        </w:rPr>
      </w:pPr>
      <w:r w:rsidRPr="00643DCF">
        <w:rPr>
          <w:sz w:val="28"/>
          <w:szCs w:val="28"/>
        </w:rPr>
        <w:t>9</w:t>
      </w:r>
      <w:r w:rsidR="00BA4985" w:rsidRPr="00643DCF">
        <w:rPr>
          <w:sz w:val="28"/>
          <w:szCs w:val="28"/>
        </w:rPr>
        <w:t>6</w:t>
      </w:r>
      <w:r w:rsidRPr="00643DCF">
        <w:rPr>
          <w:sz w:val="28"/>
          <w:szCs w:val="28"/>
        </w:rPr>
        <w:t xml:space="preserve">. </w:t>
      </w:r>
      <w:r w:rsidR="00884679" w:rsidRPr="00643DCF">
        <w:rPr>
          <w:sz w:val="28"/>
          <w:szCs w:val="28"/>
        </w:rPr>
        <w:t>En este sentido</w:t>
      </w:r>
      <w:r w:rsidR="000054C8" w:rsidRPr="00643DCF">
        <w:rPr>
          <w:sz w:val="28"/>
          <w:szCs w:val="28"/>
        </w:rPr>
        <w:t xml:space="preserve"> la Sala Especial ha especificado que el alcance de la </w:t>
      </w:r>
      <w:r w:rsidR="009B004A" w:rsidRPr="00643DCF">
        <w:rPr>
          <w:sz w:val="28"/>
          <w:szCs w:val="28"/>
        </w:rPr>
        <w:t xml:space="preserve">directriz </w:t>
      </w:r>
      <w:r w:rsidR="000054C8" w:rsidRPr="00643DCF">
        <w:rPr>
          <w:sz w:val="28"/>
          <w:szCs w:val="28"/>
        </w:rPr>
        <w:t xml:space="preserve"> treinta y dos incluye los cambios normativos y jurisprudenciale</w:t>
      </w:r>
      <w:r w:rsidR="00EE1A3D" w:rsidRPr="00643DCF">
        <w:rPr>
          <w:sz w:val="28"/>
          <w:szCs w:val="28"/>
        </w:rPr>
        <w:t xml:space="preserve">s hasta el </w:t>
      </w:r>
      <w:r w:rsidR="006766D1" w:rsidRPr="00643DCF">
        <w:rPr>
          <w:sz w:val="28"/>
          <w:szCs w:val="28"/>
        </w:rPr>
        <w:t xml:space="preserve">acatamiento final </w:t>
      </w:r>
      <w:r w:rsidR="00EE1A3D" w:rsidRPr="00643DCF">
        <w:rPr>
          <w:sz w:val="28"/>
          <w:szCs w:val="28"/>
        </w:rPr>
        <w:t xml:space="preserve">de la </w:t>
      </w:r>
      <w:r w:rsidR="00EC4914" w:rsidRPr="00643DCF">
        <w:rPr>
          <w:sz w:val="28"/>
          <w:szCs w:val="28"/>
        </w:rPr>
        <w:t>providencia</w:t>
      </w:r>
      <w:r w:rsidR="00B0561C" w:rsidRPr="00643DCF">
        <w:rPr>
          <w:sz w:val="28"/>
          <w:szCs w:val="28"/>
        </w:rPr>
        <w:t xml:space="preserve"> </w:t>
      </w:r>
      <w:r w:rsidR="000054C8" w:rsidRPr="00643DCF">
        <w:rPr>
          <w:sz w:val="28"/>
          <w:szCs w:val="28"/>
        </w:rPr>
        <w:t>y que la obliga</w:t>
      </w:r>
      <w:r w:rsidR="00884679" w:rsidRPr="00643DCF">
        <w:rPr>
          <w:sz w:val="28"/>
          <w:szCs w:val="28"/>
        </w:rPr>
        <w:t>ción de difusión no se extingue</w:t>
      </w:r>
      <w:r w:rsidR="000054C8" w:rsidRPr="00643DCF">
        <w:rPr>
          <w:sz w:val="28"/>
          <w:szCs w:val="28"/>
        </w:rPr>
        <w:t xml:space="preserve"> con el envío del fallo por correo electrónico. </w:t>
      </w:r>
    </w:p>
    <w:p w14:paraId="7C9FA37B" w14:textId="77777777" w:rsidR="009D42AA" w:rsidRPr="00643DCF" w:rsidRDefault="009D42AA" w:rsidP="000054C8">
      <w:pPr>
        <w:tabs>
          <w:tab w:val="left" w:pos="567"/>
        </w:tabs>
        <w:jc w:val="both"/>
        <w:rPr>
          <w:sz w:val="28"/>
          <w:szCs w:val="28"/>
        </w:rPr>
      </w:pPr>
    </w:p>
    <w:p w14:paraId="7564827A" w14:textId="018D2E78" w:rsidR="000054C8" w:rsidRPr="00643DCF" w:rsidRDefault="00B962D4" w:rsidP="000054C8">
      <w:pPr>
        <w:tabs>
          <w:tab w:val="left" w:pos="567"/>
        </w:tabs>
        <w:jc w:val="both"/>
        <w:rPr>
          <w:sz w:val="28"/>
          <w:szCs w:val="28"/>
        </w:rPr>
      </w:pPr>
      <w:r w:rsidRPr="00643DCF">
        <w:rPr>
          <w:sz w:val="28"/>
          <w:szCs w:val="28"/>
        </w:rPr>
        <w:t>9</w:t>
      </w:r>
      <w:r w:rsidR="00BA4985" w:rsidRPr="00643DCF">
        <w:rPr>
          <w:sz w:val="28"/>
          <w:szCs w:val="28"/>
        </w:rPr>
        <w:t>7</w:t>
      </w:r>
      <w:r w:rsidRPr="00643DCF">
        <w:rPr>
          <w:sz w:val="28"/>
          <w:szCs w:val="28"/>
        </w:rPr>
        <w:t xml:space="preserve">. </w:t>
      </w:r>
      <w:r w:rsidR="00884679" w:rsidRPr="00643DCF">
        <w:rPr>
          <w:sz w:val="28"/>
          <w:szCs w:val="28"/>
        </w:rPr>
        <w:t>Por este motivo</w:t>
      </w:r>
      <w:r w:rsidR="000054C8" w:rsidRPr="00643DCF">
        <w:rPr>
          <w:sz w:val="28"/>
          <w:szCs w:val="28"/>
        </w:rPr>
        <w:t xml:space="preserve">, las capacitaciones </w:t>
      </w:r>
      <w:r w:rsidR="00215975" w:rsidRPr="00643DCF">
        <w:rPr>
          <w:sz w:val="28"/>
          <w:szCs w:val="28"/>
        </w:rPr>
        <w:t xml:space="preserve">y publicaciones de la página web y medios escritos </w:t>
      </w:r>
      <w:r w:rsidR="000054C8" w:rsidRPr="00643DCF">
        <w:rPr>
          <w:sz w:val="28"/>
          <w:szCs w:val="28"/>
        </w:rPr>
        <w:t>deben tener como eje central el derecho a la salud</w:t>
      </w:r>
      <w:r w:rsidR="00884679" w:rsidRPr="00643DCF">
        <w:rPr>
          <w:sz w:val="28"/>
          <w:szCs w:val="28"/>
        </w:rPr>
        <w:t xml:space="preserve"> </w:t>
      </w:r>
      <w:r w:rsidR="000054C8" w:rsidRPr="00643DCF">
        <w:rPr>
          <w:sz w:val="28"/>
          <w:szCs w:val="28"/>
        </w:rPr>
        <w:t xml:space="preserve">no solo desde la perspectiva de las fallas estructurales inicialmente detectadas en la </w:t>
      </w:r>
      <w:r w:rsidR="00672C6E" w:rsidRPr="00643DCF">
        <w:rPr>
          <w:sz w:val="28"/>
          <w:szCs w:val="28"/>
        </w:rPr>
        <w:t>s</w:t>
      </w:r>
      <w:r w:rsidR="000054C8" w:rsidRPr="00643DCF">
        <w:rPr>
          <w:sz w:val="28"/>
          <w:szCs w:val="28"/>
        </w:rPr>
        <w:t xml:space="preserve">entencia, sino también a partir de las actuaciones </w:t>
      </w:r>
      <w:r w:rsidR="00EC4914" w:rsidRPr="00643DCF">
        <w:rPr>
          <w:sz w:val="28"/>
          <w:szCs w:val="28"/>
        </w:rPr>
        <w:t xml:space="preserve">contenidas en </w:t>
      </w:r>
      <w:r w:rsidR="00547816" w:rsidRPr="00643DCF">
        <w:rPr>
          <w:sz w:val="28"/>
          <w:szCs w:val="28"/>
        </w:rPr>
        <w:t xml:space="preserve">los autos de </w:t>
      </w:r>
      <w:r w:rsidR="007A0B88" w:rsidRPr="00643DCF">
        <w:rPr>
          <w:sz w:val="28"/>
          <w:szCs w:val="28"/>
        </w:rPr>
        <w:t xml:space="preserve">valoración </w:t>
      </w:r>
      <w:r w:rsidR="007C691D" w:rsidRPr="00643DCF">
        <w:rPr>
          <w:sz w:val="28"/>
          <w:szCs w:val="28"/>
        </w:rPr>
        <w:t xml:space="preserve">de las </w:t>
      </w:r>
      <w:r w:rsidR="00672C6E" w:rsidRPr="00643DCF">
        <w:rPr>
          <w:sz w:val="28"/>
          <w:szCs w:val="28"/>
        </w:rPr>
        <w:t>ó</w:t>
      </w:r>
      <w:r w:rsidR="007C691D" w:rsidRPr="00643DCF">
        <w:rPr>
          <w:sz w:val="28"/>
          <w:szCs w:val="28"/>
        </w:rPr>
        <w:t>rdenes</w:t>
      </w:r>
      <w:r w:rsidR="000054C8" w:rsidRPr="00643DCF">
        <w:rPr>
          <w:sz w:val="28"/>
          <w:szCs w:val="28"/>
        </w:rPr>
        <w:t>, l</w:t>
      </w:r>
      <w:r w:rsidR="00B0561C" w:rsidRPr="00643DCF">
        <w:rPr>
          <w:sz w:val="28"/>
          <w:szCs w:val="28"/>
        </w:rPr>
        <w:t>o</w:t>
      </w:r>
      <w:r w:rsidR="000054C8" w:rsidRPr="00643DCF">
        <w:rPr>
          <w:sz w:val="28"/>
          <w:szCs w:val="28"/>
        </w:rPr>
        <w:t>s cuales representan una evolución dentro del proceso de seguimiento</w:t>
      </w:r>
      <w:r w:rsidR="00017B73" w:rsidRPr="00643DCF">
        <w:rPr>
          <w:sz w:val="28"/>
          <w:szCs w:val="28"/>
        </w:rPr>
        <w:t xml:space="preserve"> y la superación de los problemas jurídicos</w:t>
      </w:r>
      <w:r w:rsidR="005E264C" w:rsidRPr="00643DCF">
        <w:rPr>
          <w:sz w:val="28"/>
          <w:szCs w:val="28"/>
        </w:rPr>
        <w:t xml:space="preserve"> evidenciado</w:t>
      </w:r>
      <w:r w:rsidR="00B0561C" w:rsidRPr="00643DCF">
        <w:rPr>
          <w:sz w:val="28"/>
          <w:szCs w:val="28"/>
        </w:rPr>
        <w:t>s,</w:t>
      </w:r>
      <w:r w:rsidR="005E264C" w:rsidRPr="00643DCF">
        <w:rPr>
          <w:sz w:val="28"/>
          <w:szCs w:val="28"/>
        </w:rPr>
        <w:t xml:space="preserve"> dentro de los que se destaca</w:t>
      </w:r>
      <w:r w:rsidR="00B0561C" w:rsidRPr="00643DCF">
        <w:rPr>
          <w:sz w:val="28"/>
          <w:szCs w:val="28"/>
        </w:rPr>
        <w:t>n</w:t>
      </w:r>
      <w:r w:rsidR="005E264C" w:rsidRPr="00643DCF">
        <w:rPr>
          <w:sz w:val="28"/>
          <w:szCs w:val="28"/>
        </w:rPr>
        <w:t xml:space="preserve"> la demora en la prestación o autorización de los servicios de salud, la negación de servicios </w:t>
      </w:r>
      <w:r w:rsidR="00E02E6F" w:rsidRPr="00643DCF">
        <w:rPr>
          <w:sz w:val="28"/>
          <w:szCs w:val="28"/>
        </w:rPr>
        <w:t>no incluidos en el PBS</w:t>
      </w:r>
      <w:r w:rsidR="005E264C" w:rsidRPr="00643DCF">
        <w:rPr>
          <w:sz w:val="28"/>
          <w:szCs w:val="28"/>
        </w:rPr>
        <w:t>, la cobertura universal, el flujo de recursos económicos, entre otros</w:t>
      </w:r>
      <w:r w:rsidR="000054C8" w:rsidRPr="00643DCF">
        <w:rPr>
          <w:sz w:val="28"/>
          <w:szCs w:val="28"/>
        </w:rPr>
        <w:t>.</w:t>
      </w:r>
    </w:p>
    <w:p w14:paraId="2BEE8320" w14:textId="77777777" w:rsidR="000054C8" w:rsidRPr="00643DCF" w:rsidRDefault="000054C8" w:rsidP="000054C8">
      <w:pPr>
        <w:pStyle w:val="Prrafodelista"/>
        <w:tabs>
          <w:tab w:val="left" w:pos="567"/>
        </w:tabs>
        <w:ind w:left="0"/>
        <w:jc w:val="both"/>
        <w:rPr>
          <w:sz w:val="28"/>
          <w:szCs w:val="28"/>
        </w:rPr>
      </w:pPr>
    </w:p>
    <w:p w14:paraId="5B80B5B4" w14:textId="4843321C" w:rsidR="0023425D" w:rsidRPr="00643DCF" w:rsidRDefault="00B962D4" w:rsidP="001F497E">
      <w:pPr>
        <w:pStyle w:val="Prrafodelista"/>
        <w:tabs>
          <w:tab w:val="left" w:pos="567"/>
        </w:tabs>
        <w:ind w:left="0"/>
        <w:jc w:val="both"/>
        <w:rPr>
          <w:sz w:val="28"/>
          <w:szCs w:val="28"/>
        </w:rPr>
      </w:pPr>
      <w:r w:rsidRPr="00643DCF">
        <w:rPr>
          <w:sz w:val="28"/>
          <w:szCs w:val="28"/>
        </w:rPr>
        <w:t>9</w:t>
      </w:r>
      <w:r w:rsidR="00BA4985" w:rsidRPr="00643DCF">
        <w:rPr>
          <w:sz w:val="28"/>
          <w:szCs w:val="28"/>
        </w:rPr>
        <w:t>8</w:t>
      </w:r>
      <w:r w:rsidRPr="00643DCF">
        <w:rPr>
          <w:sz w:val="28"/>
          <w:szCs w:val="28"/>
        </w:rPr>
        <w:t xml:space="preserve">. </w:t>
      </w:r>
      <w:r w:rsidR="000054C8" w:rsidRPr="00643DCF">
        <w:rPr>
          <w:sz w:val="28"/>
          <w:szCs w:val="28"/>
        </w:rPr>
        <w:t xml:space="preserve">En consecuencia, se procederá a analizar </w:t>
      </w:r>
      <w:r w:rsidR="00D0298D" w:rsidRPr="00643DCF">
        <w:rPr>
          <w:sz w:val="28"/>
          <w:szCs w:val="28"/>
        </w:rPr>
        <w:t xml:space="preserve">los </w:t>
      </w:r>
      <w:r w:rsidR="000054C8" w:rsidRPr="00643DCF">
        <w:rPr>
          <w:sz w:val="28"/>
          <w:szCs w:val="28"/>
        </w:rPr>
        <w:t xml:space="preserve">resultados con el fin de determinar el grado de </w:t>
      </w:r>
      <w:r w:rsidR="007A0B88" w:rsidRPr="00643DCF">
        <w:rPr>
          <w:sz w:val="28"/>
          <w:szCs w:val="28"/>
        </w:rPr>
        <w:t xml:space="preserve">acatamiento </w:t>
      </w:r>
      <w:r w:rsidR="000054C8" w:rsidRPr="00643DCF">
        <w:rPr>
          <w:sz w:val="28"/>
          <w:szCs w:val="28"/>
        </w:rPr>
        <w:t>que se alcanza a través de las medidas adoptadas por el CSJ</w:t>
      </w:r>
      <w:r w:rsidR="000537DB" w:rsidRPr="00643DCF">
        <w:rPr>
          <w:sz w:val="28"/>
          <w:szCs w:val="28"/>
        </w:rPr>
        <w:t xml:space="preserve"> y que representen</w:t>
      </w:r>
      <w:r w:rsidR="0023425D" w:rsidRPr="00643DCF">
        <w:rPr>
          <w:sz w:val="28"/>
          <w:szCs w:val="28"/>
        </w:rPr>
        <w:t xml:space="preserve"> una evolución </w:t>
      </w:r>
      <w:r w:rsidR="00AA6F8F" w:rsidRPr="00643DCF">
        <w:rPr>
          <w:sz w:val="28"/>
          <w:szCs w:val="28"/>
        </w:rPr>
        <w:t>en materia del derecho a la salud</w:t>
      </w:r>
      <w:r w:rsidR="0023425D" w:rsidRPr="00643DCF">
        <w:rPr>
          <w:sz w:val="28"/>
          <w:szCs w:val="28"/>
        </w:rPr>
        <w:t>.</w:t>
      </w:r>
    </w:p>
    <w:p w14:paraId="2748B9D5" w14:textId="77777777" w:rsidR="001312F1" w:rsidRPr="00643DCF" w:rsidRDefault="001312F1" w:rsidP="00037C21">
      <w:pPr>
        <w:pStyle w:val="Prrafodelista"/>
        <w:tabs>
          <w:tab w:val="left" w:pos="567"/>
        </w:tabs>
        <w:ind w:left="0"/>
        <w:jc w:val="both"/>
        <w:rPr>
          <w:sz w:val="28"/>
          <w:szCs w:val="28"/>
        </w:rPr>
      </w:pPr>
    </w:p>
    <w:p w14:paraId="7AD57530" w14:textId="1D080602" w:rsidR="00037C21" w:rsidRPr="00643DCF" w:rsidRDefault="00B962D4" w:rsidP="00820F25">
      <w:pPr>
        <w:pStyle w:val="Sinespaciado6"/>
        <w:tabs>
          <w:tab w:val="left" w:pos="142"/>
          <w:tab w:val="left" w:pos="567"/>
          <w:tab w:val="left" w:pos="851"/>
          <w:tab w:val="left" w:pos="993"/>
        </w:tabs>
        <w:jc w:val="both"/>
        <w:rPr>
          <w:rFonts w:ascii="Times New Roman" w:hAnsi="Times New Roman"/>
          <w:sz w:val="28"/>
          <w:szCs w:val="28"/>
        </w:rPr>
      </w:pPr>
      <w:r w:rsidRPr="00643DCF">
        <w:rPr>
          <w:rFonts w:ascii="Times New Roman" w:hAnsi="Times New Roman"/>
          <w:sz w:val="28"/>
          <w:szCs w:val="28"/>
        </w:rPr>
        <w:t>9</w:t>
      </w:r>
      <w:r w:rsidR="00BA4985" w:rsidRPr="00643DCF">
        <w:rPr>
          <w:rFonts w:ascii="Times New Roman" w:hAnsi="Times New Roman"/>
          <w:sz w:val="28"/>
          <w:szCs w:val="28"/>
        </w:rPr>
        <w:t>9</w:t>
      </w:r>
      <w:r w:rsidRPr="00643DCF">
        <w:rPr>
          <w:rFonts w:ascii="Times New Roman" w:hAnsi="Times New Roman"/>
          <w:sz w:val="28"/>
          <w:szCs w:val="28"/>
        </w:rPr>
        <w:t xml:space="preserve">. </w:t>
      </w:r>
      <w:r w:rsidR="00037C21" w:rsidRPr="00643DCF">
        <w:rPr>
          <w:rFonts w:ascii="Times New Roman" w:hAnsi="Times New Roman"/>
          <w:sz w:val="28"/>
          <w:szCs w:val="28"/>
        </w:rPr>
        <w:t>En lo que tiene que ver con los resultados</w:t>
      </w:r>
      <w:r w:rsidR="00FC616E" w:rsidRPr="00643DCF">
        <w:rPr>
          <w:rStyle w:val="Refdenotaalpie"/>
          <w:rFonts w:ascii="Times New Roman" w:hAnsi="Times New Roman"/>
          <w:sz w:val="28"/>
          <w:szCs w:val="28"/>
        </w:rPr>
        <w:footnoteReference w:id="204"/>
      </w:r>
      <w:r w:rsidR="00C92570" w:rsidRPr="00643DCF">
        <w:rPr>
          <w:rFonts w:ascii="Times New Roman" w:hAnsi="Times New Roman"/>
          <w:sz w:val="28"/>
          <w:szCs w:val="28"/>
        </w:rPr>
        <w:t xml:space="preserve"> </w:t>
      </w:r>
      <w:r w:rsidR="007E2320" w:rsidRPr="00643DCF">
        <w:rPr>
          <w:rFonts w:ascii="Times New Roman" w:hAnsi="Times New Roman"/>
          <w:sz w:val="28"/>
          <w:szCs w:val="28"/>
        </w:rPr>
        <w:t>y avances</w:t>
      </w:r>
      <w:r w:rsidR="00037C21" w:rsidRPr="00643DCF">
        <w:rPr>
          <w:rFonts w:ascii="Times New Roman" w:hAnsi="Times New Roman"/>
          <w:sz w:val="28"/>
          <w:szCs w:val="28"/>
        </w:rPr>
        <w:t xml:space="preserve"> </w:t>
      </w:r>
      <w:r w:rsidR="003A1BC8" w:rsidRPr="00643DCF">
        <w:rPr>
          <w:rFonts w:ascii="Times New Roman" w:hAnsi="Times New Roman"/>
          <w:sz w:val="28"/>
          <w:szCs w:val="28"/>
        </w:rPr>
        <w:t xml:space="preserve">que </w:t>
      </w:r>
      <w:r w:rsidR="00037C21" w:rsidRPr="00643DCF">
        <w:rPr>
          <w:rFonts w:ascii="Times New Roman" w:hAnsi="Times New Roman"/>
          <w:sz w:val="28"/>
          <w:szCs w:val="28"/>
        </w:rPr>
        <w:t xml:space="preserve">permiten </w:t>
      </w:r>
      <w:r w:rsidR="009C104B" w:rsidRPr="00643DCF">
        <w:rPr>
          <w:rFonts w:ascii="Times New Roman" w:hAnsi="Times New Roman"/>
          <w:sz w:val="28"/>
          <w:szCs w:val="28"/>
        </w:rPr>
        <w:t xml:space="preserve">determinar </w:t>
      </w:r>
      <w:r w:rsidR="007E2320" w:rsidRPr="00643DCF">
        <w:rPr>
          <w:rFonts w:ascii="Times New Roman" w:hAnsi="Times New Roman"/>
          <w:sz w:val="28"/>
          <w:szCs w:val="28"/>
        </w:rPr>
        <w:t>sí</w:t>
      </w:r>
      <w:r w:rsidR="00E37842" w:rsidRPr="00643DCF">
        <w:rPr>
          <w:rFonts w:ascii="Times New Roman" w:hAnsi="Times New Roman"/>
          <w:sz w:val="28"/>
          <w:szCs w:val="28"/>
        </w:rPr>
        <w:t xml:space="preserve"> </w:t>
      </w:r>
      <w:r w:rsidR="0010574E" w:rsidRPr="00643DCF">
        <w:rPr>
          <w:rFonts w:ascii="Times New Roman" w:hAnsi="Times New Roman"/>
          <w:sz w:val="28"/>
          <w:szCs w:val="28"/>
        </w:rPr>
        <w:t>la problemática se va a superar</w:t>
      </w:r>
      <w:r w:rsidR="00037C21" w:rsidRPr="00643DCF">
        <w:rPr>
          <w:rFonts w:ascii="Times New Roman" w:hAnsi="Times New Roman"/>
          <w:sz w:val="28"/>
          <w:szCs w:val="28"/>
        </w:rPr>
        <w:t xml:space="preserve"> y el objetivo trazado en la orden </w:t>
      </w:r>
      <w:r w:rsidR="00C63041" w:rsidRPr="00643DCF">
        <w:rPr>
          <w:rFonts w:ascii="Times New Roman" w:hAnsi="Times New Roman"/>
          <w:sz w:val="28"/>
          <w:szCs w:val="28"/>
        </w:rPr>
        <w:t xml:space="preserve">se </w:t>
      </w:r>
      <w:r w:rsidR="00C066E1" w:rsidRPr="00643DCF">
        <w:rPr>
          <w:rFonts w:ascii="Times New Roman" w:hAnsi="Times New Roman"/>
          <w:sz w:val="28"/>
          <w:szCs w:val="28"/>
        </w:rPr>
        <w:t>alcanzará</w:t>
      </w:r>
      <w:r w:rsidR="003C51AC" w:rsidRPr="00643DCF">
        <w:rPr>
          <w:rFonts w:ascii="Times New Roman" w:hAnsi="Times New Roman"/>
          <w:sz w:val="28"/>
          <w:szCs w:val="28"/>
        </w:rPr>
        <w:t xml:space="preserve">, </w:t>
      </w:r>
      <w:r w:rsidR="00C63041" w:rsidRPr="00643DCF">
        <w:rPr>
          <w:rFonts w:ascii="Times New Roman" w:hAnsi="Times New Roman"/>
          <w:sz w:val="28"/>
          <w:szCs w:val="28"/>
        </w:rPr>
        <w:t>esta Corporación</w:t>
      </w:r>
      <w:r w:rsidR="003C51AC" w:rsidRPr="00643DCF">
        <w:rPr>
          <w:rFonts w:ascii="Times New Roman" w:hAnsi="Times New Roman"/>
          <w:sz w:val="28"/>
          <w:szCs w:val="28"/>
        </w:rPr>
        <w:t xml:space="preserve"> </w:t>
      </w:r>
      <w:r w:rsidR="00C92570" w:rsidRPr="00643DCF">
        <w:rPr>
          <w:rFonts w:ascii="Times New Roman" w:hAnsi="Times New Roman"/>
          <w:sz w:val="28"/>
          <w:szCs w:val="28"/>
        </w:rPr>
        <w:t xml:space="preserve">encuentra </w:t>
      </w:r>
      <w:r w:rsidR="003C51AC" w:rsidRPr="00643DCF">
        <w:rPr>
          <w:rFonts w:ascii="Times New Roman" w:hAnsi="Times New Roman"/>
          <w:sz w:val="28"/>
          <w:szCs w:val="28"/>
        </w:rPr>
        <w:t>lo siguiente:</w:t>
      </w:r>
      <w:r w:rsidR="00037C21" w:rsidRPr="00643DCF">
        <w:rPr>
          <w:rFonts w:ascii="Times New Roman" w:hAnsi="Times New Roman"/>
          <w:sz w:val="28"/>
          <w:szCs w:val="28"/>
        </w:rPr>
        <w:t xml:space="preserve"> </w:t>
      </w:r>
    </w:p>
    <w:p w14:paraId="2DEECD9C" w14:textId="77777777" w:rsidR="009B004A" w:rsidRPr="00643DCF" w:rsidRDefault="009B004A" w:rsidP="00820F25">
      <w:pPr>
        <w:pStyle w:val="Sinespaciado6"/>
        <w:tabs>
          <w:tab w:val="left" w:pos="142"/>
          <w:tab w:val="left" w:pos="567"/>
          <w:tab w:val="left" w:pos="851"/>
          <w:tab w:val="left" w:pos="993"/>
        </w:tabs>
        <w:jc w:val="both"/>
        <w:rPr>
          <w:rFonts w:ascii="Times New Roman" w:hAnsi="Times New Roman"/>
          <w:sz w:val="28"/>
          <w:szCs w:val="28"/>
        </w:rPr>
      </w:pPr>
    </w:p>
    <w:p w14:paraId="7D5DF765" w14:textId="4408EB5E" w:rsidR="00443F46" w:rsidRPr="00643DCF" w:rsidRDefault="0054531D" w:rsidP="00443F46">
      <w:pPr>
        <w:pStyle w:val="Prrafodelista"/>
        <w:tabs>
          <w:tab w:val="left" w:pos="567"/>
        </w:tabs>
        <w:ind w:left="0"/>
        <w:jc w:val="both"/>
        <w:rPr>
          <w:sz w:val="28"/>
          <w:szCs w:val="28"/>
        </w:rPr>
      </w:pPr>
      <w:r w:rsidRPr="00643DCF">
        <w:rPr>
          <w:sz w:val="28"/>
          <w:szCs w:val="28"/>
        </w:rPr>
        <w:t>S</w:t>
      </w:r>
      <w:r w:rsidR="00443F46" w:rsidRPr="00643DCF">
        <w:rPr>
          <w:sz w:val="28"/>
          <w:szCs w:val="28"/>
        </w:rPr>
        <w:t xml:space="preserve">e evidencia que desde la expedición y notificación de la providencia que da origen al presente auto </w:t>
      </w:r>
      <w:r w:rsidRPr="00643DCF">
        <w:rPr>
          <w:sz w:val="28"/>
          <w:szCs w:val="28"/>
        </w:rPr>
        <w:t>el Consejo</w:t>
      </w:r>
      <w:r w:rsidR="00443F46" w:rsidRPr="00643DCF">
        <w:rPr>
          <w:sz w:val="28"/>
          <w:szCs w:val="28"/>
        </w:rPr>
        <w:t xml:space="preserve"> Superior de la Judicatura </w:t>
      </w:r>
      <w:r w:rsidRPr="00643DCF">
        <w:rPr>
          <w:sz w:val="28"/>
          <w:szCs w:val="28"/>
        </w:rPr>
        <w:t>programó</w:t>
      </w:r>
      <w:r w:rsidR="008367E6" w:rsidRPr="00643DCF">
        <w:rPr>
          <w:sz w:val="28"/>
          <w:szCs w:val="28"/>
        </w:rPr>
        <w:t xml:space="preserve"> </w:t>
      </w:r>
      <w:r w:rsidR="00443F46" w:rsidRPr="00643DCF">
        <w:rPr>
          <w:sz w:val="28"/>
          <w:szCs w:val="28"/>
        </w:rPr>
        <w:t>diferentes actividades y capacitaciones</w:t>
      </w:r>
      <w:r w:rsidRPr="00643DCF">
        <w:rPr>
          <w:rStyle w:val="Refdenotaalpie"/>
          <w:sz w:val="28"/>
          <w:szCs w:val="28"/>
        </w:rPr>
        <w:footnoteReference w:id="205"/>
      </w:r>
      <w:r w:rsidR="00443F46" w:rsidRPr="00643DCF">
        <w:rPr>
          <w:sz w:val="28"/>
          <w:szCs w:val="28"/>
        </w:rPr>
        <w:t xml:space="preserve"> a través del </w:t>
      </w:r>
      <w:r w:rsidR="00443F46" w:rsidRPr="00643DCF">
        <w:rPr>
          <w:i/>
          <w:sz w:val="28"/>
          <w:szCs w:val="28"/>
        </w:rPr>
        <w:t>“programa de formación en derecho a la salud”</w:t>
      </w:r>
      <w:r w:rsidR="00443F46" w:rsidRPr="00643DCF">
        <w:rPr>
          <w:sz w:val="28"/>
          <w:szCs w:val="28"/>
        </w:rPr>
        <w:t xml:space="preserve"> dirigid</w:t>
      </w:r>
      <w:r w:rsidRPr="00643DCF">
        <w:rPr>
          <w:sz w:val="28"/>
          <w:szCs w:val="28"/>
        </w:rPr>
        <w:t>as</w:t>
      </w:r>
      <w:r w:rsidR="00443F46" w:rsidRPr="00643DCF">
        <w:rPr>
          <w:sz w:val="28"/>
          <w:szCs w:val="28"/>
        </w:rPr>
        <w:t xml:space="preserve"> a funcionarios y empleados de la Rama Judicial; con el fin de instruir a los jueces de tutela sobre las dificultades a las que se enfrentan cuando asumen la competencia para resolver una posible vulneración al derecho a la salud. </w:t>
      </w:r>
    </w:p>
    <w:p w14:paraId="18E8DD26" w14:textId="77777777" w:rsidR="00443F46" w:rsidRPr="00643DCF" w:rsidRDefault="00443F46" w:rsidP="00443F46">
      <w:pPr>
        <w:pStyle w:val="Prrafodelista"/>
        <w:tabs>
          <w:tab w:val="left" w:pos="567"/>
        </w:tabs>
        <w:ind w:left="0"/>
        <w:jc w:val="both"/>
        <w:rPr>
          <w:sz w:val="28"/>
          <w:szCs w:val="28"/>
        </w:rPr>
      </w:pPr>
    </w:p>
    <w:p w14:paraId="3878AD3B" w14:textId="355F42FA" w:rsidR="00443F46" w:rsidRPr="00643DCF" w:rsidRDefault="00443F46" w:rsidP="00443F46">
      <w:pPr>
        <w:pStyle w:val="Prrafodelista"/>
        <w:tabs>
          <w:tab w:val="left" w:pos="567"/>
        </w:tabs>
        <w:ind w:left="0"/>
        <w:jc w:val="both"/>
        <w:rPr>
          <w:sz w:val="28"/>
          <w:szCs w:val="28"/>
        </w:rPr>
      </w:pPr>
      <w:r w:rsidRPr="00643DCF">
        <w:rPr>
          <w:sz w:val="28"/>
          <w:szCs w:val="28"/>
        </w:rPr>
        <w:t>Estos espacios de discusión y capacitación para la difusión del fallo estructural han sido desarrollados en diferentes</w:t>
      </w:r>
      <w:r w:rsidR="009B004A" w:rsidRPr="00643DCF">
        <w:rPr>
          <w:sz w:val="28"/>
          <w:szCs w:val="28"/>
        </w:rPr>
        <w:t xml:space="preserve"> municipios y distritos </w:t>
      </w:r>
      <w:r w:rsidRPr="00643DCF">
        <w:rPr>
          <w:sz w:val="28"/>
          <w:szCs w:val="28"/>
        </w:rPr>
        <w:t>del país, como Bogotá, Santa Marta, Medellín, Bucaramanga, Cali, Ibagué, Armenia, Mocoa, Florencia, San Andrés, Arauca, Yopal, Quibdó, Tunja, Pereira, Barranquilla, Cartagena, Valledupar y Sincelejo, logrando abarcar un total de 2007 servidores judiciales, cifra que podría considerarse reveladora, sin embargo, examinada la página web de la Rama Judicial la Sala encontró que la cuantificación de los despachos reporta un total de 5295 juzgados y tribunales al mes de marzo de 2017</w:t>
      </w:r>
      <w:r w:rsidRPr="00643DCF">
        <w:rPr>
          <w:rStyle w:val="Refdenotaalpie"/>
          <w:sz w:val="28"/>
          <w:szCs w:val="28"/>
        </w:rPr>
        <w:footnoteReference w:id="206"/>
      </w:r>
      <w:r w:rsidR="00E6597B" w:rsidRPr="00643DCF">
        <w:rPr>
          <w:sz w:val="28"/>
          <w:szCs w:val="28"/>
        </w:rPr>
        <w:t>,</w:t>
      </w:r>
      <w:r w:rsidRPr="00643DCF">
        <w:rPr>
          <w:sz w:val="28"/>
          <w:szCs w:val="28"/>
        </w:rPr>
        <w:t xml:space="preserve"> lo que en comparación demuestra que no es un número significativo de funcionarios capacitados. </w:t>
      </w:r>
    </w:p>
    <w:p w14:paraId="089A93A4" w14:textId="77777777" w:rsidR="00443F46" w:rsidRPr="00643DCF" w:rsidRDefault="00443F46" w:rsidP="00443F46">
      <w:pPr>
        <w:pStyle w:val="Prrafodelista"/>
        <w:tabs>
          <w:tab w:val="left" w:pos="567"/>
        </w:tabs>
        <w:ind w:left="0"/>
        <w:jc w:val="both"/>
        <w:rPr>
          <w:sz w:val="28"/>
          <w:szCs w:val="28"/>
        </w:rPr>
      </w:pPr>
    </w:p>
    <w:p w14:paraId="2D1EC0F0" w14:textId="0FEFB829" w:rsidR="00443F46" w:rsidRPr="00643DCF" w:rsidRDefault="00443F46" w:rsidP="00443F46">
      <w:pPr>
        <w:pStyle w:val="Prrafodelista"/>
        <w:tabs>
          <w:tab w:val="left" w:pos="567"/>
        </w:tabs>
        <w:ind w:left="0"/>
        <w:jc w:val="both"/>
        <w:rPr>
          <w:sz w:val="28"/>
          <w:szCs w:val="28"/>
        </w:rPr>
      </w:pPr>
      <w:r w:rsidRPr="00643DCF">
        <w:rPr>
          <w:sz w:val="28"/>
          <w:szCs w:val="28"/>
        </w:rPr>
        <w:t>En consecuencia,</w:t>
      </w:r>
      <w:r w:rsidR="008367E6" w:rsidRPr="00643DCF">
        <w:rPr>
          <w:sz w:val="28"/>
          <w:szCs w:val="28"/>
        </w:rPr>
        <w:t xml:space="preserve"> </w:t>
      </w:r>
      <w:r w:rsidRPr="00643DCF">
        <w:rPr>
          <w:sz w:val="28"/>
          <w:szCs w:val="28"/>
        </w:rPr>
        <w:t>a pesar de que se advierte que el CSJ ha implementado medidas conducentes</w:t>
      </w:r>
      <w:r w:rsidRPr="00643DCF">
        <w:rPr>
          <w:rStyle w:val="Refdenotaalpie"/>
          <w:sz w:val="28"/>
          <w:szCs w:val="28"/>
        </w:rPr>
        <w:footnoteReference w:id="207"/>
      </w:r>
      <w:r w:rsidRPr="00643DCF">
        <w:rPr>
          <w:sz w:val="28"/>
          <w:szCs w:val="28"/>
        </w:rPr>
        <w:t xml:space="preserve"> para capacitar a </w:t>
      </w:r>
      <w:r w:rsidR="00EC4914" w:rsidRPr="00643DCF">
        <w:rPr>
          <w:sz w:val="28"/>
          <w:szCs w:val="28"/>
        </w:rPr>
        <w:t xml:space="preserve">un buen </w:t>
      </w:r>
      <w:r w:rsidR="00EC4914" w:rsidRPr="00FA159B">
        <w:rPr>
          <w:sz w:val="28"/>
          <w:szCs w:val="28"/>
        </w:rPr>
        <w:t>número de funcionarios</w:t>
      </w:r>
      <w:r w:rsidRPr="00FA159B">
        <w:rPr>
          <w:sz w:val="28"/>
          <w:szCs w:val="28"/>
        </w:rPr>
        <w:t xml:space="preserve">, esta disposición no ha cubierto en más de diez años ni siquiera a la mitad </w:t>
      </w:r>
      <w:r w:rsidR="00DF6551" w:rsidRPr="00FA159B">
        <w:rPr>
          <w:sz w:val="28"/>
          <w:szCs w:val="28"/>
        </w:rPr>
        <w:t>de estos</w:t>
      </w:r>
      <w:r w:rsidR="00BD3D72" w:rsidRPr="00FA159B">
        <w:rPr>
          <w:sz w:val="28"/>
          <w:szCs w:val="28"/>
        </w:rPr>
        <w:t>. A</w:t>
      </w:r>
      <w:r w:rsidRPr="00FA159B">
        <w:rPr>
          <w:sz w:val="28"/>
          <w:szCs w:val="28"/>
        </w:rPr>
        <w:t>unado</w:t>
      </w:r>
      <w:r w:rsidRPr="00643DCF">
        <w:rPr>
          <w:sz w:val="28"/>
          <w:szCs w:val="28"/>
        </w:rPr>
        <w:t xml:space="preserve"> a ello no se cuenta con una estadística del universo total de l</w:t>
      </w:r>
      <w:r w:rsidR="001E14C3" w:rsidRPr="00643DCF">
        <w:rPr>
          <w:sz w:val="28"/>
          <w:szCs w:val="28"/>
        </w:rPr>
        <w:t xml:space="preserve">os jueces </w:t>
      </w:r>
      <w:r w:rsidRPr="00643DCF">
        <w:rPr>
          <w:sz w:val="28"/>
          <w:szCs w:val="28"/>
        </w:rPr>
        <w:t xml:space="preserve">que se encuentran pendientes de capacitar para así poder establecer el porcentaje </w:t>
      </w:r>
      <w:r w:rsidR="001E14C3" w:rsidRPr="00643DCF">
        <w:rPr>
          <w:sz w:val="28"/>
          <w:szCs w:val="28"/>
        </w:rPr>
        <w:t xml:space="preserve">de </w:t>
      </w:r>
      <w:r w:rsidRPr="00643DCF">
        <w:rPr>
          <w:sz w:val="28"/>
          <w:szCs w:val="28"/>
        </w:rPr>
        <w:t>cumplimiento de la directriz</w:t>
      </w:r>
      <w:r w:rsidR="008367E6" w:rsidRPr="00643DCF">
        <w:rPr>
          <w:sz w:val="28"/>
          <w:szCs w:val="28"/>
        </w:rPr>
        <w:t xml:space="preserve">. </w:t>
      </w:r>
      <w:r w:rsidR="00E6597B" w:rsidRPr="00643DCF">
        <w:rPr>
          <w:sz w:val="28"/>
          <w:szCs w:val="28"/>
        </w:rPr>
        <w:t>En esa medida</w:t>
      </w:r>
      <w:r w:rsidR="00D77019" w:rsidRPr="00643DCF">
        <w:rPr>
          <w:sz w:val="28"/>
          <w:szCs w:val="28"/>
        </w:rPr>
        <w:t>,</w:t>
      </w:r>
      <w:r w:rsidR="008367E6" w:rsidRPr="00643DCF">
        <w:rPr>
          <w:sz w:val="28"/>
          <w:szCs w:val="28"/>
        </w:rPr>
        <w:t xml:space="preserve"> respecto de este punto no es posible establecer avances o resultados ostensibles que </w:t>
      </w:r>
      <w:r w:rsidR="00FC1B4D" w:rsidRPr="00643DCF">
        <w:rPr>
          <w:sz w:val="28"/>
          <w:szCs w:val="28"/>
        </w:rPr>
        <w:t xml:space="preserve">permitan afirmar que una cifra significativa de </w:t>
      </w:r>
      <w:r w:rsidR="001E14C3" w:rsidRPr="00643DCF">
        <w:rPr>
          <w:sz w:val="28"/>
          <w:szCs w:val="28"/>
        </w:rPr>
        <w:t xml:space="preserve">operadores </w:t>
      </w:r>
      <w:proofErr w:type="gramStart"/>
      <w:r w:rsidR="00FC1B4D" w:rsidRPr="00643DCF">
        <w:rPr>
          <w:sz w:val="28"/>
          <w:szCs w:val="28"/>
        </w:rPr>
        <w:t>han</w:t>
      </w:r>
      <w:proofErr w:type="gramEnd"/>
      <w:r w:rsidR="00FC1B4D" w:rsidRPr="00643DCF">
        <w:rPr>
          <w:sz w:val="28"/>
          <w:szCs w:val="28"/>
        </w:rPr>
        <w:t xml:space="preserve"> sido capacitados</w:t>
      </w:r>
      <w:r w:rsidRPr="00643DCF">
        <w:rPr>
          <w:sz w:val="28"/>
          <w:szCs w:val="28"/>
        </w:rPr>
        <w:t xml:space="preserve">. </w:t>
      </w:r>
    </w:p>
    <w:p w14:paraId="0FDC802C" w14:textId="77777777" w:rsidR="00443F46" w:rsidRPr="00643DCF" w:rsidRDefault="00443F46" w:rsidP="00443F46">
      <w:pPr>
        <w:pStyle w:val="Prrafodelista"/>
        <w:tabs>
          <w:tab w:val="left" w:pos="567"/>
        </w:tabs>
        <w:ind w:left="0"/>
        <w:jc w:val="both"/>
        <w:rPr>
          <w:sz w:val="28"/>
          <w:szCs w:val="28"/>
        </w:rPr>
      </w:pPr>
    </w:p>
    <w:p w14:paraId="151B6098" w14:textId="033AD5F5" w:rsidR="00E37842" w:rsidRPr="00643DCF" w:rsidRDefault="00BA4985" w:rsidP="003414F1">
      <w:pPr>
        <w:pStyle w:val="Prrafodelista"/>
        <w:tabs>
          <w:tab w:val="left" w:pos="567"/>
        </w:tabs>
        <w:ind w:left="0"/>
        <w:jc w:val="both"/>
        <w:rPr>
          <w:sz w:val="28"/>
          <w:szCs w:val="28"/>
        </w:rPr>
      </w:pPr>
      <w:r w:rsidRPr="00643DCF">
        <w:rPr>
          <w:sz w:val="28"/>
          <w:szCs w:val="28"/>
        </w:rPr>
        <w:t>100</w:t>
      </w:r>
      <w:r w:rsidR="00B962D4" w:rsidRPr="00643DCF">
        <w:rPr>
          <w:sz w:val="28"/>
          <w:szCs w:val="28"/>
        </w:rPr>
        <w:t xml:space="preserve">. </w:t>
      </w:r>
      <w:r w:rsidR="00F05E00" w:rsidRPr="00643DCF">
        <w:rPr>
          <w:sz w:val="28"/>
          <w:szCs w:val="28"/>
        </w:rPr>
        <w:t>Finalmente</w:t>
      </w:r>
      <w:r w:rsidR="00C117A0" w:rsidRPr="00643DCF">
        <w:rPr>
          <w:sz w:val="28"/>
          <w:szCs w:val="28"/>
        </w:rPr>
        <w:t>,</w:t>
      </w:r>
      <w:r w:rsidR="0020342A" w:rsidRPr="00643DCF">
        <w:rPr>
          <w:sz w:val="28"/>
          <w:szCs w:val="28"/>
        </w:rPr>
        <w:t xml:space="preserve"> </w:t>
      </w:r>
      <w:r w:rsidR="003414F1" w:rsidRPr="00643DCF">
        <w:rPr>
          <w:sz w:val="28"/>
          <w:szCs w:val="28"/>
        </w:rPr>
        <w:t>esta Corporación</w:t>
      </w:r>
      <w:r w:rsidR="00F05E00" w:rsidRPr="00643DCF">
        <w:rPr>
          <w:sz w:val="28"/>
          <w:szCs w:val="28"/>
        </w:rPr>
        <w:t xml:space="preserve"> </w:t>
      </w:r>
      <w:r w:rsidR="00443F46" w:rsidRPr="00643DCF">
        <w:rPr>
          <w:sz w:val="28"/>
          <w:szCs w:val="28"/>
        </w:rPr>
        <w:t xml:space="preserve">resalta </w:t>
      </w:r>
      <w:r w:rsidR="00E37842" w:rsidRPr="00643DCF">
        <w:rPr>
          <w:sz w:val="28"/>
          <w:szCs w:val="28"/>
        </w:rPr>
        <w:t>que aún persiste</w:t>
      </w:r>
      <w:r w:rsidR="00C117A0" w:rsidRPr="00643DCF">
        <w:rPr>
          <w:sz w:val="28"/>
          <w:szCs w:val="28"/>
        </w:rPr>
        <w:t xml:space="preserve"> una</w:t>
      </w:r>
      <w:r w:rsidR="00E37842" w:rsidRPr="00643DCF">
        <w:rPr>
          <w:sz w:val="28"/>
          <w:szCs w:val="28"/>
        </w:rPr>
        <w:t xml:space="preserve"> </w:t>
      </w:r>
      <w:r w:rsidR="0020342A" w:rsidRPr="00643DCF">
        <w:rPr>
          <w:sz w:val="28"/>
          <w:szCs w:val="28"/>
        </w:rPr>
        <w:t>concentración</w:t>
      </w:r>
      <w:r w:rsidR="00E37842" w:rsidRPr="00643DCF">
        <w:rPr>
          <w:sz w:val="28"/>
          <w:szCs w:val="28"/>
        </w:rPr>
        <w:t xml:space="preserve"> de las jornadas </w:t>
      </w:r>
      <w:r w:rsidR="00F05E00" w:rsidRPr="00643DCF">
        <w:rPr>
          <w:sz w:val="28"/>
          <w:szCs w:val="28"/>
        </w:rPr>
        <w:t>de capacitación y actualización en materia del derecho a la salud</w:t>
      </w:r>
      <w:r w:rsidR="0020342A" w:rsidRPr="00643DCF">
        <w:rPr>
          <w:sz w:val="28"/>
          <w:szCs w:val="28"/>
        </w:rPr>
        <w:t xml:space="preserve"> en las ciudades capitales </w:t>
      </w:r>
      <w:r w:rsidR="00E37842" w:rsidRPr="00643DCF">
        <w:rPr>
          <w:sz w:val="28"/>
          <w:szCs w:val="28"/>
        </w:rPr>
        <w:t>y no existe</w:t>
      </w:r>
      <w:r w:rsidR="003414F1" w:rsidRPr="00643DCF">
        <w:rPr>
          <w:sz w:val="28"/>
          <w:szCs w:val="28"/>
        </w:rPr>
        <w:t>n pruebas concretas</w:t>
      </w:r>
      <w:r w:rsidR="00E37842" w:rsidRPr="00643DCF">
        <w:rPr>
          <w:sz w:val="28"/>
          <w:szCs w:val="28"/>
        </w:rPr>
        <w:t xml:space="preserve"> que demuestr</w:t>
      </w:r>
      <w:r w:rsidR="003414F1" w:rsidRPr="00643DCF">
        <w:rPr>
          <w:sz w:val="28"/>
          <w:szCs w:val="28"/>
        </w:rPr>
        <w:t>en</w:t>
      </w:r>
      <w:r w:rsidR="00E37842" w:rsidRPr="00643DCF">
        <w:rPr>
          <w:sz w:val="28"/>
          <w:szCs w:val="28"/>
        </w:rPr>
        <w:t xml:space="preserve"> que la totalidad o un porcentaje elevado de los funcionarios judiciales del país ha</w:t>
      </w:r>
      <w:r w:rsidR="003414F1" w:rsidRPr="00643DCF">
        <w:rPr>
          <w:sz w:val="28"/>
          <w:szCs w:val="28"/>
        </w:rPr>
        <w:t xml:space="preserve">yan </w:t>
      </w:r>
      <w:r w:rsidR="00E37842" w:rsidRPr="00643DCF">
        <w:rPr>
          <w:sz w:val="28"/>
          <w:szCs w:val="28"/>
        </w:rPr>
        <w:t>recibido el material y la respectiva retroalimentación, especialmente en los zonas apartadas de la geografía nacional</w:t>
      </w:r>
      <w:r w:rsidR="00F05E00" w:rsidRPr="00643DCF">
        <w:rPr>
          <w:sz w:val="28"/>
          <w:szCs w:val="28"/>
        </w:rPr>
        <w:t xml:space="preserve">, situaciones que </w:t>
      </w:r>
      <w:r w:rsidR="000F1F84" w:rsidRPr="00643DCF">
        <w:rPr>
          <w:sz w:val="28"/>
          <w:szCs w:val="28"/>
        </w:rPr>
        <w:t xml:space="preserve">permiten concluir </w:t>
      </w:r>
      <w:r w:rsidR="003414F1" w:rsidRPr="00643DCF">
        <w:rPr>
          <w:sz w:val="28"/>
          <w:szCs w:val="28"/>
        </w:rPr>
        <w:t>que</w:t>
      </w:r>
      <w:r w:rsidR="008367E6" w:rsidRPr="00643DCF">
        <w:rPr>
          <w:sz w:val="28"/>
          <w:szCs w:val="28"/>
        </w:rPr>
        <w:t xml:space="preserve"> sobre este asunto</w:t>
      </w:r>
      <w:r w:rsidR="003414F1" w:rsidRPr="00643DCF">
        <w:rPr>
          <w:sz w:val="28"/>
          <w:szCs w:val="28"/>
        </w:rPr>
        <w:t xml:space="preserve"> los avances</w:t>
      </w:r>
      <w:r w:rsidR="00443F46" w:rsidRPr="00643DCF">
        <w:rPr>
          <w:sz w:val="28"/>
          <w:szCs w:val="28"/>
        </w:rPr>
        <w:t xml:space="preserve"> y resultados</w:t>
      </w:r>
      <w:r w:rsidR="003414F1" w:rsidRPr="00643DCF">
        <w:rPr>
          <w:sz w:val="28"/>
          <w:szCs w:val="28"/>
        </w:rPr>
        <w:t xml:space="preserve"> presentados</w:t>
      </w:r>
      <w:r w:rsidR="008367E6" w:rsidRPr="00643DCF">
        <w:rPr>
          <w:sz w:val="28"/>
          <w:szCs w:val="28"/>
        </w:rPr>
        <w:t xml:space="preserve"> tampoco</w:t>
      </w:r>
      <w:r w:rsidR="00181736" w:rsidRPr="00643DCF">
        <w:rPr>
          <w:sz w:val="28"/>
          <w:szCs w:val="28"/>
        </w:rPr>
        <w:t xml:space="preserve"> </w:t>
      </w:r>
      <w:r w:rsidR="00F05E00" w:rsidRPr="00643DCF">
        <w:rPr>
          <w:sz w:val="28"/>
          <w:szCs w:val="28"/>
        </w:rPr>
        <w:t xml:space="preserve">son suficientes para </w:t>
      </w:r>
      <w:r w:rsidR="000F1F84" w:rsidRPr="00643DCF">
        <w:rPr>
          <w:sz w:val="28"/>
          <w:szCs w:val="28"/>
        </w:rPr>
        <w:t>alcanzar el objeto del mandato</w:t>
      </w:r>
      <w:r w:rsidR="003414F1" w:rsidRPr="00643DCF">
        <w:rPr>
          <w:sz w:val="28"/>
          <w:szCs w:val="28"/>
        </w:rPr>
        <w:t xml:space="preserve">. </w:t>
      </w:r>
    </w:p>
    <w:p w14:paraId="4DDA60BC" w14:textId="77777777" w:rsidR="006766D1" w:rsidRPr="00643DCF" w:rsidRDefault="006766D1" w:rsidP="003414F1">
      <w:pPr>
        <w:pStyle w:val="Prrafodelista"/>
        <w:tabs>
          <w:tab w:val="left" w:pos="567"/>
        </w:tabs>
        <w:ind w:left="0"/>
        <w:jc w:val="both"/>
        <w:rPr>
          <w:sz w:val="28"/>
          <w:szCs w:val="28"/>
        </w:rPr>
      </w:pPr>
    </w:p>
    <w:p w14:paraId="09D0B747" w14:textId="3469690F" w:rsidR="006766D1" w:rsidRPr="00643DCF" w:rsidRDefault="00680721" w:rsidP="006766D1">
      <w:pPr>
        <w:pStyle w:val="Prrafodelista"/>
        <w:tabs>
          <w:tab w:val="left" w:pos="567"/>
        </w:tabs>
        <w:ind w:left="0"/>
        <w:jc w:val="both"/>
        <w:rPr>
          <w:sz w:val="28"/>
          <w:szCs w:val="28"/>
        </w:rPr>
      </w:pPr>
      <w:r w:rsidRPr="00643DCF">
        <w:rPr>
          <w:sz w:val="28"/>
          <w:szCs w:val="28"/>
        </w:rPr>
        <w:t>10</w:t>
      </w:r>
      <w:r w:rsidR="00BA4985" w:rsidRPr="00643DCF">
        <w:rPr>
          <w:sz w:val="28"/>
          <w:szCs w:val="28"/>
        </w:rPr>
        <w:t>1</w:t>
      </w:r>
      <w:r w:rsidR="00B962D4" w:rsidRPr="00643DCF">
        <w:rPr>
          <w:sz w:val="28"/>
          <w:szCs w:val="28"/>
        </w:rPr>
        <w:t xml:space="preserve">. </w:t>
      </w:r>
      <w:r w:rsidR="006766D1" w:rsidRPr="00643DCF">
        <w:rPr>
          <w:sz w:val="28"/>
          <w:szCs w:val="28"/>
        </w:rPr>
        <w:t>En lo que atañe a la emisión de los programas de televisión “</w:t>
      </w:r>
      <w:r w:rsidR="006766D1" w:rsidRPr="00643DCF">
        <w:rPr>
          <w:rFonts w:eastAsia="Batang"/>
          <w:bCs/>
          <w:i/>
          <w:sz w:val="28"/>
          <w:szCs w:val="28"/>
        </w:rPr>
        <w:t>Programa de Derecho Laboral, trabajo, Seguridad Social, Instrumentos de Paz, garantía de los Derechos Humanos”</w:t>
      </w:r>
      <w:r w:rsidR="006766D1" w:rsidRPr="00643DCF">
        <w:rPr>
          <w:rFonts w:eastAsia="Batang"/>
          <w:bCs/>
          <w:sz w:val="28"/>
          <w:szCs w:val="28"/>
        </w:rPr>
        <w:t>,</w:t>
      </w:r>
      <w:r w:rsidR="006766D1" w:rsidRPr="00643DCF">
        <w:rPr>
          <w:sz w:val="28"/>
          <w:szCs w:val="28"/>
        </w:rPr>
        <w:t xml:space="preserve"> no ha sido posible establecer el </w:t>
      </w:r>
      <w:r w:rsidR="006766D1" w:rsidRPr="00643DCF">
        <w:rPr>
          <w:rFonts w:eastAsia="Batang"/>
          <w:bCs/>
          <w:sz w:val="28"/>
          <w:szCs w:val="28"/>
        </w:rPr>
        <w:t xml:space="preserve">impacto y la efectividad de la medida, toda vez que el CSJ omitió realizar una </w:t>
      </w:r>
      <w:r w:rsidR="00EC4914" w:rsidRPr="00643DCF">
        <w:rPr>
          <w:rFonts w:eastAsia="Batang"/>
          <w:bCs/>
          <w:sz w:val="28"/>
          <w:szCs w:val="28"/>
        </w:rPr>
        <w:t xml:space="preserve">verificación </w:t>
      </w:r>
      <w:r w:rsidR="006766D1" w:rsidRPr="00643DCF">
        <w:rPr>
          <w:rFonts w:eastAsia="Batang"/>
          <w:bCs/>
          <w:sz w:val="28"/>
          <w:szCs w:val="28"/>
        </w:rPr>
        <w:t xml:space="preserve">del alcance de la sintonía en </w:t>
      </w:r>
      <w:r w:rsidR="006766D1" w:rsidRPr="00643DCF">
        <w:rPr>
          <w:sz w:val="28"/>
          <w:szCs w:val="28"/>
        </w:rPr>
        <w:t>las fechas y horas</w:t>
      </w:r>
      <w:r w:rsidR="006766D1" w:rsidRPr="00643DCF">
        <w:rPr>
          <w:rStyle w:val="Refdenotaalpie"/>
          <w:sz w:val="28"/>
          <w:szCs w:val="28"/>
        </w:rPr>
        <w:footnoteReference w:id="208"/>
      </w:r>
      <w:r w:rsidR="006766D1" w:rsidRPr="00643DCF">
        <w:rPr>
          <w:sz w:val="28"/>
          <w:szCs w:val="28"/>
        </w:rPr>
        <w:t xml:space="preserve"> en que han sido televisados</w:t>
      </w:r>
      <w:r w:rsidR="006766D1" w:rsidRPr="00643DCF">
        <w:rPr>
          <w:rFonts w:eastAsia="Batang"/>
          <w:bCs/>
          <w:sz w:val="28"/>
          <w:szCs w:val="28"/>
        </w:rPr>
        <w:t xml:space="preserve"> y, por el contrario, revisado el acervo probatorio </w:t>
      </w:r>
      <w:r w:rsidR="006766D1" w:rsidRPr="00643DCF">
        <w:rPr>
          <w:sz w:val="28"/>
          <w:szCs w:val="28"/>
        </w:rPr>
        <w:t xml:space="preserve">halla la Sala Especial que se llevaron a cabo en días poco accesibles para la población en general, </w:t>
      </w:r>
      <w:r w:rsidR="00967309" w:rsidRPr="00643DCF">
        <w:rPr>
          <w:sz w:val="28"/>
          <w:szCs w:val="28"/>
        </w:rPr>
        <w:t xml:space="preserve">como por ejemplo, </w:t>
      </w:r>
      <w:r w:rsidR="006766D1" w:rsidRPr="00643DCF">
        <w:rPr>
          <w:sz w:val="28"/>
          <w:szCs w:val="28"/>
        </w:rPr>
        <w:t xml:space="preserve">la transmisión que tuvo lugar el 24 de diciembre de 2015, </w:t>
      </w:r>
      <w:r w:rsidR="00967309" w:rsidRPr="00643DCF">
        <w:rPr>
          <w:sz w:val="28"/>
          <w:szCs w:val="28"/>
        </w:rPr>
        <w:t xml:space="preserve">además se observa que hubo poca </w:t>
      </w:r>
      <w:r w:rsidR="006766D1" w:rsidRPr="00643DCF">
        <w:rPr>
          <w:sz w:val="28"/>
          <w:szCs w:val="28"/>
        </w:rPr>
        <w:t>difusión de los demás programas emitidos, de los que tampoco hay evidencia de impacto real en la teleaudiencia, así mismo, en los años 2017 y 2018 no se desarrolló ninguna actividad en este sentido.</w:t>
      </w:r>
    </w:p>
    <w:p w14:paraId="2713D558" w14:textId="77777777" w:rsidR="006766D1" w:rsidRPr="00643DCF" w:rsidRDefault="006766D1" w:rsidP="006766D1">
      <w:pPr>
        <w:pStyle w:val="Prrafodelista"/>
        <w:tabs>
          <w:tab w:val="left" w:pos="567"/>
        </w:tabs>
        <w:ind w:left="0"/>
        <w:jc w:val="both"/>
        <w:rPr>
          <w:sz w:val="28"/>
          <w:szCs w:val="28"/>
        </w:rPr>
      </w:pPr>
    </w:p>
    <w:p w14:paraId="44BE7AF1" w14:textId="7B871815" w:rsidR="006766D1" w:rsidRPr="00643DCF" w:rsidRDefault="00E91562" w:rsidP="006766D1">
      <w:pPr>
        <w:pStyle w:val="Prrafodelista"/>
        <w:tabs>
          <w:tab w:val="left" w:pos="567"/>
        </w:tabs>
        <w:ind w:left="0"/>
        <w:jc w:val="both"/>
        <w:rPr>
          <w:sz w:val="28"/>
          <w:szCs w:val="28"/>
        </w:rPr>
      </w:pPr>
      <w:r w:rsidRPr="00643DCF">
        <w:rPr>
          <w:sz w:val="28"/>
          <w:szCs w:val="28"/>
        </w:rPr>
        <w:t>10</w:t>
      </w:r>
      <w:r w:rsidR="00BA4985" w:rsidRPr="00643DCF">
        <w:rPr>
          <w:sz w:val="28"/>
          <w:szCs w:val="28"/>
        </w:rPr>
        <w:t>2</w:t>
      </w:r>
      <w:r w:rsidR="00B962D4" w:rsidRPr="00643DCF">
        <w:rPr>
          <w:sz w:val="28"/>
          <w:szCs w:val="28"/>
        </w:rPr>
        <w:t xml:space="preserve">. </w:t>
      </w:r>
      <w:r w:rsidR="006766D1" w:rsidRPr="00643DCF">
        <w:rPr>
          <w:sz w:val="28"/>
          <w:szCs w:val="28"/>
        </w:rPr>
        <w:t xml:space="preserve">Por consiguiente, las herramientas dispuestas no permiten determinar avances en </w:t>
      </w:r>
      <w:r w:rsidR="00AF4197" w:rsidRPr="00643DCF">
        <w:rPr>
          <w:sz w:val="28"/>
          <w:szCs w:val="28"/>
        </w:rPr>
        <w:t xml:space="preserve">el propósito de capacitar a los </w:t>
      </w:r>
      <w:r w:rsidR="006766D1" w:rsidRPr="00643DCF">
        <w:rPr>
          <w:sz w:val="28"/>
          <w:szCs w:val="28"/>
        </w:rPr>
        <w:t xml:space="preserve">operadores judiciales </w:t>
      </w:r>
      <w:r w:rsidR="00AF4197" w:rsidRPr="00643DCF">
        <w:rPr>
          <w:sz w:val="28"/>
          <w:szCs w:val="28"/>
        </w:rPr>
        <w:t>en</w:t>
      </w:r>
      <w:r w:rsidR="006766D1" w:rsidRPr="00643DCF">
        <w:rPr>
          <w:sz w:val="28"/>
          <w:szCs w:val="28"/>
        </w:rPr>
        <w:t xml:space="preserve"> el contenido de la sentencia estructural, los autos de seguimiento, los cambios normativos y jurisprudenciales y el estado actual de las órdenes para superar la problemática evidenciada. </w:t>
      </w:r>
    </w:p>
    <w:p w14:paraId="5A7F56BA" w14:textId="77777777" w:rsidR="006766D1" w:rsidRPr="00643DCF" w:rsidRDefault="006766D1" w:rsidP="006766D1">
      <w:pPr>
        <w:pStyle w:val="Prrafodelista"/>
        <w:tabs>
          <w:tab w:val="left" w:pos="567"/>
        </w:tabs>
        <w:ind w:left="0"/>
        <w:jc w:val="both"/>
        <w:rPr>
          <w:sz w:val="28"/>
          <w:szCs w:val="28"/>
        </w:rPr>
      </w:pPr>
    </w:p>
    <w:p w14:paraId="622EFBFA" w14:textId="77634559" w:rsidR="006766D1" w:rsidRPr="00643DCF" w:rsidRDefault="00E91562" w:rsidP="006766D1">
      <w:pPr>
        <w:pStyle w:val="Prrafodelista"/>
        <w:tabs>
          <w:tab w:val="left" w:pos="567"/>
        </w:tabs>
        <w:ind w:left="0"/>
        <w:jc w:val="both"/>
        <w:rPr>
          <w:sz w:val="28"/>
          <w:szCs w:val="28"/>
        </w:rPr>
      </w:pPr>
      <w:r w:rsidRPr="00643DCF">
        <w:rPr>
          <w:sz w:val="28"/>
          <w:szCs w:val="28"/>
        </w:rPr>
        <w:t>10</w:t>
      </w:r>
      <w:r w:rsidR="00BA4985" w:rsidRPr="00643DCF">
        <w:rPr>
          <w:sz w:val="28"/>
          <w:szCs w:val="28"/>
        </w:rPr>
        <w:t>3</w:t>
      </w:r>
      <w:r w:rsidR="00B962D4" w:rsidRPr="00643DCF">
        <w:rPr>
          <w:sz w:val="28"/>
          <w:szCs w:val="28"/>
        </w:rPr>
        <w:t xml:space="preserve">. </w:t>
      </w:r>
      <w:r w:rsidR="006766D1" w:rsidRPr="00643DCF">
        <w:rPr>
          <w:sz w:val="28"/>
          <w:szCs w:val="28"/>
        </w:rPr>
        <w:t xml:space="preserve">Tampoco es clara la efectividad de las medidas en relación con el conocimiento que tienen los operadores judiciales respecto del contenido de los problemas jurídicos estudiados en la </w:t>
      </w:r>
      <w:r w:rsidR="000961E6" w:rsidRPr="00643DCF">
        <w:rPr>
          <w:sz w:val="28"/>
          <w:szCs w:val="28"/>
        </w:rPr>
        <w:t>s</w:t>
      </w:r>
      <w:r w:rsidR="00F11A05" w:rsidRPr="00643DCF">
        <w:rPr>
          <w:sz w:val="28"/>
          <w:szCs w:val="28"/>
        </w:rPr>
        <w:t>entencia</w:t>
      </w:r>
      <w:r w:rsidR="006766D1" w:rsidRPr="00643DCF">
        <w:rPr>
          <w:sz w:val="28"/>
          <w:szCs w:val="28"/>
        </w:rPr>
        <w:t xml:space="preserve"> T-760 de 2008 y las posibles soluciones desarrolladas en los autos de seguimiento, lo cual les permitiría  </w:t>
      </w:r>
      <w:r w:rsidR="00C25146" w:rsidRPr="00643DCF">
        <w:rPr>
          <w:sz w:val="28"/>
          <w:szCs w:val="28"/>
        </w:rPr>
        <w:t>verificar</w:t>
      </w:r>
      <w:r w:rsidR="006766D1" w:rsidRPr="00643DCF">
        <w:rPr>
          <w:sz w:val="28"/>
          <w:szCs w:val="28"/>
        </w:rPr>
        <w:t xml:space="preserve"> de forma idónea el derecho fundamental a la salud en el momento en que consideren </w:t>
      </w:r>
      <w:r w:rsidR="0040022D" w:rsidRPr="00643DCF">
        <w:rPr>
          <w:sz w:val="28"/>
          <w:szCs w:val="28"/>
        </w:rPr>
        <w:t>está siendo vulnera</w:t>
      </w:r>
      <w:r w:rsidR="006766D1" w:rsidRPr="00643DCF">
        <w:rPr>
          <w:sz w:val="28"/>
          <w:szCs w:val="28"/>
        </w:rPr>
        <w:t>do o plantear posibles soluciones a los mismos en sus providencias judiciales.</w:t>
      </w:r>
    </w:p>
    <w:p w14:paraId="3F85A0EE" w14:textId="77777777" w:rsidR="006766D1" w:rsidRPr="00643DCF" w:rsidRDefault="006766D1" w:rsidP="006766D1">
      <w:pPr>
        <w:pStyle w:val="Prrafodelista"/>
        <w:tabs>
          <w:tab w:val="left" w:pos="567"/>
        </w:tabs>
        <w:ind w:left="0"/>
        <w:jc w:val="both"/>
        <w:rPr>
          <w:sz w:val="28"/>
          <w:szCs w:val="28"/>
        </w:rPr>
      </w:pPr>
    </w:p>
    <w:p w14:paraId="4DFAF0BC" w14:textId="5B9E43DE" w:rsidR="00443F46" w:rsidRPr="00643DCF" w:rsidRDefault="00B962D4" w:rsidP="00443F46">
      <w:pPr>
        <w:pStyle w:val="Prrafodelista"/>
        <w:tabs>
          <w:tab w:val="left" w:pos="567"/>
        </w:tabs>
        <w:ind w:left="0"/>
        <w:jc w:val="both"/>
        <w:rPr>
          <w:sz w:val="28"/>
          <w:szCs w:val="28"/>
        </w:rPr>
      </w:pPr>
      <w:r w:rsidRPr="00643DCF">
        <w:rPr>
          <w:sz w:val="28"/>
          <w:szCs w:val="28"/>
        </w:rPr>
        <w:t>10</w:t>
      </w:r>
      <w:r w:rsidR="00BA4985" w:rsidRPr="00643DCF">
        <w:rPr>
          <w:sz w:val="28"/>
          <w:szCs w:val="28"/>
        </w:rPr>
        <w:t>4</w:t>
      </w:r>
      <w:r w:rsidRPr="00643DCF">
        <w:rPr>
          <w:sz w:val="28"/>
          <w:szCs w:val="28"/>
        </w:rPr>
        <w:t xml:space="preserve">. </w:t>
      </w:r>
      <w:r w:rsidR="00443F46" w:rsidRPr="00643DCF">
        <w:rPr>
          <w:sz w:val="28"/>
          <w:szCs w:val="28"/>
        </w:rPr>
        <w:t xml:space="preserve">Lo anterior sin desconocer que en comparación con la valoración del </w:t>
      </w:r>
      <w:r w:rsidR="00821D52" w:rsidRPr="00643DCF">
        <w:rPr>
          <w:sz w:val="28"/>
          <w:szCs w:val="28"/>
        </w:rPr>
        <w:t>a</w:t>
      </w:r>
      <w:r w:rsidR="00443F46" w:rsidRPr="00643DCF">
        <w:rPr>
          <w:sz w:val="28"/>
          <w:szCs w:val="28"/>
        </w:rPr>
        <w:t xml:space="preserve">uto 144 del 19 de julio de 2011, que declaró </w:t>
      </w:r>
      <w:r w:rsidR="00181736" w:rsidRPr="00643DCF">
        <w:rPr>
          <w:sz w:val="28"/>
          <w:szCs w:val="28"/>
        </w:rPr>
        <w:t xml:space="preserve">el </w:t>
      </w:r>
      <w:r w:rsidR="00443F46" w:rsidRPr="00643DCF">
        <w:rPr>
          <w:sz w:val="28"/>
          <w:szCs w:val="28"/>
        </w:rPr>
        <w:t>nivel bajo</w:t>
      </w:r>
      <w:r w:rsidR="0040022D" w:rsidRPr="00643DCF">
        <w:rPr>
          <w:sz w:val="28"/>
          <w:szCs w:val="28"/>
        </w:rPr>
        <w:t xml:space="preserve"> de observancia del mandato</w:t>
      </w:r>
      <w:r w:rsidR="00443F46" w:rsidRPr="00643DCF">
        <w:rPr>
          <w:sz w:val="28"/>
          <w:szCs w:val="28"/>
        </w:rPr>
        <w:t>, hay un progreso en los resultados reportados por el CSJ</w:t>
      </w:r>
      <w:r w:rsidR="00DA1D92" w:rsidRPr="00643DCF">
        <w:rPr>
          <w:sz w:val="28"/>
          <w:szCs w:val="28"/>
        </w:rPr>
        <w:t xml:space="preserve">, </w:t>
      </w:r>
      <w:r w:rsidR="00443F46" w:rsidRPr="00643DCF">
        <w:rPr>
          <w:sz w:val="28"/>
          <w:szCs w:val="28"/>
        </w:rPr>
        <w:t xml:space="preserve">se advierten mejoras parciales en </w:t>
      </w:r>
      <w:r w:rsidR="00AF4197" w:rsidRPr="00643DCF">
        <w:rPr>
          <w:sz w:val="28"/>
          <w:szCs w:val="28"/>
        </w:rPr>
        <w:t xml:space="preserve">la </w:t>
      </w:r>
      <w:r w:rsidR="00443F46" w:rsidRPr="00643DCF">
        <w:rPr>
          <w:sz w:val="28"/>
          <w:szCs w:val="28"/>
        </w:rPr>
        <w:t>implementación</w:t>
      </w:r>
      <w:r w:rsidR="00AF4197" w:rsidRPr="00643DCF">
        <w:rPr>
          <w:sz w:val="28"/>
          <w:szCs w:val="28"/>
        </w:rPr>
        <w:t xml:space="preserve"> de</w:t>
      </w:r>
      <w:r w:rsidR="00FD5298" w:rsidRPr="00643DCF">
        <w:rPr>
          <w:sz w:val="28"/>
          <w:szCs w:val="28"/>
        </w:rPr>
        <w:t xml:space="preserve"> las medidas</w:t>
      </w:r>
      <w:r w:rsidR="00DA1D92" w:rsidRPr="00643DCF">
        <w:rPr>
          <w:sz w:val="28"/>
          <w:szCs w:val="28"/>
        </w:rPr>
        <w:t xml:space="preserve"> y un avance en las estrategias de difusión </w:t>
      </w:r>
      <w:r w:rsidR="0040022D" w:rsidRPr="00643DCF">
        <w:rPr>
          <w:sz w:val="28"/>
          <w:szCs w:val="28"/>
        </w:rPr>
        <w:t xml:space="preserve">dispuesta </w:t>
      </w:r>
      <w:r w:rsidR="00FD5298" w:rsidRPr="00643DCF">
        <w:rPr>
          <w:sz w:val="28"/>
          <w:szCs w:val="28"/>
        </w:rPr>
        <w:t xml:space="preserve">en el </w:t>
      </w:r>
      <w:r w:rsidR="00821D52" w:rsidRPr="00643DCF">
        <w:rPr>
          <w:sz w:val="28"/>
          <w:szCs w:val="28"/>
        </w:rPr>
        <w:t>a</w:t>
      </w:r>
      <w:r w:rsidR="00FD5298" w:rsidRPr="00643DCF">
        <w:rPr>
          <w:sz w:val="28"/>
          <w:szCs w:val="28"/>
        </w:rPr>
        <w:t>uto 154 de 2014</w:t>
      </w:r>
      <w:r w:rsidR="00DA1D92" w:rsidRPr="00643DCF">
        <w:rPr>
          <w:rStyle w:val="Refdenotaalpie"/>
          <w:sz w:val="28"/>
          <w:szCs w:val="28"/>
        </w:rPr>
        <w:footnoteReference w:id="209"/>
      </w:r>
      <w:r w:rsidR="00FD5298" w:rsidRPr="00643DCF">
        <w:rPr>
          <w:sz w:val="28"/>
          <w:szCs w:val="28"/>
        </w:rPr>
        <w:t xml:space="preserve">, de </w:t>
      </w:r>
      <w:r w:rsidR="00443F46" w:rsidRPr="00643DCF">
        <w:rPr>
          <w:sz w:val="28"/>
          <w:szCs w:val="28"/>
        </w:rPr>
        <w:t>manera que de continuarse realizando en mayor proporción las actividades propuestas</w:t>
      </w:r>
      <w:r w:rsidR="00FD5298" w:rsidRPr="00643DCF">
        <w:rPr>
          <w:sz w:val="28"/>
          <w:szCs w:val="28"/>
        </w:rPr>
        <w:t xml:space="preserve"> en los cronogramas presentados</w:t>
      </w:r>
      <w:r w:rsidR="00443F46" w:rsidRPr="00643DCF">
        <w:rPr>
          <w:sz w:val="28"/>
          <w:szCs w:val="28"/>
        </w:rPr>
        <w:t xml:space="preserve"> la orden podría ser superada</w:t>
      </w:r>
      <w:r w:rsidR="00FD5298" w:rsidRPr="00643DCF">
        <w:rPr>
          <w:sz w:val="28"/>
          <w:szCs w:val="28"/>
        </w:rPr>
        <w:t xml:space="preserve"> en su totalidad</w:t>
      </w:r>
      <w:r w:rsidR="00443F46" w:rsidRPr="00643DCF">
        <w:rPr>
          <w:sz w:val="28"/>
          <w:szCs w:val="28"/>
        </w:rPr>
        <w:t xml:space="preserve">. </w:t>
      </w:r>
    </w:p>
    <w:p w14:paraId="2EF23550" w14:textId="77777777" w:rsidR="00443F46" w:rsidRPr="00643DCF" w:rsidRDefault="00443F46" w:rsidP="00443F46">
      <w:pPr>
        <w:pStyle w:val="Prrafodelista"/>
        <w:tabs>
          <w:tab w:val="left" w:pos="567"/>
        </w:tabs>
        <w:ind w:left="0"/>
        <w:jc w:val="both"/>
        <w:rPr>
          <w:sz w:val="28"/>
          <w:szCs w:val="28"/>
        </w:rPr>
      </w:pPr>
    </w:p>
    <w:p w14:paraId="18FBEA86" w14:textId="39760FD0" w:rsidR="003A1BC8" w:rsidRPr="00643DCF" w:rsidRDefault="003A1BC8" w:rsidP="003A1BC8">
      <w:pPr>
        <w:tabs>
          <w:tab w:val="left" w:pos="3536"/>
        </w:tabs>
        <w:jc w:val="both"/>
        <w:rPr>
          <w:sz w:val="28"/>
          <w:szCs w:val="28"/>
        </w:rPr>
      </w:pPr>
      <w:r w:rsidRPr="00643DCF">
        <w:rPr>
          <w:sz w:val="28"/>
          <w:szCs w:val="28"/>
        </w:rPr>
        <w:t xml:space="preserve">Teniendo en cuenta las consideraciones expuestas, la Sala </w:t>
      </w:r>
      <w:r w:rsidR="00181736" w:rsidRPr="00643DCF">
        <w:rPr>
          <w:sz w:val="28"/>
          <w:szCs w:val="28"/>
        </w:rPr>
        <w:t>declarará</w:t>
      </w:r>
      <w:r w:rsidRPr="00643DCF">
        <w:rPr>
          <w:sz w:val="28"/>
          <w:szCs w:val="28"/>
        </w:rPr>
        <w:t xml:space="preserve"> el nivel de cumplimiento </w:t>
      </w:r>
      <w:r w:rsidR="001E14C3" w:rsidRPr="00643DCF">
        <w:rPr>
          <w:b/>
          <w:sz w:val="28"/>
          <w:szCs w:val="28"/>
        </w:rPr>
        <w:t>medio</w:t>
      </w:r>
      <w:r w:rsidRPr="00643DCF">
        <w:rPr>
          <w:sz w:val="28"/>
          <w:szCs w:val="28"/>
        </w:rPr>
        <w:t xml:space="preserve"> de la orden 32, </w:t>
      </w:r>
      <w:r w:rsidR="00181736" w:rsidRPr="00643DCF">
        <w:rPr>
          <w:sz w:val="28"/>
          <w:szCs w:val="28"/>
        </w:rPr>
        <w:t xml:space="preserve">dado que </w:t>
      </w:r>
      <w:r w:rsidRPr="00643DCF">
        <w:rPr>
          <w:sz w:val="28"/>
          <w:szCs w:val="28"/>
        </w:rPr>
        <w:t>las medidas adoptadas son conducentes, los resultados permiten evidenciar que</w:t>
      </w:r>
      <w:r w:rsidR="009D6D3F" w:rsidRPr="00643DCF">
        <w:rPr>
          <w:sz w:val="28"/>
          <w:szCs w:val="28"/>
        </w:rPr>
        <w:t xml:space="preserve"> se han presentado avances </w:t>
      </w:r>
      <w:r w:rsidR="00CB0863" w:rsidRPr="00643DCF">
        <w:rPr>
          <w:sz w:val="28"/>
          <w:szCs w:val="28"/>
        </w:rPr>
        <w:t xml:space="preserve">y mejoras </w:t>
      </w:r>
      <w:r w:rsidR="009D6D3F" w:rsidRPr="00643DCF">
        <w:rPr>
          <w:sz w:val="28"/>
          <w:szCs w:val="28"/>
        </w:rPr>
        <w:t xml:space="preserve">en la implementación de las </w:t>
      </w:r>
      <w:r w:rsidR="00CB0863" w:rsidRPr="00643DCF">
        <w:rPr>
          <w:sz w:val="28"/>
          <w:szCs w:val="28"/>
        </w:rPr>
        <w:t>estrategias</w:t>
      </w:r>
      <w:r w:rsidRPr="00643DCF">
        <w:rPr>
          <w:sz w:val="28"/>
          <w:szCs w:val="28"/>
        </w:rPr>
        <w:t xml:space="preserve"> </w:t>
      </w:r>
      <w:r w:rsidR="00CB0863" w:rsidRPr="00643DCF">
        <w:rPr>
          <w:sz w:val="28"/>
          <w:szCs w:val="28"/>
        </w:rPr>
        <w:t xml:space="preserve">para lograr el objetivo de esta </w:t>
      </w:r>
      <w:r w:rsidR="00536AD1" w:rsidRPr="00643DCF">
        <w:rPr>
          <w:sz w:val="28"/>
          <w:szCs w:val="28"/>
        </w:rPr>
        <w:t>disposición</w:t>
      </w:r>
      <w:r w:rsidR="00CB0863" w:rsidRPr="00643DCF">
        <w:rPr>
          <w:sz w:val="28"/>
          <w:szCs w:val="28"/>
        </w:rPr>
        <w:t xml:space="preserve"> </w:t>
      </w:r>
      <w:r w:rsidRPr="00643DCF">
        <w:rPr>
          <w:sz w:val="28"/>
          <w:szCs w:val="28"/>
        </w:rPr>
        <w:t xml:space="preserve">en la </w:t>
      </w:r>
      <w:r w:rsidR="000961E6" w:rsidRPr="00643DCF">
        <w:rPr>
          <w:sz w:val="28"/>
          <w:szCs w:val="28"/>
        </w:rPr>
        <w:t>s</w:t>
      </w:r>
      <w:r w:rsidR="00F11A05" w:rsidRPr="00643DCF">
        <w:rPr>
          <w:sz w:val="28"/>
          <w:szCs w:val="28"/>
        </w:rPr>
        <w:t>entencia</w:t>
      </w:r>
      <w:r w:rsidRPr="00643DCF">
        <w:rPr>
          <w:sz w:val="28"/>
          <w:szCs w:val="28"/>
        </w:rPr>
        <w:t xml:space="preserve"> T-760 de 2008, </w:t>
      </w:r>
      <w:r w:rsidR="00536AD1" w:rsidRPr="00643DCF">
        <w:rPr>
          <w:sz w:val="28"/>
          <w:szCs w:val="28"/>
        </w:rPr>
        <w:t>sin embargo</w:t>
      </w:r>
      <w:r w:rsidR="00BF44FE" w:rsidRPr="00643DCF">
        <w:rPr>
          <w:sz w:val="28"/>
          <w:szCs w:val="28"/>
        </w:rPr>
        <w:t>,</w:t>
      </w:r>
      <w:r w:rsidR="00536AD1" w:rsidRPr="00643DCF">
        <w:rPr>
          <w:sz w:val="28"/>
          <w:szCs w:val="28"/>
        </w:rPr>
        <w:t xml:space="preserve"> </w:t>
      </w:r>
      <w:r w:rsidR="00CB0863" w:rsidRPr="00643DCF">
        <w:rPr>
          <w:sz w:val="28"/>
          <w:szCs w:val="28"/>
        </w:rPr>
        <w:t>no son suficientes</w:t>
      </w:r>
      <w:r w:rsidR="00BF44FE" w:rsidRPr="00643DCF">
        <w:rPr>
          <w:sz w:val="28"/>
          <w:szCs w:val="28"/>
        </w:rPr>
        <w:t xml:space="preserve"> ni significativos</w:t>
      </w:r>
      <w:r w:rsidR="00CB0863" w:rsidRPr="00643DCF">
        <w:rPr>
          <w:sz w:val="28"/>
          <w:szCs w:val="28"/>
        </w:rPr>
        <w:t xml:space="preserve"> </w:t>
      </w:r>
      <w:r w:rsidR="00536AD1" w:rsidRPr="00643DCF">
        <w:rPr>
          <w:sz w:val="28"/>
          <w:szCs w:val="28"/>
        </w:rPr>
        <w:t>para garantizar</w:t>
      </w:r>
      <w:r w:rsidR="00FD5298" w:rsidRPr="00643DCF">
        <w:rPr>
          <w:sz w:val="28"/>
          <w:szCs w:val="28"/>
        </w:rPr>
        <w:t xml:space="preserve"> </w:t>
      </w:r>
      <w:r w:rsidR="00536AD1" w:rsidRPr="00643DCF">
        <w:rPr>
          <w:sz w:val="28"/>
          <w:szCs w:val="28"/>
        </w:rPr>
        <w:t xml:space="preserve">el conocimiento total del fallo mencionado y </w:t>
      </w:r>
      <w:r w:rsidR="005E264C" w:rsidRPr="00643DCF">
        <w:rPr>
          <w:sz w:val="28"/>
          <w:szCs w:val="28"/>
        </w:rPr>
        <w:t xml:space="preserve">de </w:t>
      </w:r>
      <w:r w:rsidR="00536AD1" w:rsidRPr="00643DCF">
        <w:rPr>
          <w:sz w:val="28"/>
          <w:szCs w:val="28"/>
        </w:rPr>
        <w:t xml:space="preserve">los autos de seguimiento </w:t>
      </w:r>
      <w:r w:rsidR="005E264C" w:rsidRPr="00643DCF">
        <w:rPr>
          <w:sz w:val="28"/>
          <w:szCs w:val="28"/>
        </w:rPr>
        <w:t xml:space="preserve">que valoran el nivel de </w:t>
      </w:r>
      <w:r w:rsidR="007A0B88" w:rsidRPr="00643DCF">
        <w:rPr>
          <w:sz w:val="28"/>
          <w:szCs w:val="28"/>
        </w:rPr>
        <w:t xml:space="preserve">obediencia </w:t>
      </w:r>
      <w:r w:rsidR="005E264C" w:rsidRPr="00643DCF">
        <w:rPr>
          <w:sz w:val="28"/>
          <w:szCs w:val="28"/>
        </w:rPr>
        <w:t xml:space="preserve">de las </w:t>
      </w:r>
      <w:r w:rsidR="00101229" w:rsidRPr="00643DCF">
        <w:rPr>
          <w:sz w:val="28"/>
          <w:szCs w:val="28"/>
        </w:rPr>
        <w:t>órdenes</w:t>
      </w:r>
      <w:r w:rsidR="005E264C" w:rsidRPr="00643DCF">
        <w:rPr>
          <w:sz w:val="28"/>
          <w:szCs w:val="28"/>
        </w:rPr>
        <w:t xml:space="preserve"> allí impartidas, con el fin de</w:t>
      </w:r>
      <w:r w:rsidR="00536AD1" w:rsidRPr="00643DCF">
        <w:rPr>
          <w:sz w:val="28"/>
          <w:szCs w:val="28"/>
        </w:rPr>
        <w:t xml:space="preserve"> asegurar la satisfacción integral</w:t>
      </w:r>
      <w:r w:rsidR="00CB0863" w:rsidRPr="00643DCF">
        <w:rPr>
          <w:sz w:val="28"/>
          <w:szCs w:val="28"/>
        </w:rPr>
        <w:t xml:space="preserve">. </w:t>
      </w:r>
      <w:r w:rsidRPr="00643DCF">
        <w:rPr>
          <w:sz w:val="28"/>
          <w:szCs w:val="28"/>
        </w:rPr>
        <w:t xml:space="preserve"> </w:t>
      </w:r>
    </w:p>
    <w:p w14:paraId="4E8FAF5C" w14:textId="77777777" w:rsidR="00A239DB" w:rsidRPr="00643DCF" w:rsidRDefault="00A239DB" w:rsidP="003A1BC8">
      <w:pPr>
        <w:tabs>
          <w:tab w:val="left" w:pos="567"/>
        </w:tabs>
        <w:jc w:val="both"/>
        <w:rPr>
          <w:sz w:val="28"/>
          <w:szCs w:val="28"/>
        </w:rPr>
      </w:pPr>
    </w:p>
    <w:p w14:paraId="25006DCF" w14:textId="37F409AB" w:rsidR="006759B7" w:rsidRPr="00643DCF" w:rsidRDefault="006759B7" w:rsidP="00B962D4">
      <w:pPr>
        <w:tabs>
          <w:tab w:val="left" w:pos="142"/>
          <w:tab w:val="left" w:pos="567"/>
          <w:tab w:val="left" w:pos="851"/>
          <w:tab w:val="left" w:pos="993"/>
        </w:tabs>
        <w:ind w:left="567"/>
        <w:rPr>
          <w:sz w:val="28"/>
          <w:szCs w:val="28"/>
        </w:rPr>
      </w:pPr>
      <w:r w:rsidRPr="00643DCF">
        <w:rPr>
          <w:b/>
          <w:sz w:val="28"/>
          <w:szCs w:val="28"/>
        </w:rPr>
        <w:t>Órdenes a impartir.</w:t>
      </w:r>
    </w:p>
    <w:p w14:paraId="1C816CE0" w14:textId="77777777" w:rsidR="006759B7" w:rsidRPr="00643DCF" w:rsidRDefault="006759B7" w:rsidP="006759B7">
      <w:pPr>
        <w:tabs>
          <w:tab w:val="left" w:pos="567"/>
        </w:tabs>
        <w:jc w:val="both"/>
        <w:rPr>
          <w:sz w:val="28"/>
          <w:szCs w:val="28"/>
        </w:rPr>
      </w:pPr>
    </w:p>
    <w:p w14:paraId="5F958D04" w14:textId="17952802" w:rsidR="006759B7" w:rsidRPr="00643DCF" w:rsidRDefault="00B962D4" w:rsidP="00330C99">
      <w:pPr>
        <w:jc w:val="both"/>
        <w:rPr>
          <w:sz w:val="28"/>
          <w:szCs w:val="28"/>
        </w:rPr>
      </w:pPr>
      <w:r w:rsidRPr="00643DCF">
        <w:rPr>
          <w:sz w:val="28"/>
          <w:szCs w:val="28"/>
        </w:rPr>
        <w:t>10</w:t>
      </w:r>
      <w:r w:rsidR="00BA4985" w:rsidRPr="00643DCF">
        <w:rPr>
          <w:sz w:val="28"/>
          <w:szCs w:val="28"/>
        </w:rPr>
        <w:t>5</w:t>
      </w:r>
      <w:r w:rsidRPr="00643DCF">
        <w:rPr>
          <w:sz w:val="28"/>
          <w:szCs w:val="28"/>
        </w:rPr>
        <w:t xml:space="preserve">. </w:t>
      </w:r>
      <w:r w:rsidR="00A07E3C" w:rsidRPr="00643DCF">
        <w:rPr>
          <w:sz w:val="28"/>
          <w:szCs w:val="28"/>
        </w:rPr>
        <w:t>C</w:t>
      </w:r>
      <w:r w:rsidR="006759B7" w:rsidRPr="00643DCF">
        <w:rPr>
          <w:sz w:val="28"/>
          <w:szCs w:val="28"/>
        </w:rPr>
        <w:t xml:space="preserve">on el fin procurar la superación de la problemática analizada, la Sala proferirá un conjunto de </w:t>
      </w:r>
      <w:r w:rsidR="00DF6282" w:rsidRPr="00643DCF">
        <w:rPr>
          <w:sz w:val="28"/>
          <w:szCs w:val="28"/>
        </w:rPr>
        <w:t xml:space="preserve">directrices </w:t>
      </w:r>
      <w:r w:rsidR="00EA5D14" w:rsidRPr="00643DCF">
        <w:rPr>
          <w:sz w:val="28"/>
          <w:szCs w:val="28"/>
        </w:rPr>
        <w:t>dirigidas a</w:t>
      </w:r>
      <w:r w:rsidR="00DF6282" w:rsidRPr="00643DCF">
        <w:rPr>
          <w:sz w:val="28"/>
          <w:szCs w:val="28"/>
        </w:rPr>
        <w:t xml:space="preserve"> que el</w:t>
      </w:r>
      <w:r w:rsidR="00C117A0" w:rsidRPr="00643DCF">
        <w:rPr>
          <w:sz w:val="28"/>
          <w:szCs w:val="28"/>
        </w:rPr>
        <w:t xml:space="preserve"> </w:t>
      </w:r>
      <w:r w:rsidR="00EA5D14" w:rsidRPr="00643DCF">
        <w:rPr>
          <w:sz w:val="28"/>
          <w:szCs w:val="28"/>
        </w:rPr>
        <w:t xml:space="preserve">CSJ </w:t>
      </w:r>
      <w:r w:rsidR="00DF6282" w:rsidRPr="00643DCF">
        <w:rPr>
          <w:sz w:val="28"/>
          <w:szCs w:val="28"/>
        </w:rPr>
        <w:t>solvente</w:t>
      </w:r>
      <w:r w:rsidR="006759B7" w:rsidRPr="00643DCF">
        <w:rPr>
          <w:sz w:val="28"/>
          <w:szCs w:val="28"/>
        </w:rPr>
        <w:t xml:space="preserve"> las falencias y rezagos detectados</w:t>
      </w:r>
      <w:r w:rsidR="00181736" w:rsidRPr="00643DCF">
        <w:rPr>
          <w:sz w:val="28"/>
          <w:szCs w:val="28"/>
        </w:rPr>
        <w:t xml:space="preserve"> y </w:t>
      </w:r>
      <w:r w:rsidR="009D543D" w:rsidRPr="00643DCF">
        <w:rPr>
          <w:sz w:val="28"/>
          <w:szCs w:val="28"/>
        </w:rPr>
        <w:t xml:space="preserve">acredite </w:t>
      </w:r>
      <w:r w:rsidR="006759B7" w:rsidRPr="00643DCF">
        <w:rPr>
          <w:sz w:val="28"/>
          <w:szCs w:val="28"/>
        </w:rPr>
        <w:t>resultados</w:t>
      </w:r>
      <w:r w:rsidR="00970FCB" w:rsidRPr="00643DCF">
        <w:rPr>
          <w:sz w:val="28"/>
          <w:szCs w:val="28"/>
        </w:rPr>
        <w:t xml:space="preserve"> </w:t>
      </w:r>
      <w:r w:rsidR="006759B7" w:rsidRPr="00643DCF">
        <w:rPr>
          <w:sz w:val="28"/>
          <w:szCs w:val="28"/>
        </w:rPr>
        <w:t>significativos</w:t>
      </w:r>
      <w:r w:rsidR="009D543D" w:rsidRPr="00643DCF">
        <w:rPr>
          <w:sz w:val="28"/>
          <w:szCs w:val="28"/>
        </w:rPr>
        <w:t xml:space="preserve">, </w:t>
      </w:r>
      <w:r w:rsidR="006759B7" w:rsidRPr="00643DCF">
        <w:rPr>
          <w:sz w:val="28"/>
          <w:szCs w:val="28"/>
        </w:rPr>
        <w:t>progresivos</w:t>
      </w:r>
      <w:r w:rsidR="009D543D" w:rsidRPr="00643DCF">
        <w:rPr>
          <w:sz w:val="28"/>
          <w:szCs w:val="28"/>
        </w:rPr>
        <w:t xml:space="preserve"> y sostenibles</w:t>
      </w:r>
      <w:r w:rsidR="00F66C73" w:rsidRPr="00643DCF">
        <w:rPr>
          <w:sz w:val="28"/>
          <w:szCs w:val="28"/>
        </w:rPr>
        <w:t xml:space="preserve">, </w:t>
      </w:r>
      <w:r w:rsidR="00485E65" w:rsidRPr="00643DCF">
        <w:rPr>
          <w:sz w:val="28"/>
          <w:szCs w:val="28"/>
        </w:rPr>
        <w:t>para</w:t>
      </w:r>
      <w:r w:rsidR="006759B7" w:rsidRPr="00643DCF">
        <w:rPr>
          <w:sz w:val="28"/>
          <w:szCs w:val="28"/>
        </w:rPr>
        <w:t xml:space="preserve"> </w:t>
      </w:r>
      <w:r w:rsidR="00485E65" w:rsidRPr="00643DCF">
        <w:rPr>
          <w:sz w:val="28"/>
          <w:szCs w:val="28"/>
        </w:rPr>
        <w:t xml:space="preserve">alcanzar </w:t>
      </w:r>
      <w:r w:rsidR="006759B7" w:rsidRPr="00643DCF">
        <w:rPr>
          <w:sz w:val="28"/>
          <w:szCs w:val="28"/>
        </w:rPr>
        <w:t xml:space="preserve">el cumplimiento de la orden de la </w:t>
      </w:r>
      <w:r w:rsidR="00BF3699" w:rsidRPr="00643DCF">
        <w:rPr>
          <w:sz w:val="28"/>
          <w:szCs w:val="28"/>
        </w:rPr>
        <w:t>s</w:t>
      </w:r>
      <w:r w:rsidR="006759B7" w:rsidRPr="00643DCF">
        <w:rPr>
          <w:sz w:val="28"/>
          <w:szCs w:val="28"/>
        </w:rPr>
        <w:t>entencia estructural</w:t>
      </w:r>
      <w:r w:rsidR="009D543D" w:rsidRPr="00643DCF">
        <w:rPr>
          <w:sz w:val="28"/>
          <w:szCs w:val="28"/>
        </w:rPr>
        <w:t>, difundiendo l</w:t>
      </w:r>
      <w:r w:rsidR="00FC7404" w:rsidRPr="00643DCF">
        <w:rPr>
          <w:sz w:val="28"/>
          <w:szCs w:val="28"/>
        </w:rPr>
        <w:t xml:space="preserve">os autos de seguimiento que analizan los problemas jurídicos evidenciados </w:t>
      </w:r>
      <w:r w:rsidR="0040022D" w:rsidRPr="00643DCF">
        <w:rPr>
          <w:sz w:val="28"/>
          <w:szCs w:val="28"/>
        </w:rPr>
        <w:t xml:space="preserve">en </w:t>
      </w:r>
      <w:r w:rsidR="009D543D" w:rsidRPr="00643DCF">
        <w:rPr>
          <w:sz w:val="28"/>
          <w:szCs w:val="28"/>
        </w:rPr>
        <w:t>la providencia objeto de estudio</w:t>
      </w:r>
      <w:r w:rsidR="006759B7" w:rsidRPr="00643DCF">
        <w:rPr>
          <w:sz w:val="28"/>
          <w:szCs w:val="28"/>
        </w:rPr>
        <w:t xml:space="preserve"> </w:t>
      </w:r>
      <w:r w:rsidR="00485E65" w:rsidRPr="00643DCF">
        <w:rPr>
          <w:sz w:val="28"/>
          <w:szCs w:val="28"/>
        </w:rPr>
        <w:t>y</w:t>
      </w:r>
      <w:r w:rsidR="007C3198" w:rsidRPr="00643DCF">
        <w:rPr>
          <w:sz w:val="28"/>
          <w:szCs w:val="28"/>
        </w:rPr>
        <w:t>,</w:t>
      </w:r>
      <w:r w:rsidR="00485E65" w:rsidRPr="00643DCF">
        <w:rPr>
          <w:sz w:val="28"/>
          <w:szCs w:val="28"/>
        </w:rPr>
        <w:t xml:space="preserve"> de esta manera</w:t>
      </w:r>
      <w:r w:rsidR="007C3198" w:rsidRPr="00643DCF">
        <w:rPr>
          <w:sz w:val="28"/>
          <w:szCs w:val="28"/>
        </w:rPr>
        <w:t>,</w:t>
      </w:r>
      <w:r w:rsidR="00FC7404" w:rsidRPr="00643DCF">
        <w:rPr>
          <w:sz w:val="28"/>
          <w:szCs w:val="28"/>
        </w:rPr>
        <w:t xml:space="preserve"> se pueda garantizar </w:t>
      </w:r>
      <w:r w:rsidR="009D543D" w:rsidRPr="00643DCF">
        <w:rPr>
          <w:sz w:val="28"/>
          <w:szCs w:val="28"/>
        </w:rPr>
        <w:t>efect</w:t>
      </w:r>
      <w:r w:rsidR="006759B7" w:rsidRPr="00643DCF">
        <w:rPr>
          <w:sz w:val="28"/>
          <w:szCs w:val="28"/>
        </w:rPr>
        <w:t>iva</w:t>
      </w:r>
      <w:r w:rsidR="009D543D" w:rsidRPr="00643DCF">
        <w:rPr>
          <w:sz w:val="28"/>
          <w:szCs w:val="28"/>
        </w:rPr>
        <w:t>mente</w:t>
      </w:r>
      <w:r w:rsidR="006759B7" w:rsidRPr="00643DCF">
        <w:rPr>
          <w:sz w:val="28"/>
          <w:szCs w:val="28"/>
        </w:rPr>
        <w:t xml:space="preserve"> el goce del derecho a la salud</w:t>
      </w:r>
      <w:r w:rsidR="00FC7404" w:rsidRPr="00643DCF">
        <w:rPr>
          <w:sz w:val="28"/>
          <w:szCs w:val="28"/>
        </w:rPr>
        <w:t>. E</w:t>
      </w:r>
      <w:r w:rsidR="006759B7" w:rsidRPr="00643DCF">
        <w:rPr>
          <w:sz w:val="28"/>
          <w:szCs w:val="28"/>
        </w:rPr>
        <w:t>n consecuencia</w:t>
      </w:r>
      <w:r w:rsidR="007C3198" w:rsidRPr="00643DCF">
        <w:rPr>
          <w:sz w:val="28"/>
          <w:szCs w:val="28"/>
        </w:rPr>
        <w:t>,</w:t>
      </w:r>
      <w:r w:rsidR="006759B7" w:rsidRPr="00643DCF">
        <w:rPr>
          <w:sz w:val="28"/>
          <w:szCs w:val="28"/>
        </w:rPr>
        <w:t xml:space="preserve"> se ordena</w:t>
      </w:r>
      <w:r w:rsidR="00A07E3C" w:rsidRPr="00643DCF">
        <w:rPr>
          <w:sz w:val="28"/>
          <w:szCs w:val="28"/>
        </w:rPr>
        <w:t>rá</w:t>
      </w:r>
      <w:r w:rsidR="00181736" w:rsidRPr="00643DCF">
        <w:rPr>
          <w:sz w:val="28"/>
          <w:szCs w:val="28"/>
        </w:rPr>
        <w:t xml:space="preserve"> </w:t>
      </w:r>
      <w:r w:rsidR="006759B7" w:rsidRPr="00643DCF">
        <w:rPr>
          <w:sz w:val="28"/>
          <w:szCs w:val="28"/>
        </w:rPr>
        <w:t xml:space="preserve">lo siguiente </w:t>
      </w:r>
      <w:r w:rsidR="00A07E3C" w:rsidRPr="00643DCF">
        <w:rPr>
          <w:sz w:val="28"/>
          <w:szCs w:val="28"/>
        </w:rPr>
        <w:t>al Consejo Superior de la Judicatura:</w:t>
      </w:r>
    </w:p>
    <w:p w14:paraId="7B38396D" w14:textId="77777777" w:rsidR="00FD5298" w:rsidRPr="00643DCF" w:rsidRDefault="00FD5298" w:rsidP="00820F25">
      <w:pPr>
        <w:pStyle w:val="Sinespaciado3"/>
        <w:tabs>
          <w:tab w:val="left" w:pos="0"/>
          <w:tab w:val="left" w:pos="51"/>
          <w:tab w:val="left" w:pos="426"/>
        </w:tabs>
        <w:jc w:val="both"/>
        <w:rPr>
          <w:sz w:val="28"/>
          <w:szCs w:val="28"/>
        </w:rPr>
      </w:pPr>
    </w:p>
    <w:p w14:paraId="081A646D" w14:textId="122DA575" w:rsidR="00B83D88" w:rsidRPr="00FA159B" w:rsidRDefault="004929F5" w:rsidP="00322682">
      <w:pPr>
        <w:pStyle w:val="Sinespaciado3"/>
        <w:numPr>
          <w:ilvl w:val="0"/>
          <w:numId w:val="40"/>
        </w:numPr>
        <w:tabs>
          <w:tab w:val="left" w:pos="0"/>
          <w:tab w:val="left" w:pos="567"/>
        </w:tabs>
        <w:ind w:left="567"/>
        <w:jc w:val="both"/>
        <w:rPr>
          <w:rFonts w:ascii="Times New Roman" w:hAnsi="Times New Roman"/>
          <w:sz w:val="28"/>
          <w:szCs w:val="28"/>
        </w:rPr>
      </w:pPr>
      <w:r w:rsidRPr="00643DCF">
        <w:rPr>
          <w:rFonts w:ascii="Times New Roman" w:hAnsi="Times New Roman"/>
          <w:sz w:val="28"/>
          <w:szCs w:val="28"/>
          <w:lang w:val="es-ES"/>
        </w:rPr>
        <w:t xml:space="preserve">Realizar jornadas de capacitación y actividades de difusión </w:t>
      </w:r>
      <w:r w:rsidR="001D6496" w:rsidRPr="00643DCF">
        <w:rPr>
          <w:rFonts w:ascii="Times New Roman" w:hAnsi="Times New Roman"/>
          <w:sz w:val="28"/>
          <w:szCs w:val="28"/>
          <w:lang w:val="es-ES"/>
        </w:rPr>
        <w:t xml:space="preserve">con </w:t>
      </w:r>
      <w:r w:rsidRPr="00643DCF">
        <w:rPr>
          <w:rFonts w:ascii="Times New Roman" w:hAnsi="Times New Roman"/>
          <w:sz w:val="28"/>
          <w:szCs w:val="28"/>
          <w:lang w:val="es-ES"/>
        </w:rPr>
        <w:t>los</w:t>
      </w:r>
      <w:r w:rsidRPr="00643DCF">
        <w:rPr>
          <w:rFonts w:ascii="Times New Roman" w:hAnsi="Times New Roman"/>
          <w:sz w:val="28"/>
          <w:szCs w:val="28"/>
        </w:rPr>
        <w:t xml:space="preserve"> funcionarios de la Rama Judicial que desempeñan sus labores en los municipios apartados </w:t>
      </w:r>
      <w:r w:rsidR="00BE08C4" w:rsidRPr="00643DCF">
        <w:rPr>
          <w:rFonts w:ascii="Times New Roman" w:hAnsi="Times New Roman"/>
          <w:sz w:val="28"/>
          <w:szCs w:val="28"/>
        </w:rPr>
        <w:t xml:space="preserve">y zonas dispersas </w:t>
      </w:r>
      <w:r w:rsidRPr="00643DCF">
        <w:rPr>
          <w:rFonts w:ascii="Times New Roman" w:hAnsi="Times New Roman"/>
          <w:sz w:val="28"/>
          <w:szCs w:val="28"/>
        </w:rPr>
        <w:t>del país</w:t>
      </w:r>
      <w:r w:rsidR="00AB1094" w:rsidRPr="00643DCF">
        <w:rPr>
          <w:rFonts w:ascii="Times New Roman" w:hAnsi="Times New Roman"/>
          <w:sz w:val="28"/>
          <w:szCs w:val="28"/>
        </w:rPr>
        <w:t>,</w:t>
      </w:r>
      <w:r w:rsidR="00BE08C4" w:rsidRPr="00643DCF">
        <w:rPr>
          <w:rFonts w:ascii="Times New Roman" w:hAnsi="Times New Roman"/>
          <w:sz w:val="28"/>
          <w:szCs w:val="28"/>
        </w:rPr>
        <w:t xml:space="preserve"> en la</w:t>
      </w:r>
      <w:r w:rsidRPr="00643DCF">
        <w:rPr>
          <w:rFonts w:ascii="Times New Roman" w:hAnsi="Times New Roman"/>
          <w:sz w:val="28"/>
          <w:szCs w:val="28"/>
        </w:rPr>
        <w:t xml:space="preserve">s cuales se </w:t>
      </w:r>
      <w:r w:rsidR="009165B6" w:rsidRPr="00643DCF">
        <w:rPr>
          <w:rFonts w:ascii="Times New Roman" w:hAnsi="Times New Roman"/>
          <w:sz w:val="28"/>
          <w:szCs w:val="28"/>
        </w:rPr>
        <w:t xml:space="preserve">interponen </w:t>
      </w:r>
      <w:r w:rsidR="009D543D" w:rsidRPr="00643DCF">
        <w:rPr>
          <w:rFonts w:ascii="Times New Roman" w:hAnsi="Times New Roman"/>
          <w:sz w:val="28"/>
          <w:szCs w:val="28"/>
        </w:rPr>
        <w:t xml:space="preserve">el mayor número de </w:t>
      </w:r>
      <w:r w:rsidRPr="00643DCF">
        <w:rPr>
          <w:rFonts w:ascii="Times New Roman" w:hAnsi="Times New Roman"/>
          <w:sz w:val="28"/>
          <w:szCs w:val="28"/>
        </w:rPr>
        <w:t>acciones de tutela en materia de salud</w:t>
      </w:r>
      <w:r w:rsidRPr="00FA159B">
        <w:rPr>
          <w:rFonts w:ascii="Times New Roman" w:hAnsi="Times New Roman"/>
          <w:sz w:val="28"/>
          <w:szCs w:val="28"/>
        </w:rPr>
        <w:t xml:space="preserve">, sin que ello sea impedimento para que </w:t>
      </w:r>
      <w:r w:rsidR="008A156A" w:rsidRPr="00FA159B">
        <w:rPr>
          <w:rFonts w:ascii="Times New Roman" w:hAnsi="Times New Roman"/>
          <w:sz w:val="28"/>
          <w:szCs w:val="28"/>
        </w:rPr>
        <w:t xml:space="preserve">se </w:t>
      </w:r>
      <w:r w:rsidRPr="00FA159B">
        <w:rPr>
          <w:rFonts w:ascii="Times New Roman" w:hAnsi="Times New Roman"/>
          <w:sz w:val="28"/>
          <w:szCs w:val="28"/>
        </w:rPr>
        <w:t>continúe</w:t>
      </w:r>
      <w:r w:rsidR="00BE08C4" w:rsidRPr="00FA159B">
        <w:rPr>
          <w:rFonts w:ascii="Times New Roman" w:hAnsi="Times New Roman"/>
          <w:sz w:val="28"/>
          <w:szCs w:val="28"/>
        </w:rPr>
        <w:t xml:space="preserve"> instruyendo</w:t>
      </w:r>
      <w:r w:rsidRPr="00FA159B">
        <w:rPr>
          <w:rFonts w:ascii="Times New Roman" w:hAnsi="Times New Roman"/>
          <w:sz w:val="28"/>
          <w:szCs w:val="28"/>
        </w:rPr>
        <w:t xml:space="preserve"> a los operadores judiciales de </w:t>
      </w:r>
      <w:r w:rsidR="009D543D" w:rsidRPr="00FA159B">
        <w:rPr>
          <w:rFonts w:ascii="Times New Roman" w:hAnsi="Times New Roman"/>
          <w:sz w:val="28"/>
          <w:szCs w:val="28"/>
        </w:rPr>
        <w:t>los departamentos,</w:t>
      </w:r>
      <w:r w:rsidR="00BE08C4" w:rsidRPr="00FA159B">
        <w:rPr>
          <w:rFonts w:ascii="Times New Roman" w:hAnsi="Times New Roman"/>
          <w:sz w:val="28"/>
          <w:szCs w:val="28"/>
        </w:rPr>
        <w:t xml:space="preserve"> capitales y principales cabeceras municipales</w:t>
      </w:r>
      <w:r w:rsidR="00C37D13" w:rsidRPr="00FA159B">
        <w:rPr>
          <w:rFonts w:ascii="Times New Roman" w:hAnsi="Times New Roman"/>
          <w:sz w:val="28"/>
          <w:szCs w:val="28"/>
        </w:rPr>
        <w:t>;</w:t>
      </w:r>
    </w:p>
    <w:p w14:paraId="03EF6621" w14:textId="77777777" w:rsidR="00C37D13" w:rsidRPr="00643DCF" w:rsidRDefault="00C37D13" w:rsidP="00C37D13">
      <w:pPr>
        <w:pStyle w:val="Sinespaciado3"/>
        <w:tabs>
          <w:tab w:val="left" w:pos="0"/>
          <w:tab w:val="left" w:pos="567"/>
        </w:tabs>
        <w:ind w:left="567"/>
        <w:jc w:val="both"/>
        <w:rPr>
          <w:rFonts w:ascii="Times New Roman" w:hAnsi="Times New Roman"/>
          <w:sz w:val="28"/>
          <w:szCs w:val="28"/>
        </w:rPr>
      </w:pPr>
    </w:p>
    <w:p w14:paraId="2EAF189A" w14:textId="6486D173" w:rsidR="006C3262" w:rsidRPr="00FA159B" w:rsidRDefault="00F32E2C" w:rsidP="000F6541">
      <w:pPr>
        <w:pStyle w:val="Sinespaciado3"/>
        <w:numPr>
          <w:ilvl w:val="0"/>
          <w:numId w:val="40"/>
        </w:numPr>
        <w:tabs>
          <w:tab w:val="left" w:pos="0"/>
          <w:tab w:val="left" w:pos="567"/>
        </w:tabs>
        <w:ind w:left="567"/>
        <w:jc w:val="both"/>
        <w:rPr>
          <w:rFonts w:ascii="Times New Roman" w:hAnsi="Times New Roman"/>
          <w:sz w:val="28"/>
          <w:szCs w:val="28"/>
        </w:rPr>
      </w:pPr>
      <w:r w:rsidRPr="00FA159B">
        <w:rPr>
          <w:rFonts w:ascii="Times New Roman" w:hAnsi="Times New Roman"/>
          <w:sz w:val="28"/>
          <w:szCs w:val="28"/>
          <w:lang w:val="es-ES"/>
        </w:rPr>
        <w:t>Incluir</w:t>
      </w:r>
      <w:r w:rsidR="00AB1094" w:rsidRPr="00FA159B">
        <w:rPr>
          <w:rFonts w:ascii="Times New Roman" w:hAnsi="Times New Roman"/>
          <w:sz w:val="28"/>
          <w:szCs w:val="28"/>
          <w:lang w:val="es-ES"/>
        </w:rPr>
        <w:t xml:space="preserve"> en los programas de formación judicial el estado actual de las órdenes generales de la sentencia</w:t>
      </w:r>
      <w:r w:rsidR="00AB1094" w:rsidRPr="00643DCF">
        <w:rPr>
          <w:rFonts w:ascii="Times New Roman" w:hAnsi="Times New Roman"/>
          <w:sz w:val="28"/>
          <w:szCs w:val="28"/>
          <w:lang w:val="es-ES"/>
        </w:rPr>
        <w:t xml:space="preserve"> T-760 de 2008</w:t>
      </w:r>
      <w:r w:rsidR="008E645B" w:rsidRPr="00643DCF">
        <w:rPr>
          <w:rStyle w:val="Refdenotaalpie"/>
          <w:rFonts w:ascii="Times New Roman" w:hAnsi="Times New Roman"/>
          <w:sz w:val="28"/>
          <w:szCs w:val="28"/>
          <w:lang w:val="es-ES"/>
        </w:rPr>
        <w:footnoteReference w:id="210"/>
      </w:r>
      <w:r w:rsidR="00AB1094" w:rsidRPr="00643DCF">
        <w:rPr>
          <w:rFonts w:ascii="Times New Roman" w:hAnsi="Times New Roman"/>
          <w:sz w:val="28"/>
          <w:szCs w:val="28"/>
          <w:lang w:val="es-ES"/>
        </w:rPr>
        <w:t xml:space="preserve">, la jurisprudencia emitida por esta Corporación en relación a los </w:t>
      </w:r>
      <w:r w:rsidR="00AB1094" w:rsidRPr="00FA159B">
        <w:rPr>
          <w:rFonts w:ascii="Times New Roman" w:hAnsi="Times New Roman"/>
          <w:sz w:val="28"/>
          <w:szCs w:val="28"/>
          <w:lang w:val="es-ES"/>
        </w:rPr>
        <w:t xml:space="preserve">problemas analizados en el fallo estructural, así como </w:t>
      </w:r>
      <w:r w:rsidR="00AB1094" w:rsidRPr="00FA159B">
        <w:rPr>
          <w:rFonts w:ascii="Times New Roman" w:hAnsi="Times New Roman"/>
          <w:sz w:val="28"/>
          <w:szCs w:val="28"/>
        </w:rPr>
        <w:t>la normatividad vigente</w:t>
      </w:r>
      <w:r w:rsidR="006C3262" w:rsidRPr="00FA159B">
        <w:rPr>
          <w:rFonts w:ascii="Times New Roman" w:hAnsi="Times New Roman"/>
          <w:sz w:val="28"/>
          <w:szCs w:val="28"/>
        </w:rPr>
        <w:t xml:space="preserve">, </w:t>
      </w:r>
      <w:r w:rsidR="000F6541" w:rsidRPr="00FA159B">
        <w:rPr>
          <w:rFonts w:ascii="Times New Roman" w:hAnsi="Times New Roman"/>
          <w:sz w:val="28"/>
          <w:szCs w:val="28"/>
        </w:rPr>
        <w:t>la cual deberá ser</w:t>
      </w:r>
      <w:r w:rsidR="00322682" w:rsidRPr="00FA159B">
        <w:rPr>
          <w:rFonts w:ascii="Times New Roman" w:hAnsi="Times New Roman"/>
          <w:sz w:val="28"/>
          <w:szCs w:val="28"/>
        </w:rPr>
        <w:t xml:space="preserve"> sintética y </w:t>
      </w:r>
      <w:r w:rsidR="000F6541" w:rsidRPr="00FA159B">
        <w:rPr>
          <w:rFonts w:ascii="Times New Roman" w:hAnsi="Times New Roman"/>
          <w:sz w:val="28"/>
          <w:szCs w:val="28"/>
        </w:rPr>
        <w:t>de fácil comprensi</w:t>
      </w:r>
      <w:r w:rsidR="004D54A8" w:rsidRPr="00FA159B">
        <w:rPr>
          <w:rFonts w:ascii="Times New Roman" w:hAnsi="Times New Roman"/>
          <w:sz w:val="28"/>
          <w:szCs w:val="28"/>
        </w:rPr>
        <w:t xml:space="preserve">ón, con el fin de que se </w:t>
      </w:r>
      <w:r w:rsidR="002C74AE" w:rsidRPr="00FA159B">
        <w:rPr>
          <w:rFonts w:ascii="Times New Roman" w:hAnsi="Times New Roman"/>
          <w:sz w:val="28"/>
          <w:szCs w:val="28"/>
        </w:rPr>
        <w:t>facilite su estudio y análisis</w:t>
      </w:r>
      <w:r w:rsidR="004D54A8" w:rsidRPr="00FA159B">
        <w:rPr>
          <w:rFonts w:ascii="Times New Roman" w:hAnsi="Times New Roman"/>
          <w:sz w:val="28"/>
          <w:szCs w:val="28"/>
        </w:rPr>
        <w:t xml:space="preserve"> por parte de los operadores judiciales</w:t>
      </w:r>
      <w:r w:rsidR="00322682" w:rsidRPr="00FA159B">
        <w:rPr>
          <w:rFonts w:ascii="Times New Roman" w:hAnsi="Times New Roman"/>
          <w:sz w:val="28"/>
          <w:szCs w:val="28"/>
          <w:lang w:val="es-ES"/>
        </w:rPr>
        <w:t>.</w:t>
      </w:r>
    </w:p>
    <w:p w14:paraId="6EDA9FDD" w14:textId="7ABD9243" w:rsidR="00FD5298" w:rsidRPr="00643DCF" w:rsidRDefault="00FD5298" w:rsidP="00AB1094">
      <w:pPr>
        <w:pStyle w:val="Sinespaciado3"/>
        <w:tabs>
          <w:tab w:val="left" w:pos="0"/>
          <w:tab w:val="left" w:pos="567"/>
        </w:tabs>
        <w:ind w:left="567"/>
        <w:jc w:val="both"/>
        <w:rPr>
          <w:rFonts w:ascii="Times New Roman" w:hAnsi="Times New Roman"/>
          <w:sz w:val="28"/>
          <w:szCs w:val="28"/>
        </w:rPr>
      </w:pPr>
    </w:p>
    <w:p w14:paraId="56F4F067" w14:textId="5D53D58A" w:rsidR="00F32E2C" w:rsidRPr="00643DCF" w:rsidRDefault="00FD5298" w:rsidP="00F25834">
      <w:pPr>
        <w:pStyle w:val="Sinespaciado3"/>
        <w:numPr>
          <w:ilvl w:val="0"/>
          <w:numId w:val="40"/>
        </w:numPr>
        <w:tabs>
          <w:tab w:val="left" w:pos="0"/>
          <w:tab w:val="left" w:pos="567"/>
        </w:tabs>
        <w:ind w:left="567"/>
        <w:jc w:val="both"/>
        <w:rPr>
          <w:sz w:val="28"/>
          <w:szCs w:val="28"/>
        </w:rPr>
      </w:pPr>
      <w:r w:rsidRPr="00643DCF">
        <w:rPr>
          <w:rFonts w:ascii="Times New Roman" w:hAnsi="Times New Roman"/>
          <w:sz w:val="28"/>
          <w:szCs w:val="28"/>
        </w:rPr>
        <w:t>Realizar</w:t>
      </w:r>
      <w:r w:rsidR="006E2522" w:rsidRPr="00643DCF">
        <w:rPr>
          <w:rFonts w:ascii="Times New Roman" w:hAnsi="Times New Roman"/>
          <w:sz w:val="28"/>
          <w:szCs w:val="28"/>
        </w:rPr>
        <w:t xml:space="preserve"> y </w:t>
      </w:r>
      <w:r w:rsidR="004D4B6B" w:rsidRPr="00643DCF">
        <w:rPr>
          <w:rFonts w:ascii="Times New Roman" w:hAnsi="Times New Roman"/>
          <w:sz w:val="28"/>
          <w:szCs w:val="28"/>
        </w:rPr>
        <w:t xml:space="preserve">entregar </w:t>
      </w:r>
      <w:r w:rsidRPr="00643DCF">
        <w:rPr>
          <w:rFonts w:ascii="Times New Roman" w:hAnsi="Times New Roman"/>
          <w:sz w:val="28"/>
          <w:szCs w:val="28"/>
        </w:rPr>
        <w:t>un informe de medición que permita establecer el número de jueces</w:t>
      </w:r>
      <w:r w:rsidR="00D00344" w:rsidRPr="00643DCF">
        <w:rPr>
          <w:rFonts w:ascii="Times New Roman" w:hAnsi="Times New Roman"/>
          <w:sz w:val="28"/>
          <w:szCs w:val="28"/>
        </w:rPr>
        <w:t xml:space="preserve"> y</w:t>
      </w:r>
      <w:r w:rsidRPr="00643DCF">
        <w:rPr>
          <w:rFonts w:ascii="Times New Roman" w:hAnsi="Times New Roman"/>
          <w:sz w:val="28"/>
          <w:szCs w:val="28"/>
        </w:rPr>
        <w:t xml:space="preserve"> magistrados </w:t>
      </w:r>
      <w:r w:rsidR="007D1969" w:rsidRPr="00643DCF">
        <w:rPr>
          <w:rFonts w:ascii="Times New Roman" w:hAnsi="Times New Roman"/>
          <w:sz w:val="28"/>
          <w:szCs w:val="28"/>
        </w:rPr>
        <w:t>q</w:t>
      </w:r>
      <w:r w:rsidRPr="00643DCF">
        <w:rPr>
          <w:rFonts w:ascii="Times New Roman" w:hAnsi="Times New Roman"/>
          <w:sz w:val="28"/>
          <w:szCs w:val="28"/>
        </w:rPr>
        <w:t xml:space="preserve">ue han sido capacitados desde el momento en que se profirió </w:t>
      </w:r>
      <w:r w:rsidR="009B004A" w:rsidRPr="00643DCF">
        <w:rPr>
          <w:rFonts w:ascii="Times New Roman" w:hAnsi="Times New Roman"/>
          <w:sz w:val="28"/>
          <w:szCs w:val="28"/>
        </w:rPr>
        <w:t xml:space="preserve">el mandato </w:t>
      </w:r>
      <w:r w:rsidR="00F32E2C" w:rsidRPr="00643DCF">
        <w:rPr>
          <w:rFonts w:ascii="Times New Roman" w:hAnsi="Times New Roman"/>
          <w:sz w:val="28"/>
          <w:szCs w:val="28"/>
        </w:rPr>
        <w:t>trigésim</w:t>
      </w:r>
      <w:r w:rsidR="009B004A" w:rsidRPr="00643DCF">
        <w:rPr>
          <w:rFonts w:ascii="Times New Roman" w:hAnsi="Times New Roman"/>
          <w:sz w:val="28"/>
          <w:szCs w:val="28"/>
        </w:rPr>
        <w:t>o</w:t>
      </w:r>
      <w:r w:rsidR="00F32E2C" w:rsidRPr="00643DCF">
        <w:rPr>
          <w:rFonts w:ascii="Times New Roman" w:hAnsi="Times New Roman"/>
          <w:sz w:val="28"/>
          <w:szCs w:val="28"/>
        </w:rPr>
        <w:t xml:space="preserve"> segund</w:t>
      </w:r>
      <w:r w:rsidR="009B004A" w:rsidRPr="00643DCF">
        <w:rPr>
          <w:rFonts w:ascii="Times New Roman" w:hAnsi="Times New Roman"/>
          <w:sz w:val="28"/>
          <w:szCs w:val="28"/>
        </w:rPr>
        <w:t>o</w:t>
      </w:r>
      <w:r w:rsidR="00F32E2C" w:rsidRPr="00643DCF">
        <w:rPr>
          <w:rFonts w:ascii="Times New Roman" w:hAnsi="Times New Roman"/>
          <w:sz w:val="28"/>
          <w:szCs w:val="28"/>
        </w:rPr>
        <w:t xml:space="preserve"> del fallo estructural</w:t>
      </w:r>
      <w:r w:rsidRPr="00643DCF">
        <w:rPr>
          <w:rFonts w:ascii="Times New Roman" w:hAnsi="Times New Roman"/>
          <w:sz w:val="28"/>
          <w:szCs w:val="28"/>
        </w:rPr>
        <w:t xml:space="preserve">, así como los que </w:t>
      </w:r>
      <w:r w:rsidR="00D00344" w:rsidRPr="00643DCF">
        <w:rPr>
          <w:rFonts w:ascii="Times New Roman" w:hAnsi="Times New Roman"/>
          <w:sz w:val="28"/>
          <w:szCs w:val="28"/>
        </w:rPr>
        <w:t xml:space="preserve">desarrollen las órdenes concretas aquí </w:t>
      </w:r>
      <w:r w:rsidR="0040022D" w:rsidRPr="00643DCF">
        <w:rPr>
          <w:rFonts w:ascii="Times New Roman" w:hAnsi="Times New Roman"/>
          <w:sz w:val="28"/>
          <w:szCs w:val="28"/>
        </w:rPr>
        <w:t>impartidas</w:t>
      </w:r>
      <w:r w:rsidR="00B52992" w:rsidRPr="00643DCF">
        <w:rPr>
          <w:rFonts w:ascii="Times New Roman" w:hAnsi="Times New Roman"/>
          <w:sz w:val="28"/>
          <w:szCs w:val="28"/>
        </w:rPr>
        <w:t>;</w:t>
      </w:r>
    </w:p>
    <w:p w14:paraId="641271CB" w14:textId="77777777" w:rsidR="00B52992" w:rsidRPr="00643DCF" w:rsidRDefault="00B52992" w:rsidP="00B52992">
      <w:pPr>
        <w:pStyle w:val="Sinespaciado3"/>
        <w:tabs>
          <w:tab w:val="left" w:pos="0"/>
          <w:tab w:val="left" w:pos="567"/>
        </w:tabs>
        <w:jc w:val="both"/>
        <w:rPr>
          <w:sz w:val="28"/>
          <w:szCs w:val="28"/>
        </w:rPr>
      </w:pPr>
    </w:p>
    <w:p w14:paraId="7816FD9D" w14:textId="1CA9C136" w:rsidR="00716BE0" w:rsidRPr="00643DCF" w:rsidRDefault="00F32E2C" w:rsidP="00FD38ED">
      <w:pPr>
        <w:pStyle w:val="Sinespaciado3"/>
        <w:numPr>
          <w:ilvl w:val="0"/>
          <w:numId w:val="40"/>
        </w:numPr>
        <w:tabs>
          <w:tab w:val="left" w:pos="0"/>
          <w:tab w:val="left" w:pos="567"/>
        </w:tabs>
        <w:ind w:left="567"/>
        <w:jc w:val="both"/>
        <w:rPr>
          <w:rFonts w:ascii="Times New Roman" w:hAnsi="Times New Roman"/>
          <w:sz w:val="28"/>
          <w:szCs w:val="28"/>
        </w:rPr>
      </w:pPr>
      <w:r w:rsidRPr="00643DCF">
        <w:rPr>
          <w:rFonts w:ascii="Times New Roman" w:hAnsi="Times New Roman"/>
          <w:sz w:val="28"/>
          <w:szCs w:val="28"/>
        </w:rPr>
        <w:t>P</w:t>
      </w:r>
      <w:r w:rsidR="00864777" w:rsidRPr="00643DCF">
        <w:rPr>
          <w:rFonts w:ascii="Times New Roman" w:hAnsi="Times New Roman"/>
          <w:sz w:val="28"/>
          <w:szCs w:val="28"/>
        </w:rPr>
        <w:t>resentar</w:t>
      </w:r>
      <w:r w:rsidR="00101229" w:rsidRPr="00643DCF">
        <w:rPr>
          <w:rFonts w:ascii="Times New Roman" w:hAnsi="Times New Roman"/>
          <w:sz w:val="28"/>
          <w:szCs w:val="28"/>
        </w:rPr>
        <w:t xml:space="preserve"> en el término </w:t>
      </w:r>
      <w:r w:rsidR="00101229" w:rsidRPr="00776112">
        <w:rPr>
          <w:rFonts w:ascii="Times New Roman" w:hAnsi="Times New Roman"/>
          <w:sz w:val="28"/>
          <w:szCs w:val="28"/>
        </w:rPr>
        <w:t xml:space="preserve">de </w:t>
      </w:r>
      <w:r w:rsidR="00C1136E" w:rsidRPr="00776112">
        <w:rPr>
          <w:rFonts w:ascii="Times New Roman" w:hAnsi="Times New Roman"/>
          <w:sz w:val="28"/>
          <w:szCs w:val="28"/>
        </w:rPr>
        <w:t>45 días calendario</w:t>
      </w:r>
      <w:r w:rsidR="00101229" w:rsidRPr="00776112">
        <w:rPr>
          <w:rFonts w:ascii="Times New Roman" w:hAnsi="Times New Roman"/>
          <w:sz w:val="28"/>
          <w:szCs w:val="28"/>
        </w:rPr>
        <w:t>, contados</w:t>
      </w:r>
      <w:r w:rsidR="00101229" w:rsidRPr="00643DCF">
        <w:rPr>
          <w:rFonts w:ascii="Times New Roman" w:hAnsi="Times New Roman"/>
          <w:sz w:val="28"/>
          <w:szCs w:val="28"/>
        </w:rPr>
        <w:t xml:space="preserve"> a partir de la notificación del auto, el cronograma de trabajo para el 2019, que contenga las actividades que va a realizar dentro del cumplimiento de la orden treinta y dos incluyendo las que se desarrollarán en virtud de lo ordenado en el presente proveído.</w:t>
      </w:r>
      <w:r w:rsidR="00101229" w:rsidRPr="00643DCF">
        <w:rPr>
          <w:rFonts w:ascii="Times New Roman" w:hAnsi="Times New Roman"/>
          <w:sz w:val="28"/>
          <w:szCs w:val="28"/>
          <w:lang w:val="es-ES"/>
        </w:rPr>
        <w:t xml:space="preserve"> A partir del 2020 deberá presentar el plan de trabajo anual, a más tardar el 30 de enero</w:t>
      </w:r>
      <w:r w:rsidR="009B0C51" w:rsidRPr="00643DCF">
        <w:rPr>
          <w:rFonts w:ascii="Times New Roman" w:hAnsi="Times New Roman"/>
          <w:sz w:val="28"/>
          <w:szCs w:val="28"/>
          <w:lang w:val="es-ES"/>
        </w:rPr>
        <w:t xml:space="preserve"> de cada anualidad</w:t>
      </w:r>
      <w:r w:rsidR="009B004A" w:rsidRPr="00643DCF">
        <w:rPr>
          <w:rFonts w:ascii="Times New Roman" w:hAnsi="Times New Roman"/>
          <w:sz w:val="28"/>
          <w:szCs w:val="28"/>
          <w:lang w:val="es-ES"/>
        </w:rPr>
        <w:t>;</w:t>
      </w:r>
    </w:p>
    <w:p w14:paraId="581D03CC" w14:textId="77777777" w:rsidR="002D419F" w:rsidRPr="00643DCF" w:rsidRDefault="002D419F" w:rsidP="002D419F">
      <w:pPr>
        <w:pStyle w:val="Prrafodelista"/>
        <w:rPr>
          <w:sz w:val="28"/>
          <w:szCs w:val="28"/>
        </w:rPr>
      </w:pPr>
    </w:p>
    <w:p w14:paraId="30F23D0E" w14:textId="08A20658" w:rsidR="002D419F" w:rsidRPr="00776112" w:rsidRDefault="00EC013F" w:rsidP="00FD38ED">
      <w:pPr>
        <w:pStyle w:val="Sinespaciado3"/>
        <w:numPr>
          <w:ilvl w:val="0"/>
          <w:numId w:val="40"/>
        </w:numPr>
        <w:tabs>
          <w:tab w:val="left" w:pos="0"/>
          <w:tab w:val="left" w:pos="567"/>
        </w:tabs>
        <w:ind w:left="567"/>
        <w:jc w:val="both"/>
        <w:rPr>
          <w:rFonts w:ascii="Times New Roman" w:hAnsi="Times New Roman"/>
          <w:sz w:val="28"/>
          <w:szCs w:val="28"/>
        </w:rPr>
      </w:pPr>
      <w:r w:rsidRPr="00776112">
        <w:rPr>
          <w:rFonts w:ascii="Times New Roman" w:hAnsi="Times New Roman"/>
          <w:sz w:val="28"/>
          <w:szCs w:val="28"/>
        </w:rPr>
        <w:t>I</w:t>
      </w:r>
      <w:r w:rsidR="00201A6E" w:rsidRPr="00776112">
        <w:rPr>
          <w:rFonts w:ascii="Times New Roman" w:hAnsi="Times New Roman"/>
          <w:sz w:val="28"/>
          <w:szCs w:val="28"/>
        </w:rPr>
        <w:t>mplemen</w:t>
      </w:r>
      <w:r w:rsidR="00D8399A" w:rsidRPr="00776112">
        <w:rPr>
          <w:rFonts w:ascii="Times New Roman" w:hAnsi="Times New Roman"/>
          <w:sz w:val="28"/>
          <w:szCs w:val="28"/>
        </w:rPr>
        <w:t xml:space="preserve">tar </w:t>
      </w:r>
      <w:r w:rsidR="00201A6E" w:rsidRPr="00776112">
        <w:rPr>
          <w:rFonts w:ascii="Times New Roman" w:hAnsi="Times New Roman"/>
          <w:sz w:val="28"/>
          <w:szCs w:val="28"/>
        </w:rPr>
        <w:t xml:space="preserve">medidas </w:t>
      </w:r>
      <w:r w:rsidR="00D8399A" w:rsidRPr="00776112">
        <w:rPr>
          <w:rFonts w:ascii="Times New Roman" w:hAnsi="Times New Roman"/>
          <w:sz w:val="28"/>
          <w:szCs w:val="28"/>
        </w:rPr>
        <w:t xml:space="preserve">para que la </w:t>
      </w:r>
      <w:r w:rsidRPr="00776112">
        <w:rPr>
          <w:rFonts w:ascii="Times New Roman" w:hAnsi="Times New Roman"/>
          <w:sz w:val="28"/>
          <w:szCs w:val="28"/>
        </w:rPr>
        <w:t>población en general y en particular los grupos más vulnerables</w:t>
      </w:r>
      <w:r w:rsidR="00201A6E" w:rsidRPr="00776112">
        <w:rPr>
          <w:rFonts w:ascii="Times New Roman" w:hAnsi="Times New Roman"/>
          <w:sz w:val="28"/>
          <w:szCs w:val="28"/>
        </w:rPr>
        <w:t>,</w:t>
      </w:r>
      <w:r w:rsidRPr="00776112">
        <w:rPr>
          <w:rFonts w:ascii="Times New Roman" w:hAnsi="Times New Roman"/>
          <w:sz w:val="28"/>
          <w:szCs w:val="28"/>
        </w:rPr>
        <w:t xml:space="preserve"> accedan a la información relacionada con la sentencia T-760 de 2008</w:t>
      </w:r>
      <w:r w:rsidR="00322682" w:rsidRPr="00776112">
        <w:rPr>
          <w:rFonts w:ascii="Times New Roman" w:hAnsi="Times New Roman"/>
          <w:sz w:val="28"/>
          <w:szCs w:val="28"/>
        </w:rPr>
        <w:t>, los autos de seguimiento y el derecho fundamental a la salud</w:t>
      </w:r>
      <w:r w:rsidRPr="00776112">
        <w:rPr>
          <w:rFonts w:ascii="Times New Roman" w:hAnsi="Times New Roman"/>
          <w:sz w:val="28"/>
          <w:szCs w:val="28"/>
        </w:rPr>
        <w:t xml:space="preserve">, </w:t>
      </w:r>
      <w:r w:rsidR="009D4AED" w:rsidRPr="00776112">
        <w:rPr>
          <w:rFonts w:ascii="Times New Roman" w:hAnsi="Times New Roman"/>
          <w:sz w:val="28"/>
          <w:szCs w:val="28"/>
        </w:rPr>
        <w:t xml:space="preserve">la cual deberá </w:t>
      </w:r>
      <w:r w:rsidRPr="00776112">
        <w:rPr>
          <w:rFonts w:ascii="Times New Roman" w:hAnsi="Times New Roman"/>
          <w:sz w:val="28"/>
          <w:szCs w:val="28"/>
        </w:rPr>
        <w:t xml:space="preserve">ser transmitida </w:t>
      </w:r>
      <w:r w:rsidR="009D4AED" w:rsidRPr="00776112">
        <w:rPr>
          <w:rFonts w:ascii="Times New Roman" w:hAnsi="Times New Roman"/>
          <w:sz w:val="28"/>
          <w:szCs w:val="28"/>
        </w:rPr>
        <w:t>en un lenguaje comprensible, libre de tecnicismos propios del área jurídica</w:t>
      </w:r>
      <w:r w:rsidR="00E018BC" w:rsidRPr="00776112">
        <w:rPr>
          <w:rFonts w:ascii="Times New Roman" w:hAnsi="Times New Roman"/>
          <w:sz w:val="28"/>
          <w:szCs w:val="28"/>
        </w:rPr>
        <w:t xml:space="preserve"> o de la salud,</w:t>
      </w:r>
      <w:r w:rsidR="009D4AED" w:rsidRPr="00776112">
        <w:rPr>
          <w:rFonts w:ascii="Times New Roman" w:hAnsi="Times New Roman"/>
          <w:sz w:val="28"/>
          <w:szCs w:val="28"/>
        </w:rPr>
        <w:t xml:space="preserve"> </w:t>
      </w:r>
      <w:r w:rsidR="00207917" w:rsidRPr="00776112">
        <w:rPr>
          <w:rFonts w:ascii="Times New Roman" w:hAnsi="Times New Roman"/>
          <w:sz w:val="28"/>
          <w:szCs w:val="28"/>
        </w:rPr>
        <w:t xml:space="preserve">y que tendrán que brindar resultados medibles </w:t>
      </w:r>
      <w:r w:rsidR="0049325F" w:rsidRPr="00776112">
        <w:rPr>
          <w:rFonts w:ascii="Times New Roman" w:hAnsi="Times New Roman"/>
          <w:sz w:val="28"/>
          <w:szCs w:val="28"/>
        </w:rPr>
        <w:t xml:space="preserve">en cuanto al </w:t>
      </w:r>
      <w:r w:rsidR="00201A6E" w:rsidRPr="00776112">
        <w:rPr>
          <w:rFonts w:ascii="Times New Roman" w:hAnsi="Times New Roman"/>
          <w:sz w:val="28"/>
          <w:szCs w:val="28"/>
        </w:rPr>
        <w:t xml:space="preserve">impacto </w:t>
      </w:r>
      <w:r w:rsidR="0049325F" w:rsidRPr="00776112">
        <w:rPr>
          <w:rFonts w:ascii="Times New Roman" w:hAnsi="Times New Roman"/>
          <w:sz w:val="28"/>
          <w:szCs w:val="28"/>
        </w:rPr>
        <w:t>que generen</w:t>
      </w:r>
      <w:r w:rsidR="00C43791" w:rsidRPr="00776112">
        <w:rPr>
          <w:rFonts w:ascii="Times New Roman" w:hAnsi="Times New Roman"/>
          <w:sz w:val="28"/>
          <w:szCs w:val="28"/>
        </w:rPr>
        <w:t>.</w:t>
      </w:r>
    </w:p>
    <w:p w14:paraId="4B86057D" w14:textId="77777777" w:rsidR="009B004A" w:rsidRPr="00643DCF" w:rsidRDefault="009B004A" w:rsidP="00F4470E">
      <w:pPr>
        <w:pStyle w:val="Prrafodelista"/>
        <w:rPr>
          <w:sz w:val="28"/>
          <w:szCs w:val="28"/>
        </w:rPr>
      </w:pPr>
    </w:p>
    <w:p w14:paraId="5E36EF2B" w14:textId="5718E892" w:rsidR="00FD5298" w:rsidRPr="00643DCF" w:rsidRDefault="00101229" w:rsidP="00101229">
      <w:pPr>
        <w:pStyle w:val="Sinespaciado3"/>
        <w:tabs>
          <w:tab w:val="left" w:pos="0"/>
          <w:tab w:val="left" w:pos="567"/>
        </w:tabs>
        <w:jc w:val="both"/>
        <w:rPr>
          <w:rFonts w:ascii="Times New Roman" w:hAnsi="Times New Roman"/>
          <w:sz w:val="28"/>
          <w:szCs w:val="28"/>
        </w:rPr>
      </w:pPr>
      <w:r w:rsidRPr="00643DCF">
        <w:rPr>
          <w:rFonts w:ascii="Times New Roman" w:hAnsi="Times New Roman"/>
          <w:sz w:val="28"/>
          <w:szCs w:val="28"/>
        </w:rPr>
        <w:t>10</w:t>
      </w:r>
      <w:r w:rsidR="00BA4985" w:rsidRPr="00643DCF">
        <w:rPr>
          <w:rFonts w:ascii="Times New Roman" w:hAnsi="Times New Roman"/>
          <w:sz w:val="28"/>
          <w:szCs w:val="28"/>
        </w:rPr>
        <w:t>6</w:t>
      </w:r>
      <w:r w:rsidRPr="00643DCF">
        <w:rPr>
          <w:rFonts w:ascii="Times New Roman" w:hAnsi="Times New Roman"/>
          <w:sz w:val="28"/>
          <w:szCs w:val="28"/>
        </w:rPr>
        <w:t xml:space="preserve">. </w:t>
      </w:r>
      <w:r w:rsidR="00716BE0" w:rsidRPr="00643DCF">
        <w:rPr>
          <w:rFonts w:ascii="Times New Roman" w:hAnsi="Times New Roman"/>
          <w:sz w:val="28"/>
          <w:szCs w:val="28"/>
        </w:rPr>
        <w:t>Continuar actualizando e</w:t>
      </w:r>
      <w:r w:rsidR="00482A53" w:rsidRPr="00643DCF">
        <w:rPr>
          <w:rFonts w:ascii="Times New Roman" w:hAnsi="Times New Roman"/>
          <w:sz w:val="28"/>
          <w:szCs w:val="28"/>
        </w:rPr>
        <w:t>l micrositio que se encuentra en la página web de la Rama Judicial,</w:t>
      </w:r>
      <w:r w:rsidR="009337C8" w:rsidRPr="00643DCF">
        <w:rPr>
          <w:rFonts w:ascii="Times New Roman" w:hAnsi="Times New Roman"/>
          <w:sz w:val="28"/>
          <w:szCs w:val="28"/>
        </w:rPr>
        <w:t xml:space="preserve"> </w:t>
      </w:r>
      <w:r w:rsidR="00BE08C4" w:rsidRPr="00643DCF">
        <w:rPr>
          <w:rFonts w:ascii="Times New Roman" w:hAnsi="Times New Roman"/>
          <w:sz w:val="28"/>
          <w:szCs w:val="28"/>
        </w:rPr>
        <w:t xml:space="preserve">la transmisión de </w:t>
      </w:r>
      <w:r w:rsidR="009337C8" w:rsidRPr="00643DCF">
        <w:rPr>
          <w:rFonts w:ascii="Times New Roman" w:hAnsi="Times New Roman"/>
          <w:sz w:val="28"/>
          <w:szCs w:val="28"/>
        </w:rPr>
        <w:t xml:space="preserve">programas de televisión, </w:t>
      </w:r>
      <w:r w:rsidR="00BE08C4" w:rsidRPr="00643DCF">
        <w:rPr>
          <w:rFonts w:ascii="Times New Roman" w:hAnsi="Times New Roman"/>
          <w:sz w:val="28"/>
          <w:szCs w:val="28"/>
        </w:rPr>
        <w:t xml:space="preserve">la publicación de cartillas y folletos en los que no solo se haga relación a la </w:t>
      </w:r>
      <w:r w:rsidR="00716BE0" w:rsidRPr="00643DCF">
        <w:rPr>
          <w:rFonts w:ascii="Times New Roman" w:hAnsi="Times New Roman"/>
          <w:sz w:val="28"/>
          <w:szCs w:val="28"/>
        </w:rPr>
        <w:t>s</w:t>
      </w:r>
      <w:r w:rsidR="00BE08C4" w:rsidRPr="00643DCF">
        <w:rPr>
          <w:rFonts w:ascii="Times New Roman" w:hAnsi="Times New Roman"/>
          <w:sz w:val="28"/>
          <w:szCs w:val="28"/>
        </w:rPr>
        <w:t xml:space="preserve">entencia </w:t>
      </w:r>
      <w:r w:rsidR="001D6496" w:rsidRPr="00643DCF">
        <w:rPr>
          <w:rFonts w:ascii="Times New Roman" w:hAnsi="Times New Roman"/>
          <w:sz w:val="28"/>
          <w:szCs w:val="28"/>
        </w:rPr>
        <w:t xml:space="preserve">T-760 de 2008, </w:t>
      </w:r>
      <w:r w:rsidR="00BE08C4" w:rsidRPr="00643DCF">
        <w:rPr>
          <w:rFonts w:ascii="Times New Roman" w:hAnsi="Times New Roman"/>
          <w:sz w:val="28"/>
          <w:szCs w:val="28"/>
        </w:rPr>
        <w:t>sino al nivel de cumplimiento</w:t>
      </w:r>
      <w:r w:rsidR="001D6496" w:rsidRPr="00643DCF">
        <w:rPr>
          <w:rFonts w:ascii="Times New Roman" w:hAnsi="Times New Roman"/>
          <w:sz w:val="28"/>
          <w:szCs w:val="28"/>
        </w:rPr>
        <w:t xml:space="preserve">, el </w:t>
      </w:r>
      <w:r w:rsidR="00BE08C4" w:rsidRPr="00643DCF">
        <w:rPr>
          <w:rFonts w:ascii="Times New Roman" w:hAnsi="Times New Roman"/>
          <w:sz w:val="28"/>
          <w:szCs w:val="28"/>
        </w:rPr>
        <w:t xml:space="preserve">estado actual de las </w:t>
      </w:r>
      <w:r w:rsidR="009B004A" w:rsidRPr="00643DCF">
        <w:rPr>
          <w:rFonts w:ascii="Times New Roman" w:hAnsi="Times New Roman"/>
          <w:sz w:val="28"/>
          <w:szCs w:val="28"/>
        </w:rPr>
        <w:t>ó</w:t>
      </w:r>
      <w:r w:rsidR="00BE08C4" w:rsidRPr="00643DCF">
        <w:rPr>
          <w:rFonts w:ascii="Times New Roman" w:hAnsi="Times New Roman"/>
          <w:sz w:val="28"/>
          <w:szCs w:val="28"/>
        </w:rPr>
        <w:t>rdenes</w:t>
      </w:r>
      <w:r w:rsidR="001D6496" w:rsidRPr="00643DCF">
        <w:rPr>
          <w:rFonts w:ascii="Times New Roman" w:hAnsi="Times New Roman"/>
          <w:sz w:val="28"/>
          <w:szCs w:val="28"/>
        </w:rPr>
        <w:t xml:space="preserve">, el progreso de </w:t>
      </w:r>
      <w:r w:rsidR="00BE08C4" w:rsidRPr="00643DCF">
        <w:rPr>
          <w:rFonts w:ascii="Times New Roman" w:hAnsi="Times New Roman"/>
          <w:sz w:val="28"/>
          <w:szCs w:val="28"/>
        </w:rPr>
        <w:t xml:space="preserve">los problemas jurídicos evidenciados en ella, </w:t>
      </w:r>
      <w:r w:rsidR="001D6496" w:rsidRPr="00643DCF">
        <w:rPr>
          <w:rFonts w:ascii="Times New Roman" w:hAnsi="Times New Roman"/>
          <w:sz w:val="28"/>
          <w:szCs w:val="28"/>
        </w:rPr>
        <w:t>así como</w:t>
      </w:r>
      <w:r w:rsidR="00BE08C4" w:rsidRPr="00643DCF">
        <w:rPr>
          <w:rFonts w:ascii="Times New Roman" w:hAnsi="Times New Roman"/>
          <w:sz w:val="28"/>
          <w:szCs w:val="28"/>
        </w:rPr>
        <w:t xml:space="preserve"> la respuesta para superarlos</w:t>
      </w:r>
      <w:r w:rsidR="001D6496" w:rsidRPr="00643DCF">
        <w:rPr>
          <w:rFonts w:ascii="Times New Roman" w:hAnsi="Times New Roman"/>
          <w:sz w:val="28"/>
          <w:szCs w:val="28"/>
        </w:rPr>
        <w:t xml:space="preserve"> y eliminar las barreras </w:t>
      </w:r>
      <w:r w:rsidR="001D6496" w:rsidRPr="000F5773">
        <w:rPr>
          <w:rFonts w:ascii="Times New Roman" w:hAnsi="Times New Roman"/>
          <w:sz w:val="28"/>
          <w:szCs w:val="28"/>
        </w:rPr>
        <w:t>causadas</w:t>
      </w:r>
      <w:r w:rsidR="00864777" w:rsidRPr="000F5773">
        <w:rPr>
          <w:rFonts w:ascii="Times New Roman" w:hAnsi="Times New Roman"/>
          <w:sz w:val="28"/>
          <w:szCs w:val="28"/>
        </w:rPr>
        <w:t xml:space="preserve">, </w:t>
      </w:r>
      <w:r w:rsidR="00544D8B" w:rsidRPr="000F5773">
        <w:rPr>
          <w:rFonts w:ascii="Times New Roman" w:hAnsi="Times New Roman"/>
          <w:sz w:val="28"/>
          <w:szCs w:val="28"/>
        </w:rPr>
        <w:t xml:space="preserve">incluyendo un plan de medios que acompañe al micrositio y permita que la información llegue a un grupo poblacional más amplio y especialmente al más vulnerable, </w:t>
      </w:r>
      <w:r w:rsidR="00864777" w:rsidRPr="000F5773">
        <w:rPr>
          <w:rFonts w:ascii="Times New Roman" w:hAnsi="Times New Roman"/>
          <w:sz w:val="28"/>
          <w:szCs w:val="28"/>
        </w:rPr>
        <w:t>sin perjuicio de las demás actividades que considere pertinentes en relación con</w:t>
      </w:r>
      <w:r w:rsidR="00864777" w:rsidRPr="00643DCF">
        <w:rPr>
          <w:rFonts w:ascii="Times New Roman" w:hAnsi="Times New Roman"/>
          <w:sz w:val="28"/>
          <w:szCs w:val="28"/>
        </w:rPr>
        <w:t xml:space="preserve"> el acatamiento del mandato analizado</w:t>
      </w:r>
      <w:r w:rsidR="001D6496" w:rsidRPr="00643DCF">
        <w:rPr>
          <w:rFonts w:ascii="Times New Roman" w:hAnsi="Times New Roman"/>
          <w:sz w:val="28"/>
          <w:szCs w:val="28"/>
        </w:rPr>
        <w:t xml:space="preserve">, en </w:t>
      </w:r>
      <w:r w:rsidR="00EE568F" w:rsidRPr="00643DCF">
        <w:rPr>
          <w:rFonts w:ascii="Times New Roman" w:hAnsi="Times New Roman"/>
          <w:sz w:val="28"/>
          <w:szCs w:val="28"/>
        </w:rPr>
        <w:t>observancia</w:t>
      </w:r>
      <w:r w:rsidR="001D6496" w:rsidRPr="00643DCF">
        <w:rPr>
          <w:rFonts w:ascii="Times New Roman" w:hAnsi="Times New Roman"/>
          <w:sz w:val="28"/>
          <w:szCs w:val="28"/>
        </w:rPr>
        <w:t xml:space="preserve"> a lo </w:t>
      </w:r>
      <w:r w:rsidR="009B004A" w:rsidRPr="00643DCF">
        <w:rPr>
          <w:rFonts w:ascii="Times New Roman" w:hAnsi="Times New Roman"/>
          <w:sz w:val="28"/>
          <w:szCs w:val="28"/>
        </w:rPr>
        <w:t>dispuesto</w:t>
      </w:r>
      <w:r w:rsidR="001D6496" w:rsidRPr="00643DCF">
        <w:rPr>
          <w:rFonts w:ascii="Times New Roman" w:hAnsi="Times New Roman"/>
          <w:sz w:val="28"/>
          <w:szCs w:val="28"/>
        </w:rPr>
        <w:t xml:space="preserve"> en los autos 144 de 2011 y 154 de 2014.</w:t>
      </w:r>
    </w:p>
    <w:p w14:paraId="07B47E4C" w14:textId="77777777" w:rsidR="00FD140A" w:rsidRPr="00643DCF" w:rsidRDefault="00FD140A" w:rsidP="00FD38ED">
      <w:pPr>
        <w:pStyle w:val="Sinespaciado3"/>
        <w:tabs>
          <w:tab w:val="left" w:pos="0"/>
          <w:tab w:val="left" w:pos="51"/>
          <w:tab w:val="left" w:pos="426"/>
        </w:tabs>
        <w:jc w:val="both"/>
        <w:rPr>
          <w:sz w:val="28"/>
          <w:szCs w:val="28"/>
        </w:rPr>
      </w:pPr>
    </w:p>
    <w:p w14:paraId="12937AE8" w14:textId="45ABBFE1" w:rsidR="006759B7" w:rsidRPr="00643DCF" w:rsidRDefault="006759B7" w:rsidP="006759B7">
      <w:pPr>
        <w:tabs>
          <w:tab w:val="left" w:pos="3536"/>
        </w:tabs>
        <w:jc w:val="both"/>
        <w:rPr>
          <w:sz w:val="28"/>
          <w:szCs w:val="28"/>
        </w:rPr>
      </w:pPr>
      <w:r w:rsidRPr="00643DCF">
        <w:rPr>
          <w:sz w:val="28"/>
          <w:szCs w:val="28"/>
        </w:rPr>
        <w:t xml:space="preserve">En mérito de lo expuesto, la Sala Especial de Seguimiento a la </w:t>
      </w:r>
      <w:r w:rsidR="00BF3699" w:rsidRPr="00643DCF">
        <w:rPr>
          <w:sz w:val="28"/>
          <w:szCs w:val="28"/>
        </w:rPr>
        <w:t>S</w:t>
      </w:r>
      <w:r w:rsidRPr="00643DCF">
        <w:rPr>
          <w:sz w:val="28"/>
          <w:szCs w:val="28"/>
        </w:rPr>
        <w:t>entencia T-760 de 2008,</w:t>
      </w:r>
    </w:p>
    <w:p w14:paraId="5D35A3F2" w14:textId="77777777" w:rsidR="001B1042" w:rsidRPr="00643DCF" w:rsidRDefault="001B1042" w:rsidP="006759B7">
      <w:pPr>
        <w:tabs>
          <w:tab w:val="left" w:pos="3536"/>
        </w:tabs>
        <w:jc w:val="both"/>
        <w:rPr>
          <w:sz w:val="28"/>
          <w:szCs w:val="28"/>
        </w:rPr>
      </w:pPr>
    </w:p>
    <w:p w14:paraId="02C9B658" w14:textId="1E4C6606" w:rsidR="006759B7" w:rsidRPr="00643DCF" w:rsidRDefault="006759B7" w:rsidP="006759B7">
      <w:pPr>
        <w:widowControl w:val="0"/>
        <w:autoSpaceDE w:val="0"/>
        <w:autoSpaceDN w:val="0"/>
        <w:adjustRightInd w:val="0"/>
        <w:jc w:val="center"/>
        <w:rPr>
          <w:b/>
          <w:bCs/>
          <w:sz w:val="28"/>
          <w:szCs w:val="28"/>
        </w:rPr>
      </w:pPr>
      <w:r w:rsidRPr="00643DCF">
        <w:rPr>
          <w:b/>
          <w:bCs/>
          <w:sz w:val="28"/>
          <w:szCs w:val="28"/>
        </w:rPr>
        <w:t>III.</w:t>
      </w:r>
      <w:r w:rsidRPr="00643DCF">
        <w:rPr>
          <w:b/>
          <w:bCs/>
          <w:sz w:val="28"/>
          <w:szCs w:val="28"/>
        </w:rPr>
        <w:tab/>
        <w:t>RESUELVE:</w:t>
      </w:r>
    </w:p>
    <w:p w14:paraId="0F64FF5A" w14:textId="77777777" w:rsidR="006759B7" w:rsidRPr="00643DCF" w:rsidRDefault="006759B7" w:rsidP="006759B7">
      <w:pPr>
        <w:pStyle w:val="Sinespaciado2"/>
        <w:jc w:val="both"/>
        <w:rPr>
          <w:rFonts w:ascii="Times New Roman" w:hAnsi="Times New Roman" w:cs="Times New Roman"/>
          <w:sz w:val="28"/>
          <w:szCs w:val="28"/>
          <w:lang w:eastAsia="es-ES"/>
        </w:rPr>
      </w:pPr>
    </w:p>
    <w:p w14:paraId="30A4C7B6" w14:textId="2B458555" w:rsidR="006759B7" w:rsidRPr="00643DCF" w:rsidRDefault="006759B7" w:rsidP="006759B7">
      <w:pPr>
        <w:jc w:val="both"/>
        <w:rPr>
          <w:snapToGrid w:val="0"/>
          <w:sz w:val="28"/>
          <w:szCs w:val="28"/>
        </w:rPr>
      </w:pPr>
      <w:r w:rsidRPr="00643DCF">
        <w:rPr>
          <w:b/>
          <w:sz w:val="28"/>
          <w:szCs w:val="28"/>
        </w:rPr>
        <w:t xml:space="preserve">Primero. </w:t>
      </w:r>
      <w:r w:rsidRPr="00643DCF">
        <w:rPr>
          <w:b/>
          <w:snapToGrid w:val="0"/>
          <w:sz w:val="28"/>
          <w:szCs w:val="28"/>
        </w:rPr>
        <w:t>DECLARAR</w:t>
      </w:r>
      <w:r w:rsidRPr="00643DCF">
        <w:rPr>
          <w:snapToGrid w:val="0"/>
          <w:sz w:val="28"/>
          <w:szCs w:val="28"/>
        </w:rPr>
        <w:t xml:space="preserve"> el </w:t>
      </w:r>
      <w:r w:rsidRPr="00643DCF">
        <w:rPr>
          <w:b/>
          <w:snapToGrid w:val="0"/>
          <w:sz w:val="28"/>
          <w:szCs w:val="28"/>
        </w:rPr>
        <w:t>NIVEL DE CUMPLIMIENTO MEDIO</w:t>
      </w:r>
      <w:r w:rsidR="00D82DB7" w:rsidRPr="00643DCF">
        <w:rPr>
          <w:snapToGrid w:val="0"/>
          <w:sz w:val="28"/>
          <w:szCs w:val="28"/>
        </w:rPr>
        <w:t xml:space="preserve"> de la orden trigésima </w:t>
      </w:r>
      <w:r w:rsidRPr="00643DCF">
        <w:rPr>
          <w:snapToGrid w:val="0"/>
          <w:sz w:val="28"/>
          <w:szCs w:val="28"/>
        </w:rPr>
        <w:t xml:space="preserve">segunda de la </w:t>
      </w:r>
      <w:r w:rsidR="00BE3A75" w:rsidRPr="00643DCF">
        <w:rPr>
          <w:snapToGrid w:val="0"/>
          <w:sz w:val="28"/>
          <w:szCs w:val="28"/>
        </w:rPr>
        <w:t>s</w:t>
      </w:r>
      <w:r w:rsidRPr="00643DCF">
        <w:rPr>
          <w:snapToGrid w:val="0"/>
          <w:sz w:val="28"/>
          <w:szCs w:val="28"/>
        </w:rPr>
        <w:t>entencia T-760 de 2008, con base en las consideraciones expuestas en esta providencia.</w:t>
      </w:r>
    </w:p>
    <w:p w14:paraId="5309F2D6" w14:textId="77777777" w:rsidR="00AA12ED" w:rsidRPr="00643DCF" w:rsidRDefault="00AA12ED" w:rsidP="006759B7">
      <w:pPr>
        <w:tabs>
          <w:tab w:val="left" w:pos="567"/>
        </w:tabs>
        <w:jc w:val="both"/>
        <w:rPr>
          <w:sz w:val="28"/>
          <w:szCs w:val="28"/>
        </w:rPr>
      </w:pPr>
    </w:p>
    <w:p w14:paraId="67D1FAE8" w14:textId="1ED767B3" w:rsidR="00864777" w:rsidRPr="00643DCF" w:rsidRDefault="006759B7" w:rsidP="00820F25">
      <w:pPr>
        <w:pStyle w:val="Sinespaciado3"/>
        <w:tabs>
          <w:tab w:val="left" w:pos="0"/>
          <w:tab w:val="left" w:pos="426"/>
          <w:tab w:val="left" w:pos="2865"/>
        </w:tabs>
        <w:jc w:val="both"/>
        <w:rPr>
          <w:rFonts w:ascii="Times New Roman" w:hAnsi="Times New Roman"/>
          <w:sz w:val="28"/>
          <w:szCs w:val="28"/>
        </w:rPr>
      </w:pPr>
      <w:r w:rsidRPr="00643DCF">
        <w:rPr>
          <w:rFonts w:ascii="Times New Roman" w:hAnsi="Times New Roman"/>
          <w:b/>
          <w:sz w:val="28"/>
          <w:szCs w:val="28"/>
        </w:rPr>
        <w:t>Segundo.</w:t>
      </w:r>
      <w:r w:rsidRPr="00643DCF">
        <w:rPr>
          <w:rFonts w:ascii="Times New Roman" w:hAnsi="Times New Roman"/>
          <w:sz w:val="28"/>
          <w:szCs w:val="28"/>
        </w:rPr>
        <w:t xml:space="preserve"> </w:t>
      </w:r>
      <w:r w:rsidR="002D5F31" w:rsidRPr="00643DCF">
        <w:rPr>
          <w:rFonts w:ascii="Times New Roman" w:hAnsi="Times New Roman"/>
          <w:b/>
          <w:sz w:val="28"/>
          <w:szCs w:val="28"/>
        </w:rPr>
        <w:t>ORDENAR</w:t>
      </w:r>
      <w:r w:rsidRPr="00643DCF">
        <w:rPr>
          <w:rFonts w:ascii="Times New Roman" w:hAnsi="Times New Roman"/>
          <w:sz w:val="28"/>
          <w:szCs w:val="28"/>
        </w:rPr>
        <w:t xml:space="preserve"> a</w:t>
      </w:r>
      <w:r w:rsidR="007A12DC" w:rsidRPr="00643DCF">
        <w:rPr>
          <w:rFonts w:ascii="Times New Roman" w:hAnsi="Times New Roman"/>
          <w:sz w:val="28"/>
          <w:szCs w:val="28"/>
        </w:rPr>
        <w:t>l</w:t>
      </w:r>
      <w:r w:rsidRPr="00643DCF">
        <w:rPr>
          <w:rFonts w:ascii="Times New Roman" w:hAnsi="Times New Roman"/>
          <w:sz w:val="28"/>
          <w:szCs w:val="28"/>
        </w:rPr>
        <w:t xml:space="preserve"> Consejo Superior de la Judicatura</w:t>
      </w:r>
      <w:r w:rsidR="00864777" w:rsidRPr="00643DCF">
        <w:rPr>
          <w:rFonts w:ascii="Times New Roman" w:hAnsi="Times New Roman"/>
          <w:sz w:val="28"/>
          <w:szCs w:val="28"/>
        </w:rPr>
        <w:t xml:space="preserve"> </w:t>
      </w:r>
      <w:r w:rsidR="00AB1094" w:rsidRPr="00643DCF">
        <w:rPr>
          <w:rFonts w:ascii="Times New Roman" w:hAnsi="Times New Roman"/>
          <w:sz w:val="28"/>
          <w:szCs w:val="28"/>
        </w:rPr>
        <w:t xml:space="preserve">que </w:t>
      </w:r>
      <w:r w:rsidR="00864777" w:rsidRPr="00643DCF">
        <w:rPr>
          <w:rFonts w:ascii="Times New Roman" w:hAnsi="Times New Roman"/>
          <w:sz w:val="28"/>
          <w:szCs w:val="28"/>
        </w:rPr>
        <w:t xml:space="preserve">con el </w:t>
      </w:r>
      <w:r w:rsidR="001D6496" w:rsidRPr="00643DCF">
        <w:rPr>
          <w:rFonts w:ascii="Times New Roman" w:hAnsi="Times New Roman"/>
          <w:sz w:val="28"/>
          <w:szCs w:val="28"/>
        </w:rPr>
        <w:t>propósito de cumplir</w:t>
      </w:r>
      <w:r w:rsidR="00864777" w:rsidRPr="00643DCF">
        <w:rPr>
          <w:rFonts w:ascii="Times New Roman" w:hAnsi="Times New Roman"/>
          <w:sz w:val="28"/>
          <w:szCs w:val="28"/>
        </w:rPr>
        <w:t xml:space="preserve"> lo </w:t>
      </w:r>
      <w:r w:rsidR="00D82DB7" w:rsidRPr="00643DCF">
        <w:rPr>
          <w:rFonts w:ascii="Times New Roman" w:hAnsi="Times New Roman"/>
          <w:sz w:val="28"/>
          <w:szCs w:val="28"/>
        </w:rPr>
        <w:t xml:space="preserve">dispuesto </w:t>
      </w:r>
      <w:r w:rsidR="00864777" w:rsidRPr="00643DCF">
        <w:rPr>
          <w:rFonts w:ascii="Times New Roman" w:hAnsi="Times New Roman"/>
          <w:sz w:val="28"/>
          <w:szCs w:val="28"/>
        </w:rPr>
        <w:t xml:space="preserve">en </w:t>
      </w:r>
      <w:r w:rsidR="001D6496" w:rsidRPr="00643DCF">
        <w:rPr>
          <w:rFonts w:ascii="Times New Roman" w:hAnsi="Times New Roman"/>
          <w:sz w:val="28"/>
          <w:szCs w:val="28"/>
        </w:rPr>
        <w:t xml:space="preserve">el numeral </w:t>
      </w:r>
      <w:r w:rsidR="00864777" w:rsidRPr="00643DCF">
        <w:rPr>
          <w:rFonts w:ascii="Times New Roman" w:hAnsi="Times New Roman"/>
          <w:sz w:val="28"/>
          <w:szCs w:val="28"/>
        </w:rPr>
        <w:t>trigésimo segund</w:t>
      </w:r>
      <w:r w:rsidR="001D6496" w:rsidRPr="00643DCF">
        <w:rPr>
          <w:rFonts w:ascii="Times New Roman" w:hAnsi="Times New Roman"/>
          <w:sz w:val="28"/>
          <w:szCs w:val="28"/>
        </w:rPr>
        <w:t>o</w:t>
      </w:r>
      <w:r w:rsidR="00864777" w:rsidRPr="00643DCF">
        <w:rPr>
          <w:rFonts w:ascii="Times New Roman" w:hAnsi="Times New Roman"/>
          <w:sz w:val="28"/>
          <w:szCs w:val="28"/>
        </w:rPr>
        <w:t xml:space="preserve"> de la </w:t>
      </w:r>
      <w:r w:rsidR="00BE3A75" w:rsidRPr="00643DCF">
        <w:rPr>
          <w:rFonts w:ascii="Times New Roman" w:hAnsi="Times New Roman"/>
          <w:sz w:val="28"/>
          <w:szCs w:val="28"/>
        </w:rPr>
        <w:t>s</w:t>
      </w:r>
      <w:r w:rsidR="00864777" w:rsidRPr="00643DCF">
        <w:rPr>
          <w:rFonts w:ascii="Times New Roman" w:hAnsi="Times New Roman"/>
          <w:sz w:val="28"/>
          <w:szCs w:val="28"/>
        </w:rPr>
        <w:t>entencia T-760 de 2008</w:t>
      </w:r>
      <w:r w:rsidR="005E6F03" w:rsidRPr="00643DCF">
        <w:rPr>
          <w:rFonts w:ascii="Times New Roman" w:hAnsi="Times New Roman"/>
          <w:sz w:val="28"/>
          <w:szCs w:val="28"/>
        </w:rPr>
        <w:t xml:space="preserve"> que adopte las siguientes medidas</w:t>
      </w:r>
      <w:r w:rsidR="00864777" w:rsidRPr="00643DCF">
        <w:rPr>
          <w:rFonts w:ascii="Times New Roman" w:hAnsi="Times New Roman"/>
          <w:sz w:val="28"/>
          <w:szCs w:val="28"/>
        </w:rPr>
        <w:t xml:space="preserve">: </w:t>
      </w:r>
    </w:p>
    <w:p w14:paraId="7B7426DC" w14:textId="77777777" w:rsidR="00E35339" w:rsidRPr="00643DCF" w:rsidRDefault="00E35339" w:rsidP="00E35339">
      <w:pPr>
        <w:pStyle w:val="Sinespaciado3"/>
        <w:tabs>
          <w:tab w:val="left" w:pos="0"/>
          <w:tab w:val="left" w:pos="51"/>
          <w:tab w:val="left" w:pos="426"/>
        </w:tabs>
        <w:jc w:val="both"/>
        <w:rPr>
          <w:sz w:val="28"/>
          <w:szCs w:val="28"/>
        </w:rPr>
      </w:pPr>
    </w:p>
    <w:p w14:paraId="302D7760" w14:textId="4063CE7D" w:rsidR="009E3E43" w:rsidRPr="000F5773" w:rsidRDefault="002440DF" w:rsidP="00C21FDC">
      <w:pPr>
        <w:pStyle w:val="Sinespaciado3"/>
        <w:numPr>
          <w:ilvl w:val="0"/>
          <w:numId w:val="46"/>
        </w:numPr>
        <w:tabs>
          <w:tab w:val="left" w:pos="0"/>
          <w:tab w:val="left" w:pos="567"/>
        </w:tabs>
        <w:ind w:left="567"/>
        <w:jc w:val="both"/>
        <w:rPr>
          <w:rFonts w:ascii="Times New Roman" w:hAnsi="Times New Roman"/>
          <w:sz w:val="28"/>
          <w:szCs w:val="28"/>
        </w:rPr>
      </w:pPr>
      <w:r w:rsidRPr="000F5773">
        <w:rPr>
          <w:rFonts w:ascii="Times New Roman" w:hAnsi="Times New Roman"/>
          <w:sz w:val="28"/>
          <w:szCs w:val="28"/>
          <w:lang w:val="es-ES"/>
        </w:rPr>
        <w:t>Re</w:t>
      </w:r>
      <w:r w:rsidRPr="00643DCF">
        <w:rPr>
          <w:rFonts w:ascii="Times New Roman" w:hAnsi="Times New Roman"/>
          <w:sz w:val="28"/>
          <w:szCs w:val="28"/>
          <w:lang w:val="es-ES"/>
        </w:rPr>
        <w:t>alice</w:t>
      </w:r>
      <w:r w:rsidR="00E35339" w:rsidRPr="00643DCF">
        <w:rPr>
          <w:rFonts w:ascii="Times New Roman" w:hAnsi="Times New Roman"/>
          <w:sz w:val="28"/>
          <w:szCs w:val="28"/>
          <w:lang w:val="es-ES"/>
        </w:rPr>
        <w:t xml:space="preserve"> jornadas de capacitación y actividades de difusión con los</w:t>
      </w:r>
      <w:r w:rsidR="00E35339" w:rsidRPr="00643DCF">
        <w:rPr>
          <w:rFonts w:ascii="Times New Roman" w:hAnsi="Times New Roman"/>
          <w:sz w:val="28"/>
          <w:szCs w:val="28"/>
        </w:rPr>
        <w:t xml:space="preserve"> funcionarios de la Rama Judicial que desempeñan sus labores en los municipios apartados y zonas dispersas del país</w:t>
      </w:r>
      <w:r w:rsidR="00AB1094" w:rsidRPr="00643DCF">
        <w:rPr>
          <w:rFonts w:ascii="Times New Roman" w:hAnsi="Times New Roman"/>
          <w:sz w:val="28"/>
          <w:szCs w:val="28"/>
        </w:rPr>
        <w:t>,</w:t>
      </w:r>
      <w:r w:rsidR="00E35339" w:rsidRPr="00643DCF">
        <w:rPr>
          <w:rFonts w:ascii="Times New Roman" w:hAnsi="Times New Roman"/>
          <w:sz w:val="28"/>
          <w:szCs w:val="28"/>
        </w:rPr>
        <w:t xml:space="preserve"> en las </w:t>
      </w:r>
      <w:r w:rsidR="00E35339" w:rsidRPr="000F5773">
        <w:rPr>
          <w:rFonts w:ascii="Times New Roman" w:hAnsi="Times New Roman"/>
          <w:sz w:val="28"/>
          <w:szCs w:val="28"/>
        </w:rPr>
        <w:t>cuales se interponen el mayor número de accione</w:t>
      </w:r>
      <w:r w:rsidR="009E3E43" w:rsidRPr="000F5773">
        <w:rPr>
          <w:rFonts w:ascii="Times New Roman" w:hAnsi="Times New Roman"/>
          <w:sz w:val="28"/>
          <w:szCs w:val="28"/>
        </w:rPr>
        <w:t>s de tutela en materia de salud</w:t>
      </w:r>
      <w:r w:rsidR="00353F82" w:rsidRPr="000F5773">
        <w:rPr>
          <w:rFonts w:ascii="Times New Roman" w:hAnsi="Times New Roman"/>
          <w:sz w:val="28"/>
          <w:szCs w:val="28"/>
        </w:rPr>
        <w:t>; sin que ello implique dejar de capacitar a los jueces, magistrados y funcionarios de las principales c</w:t>
      </w:r>
      <w:r w:rsidR="00322682" w:rsidRPr="000F5773">
        <w:rPr>
          <w:rFonts w:ascii="Times New Roman" w:hAnsi="Times New Roman"/>
          <w:sz w:val="28"/>
          <w:szCs w:val="28"/>
        </w:rPr>
        <w:t xml:space="preserve">iudades </w:t>
      </w:r>
      <w:r w:rsidR="00353F82" w:rsidRPr="000F5773">
        <w:rPr>
          <w:rFonts w:ascii="Times New Roman" w:hAnsi="Times New Roman"/>
          <w:sz w:val="28"/>
          <w:szCs w:val="28"/>
        </w:rPr>
        <w:t>del país.</w:t>
      </w:r>
    </w:p>
    <w:p w14:paraId="54DA768C" w14:textId="77777777" w:rsidR="00E35339" w:rsidRPr="00643DCF" w:rsidRDefault="00E35339" w:rsidP="009E3E43">
      <w:pPr>
        <w:pStyle w:val="Sinespaciado3"/>
        <w:tabs>
          <w:tab w:val="left" w:pos="0"/>
          <w:tab w:val="left" w:pos="567"/>
        </w:tabs>
        <w:ind w:left="567"/>
        <w:jc w:val="both"/>
        <w:rPr>
          <w:rFonts w:ascii="Times New Roman" w:hAnsi="Times New Roman"/>
          <w:sz w:val="28"/>
          <w:szCs w:val="28"/>
        </w:rPr>
      </w:pPr>
    </w:p>
    <w:p w14:paraId="3E460D65" w14:textId="66950D1B" w:rsidR="00322682" w:rsidRPr="000F5773" w:rsidRDefault="002440DF" w:rsidP="00322682">
      <w:pPr>
        <w:pStyle w:val="Sinespaciado3"/>
        <w:numPr>
          <w:ilvl w:val="0"/>
          <w:numId w:val="46"/>
        </w:numPr>
        <w:tabs>
          <w:tab w:val="left" w:pos="0"/>
          <w:tab w:val="left" w:pos="567"/>
        </w:tabs>
        <w:ind w:left="567"/>
        <w:jc w:val="both"/>
        <w:rPr>
          <w:rFonts w:ascii="Times New Roman" w:hAnsi="Times New Roman"/>
          <w:sz w:val="28"/>
          <w:szCs w:val="28"/>
        </w:rPr>
      </w:pPr>
      <w:r w:rsidRPr="000F5773">
        <w:rPr>
          <w:rFonts w:ascii="Times New Roman" w:hAnsi="Times New Roman"/>
          <w:sz w:val="28"/>
          <w:szCs w:val="28"/>
          <w:lang w:val="es-ES"/>
        </w:rPr>
        <w:t>Incluya</w:t>
      </w:r>
      <w:r w:rsidR="00E35339" w:rsidRPr="000F5773">
        <w:rPr>
          <w:rFonts w:ascii="Times New Roman" w:hAnsi="Times New Roman"/>
          <w:sz w:val="28"/>
          <w:szCs w:val="28"/>
          <w:lang w:val="es-ES"/>
        </w:rPr>
        <w:t xml:space="preserve"> en los programas de formación judicial el estado actual de las órdenes generales</w:t>
      </w:r>
      <w:r w:rsidR="00E35339" w:rsidRPr="00643DCF">
        <w:rPr>
          <w:rFonts w:ascii="Times New Roman" w:hAnsi="Times New Roman"/>
          <w:sz w:val="28"/>
          <w:szCs w:val="28"/>
          <w:lang w:val="es-ES"/>
        </w:rPr>
        <w:t xml:space="preserve"> de la sentencia T-760 de 2008, la jurisprudencia</w:t>
      </w:r>
      <w:r w:rsidR="00AB1094" w:rsidRPr="00643DCF">
        <w:rPr>
          <w:rFonts w:ascii="Times New Roman" w:hAnsi="Times New Roman"/>
          <w:sz w:val="28"/>
          <w:szCs w:val="28"/>
          <w:lang w:val="es-ES"/>
        </w:rPr>
        <w:t xml:space="preserve"> emitida por esta Corporación en relación a los problemas </w:t>
      </w:r>
      <w:r w:rsidR="00E35339" w:rsidRPr="00643DCF">
        <w:rPr>
          <w:rFonts w:ascii="Times New Roman" w:hAnsi="Times New Roman"/>
          <w:sz w:val="28"/>
          <w:szCs w:val="28"/>
          <w:lang w:val="es-ES"/>
        </w:rPr>
        <w:t>analizados en el fallo estructural</w:t>
      </w:r>
      <w:r w:rsidR="00AB1094" w:rsidRPr="00643DCF">
        <w:rPr>
          <w:rFonts w:ascii="Times New Roman" w:hAnsi="Times New Roman"/>
          <w:sz w:val="28"/>
          <w:szCs w:val="28"/>
          <w:lang w:val="es-ES"/>
        </w:rPr>
        <w:t xml:space="preserve">, </w:t>
      </w:r>
      <w:r w:rsidR="00E35339" w:rsidRPr="00643DCF">
        <w:rPr>
          <w:rFonts w:ascii="Times New Roman" w:hAnsi="Times New Roman"/>
          <w:sz w:val="28"/>
          <w:szCs w:val="28"/>
          <w:lang w:val="es-ES"/>
        </w:rPr>
        <w:t>así como</w:t>
      </w:r>
      <w:r w:rsidR="00AB1094" w:rsidRPr="00643DCF">
        <w:rPr>
          <w:rFonts w:ascii="Times New Roman" w:hAnsi="Times New Roman"/>
          <w:sz w:val="28"/>
          <w:szCs w:val="28"/>
          <w:lang w:val="es-ES"/>
        </w:rPr>
        <w:t xml:space="preserve"> </w:t>
      </w:r>
      <w:r w:rsidR="00E35339" w:rsidRPr="00643DCF">
        <w:rPr>
          <w:rFonts w:ascii="Times New Roman" w:hAnsi="Times New Roman"/>
          <w:sz w:val="28"/>
          <w:szCs w:val="28"/>
        </w:rPr>
        <w:t>la normatividad vigente</w:t>
      </w:r>
      <w:r w:rsidR="00322682" w:rsidRPr="000F5773">
        <w:rPr>
          <w:rFonts w:ascii="Times New Roman" w:hAnsi="Times New Roman"/>
          <w:sz w:val="28"/>
          <w:szCs w:val="28"/>
          <w:lang w:val="es-ES"/>
        </w:rPr>
        <w:t xml:space="preserve">; </w:t>
      </w:r>
      <w:r w:rsidR="00322682" w:rsidRPr="000F5773">
        <w:rPr>
          <w:rFonts w:ascii="Times New Roman" w:hAnsi="Times New Roman"/>
          <w:sz w:val="28"/>
          <w:szCs w:val="28"/>
        </w:rPr>
        <w:t>la cual deberá ser sintética y de fácil comprensión, con el fin de que se facilite su estudio y análisis por parte de los operadores judiciales</w:t>
      </w:r>
      <w:r w:rsidR="00322682" w:rsidRPr="000F5773">
        <w:rPr>
          <w:rFonts w:ascii="Times New Roman" w:hAnsi="Times New Roman"/>
          <w:sz w:val="28"/>
          <w:szCs w:val="28"/>
          <w:lang w:val="es-ES"/>
        </w:rPr>
        <w:t>.</w:t>
      </w:r>
    </w:p>
    <w:p w14:paraId="7079D895" w14:textId="77777777" w:rsidR="00E35339" w:rsidRPr="00643DCF" w:rsidRDefault="00E35339" w:rsidP="00E35339">
      <w:pPr>
        <w:pStyle w:val="Sinespaciado3"/>
        <w:tabs>
          <w:tab w:val="left" w:pos="0"/>
          <w:tab w:val="left" w:pos="51"/>
          <w:tab w:val="left" w:pos="426"/>
        </w:tabs>
        <w:ind w:left="720"/>
        <w:jc w:val="both"/>
        <w:rPr>
          <w:sz w:val="28"/>
          <w:szCs w:val="28"/>
        </w:rPr>
      </w:pPr>
    </w:p>
    <w:p w14:paraId="0D76BDB9" w14:textId="238CDE14" w:rsidR="00E35339" w:rsidRPr="00F30D1B" w:rsidRDefault="002440DF" w:rsidP="00322682">
      <w:pPr>
        <w:pStyle w:val="Sinespaciado3"/>
        <w:numPr>
          <w:ilvl w:val="0"/>
          <w:numId w:val="46"/>
        </w:numPr>
        <w:tabs>
          <w:tab w:val="left" w:pos="0"/>
          <w:tab w:val="left" w:pos="567"/>
        </w:tabs>
        <w:ind w:left="567"/>
        <w:jc w:val="both"/>
        <w:rPr>
          <w:rFonts w:ascii="Times New Roman" w:hAnsi="Times New Roman"/>
          <w:sz w:val="28"/>
          <w:szCs w:val="28"/>
        </w:rPr>
      </w:pPr>
      <w:r w:rsidRPr="00643DCF">
        <w:rPr>
          <w:rFonts w:ascii="Times New Roman" w:hAnsi="Times New Roman"/>
          <w:sz w:val="28"/>
          <w:szCs w:val="28"/>
        </w:rPr>
        <w:t>Elabore</w:t>
      </w:r>
      <w:r w:rsidR="00E35339" w:rsidRPr="00643DCF">
        <w:rPr>
          <w:rFonts w:ascii="Times New Roman" w:hAnsi="Times New Roman"/>
          <w:sz w:val="28"/>
          <w:szCs w:val="28"/>
        </w:rPr>
        <w:t xml:space="preserve"> y </w:t>
      </w:r>
      <w:r w:rsidRPr="00643DCF">
        <w:rPr>
          <w:rFonts w:ascii="Times New Roman" w:hAnsi="Times New Roman"/>
          <w:sz w:val="28"/>
          <w:szCs w:val="28"/>
        </w:rPr>
        <w:t>entregue</w:t>
      </w:r>
      <w:r w:rsidR="00E35339" w:rsidRPr="00643DCF">
        <w:rPr>
          <w:rFonts w:ascii="Times New Roman" w:hAnsi="Times New Roman"/>
          <w:sz w:val="28"/>
          <w:szCs w:val="28"/>
        </w:rPr>
        <w:t xml:space="preserve"> un informe de medición que permita establecer el número de jueces y magistrados que han sido capacitados desde el momento en que se profirió la </w:t>
      </w:r>
      <w:r w:rsidR="00AB1094" w:rsidRPr="00643DCF">
        <w:rPr>
          <w:rFonts w:ascii="Times New Roman" w:hAnsi="Times New Roman"/>
          <w:sz w:val="28"/>
          <w:szCs w:val="28"/>
        </w:rPr>
        <w:t xml:space="preserve">directriz </w:t>
      </w:r>
      <w:r w:rsidR="00E35339" w:rsidRPr="00643DCF">
        <w:rPr>
          <w:rFonts w:ascii="Times New Roman" w:hAnsi="Times New Roman"/>
          <w:sz w:val="28"/>
          <w:szCs w:val="28"/>
        </w:rPr>
        <w:t xml:space="preserve">trigésima segunda, así </w:t>
      </w:r>
      <w:r w:rsidR="00E35339" w:rsidRPr="00F30D1B">
        <w:rPr>
          <w:rFonts w:ascii="Times New Roman" w:hAnsi="Times New Roman"/>
          <w:sz w:val="28"/>
          <w:szCs w:val="28"/>
        </w:rPr>
        <w:t xml:space="preserve">como los que desarrollen las órdenes concretas </w:t>
      </w:r>
      <w:r w:rsidR="002A33C1" w:rsidRPr="00F30D1B">
        <w:rPr>
          <w:rFonts w:ascii="Times New Roman" w:hAnsi="Times New Roman"/>
          <w:sz w:val="28"/>
          <w:szCs w:val="28"/>
        </w:rPr>
        <w:t>impartidas en el presente auto en el que se incluyan las metas de personas a capacitar que pretendan cumplirse.</w:t>
      </w:r>
    </w:p>
    <w:p w14:paraId="1F5923C6" w14:textId="77777777" w:rsidR="00E35339" w:rsidRPr="00F30D1B" w:rsidRDefault="00E35339" w:rsidP="00AB1094">
      <w:pPr>
        <w:pStyle w:val="Sinespaciado3"/>
        <w:tabs>
          <w:tab w:val="left" w:pos="0"/>
          <w:tab w:val="left" w:pos="567"/>
        </w:tabs>
        <w:ind w:left="567"/>
        <w:jc w:val="both"/>
        <w:rPr>
          <w:rFonts w:ascii="Times New Roman" w:hAnsi="Times New Roman"/>
          <w:sz w:val="28"/>
          <w:szCs w:val="28"/>
        </w:rPr>
      </w:pPr>
    </w:p>
    <w:p w14:paraId="39BE13EF" w14:textId="4D2F9561" w:rsidR="00E35339" w:rsidRPr="00643DCF" w:rsidRDefault="00E35339" w:rsidP="00322682">
      <w:pPr>
        <w:pStyle w:val="Sinespaciado3"/>
        <w:numPr>
          <w:ilvl w:val="0"/>
          <w:numId w:val="46"/>
        </w:numPr>
        <w:tabs>
          <w:tab w:val="left" w:pos="0"/>
          <w:tab w:val="left" w:pos="567"/>
        </w:tabs>
        <w:ind w:left="567"/>
        <w:jc w:val="both"/>
        <w:rPr>
          <w:rFonts w:ascii="Times New Roman" w:hAnsi="Times New Roman"/>
          <w:sz w:val="28"/>
          <w:szCs w:val="28"/>
        </w:rPr>
      </w:pPr>
      <w:r w:rsidRPr="00F30D1B">
        <w:rPr>
          <w:rFonts w:ascii="Times New Roman" w:hAnsi="Times New Roman"/>
          <w:sz w:val="28"/>
          <w:szCs w:val="28"/>
        </w:rPr>
        <w:t>P</w:t>
      </w:r>
      <w:r w:rsidR="002440DF" w:rsidRPr="00F30D1B">
        <w:rPr>
          <w:rFonts w:ascii="Times New Roman" w:hAnsi="Times New Roman"/>
          <w:sz w:val="28"/>
          <w:szCs w:val="28"/>
        </w:rPr>
        <w:t>resente</w:t>
      </w:r>
      <w:r w:rsidR="00CF5617" w:rsidRPr="00F30D1B">
        <w:rPr>
          <w:rFonts w:ascii="Times New Roman" w:hAnsi="Times New Roman"/>
          <w:sz w:val="28"/>
          <w:szCs w:val="28"/>
        </w:rPr>
        <w:t xml:space="preserve"> en el término de </w:t>
      </w:r>
      <w:r w:rsidR="002D3462" w:rsidRPr="00F30D1B">
        <w:rPr>
          <w:rFonts w:ascii="Times New Roman" w:hAnsi="Times New Roman"/>
          <w:sz w:val="28"/>
          <w:szCs w:val="28"/>
        </w:rPr>
        <w:t>45</w:t>
      </w:r>
      <w:r w:rsidRPr="00F30D1B">
        <w:rPr>
          <w:rFonts w:ascii="Times New Roman" w:hAnsi="Times New Roman"/>
          <w:sz w:val="28"/>
          <w:szCs w:val="28"/>
        </w:rPr>
        <w:t xml:space="preserve"> días</w:t>
      </w:r>
      <w:r w:rsidR="002D3462" w:rsidRPr="00F30D1B">
        <w:rPr>
          <w:rFonts w:ascii="Times New Roman" w:hAnsi="Times New Roman"/>
          <w:sz w:val="28"/>
          <w:szCs w:val="28"/>
        </w:rPr>
        <w:t xml:space="preserve"> calendario</w:t>
      </w:r>
      <w:r w:rsidRPr="00F30D1B">
        <w:rPr>
          <w:rFonts w:ascii="Times New Roman" w:hAnsi="Times New Roman"/>
          <w:sz w:val="28"/>
          <w:szCs w:val="28"/>
        </w:rPr>
        <w:t xml:space="preserve">, contados a partir de la notificación del auto, </w:t>
      </w:r>
      <w:r w:rsidR="00AB1094" w:rsidRPr="00F30D1B">
        <w:rPr>
          <w:rFonts w:ascii="Times New Roman" w:hAnsi="Times New Roman"/>
          <w:sz w:val="28"/>
          <w:szCs w:val="28"/>
        </w:rPr>
        <w:t xml:space="preserve">el </w:t>
      </w:r>
      <w:r w:rsidRPr="00F30D1B">
        <w:rPr>
          <w:rFonts w:ascii="Times New Roman" w:hAnsi="Times New Roman"/>
          <w:sz w:val="28"/>
          <w:szCs w:val="28"/>
        </w:rPr>
        <w:t xml:space="preserve">cronograma de trabajo </w:t>
      </w:r>
      <w:r w:rsidR="00AB1094" w:rsidRPr="00F30D1B">
        <w:rPr>
          <w:rFonts w:ascii="Times New Roman" w:hAnsi="Times New Roman"/>
          <w:sz w:val="28"/>
          <w:szCs w:val="28"/>
        </w:rPr>
        <w:t xml:space="preserve">para </w:t>
      </w:r>
      <w:r w:rsidRPr="00F30D1B">
        <w:rPr>
          <w:rFonts w:ascii="Times New Roman" w:hAnsi="Times New Roman"/>
          <w:sz w:val="28"/>
          <w:szCs w:val="28"/>
        </w:rPr>
        <w:t>el 2019</w:t>
      </w:r>
      <w:r w:rsidRPr="00643DCF">
        <w:rPr>
          <w:rFonts w:ascii="Times New Roman" w:hAnsi="Times New Roman"/>
          <w:sz w:val="28"/>
          <w:szCs w:val="28"/>
        </w:rPr>
        <w:t xml:space="preserve">, que contenga las actividades que va a realizar dentro del cumplimiento de la orden treinta y dos incluyendo las </w:t>
      </w:r>
      <w:r w:rsidR="00101229" w:rsidRPr="00643DCF">
        <w:rPr>
          <w:rFonts w:ascii="Times New Roman" w:hAnsi="Times New Roman"/>
          <w:sz w:val="28"/>
          <w:szCs w:val="28"/>
        </w:rPr>
        <w:t xml:space="preserve">que </w:t>
      </w:r>
      <w:r w:rsidR="00AB1094" w:rsidRPr="00643DCF">
        <w:rPr>
          <w:rFonts w:ascii="Times New Roman" w:hAnsi="Times New Roman"/>
          <w:sz w:val="28"/>
          <w:szCs w:val="28"/>
        </w:rPr>
        <w:t xml:space="preserve">se desarrollarán </w:t>
      </w:r>
      <w:r w:rsidRPr="00643DCF">
        <w:rPr>
          <w:rFonts w:ascii="Times New Roman" w:hAnsi="Times New Roman"/>
          <w:sz w:val="28"/>
          <w:szCs w:val="28"/>
        </w:rPr>
        <w:t>en virtud de lo ordenado en el presente proveído.</w:t>
      </w:r>
      <w:r w:rsidRPr="00643DCF">
        <w:rPr>
          <w:rFonts w:ascii="Times New Roman" w:hAnsi="Times New Roman"/>
          <w:sz w:val="28"/>
          <w:szCs w:val="28"/>
          <w:lang w:val="es-ES"/>
        </w:rPr>
        <w:t xml:space="preserve"> A partir del 2020 deberá presentar el plan de trabajo anual, a más tardar el 30 de enero</w:t>
      </w:r>
      <w:r w:rsidR="003E41BE" w:rsidRPr="00643DCF">
        <w:rPr>
          <w:rFonts w:ascii="Times New Roman" w:hAnsi="Times New Roman"/>
          <w:sz w:val="28"/>
          <w:szCs w:val="28"/>
          <w:lang w:val="es-ES"/>
        </w:rPr>
        <w:t xml:space="preserve"> de cada anualidad</w:t>
      </w:r>
      <w:r w:rsidRPr="00643DCF">
        <w:rPr>
          <w:rFonts w:ascii="Times New Roman" w:hAnsi="Times New Roman"/>
          <w:sz w:val="28"/>
          <w:szCs w:val="28"/>
          <w:lang w:val="es-ES"/>
        </w:rPr>
        <w:t>.</w:t>
      </w:r>
    </w:p>
    <w:p w14:paraId="14C76AEB" w14:textId="77777777" w:rsidR="008631EC" w:rsidRPr="00643DCF" w:rsidRDefault="008631EC" w:rsidP="008631EC">
      <w:pPr>
        <w:pStyle w:val="Prrafodelista"/>
        <w:rPr>
          <w:sz w:val="28"/>
          <w:szCs w:val="28"/>
        </w:rPr>
      </w:pPr>
    </w:p>
    <w:p w14:paraId="3BB2B7C3" w14:textId="3D4FC1C5" w:rsidR="00E268E1" w:rsidRPr="00F30D1B" w:rsidRDefault="00E268E1" w:rsidP="00322682">
      <w:pPr>
        <w:pStyle w:val="Sinespaciado3"/>
        <w:numPr>
          <w:ilvl w:val="0"/>
          <w:numId w:val="46"/>
        </w:numPr>
        <w:tabs>
          <w:tab w:val="left" w:pos="0"/>
          <w:tab w:val="left" w:pos="567"/>
        </w:tabs>
        <w:ind w:left="567"/>
        <w:jc w:val="both"/>
        <w:rPr>
          <w:rFonts w:ascii="Times New Roman" w:hAnsi="Times New Roman"/>
          <w:sz w:val="28"/>
          <w:szCs w:val="28"/>
        </w:rPr>
      </w:pPr>
      <w:r w:rsidRPr="00F30D1B">
        <w:rPr>
          <w:rFonts w:ascii="Times New Roman" w:hAnsi="Times New Roman"/>
          <w:sz w:val="28"/>
          <w:szCs w:val="28"/>
        </w:rPr>
        <w:t>Implement</w:t>
      </w:r>
      <w:r w:rsidR="002F6691" w:rsidRPr="00F30D1B">
        <w:rPr>
          <w:rFonts w:ascii="Times New Roman" w:hAnsi="Times New Roman"/>
          <w:sz w:val="28"/>
          <w:szCs w:val="28"/>
        </w:rPr>
        <w:t>e</w:t>
      </w:r>
      <w:r w:rsidRPr="00F30D1B">
        <w:rPr>
          <w:rFonts w:ascii="Times New Roman" w:hAnsi="Times New Roman"/>
          <w:sz w:val="28"/>
          <w:szCs w:val="28"/>
        </w:rPr>
        <w:t xml:space="preserve"> </w:t>
      </w:r>
      <w:r w:rsidR="002F6691" w:rsidRPr="00F30D1B">
        <w:rPr>
          <w:rFonts w:ascii="Times New Roman" w:hAnsi="Times New Roman"/>
          <w:sz w:val="28"/>
          <w:szCs w:val="28"/>
        </w:rPr>
        <w:t>las</w:t>
      </w:r>
      <w:r w:rsidRPr="00F30D1B">
        <w:rPr>
          <w:rFonts w:ascii="Times New Roman" w:hAnsi="Times New Roman"/>
          <w:sz w:val="28"/>
          <w:szCs w:val="28"/>
        </w:rPr>
        <w:t xml:space="preserve"> medidas </w:t>
      </w:r>
      <w:r w:rsidR="002F6691" w:rsidRPr="00F30D1B">
        <w:rPr>
          <w:rFonts w:ascii="Times New Roman" w:hAnsi="Times New Roman"/>
          <w:sz w:val="28"/>
          <w:szCs w:val="28"/>
        </w:rPr>
        <w:t>necesarias p</w:t>
      </w:r>
      <w:r w:rsidRPr="00F30D1B">
        <w:rPr>
          <w:rFonts w:ascii="Times New Roman" w:hAnsi="Times New Roman"/>
          <w:sz w:val="28"/>
          <w:szCs w:val="28"/>
        </w:rPr>
        <w:t xml:space="preserve">ara que la población en general y en particular los grupos más vulnerables, accedan a la información relacionada con la sentencia T-760 de 2008, </w:t>
      </w:r>
      <w:r w:rsidR="00322682" w:rsidRPr="00F30D1B">
        <w:rPr>
          <w:rFonts w:ascii="Times New Roman" w:hAnsi="Times New Roman"/>
          <w:sz w:val="28"/>
          <w:szCs w:val="28"/>
        </w:rPr>
        <w:t xml:space="preserve">los autos de seguimiento y el derecho fundamental a la salud, </w:t>
      </w:r>
      <w:r w:rsidRPr="00F30D1B">
        <w:rPr>
          <w:rFonts w:ascii="Times New Roman" w:hAnsi="Times New Roman"/>
          <w:sz w:val="28"/>
          <w:szCs w:val="28"/>
        </w:rPr>
        <w:t>la cual deberá ser transmitida en un lenguaje comprensible, libre de tecnicismos propios del área jurídica o de la salud, y que tendrán que brindar resultados medibles en cuanto al impacto que generen.</w:t>
      </w:r>
    </w:p>
    <w:p w14:paraId="7DDD4882" w14:textId="77777777" w:rsidR="00864777" w:rsidRPr="00643DCF" w:rsidRDefault="00864777" w:rsidP="00820F25">
      <w:pPr>
        <w:pStyle w:val="Sinespaciado3"/>
        <w:tabs>
          <w:tab w:val="left" w:pos="0"/>
          <w:tab w:val="left" w:pos="426"/>
          <w:tab w:val="left" w:pos="2865"/>
        </w:tabs>
        <w:jc w:val="both"/>
        <w:rPr>
          <w:rFonts w:ascii="Times New Roman" w:hAnsi="Times New Roman"/>
          <w:sz w:val="28"/>
          <w:szCs w:val="28"/>
        </w:rPr>
      </w:pPr>
    </w:p>
    <w:p w14:paraId="4FE9F274" w14:textId="70F5BDF7" w:rsidR="00DF4D85" w:rsidRPr="00643DCF" w:rsidRDefault="002D5F31" w:rsidP="001D5713">
      <w:pPr>
        <w:tabs>
          <w:tab w:val="left" w:pos="142"/>
          <w:tab w:val="left" w:pos="567"/>
          <w:tab w:val="left" w:pos="851"/>
          <w:tab w:val="left" w:pos="1276"/>
        </w:tabs>
        <w:jc w:val="both"/>
        <w:rPr>
          <w:sz w:val="28"/>
          <w:szCs w:val="28"/>
        </w:rPr>
      </w:pPr>
      <w:r w:rsidRPr="00643DCF">
        <w:rPr>
          <w:b/>
          <w:sz w:val="28"/>
          <w:szCs w:val="28"/>
        </w:rPr>
        <w:t>Tercero.</w:t>
      </w:r>
      <w:r w:rsidR="006759B7" w:rsidRPr="00643DCF">
        <w:rPr>
          <w:b/>
          <w:sz w:val="28"/>
          <w:szCs w:val="28"/>
          <w:lang w:val="es-ES"/>
        </w:rPr>
        <w:t xml:space="preserve"> </w:t>
      </w:r>
      <w:r w:rsidR="00085E3D" w:rsidRPr="00643DCF">
        <w:rPr>
          <w:b/>
          <w:sz w:val="28"/>
          <w:szCs w:val="28"/>
        </w:rPr>
        <w:t>REQUERIR</w:t>
      </w:r>
      <w:r w:rsidR="00085E3D" w:rsidRPr="00643DCF" w:rsidDel="00085E3D">
        <w:rPr>
          <w:b/>
          <w:sz w:val="28"/>
          <w:szCs w:val="28"/>
        </w:rPr>
        <w:t xml:space="preserve"> </w:t>
      </w:r>
      <w:r w:rsidR="007A12DC" w:rsidRPr="00643DCF">
        <w:rPr>
          <w:sz w:val="28"/>
          <w:szCs w:val="28"/>
        </w:rPr>
        <w:t>al</w:t>
      </w:r>
      <w:r w:rsidR="00950696" w:rsidRPr="00643DCF">
        <w:rPr>
          <w:sz w:val="28"/>
          <w:szCs w:val="28"/>
        </w:rPr>
        <w:t xml:space="preserve"> Consejo Superior de la Judicatura </w:t>
      </w:r>
      <w:r w:rsidR="00085E3D" w:rsidRPr="00643DCF">
        <w:rPr>
          <w:sz w:val="28"/>
          <w:szCs w:val="28"/>
        </w:rPr>
        <w:t xml:space="preserve">para que continúe dando cumplimiento a lo ordenado en los </w:t>
      </w:r>
      <w:r w:rsidR="00BE3A75" w:rsidRPr="00643DCF">
        <w:rPr>
          <w:sz w:val="28"/>
          <w:szCs w:val="28"/>
        </w:rPr>
        <w:t>a</w:t>
      </w:r>
      <w:r w:rsidR="00085E3D" w:rsidRPr="00643DCF">
        <w:rPr>
          <w:sz w:val="28"/>
          <w:szCs w:val="28"/>
        </w:rPr>
        <w:t xml:space="preserve">utos 144 de 2011 y 154 de 2014, de conformidad con lo establecido en el </w:t>
      </w:r>
      <w:r w:rsidR="00101229" w:rsidRPr="00643DCF">
        <w:rPr>
          <w:sz w:val="28"/>
          <w:szCs w:val="28"/>
        </w:rPr>
        <w:t xml:space="preserve">acápite 103 </w:t>
      </w:r>
      <w:r w:rsidR="00085E3D" w:rsidRPr="00643DCF">
        <w:rPr>
          <w:sz w:val="28"/>
          <w:szCs w:val="28"/>
        </w:rPr>
        <w:t xml:space="preserve">de la parte considerativa de esta providencia. </w:t>
      </w:r>
    </w:p>
    <w:p w14:paraId="1AC69ADF" w14:textId="77777777" w:rsidR="00950696" w:rsidRPr="00643DCF" w:rsidRDefault="00950696" w:rsidP="006759B7">
      <w:pPr>
        <w:tabs>
          <w:tab w:val="left" w:pos="142"/>
          <w:tab w:val="left" w:pos="567"/>
          <w:tab w:val="left" w:pos="851"/>
          <w:tab w:val="left" w:pos="1276"/>
        </w:tabs>
        <w:jc w:val="both"/>
        <w:rPr>
          <w:b/>
          <w:sz w:val="28"/>
          <w:szCs w:val="28"/>
          <w:lang w:val="es-ES"/>
        </w:rPr>
      </w:pPr>
    </w:p>
    <w:p w14:paraId="0ED6CE64" w14:textId="7B4ADF7B" w:rsidR="00D07B28" w:rsidRPr="00643DCF" w:rsidRDefault="00950696" w:rsidP="00085E3D">
      <w:pPr>
        <w:jc w:val="both"/>
        <w:rPr>
          <w:sz w:val="28"/>
          <w:szCs w:val="28"/>
          <w:lang w:val="es-ES"/>
        </w:rPr>
      </w:pPr>
      <w:r w:rsidRPr="00643DCF">
        <w:rPr>
          <w:b/>
          <w:sz w:val="28"/>
          <w:szCs w:val="28"/>
          <w:lang w:val="es-ES"/>
        </w:rPr>
        <w:t xml:space="preserve">Cuarto. </w:t>
      </w:r>
      <w:r w:rsidR="00D07B28" w:rsidRPr="00643DCF">
        <w:rPr>
          <w:b/>
          <w:sz w:val="28"/>
          <w:szCs w:val="28"/>
          <w:lang w:val="es-ES"/>
        </w:rPr>
        <w:t xml:space="preserve">PONER </w:t>
      </w:r>
      <w:r w:rsidR="009B71FE" w:rsidRPr="00643DCF">
        <w:rPr>
          <w:sz w:val="28"/>
          <w:szCs w:val="28"/>
          <w:lang w:val="es-ES"/>
        </w:rPr>
        <w:t>de presente que la obligación contenida en el mandato trigésimo segundo debe ser desarrollada hasta tanto no se dé cumplimiento efectivo a las demás órdenes generales impartidas en</w:t>
      </w:r>
      <w:r w:rsidR="00BA1581" w:rsidRPr="00643DCF">
        <w:rPr>
          <w:sz w:val="28"/>
          <w:szCs w:val="28"/>
          <w:lang w:val="es-ES"/>
        </w:rPr>
        <w:t xml:space="preserve"> la sentencia T-760 de 2008.</w:t>
      </w:r>
    </w:p>
    <w:p w14:paraId="10F5DBF8" w14:textId="77777777" w:rsidR="00D07B28" w:rsidRPr="00643DCF" w:rsidRDefault="00D07B28" w:rsidP="00085E3D">
      <w:pPr>
        <w:jc w:val="both"/>
        <w:rPr>
          <w:sz w:val="28"/>
          <w:szCs w:val="28"/>
          <w:lang w:val="es-ES"/>
        </w:rPr>
      </w:pPr>
    </w:p>
    <w:p w14:paraId="2723B378" w14:textId="4C5127D6" w:rsidR="00085E3D" w:rsidRPr="00643DCF" w:rsidRDefault="00D07B28" w:rsidP="00085E3D">
      <w:pPr>
        <w:jc w:val="both"/>
        <w:rPr>
          <w:sz w:val="28"/>
          <w:szCs w:val="28"/>
          <w:lang w:val="es-ES"/>
        </w:rPr>
      </w:pPr>
      <w:r w:rsidRPr="00643DCF">
        <w:rPr>
          <w:b/>
          <w:sz w:val="28"/>
          <w:szCs w:val="28"/>
        </w:rPr>
        <w:t xml:space="preserve">Quinto. </w:t>
      </w:r>
      <w:r w:rsidR="006A4BD7" w:rsidRPr="00643DCF">
        <w:rPr>
          <w:b/>
          <w:sz w:val="28"/>
          <w:szCs w:val="28"/>
          <w:lang w:val="es-ES"/>
        </w:rPr>
        <w:t>AMPLIAR</w:t>
      </w:r>
      <w:r w:rsidR="00085E3D" w:rsidRPr="00643DCF">
        <w:rPr>
          <w:b/>
          <w:sz w:val="28"/>
          <w:szCs w:val="28"/>
          <w:lang w:val="es-ES"/>
        </w:rPr>
        <w:t xml:space="preserve"> </w:t>
      </w:r>
      <w:r w:rsidR="00085E3D" w:rsidRPr="00643DCF">
        <w:rPr>
          <w:sz w:val="28"/>
          <w:szCs w:val="28"/>
          <w:lang w:val="es-ES"/>
        </w:rPr>
        <w:t xml:space="preserve">a seis meses (6) el </w:t>
      </w:r>
      <w:r w:rsidR="009B71FE" w:rsidRPr="00643DCF">
        <w:rPr>
          <w:sz w:val="28"/>
          <w:szCs w:val="28"/>
          <w:lang w:val="es-ES"/>
        </w:rPr>
        <w:t>periodo</w:t>
      </w:r>
      <w:r w:rsidR="00085E3D" w:rsidRPr="00643DCF">
        <w:rPr>
          <w:sz w:val="28"/>
          <w:szCs w:val="28"/>
          <w:lang w:val="es-ES"/>
        </w:rPr>
        <w:t xml:space="preserve"> de presentación del informe ordenado en el </w:t>
      </w:r>
      <w:r w:rsidR="00BE3A75" w:rsidRPr="00643DCF">
        <w:rPr>
          <w:sz w:val="28"/>
          <w:szCs w:val="28"/>
          <w:lang w:val="es-ES"/>
        </w:rPr>
        <w:t>a</w:t>
      </w:r>
      <w:r w:rsidR="00085E3D" w:rsidRPr="00643DCF">
        <w:rPr>
          <w:sz w:val="28"/>
          <w:szCs w:val="28"/>
          <w:lang w:val="es-ES"/>
        </w:rPr>
        <w:t xml:space="preserve">uto 271 de 2014, de conformidad con lo expuesto en el numeral </w:t>
      </w:r>
      <w:r w:rsidR="009B71FE" w:rsidRPr="00643DCF">
        <w:rPr>
          <w:sz w:val="28"/>
          <w:szCs w:val="28"/>
          <w:lang w:val="es-ES"/>
        </w:rPr>
        <w:t>83</w:t>
      </w:r>
      <w:r w:rsidR="00085E3D" w:rsidRPr="00643DCF">
        <w:rPr>
          <w:sz w:val="28"/>
          <w:szCs w:val="28"/>
          <w:lang w:val="es-ES"/>
        </w:rPr>
        <w:t xml:space="preserve"> de las consideraciones. </w:t>
      </w:r>
    </w:p>
    <w:p w14:paraId="55FCC841" w14:textId="77777777" w:rsidR="00950696" w:rsidRPr="00643DCF" w:rsidRDefault="00950696" w:rsidP="00B34FD6">
      <w:pPr>
        <w:jc w:val="both"/>
        <w:rPr>
          <w:b/>
          <w:sz w:val="28"/>
          <w:szCs w:val="28"/>
          <w:lang w:val="es-ES"/>
        </w:rPr>
      </w:pPr>
    </w:p>
    <w:p w14:paraId="16E1DF98" w14:textId="6B7E344F" w:rsidR="00085E3D" w:rsidRPr="00643DCF" w:rsidRDefault="00D07B28" w:rsidP="00085E3D">
      <w:pPr>
        <w:jc w:val="both"/>
        <w:rPr>
          <w:b/>
          <w:sz w:val="28"/>
          <w:szCs w:val="28"/>
          <w:lang w:val="es-ES"/>
        </w:rPr>
      </w:pPr>
      <w:r w:rsidRPr="00643DCF">
        <w:rPr>
          <w:b/>
          <w:sz w:val="28"/>
          <w:szCs w:val="28"/>
        </w:rPr>
        <w:t>Sexto</w:t>
      </w:r>
      <w:r w:rsidR="00161327" w:rsidRPr="00643DCF">
        <w:rPr>
          <w:b/>
          <w:sz w:val="28"/>
          <w:szCs w:val="28"/>
        </w:rPr>
        <w:t>.</w:t>
      </w:r>
      <w:r w:rsidR="00085E3D" w:rsidRPr="00643DCF">
        <w:rPr>
          <w:sz w:val="28"/>
          <w:szCs w:val="28"/>
        </w:rPr>
        <w:t xml:space="preserve"> </w:t>
      </w:r>
      <w:r w:rsidR="00085E3D" w:rsidRPr="00643DCF">
        <w:rPr>
          <w:sz w:val="28"/>
          <w:szCs w:val="28"/>
          <w:lang w:val="es-ES"/>
        </w:rPr>
        <w:t xml:space="preserve">Proceda la Secretaría General de esta Corporación a </w:t>
      </w:r>
      <w:r w:rsidR="00085E3D" w:rsidRPr="00643DCF">
        <w:rPr>
          <w:sz w:val="28"/>
          <w:szCs w:val="28"/>
        </w:rPr>
        <w:t>librar las comunicaciones correspondientes, acompañando copia integral de este proveído.</w:t>
      </w:r>
    </w:p>
    <w:p w14:paraId="54415DFC" w14:textId="20B7E6B8" w:rsidR="00224D91" w:rsidRPr="00643DCF" w:rsidRDefault="00224D91" w:rsidP="00820F25">
      <w:pPr>
        <w:tabs>
          <w:tab w:val="left" w:pos="567"/>
        </w:tabs>
        <w:jc w:val="both"/>
        <w:rPr>
          <w:sz w:val="28"/>
          <w:szCs w:val="28"/>
        </w:rPr>
      </w:pPr>
    </w:p>
    <w:p w14:paraId="6ABF5E84" w14:textId="7EE474E2" w:rsidR="00224D91" w:rsidRPr="00643DCF" w:rsidRDefault="00224D91" w:rsidP="00224D91">
      <w:pPr>
        <w:autoSpaceDE w:val="0"/>
        <w:autoSpaceDN w:val="0"/>
        <w:jc w:val="both"/>
        <w:rPr>
          <w:sz w:val="28"/>
          <w:szCs w:val="28"/>
          <w:lang w:val="es-ES"/>
        </w:rPr>
      </w:pPr>
      <w:r w:rsidRPr="00643DCF">
        <w:rPr>
          <w:sz w:val="28"/>
          <w:szCs w:val="28"/>
        </w:rPr>
        <w:t xml:space="preserve">Notifíquese, </w:t>
      </w:r>
      <w:r w:rsidR="00ED22AB" w:rsidRPr="00643DCF">
        <w:rPr>
          <w:sz w:val="28"/>
          <w:szCs w:val="28"/>
        </w:rPr>
        <w:t xml:space="preserve">comuníquese </w:t>
      </w:r>
      <w:r w:rsidRPr="00643DCF">
        <w:rPr>
          <w:sz w:val="28"/>
          <w:szCs w:val="28"/>
        </w:rPr>
        <w:t>y cúmplase.</w:t>
      </w:r>
    </w:p>
    <w:p w14:paraId="4A99E337" w14:textId="77777777" w:rsidR="00224D91" w:rsidRPr="00643DCF" w:rsidRDefault="00224D91" w:rsidP="00224D91">
      <w:pPr>
        <w:pStyle w:val="Sinespaciado2"/>
        <w:jc w:val="center"/>
        <w:rPr>
          <w:rFonts w:ascii="Times New Roman" w:hAnsi="Times New Roman" w:cs="Times New Roman"/>
          <w:sz w:val="28"/>
          <w:szCs w:val="28"/>
          <w:lang w:val="es-ES"/>
        </w:rPr>
      </w:pPr>
    </w:p>
    <w:p w14:paraId="1ADD2CA9" w14:textId="77777777" w:rsidR="006A4BD7" w:rsidRDefault="006A4BD7" w:rsidP="00224D91">
      <w:pPr>
        <w:jc w:val="center"/>
        <w:rPr>
          <w:b/>
          <w:sz w:val="28"/>
          <w:szCs w:val="28"/>
        </w:rPr>
      </w:pPr>
    </w:p>
    <w:p w14:paraId="4F489BD4" w14:textId="77777777" w:rsidR="00405EFD" w:rsidRPr="00643DCF" w:rsidRDefault="00405EFD" w:rsidP="00224D91">
      <w:pPr>
        <w:jc w:val="center"/>
        <w:rPr>
          <w:b/>
          <w:sz w:val="28"/>
          <w:szCs w:val="28"/>
        </w:rPr>
      </w:pPr>
    </w:p>
    <w:p w14:paraId="0492C16C" w14:textId="4C49FDBA" w:rsidR="00832689" w:rsidRPr="00643DCF" w:rsidRDefault="00832689" w:rsidP="00224D91">
      <w:pPr>
        <w:jc w:val="center"/>
        <w:rPr>
          <w:b/>
          <w:sz w:val="28"/>
          <w:szCs w:val="28"/>
        </w:rPr>
      </w:pPr>
    </w:p>
    <w:p w14:paraId="067DEF5B" w14:textId="77777777" w:rsidR="00477238" w:rsidRPr="00643DCF" w:rsidRDefault="00477238" w:rsidP="00477238">
      <w:pPr>
        <w:jc w:val="center"/>
        <w:rPr>
          <w:b/>
          <w:sz w:val="28"/>
          <w:szCs w:val="28"/>
        </w:rPr>
      </w:pPr>
      <w:r w:rsidRPr="00643DCF">
        <w:rPr>
          <w:b/>
          <w:sz w:val="28"/>
          <w:szCs w:val="28"/>
        </w:rPr>
        <w:t>JOSÉ FERNANDO REYES CUARTAS</w:t>
      </w:r>
    </w:p>
    <w:p w14:paraId="285436CC" w14:textId="6CE5B7C5" w:rsidR="00477238" w:rsidRPr="00643DCF" w:rsidRDefault="00477238" w:rsidP="00477238">
      <w:pPr>
        <w:jc w:val="center"/>
        <w:rPr>
          <w:b/>
          <w:sz w:val="28"/>
          <w:szCs w:val="28"/>
        </w:rPr>
      </w:pPr>
      <w:r w:rsidRPr="00643DCF">
        <w:rPr>
          <w:b/>
          <w:sz w:val="28"/>
          <w:szCs w:val="28"/>
        </w:rPr>
        <w:t>Magistrado</w:t>
      </w:r>
      <w:r w:rsidR="00ED22AB" w:rsidRPr="00643DCF">
        <w:rPr>
          <w:b/>
          <w:sz w:val="28"/>
          <w:szCs w:val="28"/>
        </w:rPr>
        <w:t xml:space="preserve"> Ponente</w:t>
      </w:r>
      <w:r w:rsidRPr="00643DCF">
        <w:rPr>
          <w:b/>
          <w:sz w:val="28"/>
          <w:szCs w:val="28"/>
        </w:rPr>
        <w:t xml:space="preserve"> </w:t>
      </w:r>
    </w:p>
    <w:p w14:paraId="41C7078D" w14:textId="77777777" w:rsidR="00477238" w:rsidRPr="00643DCF" w:rsidRDefault="00477238" w:rsidP="00477238">
      <w:pPr>
        <w:jc w:val="center"/>
        <w:rPr>
          <w:b/>
          <w:sz w:val="28"/>
          <w:szCs w:val="28"/>
        </w:rPr>
      </w:pPr>
    </w:p>
    <w:p w14:paraId="4FF3872A" w14:textId="77777777" w:rsidR="00477238" w:rsidRPr="00643DCF" w:rsidRDefault="00477238" w:rsidP="00477238">
      <w:pPr>
        <w:jc w:val="center"/>
        <w:rPr>
          <w:b/>
          <w:sz w:val="28"/>
          <w:szCs w:val="28"/>
        </w:rPr>
      </w:pPr>
    </w:p>
    <w:p w14:paraId="4D0912A8" w14:textId="77777777" w:rsidR="009329FA" w:rsidRPr="00643DCF" w:rsidRDefault="009329FA" w:rsidP="00477238">
      <w:pPr>
        <w:jc w:val="center"/>
        <w:rPr>
          <w:b/>
          <w:sz w:val="28"/>
          <w:szCs w:val="28"/>
        </w:rPr>
      </w:pPr>
    </w:p>
    <w:p w14:paraId="4C953EDB" w14:textId="77777777" w:rsidR="00477238" w:rsidRPr="00643DCF" w:rsidRDefault="00477238" w:rsidP="00477238">
      <w:pPr>
        <w:jc w:val="center"/>
        <w:rPr>
          <w:b/>
          <w:sz w:val="28"/>
          <w:szCs w:val="28"/>
        </w:rPr>
      </w:pPr>
      <w:r w:rsidRPr="00643DCF">
        <w:rPr>
          <w:b/>
          <w:snapToGrid w:val="0"/>
          <w:sz w:val="28"/>
          <w:szCs w:val="28"/>
        </w:rPr>
        <w:t>ALEJANDRO LINARES CANTILLO</w:t>
      </w:r>
    </w:p>
    <w:p w14:paraId="14994748" w14:textId="77777777" w:rsidR="00477238" w:rsidRPr="00643DCF" w:rsidRDefault="00477238" w:rsidP="00477238">
      <w:pPr>
        <w:jc w:val="center"/>
        <w:rPr>
          <w:b/>
          <w:sz w:val="28"/>
          <w:szCs w:val="28"/>
        </w:rPr>
      </w:pPr>
      <w:r w:rsidRPr="00643DCF">
        <w:rPr>
          <w:b/>
          <w:sz w:val="28"/>
          <w:szCs w:val="28"/>
        </w:rPr>
        <w:t>Magistrado</w:t>
      </w:r>
    </w:p>
    <w:p w14:paraId="575041F6" w14:textId="77777777" w:rsidR="00477238" w:rsidRPr="00643DCF" w:rsidRDefault="00477238" w:rsidP="00477238">
      <w:pPr>
        <w:jc w:val="center"/>
        <w:rPr>
          <w:b/>
          <w:sz w:val="28"/>
          <w:szCs w:val="28"/>
        </w:rPr>
      </w:pPr>
    </w:p>
    <w:p w14:paraId="2DE05DCD" w14:textId="77777777" w:rsidR="00477238" w:rsidRPr="00643DCF" w:rsidRDefault="00477238" w:rsidP="00477238">
      <w:pPr>
        <w:jc w:val="center"/>
        <w:rPr>
          <w:b/>
          <w:sz w:val="28"/>
          <w:szCs w:val="28"/>
        </w:rPr>
      </w:pPr>
    </w:p>
    <w:p w14:paraId="701D8315" w14:textId="77777777" w:rsidR="009329FA" w:rsidRPr="00643DCF" w:rsidRDefault="009329FA" w:rsidP="00477238">
      <w:pPr>
        <w:jc w:val="center"/>
        <w:rPr>
          <w:b/>
          <w:sz w:val="28"/>
          <w:szCs w:val="28"/>
        </w:rPr>
      </w:pPr>
    </w:p>
    <w:p w14:paraId="137B54B9" w14:textId="77777777" w:rsidR="00477238" w:rsidRPr="00643DCF" w:rsidRDefault="00477238" w:rsidP="00477238">
      <w:pPr>
        <w:jc w:val="center"/>
        <w:rPr>
          <w:b/>
          <w:sz w:val="28"/>
          <w:szCs w:val="28"/>
        </w:rPr>
      </w:pPr>
      <w:r w:rsidRPr="00643DCF">
        <w:rPr>
          <w:b/>
          <w:sz w:val="28"/>
          <w:szCs w:val="28"/>
        </w:rPr>
        <w:t xml:space="preserve">ANTONIO JÓSE LIZARAZO OCAMPO </w:t>
      </w:r>
    </w:p>
    <w:p w14:paraId="7D6DE91D" w14:textId="77777777" w:rsidR="00477238" w:rsidRPr="00643DCF" w:rsidRDefault="00477238" w:rsidP="00477238">
      <w:pPr>
        <w:jc w:val="center"/>
        <w:rPr>
          <w:b/>
          <w:sz w:val="28"/>
          <w:szCs w:val="28"/>
        </w:rPr>
      </w:pPr>
      <w:r w:rsidRPr="00643DCF">
        <w:rPr>
          <w:b/>
          <w:sz w:val="28"/>
          <w:szCs w:val="28"/>
        </w:rPr>
        <w:t>Magistrado</w:t>
      </w:r>
    </w:p>
    <w:p w14:paraId="77A0F264" w14:textId="77777777" w:rsidR="00477238" w:rsidRPr="00643DCF" w:rsidRDefault="00477238" w:rsidP="00477238">
      <w:pPr>
        <w:jc w:val="center"/>
        <w:rPr>
          <w:b/>
          <w:sz w:val="28"/>
          <w:szCs w:val="28"/>
        </w:rPr>
      </w:pPr>
    </w:p>
    <w:p w14:paraId="69208822" w14:textId="77777777" w:rsidR="00477238" w:rsidRPr="00643DCF" w:rsidRDefault="00477238" w:rsidP="00477238">
      <w:pPr>
        <w:jc w:val="center"/>
        <w:rPr>
          <w:b/>
          <w:sz w:val="28"/>
          <w:szCs w:val="28"/>
        </w:rPr>
      </w:pPr>
    </w:p>
    <w:p w14:paraId="373AA47B" w14:textId="77777777" w:rsidR="009329FA" w:rsidRPr="00643DCF" w:rsidRDefault="009329FA" w:rsidP="00477238">
      <w:pPr>
        <w:jc w:val="center"/>
        <w:rPr>
          <w:b/>
          <w:sz w:val="28"/>
          <w:szCs w:val="28"/>
        </w:rPr>
      </w:pPr>
    </w:p>
    <w:p w14:paraId="20137F82" w14:textId="77777777" w:rsidR="00477238" w:rsidRPr="00643DCF" w:rsidRDefault="00477238" w:rsidP="00477238">
      <w:pPr>
        <w:jc w:val="center"/>
        <w:rPr>
          <w:b/>
          <w:sz w:val="28"/>
          <w:szCs w:val="28"/>
        </w:rPr>
      </w:pPr>
      <w:r w:rsidRPr="00643DCF">
        <w:rPr>
          <w:b/>
          <w:sz w:val="28"/>
          <w:szCs w:val="28"/>
        </w:rPr>
        <w:t xml:space="preserve">MARTHA VICTORIA SÁCHICA </w:t>
      </w:r>
    </w:p>
    <w:p w14:paraId="270F5B12" w14:textId="77777777" w:rsidR="00477238" w:rsidRPr="00643DCF" w:rsidRDefault="00477238" w:rsidP="00477238">
      <w:pPr>
        <w:jc w:val="center"/>
        <w:rPr>
          <w:b/>
          <w:sz w:val="28"/>
          <w:szCs w:val="28"/>
        </w:rPr>
      </w:pPr>
      <w:r w:rsidRPr="00643DCF">
        <w:rPr>
          <w:b/>
          <w:sz w:val="28"/>
          <w:szCs w:val="28"/>
        </w:rPr>
        <w:t xml:space="preserve">Secretaria General  </w:t>
      </w:r>
    </w:p>
    <w:p w14:paraId="4A685C5B" w14:textId="77777777" w:rsidR="00ED00A1" w:rsidRPr="00643DCF" w:rsidRDefault="00ED00A1" w:rsidP="00451D6B">
      <w:pPr>
        <w:jc w:val="center"/>
        <w:rPr>
          <w:b/>
          <w:sz w:val="28"/>
          <w:szCs w:val="28"/>
        </w:rPr>
      </w:pPr>
    </w:p>
    <w:p w14:paraId="398B052A" w14:textId="77777777" w:rsidR="00451D6B" w:rsidRPr="00643DCF" w:rsidRDefault="00451D6B">
      <w:pPr>
        <w:jc w:val="center"/>
        <w:rPr>
          <w:sz w:val="28"/>
          <w:szCs w:val="28"/>
        </w:rPr>
      </w:pPr>
    </w:p>
    <w:sectPr w:rsidR="00451D6B" w:rsidRPr="00643DCF" w:rsidSect="00690965">
      <w:headerReference w:type="even" r:id="rId19"/>
      <w:headerReference w:type="default" r:id="rId20"/>
      <w:footerReference w:type="even" r:id="rId21"/>
      <w:footerReference w:type="default" r:id="rId22"/>
      <w:pgSz w:w="12242" w:h="18722" w:code="14"/>
      <w:pgMar w:top="1701" w:right="1418"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DF2BA4" w14:textId="77777777" w:rsidR="00964461" w:rsidRDefault="00964461" w:rsidP="00690965">
      <w:r>
        <w:separator/>
      </w:r>
    </w:p>
  </w:endnote>
  <w:endnote w:type="continuationSeparator" w:id="0">
    <w:p w14:paraId="6EE3AAA4" w14:textId="77777777" w:rsidR="00964461" w:rsidRDefault="00964461" w:rsidP="006909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5F3D18" w14:textId="77777777" w:rsidR="004A604F" w:rsidRDefault="004A604F" w:rsidP="0069096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4B7C42C" w14:textId="77777777" w:rsidR="004A604F" w:rsidRDefault="004A604F" w:rsidP="0069096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668413"/>
      <w:docPartObj>
        <w:docPartGallery w:val="Page Numbers (Bottom of Page)"/>
        <w:docPartUnique/>
      </w:docPartObj>
    </w:sdtPr>
    <w:sdtEndPr/>
    <w:sdtContent>
      <w:p w14:paraId="57F65CBB" w14:textId="77777777" w:rsidR="004A604F" w:rsidRDefault="004A604F">
        <w:pPr>
          <w:pStyle w:val="Piedepgina"/>
          <w:jc w:val="right"/>
        </w:pPr>
        <w:r>
          <w:fldChar w:fldCharType="begin"/>
        </w:r>
        <w:r>
          <w:instrText>PAGE   \* MERGEFORMAT</w:instrText>
        </w:r>
        <w:r>
          <w:fldChar w:fldCharType="separate"/>
        </w:r>
        <w:r w:rsidR="00E744D7" w:rsidRPr="00E744D7">
          <w:rPr>
            <w:noProof/>
            <w:lang w:val="es-ES"/>
          </w:rPr>
          <w:t>25</w:t>
        </w:r>
        <w:r>
          <w:fldChar w:fldCharType="end"/>
        </w:r>
      </w:p>
    </w:sdtContent>
  </w:sdt>
  <w:p w14:paraId="3400352F" w14:textId="77777777" w:rsidR="004A604F" w:rsidRDefault="004A604F" w:rsidP="00690965">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A1949B" w14:textId="77777777" w:rsidR="00964461" w:rsidRDefault="00964461" w:rsidP="00690965">
      <w:r>
        <w:separator/>
      </w:r>
    </w:p>
  </w:footnote>
  <w:footnote w:type="continuationSeparator" w:id="0">
    <w:p w14:paraId="48EC3030" w14:textId="77777777" w:rsidR="00964461" w:rsidRDefault="00964461" w:rsidP="00690965">
      <w:r>
        <w:continuationSeparator/>
      </w:r>
    </w:p>
  </w:footnote>
  <w:footnote w:id="1">
    <w:p w14:paraId="620BE9B9" w14:textId="77777777" w:rsidR="004A604F" w:rsidRPr="00561BD4" w:rsidRDefault="004A604F" w:rsidP="00561BD4">
      <w:pPr>
        <w:pStyle w:val="Textonotapie"/>
        <w:jc w:val="both"/>
      </w:pPr>
      <w:r w:rsidRPr="00561BD4">
        <w:rPr>
          <w:rStyle w:val="Refdenotaalpie"/>
        </w:rPr>
        <w:footnoteRef/>
      </w:r>
      <w:r w:rsidRPr="00561BD4">
        <w:t xml:space="preserve"> AZ Orden XXII-A, folio 2.</w:t>
      </w:r>
    </w:p>
  </w:footnote>
  <w:footnote w:id="2">
    <w:p w14:paraId="0FD59BF8" w14:textId="700CCAE7" w:rsidR="004A604F" w:rsidRDefault="004A604F" w:rsidP="00FD38ED">
      <w:pPr>
        <w:pStyle w:val="Textonotapie"/>
        <w:jc w:val="both"/>
      </w:pPr>
      <w:r>
        <w:rPr>
          <w:rStyle w:val="Refdenotaalpie"/>
        </w:rPr>
        <w:footnoteRef/>
      </w:r>
      <w:r>
        <w:t xml:space="preserve"> </w:t>
      </w:r>
      <w:r>
        <w:rPr>
          <w:lang w:val="es-419"/>
        </w:rPr>
        <w:t xml:space="preserve">En adelante CSJ o el Consejo. </w:t>
      </w:r>
    </w:p>
  </w:footnote>
  <w:footnote w:id="3">
    <w:p w14:paraId="6BEBADC4" w14:textId="63B3E000" w:rsidR="004A604F" w:rsidRPr="00561BD4" w:rsidRDefault="004A604F" w:rsidP="00561BD4">
      <w:pPr>
        <w:pStyle w:val="Textonotapie"/>
        <w:jc w:val="both"/>
      </w:pPr>
      <w:r w:rsidRPr="00561BD4">
        <w:rPr>
          <w:rStyle w:val="Refdenotaalpie"/>
        </w:rPr>
        <w:footnoteRef/>
      </w:r>
      <w:r w:rsidRPr="00561BD4">
        <w:t xml:space="preserve"> Como consecuencia, precisó que</w:t>
      </w:r>
      <w:r w:rsidRPr="00561BD4">
        <w:rPr>
          <w:i/>
        </w:rPr>
        <w:t xml:space="preserve"> </w:t>
      </w:r>
      <w:r w:rsidRPr="00561BD4">
        <w:t>“</w:t>
      </w:r>
      <w:r w:rsidRPr="00561BD4">
        <w:rPr>
          <w:i/>
        </w:rPr>
        <w:t>la labor de esa Corporación se extiende en el tiempo y cobija los autos de seguimiento y los informes que dan cumplimiento a cada una de las órdenes.</w:t>
      </w:r>
      <w:r>
        <w:t>” a</w:t>
      </w:r>
      <w:r w:rsidRPr="00561BD4">
        <w:t>uto</w:t>
      </w:r>
      <w:r>
        <w:t xml:space="preserve"> del 13 de julio de 2009. </w:t>
      </w:r>
    </w:p>
  </w:footnote>
  <w:footnote w:id="4">
    <w:p w14:paraId="4B7623A6" w14:textId="77777777" w:rsidR="004A604F" w:rsidRPr="00561BD4" w:rsidRDefault="004A604F" w:rsidP="00561BD4">
      <w:pPr>
        <w:pStyle w:val="Textonotapie"/>
        <w:jc w:val="both"/>
      </w:pPr>
      <w:r w:rsidRPr="00561BD4">
        <w:rPr>
          <w:rStyle w:val="Refdenotaalpie"/>
        </w:rPr>
        <w:footnoteRef/>
      </w:r>
      <w:r w:rsidRPr="00561BD4">
        <w:t xml:space="preserve"> </w:t>
      </w:r>
      <w:r w:rsidRPr="00561BD4">
        <w:rPr>
          <w:i/>
        </w:rPr>
        <w:t>Cfr</w:t>
      </w:r>
      <w:r w:rsidRPr="00561BD4">
        <w:t>. AZ Orden XXXII-A, folio 3.</w:t>
      </w:r>
    </w:p>
  </w:footnote>
  <w:footnote w:id="5">
    <w:p w14:paraId="4851821D" w14:textId="2E6E7E10" w:rsidR="004A604F" w:rsidRPr="00561BD4" w:rsidRDefault="004A604F" w:rsidP="00561BD4">
      <w:pPr>
        <w:pStyle w:val="Textonotapie"/>
        <w:jc w:val="both"/>
        <w:rPr>
          <w:lang w:val="es-ES"/>
        </w:rPr>
      </w:pPr>
      <w:r w:rsidRPr="00561BD4">
        <w:rPr>
          <w:rStyle w:val="Refdenotaalpie"/>
        </w:rPr>
        <w:footnoteRef/>
      </w:r>
      <w:r w:rsidRPr="00561BD4">
        <w:t xml:space="preserve"> </w:t>
      </w:r>
      <w:r w:rsidRPr="00561BD4">
        <w:rPr>
          <w:i/>
        </w:rPr>
        <w:t>Cfr</w:t>
      </w:r>
      <w:r w:rsidRPr="00561BD4">
        <w:t>. AZ Orden XXXII-A, folio 5.</w:t>
      </w:r>
    </w:p>
  </w:footnote>
  <w:footnote w:id="6">
    <w:p w14:paraId="140B4A37" w14:textId="57586963" w:rsidR="004A604F" w:rsidRPr="00561BD4" w:rsidRDefault="004A604F" w:rsidP="00561BD4">
      <w:pPr>
        <w:pStyle w:val="Textonotapie"/>
        <w:jc w:val="both"/>
        <w:rPr>
          <w:lang w:val="es-419"/>
        </w:rPr>
      </w:pPr>
      <w:r w:rsidRPr="00561BD4">
        <w:rPr>
          <w:rStyle w:val="Refdenotaalpie"/>
        </w:rPr>
        <w:footnoteRef/>
      </w:r>
      <w:r>
        <w:rPr>
          <w:lang w:val="es-419"/>
        </w:rPr>
        <w:t xml:space="preserve"> </w:t>
      </w:r>
      <w:r w:rsidRPr="00561BD4">
        <w:rPr>
          <w:lang w:val="es-419"/>
        </w:rPr>
        <w:t xml:space="preserve">En adelante Centro de Documentación o </w:t>
      </w:r>
      <w:r>
        <w:rPr>
          <w:lang w:val="es-419"/>
        </w:rPr>
        <w:t>Cendoj</w:t>
      </w:r>
      <w:r w:rsidRPr="00561BD4">
        <w:rPr>
          <w:lang w:val="es-419"/>
        </w:rPr>
        <w:t>.</w:t>
      </w:r>
    </w:p>
  </w:footnote>
  <w:footnote w:id="7">
    <w:p w14:paraId="102AD09D" w14:textId="3DE68539" w:rsidR="004A604F" w:rsidRPr="00561BD4" w:rsidRDefault="004A604F" w:rsidP="00561BD4">
      <w:pPr>
        <w:pStyle w:val="Textonotapie"/>
        <w:jc w:val="both"/>
        <w:rPr>
          <w:lang w:val="es-419"/>
        </w:rPr>
      </w:pPr>
      <w:r w:rsidRPr="00561BD4">
        <w:rPr>
          <w:rStyle w:val="Refdenotaalpie"/>
        </w:rPr>
        <w:footnoteRef/>
      </w:r>
      <w:r w:rsidRPr="00561BD4">
        <w:t xml:space="preserve"> </w:t>
      </w:r>
      <w:r w:rsidRPr="00561BD4">
        <w:rPr>
          <w:lang w:val="es-419"/>
        </w:rPr>
        <w:t xml:space="preserve">En adelante </w:t>
      </w:r>
      <w:r>
        <w:rPr>
          <w:lang w:val="es-419"/>
        </w:rPr>
        <w:t>Escuela judicial</w:t>
      </w:r>
      <w:r w:rsidRPr="00561BD4">
        <w:rPr>
          <w:lang w:val="es-419"/>
        </w:rPr>
        <w:t xml:space="preserve"> o EJRLB.</w:t>
      </w:r>
    </w:p>
  </w:footnote>
  <w:footnote w:id="8">
    <w:p w14:paraId="28B8CA8F" w14:textId="77777777" w:rsidR="004A604F" w:rsidRPr="00561BD4" w:rsidRDefault="004A604F" w:rsidP="00561BD4">
      <w:pPr>
        <w:pStyle w:val="Textonotapie"/>
        <w:jc w:val="both"/>
      </w:pPr>
      <w:r w:rsidRPr="00561BD4">
        <w:rPr>
          <w:rStyle w:val="Refdenotaalpie"/>
        </w:rPr>
        <w:footnoteRef/>
      </w:r>
      <w:r w:rsidRPr="00561BD4">
        <w:t xml:space="preserve"> </w:t>
      </w:r>
      <w:r w:rsidRPr="00561BD4">
        <w:rPr>
          <w:i/>
        </w:rPr>
        <w:t xml:space="preserve">Cfr. </w:t>
      </w:r>
      <w:r w:rsidRPr="00561BD4">
        <w:t>AZ Orden XXXII-A, folios 11-26.</w:t>
      </w:r>
    </w:p>
  </w:footnote>
  <w:footnote w:id="9">
    <w:p w14:paraId="543FA13F" w14:textId="77777777" w:rsidR="004A604F" w:rsidRPr="00561BD4" w:rsidRDefault="004A604F" w:rsidP="00561BD4">
      <w:pPr>
        <w:pStyle w:val="Textonotapie"/>
        <w:jc w:val="both"/>
      </w:pPr>
      <w:r w:rsidRPr="00561BD4">
        <w:rPr>
          <w:rStyle w:val="Refdenotaalpie"/>
        </w:rPr>
        <w:footnoteRef/>
      </w:r>
      <w:r w:rsidRPr="00561BD4">
        <w:t xml:space="preserve"> </w:t>
      </w:r>
      <w:r w:rsidRPr="00561BD4">
        <w:rPr>
          <w:i/>
        </w:rPr>
        <w:t>Cfr</w:t>
      </w:r>
      <w:r w:rsidRPr="00561BD4">
        <w:t>. AZ Orden XXXII-A, folio 27.</w:t>
      </w:r>
    </w:p>
  </w:footnote>
  <w:footnote w:id="10">
    <w:p w14:paraId="2819CACD" w14:textId="77777777" w:rsidR="004A604F" w:rsidRPr="00561BD4" w:rsidRDefault="004A604F" w:rsidP="00561BD4">
      <w:pPr>
        <w:pStyle w:val="Textonotapie"/>
        <w:jc w:val="both"/>
      </w:pPr>
      <w:r w:rsidRPr="00561BD4">
        <w:rPr>
          <w:rStyle w:val="Refdenotaalpie"/>
        </w:rPr>
        <w:footnoteRef/>
      </w:r>
      <w:r w:rsidRPr="00561BD4">
        <w:t xml:space="preserve"> </w:t>
      </w:r>
      <w:r w:rsidRPr="00561BD4">
        <w:rPr>
          <w:i/>
        </w:rPr>
        <w:t>Cfr</w:t>
      </w:r>
      <w:r w:rsidRPr="00561BD4">
        <w:t>. AZ Orden XXXII-A, folio 27 (reverso).</w:t>
      </w:r>
    </w:p>
  </w:footnote>
  <w:footnote w:id="11">
    <w:p w14:paraId="0085D6F2" w14:textId="77777777" w:rsidR="004A604F" w:rsidRPr="00561BD4" w:rsidRDefault="004A604F" w:rsidP="00561BD4">
      <w:pPr>
        <w:pStyle w:val="Textonotapie"/>
        <w:jc w:val="both"/>
      </w:pPr>
      <w:r w:rsidRPr="00561BD4">
        <w:rPr>
          <w:rStyle w:val="Refdenotaalpie"/>
        </w:rPr>
        <w:footnoteRef/>
      </w:r>
      <w:r w:rsidRPr="00561BD4">
        <w:t xml:space="preserve"> </w:t>
      </w:r>
      <w:r w:rsidRPr="00561BD4">
        <w:rPr>
          <w:i/>
        </w:rPr>
        <w:t xml:space="preserve">Cfr. </w:t>
      </w:r>
      <w:r w:rsidRPr="00561BD4">
        <w:t>AZ Orden XXXII-A, folio 29.</w:t>
      </w:r>
    </w:p>
  </w:footnote>
  <w:footnote w:id="12">
    <w:p w14:paraId="7993A6DF" w14:textId="110A7B2F" w:rsidR="004A604F" w:rsidRPr="00561BD4" w:rsidRDefault="004A604F" w:rsidP="00561BD4">
      <w:pPr>
        <w:pStyle w:val="Textonotapie"/>
        <w:jc w:val="both"/>
      </w:pPr>
      <w:r w:rsidRPr="00561BD4">
        <w:rPr>
          <w:rStyle w:val="Refdenotaalpie"/>
        </w:rPr>
        <w:footnoteRef/>
      </w:r>
      <w:r w:rsidRPr="00561BD4">
        <w:t xml:space="preserve"> “</w:t>
      </w:r>
      <w:r w:rsidRPr="00561BD4">
        <w:rPr>
          <w:i/>
        </w:rPr>
        <w:t>Por medio del cual se reglamenta la organización del servicio de apoyo pedagógico para la atención de los estudiantes con discapacidad y con capacidades o con talentos excepcionales en el marco de la educación inclusiva</w:t>
      </w:r>
      <w:r w:rsidRPr="00561BD4">
        <w:t>”.</w:t>
      </w:r>
    </w:p>
  </w:footnote>
  <w:footnote w:id="13">
    <w:p w14:paraId="2993A56F" w14:textId="77777777" w:rsidR="004A604F" w:rsidRPr="00561BD4" w:rsidRDefault="004A604F" w:rsidP="00561BD4">
      <w:pPr>
        <w:pStyle w:val="Textonotapie"/>
        <w:jc w:val="both"/>
      </w:pPr>
      <w:r w:rsidRPr="00561BD4">
        <w:rPr>
          <w:rStyle w:val="Refdenotaalpie"/>
        </w:rPr>
        <w:footnoteRef/>
      </w:r>
      <w:r w:rsidRPr="00561BD4">
        <w:t xml:space="preserve"> </w:t>
      </w:r>
      <w:r w:rsidRPr="00561BD4">
        <w:rPr>
          <w:i/>
        </w:rPr>
        <w:t xml:space="preserve">Cfr. </w:t>
      </w:r>
      <w:r w:rsidRPr="00561BD4">
        <w:t>AZ Orden XXXII-A, folio 31.</w:t>
      </w:r>
    </w:p>
  </w:footnote>
  <w:footnote w:id="14">
    <w:p w14:paraId="203E4A8D" w14:textId="77777777" w:rsidR="004A604F" w:rsidRPr="00561BD4" w:rsidRDefault="004A604F" w:rsidP="00561BD4">
      <w:pPr>
        <w:pStyle w:val="Textonotapie"/>
        <w:jc w:val="both"/>
      </w:pPr>
      <w:r w:rsidRPr="00561BD4">
        <w:rPr>
          <w:rStyle w:val="Refdenotaalpie"/>
        </w:rPr>
        <w:footnoteRef/>
      </w:r>
      <w:r w:rsidRPr="00561BD4">
        <w:t xml:space="preserve"> </w:t>
      </w:r>
      <w:r w:rsidRPr="00561BD4">
        <w:rPr>
          <w:i/>
        </w:rPr>
        <w:t xml:space="preserve">Cfr. </w:t>
      </w:r>
      <w:r w:rsidRPr="00561BD4">
        <w:t>AZ Orden XXXII-A, folio 36.</w:t>
      </w:r>
    </w:p>
  </w:footnote>
  <w:footnote w:id="15">
    <w:p w14:paraId="10BEBD2F" w14:textId="77777777" w:rsidR="004A604F" w:rsidRPr="00561BD4" w:rsidRDefault="004A604F" w:rsidP="00561BD4">
      <w:pPr>
        <w:pStyle w:val="Textonotapie"/>
        <w:jc w:val="both"/>
      </w:pPr>
      <w:r w:rsidRPr="00561BD4">
        <w:rPr>
          <w:rStyle w:val="Refdenotaalpie"/>
        </w:rPr>
        <w:footnoteRef/>
      </w:r>
      <w:r w:rsidRPr="00561BD4">
        <w:t xml:space="preserve"> </w:t>
      </w:r>
      <w:r w:rsidRPr="00561BD4">
        <w:rPr>
          <w:i/>
        </w:rPr>
        <w:t xml:space="preserve">Cfr. </w:t>
      </w:r>
      <w:r w:rsidRPr="00561BD4">
        <w:t>AZ Orden XXXII-A, folios 36-256.</w:t>
      </w:r>
    </w:p>
  </w:footnote>
  <w:footnote w:id="16">
    <w:p w14:paraId="006C6784" w14:textId="77777777" w:rsidR="004A604F" w:rsidRPr="00561BD4" w:rsidRDefault="004A604F" w:rsidP="00561BD4">
      <w:pPr>
        <w:pStyle w:val="Textonotapie"/>
        <w:jc w:val="both"/>
      </w:pPr>
      <w:r w:rsidRPr="00561BD4">
        <w:rPr>
          <w:rStyle w:val="Refdenotaalpie"/>
        </w:rPr>
        <w:footnoteRef/>
      </w:r>
      <w:r w:rsidRPr="00561BD4">
        <w:t xml:space="preserve"> </w:t>
      </w:r>
      <w:r w:rsidRPr="00561BD4">
        <w:rPr>
          <w:i/>
        </w:rPr>
        <w:t xml:space="preserve">Cfr. </w:t>
      </w:r>
      <w:r w:rsidRPr="00561BD4">
        <w:t>AZ Orden XXXII-A, folio 260.</w:t>
      </w:r>
    </w:p>
  </w:footnote>
  <w:footnote w:id="17">
    <w:p w14:paraId="2B4A43A0" w14:textId="0A75ECE0" w:rsidR="004A604F" w:rsidRPr="00561BD4" w:rsidRDefault="004A604F" w:rsidP="00561BD4">
      <w:pPr>
        <w:pStyle w:val="Textonotapie"/>
        <w:jc w:val="both"/>
      </w:pPr>
      <w:r w:rsidRPr="00561BD4">
        <w:rPr>
          <w:rStyle w:val="Refdenotaalpie"/>
        </w:rPr>
        <w:footnoteRef/>
      </w:r>
      <w:r w:rsidRPr="00561BD4">
        <w:t xml:space="preserve"> </w:t>
      </w:r>
      <w:r>
        <w:t>D</w:t>
      </w:r>
      <w:r w:rsidRPr="006E517C">
        <w:t>el 28 de septiembre de 2010</w:t>
      </w:r>
      <w:r>
        <w:t xml:space="preserve">. </w:t>
      </w:r>
      <w:r w:rsidRPr="006E517C">
        <w:rPr>
          <w:i/>
        </w:rPr>
        <w:t>Cfr</w:t>
      </w:r>
      <w:r w:rsidRPr="00561BD4">
        <w:rPr>
          <w:i/>
        </w:rPr>
        <w:t xml:space="preserve">. </w:t>
      </w:r>
      <w:r w:rsidRPr="00561BD4">
        <w:t>AZ Orden XXXII-A, folio 268.</w:t>
      </w:r>
    </w:p>
  </w:footnote>
  <w:footnote w:id="18">
    <w:p w14:paraId="0C9F63B4" w14:textId="227672F3" w:rsidR="004A604F" w:rsidRPr="00561BD4" w:rsidRDefault="004A604F" w:rsidP="00464A88">
      <w:pPr>
        <w:pStyle w:val="Textonotapie"/>
        <w:jc w:val="both"/>
        <w:rPr>
          <w:lang w:val="es-ES"/>
        </w:rPr>
      </w:pPr>
      <w:r w:rsidRPr="00561BD4">
        <w:rPr>
          <w:rStyle w:val="Refdenotaalpie"/>
        </w:rPr>
        <w:footnoteRef/>
      </w:r>
      <w:r w:rsidRPr="00561BD4">
        <w:t xml:space="preserve"> </w:t>
      </w:r>
      <w:r w:rsidRPr="00561BD4">
        <w:rPr>
          <w:lang w:val="es-ES"/>
        </w:rPr>
        <w:t xml:space="preserve">Corporación para </w:t>
      </w:r>
      <w:r>
        <w:rPr>
          <w:lang w:val="es-ES"/>
        </w:rPr>
        <w:t>E</w:t>
      </w:r>
      <w:r w:rsidRPr="00561BD4">
        <w:rPr>
          <w:lang w:val="es-ES"/>
        </w:rPr>
        <w:t xml:space="preserve">studios en la </w:t>
      </w:r>
      <w:r>
        <w:rPr>
          <w:lang w:val="es-ES"/>
        </w:rPr>
        <w:t>S</w:t>
      </w:r>
      <w:r w:rsidRPr="00561BD4">
        <w:rPr>
          <w:lang w:val="es-ES"/>
        </w:rPr>
        <w:t>alud</w:t>
      </w:r>
      <w:r>
        <w:rPr>
          <w:lang w:val="es-ES"/>
        </w:rPr>
        <w:t>.</w:t>
      </w:r>
    </w:p>
  </w:footnote>
  <w:footnote w:id="19">
    <w:p w14:paraId="7F74BEA2" w14:textId="77777777" w:rsidR="004A604F" w:rsidRPr="00561BD4" w:rsidRDefault="004A604F">
      <w:pPr>
        <w:pStyle w:val="Textonotapie"/>
        <w:jc w:val="both"/>
      </w:pPr>
      <w:r w:rsidRPr="00561BD4">
        <w:rPr>
          <w:rStyle w:val="Refdenotaalpie"/>
        </w:rPr>
        <w:footnoteRef/>
      </w:r>
      <w:r w:rsidRPr="00561BD4">
        <w:t xml:space="preserve"> </w:t>
      </w:r>
      <w:r w:rsidRPr="00561BD4">
        <w:rPr>
          <w:i/>
        </w:rPr>
        <w:t xml:space="preserve">Cfr. </w:t>
      </w:r>
      <w:r w:rsidRPr="00561BD4">
        <w:t>AZ 317A, folio 173.</w:t>
      </w:r>
    </w:p>
  </w:footnote>
  <w:footnote w:id="20">
    <w:p w14:paraId="3CC24CC1" w14:textId="77777777" w:rsidR="004A604F" w:rsidRPr="00561BD4" w:rsidRDefault="004A604F">
      <w:pPr>
        <w:pStyle w:val="Textonotapie"/>
        <w:jc w:val="both"/>
      </w:pPr>
      <w:r w:rsidRPr="00561BD4">
        <w:rPr>
          <w:rStyle w:val="Refdenotaalpie"/>
        </w:rPr>
        <w:footnoteRef/>
      </w:r>
      <w:r w:rsidRPr="00561BD4">
        <w:t xml:space="preserve"> </w:t>
      </w:r>
      <w:r w:rsidRPr="00561BD4">
        <w:rPr>
          <w:i/>
        </w:rPr>
        <w:t xml:space="preserve">Cfr. </w:t>
      </w:r>
      <w:r w:rsidRPr="00561BD4">
        <w:t>AZ 317A, folio 307.</w:t>
      </w:r>
    </w:p>
  </w:footnote>
  <w:footnote w:id="21">
    <w:p w14:paraId="0507645B" w14:textId="77777777" w:rsidR="004A604F" w:rsidRPr="00561BD4" w:rsidRDefault="004A604F">
      <w:pPr>
        <w:pStyle w:val="Textonotapie"/>
        <w:jc w:val="both"/>
      </w:pPr>
      <w:r w:rsidRPr="00561BD4">
        <w:rPr>
          <w:rStyle w:val="Refdenotaalpie"/>
        </w:rPr>
        <w:footnoteRef/>
      </w:r>
      <w:r w:rsidRPr="00561BD4">
        <w:t xml:space="preserve"> </w:t>
      </w:r>
      <w:r w:rsidRPr="00561BD4">
        <w:rPr>
          <w:i/>
        </w:rPr>
        <w:t xml:space="preserve">Cfr. </w:t>
      </w:r>
      <w:r w:rsidRPr="00561BD4">
        <w:t>AZ 317A, folio 311.</w:t>
      </w:r>
    </w:p>
  </w:footnote>
  <w:footnote w:id="22">
    <w:p w14:paraId="07A19B2E" w14:textId="77777777" w:rsidR="004A604F" w:rsidRPr="00561BD4" w:rsidRDefault="004A604F">
      <w:pPr>
        <w:pStyle w:val="Textonotapie"/>
        <w:jc w:val="both"/>
      </w:pPr>
      <w:r w:rsidRPr="00561BD4">
        <w:rPr>
          <w:rStyle w:val="Refdenotaalpie"/>
        </w:rPr>
        <w:footnoteRef/>
      </w:r>
      <w:r w:rsidRPr="00561BD4">
        <w:t xml:space="preserve"> </w:t>
      </w:r>
      <w:r w:rsidRPr="00561BD4">
        <w:rPr>
          <w:i/>
        </w:rPr>
        <w:t xml:space="preserve">Cfr. </w:t>
      </w:r>
      <w:r w:rsidRPr="00561BD4">
        <w:t>AZ 317A, folio 417.</w:t>
      </w:r>
    </w:p>
  </w:footnote>
  <w:footnote w:id="23">
    <w:p w14:paraId="5994EBD9" w14:textId="2CCFC19E" w:rsidR="004A604F" w:rsidRPr="00DD5F0A" w:rsidRDefault="004A604F">
      <w:pPr>
        <w:pStyle w:val="Textonotapie"/>
        <w:rPr>
          <w:lang w:val="es-ES"/>
        </w:rPr>
      </w:pPr>
      <w:r w:rsidRPr="00DD5F0A">
        <w:rPr>
          <w:rStyle w:val="Refdenotaalpie"/>
        </w:rPr>
        <w:footnoteRef/>
      </w:r>
      <w:r w:rsidRPr="00DD5F0A">
        <w:t xml:space="preserve"> </w:t>
      </w:r>
      <w:r w:rsidRPr="00DD5F0A">
        <w:rPr>
          <w:bCs/>
          <w:shd w:val="clear" w:color="auto" w:fill="FFFFFF"/>
        </w:rPr>
        <w:t>Asociación Colombiana de Empresas de Medicina Integral</w:t>
      </w:r>
      <w:r>
        <w:rPr>
          <w:bCs/>
          <w:shd w:val="clear" w:color="auto" w:fill="FFFFFF"/>
        </w:rPr>
        <w:t>.</w:t>
      </w:r>
      <w:r w:rsidRPr="00DD5F0A">
        <w:rPr>
          <w:shd w:val="clear" w:color="auto" w:fill="FFFFFF"/>
        </w:rPr>
        <w:t> </w:t>
      </w:r>
    </w:p>
  </w:footnote>
  <w:footnote w:id="24">
    <w:p w14:paraId="5DCAD5F4" w14:textId="77777777" w:rsidR="004A604F" w:rsidRPr="00561BD4" w:rsidRDefault="004A604F">
      <w:pPr>
        <w:pStyle w:val="Textonotapie"/>
        <w:jc w:val="both"/>
      </w:pPr>
      <w:r w:rsidRPr="00561BD4">
        <w:rPr>
          <w:rStyle w:val="Refdenotaalpie"/>
        </w:rPr>
        <w:footnoteRef/>
      </w:r>
      <w:r w:rsidRPr="00561BD4">
        <w:t xml:space="preserve"> </w:t>
      </w:r>
      <w:r w:rsidRPr="00561BD4">
        <w:rPr>
          <w:i/>
        </w:rPr>
        <w:t xml:space="preserve">Cfr. </w:t>
      </w:r>
      <w:r w:rsidRPr="00561BD4">
        <w:t>AZ 317A, folio 369.</w:t>
      </w:r>
    </w:p>
  </w:footnote>
  <w:footnote w:id="25">
    <w:p w14:paraId="497ECBDB" w14:textId="77777777" w:rsidR="004A604F" w:rsidRPr="00561BD4" w:rsidRDefault="004A604F">
      <w:pPr>
        <w:pStyle w:val="Textonotapie"/>
        <w:jc w:val="both"/>
      </w:pPr>
      <w:r w:rsidRPr="00561BD4">
        <w:rPr>
          <w:rStyle w:val="Refdenotaalpie"/>
        </w:rPr>
        <w:footnoteRef/>
      </w:r>
      <w:r w:rsidRPr="00561BD4">
        <w:t xml:space="preserve"> </w:t>
      </w:r>
      <w:r w:rsidRPr="00561BD4">
        <w:rPr>
          <w:i/>
        </w:rPr>
        <w:t xml:space="preserve">Cfr. </w:t>
      </w:r>
      <w:r w:rsidRPr="00561BD4">
        <w:t>AZ 317A, folio 469.</w:t>
      </w:r>
    </w:p>
  </w:footnote>
  <w:footnote w:id="26">
    <w:p w14:paraId="0C3D4B90" w14:textId="6D120F8D" w:rsidR="004A604F" w:rsidRPr="00561BD4" w:rsidRDefault="004A604F">
      <w:pPr>
        <w:pStyle w:val="Textonotapie"/>
        <w:jc w:val="both"/>
      </w:pPr>
      <w:r w:rsidRPr="00561BD4">
        <w:rPr>
          <w:rStyle w:val="Refdenotaalpie"/>
        </w:rPr>
        <w:footnoteRef/>
      </w:r>
      <w:r w:rsidRPr="00561BD4">
        <w:t xml:space="preserve"> </w:t>
      </w:r>
      <w:r w:rsidRPr="00561BD4">
        <w:rPr>
          <w:i/>
        </w:rPr>
        <w:t xml:space="preserve">Cfr. </w:t>
      </w:r>
      <w:r w:rsidRPr="00561BD4">
        <w:t>AZ Orden XXXII-A, folio 272- 280.</w:t>
      </w:r>
    </w:p>
    <w:p w14:paraId="5C68C281" w14:textId="5F82FA6F" w:rsidR="004A604F" w:rsidRPr="00561BD4" w:rsidRDefault="004A604F" w:rsidP="00464A88">
      <w:pPr>
        <w:pStyle w:val="Textonotapie"/>
        <w:jc w:val="both"/>
      </w:pPr>
    </w:p>
  </w:footnote>
  <w:footnote w:id="27">
    <w:p w14:paraId="205F5EB6" w14:textId="2B35C178" w:rsidR="004A604F" w:rsidRPr="00561BD4" w:rsidRDefault="004A604F">
      <w:pPr>
        <w:pStyle w:val="Textonotapie"/>
        <w:jc w:val="both"/>
      </w:pPr>
      <w:r w:rsidRPr="00561BD4">
        <w:rPr>
          <w:rStyle w:val="Refdenotaalpie"/>
        </w:rPr>
        <w:footnoteRef/>
      </w:r>
      <w:r w:rsidRPr="00561BD4">
        <w:t xml:space="preserve"> AZ Orden XXXII-A, folio 283-289.</w:t>
      </w:r>
    </w:p>
  </w:footnote>
  <w:footnote w:id="28">
    <w:p w14:paraId="070A91CF" w14:textId="506DB782" w:rsidR="004A604F" w:rsidRDefault="004A604F">
      <w:pPr>
        <w:pStyle w:val="Textonotapie"/>
      </w:pPr>
      <w:r>
        <w:rPr>
          <w:rStyle w:val="Refdenotaalpie"/>
        </w:rPr>
        <w:footnoteRef/>
      </w:r>
      <w:r>
        <w:t xml:space="preserve"> Folletos, cartillas, videos, autos genéricos y específicos, normatividad, doctrina e informes de las autoridades del SGSSS. </w:t>
      </w:r>
    </w:p>
  </w:footnote>
  <w:footnote w:id="29">
    <w:p w14:paraId="05C130E8" w14:textId="77777777" w:rsidR="004A604F" w:rsidRPr="00561BD4" w:rsidRDefault="004A604F">
      <w:pPr>
        <w:pStyle w:val="Textonotapie"/>
        <w:jc w:val="both"/>
      </w:pPr>
      <w:r w:rsidRPr="00561BD4">
        <w:rPr>
          <w:rStyle w:val="Refdenotaalpie"/>
        </w:rPr>
        <w:footnoteRef/>
      </w:r>
      <w:r w:rsidRPr="00561BD4">
        <w:t xml:space="preserve"> AZ Orden XXXII-A, folios 291-311.</w:t>
      </w:r>
    </w:p>
  </w:footnote>
  <w:footnote w:id="30">
    <w:p w14:paraId="5F7DDE04" w14:textId="56BCA2F8" w:rsidR="004A604F" w:rsidRPr="00561BD4" w:rsidRDefault="004A604F">
      <w:pPr>
        <w:pStyle w:val="Textonotapie"/>
        <w:jc w:val="both"/>
      </w:pPr>
      <w:r w:rsidRPr="00561BD4">
        <w:rPr>
          <w:rStyle w:val="Refdenotaalpie"/>
        </w:rPr>
        <w:footnoteRef/>
      </w:r>
      <w:r w:rsidRPr="00561BD4">
        <w:t xml:space="preserve"> AZ Orden XXXII-A, folio 362-363.</w:t>
      </w:r>
    </w:p>
  </w:footnote>
  <w:footnote w:id="31">
    <w:p w14:paraId="1E311DCD" w14:textId="7A8DCAA6" w:rsidR="004A604F" w:rsidRPr="003168AC" w:rsidRDefault="004A604F">
      <w:pPr>
        <w:pStyle w:val="Textonotapie"/>
        <w:rPr>
          <w:lang w:val="es-ES"/>
        </w:rPr>
      </w:pPr>
      <w:r>
        <w:rPr>
          <w:rStyle w:val="Refdenotaalpie"/>
        </w:rPr>
        <w:footnoteRef/>
      </w:r>
      <w:r>
        <w:t xml:space="preserve"> AZ Orden XXXII-A, folios 363.</w:t>
      </w:r>
    </w:p>
  </w:footnote>
  <w:footnote w:id="32">
    <w:p w14:paraId="30FE7029" w14:textId="786A3EDE" w:rsidR="004A604F" w:rsidRPr="00561BD4" w:rsidRDefault="004A604F" w:rsidP="00464A88">
      <w:pPr>
        <w:pStyle w:val="Textonotapie"/>
        <w:jc w:val="both"/>
        <w:rPr>
          <w:lang w:val="es-ES"/>
        </w:rPr>
      </w:pPr>
      <w:r w:rsidRPr="00561BD4">
        <w:rPr>
          <w:rStyle w:val="Refdenotaalpie"/>
        </w:rPr>
        <w:footnoteRef/>
      </w:r>
      <w:r w:rsidRPr="00561BD4">
        <w:t xml:space="preserve"> AZ Orden XXXII-A, folios 369-420.</w:t>
      </w:r>
    </w:p>
  </w:footnote>
  <w:footnote w:id="33">
    <w:p w14:paraId="77C5F868" w14:textId="7D499975" w:rsidR="004A604F" w:rsidRPr="00561BD4" w:rsidRDefault="004A604F">
      <w:pPr>
        <w:pStyle w:val="Textonotapie"/>
        <w:jc w:val="both"/>
      </w:pPr>
      <w:r w:rsidRPr="00561BD4">
        <w:rPr>
          <w:rStyle w:val="Refdenotaalpie"/>
        </w:rPr>
        <w:footnoteRef/>
      </w:r>
      <w:r w:rsidRPr="00561BD4">
        <w:t xml:space="preserve"> </w:t>
      </w:r>
      <w:r w:rsidRPr="00D90D4C">
        <w:t xml:space="preserve">Desarrollaron 3 núcleos temáticos: </w:t>
      </w:r>
      <w:r w:rsidRPr="00561BD4">
        <w:rPr>
          <w:i/>
        </w:rPr>
        <w:t>“Caso 1. Derecho a la salud de personas de especial protección, derecho al diagnóstico, tratamiento de conversatorio trastornos mentales; caso 2. Derecho a la igualdad, vida digna, mínimo vital, derecho a la seguridad social-licencia de maternidad; caso 3. Derecho a la salud niños con discapacidad, personas de especial protección, concepto médico conversatorio tratante, tratamiento de medicina alternativa; caso 4. Derecho a la seguridad social personas de la tercera edad, principio de continuidad de la prestación conversatorio servicio, periodo de protección laboral, acceso a la seguridad social”·</w:t>
      </w:r>
    </w:p>
  </w:footnote>
  <w:footnote w:id="34">
    <w:p w14:paraId="69F3140E" w14:textId="77777777" w:rsidR="004A604F" w:rsidRPr="00561BD4" w:rsidRDefault="004A604F">
      <w:pPr>
        <w:pStyle w:val="Textonotapie"/>
        <w:jc w:val="both"/>
      </w:pPr>
      <w:r w:rsidRPr="00561BD4">
        <w:rPr>
          <w:rStyle w:val="Refdenotaalpie"/>
        </w:rPr>
        <w:footnoteRef/>
      </w:r>
      <w:r w:rsidRPr="00561BD4">
        <w:t xml:space="preserve"> AZ Orden XXXII-A, folios 424-464.</w:t>
      </w:r>
    </w:p>
  </w:footnote>
  <w:footnote w:id="35">
    <w:p w14:paraId="4EE0F7B9" w14:textId="452509B2" w:rsidR="004A604F" w:rsidRPr="0013522E" w:rsidRDefault="004A604F">
      <w:pPr>
        <w:pStyle w:val="Textonotapie"/>
        <w:rPr>
          <w:lang w:val="es-ES"/>
        </w:rPr>
      </w:pPr>
      <w:r>
        <w:rPr>
          <w:rStyle w:val="Refdenotaalpie"/>
        </w:rPr>
        <w:footnoteRef/>
      </w:r>
      <w:r>
        <w:t xml:space="preserve"> </w:t>
      </w:r>
      <w:r w:rsidRPr="00561BD4">
        <w:t>AZ Orden XXXII-A, folio</w:t>
      </w:r>
      <w:r>
        <w:t xml:space="preserve"> 502.</w:t>
      </w:r>
    </w:p>
  </w:footnote>
  <w:footnote w:id="36">
    <w:p w14:paraId="7C948DAE" w14:textId="06C40A58" w:rsidR="004A604F" w:rsidRPr="00FD38ED" w:rsidRDefault="004A604F">
      <w:pPr>
        <w:pStyle w:val="Textonotapie"/>
        <w:rPr>
          <w:i/>
        </w:rPr>
      </w:pPr>
      <w:r>
        <w:rPr>
          <w:rStyle w:val="Refdenotaalpie"/>
        </w:rPr>
        <w:footnoteRef/>
      </w:r>
      <w:r>
        <w:t xml:space="preserve"> </w:t>
      </w:r>
      <w:r w:rsidRPr="00FD38ED">
        <w:rPr>
          <w:i/>
        </w:rPr>
        <w:t xml:space="preserve">“Por medio de la cual se reformó el sistema de seguridad social”. </w:t>
      </w:r>
    </w:p>
  </w:footnote>
  <w:footnote w:id="37">
    <w:p w14:paraId="2D554B88" w14:textId="77777777" w:rsidR="004A604F" w:rsidRPr="00561BD4" w:rsidRDefault="004A604F">
      <w:pPr>
        <w:pStyle w:val="Textonotapie"/>
        <w:jc w:val="both"/>
      </w:pPr>
      <w:r w:rsidRPr="00561BD4">
        <w:rPr>
          <w:rStyle w:val="Refdenotaalpie"/>
        </w:rPr>
        <w:footnoteRef/>
      </w:r>
      <w:r w:rsidRPr="00561BD4">
        <w:t xml:space="preserve"> AZ Orden XXXII-A, folios 466-503.</w:t>
      </w:r>
    </w:p>
  </w:footnote>
  <w:footnote w:id="38">
    <w:p w14:paraId="3C3F7BAB" w14:textId="6AC0E8E8" w:rsidR="004A604F" w:rsidRPr="000D6F6C" w:rsidRDefault="004A604F">
      <w:pPr>
        <w:pStyle w:val="Textonotapie"/>
        <w:jc w:val="both"/>
      </w:pPr>
      <w:r w:rsidRPr="000D6F6C">
        <w:rPr>
          <w:rStyle w:val="Refdenotaalpie"/>
        </w:rPr>
        <w:footnoteRef/>
      </w:r>
      <w:r w:rsidRPr="000D6F6C">
        <w:t xml:space="preserve"> </w:t>
      </w:r>
      <w:r>
        <w:t>Ib.</w:t>
      </w:r>
      <w:r w:rsidRPr="000D6F6C">
        <w:t>, folio 501.</w:t>
      </w:r>
    </w:p>
  </w:footnote>
  <w:footnote w:id="39">
    <w:p w14:paraId="1D77364D" w14:textId="76140D1E" w:rsidR="004A604F" w:rsidRPr="000D6F6C" w:rsidRDefault="004A604F">
      <w:pPr>
        <w:pStyle w:val="Textonotapie"/>
        <w:rPr>
          <w:lang w:val="es-ES"/>
        </w:rPr>
      </w:pPr>
      <w:r w:rsidRPr="000D6F6C">
        <w:rPr>
          <w:rStyle w:val="Refdenotaalpie"/>
        </w:rPr>
        <w:footnoteRef/>
      </w:r>
      <w:r w:rsidRPr="000D6F6C">
        <w:t xml:space="preserve"> Barranquilla, Bucaramanga, Cali, Cartagena, Medellín y Santa Marta</w:t>
      </w:r>
      <w:r>
        <w:t>.</w:t>
      </w:r>
    </w:p>
  </w:footnote>
  <w:footnote w:id="40">
    <w:p w14:paraId="6A783219" w14:textId="77777777" w:rsidR="004A604F" w:rsidRPr="00561BD4" w:rsidRDefault="004A604F">
      <w:pPr>
        <w:pStyle w:val="Textonotapie"/>
        <w:jc w:val="both"/>
      </w:pPr>
      <w:r w:rsidRPr="00561BD4">
        <w:rPr>
          <w:rStyle w:val="Refdenotaalpie"/>
        </w:rPr>
        <w:footnoteRef/>
      </w:r>
      <w:r w:rsidRPr="00561BD4">
        <w:t xml:space="preserve"> AZ Orden XXXII-A, folio 502.</w:t>
      </w:r>
    </w:p>
  </w:footnote>
  <w:footnote w:id="41">
    <w:p w14:paraId="59848027" w14:textId="413774CE" w:rsidR="004A604F" w:rsidRPr="00561BD4" w:rsidRDefault="004A604F">
      <w:pPr>
        <w:pStyle w:val="Textonotapie"/>
        <w:jc w:val="both"/>
      </w:pPr>
      <w:r w:rsidRPr="00561BD4">
        <w:rPr>
          <w:rStyle w:val="Refdenotaalpie"/>
        </w:rPr>
        <w:footnoteRef/>
      </w:r>
      <w:r w:rsidRPr="00561BD4">
        <w:t xml:space="preserve"> AZ Orden XXXII-B, folio 530.</w:t>
      </w:r>
    </w:p>
  </w:footnote>
  <w:footnote w:id="42">
    <w:p w14:paraId="558B0B20" w14:textId="21059449" w:rsidR="004A604F" w:rsidRPr="005A60E7" w:rsidRDefault="004A604F">
      <w:pPr>
        <w:pStyle w:val="Textonotapie"/>
        <w:rPr>
          <w:lang w:val="es-ES"/>
        </w:rPr>
      </w:pPr>
      <w:r>
        <w:rPr>
          <w:rStyle w:val="Refdenotaalpie"/>
        </w:rPr>
        <w:footnoteRef/>
      </w:r>
      <w:r>
        <w:t xml:space="preserve"> </w:t>
      </w:r>
      <w:r>
        <w:rPr>
          <w:lang w:val="es-ES"/>
        </w:rPr>
        <w:t>Ib., folios 508-510.</w:t>
      </w:r>
    </w:p>
  </w:footnote>
  <w:footnote w:id="43">
    <w:p w14:paraId="0F82CAB0" w14:textId="4068F494" w:rsidR="004A604F" w:rsidRPr="00561BD4" w:rsidRDefault="004A604F">
      <w:pPr>
        <w:pStyle w:val="Textonotapie"/>
        <w:jc w:val="both"/>
      </w:pPr>
      <w:r w:rsidRPr="00561BD4">
        <w:rPr>
          <w:rStyle w:val="Refdenotaalpie"/>
        </w:rPr>
        <w:footnoteRef/>
      </w:r>
      <w:r w:rsidRPr="00561BD4">
        <w:t xml:space="preserve"> </w:t>
      </w:r>
      <w:r>
        <w:t>Ib.,</w:t>
      </w:r>
      <w:r w:rsidRPr="00561BD4">
        <w:t xml:space="preserve"> folios 531-619.</w:t>
      </w:r>
    </w:p>
  </w:footnote>
  <w:footnote w:id="44">
    <w:p w14:paraId="374F5C8D" w14:textId="77777777" w:rsidR="004A604F" w:rsidRPr="00561BD4" w:rsidRDefault="004A604F">
      <w:pPr>
        <w:pStyle w:val="Textonotapie"/>
        <w:jc w:val="both"/>
      </w:pPr>
      <w:r w:rsidRPr="00561BD4">
        <w:rPr>
          <w:rStyle w:val="Refdenotaalpie"/>
        </w:rPr>
        <w:footnoteRef/>
      </w:r>
      <w:r w:rsidRPr="00561BD4">
        <w:t xml:space="preserve"> AZ Orden XXXII-B, folio 621.</w:t>
      </w:r>
    </w:p>
  </w:footnote>
  <w:footnote w:id="45">
    <w:p w14:paraId="7A9E6B54" w14:textId="77777777" w:rsidR="004A604F" w:rsidRPr="00561BD4" w:rsidRDefault="004A604F">
      <w:pPr>
        <w:pStyle w:val="Textonotapie"/>
        <w:jc w:val="both"/>
      </w:pPr>
      <w:r w:rsidRPr="00561BD4">
        <w:rPr>
          <w:rStyle w:val="Refdenotaalpie"/>
        </w:rPr>
        <w:footnoteRef/>
      </w:r>
      <w:r w:rsidRPr="00561BD4">
        <w:t xml:space="preserve"> AZ Orden XXXII-B, folio 628.</w:t>
      </w:r>
    </w:p>
  </w:footnote>
  <w:footnote w:id="46">
    <w:p w14:paraId="2A887B1D" w14:textId="77777777" w:rsidR="004A604F" w:rsidRPr="00561BD4" w:rsidRDefault="004A604F">
      <w:pPr>
        <w:pStyle w:val="Textonotapie"/>
        <w:jc w:val="both"/>
      </w:pPr>
      <w:r w:rsidRPr="00561BD4">
        <w:rPr>
          <w:rStyle w:val="Refdenotaalpie"/>
        </w:rPr>
        <w:footnoteRef/>
      </w:r>
      <w:r w:rsidRPr="00561BD4">
        <w:t xml:space="preserve"> AZ Orden XXXII-B, folios 643-648.</w:t>
      </w:r>
    </w:p>
  </w:footnote>
  <w:footnote w:id="47">
    <w:p w14:paraId="50E7DC47" w14:textId="77777777" w:rsidR="004A604F" w:rsidRPr="00561BD4" w:rsidRDefault="004A604F">
      <w:pPr>
        <w:pStyle w:val="Textonotapie"/>
        <w:jc w:val="both"/>
      </w:pPr>
      <w:r w:rsidRPr="00561BD4">
        <w:rPr>
          <w:rStyle w:val="Refdenotaalpie"/>
        </w:rPr>
        <w:footnoteRef/>
      </w:r>
      <w:r w:rsidRPr="00561BD4">
        <w:t xml:space="preserve"> AZ Orden XXXII-B, folio 627.</w:t>
      </w:r>
    </w:p>
  </w:footnote>
  <w:footnote w:id="48">
    <w:p w14:paraId="5AAE58B2" w14:textId="5CAC03D4" w:rsidR="004A604F" w:rsidRPr="00561BD4" w:rsidRDefault="004A604F">
      <w:pPr>
        <w:pStyle w:val="Textonotapie"/>
        <w:jc w:val="both"/>
        <w:rPr>
          <w:lang w:val="es-ES"/>
        </w:rPr>
      </w:pPr>
      <w:r w:rsidRPr="00561BD4">
        <w:rPr>
          <w:rStyle w:val="Refdenotaalpie"/>
        </w:rPr>
        <w:footnoteRef/>
      </w:r>
      <w:r w:rsidRPr="00561BD4">
        <w:t xml:space="preserve"> AZ Orden XXXII-B, folio 649-650</w:t>
      </w:r>
      <w:r>
        <w:t>.</w:t>
      </w:r>
    </w:p>
  </w:footnote>
  <w:footnote w:id="49">
    <w:p w14:paraId="13526CFC" w14:textId="0934917F" w:rsidR="004A604F" w:rsidRPr="00561BD4" w:rsidRDefault="004A604F">
      <w:pPr>
        <w:pStyle w:val="Textonotapie"/>
        <w:jc w:val="both"/>
        <w:rPr>
          <w:lang w:val="es-ES"/>
        </w:rPr>
      </w:pPr>
      <w:r w:rsidRPr="00561BD4">
        <w:rPr>
          <w:rStyle w:val="Refdenotaalpie"/>
        </w:rPr>
        <w:footnoteRef/>
      </w:r>
      <w:r w:rsidRPr="00561BD4">
        <w:t xml:space="preserve"> </w:t>
      </w:r>
      <w:r>
        <w:t>A</w:t>
      </w:r>
      <w:r w:rsidRPr="00561BD4">
        <w:t>demás los reportes deberían dar cuenta de las actividades de divulgación con datos suficientes, precisos y pertinentes, además de caracterizarse por la sencillez en el lenguaje.</w:t>
      </w:r>
    </w:p>
  </w:footnote>
  <w:footnote w:id="50">
    <w:p w14:paraId="69FA7A57" w14:textId="77777777" w:rsidR="004A604F" w:rsidRPr="00561BD4" w:rsidRDefault="004A604F">
      <w:pPr>
        <w:pStyle w:val="Textonotapie"/>
        <w:jc w:val="both"/>
      </w:pPr>
      <w:r w:rsidRPr="00561BD4">
        <w:rPr>
          <w:rStyle w:val="Refdenotaalpie"/>
        </w:rPr>
        <w:footnoteRef/>
      </w:r>
      <w:r w:rsidRPr="00561BD4">
        <w:t xml:space="preserve"> AZ Orden XXXII-B, folios 660-662.</w:t>
      </w:r>
    </w:p>
  </w:footnote>
  <w:footnote w:id="51">
    <w:p w14:paraId="493440AF" w14:textId="77777777" w:rsidR="004A604F" w:rsidRPr="00561BD4" w:rsidRDefault="004A604F">
      <w:pPr>
        <w:pStyle w:val="Textonotapie"/>
        <w:jc w:val="both"/>
      </w:pPr>
      <w:r w:rsidRPr="00561BD4">
        <w:rPr>
          <w:rStyle w:val="Refdenotaalpie"/>
        </w:rPr>
        <w:footnoteRef/>
      </w:r>
      <w:r w:rsidRPr="00561BD4">
        <w:t xml:space="preserve"> AZ Orden XXXII-B, folios 661.</w:t>
      </w:r>
    </w:p>
  </w:footnote>
  <w:footnote w:id="52">
    <w:p w14:paraId="74A254AF" w14:textId="77777777" w:rsidR="004A604F" w:rsidRPr="00561BD4" w:rsidRDefault="004A604F">
      <w:pPr>
        <w:pStyle w:val="Textonotapie"/>
        <w:jc w:val="both"/>
      </w:pPr>
      <w:r w:rsidRPr="00561BD4">
        <w:rPr>
          <w:rStyle w:val="Refdenotaalpie"/>
        </w:rPr>
        <w:footnoteRef/>
      </w:r>
      <w:r w:rsidRPr="00561BD4">
        <w:t xml:space="preserve"> </w:t>
      </w:r>
      <w:r w:rsidRPr="00561BD4">
        <w:rPr>
          <w:i/>
        </w:rPr>
        <w:t>Ibídem</w:t>
      </w:r>
      <w:r w:rsidRPr="00561BD4">
        <w:t>.</w:t>
      </w:r>
    </w:p>
  </w:footnote>
  <w:footnote w:id="53">
    <w:p w14:paraId="1297B8FC" w14:textId="77777777" w:rsidR="004A604F" w:rsidRPr="00561BD4" w:rsidRDefault="004A604F">
      <w:pPr>
        <w:pStyle w:val="Textonotapie"/>
        <w:jc w:val="both"/>
      </w:pPr>
      <w:r w:rsidRPr="00561BD4">
        <w:rPr>
          <w:rStyle w:val="Refdenotaalpie"/>
        </w:rPr>
        <w:footnoteRef/>
      </w:r>
      <w:r w:rsidRPr="00561BD4">
        <w:t xml:space="preserve"> AZ Orden XXXII-B, folio 663-692.</w:t>
      </w:r>
    </w:p>
  </w:footnote>
  <w:footnote w:id="54">
    <w:p w14:paraId="3C5F3BFC" w14:textId="761E8191" w:rsidR="004A604F" w:rsidRPr="00561BD4" w:rsidRDefault="004A604F">
      <w:pPr>
        <w:pStyle w:val="Textonotapie"/>
        <w:jc w:val="both"/>
        <w:rPr>
          <w:lang w:val="es-ES"/>
        </w:rPr>
      </w:pPr>
      <w:r w:rsidRPr="00561BD4">
        <w:rPr>
          <w:rStyle w:val="Refdenotaalpie"/>
        </w:rPr>
        <w:footnoteRef/>
      </w:r>
      <w:r w:rsidRPr="00561BD4">
        <w:t xml:space="preserve"> 1) Diseño, desarrollo e implementación del Micrositio Web Centro de Documentación Socio Jurídica de la Rama Judicial, responsable: </w:t>
      </w:r>
      <w:r>
        <w:t>Cendoj</w:t>
      </w:r>
      <w:r w:rsidRPr="00561BD4">
        <w:t xml:space="preserve"> 24/06/2014 18/12/2014; 2) Formación y capacitación Escuela Judicial Rodrigo Lara Bonilla, responsable: EJRLB 01/10/2014 30/06/2015; 3) Difusión Centro de Documentación Socio Jurídica de la Rama Judicial, responsable: </w:t>
      </w:r>
      <w:r>
        <w:t>Cendoj</w:t>
      </w:r>
      <w:r w:rsidRPr="00561BD4">
        <w:t xml:space="preserve"> 30/06/2014 28/11/2014; 4) Seguimiento y control, responsable: Presidencia de la Sala Administrativa 24/06/2014 30/06/2015.</w:t>
      </w:r>
    </w:p>
  </w:footnote>
  <w:footnote w:id="55">
    <w:p w14:paraId="61A05551" w14:textId="77777777" w:rsidR="004A604F" w:rsidRPr="00561BD4" w:rsidRDefault="004A604F">
      <w:pPr>
        <w:pStyle w:val="Textonotapie"/>
        <w:jc w:val="both"/>
      </w:pPr>
      <w:r w:rsidRPr="00561BD4">
        <w:rPr>
          <w:rStyle w:val="Refdenotaalpie"/>
        </w:rPr>
        <w:footnoteRef/>
      </w:r>
      <w:r w:rsidRPr="00561BD4">
        <w:t xml:space="preserve"> AZ Orden XXXII-B, folio 663.</w:t>
      </w:r>
    </w:p>
  </w:footnote>
  <w:footnote w:id="56">
    <w:p w14:paraId="5EF5DFFD" w14:textId="77777777" w:rsidR="004A604F" w:rsidRPr="00561BD4" w:rsidRDefault="004A604F">
      <w:pPr>
        <w:pStyle w:val="Textonotapie"/>
        <w:jc w:val="both"/>
      </w:pPr>
      <w:r w:rsidRPr="00561BD4">
        <w:rPr>
          <w:rStyle w:val="Refdenotaalpie"/>
        </w:rPr>
        <w:footnoteRef/>
      </w:r>
      <w:r w:rsidRPr="00561BD4">
        <w:t xml:space="preserve"> AZ Orden XXXII-B, folio 693.</w:t>
      </w:r>
    </w:p>
  </w:footnote>
  <w:footnote w:id="57">
    <w:p w14:paraId="199EC567" w14:textId="77777777" w:rsidR="004A604F" w:rsidRPr="00561BD4" w:rsidRDefault="004A604F">
      <w:pPr>
        <w:pStyle w:val="Textonotapie"/>
        <w:jc w:val="both"/>
      </w:pPr>
      <w:r w:rsidRPr="00561BD4">
        <w:rPr>
          <w:rStyle w:val="Refdenotaalpie"/>
        </w:rPr>
        <w:footnoteRef/>
      </w:r>
      <w:r w:rsidRPr="00561BD4">
        <w:t xml:space="preserve"> AZ Orden XXXII-B, folio 695.</w:t>
      </w:r>
    </w:p>
  </w:footnote>
  <w:footnote w:id="58">
    <w:p w14:paraId="34FC98C2" w14:textId="6F786016" w:rsidR="004A604F" w:rsidRPr="00561BD4" w:rsidRDefault="004A604F" w:rsidP="00464A88">
      <w:pPr>
        <w:pStyle w:val="Textonotapie"/>
        <w:jc w:val="both"/>
        <w:rPr>
          <w:lang w:val="es-ES"/>
        </w:rPr>
      </w:pPr>
      <w:r w:rsidRPr="00561BD4">
        <w:rPr>
          <w:rStyle w:val="Refdenotaalpie"/>
        </w:rPr>
        <w:footnoteRef/>
      </w:r>
      <w:r w:rsidRPr="00561BD4">
        <w:t xml:space="preserve"> AZ Orden XXXII-B, folio 696-698.</w:t>
      </w:r>
    </w:p>
  </w:footnote>
  <w:footnote w:id="59">
    <w:p w14:paraId="74DCA653" w14:textId="33477668" w:rsidR="004A604F" w:rsidRPr="00561BD4" w:rsidRDefault="004A604F">
      <w:pPr>
        <w:pStyle w:val="Textonotapie"/>
        <w:jc w:val="both"/>
        <w:rPr>
          <w:i/>
          <w:lang w:val="es-ES"/>
        </w:rPr>
      </w:pPr>
      <w:r w:rsidRPr="00561BD4">
        <w:rPr>
          <w:rStyle w:val="Refdenotaalpie"/>
        </w:rPr>
        <w:footnoteRef/>
      </w:r>
      <w:r w:rsidRPr="00561BD4">
        <w:t xml:space="preserve"> Consideración jurídica 7. “</w:t>
      </w:r>
      <w:r w:rsidRPr="00561BD4">
        <w:rPr>
          <w:i/>
        </w:rPr>
        <w:t>En consecuencia, se dispondrá que en adelante la Sala Administrativa deberá reportar el estado de las  actuaciones desarrolladas cada cuatro (4) meses, de forma tal que el primer informe deberá estar radicado el último día hábil de noviembre del presente año; el segundo, en marzo y el tercero, en julio de 2015 y así sucesivamente”.</w:t>
      </w:r>
    </w:p>
  </w:footnote>
  <w:footnote w:id="60">
    <w:p w14:paraId="7B07C7BF" w14:textId="77777777" w:rsidR="004A604F" w:rsidRPr="00561BD4" w:rsidRDefault="004A604F">
      <w:pPr>
        <w:pStyle w:val="Textonotapie"/>
        <w:jc w:val="both"/>
      </w:pPr>
      <w:r w:rsidRPr="00561BD4">
        <w:rPr>
          <w:rStyle w:val="Refdenotaalpie"/>
        </w:rPr>
        <w:footnoteRef/>
      </w:r>
      <w:r w:rsidRPr="00561BD4">
        <w:t xml:space="preserve"> AZ Orden XXXII-B, folio 699.</w:t>
      </w:r>
    </w:p>
  </w:footnote>
  <w:footnote w:id="61">
    <w:p w14:paraId="766F79C6" w14:textId="77777777" w:rsidR="004A604F" w:rsidRPr="00561BD4" w:rsidRDefault="004A604F">
      <w:pPr>
        <w:pStyle w:val="Textonotapie"/>
        <w:jc w:val="both"/>
      </w:pPr>
      <w:r w:rsidRPr="00561BD4">
        <w:rPr>
          <w:rStyle w:val="Refdenotaalpie"/>
        </w:rPr>
        <w:footnoteRef/>
      </w:r>
      <w:r w:rsidRPr="00561BD4">
        <w:t xml:space="preserve"> AZ Orden XXXII-B, folio 712.</w:t>
      </w:r>
    </w:p>
  </w:footnote>
  <w:footnote w:id="62">
    <w:p w14:paraId="69B4A016" w14:textId="6557F6CB" w:rsidR="004A604F" w:rsidRPr="00561BD4" w:rsidRDefault="004A604F" w:rsidP="00464A88">
      <w:pPr>
        <w:pStyle w:val="Textonotapie"/>
        <w:jc w:val="both"/>
        <w:rPr>
          <w:lang w:val="es-ES"/>
        </w:rPr>
      </w:pPr>
      <w:r w:rsidRPr="00561BD4">
        <w:rPr>
          <w:rStyle w:val="Refdenotaalpie"/>
        </w:rPr>
        <w:footnoteRef/>
      </w:r>
      <w:r w:rsidRPr="00561BD4">
        <w:t xml:space="preserve"> </w:t>
      </w:r>
      <w:r w:rsidRPr="00561BD4">
        <w:rPr>
          <w:lang w:val="es-ES"/>
        </w:rPr>
        <w:t>La Escuela Judicial Rodrigo Lara Bonilla, el Ce</w:t>
      </w:r>
      <w:r>
        <w:rPr>
          <w:lang w:val="es-ES"/>
        </w:rPr>
        <w:t>ntro de Documentación Judicial</w:t>
      </w:r>
      <w:r w:rsidRPr="00561BD4">
        <w:rPr>
          <w:lang w:val="es-ES"/>
        </w:rPr>
        <w:t>, la Oficina de Asesoría Jur</w:t>
      </w:r>
      <w:r>
        <w:rPr>
          <w:lang w:val="es-ES"/>
        </w:rPr>
        <w:t>ídica y Asuntos Internacionales</w:t>
      </w:r>
      <w:r w:rsidRPr="00561BD4">
        <w:rPr>
          <w:lang w:val="es-ES"/>
        </w:rPr>
        <w:t xml:space="preserve"> y la Sala de Seguimiento de la </w:t>
      </w:r>
      <w:r>
        <w:rPr>
          <w:lang w:val="es-ES"/>
        </w:rPr>
        <w:t>s</w:t>
      </w:r>
      <w:r w:rsidRPr="00561BD4">
        <w:rPr>
          <w:lang w:val="es-ES"/>
        </w:rPr>
        <w:t>entencia.</w:t>
      </w:r>
    </w:p>
  </w:footnote>
  <w:footnote w:id="63">
    <w:p w14:paraId="2D9F8CC1" w14:textId="77777777" w:rsidR="004A604F" w:rsidRPr="00561BD4" w:rsidRDefault="004A604F">
      <w:pPr>
        <w:pStyle w:val="Textonotapie"/>
        <w:jc w:val="both"/>
      </w:pPr>
      <w:r w:rsidRPr="00561BD4">
        <w:rPr>
          <w:rStyle w:val="Refdenotaalpie"/>
        </w:rPr>
        <w:footnoteRef/>
      </w:r>
      <w:r w:rsidRPr="00561BD4">
        <w:t xml:space="preserve"> AZ Orden XXXII-B, folio 730-735.</w:t>
      </w:r>
    </w:p>
  </w:footnote>
  <w:footnote w:id="64">
    <w:p w14:paraId="5CE78A46" w14:textId="7EA561FE" w:rsidR="004A604F" w:rsidRPr="00561BD4" w:rsidRDefault="004A604F">
      <w:pPr>
        <w:pStyle w:val="Textonotapie"/>
        <w:jc w:val="both"/>
      </w:pPr>
      <w:r w:rsidRPr="00561BD4">
        <w:rPr>
          <w:rStyle w:val="Refdenotaalpie"/>
        </w:rPr>
        <w:footnoteRef/>
      </w:r>
      <w:r w:rsidRPr="00561BD4">
        <w:t xml:space="preserve"> Aclara la Sala que el documento allegado por la Sala Administrativa del Consejo Superior de la Judicatura hace referencia al año 2015, sin embargo, concluye que se trata de un error</w:t>
      </w:r>
      <w:r>
        <w:t xml:space="preserve"> </w:t>
      </w:r>
      <w:r w:rsidRPr="00561BD4">
        <w:t xml:space="preserve">toda vez que cronológicamente sería imposible </w:t>
      </w:r>
      <w:r>
        <w:t>verificarse en dicha fecha</w:t>
      </w:r>
      <w:r w:rsidRPr="00561BD4">
        <w:t>.</w:t>
      </w:r>
    </w:p>
  </w:footnote>
  <w:footnote w:id="65">
    <w:p w14:paraId="0E811FAF" w14:textId="29AD4E74" w:rsidR="004A604F" w:rsidRPr="00561BD4" w:rsidRDefault="004A604F" w:rsidP="00464A88">
      <w:pPr>
        <w:pStyle w:val="Textonotapie"/>
        <w:jc w:val="both"/>
      </w:pPr>
      <w:r w:rsidRPr="00561BD4">
        <w:rPr>
          <w:rStyle w:val="Refdenotaalpie"/>
        </w:rPr>
        <w:footnoteRef/>
      </w:r>
      <w:r>
        <w:t xml:space="preserve"> </w:t>
      </w:r>
      <w:r w:rsidRPr="00561BD4">
        <w:t>Canal Institucional.</w:t>
      </w:r>
    </w:p>
  </w:footnote>
  <w:footnote w:id="66">
    <w:p w14:paraId="39B0882E" w14:textId="1DC4FADC" w:rsidR="004A604F" w:rsidRPr="00561BD4" w:rsidRDefault="004A604F">
      <w:pPr>
        <w:pStyle w:val="Textonotapie"/>
        <w:jc w:val="both"/>
      </w:pPr>
      <w:r w:rsidRPr="00561BD4">
        <w:rPr>
          <w:rStyle w:val="Refdenotaalpie"/>
        </w:rPr>
        <w:footnoteRef/>
      </w:r>
      <w:r w:rsidRPr="00561BD4">
        <w:t xml:space="preserve"> AZ Orden XXXII-B, folios 753.</w:t>
      </w:r>
    </w:p>
  </w:footnote>
  <w:footnote w:id="67">
    <w:p w14:paraId="44652401" w14:textId="77777777" w:rsidR="004A604F" w:rsidRPr="00561BD4" w:rsidRDefault="004A604F">
      <w:pPr>
        <w:pStyle w:val="Textonotapie"/>
        <w:jc w:val="both"/>
      </w:pPr>
      <w:r w:rsidRPr="00561BD4">
        <w:rPr>
          <w:rStyle w:val="Refdenotaalpie"/>
        </w:rPr>
        <w:footnoteRef/>
      </w:r>
      <w:r w:rsidRPr="00561BD4">
        <w:t xml:space="preserve"> AZ Orden XXXII-B, folios 755-757.</w:t>
      </w:r>
    </w:p>
  </w:footnote>
  <w:footnote w:id="68">
    <w:p w14:paraId="7723054A" w14:textId="77777777" w:rsidR="004A604F" w:rsidRPr="00561BD4" w:rsidRDefault="004A604F">
      <w:pPr>
        <w:pStyle w:val="Textonotapie"/>
        <w:jc w:val="both"/>
      </w:pPr>
      <w:r w:rsidRPr="00561BD4">
        <w:rPr>
          <w:rStyle w:val="Refdenotaalpie"/>
        </w:rPr>
        <w:footnoteRef/>
      </w:r>
      <w:r w:rsidRPr="00561BD4">
        <w:t xml:space="preserve"> AZ Orden XXXII-B, folios 758-770.</w:t>
      </w:r>
    </w:p>
  </w:footnote>
  <w:footnote w:id="69">
    <w:p w14:paraId="158EDA4D" w14:textId="77777777" w:rsidR="004A604F" w:rsidRPr="00561BD4" w:rsidRDefault="004A604F">
      <w:pPr>
        <w:pStyle w:val="Textonotapie"/>
        <w:jc w:val="both"/>
      </w:pPr>
      <w:r w:rsidRPr="00561BD4">
        <w:rPr>
          <w:rStyle w:val="Refdenotaalpie"/>
        </w:rPr>
        <w:footnoteRef/>
      </w:r>
      <w:r w:rsidRPr="00561BD4">
        <w:t xml:space="preserve"> AZ Orden XXXII-B, folios 771-778.</w:t>
      </w:r>
    </w:p>
  </w:footnote>
  <w:footnote w:id="70">
    <w:p w14:paraId="1831C824" w14:textId="412888ED" w:rsidR="004A604F" w:rsidRPr="00561BD4" w:rsidRDefault="004A604F">
      <w:pPr>
        <w:pStyle w:val="Textonotapie"/>
        <w:jc w:val="both"/>
      </w:pPr>
      <w:r w:rsidRPr="00561BD4">
        <w:rPr>
          <w:rStyle w:val="Refdenotaalpie"/>
        </w:rPr>
        <w:footnoteRef/>
      </w:r>
      <w:r w:rsidRPr="00561BD4">
        <w:t xml:space="preserve"> AZ Orden XXXII-B, folio 771. Revisado el informe y las fechas se advierte que fue actualizado a noviembre de 2015 y que por error se indicó la fecha 18 de noviembre de 2016.  </w:t>
      </w:r>
    </w:p>
  </w:footnote>
  <w:footnote w:id="71">
    <w:p w14:paraId="48D7B89C" w14:textId="77777777" w:rsidR="004A604F" w:rsidRPr="00561BD4" w:rsidRDefault="004A604F">
      <w:pPr>
        <w:pStyle w:val="Textonotapie"/>
        <w:jc w:val="both"/>
      </w:pPr>
      <w:r w:rsidRPr="00561BD4">
        <w:rPr>
          <w:rStyle w:val="Refdenotaalpie"/>
        </w:rPr>
        <w:footnoteRef/>
      </w:r>
      <w:r w:rsidRPr="00561BD4">
        <w:t xml:space="preserve"> AZ Orden XXXII-B, folio 775.</w:t>
      </w:r>
    </w:p>
  </w:footnote>
  <w:footnote w:id="72">
    <w:p w14:paraId="16D226F8" w14:textId="77777777" w:rsidR="004A604F" w:rsidRPr="00561BD4" w:rsidRDefault="004A604F">
      <w:pPr>
        <w:pStyle w:val="Textonotapie"/>
        <w:jc w:val="both"/>
      </w:pPr>
      <w:r w:rsidRPr="00561BD4">
        <w:rPr>
          <w:rStyle w:val="Refdenotaalpie"/>
        </w:rPr>
        <w:footnoteRef/>
      </w:r>
      <w:r w:rsidRPr="00561BD4">
        <w:t xml:space="preserve"> AZ Orden XXXII-B, folios 779-781.</w:t>
      </w:r>
    </w:p>
  </w:footnote>
  <w:footnote w:id="73">
    <w:p w14:paraId="72209FC0" w14:textId="1DB55C4E" w:rsidR="004A604F" w:rsidRPr="00561BD4" w:rsidRDefault="004A604F" w:rsidP="00464A88">
      <w:pPr>
        <w:pStyle w:val="Textonotapie"/>
        <w:jc w:val="both"/>
      </w:pPr>
      <w:r w:rsidRPr="00561BD4">
        <w:rPr>
          <w:rStyle w:val="Refdenotaalpie"/>
        </w:rPr>
        <w:footnoteRef/>
      </w:r>
      <w:r w:rsidRPr="00561BD4">
        <w:t xml:space="preserve"> AZ Orden XXXII-B, folios 782-786.</w:t>
      </w:r>
    </w:p>
  </w:footnote>
  <w:footnote w:id="74">
    <w:p w14:paraId="12A98CBE" w14:textId="5ABAEA27" w:rsidR="004A604F" w:rsidRPr="00561BD4" w:rsidRDefault="004A604F" w:rsidP="00464A88">
      <w:pPr>
        <w:pStyle w:val="Textonotapie"/>
        <w:jc w:val="both"/>
      </w:pPr>
      <w:r w:rsidRPr="00561BD4">
        <w:rPr>
          <w:rStyle w:val="Refdenotaalpie"/>
        </w:rPr>
        <w:footnoteRef/>
      </w:r>
      <w:r w:rsidRPr="00561BD4">
        <w:t xml:space="preserve"> Las fechas en las que se emitió el programa fueron las siguientes: </w:t>
      </w:r>
      <w:r>
        <w:t>24/12/</w:t>
      </w:r>
      <w:r w:rsidRPr="00561BD4">
        <w:t>2015</w:t>
      </w:r>
      <w:r>
        <w:t>, 07/01/</w:t>
      </w:r>
      <w:r w:rsidRPr="00561BD4">
        <w:t>2016,</w:t>
      </w:r>
      <w:r>
        <w:t xml:space="preserve"> 28/01/</w:t>
      </w:r>
      <w:r w:rsidRPr="00561BD4">
        <w:t xml:space="preserve">2016, </w:t>
      </w:r>
      <w:r>
        <w:t>03/03/</w:t>
      </w:r>
      <w:r w:rsidRPr="00561BD4">
        <w:t xml:space="preserve">2016, </w:t>
      </w:r>
      <w:r>
        <w:t>12/05/</w:t>
      </w:r>
      <w:r w:rsidRPr="00561BD4">
        <w:t xml:space="preserve">2016. </w:t>
      </w:r>
    </w:p>
  </w:footnote>
  <w:footnote w:id="75">
    <w:p w14:paraId="172DB9F5" w14:textId="77777777" w:rsidR="004A604F" w:rsidRPr="00561BD4" w:rsidRDefault="004A604F">
      <w:pPr>
        <w:pStyle w:val="Textonotapie"/>
        <w:jc w:val="both"/>
      </w:pPr>
      <w:r w:rsidRPr="00561BD4">
        <w:rPr>
          <w:rStyle w:val="Refdenotaalpie"/>
        </w:rPr>
        <w:footnoteRef/>
      </w:r>
      <w:r w:rsidRPr="00561BD4">
        <w:t xml:space="preserve"> AZ Orden XXXII-B, folio 787.</w:t>
      </w:r>
    </w:p>
  </w:footnote>
  <w:footnote w:id="76">
    <w:p w14:paraId="5043B8E1" w14:textId="77777777" w:rsidR="004A604F" w:rsidRPr="00561BD4" w:rsidRDefault="004A604F">
      <w:pPr>
        <w:pStyle w:val="Textonotapie"/>
        <w:jc w:val="both"/>
      </w:pPr>
      <w:r w:rsidRPr="00561BD4">
        <w:rPr>
          <w:rStyle w:val="Refdenotaalpie"/>
        </w:rPr>
        <w:footnoteRef/>
      </w:r>
      <w:r w:rsidRPr="00561BD4">
        <w:t xml:space="preserve"> AZ Orden XXXII-B, folios 791-803.</w:t>
      </w:r>
    </w:p>
  </w:footnote>
  <w:footnote w:id="77">
    <w:p w14:paraId="2E19C93D" w14:textId="0B950AD8" w:rsidR="004A604F" w:rsidRPr="00561BD4" w:rsidRDefault="004A604F">
      <w:pPr>
        <w:pStyle w:val="Textonotapie"/>
        <w:jc w:val="both"/>
      </w:pPr>
      <w:r w:rsidRPr="00561BD4">
        <w:rPr>
          <w:rStyle w:val="Refdenotaalpie"/>
        </w:rPr>
        <w:footnoteRef/>
      </w:r>
      <w:r w:rsidRPr="00561BD4">
        <w:t xml:space="preserve"> AZ Orden XXXII-B, folios 804-806.</w:t>
      </w:r>
    </w:p>
  </w:footnote>
  <w:footnote w:id="78">
    <w:p w14:paraId="53EF42B6" w14:textId="1474F97B" w:rsidR="004A604F" w:rsidRPr="00561BD4" w:rsidRDefault="004A604F">
      <w:pPr>
        <w:pStyle w:val="Textonotapie"/>
        <w:jc w:val="both"/>
      </w:pPr>
      <w:r w:rsidRPr="00561BD4">
        <w:rPr>
          <w:rStyle w:val="Refdenotaalpie"/>
        </w:rPr>
        <w:footnoteRef/>
      </w:r>
      <w:r w:rsidRPr="00561BD4">
        <w:t xml:space="preserve"> AZ Orden XXXII-B, folios 807-816.</w:t>
      </w:r>
    </w:p>
  </w:footnote>
  <w:footnote w:id="79">
    <w:p w14:paraId="08CAB3C8" w14:textId="1600EAC4" w:rsidR="004A604F" w:rsidRPr="00561BD4" w:rsidRDefault="004A604F" w:rsidP="00464A88">
      <w:pPr>
        <w:pStyle w:val="Textonotapie"/>
        <w:jc w:val="both"/>
      </w:pPr>
      <w:r w:rsidRPr="00561BD4">
        <w:rPr>
          <w:rStyle w:val="Refdenotaalpie"/>
        </w:rPr>
        <w:footnoteRef/>
      </w:r>
      <w:r w:rsidRPr="00561BD4">
        <w:t xml:space="preserve"> AZ Orden XXXII-B, folios 817-819.</w:t>
      </w:r>
    </w:p>
  </w:footnote>
  <w:footnote w:id="80">
    <w:p w14:paraId="08CAF7C6" w14:textId="12FBBFE7" w:rsidR="004A604F" w:rsidRPr="00561BD4" w:rsidRDefault="004A604F" w:rsidP="00464A88">
      <w:pPr>
        <w:pStyle w:val="Textonotapie"/>
        <w:jc w:val="both"/>
      </w:pPr>
      <w:r w:rsidRPr="00561BD4">
        <w:rPr>
          <w:rStyle w:val="Refdenotaalpie"/>
        </w:rPr>
        <w:footnoteRef/>
      </w:r>
      <w:r w:rsidRPr="00561BD4">
        <w:t xml:space="preserve"> AZ Orden XXXII-B, folios 820-822.</w:t>
      </w:r>
    </w:p>
  </w:footnote>
  <w:footnote w:id="81">
    <w:p w14:paraId="7562C68A" w14:textId="77777777" w:rsidR="004A604F" w:rsidRPr="00561BD4" w:rsidRDefault="004A604F">
      <w:pPr>
        <w:pStyle w:val="Textonotapie"/>
        <w:spacing w:line="200" w:lineRule="exact"/>
        <w:jc w:val="both"/>
      </w:pPr>
      <w:r w:rsidRPr="00561BD4">
        <w:rPr>
          <w:rStyle w:val="Refdenotaalpie"/>
        </w:rPr>
        <w:footnoteRef/>
      </w:r>
      <w:r w:rsidRPr="00561BD4">
        <w:t xml:space="preserve"> </w:t>
      </w:r>
      <w:r w:rsidRPr="00561BD4">
        <w:rPr>
          <w:i/>
        </w:rPr>
        <w:t>“Artículo 25. Protección Judicial: (…) 2. Los Estados Partes se comprometen: (…) c) a garantizar el cumplimiento, por las autoridades competentes, de toda decisión en que se haya estimado procedente el recurso”</w:t>
      </w:r>
      <w:r w:rsidRPr="00561BD4">
        <w:t>.</w:t>
      </w:r>
    </w:p>
  </w:footnote>
  <w:footnote w:id="82">
    <w:p w14:paraId="69679F7B" w14:textId="77777777" w:rsidR="004A604F" w:rsidRPr="00561BD4" w:rsidRDefault="004A604F">
      <w:pPr>
        <w:pStyle w:val="Textonotapie"/>
        <w:spacing w:line="200" w:lineRule="exact"/>
        <w:jc w:val="both"/>
        <w:rPr>
          <w:i/>
        </w:rPr>
      </w:pPr>
      <w:r w:rsidRPr="00561BD4">
        <w:rPr>
          <w:rStyle w:val="Refdenotaalpie"/>
        </w:rPr>
        <w:footnoteRef/>
      </w:r>
      <w:r w:rsidRPr="00561BD4">
        <w:t xml:space="preserve"> Ley 16 de 1972 </w:t>
      </w:r>
      <w:r w:rsidRPr="00561BD4">
        <w:rPr>
          <w:i/>
        </w:rPr>
        <w:t>“</w:t>
      </w:r>
      <w:r w:rsidRPr="00561BD4">
        <w:rPr>
          <w:bCs/>
          <w:i/>
        </w:rPr>
        <w:t>por medio de la cual se aprueba la Convención Americana sobre Derechos Humanos "Pacto de San José de Costa Rica", firmado en San José, Costa Rica, el 22 de noviembre de 1969".</w:t>
      </w:r>
    </w:p>
  </w:footnote>
  <w:footnote w:id="83">
    <w:p w14:paraId="475E1B8F" w14:textId="77777777" w:rsidR="004A604F" w:rsidRPr="00561BD4" w:rsidRDefault="004A604F">
      <w:pPr>
        <w:pStyle w:val="Textonotapie"/>
        <w:spacing w:line="200" w:lineRule="exact"/>
        <w:jc w:val="both"/>
        <w:rPr>
          <w:i/>
        </w:rPr>
      </w:pPr>
      <w:r w:rsidRPr="00561BD4">
        <w:rPr>
          <w:rStyle w:val="Refdenotaalpie"/>
        </w:rPr>
        <w:footnoteRef/>
      </w:r>
      <w:r w:rsidRPr="00561BD4">
        <w:t xml:space="preserve"> </w:t>
      </w:r>
      <w:r w:rsidRPr="00561BD4">
        <w:rPr>
          <w:i/>
        </w:rPr>
        <w:t>“Artículo 27. Cumplimiento del fallo. Proferido el fallo que concede la tutela, la autoridad responsable del agravio deberá cumplirlo sin demora.</w:t>
      </w:r>
    </w:p>
    <w:p w14:paraId="005409AE" w14:textId="77777777" w:rsidR="004A604F" w:rsidRPr="00561BD4" w:rsidRDefault="004A604F">
      <w:pPr>
        <w:pStyle w:val="Textonotapie"/>
        <w:spacing w:line="200" w:lineRule="exact"/>
        <w:jc w:val="both"/>
        <w:rPr>
          <w:i/>
        </w:rPr>
      </w:pPr>
      <w:r w:rsidRPr="00561BD4">
        <w:rPr>
          <w:i/>
        </w:rPr>
        <w:t>Si no lo hiciere dentro de las cuarenta y ocho horas siguientes, el juez se dirigirá al superior del responsable y le requerirá para que lo haga cumplir y abra el correspondiente procedimiento disciplinario contra aquél. Pasadas otras cuarenta y ocho horas, ordenará abrir proceso contra el superior que no hubiere procedido conforme a lo ordenado y adoptará directamente todas las medidas para el cabal cumplimiento del mismo. El juez podrá sancionar por desacato al responsable y al superior hasta que cumplan su sentencia.</w:t>
      </w:r>
    </w:p>
    <w:p w14:paraId="33040BB0" w14:textId="77777777" w:rsidR="004A604F" w:rsidRPr="00561BD4" w:rsidRDefault="004A604F">
      <w:pPr>
        <w:pStyle w:val="Textonotapie"/>
        <w:spacing w:line="200" w:lineRule="exact"/>
        <w:jc w:val="both"/>
        <w:rPr>
          <w:i/>
        </w:rPr>
      </w:pPr>
      <w:r w:rsidRPr="00561BD4">
        <w:rPr>
          <w:i/>
        </w:rPr>
        <w:t>Lo anterior sin perjuicio de la responsabilidad penal del funcionario en su caso.</w:t>
      </w:r>
    </w:p>
    <w:p w14:paraId="3D41309C" w14:textId="4FB5D2BA" w:rsidR="004A604F" w:rsidRPr="00561BD4" w:rsidRDefault="004A604F">
      <w:pPr>
        <w:pStyle w:val="Textonotapie"/>
        <w:spacing w:line="200" w:lineRule="exact"/>
        <w:jc w:val="both"/>
      </w:pPr>
      <w:r w:rsidRPr="00561BD4">
        <w:rPr>
          <w:i/>
        </w:rPr>
        <w:t>En todo caso, el juez establecerá los demás efectos del fallo para el caso concreto y mantendrá la competencia hasta que esté completamente restablecido el derecho o eliminadas las causas de la amenaza.”</w:t>
      </w:r>
    </w:p>
  </w:footnote>
  <w:footnote w:id="84">
    <w:p w14:paraId="3929A631" w14:textId="65304BA9" w:rsidR="004A604F" w:rsidRPr="00646F47" w:rsidRDefault="004A604F" w:rsidP="00E4237C">
      <w:pPr>
        <w:pStyle w:val="Textonotapie"/>
        <w:jc w:val="both"/>
      </w:pPr>
      <w:r w:rsidRPr="0027190A">
        <w:rPr>
          <w:rStyle w:val="Refdenotaalpie"/>
        </w:rPr>
        <w:footnoteRef/>
      </w:r>
      <w:r w:rsidRPr="0027190A">
        <w:t xml:space="preserve"> </w:t>
      </w:r>
      <w:r>
        <w:t xml:space="preserve">Auto 411 de 2015, </w:t>
      </w:r>
      <w:r w:rsidRPr="0027190A">
        <w:t xml:space="preserve">mediante el cual se efectuó el </w:t>
      </w:r>
      <w:r w:rsidRPr="0027190A">
        <w:rPr>
          <w:lang w:val="es-ES_tradnl"/>
        </w:rPr>
        <w:t xml:space="preserve">seguimiento a </w:t>
      </w:r>
      <w:r w:rsidRPr="0027190A">
        <w:t xml:space="preserve">la orden décima novena de </w:t>
      </w:r>
      <w:r w:rsidRPr="0027190A">
        <w:rPr>
          <w:lang w:val="es-ES_tradnl"/>
        </w:rPr>
        <w:t>la sentencia T-760 de 2008.</w:t>
      </w:r>
      <w:r>
        <w:rPr>
          <w:lang w:val="es-ES_tradnl"/>
        </w:rPr>
        <w:t xml:space="preserve"> Cfr. Niveles de cumplimiento autos</w:t>
      </w:r>
      <w:r>
        <w:t xml:space="preserve"> 186 de 2018 y 549 de </w:t>
      </w:r>
      <w:r w:rsidRPr="00D90D4C">
        <w:t xml:space="preserve">2018. </w:t>
      </w:r>
    </w:p>
  </w:footnote>
  <w:footnote w:id="85">
    <w:p w14:paraId="1AE83205" w14:textId="26EC912B" w:rsidR="004A604F" w:rsidRPr="00096AA9" w:rsidRDefault="004A604F" w:rsidP="00096AA9">
      <w:pPr>
        <w:pStyle w:val="Textonotapie"/>
        <w:jc w:val="both"/>
        <w:rPr>
          <w:i/>
          <w:lang w:val="es-ES"/>
        </w:rPr>
      </w:pPr>
      <w:r>
        <w:rPr>
          <w:rStyle w:val="Refdenotaalpie"/>
        </w:rPr>
        <w:footnoteRef/>
      </w:r>
      <w:r>
        <w:t xml:space="preserve"> La Corte en el auto 144 de 2011 manifestó: “</w:t>
      </w:r>
      <w:r w:rsidRPr="00096AA9">
        <w:rPr>
          <w:i/>
          <w:lang w:val="es-MX"/>
        </w:rPr>
        <w:t>Hasta el momento se considera que su labor como divulgador no ha sido cumplida plenamente, ya que dentro de la información allegada no se observa un programa coherente que se esté ejecutando y tenga la capacidad de asistir a la población más vulnerable, que es la más afectada por el desconocimiento del derecho que tiene a acceder a las prestaciones de salud</w:t>
      </w:r>
      <w:r>
        <w:rPr>
          <w:i/>
          <w:lang w:val="es-MX"/>
        </w:rPr>
        <w:t>”</w:t>
      </w:r>
    </w:p>
  </w:footnote>
  <w:footnote w:id="86">
    <w:p w14:paraId="1C7A90F0" w14:textId="19107BBC" w:rsidR="004A604F" w:rsidRDefault="004A604F" w:rsidP="00FD38ED">
      <w:pPr>
        <w:pStyle w:val="Textonotapie"/>
        <w:jc w:val="both"/>
      </w:pPr>
      <w:r>
        <w:rPr>
          <w:rStyle w:val="Refdenotaalpie"/>
        </w:rPr>
        <w:footnoteRef/>
      </w:r>
      <w:r>
        <w:t xml:space="preserve"> Auto 373 de 2016. </w:t>
      </w:r>
    </w:p>
  </w:footnote>
  <w:footnote w:id="87">
    <w:p w14:paraId="61B679C6" w14:textId="08D38BDB" w:rsidR="004A604F" w:rsidRPr="0027190A" w:rsidRDefault="004A604F" w:rsidP="0054531D">
      <w:pPr>
        <w:pStyle w:val="Textonotapie"/>
        <w:jc w:val="both"/>
        <w:rPr>
          <w:lang w:val="es-ES"/>
        </w:rPr>
      </w:pPr>
      <w:r w:rsidRPr="0027190A">
        <w:rPr>
          <w:rStyle w:val="Refdenotaalpie"/>
        </w:rPr>
        <w:footnoteRef/>
      </w:r>
      <w:r>
        <w:rPr>
          <w:shd w:val="clear" w:color="auto" w:fill="FFFFFF"/>
        </w:rPr>
        <w:t xml:space="preserve"> </w:t>
      </w:r>
      <w:r w:rsidRPr="0027190A">
        <w:rPr>
          <w:shd w:val="clear" w:color="auto" w:fill="FFFFFF"/>
        </w:rPr>
        <w:t>Sentencia T-388</w:t>
      </w:r>
      <w:r>
        <w:rPr>
          <w:shd w:val="clear" w:color="auto" w:fill="FFFFFF"/>
        </w:rPr>
        <w:t xml:space="preserve"> de </w:t>
      </w:r>
      <w:r w:rsidRPr="0027190A">
        <w:rPr>
          <w:shd w:val="clear" w:color="auto" w:fill="FFFFFF"/>
        </w:rPr>
        <w:t>201</w:t>
      </w:r>
      <w:r>
        <w:rPr>
          <w:shd w:val="clear" w:color="auto" w:fill="FFFFFF"/>
        </w:rPr>
        <w:t>3</w:t>
      </w:r>
      <w:r>
        <w:t>, autos 008 de 2009</w:t>
      </w:r>
      <w:r>
        <w:rPr>
          <w:shd w:val="clear" w:color="auto" w:fill="FFFFFF"/>
        </w:rPr>
        <w:t xml:space="preserve"> y </w:t>
      </w:r>
      <w:r>
        <w:t xml:space="preserve">373 de 2016. </w:t>
      </w:r>
    </w:p>
  </w:footnote>
  <w:footnote w:id="88">
    <w:p w14:paraId="0B761A05" w14:textId="77777777" w:rsidR="004A604F" w:rsidRPr="0019524B" w:rsidRDefault="004A604F" w:rsidP="005B4C00">
      <w:pPr>
        <w:pStyle w:val="Textonotapie"/>
        <w:jc w:val="both"/>
        <w:rPr>
          <w:i/>
        </w:rPr>
      </w:pPr>
      <w:r w:rsidRPr="0019524B">
        <w:rPr>
          <w:rStyle w:val="Refdenotaalpie"/>
        </w:rPr>
        <w:footnoteRef/>
      </w:r>
      <w:r w:rsidRPr="0019524B">
        <w:t xml:space="preserve"> “</w:t>
      </w:r>
      <w:r w:rsidRPr="0019524B">
        <w:rPr>
          <w:i/>
        </w:rPr>
        <w:t>Artículo 2: 1. Cada uno de los Estados Partes en el presente Pacto se compromete a adoptar medidas, tanto por separado como mediante la asistencia y la cooperación internacionales, especialmente económicas y técnicas, hasta el máximo de los recursos de que disponga, para lograr progresivamente, por todos los medios apropiados, inclusive en particular la adopción de medidas legislativas, la plena efectividad de los derechos aquí reconocidos.</w:t>
      </w:r>
    </w:p>
    <w:p w14:paraId="4CD0F507" w14:textId="77777777" w:rsidR="004A604F" w:rsidRPr="0019524B" w:rsidRDefault="004A604F" w:rsidP="005B4C00">
      <w:pPr>
        <w:pStyle w:val="Textonotapie"/>
        <w:jc w:val="both"/>
        <w:rPr>
          <w:i/>
        </w:rPr>
      </w:pPr>
      <w:r w:rsidRPr="0019524B">
        <w:rPr>
          <w:i/>
        </w:rPr>
        <w:t>2. Los Estados Partes en el presente Pacto se comprometen a garantizar el ejercicio de los derechos que en él se enuncian, sin discriminación alguna por motivos de raza, color, sexo, idioma, religión, opinión política o de otra índole, origen nacional o social, posición económica, nacimiento o cualquier otra condición social.</w:t>
      </w:r>
    </w:p>
    <w:p w14:paraId="0754E4C3" w14:textId="77777777" w:rsidR="004A604F" w:rsidRPr="0019524B" w:rsidRDefault="004A604F" w:rsidP="005B4C00">
      <w:pPr>
        <w:pStyle w:val="Textonotapie"/>
        <w:jc w:val="both"/>
        <w:rPr>
          <w:i/>
          <w:lang w:val="es-ES"/>
        </w:rPr>
      </w:pPr>
      <w:r w:rsidRPr="0019524B">
        <w:rPr>
          <w:i/>
        </w:rPr>
        <w:t>3. Los países en desarrollo, teniendo debidamente en cuenta los derechos humanos y su economía nacional, podrán determinar en qué medida garantizarán los derechos económicos reconocidos en el presente Pacto a personas que no sean nacionales suyos.”</w:t>
      </w:r>
    </w:p>
  </w:footnote>
  <w:footnote w:id="89">
    <w:p w14:paraId="36B6B81E" w14:textId="6C904418" w:rsidR="004A604F" w:rsidRPr="0027190A" w:rsidRDefault="004A604F" w:rsidP="00123F90">
      <w:pPr>
        <w:pStyle w:val="Textonotapie"/>
        <w:rPr>
          <w:lang w:val="es-ES"/>
        </w:rPr>
      </w:pPr>
      <w:r w:rsidRPr="0027190A">
        <w:rPr>
          <w:rStyle w:val="Refdenotaalpie"/>
        </w:rPr>
        <w:footnoteRef/>
      </w:r>
      <w:r w:rsidRPr="0027190A">
        <w:t xml:space="preserve"> </w:t>
      </w:r>
      <w:r>
        <w:t xml:space="preserve">C.N., arts. </w:t>
      </w:r>
      <w:r w:rsidRPr="0027190A">
        <w:t>1º y 2º</w:t>
      </w:r>
      <w:r>
        <w:t xml:space="preserve">. </w:t>
      </w:r>
      <w:r w:rsidRPr="0027190A">
        <w:rPr>
          <w:lang w:val="es-ES"/>
        </w:rPr>
        <w:t xml:space="preserve"> </w:t>
      </w:r>
    </w:p>
  </w:footnote>
  <w:footnote w:id="90">
    <w:p w14:paraId="7D1CD47C" w14:textId="741AFB67" w:rsidR="004A604F" w:rsidRPr="0027190A" w:rsidRDefault="004A604F" w:rsidP="00743A28">
      <w:pPr>
        <w:pStyle w:val="Textonotapie"/>
      </w:pPr>
      <w:r w:rsidRPr="0027190A">
        <w:rPr>
          <w:rStyle w:val="Refdenotaalpie"/>
        </w:rPr>
        <w:footnoteRef/>
      </w:r>
      <w:r w:rsidRPr="0027190A">
        <w:t xml:space="preserve"> </w:t>
      </w:r>
      <w:r w:rsidRPr="00D90D4C">
        <w:rPr>
          <w:i/>
        </w:rPr>
        <w:t>Cfr.</w:t>
      </w:r>
      <w:r>
        <w:t xml:space="preserve"> S</w:t>
      </w:r>
      <w:r w:rsidRPr="0027190A">
        <w:t>entencia T-388 de 2013.</w:t>
      </w:r>
    </w:p>
  </w:footnote>
  <w:footnote w:id="91">
    <w:p w14:paraId="70B424E4" w14:textId="46490A80" w:rsidR="004A604F" w:rsidRPr="000961E6" w:rsidRDefault="004A604F" w:rsidP="00743A28">
      <w:pPr>
        <w:pStyle w:val="Textonotapie"/>
        <w:jc w:val="both"/>
        <w:rPr>
          <w:lang w:val="es-ES"/>
        </w:rPr>
      </w:pPr>
      <w:r>
        <w:rPr>
          <w:rStyle w:val="Refdenotaalpie"/>
        </w:rPr>
        <w:footnoteRef/>
      </w:r>
      <w:r>
        <w:t xml:space="preserve"> </w:t>
      </w:r>
      <w:r w:rsidRPr="000961E6">
        <w:rPr>
          <w:lang w:eastAsia="es-ES_tradnl"/>
        </w:rPr>
        <w:t>Respuestas inadecuadas e insuficientes</w:t>
      </w:r>
      <w:r>
        <w:rPr>
          <w:sz w:val="28"/>
          <w:szCs w:val="28"/>
          <w:lang w:eastAsia="es-ES_tradnl"/>
        </w:rPr>
        <w:t>.</w:t>
      </w:r>
    </w:p>
  </w:footnote>
  <w:footnote w:id="92">
    <w:p w14:paraId="2A98DC96" w14:textId="7277FBD2" w:rsidR="004A604F" w:rsidRPr="00FA159B" w:rsidRDefault="004A604F" w:rsidP="00743A28">
      <w:pPr>
        <w:pStyle w:val="Textonotapie"/>
        <w:jc w:val="both"/>
      </w:pPr>
      <w:r w:rsidRPr="00FA159B">
        <w:rPr>
          <w:rStyle w:val="Refdenotaalpie"/>
        </w:rPr>
        <w:footnoteRef/>
      </w:r>
      <w:r w:rsidRPr="00FA159B">
        <w:t xml:space="preserve"> En este sentido se pronunció la Sala Especial de Seguimiento a través de los autos 186 y 549 de 2018.</w:t>
      </w:r>
    </w:p>
  </w:footnote>
  <w:footnote w:id="93">
    <w:p w14:paraId="5B979FE9" w14:textId="02C7F5AC" w:rsidR="004A604F" w:rsidRPr="00FA159B" w:rsidRDefault="004A604F" w:rsidP="00123F90">
      <w:pPr>
        <w:pStyle w:val="Textonotapie"/>
        <w:jc w:val="both"/>
        <w:rPr>
          <w:color w:val="000000"/>
        </w:rPr>
      </w:pPr>
      <w:r w:rsidRPr="00FA159B">
        <w:rPr>
          <w:rStyle w:val="Refdenotaalpie"/>
          <w:color w:val="000000"/>
        </w:rPr>
        <w:footnoteRef/>
      </w:r>
      <w:r w:rsidRPr="00FA159B">
        <w:rPr>
          <w:color w:val="000000"/>
        </w:rPr>
        <w:t xml:space="preserve"> La sentencia T-760 fue proferida el 31 de julio de 2008.</w:t>
      </w:r>
    </w:p>
  </w:footnote>
  <w:footnote w:id="94">
    <w:p w14:paraId="62DE90C6" w14:textId="4918D47F" w:rsidR="004A604F" w:rsidRPr="00FA159B" w:rsidRDefault="004A604F" w:rsidP="00123F90">
      <w:pPr>
        <w:pStyle w:val="Textonotapie"/>
        <w:jc w:val="both"/>
        <w:rPr>
          <w:lang w:val="es-ES"/>
        </w:rPr>
      </w:pPr>
      <w:r w:rsidRPr="00FA159B">
        <w:rPr>
          <w:rStyle w:val="Refdenotaalpie"/>
        </w:rPr>
        <w:footnoteRef/>
      </w:r>
      <w:r w:rsidRPr="00FA159B">
        <w:t xml:space="preserve"> La sentencia T-080 de 2018 señaló que: “</w:t>
      </w:r>
      <w:r w:rsidRPr="00FA159B">
        <w:rPr>
          <w:i/>
        </w:rPr>
        <w:t>El rol del juez constitucional, sin embargo, no debe ser pasivo. En efecto, ante un legislador y una administración inoperantes en materia de derechos sociales fundamentales, el juez está llamado a actuar como garante de los derechos constitucionales. Más aún, si se trata de derechos sociales llamados a satisfacer necesidades básicas radicales</w:t>
      </w:r>
      <w:r w:rsidRPr="00FA159B">
        <w:rPr>
          <w:rStyle w:val="Refdenotaalpie"/>
          <w:i/>
        </w:rPr>
        <w:footnoteRef/>
      </w:r>
      <w:r w:rsidRPr="00FA159B">
        <w:rPr>
          <w:i/>
        </w:rPr>
        <w:t xml:space="preserve"> o sus titulares son personas en situación de vulnerabilidad</w:t>
      </w:r>
      <w:r w:rsidRPr="00FA159B">
        <w:rPr>
          <w:rStyle w:val="Refdenotaalpie"/>
          <w:i/>
        </w:rPr>
        <w:footnoteRef/>
      </w:r>
      <w:r w:rsidRPr="00FA159B">
        <w:rPr>
          <w:i/>
        </w:rPr>
        <w:t>, el margen de configuración y acción de los órganos competentes en esta materia se ve reducido y, por consiguiente, los deberes y facultades del juez constitucional, son correlativamente ampliados</w:t>
      </w:r>
      <w:r w:rsidRPr="00FA159B">
        <w:t>”.</w:t>
      </w:r>
    </w:p>
  </w:footnote>
  <w:footnote w:id="95">
    <w:p w14:paraId="0F64E1B0" w14:textId="3C6CC81F" w:rsidR="004A604F" w:rsidRPr="00FA159B" w:rsidRDefault="004A604F" w:rsidP="00123F90">
      <w:pPr>
        <w:pStyle w:val="Textonotapie"/>
        <w:jc w:val="both"/>
      </w:pPr>
      <w:r w:rsidRPr="00FA159B">
        <w:rPr>
          <w:rStyle w:val="Refdenotaalpie"/>
        </w:rPr>
        <w:footnoteRef/>
      </w:r>
      <w:r w:rsidRPr="00FA159B">
        <w:t xml:space="preserve"> En este sentido se pronunció la Sala Especial de Seguimiento a través de los autos 186 y 549 de 2018.   </w:t>
      </w:r>
    </w:p>
  </w:footnote>
  <w:footnote w:id="96">
    <w:p w14:paraId="2C32C3AD" w14:textId="78A68DDB" w:rsidR="004A604F" w:rsidRPr="0027190A" w:rsidRDefault="004A604F" w:rsidP="00123F90">
      <w:pPr>
        <w:pStyle w:val="Textonotapie"/>
        <w:jc w:val="both"/>
      </w:pPr>
      <w:r w:rsidRPr="00FA159B">
        <w:rPr>
          <w:rStyle w:val="Refdenotaalpie"/>
        </w:rPr>
        <w:footnoteRef/>
      </w:r>
      <w:r w:rsidRPr="00FA159B">
        <w:t xml:space="preserve"> Ibídem.</w:t>
      </w:r>
      <w:r>
        <w:t xml:space="preserve"> </w:t>
      </w:r>
    </w:p>
  </w:footnote>
  <w:footnote w:id="97">
    <w:p w14:paraId="6B997319" w14:textId="77777777" w:rsidR="004A604F" w:rsidRPr="00FA159B" w:rsidRDefault="004A604F" w:rsidP="008014C5">
      <w:pPr>
        <w:pBdr>
          <w:top w:val="nil"/>
          <w:left w:val="nil"/>
          <w:bottom w:val="nil"/>
          <w:right w:val="nil"/>
          <w:between w:val="nil"/>
        </w:pBdr>
        <w:jc w:val="both"/>
        <w:rPr>
          <w:sz w:val="20"/>
          <w:szCs w:val="20"/>
        </w:rPr>
      </w:pPr>
      <w:r w:rsidRPr="0019524B">
        <w:rPr>
          <w:vertAlign w:val="superscript"/>
        </w:rPr>
        <w:footnoteRef/>
      </w:r>
      <w:r w:rsidRPr="0019524B">
        <w:t xml:space="preserve"> </w:t>
      </w:r>
      <w:r w:rsidRPr="00050673">
        <w:rPr>
          <w:i/>
          <w:sz w:val="20"/>
          <w:szCs w:val="20"/>
        </w:rPr>
        <w:t>Cfr</w:t>
      </w:r>
      <w:r w:rsidRPr="00050673">
        <w:rPr>
          <w:sz w:val="20"/>
          <w:szCs w:val="20"/>
        </w:rPr>
        <w:t>. auto 373 de 2016. Al desarrollar los “</w:t>
      </w:r>
      <w:r w:rsidRPr="00050673">
        <w:rPr>
          <w:i/>
          <w:sz w:val="20"/>
          <w:szCs w:val="20"/>
        </w:rPr>
        <w:t xml:space="preserve">criterios para entender superadas las condiciones que dan lugar a la intervención excepcional del juez constitucional en la política pública de desplazamiento forzado” </w:t>
      </w:r>
      <w:r w:rsidRPr="00050673">
        <w:rPr>
          <w:sz w:val="20"/>
          <w:szCs w:val="20"/>
        </w:rPr>
        <w:t>señaló que la jurisprudencia constitucional permite identificar criterios</w:t>
      </w:r>
      <w:r w:rsidRPr="00050673">
        <w:rPr>
          <w:i/>
          <w:sz w:val="20"/>
          <w:szCs w:val="20"/>
        </w:rPr>
        <w:t xml:space="preserve"> “para efectos de analizar si la actuación de las autoridades es idónea y sostenible para así entender por superadas las condiciones que dan lugar a la intervención excepcional del juez constitucional en la política pública. Así ocurre con los parámetros definidos por esta Corporación que permiten evaluar el cumplimiento a las órdenes complejas dictadas por el juez constitucional por parte de las autoridades responsables.” </w:t>
      </w:r>
      <w:r w:rsidRPr="00050673">
        <w:rPr>
          <w:sz w:val="20"/>
          <w:szCs w:val="20"/>
        </w:rPr>
        <w:t>De esta manera permite establecer</w:t>
      </w:r>
      <w:r w:rsidRPr="0019524B">
        <w:t xml:space="preserve"> </w:t>
      </w:r>
      <w:r w:rsidRPr="00050673">
        <w:rPr>
          <w:sz w:val="20"/>
          <w:szCs w:val="20"/>
        </w:rPr>
        <w:t xml:space="preserve">que si los resultados son sostenibles </w:t>
      </w:r>
      <w:r w:rsidRPr="00FA159B">
        <w:rPr>
          <w:sz w:val="20"/>
          <w:szCs w:val="20"/>
        </w:rPr>
        <w:t xml:space="preserve">puede darse por superada una falla general que dio lugar a la intervención del juez. </w:t>
      </w:r>
    </w:p>
  </w:footnote>
  <w:footnote w:id="98">
    <w:p w14:paraId="63EC20B0" w14:textId="78866B77" w:rsidR="004A604F" w:rsidRPr="00E40170" w:rsidRDefault="004A604F" w:rsidP="00123F90">
      <w:pPr>
        <w:pStyle w:val="Textonotapie"/>
        <w:jc w:val="both"/>
      </w:pPr>
      <w:r w:rsidRPr="00FA159B">
        <w:rPr>
          <w:rStyle w:val="Refdenotaalpie"/>
        </w:rPr>
        <w:footnoteRef/>
      </w:r>
      <w:r w:rsidRPr="00FA159B">
        <w:t xml:space="preserve"> En este sentido se pronunció la Sala Especial de Seguimiento a través de los autos 186 y 549 de 2018.</w:t>
      </w:r>
      <w:r>
        <w:t xml:space="preserve">  </w:t>
      </w:r>
      <w:r w:rsidRPr="0027190A">
        <w:t xml:space="preserve"> </w:t>
      </w:r>
    </w:p>
  </w:footnote>
  <w:footnote w:id="99">
    <w:p w14:paraId="792249C1" w14:textId="77777777" w:rsidR="004A604F" w:rsidRPr="00E40170" w:rsidRDefault="004A604F" w:rsidP="00346BCB">
      <w:pPr>
        <w:pBdr>
          <w:top w:val="nil"/>
          <w:left w:val="nil"/>
          <w:bottom w:val="nil"/>
          <w:right w:val="nil"/>
          <w:between w:val="nil"/>
        </w:pBdr>
        <w:jc w:val="both"/>
        <w:rPr>
          <w:sz w:val="20"/>
          <w:szCs w:val="20"/>
        </w:rPr>
      </w:pPr>
      <w:r w:rsidRPr="00E40170">
        <w:rPr>
          <w:sz w:val="20"/>
          <w:szCs w:val="20"/>
          <w:vertAlign w:val="superscript"/>
        </w:rPr>
        <w:footnoteRef/>
      </w:r>
      <w:r w:rsidRPr="00E40170">
        <w:rPr>
          <w:sz w:val="20"/>
          <w:szCs w:val="20"/>
        </w:rPr>
        <w:t xml:space="preserve"> Auto 411 de 2015.</w:t>
      </w:r>
    </w:p>
  </w:footnote>
  <w:footnote w:id="100">
    <w:p w14:paraId="3374749D" w14:textId="77777777" w:rsidR="004A604F" w:rsidRPr="00E40170" w:rsidRDefault="004A604F" w:rsidP="00346BCB">
      <w:pPr>
        <w:pBdr>
          <w:top w:val="nil"/>
          <w:left w:val="nil"/>
          <w:bottom w:val="nil"/>
          <w:right w:val="nil"/>
          <w:between w:val="nil"/>
        </w:pBdr>
        <w:jc w:val="both"/>
        <w:rPr>
          <w:sz w:val="20"/>
          <w:szCs w:val="20"/>
        </w:rPr>
      </w:pPr>
      <w:r w:rsidRPr="00E40170">
        <w:rPr>
          <w:sz w:val="20"/>
          <w:szCs w:val="20"/>
          <w:vertAlign w:val="superscript"/>
        </w:rPr>
        <w:footnoteRef/>
      </w:r>
      <w:r w:rsidRPr="00E40170">
        <w:rPr>
          <w:sz w:val="20"/>
          <w:szCs w:val="20"/>
        </w:rPr>
        <w:t xml:space="preserve"> </w:t>
      </w:r>
      <w:r w:rsidRPr="00E40170">
        <w:rPr>
          <w:i/>
          <w:sz w:val="20"/>
          <w:szCs w:val="20"/>
        </w:rPr>
        <w:t xml:space="preserve">Cfr. </w:t>
      </w:r>
      <w:r w:rsidRPr="00E40170">
        <w:rPr>
          <w:sz w:val="20"/>
          <w:szCs w:val="20"/>
        </w:rPr>
        <w:t xml:space="preserve">autos 411 de 2015 reiterados entre otros en los 186 de 2018 y 549 de 2018. </w:t>
      </w:r>
    </w:p>
  </w:footnote>
  <w:footnote w:id="101">
    <w:p w14:paraId="15AA7C7C" w14:textId="77777777" w:rsidR="004A604F" w:rsidRPr="00E40170" w:rsidRDefault="004A604F" w:rsidP="00346BCB">
      <w:pPr>
        <w:pStyle w:val="Textonotapie"/>
        <w:jc w:val="both"/>
      </w:pPr>
      <w:r w:rsidRPr="00E40170">
        <w:rPr>
          <w:rStyle w:val="Refdenotaalpie"/>
        </w:rPr>
        <w:footnoteRef/>
      </w:r>
      <w:r w:rsidRPr="00E40170">
        <w:t xml:space="preserve"> Entiéndase por </w:t>
      </w:r>
      <w:r w:rsidRPr="00E40170">
        <w:rPr>
          <w:i/>
        </w:rPr>
        <w:t>resultado</w:t>
      </w:r>
      <w:r w:rsidRPr="00E40170">
        <w:t xml:space="preserve"> la materialización de las medidas formales adoptadas por la autoridad obligada en el ámbito de acatamiento de la orden examinada.</w:t>
      </w:r>
    </w:p>
  </w:footnote>
  <w:footnote w:id="102">
    <w:p w14:paraId="48766588" w14:textId="77777777" w:rsidR="004A604F" w:rsidRPr="00E40170" w:rsidRDefault="004A604F" w:rsidP="00346BCB">
      <w:pPr>
        <w:pStyle w:val="Textonotapie"/>
        <w:jc w:val="both"/>
      </w:pPr>
      <w:r w:rsidRPr="00E40170">
        <w:rPr>
          <w:rStyle w:val="Refdenotaalpie"/>
        </w:rPr>
        <w:footnoteRef/>
      </w:r>
      <w:r w:rsidRPr="00E40170">
        <w:t xml:space="preserve"> Entiéndase por </w:t>
      </w:r>
      <w:r w:rsidRPr="00E40170">
        <w:rPr>
          <w:i/>
        </w:rPr>
        <w:t>avance</w:t>
      </w:r>
      <w:r w:rsidRPr="00E40170">
        <w:t xml:space="preserve"> el efecto de progreso que permita comparar, en un periodo de tiempo determinado, la situación existente antes de la adopción de las medidas acreditadas y después de su implementación, siempre que reflejen cambios favorables en la superación de la falla estructural en el sistema de salud.</w:t>
      </w:r>
    </w:p>
  </w:footnote>
  <w:footnote w:id="103">
    <w:p w14:paraId="0121ED00" w14:textId="77777777" w:rsidR="004A604F" w:rsidRPr="00E40170" w:rsidRDefault="004A604F" w:rsidP="00346BCB">
      <w:pPr>
        <w:pStyle w:val="Textonotapie"/>
        <w:jc w:val="both"/>
        <w:rPr>
          <w:lang w:val="es-ES"/>
        </w:rPr>
      </w:pPr>
      <w:r w:rsidRPr="00E40170">
        <w:rPr>
          <w:rStyle w:val="Refdenotaalpie"/>
        </w:rPr>
        <w:footnoteRef/>
      </w:r>
      <w:r w:rsidRPr="00E40170">
        <w:t xml:space="preserve"> Aunque el obligado haya implementado medidas conducentes, reportado los resultados y aquellos muestren avances en la ejecución de la política. </w:t>
      </w:r>
    </w:p>
  </w:footnote>
  <w:footnote w:id="104">
    <w:p w14:paraId="2895678D" w14:textId="47492991" w:rsidR="004A604F" w:rsidRPr="0027190A" w:rsidRDefault="004A604F" w:rsidP="00123F90">
      <w:pPr>
        <w:pStyle w:val="Textonotapie"/>
        <w:jc w:val="both"/>
      </w:pPr>
      <w:r w:rsidRPr="00FA159B">
        <w:rPr>
          <w:rStyle w:val="Refdenotaalpie"/>
        </w:rPr>
        <w:footnoteRef/>
      </w:r>
      <w:r w:rsidRPr="00FA159B">
        <w:t xml:space="preserve"> La Sala Especial de Seguimiento se pronunció en este sentido en los autos 186 y 549 de 2018.</w:t>
      </w:r>
      <w:r>
        <w:t xml:space="preserve"> </w:t>
      </w:r>
    </w:p>
  </w:footnote>
  <w:footnote w:id="105">
    <w:p w14:paraId="06B26744" w14:textId="30BB2396" w:rsidR="004A604F" w:rsidRPr="0027190A" w:rsidRDefault="004A604F" w:rsidP="00123F90">
      <w:pPr>
        <w:pStyle w:val="Textonotapie"/>
        <w:jc w:val="both"/>
      </w:pPr>
      <w:r w:rsidRPr="0027190A">
        <w:rPr>
          <w:rStyle w:val="Refdenotaalpie"/>
        </w:rPr>
        <w:footnoteRef/>
      </w:r>
      <w:r w:rsidRPr="0027190A">
        <w:t xml:space="preserve"> </w:t>
      </w:r>
      <w:r w:rsidRPr="0027190A">
        <w:rPr>
          <w:i/>
        </w:rPr>
        <w:t xml:space="preserve">Cfr. </w:t>
      </w:r>
      <w:r>
        <w:t xml:space="preserve">C.P. </w:t>
      </w:r>
      <w:r w:rsidRPr="0027190A">
        <w:t>art. 277.</w:t>
      </w:r>
      <w:r>
        <w:t xml:space="preserve"> num. </w:t>
      </w:r>
      <w:r w:rsidRPr="0027190A">
        <w:t xml:space="preserve">1: </w:t>
      </w:r>
      <w:r w:rsidRPr="0027190A">
        <w:rPr>
          <w:i/>
        </w:rPr>
        <w:t>“El Procurador General de la Nación, por sí o por medio de sus delegados y agentes, tendrá las siguientes funciones: 1. Vigilar el cumplimiento de la Constitución, las leyes, las decisiones judiciales y los actos administrativos”</w:t>
      </w:r>
      <w:r w:rsidRPr="0027190A">
        <w:t xml:space="preserve">. </w:t>
      </w:r>
      <w:r>
        <w:t>D.L</w:t>
      </w:r>
      <w:r w:rsidRPr="0027190A">
        <w:t xml:space="preserve"> 262 de 2000 art. 24</w:t>
      </w:r>
      <w:r>
        <w:t>, num.</w:t>
      </w:r>
      <w:r w:rsidRPr="0027190A">
        <w:t xml:space="preserve">1: </w:t>
      </w:r>
      <w:r w:rsidRPr="0027190A">
        <w:rPr>
          <w:i/>
        </w:rPr>
        <w:t>“Funciones preventivas y de control de gestión. Sin perjuicio de lo dispuesto en la ley, las procuradurías delegadas tienen las siguientes funciones de vigilancia superior, con fines preventivos y de control de gestión: 1. Velar por el cumplimiento de las disposiciones constitucionales y legales, así como de las decisiones judiciales y administrativas”.</w:t>
      </w:r>
      <w:r w:rsidRPr="0027190A">
        <w:t xml:space="preserve"> Y </w:t>
      </w:r>
      <w:r w:rsidRPr="0027190A">
        <w:rPr>
          <w:bCs/>
        </w:rPr>
        <w:t>Res</w:t>
      </w:r>
      <w:r>
        <w:rPr>
          <w:bCs/>
        </w:rPr>
        <w:t>.</w:t>
      </w:r>
      <w:r w:rsidRPr="0027190A">
        <w:rPr>
          <w:bCs/>
        </w:rPr>
        <w:t xml:space="preserve"> 490</w:t>
      </w:r>
      <w:r>
        <w:rPr>
          <w:bCs/>
        </w:rPr>
        <w:t>/</w:t>
      </w:r>
      <w:r w:rsidRPr="0027190A">
        <w:rPr>
          <w:bCs/>
        </w:rPr>
        <w:t>2008, p</w:t>
      </w:r>
      <w:r w:rsidRPr="0027190A">
        <w:rPr>
          <w:bCs/>
          <w:iCs/>
        </w:rPr>
        <w:t xml:space="preserve">or medio de la cual </w:t>
      </w:r>
      <w:r w:rsidRPr="0027190A">
        <w:rPr>
          <w:bCs/>
        </w:rPr>
        <w:t xml:space="preserve">se </w:t>
      </w:r>
      <w:r w:rsidRPr="0027190A">
        <w:rPr>
          <w:bCs/>
          <w:iCs/>
        </w:rPr>
        <w:t xml:space="preserve">crea el Sistema Integral de Prevención </w:t>
      </w:r>
      <w:r w:rsidRPr="0027190A">
        <w:rPr>
          <w:bCs/>
        </w:rPr>
        <w:t xml:space="preserve">y se </w:t>
      </w:r>
      <w:r w:rsidRPr="0027190A">
        <w:rPr>
          <w:bCs/>
          <w:iCs/>
        </w:rPr>
        <w:t xml:space="preserve">establecen los principios </w:t>
      </w:r>
      <w:r w:rsidRPr="0027190A">
        <w:rPr>
          <w:bCs/>
        </w:rPr>
        <w:t xml:space="preserve">y </w:t>
      </w:r>
      <w:r w:rsidRPr="0027190A">
        <w:rPr>
          <w:bCs/>
          <w:iCs/>
        </w:rPr>
        <w:t xml:space="preserve">criterios correspondientes al ejercicio de la función preventiva a cargo de la Procuraduría General de la Nación </w:t>
      </w:r>
      <w:r w:rsidRPr="0027190A">
        <w:rPr>
          <w:bCs/>
        </w:rPr>
        <w:t xml:space="preserve">y se </w:t>
      </w:r>
      <w:r w:rsidRPr="0027190A">
        <w:rPr>
          <w:bCs/>
          <w:iCs/>
        </w:rPr>
        <w:t>dictan otras disposiciones.</w:t>
      </w:r>
    </w:p>
  </w:footnote>
  <w:footnote w:id="106">
    <w:p w14:paraId="0530436B" w14:textId="77777777" w:rsidR="004A604F" w:rsidRPr="0027190A" w:rsidRDefault="004A604F" w:rsidP="00123F90">
      <w:pPr>
        <w:pStyle w:val="Textonotapie"/>
        <w:jc w:val="both"/>
      </w:pPr>
      <w:r w:rsidRPr="0027190A">
        <w:rPr>
          <w:rStyle w:val="Refdenotaalpie"/>
        </w:rPr>
        <w:footnoteRef/>
      </w:r>
      <w:r w:rsidRPr="0027190A">
        <w:t xml:space="preserve"> En virtud del artículo 277.6 Superior, corresponde al Procurador General de la Nación ejercer la vigilancia superior de la conducta oficial de quienes desempeñen funciones públicas.</w:t>
      </w:r>
    </w:p>
  </w:footnote>
  <w:footnote w:id="107">
    <w:p w14:paraId="1088812F" w14:textId="44BCBF4B" w:rsidR="004A604F" w:rsidRPr="00561BD4" w:rsidRDefault="004A604F">
      <w:pPr>
        <w:pStyle w:val="Textonotapie"/>
        <w:jc w:val="both"/>
        <w:rPr>
          <w:i/>
        </w:rPr>
      </w:pPr>
      <w:r w:rsidRPr="00561BD4">
        <w:rPr>
          <w:rStyle w:val="Refdenotaalpie"/>
        </w:rPr>
        <w:footnoteRef/>
      </w:r>
      <w:r w:rsidRPr="00561BD4">
        <w:t xml:space="preserve"> Sent</w:t>
      </w:r>
      <w:r>
        <w:t>encia.</w:t>
      </w:r>
      <w:r w:rsidRPr="00561BD4">
        <w:t xml:space="preserve"> T-1125</w:t>
      </w:r>
      <w:r>
        <w:t>/2003</w:t>
      </w:r>
      <w:r w:rsidRPr="00561BD4">
        <w:t xml:space="preserve">, que además señaló </w:t>
      </w:r>
      <w:r w:rsidRPr="00561BD4">
        <w:rPr>
          <w:i/>
        </w:rPr>
        <w:t>“la pedagogías constitucional es fundamental para lograr una sociedad democrática, social, pluralista y humanista”.</w:t>
      </w:r>
    </w:p>
  </w:footnote>
  <w:footnote w:id="108">
    <w:p w14:paraId="211E61CB" w14:textId="5436DDB3" w:rsidR="004A604F" w:rsidRPr="00801703" w:rsidRDefault="004A604F">
      <w:pPr>
        <w:pStyle w:val="Textonotapie"/>
        <w:rPr>
          <w:lang w:val="es-ES"/>
        </w:rPr>
      </w:pPr>
      <w:r>
        <w:rPr>
          <w:rStyle w:val="Refdenotaalpie"/>
        </w:rPr>
        <w:footnoteRef/>
      </w:r>
      <w:r>
        <w:t xml:space="preserve"> </w:t>
      </w:r>
      <w:r w:rsidRPr="00BA1AD5">
        <w:t>Estatutaria de la administración de justicia</w:t>
      </w:r>
      <w:r>
        <w:t>.</w:t>
      </w:r>
    </w:p>
  </w:footnote>
  <w:footnote w:id="109">
    <w:p w14:paraId="0F8B734C" w14:textId="77777777" w:rsidR="004A604F" w:rsidRPr="00561BD4" w:rsidRDefault="004A604F" w:rsidP="00F44DBC">
      <w:pPr>
        <w:pStyle w:val="Textonotapie"/>
        <w:jc w:val="both"/>
        <w:rPr>
          <w:lang w:val="es-419"/>
        </w:rPr>
      </w:pPr>
      <w:r w:rsidRPr="00561BD4">
        <w:rPr>
          <w:rStyle w:val="Refdenotaalpie"/>
        </w:rPr>
        <w:footnoteRef/>
      </w:r>
      <w:r w:rsidRPr="00561BD4">
        <w:t xml:space="preserve"> </w:t>
      </w:r>
      <w:r>
        <w:rPr>
          <w:lang w:val="es-419"/>
        </w:rPr>
        <w:t>E</w:t>
      </w:r>
      <w:r w:rsidRPr="00561BD4">
        <w:t>l artículo 176 de la normatividad estatutaria ordena a la Sala Administrativa del Consejo Superior de la Judicatura para que promueva “</w:t>
      </w:r>
      <w:r w:rsidRPr="00561BD4">
        <w:rPr>
          <w:i/>
        </w:rPr>
        <w:t xml:space="preserve">la capacitación y actualización de los funcionarios y empleados de la Rama Judicial”. </w:t>
      </w:r>
      <w:r w:rsidRPr="00561BD4">
        <w:t>Y a renglón seguido indica que “</w:t>
      </w:r>
      <w:r w:rsidRPr="00561BD4">
        <w:rPr>
          <w:i/>
        </w:rPr>
        <w:t>los empleados deberán tomar cursos de capacitación y actualización en técnicas de administración y gestión judicial cuando menos cada tres años”.</w:t>
      </w:r>
    </w:p>
  </w:footnote>
  <w:footnote w:id="110">
    <w:p w14:paraId="446EB910" w14:textId="5D585A12" w:rsidR="004A604F" w:rsidRPr="00D90D4C" w:rsidRDefault="004A604F">
      <w:pPr>
        <w:pStyle w:val="Textonotapie"/>
        <w:rPr>
          <w:lang w:val="es-ES"/>
        </w:rPr>
      </w:pPr>
      <w:r>
        <w:rPr>
          <w:rStyle w:val="Refdenotaalpie"/>
        </w:rPr>
        <w:footnoteRef/>
      </w:r>
      <w:r>
        <w:t xml:space="preserve"> </w:t>
      </w:r>
      <w:r w:rsidRPr="00CC5C1A">
        <w:t>Sentencia C-641 de 2002</w:t>
      </w:r>
      <w:r>
        <w:t>.</w:t>
      </w:r>
    </w:p>
  </w:footnote>
  <w:footnote w:id="111">
    <w:p w14:paraId="1B6ADC6C" w14:textId="4489D4B2" w:rsidR="004A604F" w:rsidRDefault="004A604F">
      <w:pPr>
        <w:pStyle w:val="Textonotapie"/>
      </w:pPr>
      <w:r>
        <w:rPr>
          <w:rStyle w:val="Refdenotaalpie"/>
        </w:rPr>
        <w:footnoteRef/>
      </w:r>
      <w:r>
        <w:t xml:space="preserve"> P</w:t>
      </w:r>
      <w:r w:rsidRPr="00524D67">
        <w:t xml:space="preserve">royecto de </w:t>
      </w:r>
      <w:r>
        <w:t>L</w:t>
      </w:r>
      <w:r w:rsidRPr="00524D67">
        <w:t xml:space="preserve">ey </w:t>
      </w:r>
      <w:r>
        <w:t>E</w:t>
      </w:r>
      <w:r w:rsidRPr="00524D67">
        <w:t>statutaria número 023/06 Senado y 286/07 Cámara “Por la cual se reforma la Ley 270 de 1996 Estatutaria de la Administración de Justicia”</w:t>
      </w:r>
    </w:p>
  </w:footnote>
  <w:footnote w:id="112">
    <w:p w14:paraId="5FD0B4B9" w14:textId="3941B67D" w:rsidR="004A604F" w:rsidRPr="00561BD4" w:rsidRDefault="004A604F">
      <w:pPr>
        <w:pStyle w:val="Textonotapie"/>
        <w:jc w:val="both"/>
      </w:pPr>
      <w:r w:rsidRPr="00561BD4">
        <w:rPr>
          <w:rStyle w:val="Refdenotaalpie"/>
        </w:rPr>
        <w:footnoteRef/>
      </w:r>
      <w:r w:rsidRPr="00561BD4">
        <w:t xml:space="preserve"> Ley 270</w:t>
      </w:r>
      <w:r>
        <w:t>/</w:t>
      </w:r>
      <w:r w:rsidRPr="00561BD4">
        <w:t>199</w:t>
      </w:r>
      <w:r>
        <w:t>6, art. 85, num.</w:t>
      </w:r>
      <w:r w:rsidRPr="00561BD4">
        <w:t xml:space="preserve"> 23</w:t>
      </w:r>
      <w:r>
        <w:t>.</w:t>
      </w:r>
      <w:r w:rsidRPr="00561BD4">
        <w:t>, expone: “</w:t>
      </w:r>
      <w:r w:rsidRPr="00561BD4">
        <w:rPr>
          <w:i/>
          <w:color w:val="000000"/>
          <w:shd w:val="clear" w:color="auto" w:fill="FFFFFF"/>
        </w:rPr>
        <w:t>Elaborar y desarrollar el plan de formación, capacitación, y adiestramiento de los funcionarios y empleados de la Rama Judicial”.</w:t>
      </w:r>
    </w:p>
  </w:footnote>
  <w:footnote w:id="113">
    <w:p w14:paraId="64B21670" w14:textId="4D725829" w:rsidR="004A604F" w:rsidRPr="00561BD4" w:rsidRDefault="004A604F">
      <w:pPr>
        <w:pStyle w:val="Textonotapie"/>
        <w:jc w:val="both"/>
        <w:rPr>
          <w:i/>
        </w:rPr>
      </w:pPr>
      <w:r w:rsidRPr="00561BD4">
        <w:rPr>
          <w:rStyle w:val="Refdenotaalpie"/>
        </w:rPr>
        <w:footnoteRef/>
      </w:r>
      <w:r w:rsidRPr="00561BD4">
        <w:t xml:space="preserve"> Art</w:t>
      </w:r>
      <w:r>
        <w:t>.</w:t>
      </w:r>
      <w:r w:rsidRPr="00561BD4">
        <w:t xml:space="preserve"> 8, num</w:t>
      </w:r>
      <w:r>
        <w:t>.</w:t>
      </w:r>
      <w:r w:rsidRPr="00561BD4">
        <w:t xml:space="preserve"> 3, Acuerdo 113</w:t>
      </w:r>
      <w:r>
        <w:t>/</w:t>
      </w:r>
      <w:r w:rsidRPr="00561BD4">
        <w:t>1993 “</w:t>
      </w:r>
      <w:r w:rsidRPr="00561BD4">
        <w:rPr>
          <w:i/>
        </w:rPr>
        <w:t>Por el cual se dicta el Reglamento Interno de la Sala Administrativa”.</w:t>
      </w:r>
    </w:p>
  </w:footnote>
  <w:footnote w:id="114">
    <w:p w14:paraId="3D908F4D" w14:textId="28806792" w:rsidR="004A604F" w:rsidRPr="00561BD4" w:rsidRDefault="004A604F">
      <w:pPr>
        <w:pStyle w:val="Textonotapie"/>
        <w:jc w:val="both"/>
        <w:rPr>
          <w:i/>
          <w:lang w:val="es-ES"/>
        </w:rPr>
      </w:pPr>
      <w:r w:rsidRPr="00561BD4">
        <w:rPr>
          <w:rStyle w:val="Refdenotaalpie"/>
        </w:rPr>
        <w:footnoteRef/>
      </w:r>
      <w:r w:rsidRPr="00561BD4">
        <w:t xml:space="preserve"> </w:t>
      </w:r>
      <w:r w:rsidRPr="00561BD4">
        <w:rPr>
          <w:i/>
        </w:rPr>
        <w:t>“CAPITULO II FUNCIONAMIENTO DE LA SALA ARTICULO 8. Áreas de Actividad. Con arreglo a su naturaleza, los asuntos de que debe conocer la Sala por mandato constitucional, legal o reglamentario, se agrupan en las siguientes áreas de actividad especializada: (…) 4.   Información y divulgación”</w:t>
      </w:r>
    </w:p>
  </w:footnote>
  <w:footnote w:id="115">
    <w:p w14:paraId="1C5BD9C7" w14:textId="77777777" w:rsidR="004A604F" w:rsidRPr="00561BD4" w:rsidRDefault="004A604F">
      <w:pPr>
        <w:pStyle w:val="Textonotapie"/>
        <w:jc w:val="both"/>
        <w:rPr>
          <w:lang w:val="es-ES"/>
        </w:rPr>
      </w:pPr>
      <w:r w:rsidRPr="00561BD4">
        <w:rPr>
          <w:rStyle w:val="Refdenotaalpie"/>
        </w:rPr>
        <w:footnoteRef/>
      </w:r>
      <w:r w:rsidRPr="00561BD4">
        <w:t xml:space="preserve"> De conformidad con lo establecido en el primer inciso del artículo 176 de la Ley 270 de 1996: “La Sala Administrativa del Consejo Superior de la Judicatura promoverá la capacitación y actualización de los funcionarios y empleados de la Rama Judicial”.</w:t>
      </w:r>
    </w:p>
  </w:footnote>
  <w:footnote w:id="116">
    <w:p w14:paraId="05C27A88" w14:textId="644840E0" w:rsidR="004A604F" w:rsidRPr="00DD0BB9" w:rsidRDefault="004A604F">
      <w:pPr>
        <w:pStyle w:val="Textonotapie"/>
        <w:rPr>
          <w:lang w:val="es-ES"/>
        </w:rPr>
      </w:pPr>
      <w:r>
        <w:rPr>
          <w:rStyle w:val="Refdenotaalpie"/>
        </w:rPr>
        <w:footnoteRef/>
      </w:r>
      <w:r>
        <w:t xml:space="preserve"> </w:t>
      </w:r>
      <w:r>
        <w:rPr>
          <w:lang w:val="es-ES"/>
        </w:rPr>
        <w:t>A través de auto 144 de 2011.</w:t>
      </w:r>
    </w:p>
  </w:footnote>
  <w:footnote w:id="117">
    <w:p w14:paraId="10DF6C22" w14:textId="6A72EFA7" w:rsidR="004A604F" w:rsidRPr="00820F25" w:rsidRDefault="004A604F" w:rsidP="00820F25">
      <w:pPr>
        <w:pStyle w:val="Sinespaciado"/>
        <w:jc w:val="both"/>
        <w:rPr>
          <w:lang w:val="es-ES"/>
        </w:rPr>
      </w:pPr>
      <w:r w:rsidRPr="00820F25">
        <w:rPr>
          <w:rStyle w:val="Refdenotaalpie"/>
          <w:rFonts w:ascii="Times New Roman" w:hAnsi="Times New Roman"/>
          <w:sz w:val="20"/>
          <w:szCs w:val="20"/>
        </w:rPr>
        <w:footnoteRef/>
      </w:r>
      <w:r w:rsidRPr="00820F25">
        <w:rPr>
          <w:rFonts w:ascii="Times New Roman" w:hAnsi="Times New Roman"/>
          <w:sz w:val="20"/>
          <w:szCs w:val="20"/>
        </w:rPr>
        <w:t xml:space="preserve"> La principal razón por la que los accionantes acuden al mecanismo de protección constitucional es el derecho a la salud con una participación del 97.7%. Cfr. AZ Orden XXX - C, folio 1278-1326.  Informe Ministerio de Salud y Protección Social, año 2017. </w:t>
      </w:r>
    </w:p>
  </w:footnote>
  <w:footnote w:id="118">
    <w:p w14:paraId="023C5366" w14:textId="12BC9065" w:rsidR="004A604F" w:rsidRPr="00FD38ED" w:rsidRDefault="004A604F" w:rsidP="00820F25">
      <w:pPr>
        <w:pStyle w:val="Sinespaciado"/>
        <w:jc w:val="both"/>
        <w:rPr>
          <w:rFonts w:ascii="Times New Roman" w:hAnsi="Times New Roman"/>
        </w:rPr>
      </w:pPr>
      <w:r w:rsidRPr="00FD38ED">
        <w:rPr>
          <w:rStyle w:val="Refdenotaalpie"/>
          <w:rFonts w:ascii="Times New Roman" w:hAnsi="Times New Roman"/>
          <w:sz w:val="20"/>
          <w:szCs w:val="20"/>
        </w:rPr>
        <w:footnoteRef/>
      </w:r>
      <w:r w:rsidRPr="00FD38ED">
        <w:rPr>
          <w:rFonts w:ascii="Times New Roman" w:hAnsi="Times New Roman"/>
          <w:sz w:val="20"/>
          <w:szCs w:val="20"/>
        </w:rPr>
        <w:t xml:space="preserve"> </w:t>
      </w:r>
      <w:r w:rsidRPr="006003DC">
        <w:rPr>
          <w:rFonts w:ascii="Times New Roman" w:hAnsi="Times New Roman"/>
          <w:i/>
          <w:sz w:val="20"/>
          <w:szCs w:val="20"/>
        </w:rPr>
        <w:t>(i)</w:t>
      </w:r>
      <w:r w:rsidRPr="00FD38ED">
        <w:rPr>
          <w:rFonts w:ascii="Times New Roman" w:hAnsi="Times New Roman"/>
          <w:sz w:val="20"/>
          <w:szCs w:val="20"/>
        </w:rPr>
        <w:t xml:space="preserve"> las causas principales de la demora en la prestación o autorización del servicio</w:t>
      </w:r>
      <w:r w:rsidRPr="006003DC">
        <w:rPr>
          <w:rFonts w:ascii="Times New Roman" w:hAnsi="Times New Roman"/>
          <w:i/>
          <w:sz w:val="20"/>
          <w:szCs w:val="20"/>
        </w:rPr>
        <w:t>; (ii)</w:t>
      </w:r>
      <w:r w:rsidRPr="00FD38ED">
        <w:rPr>
          <w:rFonts w:ascii="Times New Roman" w:hAnsi="Times New Roman"/>
          <w:sz w:val="20"/>
          <w:szCs w:val="20"/>
        </w:rPr>
        <w:t xml:space="preserve"> el cumplimiento efectivo de las decisiones judiciales</w:t>
      </w:r>
      <w:r w:rsidRPr="0000513A">
        <w:rPr>
          <w:rFonts w:ascii="Times New Roman" w:hAnsi="Times New Roman"/>
          <w:i/>
          <w:sz w:val="20"/>
          <w:szCs w:val="20"/>
        </w:rPr>
        <w:t>; (iii)</w:t>
      </w:r>
      <w:r w:rsidRPr="00FD38ED">
        <w:rPr>
          <w:rFonts w:ascii="Times New Roman" w:hAnsi="Times New Roman"/>
          <w:sz w:val="20"/>
          <w:szCs w:val="20"/>
        </w:rPr>
        <w:t xml:space="preserve"> los problemas internos que acaecen en cada EPS, IPS, Secretarías de Salud y demás autoridades territoriales que impiden la prestación eficaz de un servicio; </w:t>
      </w:r>
      <w:r w:rsidRPr="0000513A">
        <w:rPr>
          <w:rFonts w:ascii="Times New Roman" w:hAnsi="Times New Roman"/>
          <w:i/>
          <w:sz w:val="20"/>
          <w:szCs w:val="20"/>
        </w:rPr>
        <w:t>(iv)</w:t>
      </w:r>
      <w:r w:rsidRPr="00FD38ED">
        <w:rPr>
          <w:rFonts w:ascii="Times New Roman" w:hAnsi="Times New Roman"/>
          <w:sz w:val="20"/>
          <w:szCs w:val="20"/>
        </w:rPr>
        <w:t xml:space="preserve"> la socialización de los resultados a los actores del sistema, así como la participación de expertos en el tema para interactuar con la sociedad y encontrar la solución definitiva de cada problema jurídico; </w:t>
      </w:r>
      <w:r w:rsidRPr="0000513A">
        <w:rPr>
          <w:rFonts w:ascii="Times New Roman" w:hAnsi="Times New Roman"/>
          <w:i/>
          <w:sz w:val="20"/>
          <w:szCs w:val="20"/>
        </w:rPr>
        <w:t>(v)</w:t>
      </w:r>
      <w:r w:rsidRPr="00FD38ED">
        <w:rPr>
          <w:rFonts w:ascii="Times New Roman" w:hAnsi="Times New Roman"/>
          <w:sz w:val="20"/>
          <w:szCs w:val="20"/>
        </w:rPr>
        <w:t xml:space="preserve"> la información accesible a través de un micro sitio y </w:t>
      </w:r>
      <w:r w:rsidRPr="0000513A">
        <w:rPr>
          <w:rFonts w:ascii="Times New Roman" w:hAnsi="Times New Roman"/>
          <w:i/>
          <w:sz w:val="20"/>
          <w:szCs w:val="20"/>
        </w:rPr>
        <w:t>(vi)</w:t>
      </w:r>
      <w:r w:rsidRPr="00FD38ED">
        <w:rPr>
          <w:rFonts w:ascii="Times New Roman" w:hAnsi="Times New Roman"/>
          <w:sz w:val="20"/>
          <w:szCs w:val="20"/>
        </w:rPr>
        <w:t xml:space="preserve"> el perfil socioeconómico de las personas que presentan las acciones de tutela.</w:t>
      </w:r>
    </w:p>
  </w:footnote>
  <w:footnote w:id="119">
    <w:p w14:paraId="42E7FBA4" w14:textId="11C99233" w:rsidR="004A604F" w:rsidRPr="00820F25" w:rsidRDefault="004A604F" w:rsidP="00820F25">
      <w:pPr>
        <w:pStyle w:val="Sinespaciado"/>
        <w:jc w:val="both"/>
        <w:rPr>
          <w:lang w:val="es-419"/>
        </w:rPr>
      </w:pPr>
      <w:r w:rsidRPr="00B726FC">
        <w:rPr>
          <w:rStyle w:val="Refdenotaalpie"/>
          <w:rFonts w:ascii="Times New Roman" w:hAnsi="Times New Roman"/>
          <w:sz w:val="20"/>
          <w:szCs w:val="20"/>
        </w:rPr>
        <w:footnoteRef/>
      </w:r>
      <w:r w:rsidRPr="00B726FC">
        <w:rPr>
          <w:rFonts w:ascii="Times New Roman" w:hAnsi="Times New Roman"/>
          <w:sz w:val="20"/>
          <w:szCs w:val="20"/>
        </w:rPr>
        <w:t xml:space="preserve"> </w:t>
      </w:r>
      <w:r>
        <w:rPr>
          <w:rFonts w:ascii="Times New Roman" w:hAnsi="Times New Roman"/>
          <w:sz w:val="20"/>
          <w:szCs w:val="20"/>
        </w:rPr>
        <w:t>E</w:t>
      </w:r>
      <w:r w:rsidRPr="00B726FC">
        <w:rPr>
          <w:rFonts w:ascii="Times New Roman" w:hAnsi="Times New Roman"/>
          <w:sz w:val="20"/>
          <w:szCs w:val="20"/>
        </w:rPr>
        <w:t>n diversos pronunciamientos esta Corte ha explicado (T-248</w:t>
      </w:r>
      <w:r>
        <w:rPr>
          <w:rFonts w:ascii="Times New Roman" w:hAnsi="Times New Roman"/>
          <w:sz w:val="20"/>
          <w:szCs w:val="20"/>
        </w:rPr>
        <w:t xml:space="preserve">/05) </w:t>
      </w:r>
      <w:r w:rsidRPr="00B726FC">
        <w:rPr>
          <w:rFonts w:ascii="Times New Roman" w:hAnsi="Times New Roman"/>
          <w:sz w:val="20"/>
          <w:szCs w:val="20"/>
        </w:rPr>
        <w:t>que en relación con la interpretación de los cambios normativos “</w:t>
      </w:r>
      <w:r w:rsidRPr="00B726FC">
        <w:rPr>
          <w:rFonts w:ascii="Times New Roman" w:hAnsi="Times New Roman"/>
          <w:i/>
          <w:sz w:val="20"/>
          <w:szCs w:val="20"/>
        </w:rPr>
        <w:t>es necesario atender a la teoría del d</w:t>
      </w:r>
      <w:r w:rsidRPr="00820F25">
        <w:rPr>
          <w:rFonts w:ascii="Times New Roman" w:hAnsi="Times New Roman"/>
          <w:i/>
          <w:sz w:val="20"/>
          <w:szCs w:val="20"/>
        </w:rPr>
        <w:t xml:space="preserve">erecho viviente, la cual comporta un reconocimiento de que el ámbito de aplicación de éstas </w:t>
      </w:r>
      <w:r w:rsidRPr="00820F25">
        <w:rPr>
          <w:rFonts w:ascii="Times New Roman" w:hAnsi="Times New Roman"/>
          <w:sz w:val="20"/>
          <w:szCs w:val="20"/>
        </w:rPr>
        <w:t>[las normas]</w:t>
      </w:r>
      <w:r w:rsidRPr="00820F25">
        <w:rPr>
          <w:rFonts w:ascii="Times New Roman" w:hAnsi="Times New Roman"/>
          <w:i/>
          <w:sz w:val="20"/>
          <w:szCs w:val="20"/>
        </w:rPr>
        <w:t xml:space="preserve"> no sólo se determina por su tenor literal sino por el uso que de ellas han realizado los operadores jurídicos y el entendimiento que de las mismas tienen la jurisprudencia y la doctrina</w:t>
      </w:r>
      <w:r w:rsidRPr="00820F25">
        <w:rPr>
          <w:rFonts w:ascii="Times New Roman" w:hAnsi="Times New Roman"/>
          <w:sz w:val="20"/>
          <w:szCs w:val="20"/>
        </w:rPr>
        <w:t>”.</w:t>
      </w:r>
    </w:p>
  </w:footnote>
  <w:footnote w:id="120">
    <w:p w14:paraId="383F7596" w14:textId="40970E87" w:rsidR="004A604F" w:rsidRPr="00820F25" w:rsidRDefault="004A604F" w:rsidP="00820F25">
      <w:pPr>
        <w:pStyle w:val="Sinespaciado"/>
        <w:jc w:val="both"/>
      </w:pPr>
      <w:r w:rsidRPr="00820F25">
        <w:rPr>
          <w:rStyle w:val="Refdenotaalpie"/>
          <w:rFonts w:ascii="Times New Roman" w:hAnsi="Times New Roman"/>
          <w:sz w:val="20"/>
          <w:szCs w:val="20"/>
        </w:rPr>
        <w:footnoteRef/>
      </w:r>
      <w:r w:rsidRPr="00820F25">
        <w:rPr>
          <w:rFonts w:ascii="Times New Roman" w:hAnsi="Times New Roman"/>
          <w:sz w:val="20"/>
          <w:szCs w:val="20"/>
        </w:rPr>
        <w:t xml:space="preserve"> AZ Orden XXXII-A, folio 281 – 282, </w:t>
      </w:r>
      <w:r>
        <w:rPr>
          <w:rFonts w:ascii="Times New Roman" w:hAnsi="Times New Roman"/>
          <w:sz w:val="20"/>
          <w:szCs w:val="20"/>
        </w:rPr>
        <w:t>e</w:t>
      </w:r>
      <w:r w:rsidRPr="00820F25">
        <w:rPr>
          <w:rFonts w:ascii="Times New Roman" w:hAnsi="Times New Roman"/>
          <w:sz w:val="20"/>
          <w:szCs w:val="20"/>
        </w:rPr>
        <w:t>l auto fue notificado al CSJ el 4 de agosto de 2011.</w:t>
      </w:r>
      <w:r w:rsidRPr="00820F25">
        <w:rPr>
          <w:rFonts w:ascii="Times New Roman" w:hAnsi="Times New Roman"/>
        </w:rPr>
        <w:t xml:space="preserve"> </w:t>
      </w:r>
    </w:p>
  </w:footnote>
  <w:footnote w:id="121">
    <w:p w14:paraId="7F81C2D0" w14:textId="662431D3" w:rsidR="004A604F" w:rsidRPr="009043E8" w:rsidRDefault="004A604F">
      <w:pPr>
        <w:pStyle w:val="Textonotapie"/>
      </w:pPr>
      <w:r w:rsidRPr="009043E8">
        <w:rPr>
          <w:rStyle w:val="Refdenotaalpie"/>
        </w:rPr>
        <w:footnoteRef/>
      </w:r>
      <w:r w:rsidRPr="009043E8">
        <w:t xml:space="preserve"> Citadas en el numeral 2</w:t>
      </w:r>
      <w:r>
        <w:t>6</w:t>
      </w:r>
      <w:r w:rsidRPr="009043E8">
        <w:t xml:space="preserve"> de los antecedentes del presente documento.</w:t>
      </w:r>
    </w:p>
  </w:footnote>
  <w:footnote w:id="122">
    <w:p w14:paraId="5230E9F2" w14:textId="3114E1F0" w:rsidR="004A604F" w:rsidRPr="00FC4EAB" w:rsidRDefault="004A604F">
      <w:pPr>
        <w:pStyle w:val="Textonotapie"/>
      </w:pPr>
      <w:r>
        <w:rPr>
          <w:rStyle w:val="Refdenotaalpie"/>
        </w:rPr>
        <w:footnoteRef/>
      </w:r>
      <w:r>
        <w:t xml:space="preserve"> Hace relación al numeral 5.2 de la parte considerativa del auto 154 de 2014</w:t>
      </w:r>
      <w:r w:rsidRPr="00680532">
        <w:t xml:space="preserve">. </w:t>
      </w:r>
    </w:p>
  </w:footnote>
  <w:footnote w:id="123">
    <w:p w14:paraId="4D77850E" w14:textId="2EE87CE9" w:rsidR="004A604F" w:rsidRPr="00820F25" w:rsidRDefault="004A604F">
      <w:pPr>
        <w:pStyle w:val="Textonotapie"/>
        <w:rPr>
          <w:lang w:val="es-ES"/>
        </w:rPr>
      </w:pPr>
      <w:r>
        <w:rPr>
          <w:rStyle w:val="Refdenotaalpie"/>
        </w:rPr>
        <w:footnoteRef/>
      </w:r>
      <w:r>
        <w:t xml:space="preserve"> Hace relación al numeral 5.2.3 ibíd</w:t>
      </w:r>
      <w:r w:rsidRPr="00680532">
        <w:t>.</w:t>
      </w:r>
    </w:p>
  </w:footnote>
  <w:footnote w:id="124">
    <w:p w14:paraId="487ADBB8" w14:textId="4DE129A4" w:rsidR="004A604F" w:rsidRPr="00820F25" w:rsidRDefault="004A604F">
      <w:pPr>
        <w:pStyle w:val="Textonotapie"/>
        <w:rPr>
          <w:lang w:val="es-ES"/>
        </w:rPr>
      </w:pPr>
      <w:r>
        <w:rPr>
          <w:rStyle w:val="Refdenotaalpie"/>
        </w:rPr>
        <w:footnoteRef/>
      </w:r>
      <w:r>
        <w:t xml:space="preserve"> Hace relación al numeral 5.3.1 ibíd</w:t>
      </w:r>
      <w:r w:rsidRPr="00680532">
        <w:t>.</w:t>
      </w:r>
    </w:p>
  </w:footnote>
  <w:footnote w:id="125">
    <w:p w14:paraId="7F0C6BCB" w14:textId="6B6301DF" w:rsidR="004A604F" w:rsidRPr="00820F25" w:rsidRDefault="004A604F">
      <w:pPr>
        <w:pStyle w:val="Textonotapie"/>
        <w:rPr>
          <w:lang w:val="es-ES"/>
        </w:rPr>
      </w:pPr>
      <w:r>
        <w:rPr>
          <w:rStyle w:val="Refdenotaalpie"/>
        </w:rPr>
        <w:footnoteRef/>
      </w:r>
      <w:r>
        <w:t xml:space="preserve"> Hace relación al numeral 5.3.2 ibíd</w:t>
      </w:r>
      <w:r w:rsidRPr="00680532">
        <w:t>.</w:t>
      </w:r>
    </w:p>
  </w:footnote>
  <w:footnote w:id="126">
    <w:p w14:paraId="1BC3F36C" w14:textId="16D3B716" w:rsidR="004A604F" w:rsidRPr="00820F25" w:rsidRDefault="004A604F">
      <w:pPr>
        <w:pStyle w:val="Textonotapie"/>
        <w:rPr>
          <w:lang w:val="es-ES"/>
        </w:rPr>
      </w:pPr>
      <w:r>
        <w:rPr>
          <w:rStyle w:val="Refdenotaalpie"/>
        </w:rPr>
        <w:footnoteRef/>
      </w:r>
      <w:r>
        <w:t xml:space="preserve"> Hace relación al numeral 6º ibíd</w:t>
      </w:r>
      <w:r w:rsidRPr="00680532">
        <w:t>.</w:t>
      </w:r>
    </w:p>
  </w:footnote>
  <w:footnote w:id="127">
    <w:p w14:paraId="2610DFAF" w14:textId="77777777" w:rsidR="004A604F" w:rsidRPr="00561BD4" w:rsidRDefault="004A604F" w:rsidP="00464A88">
      <w:pPr>
        <w:pStyle w:val="Textonotapie"/>
        <w:jc w:val="both"/>
        <w:rPr>
          <w:lang w:val="es-ES"/>
        </w:rPr>
      </w:pPr>
      <w:r w:rsidRPr="00561BD4">
        <w:rPr>
          <w:rStyle w:val="Refdenotaalpie"/>
        </w:rPr>
        <w:footnoteRef/>
      </w:r>
      <w:r w:rsidRPr="00561BD4">
        <w:t xml:space="preserve"> Auto que determinó que los informes periódicos deberían ser presentados cada cuatro meses.</w:t>
      </w:r>
    </w:p>
  </w:footnote>
  <w:footnote w:id="128">
    <w:p w14:paraId="362E3739" w14:textId="59B2C854" w:rsidR="004A604F" w:rsidRPr="00561BD4" w:rsidRDefault="004A604F" w:rsidP="00464A88">
      <w:pPr>
        <w:pStyle w:val="Textonotapie"/>
        <w:jc w:val="both"/>
      </w:pPr>
      <w:r w:rsidRPr="00561BD4">
        <w:rPr>
          <w:rStyle w:val="Refdenotaalpie"/>
        </w:rPr>
        <w:footnoteRef/>
      </w:r>
      <w:r w:rsidRPr="00561BD4">
        <w:t xml:space="preserve"> </w:t>
      </w:r>
      <w:r>
        <w:t xml:space="preserve">Auto del </w:t>
      </w:r>
      <w:r w:rsidRPr="00561BD4">
        <w:t>19 de julio.</w:t>
      </w:r>
    </w:p>
  </w:footnote>
  <w:footnote w:id="129">
    <w:p w14:paraId="1565DD43" w14:textId="71ED8311" w:rsidR="004A604F" w:rsidRPr="00561BD4" w:rsidRDefault="004A604F" w:rsidP="00464A88">
      <w:pPr>
        <w:pStyle w:val="Textonotapie"/>
        <w:jc w:val="both"/>
      </w:pPr>
      <w:r w:rsidRPr="00561BD4">
        <w:rPr>
          <w:rStyle w:val="Refdenotaalpie"/>
        </w:rPr>
        <w:footnoteRef/>
      </w:r>
      <w:r w:rsidRPr="00561BD4">
        <w:t xml:space="preserve"> AZ Orden XXXII-A, folio</w:t>
      </w:r>
      <w:r>
        <w:t>s</w:t>
      </w:r>
      <w:r w:rsidRPr="00561BD4">
        <w:t xml:space="preserve"> 281</w:t>
      </w:r>
      <w:r>
        <w:t xml:space="preserve"> - </w:t>
      </w:r>
      <w:r w:rsidRPr="00561BD4">
        <w:t xml:space="preserve">282, el auto fue notificado al CSJ el 4 de agosto de 2011. </w:t>
      </w:r>
    </w:p>
  </w:footnote>
  <w:footnote w:id="130">
    <w:p w14:paraId="4985F101" w14:textId="3FCB487D" w:rsidR="004A604F" w:rsidRPr="00561BD4" w:rsidRDefault="004A604F" w:rsidP="00781F7F">
      <w:pPr>
        <w:pStyle w:val="Textonotapie"/>
        <w:jc w:val="both"/>
        <w:rPr>
          <w:lang w:val="es-ES"/>
        </w:rPr>
      </w:pPr>
      <w:r w:rsidRPr="00561BD4">
        <w:rPr>
          <w:rStyle w:val="Refdenotaalpie"/>
        </w:rPr>
        <w:footnoteRef/>
      </w:r>
      <w:r w:rsidRPr="00561BD4">
        <w:t xml:space="preserve"> </w:t>
      </w:r>
      <w:r w:rsidRPr="00561BD4">
        <w:rPr>
          <w:lang w:val="es-ES"/>
        </w:rPr>
        <w:t xml:space="preserve">Proferido dentro del proceso de seguimiento de la </w:t>
      </w:r>
      <w:r>
        <w:rPr>
          <w:lang w:val="es-ES"/>
        </w:rPr>
        <w:t xml:space="preserve">Sentencia </w:t>
      </w:r>
      <w:r w:rsidRPr="00561BD4">
        <w:rPr>
          <w:lang w:val="es-ES"/>
        </w:rPr>
        <w:t>T-025</w:t>
      </w:r>
      <w:r>
        <w:rPr>
          <w:lang w:val="es-ES"/>
        </w:rPr>
        <w:t xml:space="preserve"> de 2004.</w:t>
      </w:r>
    </w:p>
  </w:footnote>
  <w:footnote w:id="131">
    <w:p w14:paraId="1DF65772" w14:textId="70F07303" w:rsidR="004A604F" w:rsidRPr="00561BD4" w:rsidRDefault="004A604F">
      <w:pPr>
        <w:pStyle w:val="Textonotapie"/>
        <w:jc w:val="both"/>
      </w:pPr>
      <w:r w:rsidRPr="00561BD4">
        <w:rPr>
          <w:rStyle w:val="Refdenotaalpie"/>
        </w:rPr>
        <w:footnoteRef/>
      </w:r>
      <w:r w:rsidRPr="00561BD4">
        <w:t xml:space="preserve"> AZ Orden XXXII-A, folio</w:t>
      </w:r>
      <w:r>
        <w:t>s</w:t>
      </w:r>
      <w:r w:rsidRPr="00561BD4">
        <w:t xml:space="preserve"> 283-289.</w:t>
      </w:r>
    </w:p>
  </w:footnote>
  <w:footnote w:id="132">
    <w:p w14:paraId="491EECEF" w14:textId="2E1445A4" w:rsidR="004A604F" w:rsidRPr="00561BD4" w:rsidRDefault="004A604F" w:rsidP="00464A88">
      <w:pPr>
        <w:pStyle w:val="Textonotapie"/>
        <w:jc w:val="both"/>
        <w:rPr>
          <w:lang w:val="es-ES"/>
        </w:rPr>
      </w:pPr>
      <w:r w:rsidRPr="00561BD4">
        <w:rPr>
          <w:rStyle w:val="Refdenotaalpie"/>
        </w:rPr>
        <w:footnoteRef/>
      </w:r>
      <w:r w:rsidRPr="00561BD4">
        <w:t xml:space="preserve"> AZ Orden XXXII-A, folio 290-311.</w:t>
      </w:r>
    </w:p>
  </w:footnote>
  <w:footnote w:id="133">
    <w:p w14:paraId="34EFC25D" w14:textId="653930C3" w:rsidR="004A604F" w:rsidRPr="00D1643B" w:rsidRDefault="004A604F" w:rsidP="00E33EFD">
      <w:pPr>
        <w:pStyle w:val="Textonotapie"/>
        <w:rPr>
          <w:lang w:val="es-ES"/>
        </w:rPr>
      </w:pPr>
      <w:r>
        <w:rPr>
          <w:rStyle w:val="Refdenotaalpie"/>
        </w:rPr>
        <w:footnoteRef/>
      </w:r>
      <w:r>
        <w:t xml:space="preserve"> </w:t>
      </w:r>
      <w:r>
        <w:rPr>
          <w:lang w:val="es-ES"/>
        </w:rPr>
        <w:t>AZ Orden XXXII B, folio 660-662.</w:t>
      </w:r>
    </w:p>
  </w:footnote>
  <w:footnote w:id="134">
    <w:p w14:paraId="291D498F" w14:textId="08C82877" w:rsidR="004A604F" w:rsidRPr="00D1643B" w:rsidRDefault="004A604F">
      <w:pPr>
        <w:pStyle w:val="Textonotapie"/>
        <w:rPr>
          <w:lang w:val="es-ES"/>
        </w:rPr>
      </w:pPr>
      <w:r w:rsidRPr="00314826">
        <w:rPr>
          <w:rStyle w:val="Refdenotaalpie"/>
        </w:rPr>
        <w:footnoteRef/>
      </w:r>
      <w:r w:rsidRPr="00314826">
        <w:t xml:space="preserve"> </w:t>
      </w:r>
      <w:r>
        <w:t>Medida generada desde lo establecido en el auto del 13 de julio de 2009.</w:t>
      </w:r>
    </w:p>
  </w:footnote>
  <w:footnote w:id="135">
    <w:p w14:paraId="0018A6D9" w14:textId="031BB26A" w:rsidR="004A604F" w:rsidRPr="00F4470E" w:rsidRDefault="004A604F">
      <w:pPr>
        <w:pStyle w:val="Textonotapie"/>
        <w:rPr>
          <w:lang w:val="es-ES"/>
        </w:rPr>
      </w:pPr>
      <w:r>
        <w:rPr>
          <w:rStyle w:val="Refdenotaalpie"/>
        </w:rPr>
        <w:footnoteRef/>
      </w:r>
      <w:r>
        <w:t xml:space="preserve"> </w:t>
      </w:r>
      <w:r>
        <w:rPr>
          <w:lang w:val="es-ES"/>
        </w:rPr>
        <w:t>Consultada el 13 de marzo de 2019.</w:t>
      </w:r>
    </w:p>
  </w:footnote>
  <w:footnote w:id="136">
    <w:p w14:paraId="72C6777F" w14:textId="6966DB45" w:rsidR="004A604F" w:rsidRPr="00561BD4" w:rsidRDefault="004A604F">
      <w:pPr>
        <w:pStyle w:val="Textonotapie"/>
        <w:jc w:val="both"/>
      </w:pPr>
      <w:r w:rsidRPr="00561BD4">
        <w:rPr>
          <w:rStyle w:val="Refdenotaalpie"/>
        </w:rPr>
        <w:footnoteRef/>
      </w:r>
      <w:r w:rsidRPr="00561BD4">
        <w:t xml:space="preserve"> Las mencionadas entidades son el Consejo Superior de la Judicatura, la Defensoría del Pueblo, el Ministerio de Salud y Protección Social</w:t>
      </w:r>
      <w:r>
        <w:t xml:space="preserve"> </w:t>
      </w:r>
      <w:r w:rsidRPr="00561BD4">
        <w:t>y la Superintendencia Nacional de Salud.</w:t>
      </w:r>
    </w:p>
  </w:footnote>
  <w:footnote w:id="137">
    <w:p w14:paraId="5F860D32" w14:textId="0576979E" w:rsidR="004A604F" w:rsidRPr="00561BD4" w:rsidRDefault="004A604F">
      <w:pPr>
        <w:pStyle w:val="Textonotapie"/>
        <w:jc w:val="both"/>
      </w:pPr>
      <w:r w:rsidRPr="00561BD4">
        <w:rPr>
          <w:rStyle w:val="Refdenotaalpie"/>
        </w:rPr>
        <w:footnoteRef/>
      </w:r>
      <w:r>
        <w:t xml:space="preserve"> AZ Orden XXXII </w:t>
      </w:r>
      <w:r w:rsidRPr="00561BD4">
        <w:t>B, folio 530.</w:t>
      </w:r>
    </w:p>
  </w:footnote>
  <w:footnote w:id="138">
    <w:p w14:paraId="6FC08203" w14:textId="38642804" w:rsidR="004A604F" w:rsidRPr="00D1643B" w:rsidRDefault="004A604F" w:rsidP="00605B26">
      <w:pPr>
        <w:pStyle w:val="Textonotapie"/>
        <w:rPr>
          <w:lang w:val="es-ES"/>
        </w:rPr>
      </w:pPr>
      <w:r>
        <w:rPr>
          <w:rStyle w:val="Refdenotaalpie"/>
        </w:rPr>
        <w:footnoteRef/>
      </w:r>
      <w:r>
        <w:t xml:space="preserve"> AZ Orden XXXII A, fol</w:t>
      </w:r>
      <w:r>
        <w:rPr>
          <w:lang w:val="es-ES"/>
        </w:rPr>
        <w:t>ios 466-503.</w:t>
      </w:r>
    </w:p>
  </w:footnote>
  <w:footnote w:id="139">
    <w:p w14:paraId="4B7F6A6B" w14:textId="5B49AEBE" w:rsidR="004A604F" w:rsidRPr="007621CB" w:rsidRDefault="004A604F">
      <w:pPr>
        <w:pStyle w:val="Textonotapie"/>
        <w:rPr>
          <w:lang w:val="es-ES"/>
        </w:rPr>
      </w:pPr>
      <w:r>
        <w:rPr>
          <w:rStyle w:val="Refdenotaalpie"/>
        </w:rPr>
        <w:footnoteRef/>
      </w:r>
      <w:r>
        <w:t xml:space="preserve"> </w:t>
      </w:r>
      <w:r>
        <w:rPr>
          <w:lang w:val="es-ES"/>
        </w:rPr>
        <w:t>Orden 32.</w:t>
      </w:r>
    </w:p>
  </w:footnote>
  <w:footnote w:id="140">
    <w:p w14:paraId="17FB6FD7" w14:textId="76610C35" w:rsidR="004A604F" w:rsidRPr="00E41AAC" w:rsidRDefault="004A604F">
      <w:pPr>
        <w:pStyle w:val="Textonotapie"/>
        <w:rPr>
          <w:lang w:val="es-ES"/>
        </w:rPr>
      </w:pPr>
      <w:r>
        <w:rPr>
          <w:rStyle w:val="Refdenotaalpie"/>
        </w:rPr>
        <w:footnoteRef/>
      </w:r>
      <w:r>
        <w:t xml:space="preserve"> </w:t>
      </w:r>
      <w:r>
        <w:rPr>
          <w:lang w:val="es-ES"/>
        </w:rPr>
        <w:t>Ordenes 17, 18, 20, 21, 22, 26 y 28.</w:t>
      </w:r>
    </w:p>
  </w:footnote>
  <w:footnote w:id="141">
    <w:p w14:paraId="2B3B7565" w14:textId="08BF0F2B" w:rsidR="004A604F" w:rsidRPr="00B53C35" w:rsidRDefault="004A604F">
      <w:pPr>
        <w:pStyle w:val="Textonotapie"/>
        <w:rPr>
          <w:lang w:val="es-ES"/>
        </w:rPr>
      </w:pPr>
      <w:r>
        <w:rPr>
          <w:rStyle w:val="Refdenotaalpie"/>
        </w:rPr>
        <w:footnoteRef/>
      </w:r>
      <w:r>
        <w:t xml:space="preserve"> </w:t>
      </w:r>
      <w:r>
        <w:rPr>
          <w:lang w:val="es-ES"/>
        </w:rPr>
        <w:t>Orden 23.</w:t>
      </w:r>
    </w:p>
  </w:footnote>
  <w:footnote w:id="142">
    <w:p w14:paraId="43CE5D3B" w14:textId="0DC6FEBE" w:rsidR="004A604F" w:rsidRPr="00241801" w:rsidRDefault="004A604F">
      <w:pPr>
        <w:pStyle w:val="Textonotapie"/>
        <w:rPr>
          <w:lang w:val="es-ES"/>
        </w:rPr>
      </w:pPr>
      <w:r>
        <w:rPr>
          <w:rStyle w:val="Refdenotaalpie"/>
        </w:rPr>
        <w:footnoteRef/>
      </w:r>
      <w:r>
        <w:t xml:space="preserve"> </w:t>
      </w:r>
      <w:r>
        <w:rPr>
          <w:lang w:val="es-ES"/>
        </w:rPr>
        <w:t xml:space="preserve">Ordenes 16, 19, 24, 25, 27, 29 y 30. </w:t>
      </w:r>
    </w:p>
  </w:footnote>
  <w:footnote w:id="143">
    <w:p w14:paraId="4363327A" w14:textId="389C1A51" w:rsidR="004A604F" w:rsidRPr="00820F25" w:rsidRDefault="004A604F" w:rsidP="00820F25">
      <w:pPr>
        <w:pStyle w:val="Textonotapie"/>
        <w:jc w:val="both"/>
        <w:rPr>
          <w:lang w:val="es-ES"/>
        </w:rPr>
      </w:pPr>
      <w:r>
        <w:rPr>
          <w:rStyle w:val="Refdenotaalpie"/>
        </w:rPr>
        <w:footnoteRef/>
      </w:r>
      <w:r>
        <w:t xml:space="preserve"> Proyecto 19. Programa de Formación para el desarrollo del Plan Nacional de Descongestión e Implementación de Jueces (zas) itinerantes;  Subproyecto 19.5: Subprograma de Formación para la descongestión del Área Laboral y de la Seguridad Social, 28-jul-11- Bogotá, Medellín, barranquilla, 15-jul-11- Bucaramanga, 11-ago-11 Cali. </w:t>
      </w:r>
    </w:p>
  </w:footnote>
  <w:footnote w:id="144">
    <w:p w14:paraId="44A2543E" w14:textId="74A8AC50" w:rsidR="004A604F" w:rsidRPr="00820F25" w:rsidRDefault="004A604F" w:rsidP="00820F25">
      <w:pPr>
        <w:pStyle w:val="Textonotapie"/>
        <w:jc w:val="both"/>
        <w:rPr>
          <w:lang w:val="es-ES"/>
        </w:rPr>
      </w:pPr>
      <w:r>
        <w:rPr>
          <w:rStyle w:val="Refdenotaalpie"/>
        </w:rPr>
        <w:footnoteRef/>
      </w:r>
      <w:r>
        <w:t xml:space="preserve"> Proyecto 8. Programa de Formación del Trabajo y la seguridad Social, Subproyecto 8.1.1. Profundización en laboral con énfasis en la Sentencia T-760 de 2008, 03-sep-12- Bogotá, Cali, Medellín, Cartagena; 21-sep-12, Bucaramanga, Armenia, Santa Marta, Barranquilla, 08-oct-12 Bogotá, Cartagena, Cali, Medellín, 26-oct-12 Santa Marta, Barranquilla, Bucaramanga, Armenia, </w:t>
      </w:r>
      <w:r w:rsidRPr="00B376C4">
        <w:t>10-dic-13 Valledupar</w:t>
      </w:r>
      <w:r>
        <w:t xml:space="preserve">. </w:t>
      </w:r>
    </w:p>
  </w:footnote>
  <w:footnote w:id="145">
    <w:p w14:paraId="24C6AA2A" w14:textId="6D600AF7" w:rsidR="004A604F" w:rsidRPr="00820F25" w:rsidRDefault="004A604F" w:rsidP="00820F25">
      <w:pPr>
        <w:pStyle w:val="Textonotapie"/>
        <w:jc w:val="both"/>
        <w:rPr>
          <w:lang w:val="es-ES"/>
        </w:rPr>
      </w:pPr>
      <w:r>
        <w:rPr>
          <w:rStyle w:val="Refdenotaalpie"/>
        </w:rPr>
        <w:footnoteRef/>
      </w:r>
      <w:r>
        <w:t xml:space="preserve"> Proyecto 14. Desarrollo Docente: Fortalecimiento y Actualización Red de Formadores (as) Judiciales Subproyecto 14,1: Cursos de Formación de Formadores/as de los Módulos nuevos y actualizado s y para la actualización de las Redes de Formadores/as de los cursos que se impartirán en el 2012 y en el 2013.09-may-14, Bogotá, 23-may-14 Montería, 30-may-14 Valledupar, 03-oct-14 Mocoa, Florencia, Arauca, 10-oct-14 San Andrés, 17-oct-14 Yopal, Quibdó, Sincelejo, Tunja, 23-oct-14 Bogotá. </w:t>
      </w:r>
    </w:p>
  </w:footnote>
  <w:footnote w:id="146">
    <w:p w14:paraId="7563BF1C" w14:textId="39147A71" w:rsidR="004A604F" w:rsidRPr="00820F25" w:rsidRDefault="004A604F">
      <w:pPr>
        <w:pStyle w:val="Textonotapie"/>
        <w:rPr>
          <w:lang w:val="es-ES"/>
        </w:rPr>
      </w:pPr>
      <w:r>
        <w:rPr>
          <w:rStyle w:val="Refdenotaalpie"/>
        </w:rPr>
        <w:footnoteRef/>
      </w:r>
      <w:r>
        <w:t xml:space="preserve"> </w:t>
      </w:r>
      <w:r w:rsidRPr="00B376C4">
        <w:t>25 y 26- ene-15</w:t>
      </w:r>
      <w:r>
        <w:t xml:space="preserve"> Quibdó. </w:t>
      </w:r>
    </w:p>
  </w:footnote>
  <w:footnote w:id="147">
    <w:p w14:paraId="04C7291B" w14:textId="5B9A89B9" w:rsidR="004A604F" w:rsidRPr="00820F25" w:rsidRDefault="004A604F">
      <w:pPr>
        <w:pStyle w:val="Textonotapie"/>
        <w:rPr>
          <w:lang w:val="es-ES"/>
        </w:rPr>
      </w:pPr>
      <w:r>
        <w:rPr>
          <w:rStyle w:val="Refdenotaalpie"/>
        </w:rPr>
        <w:footnoteRef/>
      </w:r>
      <w:r>
        <w:t xml:space="preserve"> </w:t>
      </w:r>
      <w:r w:rsidRPr="00B376C4">
        <w:t>22-may-15 Medellín</w:t>
      </w:r>
    </w:p>
  </w:footnote>
  <w:footnote w:id="148">
    <w:p w14:paraId="5A9AD953" w14:textId="6E400285" w:rsidR="004A604F" w:rsidRPr="00820F25" w:rsidRDefault="004A604F" w:rsidP="00820F25">
      <w:pPr>
        <w:pStyle w:val="Textonotapie"/>
        <w:jc w:val="both"/>
        <w:rPr>
          <w:lang w:val="es-ES"/>
        </w:rPr>
      </w:pPr>
      <w:r>
        <w:rPr>
          <w:rStyle w:val="Refdenotaalpie"/>
        </w:rPr>
        <w:footnoteRef/>
      </w:r>
      <w:r>
        <w:t xml:space="preserve"> 26-ago-15- Bogotá, 01-oct-15- Cali, 16-oct-15 Cartagena, 6-nov-15 Santa Marta, 20-nov-15 Barranquilla 14-dic-15 Bogotá, Todos los Distritos Judiciales convocados.</w:t>
      </w:r>
    </w:p>
  </w:footnote>
  <w:footnote w:id="149">
    <w:p w14:paraId="263D6738" w14:textId="5ADB5199" w:rsidR="004A604F" w:rsidRPr="00820F25" w:rsidRDefault="004A604F">
      <w:pPr>
        <w:pStyle w:val="Textonotapie"/>
        <w:rPr>
          <w:lang w:val="es-ES"/>
        </w:rPr>
      </w:pPr>
      <w:r>
        <w:rPr>
          <w:rStyle w:val="Refdenotaalpie"/>
        </w:rPr>
        <w:footnoteRef/>
      </w:r>
      <w:r>
        <w:t xml:space="preserve"> 29 y 30- sept-16 Barranquilla. </w:t>
      </w:r>
    </w:p>
  </w:footnote>
  <w:footnote w:id="150">
    <w:p w14:paraId="75C02414" w14:textId="2F9D3A45" w:rsidR="004A604F" w:rsidRPr="00820F25" w:rsidRDefault="004A604F">
      <w:pPr>
        <w:pStyle w:val="Textonotapie"/>
        <w:rPr>
          <w:lang w:val="es-ES"/>
        </w:rPr>
      </w:pPr>
      <w:r>
        <w:rPr>
          <w:rStyle w:val="Refdenotaalpie"/>
        </w:rPr>
        <w:footnoteRef/>
      </w:r>
      <w:r>
        <w:t xml:space="preserve"> </w:t>
      </w:r>
      <w:r w:rsidRPr="00A139F8">
        <w:t>20-oct-2016</w:t>
      </w:r>
      <w:r>
        <w:t xml:space="preserve"> Quibdó.</w:t>
      </w:r>
    </w:p>
  </w:footnote>
  <w:footnote w:id="151">
    <w:p w14:paraId="06682C57" w14:textId="06FA7DDD" w:rsidR="004A604F" w:rsidRPr="00820F25" w:rsidRDefault="004A604F">
      <w:pPr>
        <w:pStyle w:val="Textonotapie"/>
        <w:rPr>
          <w:lang w:val="es-ES"/>
        </w:rPr>
      </w:pPr>
      <w:r>
        <w:rPr>
          <w:rStyle w:val="Refdenotaalpie"/>
        </w:rPr>
        <w:footnoteRef/>
      </w:r>
      <w:r>
        <w:t xml:space="preserve"> 27 y 28- oct-16-Pereira; 17 y 18- nov-</w:t>
      </w:r>
      <w:r w:rsidRPr="00A139F8">
        <w:t>16 Bogotá.</w:t>
      </w:r>
    </w:p>
  </w:footnote>
  <w:footnote w:id="152">
    <w:p w14:paraId="72122488" w14:textId="3CB2C03F" w:rsidR="004A604F" w:rsidRPr="00820F25" w:rsidRDefault="004A604F">
      <w:pPr>
        <w:pStyle w:val="Textonotapie"/>
        <w:rPr>
          <w:lang w:val="es-ES"/>
        </w:rPr>
      </w:pPr>
      <w:r>
        <w:rPr>
          <w:rStyle w:val="Refdenotaalpie"/>
        </w:rPr>
        <w:footnoteRef/>
      </w:r>
      <w:r>
        <w:t xml:space="preserve"> 5- dic-</w:t>
      </w:r>
      <w:r w:rsidRPr="00A139F8">
        <w:t>16 Bogotá.</w:t>
      </w:r>
    </w:p>
  </w:footnote>
  <w:footnote w:id="153">
    <w:p w14:paraId="5683D649" w14:textId="2BC864FE" w:rsidR="004A604F" w:rsidRPr="00820F25" w:rsidRDefault="004A604F">
      <w:pPr>
        <w:pStyle w:val="Textonotapie"/>
        <w:rPr>
          <w:lang w:val="es-ES"/>
        </w:rPr>
      </w:pPr>
      <w:r>
        <w:rPr>
          <w:rStyle w:val="Refdenotaalpie"/>
        </w:rPr>
        <w:footnoteRef/>
      </w:r>
      <w:r>
        <w:t xml:space="preserve"> 05 y 06- oct-</w:t>
      </w:r>
      <w:r w:rsidRPr="00DB1D77">
        <w:t>17 Armenia- Bogotá.</w:t>
      </w:r>
    </w:p>
  </w:footnote>
  <w:footnote w:id="154">
    <w:p w14:paraId="0B7E42D1" w14:textId="4D8B584A" w:rsidR="004A604F" w:rsidRPr="00820F25" w:rsidRDefault="004A604F">
      <w:pPr>
        <w:pStyle w:val="Textonotapie"/>
        <w:rPr>
          <w:lang w:val="es-ES"/>
        </w:rPr>
      </w:pPr>
      <w:r>
        <w:rPr>
          <w:rStyle w:val="Refdenotaalpie"/>
        </w:rPr>
        <w:footnoteRef/>
      </w:r>
      <w:r>
        <w:t xml:space="preserve"> </w:t>
      </w:r>
      <w:r w:rsidRPr="00DB1D77">
        <w:t>14 y 15 –jun-</w:t>
      </w:r>
      <w:r>
        <w:t xml:space="preserve">18 Bogotá. </w:t>
      </w:r>
    </w:p>
  </w:footnote>
  <w:footnote w:id="155">
    <w:p w14:paraId="5ECBFD48" w14:textId="7DEA9890" w:rsidR="004A604F" w:rsidRPr="00D1643B" w:rsidRDefault="004A604F">
      <w:pPr>
        <w:pStyle w:val="Textonotapie"/>
        <w:rPr>
          <w:lang w:val="es-ES"/>
        </w:rPr>
      </w:pPr>
      <w:r>
        <w:rPr>
          <w:rStyle w:val="Refdenotaalpie"/>
        </w:rPr>
        <w:footnoteRef/>
      </w:r>
      <w:r>
        <w:t xml:space="preserve"> </w:t>
      </w:r>
      <w:r>
        <w:rPr>
          <w:lang w:val="es-ES"/>
        </w:rPr>
        <w:t>18 y 19 –sept-18. Barranquilla.</w:t>
      </w:r>
    </w:p>
  </w:footnote>
  <w:footnote w:id="156">
    <w:p w14:paraId="45658ABB" w14:textId="4F6E3D6D" w:rsidR="004A604F" w:rsidRPr="009329FA" w:rsidRDefault="004A604F">
      <w:pPr>
        <w:pStyle w:val="Textonotapie"/>
        <w:rPr>
          <w:lang w:val="en-US"/>
        </w:rPr>
      </w:pPr>
      <w:r>
        <w:rPr>
          <w:rStyle w:val="Refdenotaalpie"/>
        </w:rPr>
        <w:footnoteRef/>
      </w:r>
      <w:r>
        <w:t xml:space="preserve"> </w:t>
      </w:r>
      <w:r>
        <w:rPr>
          <w:lang w:val="es-ES"/>
        </w:rPr>
        <w:t xml:space="preserve">01 y 02-oct-18. </w:t>
      </w:r>
      <w:r w:rsidRPr="009329FA">
        <w:rPr>
          <w:lang w:val="en-US"/>
        </w:rPr>
        <w:t>Bogotá.</w:t>
      </w:r>
    </w:p>
  </w:footnote>
  <w:footnote w:id="157">
    <w:p w14:paraId="2CECF5B6" w14:textId="7541940C" w:rsidR="004A604F" w:rsidRPr="009329FA" w:rsidRDefault="004A604F">
      <w:pPr>
        <w:pStyle w:val="Textonotapie"/>
        <w:rPr>
          <w:lang w:val="en-US"/>
        </w:rPr>
      </w:pPr>
      <w:r>
        <w:rPr>
          <w:rStyle w:val="Refdenotaalpie"/>
        </w:rPr>
        <w:footnoteRef/>
      </w:r>
      <w:r w:rsidRPr="009329FA">
        <w:rPr>
          <w:lang w:val="en-US"/>
        </w:rPr>
        <w:t xml:space="preserve"> 04 y 05-oct-18. Cali.</w:t>
      </w:r>
    </w:p>
  </w:footnote>
  <w:footnote w:id="158">
    <w:p w14:paraId="462B94F1" w14:textId="7E6EDC1C" w:rsidR="004A604F" w:rsidRPr="00D1643B" w:rsidRDefault="004A604F">
      <w:pPr>
        <w:pStyle w:val="Textonotapie"/>
        <w:rPr>
          <w:lang w:val="es-ES"/>
        </w:rPr>
      </w:pPr>
      <w:r>
        <w:rPr>
          <w:rStyle w:val="Refdenotaalpie"/>
        </w:rPr>
        <w:footnoteRef/>
      </w:r>
      <w:r w:rsidRPr="009329FA">
        <w:rPr>
          <w:lang w:val="en-US"/>
        </w:rPr>
        <w:t xml:space="preserve"> 22 y 23-oct-18. </w:t>
      </w:r>
      <w:r>
        <w:rPr>
          <w:lang w:val="es-ES"/>
        </w:rPr>
        <w:t>Medellín.</w:t>
      </w:r>
    </w:p>
  </w:footnote>
  <w:footnote w:id="159">
    <w:p w14:paraId="5FF5356A" w14:textId="38873951" w:rsidR="004A604F" w:rsidRPr="00561BD4" w:rsidRDefault="004A604F" w:rsidP="00DB1D77">
      <w:pPr>
        <w:pStyle w:val="Textonotapie"/>
        <w:jc w:val="both"/>
        <w:rPr>
          <w:lang w:val="es-ES"/>
        </w:rPr>
      </w:pPr>
      <w:r w:rsidRPr="00561BD4">
        <w:rPr>
          <w:rStyle w:val="Refdenotaalpie"/>
        </w:rPr>
        <w:footnoteRef/>
      </w:r>
      <w:r w:rsidRPr="00561BD4">
        <w:t xml:space="preserve"> </w:t>
      </w:r>
      <w:r>
        <w:t>E</w:t>
      </w:r>
      <w:r w:rsidRPr="00561BD4">
        <w:rPr>
          <w:lang w:val="es-ES"/>
        </w:rPr>
        <w:t xml:space="preserve">n esta última capacitación </w:t>
      </w:r>
      <w:r>
        <w:rPr>
          <w:lang w:val="es-ES"/>
        </w:rPr>
        <w:t xml:space="preserve">se formaron </w:t>
      </w:r>
      <w:r w:rsidRPr="00561BD4">
        <w:rPr>
          <w:lang w:val="es-ES"/>
        </w:rPr>
        <w:t xml:space="preserve">133 </w:t>
      </w:r>
      <w:r>
        <w:rPr>
          <w:lang w:val="es-ES"/>
        </w:rPr>
        <w:t>funcionarios</w:t>
      </w:r>
      <w:r w:rsidRPr="00561BD4">
        <w:rPr>
          <w:lang w:val="es-ES"/>
        </w:rPr>
        <w:t xml:space="preserve">. </w:t>
      </w:r>
    </w:p>
  </w:footnote>
  <w:footnote w:id="160">
    <w:p w14:paraId="1167ADAE" w14:textId="594F86D7" w:rsidR="004A604F" w:rsidRPr="00561BD4" w:rsidRDefault="004A604F" w:rsidP="00051ED3">
      <w:pPr>
        <w:pStyle w:val="Textonotapie"/>
        <w:jc w:val="both"/>
        <w:rPr>
          <w:lang w:val="es-ES"/>
        </w:rPr>
      </w:pPr>
      <w:r w:rsidRPr="00561BD4">
        <w:rPr>
          <w:rStyle w:val="Refdenotaalpie"/>
        </w:rPr>
        <w:footnoteRef/>
      </w:r>
      <w:r w:rsidRPr="00561BD4">
        <w:t xml:space="preserve"> </w:t>
      </w:r>
      <w:r>
        <w:t xml:space="preserve">El CSJ ha realizado </w:t>
      </w:r>
      <w:r w:rsidRPr="00561BD4">
        <w:t xml:space="preserve">conversatorios regionales </w:t>
      </w:r>
      <w:r>
        <w:t>sobre el</w:t>
      </w:r>
      <w:r w:rsidRPr="00561BD4">
        <w:t xml:space="preserve"> derecho a la salud, módulos de practica judicial en el sistema general de seguridad social en salud </w:t>
      </w:r>
      <w:r>
        <w:t>sentencia</w:t>
      </w:r>
      <w:r w:rsidRPr="00561BD4">
        <w:t xml:space="preserve"> T-760 de 2008, cursos de formación de formadores sobre el módulo de práctica judicial en derecho a la salud, seminario de actualización sobre el derecho fundamental a la salud, entre otros.</w:t>
      </w:r>
    </w:p>
  </w:footnote>
  <w:footnote w:id="161">
    <w:p w14:paraId="24526FA5" w14:textId="2B187498" w:rsidR="004A604F" w:rsidRPr="00820F25" w:rsidRDefault="004A604F">
      <w:pPr>
        <w:pStyle w:val="Textonotapie"/>
        <w:rPr>
          <w:lang w:val="es-ES"/>
        </w:rPr>
      </w:pPr>
      <w:r>
        <w:rPr>
          <w:rStyle w:val="Refdenotaalpie"/>
        </w:rPr>
        <w:footnoteRef/>
      </w:r>
      <w:r>
        <w:t xml:space="preserve"> C</w:t>
      </w:r>
      <w:r w:rsidRPr="0033303E">
        <w:t>on el fin de facilitar la difusión de los canales de acceso a los servicios de salud de manera oportuna, eficaz y con calidad</w:t>
      </w:r>
      <w:r>
        <w:t>.</w:t>
      </w:r>
    </w:p>
  </w:footnote>
  <w:footnote w:id="162">
    <w:p w14:paraId="454A98B2" w14:textId="5F73C8E8" w:rsidR="004A604F" w:rsidRPr="00561BD4" w:rsidRDefault="004A604F" w:rsidP="00464A88">
      <w:pPr>
        <w:pStyle w:val="Textonotapie"/>
        <w:jc w:val="both"/>
      </w:pPr>
      <w:r w:rsidRPr="00561BD4">
        <w:rPr>
          <w:rStyle w:val="Refdenotaalpie"/>
        </w:rPr>
        <w:footnoteRef/>
      </w:r>
      <w:r w:rsidRPr="00561BD4">
        <w:t xml:space="preserve"> Informe del CSJ del 8 de agosto de 2017.</w:t>
      </w:r>
    </w:p>
  </w:footnote>
  <w:footnote w:id="163">
    <w:p w14:paraId="525D3CAC" w14:textId="77777777" w:rsidR="004A604F" w:rsidRPr="00602460" w:rsidRDefault="004A604F" w:rsidP="00F4470E">
      <w:pPr>
        <w:pStyle w:val="Textonotapie"/>
        <w:rPr>
          <w:lang w:val="es-ES"/>
        </w:rPr>
      </w:pPr>
      <w:r>
        <w:rPr>
          <w:rStyle w:val="Refdenotaalpie"/>
        </w:rPr>
        <w:footnoteRef/>
      </w:r>
      <w:r>
        <w:t xml:space="preserve"> </w:t>
      </w:r>
      <w:r>
        <w:rPr>
          <w:lang w:val="es-ES"/>
        </w:rPr>
        <w:t>Informe del CSJ del 4 de diciembre de 2018.</w:t>
      </w:r>
    </w:p>
  </w:footnote>
  <w:footnote w:id="164">
    <w:p w14:paraId="1A4123B6" w14:textId="6B962F98" w:rsidR="004A604F" w:rsidRPr="00C9166A" w:rsidRDefault="004A604F" w:rsidP="00B317EA">
      <w:pPr>
        <w:pStyle w:val="Textonotapie"/>
        <w:jc w:val="both"/>
      </w:pPr>
      <w:r w:rsidRPr="00C9166A">
        <w:rPr>
          <w:rStyle w:val="Refdenotaalpie"/>
        </w:rPr>
        <w:footnoteRef/>
      </w:r>
      <w:r w:rsidRPr="00C9166A">
        <w:t xml:space="preserve"> </w:t>
      </w:r>
      <w:r w:rsidRPr="0000513A">
        <w:rPr>
          <w:i/>
        </w:rPr>
        <w:t>(i)</w:t>
      </w:r>
      <w:r w:rsidRPr="00C9166A">
        <w:t xml:space="preserve"> las causas principales de la demora en la prestación o autorización del servicio;</w:t>
      </w:r>
      <w:r>
        <w:t xml:space="preserve"> </w:t>
      </w:r>
      <w:r w:rsidRPr="0000513A">
        <w:rPr>
          <w:i/>
        </w:rPr>
        <w:t>(ii)</w:t>
      </w:r>
      <w:r w:rsidRPr="00C9166A">
        <w:t xml:space="preserve"> el cumplimiento efectivo de las decisiones judiciales; </w:t>
      </w:r>
      <w:r w:rsidRPr="0000513A">
        <w:rPr>
          <w:i/>
        </w:rPr>
        <w:t>(iii)</w:t>
      </w:r>
      <w:r w:rsidRPr="00C9166A">
        <w:t xml:space="preserve"> los problemas internos que acaecen en cada EPS, IPS, Secretarías de Salud y demás autoridades territoriales que impiden la prestación eficaz de un servicio; </w:t>
      </w:r>
      <w:r w:rsidRPr="0000513A">
        <w:rPr>
          <w:i/>
        </w:rPr>
        <w:t xml:space="preserve">(iv) </w:t>
      </w:r>
      <w:r w:rsidRPr="00C9166A">
        <w:t xml:space="preserve">la socialización de los resultados a los actores del sistema, así como la participación de expertos en el tema para interactuar con la sociedad y encontrar la solución definitiva de cada problema jurídico; </w:t>
      </w:r>
      <w:r w:rsidRPr="0000513A">
        <w:rPr>
          <w:i/>
        </w:rPr>
        <w:t>(v)</w:t>
      </w:r>
      <w:r w:rsidRPr="00C9166A">
        <w:t xml:space="preserve"> la información accesible a través de un micro sitio y</w:t>
      </w:r>
      <w:r>
        <w:t>;</w:t>
      </w:r>
      <w:r w:rsidRPr="00C9166A">
        <w:t xml:space="preserve"> </w:t>
      </w:r>
      <w:r w:rsidRPr="0000513A">
        <w:rPr>
          <w:i/>
        </w:rPr>
        <w:t>(vi)</w:t>
      </w:r>
      <w:r w:rsidRPr="00C9166A">
        <w:t xml:space="preserve"> el perfil socioeconómico de las personas que presentan las acciones de tutela.</w:t>
      </w:r>
    </w:p>
  </w:footnote>
  <w:footnote w:id="165">
    <w:p w14:paraId="55617ED9" w14:textId="42A16147" w:rsidR="004A604F" w:rsidRPr="00D1643B" w:rsidRDefault="004A604F">
      <w:pPr>
        <w:pStyle w:val="Textonotapie"/>
        <w:rPr>
          <w:lang w:val="es-ES"/>
        </w:rPr>
      </w:pPr>
      <w:r>
        <w:rPr>
          <w:rStyle w:val="Refdenotaalpie"/>
        </w:rPr>
        <w:footnoteRef/>
      </w:r>
      <w:r>
        <w:t xml:space="preserve"> AZ Orden XXXII A, f</w:t>
      </w:r>
      <w:r>
        <w:rPr>
          <w:lang w:val="es-ES"/>
        </w:rPr>
        <w:t>olio 338-363.</w:t>
      </w:r>
    </w:p>
  </w:footnote>
  <w:footnote w:id="166">
    <w:p w14:paraId="6964840A" w14:textId="06ADA4FA" w:rsidR="004A604F" w:rsidRPr="00D1643B" w:rsidRDefault="004A604F">
      <w:pPr>
        <w:pStyle w:val="Textonotapie"/>
        <w:rPr>
          <w:lang w:val="es-ES"/>
        </w:rPr>
      </w:pPr>
      <w:r>
        <w:rPr>
          <w:rStyle w:val="Refdenotaalpie"/>
        </w:rPr>
        <w:footnoteRef/>
      </w:r>
      <w:r>
        <w:t xml:space="preserve"> AZ Orden XXXII B, f</w:t>
      </w:r>
      <w:r>
        <w:rPr>
          <w:lang w:val="es-ES"/>
        </w:rPr>
        <w:t>olio 736-754.</w:t>
      </w:r>
    </w:p>
  </w:footnote>
  <w:footnote w:id="167">
    <w:p w14:paraId="501FC8C2" w14:textId="6C985D4C" w:rsidR="004A604F" w:rsidRPr="00D1643B" w:rsidRDefault="004A604F">
      <w:pPr>
        <w:pStyle w:val="Textonotapie"/>
        <w:rPr>
          <w:lang w:val="es-ES"/>
        </w:rPr>
      </w:pPr>
      <w:r>
        <w:rPr>
          <w:rStyle w:val="Refdenotaalpie"/>
        </w:rPr>
        <w:footnoteRef/>
      </w:r>
      <w:r>
        <w:t xml:space="preserve"> AZ Orden XXXII B, f</w:t>
      </w:r>
      <w:r>
        <w:rPr>
          <w:lang w:val="es-ES"/>
        </w:rPr>
        <w:t>olio 804-806.</w:t>
      </w:r>
    </w:p>
  </w:footnote>
  <w:footnote w:id="168">
    <w:p w14:paraId="38099240" w14:textId="303D6E8E" w:rsidR="004A604F" w:rsidRPr="00561BD4" w:rsidRDefault="004A604F">
      <w:pPr>
        <w:pStyle w:val="Textonotapie"/>
        <w:jc w:val="both"/>
        <w:rPr>
          <w:i/>
        </w:rPr>
      </w:pPr>
      <w:r w:rsidRPr="00561BD4">
        <w:rPr>
          <w:rStyle w:val="Refdenotaalpie"/>
        </w:rPr>
        <w:footnoteRef/>
      </w:r>
      <w:r w:rsidRPr="00561BD4">
        <w:t xml:space="preserve"> </w:t>
      </w:r>
      <w:r w:rsidRPr="00561BD4">
        <w:rPr>
          <w:i/>
        </w:rPr>
        <w:t>Cfr</w:t>
      </w:r>
      <w:r w:rsidRPr="00561BD4">
        <w:t xml:space="preserve">. AZ Orden XXX-C, folios 1286 y ss. Dato tomado del informe de medición de acciones de tutela del derecho a la salud dentro del seguimiento a la orden 30 de la </w:t>
      </w:r>
      <w:r>
        <w:t>Sentencia</w:t>
      </w:r>
      <w:r w:rsidRPr="00561BD4">
        <w:t xml:space="preserve"> T-760 de 2008, presentado por el Ministerio de Salud el 31 de enero de 2018. El total de tutelas en salud año 2017 fue de 191.778; </w:t>
      </w:r>
      <w:r w:rsidRPr="00561BD4">
        <w:rPr>
          <w:i/>
        </w:rPr>
        <w:t>“A nivel municipal, en 1.005 municipios se presentó al menos una acción de tutela. San Miguel-Santander (30,7), Salamina-Caldas (22.9) y La Dorada-Caldas (20,7), registraron la tasa de tutelas (por 1.000 habitantes) más alta. 1os municipios con las tasas más bajas fueron Manaure-Cesar (0,02), Inza-Cauca, San Pablo-Bolivar y Páez-Cauca (0,03). Al agrupar los municipios por quintiles de acuerdo a su número de habitantes (Tabla 3), se observa que las dos ciudades más grandes del país, que concentran el 21.9% de la población, presentan una tasa de 3,3 tutelas por cada mil habitantes, tasa cercana a la tasa nacional (3,9). Por su parte, los 755 municipios más pequeños, los cuales concentran el 15% de la población, tienen una tasa de 2,1 tutelas por cada mil habitantes. La mayor tasa (6,3) de tutelas corresponde a las ciudades con población entre 123.9555 y 474.335 habitante”.</w:t>
      </w:r>
    </w:p>
  </w:footnote>
  <w:footnote w:id="169">
    <w:p w14:paraId="793E0D12" w14:textId="0257E7D3" w:rsidR="004A604F" w:rsidRPr="00876A35" w:rsidRDefault="004A604F">
      <w:pPr>
        <w:pStyle w:val="Textonotapie"/>
      </w:pPr>
      <w:r>
        <w:rPr>
          <w:rStyle w:val="Refdenotaalpie"/>
        </w:rPr>
        <w:footnoteRef/>
      </w:r>
      <w:r>
        <w:t xml:space="preserve"> Establecido en el cronograma aportado por el CSJ de agosto de 2011, en cumplimiento de lo establecido en el auto 144 de 2011.</w:t>
      </w:r>
    </w:p>
  </w:footnote>
  <w:footnote w:id="170">
    <w:p w14:paraId="529B7A5D" w14:textId="77777777" w:rsidR="004A604F" w:rsidRPr="00561BD4" w:rsidRDefault="004A604F">
      <w:pPr>
        <w:pStyle w:val="Textonotapie"/>
        <w:jc w:val="both"/>
      </w:pPr>
      <w:r w:rsidRPr="00561BD4">
        <w:rPr>
          <w:rStyle w:val="Refdenotaalpie"/>
        </w:rPr>
        <w:footnoteRef/>
      </w:r>
      <w:r w:rsidRPr="00561BD4">
        <w:t xml:space="preserve"> AZ Orden XXXII-B, folio 794.</w:t>
      </w:r>
    </w:p>
  </w:footnote>
  <w:footnote w:id="171">
    <w:p w14:paraId="5E02B373" w14:textId="2B00EFC5" w:rsidR="004A604F" w:rsidRPr="00263485" w:rsidRDefault="004A604F">
      <w:pPr>
        <w:pStyle w:val="Textonotapie"/>
        <w:rPr>
          <w:lang w:val="es-ES"/>
        </w:rPr>
      </w:pPr>
      <w:r>
        <w:rPr>
          <w:rStyle w:val="Refdenotaalpie"/>
        </w:rPr>
        <w:footnoteRef/>
      </w:r>
      <w:r>
        <w:t xml:space="preserve"> </w:t>
      </w:r>
      <w:r>
        <w:rPr>
          <w:lang w:val="es-ES"/>
        </w:rPr>
        <w:t>AZ XXXII-B, folio 678, 714, 732.</w:t>
      </w:r>
    </w:p>
  </w:footnote>
  <w:footnote w:id="172">
    <w:p w14:paraId="459472F1" w14:textId="5D89247B" w:rsidR="004A604F" w:rsidRPr="00561BD4" w:rsidRDefault="004A604F" w:rsidP="00464A88">
      <w:pPr>
        <w:pStyle w:val="Textonotapie"/>
        <w:jc w:val="both"/>
        <w:rPr>
          <w:lang w:val="es-ES"/>
        </w:rPr>
      </w:pPr>
      <w:r w:rsidRPr="00561BD4">
        <w:rPr>
          <w:rStyle w:val="Refdenotaalpie"/>
        </w:rPr>
        <w:footnoteRef/>
      </w:r>
      <w:r w:rsidRPr="00561BD4">
        <w:t xml:space="preserve"> AZ Orden XXXII-B, folios 782-786. Informe 8 de agosto de 2016.</w:t>
      </w:r>
    </w:p>
  </w:footnote>
  <w:footnote w:id="173">
    <w:p w14:paraId="51AB0581" w14:textId="32EAC6E3" w:rsidR="004A604F" w:rsidRPr="000944A7" w:rsidRDefault="004A604F" w:rsidP="00A11EAF">
      <w:pPr>
        <w:pStyle w:val="Textonotapie"/>
        <w:rPr>
          <w:lang w:val="es-ES"/>
        </w:rPr>
      </w:pPr>
      <w:r>
        <w:rPr>
          <w:rStyle w:val="Refdenotaalpie"/>
        </w:rPr>
        <w:footnoteRef/>
      </w:r>
      <w:r>
        <w:t xml:space="preserve"> Del informe presentado por el CSJ el  26 de junio de 2014 se desprende que la impresión se realizó mediados de ese año; así mismo en reporte allegado el 3 de agosto de 2015 se informó que se había distribuido la totalidad de los ejemplares.</w:t>
      </w:r>
    </w:p>
  </w:footnote>
  <w:footnote w:id="174">
    <w:p w14:paraId="0041DE26" w14:textId="77777777" w:rsidR="004A604F" w:rsidRPr="00561BD4" w:rsidRDefault="004A604F" w:rsidP="00464A88">
      <w:pPr>
        <w:pStyle w:val="Textonotapie"/>
        <w:jc w:val="both"/>
      </w:pPr>
      <w:r w:rsidRPr="00561BD4">
        <w:rPr>
          <w:rStyle w:val="Refdenotaalpie"/>
        </w:rPr>
        <w:footnoteRef/>
      </w:r>
      <w:r w:rsidRPr="00561BD4">
        <w:t xml:space="preserve"> Auto 154 de 2014.</w:t>
      </w:r>
    </w:p>
  </w:footnote>
  <w:footnote w:id="175">
    <w:p w14:paraId="79F41A56" w14:textId="77777777" w:rsidR="004A604F" w:rsidRPr="00561BD4" w:rsidRDefault="004A604F">
      <w:pPr>
        <w:pStyle w:val="Textonotapie"/>
        <w:jc w:val="both"/>
      </w:pPr>
      <w:r w:rsidRPr="00561BD4">
        <w:rPr>
          <w:rStyle w:val="Refdenotaalpie"/>
        </w:rPr>
        <w:footnoteRef/>
      </w:r>
      <w:r w:rsidRPr="00561BD4">
        <w:t xml:space="preserve"> AZ Orden XXXII-B, folio 663-692 informe del 26 de junio de 2014.</w:t>
      </w:r>
    </w:p>
  </w:footnote>
  <w:footnote w:id="176">
    <w:p w14:paraId="24A360D6" w14:textId="7506039E" w:rsidR="004A604F" w:rsidRPr="00561BD4" w:rsidRDefault="004A604F">
      <w:pPr>
        <w:pStyle w:val="Textonotapie"/>
        <w:jc w:val="both"/>
        <w:rPr>
          <w:lang w:val="es-ES"/>
        </w:rPr>
      </w:pPr>
      <w:r w:rsidRPr="00561BD4">
        <w:rPr>
          <w:rStyle w:val="Refdenotaalpie"/>
        </w:rPr>
        <w:footnoteRef/>
      </w:r>
      <w:r w:rsidRPr="00561BD4">
        <w:t xml:space="preserve"> 1) Diseño, desarrollo e implementación del Micrositio Web Centro de Documentación Socio Jurídica de la Rama Judicial, responsable: </w:t>
      </w:r>
      <w:r>
        <w:t>Cendoj</w:t>
      </w:r>
      <w:r w:rsidRPr="00561BD4">
        <w:t xml:space="preserve"> 24/06/2014 18/12/2014;  2) Formación y capacitación Escuela Judicial Rodrigo Lara Bonilla, responsable: EJRLB 01/10/2014 30/06/2015;  3) Difusión Centro de Documentación Socio Jurídica de la Rama Judicial, responsable: </w:t>
      </w:r>
      <w:r>
        <w:t>Cendoj</w:t>
      </w:r>
      <w:r w:rsidRPr="00561BD4">
        <w:t xml:space="preserve"> 30/06/2014 28/11/2014; 4) Seguimiento y control, responsable: Presidencia de la Sala Administrativa 24/06/2014 30/06/2015.</w:t>
      </w:r>
    </w:p>
  </w:footnote>
  <w:footnote w:id="177">
    <w:p w14:paraId="428905FD" w14:textId="72D0E924" w:rsidR="004A604F" w:rsidRPr="00561BD4" w:rsidRDefault="004A604F">
      <w:pPr>
        <w:pStyle w:val="Textonotapie"/>
        <w:jc w:val="both"/>
      </w:pPr>
      <w:r w:rsidRPr="00561BD4">
        <w:rPr>
          <w:rStyle w:val="Refdenotaalpie"/>
        </w:rPr>
        <w:footnoteRef/>
      </w:r>
      <w:r w:rsidRPr="00561BD4">
        <w:t xml:space="preserve"> </w:t>
      </w:r>
      <w:r>
        <w:t>E</w:t>
      </w:r>
      <w:r w:rsidRPr="00561BD4">
        <w:t xml:space="preserve">sta Sala Especial de Seguimiento tendrá por ciertas las afirmaciones emitidas por Consejo Superior de la Judicatura, siempre y cuando no </w:t>
      </w:r>
      <w:r>
        <w:t xml:space="preserve"> hubieran sido del asunto</w:t>
      </w:r>
      <w:r w:rsidRPr="00561BD4">
        <w:t xml:space="preserve"> desvirtuadas por terceros. </w:t>
      </w:r>
    </w:p>
  </w:footnote>
  <w:footnote w:id="178">
    <w:p w14:paraId="5E721DF5" w14:textId="6E3CC9BE" w:rsidR="004A604F" w:rsidRPr="00D1643B" w:rsidRDefault="004A604F" w:rsidP="00D1643B">
      <w:pPr>
        <w:pStyle w:val="Textonotapie"/>
        <w:jc w:val="both"/>
        <w:rPr>
          <w:lang w:val="es-ES"/>
        </w:rPr>
      </w:pPr>
      <w:r>
        <w:rPr>
          <w:rStyle w:val="Refdenotaalpie"/>
        </w:rPr>
        <w:footnoteRef/>
      </w:r>
      <w:r>
        <w:t xml:space="preserve"> </w:t>
      </w:r>
      <w:r w:rsidRPr="00DE2959">
        <w:rPr>
          <w:i/>
        </w:rPr>
        <w:t xml:space="preserve">(i) </w:t>
      </w:r>
      <w:r>
        <w:t xml:space="preserve">Allegarse por el CSJ informes de forma bimestral; </w:t>
      </w:r>
      <w:r w:rsidRPr="00DE2959">
        <w:rPr>
          <w:i/>
        </w:rPr>
        <w:t>(ii)</w:t>
      </w:r>
      <w:r>
        <w:t xml:space="preserve"> crear un link en la página web de la Rama Judicial que permita acceder al contenido de la sentencia, el cual debería contener contador de visitas; </w:t>
      </w:r>
      <w:r w:rsidRPr="00DE2959">
        <w:rPr>
          <w:i/>
        </w:rPr>
        <w:t>(iii)</w:t>
      </w:r>
      <w:r>
        <w:t xml:space="preserve"> incluir los reportes presentados por el CSJ ante la Sala Especial en el link, el último día hábil; </w:t>
      </w:r>
      <w:r w:rsidRPr="00DE2959">
        <w:rPr>
          <w:i/>
        </w:rPr>
        <w:t xml:space="preserve">(iv) </w:t>
      </w:r>
      <w:r>
        <w:t xml:space="preserve">publicar los autos de seguimiento en la página web del derecho a la salud; </w:t>
      </w:r>
      <w:r w:rsidRPr="00DE2959">
        <w:rPr>
          <w:i/>
        </w:rPr>
        <w:t>(v)</w:t>
      </w:r>
      <w:r>
        <w:t xml:space="preserve"> agregar en el link material de capacitación, legislación y doctrina sobre el derecho a la salud e, </w:t>
      </w:r>
      <w:r w:rsidRPr="00DE2959">
        <w:rPr>
          <w:i/>
        </w:rPr>
        <w:t>(vi)</w:t>
      </w:r>
      <w:r>
        <w:t xml:space="preserve"> incluir la temática a fin en el concurso de provisión de funcionarios de la Rama Judicial. </w:t>
      </w:r>
    </w:p>
  </w:footnote>
  <w:footnote w:id="179">
    <w:p w14:paraId="3F232E00" w14:textId="53FFE096" w:rsidR="004A604F" w:rsidRPr="00561BD4" w:rsidRDefault="004A604F" w:rsidP="00464A88">
      <w:pPr>
        <w:pStyle w:val="Textonotapie"/>
        <w:jc w:val="both"/>
      </w:pPr>
      <w:r w:rsidRPr="00561BD4">
        <w:rPr>
          <w:rStyle w:val="Refdenotaalpie"/>
        </w:rPr>
        <w:footnoteRef/>
      </w:r>
      <w:r w:rsidRPr="00561BD4">
        <w:t xml:space="preserve"> Ingresos reportados el día </w:t>
      </w:r>
      <w:r>
        <w:t>13 de marzo</w:t>
      </w:r>
      <w:r w:rsidRPr="00561BD4">
        <w:t xml:space="preserve"> de 201</w:t>
      </w:r>
      <w:r>
        <w:t>9</w:t>
      </w:r>
      <w:r w:rsidRPr="00561BD4">
        <w:t xml:space="preserve">. </w:t>
      </w:r>
    </w:p>
  </w:footnote>
  <w:footnote w:id="180">
    <w:p w14:paraId="222FD871" w14:textId="6522D5FF" w:rsidR="004A604F" w:rsidRPr="00820F25" w:rsidRDefault="004A604F">
      <w:pPr>
        <w:pStyle w:val="Textonotapie"/>
        <w:rPr>
          <w:lang w:val="es-ES"/>
        </w:rPr>
      </w:pPr>
      <w:r>
        <w:rPr>
          <w:rStyle w:val="Refdenotaalpie"/>
        </w:rPr>
        <w:footnoteRef/>
      </w:r>
      <w:r>
        <w:t xml:space="preserve"> </w:t>
      </w:r>
      <w:r>
        <w:rPr>
          <w:lang w:val="es-ES"/>
        </w:rPr>
        <w:t xml:space="preserve">Este reporte a pesar de estar publicado en la página web de la Rama Judicial no fue radicado en la Corte. </w:t>
      </w:r>
    </w:p>
  </w:footnote>
  <w:footnote w:id="181">
    <w:p w14:paraId="289D8EDC" w14:textId="2646FFC5" w:rsidR="004A604F" w:rsidRPr="00820F25" w:rsidRDefault="004A604F" w:rsidP="00D90D4C">
      <w:pPr>
        <w:pStyle w:val="Textonotapie"/>
        <w:jc w:val="both"/>
        <w:rPr>
          <w:lang w:val="es-ES"/>
        </w:rPr>
      </w:pPr>
      <w:r>
        <w:rPr>
          <w:rStyle w:val="Refdenotaalpie"/>
        </w:rPr>
        <w:footnoteRef/>
      </w:r>
      <w:r>
        <w:t xml:space="preserve"> Correspondientes a los periodos de 1 de abril a 31 de julio de 2018 y 1 de agosto al 30 de noviembre de 2018 respectivamente. </w:t>
      </w:r>
    </w:p>
  </w:footnote>
  <w:footnote w:id="182">
    <w:p w14:paraId="7CB307FE" w14:textId="01852DC0" w:rsidR="004A604F" w:rsidRPr="000961E6" w:rsidRDefault="004A604F">
      <w:pPr>
        <w:pStyle w:val="Textonotapie"/>
        <w:rPr>
          <w:lang w:val="es-ES"/>
        </w:rPr>
      </w:pPr>
      <w:r>
        <w:rPr>
          <w:rStyle w:val="Refdenotaalpie"/>
        </w:rPr>
        <w:footnoteRef/>
      </w:r>
      <w:r>
        <w:t xml:space="preserve"> Acápite 5.3 de la parte considerativa del auto 154 de 2014. </w:t>
      </w:r>
    </w:p>
  </w:footnote>
  <w:footnote w:id="183">
    <w:p w14:paraId="762628E0" w14:textId="0BBB2D06" w:rsidR="004A604F" w:rsidRPr="00561BD4" w:rsidRDefault="004A604F">
      <w:pPr>
        <w:pStyle w:val="Textonotapie"/>
        <w:jc w:val="both"/>
      </w:pPr>
      <w:r w:rsidRPr="00561BD4">
        <w:rPr>
          <w:rStyle w:val="Refdenotaalpie"/>
        </w:rPr>
        <w:footnoteRef/>
      </w:r>
      <w:r w:rsidRPr="00561BD4">
        <w:t xml:space="preserve"> </w:t>
      </w:r>
      <w:r w:rsidRPr="00561BD4">
        <w:rPr>
          <w:shd w:val="clear" w:color="auto" w:fill="FFFFFF"/>
        </w:rPr>
        <w:t xml:space="preserve">Se puede consultar en el enlace </w:t>
      </w:r>
      <w:hyperlink r:id="rId1" w:history="1">
        <w:r w:rsidRPr="00561BD4">
          <w:rPr>
            <w:rStyle w:val="Hipervnculo"/>
            <w:color w:val="auto"/>
            <w:shd w:val="clear" w:color="auto" w:fill="FFFFFF"/>
          </w:rPr>
          <w:t>http://172.16.7.104/videoteca/videoViewer.aspx?id=1202</w:t>
        </w:r>
      </w:hyperlink>
      <w:r w:rsidRPr="00561BD4">
        <w:t xml:space="preserve">. Diligencia basada en la información remitida por la Defensoría del Pueblo, el Ministerio de Salud y Protección Social y la Superintendencia Nacional de Salud, en la que la Corte advirtió la ocurrencia de algunas situaciones que podrían afectar el acceso a los servicios de salud por parte de los usuarios en el Departamento del Chocó. </w:t>
      </w:r>
    </w:p>
  </w:footnote>
  <w:footnote w:id="184">
    <w:p w14:paraId="30FAFFF4" w14:textId="3514EB5E" w:rsidR="004A604F" w:rsidRPr="00561BD4" w:rsidRDefault="004A604F">
      <w:pPr>
        <w:pStyle w:val="NormalWeb"/>
        <w:shd w:val="clear" w:color="auto" w:fill="FFFFFF"/>
        <w:spacing w:before="0" w:beforeAutospacing="0" w:after="0" w:afterAutospacing="0"/>
        <w:jc w:val="both"/>
        <w:rPr>
          <w:sz w:val="20"/>
          <w:szCs w:val="20"/>
        </w:rPr>
      </w:pPr>
      <w:r w:rsidRPr="00561BD4">
        <w:rPr>
          <w:rStyle w:val="Refdenotaalpie"/>
          <w:sz w:val="20"/>
          <w:szCs w:val="20"/>
        </w:rPr>
        <w:footnoteRef/>
      </w:r>
      <w:r w:rsidRPr="00561BD4">
        <w:rPr>
          <w:sz w:val="20"/>
          <w:szCs w:val="20"/>
        </w:rPr>
        <w:t xml:space="preserve"> Se puede consultar en los enlaces </w:t>
      </w:r>
      <w:hyperlink r:id="rId2" w:history="1">
        <w:r w:rsidRPr="000961E6">
          <w:rPr>
            <w:rStyle w:val="Hipervnculo"/>
            <w:color w:val="auto"/>
            <w:sz w:val="20"/>
            <w:szCs w:val="20"/>
            <w:u w:val="none"/>
          </w:rPr>
          <w:t>https://www.youtube.com/watch?v=S7UlTnkXx1k</w:t>
        </w:r>
      </w:hyperlink>
      <w:r w:rsidRPr="000961E6">
        <w:rPr>
          <w:rStyle w:val="Hipervnculo"/>
          <w:color w:val="auto"/>
          <w:sz w:val="20"/>
          <w:szCs w:val="20"/>
          <w:u w:val="none"/>
        </w:rPr>
        <w:t xml:space="preserve"> y </w:t>
      </w:r>
      <w:hyperlink r:id="rId3" w:history="1">
        <w:r w:rsidRPr="000961E6">
          <w:rPr>
            <w:rStyle w:val="Hipervnculo"/>
            <w:color w:val="auto"/>
            <w:sz w:val="20"/>
            <w:szCs w:val="20"/>
            <w:u w:val="none"/>
          </w:rPr>
          <w:t>https://www.youtube.com/watch?v=y7mWEnf4X_E</w:t>
        </w:r>
      </w:hyperlink>
      <w:r>
        <w:rPr>
          <w:rStyle w:val="Hipervnculo"/>
          <w:color w:val="auto"/>
          <w:sz w:val="20"/>
          <w:szCs w:val="20"/>
          <w:u w:val="none"/>
        </w:rPr>
        <w:t xml:space="preserve">. </w:t>
      </w:r>
      <w:r w:rsidRPr="00561BD4">
        <w:rPr>
          <w:rStyle w:val="Hipervnculo"/>
          <w:color w:val="auto"/>
          <w:sz w:val="20"/>
          <w:szCs w:val="20"/>
          <w:u w:val="none"/>
        </w:rPr>
        <w:t xml:space="preserve">Diligencia por medio de la cual se estudiaron los avances en materia de cobertura infraestructura y prestación de servicios en el mencionado municipio. </w:t>
      </w:r>
    </w:p>
  </w:footnote>
  <w:footnote w:id="185">
    <w:p w14:paraId="39C8D40F" w14:textId="4EAA279C" w:rsidR="004A604F" w:rsidRPr="00561BD4" w:rsidRDefault="004A604F">
      <w:pPr>
        <w:pStyle w:val="Textonotapie"/>
        <w:jc w:val="both"/>
        <w:rPr>
          <w:lang w:val="es-ES"/>
        </w:rPr>
      </w:pPr>
      <w:r w:rsidRPr="00561BD4">
        <w:rPr>
          <w:rStyle w:val="Refdenotaalpie"/>
        </w:rPr>
        <w:footnoteRef/>
      </w:r>
      <w:r w:rsidRPr="00561BD4">
        <w:t xml:space="preserve"> </w:t>
      </w:r>
      <w:r w:rsidRPr="00561BD4">
        <w:rPr>
          <w:i/>
          <w:color w:val="000000" w:themeColor="text1"/>
        </w:rPr>
        <w:t>Cfr.</w:t>
      </w:r>
      <w:r w:rsidRPr="00561BD4">
        <w:rPr>
          <w:color w:val="000000" w:themeColor="text1"/>
        </w:rPr>
        <w:t xml:space="preserve"> </w:t>
      </w:r>
      <w:r w:rsidRPr="00561BD4">
        <w:t>AZ Orden XXXII-B, folio 692.</w:t>
      </w:r>
    </w:p>
  </w:footnote>
  <w:footnote w:id="186">
    <w:p w14:paraId="1A4AA680" w14:textId="77777777" w:rsidR="004A604F" w:rsidRPr="00561BD4" w:rsidRDefault="004A604F">
      <w:pPr>
        <w:pStyle w:val="Textonotapie"/>
        <w:jc w:val="both"/>
        <w:rPr>
          <w:color w:val="000000" w:themeColor="text1"/>
        </w:rPr>
      </w:pPr>
      <w:r w:rsidRPr="00561BD4">
        <w:rPr>
          <w:rStyle w:val="Refdenotaalpie"/>
          <w:color w:val="000000" w:themeColor="text1"/>
        </w:rPr>
        <w:footnoteRef/>
      </w:r>
      <w:r w:rsidRPr="00561BD4">
        <w:rPr>
          <w:i/>
          <w:color w:val="000000" w:themeColor="text1"/>
        </w:rPr>
        <w:t xml:space="preserve"> Cfr.</w:t>
      </w:r>
      <w:r w:rsidRPr="00561BD4">
        <w:rPr>
          <w:color w:val="000000" w:themeColor="text1"/>
        </w:rPr>
        <w:t xml:space="preserve"> </w:t>
      </w:r>
      <w:r w:rsidRPr="00561BD4">
        <w:t>AZ Orden XXXII-B, folio 712.</w:t>
      </w:r>
    </w:p>
  </w:footnote>
  <w:footnote w:id="187">
    <w:p w14:paraId="3CE23A2B" w14:textId="77777777" w:rsidR="004A604F" w:rsidRPr="00561BD4" w:rsidRDefault="004A604F">
      <w:pPr>
        <w:pStyle w:val="Textonotapie"/>
        <w:jc w:val="both"/>
      </w:pPr>
      <w:r w:rsidRPr="00561BD4">
        <w:rPr>
          <w:rStyle w:val="Refdenotaalpie"/>
          <w:color w:val="000000" w:themeColor="text1"/>
        </w:rPr>
        <w:footnoteRef/>
      </w:r>
      <w:r w:rsidRPr="00561BD4">
        <w:rPr>
          <w:i/>
          <w:color w:val="000000" w:themeColor="text1"/>
        </w:rPr>
        <w:t xml:space="preserve"> Cfr.</w:t>
      </w:r>
      <w:r w:rsidRPr="00561BD4">
        <w:rPr>
          <w:color w:val="000000" w:themeColor="text1"/>
        </w:rPr>
        <w:t xml:space="preserve"> </w:t>
      </w:r>
      <w:r w:rsidRPr="00561BD4">
        <w:t>AZ Orden XXXII-B, folio 730-735.</w:t>
      </w:r>
    </w:p>
  </w:footnote>
  <w:footnote w:id="188">
    <w:p w14:paraId="4DDE49E7" w14:textId="77777777" w:rsidR="004A604F" w:rsidRPr="00561BD4" w:rsidRDefault="004A604F">
      <w:pPr>
        <w:pStyle w:val="Textonotapie"/>
        <w:jc w:val="both"/>
      </w:pPr>
      <w:r w:rsidRPr="00561BD4">
        <w:rPr>
          <w:rStyle w:val="Refdenotaalpie"/>
          <w:color w:val="000000" w:themeColor="text1"/>
        </w:rPr>
        <w:footnoteRef/>
      </w:r>
      <w:r w:rsidRPr="00561BD4">
        <w:rPr>
          <w:i/>
          <w:color w:val="000000" w:themeColor="text1"/>
        </w:rPr>
        <w:t xml:space="preserve"> Cfr.</w:t>
      </w:r>
      <w:r w:rsidRPr="00561BD4">
        <w:rPr>
          <w:color w:val="000000" w:themeColor="text1"/>
        </w:rPr>
        <w:t xml:space="preserve"> </w:t>
      </w:r>
      <w:r w:rsidRPr="00561BD4">
        <w:t>AZ Orden XXXII-B, folio 755-757.</w:t>
      </w:r>
    </w:p>
  </w:footnote>
  <w:footnote w:id="189">
    <w:p w14:paraId="63C60B4B" w14:textId="77777777" w:rsidR="004A604F" w:rsidRPr="00561BD4" w:rsidRDefault="004A604F">
      <w:pPr>
        <w:pStyle w:val="Textonotapie"/>
        <w:jc w:val="both"/>
        <w:rPr>
          <w:color w:val="000000" w:themeColor="text1"/>
        </w:rPr>
      </w:pPr>
      <w:r w:rsidRPr="00561BD4">
        <w:rPr>
          <w:rStyle w:val="Refdenotaalpie"/>
          <w:color w:val="000000" w:themeColor="text1"/>
        </w:rPr>
        <w:footnoteRef/>
      </w:r>
      <w:r w:rsidRPr="00561BD4">
        <w:rPr>
          <w:i/>
          <w:color w:val="000000" w:themeColor="text1"/>
        </w:rPr>
        <w:t xml:space="preserve"> Cfr.</w:t>
      </w:r>
      <w:r w:rsidRPr="00561BD4">
        <w:rPr>
          <w:color w:val="000000" w:themeColor="text1"/>
        </w:rPr>
        <w:t xml:space="preserve"> </w:t>
      </w:r>
      <w:r w:rsidRPr="00561BD4">
        <w:t>AZ Orden XXXII-B, folio 758-770.</w:t>
      </w:r>
    </w:p>
  </w:footnote>
  <w:footnote w:id="190">
    <w:p w14:paraId="3FAC170F" w14:textId="77777777" w:rsidR="004A604F" w:rsidRPr="00561BD4" w:rsidRDefault="004A604F">
      <w:pPr>
        <w:pStyle w:val="Textonotapie"/>
        <w:jc w:val="both"/>
        <w:rPr>
          <w:color w:val="000000" w:themeColor="text1"/>
        </w:rPr>
      </w:pPr>
      <w:r w:rsidRPr="00561BD4">
        <w:rPr>
          <w:rStyle w:val="Refdenotaalpie"/>
          <w:color w:val="000000" w:themeColor="text1"/>
        </w:rPr>
        <w:footnoteRef/>
      </w:r>
      <w:r w:rsidRPr="00561BD4">
        <w:rPr>
          <w:i/>
          <w:color w:val="000000" w:themeColor="text1"/>
        </w:rPr>
        <w:t>Cfr.</w:t>
      </w:r>
      <w:r w:rsidRPr="00561BD4">
        <w:rPr>
          <w:color w:val="000000" w:themeColor="text1"/>
        </w:rPr>
        <w:t xml:space="preserve"> </w:t>
      </w:r>
      <w:r w:rsidRPr="00561BD4">
        <w:t>AZ Orden XXXII-B, folio 771-778</w:t>
      </w:r>
      <w:r w:rsidRPr="00561BD4">
        <w:rPr>
          <w:color w:val="000000" w:themeColor="text1"/>
        </w:rPr>
        <w:t>.</w:t>
      </w:r>
    </w:p>
  </w:footnote>
  <w:footnote w:id="191">
    <w:p w14:paraId="47FD79FC" w14:textId="77777777" w:rsidR="004A604F" w:rsidRPr="00561BD4" w:rsidRDefault="004A604F">
      <w:pPr>
        <w:pStyle w:val="Textonotapie"/>
        <w:jc w:val="both"/>
        <w:rPr>
          <w:color w:val="000000" w:themeColor="text1"/>
        </w:rPr>
      </w:pPr>
      <w:r w:rsidRPr="00561BD4">
        <w:rPr>
          <w:rStyle w:val="Refdenotaalpie"/>
          <w:color w:val="000000" w:themeColor="text1"/>
        </w:rPr>
        <w:footnoteRef/>
      </w:r>
      <w:r w:rsidRPr="00561BD4">
        <w:rPr>
          <w:i/>
          <w:color w:val="000000" w:themeColor="text1"/>
        </w:rPr>
        <w:t>Cfr.</w:t>
      </w:r>
      <w:r w:rsidRPr="00561BD4">
        <w:rPr>
          <w:color w:val="000000" w:themeColor="text1"/>
        </w:rPr>
        <w:t xml:space="preserve"> </w:t>
      </w:r>
      <w:r w:rsidRPr="00561BD4">
        <w:t>AZ Orden XXXII-B, folio 782-786.</w:t>
      </w:r>
    </w:p>
  </w:footnote>
  <w:footnote w:id="192">
    <w:p w14:paraId="623D82B9" w14:textId="77777777" w:rsidR="004A604F" w:rsidRPr="00561BD4" w:rsidRDefault="004A604F">
      <w:pPr>
        <w:pStyle w:val="Textonotapie"/>
        <w:jc w:val="both"/>
        <w:rPr>
          <w:color w:val="000000" w:themeColor="text1"/>
        </w:rPr>
      </w:pPr>
      <w:r w:rsidRPr="00561BD4">
        <w:rPr>
          <w:rStyle w:val="Refdenotaalpie"/>
          <w:color w:val="000000" w:themeColor="text1"/>
        </w:rPr>
        <w:footnoteRef/>
      </w:r>
      <w:r w:rsidRPr="00561BD4">
        <w:rPr>
          <w:i/>
          <w:color w:val="000000" w:themeColor="text1"/>
        </w:rPr>
        <w:t>Cfr.</w:t>
      </w:r>
      <w:r w:rsidRPr="00561BD4">
        <w:rPr>
          <w:color w:val="000000" w:themeColor="text1"/>
        </w:rPr>
        <w:t xml:space="preserve"> </w:t>
      </w:r>
      <w:r w:rsidRPr="00561BD4">
        <w:t>AZ Orden XXXII-B, folio 787.</w:t>
      </w:r>
    </w:p>
  </w:footnote>
  <w:footnote w:id="193">
    <w:p w14:paraId="6CCCECAA" w14:textId="77777777" w:rsidR="004A604F" w:rsidRPr="00561BD4" w:rsidRDefault="004A604F">
      <w:pPr>
        <w:pStyle w:val="Textonotapie"/>
        <w:jc w:val="both"/>
        <w:rPr>
          <w:color w:val="000000" w:themeColor="text1"/>
        </w:rPr>
      </w:pPr>
      <w:r w:rsidRPr="00561BD4">
        <w:rPr>
          <w:rStyle w:val="Refdenotaalpie"/>
          <w:color w:val="000000" w:themeColor="text1"/>
        </w:rPr>
        <w:footnoteRef/>
      </w:r>
      <w:r w:rsidRPr="00561BD4">
        <w:rPr>
          <w:i/>
          <w:color w:val="000000" w:themeColor="text1"/>
        </w:rPr>
        <w:t>Cfr.</w:t>
      </w:r>
      <w:r w:rsidRPr="00561BD4">
        <w:rPr>
          <w:color w:val="000000" w:themeColor="text1"/>
        </w:rPr>
        <w:t xml:space="preserve"> </w:t>
      </w:r>
      <w:r w:rsidRPr="00561BD4">
        <w:t>AZ Orden XXXII-B, folio 791-803.</w:t>
      </w:r>
    </w:p>
  </w:footnote>
  <w:footnote w:id="194">
    <w:p w14:paraId="0CA02076" w14:textId="77777777" w:rsidR="004A604F" w:rsidRPr="00561BD4" w:rsidRDefault="004A604F">
      <w:pPr>
        <w:pStyle w:val="Textonotapie"/>
        <w:jc w:val="both"/>
        <w:rPr>
          <w:color w:val="000000" w:themeColor="text1"/>
        </w:rPr>
      </w:pPr>
      <w:r w:rsidRPr="00561BD4">
        <w:rPr>
          <w:rStyle w:val="Refdenotaalpie"/>
          <w:color w:val="000000" w:themeColor="text1"/>
        </w:rPr>
        <w:footnoteRef/>
      </w:r>
      <w:r w:rsidRPr="00561BD4">
        <w:rPr>
          <w:i/>
          <w:color w:val="000000" w:themeColor="text1"/>
        </w:rPr>
        <w:t>Cfr.</w:t>
      </w:r>
      <w:r w:rsidRPr="00561BD4">
        <w:rPr>
          <w:color w:val="000000" w:themeColor="text1"/>
        </w:rPr>
        <w:t xml:space="preserve"> </w:t>
      </w:r>
      <w:r w:rsidRPr="00561BD4">
        <w:t>AZ Orden XXXII-B, folio 807-816</w:t>
      </w:r>
      <w:r w:rsidRPr="00561BD4">
        <w:rPr>
          <w:color w:val="000000" w:themeColor="text1"/>
        </w:rPr>
        <w:t>.</w:t>
      </w:r>
    </w:p>
  </w:footnote>
  <w:footnote w:id="195">
    <w:p w14:paraId="7609F527" w14:textId="77777777" w:rsidR="004A604F" w:rsidRPr="00561BD4" w:rsidRDefault="004A604F">
      <w:pPr>
        <w:pStyle w:val="Textonotapie"/>
        <w:jc w:val="both"/>
        <w:rPr>
          <w:color w:val="000000" w:themeColor="text1"/>
        </w:rPr>
      </w:pPr>
      <w:r w:rsidRPr="00561BD4">
        <w:rPr>
          <w:rStyle w:val="Refdenotaalpie"/>
          <w:color w:val="000000" w:themeColor="text1"/>
        </w:rPr>
        <w:footnoteRef/>
      </w:r>
      <w:r w:rsidRPr="00561BD4">
        <w:rPr>
          <w:i/>
          <w:color w:val="000000" w:themeColor="text1"/>
        </w:rPr>
        <w:t>Cfr.</w:t>
      </w:r>
      <w:r w:rsidRPr="00561BD4">
        <w:rPr>
          <w:color w:val="000000" w:themeColor="text1"/>
        </w:rPr>
        <w:t xml:space="preserve"> </w:t>
      </w:r>
      <w:r w:rsidRPr="00561BD4">
        <w:t>AZ Orden XXXII-B, folio 817-819</w:t>
      </w:r>
      <w:r w:rsidRPr="00561BD4">
        <w:rPr>
          <w:color w:val="000000" w:themeColor="text1"/>
        </w:rPr>
        <w:t>.</w:t>
      </w:r>
    </w:p>
  </w:footnote>
  <w:footnote w:id="196">
    <w:p w14:paraId="4584FC89" w14:textId="511862DF" w:rsidR="004A604F" w:rsidRPr="00561BD4" w:rsidRDefault="004A604F">
      <w:pPr>
        <w:pStyle w:val="Textonotapie"/>
        <w:jc w:val="both"/>
        <w:rPr>
          <w:color w:val="000000" w:themeColor="text1"/>
        </w:rPr>
      </w:pPr>
      <w:r w:rsidRPr="00561BD4">
        <w:rPr>
          <w:rStyle w:val="Refdenotaalpie"/>
          <w:color w:val="000000" w:themeColor="text1"/>
        </w:rPr>
        <w:footnoteRef/>
      </w:r>
      <w:r w:rsidRPr="00561BD4">
        <w:rPr>
          <w:i/>
          <w:color w:val="000000" w:themeColor="text1"/>
        </w:rPr>
        <w:t>Cfr.</w:t>
      </w:r>
      <w:r w:rsidRPr="00561BD4">
        <w:rPr>
          <w:color w:val="000000" w:themeColor="text1"/>
        </w:rPr>
        <w:t xml:space="preserve"> </w:t>
      </w:r>
      <w:r w:rsidRPr="00561BD4">
        <w:t>AZ Orden XXXII-B, folio 820-822</w:t>
      </w:r>
      <w:r w:rsidRPr="00561BD4">
        <w:rPr>
          <w:color w:val="000000" w:themeColor="text1"/>
        </w:rPr>
        <w:t>.</w:t>
      </w:r>
    </w:p>
  </w:footnote>
  <w:footnote w:id="197">
    <w:p w14:paraId="6A56F877" w14:textId="231B6827" w:rsidR="004A604F" w:rsidRPr="000961E6" w:rsidRDefault="004A604F">
      <w:pPr>
        <w:pStyle w:val="Textonotapie"/>
        <w:rPr>
          <w:lang w:val="es-ES"/>
        </w:rPr>
      </w:pPr>
      <w:r>
        <w:rPr>
          <w:rStyle w:val="Refdenotaalpie"/>
        </w:rPr>
        <w:footnoteRef/>
      </w:r>
      <w:r>
        <w:t xml:space="preserve"> </w:t>
      </w:r>
      <w:r w:rsidRPr="00561BD4">
        <w:rPr>
          <w:i/>
          <w:color w:val="000000" w:themeColor="text1"/>
        </w:rPr>
        <w:t>Cfr.</w:t>
      </w:r>
      <w:r w:rsidRPr="00561BD4">
        <w:rPr>
          <w:color w:val="000000" w:themeColor="text1"/>
        </w:rPr>
        <w:t xml:space="preserve"> </w:t>
      </w:r>
      <w:r w:rsidRPr="00561BD4">
        <w:t>AZ Orden XXXII-B, folio 8</w:t>
      </w:r>
      <w:r>
        <w:t>23</w:t>
      </w:r>
      <w:r w:rsidRPr="00561BD4">
        <w:t>-82</w:t>
      </w:r>
      <w:r>
        <w:t>6</w:t>
      </w:r>
      <w:r w:rsidRPr="00561BD4">
        <w:rPr>
          <w:color w:val="000000" w:themeColor="text1"/>
        </w:rPr>
        <w:t>.</w:t>
      </w:r>
    </w:p>
  </w:footnote>
  <w:footnote w:id="198">
    <w:p w14:paraId="3AC64C02" w14:textId="3B030961" w:rsidR="004A604F" w:rsidRPr="00820F25" w:rsidRDefault="004A604F">
      <w:pPr>
        <w:pStyle w:val="Textonotapie"/>
        <w:rPr>
          <w:lang w:val="es-ES"/>
        </w:rPr>
      </w:pPr>
      <w:r>
        <w:rPr>
          <w:rStyle w:val="Refdenotaalpie"/>
        </w:rPr>
        <w:footnoteRef/>
      </w:r>
      <w:r>
        <w:t xml:space="preserve"> </w:t>
      </w:r>
      <w:r>
        <w:rPr>
          <w:lang w:val="es-ES"/>
        </w:rPr>
        <w:t xml:space="preserve">Con excepción del informe que debía presentar en el mes de abril del 2018, para el periodo correspondiente al </w:t>
      </w:r>
      <w:r w:rsidRPr="00531B9A">
        <w:rPr>
          <w:lang w:val="es-ES"/>
        </w:rPr>
        <w:t>1 de diciembre de 201</w:t>
      </w:r>
      <w:r>
        <w:rPr>
          <w:lang w:val="es-ES"/>
        </w:rPr>
        <w:t>7</w:t>
      </w:r>
      <w:r w:rsidRPr="00531B9A">
        <w:rPr>
          <w:lang w:val="es-ES"/>
        </w:rPr>
        <w:t xml:space="preserve"> a 31 de marzo de 201</w:t>
      </w:r>
      <w:r>
        <w:rPr>
          <w:lang w:val="es-ES"/>
        </w:rPr>
        <w:t>8.</w:t>
      </w:r>
    </w:p>
  </w:footnote>
  <w:footnote w:id="199">
    <w:p w14:paraId="203A8230" w14:textId="77777777" w:rsidR="004A604F" w:rsidRPr="00C43A45" w:rsidRDefault="004A604F" w:rsidP="00716BE0">
      <w:pPr>
        <w:pStyle w:val="Textonotapie"/>
        <w:jc w:val="both"/>
        <w:rPr>
          <w:sz w:val="16"/>
          <w:szCs w:val="16"/>
        </w:rPr>
      </w:pPr>
      <w:r w:rsidRPr="00561BD4">
        <w:rPr>
          <w:rStyle w:val="Refdenotaalpie"/>
        </w:rPr>
        <w:footnoteRef/>
      </w:r>
      <w:r>
        <w:t xml:space="preserve"> </w:t>
      </w:r>
      <w:r w:rsidRPr="00561BD4">
        <w:t>Con el fin de contar con tiempo adicional para realizar las jornadas de capacitación que dependen del presupuesto asignado a la Rama Judicial.</w:t>
      </w:r>
    </w:p>
  </w:footnote>
  <w:footnote w:id="200">
    <w:p w14:paraId="2DD04BA2" w14:textId="77777777" w:rsidR="004A604F" w:rsidRPr="00D2446C" w:rsidRDefault="004A604F" w:rsidP="003E1513">
      <w:pPr>
        <w:pStyle w:val="Textonotapie"/>
        <w:rPr>
          <w:lang w:val="es-ES"/>
        </w:rPr>
      </w:pPr>
      <w:r>
        <w:rPr>
          <w:rStyle w:val="Refdenotaalpie"/>
        </w:rPr>
        <w:footnoteRef/>
      </w:r>
      <w:r>
        <w:t xml:space="preserve"> 8 de noviembre de 2012, 24 de julio de 2013, 11 de junio de 2014, 24 de junio de 2015, 17 de junio de 2016, 5 de julio de 2017. </w:t>
      </w:r>
    </w:p>
  </w:footnote>
  <w:footnote w:id="201">
    <w:p w14:paraId="7DA0006A" w14:textId="6BE9086A" w:rsidR="004A604F" w:rsidRDefault="004A604F" w:rsidP="00F207A7">
      <w:pPr>
        <w:pStyle w:val="Textonotapie"/>
      </w:pPr>
      <w:r>
        <w:rPr>
          <w:rStyle w:val="Refdenotaalpie"/>
        </w:rPr>
        <w:footnoteRef/>
      </w:r>
      <w:r>
        <w:t xml:space="preserve"> C.N. art.</w:t>
      </w:r>
      <w:r w:rsidRPr="007550F5">
        <w:t xml:space="preserve"> 282</w:t>
      </w:r>
      <w:r>
        <w:t>.</w:t>
      </w:r>
    </w:p>
  </w:footnote>
  <w:footnote w:id="202">
    <w:p w14:paraId="5FEE0861" w14:textId="7E96397B" w:rsidR="004A604F" w:rsidRPr="00561BD4" w:rsidRDefault="004A604F">
      <w:pPr>
        <w:pStyle w:val="Textonotapie"/>
        <w:jc w:val="both"/>
      </w:pPr>
      <w:r w:rsidRPr="00561BD4">
        <w:rPr>
          <w:rStyle w:val="Refdenotaalpie"/>
        </w:rPr>
        <w:footnoteRef/>
      </w:r>
      <w:r w:rsidRPr="00561BD4">
        <w:t xml:space="preserve"> </w:t>
      </w:r>
      <w:r w:rsidRPr="00561BD4">
        <w:rPr>
          <w:i/>
        </w:rPr>
        <w:t>Cfr</w:t>
      </w:r>
      <w:r w:rsidRPr="00561BD4">
        <w:t xml:space="preserve">. </w:t>
      </w:r>
      <w:r>
        <w:t>a</w:t>
      </w:r>
      <w:r w:rsidRPr="00561BD4">
        <w:t>uto 411 de 2015, supra considerando 3.3.</w:t>
      </w:r>
    </w:p>
  </w:footnote>
  <w:footnote w:id="203">
    <w:p w14:paraId="53EEDB0C" w14:textId="5EBECF5D" w:rsidR="004A604F" w:rsidRPr="00561BD4" w:rsidRDefault="004A604F">
      <w:pPr>
        <w:pStyle w:val="Textonotapie"/>
        <w:jc w:val="both"/>
      </w:pPr>
      <w:r w:rsidRPr="00561BD4">
        <w:rPr>
          <w:rStyle w:val="Refdenotaalpie"/>
        </w:rPr>
        <w:footnoteRef/>
      </w:r>
      <w:r w:rsidRPr="00561BD4">
        <w:t xml:space="preserve"> Tal como se expresó en el numeral </w:t>
      </w:r>
      <w:r>
        <w:t xml:space="preserve">3º </w:t>
      </w:r>
      <w:r w:rsidRPr="00561BD4">
        <w:t>del aparte considerativo del presente auto la valoración se hará teniendo en cuenta los resultados y los avances que se deriven de las actuaciones adelantadas por la entidad que esté obligada a cumplir la orden impartida por la Corte Constitucional en el fallo T-760 de 2008.</w:t>
      </w:r>
    </w:p>
  </w:footnote>
  <w:footnote w:id="204">
    <w:p w14:paraId="7F169C38" w14:textId="22491649" w:rsidR="004A604F" w:rsidRPr="00464A88" w:rsidRDefault="004A604F">
      <w:pPr>
        <w:pStyle w:val="Sinespaciado"/>
        <w:jc w:val="both"/>
        <w:rPr>
          <w:rFonts w:ascii="Times New Roman" w:hAnsi="Times New Roman"/>
          <w:color w:val="000000" w:themeColor="text1"/>
          <w:sz w:val="20"/>
          <w:szCs w:val="20"/>
        </w:rPr>
      </w:pPr>
      <w:r w:rsidRPr="00464A88">
        <w:rPr>
          <w:rStyle w:val="Refdenotaalpie"/>
          <w:rFonts w:ascii="Times New Roman" w:hAnsi="Times New Roman"/>
          <w:sz w:val="20"/>
          <w:szCs w:val="20"/>
        </w:rPr>
        <w:footnoteRef/>
      </w:r>
      <w:r w:rsidRPr="00464A88">
        <w:rPr>
          <w:rFonts w:ascii="Times New Roman" w:hAnsi="Times New Roman"/>
          <w:sz w:val="20"/>
          <w:szCs w:val="20"/>
        </w:rPr>
        <w:t xml:space="preserve"> </w:t>
      </w:r>
      <w:r w:rsidRPr="00561BD4">
        <w:rPr>
          <w:rFonts w:ascii="Times New Roman" w:hAnsi="Times New Roman"/>
          <w:color w:val="000000" w:themeColor="text1"/>
          <w:sz w:val="20"/>
          <w:szCs w:val="20"/>
        </w:rPr>
        <w:t xml:space="preserve">Entiéndase por </w:t>
      </w:r>
      <w:r w:rsidRPr="00561BD4">
        <w:rPr>
          <w:rFonts w:ascii="Times New Roman" w:hAnsi="Times New Roman"/>
          <w:b/>
          <w:color w:val="000000" w:themeColor="text1"/>
          <w:sz w:val="20"/>
          <w:szCs w:val="20"/>
        </w:rPr>
        <w:t>resultado</w:t>
      </w:r>
      <w:r w:rsidRPr="00561BD4">
        <w:rPr>
          <w:rFonts w:ascii="Times New Roman" w:hAnsi="Times New Roman"/>
          <w:color w:val="000000" w:themeColor="text1"/>
          <w:sz w:val="20"/>
          <w:szCs w:val="20"/>
        </w:rPr>
        <w:t xml:space="preserve">, la materialización de las medidas formales adoptadas por la autoridad obligada en el ámbito de acatamiento de la orden examinada, según lo dispuesto en el </w:t>
      </w:r>
      <w:r>
        <w:rPr>
          <w:rFonts w:ascii="Times New Roman" w:hAnsi="Times New Roman"/>
          <w:color w:val="000000" w:themeColor="text1"/>
          <w:sz w:val="20"/>
          <w:szCs w:val="20"/>
        </w:rPr>
        <w:t>a</w:t>
      </w:r>
      <w:r w:rsidRPr="00561BD4">
        <w:rPr>
          <w:rFonts w:ascii="Times New Roman" w:hAnsi="Times New Roman"/>
          <w:color w:val="000000" w:themeColor="text1"/>
          <w:sz w:val="20"/>
          <w:szCs w:val="20"/>
        </w:rPr>
        <w:t>uto 411 de 2015.</w:t>
      </w:r>
    </w:p>
  </w:footnote>
  <w:footnote w:id="205">
    <w:p w14:paraId="61AF964B" w14:textId="62DBABB4" w:rsidR="004A604F" w:rsidRPr="00D90D4C" w:rsidRDefault="004A604F">
      <w:pPr>
        <w:pStyle w:val="Textonotapie"/>
        <w:rPr>
          <w:lang w:val="es-ES"/>
        </w:rPr>
      </w:pPr>
      <w:r>
        <w:rPr>
          <w:rStyle w:val="Refdenotaalpie"/>
        </w:rPr>
        <w:footnoteRef/>
      </w:r>
      <w:r>
        <w:t xml:space="preserve"> </w:t>
      </w:r>
      <w:r>
        <w:rPr>
          <w:lang w:val="es-ES"/>
        </w:rPr>
        <w:t>Desde el año 2011.</w:t>
      </w:r>
    </w:p>
  </w:footnote>
  <w:footnote w:id="206">
    <w:p w14:paraId="0C6A84F9" w14:textId="3C91A5FD" w:rsidR="004A604F" w:rsidRPr="00646F47" w:rsidRDefault="004A604F" w:rsidP="00443F46">
      <w:pPr>
        <w:pStyle w:val="Textonotapie"/>
        <w:jc w:val="both"/>
        <w:rPr>
          <w:lang w:val="es-ES"/>
        </w:rPr>
      </w:pPr>
      <w:r w:rsidRPr="00646F47">
        <w:rPr>
          <w:rStyle w:val="Refdenotaalpie"/>
        </w:rPr>
        <w:footnoteRef/>
      </w:r>
      <w:hyperlink r:id="rId4" w:history="1">
        <w:r w:rsidRPr="000961E6">
          <w:rPr>
            <w:rStyle w:val="Hipervnculo"/>
            <w:color w:val="auto"/>
            <w:u w:val="none"/>
          </w:rPr>
          <w:t>https://www.ramajudicial.gov.co/documents/3188226/14225208/Despachos_judiciales_pa%C3%ADs.pdf/c5b2a606-fd43-44f9-ad9b-144f174e0d62</w:t>
        </w:r>
      </w:hyperlink>
      <w:r w:rsidRPr="003527E8">
        <w:t xml:space="preserve">. </w:t>
      </w:r>
      <w:r w:rsidRPr="00646F47">
        <w:t>Consultada el 4 de octubre de 2018.</w:t>
      </w:r>
    </w:p>
  </w:footnote>
  <w:footnote w:id="207">
    <w:p w14:paraId="6D7C0B1D" w14:textId="77777777" w:rsidR="004A604F" w:rsidRPr="00646F47" w:rsidRDefault="004A604F" w:rsidP="00443F46">
      <w:pPr>
        <w:pStyle w:val="Textonotapie"/>
        <w:jc w:val="both"/>
        <w:rPr>
          <w:lang w:val="es-ES"/>
        </w:rPr>
      </w:pPr>
      <w:r w:rsidRPr="00646F47">
        <w:rPr>
          <w:rStyle w:val="Refdenotaalpie"/>
        </w:rPr>
        <w:footnoteRef/>
      </w:r>
      <w:r w:rsidRPr="00646F47">
        <w:t xml:space="preserve"> El CSJ ha realizado conversatorios regionales en derecho a la salud, módulos de practica judicial en el sistema general de seguridad social en salud sentencia T-760 de 2008, cursos de formación de formadores sobre el módulo de práctica judicial en derecho a la salud, seminario de actualización sobre el derecho fundamental a la salud, entre otros.</w:t>
      </w:r>
    </w:p>
  </w:footnote>
  <w:footnote w:id="208">
    <w:p w14:paraId="3EEC4D70" w14:textId="2D7FFFCF" w:rsidR="004A604F" w:rsidRPr="00646F47" w:rsidRDefault="004A604F" w:rsidP="006766D1">
      <w:pPr>
        <w:pStyle w:val="Textonotapie"/>
        <w:jc w:val="both"/>
      </w:pPr>
      <w:r w:rsidRPr="00646F47">
        <w:rPr>
          <w:rStyle w:val="Refdenotaalpie"/>
        </w:rPr>
        <w:footnoteRef/>
      </w:r>
      <w:r w:rsidRPr="00646F47">
        <w:t xml:space="preserve"> </w:t>
      </w:r>
      <w:r w:rsidRPr="00646F47">
        <w:rPr>
          <w:rFonts w:eastAsia="Batang"/>
          <w:bCs/>
        </w:rPr>
        <w:t>Relacionadas en el numeral 6.2.2.2.</w:t>
      </w:r>
    </w:p>
  </w:footnote>
  <w:footnote w:id="209">
    <w:p w14:paraId="0B8C855E" w14:textId="68165AA0" w:rsidR="004A604F" w:rsidRPr="008E645B" w:rsidRDefault="004A604F" w:rsidP="009825C3">
      <w:pPr>
        <w:pStyle w:val="Textonotapie"/>
        <w:jc w:val="both"/>
        <w:rPr>
          <w:lang w:val="es-ES"/>
        </w:rPr>
      </w:pPr>
      <w:r>
        <w:rPr>
          <w:rStyle w:val="Refdenotaalpie"/>
        </w:rPr>
        <w:footnoteRef/>
      </w:r>
      <w:r>
        <w:t xml:space="preserve"> </w:t>
      </w:r>
      <w:r>
        <w:rPr>
          <w:lang w:val="es-ES"/>
        </w:rPr>
        <w:t xml:space="preserve">Auto que decretó medidas preventivas con el objetivo de acreditar el cumplimiento de la divulgación que le fue </w:t>
      </w:r>
      <w:r w:rsidRPr="008E645B">
        <w:rPr>
          <w:lang w:val="es-ES"/>
        </w:rPr>
        <w:t xml:space="preserve">encomendada al CSJ. </w:t>
      </w:r>
    </w:p>
  </w:footnote>
  <w:footnote w:id="210">
    <w:p w14:paraId="3D67C895" w14:textId="7AC6CCCB" w:rsidR="004A604F" w:rsidRPr="008E645B" w:rsidRDefault="004A604F" w:rsidP="008E645B">
      <w:pPr>
        <w:pStyle w:val="Textonotapie"/>
        <w:jc w:val="both"/>
        <w:rPr>
          <w:lang w:val="es-ES"/>
        </w:rPr>
      </w:pPr>
      <w:r w:rsidRPr="008E645B">
        <w:rPr>
          <w:rStyle w:val="Refdenotaalpie"/>
        </w:rPr>
        <w:footnoteRef/>
      </w:r>
      <w:r w:rsidRPr="008E645B">
        <w:t xml:space="preserve"> </w:t>
      </w:r>
      <w:r>
        <w:t>Así como también los a</w:t>
      </w:r>
      <w:r w:rsidRPr="008E645B">
        <w:t>utos genéricos y específicos</w:t>
      </w:r>
      <w:r>
        <w:t xml:space="preserve"> emitidos por la Sala Especial de Seguimiento</w:t>
      </w:r>
      <w:r w:rsidRPr="008E645B">
        <w:t xml:space="preserve">, </w:t>
      </w:r>
      <w:r>
        <w:t xml:space="preserve">la </w:t>
      </w:r>
      <w:r w:rsidRPr="008E645B">
        <w:t xml:space="preserve">normatividad </w:t>
      </w:r>
      <w:r>
        <w:t>y doctrina en materia de salud.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AAF20F" w14:textId="77777777" w:rsidR="004A604F" w:rsidRDefault="004A604F" w:rsidP="00690965">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A15048F" w14:textId="77777777" w:rsidR="004A604F" w:rsidRDefault="004A604F" w:rsidP="00690965">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A4CC1E" w14:textId="2B845C77" w:rsidR="004A604F" w:rsidRPr="00057C64" w:rsidRDefault="004A604F" w:rsidP="00690965">
    <w:pPr>
      <w:pStyle w:val="Encabezado"/>
      <w:ind w:right="360"/>
      <w:jc w:val="both"/>
      <w:rPr>
        <w:sz w:val="20"/>
        <w:szCs w:val="20"/>
      </w:rPr>
    </w:pPr>
    <w:r w:rsidRPr="00057C64">
      <w:rPr>
        <w:sz w:val="20"/>
        <w:szCs w:val="20"/>
      </w:rPr>
      <w:t>Sala Especial de Seguimiento a la</w:t>
    </w:r>
    <w:r>
      <w:rPr>
        <w:sz w:val="20"/>
        <w:szCs w:val="20"/>
      </w:rPr>
      <w:t xml:space="preserve"> sentencia</w:t>
    </w:r>
    <w:r w:rsidRPr="00057C64">
      <w:rPr>
        <w:sz w:val="20"/>
        <w:szCs w:val="20"/>
      </w:rPr>
      <w:t xml:space="preserve"> T-760 de 2008, orden </w:t>
    </w:r>
    <w:r>
      <w:rPr>
        <w:sz w:val="20"/>
        <w:szCs w:val="20"/>
      </w:rPr>
      <w:t>32</w:t>
    </w:r>
    <w:r w:rsidRPr="00057C64">
      <w:rPr>
        <w:sz w:val="20"/>
        <w:szCs w:val="20"/>
      </w:rPr>
      <w:t>.</w:t>
    </w:r>
  </w:p>
  <w:p w14:paraId="39376F7E" w14:textId="31DFE693" w:rsidR="004A604F" w:rsidRPr="00057C64" w:rsidRDefault="004A604F" w:rsidP="00690965">
    <w:pPr>
      <w:pStyle w:val="Piedepgina"/>
      <w:jc w:val="right"/>
      <w:rPr>
        <w:rStyle w:val="Nmerodepgina"/>
        <w:sz w:val="20"/>
        <w:szCs w:val="20"/>
      </w:rPr>
    </w:pPr>
  </w:p>
  <w:p w14:paraId="1EBD1163" w14:textId="77777777" w:rsidR="004A604F" w:rsidRPr="00057C64" w:rsidRDefault="004A604F" w:rsidP="00690965">
    <w:pPr>
      <w:pStyle w:val="Encabezado"/>
      <w:ind w:right="360"/>
      <w:jc w:val="right"/>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1CC63D78"/>
    <w:lvl w:ilvl="0">
      <w:start w:val="1"/>
      <w:numFmt w:val="decimal"/>
      <w:pStyle w:val="Sinespacio"/>
      <w:lvlText w:val="%1."/>
      <w:lvlJc w:val="left"/>
      <w:pPr>
        <w:tabs>
          <w:tab w:val="num" w:pos="360"/>
        </w:tabs>
        <w:ind w:left="360" w:hanging="360"/>
      </w:pPr>
      <w:rPr>
        <w:rFonts w:cs="Times New Roman"/>
      </w:rPr>
    </w:lvl>
  </w:abstractNum>
  <w:abstractNum w:abstractNumId="1">
    <w:nsid w:val="00600BD6"/>
    <w:multiLevelType w:val="hybridMultilevel"/>
    <w:tmpl w:val="B9EE73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20E78D0"/>
    <w:multiLevelType w:val="hybridMultilevel"/>
    <w:tmpl w:val="30F0E934"/>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C5C61DF"/>
    <w:multiLevelType w:val="hybridMultilevel"/>
    <w:tmpl w:val="75D6EE0E"/>
    <w:lvl w:ilvl="0" w:tplc="8F7C0192">
      <w:start w:val="1"/>
      <w:numFmt w:val="lowerRoman"/>
      <w:lvlText w:val="%1)"/>
      <w:lvlJc w:val="left"/>
      <w:pPr>
        <w:ind w:left="7100" w:hanging="720"/>
      </w:pPr>
      <w:rPr>
        <w:rFonts w:hint="default"/>
      </w:rPr>
    </w:lvl>
    <w:lvl w:ilvl="1" w:tplc="0C0A0019">
      <w:start w:val="1"/>
      <w:numFmt w:val="lowerLetter"/>
      <w:lvlText w:val="%2."/>
      <w:lvlJc w:val="left"/>
      <w:pPr>
        <w:ind w:left="1211"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DA52FE5"/>
    <w:multiLevelType w:val="multilevel"/>
    <w:tmpl w:val="1A580EA4"/>
    <w:lvl w:ilvl="0">
      <w:start w:val="1"/>
      <w:numFmt w:val="decimal"/>
      <w:lvlText w:val="%1."/>
      <w:lvlJc w:val="left"/>
      <w:pPr>
        <w:ind w:left="360" w:hanging="360"/>
      </w:pPr>
      <w:rPr>
        <w:rFonts w:hint="default"/>
        <w:b/>
      </w:rPr>
    </w:lvl>
    <w:lvl w:ilvl="1">
      <w:start w:val="1"/>
      <w:numFmt w:val="decimal"/>
      <w:isLgl/>
      <w:lvlText w:val="%1.%2."/>
      <w:lvlJc w:val="left"/>
      <w:pPr>
        <w:ind w:left="1004" w:hanging="720"/>
      </w:pPr>
      <w:rPr>
        <w:rFonts w:ascii="Times New Roman" w:hAnsi="Times New Roman" w:cs="Times New Roman" w:hint="default"/>
        <w:b w:val="0"/>
        <w:i w:val="0"/>
        <w:sz w:val="28"/>
        <w:szCs w:val="28"/>
      </w:rPr>
    </w:lvl>
    <w:lvl w:ilvl="2">
      <w:start w:val="1"/>
      <w:numFmt w:val="decimal"/>
      <w:isLgl/>
      <w:lvlText w:val="%1.%2.%3."/>
      <w:lvlJc w:val="left"/>
      <w:pPr>
        <w:ind w:left="1287" w:hanging="720"/>
      </w:pPr>
      <w:rPr>
        <w:rFonts w:ascii="Times New Roman" w:hAnsi="Times New Roman" w:cs="Times New Roman" w:hint="default"/>
        <w:b w:val="0"/>
        <w:i w:val="0"/>
        <w:color w:val="auto"/>
        <w:sz w:val="26"/>
        <w:szCs w:val="26"/>
      </w:rPr>
    </w:lvl>
    <w:lvl w:ilvl="3">
      <w:start w:val="1"/>
      <w:numFmt w:val="decimal"/>
      <w:isLgl/>
      <w:lvlText w:val="%1.%2.%3.%4."/>
      <w:lvlJc w:val="left"/>
      <w:pPr>
        <w:ind w:left="1080" w:hanging="1080"/>
      </w:pPr>
      <w:rPr>
        <w:rFonts w:ascii="Times New Roman" w:hAnsi="Times New Roman" w:cs="Times New Roman" w:hint="default"/>
        <w:b w:val="0"/>
        <w:i w:val="0"/>
        <w:sz w:val="28"/>
        <w:szCs w:val="28"/>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5">
    <w:nsid w:val="0E532947"/>
    <w:multiLevelType w:val="multilevel"/>
    <w:tmpl w:val="A8BCA790"/>
    <w:numStyleLink w:val="Estilo5"/>
  </w:abstractNum>
  <w:abstractNum w:abstractNumId="6">
    <w:nsid w:val="0EC4336E"/>
    <w:multiLevelType w:val="hybridMultilevel"/>
    <w:tmpl w:val="5290BCCE"/>
    <w:lvl w:ilvl="0" w:tplc="6220ED74">
      <w:start w:val="1"/>
      <w:numFmt w:val="lowerRoman"/>
      <w:lvlText w:val="(%1)"/>
      <w:lvlJc w:val="left"/>
      <w:pPr>
        <w:ind w:left="1080" w:hanging="720"/>
      </w:pPr>
      <w:rPr>
        <w:rFonts w:hint="default"/>
        <w:i/>
      </w:rPr>
    </w:lvl>
    <w:lvl w:ilvl="1" w:tplc="6220ED74">
      <w:start w:val="1"/>
      <w:numFmt w:val="lowerRoman"/>
      <w:lvlText w:val="(%2)"/>
      <w:lvlJc w:val="left"/>
      <w:pPr>
        <w:ind w:left="6031" w:hanging="360"/>
      </w:pPr>
      <w:rPr>
        <w:rFonts w:hint="default"/>
        <w:i/>
      </w:rPr>
    </w:lvl>
    <w:lvl w:ilvl="2" w:tplc="0C0A001B">
      <w:start w:val="1"/>
      <w:numFmt w:val="lowerRoman"/>
      <w:lvlText w:val="%3."/>
      <w:lvlJc w:val="right"/>
      <w:pPr>
        <w:ind w:left="2160" w:hanging="180"/>
      </w:pPr>
    </w:lvl>
    <w:lvl w:ilvl="3" w:tplc="0C7C4392">
      <w:start w:val="2"/>
      <w:numFmt w:val="decimal"/>
      <w:lvlText w:val="%4."/>
      <w:lvlJc w:val="left"/>
      <w:pPr>
        <w:ind w:left="2880" w:hanging="360"/>
      </w:pPr>
      <w:rPr>
        <w:rFonts w:hint="default"/>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13072496"/>
    <w:multiLevelType w:val="hybridMultilevel"/>
    <w:tmpl w:val="F0883EB4"/>
    <w:lvl w:ilvl="0" w:tplc="1420826C">
      <w:start w:val="1"/>
      <w:numFmt w:val="decimal"/>
      <w:lvlText w:val="%1."/>
      <w:lvlJc w:val="left"/>
      <w:pPr>
        <w:ind w:left="644" w:hanging="360"/>
      </w:pPr>
      <w:rPr>
        <w:rFonts w:cs="Times New Roman"/>
        <w:b w:val="0"/>
        <w:i w:val="0"/>
      </w:rPr>
    </w:lvl>
    <w:lvl w:ilvl="1" w:tplc="0C0A0001">
      <w:start w:val="1"/>
      <w:numFmt w:val="bullet"/>
      <w:lvlText w:val=""/>
      <w:lvlJc w:val="left"/>
      <w:pPr>
        <w:ind w:left="1080" w:hanging="360"/>
      </w:pPr>
      <w:rPr>
        <w:rFonts w:ascii="Symbol" w:hAnsi="Symbol" w:hint="default"/>
      </w:rPr>
    </w:lvl>
    <w:lvl w:ilvl="2" w:tplc="869A68AC">
      <w:numFmt w:val="bullet"/>
      <w:lvlText w:val="-"/>
      <w:lvlJc w:val="left"/>
      <w:pPr>
        <w:ind w:left="2325" w:hanging="705"/>
      </w:pPr>
      <w:rPr>
        <w:rFonts w:ascii="Times New Roman" w:eastAsia="Times New Roman" w:hAnsi="Times New Roman" w:cs="Times New Roman" w:hint="default"/>
      </w:rPr>
    </w:lvl>
    <w:lvl w:ilvl="3" w:tplc="240A000F" w:tentative="1">
      <w:start w:val="1"/>
      <w:numFmt w:val="decimal"/>
      <w:lvlText w:val="%4."/>
      <w:lvlJc w:val="left"/>
      <w:pPr>
        <w:ind w:left="2520" w:hanging="360"/>
      </w:pPr>
      <w:rPr>
        <w:rFonts w:cs="Times New Roman"/>
      </w:rPr>
    </w:lvl>
    <w:lvl w:ilvl="4" w:tplc="240A0019" w:tentative="1">
      <w:start w:val="1"/>
      <w:numFmt w:val="lowerLetter"/>
      <w:lvlText w:val="%5."/>
      <w:lvlJc w:val="left"/>
      <w:pPr>
        <w:ind w:left="3240" w:hanging="360"/>
      </w:pPr>
      <w:rPr>
        <w:rFonts w:cs="Times New Roman"/>
      </w:rPr>
    </w:lvl>
    <w:lvl w:ilvl="5" w:tplc="240A001B" w:tentative="1">
      <w:start w:val="1"/>
      <w:numFmt w:val="lowerRoman"/>
      <w:lvlText w:val="%6."/>
      <w:lvlJc w:val="right"/>
      <w:pPr>
        <w:ind w:left="3960" w:hanging="180"/>
      </w:pPr>
      <w:rPr>
        <w:rFonts w:cs="Times New Roman"/>
      </w:rPr>
    </w:lvl>
    <w:lvl w:ilvl="6" w:tplc="240A000F" w:tentative="1">
      <w:start w:val="1"/>
      <w:numFmt w:val="decimal"/>
      <w:lvlText w:val="%7."/>
      <w:lvlJc w:val="left"/>
      <w:pPr>
        <w:ind w:left="4680" w:hanging="360"/>
      </w:pPr>
      <w:rPr>
        <w:rFonts w:cs="Times New Roman"/>
      </w:rPr>
    </w:lvl>
    <w:lvl w:ilvl="7" w:tplc="240A0019" w:tentative="1">
      <w:start w:val="1"/>
      <w:numFmt w:val="lowerLetter"/>
      <w:lvlText w:val="%8."/>
      <w:lvlJc w:val="left"/>
      <w:pPr>
        <w:ind w:left="5400" w:hanging="360"/>
      </w:pPr>
      <w:rPr>
        <w:rFonts w:cs="Times New Roman"/>
      </w:rPr>
    </w:lvl>
    <w:lvl w:ilvl="8" w:tplc="240A001B" w:tentative="1">
      <w:start w:val="1"/>
      <w:numFmt w:val="lowerRoman"/>
      <w:lvlText w:val="%9."/>
      <w:lvlJc w:val="right"/>
      <w:pPr>
        <w:ind w:left="6120" w:hanging="180"/>
      </w:pPr>
      <w:rPr>
        <w:rFonts w:cs="Times New Roman"/>
      </w:rPr>
    </w:lvl>
  </w:abstractNum>
  <w:abstractNum w:abstractNumId="8">
    <w:nsid w:val="13CD5985"/>
    <w:multiLevelType w:val="hybridMultilevel"/>
    <w:tmpl w:val="1158D1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157149A0"/>
    <w:multiLevelType w:val="multilevel"/>
    <w:tmpl w:val="6150BC92"/>
    <w:lvl w:ilvl="0">
      <w:start w:val="1"/>
      <w:numFmt w:val="decimal"/>
      <w:lvlText w:val="%1."/>
      <w:lvlJc w:val="left"/>
      <w:pPr>
        <w:ind w:left="720" w:hanging="360"/>
      </w:pPr>
      <w:rPr>
        <w:rFonts w:cs="Times New Roman" w:hint="default"/>
        <w:b/>
        <w:color w:val="auto"/>
      </w:rPr>
    </w:lvl>
    <w:lvl w:ilvl="1">
      <w:start w:val="1"/>
      <w:numFmt w:val="decimal"/>
      <w:pStyle w:val="NoSpacingTimesNewRoman"/>
      <w:isLgl/>
      <w:lvlText w:val="%1.%2."/>
      <w:lvlJc w:val="left"/>
      <w:pPr>
        <w:ind w:left="720" w:hanging="720"/>
      </w:pPr>
      <w:rPr>
        <w:rFonts w:cs="Times New Roman" w:hint="default"/>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0">
    <w:nsid w:val="17083AE4"/>
    <w:multiLevelType w:val="multilevel"/>
    <w:tmpl w:val="4296FB8A"/>
    <w:styleLink w:val="Estilo1"/>
    <w:lvl w:ilvl="0">
      <w:start w:val="7"/>
      <w:numFmt w:val="decimal"/>
      <w:lvlText w:val="%1."/>
      <w:lvlJc w:val="left"/>
      <w:pPr>
        <w:ind w:left="876" w:hanging="45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1">
    <w:nsid w:val="17182D0C"/>
    <w:multiLevelType w:val="hybridMultilevel"/>
    <w:tmpl w:val="9D2ABD06"/>
    <w:lvl w:ilvl="0" w:tplc="240A0009">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172935A3"/>
    <w:multiLevelType w:val="multilevel"/>
    <w:tmpl w:val="9D14891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211" w:hanging="360"/>
      </w:pPr>
      <w:rPr>
        <w:rFonts w:hint="default"/>
      </w:rPr>
    </w:lvl>
    <w:lvl w:ilvl="2">
      <w:start w:val="1"/>
      <w:numFmt w:val="lowerRoman"/>
      <w:lvlText w:val="%3)"/>
      <w:lvlJc w:val="left"/>
      <w:pPr>
        <w:ind w:left="2520" w:hanging="720"/>
      </w:pPr>
      <w:rPr>
        <w:rFonts w:hint="default"/>
      </w:rPr>
    </w:lvl>
    <w:lvl w:ilvl="3">
      <w:start w:val="1"/>
      <w:numFmt w:val="upperRoman"/>
      <w:lvlText w:val="%4)"/>
      <w:lvlJc w:val="left"/>
      <w:pPr>
        <w:ind w:left="3240" w:hanging="720"/>
      </w:pPr>
      <w:rPr>
        <w:rFonts w:hint="default"/>
      </w:rPr>
    </w:lvl>
    <w:lvl w:ilvl="4">
      <w:start w:val="3"/>
      <w:numFmt w:val="upperRoman"/>
      <w:lvlText w:val="%5."/>
      <w:lvlJc w:val="left"/>
      <w:pPr>
        <w:ind w:left="3960" w:hanging="720"/>
      </w:pPr>
      <w:rPr>
        <w:rFonts w:hint="default"/>
        <w:b/>
      </w:rPr>
    </w:lvl>
    <w:lvl w:ilvl="5">
      <w:start w:val="1"/>
      <w:numFmt w:val="lowerRoman"/>
      <w:lvlText w:val="(%6)"/>
      <w:lvlJc w:val="left"/>
      <w:pPr>
        <w:ind w:left="4680" w:hanging="720"/>
      </w:pPr>
      <w:rPr>
        <w:rFonts w:hint="default"/>
        <w:color w:val="auto"/>
      </w:r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176B135C"/>
    <w:multiLevelType w:val="hybridMultilevel"/>
    <w:tmpl w:val="7C822804"/>
    <w:lvl w:ilvl="0" w:tplc="7C9029E6">
      <w:start w:val="1"/>
      <w:numFmt w:val="lowerRoman"/>
      <w:lvlText w:val="%1)"/>
      <w:lvlJc w:val="left"/>
      <w:pPr>
        <w:ind w:left="1080" w:hanging="720"/>
      </w:pPr>
      <w:rPr>
        <w:rFonts w:hint="default"/>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nsid w:val="1BB77E99"/>
    <w:multiLevelType w:val="hybridMultilevel"/>
    <w:tmpl w:val="310C0956"/>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4EC3583"/>
    <w:multiLevelType w:val="multilevel"/>
    <w:tmpl w:val="06008F8E"/>
    <w:numStyleLink w:val="Estilo3"/>
  </w:abstractNum>
  <w:abstractNum w:abstractNumId="16">
    <w:nsid w:val="25A55D1F"/>
    <w:multiLevelType w:val="multilevel"/>
    <w:tmpl w:val="4B58EF60"/>
    <w:numStyleLink w:val="Estilo6"/>
  </w:abstractNum>
  <w:abstractNum w:abstractNumId="17">
    <w:nsid w:val="25B7246E"/>
    <w:multiLevelType w:val="hybridMultilevel"/>
    <w:tmpl w:val="7CE49D1C"/>
    <w:lvl w:ilvl="0" w:tplc="240A0017">
      <w:start w:val="1"/>
      <w:numFmt w:val="lowerLetter"/>
      <w:lvlText w:val="%1)"/>
      <w:lvlJc w:val="left"/>
      <w:pPr>
        <w:ind w:left="502" w:hanging="360"/>
      </w:pPr>
    </w:lvl>
    <w:lvl w:ilvl="1" w:tplc="240A0019" w:tentative="1">
      <w:start w:val="1"/>
      <w:numFmt w:val="lowerLetter"/>
      <w:lvlText w:val="%2."/>
      <w:lvlJc w:val="left"/>
      <w:pPr>
        <w:ind w:left="1222" w:hanging="360"/>
      </w:pPr>
    </w:lvl>
    <w:lvl w:ilvl="2" w:tplc="240A001B" w:tentative="1">
      <w:start w:val="1"/>
      <w:numFmt w:val="lowerRoman"/>
      <w:lvlText w:val="%3."/>
      <w:lvlJc w:val="right"/>
      <w:pPr>
        <w:ind w:left="1942" w:hanging="180"/>
      </w:pPr>
    </w:lvl>
    <w:lvl w:ilvl="3" w:tplc="240A000F" w:tentative="1">
      <w:start w:val="1"/>
      <w:numFmt w:val="decimal"/>
      <w:lvlText w:val="%4."/>
      <w:lvlJc w:val="left"/>
      <w:pPr>
        <w:ind w:left="2662" w:hanging="360"/>
      </w:pPr>
    </w:lvl>
    <w:lvl w:ilvl="4" w:tplc="240A0019" w:tentative="1">
      <w:start w:val="1"/>
      <w:numFmt w:val="lowerLetter"/>
      <w:lvlText w:val="%5."/>
      <w:lvlJc w:val="left"/>
      <w:pPr>
        <w:ind w:left="3382" w:hanging="360"/>
      </w:pPr>
    </w:lvl>
    <w:lvl w:ilvl="5" w:tplc="240A001B" w:tentative="1">
      <w:start w:val="1"/>
      <w:numFmt w:val="lowerRoman"/>
      <w:lvlText w:val="%6."/>
      <w:lvlJc w:val="right"/>
      <w:pPr>
        <w:ind w:left="4102" w:hanging="180"/>
      </w:pPr>
    </w:lvl>
    <w:lvl w:ilvl="6" w:tplc="240A000F" w:tentative="1">
      <w:start w:val="1"/>
      <w:numFmt w:val="decimal"/>
      <w:lvlText w:val="%7."/>
      <w:lvlJc w:val="left"/>
      <w:pPr>
        <w:ind w:left="4822" w:hanging="360"/>
      </w:pPr>
    </w:lvl>
    <w:lvl w:ilvl="7" w:tplc="240A0019" w:tentative="1">
      <w:start w:val="1"/>
      <w:numFmt w:val="lowerLetter"/>
      <w:lvlText w:val="%8."/>
      <w:lvlJc w:val="left"/>
      <w:pPr>
        <w:ind w:left="5542" w:hanging="360"/>
      </w:pPr>
    </w:lvl>
    <w:lvl w:ilvl="8" w:tplc="240A001B" w:tentative="1">
      <w:start w:val="1"/>
      <w:numFmt w:val="lowerRoman"/>
      <w:lvlText w:val="%9."/>
      <w:lvlJc w:val="right"/>
      <w:pPr>
        <w:ind w:left="6262" w:hanging="180"/>
      </w:pPr>
    </w:lvl>
  </w:abstractNum>
  <w:abstractNum w:abstractNumId="18">
    <w:nsid w:val="25CC384C"/>
    <w:multiLevelType w:val="hybridMultilevel"/>
    <w:tmpl w:val="CBA4CC48"/>
    <w:lvl w:ilvl="0" w:tplc="9E2EEC6A">
      <w:start w:val="1"/>
      <w:numFmt w:val="lowerRoman"/>
      <w:lvlText w:val="%1."/>
      <w:lvlJc w:val="right"/>
      <w:pPr>
        <w:ind w:left="720" w:hanging="360"/>
      </w:pPr>
      <w:rPr>
        <w:rFonts w:ascii="Times New Roman" w:hAnsi="Times New Roman"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nsid w:val="27EA7119"/>
    <w:multiLevelType w:val="hybridMultilevel"/>
    <w:tmpl w:val="AAFC0C50"/>
    <w:lvl w:ilvl="0" w:tplc="AAF0511C">
      <w:start w:val="1"/>
      <w:numFmt w:val="decimal"/>
      <w:lvlText w:val="%1."/>
      <w:lvlJc w:val="left"/>
      <w:pPr>
        <w:ind w:left="720" w:hanging="360"/>
      </w:pPr>
      <w:rPr>
        <w:b w:val="0"/>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nsid w:val="2A246F09"/>
    <w:multiLevelType w:val="hybridMultilevel"/>
    <w:tmpl w:val="84E4A6CC"/>
    <w:lvl w:ilvl="0" w:tplc="40BCF05C">
      <w:start w:val="1"/>
      <w:numFmt w:val="upperRoman"/>
      <w:lvlText w:val="%1."/>
      <w:lvlJc w:val="left"/>
      <w:pPr>
        <w:tabs>
          <w:tab w:val="num" w:pos="1080"/>
        </w:tabs>
        <w:ind w:left="1080" w:hanging="72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6E622C36">
      <w:start w:val="1"/>
      <w:numFmt w:val="lowerLetter"/>
      <w:lvlText w:val="%8."/>
      <w:lvlJc w:val="left"/>
      <w:pPr>
        <w:tabs>
          <w:tab w:val="num" w:pos="5760"/>
        </w:tabs>
        <w:ind w:left="5760" w:hanging="360"/>
      </w:pPr>
      <w:rPr>
        <w:rFonts w:cs="Times New Roman"/>
        <w:i/>
        <w:sz w:val="24"/>
        <w:szCs w:val="24"/>
      </w:rPr>
    </w:lvl>
    <w:lvl w:ilvl="8" w:tplc="0C0A001B">
      <w:start w:val="1"/>
      <w:numFmt w:val="lowerRoman"/>
      <w:lvlText w:val="%9."/>
      <w:lvlJc w:val="right"/>
      <w:pPr>
        <w:tabs>
          <w:tab w:val="num" w:pos="6480"/>
        </w:tabs>
        <w:ind w:left="6480" w:hanging="180"/>
      </w:pPr>
      <w:rPr>
        <w:rFonts w:cs="Times New Roman"/>
      </w:rPr>
    </w:lvl>
  </w:abstractNum>
  <w:abstractNum w:abstractNumId="21">
    <w:nsid w:val="31A70833"/>
    <w:multiLevelType w:val="multilevel"/>
    <w:tmpl w:val="7284C414"/>
    <w:numStyleLink w:val="Estilo2"/>
  </w:abstractNum>
  <w:abstractNum w:abstractNumId="22">
    <w:nsid w:val="35ED00F6"/>
    <w:multiLevelType w:val="hybridMultilevel"/>
    <w:tmpl w:val="306637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394373C0"/>
    <w:multiLevelType w:val="hybridMultilevel"/>
    <w:tmpl w:val="CBA4CC48"/>
    <w:lvl w:ilvl="0" w:tplc="9E2EEC6A">
      <w:start w:val="1"/>
      <w:numFmt w:val="lowerRoman"/>
      <w:lvlText w:val="%1."/>
      <w:lvlJc w:val="right"/>
      <w:pPr>
        <w:ind w:left="720" w:hanging="360"/>
      </w:pPr>
      <w:rPr>
        <w:rFonts w:ascii="Times New Roman" w:hAnsi="Times New Roman"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399B3095"/>
    <w:multiLevelType w:val="multilevel"/>
    <w:tmpl w:val="0A70B3E6"/>
    <w:lvl w:ilvl="0">
      <w:start w:val="1"/>
      <w:numFmt w:val="upperRoman"/>
      <w:lvlText w:val="%1."/>
      <w:lvlJc w:val="left"/>
      <w:pPr>
        <w:ind w:left="1080" w:hanging="720"/>
      </w:pPr>
      <w:rPr>
        <w:rFonts w:cs="Times New Roman" w:hint="default"/>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3BE33ECB"/>
    <w:multiLevelType w:val="multilevel"/>
    <w:tmpl w:val="2054B604"/>
    <w:lvl w:ilvl="0">
      <w:start w:val="4"/>
      <w:numFmt w:val="decimal"/>
      <w:lvlText w:val="%1."/>
      <w:lvlJc w:val="left"/>
      <w:pPr>
        <w:ind w:left="450" w:hanging="450"/>
      </w:pPr>
      <w:rPr>
        <w:rFonts w:ascii="Times New Roman" w:eastAsia="Batang" w:hAnsi="Times New Roman" w:hint="default"/>
        <w:b/>
        <w:sz w:val="28"/>
      </w:rPr>
    </w:lvl>
    <w:lvl w:ilvl="1">
      <w:start w:val="1"/>
      <w:numFmt w:val="decimal"/>
      <w:lvlText w:val="%1.%2."/>
      <w:lvlJc w:val="left"/>
      <w:pPr>
        <w:ind w:left="450" w:hanging="450"/>
      </w:pPr>
      <w:rPr>
        <w:rFonts w:ascii="Times New Roman" w:eastAsia="Batang" w:hAnsi="Times New Roman" w:hint="default"/>
        <w:b/>
        <w:i w:val="0"/>
        <w:sz w:val="28"/>
      </w:rPr>
    </w:lvl>
    <w:lvl w:ilvl="2">
      <w:start w:val="1"/>
      <w:numFmt w:val="decimal"/>
      <w:lvlText w:val="%1.%2.%3."/>
      <w:lvlJc w:val="left"/>
      <w:pPr>
        <w:ind w:left="720" w:hanging="720"/>
      </w:pPr>
      <w:rPr>
        <w:rFonts w:ascii="Times New Roman" w:eastAsia="Batang" w:hAnsi="Times New Roman" w:hint="default"/>
        <w:b/>
        <w:sz w:val="28"/>
      </w:rPr>
    </w:lvl>
    <w:lvl w:ilvl="3">
      <w:start w:val="1"/>
      <w:numFmt w:val="decimal"/>
      <w:lvlText w:val="%1.%2.%3.%4."/>
      <w:lvlJc w:val="left"/>
      <w:pPr>
        <w:ind w:left="720" w:hanging="720"/>
      </w:pPr>
      <w:rPr>
        <w:rFonts w:ascii="Times New Roman" w:eastAsia="Batang" w:hAnsi="Times New Roman" w:hint="default"/>
        <w:b/>
        <w:sz w:val="28"/>
      </w:rPr>
    </w:lvl>
    <w:lvl w:ilvl="4">
      <w:start w:val="1"/>
      <w:numFmt w:val="decimal"/>
      <w:lvlText w:val="%1.%2.%3.%4.%5."/>
      <w:lvlJc w:val="left"/>
      <w:pPr>
        <w:ind w:left="1080" w:hanging="1080"/>
      </w:pPr>
      <w:rPr>
        <w:rFonts w:ascii="Times New Roman" w:eastAsia="Batang" w:hAnsi="Times New Roman" w:hint="default"/>
        <w:sz w:val="28"/>
      </w:rPr>
    </w:lvl>
    <w:lvl w:ilvl="5">
      <w:start w:val="1"/>
      <w:numFmt w:val="decimal"/>
      <w:lvlText w:val="%1.%2.%3.%4.%5.%6."/>
      <w:lvlJc w:val="left"/>
      <w:pPr>
        <w:ind w:left="1080" w:hanging="1080"/>
      </w:pPr>
      <w:rPr>
        <w:rFonts w:ascii="Times New Roman" w:eastAsia="Batang" w:hAnsi="Times New Roman" w:hint="default"/>
        <w:sz w:val="28"/>
      </w:rPr>
    </w:lvl>
    <w:lvl w:ilvl="6">
      <w:start w:val="1"/>
      <w:numFmt w:val="decimal"/>
      <w:lvlText w:val="%1.%2.%3.%4.%5.%6.%7."/>
      <w:lvlJc w:val="left"/>
      <w:pPr>
        <w:ind w:left="1440" w:hanging="1440"/>
      </w:pPr>
      <w:rPr>
        <w:rFonts w:ascii="Times New Roman" w:eastAsia="Batang" w:hAnsi="Times New Roman" w:hint="default"/>
        <w:sz w:val="28"/>
      </w:rPr>
    </w:lvl>
    <w:lvl w:ilvl="7">
      <w:start w:val="1"/>
      <w:numFmt w:val="decimal"/>
      <w:lvlText w:val="%1.%2.%3.%4.%5.%6.%7.%8."/>
      <w:lvlJc w:val="left"/>
      <w:pPr>
        <w:ind w:left="1440" w:hanging="1440"/>
      </w:pPr>
      <w:rPr>
        <w:rFonts w:ascii="Times New Roman" w:eastAsia="Batang" w:hAnsi="Times New Roman" w:hint="default"/>
        <w:sz w:val="28"/>
      </w:rPr>
    </w:lvl>
    <w:lvl w:ilvl="8">
      <w:start w:val="1"/>
      <w:numFmt w:val="decimal"/>
      <w:lvlText w:val="%1.%2.%3.%4.%5.%6.%7.%8.%9."/>
      <w:lvlJc w:val="left"/>
      <w:pPr>
        <w:ind w:left="1800" w:hanging="1800"/>
      </w:pPr>
      <w:rPr>
        <w:rFonts w:ascii="Times New Roman" w:eastAsia="Batang" w:hAnsi="Times New Roman" w:hint="default"/>
        <w:sz w:val="28"/>
      </w:rPr>
    </w:lvl>
  </w:abstractNum>
  <w:abstractNum w:abstractNumId="26">
    <w:nsid w:val="3C6C3DCC"/>
    <w:multiLevelType w:val="multilevel"/>
    <w:tmpl w:val="DAE669DC"/>
    <w:lvl w:ilvl="0">
      <w:start w:val="1"/>
      <w:numFmt w:val="lowerRoman"/>
      <w:lvlText w:val="%1."/>
      <w:lvlJc w:val="righ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3C721A1D"/>
    <w:multiLevelType w:val="hybridMultilevel"/>
    <w:tmpl w:val="1CB0E672"/>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3DEB26EF"/>
    <w:multiLevelType w:val="multilevel"/>
    <w:tmpl w:val="4B58EF60"/>
    <w:styleLink w:val="Estilo6"/>
    <w:lvl w:ilvl="0">
      <w:start w:val="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461B3DA0"/>
    <w:multiLevelType w:val="multilevel"/>
    <w:tmpl w:val="D28AA60C"/>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0">
    <w:nsid w:val="542D173E"/>
    <w:multiLevelType w:val="hybridMultilevel"/>
    <w:tmpl w:val="D5D255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561821B4"/>
    <w:multiLevelType w:val="multilevel"/>
    <w:tmpl w:val="7284C414"/>
    <w:styleLink w:val="Estilo2"/>
    <w:lvl w:ilvl="0">
      <w:start w:val="6"/>
      <w:numFmt w:val="decimal"/>
      <w:lvlText w:val="%1"/>
      <w:lvlJc w:val="left"/>
      <w:pPr>
        <w:ind w:left="600" w:hanging="600"/>
      </w:pPr>
      <w:rPr>
        <w:rFonts w:hint="default"/>
        <w:b w:val="0"/>
      </w:rPr>
    </w:lvl>
    <w:lvl w:ilvl="1">
      <w:start w:val="2"/>
      <w:numFmt w:val="decimal"/>
      <w:lvlText w:val="%1.%2"/>
      <w:lvlJc w:val="left"/>
      <w:pPr>
        <w:ind w:left="600" w:hanging="60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32">
    <w:nsid w:val="592E059D"/>
    <w:multiLevelType w:val="multilevel"/>
    <w:tmpl w:val="A8BCA790"/>
    <w:styleLink w:val="Estilo5"/>
    <w:lvl w:ilvl="0">
      <w:start w:val="5"/>
      <w:numFmt w:val="decimal"/>
      <w:lvlText w:val="%1"/>
      <w:lvlJc w:val="left"/>
      <w:pPr>
        <w:ind w:left="600" w:hanging="600"/>
      </w:pPr>
      <w:rPr>
        <w:rFonts w:hint="default"/>
      </w:rPr>
    </w:lvl>
    <w:lvl w:ilvl="1">
      <w:start w:val="3"/>
      <w:numFmt w:val="decimal"/>
      <w:lvlText w:val="%1.%2"/>
      <w:lvlJc w:val="left"/>
      <w:pPr>
        <w:ind w:left="955" w:hanging="60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33">
    <w:nsid w:val="612052E7"/>
    <w:multiLevelType w:val="multilevel"/>
    <w:tmpl w:val="1D0CA69C"/>
    <w:lvl w:ilvl="0">
      <w:start w:val="2"/>
      <w:numFmt w:val="decimal"/>
      <w:lvlText w:val="%1."/>
      <w:lvlJc w:val="left"/>
      <w:pPr>
        <w:ind w:left="408" w:hanging="408"/>
      </w:pPr>
      <w:rPr>
        <w:rFonts w:hint="default"/>
        <w:b/>
      </w:rPr>
    </w:lvl>
    <w:lvl w:ilvl="1">
      <w:start w:val="4"/>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nsid w:val="655F3470"/>
    <w:multiLevelType w:val="multilevel"/>
    <w:tmpl w:val="AB883436"/>
    <w:numStyleLink w:val="Estilo4"/>
  </w:abstractNum>
  <w:abstractNum w:abstractNumId="35">
    <w:nsid w:val="66535906"/>
    <w:multiLevelType w:val="multilevel"/>
    <w:tmpl w:val="4296FB8A"/>
    <w:numStyleLink w:val="Estilo1"/>
  </w:abstractNum>
  <w:abstractNum w:abstractNumId="36">
    <w:nsid w:val="68CB794A"/>
    <w:multiLevelType w:val="hybridMultilevel"/>
    <w:tmpl w:val="CF429F8C"/>
    <w:lvl w:ilvl="0" w:tplc="00900288">
      <w:start w:val="1"/>
      <w:numFmt w:val="lowerRoman"/>
      <w:lvlText w:val="%1)"/>
      <w:lvlJc w:val="left"/>
      <w:pPr>
        <w:ind w:left="720" w:hanging="360"/>
      </w:pPr>
      <w:rPr>
        <w:rFonts w:hint="default"/>
        <w:i/>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nsid w:val="70B22801"/>
    <w:multiLevelType w:val="multilevel"/>
    <w:tmpl w:val="AB883436"/>
    <w:styleLink w:val="Estilo4"/>
    <w:lvl w:ilvl="0">
      <w:start w:val="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72200E92"/>
    <w:multiLevelType w:val="hybridMultilevel"/>
    <w:tmpl w:val="E3C45868"/>
    <w:lvl w:ilvl="0" w:tplc="0936B622">
      <w:start w:val="1"/>
      <w:numFmt w:val="lowerRoman"/>
      <w:lvlText w:val="%1)"/>
      <w:lvlJc w:val="left"/>
      <w:pPr>
        <w:ind w:left="2214" w:hanging="720"/>
      </w:pPr>
      <w:rPr>
        <w:rFonts w:hint="default"/>
        <w:i/>
      </w:rPr>
    </w:lvl>
    <w:lvl w:ilvl="1" w:tplc="240A0019" w:tentative="1">
      <w:start w:val="1"/>
      <w:numFmt w:val="lowerLetter"/>
      <w:lvlText w:val="%2."/>
      <w:lvlJc w:val="left"/>
      <w:pPr>
        <w:ind w:left="2574" w:hanging="360"/>
      </w:pPr>
    </w:lvl>
    <w:lvl w:ilvl="2" w:tplc="240A001B" w:tentative="1">
      <w:start w:val="1"/>
      <w:numFmt w:val="lowerRoman"/>
      <w:lvlText w:val="%3."/>
      <w:lvlJc w:val="right"/>
      <w:pPr>
        <w:ind w:left="3294" w:hanging="180"/>
      </w:pPr>
    </w:lvl>
    <w:lvl w:ilvl="3" w:tplc="240A000F" w:tentative="1">
      <w:start w:val="1"/>
      <w:numFmt w:val="decimal"/>
      <w:lvlText w:val="%4."/>
      <w:lvlJc w:val="left"/>
      <w:pPr>
        <w:ind w:left="4014" w:hanging="360"/>
      </w:pPr>
    </w:lvl>
    <w:lvl w:ilvl="4" w:tplc="240A0019" w:tentative="1">
      <w:start w:val="1"/>
      <w:numFmt w:val="lowerLetter"/>
      <w:lvlText w:val="%5."/>
      <w:lvlJc w:val="left"/>
      <w:pPr>
        <w:ind w:left="4734" w:hanging="360"/>
      </w:pPr>
    </w:lvl>
    <w:lvl w:ilvl="5" w:tplc="240A001B" w:tentative="1">
      <w:start w:val="1"/>
      <w:numFmt w:val="lowerRoman"/>
      <w:lvlText w:val="%6."/>
      <w:lvlJc w:val="right"/>
      <w:pPr>
        <w:ind w:left="5454" w:hanging="180"/>
      </w:pPr>
    </w:lvl>
    <w:lvl w:ilvl="6" w:tplc="240A000F" w:tentative="1">
      <w:start w:val="1"/>
      <w:numFmt w:val="decimal"/>
      <w:lvlText w:val="%7."/>
      <w:lvlJc w:val="left"/>
      <w:pPr>
        <w:ind w:left="6174" w:hanging="360"/>
      </w:pPr>
    </w:lvl>
    <w:lvl w:ilvl="7" w:tplc="240A0019" w:tentative="1">
      <w:start w:val="1"/>
      <w:numFmt w:val="lowerLetter"/>
      <w:lvlText w:val="%8."/>
      <w:lvlJc w:val="left"/>
      <w:pPr>
        <w:ind w:left="6894" w:hanging="360"/>
      </w:pPr>
    </w:lvl>
    <w:lvl w:ilvl="8" w:tplc="240A001B" w:tentative="1">
      <w:start w:val="1"/>
      <w:numFmt w:val="lowerRoman"/>
      <w:lvlText w:val="%9."/>
      <w:lvlJc w:val="right"/>
      <w:pPr>
        <w:ind w:left="7614" w:hanging="180"/>
      </w:pPr>
    </w:lvl>
  </w:abstractNum>
  <w:abstractNum w:abstractNumId="39">
    <w:nsid w:val="73333A5D"/>
    <w:multiLevelType w:val="multilevel"/>
    <w:tmpl w:val="06008F8E"/>
    <w:styleLink w:val="Estilo3"/>
    <w:lvl w:ilvl="0">
      <w:start w:val="6"/>
      <w:numFmt w:val="decimal"/>
      <w:lvlText w:val="%1."/>
      <w:lvlJc w:val="left"/>
      <w:pPr>
        <w:ind w:left="360" w:hanging="360"/>
      </w:pPr>
      <w:rPr>
        <w:rFonts w:hint="default"/>
      </w:rPr>
    </w:lvl>
    <w:lvl w:ilvl="1">
      <w:start w:val="3"/>
      <w:numFmt w:val="decimal"/>
      <w:isLgl/>
      <w:lvlText w:val="%1.%2."/>
      <w:lvlJc w:val="left"/>
      <w:pPr>
        <w:ind w:left="1146" w:hanging="720"/>
      </w:pPr>
      <w:rPr>
        <w:rFonts w:ascii="Times New Roman" w:hAnsi="Times New Roman" w:cs="Times New Roman" w:hint="default"/>
        <w:b w:val="0"/>
        <w:i w:val="0"/>
        <w:sz w:val="26"/>
        <w:szCs w:val="26"/>
      </w:rPr>
    </w:lvl>
    <w:lvl w:ilvl="2">
      <w:start w:val="1"/>
      <w:numFmt w:val="decimal"/>
      <w:isLgl/>
      <w:lvlText w:val="%1.%2.%3."/>
      <w:lvlJc w:val="left"/>
      <w:pPr>
        <w:ind w:left="1287" w:hanging="720"/>
      </w:pPr>
      <w:rPr>
        <w:rFonts w:ascii="Times New Roman" w:hAnsi="Times New Roman" w:cs="Times New Roman" w:hint="default"/>
        <w:b w:val="0"/>
        <w:i w:val="0"/>
        <w:color w:val="auto"/>
        <w:sz w:val="26"/>
        <w:szCs w:val="26"/>
      </w:rPr>
    </w:lvl>
    <w:lvl w:ilvl="3">
      <w:start w:val="1"/>
      <w:numFmt w:val="decimal"/>
      <w:isLgl/>
      <w:lvlText w:val="%1.%2.%3.%4."/>
      <w:lvlJc w:val="left"/>
      <w:pPr>
        <w:ind w:left="1080" w:hanging="1080"/>
      </w:pPr>
      <w:rPr>
        <w:rFonts w:ascii="Times New Roman" w:hAnsi="Times New Roman" w:cs="Times New Roman" w:hint="default"/>
        <w:b w:val="0"/>
        <w:i w:val="0"/>
        <w:sz w:val="28"/>
        <w:szCs w:val="28"/>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40">
    <w:nsid w:val="74290AFF"/>
    <w:multiLevelType w:val="hybridMultilevel"/>
    <w:tmpl w:val="128E36FE"/>
    <w:lvl w:ilvl="0" w:tplc="240A001B">
      <w:start w:val="1"/>
      <w:numFmt w:val="low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nsid w:val="78977DE9"/>
    <w:multiLevelType w:val="multilevel"/>
    <w:tmpl w:val="69F8BABA"/>
    <w:lvl w:ilvl="0">
      <w:start w:val="6"/>
      <w:numFmt w:val="decimal"/>
      <w:lvlText w:val="%1"/>
      <w:lvlJc w:val="left"/>
      <w:pPr>
        <w:ind w:left="600" w:hanging="600"/>
      </w:pPr>
      <w:rPr>
        <w:rFonts w:hint="default"/>
        <w:b/>
      </w:rPr>
    </w:lvl>
    <w:lvl w:ilvl="1">
      <w:start w:val="1"/>
      <w:numFmt w:val="decimal"/>
      <w:lvlText w:val="%1.%2.0"/>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42">
    <w:nsid w:val="78C873FF"/>
    <w:multiLevelType w:val="hybridMultilevel"/>
    <w:tmpl w:val="7F5A2964"/>
    <w:lvl w:ilvl="0" w:tplc="FB16FCEE">
      <w:start w:val="1"/>
      <w:numFmt w:val="lowerRoman"/>
      <w:lvlText w:val="%1."/>
      <w:lvlJc w:val="right"/>
      <w:pPr>
        <w:ind w:left="720" w:hanging="360"/>
      </w:pPr>
      <w:rPr>
        <w:rFonts w:ascii="Times New Roman" w:hAnsi="Times New Roman" w:cs="Times New Roman"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3">
    <w:nsid w:val="798D614F"/>
    <w:multiLevelType w:val="hybridMultilevel"/>
    <w:tmpl w:val="0F2A43D8"/>
    <w:lvl w:ilvl="0" w:tplc="3B6ACDD4">
      <w:start w:val="1"/>
      <w:numFmt w:val="lowerRoman"/>
      <w:lvlText w:val="%1)"/>
      <w:lvlJc w:val="left"/>
      <w:pPr>
        <w:ind w:left="1080" w:hanging="720"/>
      </w:pPr>
      <w:rPr>
        <w:rFonts w:cs="Times New Roman" w:hint="default"/>
        <w:i/>
        <w:sz w:val="28"/>
        <w:szCs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4">
    <w:nsid w:val="7B083C79"/>
    <w:multiLevelType w:val="hybridMultilevel"/>
    <w:tmpl w:val="6F128562"/>
    <w:lvl w:ilvl="0" w:tplc="F368905E">
      <w:start w:val="1"/>
      <w:numFmt w:val="lowerRoman"/>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5">
    <w:nsid w:val="7FDE466C"/>
    <w:multiLevelType w:val="multilevel"/>
    <w:tmpl w:val="F398B7E6"/>
    <w:lvl w:ilvl="0">
      <w:start w:val="8"/>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lvlOverride w:ilvl="0">
      <w:startOverride w:val="1"/>
    </w:lvlOverride>
  </w:num>
  <w:num w:numId="2">
    <w:abstractNumId w:val="20"/>
  </w:num>
  <w:num w:numId="3">
    <w:abstractNumId w:val="7"/>
  </w:num>
  <w:num w:numId="4">
    <w:abstractNumId w:val="9"/>
  </w:num>
  <w:num w:numId="5">
    <w:abstractNumId w:val="29"/>
  </w:num>
  <w:num w:numId="6">
    <w:abstractNumId w:val="35"/>
  </w:num>
  <w:num w:numId="7">
    <w:abstractNumId w:val="1"/>
  </w:num>
  <w:num w:numId="8">
    <w:abstractNumId w:val="6"/>
  </w:num>
  <w:num w:numId="9">
    <w:abstractNumId w:val="33"/>
  </w:num>
  <w:num w:numId="10">
    <w:abstractNumId w:val="25"/>
  </w:num>
  <w:num w:numId="11">
    <w:abstractNumId w:val="3"/>
  </w:num>
  <w:num w:numId="12">
    <w:abstractNumId w:val="21"/>
  </w:num>
  <w:num w:numId="13">
    <w:abstractNumId w:val="4"/>
  </w:num>
  <w:num w:numId="14">
    <w:abstractNumId w:val="13"/>
  </w:num>
  <w:num w:numId="15">
    <w:abstractNumId w:val="10"/>
  </w:num>
  <w:num w:numId="16">
    <w:abstractNumId w:val="31"/>
  </w:num>
  <w:num w:numId="17">
    <w:abstractNumId w:val="15"/>
  </w:num>
  <w:num w:numId="18">
    <w:abstractNumId w:val="39"/>
  </w:num>
  <w:num w:numId="19">
    <w:abstractNumId w:val="38"/>
  </w:num>
  <w:num w:numId="20">
    <w:abstractNumId w:val="34"/>
    <w:lvlOverride w:ilvl="0">
      <w:lvl w:ilvl="0">
        <w:start w:val="7"/>
        <w:numFmt w:val="decimal"/>
        <w:lvlText w:val="%1"/>
        <w:lvlJc w:val="left"/>
        <w:pPr>
          <w:ind w:left="375" w:hanging="375"/>
        </w:pPr>
        <w:rPr>
          <w:rFonts w:hint="default"/>
          <w:b/>
        </w:rPr>
      </w:lvl>
    </w:lvlOverride>
    <w:lvlOverride w:ilvl="1">
      <w:lvl w:ilvl="1">
        <w:start w:val="1"/>
        <w:numFmt w:val="decimal"/>
        <w:lvlText w:val="%1.%2"/>
        <w:lvlJc w:val="left"/>
        <w:pPr>
          <w:ind w:left="6329" w:hanging="375"/>
        </w:pPr>
        <w:rPr>
          <w:rFonts w:ascii="Times New Roman" w:hAnsi="Times New Roman" w:cs="Times New Roman" w:hint="default"/>
          <w:b w:val="0"/>
        </w:rPr>
      </w:lvl>
    </w:lvlOverride>
    <w:lvlOverride w:ilvl="2">
      <w:lvl w:ilvl="2">
        <w:start w:val="1"/>
        <w:numFmt w:val="decimal"/>
        <w:lvlText w:val="%1.%2.%3"/>
        <w:lvlJc w:val="left"/>
        <w:pPr>
          <w:ind w:left="1430" w:hanging="720"/>
        </w:pPr>
        <w:rPr>
          <w:rFonts w:ascii="Times New Roman" w:hAnsi="Times New Roman" w:cs="Times New Roman" w:hint="default"/>
          <w:b w:val="0"/>
        </w:rPr>
      </w:lvl>
    </w:lvlOverride>
    <w:lvlOverride w:ilvl="3">
      <w:lvl w:ilvl="3">
        <w:start w:val="1"/>
        <w:numFmt w:val="decimal"/>
        <w:lvlText w:val="%1.%2.%3.%4"/>
        <w:lvlJc w:val="left"/>
        <w:pPr>
          <w:ind w:left="1080" w:hanging="108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440" w:hanging="144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800" w:hanging="1800"/>
        </w:pPr>
        <w:rPr>
          <w:rFonts w:hint="default"/>
        </w:rPr>
      </w:lvl>
    </w:lvlOverride>
    <w:lvlOverride w:ilvl="8">
      <w:lvl w:ilvl="8">
        <w:start w:val="1"/>
        <w:numFmt w:val="decimal"/>
        <w:lvlText w:val="%1.%2.%3.%4.%5.%6.%7.%8.%9"/>
        <w:lvlJc w:val="left"/>
        <w:pPr>
          <w:ind w:left="2160" w:hanging="2160"/>
        </w:pPr>
        <w:rPr>
          <w:rFonts w:hint="default"/>
        </w:rPr>
      </w:lvl>
    </w:lvlOverride>
  </w:num>
  <w:num w:numId="21">
    <w:abstractNumId w:val="41"/>
  </w:num>
  <w:num w:numId="22">
    <w:abstractNumId w:val="14"/>
  </w:num>
  <w:num w:numId="23">
    <w:abstractNumId w:val="30"/>
  </w:num>
  <w:num w:numId="24">
    <w:abstractNumId w:val="2"/>
  </w:num>
  <w:num w:numId="25">
    <w:abstractNumId w:val="11"/>
  </w:num>
  <w:num w:numId="26">
    <w:abstractNumId w:val="27"/>
  </w:num>
  <w:num w:numId="27">
    <w:abstractNumId w:val="36"/>
  </w:num>
  <w:num w:numId="28">
    <w:abstractNumId w:val="12"/>
  </w:num>
  <w:num w:numId="29">
    <w:abstractNumId w:val="43"/>
  </w:num>
  <w:num w:numId="30">
    <w:abstractNumId w:val="37"/>
  </w:num>
  <w:num w:numId="31">
    <w:abstractNumId w:val="22"/>
  </w:num>
  <w:num w:numId="32">
    <w:abstractNumId w:val="8"/>
  </w:num>
  <w:num w:numId="33">
    <w:abstractNumId w:val="45"/>
  </w:num>
  <w:num w:numId="34">
    <w:abstractNumId w:val="5"/>
    <w:lvlOverride w:ilvl="0">
      <w:lvl w:ilvl="0">
        <w:start w:val="5"/>
        <w:numFmt w:val="decimal"/>
        <w:lvlText w:val="%1"/>
        <w:lvlJc w:val="left"/>
        <w:pPr>
          <w:ind w:left="600" w:hanging="600"/>
        </w:pPr>
        <w:rPr>
          <w:rFonts w:hint="default"/>
          <w:b/>
        </w:rPr>
      </w:lvl>
    </w:lvlOverride>
  </w:num>
  <w:num w:numId="35">
    <w:abstractNumId w:val="24"/>
  </w:num>
  <w:num w:numId="36">
    <w:abstractNumId w:val="16"/>
    <w:lvlOverride w:ilvl="1">
      <w:lvl w:ilvl="1">
        <w:start w:val="1"/>
        <w:numFmt w:val="decimal"/>
        <w:lvlText w:val="%1.%2"/>
        <w:lvlJc w:val="left"/>
        <w:pPr>
          <w:ind w:left="1651" w:hanging="375"/>
        </w:pPr>
        <w:rPr>
          <w:rFonts w:ascii="Times New Roman" w:hAnsi="Times New Roman" w:cs="Times New Roman" w:hint="default"/>
        </w:rPr>
      </w:lvl>
    </w:lvlOverride>
  </w:num>
  <w:num w:numId="37">
    <w:abstractNumId w:val="32"/>
  </w:num>
  <w:num w:numId="38">
    <w:abstractNumId w:val="28"/>
  </w:num>
  <w:num w:numId="39">
    <w:abstractNumId w:val="40"/>
  </w:num>
  <w:num w:numId="40">
    <w:abstractNumId w:val="23"/>
  </w:num>
  <w:num w:numId="41">
    <w:abstractNumId w:val="26"/>
  </w:num>
  <w:num w:numId="42">
    <w:abstractNumId w:val="44"/>
  </w:num>
  <w:num w:numId="43">
    <w:abstractNumId w:val="17"/>
  </w:num>
  <w:num w:numId="44">
    <w:abstractNumId w:val="18"/>
  </w:num>
  <w:num w:numId="45">
    <w:abstractNumId w:val="19"/>
  </w:num>
  <w:num w:numId="46">
    <w:abstractNumId w:val="4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0" w:nlCheck="1" w:checkStyle="0"/>
  <w:activeWritingStyle w:appName="MSWord" w:lang="es-CO" w:vendorID="64" w:dllVersion="0" w:nlCheck="1" w:checkStyle="0"/>
  <w:activeWritingStyle w:appName="MSWord" w:lang="es-ES_tradnl" w:vendorID="64" w:dllVersion="0" w:nlCheck="1" w:checkStyle="1"/>
  <w:activeWritingStyle w:appName="MSWord" w:lang="es-MX" w:vendorID="64" w:dllVersion="0" w:nlCheck="1" w:checkStyle="0"/>
  <w:activeWritingStyle w:appName="MSWord" w:lang="es-ES" w:vendorID="64" w:dllVersion="0" w:nlCheck="1" w:checkStyle="0"/>
  <w:activeWritingStyle w:appName="MSWord" w:lang="es-ES_tradnl" w:vendorID="64" w:dllVersion="6" w:nlCheck="1" w:checkStyle="1"/>
  <w:activeWritingStyle w:appName="MSWord" w:lang="pt-BR" w:vendorID="64" w:dllVersion="6" w:nlCheck="1" w:checkStyle="0"/>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419" w:vendorID="64" w:dllVersion="0" w:nlCheck="1" w:checkStyle="0"/>
  <w:activeWritingStyle w:appName="MSWord" w:lang="es-CO" w:vendorID="64" w:dllVersion="131078" w:nlCheck="1" w:checkStyle="1"/>
  <w:activeWritingStyle w:appName="MSWord" w:lang="es-ES_tradnl" w:vendorID="64" w:dllVersion="131078" w:nlCheck="1" w:checkStyle="1"/>
  <w:activeWritingStyle w:appName="MSWord" w:lang="es-MX" w:vendorID="64" w:dllVersion="131078" w:nlCheck="1" w:checkStyle="1"/>
  <w:activeWritingStyle w:appName="MSWord" w:lang="es-ES" w:vendorID="64" w:dllVersion="131078" w:nlCheck="1" w:checkStyle="1"/>
  <w:activeWritingStyle w:appName="MSWord" w:lang="pt-BR" w:vendorID="64" w:dllVersion="131078" w:nlCheck="1" w:checkStyle="0"/>
  <w:activeWritingStyle w:appName="MSWord" w:lang="es-CR" w:vendorID="64" w:dllVersion="131078" w:nlCheck="1" w:checkStyle="1"/>
  <w:activeWritingStyle w:appName="MSWord" w:lang="en-US" w:vendorID="64" w:dllVersion="131078" w:nlCheck="1" w:checkStyle="1"/>
  <w:proofState w:grammar="clean"/>
  <w:defaultTabStop w:val="709"/>
  <w:hyphenationZone w:val="425"/>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965"/>
    <w:rsid w:val="00000185"/>
    <w:rsid w:val="0000206E"/>
    <w:rsid w:val="00002290"/>
    <w:rsid w:val="0000367C"/>
    <w:rsid w:val="0000513A"/>
    <w:rsid w:val="000053AF"/>
    <w:rsid w:val="000054C8"/>
    <w:rsid w:val="00006587"/>
    <w:rsid w:val="000074EC"/>
    <w:rsid w:val="00007E64"/>
    <w:rsid w:val="000119DC"/>
    <w:rsid w:val="00012A00"/>
    <w:rsid w:val="00014069"/>
    <w:rsid w:val="000143A3"/>
    <w:rsid w:val="00017818"/>
    <w:rsid w:val="00017B73"/>
    <w:rsid w:val="00020724"/>
    <w:rsid w:val="000208CE"/>
    <w:rsid w:val="00020D32"/>
    <w:rsid w:val="00022A03"/>
    <w:rsid w:val="0002612F"/>
    <w:rsid w:val="000262B5"/>
    <w:rsid w:val="000277CF"/>
    <w:rsid w:val="00030230"/>
    <w:rsid w:val="00030A51"/>
    <w:rsid w:val="000312DD"/>
    <w:rsid w:val="00031365"/>
    <w:rsid w:val="00032AEF"/>
    <w:rsid w:val="00032D6D"/>
    <w:rsid w:val="000333BC"/>
    <w:rsid w:val="00033DFE"/>
    <w:rsid w:val="0003408A"/>
    <w:rsid w:val="00034E96"/>
    <w:rsid w:val="00035251"/>
    <w:rsid w:val="00036185"/>
    <w:rsid w:val="0003644C"/>
    <w:rsid w:val="000364F8"/>
    <w:rsid w:val="00036734"/>
    <w:rsid w:val="00036890"/>
    <w:rsid w:val="00037069"/>
    <w:rsid w:val="00037248"/>
    <w:rsid w:val="00037C21"/>
    <w:rsid w:val="00037F57"/>
    <w:rsid w:val="00037F5F"/>
    <w:rsid w:val="00040893"/>
    <w:rsid w:val="0004133E"/>
    <w:rsid w:val="00041832"/>
    <w:rsid w:val="00042252"/>
    <w:rsid w:val="00042660"/>
    <w:rsid w:val="0004273A"/>
    <w:rsid w:val="00042785"/>
    <w:rsid w:val="00042A1B"/>
    <w:rsid w:val="0004401E"/>
    <w:rsid w:val="000441EF"/>
    <w:rsid w:val="000443FC"/>
    <w:rsid w:val="00044447"/>
    <w:rsid w:val="000450F7"/>
    <w:rsid w:val="00045EEB"/>
    <w:rsid w:val="000461E4"/>
    <w:rsid w:val="000468F8"/>
    <w:rsid w:val="00046AB8"/>
    <w:rsid w:val="00046DCF"/>
    <w:rsid w:val="0004736C"/>
    <w:rsid w:val="00050673"/>
    <w:rsid w:val="00051ED3"/>
    <w:rsid w:val="00052A4C"/>
    <w:rsid w:val="00052D88"/>
    <w:rsid w:val="0005325E"/>
    <w:rsid w:val="000537DB"/>
    <w:rsid w:val="00053D29"/>
    <w:rsid w:val="00053D7E"/>
    <w:rsid w:val="000542E1"/>
    <w:rsid w:val="00054CF2"/>
    <w:rsid w:val="00056508"/>
    <w:rsid w:val="000565AD"/>
    <w:rsid w:val="00057B51"/>
    <w:rsid w:val="00060ACE"/>
    <w:rsid w:val="00063552"/>
    <w:rsid w:val="00066444"/>
    <w:rsid w:val="0006657B"/>
    <w:rsid w:val="0006664C"/>
    <w:rsid w:val="000667FA"/>
    <w:rsid w:val="00066CB1"/>
    <w:rsid w:val="00067016"/>
    <w:rsid w:val="0006783E"/>
    <w:rsid w:val="00067B38"/>
    <w:rsid w:val="00071843"/>
    <w:rsid w:val="00071FC3"/>
    <w:rsid w:val="000725CB"/>
    <w:rsid w:val="00072965"/>
    <w:rsid w:val="000730BA"/>
    <w:rsid w:val="00073C44"/>
    <w:rsid w:val="000750C6"/>
    <w:rsid w:val="0007578C"/>
    <w:rsid w:val="00076982"/>
    <w:rsid w:val="00077515"/>
    <w:rsid w:val="00077964"/>
    <w:rsid w:val="000809A1"/>
    <w:rsid w:val="00081561"/>
    <w:rsid w:val="00081DDA"/>
    <w:rsid w:val="00081F35"/>
    <w:rsid w:val="00082481"/>
    <w:rsid w:val="00083215"/>
    <w:rsid w:val="00083FD5"/>
    <w:rsid w:val="00084A01"/>
    <w:rsid w:val="00085E3D"/>
    <w:rsid w:val="000861AD"/>
    <w:rsid w:val="0008639D"/>
    <w:rsid w:val="00086B69"/>
    <w:rsid w:val="0008734F"/>
    <w:rsid w:val="00087538"/>
    <w:rsid w:val="000905D3"/>
    <w:rsid w:val="00090E6A"/>
    <w:rsid w:val="0009125A"/>
    <w:rsid w:val="000912F7"/>
    <w:rsid w:val="000923BC"/>
    <w:rsid w:val="00092ABB"/>
    <w:rsid w:val="00092CF3"/>
    <w:rsid w:val="00093018"/>
    <w:rsid w:val="000944A7"/>
    <w:rsid w:val="000947E7"/>
    <w:rsid w:val="00095155"/>
    <w:rsid w:val="000959B4"/>
    <w:rsid w:val="000961E6"/>
    <w:rsid w:val="0009681C"/>
    <w:rsid w:val="00096AA9"/>
    <w:rsid w:val="000972B4"/>
    <w:rsid w:val="0009734C"/>
    <w:rsid w:val="000974C1"/>
    <w:rsid w:val="0009765A"/>
    <w:rsid w:val="000A0639"/>
    <w:rsid w:val="000A0C6D"/>
    <w:rsid w:val="000A0F2E"/>
    <w:rsid w:val="000A121B"/>
    <w:rsid w:val="000A1A20"/>
    <w:rsid w:val="000A2203"/>
    <w:rsid w:val="000A3441"/>
    <w:rsid w:val="000A36CC"/>
    <w:rsid w:val="000A39C5"/>
    <w:rsid w:val="000A3ECD"/>
    <w:rsid w:val="000A5136"/>
    <w:rsid w:val="000A622B"/>
    <w:rsid w:val="000A6810"/>
    <w:rsid w:val="000A733F"/>
    <w:rsid w:val="000A74DD"/>
    <w:rsid w:val="000A7F14"/>
    <w:rsid w:val="000B0587"/>
    <w:rsid w:val="000B0763"/>
    <w:rsid w:val="000B0A97"/>
    <w:rsid w:val="000B11EA"/>
    <w:rsid w:val="000B1478"/>
    <w:rsid w:val="000B1561"/>
    <w:rsid w:val="000B1E00"/>
    <w:rsid w:val="000B2915"/>
    <w:rsid w:val="000B4EBD"/>
    <w:rsid w:val="000B54DF"/>
    <w:rsid w:val="000B5D97"/>
    <w:rsid w:val="000B6088"/>
    <w:rsid w:val="000B69E2"/>
    <w:rsid w:val="000B6E5E"/>
    <w:rsid w:val="000B7A83"/>
    <w:rsid w:val="000C0746"/>
    <w:rsid w:val="000C215F"/>
    <w:rsid w:val="000C29E3"/>
    <w:rsid w:val="000C2A40"/>
    <w:rsid w:val="000C35AC"/>
    <w:rsid w:val="000C44F7"/>
    <w:rsid w:val="000C4EFB"/>
    <w:rsid w:val="000C5D91"/>
    <w:rsid w:val="000D05CD"/>
    <w:rsid w:val="000D16FB"/>
    <w:rsid w:val="000D3400"/>
    <w:rsid w:val="000D3A43"/>
    <w:rsid w:val="000D4C6D"/>
    <w:rsid w:val="000D607C"/>
    <w:rsid w:val="000D652C"/>
    <w:rsid w:val="000D67DE"/>
    <w:rsid w:val="000D6D05"/>
    <w:rsid w:val="000D6F6C"/>
    <w:rsid w:val="000D76EA"/>
    <w:rsid w:val="000D7D68"/>
    <w:rsid w:val="000E0926"/>
    <w:rsid w:val="000E0B0C"/>
    <w:rsid w:val="000E0BF4"/>
    <w:rsid w:val="000E0FF1"/>
    <w:rsid w:val="000E2A46"/>
    <w:rsid w:val="000E62A2"/>
    <w:rsid w:val="000E701F"/>
    <w:rsid w:val="000E72C6"/>
    <w:rsid w:val="000F02A2"/>
    <w:rsid w:val="000F140C"/>
    <w:rsid w:val="000F191B"/>
    <w:rsid w:val="000F1E93"/>
    <w:rsid w:val="000F1F84"/>
    <w:rsid w:val="000F242B"/>
    <w:rsid w:val="000F2591"/>
    <w:rsid w:val="000F3A71"/>
    <w:rsid w:val="000F3B68"/>
    <w:rsid w:val="000F4BF1"/>
    <w:rsid w:val="000F5773"/>
    <w:rsid w:val="000F5DEC"/>
    <w:rsid w:val="000F63C3"/>
    <w:rsid w:val="000F64BC"/>
    <w:rsid w:val="000F6541"/>
    <w:rsid w:val="000F6ABD"/>
    <w:rsid w:val="001000A4"/>
    <w:rsid w:val="001003C2"/>
    <w:rsid w:val="0010045A"/>
    <w:rsid w:val="00100B94"/>
    <w:rsid w:val="00101229"/>
    <w:rsid w:val="00101479"/>
    <w:rsid w:val="00101A5A"/>
    <w:rsid w:val="0010449B"/>
    <w:rsid w:val="001046F4"/>
    <w:rsid w:val="001050E7"/>
    <w:rsid w:val="0010574E"/>
    <w:rsid w:val="00106E91"/>
    <w:rsid w:val="001110A9"/>
    <w:rsid w:val="00111C61"/>
    <w:rsid w:val="00112AE0"/>
    <w:rsid w:val="00112EB4"/>
    <w:rsid w:val="00115B7A"/>
    <w:rsid w:val="001167DC"/>
    <w:rsid w:val="00116C7D"/>
    <w:rsid w:val="001171CF"/>
    <w:rsid w:val="00117E43"/>
    <w:rsid w:val="001202A7"/>
    <w:rsid w:val="00120E1E"/>
    <w:rsid w:val="00120FD1"/>
    <w:rsid w:val="001210BF"/>
    <w:rsid w:val="001213B7"/>
    <w:rsid w:val="00122098"/>
    <w:rsid w:val="0012261A"/>
    <w:rsid w:val="00122F06"/>
    <w:rsid w:val="00123F90"/>
    <w:rsid w:val="001241C5"/>
    <w:rsid w:val="0012451C"/>
    <w:rsid w:val="00124A94"/>
    <w:rsid w:val="00125A29"/>
    <w:rsid w:val="00125FE5"/>
    <w:rsid w:val="001264C6"/>
    <w:rsid w:val="0012659B"/>
    <w:rsid w:val="0012698D"/>
    <w:rsid w:val="00126F83"/>
    <w:rsid w:val="0012725A"/>
    <w:rsid w:val="00127A7D"/>
    <w:rsid w:val="00127AEB"/>
    <w:rsid w:val="00127DE8"/>
    <w:rsid w:val="00130585"/>
    <w:rsid w:val="0013104E"/>
    <w:rsid w:val="001312F1"/>
    <w:rsid w:val="0013326F"/>
    <w:rsid w:val="00133DC2"/>
    <w:rsid w:val="0013410C"/>
    <w:rsid w:val="001345C4"/>
    <w:rsid w:val="0013522E"/>
    <w:rsid w:val="001356D4"/>
    <w:rsid w:val="0013687B"/>
    <w:rsid w:val="001373A8"/>
    <w:rsid w:val="00137825"/>
    <w:rsid w:val="00137C12"/>
    <w:rsid w:val="00140DB1"/>
    <w:rsid w:val="0014186D"/>
    <w:rsid w:val="00141D18"/>
    <w:rsid w:val="00143A93"/>
    <w:rsid w:val="0014423D"/>
    <w:rsid w:val="00144B27"/>
    <w:rsid w:val="001451EC"/>
    <w:rsid w:val="00145A84"/>
    <w:rsid w:val="00145AA1"/>
    <w:rsid w:val="00145D8D"/>
    <w:rsid w:val="00146592"/>
    <w:rsid w:val="00146941"/>
    <w:rsid w:val="001473B9"/>
    <w:rsid w:val="00147757"/>
    <w:rsid w:val="00147FAA"/>
    <w:rsid w:val="001507BD"/>
    <w:rsid w:val="0015234B"/>
    <w:rsid w:val="00152425"/>
    <w:rsid w:val="00152547"/>
    <w:rsid w:val="001535C2"/>
    <w:rsid w:val="0015391A"/>
    <w:rsid w:val="00153B1F"/>
    <w:rsid w:val="001562A0"/>
    <w:rsid w:val="00156835"/>
    <w:rsid w:val="00157824"/>
    <w:rsid w:val="00157905"/>
    <w:rsid w:val="00161327"/>
    <w:rsid w:val="0016310F"/>
    <w:rsid w:val="00163C3D"/>
    <w:rsid w:val="00163F28"/>
    <w:rsid w:val="001640D7"/>
    <w:rsid w:val="0016422B"/>
    <w:rsid w:val="0016438F"/>
    <w:rsid w:val="00164970"/>
    <w:rsid w:val="00164DD6"/>
    <w:rsid w:val="00165EA4"/>
    <w:rsid w:val="0016697E"/>
    <w:rsid w:val="00166D17"/>
    <w:rsid w:val="00166F12"/>
    <w:rsid w:val="00170C58"/>
    <w:rsid w:val="00170F11"/>
    <w:rsid w:val="00171425"/>
    <w:rsid w:val="00171436"/>
    <w:rsid w:val="00171611"/>
    <w:rsid w:val="00172174"/>
    <w:rsid w:val="00172D85"/>
    <w:rsid w:val="00174D3F"/>
    <w:rsid w:val="00175823"/>
    <w:rsid w:val="00175BA0"/>
    <w:rsid w:val="00175C97"/>
    <w:rsid w:val="00176288"/>
    <w:rsid w:val="00176806"/>
    <w:rsid w:val="00177F14"/>
    <w:rsid w:val="00181136"/>
    <w:rsid w:val="0018121D"/>
    <w:rsid w:val="001816AD"/>
    <w:rsid w:val="00181736"/>
    <w:rsid w:val="001834E2"/>
    <w:rsid w:val="00183C39"/>
    <w:rsid w:val="00183E83"/>
    <w:rsid w:val="00184396"/>
    <w:rsid w:val="00184FA2"/>
    <w:rsid w:val="00185995"/>
    <w:rsid w:val="00185CC4"/>
    <w:rsid w:val="00185CF6"/>
    <w:rsid w:val="00187CE1"/>
    <w:rsid w:val="00190333"/>
    <w:rsid w:val="0019073A"/>
    <w:rsid w:val="00190A10"/>
    <w:rsid w:val="00191260"/>
    <w:rsid w:val="001912D5"/>
    <w:rsid w:val="0019165E"/>
    <w:rsid w:val="00195E55"/>
    <w:rsid w:val="001964F4"/>
    <w:rsid w:val="001A1143"/>
    <w:rsid w:val="001A1832"/>
    <w:rsid w:val="001A31D6"/>
    <w:rsid w:val="001A4AA2"/>
    <w:rsid w:val="001A5189"/>
    <w:rsid w:val="001A55F5"/>
    <w:rsid w:val="001A77C3"/>
    <w:rsid w:val="001B0424"/>
    <w:rsid w:val="001B1042"/>
    <w:rsid w:val="001B30D8"/>
    <w:rsid w:val="001B4ADC"/>
    <w:rsid w:val="001B5949"/>
    <w:rsid w:val="001B5E01"/>
    <w:rsid w:val="001B60AF"/>
    <w:rsid w:val="001B6B51"/>
    <w:rsid w:val="001B6C5D"/>
    <w:rsid w:val="001B78B7"/>
    <w:rsid w:val="001C0084"/>
    <w:rsid w:val="001C0A63"/>
    <w:rsid w:val="001C266C"/>
    <w:rsid w:val="001C270D"/>
    <w:rsid w:val="001C2E91"/>
    <w:rsid w:val="001C2FDD"/>
    <w:rsid w:val="001C37BE"/>
    <w:rsid w:val="001C3F7D"/>
    <w:rsid w:val="001C45E8"/>
    <w:rsid w:val="001C52FF"/>
    <w:rsid w:val="001C5571"/>
    <w:rsid w:val="001C5D3B"/>
    <w:rsid w:val="001C638C"/>
    <w:rsid w:val="001C69F0"/>
    <w:rsid w:val="001C6A62"/>
    <w:rsid w:val="001C7066"/>
    <w:rsid w:val="001C711F"/>
    <w:rsid w:val="001D03AE"/>
    <w:rsid w:val="001D16D8"/>
    <w:rsid w:val="001D2247"/>
    <w:rsid w:val="001D2829"/>
    <w:rsid w:val="001D3176"/>
    <w:rsid w:val="001D39C0"/>
    <w:rsid w:val="001D4FA8"/>
    <w:rsid w:val="001D5713"/>
    <w:rsid w:val="001D5CBA"/>
    <w:rsid w:val="001D62E8"/>
    <w:rsid w:val="001D6496"/>
    <w:rsid w:val="001D64F1"/>
    <w:rsid w:val="001D72B6"/>
    <w:rsid w:val="001D7309"/>
    <w:rsid w:val="001D7F8B"/>
    <w:rsid w:val="001E006A"/>
    <w:rsid w:val="001E093F"/>
    <w:rsid w:val="001E0B44"/>
    <w:rsid w:val="001E14C3"/>
    <w:rsid w:val="001E391C"/>
    <w:rsid w:val="001E42D9"/>
    <w:rsid w:val="001E463B"/>
    <w:rsid w:val="001E4994"/>
    <w:rsid w:val="001E4F39"/>
    <w:rsid w:val="001E7F52"/>
    <w:rsid w:val="001F2076"/>
    <w:rsid w:val="001F225D"/>
    <w:rsid w:val="001F2981"/>
    <w:rsid w:val="001F349E"/>
    <w:rsid w:val="001F3BA3"/>
    <w:rsid w:val="001F4970"/>
    <w:rsid w:val="001F497E"/>
    <w:rsid w:val="001F49E3"/>
    <w:rsid w:val="001F53C1"/>
    <w:rsid w:val="001F5D15"/>
    <w:rsid w:val="001F5DFD"/>
    <w:rsid w:val="001F6D48"/>
    <w:rsid w:val="001F6EB2"/>
    <w:rsid w:val="001F7113"/>
    <w:rsid w:val="001F78E3"/>
    <w:rsid w:val="00200080"/>
    <w:rsid w:val="002000BB"/>
    <w:rsid w:val="0020075D"/>
    <w:rsid w:val="00200AA8"/>
    <w:rsid w:val="0020186E"/>
    <w:rsid w:val="00201A6E"/>
    <w:rsid w:val="0020314F"/>
    <w:rsid w:val="0020342A"/>
    <w:rsid w:val="00203657"/>
    <w:rsid w:val="00204067"/>
    <w:rsid w:val="00204233"/>
    <w:rsid w:val="00204259"/>
    <w:rsid w:val="002047C8"/>
    <w:rsid w:val="002048B9"/>
    <w:rsid w:val="0020591B"/>
    <w:rsid w:val="00205CE3"/>
    <w:rsid w:val="00205F30"/>
    <w:rsid w:val="002072D5"/>
    <w:rsid w:val="002074BC"/>
    <w:rsid w:val="00207917"/>
    <w:rsid w:val="00207993"/>
    <w:rsid w:val="00210225"/>
    <w:rsid w:val="00210D25"/>
    <w:rsid w:val="00210E90"/>
    <w:rsid w:val="002114EB"/>
    <w:rsid w:val="0021190E"/>
    <w:rsid w:val="002125A5"/>
    <w:rsid w:val="002135EC"/>
    <w:rsid w:val="0021487E"/>
    <w:rsid w:val="0021548A"/>
    <w:rsid w:val="00215681"/>
    <w:rsid w:val="00215975"/>
    <w:rsid w:val="002159A9"/>
    <w:rsid w:val="00215F59"/>
    <w:rsid w:val="002160CE"/>
    <w:rsid w:val="00217FF7"/>
    <w:rsid w:val="00220208"/>
    <w:rsid w:val="00220597"/>
    <w:rsid w:val="002213FB"/>
    <w:rsid w:val="00221406"/>
    <w:rsid w:val="002214FE"/>
    <w:rsid w:val="002226AF"/>
    <w:rsid w:val="00222A96"/>
    <w:rsid w:val="00222B0F"/>
    <w:rsid w:val="00222CFE"/>
    <w:rsid w:val="00222E8A"/>
    <w:rsid w:val="00223032"/>
    <w:rsid w:val="002234C8"/>
    <w:rsid w:val="00223A47"/>
    <w:rsid w:val="00223EB3"/>
    <w:rsid w:val="0022426A"/>
    <w:rsid w:val="00224D91"/>
    <w:rsid w:val="00224DE8"/>
    <w:rsid w:val="00226396"/>
    <w:rsid w:val="002264F0"/>
    <w:rsid w:val="00227E99"/>
    <w:rsid w:val="00230728"/>
    <w:rsid w:val="0023169D"/>
    <w:rsid w:val="0023181C"/>
    <w:rsid w:val="002320C3"/>
    <w:rsid w:val="00232FE9"/>
    <w:rsid w:val="0023312A"/>
    <w:rsid w:val="00233151"/>
    <w:rsid w:val="0023425D"/>
    <w:rsid w:val="002344DE"/>
    <w:rsid w:val="00234A43"/>
    <w:rsid w:val="002357E1"/>
    <w:rsid w:val="00235895"/>
    <w:rsid w:val="00235A77"/>
    <w:rsid w:val="0023652F"/>
    <w:rsid w:val="00240327"/>
    <w:rsid w:val="0024077C"/>
    <w:rsid w:val="002409A2"/>
    <w:rsid w:val="00240EBF"/>
    <w:rsid w:val="0024163C"/>
    <w:rsid w:val="00241801"/>
    <w:rsid w:val="00241D87"/>
    <w:rsid w:val="00242C99"/>
    <w:rsid w:val="00243A2E"/>
    <w:rsid w:val="00243D6D"/>
    <w:rsid w:val="002440DF"/>
    <w:rsid w:val="0024476C"/>
    <w:rsid w:val="00244A38"/>
    <w:rsid w:val="00244B92"/>
    <w:rsid w:val="00245364"/>
    <w:rsid w:val="002454A2"/>
    <w:rsid w:val="002471D3"/>
    <w:rsid w:val="00250BFA"/>
    <w:rsid w:val="00251C5D"/>
    <w:rsid w:val="00252019"/>
    <w:rsid w:val="002524FC"/>
    <w:rsid w:val="00252C49"/>
    <w:rsid w:val="00252CB8"/>
    <w:rsid w:val="0025336A"/>
    <w:rsid w:val="00253625"/>
    <w:rsid w:val="00254C7B"/>
    <w:rsid w:val="00255806"/>
    <w:rsid w:val="00257340"/>
    <w:rsid w:val="002577AB"/>
    <w:rsid w:val="002606C2"/>
    <w:rsid w:val="00260F80"/>
    <w:rsid w:val="00261B35"/>
    <w:rsid w:val="00261EBC"/>
    <w:rsid w:val="0026295D"/>
    <w:rsid w:val="002632FC"/>
    <w:rsid w:val="00263485"/>
    <w:rsid w:val="00263CC1"/>
    <w:rsid w:val="00264E36"/>
    <w:rsid w:val="00265931"/>
    <w:rsid w:val="0026666F"/>
    <w:rsid w:val="0026693F"/>
    <w:rsid w:val="00270876"/>
    <w:rsid w:val="002713C0"/>
    <w:rsid w:val="0027179D"/>
    <w:rsid w:val="00271AF2"/>
    <w:rsid w:val="00271B5B"/>
    <w:rsid w:val="0027202D"/>
    <w:rsid w:val="002740F8"/>
    <w:rsid w:val="002745FF"/>
    <w:rsid w:val="002749E0"/>
    <w:rsid w:val="00275A04"/>
    <w:rsid w:val="00275F29"/>
    <w:rsid w:val="00275F5A"/>
    <w:rsid w:val="00276D7B"/>
    <w:rsid w:val="00277A08"/>
    <w:rsid w:val="002804A9"/>
    <w:rsid w:val="002804AE"/>
    <w:rsid w:val="00280991"/>
    <w:rsid w:val="002818A9"/>
    <w:rsid w:val="002821A7"/>
    <w:rsid w:val="002851A6"/>
    <w:rsid w:val="00285536"/>
    <w:rsid w:val="00285937"/>
    <w:rsid w:val="002862C0"/>
    <w:rsid w:val="002868ED"/>
    <w:rsid w:val="00286AFB"/>
    <w:rsid w:val="002870B8"/>
    <w:rsid w:val="002902DD"/>
    <w:rsid w:val="00290AB3"/>
    <w:rsid w:val="00291814"/>
    <w:rsid w:val="00293A7E"/>
    <w:rsid w:val="002948F8"/>
    <w:rsid w:val="00294F1A"/>
    <w:rsid w:val="002950D7"/>
    <w:rsid w:val="00295E43"/>
    <w:rsid w:val="00296B0B"/>
    <w:rsid w:val="00297610"/>
    <w:rsid w:val="002A09C4"/>
    <w:rsid w:val="002A198F"/>
    <w:rsid w:val="002A1D51"/>
    <w:rsid w:val="002A2023"/>
    <w:rsid w:val="002A33C1"/>
    <w:rsid w:val="002A4453"/>
    <w:rsid w:val="002A4964"/>
    <w:rsid w:val="002A55FB"/>
    <w:rsid w:val="002A621D"/>
    <w:rsid w:val="002A656D"/>
    <w:rsid w:val="002A7A0E"/>
    <w:rsid w:val="002B034A"/>
    <w:rsid w:val="002B03FC"/>
    <w:rsid w:val="002B1EB3"/>
    <w:rsid w:val="002B2DA8"/>
    <w:rsid w:val="002B3182"/>
    <w:rsid w:val="002B342D"/>
    <w:rsid w:val="002B4784"/>
    <w:rsid w:val="002B5D33"/>
    <w:rsid w:val="002B61AF"/>
    <w:rsid w:val="002B72D7"/>
    <w:rsid w:val="002B7B91"/>
    <w:rsid w:val="002C0DE5"/>
    <w:rsid w:val="002C23D1"/>
    <w:rsid w:val="002C29CD"/>
    <w:rsid w:val="002C3875"/>
    <w:rsid w:val="002C3C70"/>
    <w:rsid w:val="002C41A8"/>
    <w:rsid w:val="002C4358"/>
    <w:rsid w:val="002C4B91"/>
    <w:rsid w:val="002C5EE9"/>
    <w:rsid w:val="002C6920"/>
    <w:rsid w:val="002C711F"/>
    <w:rsid w:val="002C74AE"/>
    <w:rsid w:val="002D0BDF"/>
    <w:rsid w:val="002D0EBE"/>
    <w:rsid w:val="002D1170"/>
    <w:rsid w:val="002D1190"/>
    <w:rsid w:val="002D1745"/>
    <w:rsid w:val="002D293F"/>
    <w:rsid w:val="002D337E"/>
    <w:rsid w:val="002D3462"/>
    <w:rsid w:val="002D35D3"/>
    <w:rsid w:val="002D3FCF"/>
    <w:rsid w:val="002D419F"/>
    <w:rsid w:val="002D53A2"/>
    <w:rsid w:val="002D5F31"/>
    <w:rsid w:val="002D6651"/>
    <w:rsid w:val="002D7D4F"/>
    <w:rsid w:val="002E0689"/>
    <w:rsid w:val="002E069B"/>
    <w:rsid w:val="002E070B"/>
    <w:rsid w:val="002E0C23"/>
    <w:rsid w:val="002E1A08"/>
    <w:rsid w:val="002E1EB4"/>
    <w:rsid w:val="002E332A"/>
    <w:rsid w:val="002E3CEC"/>
    <w:rsid w:val="002E3E4B"/>
    <w:rsid w:val="002E56D0"/>
    <w:rsid w:val="002E7559"/>
    <w:rsid w:val="002F07CB"/>
    <w:rsid w:val="002F09AC"/>
    <w:rsid w:val="002F0F67"/>
    <w:rsid w:val="002F17BC"/>
    <w:rsid w:val="002F1959"/>
    <w:rsid w:val="002F1BFB"/>
    <w:rsid w:val="002F3BE2"/>
    <w:rsid w:val="002F4A7D"/>
    <w:rsid w:val="002F4C1D"/>
    <w:rsid w:val="002F4E53"/>
    <w:rsid w:val="002F5122"/>
    <w:rsid w:val="002F5CD0"/>
    <w:rsid w:val="002F6691"/>
    <w:rsid w:val="002F6B36"/>
    <w:rsid w:val="002F7559"/>
    <w:rsid w:val="002F7AB8"/>
    <w:rsid w:val="00301BF6"/>
    <w:rsid w:val="00302281"/>
    <w:rsid w:val="003034E6"/>
    <w:rsid w:val="003039A2"/>
    <w:rsid w:val="00304544"/>
    <w:rsid w:val="00304FBE"/>
    <w:rsid w:val="00305095"/>
    <w:rsid w:val="00305740"/>
    <w:rsid w:val="00305BE3"/>
    <w:rsid w:val="0030636B"/>
    <w:rsid w:val="00306A17"/>
    <w:rsid w:val="00307133"/>
    <w:rsid w:val="003075E8"/>
    <w:rsid w:val="00311A27"/>
    <w:rsid w:val="0031222E"/>
    <w:rsid w:val="003123D7"/>
    <w:rsid w:val="00314053"/>
    <w:rsid w:val="003141EC"/>
    <w:rsid w:val="00314654"/>
    <w:rsid w:val="00314826"/>
    <w:rsid w:val="003154BC"/>
    <w:rsid w:val="003168AC"/>
    <w:rsid w:val="00317FD6"/>
    <w:rsid w:val="003218E1"/>
    <w:rsid w:val="00322682"/>
    <w:rsid w:val="00322F4B"/>
    <w:rsid w:val="00323BA3"/>
    <w:rsid w:val="00324408"/>
    <w:rsid w:val="00324927"/>
    <w:rsid w:val="00324951"/>
    <w:rsid w:val="00324DE7"/>
    <w:rsid w:val="00326B0E"/>
    <w:rsid w:val="00326C83"/>
    <w:rsid w:val="00327B67"/>
    <w:rsid w:val="00330525"/>
    <w:rsid w:val="00330723"/>
    <w:rsid w:val="00330C99"/>
    <w:rsid w:val="003317D1"/>
    <w:rsid w:val="003319D7"/>
    <w:rsid w:val="00331F14"/>
    <w:rsid w:val="0033226A"/>
    <w:rsid w:val="00332A9B"/>
    <w:rsid w:val="00332D93"/>
    <w:rsid w:val="0033303E"/>
    <w:rsid w:val="00333302"/>
    <w:rsid w:val="0033372A"/>
    <w:rsid w:val="00334E4C"/>
    <w:rsid w:val="003362F3"/>
    <w:rsid w:val="00336D08"/>
    <w:rsid w:val="00336DEF"/>
    <w:rsid w:val="003371A6"/>
    <w:rsid w:val="00337DBC"/>
    <w:rsid w:val="00340EF3"/>
    <w:rsid w:val="003412C4"/>
    <w:rsid w:val="003414B5"/>
    <w:rsid w:val="003414F1"/>
    <w:rsid w:val="00341CAA"/>
    <w:rsid w:val="0034208D"/>
    <w:rsid w:val="0034291F"/>
    <w:rsid w:val="00342AF2"/>
    <w:rsid w:val="003439A3"/>
    <w:rsid w:val="003447AB"/>
    <w:rsid w:val="00344DF0"/>
    <w:rsid w:val="00346BCB"/>
    <w:rsid w:val="00346DDB"/>
    <w:rsid w:val="003502C6"/>
    <w:rsid w:val="0035102B"/>
    <w:rsid w:val="00351252"/>
    <w:rsid w:val="00351807"/>
    <w:rsid w:val="00351CA2"/>
    <w:rsid w:val="00351D71"/>
    <w:rsid w:val="003527E8"/>
    <w:rsid w:val="00352C86"/>
    <w:rsid w:val="00353603"/>
    <w:rsid w:val="003539E3"/>
    <w:rsid w:val="00353F82"/>
    <w:rsid w:val="003545AC"/>
    <w:rsid w:val="00354620"/>
    <w:rsid w:val="00355DA6"/>
    <w:rsid w:val="0035646D"/>
    <w:rsid w:val="003579DC"/>
    <w:rsid w:val="00357FB1"/>
    <w:rsid w:val="0036162A"/>
    <w:rsid w:val="003616BD"/>
    <w:rsid w:val="003637B0"/>
    <w:rsid w:val="00364D6E"/>
    <w:rsid w:val="003654E0"/>
    <w:rsid w:val="00365624"/>
    <w:rsid w:val="00365973"/>
    <w:rsid w:val="00365AC3"/>
    <w:rsid w:val="00367AB7"/>
    <w:rsid w:val="00367C75"/>
    <w:rsid w:val="00370306"/>
    <w:rsid w:val="00370D98"/>
    <w:rsid w:val="00370E7E"/>
    <w:rsid w:val="00372D91"/>
    <w:rsid w:val="00374551"/>
    <w:rsid w:val="00376576"/>
    <w:rsid w:val="00376DC5"/>
    <w:rsid w:val="00380D4F"/>
    <w:rsid w:val="00381669"/>
    <w:rsid w:val="00381C07"/>
    <w:rsid w:val="00382535"/>
    <w:rsid w:val="003827F1"/>
    <w:rsid w:val="00383004"/>
    <w:rsid w:val="0038311C"/>
    <w:rsid w:val="00383EF0"/>
    <w:rsid w:val="003843ED"/>
    <w:rsid w:val="00384A1F"/>
    <w:rsid w:val="00384E19"/>
    <w:rsid w:val="003850F6"/>
    <w:rsid w:val="0038549E"/>
    <w:rsid w:val="003854EC"/>
    <w:rsid w:val="00390203"/>
    <w:rsid w:val="00390594"/>
    <w:rsid w:val="00391064"/>
    <w:rsid w:val="00391754"/>
    <w:rsid w:val="00391A47"/>
    <w:rsid w:val="00393094"/>
    <w:rsid w:val="00393477"/>
    <w:rsid w:val="00393C7E"/>
    <w:rsid w:val="00394135"/>
    <w:rsid w:val="003948C9"/>
    <w:rsid w:val="003948FC"/>
    <w:rsid w:val="00394BDB"/>
    <w:rsid w:val="0039543D"/>
    <w:rsid w:val="00396340"/>
    <w:rsid w:val="00396BBD"/>
    <w:rsid w:val="00396DD9"/>
    <w:rsid w:val="0039746C"/>
    <w:rsid w:val="003A04DE"/>
    <w:rsid w:val="003A07E7"/>
    <w:rsid w:val="003A15F2"/>
    <w:rsid w:val="003A16AC"/>
    <w:rsid w:val="003A1BC8"/>
    <w:rsid w:val="003A2609"/>
    <w:rsid w:val="003A2813"/>
    <w:rsid w:val="003A2D23"/>
    <w:rsid w:val="003A3770"/>
    <w:rsid w:val="003A451A"/>
    <w:rsid w:val="003A4B0D"/>
    <w:rsid w:val="003A67AB"/>
    <w:rsid w:val="003A6DA0"/>
    <w:rsid w:val="003A6F31"/>
    <w:rsid w:val="003A77A8"/>
    <w:rsid w:val="003B0089"/>
    <w:rsid w:val="003B03AC"/>
    <w:rsid w:val="003B0AB1"/>
    <w:rsid w:val="003B1D44"/>
    <w:rsid w:val="003B2327"/>
    <w:rsid w:val="003B2803"/>
    <w:rsid w:val="003B2E01"/>
    <w:rsid w:val="003B3F30"/>
    <w:rsid w:val="003B40D2"/>
    <w:rsid w:val="003B475E"/>
    <w:rsid w:val="003B4786"/>
    <w:rsid w:val="003B53B1"/>
    <w:rsid w:val="003B5BF0"/>
    <w:rsid w:val="003B6894"/>
    <w:rsid w:val="003B739C"/>
    <w:rsid w:val="003B7719"/>
    <w:rsid w:val="003C001A"/>
    <w:rsid w:val="003C011B"/>
    <w:rsid w:val="003C0D9A"/>
    <w:rsid w:val="003C1309"/>
    <w:rsid w:val="003C1551"/>
    <w:rsid w:val="003C17E0"/>
    <w:rsid w:val="003C1890"/>
    <w:rsid w:val="003C1BD0"/>
    <w:rsid w:val="003C20FB"/>
    <w:rsid w:val="003C2803"/>
    <w:rsid w:val="003C2969"/>
    <w:rsid w:val="003C31A7"/>
    <w:rsid w:val="003C3472"/>
    <w:rsid w:val="003C4258"/>
    <w:rsid w:val="003C51AC"/>
    <w:rsid w:val="003C5E0F"/>
    <w:rsid w:val="003C6533"/>
    <w:rsid w:val="003C6615"/>
    <w:rsid w:val="003C7181"/>
    <w:rsid w:val="003C7559"/>
    <w:rsid w:val="003C756B"/>
    <w:rsid w:val="003C7758"/>
    <w:rsid w:val="003C7E6D"/>
    <w:rsid w:val="003C7E9D"/>
    <w:rsid w:val="003C7F2B"/>
    <w:rsid w:val="003C7F5F"/>
    <w:rsid w:val="003D07EF"/>
    <w:rsid w:val="003D1839"/>
    <w:rsid w:val="003D241E"/>
    <w:rsid w:val="003D26EE"/>
    <w:rsid w:val="003D27A6"/>
    <w:rsid w:val="003D3A95"/>
    <w:rsid w:val="003D3E04"/>
    <w:rsid w:val="003D4812"/>
    <w:rsid w:val="003D4E6F"/>
    <w:rsid w:val="003D52AC"/>
    <w:rsid w:val="003D652C"/>
    <w:rsid w:val="003D7538"/>
    <w:rsid w:val="003D7D96"/>
    <w:rsid w:val="003D7E0C"/>
    <w:rsid w:val="003E00C3"/>
    <w:rsid w:val="003E029F"/>
    <w:rsid w:val="003E0A81"/>
    <w:rsid w:val="003E1362"/>
    <w:rsid w:val="003E1513"/>
    <w:rsid w:val="003E1DEC"/>
    <w:rsid w:val="003E23A0"/>
    <w:rsid w:val="003E2954"/>
    <w:rsid w:val="003E33F2"/>
    <w:rsid w:val="003E3D06"/>
    <w:rsid w:val="003E41BE"/>
    <w:rsid w:val="003E4CD6"/>
    <w:rsid w:val="003E5D25"/>
    <w:rsid w:val="003E6E59"/>
    <w:rsid w:val="003E7A48"/>
    <w:rsid w:val="003F06B1"/>
    <w:rsid w:val="003F118F"/>
    <w:rsid w:val="003F12CD"/>
    <w:rsid w:val="003F1B1C"/>
    <w:rsid w:val="003F29F6"/>
    <w:rsid w:val="003F40E6"/>
    <w:rsid w:val="003F4655"/>
    <w:rsid w:val="003F4956"/>
    <w:rsid w:val="003F5E85"/>
    <w:rsid w:val="003F6122"/>
    <w:rsid w:val="003F65D4"/>
    <w:rsid w:val="003F6C9F"/>
    <w:rsid w:val="003F7E50"/>
    <w:rsid w:val="004001DD"/>
    <w:rsid w:val="0040022D"/>
    <w:rsid w:val="0040250C"/>
    <w:rsid w:val="00402986"/>
    <w:rsid w:val="00402E17"/>
    <w:rsid w:val="004032C1"/>
    <w:rsid w:val="0040379A"/>
    <w:rsid w:val="00405770"/>
    <w:rsid w:val="00405EC9"/>
    <w:rsid w:val="00405EFD"/>
    <w:rsid w:val="0040643D"/>
    <w:rsid w:val="00411CED"/>
    <w:rsid w:val="00412FF3"/>
    <w:rsid w:val="004139EE"/>
    <w:rsid w:val="00413E65"/>
    <w:rsid w:val="00414DF8"/>
    <w:rsid w:val="00414EAC"/>
    <w:rsid w:val="0041528F"/>
    <w:rsid w:val="00415CF6"/>
    <w:rsid w:val="00415D3D"/>
    <w:rsid w:val="00416515"/>
    <w:rsid w:val="00416819"/>
    <w:rsid w:val="00417D68"/>
    <w:rsid w:val="00420218"/>
    <w:rsid w:val="00420302"/>
    <w:rsid w:val="00420EAC"/>
    <w:rsid w:val="00421A70"/>
    <w:rsid w:val="00422309"/>
    <w:rsid w:val="00422A77"/>
    <w:rsid w:val="00422D02"/>
    <w:rsid w:val="0042358D"/>
    <w:rsid w:val="0042372C"/>
    <w:rsid w:val="0042420D"/>
    <w:rsid w:val="0042421A"/>
    <w:rsid w:val="00424AF8"/>
    <w:rsid w:val="00425163"/>
    <w:rsid w:val="0042522F"/>
    <w:rsid w:val="004254BD"/>
    <w:rsid w:val="00425C2E"/>
    <w:rsid w:val="00426C82"/>
    <w:rsid w:val="004311AB"/>
    <w:rsid w:val="00432783"/>
    <w:rsid w:val="004329EF"/>
    <w:rsid w:val="00432A00"/>
    <w:rsid w:val="00432B1F"/>
    <w:rsid w:val="00432E5B"/>
    <w:rsid w:val="00433B8C"/>
    <w:rsid w:val="0043453F"/>
    <w:rsid w:val="00435247"/>
    <w:rsid w:val="004368F8"/>
    <w:rsid w:val="00437021"/>
    <w:rsid w:val="00440B79"/>
    <w:rsid w:val="00441226"/>
    <w:rsid w:val="004413B0"/>
    <w:rsid w:val="004418B8"/>
    <w:rsid w:val="00441D0B"/>
    <w:rsid w:val="00441F17"/>
    <w:rsid w:val="0044238D"/>
    <w:rsid w:val="00442918"/>
    <w:rsid w:val="00443F46"/>
    <w:rsid w:val="0044497F"/>
    <w:rsid w:val="00446199"/>
    <w:rsid w:val="004463BB"/>
    <w:rsid w:val="00447126"/>
    <w:rsid w:val="00447668"/>
    <w:rsid w:val="00450C80"/>
    <w:rsid w:val="00451D6B"/>
    <w:rsid w:val="00451F73"/>
    <w:rsid w:val="00452B9C"/>
    <w:rsid w:val="00452EB3"/>
    <w:rsid w:val="004538B4"/>
    <w:rsid w:val="00454BC7"/>
    <w:rsid w:val="00454CF0"/>
    <w:rsid w:val="0045680A"/>
    <w:rsid w:val="00456CD8"/>
    <w:rsid w:val="00457A39"/>
    <w:rsid w:val="00457F2E"/>
    <w:rsid w:val="00460514"/>
    <w:rsid w:val="0046151D"/>
    <w:rsid w:val="004622F7"/>
    <w:rsid w:val="00463229"/>
    <w:rsid w:val="00463B10"/>
    <w:rsid w:val="00464156"/>
    <w:rsid w:val="00464A88"/>
    <w:rsid w:val="00466027"/>
    <w:rsid w:val="0046719B"/>
    <w:rsid w:val="00467361"/>
    <w:rsid w:val="00470088"/>
    <w:rsid w:val="004708FB"/>
    <w:rsid w:val="004710FE"/>
    <w:rsid w:val="00471A03"/>
    <w:rsid w:val="00471BE7"/>
    <w:rsid w:val="00472954"/>
    <w:rsid w:val="00472985"/>
    <w:rsid w:val="004744D2"/>
    <w:rsid w:val="0047475B"/>
    <w:rsid w:val="0047489D"/>
    <w:rsid w:val="00475C21"/>
    <w:rsid w:val="00475CD1"/>
    <w:rsid w:val="00475F1C"/>
    <w:rsid w:val="0047601D"/>
    <w:rsid w:val="004766F4"/>
    <w:rsid w:val="00476B73"/>
    <w:rsid w:val="00477238"/>
    <w:rsid w:val="00477FF0"/>
    <w:rsid w:val="00480551"/>
    <w:rsid w:val="00480803"/>
    <w:rsid w:val="00481CA4"/>
    <w:rsid w:val="00481F2D"/>
    <w:rsid w:val="00482680"/>
    <w:rsid w:val="00482A53"/>
    <w:rsid w:val="00482BE7"/>
    <w:rsid w:val="00482C9B"/>
    <w:rsid w:val="00482FAA"/>
    <w:rsid w:val="00482FC5"/>
    <w:rsid w:val="00483F9F"/>
    <w:rsid w:val="004847FD"/>
    <w:rsid w:val="00485B4B"/>
    <w:rsid w:val="00485E65"/>
    <w:rsid w:val="00486CF4"/>
    <w:rsid w:val="00486F4D"/>
    <w:rsid w:val="00487969"/>
    <w:rsid w:val="00487D84"/>
    <w:rsid w:val="00491330"/>
    <w:rsid w:val="004914CA"/>
    <w:rsid w:val="00491A95"/>
    <w:rsid w:val="004929F5"/>
    <w:rsid w:val="00492C5A"/>
    <w:rsid w:val="0049325F"/>
    <w:rsid w:val="004935F8"/>
    <w:rsid w:val="004956E6"/>
    <w:rsid w:val="00495CED"/>
    <w:rsid w:val="004960D7"/>
    <w:rsid w:val="00497404"/>
    <w:rsid w:val="004979C5"/>
    <w:rsid w:val="004A0505"/>
    <w:rsid w:val="004A0EEA"/>
    <w:rsid w:val="004A10D1"/>
    <w:rsid w:val="004A21EE"/>
    <w:rsid w:val="004A31E2"/>
    <w:rsid w:val="004A4DC8"/>
    <w:rsid w:val="004A4F58"/>
    <w:rsid w:val="004A52CE"/>
    <w:rsid w:val="004A604F"/>
    <w:rsid w:val="004A615C"/>
    <w:rsid w:val="004A6175"/>
    <w:rsid w:val="004A6364"/>
    <w:rsid w:val="004A71DE"/>
    <w:rsid w:val="004A7C8B"/>
    <w:rsid w:val="004B00F2"/>
    <w:rsid w:val="004B05C5"/>
    <w:rsid w:val="004B1146"/>
    <w:rsid w:val="004B2BB2"/>
    <w:rsid w:val="004B3C94"/>
    <w:rsid w:val="004B41CA"/>
    <w:rsid w:val="004B5DDC"/>
    <w:rsid w:val="004B6CBA"/>
    <w:rsid w:val="004B7DA6"/>
    <w:rsid w:val="004C0101"/>
    <w:rsid w:val="004C09BE"/>
    <w:rsid w:val="004C0F36"/>
    <w:rsid w:val="004C0FC1"/>
    <w:rsid w:val="004C168A"/>
    <w:rsid w:val="004C1846"/>
    <w:rsid w:val="004C203A"/>
    <w:rsid w:val="004C4EFD"/>
    <w:rsid w:val="004C5755"/>
    <w:rsid w:val="004C5E82"/>
    <w:rsid w:val="004C699A"/>
    <w:rsid w:val="004C7AE5"/>
    <w:rsid w:val="004D039B"/>
    <w:rsid w:val="004D0469"/>
    <w:rsid w:val="004D0BA0"/>
    <w:rsid w:val="004D1111"/>
    <w:rsid w:val="004D158B"/>
    <w:rsid w:val="004D1A68"/>
    <w:rsid w:val="004D3867"/>
    <w:rsid w:val="004D4159"/>
    <w:rsid w:val="004D4B6B"/>
    <w:rsid w:val="004D4CBA"/>
    <w:rsid w:val="004D50F7"/>
    <w:rsid w:val="004D54A8"/>
    <w:rsid w:val="004D562B"/>
    <w:rsid w:val="004D6A73"/>
    <w:rsid w:val="004D7B97"/>
    <w:rsid w:val="004E03CD"/>
    <w:rsid w:val="004E08A6"/>
    <w:rsid w:val="004E08A7"/>
    <w:rsid w:val="004E1098"/>
    <w:rsid w:val="004E1A7A"/>
    <w:rsid w:val="004E1CBA"/>
    <w:rsid w:val="004E225F"/>
    <w:rsid w:val="004E2820"/>
    <w:rsid w:val="004E32C0"/>
    <w:rsid w:val="004E3C13"/>
    <w:rsid w:val="004E4634"/>
    <w:rsid w:val="004E4856"/>
    <w:rsid w:val="004E4CF1"/>
    <w:rsid w:val="004E5CAB"/>
    <w:rsid w:val="004E6EBA"/>
    <w:rsid w:val="004E79F8"/>
    <w:rsid w:val="004F0BF6"/>
    <w:rsid w:val="004F1D3D"/>
    <w:rsid w:val="004F34C5"/>
    <w:rsid w:val="004F4BE0"/>
    <w:rsid w:val="004F5A44"/>
    <w:rsid w:val="004F5FEA"/>
    <w:rsid w:val="004F6D38"/>
    <w:rsid w:val="004F7E20"/>
    <w:rsid w:val="00500F88"/>
    <w:rsid w:val="00500FC1"/>
    <w:rsid w:val="0050129E"/>
    <w:rsid w:val="00501DC2"/>
    <w:rsid w:val="00502B62"/>
    <w:rsid w:val="00502DCF"/>
    <w:rsid w:val="005038FB"/>
    <w:rsid w:val="00504B56"/>
    <w:rsid w:val="00504D9C"/>
    <w:rsid w:val="00504F24"/>
    <w:rsid w:val="0050597B"/>
    <w:rsid w:val="00505B35"/>
    <w:rsid w:val="00505E37"/>
    <w:rsid w:val="00506EB6"/>
    <w:rsid w:val="00507B19"/>
    <w:rsid w:val="00507F37"/>
    <w:rsid w:val="00511228"/>
    <w:rsid w:val="00511984"/>
    <w:rsid w:val="00512021"/>
    <w:rsid w:val="00512A0B"/>
    <w:rsid w:val="00512C7E"/>
    <w:rsid w:val="00512E90"/>
    <w:rsid w:val="00513136"/>
    <w:rsid w:val="00513B8E"/>
    <w:rsid w:val="00513BC0"/>
    <w:rsid w:val="00513D13"/>
    <w:rsid w:val="00513D8A"/>
    <w:rsid w:val="0051491F"/>
    <w:rsid w:val="00515328"/>
    <w:rsid w:val="00515534"/>
    <w:rsid w:val="005157CD"/>
    <w:rsid w:val="0051667B"/>
    <w:rsid w:val="00522054"/>
    <w:rsid w:val="00522511"/>
    <w:rsid w:val="00522B8C"/>
    <w:rsid w:val="005231B4"/>
    <w:rsid w:val="00523848"/>
    <w:rsid w:val="00524783"/>
    <w:rsid w:val="00524D67"/>
    <w:rsid w:val="005254DB"/>
    <w:rsid w:val="00525D07"/>
    <w:rsid w:val="005273CB"/>
    <w:rsid w:val="00527864"/>
    <w:rsid w:val="00527CFD"/>
    <w:rsid w:val="00527DC6"/>
    <w:rsid w:val="00527FCB"/>
    <w:rsid w:val="00530383"/>
    <w:rsid w:val="00530A65"/>
    <w:rsid w:val="00531651"/>
    <w:rsid w:val="00531B9A"/>
    <w:rsid w:val="00531FD5"/>
    <w:rsid w:val="005320B4"/>
    <w:rsid w:val="00532949"/>
    <w:rsid w:val="00532A43"/>
    <w:rsid w:val="00532C65"/>
    <w:rsid w:val="0053368C"/>
    <w:rsid w:val="005344FF"/>
    <w:rsid w:val="005350EA"/>
    <w:rsid w:val="005353CC"/>
    <w:rsid w:val="00535422"/>
    <w:rsid w:val="00535475"/>
    <w:rsid w:val="00535C12"/>
    <w:rsid w:val="00535D50"/>
    <w:rsid w:val="00535FFF"/>
    <w:rsid w:val="00536288"/>
    <w:rsid w:val="00536AD1"/>
    <w:rsid w:val="00536C70"/>
    <w:rsid w:val="00537116"/>
    <w:rsid w:val="0053750F"/>
    <w:rsid w:val="0054040C"/>
    <w:rsid w:val="005406C8"/>
    <w:rsid w:val="005408F9"/>
    <w:rsid w:val="0054106D"/>
    <w:rsid w:val="00541191"/>
    <w:rsid w:val="005427E9"/>
    <w:rsid w:val="00543D13"/>
    <w:rsid w:val="00543DB0"/>
    <w:rsid w:val="00544118"/>
    <w:rsid w:val="00544D8B"/>
    <w:rsid w:val="0054531D"/>
    <w:rsid w:val="005459E9"/>
    <w:rsid w:val="00545EC8"/>
    <w:rsid w:val="00546471"/>
    <w:rsid w:val="005472B5"/>
    <w:rsid w:val="0054773F"/>
    <w:rsid w:val="00547816"/>
    <w:rsid w:val="00550215"/>
    <w:rsid w:val="0055048D"/>
    <w:rsid w:val="00550661"/>
    <w:rsid w:val="005515E0"/>
    <w:rsid w:val="005518C0"/>
    <w:rsid w:val="00553184"/>
    <w:rsid w:val="005535A6"/>
    <w:rsid w:val="0055371C"/>
    <w:rsid w:val="005538E5"/>
    <w:rsid w:val="00557EAC"/>
    <w:rsid w:val="00560102"/>
    <w:rsid w:val="00561BD4"/>
    <w:rsid w:val="00562B8F"/>
    <w:rsid w:val="00563AE8"/>
    <w:rsid w:val="00563E9E"/>
    <w:rsid w:val="00563F02"/>
    <w:rsid w:val="0056419F"/>
    <w:rsid w:val="0056486E"/>
    <w:rsid w:val="00564E61"/>
    <w:rsid w:val="005655F5"/>
    <w:rsid w:val="005657AE"/>
    <w:rsid w:val="00566369"/>
    <w:rsid w:val="00567285"/>
    <w:rsid w:val="00567783"/>
    <w:rsid w:val="00567BFF"/>
    <w:rsid w:val="00567E51"/>
    <w:rsid w:val="0057168D"/>
    <w:rsid w:val="0057229C"/>
    <w:rsid w:val="00572754"/>
    <w:rsid w:val="0057282C"/>
    <w:rsid w:val="00572C07"/>
    <w:rsid w:val="00573DAE"/>
    <w:rsid w:val="005742F7"/>
    <w:rsid w:val="00575AE6"/>
    <w:rsid w:val="00575C45"/>
    <w:rsid w:val="00576584"/>
    <w:rsid w:val="00577A55"/>
    <w:rsid w:val="00580D89"/>
    <w:rsid w:val="00580FCE"/>
    <w:rsid w:val="005813A2"/>
    <w:rsid w:val="00581741"/>
    <w:rsid w:val="00584676"/>
    <w:rsid w:val="0058475F"/>
    <w:rsid w:val="005849CD"/>
    <w:rsid w:val="00585888"/>
    <w:rsid w:val="00586636"/>
    <w:rsid w:val="005879B0"/>
    <w:rsid w:val="005901A6"/>
    <w:rsid w:val="0059083D"/>
    <w:rsid w:val="0059210B"/>
    <w:rsid w:val="00592D3B"/>
    <w:rsid w:val="0059382D"/>
    <w:rsid w:val="0059429D"/>
    <w:rsid w:val="0059451B"/>
    <w:rsid w:val="00594FFD"/>
    <w:rsid w:val="00595493"/>
    <w:rsid w:val="00596477"/>
    <w:rsid w:val="00597175"/>
    <w:rsid w:val="005978A0"/>
    <w:rsid w:val="005A0152"/>
    <w:rsid w:val="005A0B9D"/>
    <w:rsid w:val="005A113B"/>
    <w:rsid w:val="005A11BB"/>
    <w:rsid w:val="005A1C8F"/>
    <w:rsid w:val="005A1D69"/>
    <w:rsid w:val="005A22D2"/>
    <w:rsid w:val="005A29AC"/>
    <w:rsid w:val="005A374F"/>
    <w:rsid w:val="005A4160"/>
    <w:rsid w:val="005A44BF"/>
    <w:rsid w:val="005A60E7"/>
    <w:rsid w:val="005A612B"/>
    <w:rsid w:val="005B0141"/>
    <w:rsid w:val="005B0CA8"/>
    <w:rsid w:val="005B19BD"/>
    <w:rsid w:val="005B1CE1"/>
    <w:rsid w:val="005B20C2"/>
    <w:rsid w:val="005B2641"/>
    <w:rsid w:val="005B28AE"/>
    <w:rsid w:val="005B34C6"/>
    <w:rsid w:val="005B34F9"/>
    <w:rsid w:val="005B3F1E"/>
    <w:rsid w:val="005B4C00"/>
    <w:rsid w:val="005B5899"/>
    <w:rsid w:val="005B617E"/>
    <w:rsid w:val="005B6A85"/>
    <w:rsid w:val="005B6DF2"/>
    <w:rsid w:val="005B6F88"/>
    <w:rsid w:val="005C0813"/>
    <w:rsid w:val="005C1183"/>
    <w:rsid w:val="005C165B"/>
    <w:rsid w:val="005C1B26"/>
    <w:rsid w:val="005C1C73"/>
    <w:rsid w:val="005C2107"/>
    <w:rsid w:val="005C23B3"/>
    <w:rsid w:val="005C26BE"/>
    <w:rsid w:val="005C2D2C"/>
    <w:rsid w:val="005C32A3"/>
    <w:rsid w:val="005C33BF"/>
    <w:rsid w:val="005C3893"/>
    <w:rsid w:val="005C3EE7"/>
    <w:rsid w:val="005C436F"/>
    <w:rsid w:val="005C4E0F"/>
    <w:rsid w:val="005C4FE7"/>
    <w:rsid w:val="005C5C03"/>
    <w:rsid w:val="005C5C88"/>
    <w:rsid w:val="005C60F8"/>
    <w:rsid w:val="005C68A6"/>
    <w:rsid w:val="005C7675"/>
    <w:rsid w:val="005C79D4"/>
    <w:rsid w:val="005D0105"/>
    <w:rsid w:val="005D14C5"/>
    <w:rsid w:val="005D1AC0"/>
    <w:rsid w:val="005D256C"/>
    <w:rsid w:val="005D259C"/>
    <w:rsid w:val="005D2991"/>
    <w:rsid w:val="005D2AD8"/>
    <w:rsid w:val="005D3097"/>
    <w:rsid w:val="005D4119"/>
    <w:rsid w:val="005D482F"/>
    <w:rsid w:val="005D485D"/>
    <w:rsid w:val="005D4866"/>
    <w:rsid w:val="005D498E"/>
    <w:rsid w:val="005D4B53"/>
    <w:rsid w:val="005D4CA1"/>
    <w:rsid w:val="005D512B"/>
    <w:rsid w:val="005D51CE"/>
    <w:rsid w:val="005D5380"/>
    <w:rsid w:val="005D5E0D"/>
    <w:rsid w:val="005D68F0"/>
    <w:rsid w:val="005D6F51"/>
    <w:rsid w:val="005D700C"/>
    <w:rsid w:val="005D783F"/>
    <w:rsid w:val="005D7956"/>
    <w:rsid w:val="005E0122"/>
    <w:rsid w:val="005E1CEB"/>
    <w:rsid w:val="005E2103"/>
    <w:rsid w:val="005E264C"/>
    <w:rsid w:val="005E2F36"/>
    <w:rsid w:val="005E3E72"/>
    <w:rsid w:val="005E5623"/>
    <w:rsid w:val="005E6144"/>
    <w:rsid w:val="005E6253"/>
    <w:rsid w:val="005E689C"/>
    <w:rsid w:val="005E6B96"/>
    <w:rsid w:val="005E6F03"/>
    <w:rsid w:val="005E6F52"/>
    <w:rsid w:val="005E7400"/>
    <w:rsid w:val="005E791F"/>
    <w:rsid w:val="005F09BE"/>
    <w:rsid w:val="005F17A5"/>
    <w:rsid w:val="005F234C"/>
    <w:rsid w:val="005F2E09"/>
    <w:rsid w:val="005F4682"/>
    <w:rsid w:val="005F5681"/>
    <w:rsid w:val="005F6321"/>
    <w:rsid w:val="005F6A0F"/>
    <w:rsid w:val="005F6CCF"/>
    <w:rsid w:val="005F6D5C"/>
    <w:rsid w:val="005F73FD"/>
    <w:rsid w:val="005F7545"/>
    <w:rsid w:val="005F772B"/>
    <w:rsid w:val="006001CF"/>
    <w:rsid w:val="006003DC"/>
    <w:rsid w:val="00600BFE"/>
    <w:rsid w:val="00600FC7"/>
    <w:rsid w:val="00602460"/>
    <w:rsid w:val="00602D0A"/>
    <w:rsid w:val="00602EC6"/>
    <w:rsid w:val="00603418"/>
    <w:rsid w:val="0060391A"/>
    <w:rsid w:val="00603C32"/>
    <w:rsid w:val="006040A3"/>
    <w:rsid w:val="00604E12"/>
    <w:rsid w:val="00605816"/>
    <w:rsid w:val="00605B26"/>
    <w:rsid w:val="00605EF8"/>
    <w:rsid w:val="006065B2"/>
    <w:rsid w:val="00607110"/>
    <w:rsid w:val="00607240"/>
    <w:rsid w:val="006074BC"/>
    <w:rsid w:val="00607DF1"/>
    <w:rsid w:val="00611ADD"/>
    <w:rsid w:val="00612AA2"/>
    <w:rsid w:val="00613169"/>
    <w:rsid w:val="006138CC"/>
    <w:rsid w:val="00614506"/>
    <w:rsid w:val="0061581E"/>
    <w:rsid w:val="00615874"/>
    <w:rsid w:val="00615DFF"/>
    <w:rsid w:val="006171DE"/>
    <w:rsid w:val="00617C61"/>
    <w:rsid w:val="0062020B"/>
    <w:rsid w:val="00620785"/>
    <w:rsid w:val="00620C49"/>
    <w:rsid w:val="00621838"/>
    <w:rsid w:val="00622438"/>
    <w:rsid w:val="006229CD"/>
    <w:rsid w:val="00622A42"/>
    <w:rsid w:val="00622FE4"/>
    <w:rsid w:val="00623676"/>
    <w:rsid w:val="0062398B"/>
    <w:rsid w:val="00623AC8"/>
    <w:rsid w:val="00623F94"/>
    <w:rsid w:val="00626497"/>
    <w:rsid w:val="00626885"/>
    <w:rsid w:val="00626A25"/>
    <w:rsid w:val="00626A67"/>
    <w:rsid w:val="00626C96"/>
    <w:rsid w:val="00626F7C"/>
    <w:rsid w:val="00627179"/>
    <w:rsid w:val="00631C7F"/>
    <w:rsid w:val="006324F0"/>
    <w:rsid w:val="006327D7"/>
    <w:rsid w:val="00633C67"/>
    <w:rsid w:val="0063427E"/>
    <w:rsid w:val="00635182"/>
    <w:rsid w:val="00635859"/>
    <w:rsid w:val="00635FB1"/>
    <w:rsid w:val="00637C94"/>
    <w:rsid w:val="00640176"/>
    <w:rsid w:val="006408A0"/>
    <w:rsid w:val="006411DD"/>
    <w:rsid w:val="0064132C"/>
    <w:rsid w:val="00641A4A"/>
    <w:rsid w:val="00641EB3"/>
    <w:rsid w:val="00641F77"/>
    <w:rsid w:val="0064208D"/>
    <w:rsid w:val="00642619"/>
    <w:rsid w:val="00642782"/>
    <w:rsid w:val="006431C3"/>
    <w:rsid w:val="00643202"/>
    <w:rsid w:val="0064334C"/>
    <w:rsid w:val="00643DCF"/>
    <w:rsid w:val="00645CAB"/>
    <w:rsid w:val="00646855"/>
    <w:rsid w:val="00646D92"/>
    <w:rsid w:val="00646F47"/>
    <w:rsid w:val="006479C5"/>
    <w:rsid w:val="006479F9"/>
    <w:rsid w:val="00650566"/>
    <w:rsid w:val="00650B7A"/>
    <w:rsid w:val="00651A98"/>
    <w:rsid w:val="0065237F"/>
    <w:rsid w:val="0065260F"/>
    <w:rsid w:val="006529D3"/>
    <w:rsid w:val="0065304D"/>
    <w:rsid w:val="006534AA"/>
    <w:rsid w:val="00653726"/>
    <w:rsid w:val="006542B0"/>
    <w:rsid w:val="006544D8"/>
    <w:rsid w:val="00654597"/>
    <w:rsid w:val="0065492B"/>
    <w:rsid w:val="006563CE"/>
    <w:rsid w:val="006573C4"/>
    <w:rsid w:val="00657CAF"/>
    <w:rsid w:val="00657EA0"/>
    <w:rsid w:val="00660483"/>
    <w:rsid w:val="006605CE"/>
    <w:rsid w:val="00660CE7"/>
    <w:rsid w:val="00662CB2"/>
    <w:rsid w:val="00663C59"/>
    <w:rsid w:val="006645D8"/>
    <w:rsid w:val="0066471D"/>
    <w:rsid w:val="00664839"/>
    <w:rsid w:val="00664AA5"/>
    <w:rsid w:val="006651CB"/>
    <w:rsid w:val="006655EB"/>
    <w:rsid w:val="00665AB6"/>
    <w:rsid w:val="00665C0F"/>
    <w:rsid w:val="00665D97"/>
    <w:rsid w:val="0066638E"/>
    <w:rsid w:val="00666406"/>
    <w:rsid w:val="00666815"/>
    <w:rsid w:val="00666C4D"/>
    <w:rsid w:val="00667210"/>
    <w:rsid w:val="006705CD"/>
    <w:rsid w:val="0067068F"/>
    <w:rsid w:val="00670776"/>
    <w:rsid w:val="0067137D"/>
    <w:rsid w:val="006716D5"/>
    <w:rsid w:val="00671B11"/>
    <w:rsid w:val="00671E66"/>
    <w:rsid w:val="0067258F"/>
    <w:rsid w:val="00672BA2"/>
    <w:rsid w:val="00672C6E"/>
    <w:rsid w:val="00672E2A"/>
    <w:rsid w:val="006733D6"/>
    <w:rsid w:val="00673C5A"/>
    <w:rsid w:val="00673CFB"/>
    <w:rsid w:val="006747C2"/>
    <w:rsid w:val="00674DE6"/>
    <w:rsid w:val="006759B7"/>
    <w:rsid w:val="00675FC0"/>
    <w:rsid w:val="006766D1"/>
    <w:rsid w:val="006767A6"/>
    <w:rsid w:val="006768D8"/>
    <w:rsid w:val="00676CCB"/>
    <w:rsid w:val="00677AF8"/>
    <w:rsid w:val="00680721"/>
    <w:rsid w:val="00681F8F"/>
    <w:rsid w:val="00682F35"/>
    <w:rsid w:val="006831F5"/>
    <w:rsid w:val="00683D33"/>
    <w:rsid w:val="00684877"/>
    <w:rsid w:val="0068640B"/>
    <w:rsid w:val="0068674E"/>
    <w:rsid w:val="0068735D"/>
    <w:rsid w:val="0068755E"/>
    <w:rsid w:val="00690965"/>
    <w:rsid w:val="006914C6"/>
    <w:rsid w:val="006915D9"/>
    <w:rsid w:val="006920B6"/>
    <w:rsid w:val="00693448"/>
    <w:rsid w:val="006936DC"/>
    <w:rsid w:val="006943F2"/>
    <w:rsid w:val="00694D91"/>
    <w:rsid w:val="006951E7"/>
    <w:rsid w:val="00695DEF"/>
    <w:rsid w:val="00696A0E"/>
    <w:rsid w:val="00696EBF"/>
    <w:rsid w:val="0069791F"/>
    <w:rsid w:val="00697D04"/>
    <w:rsid w:val="00697D32"/>
    <w:rsid w:val="006A0A98"/>
    <w:rsid w:val="006A121B"/>
    <w:rsid w:val="006A1348"/>
    <w:rsid w:val="006A2260"/>
    <w:rsid w:val="006A26D9"/>
    <w:rsid w:val="006A3720"/>
    <w:rsid w:val="006A3C55"/>
    <w:rsid w:val="006A46CF"/>
    <w:rsid w:val="006A4BD7"/>
    <w:rsid w:val="006A4D3E"/>
    <w:rsid w:val="006A4D50"/>
    <w:rsid w:val="006A592E"/>
    <w:rsid w:val="006A6C27"/>
    <w:rsid w:val="006A726F"/>
    <w:rsid w:val="006A786B"/>
    <w:rsid w:val="006A79E4"/>
    <w:rsid w:val="006B1D4A"/>
    <w:rsid w:val="006B3927"/>
    <w:rsid w:val="006B3FE4"/>
    <w:rsid w:val="006B429E"/>
    <w:rsid w:val="006B4409"/>
    <w:rsid w:val="006B46BC"/>
    <w:rsid w:val="006B4707"/>
    <w:rsid w:val="006B4A41"/>
    <w:rsid w:val="006B4E7C"/>
    <w:rsid w:val="006B55D3"/>
    <w:rsid w:val="006B59C9"/>
    <w:rsid w:val="006B6EB5"/>
    <w:rsid w:val="006C05DB"/>
    <w:rsid w:val="006C05FD"/>
    <w:rsid w:val="006C0C17"/>
    <w:rsid w:val="006C0F4F"/>
    <w:rsid w:val="006C1855"/>
    <w:rsid w:val="006C1A77"/>
    <w:rsid w:val="006C2036"/>
    <w:rsid w:val="006C3262"/>
    <w:rsid w:val="006C3421"/>
    <w:rsid w:val="006C3ADE"/>
    <w:rsid w:val="006C533E"/>
    <w:rsid w:val="006C53BB"/>
    <w:rsid w:val="006C6B21"/>
    <w:rsid w:val="006C7140"/>
    <w:rsid w:val="006C78C6"/>
    <w:rsid w:val="006D0B02"/>
    <w:rsid w:val="006D3E96"/>
    <w:rsid w:val="006D4079"/>
    <w:rsid w:val="006D45AA"/>
    <w:rsid w:val="006D4CA2"/>
    <w:rsid w:val="006D5368"/>
    <w:rsid w:val="006E0362"/>
    <w:rsid w:val="006E0892"/>
    <w:rsid w:val="006E0E7A"/>
    <w:rsid w:val="006E180E"/>
    <w:rsid w:val="006E18A1"/>
    <w:rsid w:val="006E1C55"/>
    <w:rsid w:val="006E2522"/>
    <w:rsid w:val="006E2AC1"/>
    <w:rsid w:val="006E2C4B"/>
    <w:rsid w:val="006E3600"/>
    <w:rsid w:val="006E37EF"/>
    <w:rsid w:val="006E3914"/>
    <w:rsid w:val="006E3CAE"/>
    <w:rsid w:val="006E4595"/>
    <w:rsid w:val="006E494A"/>
    <w:rsid w:val="006E4C93"/>
    <w:rsid w:val="006E517C"/>
    <w:rsid w:val="006E633E"/>
    <w:rsid w:val="006E6468"/>
    <w:rsid w:val="006E6C6D"/>
    <w:rsid w:val="006E785B"/>
    <w:rsid w:val="006F10FB"/>
    <w:rsid w:val="006F11E1"/>
    <w:rsid w:val="006F1888"/>
    <w:rsid w:val="006F266D"/>
    <w:rsid w:val="006F32A9"/>
    <w:rsid w:val="006F3AE6"/>
    <w:rsid w:val="006F3AE9"/>
    <w:rsid w:val="006F3CDD"/>
    <w:rsid w:val="006F4160"/>
    <w:rsid w:val="006F44CA"/>
    <w:rsid w:val="006F6412"/>
    <w:rsid w:val="006F6D5F"/>
    <w:rsid w:val="007015BE"/>
    <w:rsid w:val="00701816"/>
    <w:rsid w:val="007019EB"/>
    <w:rsid w:val="00701DF2"/>
    <w:rsid w:val="00703089"/>
    <w:rsid w:val="007038A0"/>
    <w:rsid w:val="00705CD6"/>
    <w:rsid w:val="00705FDD"/>
    <w:rsid w:val="00706893"/>
    <w:rsid w:val="00707348"/>
    <w:rsid w:val="00707831"/>
    <w:rsid w:val="00710426"/>
    <w:rsid w:val="007104F7"/>
    <w:rsid w:val="007107C7"/>
    <w:rsid w:val="00710A5E"/>
    <w:rsid w:val="00710CE8"/>
    <w:rsid w:val="00710DC9"/>
    <w:rsid w:val="00710F03"/>
    <w:rsid w:val="00711590"/>
    <w:rsid w:val="0071188F"/>
    <w:rsid w:val="00711A43"/>
    <w:rsid w:val="00711D39"/>
    <w:rsid w:val="007120A3"/>
    <w:rsid w:val="0071230D"/>
    <w:rsid w:val="00712919"/>
    <w:rsid w:val="00712EAA"/>
    <w:rsid w:val="00713CD9"/>
    <w:rsid w:val="00714BAB"/>
    <w:rsid w:val="00714D88"/>
    <w:rsid w:val="00715D90"/>
    <w:rsid w:val="00716BE0"/>
    <w:rsid w:val="00717299"/>
    <w:rsid w:val="00717E89"/>
    <w:rsid w:val="0072029B"/>
    <w:rsid w:val="00720900"/>
    <w:rsid w:val="007215A8"/>
    <w:rsid w:val="00721907"/>
    <w:rsid w:val="00721AD6"/>
    <w:rsid w:val="00722E0A"/>
    <w:rsid w:val="00722EB0"/>
    <w:rsid w:val="00723263"/>
    <w:rsid w:val="007232BB"/>
    <w:rsid w:val="007234CD"/>
    <w:rsid w:val="007236D3"/>
    <w:rsid w:val="007238D2"/>
    <w:rsid w:val="007248F0"/>
    <w:rsid w:val="00726761"/>
    <w:rsid w:val="0072678E"/>
    <w:rsid w:val="00727F16"/>
    <w:rsid w:val="00730108"/>
    <w:rsid w:val="00730A52"/>
    <w:rsid w:val="00731502"/>
    <w:rsid w:val="0073279F"/>
    <w:rsid w:val="00735179"/>
    <w:rsid w:val="007351B5"/>
    <w:rsid w:val="007367F3"/>
    <w:rsid w:val="007367FA"/>
    <w:rsid w:val="00737494"/>
    <w:rsid w:val="00737FFA"/>
    <w:rsid w:val="00740216"/>
    <w:rsid w:val="00740CEC"/>
    <w:rsid w:val="00740FEC"/>
    <w:rsid w:val="0074186F"/>
    <w:rsid w:val="00742268"/>
    <w:rsid w:val="007431A4"/>
    <w:rsid w:val="0074386F"/>
    <w:rsid w:val="00743A28"/>
    <w:rsid w:val="0074405A"/>
    <w:rsid w:val="00744169"/>
    <w:rsid w:val="00744C4B"/>
    <w:rsid w:val="00744FAE"/>
    <w:rsid w:val="00745345"/>
    <w:rsid w:val="0074536D"/>
    <w:rsid w:val="00746075"/>
    <w:rsid w:val="00746271"/>
    <w:rsid w:val="0074663A"/>
    <w:rsid w:val="00746709"/>
    <w:rsid w:val="007468F8"/>
    <w:rsid w:val="00746950"/>
    <w:rsid w:val="007478C3"/>
    <w:rsid w:val="00747C7E"/>
    <w:rsid w:val="00747E3A"/>
    <w:rsid w:val="00750903"/>
    <w:rsid w:val="00751372"/>
    <w:rsid w:val="00751D80"/>
    <w:rsid w:val="00752EC3"/>
    <w:rsid w:val="00753D7A"/>
    <w:rsid w:val="00753FFE"/>
    <w:rsid w:val="00755AA5"/>
    <w:rsid w:val="00755CE3"/>
    <w:rsid w:val="007568AD"/>
    <w:rsid w:val="00756BA9"/>
    <w:rsid w:val="00756E02"/>
    <w:rsid w:val="007572A3"/>
    <w:rsid w:val="00757779"/>
    <w:rsid w:val="00757E3E"/>
    <w:rsid w:val="00760328"/>
    <w:rsid w:val="00760F7F"/>
    <w:rsid w:val="0076117A"/>
    <w:rsid w:val="00761A12"/>
    <w:rsid w:val="00761AF3"/>
    <w:rsid w:val="00761CC6"/>
    <w:rsid w:val="007621CB"/>
    <w:rsid w:val="00763759"/>
    <w:rsid w:val="00763C21"/>
    <w:rsid w:val="007651CC"/>
    <w:rsid w:val="00765809"/>
    <w:rsid w:val="00766475"/>
    <w:rsid w:val="007670CA"/>
    <w:rsid w:val="0076746D"/>
    <w:rsid w:val="007702B0"/>
    <w:rsid w:val="007703AA"/>
    <w:rsid w:val="007708B8"/>
    <w:rsid w:val="00772ABF"/>
    <w:rsid w:val="0077406F"/>
    <w:rsid w:val="00774AAA"/>
    <w:rsid w:val="00776112"/>
    <w:rsid w:val="00777722"/>
    <w:rsid w:val="00777CC5"/>
    <w:rsid w:val="00780877"/>
    <w:rsid w:val="00781742"/>
    <w:rsid w:val="00781F7F"/>
    <w:rsid w:val="007831D1"/>
    <w:rsid w:val="0078327E"/>
    <w:rsid w:val="00783C75"/>
    <w:rsid w:val="00784375"/>
    <w:rsid w:val="00784394"/>
    <w:rsid w:val="0078513C"/>
    <w:rsid w:val="00785C44"/>
    <w:rsid w:val="0078719E"/>
    <w:rsid w:val="00787ECD"/>
    <w:rsid w:val="007911A1"/>
    <w:rsid w:val="007914A7"/>
    <w:rsid w:val="007916F0"/>
    <w:rsid w:val="00791A25"/>
    <w:rsid w:val="00792319"/>
    <w:rsid w:val="00793C3B"/>
    <w:rsid w:val="00794751"/>
    <w:rsid w:val="00794C85"/>
    <w:rsid w:val="0079506F"/>
    <w:rsid w:val="007959F6"/>
    <w:rsid w:val="00797237"/>
    <w:rsid w:val="00797435"/>
    <w:rsid w:val="007975EE"/>
    <w:rsid w:val="00797C69"/>
    <w:rsid w:val="007A08F6"/>
    <w:rsid w:val="007A0B88"/>
    <w:rsid w:val="007A12DC"/>
    <w:rsid w:val="007A12E5"/>
    <w:rsid w:val="007A196B"/>
    <w:rsid w:val="007A1FB7"/>
    <w:rsid w:val="007A26E0"/>
    <w:rsid w:val="007A26FC"/>
    <w:rsid w:val="007A2B9B"/>
    <w:rsid w:val="007A323D"/>
    <w:rsid w:val="007A3A0B"/>
    <w:rsid w:val="007A3C6B"/>
    <w:rsid w:val="007A4AAA"/>
    <w:rsid w:val="007A543E"/>
    <w:rsid w:val="007A55BF"/>
    <w:rsid w:val="007A5E9E"/>
    <w:rsid w:val="007A617D"/>
    <w:rsid w:val="007A64E0"/>
    <w:rsid w:val="007A67BC"/>
    <w:rsid w:val="007A769B"/>
    <w:rsid w:val="007A7B53"/>
    <w:rsid w:val="007A7B83"/>
    <w:rsid w:val="007B0171"/>
    <w:rsid w:val="007B032B"/>
    <w:rsid w:val="007B0D42"/>
    <w:rsid w:val="007B0FCE"/>
    <w:rsid w:val="007B1107"/>
    <w:rsid w:val="007B1A6B"/>
    <w:rsid w:val="007B3808"/>
    <w:rsid w:val="007B4424"/>
    <w:rsid w:val="007B46A5"/>
    <w:rsid w:val="007B6029"/>
    <w:rsid w:val="007B636F"/>
    <w:rsid w:val="007C0550"/>
    <w:rsid w:val="007C13E9"/>
    <w:rsid w:val="007C1736"/>
    <w:rsid w:val="007C229B"/>
    <w:rsid w:val="007C2364"/>
    <w:rsid w:val="007C23E4"/>
    <w:rsid w:val="007C26FB"/>
    <w:rsid w:val="007C30C1"/>
    <w:rsid w:val="007C318B"/>
    <w:rsid w:val="007C3198"/>
    <w:rsid w:val="007C379E"/>
    <w:rsid w:val="007C37BF"/>
    <w:rsid w:val="007C4843"/>
    <w:rsid w:val="007C5878"/>
    <w:rsid w:val="007C6034"/>
    <w:rsid w:val="007C61EE"/>
    <w:rsid w:val="007C691D"/>
    <w:rsid w:val="007C7963"/>
    <w:rsid w:val="007D1969"/>
    <w:rsid w:val="007D4CC1"/>
    <w:rsid w:val="007D5761"/>
    <w:rsid w:val="007D5B93"/>
    <w:rsid w:val="007D6305"/>
    <w:rsid w:val="007E0663"/>
    <w:rsid w:val="007E06EB"/>
    <w:rsid w:val="007E1256"/>
    <w:rsid w:val="007E188B"/>
    <w:rsid w:val="007E195A"/>
    <w:rsid w:val="007E1B9F"/>
    <w:rsid w:val="007E1FB8"/>
    <w:rsid w:val="007E1FF5"/>
    <w:rsid w:val="007E2320"/>
    <w:rsid w:val="007E2428"/>
    <w:rsid w:val="007E36D9"/>
    <w:rsid w:val="007E37A7"/>
    <w:rsid w:val="007E3A39"/>
    <w:rsid w:val="007E49BE"/>
    <w:rsid w:val="007E54C5"/>
    <w:rsid w:val="007E58D0"/>
    <w:rsid w:val="007E5A8C"/>
    <w:rsid w:val="007E769F"/>
    <w:rsid w:val="007F0AA8"/>
    <w:rsid w:val="007F0FD2"/>
    <w:rsid w:val="007F1D78"/>
    <w:rsid w:val="007F24E7"/>
    <w:rsid w:val="007F3025"/>
    <w:rsid w:val="007F3198"/>
    <w:rsid w:val="007F3364"/>
    <w:rsid w:val="007F515F"/>
    <w:rsid w:val="007F5787"/>
    <w:rsid w:val="007F656B"/>
    <w:rsid w:val="007F786D"/>
    <w:rsid w:val="007F7CFD"/>
    <w:rsid w:val="007F7D68"/>
    <w:rsid w:val="00800C0B"/>
    <w:rsid w:val="008014C5"/>
    <w:rsid w:val="00801703"/>
    <w:rsid w:val="00801AB5"/>
    <w:rsid w:val="0080224B"/>
    <w:rsid w:val="008022D6"/>
    <w:rsid w:val="00804206"/>
    <w:rsid w:val="008062AA"/>
    <w:rsid w:val="008076AD"/>
    <w:rsid w:val="00807E96"/>
    <w:rsid w:val="00810D0A"/>
    <w:rsid w:val="008120A3"/>
    <w:rsid w:val="00812182"/>
    <w:rsid w:val="00812702"/>
    <w:rsid w:val="008147B6"/>
    <w:rsid w:val="0081516D"/>
    <w:rsid w:val="00816574"/>
    <w:rsid w:val="00817301"/>
    <w:rsid w:val="00817975"/>
    <w:rsid w:val="0082054A"/>
    <w:rsid w:val="00820F25"/>
    <w:rsid w:val="008210F0"/>
    <w:rsid w:val="00821880"/>
    <w:rsid w:val="00821D52"/>
    <w:rsid w:val="00821E41"/>
    <w:rsid w:val="0082362C"/>
    <w:rsid w:val="00823C4A"/>
    <w:rsid w:val="00824161"/>
    <w:rsid w:val="0082434D"/>
    <w:rsid w:val="00826B3C"/>
    <w:rsid w:val="008305F9"/>
    <w:rsid w:val="00830ACE"/>
    <w:rsid w:val="00830F5B"/>
    <w:rsid w:val="00831553"/>
    <w:rsid w:val="0083180A"/>
    <w:rsid w:val="00831988"/>
    <w:rsid w:val="00832210"/>
    <w:rsid w:val="00832689"/>
    <w:rsid w:val="00832ABA"/>
    <w:rsid w:val="008342D5"/>
    <w:rsid w:val="00834CBD"/>
    <w:rsid w:val="00835ABE"/>
    <w:rsid w:val="00835E8F"/>
    <w:rsid w:val="00836410"/>
    <w:rsid w:val="00836753"/>
    <w:rsid w:val="008367E6"/>
    <w:rsid w:val="00836F64"/>
    <w:rsid w:val="00837B00"/>
    <w:rsid w:val="00840814"/>
    <w:rsid w:val="008412ED"/>
    <w:rsid w:val="008421DB"/>
    <w:rsid w:val="00842EBC"/>
    <w:rsid w:val="00843341"/>
    <w:rsid w:val="00843F8C"/>
    <w:rsid w:val="00844992"/>
    <w:rsid w:val="00844D5C"/>
    <w:rsid w:val="0084559F"/>
    <w:rsid w:val="00846C36"/>
    <w:rsid w:val="0084733E"/>
    <w:rsid w:val="008511D1"/>
    <w:rsid w:val="00853A5A"/>
    <w:rsid w:val="00853C97"/>
    <w:rsid w:val="00854923"/>
    <w:rsid w:val="008551D9"/>
    <w:rsid w:val="008554F7"/>
    <w:rsid w:val="008557F4"/>
    <w:rsid w:val="00855CAC"/>
    <w:rsid w:val="008575A4"/>
    <w:rsid w:val="00857973"/>
    <w:rsid w:val="00857AC9"/>
    <w:rsid w:val="008600BB"/>
    <w:rsid w:val="00860170"/>
    <w:rsid w:val="00860967"/>
    <w:rsid w:val="00860DDA"/>
    <w:rsid w:val="00860F6A"/>
    <w:rsid w:val="00861352"/>
    <w:rsid w:val="00861AD9"/>
    <w:rsid w:val="0086223B"/>
    <w:rsid w:val="008630B2"/>
    <w:rsid w:val="008631EC"/>
    <w:rsid w:val="00863C22"/>
    <w:rsid w:val="00863EEF"/>
    <w:rsid w:val="00864777"/>
    <w:rsid w:val="00865357"/>
    <w:rsid w:val="008657B0"/>
    <w:rsid w:val="008659A7"/>
    <w:rsid w:val="0086704C"/>
    <w:rsid w:val="0086725B"/>
    <w:rsid w:val="00867CA3"/>
    <w:rsid w:val="00867DCC"/>
    <w:rsid w:val="008706C0"/>
    <w:rsid w:val="00870F3E"/>
    <w:rsid w:val="00870FC6"/>
    <w:rsid w:val="008713A2"/>
    <w:rsid w:val="008715B1"/>
    <w:rsid w:val="008716B9"/>
    <w:rsid w:val="008718DB"/>
    <w:rsid w:val="00871AF3"/>
    <w:rsid w:val="00871DBE"/>
    <w:rsid w:val="0087212A"/>
    <w:rsid w:val="00872182"/>
    <w:rsid w:val="00872CB7"/>
    <w:rsid w:val="008732EB"/>
    <w:rsid w:val="008734E0"/>
    <w:rsid w:val="00873EF2"/>
    <w:rsid w:val="00874EF3"/>
    <w:rsid w:val="0087583E"/>
    <w:rsid w:val="00875EDB"/>
    <w:rsid w:val="00876485"/>
    <w:rsid w:val="00876752"/>
    <w:rsid w:val="00876A35"/>
    <w:rsid w:val="00876BA7"/>
    <w:rsid w:val="0087768D"/>
    <w:rsid w:val="00877954"/>
    <w:rsid w:val="00877C1D"/>
    <w:rsid w:val="008808B3"/>
    <w:rsid w:val="00880ABF"/>
    <w:rsid w:val="00882811"/>
    <w:rsid w:val="00882939"/>
    <w:rsid w:val="00882ADD"/>
    <w:rsid w:val="00882E3E"/>
    <w:rsid w:val="00882F4C"/>
    <w:rsid w:val="008832CB"/>
    <w:rsid w:val="00884679"/>
    <w:rsid w:val="0088485C"/>
    <w:rsid w:val="00885E8E"/>
    <w:rsid w:val="00885F28"/>
    <w:rsid w:val="00887164"/>
    <w:rsid w:val="008878DC"/>
    <w:rsid w:val="00887E35"/>
    <w:rsid w:val="008905BD"/>
    <w:rsid w:val="0089178A"/>
    <w:rsid w:val="0089193F"/>
    <w:rsid w:val="00891A09"/>
    <w:rsid w:val="00891E29"/>
    <w:rsid w:val="00891F94"/>
    <w:rsid w:val="008924BF"/>
    <w:rsid w:val="00893246"/>
    <w:rsid w:val="00893A9F"/>
    <w:rsid w:val="00893C5D"/>
    <w:rsid w:val="008944ED"/>
    <w:rsid w:val="00894A27"/>
    <w:rsid w:val="00894AC0"/>
    <w:rsid w:val="0089516B"/>
    <w:rsid w:val="00896511"/>
    <w:rsid w:val="008968FB"/>
    <w:rsid w:val="0089696D"/>
    <w:rsid w:val="008974A0"/>
    <w:rsid w:val="008A0872"/>
    <w:rsid w:val="008A0900"/>
    <w:rsid w:val="008A0BF4"/>
    <w:rsid w:val="008A1079"/>
    <w:rsid w:val="008A13F5"/>
    <w:rsid w:val="008A156A"/>
    <w:rsid w:val="008A16A8"/>
    <w:rsid w:val="008A2175"/>
    <w:rsid w:val="008A2473"/>
    <w:rsid w:val="008A3616"/>
    <w:rsid w:val="008A3668"/>
    <w:rsid w:val="008A3B4C"/>
    <w:rsid w:val="008A480C"/>
    <w:rsid w:val="008A5F3B"/>
    <w:rsid w:val="008A644E"/>
    <w:rsid w:val="008A6999"/>
    <w:rsid w:val="008A6D96"/>
    <w:rsid w:val="008A70D9"/>
    <w:rsid w:val="008A7233"/>
    <w:rsid w:val="008A753C"/>
    <w:rsid w:val="008A7762"/>
    <w:rsid w:val="008B004F"/>
    <w:rsid w:val="008B2C18"/>
    <w:rsid w:val="008B4A47"/>
    <w:rsid w:val="008B5FAA"/>
    <w:rsid w:val="008B66B7"/>
    <w:rsid w:val="008B79CB"/>
    <w:rsid w:val="008C06B1"/>
    <w:rsid w:val="008C2826"/>
    <w:rsid w:val="008C2DBB"/>
    <w:rsid w:val="008C2FDB"/>
    <w:rsid w:val="008C328A"/>
    <w:rsid w:val="008C462B"/>
    <w:rsid w:val="008C5DB0"/>
    <w:rsid w:val="008C7416"/>
    <w:rsid w:val="008C7C02"/>
    <w:rsid w:val="008D037D"/>
    <w:rsid w:val="008D0842"/>
    <w:rsid w:val="008D234A"/>
    <w:rsid w:val="008D2A85"/>
    <w:rsid w:val="008D2C1E"/>
    <w:rsid w:val="008D395F"/>
    <w:rsid w:val="008D3DE3"/>
    <w:rsid w:val="008D4397"/>
    <w:rsid w:val="008D43C8"/>
    <w:rsid w:val="008D4C08"/>
    <w:rsid w:val="008D4D06"/>
    <w:rsid w:val="008D4EC5"/>
    <w:rsid w:val="008D4F4A"/>
    <w:rsid w:val="008D5730"/>
    <w:rsid w:val="008D5DA6"/>
    <w:rsid w:val="008D5FCD"/>
    <w:rsid w:val="008D6657"/>
    <w:rsid w:val="008E1F99"/>
    <w:rsid w:val="008E258D"/>
    <w:rsid w:val="008E2EE8"/>
    <w:rsid w:val="008E4042"/>
    <w:rsid w:val="008E58D4"/>
    <w:rsid w:val="008E5B5C"/>
    <w:rsid w:val="008E645B"/>
    <w:rsid w:val="008E6F55"/>
    <w:rsid w:val="008E71C0"/>
    <w:rsid w:val="008E765C"/>
    <w:rsid w:val="008E7D1C"/>
    <w:rsid w:val="008F00AA"/>
    <w:rsid w:val="008F1242"/>
    <w:rsid w:val="008F1A80"/>
    <w:rsid w:val="008F1B7A"/>
    <w:rsid w:val="008F20AE"/>
    <w:rsid w:val="008F279E"/>
    <w:rsid w:val="008F2A3E"/>
    <w:rsid w:val="008F496D"/>
    <w:rsid w:val="008F4B95"/>
    <w:rsid w:val="008F5465"/>
    <w:rsid w:val="008F62C2"/>
    <w:rsid w:val="008F680E"/>
    <w:rsid w:val="008F71A1"/>
    <w:rsid w:val="00900A5C"/>
    <w:rsid w:val="0090143C"/>
    <w:rsid w:val="009025EB"/>
    <w:rsid w:val="009026D2"/>
    <w:rsid w:val="0090355F"/>
    <w:rsid w:val="009041AF"/>
    <w:rsid w:val="009043E8"/>
    <w:rsid w:val="009045ED"/>
    <w:rsid w:val="00904891"/>
    <w:rsid w:val="009055B3"/>
    <w:rsid w:val="00905E35"/>
    <w:rsid w:val="0090647F"/>
    <w:rsid w:val="00906773"/>
    <w:rsid w:val="0090724D"/>
    <w:rsid w:val="009105D1"/>
    <w:rsid w:val="00911911"/>
    <w:rsid w:val="00911952"/>
    <w:rsid w:val="00911C41"/>
    <w:rsid w:val="009129BF"/>
    <w:rsid w:val="00914655"/>
    <w:rsid w:val="009152B4"/>
    <w:rsid w:val="00916077"/>
    <w:rsid w:val="00916094"/>
    <w:rsid w:val="00916402"/>
    <w:rsid w:val="009165B6"/>
    <w:rsid w:val="0091754B"/>
    <w:rsid w:val="009175A5"/>
    <w:rsid w:val="00917806"/>
    <w:rsid w:val="0092000D"/>
    <w:rsid w:val="00921052"/>
    <w:rsid w:val="00921186"/>
    <w:rsid w:val="009234BE"/>
    <w:rsid w:val="00923943"/>
    <w:rsid w:val="00924090"/>
    <w:rsid w:val="00924594"/>
    <w:rsid w:val="009246E4"/>
    <w:rsid w:val="00924BBA"/>
    <w:rsid w:val="009261AE"/>
    <w:rsid w:val="00926A56"/>
    <w:rsid w:val="00926CC0"/>
    <w:rsid w:val="00926F23"/>
    <w:rsid w:val="00927686"/>
    <w:rsid w:val="00930814"/>
    <w:rsid w:val="00931026"/>
    <w:rsid w:val="00931E61"/>
    <w:rsid w:val="0093221B"/>
    <w:rsid w:val="0093231B"/>
    <w:rsid w:val="009329FA"/>
    <w:rsid w:val="00933057"/>
    <w:rsid w:val="0093307A"/>
    <w:rsid w:val="0093354E"/>
    <w:rsid w:val="009337C8"/>
    <w:rsid w:val="00933BBD"/>
    <w:rsid w:val="00933C0A"/>
    <w:rsid w:val="0093432C"/>
    <w:rsid w:val="00934C70"/>
    <w:rsid w:val="00935417"/>
    <w:rsid w:val="0093640F"/>
    <w:rsid w:val="00936F80"/>
    <w:rsid w:val="0093762E"/>
    <w:rsid w:val="0094086F"/>
    <w:rsid w:val="00940FC1"/>
    <w:rsid w:val="009411F1"/>
    <w:rsid w:val="009424A9"/>
    <w:rsid w:val="009428C3"/>
    <w:rsid w:val="0094291E"/>
    <w:rsid w:val="00943488"/>
    <w:rsid w:val="0094506C"/>
    <w:rsid w:val="00946566"/>
    <w:rsid w:val="0094733E"/>
    <w:rsid w:val="009477F4"/>
    <w:rsid w:val="00947EA9"/>
    <w:rsid w:val="00947FA6"/>
    <w:rsid w:val="0095061A"/>
    <w:rsid w:val="00950696"/>
    <w:rsid w:val="00950A02"/>
    <w:rsid w:val="00950F53"/>
    <w:rsid w:val="00950FF2"/>
    <w:rsid w:val="00951832"/>
    <w:rsid w:val="009523C6"/>
    <w:rsid w:val="009525E5"/>
    <w:rsid w:val="00952625"/>
    <w:rsid w:val="00952F81"/>
    <w:rsid w:val="00953562"/>
    <w:rsid w:val="00953951"/>
    <w:rsid w:val="00953DFE"/>
    <w:rsid w:val="009547AB"/>
    <w:rsid w:val="0095489E"/>
    <w:rsid w:val="00954B8D"/>
    <w:rsid w:val="00955690"/>
    <w:rsid w:val="00956684"/>
    <w:rsid w:val="0095691B"/>
    <w:rsid w:val="00956E93"/>
    <w:rsid w:val="00957AA3"/>
    <w:rsid w:val="00957B6A"/>
    <w:rsid w:val="009601CB"/>
    <w:rsid w:val="0096141A"/>
    <w:rsid w:val="009618EE"/>
    <w:rsid w:val="009622D2"/>
    <w:rsid w:val="00964461"/>
    <w:rsid w:val="009669E8"/>
    <w:rsid w:val="00966E06"/>
    <w:rsid w:val="00966F31"/>
    <w:rsid w:val="00967067"/>
    <w:rsid w:val="00967309"/>
    <w:rsid w:val="00970965"/>
    <w:rsid w:val="00970FCB"/>
    <w:rsid w:val="00971009"/>
    <w:rsid w:val="009723AA"/>
    <w:rsid w:val="009729EC"/>
    <w:rsid w:val="009729F8"/>
    <w:rsid w:val="00972BFB"/>
    <w:rsid w:val="009731C5"/>
    <w:rsid w:val="009731FF"/>
    <w:rsid w:val="009734CE"/>
    <w:rsid w:val="00973D3B"/>
    <w:rsid w:val="00975216"/>
    <w:rsid w:val="0097606D"/>
    <w:rsid w:val="00976907"/>
    <w:rsid w:val="00976C5C"/>
    <w:rsid w:val="00977C06"/>
    <w:rsid w:val="009825A8"/>
    <w:rsid w:val="009825AA"/>
    <w:rsid w:val="009825C3"/>
    <w:rsid w:val="00982D6C"/>
    <w:rsid w:val="00982ED0"/>
    <w:rsid w:val="009831D6"/>
    <w:rsid w:val="00983B24"/>
    <w:rsid w:val="009851F7"/>
    <w:rsid w:val="0098525E"/>
    <w:rsid w:val="00985637"/>
    <w:rsid w:val="0098651D"/>
    <w:rsid w:val="00986A87"/>
    <w:rsid w:val="00986C65"/>
    <w:rsid w:val="009910E2"/>
    <w:rsid w:val="00991187"/>
    <w:rsid w:val="00994371"/>
    <w:rsid w:val="00994668"/>
    <w:rsid w:val="00994F23"/>
    <w:rsid w:val="0099516D"/>
    <w:rsid w:val="00995932"/>
    <w:rsid w:val="009965FE"/>
    <w:rsid w:val="00997BA2"/>
    <w:rsid w:val="00997DAA"/>
    <w:rsid w:val="009A0977"/>
    <w:rsid w:val="009A0E4D"/>
    <w:rsid w:val="009A1F9E"/>
    <w:rsid w:val="009A2B17"/>
    <w:rsid w:val="009A30FC"/>
    <w:rsid w:val="009A35AA"/>
    <w:rsid w:val="009A3AE0"/>
    <w:rsid w:val="009A45A6"/>
    <w:rsid w:val="009A4E6A"/>
    <w:rsid w:val="009A5E09"/>
    <w:rsid w:val="009A778D"/>
    <w:rsid w:val="009B004A"/>
    <w:rsid w:val="009B0540"/>
    <w:rsid w:val="009B0C51"/>
    <w:rsid w:val="009B0E41"/>
    <w:rsid w:val="009B1184"/>
    <w:rsid w:val="009B1D11"/>
    <w:rsid w:val="009B2B31"/>
    <w:rsid w:val="009B2CEF"/>
    <w:rsid w:val="009B3724"/>
    <w:rsid w:val="009B4218"/>
    <w:rsid w:val="009B48A3"/>
    <w:rsid w:val="009B4DCB"/>
    <w:rsid w:val="009B4E4E"/>
    <w:rsid w:val="009B6141"/>
    <w:rsid w:val="009B6B6F"/>
    <w:rsid w:val="009B71FE"/>
    <w:rsid w:val="009C03CB"/>
    <w:rsid w:val="009C0DCC"/>
    <w:rsid w:val="009C104B"/>
    <w:rsid w:val="009C132D"/>
    <w:rsid w:val="009C165F"/>
    <w:rsid w:val="009C1D40"/>
    <w:rsid w:val="009C230E"/>
    <w:rsid w:val="009C23DC"/>
    <w:rsid w:val="009C25F4"/>
    <w:rsid w:val="009C26B4"/>
    <w:rsid w:val="009C3EB0"/>
    <w:rsid w:val="009C43A1"/>
    <w:rsid w:val="009C45FF"/>
    <w:rsid w:val="009C4A0B"/>
    <w:rsid w:val="009C4C69"/>
    <w:rsid w:val="009C6232"/>
    <w:rsid w:val="009C6C24"/>
    <w:rsid w:val="009C75AE"/>
    <w:rsid w:val="009C7E5C"/>
    <w:rsid w:val="009C7E6C"/>
    <w:rsid w:val="009D0689"/>
    <w:rsid w:val="009D1180"/>
    <w:rsid w:val="009D2F4F"/>
    <w:rsid w:val="009D3DCD"/>
    <w:rsid w:val="009D416E"/>
    <w:rsid w:val="009D42AA"/>
    <w:rsid w:val="009D4426"/>
    <w:rsid w:val="009D4658"/>
    <w:rsid w:val="009D4A1C"/>
    <w:rsid w:val="009D4AED"/>
    <w:rsid w:val="009D543D"/>
    <w:rsid w:val="009D5C2A"/>
    <w:rsid w:val="009D5CCA"/>
    <w:rsid w:val="009D5FE2"/>
    <w:rsid w:val="009D6542"/>
    <w:rsid w:val="009D656B"/>
    <w:rsid w:val="009D6D3F"/>
    <w:rsid w:val="009E16C1"/>
    <w:rsid w:val="009E19F3"/>
    <w:rsid w:val="009E214C"/>
    <w:rsid w:val="009E2A1B"/>
    <w:rsid w:val="009E3BE9"/>
    <w:rsid w:val="009E3E43"/>
    <w:rsid w:val="009E49B7"/>
    <w:rsid w:val="009E53F3"/>
    <w:rsid w:val="009E5E31"/>
    <w:rsid w:val="009E7971"/>
    <w:rsid w:val="009E7CE1"/>
    <w:rsid w:val="009F0D49"/>
    <w:rsid w:val="009F38B1"/>
    <w:rsid w:val="009F3FC6"/>
    <w:rsid w:val="009F4FAA"/>
    <w:rsid w:val="009F6797"/>
    <w:rsid w:val="009F6D3B"/>
    <w:rsid w:val="009F7C27"/>
    <w:rsid w:val="00A00ED8"/>
    <w:rsid w:val="00A01311"/>
    <w:rsid w:val="00A01733"/>
    <w:rsid w:val="00A02153"/>
    <w:rsid w:val="00A02902"/>
    <w:rsid w:val="00A033C9"/>
    <w:rsid w:val="00A036AA"/>
    <w:rsid w:val="00A0404A"/>
    <w:rsid w:val="00A04506"/>
    <w:rsid w:val="00A04AC9"/>
    <w:rsid w:val="00A058D2"/>
    <w:rsid w:val="00A05DFC"/>
    <w:rsid w:val="00A07E3C"/>
    <w:rsid w:val="00A104CC"/>
    <w:rsid w:val="00A1132B"/>
    <w:rsid w:val="00A117D8"/>
    <w:rsid w:val="00A11EAF"/>
    <w:rsid w:val="00A12DE7"/>
    <w:rsid w:val="00A13618"/>
    <w:rsid w:val="00A139F8"/>
    <w:rsid w:val="00A13C2C"/>
    <w:rsid w:val="00A13F75"/>
    <w:rsid w:val="00A146C9"/>
    <w:rsid w:val="00A1473F"/>
    <w:rsid w:val="00A14CBB"/>
    <w:rsid w:val="00A1573C"/>
    <w:rsid w:val="00A15752"/>
    <w:rsid w:val="00A17194"/>
    <w:rsid w:val="00A17894"/>
    <w:rsid w:val="00A20413"/>
    <w:rsid w:val="00A21885"/>
    <w:rsid w:val="00A21D03"/>
    <w:rsid w:val="00A22EDB"/>
    <w:rsid w:val="00A239DB"/>
    <w:rsid w:val="00A248F0"/>
    <w:rsid w:val="00A24AB7"/>
    <w:rsid w:val="00A256BB"/>
    <w:rsid w:val="00A27066"/>
    <w:rsid w:val="00A30B95"/>
    <w:rsid w:val="00A30F11"/>
    <w:rsid w:val="00A30F76"/>
    <w:rsid w:val="00A32339"/>
    <w:rsid w:val="00A32471"/>
    <w:rsid w:val="00A330F5"/>
    <w:rsid w:val="00A340CE"/>
    <w:rsid w:val="00A34105"/>
    <w:rsid w:val="00A34200"/>
    <w:rsid w:val="00A34CC1"/>
    <w:rsid w:val="00A34EDA"/>
    <w:rsid w:val="00A35294"/>
    <w:rsid w:val="00A3715A"/>
    <w:rsid w:val="00A37A54"/>
    <w:rsid w:val="00A37A8F"/>
    <w:rsid w:val="00A37D7E"/>
    <w:rsid w:val="00A40277"/>
    <w:rsid w:val="00A40789"/>
    <w:rsid w:val="00A40BD9"/>
    <w:rsid w:val="00A40C6A"/>
    <w:rsid w:val="00A412A3"/>
    <w:rsid w:val="00A434DE"/>
    <w:rsid w:val="00A439BB"/>
    <w:rsid w:val="00A43AAF"/>
    <w:rsid w:val="00A440F4"/>
    <w:rsid w:val="00A443C8"/>
    <w:rsid w:val="00A45003"/>
    <w:rsid w:val="00A4596C"/>
    <w:rsid w:val="00A46036"/>
    <w:rsid w:val="00A47CAB"/>
    <w:rsid w:val="00A47EA8"/>
    <w:rsid w:val="00A50590"/>
    <w:rsid w:val="00A51251"/>
    <w:rsid w:val="00A51445"/>
    <w:rsid w:val="00A5161F"/>
    <w:rsid w:val="00A52C24"/>
    <w:rsid w:val="00A53723"/>
    <w:rsid w:val="00A541A1"/>
    <w:rsid w:val="00A54282"/>
    <w:rsid w:val="00A54296"/>
    <w:rsid w:val="00A54417"/>
    <w:rsid w:val="00A54514"/>
    <w:rsid w:val="00A56B16"/>
    <w:rsid w:val="00A56FEB"/>
    <w:rsid w:val="00A57994"/>
    <w:rsid w:val="00A57B1D"/>
    <w:rsid w:val="00A60571"/>
    <w:rsid w:val="00A60973"/>
    <w:rsid w:val="00A6115F"/>
    <w:rsid w:val="00A6174B"/>
    <w:rsid w:val="00A61A63"/>
    <w:rsid w:val="00A628FC"/>
    <w:rsid w:val="00A62CFA"/>
    <w:rsid w:val="00A63D43"/>
    <w:rsid w:val="00A63EBB"/>
    <w:rsid w:val="00A64090"/>
    <w:rsid w:val="00A64FB6"/>
    <w:rsid w:val="00A67CD7"/>
    <w:rsid w:val="00A70540"/>
    <w:rsid w:val="00A709FD"/>
    <w:rsid w:val="00A70CCC"/>
    <w:rsid w:val="00A70F18"/>
    <w:rsid w:val="00A727FF"/>
    <w:rsid w:val="00A72F90"/>
    <w:rsid w:val="00A72F95"/>
    <w:rsid w:val="00A731B2"/>
    <w:rsid w:val="00A7445D"/>
    <w:rsid w:val="00A74F2B"/>
    <w:rsid w:val="00A750D2"/>
    <w:rsid w:val="00A75522"/>
    <w:rsid w:val="00A758CA"/>
    <w:rsid w:val="00A82933"/>
    <w:rsid w:val="00A82A98"/>
    <w:rsid w:val="00A83051"/>
    <w:rsid w:val="00A83569"/>
    <w:rsid w:val="00A84181"/>
    <w:rsid w:val="00A856D8"/>
    <w:rsid w:val="00A85827"/>
    <w:rsid w:val="00A864D4"/>
    <w:rsid w:val="00A8782C"/>
    <w:rsid w:val="00A87EC3"/>
    <w:rsid w:val="00A906D9"/>
    <w:rsid w:val="00A9082B"/>
    <w:rsid w:val="00A91858"/>
    <w:rsid w:val="00A928B5"/>
    <w:rsid w:val="00A92B91"/>
    <w:rsid w:val="00A92EA9"/>
    <w:rsid w:val="00A93AEA"/>
    <w:rsid w:val="00A94416"/>
    <w:rsid w:val="00A9458E"/>
    <w:rsid w:val="00A947DD"/>
    <w:rsid w:val="00A94E06"/>
    <w:rsid w:val="00A94E74"/>
    <w:rsid w:val="00A9500F"/>
    <w:rsid w:val="00A951F6"/>
    <w:rsid w:val="00A95B47"/>
    <w:rsid w:val="00A95D24"/>
    <w:rsid w:val="00A961AF"/>
    <w:rsid w:val="00A9641F"/>
    <w:rsid w:val="00A96941"/>
    <w:rsid w:val="00A973F5"/>
    <w:rsid w:val="00A97DA8"/>
    <w:rsid w:val="00AA081C"/>
    <w:rsid w:val="00AA0E03"/>
    <w:rsid w:val="00AA12ED"/>
    <w:rsid w:val="00AA2DDA"/>
    <w:rsid w:val="00AA3227"/>
    <w:rsid w:val="00AA3368"/>
    <w:rsid w:val="00AA35F2"/>
    <w:rsid w:val="00AA3D2B"/>
    <w:rsid w:val="00AA40D7"/>
    <w:rsid w:val="00AA4426"/>
    <w:rsid w:val="00AA56FE"/>
    <w:rsid w:val="00AA5DA4"/>
    <w:rsid w:val="00AA5DF4"/>
    <w:rsid w:val="00AA6F8F"/>
    <w:rsid w:val="00AA7CF9"/>
    <w:rsid w:val="00AB0B54"/>
    <w:rsid w:val="00AB0D0C"/>
    <w:rsid w:val="00AB1094"/>
    <w:rsid w:val="00AB13E9"/>
    <w:rsid w:val="00AB155D"/>
    <w:rsid w:val="00AB1605"/>
    <w:rsid w:val="00AB21A2"/>
    <w:rsid w:val="00AB34A1"/>
    <w:rsid w:val="00AB3C00"/>
    <w:rsid w:val="00AB3E2D"/>
    <w:rsid w:val="00AB4AF3"/>
    <w:rsid w:val="00AB5DE0"/>
    <w:rsid w:val="00AB61BE"/>
    <w:rsid w:val="00AB678F"/>
    <w:rsid w:val="00AB734A"/>
    <w:rsid w:val="00AB748F"/>
    <w:rsid w:val="00AB782E"/>
    <w:rsid w:val="00AB79B0"/>
    <w:rsid w:val="00AC17F9"/>
    <w:rsid w:val="00AC1E52"/>
    <w:rsid w:val="00AC3613"/>
    <w:rsid w:val="00AC3A08"/>
    <w:rsid w:val="00AC4EF0"/>
    <w:rsid w:val="00AC53E4"/>
    <w:rsid w:val="00AC57B9"/>
    <w:rsid w:val="00AC6814"/>
    <w:rsid w:val="00AC6F54"/>
    <w:rsid w:val="00AC70C4"/>
    <w:rsid w:val="00AC7BC5"/>
    <w:rsid w:val="00AD0438"/>
    <w:rsid w:val="00AD0595"/>
    <w:rsid w:val="00AD0804"/>
    <w:rsid w:val="00AD0AB0"/>
    <w:rsid w:val="00AD11AA"/>
    <w:rsid w:val="00AD1F8B"/>
    <w:rsid w:val="00AD257C"/>
    <w:rsid w:val="00AD336F"/>
    <w:rsid w:val="00AD33C1"/>
    <w:rsid w:val="00AD3615"/>
    <w:rsid w:val="00AD3E91"/>
    <w:rsid w:val="00AD62EA"/>
    <w:rsid w:val="00AD636D"/>
    <w:rsid w:val="00AD7AEE"/>
    <w:rsid w:val="00AE1695"/>
    <w:rsid w:val="00AE1AA2"/>
    <w:rsid w:val="00AE2008"/>
    <w:rsid w:val="00AE2352"/>
    <w:rsid w:val="00AE244E"/>
    <w:rsid w:val="00AE26EB"/>
    <w:rsid w:val="00AE2DD3"/>
    <w:rsid w:val="00AE3A63"/>
    <w:rsid w:val="00AE3D0F"/>
    <w:rsid w:val="00AE3F07"/>
    <w:rsid w:val="00AE3FE9"/>
    <w:rsid w:val="00AE4176"/>
    <w:rsid w:val="00AE4E4F"/>
    <w:rsid w:val="00AE5377"/>
    <w:rsid w:val="00AE66AA"/>
    <w:rsid w:val="00AE6B31"/>
    <w:rsid w:val="00AE6FAF"/>
    <w:rsid w:val="00AE71DF"/>
    <w:rsid w:val="00AF089A"/>
    <w:rsid w:val="00AF0EAF"/>
    <w:rsid w:val="00AF1180"/>
    <w:rsid w:val="00AF1536"/>
    <w:rsid w:val="00AF1DDE"/>
    <w:rsid w:val="00AF2682"/>
    <w:rsid w:val="00AF2FC8"/>
    <w:rsid w:val="00AF357C"/>
    <w:rsid w:val="00AF39C1"/>
    <w:rsid w:val="00AF414E"/>
    <w:rsid w:val="00AF4197"/>
    <w:rsid w:val="00AF4811"/>
    <w:rsid w:val="00AF5372"/>
    <w:rsid w:val="00AF5FBF"/>
    <w:rsid w:val="00AF64B1"/>
    <w:rsid w:val="00AF6CD3"/>
    <w:rsid w:val="00AF6DF7"/>
    <w:rsid w:val="00AF7486"/>
    <w:rsid w:val="00AF78EC"/>
    <w:rsid w:val="00AF7AE7"/>
    <w:rsid w:val="00B014CD"/>
    <w:rsid w:val="00B017F5"/>
    <w:rsid w:val="00B02D50"/>
    <w:rsid w:val="00B02F2F"/>
    <w:rsid w:val="00B0561C"/>
    <w:rsid w:val="00B05FE1"/>
    <w:rsid w:val="00B0606D"/>
    <w:rsid w:val="00B06CBD"/>
    <w:rsid w:val="00B070EF"/>
    <w:rsid w:val="00B07ED7"/>
    <w:rsid w:val="00B10C8A"/>
    <w:rsid w:val="00B11D90"/>
    <w:rsid w:val="00B11E74"/>
    <w:rsid w:val="00B12ECE"/>
    <w:rsid w:val="00B13972"/>
    <w:rsid w:val="00B14CD5"/>
    <w:rsid w:val="00B14E08"/>
    <w:rsid w:val="00B16019"/>
    <w:rsid w:val="00B1703A"/>
    <w:rsid w:val="00B17648"/>
    <w:rsid w:val="00B17DA6"/>
    <w:rsid w:val="00B20363"/>
    <w:rsid w:val="00B20782"/>
    <w:rsid w:val="00B20951"/>
    <w:rsid w:val="00B21F84"/>
    <w:rsid w:val="00B22275"/>
    <w:rsid w:val="00B22DD6"/>
    <w:rsid w:val="00B23706"/>
    <w:rsid w:val="00B258CA"/>
    <w:rsid w:val="00B25BF1"/>
    <w:rsid w:val="00B2650E"/>
    <w:rsid w:val="00B26672"/>
    <w:rsid w:val="00B26981"/>
    <w:rsid w:val="00B2794D"/>
    <w:rsid w:val="00B27B0B"/>
    <w:rsid w:val="00B317EA"/>
    <w:rsid w:val="00B32370"/>
    <w:rsid w:val="00B3282C"/>
    <w:rsid w:val="00B32FAE"/>
    <w:rsid w:val="00B330AE"/>
    <w:rsid w:val="00B34FD6"/>
    <w:rsid w:val="00B353B2"/>
    <w:rsid w:val="00B356B6"/>
    <w:rsid w:val="00B35D40"/>
    <w:rsid w:val="00B36E75"/>
    <w:rsid w:val="00B376C4"/>
    <w:rsid w:val="00B37819"/>
    <w:rsid w:val="00B400B5"/>
    <w:rsid w:val="00B4014C"/>
    <w:rsid w:val="00B401B3"/>
    <w:rsid w:val="00B41F1F"/>
    <w:rsid w:val="00B42173"/>
    <w:rsid w:val="00B43185"/>
    <w:rsid w:val="00B431C7"/>
    <w:rsid w:val="00B43C0F"/>
    <w:rsid w:val="00B43E93"/>
    <w:rsid w:val="00B443C1"/>
    <w:rsid w:val="00B447A9"/>
    <w:rsid w:val="00B4567E"/>
    <w:rsid w:val="00B45E32"/>
    <w:rsid w:val="00B46D22"/>
    <w:rsid w:val="00B47271"/>
    <w:rsid w:val="00B47362"/>
    <w:rsid w:val="00B478E6"/>
    <w:rsid w:val="00B5146F"/>
    <w:rsid w:val="00B52992"/>
    <w:rsid w:val="00B53036"/>
    <w:rsid w:val="00B535CF"/>
    <w:rsid w:val="00B537CF"/>
    <w:rsid w:val="00B53C35"/>
    <w:rsid w:val="00B53C67"/>
    <w:rsid w:val="00B55898"/>
    <w:rsid w:val="00B561E7"/>
    <w:rsid w:val="00B56565"/>
    <w:rsid w:val="00B56D7F"/>
    <w:rsid w:val="00B56FB5"/>
    <w:rsid w:val="00B57BC0"/>
    <w:rsid w:val="00B6025C"/>
    <w:rsid w:val="00B60364"/>
    <w:rsid w:val="00B60572"/>
    <w:rsid w:val="00B60AA0"/>
    <w:rsid w:val="00B60AA5"/>
    <w:rsid w:val="00B62A65"/>
    <w:rsid w:val="00B63786"/>
    <w:rsid w:val="00B6470D"/>
    <w:rsid w:val="00B649FB"/>
    <w:rsid w:val="00B65326"/>
    <w:rsid w:val="00B6535C"/>
    <w:rsid w:val="00B65ACD"/>
    <w:rsid w:val="00B66859"/>
    <w:rsid w:val="00B66ABA"/>
    <w:rsid w:val="00B66B6B"/>
    <w:rsid w:val="00B6707D"/>
    <w:rsid w:val="00B67284"/>
    <w:rsid w:val="00B67965"/>
    <w:rsid w:val="00B67986"/>
    <w:rsid w:val="00B7037B"/>
    <w:rsid w:val="00B70B17"/>
    <w:rsid w:val="00B70C22"/>
    <w:rsid w:val="00B7180D"/>
    <w:rsid w:val="00B726FC"/>
    <w:rsid w:val="00B7424C"/>
    <w:rsid w:val="00B74B74"/>
    <w:rsid w:val="00B74EFE"/>
    <w:rsid w:val="00B7547E"/>
    <w:rsid w:val="00B7608A"/>
    <w:rsid w:val="00B76A19"/>
    <w:rsid w:val="00B770F1"/>
    <w:rsid w:val="00B77F4A"/>
    <w:rsid w:val="00B80634"/>
    <w:rsid w:val="00B80B3D"/>
    <w:rsid w:val="00B80D91"/>
    <w:rsid w:val="00B80F66"/>
    <w:rsid w:val="00B81D04"/>
    <w:rsid w:val="00B83D88"/>
    <w:rsid w:val="00B842EA"/>
    <w:rsid w:val="00B8495B"/>
    <w:rsid w:val="00B84BEE"/>
    <w:rsid w:val="00B84C91"/>
    <w:rsid w:val="00B85539"/>
    <w:rsid w:val="00B858ED"/>
    <w:rsid w:val="00B85A37"/>
    <w:rsid w:val="00B87DE0"/>
    <w:rsid w:val="00B87FA4"/>
    <w:rsid w:val="00B87FA8"/>
    <w:rsid w:val="00B910DB"/>
    <w:rsid w:val="00B91C82"/>
    <w:rsid w:val="00B92ECA"/>
    <w:rsid w:val="00B932F7"/>
    <w:rsid w:val="00B946EC"/>
    <w:rsid w:val="00B94DE9"/>
    <w:rsid w:val="00B95CFD"/>
    <w:rsid w:val="00B962D4"/>
    <w:rsid w:val="00B964FD"/>
    <w:rsid w:val="00B965DA"/>
    <w:rsid w:val="00B96FAB"/>
    <w:rsid w:val="00B97B77"/>
    <w:rsid w:val="00B97BDE"/>
    <w:rsid w:val="00BA0108"/>
    <w:rsid w:val="00BA05FC"/>
    <w:rsid w:val="00BA0D64"/>
    <w:rsid w:val="00BA1581"/>
    <w:rsid w:val="00BA1AD5"/>
    <w:rsid w:val="00BA2182"/>
    <w:rsid w:val="00BA21CD"/>
    <w:rsid w:val="00BA2340"/>
    <w:rsid w:val="00BA37C8"/>
    <w:rsid w:val="00BA42EB"/>
    <w:rsid w:val="00BA4761"/>
    <w:rsid w:val="00BA48D9"/>
    <w:rsid w:val="00BA4985"/>
    <w:rsid w:val="00BA54FD"/>
    <w:rsid w:val="00BA75C8"/>
    <w:rsid w:val="00BA7A3E"/>
    <w:rsid w:val="00BA7AB2"/>
    <w:rsid w:val="00BB1052"/>
    <w:rsid w:val="00BB15AD"/>
    <w:rsid w:val="00BB2AF2"/>
    <w:rsid w:val="00BB2DAA"/>
    <w:rsid w:val="00BB2EC4"/>
    <w:rsid w:val="00BB4355"/>
    <w:rsid w:val="00BB505F"/>
    <w:rsid w:val="00BB6087"/>
    <w:rsid w:val="00BB61F9"/>
    <w:rsid w:val="00BB64F7"/>
    <w:rsid w:val="00BC0F1F"/>
    <w:rsid w:val="00BC109A"/>
    <w:rsid w:val="00BC1CCB"/>
    <w:rsid w:val="00BC2B0D"/>
    <w:rsid w:val="00BC3ADA"/>
    <w:rsid w:val="00BC3F1B"/>
    <w:rsid w:val="00BC42DB"/>
    <w:rsid w:val="00BC4AE8"/>
    <w:rsid w:val="00BC5CD6"/>
    <w:rsid w:val="00BC6FC7"/>
    <w:rsid w:val="00BC71F3"/>
    <w:rsid w:val="00BC7959"/>
    <w:rsid w:val="00BD1C06"/>
    <w:rsid w:val="00BD3038"/>
    <w:rsid w:val="00BD3AA2"/>
    <w:rsid w:val="00BD3D72"/>
    <w:rsid w:val="00BD4063"/>
    <w:rsid w:val="00BD4910"/>
    <w:rsid w:val="00BD4D86"/>
    <w:rsid w:val="00BD4DED"/>
    <w:rsid w:val="00BD4F39"/>
    <w:rsid w:val="00BD52B8"/>
    <w:rsid w:val="00BD5D36"/>
    <w:rsid w:val="00BD5D51"/>
    <w:rsid w:val="00BD6689"/>
    <w:rsid w:val="00BD6F60"/>
    <w:rsid w:val="00BD7651"/>
    <w:rsid w:val="00BE0737"/>
    <w:rsid w:val="00BE08C4"/>
    <w:rsid w:val="00BE0AD9"/>
    <w:rsid w:val="00BE0B27"/>
    <w:rsid w:val="00BE0C8A"/>
    <w:rsid w:val="00BE0D59"/>
    <w:rsid w:val="00BE11F3"/>
    <w:rsid w:val="00BE157B"/>
    <w:rsid w:val="00BE157F"/>
    <w:rsid w:val="00BE199D"/>
    <w:rsid w:val="00BE19B9"/>
    <w:rsid w:val="00BE225C"/>
    <w:rsid w:val="00BE3980"/>
    <w:rsid w:val="00BE3A75"/>
    <w:rsid w:val="00BE50F4"/>
    <w:rsid w:val="00BE513A"/>
    <w:rsid w:val="00BE6718"/>
    <w:rsid w:val="00BE6EC8"/>
    <w:rsid w:val="00BE7466"/>
    <w:rsid w:val="00BE7C08"/>
    <w:rsid w:val="00BF00B6"/>
    <w:rsid w:val="00BF0DEC"/>
    <w:rsid w:val="00BF1530"/>
    <w:rsid w:val="00BF232A"/>
    <w:rsid w:val="00BF24D9"/>
    <w:rsid w:val="00BF25BF"/>
    <w:rsid w:val="00BF26F6"/>
    <w:rsid w:val="00BF32D8"/>
    <w:rsid w:val="00BF3323"/>
    <w:rsid w:val="00BF3699"/>
    <w:rsid w:val="00BF3CC6"/>
    <w:rsid w:val="00BF3D2E"/>
    <w:rsid w:val="00BF3F1B"/>
    <w:rsid w:val="00BF43B1"/>
    <w:rsid w:val="00BF44FE"/>
    <w:rsid w:val="00BF516D"/>
    <w:rsid w:val="00BF51A9"/>
    <w:rsid w:val="00BF59BE"/>
    <w:rsid w:val="00BF691F"/>
    <w:rsid w:val="00BF75D6"/>
    <w:rsid w:val="00BF768B"/>
    <w:rsid w:val="00BF7B0E"/>
    <w:rsid w:val="00BF7EAC"/>
    <w:rsid w:val="00C0043F"/>
    <w:rsid w:val="00C004B2"/>
    <w:rsid w:val="00C02909"/>
    <w:rsid w:val="00C0305E"/>
    <w:rsid w:val="00C032B2"/>
    <w:rsid w:val="00C052EE"/>
    <w:rsid w:val="00C0556B"/>
    <w:rsid w:val="00C05D0C"/>
    <w:rsid w:val="00C05EE2"/>
    <w:rsid w:val="00C061F6"/>
    <w:rsid w:val="00C0651C"/>
    <w:rsid w:val="00C066E1"/>
    <w:rsid w:val="00C072F6"/>
    <w:rsid w:val="00C10087"/>
    <w:rsid w:val="00C11195"/>
    <w:rsid w:val="00C111F2"/>
    <w:rsid w:val="00C1136E"/>
    <w:rsid w:val="00C117A0"/>
    <w:rsid w:val="00C12807"/>
    <w:rsid w:val="00C13323"/>
    <w:rsid w:val="00C14BF8"/>
    <w:rsid w:val="00C14D10"/>
    <w:rsid w:val="00C1683E"/>
    <w:rsid w:val="00C171C4"/>
    <w:rsid w:val="00C172F1"/>
    <w:rsid w:val="00C17C20"/>
    <w:rsid w:val="00C203A4"/>
    <w:rsid w:val="00C21421"/>
    <w:rsid w:val="00C2153A"/>
    <w:rsid w:val="00C21717"/>
    <w:rsid w:val="00C21FDC"/>
    <w:rsid w:val="00C2258E"/>
    <w:rsid w:val="00C23109"/>
    <w:rsid w:val="00C2480B"/>
    <w:rsid w:val="00C24CDE"/>
    <w:rsid w:val="00C24FE2"/>
    <w:rsid w:val="00C25146"/>
    <w:rsid w:val="00C269FB"/>
    <w:rsid w:val="00C26AC8"/>
    <w:rsid w:val="00C2796C"/>
    <w:rsid w:val="00C30EFF"/>
    <w:rsid w:val="00C3136F"/>
    <w:rsid w:val="00C31A55"/>
    <w:rsid w:val="00C31D8F"/>
    <w:rsid w:val="00C32731"/>
    <w:rsid w:val="00C33C72"/>
    <w:rsid w:val="00C34301"/>
    <w:rsid w:val="00C349D9"/>
    <w:rsid w:val="00C34DD3"/>
    <w:rsid w:val="00C35264"/>
    <w:rsid w:val="00C354E8"/>
    <w:rsid w:val="00C3586F"/>
    <w:rsid w:val="00C364D5"/>
    <w:rsid w:val="00C36DD0"/>
    <w:rsid w:val="00C37AA8"/>
    <w:rsid w:val="00C37B21"/>
    <w:rsid w:val="00C37D13"/>
    <w:rsid w:val="00C407FD"/>
    <w:rsid w:val="00C408C8"/>
    <w:rsid w:val="00C41724"/>
    <w:rsid w:val="00C41EE9"/>
    <w:rsid w:val="00C4304F"/>
    <w:rsid w:val="00C43412"/>
    <w:rsid w:val="00C43791"/>
    <w:rsid w:val="00C437F5"/>
    <w:rsid w:val="00C4390E"/>
    <w:rsid w:val="00C43A45"/>
    <w:rsid w:val="00C43DA4"/>
    <w:rsid w:val="00C446BD"/>
    <w:rsid w:val="00C449ED"/>
    <w:rsid w:val="00C44B3C"/>
    <w:rsid w:val="00C45950"/>
    <w:rsid w:val="00C4598D"/>
    <w:rsid w:val="00C47117"/>
    <w:rsid w:val="00C47C29"/>
    <w:rsid w:val="00C50441"/>
    <w:rsid w:val="00C51FA9"/>
    <w:rsid w:val="00C52132"/>
    <w:rsid w:val="00C52B81"/>
    <w:rsid w:val="00C54516"/>
    <w:rsid w:val="00C545BB"/>
    <w:rsid w:val="00C54C10"/>
    <w:rsid w:val="00C54C90"/>
    <w:rsid w:val="00C55747"/>
    <w:rsid w:val="00C55FC5"/>
    <w:rsid w:val="00C57031"/>
    <w:rsid w:val="00C577DF"/>
    <w:rsid w:val="00C6039A"/>
    <w:rsid w:val="00C60772"/>
    <w:rsid w:val="00C60DE2"/>
    <w:rsid w:val="00C61362"/>
    <w:rsid w:val="00C63041"/>
    <w:rsid w:val="00C63098"/>
    <w:rsid w:val="00C63D6A"/>
    <w:rsid w:val="00C63E84"/>
    <w:rsid w:val="00C6448C"/>
    <w:rsid w:val="00C648A1"/>
    <w:rsid w:val="00C648B3"/>
    <w:rsid w:val="00C6649D"/>
    <w:rsid w:val="00C669E2"/>
    <w:rsid w:val="00C66C13"/>
    <w:rsid w:val="00C66DDE"/>
    <w:rsid w:val="00C66EA4"/>
    <w:rsid w:val="00C675AC"/>
    <w:rsid w:val="00C67940"/>
    <w:rsid w:val="00C679CF"/>
    <w:rsid w:val="00C70E54"/>
    <w:rsid w:val="00C716C9"/>
    <w:rsid w:val="00C726A2"/>
    <w:rsid w:val="00C72774"/>
    <w:rsid w:val="00C72BE4"/>
    <w:rsid w:val="00C730B2"/>
    <w:rsid w:val="00C736EE"/>
    <w:rsid w:val="00C73763"/>
    <w:rsid w:val="00C738B5"/>
    <w:rsid w:val="00C73915"/>
    <w:rsid w:val="00C73CD9"/>
    <w:rsid w:val="00C7403D"/>
    <w:rsid w:val="00C74343"/>
    <w:rsid w:val="00C746BE"/>
    <w:rsid w:val="00C7712A"/>
    <w:rsid w:val="00C77B99"/>
    <w:rsid w:val="00C804E3"/>
    <w:rsid w:val="00C80F8B"/>
    <w:rsid w:val="00C81EE4"/>
    <w:rsid w:val="00C82B2D"/>
    <w:rsid w:val="00C83662"/>
    <w:rsid w:val="00C84C4B"/>
    <w:rsid w:val="00C853AA"/>
    <w:rsid w:val="00C86EE9"/>
    <w:rsid w:val="00C86F1C"/>
    <w:rsid w:val="00C87415"/>
    <w:rsid w:val="00C87B0C"/>
    <w:rsid w:val="00C9162A"/>
    <w:rsid w:val="00C91914"/>
    <w:rsid w:val="00C92570"/>
    <w:rsid w:val="00C92D31"/>
    <w:rsid w:val="00C92F27"/>
    <w:rsid w:val="00C92F29"/>
    <w:rsid w:val="00C93E3E"/>
    <w:rsid w:val="00C93F07"/>
    <w:rsid w:val="00C941C9"/>
    <w:rsid w:val="00C944A8"/>
    <w:rsid w:val="00C95F42"/>
    <w:rsid w:val="00C97303"/>
    <w:rsid w:val="00C976C8"/>
    <w:rsid w:val="00C97867"/>
    <w:rsid w:val="00C97A3F"/>
    <w:rsid w:val="00C97FD6"/>
    <w:rsid w:val="00CA0875"/>
    <w:rsid w:val="00CA0E0E"/>
    <w:rsid w:val="00CA0FA4"/>
    <w:rsid w:val="00CA1368"/>
    <w:rsid w:val="00CA156C"/>
    <w:rsid w:val="00CA2961"/>
    <w:rsid w:val="00CA3622"/>
    <w:rsid w:val="00CA3A5C"/>
    <w:rsid w:val="00CA49C3"/>
    <w:rsid w:val="00CA4B9A"/>
    <w:rsid w:val="00CA5760"/>
    <w:rsid w:val="00CA6182"/>
    <w:rsid w:val="00CA6582"/>
    <w:rsid w:val="00CA6749"/>
    <w:rsid w:val="00CA7131"/>
    <w:rsid w:val="00CA7688"/>
    <w:rsid w:val="00CA7FC7"/>
    <w:rsid w:val="00CB0863"/>
    <w:rsid w:val="00CB2A4E"/>
    <w:rsid w:val="00CB3049"/>
    <w:rsid w:val="00CB3A44"/>
    <w:rsid w:val="00CB3A63"/>
    <w:rsid w:val="00CB3ADF"/>
    <w:rsid w:val="00CB3C8A"/>
    <w:rsid w:val="00CB3E98"/>
    <w:rsid w:val="00CB5644"/>
    <w:rsid w:val="00CB5AEC"/>
    <w:rsid w:val="00CB5C19"/>
    <w:rsid w:val="00CB6BFA"/>
    <w:rsid w:val="00CC005B"/>
    <w:rsid w:val="00CC1420"/>
    <w:rsid w:val="00CC3350"/>
    <w:rsid w:val="00CC5A0D"/>
    <w:rsid w:val="00CC5C1A"/>
    <w:rsid w:val="00CC6705"/>
    <w:rsid w:val="00CC7C9B"/>
    <w:rsid w:val="00CC7DD4"/>
    <w:rsid w:val="00CC7E18"/>
    <w:rsid w:val="00CD0085"/>
    <w:rsid w:val="00CD0516"/>
    <w:rsid w:val="00CD167A"/>
    <w:rsid w:val="00CD2639"/>
    <w:rsid w:val="00CD4A33"/>
    <w:rsid w:val="00CD4C6E"/>
    <w:rsid w:val="00CD53FE"/>
    <w:rsid w:val="00CD571E"/>
    <w:rsid w:val="00CD6535"/>
    <w:rsid w:val="00CD6ED6"/>
    <w:rsid w:val="00CD6F38"/>
    <w:rsid w:val="00CD73A8"/>
    <w:rsid w:val="00CD7F6F"/>
    <w:rsid w:val="00CE057E"/>
    <w:rsid w:val="00CE0B78"/>
    <w:rsid w:val="00CE19AB"/>
    <w:rsid w:val="00CE2337"/>
    <w:rsid w:val="00CE3441"/>
    <w:rsid w:val="00CE4207"/>
    <w:rsid w:val="00CE4483"/>
    <w:rsid w:val="00CE5161"/>
    <w:rsid w:val="00CE51AA"/>
    <w:rsid w:val="00CE70C1"/>
    <w:rsid w:val="00CF0813"/>
    <w:rsid w:val="00CF2162"/>
    <w:rsid w:val="00CF2402"/>
    <w:rsid w:val="00CF37CF"/>
    <w:rsid w:val="00CF4F0B"/>
    <w:rsid w:val="00CF5617"/>
    <w:rsid w:val="00CF606C"/>
    <w:rsid w:val="00CF69C3"/>
    <w:rsid w:val="00CF6F97"/>
    <w:rsid w:val="00CF7307"/>
    <w:rsid w:val="00D00344"/>
    <w:rsid w:val="00D005CE"/>
    <w:rsid w:val="00D00663"/>
    <w:rsid w:val="00D0169A"/>
    <w:rsid w:val="00D020E7"/>
    <w:rsid w:val="00D028BF"/>
    <w:rsid w:val="00D0298D"/>
    <w:rsid w:val="00D033B6"/>
    <w:rsid w:val="00D04117"/>
    <w:rsid w:val="00D0470A"/>
    <w:rsid w:val="00D04947"/>
    <w:rsid w:val="00D04E0A"/>
    <w:rsid w:val="00D05AF4"/>
    <w:rsid w:val="00D05B59"/>
    <w:rsid w:val="00D0602C"/>
    <w:rsid w:val="00D06A3D"/>
    <w:rsid w:val="00D0724D"/>
    <w:rsid w:val="00D07428"/>
    <w:rsid w:val="00D07B28"/>
    <w:rsid w:val="00D1001B"/>
    <w:rsid w:val="00D12207"/>
    <w:rsid w:val="00D12D12"/>
    <w:rsid w:val="00D13592"/>
    <w:rsid w:val="00D13FDE"/>
    <w:rsid w:val="00D1423E"/>
    <w:rsid w:val="00D14737"/>
    <w:rsid w:val="00D14766"/>
    <w:rsid w:val="00D15C80"/>
    <w:rsid w:val="00D15DCD"/>
    <w:rsid w:val="00D1643B"/>
    <w:rsid w:val="00D17213"/>
    <w:rsid w:val="00D20AC7"/>
    <w:rsid w:val="00D215D0"/>
    <w:rsid w:val="00D22437"/>
    <w:rsid w:val="00D234F9"/>
    <w:rsid w:val="00D239C7"/>
    <w:rsid w:val="00D240F3"/>
    <w:rsid w:val="00D2545A"/>
    <w:rsid w:val="00D25996"/>
    <w:rsid w:val="00D30078"/>
    <w:rsid w:val="00D305CC"/>
    <w:rsid w:val="00D30825"/>
    <w:rsid w:val="00D31DAF"/>
    <w:rsid w:val="00D31E79"/>
    <w:rsid w:val="00D3374B"/>
    <w:rsid w:val="00D349AC"/>
    <w:rsid w:val="00D357F4"/>
    <w:rsid w:val="00D35B0D"/>
    <w:rsid w:val="00D36C53"/>
    <w:rsid w:val="00D40795"/>
    <w:rsid w:val="00D40FAC"/>
    <w:rsid w:val="00D416B7"/>
    <w:rsid w:val="00D41985"/>
    <w:rsid w:val="00D42B9D"/>
    <w:rsid w:val="00D433B2"/>
    <w:rsid w:val="00D43980"/>
    <w:rsid w:val="00D440D8"/>
    <w:rsid w:val="00D44376"/>
    <w:rsid w:val="00D4448A"/>
    <w:rsid w:val="00D445C5"/>
    <w:rsid w:val="00D4483E"/>
    <w:rsid w:val="00D451E1"/>
    <w:rsid w:val="00D45548"/>
    <w:rsid w:val="00D45857"/>
    <w:rsid w:val="00D4659D"/>
    <w:rsid w:val="00D50327"/>
    <w:rsid w:val="00D50BF1"/>
    <w:rsid w:val="00D50DCC"/>
    <w:rsid w:val="00D5171F"/>
    <w:rsid w:val="00D51ABC"/>
    <w:rsid w:val="00D53104"/>
    <w:rsid w:val="00D53310"/>
    <w:rsid w:val="00D534D7"/>
    <w:rsid w:val="00D535D8"/>
    <w:rsid w:val="00D535E4"/>
    <w:rsid w:val="00D5518C"/>
    <w:rsid w:val="00D560CC"/>
    <w:rsid w:val="00D56DD1"/>
    <w:rsid w:val="00D61A19"/>
    <w:rsid w:val="00D61DAF"/>
    <w:rsid w:val="00D62F56"/>
    <w:rsid w:val="00D62F68"/>
    <w:rsid w:val="00D62FFA"/>
    <w:rsid w:val="00D63B97"/>
    <w:rsid w:val="00D63D08"/>
    <w:rsid w:val="00D641E6"/>
    <w:rsid w:val="00D64347"/>
    <w:rsid w:val="00D64392"/>
    <w:rsid w:val="00D65421"/>
    <w:rsid w:val="00D659C4"/>
    <w:rsid w:val="00D65A31"/>
    <w:rsid w:val="00D65C11"/>
    <w:rsid w:val="00D67945"/>
    <w:rsid w:val="00D71195"/>
    <w:rsid w:val="00D71210"/>
    <w:rsid w:val="00D717F8"/>
    <w:rsid w:val="00D7279F"/>
    <w:rsid w:val="00D72A4C"/>
    <w:rsid w:val="00D74B8F"/>
    <w:rsid w:val="00D751CC"/>
    <w:rsid w:val="00D758F4"/>
    <w:rsid w:val="00D77019"/>
    <w:rsid w:val="00D80758"/>
    <w:rsid w:val="00D807BB"/>
    <w:rsid w:val="00D80F09"/>
    <w:rsid w:val="00D813BC"/>
    <w:rsid w:val="00D8164A"/>
    <w:rsid w:val="00D8267B"/>
    <w:rsid w:val="00D82DB7"/>
    <w:rsid w:val="00D8399A"/>
    <w:rsid w:val="00D84F9B"/>
    <w:rsid w:val="00D867CB"/>
    <w:rsid w:val="00D86851"/>
    <w:rsid w:val="00D9016F"/>
    <w:rsid w:val="00D908AB"/>
    <w:rsid w:val="00D90AF1"/>
    <w:rsid w:val="00D90D4C"/>
    <w:rsid w:val="00D90EA2"/>
    <w:rsid w:val="00D91909"/>
    <w:rsid w:val="00D91EB1"/>
    <w:rsid w:val="00D92519"/>
    <w:rsid w:val="00D93A5C"/>
    <w:rsid w:val="00D93A9C"/>
    <w:rsid w:val="00D9471F"/>
    <w:rsid w:val="00D958A9"/>
    <w:rsid w:val="00D96A4E"/>
    <w:rsid w:val="00D970BD"/>
    <w:rsid w:val="00D97E1B"/>
    <w:rsid w:val="00DA1099"/>
    <w:rsid w:val="00DA1CF2"/>
    <w:rsid w:val="00DA1D92"/>
    <w:rsid w:val="00DA21CA"/>
    <w:rsid w:val="00DA256E"/>
    <w:rsid w:val="00DA264B"/>
    <w:rsid w:val="00DA2E1A"/>
    <w:rsid w:val="00DA3C70"/>
    <w:rsid w:val="00DA47EB"/>
    <w:rsid w:val="00DA5D3E"/>
    <w:rsid w:val="00DA649F"/>
    <w:rsid w:val="00DA6C1A"/>
    <w:rsid w:val="00DB0666"/>
    <w:rsid w:val="00DB0A37"/>
    <w:rsid w:val="00DB12AB"/>
    <w:rsid w:val="00DB15F1"/>
    <w:rsid w:val="00DB1D77"/>
    <w:rsid w:val="00DB24E0"/>
    <w:rsid w:val="00DB32C0"/>
    <w:rsid w:val="00DB36C6"/>
    <w:rsid w:val="00DB44A7"/>
    <w:rsid w:val="00DB4678"/>
    <w:rsid w:val="00DB4CCA"/>
    <w:rsid w:val="00DB653D"/>
    <w:rsid w:val="00DB6F23"/>
    <w:rsid w:val="00DB76F5"/>
    <w:rsid w:val="00DB7CA1"/>
    <w:rsid w:val="00DC08C1"/>
    <w:rsid w:val="00DC1960"/>
    <w:rsid w:val="00DC2773"/>
    <w:rsid w:val="00DC330D"/>
    <w:rsid w:val="00DC3C11"/>
    <w:rsid w:val="00DC46CE"/>
    <w:rsid w:val="00DC4D97"/>
    <w:rsid w:val="00DC4DFF"/>
    <w:rsid w:val="00DC5F78"/>
    <w:rsid w:val="00DC67A4"/>
    <w:rsid w:val="00DC6D7F"/>
    <w:rsid w:val="00DC776D"/>
    <w:rsid w:val="00DC7779"/>
    <w:rsid w:val="00DC7AEA"/>
    <w:rsid w:val="00DD077F"/>
    <w:rsid w:val="00DD0BB9"/>
    <w:rsid w:val="00DD0D6E"/>
    <w:rsid w:val="00DD122A"/>
    <w:rsid w:val="00DD13C6"/>
    <w:rsid w:val="00DD1C4F"/>
    <w:rsid w:val="00DD32DE"/>
    <w:rsid w:val="00DD54DE"/>
    <w:rsid w:val="00DD57D0"/>
    <w:rsid w:val="00DD5D40"/>
    <w:rsid w:val="00DD5F0A"/>
    <w:rsid w:val="00DD6409"/>
    <w:rsid w:val="00DD66F9"/>
    <w:rsid w:val="00DD6706"/>
    <w:rsid w:val="00DD6853"/>
    <w:rsid w:val="00DE0780"/>
    <w:rsid w:val="00DE0E61"/>
    <w:rsid w:val="00DE1253"/>
    <w:rsid w:val="00DE1594"/>
    <w:rsid w:val="00DE1872"/>
    <w:rsid w:val="00DE1B4E"/>
    <w:rsid w:val="00DE24C9"/>
    <w:rsid w:val="00DE2959"/>
    <w:rsid w:val="00DE2B69"/>
    <w:rsid w:val="00DE3345"/>
    <w:rsid w:val="00DE3F81"/>
    <w:rsid w:val="00DE4BA4"/>
    <w:rsid w:val="00DE52EB"/>
    <w:rsid w:val="00DE53FA"/>
    <w:rsid w:val="00DE5747"/>
    <w:rsid w:val="00DE78D9"/>
    <w:rsid w:val="00DF02F1"/>
    <w:rsid w:val="00DF057B"/>
    <w:rsid w:val="00DF0962"/>
    <w:rsid w:val="00DF1096"/>
    <w:rsid w:val="00DF12DC"/>
    <w:rsid w:val="00DF20EF"/>
    <w:rsid w:val="00DF3126"/>
    <w:rsid w:val="00DF3851"/>
    <w:rsid w:val="00DF3E9C"/>
    <w:rsid w:val="00DF46A2"/>
    <w:rsid w:val="00DF4D85"/>
    <w:rsid w:val="00DF53B5"/>
    <w:rsid w:val="00DF54A0"/>
    <w:rsid w:val="00DF5D22"/>
    <w:rsid w:val="00DF5D26"/>
    <w:rsid w:val="00DF6076"/>
    <w:rsid w:val="00DF6282"/>
    <w:rsid w:val="00DF6551"/>
    <w:rsid w:val="00DF716F"/>
    <w:rsid w:val="00E00F9B"/>
    <w:rsid w:val="00E018BC"/>
    <w:rsid w:val="00E01D20"/>
    <w:rsid w:val="00E021E9"/>
    <w:rsid w:val="00E02D1F"/>
    <w:rsid w:val="00E02E6F"/>
    <w:rsid w:val="00E035BD"/>
    <w:rsid w:val="00E03F1F"/>
    <w:rsid w:val="00E04CF5"/>
    <w:rsid w:val="00E0521E"/>
    <w:rsid w:val="00E05936"/>
    <w:rsid w:val="00E06FF9"/>
    <w:rsid w:val="00E078F2"/>
    <w:rsid w:val="00E07C84"/>
    <w:rsid w:val="00E07C8C"/>
    <w:rsid w:val="00E10479"/>
    <w:rsid w:val="00E10B3B"/>
    <w:rsid w:val="00E11540"/>
    <w:rsid w:val="00E11A35"/>
    <w:rsid w:val="00E12F25"/>
    <w:rsid w:val="00E13C42"/>
    <w:rsid w:val="00E14902"/>
    <w:rsid w:val="00E14A28"/>
    <w:rsid w:val="00E14CBE"/>
    <w:rsid w:val="00E14EB8"/>
    <w:rsid w:val="00E1579C"/>
    <w:rsid w:val="00E1624E"/>
    <w:rsid w:val="00E16D55"/>
    <w:rsid w:val="00E171DA"/>
    <w:rsid w:val="00E177E8"/>
    <w:rsid w:val="00E1798E"/>
    <w:rsid w:val="00E17AC9"/>
    <w:rsid w:val="00E200B0"/>
    <w:rsid w:val="00E213C5"/>
    <w:rsid w:val="00E246C9"/>
    <w:rsid w:val="00E24907"/>
    <w:rsid w:val="00E24F44"/>
    <w:rsid w:val="00E24FD4"/>
    <w:rsid w:val="00E268E1"/>
    <w:rsid w:val="00E27AF3"/>
    <w:rsid w:val="00E27BEE"/>
    <w:rsid w:val="00E30593"/>
    <w:rsid w:val="00E30708"/>
    <w:rsid w:val="00E31422"/>
    <w:rsid w:val="00E31971"/>
    <w:rsid w:val="00E319EC"/>
    <w:rsid w:val="00E31B37"/>
    <w:rsid w:val="00E322BA"/>
    <w:rsid w:val="00E32545"/>
    <w:rsid w:val="00E326D9"/>
    <w:rsid w:val="00E32D99"/>
    <w:rsid w:val="00E339C7"/>
    <w:rsid w:val="00E33B4F"/>
    <w:rsid w:val="00E33EFD"/>
    <w:rsid w:val="00E33FCE"/>
    <w:rsid w:val="00E34773"/>
    <w:rsid w:val="00E34A58"/>
    <w:rsid w:val="00E35339"/>
    <w:rsid w:val="00E35548"/>
    <w:rsid w:val="00E3665D"/>
    <w:rsid w:val="00E36AD9"/>
    <w:rsid w:val="00E36D7B"/>
    <w:rsid w:val="00E37842"/>
    <w:rsid w:val="00E40170"/>
    <w:rsid w:val="00E408FB"/>
    <w:rsid w:val="00E40E2C"/>
    <w:rsid w:val="00E41A41"/>
    <w:rsid w:val="00E41AAC"/>
    <w:rsid w:val="00E4237C"/>
    <w:rsid w:val="00E4403F"/>
    <w:rsid w:val="00E444E0"/>
    <w:rsid w:val="00E449AD"/>
    <w:rsid w:val="00E457BE"/>
    <w:rsid w:val="00E47012"/>
    <w:rsid w:val="00E47E87"/>
    <w:rsid w:val="00E50DE4"/>
    <w:rsid w:val="00E519D1"/>
    <w:rsid w:val="00E51AA4"/>
    <w:rsid w:val="00E53987"/>
    <w:rsid w:val="00E54CC7"/>
    <w:rsid w:val="00E55D3F"/>
    <w:rsid w:val="00E56512"/>
    <w:rsid w:val="00E567D7"/>
    <w:rsid w:val="00E57AA3"/>
    <w:rsid w:val="00E57B97"/>
    <w:rsid w:val="00E602D7"/>
    <w:rsid w:val="00E6051B"/>
    <w:rsid w:val="00E60C6E"/>
    <w:rsid w:val="00E612E8"/>
    <w:rsid w:val="00E61784"/>
    <w:rsid w:val="00E62063"/>
    <w:rsid w:val="00E63634"/>
    <w:rsid w:val="00E63C22"/>
    <w:rsid w:val="00E63DB7"/>
    <w:rsid w:val="00E64183"/>
    <w:rsid w:val="00E6523C"/>
    <w:rsid w:val="00E6597B"/>
    <w:rsid w:val="00E65D00"/>
    <w:rsid w:val="00E66759"/>
    <w:rsid w:val="00E669B2"/>
    <w:rsid w:val="00E66C6F"/>
    <w:rsid w:val="00E67E7E"/>
    <w:rsid w:val="00E715C7"/>
    <w:rsid w:val="00E7228E"/>
    <w:rsid w:val="00E7230F"/>
    <w:rsid w:val="00E7241E"/>
    <w:rsid w:val="00E72465"/>
    <w:rsid w:val="00E7309F"/>
    <w:rsid w:val="00E73627"/>
    <w:rsid w:val="00E73B20"/>
    <w:rsid w:val="00E742A7"/>
    <w:rsid w:val="00E74339"/>
    <w:rsid w:val="00E743DE"/>
    <w:rsid w:val="00E744D7"/>
    <w:rsid w:val="00E74787"/>
    <w:rsid w:val="00E752CE"/>
    <w:rsid w:val="00E75840"/>
    <w:rsid w:val="00E76D43"/>
    <w:rsid w:val="00E7715C"/>
    <w:rsid w:val="00E774A6"/>
    <w:rsid w:val="00E77536"/>
    <w:rsid w:val="00E77960"/>
    <w:rsid w:val="00E807F1"/>
    <w:rsid w:val="00E80B2C"/>
    <w:rsid w:val="00E812D3"/>
    <w:rsid w:val="00E81518"/>
    <w:rsid w:val="00E83459"/>
    <w:rsid w:val="00E850A5"/>
    <w:rsid w:val="00E850AD"/>
    <w:rsid w:val="00E85303"/>
    <w:rsid w:val="00E87665"/>
    <w:rsid w:val="00E9033E"/>
    <w:rsid w:val="00E90366"/>
    <w:rsid w:val="00E90DA1"/>
    <w:rsid w:val="00E91562"/>
    <w:rsid w:val="00E91C57"/>
    <w:rsid w:val="00E92A82"/>
    <w:rsid w:val="00E941A3"/>
    <w:rsid w:val="00E94662"/>
    <w:rsid w:val="00E94D7E"/>
    <w:rsid w:val="00E95280"/>
    <w:rsid w:val="00E952A5"/>
    <w:rsid w:val="00E95676"/>
    <w:rsid w:val="00E95779"/>
    <w:rsid w:val="00E959AD"/>
    <w:rsid w:val="00E96220"/>
    <w:rsid w:val="00E973F2"/>
    <w:rsid w:val="00E976A1"/>
    <w:rsid w:val="00E97A36"/>
    <w:rsid w:val="00EA0576"/>
    <w:rsid w:val="00EA08DB"/>
    <w:rsid w:val="00EA0975"/>
    <w:rsid w:val="00EA0C2C"/>
    <w:rsid w:val="00EA280E"/>
    <w:rsid w:val="00EA2A5C"/>
    <w:rsid w:val="00EA324B"/>
    <w:rsid w:val="00EA35A3"/>
    <w:rsid w:val="00EA5D14"/>
    <w:rsid w:val="00EA633A"/>
    <w:rsid w:val="00EA7884"/>
    <w:rsid w:val="00EA7E1E"/>
    <w:rsid w:val="00EB208A"/>
    <w:rsid w:val="00EB24A4"/>
    <w:rsid w:val="00EB37CA"/>
    <w:rsid w:val="00EB39F6"/>
    <w:rsid w:val="00EB4B26"/>
    <w:rsid w:val="00EB5824"/>
    <w:rsid w:val="00EB6689"/>
    <w:rsid w:val="00EB7D16"/>
    <w:rsid w:val="00EC013F"/>
    <w:rsid w:val="00EC0755"/>
    <w:rsid w:val="00EC0A27"/>
    <w:rsid w:val="00EC1052"/>
    <w:rsid w:val="00EC26FC"/>
    <w:rsid w:val="00EC35EC"/>
    <w:rsid w:val="00EC3EF4"/>
    <w:rsid w:val="00EC4914"/>
    <w:rsid w:val="00EC6479"/>
    <w:rsid w:val="00EC72EB"/>
    <w:rsid w:val="00EC77CC"/>
    <w:rsid w:val="00EC797A"/>
    <w:rsid w:val="00ED00A1"/>
    <w:rsid w:val="00ED05BB"/>
    <w:rsid w:val="00ED12B9"/>
    <w:rsid w:val="00ED22AB"/>
    <w:rsid w:val="00ED4165"/>
    <w:rsid w:val="00ED4491"/>
    <w:rsid w:val="00ED5EE3"/>
    <w:rsid w:val="00ED6261"/>
    <w:rsid w:val="00ED6311"/>
    <w:rsid w:val="00ED6E04"/>
    <w:rsid w:val="00ED6E72"/>
    <w:rsid w:val="00ED712D"/>
    <w:rsid w:val="00ED7B54"/>
    <w:rsid w:val="00EE04A8"/>
    <w:rsid w:val="00EE0A71"/>
    <w:rsid w:val="00EE0A92"/>
    <w:rsid w:val="00EE157B"/>
    <w:rsid w:val="00EE1A3D"/>
    <w:rsid w:val="00EE1EFD"/>
    <w:rsid w:val="00EE2326"/>
    <w:rsid w:val="00EE256D"/>
    <w:rsid w:val="00EE2604"/>
    <w:rsid w:val="00EE4050"/>
    <w:rsid w:val="00EE4CA5"/>
    <w:rsid w:val="00EE4D04"/>
    <w:rsid w:val="00EE4FDC"/>
    <w:rsid w:val="00EE5066"/>
    <w:rsid w:val="00EE568F"/>
    <w:rsid w:val="00EE5869"/>
    <w:rsid w:val="00EE6DA4"/>
    <w:rsid w:val="00EE6DD0"/>
    <w:rsid w:val="00EF0372"/>
    <w:rsid w:val="00EF061A"/>
    <w:rsid w:val="00EF0B32"/>
    <w:rsid w:val="00EF0EA6"/>
    <w:rsid w:val="00EF1703"/>
    <w:rsid w:val="00EF2E5E"/>
    <w:rsid w:val="00EF328E"/>
    <w:rsid w:val="00EF34F3"/>
    <w:rsid w:val="00EF3916"/>
    <w:rsid w:val="00EF3F45"/>
    <w:rsid w:val="00EF3FDB"/>
    <w:rsid w:val="00EF4EF2"/>
    <w:rsid w:val="00EF5B92"/>
    <w:rsid w:val="00EF5F64"/>
    <w:rsid w:val="00EF6261"/>
    <w:rsid w:val="00EF70B0"/>
    <w:rsid w:val="00EF74BD"/>
    <w:rsid w:val="00EF7630"/>
    <w:rsid w:val="00EF7C59"/>
    <w:rsid w:val="00F0186D"/>
    <w:rsid w:val="00F01C23"/>
    <w:rsid w:val="00F0221E"/>
    <w:rsid w:val="00F028AD"/>
    <w:rsid w:val="00F02C44"/>
    <w:rsid w:val="00F02EFE"/>
    <w:rsid w:val="00F03370"/>
    <w:rsid w:val="00F03B07"/>
    <w:rsid w:val="00F03EAA"/>
    <w:rsid w:val="00F04237"/>
    <w:rsid w:val="00F05E00"/>
    <w:rsid w:val="00F068DA"/>
    <w:rsid w:val="00F07CC3"/>
    <w:rsid w:val="00F10F62"/>
    <w:rsid w:val="00F117AB"/>
    <w:rsid w:val="00F11813"/>
    <w:rsid w:val="00F11A05"/>
    <w:rsid w:val="00F131A7"/>
    <w:rsid w:val="00F1320E"/>
    <w:rsid w:val="00F13C5A"/>
    <w:rsid w:val="00F13FC4"/>
    <w:rsid w:val="00F1454B"/>
    <w:rsid w:val="00F14632"/>
    <w:rsid w:val="00F14674"/>
    <w:rsid w:val="00F14AFC"/>
    <w:rsid w:val="00F161C3"/>
    <w:rsid w:val="00F16366"/>
    <w:rsid w:val="00F17A9A"/>
    <w:rsid w:val="00F20271"/>
    <w:rsid w:val="00F207A7"/>
    <w:rsid w:val="00F2097F"/>
    <w:rsid w:val="00F20E63"/>
    <w:rsid w:val="00F2165E"/>
    <w:rsid w:val="00F21810"/>
    <w:rsid w:val="00F21C1E"/>
    <w:rsid w:val="00F21D18"/>
    <w:rsid w:val="00F220B9"/>
    <w:rsid w:val="00F2215F"/>
    <w:rsid w:val="00F23527"/>
    <w:rsid w:val="00F25834"/>
    <w:rsid w:val="00F25B5F"/>
    <w:rsid w:val="00F265CB"/>
    <w:rsid w:val="00F27DE4"/>
    <w:rsid w:val="00F30AC7"/>
    <w:rsid w:val="00F30D1B"/>
    <w:rsid w:val="00F30D51"/>
    <w:rsid w:val="00F319B0"/>
    <w:rsid w:val="00F32694"/>
    <w:rsid w:val="00F32C10"/>
    <w:rsid w:val="00F32E2C"/>
    <w:rsid w:val="00F354B6"/>
    <w:rsid w:val="00F355AF"/>
    <w:rsid w:val="00F36631"/>
    <w:rsid w:val="00F36A86"/>
    <w:rsid w:val="00F36B86"/>
    <w:rsid w:val="00F37136"/>
    <w:rsid w:val="00F40073"/>
    <w:rsid w:val="00F40384"/>
    <w:rsid w:val="00F40592"/>
    <w:rsid w:val="00F41229"/>
    <w:rsid w:val="00F4199F"/>
    <w:rsid w:val="00F41D9F"/>
    <w:rsid w:val="00F42416"/>
    <w:rsid w:val="00F431DF"/>
    <w:rsid w:val="00F4386D"/>
    <w:rsid w:val="00F439E9"/>
    <w:rsid w:val="00F43AE5"/>
    <w:rsid w:val="00F43F4B"/>
    <w:rsid w:val="00F4470E"/>
    <w:rsid w:val="00F4489D"/>
    <w:rsid w:val="00F44DBC"/>
    <w:rsid w:val="00F45B14"/>
    <w:rsid w:val="00F46643"/>
    <w:rsid w:val="00F46EF5"/>
    <w:rsid w:val="00F47109"/>
    <w:rsid w:val="00F475DE"/>
    <w:rsid w:val="00F503E1"/>
    <w:rsid w:val="00F50896"/>
    <w:rsid w:val="00F51672"/>
    <w:rsid w:val="00F51D83"/>
    <w:rsid w:val="00F51EFB"/>
    <w:rsid w:val="00F534E6"/>
    <w:rsid w:val="00F53509"/>
    <w:rsid w:val="00F53B7E"/>
    <w:rsid w:val="00F53B8F"/>
    <w:rsid w:val="00F548C1"/>
    <w:rsid w:val="00F54C3F"/>
    <w:rsid w:val="00F55432"/>
    <w:rsid w:val="00F55820"/>
    <w:rsid w:val="00F573BE"/>
    <w:rsid w:val="00F573FC"/>
    <w:rsid w:val="00F5761C"/>
    <w:rsid w:val="00F61675"/>
    <w:rsid w:val="00F62D48"/>
    <w:rsid w:val="00F62D88"/>
    <w:rsid w:val="00F63524"/>
    <w:rsid w:val="00F63730"/>
    <w:rsid w:val="00F63C11"/>
    <w:rsid w:val="00F642A8"/>
    <w:rsid w:val="00F64998"/>
    <w:rsid w:val="00F64B7B"/>
    <w:rsid w:val="00F64D08"/>
    <w:rsid w:val="00F65387"/>
    <w:rsid w:val="00F6595C"/>
    <w:rsid w:val="00F66473"/>
    <w:rsid w:val="00F66C73"/>
    <w:rsid w:val="00F66D29"/>
    <w:rsid w:val="00F66D5F"/>
    <w:rsid w:val="00F6728B"/>
    <w:rsid w:val="00F6785F"/>
    <w:rsid w:val="00F701A3"/>
    <w:rsid w:val="00F701F6"/>
    <w:rsid w:val="00F70479"/>
    <w:rsid w:val="00F7160A"/>
    <w:rsid w:val="00F716D2"/>
    <w:rsid w:val="00F74028"/>
    <w:rsid w:val="00F74902"/>
    <w:rsid w:val="00F7563A"/>
    <w:rsid w:val="00F766B4"/>
    <w:rsid w:val="00F76EFC"/>
    <w:rsid w:val="00F77153"/>
    <w:rsid w:val="00F77763"/>
    <w:rsid w:val="00F807E9"/>
    <w:rsid w:val="00F808BC"/>
    <w:rsid w:val="00F80C34"/>
    <w:rsid w:val="00F80DD5"/>
    <w:rsid w:val="00F815F0"/>
    <w:rsid w:val="00F828BF"/>
    <w:rsid w:val="00F82EFE"/>
    <w:rsid w:val="00F83289"/>
    <w:rsid w:val="00F83B7B"/>
    <w:rsid w:val="00F84BDA"/>
    <w:rsid w:val="00F85477"/>
    <w:rsid w:val="00F859D3"/>
    <w:rsid w:val="00F85AFE"/>
    <w:rsid w:val="00F86D6E"/>
    <w:rsid w:val="00F86FEC"/>
    <w:rsid w:val="00F87351"/>
    <w:rsid w:val="00F87982"/>
    <w:rsid w:val="00F87A8A"/>
    <w:rsid w:val="00F927D6"/>
    <w:rsid w:val="00F9307C"/>
    <w:rsid w:val="00F95283"/>
    <w:rsid w:val="00F95905"/>
    <w:rsid w:val="00F965B2"/>
    <w:rsid w:val="00FA0698"/>
    <w:rsid w:val="00FA0795"/>
    <w:rsid w:val="00FA07CE"/>
    <w:rsid w:val="00FA159B"/>
    <w:rsid w:val="00FA1B43"/>
    <w:rsid w:val="00FA2C85"/>
    <w:rsid w:val="00FA2EE8"/>
    <w:rsid w:val="00FA3932"/>
    <w:rsid w:val="00FA3DC9"/>
    <w:rsid w:val="00FA3E8E"/>
    <w:rsid w:val="00FA5359"/>
    <w:rsid w:val="00FA5722"/>
    <w:rsid w:val="00FA5DC6"/>
    <w:rsid w:val="00FA60F8"/>
    <w:rsid w:val="00FA6D99"/>
    <w:rsid w:val="00FA72D1"/>
    <w:rsid w:val="00FB041F"/>
    <w:rsid w:val="00FB09CC"/>
    <w:rsid w:val="00FB09F5"/>
    <w:rsid w:val="00FB0EEC"/>
    <w:rsid w:val="00FB117A"/>
    <w:rsid w:val="00FB1436"/>
    <w:rsid w:val="00FB31C7"/>
    <w:rsid w:val="00FB3305"/>
    <w:rsid w:val="00FB41A1"/>
    <w:rsid w:val="00FB4F1F"/>
    <w:rsid w:val="00FB4FF3"/>
    <w:rsid w:val="00FB5B20"/>
    <w:rsid w:val="00FB5F37"/>
    <w:rsid w:val="00FB7382"/>
    <w:rsid w:val="00FB7CC4"/>
    <w:rsid w:val="00FC0CF4"/>
    <w:rsid w:val="00FC0E82"/>
    <w:rsid w:val="00FC10F2"/>
    <w:rsid w:val="00FC1B4D"/>
    <w:rsid w:val="00FC1D5C"/>
    <w:rsid w:val="00FC2355"/>
    <w:rsid w:val="00FC3E1B"/>
    <w:rsid w:val="00FC4E5B"/>
    <w:rsid w:val="00FC4EAB"/>
    <w:rsid w:val="00FC567F"/>
    <w:rsid w:val="00FC5F86"/>
    <w:rsid w:val="00FC616E"/>
    <w:rsid w:val="00FC7404"/>
    <w:rsid w:val="00FC7ACF"/>
    <w:rsid w:val="00FD041A"/>
    <w:rsid w:val="00FD0803"/>
    <w:rsid w:val="00FD122C"/>
    <w:rsid w:val="00FD140A"/>
    <w:rsid w:val="00FD162D"/>
    <w:rsid w:val="00FD1A3B"/>
    <w:rsid w:val="00FD2A29"/>
    <w:rsid w:val="00FD2FAC"/>
    <w:rsid w:val="00FD3669"/>
    <w:rsid w:val="00FD37CF"/>
    <w:rsid w:val="00FD38ED"/>
    <w:rsid w:val="00FD3E98"/>
    <w:rsid w:val="00FD4008"/>
    <w:rsid w:val="00FD4FF0"/>
    <w:rsid w:val="00FD5298"/>
    <w:rsid w:val="00FD6474"/>
    <w:rsid w:val="00FD663A"/>
    <w:rsid w:val="00FD7D5F"/>
    <w:rsid w:val="00FE009D"/>
    <w:rsid w:val="00FE020A"/>
    <w:rsid w:val="00FE051A"/>
    <w:rsid w:val="00FE1894"/>
    <w:rsid w:val="00FE3242"/>
    <w:rsid w:val="00FE4C66"/>
    <w:rsid w:val="00FE53EE"/>
    <w:rsid w:val="00FE66E0"/>
    <w:rsid w:val="00FE6828"/>
    <w:rsid w:val="00FE6C68"/>
    <w:rsid w:val="00FE6EB3"/>
    <w:rsid w:val="00FE6F51"/>
    <w:rsid w:val="00FE7478"/>
    <w:rsid w:val="00FE7694"/>
    <w:rsid w:val="00FF07E4"/>
    <w:rsid w:val="00FF09BA"/>
    <w:rsid w:val="00FF0B3A"/>
    <w:rsid w:val="00FF160F"/>
    <w:rsid w:val="00FF1EF3"/>
    <w:rsid w:val="00FF2779"/>
    <w:rsid w:val="00FF290F"/>
    <w:rsid w:val="00FF2931"/>
    <w:rsid w:val="00FF3458"/>
    <w:rsid w:val="00FF34E2"/>
    <w:rsid w:val="00FF3F8C"/>
    <w:rsid w:val="00FF4327"/>
    <w:rsid w:val="00FF4E5D"/>
    <w:rsid w:val="00FF565F"/>
    <w:rsid w:val="00FF6333"/>
    <w:rsid w:val="00FF6448"/>
    <w:rsid w:val="00FF6C02"/>
    <w:rsid w:val="00FF6E7D"/>
    <w:rsid w:val="00FF7556"/>
    <w:rsid w:val="00FF77FC"/>
    <w:rsid w:val="00FF7C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D3CF9E"/>
  <w15:docId w15:val="{5DFABF94-2B5C-42B2-8DC0-E2A4D6581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0965"/>
    <w:pPr>
      <w:spacing w:after="0" w:line="240" w:lineRule="auto"/>
    </w:pPr>
    <w:rPr>
      <w:rFonts w:eastAsia="Times New Roman" w:cs="Times New Roman"/>
      <w:sz w:val="24"/>
      <w:szCs w:val="24"/>
      <w:lang w:val="es-CO" w:eastAsia="es-ES"/>
    </w:rPr>
  </w:style>
  <w:style w:type="paragraph" w:styleId="Ttulo1">
    <w:name w:val="heading 1"/>
    <w:basedOn w:val="Normal"/>
    <w:next w:val="Normal"/>
    <w:link w:val="Ttulo1Car"/>
    <w:uiPriority w:val="9"/>
    <w:qFormat/>
    <w:rsid w:val="00690965"/>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ar"/>
    <w:uiPriority w:val="9"/>
    <w:semiHidden/>
    <w:unhideWhenUsed/>
    <w:qFormat/>
    <w:rsid w:val="00C24FE2"/>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iPriority w:val="9"/>
    <w:semiHidden/>
    <w:unhideWhenUsed/>
    <w:qFormat/>
    <w:rsid w:val="00D807B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90965"/>
    <w:rPr>
      <w:rFonts w:ascii="Arial" w:eastAsia="Times New Roman" w:hAnsi="Arial" w:cs="Arial"/>
      <w:b/>
      <w:bCs/>
      <w:kern w:val="32"/>
      <w:sz w:val="32"/>
      <w:szCs w:val="32"/>
      <w:lang w:val="es-CO" w:eastAsia="es-ES"/>
    </w:rPr>
  </w:style>
  <w:style w:type="character" w:styleId="Refdenotaalpie">
    <w:name w:val="footnote reference"/>
    <w:aliases w:val="Texto de nota al pie,referencia nota al pie,Nota de pie,Texto nota al pie,Appel note de bas de page,Footnotes refss,Footnote number,BVI fnr,f,Texto nota pie Car2,texto de nota al pi Car1,Ref. de nota al pie 2,4_G,16 Point,Ref,F,FC"/>
    <w:link w:val="4GChar"/>
    <w:uiPriority w:val="99"/>
    <w:qFormat/>
    <w:rsid w:val="00690965"/>
    <w:rPr>
      <w:rFonts w:cs="Times New Roman"/>
      <w:vertAlign w:val="superscript"/>
    </w:rPr>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texto de nota al pi,Ref. de nota al pi"/>
    <w:basedOn w:val="Normal"/>
    <w:link w:val="TextonotapieCar"/>
    <w:uiPriority w:val="99"/>
    <w:qFormat/>
    <w:rsid w:val="00690965"/>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
    <w:basedOn w:val="Fuentedeprrafopredeter"/>
    <w:link w:val="Textonotapie"/>
    <w:uiPriority w:val="99"/>
    <w:qFormat/>
    <w:rsid w:val="00690965"/>
    <w:rPr>
      <w:rFonts w:eastAsia="Times New Roman" w:cs="Times New Roman"/>
      <w:sz w:val="20"/>
      <w:szCs w:val="20"/>
      <w:lang w:val="es-CO" w:eastAsia="es-ES"/>
    </w:rPr>
  </w:style>
  <w:style w:type="paragraph" w:customStyle="1" w:styleId="Prrafodelista1">
    <w:name w:val="Párrafo de lista1"/>
    <w:basedOn w:val="Normal"/>
    <w:uiPriority w:val="99"/>
    <w:rsid w:val="00690965"/>
    <w:pPr>
      <w:ind w:left="720"/>
    </w:pPr>
  </w:style>
  <w:style w:type="paragraph" w:customStyle="1" w:styleId="Sinespacio">
    <w:name w:val="Sin espacio"/>
    <w:basedOn w:val="Ttulo1"/>
    <w:uiPriority w:val="99"/>
    <w:rsid w:val="00690965"/>
    <w:pPr>
      <w:numPr>
        <w:numId w:val="1"/>
      </w:numPr>
      <w:tabs>
        <w:tab w:val="clear" w:pos="360"/>
        <w:tab w:val="num" w:pos="1800"/>
      </w:tabs>
      <w:overflowPunct w:val="0"/>
      <w:autoSpaceDE w:val="0"/>
      <w:autoSpaceDN w:val="0"/>
      <w:adjustRightInd w:val="0"/>
      <w:spacing w:before="0" w:after="0"/>
      <w:jc w:val="center"/>
    </w:pPr>
    <w:rPr>
      <w:rFonts w:ascii="Times New Roman" w:eastAsia="Calibri" w:hAnsi="Times New Roman" w:cs="Times New Roman"/>
      <w:kern w:val="28"/>
      <w:sz w:val="28"/>
      <w:szCs w:val="28"/>
      <w:lang w:val="es-ES_tradnl"/>
    </w:rPr>
  </w:style>
  <w:style w:type="paragraph" w:customStyle="1" w:styleId="Default">
    <w:name w:val="Default"/>
    <w:rsid w:val="00690965"/>
    <w:pPr>
      <w:autoSpaceDE w:val="0"/>
      <w:autoSpaceDN w:val="0"/>
      <w:adjustRightInd w:val="0"/>
      <w:spacing w:after="0" w:line="240" w:lineRule="auto"/>
    </w:pPr>
    <w:rPr>
      <w:rFonts w:ascii="Arial" w:eastAsia="Calibri" w:hAnsi="Arial" w:cs="Arial"/>
      <w:color w:val="000000"/>
      <w:sz w:val="24"/>
      <w:szCs w:val="24"/>
    </w:rPr>
  </w:style>
  <w:style w:type="character" w:styleId="Hipervnculo">
    <w:name w:val="Hyperlink"/>
    <w:rsid w:val="00690965"/>
    <w:rPr>
      <w:rFonts w:cs="Times New Roman"/>
      <w:color w:val="0000FF"/>
      <w:u w:val="single"/>
    </w:rPr>
  </w:style>
  <w:style w:type="paragraph" w:customStyle="1" w:styleId="ListParagraph1">
    <w:name w:val="List Paragraph1"/>
    <w:basedOn w:val="Normal"/>
    <w:uiPriority w:val="99"/>
    <w:rsid w:val="00690965"/>
    <w:pPr>
      <w:spacing w:after="200" w:line="276" w:lineRule="auto"/>
      <w:ind w:left="720"/>
    </w:pPr>
    <w:rPr>
      <w:rFonts w:ascii="Calibri" w:eastAsia="Calibri" w:hAnsi="Calibri" w:cs="Calibri"/>
      <w:sz w:val="22"/>
      <w:szCs w:val="22"/>
      <w:lang w:val="es-MX" w:eastAsia="en-US"/>
    </w:rPr>
  </w:style>
  <w:style w:type="paragraph" w:styleId="Piedepgina">
    <w:name w:val="footer"/>
    <w:basedOn w:val="Normal"/>
    <w:link w:val="PiedepginaCar"/>
    <w:uiPriority w:val="99"/>
    <w:rsid w:val="00690965"/>
    <w:pPr>
      <w:tabs>
        <w:tab w:val="center" w:pos="4252"/>
        <w:tab w:val="right" w:pos="8504"/>
      </w:tabs>
    </w:pPr>
  </w:style>
  <w:style w:type="character" w:customStyle="1" w:styleId="PiedepginaCar">
    <w:name w:val="Pie de página Car"/>
    <w:basedOn w:val="Fuentedeprrafopredeter"/>
    <w:link w:val="Piedepgina"/>
    <w:uiPriority w:val="99"/>
    <w:rsid w:val="00690965"/>
    <w:rPr>
      <w:rFonts w:eastAsia="Times New Roman" w:cs="Times New Roman"/>
      <w:sz w:val="24"/>
      <w:szCs w:val="24"/>
      <w:lang w:val="es-CO" w:eastAsia="es-ES"/>
    </w:rPr>
  </w:style>
  <w:style w:type="character" w:styleId="Nmerodepgina">
    <w:name w:val="page number"/>
    <w:uiPriority w:val="99"/>
    <w:rsid w:val="00690965"/>
    <w:rPr>
      <w:rFonts w:cs="Times New Roman"/>
    </w:rPr>
  </w:style>
  <w:style w:type="paragraph" w:styleId="Encabezado">
    <w:name w:val="header"/>
    <w:basedOn w:val="Normal"/>
    <w:link w:val="EncabezadoCar"/>
    <w:uiPriority w:val="99"/>
    <w:rsid w:val="00690965"/>
    <w:pPr>
      <w:tabs>
        <w:tab w:val="center" w:pos="4252"/>
        <w:tab w:val="right" w:pos="8504"/>
      </w:tabs>
    </w:pPr>
  </w:style>
  <w:style w:type="character" w:customStyle="1" w:styleId="EncabezadoCar">
    <w:name w:val="Encabezado Car"/>
    <w:basedOn w:val="Fuentedeprrafopredeter"/>
    <w:link w:val="Encabezado"/>
    <w:uiPriority w:val="99"/>
    <w:rsid w:val="00690965"/>
    <w:rPr>
      <w:rFonts w:eastAsia="Times New Roman" w:cs="Times New Roman"/>
      <w:sz w:val="24"/>
      <w:szCs w:val="24"/>
      <w:lang w:val="es-CO" w:eastAsia="es-ES"/>
    </w:rPr>
  </w:style>
  <w:style w:type="paragraph" w:customStyle="1" w:styleId="Prrafodelista2">
    <w:name w:val="Párrafo de lista2"/>
    <w:basedOn w:val="Normal"/>
    <w:uiPriority w:val="99"/>
    <w:rsid w:val="00690965"/>
    <w:pPr>
      <w:spacing w:after="200" w:line="276" w:lineRule="auto"/>
      <w:ind w:left="720"/>
    </w:pPr>
    <w:rPr>
      <w:rFonts w:ascii="Calibri" w:hAnsi="Calibri" w:cs="Calibri"/>
      <w:sz w:val="22"/>
      <w:szCs w:val="22"/>
      <w:lang w:val="es-ES" w:eastAsia="en-US"/>
    </w:rPr>
  </w:style>
  <w:style w:type="paragraph" w:customStyle="1" w:styleId="Sinespaciado1">
    <w:name w:val="Sin espaciado1"/>
    <w:uiPriority w:val="99"/>
    <w:rsid w:val="00690965"/>
    <w:pPr>
      <w:spacing w:after="0" w:line="240" w:lineRule="auto"/>
    </w:pPr>
    <w:rPr>
      <w:rFonts w:ascii="Calibri" w:eastAsia="Times New Roman" w:hAnsi="Calibri" w:cs="Calibri"/>
      <w:sz w:val="22"/>
      <w:lang w:val="es-CO"/>
    </w:rPr>
  </w:style>
  <w:style w:type="paragraph" w:customStyle="1" w:styleId="Sinespaciado2">
    <w:name w:val="Sin espaciado2"/>
    <w:uiPriority w:val="99"/>
    <w:rsid w:val="00690965"/>
    <w:pPr>
      <w:spacing w:after="0" w:line="240" w:lineRule="auto"/>
    </w:pPr>
    <w:rPr>
      <w:rFonts w:ascii="Calibri" w:eastAsia="Calibri" w:hAnsi="Calibri" w:cs="Calibri"/>
      <w:sz w:val="22"/>
      <w:lang w:val="es-CO"/>
    </w:rPr>
  </w:style>
  <w:style w:type="paragraph" w:styleId="NormalWeb">
    <w:name w:val="Normal (Web)"/>
    <w:basedOn w:val="Normal"/>
    <w:uiPriority w:val="99"/>
    <w:rsid w:val="00690965"/>
    <w:pPr>
      <w:spacing w:before="100" w:beforeAutospacing="1" w:after="100" w:afterAutospacing="1"/>
    </w:pPr>
    <w:rPr>
      <w:lang w:val="es-ES"/>
    </w:rPr>
  </w:style>
  <w:style w:type="character" w:styleId="nfasis">
    <w:name w:val="Emphasis"/>
    <w:uiPriority w:val="20"/>
    <w:qFormat/>
    <w:rsid w:val="00690965"/>
    <w:rPr>
      <w:rFonts w:cs="Times New Roman"/>
      <w:i/>
      <w:iCs/>
    </w:rPr>
  </w:style>
  <w:style w:type="character" w:customStyle="1" w:styleId="apple-converted-space">
    <w:name w:val="apple-converted-space"/>
    <w:rsid w:val="00690965"/>
    <w:rPr>
      <w:rFonts w:cs="Times New Roman"/>
    </w:rPr>
  </w:style>
  <w:style w:type="character" w:styleId="Refdecomentario">
    <w:name w:val="annotation reference"/>
    <w:uiPriority w:val="99"/>
    <w:rsid w:val="00690965"/>
    <w:rPr>
      <w:rFonts w:cs="Times New Roman"/>
      <w:sz w:val="16"/>
      <w:szCs w:val="16"/>
    </w:rPr>
  </w:style>
  <w:style w:type="paragraph" w:styleId="Textocomentario">
    <w:name w:val="annotation text"/>
    <w:basedOn w:val="Normal"/>
    <w:link w:val="TextocomentarioCar"/>
    <w:uiPriority w:val="99"/>
    <w:rsid w:val="00690965"/>
    <w:rPr>
      <w:sz w:val="20"/>
      <w:szCs w:val="20"/>
    </w:rPr>
  </w:style>
  <w:style w:type="character" w:customStyle="1" w:styleId="TextocomentarioCar">
    <w:name w:val="Texto comentario Car"/>
    <w:basedOn w:val="Fuentedeprrafopredeter"/>
    <w:link w:val="Textocomentario"/>
    <w:uiPriority w:val="99"/>
    <w:rsid w:val="00690965"/>
    <w:rPr>
      <w:rFonts w:eastAsia="Times New Roman" w:cs="Times New Roman"/>
      <w:sz w:val="20"/>
      <w:szCs w:val="20"/>
      <w:lang w:val="es-CO" w:eastAsia="es-ES"/>
    </w:rPr>
  </w:style>
  <w:style w:type="paragraph" w:styleId="Asuntodelcomentario">
    <w:name w:val="annotation subject"/>
    <w:basedOn w:val="Textocomentario"/>
    <w:next w:val="Textocomentario"/>
    <w:link w:val="AsuntodelcomentarioCar"/>
    <w:uiPriority w:val="99"/>
    <w:rsid w:val="00690965"/>
    <w:rPr>
      <w:b/>
      <w:bCs/>
    </w:rPr>
  </w:style>
  <w:style w:type="character" w:customStyle="1" w:styleId="AsuntodelcomentarioCar">
    <w:name w:val="Asunto del comentario Car"/>
    <w:basedOn w:val="TextocomentarioCar"/>
    <w:link w:val="Asuntodelcomentario"/>
    <w:uiPriority w:val="99"/>
    <w:rsid w:val="00690965"/>
    <w:rPr>
      <w:rFonts w:eastAsia="Times New Roman" w:cs="Times New Roman"/>
      <w:b/>
      <w:bCs/>
      <w:sz w:val="20"/>
      <w:szCs w:val="20"/>
      <w:lang w:val="es-CO" w:eastAsia="es-ES"/>
    </w:rPr>
  </w:style>
  <w:style w:type="paragraph" w:styleId="Textodeglobo">
    <w:name w:val="Balloon Text"/>
    <w:basedOn w:val="Normal"/>
    <w:link w:val="TextodegloboCar"/>
    <w:uiPriority w:val="99"/>
    <w:rsid w:val="00690965"/>
    <w:rPr>
      <w:rFonts w:ascii="Tahoma" w:hAnsi="Tahoma" w:cs="Tahoma"/>
      <w:sz w:val="16"/>
      <w:szCs w:val="16"/>
    </w:rPr>
  </w:style>
  <w:style w:type="character" w:customStyle="1" w:styleId="TextodegloboCar">
    <w:name w:val="Texto de globo Car"/>
    <w:basedOn w:val="Fuentedeprrafopredeter"/>
    <w:link w:val="Textodeglobo"/>
    <w:uiPriority w:val="99"/>
    <w:rsid w:val="00690965"/>
    <w:rPr>
      <w:rFonts w:ascii="Tahoma" w:eastAsia="Times New Roman" w:hAnsi="Tahoma" w:cs="Tahoma"/>
      <w:sz w:val="16"/>
      <w:szCs w:val="16"/>
      <w:lang w:val="es-CO" w:eastAsia="es-ES"/>
    </w:rPr>
  </w:style>
  <w:style w:type="paragraph" w:styleId="Prrafodelista">
    <w:name w:val="List Paragraph"/>
    <w:basedOn w:val="Normal"/>
    <w:uiPriority w:val="34"/>
    <w:qFormat/>
    <w:rsid w:val="00690965"/>
    <w:pPr>
      <w:ind w:left="708"/>
    </w:pPr>
  </w:style>
  <w:style w:type="table" w:styleId="Tablaconcuadrcula">
    <w:name w:val="Table Grid"/>
    <w:basedOn w:val="Tablanormal"/>
    <w:uiPriority w:val="39"/>
    <w:rsid w:val="00690965"/>
    <w:pPr>
      <w:spacing w:after="0" w:line="240" w:lineRule="auto"/>
    </w:pPr>
    <w:rPr>
      <w:rFonts w:ascii="Calibri" w:eastAsia="Calibri" w:hAnsi="Calibri" w:cs="Times New Roman"/>
      <w:sz w:val="20"/>
      <w:szCs w:val="20"/>
      <w:lang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j">
    <w:name w:val="b_aj"/>
    <w:rsid w:val="00690965"/>
    <w:rPr>
      <w:rFonts w:cs="Times New Roman"/>
    </w:rPr>
  </w:style>
  <w:style w:type="character" w:styleId="Textoennegrita">
    <w:name w:val="Strong"/>
    <w:uiPriority w:val="22"/>
    <w:qFormat/>
    <w:rsid w:val="00690965"/>
    <w:rPr>
      <w:rFonts w:cs="Times New Roman"/>
      <w:b/>
      <w:bCs/>
    </w:rPr>
  </w:style>
  <w:style w:type="character" w:customStyle="1" w:styleId="iaj">
    <w:name w:val="i_aj"/>
    <w:uiPriority w:val="99"/>
    <w:rsid w:val="00690965"/>
    <w:rPr>
      <w:rFonts w:cs="Times New Roman"/>
    </w:rPr>
  </w:style>
  <w:style w:type="paragraph" w:styleId="Textoindependiente">
    <w:name w:val="Body Text"/>
    <w:basedOn w:val="Normal"/>
    <w:link w:val="TextoindependienteCar"/>
    <w:uiPriority w:val="99"/>
    <w:rsid w:val="00690965"/>
    <w:pPr>
      <w:spacing w:after="120" w:line="276" w:lineRule="auto"/>
    </w:pPr>
    <w:rPr>
      <w:rFonts w:ascii="Calibri" w:hAnsi="Calibri"/>
      <w:sz w:val="22"/>
      <w:szCs w:val="22"/>
      <w:lang w:eastAsia="en-US"/>
    </w:rPr>
  </w:style>
  <w:style w:type="character" w:customStyle="1" w:styleId="TextoindependienteCar">
    <w:name w:val="Texto independiente Car"/>
    <w:basedOn w:val="Fuentedeprrafopredeter"/>
    <w:link w:val="Textoindependiente"/>
    <w:uiPriority w:val="99"/>
    <w:rsid w:val="00690965"/>
    <w:rPr>
      <w:rFonts w:ascii="Calibri" w:eastAsia="Times New Roman" w:hAnsi="Calibri" w:cs="Times New Roman"/>
      <w:sz w:val="22"/>
      <w:lang w:val="es-CO"/>
    </w:rPr>
  </w:style>
  <w:style w:type="paragraph" w:customStyle="1" w:styleId="Style4">
    <w:name w:val="Style4"/>
    <w:basedOn w:val="Normal"/>
    <w:uiPriority w:val="99"/>
    <w:rsid w:val="00690965"/>
    <w:pPr>
      <w:widowControl w:val="0"/>
      <w:autoSpaceDE w:val="0"/>
      <w:autoSpaceDN w:val="0"/>
      <w:adjustRightInd w:val="0"/>
      <w:spacing w:line="326" w:lineRule="exact"/>
      <w:jc w:val="both"/>
    </w:pPr>
    <w:rPr>
      <w:rFonts w:ascii="Cambria" w:hAnsi="Cambria"/>
      <w:lang w:val="es-ES"/>
    </w:rPr>
  </w:style>
  <w:style w:type="character" w:customStyle="1" w:styleId="FontStyle32">
    <w:name w:val="Font Style32"/>
    <w:uiPriority w:val="99"/>
    <w:rsid w:val="00690965"/>
    <w:rPr>
      <w:rFonts w:ascii="Cambria" w:hAnsi="Cambria" w:cs="Cambria"/>
      <w:sz w:val="24"/>
      <w:szCs w:val="24"/>
    </w:rPr>
  </w:style>
  <w:style w:type="paragraph" w:customStyle="1" w:styleId="Style23">
    <w:name w:val="Style23"/>
    <w:basedOn w:val="Normal"/>
    <w:uiPriority w:val="99"/>
    <w:rsid w:val="00690965"/>
    <w:pPr>
      <w:widowControl w:val="0"/>
      <w:autoSpaceDE w:val="0"/>
      <w:autoSpaceDN w:val="0"/>
      <w:adjustRightInd w:val="0"/>
      <w:spacing w:line="283" w:lineRule="exact"/>
      <w:ind w:hanging="706"/>
    </w:pPr>
    <w:rPr>
      <w:rFonts w:ascii="Cambria" w:hAnsi="Cambria"/>
      <w:lang w:val="es-ES"/>
    </w:rPr>
  </w:style>
  <w:style w:type="character" w:customStyle="1" w:styleId="FontStyle34">
    <w:name w:val="Font Style34"/>
    <w:uiPriority w:val="99"/>
    <w:rsid w:val="00690965"/>
    <w:rPr>
      <w:rFonts w:ascii="Cambria" w:hAnsi="Cambria" w:cs="Cambria"/>
      <w:b/>
      <w:bCs/>
      <w:sz w:val="24"/>
      <w:szCs w:val="24"/>
    </w:rPr>
  </w:style>
  <w:style w:type="paragraph" w:customStyle="1" w:styleId="Style16">
    <w:name w:val="Style16"/>
    <w:basedOn w:val="Normal"/>
    <w:uiPriority w:val="99"/>
    <w:rsid w:val="00690965"/>
    <w:pPr>
      <w:widowControl w:val="0"/>
      <w:autoSpaceDE w:val="0"/>
      <w:autoSpaceDN w:val="0"/>
      <w:adjustRightInd w:val="0"/>
      <w:spacing w:line="206" w:lineRule="exact"/>
    </w:pPr>
    <w:rPr>
      <w:rFonts w:ascii="Cambria" w:hAnsi="Cambria"/>
      <w:lang w:val="es-ES"/>
    </w:rPr>
  </w:style>
  <w:style w:type="paragraph" w:customStyle="1" w:styleId="Style19">
    <w:name w:val="Style19"/>
    <w:basedOn w:val="Normal"/>
    <w:uiPriority w:val="99"/>
    <w:rsid w:val="00690965"/>
    <w:pPr>
      <w:widowControl w:val="0"/>
      <w:autoSpaceDE w:val="0"/>
      <w:autoSpaceDN w:val="0"/>
      <w:adjustRightInd w:val="0"/>
    </w:pPr>
    <w:rPr>
      <w:rFonts w:ascii="Cambria" w:hAnsi="Cambria"/>
      <w:lang w:val="es-ES"/>
    </w:rPr>
  </w:style>
  <w:style w:type="character" w:customStyle="1" w:styleId="FontStyle38">
    <w:name w:val="Font Style38"/>
    <w:uiPriority w:val="99"/>
    <w:rsid w:val="00690965"/>
    <w:rPr>
      <w:rFonts w:ascii="Cambria" w:hAnsi="Cambria" w:cs="Cambria"/>
      <w:b/>
      <w:bCs/>
      <w:sz w:val="18"/>
      <w:szCs w:val="18"/>
    </w:rPr>
  </w:style>
  <w:style w:type="character" w:customStyle="1" w:styleId="FontStyle39">
    <w:name w:val="Font Style39"/>
    <w:uiPriority w:val="99"/>
    <w:rsid w:val="00690965"/>
    <w:rPr>
      <w:rFonts w:ascii="Cambria" w:hAnsi="Cambria" w:cs="Cambria"/>
      <w:b/>
      <w:bCs/>
      <w:sz w:val="20"/>
      <w:szCs w:val="20"/>
    </w:rPr>
  </w:style>
  <w:style w:type="character" w:customStyle="1" w:styleId="FontStyle37">
    <w:name w:val="Font Style37"/>
    <w:uiPriority w:val="99"/>
    <w:rsid w:val="00690965"/>
    <w:rPr>
      <w:rFonts w:ascii="Cambria" w:hAnsi="Cambria" w:cs="Cambria"/>
      <w:spacing w:val="90"/>
      <w:sz w:val="10"/>
      <w:szCs w:val="10"/>
    </w:rPr>
  </w:style>
  <w:style w:type="paragraph" w:customStyle="1" w:styleId="Style10">
    <w:name w:val="Style10"/>
    <w:basedOn w:val="Normal"/>
    <w:uiPriority w:val="99"/>
    <w:rsid w:val="00690965"/>
    <w:pPr>
      <w:widowControl w:val="0"/>
      <w:autoSpaceDE w:val="0"/>
      <w:autoSpaceDN w:val="0"/>
      <w:adjustRightInd w:val="0"/>
      <w:spacing w:line="322" w:lineRule="exact"/>
      <w:ind w:hanging="720"/>
      <w:jc w:val="both"/>
    </w:pPr>
    <w:rPr>
      <w:rFonts w:ascii="Cambria" w:hAnsi="Cambria"/>
      <w:lang w:val="es-ES"/>
    </w:rPr>
  </w:style>
  <w:style w:type="paragraph" w:customStyle="1" w:styleId="Style13">
    <w:name w:val="Style13"/>
    <w:basedOn w:val="Normal"/>
    <w:uiPriority w:val="99"/>
    <w:rsid w:val="00690965"/>
    <w:pPr>
      <w:widowControl w:val="0"/>
      <w:autoSpaceDE w:val="0"/>
      <w:autoSpaceDN w:val="0"/>
      <w:adjustRightInd w:val="0"/>
      <w:spacing w:line="322" w:lineRule="exact"/>
      <w:ind w:hanging="365"/>
      <w:jc w:val="both"/>
    </w:pPr>
    <w:rPr>
      <w:rFonts w:ascii="Cambria" w:hAnsi="Cambria"/>
      <w:lang w:val="es-ES"/>
    </w:rPr>
  </w:style>
  <w:style w:type="paragraph" w:customStyle="1" w:styleId="Style15">
    <w:name w:val="Style15"/>
    <w:basedOn w:val="Normal"/>
    <w:uiPriority w:val="99"/>
    <w:rsid w:val="00690965"/>
    <w:pPr>
      <w:widowControl w:val="0"/>
      <w:autoSpaceDE w:val="0"/>
      <w:autoSpaceDN w:val="0"/>
      <w:adjustRightInd w:val="0"/>
      <w:spacing w:line="326" w:lineRule="exact"/>
      <w:ind w:hanging="355"/>
    </w:pPr>
    <w:rPr>
      <w:rFonts w:ascii="Cambria" w:hAnsi="Cambria"/>
      <w:lang w:val="es-ES"/>
    </w:rPr>
  </w:style>
  <w:style w:type="paragraph" w:customStyle="1" w:styleId="Style24">
    <w:name w:val="Style24"/>
    <w:basedOn w:val="Normal"/>
    <w:uiPriority w:val="99"/>
    <w:rsid w:val="00690965"/>
    <w:pPr>
      <w:widowControl w:val="0"/>
      <w:autoSpaceDE w:val="0"/>
      <w:autoSpaceDN w:val="0"/>
      <w:adjustRightInd w:val="0"/>
    </w:pPr>
    <w:rPr>
      <w:rFonts w:ascii="Cambria" w:hAnsi="Cambria"/>
      <w:lang w:val="es-ES"/>
    </w:rPr>
  </w:style>
  <w:style w:type="paragraph" w:customStyle="1" w:styleId="Style8">
    <w:name w:val="Style8"/>
    <w:basedOn w:val="Normal"/>
    <w:uiPriority w:val="99"/>
    <w:rsid w:val="00690965"/>
    <w:pPr>
      <w:widowControl w:val="0"/>
      <w:autoSpaceDE w:val="0"/>
      <w:autoSpaceDN w:val="0"/>
      <w:adjustRightInd w:val="0"/>
      <w:spacing w:line="322" w:lineRule="exact"/>
      <w:ind w:firstLine="874"/>
    </w:pPr>
    <w:rPr>
      <w:rFonts w:ascii="Cambria" w:hAnsi="Cambria"/>
      <w:lang w:val="es-ES"/>
    </w:rPr>
  </w:style>
  <w:style w:type="character" w:customStyle="1" w:styleId="FontStyle29">
    <w:name w:val="Font Style29"/>
    <w:uiPriority w:val="99"/>
    <w:rsid w:val="00690965"/>
    <w:rPr>
      <w:rFonts w:ascii="Cambria" w:hAnsi="Cambria" w:cs="Cambria"/>
      <w:b/>
      <w:bCs/>
      <w:sz w:val="26"/>
      <w:szCs w:val="26"/>
    </w:rPr>
  </w:style>
  <w:style w:type="character" w:customStyle="1" w:styleId="FontStyle41">
    <w:name w:val="Font Style41"/>
    <w:uiPriority w:val="99"/>
    <w:rsid w:val="00690965"/>
    <w:rPr>
      <w:rFonts w:ascii="Trebuchet MS" w:hAnsi="Trebuchet MS" w:cs="Trebuchet MS"/>
      <w:i/>
      <w:iCs/>
      <w:spacing w:val="-20"/>
      <w:sz w:val="22"/>
      <w:szCs w:val="22"/>
    </w:rPr>
  </w:style>
  <w:style w:type="character" w:customStyle="1" w:styleId="FontStyle42">
    <w:name w:val="Font Style42"/>
    <w:uiPriority w:val="99"/>
    <w:rsid w:val="00690965"/>
    <w:rPr>
      <w:rFonts w:ascii="Palatino Linotype" w:hAnsi="Palatino Linotype" w:cs="Palatino Linotype"/>
      <w:b/>
      <w:bCs/>
      <w:i/>
      <w:iCs/>
      <w:sz w:val="8"/>
      <w:szCs w:val="8"/>
    </w:rPr>
  </w:style>
  <w:style w:type="paragraph" w:styleId="Textodebloque">
    <w:name w:val="Block Text"/>
    <w:basedOn w:val="Normal"/>
    <w:rsid w:val="00690965"/>
    <w:pPr>
      <w:ind w:left="708" w:right="558"/>
      <w:jc w:val="both"/>
    </w:pPr>
    <w:rPr>
      <w:i/>
      <w:iCs/>
    </w:rPr>
  </w:style>
  <w:style w:type="paragraph" w:customStyle="1" w:styleId="Sinespaciado3">
    <w:name w:val="Sin espaciado3"/>
    <w:link w:val="NoSpacingChar"/>
    <w:rsid w:val="00690965"/>
    <w:pPr>
      <w:spacing w:after="0" w:line="240" w:lineRule="auto"/>
    </w:pPr>
    <w:rPr>
      <w:rFonts w:ascii="Calibri" w:eastAsia="Calibri" w:hAnsi="Calibri" w:cs="Times New Roman"/>
      <w:sz w:val="22"/>
      <w:lang w:val="es-CO"/>
    </w:rPr>
  </w:style>
  <w:style w:type="character" w:customStyle="1" w:styleId="NoSpacingChar">
    <w:name w:val="No Spacing Char"/>
    <w:basedOn w:val="Fuentedeprrafopredeter"/>
    <w:link w:val="Sinespaciado3"/>
    <w:locked/>
    <w:rsid w:val="00690965"/>
    <w:rPr>
      <w:rFonts w:ascii="Calibri" w:eastAsia="Calibri" w:hAnsi="Calibri" w:cs="Times New Roman"/>
      <w:sz w:val="22"/>
      <w:lang w:val="es-CO"/>
    </w:rPr>
  </w:style>
  <w:style w:type="paragraph" w:customStyle="1" w:styleId="NoSpacingTimesNewRoman">
    <w:name w:val="No Spacing + Times New Roman"/>
    <w:aliases w:val="14 pt,Negro,Justificado,Interlineado:  Mínim..."/>
    <w:basedOn w:val="Sinespaciado3"/>
    <w:rsid w:val="00690965"/>
    <w:pPr>
      <w:numPr>
        <w:ilvl w:val="1"/>
        <w:numId w:val="4"/>
      </w:numPr>
      <w:tabs>
        <w:tab w:val="left" w:pos="567"/>
      </w:tabs>
      <w:spacing w:line="360" w:lineRule="atLeast"/>
      <w:ind w:left="862"/>
      <w:jc w:val="both"/>
    </w:pPr>
    <w:rPr>
      <w:rFonts w:ascii="Times New Roman" w:hAnsi="Times New Roman"/>
      <w:bCs/>
      <w:color w:val="000000"/>
      <w:sz w:val="28"/>
      <w:szCs w:val="28"/>
    </w:rPr>
  </w:style>
  <w:style w:type="character" w:customStyle="1" w:styleId="A3">
    <w:name w:val="A3"/>
    <w:rsid w:val="00690965"/>
    <w:rPr>
      <w:color w:val="000000"/>
      <w:sz w:val="15"/>
    </w:rPr>
  </w:style>
  <w:style w:type="paragraph" w:customStyle="1" w:styleId="Sinespaciado4">
    <w:name w:val="Sin espaciado4"/>
    <w:rsid w:val="000F64BC"/>
    <w:pPr>
      <w:spacing w:after="0" w:line="240" w:lineRule="auto"/>
    </w:pPr>
    <w:rPr>
      <w:rFonts w:ascii="Calibri" w:eastAsia="Calibri" w:hAnsi="Calibri" w:cs="Times New Roman"/>
      <w:sz w:val="22"/>
      <w:lang w:val="es-CO"/>
    </w:rPr>
  </w:style>
  <w:style w:type="paragraph" w:customStyle="1" w:styleId="Sinespaciado5">
    <w:name w:val="Sin espaciado5"/>
    <w:rsid w:val="008305F9"/>
    <w:pPr>
      <w:spacing w:after="0" w:line="240" w:lineRule="auto"/>
    </w:pPr>
    <w:rPr>
      <w:rFonts w:ascii="Calibri" w:eastAsia="Times New Roman" w:hAnsi="Calibri" w:cs="Times New Roman"/>
      <w:sz w:val="22"/>
      <w:lang w:val="es-CO"/>
    </w:rPr>
  </w:style>
  <w:style w:type="paragraph" w:customStyle="1" w:styleId="Prrafodelista3">
    <w:name w:val="Párrafo de lista3"/>
    <w:basedOn w:val="Normal"/>
    <w:rsid w:val="008305F9"/>
    <w:pPr>
      <w:ind w:left="708"/>
    </w:pPr>
    <w:rPr>
      <w:rFonts w:eastAsia="Calibri"/>
    </w:rPr>
  </w:style>
  <w:style w:type="character" w:customStyle="1" w:styleId="Ttulo3Car">
    <w:name w:val="Título 3 Car"/>
    <w:basedOn w:val="Fuentedeprrafopredeter"/>
    <w:link w:val="Ttulo3"/>
    <w:uiPriority w:val="9"/>
    <w:semiHidden/>
    <w:rsid w:val="00C24FE2"/>
    <w:rPr>
      <w:rFonts w:asciiTheme="majorHAnsi" w:eastAsiaTheme="majorEastAsia" w:hAnsiTheme="majorHAnsi" w:cstheme="majorBidi"/>
      <w:color w:val="1F4D78" w:themeColor="accent1" w:themeShade="7F"/>
      <w:sz w:val="24"/>
      <w:szCs w:val="24"/>
      <w:lang w:val="es-CO" w:eastAsia="es-ES"/>
    </w:rPr>
  </w:style>
  <w:style w:type="character" w:customStyle="1" w:styleId="Ttulo4Car">
    <w:name w:val="Título 4 Car"/>
    <w:basedOn w:val="Fuentedeprrafopredeter"/>
    <w:link w:val="Ttulo4"/>
    <w:uiPriority w:val="9"/>
    <w:semiHidden/>
    <w:rsid w:val="00D807BB"/>
    <w:rPr>
      <w:rFonts w:asciiTheme="majorHAnsi" w:eastAsiaTheme="majorEastAsia" w:hAnsiTheme="majorHAnsi" w:cstheme="majorBidi"/>
      <w:i/>
      <w:iCs/>
      <w:color w:val="2E74B5" w:themeColor="accent1" w:themeShade="BF"/>
      <w:sz w:val="24"/>
      <w:szCs w:val="24"/>
      <w:lang w:val="es-CO" w:eastAsia="es-ES"/>
    </w:rPr>
  </w:style>
  <w:style w:type="paragraph" w:customStyle="1" w:styleId="Sinespaciado6">
    <w:name w:val="Sin espaciado6"/>
    <w:rsid w:val="006A0A98"/>
    <w:pPr>
      <w:spacing w:after="0" w:line="240" w:lineRule="auto"/>
    </w:pPr>
    <w:rPr>
      <w:rFonts w:ascii="Calibri" w:eastAsia="Times New Roman" w:hAnsi="Calibri" w:cs="Times New Roman"/>
      <w:sz w:val="22"/>
      <w:lang w:val="es-CO"/>
    </w:rPr>
  </w:style>
  <w:style w:type="paragraph" w:customStyle="1" w:styleId="Sinespaciado7">
    <w:name w:val="Sin espaciado7"/>
    <w:rsid w:val="006C0C17"/>
    <w:pPr>
      <w:spacing w:after="0" w:line="240" w:lineRule="auto"/>
    </w:pPr>
    <w:rPr>
      <w:rFonts w:ascii="Calibri" w:eastAsia="Times New Roman" w:hAnsi="Calibri" w:cs="Times New Roman"/>
      <w:sz w:val="22"/>
      <w:lang w:val="es-CO"/>
    </w:rPr>
  </w:style>
  <w:style w:type="paragraph" w:customStyle="1" w:styleId="Prrafodelista4">
    <w:name w:val="Párrafo de lista4"/>
    <w:basedOn w:val="Normal"/>
    <w:rsid w:val="006C0C17"/>
    <w:pPr>
      <w:ind w:left="708"/>
    </w:pPr>
    <w:rPr>
      <w:rFonts w:eastAsia="Calibri"/>
    </w:rPr>
  </w:style>
  <w:style w:type="paragraph" w:styleId="Sinespaciado">
    <w:name w:val="No Spacing"/>
    <w:uiPriority w:val="1"/>
    <w:qFormat/>
    <w:rsid w:val="00A6174B"/>
    <w:pPr>
      <w:spacing w:after="0" w:line="240" w:lineRule="auto"/>
    </w:pPr>
    <w:rPr>
      <w:rFonts w:ascii="Calibri" w:eastAsia="Times New Roman" w:hAnsi="Calibri" w:cs="Times New Roman"/>
      <w:sz w:val="22"/>
      <w:lang w:val="es-CO"/>
    </w:rPr>
  </w:style>
  <w:style w:type="numbering" w:customStyle="1" w:styleId="Estilo1">
    <w:name w:val="Estilo1"/>
    <w:uiPriority w:val="99"/>
    <w:rsid w:val="00175C97"/>
    <w:pPr>
      <w:numPr>
        <w:numId w:val="15"/>
      </w:numPr>
    </w:pPr>
  </w:style>
  <w:style w:type="numbering" w:customStyle="1" w:styleId="Estilo2">
    <w:name w:val="Estilo2"/>
    <w:uiPriority w:val="99"/>
    <w:rsid w:val="00F63730"/>
    <w:pPr>
      <w:numPr>
        <w:numId w:val="16"/>
      </w:numPr>
    </w:pPr>
  </w:style>
  <w:style w:type="numbering" w:customStyle="1" w:styleId="Estilo3">
    <w:name w:val="Estilo3"/>
    <w:uiPriority w:val="99"/>
    <w:rsid w:val="0090647F"/>
    <w:pPr>
      <w:numPr>
        <w:numId w:val="18"/>
      </w:numPr>
    </w:pPr>
  </w:style>
  <w:style w:type="numbering" w:customStyle="1" w:styleId="Estilo4">
    <w:name w:val="Estilo4"/>
    <w:uiPriority w:val="99"/>
    <w:rsid w:val="00BF3F1B"/>
    <w:pPr>
      <w:numPr>
        <w:numId w:val="30"/>
      </w:numPr>
    </w:pPr>
  </w:style>
  <w:style w:type="paragraph" w:styleId="Revisin">
    <w:name w:val="Revision"/>
    <w:hidden/>
    <w:uiPriority w:val="99"/>
    <w:semiHidden/>
    <w:rsid w:val="00ED00A1"/>
    <w:pPr>
      <w:spacing w:after="0" w:line="240" w:lineRule="auto"/>
    </w:pPr>
    <w:rPr>
      <w:rFonts w:eastAsia="Times New Roman" w:cs="Times New Roman"/>
      <w:sz w:val="24"/>
      <w:szCs w:val="24"/>
      <w:lang w:val="es-CO" w:eastAsia="es-ES"/>
    </w:rPr>
  </w:style>
  <w:style w:type="paragraph" w:customStyle="1" w:styleId="Sangradetindependiente">
    <w:name w:val="Sangría de t. independiente"/>
    <w:basedOn w:val="Normal"/>
    <w:uiPriority w:val="99"/>
    <w:rsid w:val="00E54CC7"/>
    <w:pPr>
      <w:jc w:val="both"/>
    </w:pPr>
    <w:rPr>
      <w:sz w:val="28"/>
      <w:szCs w:val="28"/>
    </w:rPr>
  </w:style>
  <w:style w:type="numbering" w:customStyle="1" w:styleId="Estilo5">
    <w:name w:val="Estilo5"/>
    <w:uiPriority w:val="99"/>
    <w:rsid w:val="007C691D"/>
    <w:pPr>
      <w:numPr>
        <w:numId w:val="37"/>
      </w:numPr>
    </w:pPr>
  </w:style>
  <w:style w:type="numbering" w:customStyle="1" w:styleId="Estilo6">
    <w:name w:val="Estilo6"/>
    <w:uiPriority w:val="99"/>
    <w:rsid w:val="00ED12B9"/>
    <w:pPr>
      <w:numPr>
        <w:numId w:val="38"/>
      </w:numPr>
    </w:pPr>
  </w:style>
  <w:style w:type="character" w:styleId="Hipervnculovisitado">
    <w:name w:val="FollowedHyperlink"/>
    <w:basedOn w:val="Fuentedeprrafopredeter"/>
    <w:uiPriority w:val="99"/>
    <w:semiHidden/>
    <w:unhideWhenUsed/>
    <w:rsid w:val="00967309"/>
    <w:rPr>
      <w:color w:val="954F72" w:themeColor="followedHyperlink"/>
      <w:u w:val="single"/>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5B4C00"/>
    <w:pPr>
      <w:jc w:val="both"/>
    </w:pPr>
    <w:rPr>
      <w:rFonts w:eastAsiaTheme="minorHAnsi"/>
      <w:sz w:val="28"/>
      <w:szCs w:val="22"/>
      <w:vertAlign w:val="superscript"/>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874217">
      <w:bodyDiv w:val="1"/>
      <w:marLeft w:val="0"/>
      <w:marRight w:val="0"/>
      <w:marTop w:val="0"/>
      <w:marBottom w:val="0"/>
      <w:divBdr>
        <w:top w:val="none" w:sz="0" w:space="0" w:color="auto"/>
        <w:left w:val="none" w:sz="0" w:space="0" w:color="auto"/>
        <w:bottom w:val="none" w:sz="0" w:space="0" w:color="auto"/>
        <w:right w:val="none" w:sz="0" w:space="0" w:color="auto"/>
      </w:divBdr>
    </w:div>
    <w:div w:id="370498317">
      <w:bodyDiv w:val="1"/>
      <w:marLeft w:val="0"/>
      <w:marRight w:val="0"/>
      <w:marTop w:val="0"/>
      <w:marBottom w:val="0"/>
      <w:divBdr>
        <w:top w:val="none" w:sz="0" w:space="0" w:color="auto"/>
        <w:left w:val="none" w:sz="0" w:space="0" w:color="auto"/>
        <w:bottom w:val="none" w:sz="0" w:space="0" w:color="auto"/>
        <w:right w:val="none" w:sz="0" w:space="0" w:color="auto"/>
      </w:divBdr>
    </w:div>
    <w:div w:id="409157794">
      <w:bodyDiv w:val="1"/>
      <w:marLeft w:val="0"/>
      <w:marRight w:val="0"/>
      <w:marTop w:val="0"/>
      <w:marBottom w:val="0"/>
      <w:divBdr>
        <w:top w:val="none" w:sz="0" w:space="0" w:color="auto"/>
        <w:left w:val="none" w:sz="0" w:space="0" w:color="auto"/>
        <w:bottom w:val="none" w:sz="0" w:space="0" w:color="auto"/>
        <w:right w:val="none" w:sz="0" w:space="0" w:color="auto"/>
      </w:divBdr>
    </w:div>
    <w:div w:id="567351263">
      <w:bodyDiv w:val="1"/>
      <w:marLeft w:val="0"/>
      <w:marRight w:val="0"/>
      <w:marTop w:val="0"/>
      <w:marBottom w:val="0"/>
      <w:divBdr>
        <w:top w:val="none" w:sz="0" w:space="0" w:color="auto"/>
        <w:left w:val="none" w:sz="0" w:space="0" w:color="auto"/>
        <w:bottom w:val="none" w:sz="0" w:space="0" w:color="auto"/>
        <w:right w:val="none" w:sz="0" w:space="0" w:color="auto"/>
      </w:divBdr>
    </w:div>
    <w:div w:id="641815045">
      <w:bodyDiv w:val="1"/>
      <w:marLeft w:val="0"/>
      <w:marRight w:val="0"/>
      <w:marTop w:val="0"/>
      <w:marBottom w:val="0"/>
      <w:divBdr>
        <w:top w:val="none" w:sz="0" w:space="0" w:color="auto"/>
        <w:left w:val="none" w:sz="0" w:space="0" w:color="auto"/>
        <w:bottom w:val="none" w:sz="0" w:space="0" w:color="auto"/>
        <w:right w:val="none" w:sz="0" w:space="0" w:color="auto"/>
      </w:divBdr>
    </w:div>
    <w:div w:id="810442658">
      <w:bodyDiv w:val="1"/>
      <w:marLeft w:val="0"/>
      <w:marRight w:val="0"/>
      <w:marTop w:val="0"/>
      <w:marBottom w:val="0"/>
      <w:divBdr>
        <w:top w:val="none" w:sz="0" w:space="0" w:color="auto"/>
        <w:left w:val="none" w:sz="0" w:space="0" w:color="auto"/>
        <w:bottom w:val="none" w:sz="0" w:space="0" w:color="auto"/>
        <w:right w:val="none" w:sz="0" w:space="0" w:color="auto"/>
      </w:divBdr>
    </w:div>
    <w:div w:id="1221793617">
      <w:bodyDiv w:val="1"/>
      <w:marLeft w:val="0"/>
      <w:marRight w:val="0"/>
      <w:marTop w:val="0"/>
      <w:marBottom w:val="0"/>
      <w:divBdr>
        <w:top w:val="none" w:sz="0" w:space="0" w:color="auto"/>
        <w:left w:val="none" w:sz="0" w:space="0" w:color="auto"/>
        <w:bottom w:val="none" w:sz="0" w:space="0" w:color="auto"/>
        <w:right w:val="none" w:sz="0" w:space="0" w:color="auto"/>
      </w:divBdr>
    </w:div>
    <w:div w:id="1403991003">
      <w:bodyDiv w:val="1"/>
      <w:marLeft w:val="0"/>
      <w:marRight w:val="0"/>
      <w:marTop w:val="0"/>
      <w:marBottom w:val="0"/>
      <w:divBdr>
        <w:top w:val="none" w:sz="0" w:space="0" w:color="auto"/>
        <w:left w:val="none" w:sz="0" w:space="0" w:color="auto"/>
        <w:bottom w:val="none" w:sz="0" w:space="0" w:color="auto"/>
        <w:right w:val="none" w:sz="0" w:space="0" w:color="auto"/>
      </w:divBdr>
    </w:div>
    <w:div w:id="1992099530">
      <w:bodyDiv w:val="1"/>
      <w:marLeft w:val="0"/>
      <w:marRight w:val="0"/>
      <w:marTop w:val="0"/>
      <w:marBottom w:val="0"/>
      <w:divBdr>
        <w:top w:val="none" w:sz="0" w:space="0" w:color="auto"/>
        <w:left w:val="none" w:sz="0" w:space="0" w:color="auto"/>
        <w:bottom w:val="none" w:sz="0" w:space="0" w:color="auto"/>
        <w:right w:val="none" w:sz="0" w:space="0" w:color="auto"/>
      </w:divBdr>
    </w:div>
    <w:div w:id="201013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ramajudicial.gov.co/web/seguimiento-tutela-t_760-del-2008/inicio" TargetMode="External"/><Relationship Id="rId18" Type="http://schemas.openxmlformats.org/officeDocument/2006/relationships/hyperlink" Target="https://www.ramajudicial.gov.co/web/seguimiento-tutela-t_760-del-2008/autos-generico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ramajudicial.gov.co/" TargetMode="External"/><Relationship Id="rId17" Type="http://schemas.openxmlformats.org/officeDocument/2006/relationships/hyperlink" Target="https://www.ramajudicial.gov.co/web/seguimiento-tutela-t_760-del-2008/normatividad-y-doctrina-sidn" TargetMode="External"/><Relationship Id="rId2" Type="http://schemas.openxmlformats.org/officeDocument/2006/relationships/numbering" Target="numbering.xml"/><Relationship Id="rId16" Type="http://schemas.openxmlformats.org/officeDocument/2006/relationships/hyperlink" Target="https://www.ramajudicial.gov.co/web/seguimiento-tutela-t_760-del-2008/videoteca"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amajudicial.gov.co"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amajudicial.gov.co/documents/3006721/12600143/informe+sentencia+t+760+de+2008+5-12-2017.pdf/80acb582-898b-4072-8b0d-1fae82e706ae" TargetMode="External"/><Relationship Id="rId23" Type="http://schemas.openxmlformats.org/officeDocument/2006/relationships/fontTable" Target="fontTable.xml"/><Relationship Id="rId10" Type="http://schemas.openxmlformats.org/officeDocument/2006/relationships/hyperlink" Target="http://www.ramajudicial.gov.co"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amajudicial.gov.co" TargetMode="External"/><Relationship Id="rId14" Type="http://schemas.openxmlformats.org/officeDocument/2006/relationships/hyperlink" Target="https://www.ramajudicial.gov.co/web/seguimiento-tutela-t_760-del-2008/informes" TargetMode="External"/><Relationship Id="rId22"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youtube.com/watch?v=y7mWEnf4X_E" TargetMode="External"/><Relationship Id="rId2" Type="http://schemas.openxmlformats.org/officeDocument/2006/relationships/hyperlink" Target="https://www.youtube.com/watch?v=S7UlTnkXx1k" TargetMode="External"/><Relationship Id="rId1" Type="http://schemas.openxmlformats.org/officeDocument/2006/relationships/hyperlink" Target="http://172.16.7.104/videoteca/videoViewer.aspx?id=1202" TargetMode="External"/><Relationship Id="rId4" Type="http://schemas.openxmlformats.org/officeDocument/2006/relationships/hyperlink" Target="https://www.ramajudicial.gov.co/documents/3188226/14225208/Despachos_judiciales_pa%C3%ADs.pdf/c5b2a606-fd43-44f9-ad9b-144f174e0d6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F746C-3342-40C4-A60E-3E9F8F9A8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20422</Words>
  <Characters>112327</Characters>
  <Application>Microsoft Office Word</Application>
  <DocSecurity>0</DocSecurity>
  <Lines>936</Lines>
  <Paragraphs>264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Andres Berrocal Negrette</dc:creator>
  <cp:keywords/>
  <dc:description/>
  <cp:lastModifiedBy>Mónica Johana Giraldo Castañeda</cp:lastModifiedBy>
  <cp:revision>2</cp:revision>
  <cp:lastPrinted>2019-06-14T21:38:00Z</cp:lastPrinted>
  <dcterms:created xsi:type="dcterms:W3CDTF">2019-07-12T20:36:00Z</dcterms:created>
  <dcterms:modified xsi:type="dcterms:W3CDTF">2019-07-12T20:36:00Z</dcterms:modified>
</cp:coreProperties>
</file>