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F45" w:rsidRPr="00DA1726" w:rsidRDefault="00D02C5A" w:rsidP="00DA1726">
      <w:pPr>
        <w:pStyle w:val="Ttulo3"/>
        <w:spacing w:line="240" w:lineRule="auto"/>
        <w:ind w:firstLine="0"/>
        <w:jc w:val="left"/>
        <w:rPr>
          <w:bCs/>
          <w:szCs w:val="28"/>
          <w:lang w:val="es-ES_tradnl"/>
        </w:rPr>
      </w:pPr>
      <w:bookmarkStart w:id="0" w:name="_GoBack"/>
      <w:bookmarkEnd w:id="0"/>
      <w:r w:rsidRPr="00DA1726">
        <w:rPr>
          <w:bCs/>
          <w:szCs w:val="28"/>
          <w:lang w:val="es-ES_tradnl"/>
        </w:rPr>
        <w:t>A</w:t>
      </w:r>
      <w:r w:rsidR="00DA1726" w:rsidRPr="00DA1726">
        <w:rPr>
          <w:bCs/>
          <w:szCs w:val="28"/>
          <w:lang w:val="es-ES_tradnl"/>
        </w:rPr>
        <w:t>uto</w:t>
      </w:r>
      <w:r w:rsidRPr="00DA1726">
        <w:rPr>
          <w:bCs/>
          <w:szCs w:val="28"/>
          <w:lang w:val="es-ES_tradnl"/>
        </w:rPr>
        <w:t xml:space="preserve"> 591</w:t>
      </w:r>
      <w:r w:rsidR="00DA1726">
        <w:rPr>
          <w:bCs/>
          <w:szCs w:val="28"/>
          <w:lang w:val="es-ES_tradnl"/>
        </w:rPr>
        <w:t>/</w:t>
      </w:r>
      <w:r w:rsidR="00EB1F45" w:rsidRPr="00DA1726">
        <w:rPr>
          <w:bCs/>
          <w:szCs w:val="28"/>
          <w:lang w:val="es-ES_tradnl"/>
        </w:rPr>
        <w:t>16</w:t>
      </w:r>
    </w:p>
    <w:p w:rsidR="00EB1F45" w:rsidRDefault="00EB1F45" w:rsidP="00DA1726">
      <w:pPr>
        <w:jc w:val="both"/>
        <w:rPr>
          <w:bCs/>
          <w:sz w:val="28"/>
          <w:szCs w:val="28"/>
          <w:lang w:val="es-ES_tradnl"/>
        </w:rPr>
      </w:pPr>
    </w:p>
    <w:p w:rsidR="00DA1726" w:rsidRPr="00DA1726" w:rsidRDefault="00DA1726" w:rsidP="00DA1726">
      <w:pPr>
        <w:jc w:val="both"/>
        <w:rPr>
          <w:bCs/>
          <w:sz w:val="28"/>
          <w:szCs w:val="28"/>
          <w:lang w:val="es-ES_tradnl"/>
        </w:rPr>
      </w:pPr>
    </w:p>
    <w:p w:rsidR="00EB1F45" w:rsidRPr="00DA1726" w:rsidRDefault="00EB1F45" w:rsidP="00DA1726">
      <w:pPr>
        <w:pStyle w:val="Sangradetextonormal"/>
        <w:jc w:val="both"/>
        <w:rPr>
          <w:lang w:val="es-CO"/>
        </w:rPr>
      </w:pPr>
      <w:r w:rsidRPr="00DA1726">
        <w:rPr>
          <w:lang w:val="es-CO"/>
        </w:rPr>
        <w:t>Referencia: Seguimiento a la</w:t>
      </w:r>
      <w:r w:rsidR="00DD69C6" w:rsidRPr="00DA1726">
        <w:rPr>
          <w:lang w:val="es-CO"/>
        </w:rPr>
        <w:t xml:space="preserve"> o</w:t>
      </w:r>
      <w:r w:rsidRPr="00DA1726">
        <w:rPr>
          <w:lang w:val="es-CO"/>
        </w:rPr>
        <w:t xml:space="preserve">rden </w:t>
      </w:r>
      <w:r w:rsidR="00DD69C6" w:rsidRPr="00DA1726">
        <w:rPr>
          <w:lang w:val="es-CO"/>
        </w:rPr>
        <w:t>vigésima</w:t>
      </w:r>
      <w:r w:rsidRPr="00DA1726">
        <w:rPr>
          <w:lang w:val="es-CO"/>
        </w:rPr>
        <w:t xml:space="preserve"> de la </w:t>
      </w:r>
      <w:r w:rsidR="00DD69C6" w:rsidRPr="00DA1726">
        <w:rPr>
          <w:lang w:val="es-CO"/>
        </w:rPr>
        <w:t>s</w:t>
      </w:r>
      <w:r w:rsidRPr="00DA1726">
        <w:rPr>
          <w:lang w:val="es-CO"/>
        </w:rPr>
        <w:t>entencia T-760 de 2008.</w:t>
      </w:r>
    </w:p>
    <w:p w:rsidR="00EB1F45" w:rsidRPr="00DA1726" w:rsidRDefault="00EB1F45" w:rsidP="00DA1726">
      <w:pPr>
        <w:pStyle w:val="Sangradetextonormal"/>
        <w:jc w:val="both"/>
        <w:rPr>
          <w:lang w:val="es-CO"/>
        </w:rPr>
      </w:pPr>
    </w:p>
    <w:p w:rsidR="00EB1F45" w:rsidRPr="00DA1726" w:rsidRDefault="00EB1F45" w:rsidP="00DA1726">
      <w:pPr>
        <w:pStyle w:val="Sangradetextonormal"/>
        <w:jc w:val="both"/>
      </w:pPr>
      <w:r w:rsidRPr="00DA1726">
        <w:rPr>
          <w:lang w:val="es-CO"/>
        </w:rPr>
        <w:t xml:space="preserve">Asunto: </w:t>
      </w:r>
      <w:r w:rsidR="00DD69C6" w:rsidRPr="00DA1726">
        <w:rPr>
          <w:lang w:val="es-CO"/>
        </w:rPr>
        <w:t>Valoración de la orden</w:t>
      </w:r>
      <w:r w:rsidRPr="00DA1726">
        <w:rPr>
          <w:lang w:val="es-CO"/>
        </w:rPr>
        <w:t xml:space="preserve"> </w:t>
      </w:r>
      <w:r w:rsidR="0062135A" w:rsidRPr="00DA1726">
        <w:rPr>
          <w:lang w:val="es-CO"/>
        </w:rPr>
        <w:t>20,</w:t>
      </w:r>
      <w:r w:rsidRPr="00DA1726">
        <w:rPr>
          <w:lang w:val="es-CO"/>
        </w:rPr>
        <w:t xml:space="preserve"> </w:t>
      </w:r>
      <w:r w:rsidR="008D66F1" w:rsidRPr="00DA1726">
        <w:rPr>
          <w:i/>
          <w:lang w:val="es-CO"/>
        </w:rPr>
        <w:t>ranking</w:t>
      </w:r>
      <w:r w:rsidR="00DD69C6" w:rsidRPr="00DA1726">
        <w:rPr>
          <w:lang w:val="es-CO"/>
        </w:rPr>
        <w:t xml:space="preserve"> de </w:t>
      </w:r>
      <w:r w:rsidR="00EA4FAC" w:rsidRPr="00DA1726">
        <w:rPr>
          <w:lang w:val="es-CO"/>
        </w:rPr>
        <w:t>IPS</w:t>
      </w:r>
      <w:r w:rsidR="00DD69C6" w:rsidRPr="00DA1726">
        <w:rPr>
          <w:lang w:val="es-CO"/>
        </w:rPr>
        <w:t xml:space="preserve"> y </w:t>
      </w:r>
      <w:r w:rsidR="00EA4FAC" w:rsidRPr="00DA1726">
        <w:rPr>
          <w:lang w:val="es-CO"/>
        </w:rPr>
        <w:t>EPS</w:t>
      </w:r>
      <w:r w:rsidRPr="00DA1726">
        <w:rPr>
          <w:lang w:val="es-CO"/>
        </w:rPr>
        <w:t>.</w:t>
      </w:r>
    </w:p>
    <w:p w:rsidR="00EB1F45" w:rsidRPr="00DA1726" w:rsidRDefault="00EB1F45" w:rsidP="00DA1726">
      <w:pPr>
        <w:ind w:left="3969"/>
        <w:jc w:val="both"/>
        <w:rPr>
          <w:sz w:val="28"/>
          <w:szCs w:val="28"/>
          <w:lang w:val="es-ES_tradnl"/>
        </w:rPr>
      </w:pPr>
    </w:p>
    <w:p w:rsidR="00EB1F45" w:rsidRPr="00DA1726" w:rsidRDefault="00EB1F45" w:rsidP="00DA1726">
      <w:pPr>
        <w:ind w:left="3969"/>
        <w:jc w:val="both"/>
        <w:rPr>
          <w:sz w:val="28"/>
          <w:szCs w:val="28"/>
          <w:lang w:val="es-ES_tradnl"/>
        </w:rPr>
      </w:pPr>
      <w:r w:rsidRPr="00DA1726">
        <w:rPr>
          <w:sz w:val="28"/>
          <w:szCs w:val="28"/>
          <w:lang w:val="es-ES_tradnl"/>
        </w:rPr>
        <w:t>Magistrado Sustanciador:</w:t>
      </w:r>
    </w:p>
    <w:p w:rsidR="00EB1F45" w:rsidRPr="00DA1726" w:rsidRDefault="00EB1F45" w:rsidP="00DA1726">
      <w:pPr>
        <w:ind w:left="3969"/>
        <w:jc w:val="both"/>
        <w:rPr>
          <w:sz w:val="28"/>
          <w:szCs w:val="28"/>
          <w:lang w:val="es-ES_tradnl"/>
        </w:rPr>
      </w:pPr>
      <w:r w:rsidRPr="00DA1726">
        <w:rPr>
          <w:sz w:val="28"/>
          <w:szCs w:val="28"/>
          <w:lang w:val="es-ES_tradnl"/>
        </w:rPr>
        <w:t>JORGE IVÁN PALACIO PALACIO</w:t>
      </w:r>
    </w:p>
    <w:p w:rsidR="00EB1F45" w:rsidRPr="00DA1726" w:rsidRDefault="00EB1F45" w:rsidP="00DA1726">
      <w:pPr>
        <w:ind w:right="-91"/>
        <w:jc w:val="both"/>
        <w:rPr>
          <w:sz w:val="28"/>
          <w:szCs w:val="28"/>
          <w:lang w:val="es-ES_tradnl"/>
        </w:rPr>
      </w:pPr>
    </w:p>
    <w:p w:rsidR="00EB1F45" w:rsidRPr="00DA1726" w:rsidRDefault="00EB1F45" w:rsidP="00DA1726">
      <w:pPr>
        <w:ind w:right="-91"/>
        <w:jc w:val="both"/>
        <w:rPr>
          <w:sz w:val="28"/>
          <w:szCs w:val="28"/>
          <w:lang w:val="es-ES_tradnl"/>
        </w:rPr>
      </w:pPr>
    </w:p>
    <w:p w:rsidR="00EB1F45" w:rsidRPr="00DA1726" w:rsidRDefault="005C7941" w:rsidP="00DA1726">
      <w:pPr>
        <w:ind w:right="-91"/>
        <w:jc w:val="both"/>
        <w:rPr>
          <w:sz w:val="28"/>
          <w:szCs w:val="28"/>
          <w:lang w:val="es-ES_tradnl"/>
        </w:rPr>
      </w:pPr>
      <w:r w:rsidRPr="00DA1726">
        <w:rPr>
          <w:sz w:val="28"/>
          <w:szCs w:val="28"/>
          <w:lang w:val="es-ES_tradnl"/>
        </w:rPr>
        <w:t>Bogotá D.C., doce</w:t>
      </w:r>
      <w:r w:rsidR="00EB1F45" w:rsidRPr="00DA1726">
        <w:rPr>
          <w:sz w:val="28"/>
          <w:szCs w:val="28"/>
          <w:lang w:val="es-ES_tradnl"/>
        </w:rPr>
        <w:t xml:space="preserve"> (</w:t>
      </w:r>
      <w:r w:rsidRPr="00DA1726">
        <w:rPr>
          <w:sz w:val="28"/>
          <w:szCs w:val="28"/>
          <w:lang w:val="es-ES_tradnl"/>
        </w:rPr>
        <w:t>12</w:t>
      </w:r>
      <w:r w:rsidR="00EB1F45" w:rsidRPr="00DA1726">
        <w:rPr>
          <w:sz w:val="28"/>
          <w:szCs w:val="28"/>
          <w:lang w:val="es-ES_tradnl"/>
        </w:rPr>
        <w:t xml:space="preserve">) de </w:t>
      </w:r>
      <w:r w:rsidRPr="00DA1726">
        <w:rPr>
          <w:sz w:val="28"/>
          <w:szCs w:val="28"/>
          <w:lang w:val="es-ES_tradnl"/>
        </w:rPr>
        <w:t>diciembre</w:t>
      </w:r>
      <w:r w:rsidR="00EB1F45" w:rsidRPr="00DA1726">
        <w:rPr>
          <w:sz w:val="28"/>
          <w:szCs w:val="28"/>
          <w:lang w:val="es-ES_tradnl"/>
        </w:rPr>
        <w:t xml:space="preserve"> de dos mil dieciséis (2016).</w:t>
      </w:r>
    </w:p>
    <w:p w:rsidR="00EB1F45" w:rsidRDefault="00EB1F45" w:rsidP="00DA1726">
      <w:pPr>
        <w:ind w:right="-91"/>
        <w:jc w:val="both"/>
        <w:rPr>
          <w:sz w:val="28"/>
          <w:szCs w:val="28"/>
          <w:lang w:val="es-ES_tradnl"/>
        </w:rPr>
      </w:pPr>
    </w:p>
    <w:p w:rsidR="00DA1726" w:rsidRPr="00DA1726" w:rsidRDefault="00DA1726" w:rsidP="00DA1726">
      <w:pPr>
        <w:ind w:right="-91"/>
        <w:jc w:val="both"/>
        <w:rPr>
          <w:sz w:val="28"/>
          <w:szCs w:val="28"/>
          <w:lang w:val="es-ES_tradnl"/>
        </w:rPr>
      </w:pPr>
    </w:p>
    <w:p w:rsidR="00EB1F45" w:rsidRPr="00DA1726" w:rsidRDefault="00EB1F45" w:rsidP="00DA1726">
      <w:pPr>
        <w:jc w:val="both"/>
        <w:rPr>
          <w:snapToGrid w:val="0"/>
          <w:sz w:val="28"/>
          <w:szCs w:val="28"/>
          <w:lang w:val="es-ES_tradnl"/>
        </w:rPr>
      </w:pPr>
      <w:r w:rsidRPr="00DA1726">
        <w:rPr>
          <w:color w:val="000000"/>
          <w:sz w:val="28"/>
          <w:szCs w:val="28"/>
          <w:shd w:val="clear" w:color="auto" w:fill="FFFFFF"/>
        </w:rPr>
        <w:t>La Sala Especial conformada para efectuar el seguimiento al cumplimiento de la Sentencia T-760 de 2008, integrada por los magistrados Alejandro Linares Cantillo, Gabriel Eduardo Mendoza Marte</w:t>
      </w:r>
      <w:r w:rsidR="00CA7ECD" w:rsidRPr="00DA1726">
        <w:rPr>
          <w:color w:val="000000"/>
          <w:sz w:val="28"/>
          <w:szCs w:val="28"/>
          <w:shd w:val="clear" w:color="auto" w:fill="FFFFFF"/>
        </w:rPr>
        <w:t>lo y Jorge Iván Palacio Palacio</w:t>
      </w:r>
      <w:r w:rsidRPr="00DA1726">
        <w:rPr>
          <w:color w:val="000000"/>
          <w:sz w:val="28"/>
          <w:szCs w:val="28"/>
          <w:shd w:val="clear" w:color="auto" w:fill="FFFFFF"/>
        </w:rPr>
        <w:t xml:space="preserve"> quien la preside, en ejercicio de sus competencias constitucionales y legales, procede a dictar el presente auto, con base en los siguientes</w:t>
      </w:r>
    </w:p>
    <w:p w:rsidR="00EB1F45" w:rsidRPr="00DA1726" w:rsidRDefault="00EB1F45" w:rsidP="00DA1726">
      <w:pPr>
        <w:jc w:val="both"/>
        <w:rPr>
          <w:snapToGrid w:val="0"/>
          <w:sz w:val="28"/>
          <w:szCs w:val="28"/>
          <w:lang w:val="es-ES_tradnl"/>
        </w:rPr>
      </w:pPr>
    </w:p>
    <w:p w:rsidR="00EB1F45" w:rsidRPr="00DA1726" w:rsidRDefault="00EB1F45" w:rsidP="00DA1726">
      <w:pPr>
        <w:numPr>
          <w:ilvl w:val="0"/>
          <w:numId w:val="1"/>
        </w:numPr>
        <w:ind w:left="0" w:firstLine="0"/>
        <w:jc w:val="both"/>
        <w:rPr>
          <w:b/>
          <w:snapToGrid w:val="0"/>
          <w:sz w:val="28"/>
          <w:szCs w:val="28"/>
          <w:lang w:val="es-ES_tradnl"/>
        </w:rPr>
      </w:pPr>
      <w:r w:rsidRPr="00DA1726">
        <w:rPr>
          <w:b/>
          <w:snapToGrid w:val="0"/>
          <w:sz w:val="28"/>
          <w:szCs w:val="28"/>
          <w:lang w:val="es-ES_tradnl"/>
        </w:rPr>
        <w:t>ANTECEDENTES.</w:t>
      </w:r>
    </w:p>
    <w:p w:rsidR="00EB1F45" w:rsidRPr="00DA1726" w:rsidRDefault="00EB1F45" w:rsidP="00DA1726">
      <w:pPr>
        <w:ind w:right="-40"/>
        <w:jc w:val="both"/>
        <w:rPr>
          <w:sz w:val="28"/>
          <w:szCs w:val="28"/>
        </w:rPr>
      </w:pPr>
    </w:p>
    <w:p w:rsidR="00EB1F45" w:rsidRPr="00DA1726" w:rsidRDefault="00EB1F45" w:rsidP="00DA1726">
      <w:pPr>
        <w:widowControl w:val="0"/>
        <w:autoSpaceDE w:val="0"/>
        <w:autoSpaceDN w:val="0"/>
        <w:adjustRightInd w:val="0"/>
        <w:jc w:val="both"/>
        <w:rPr>
          <w:b/>
          <w:sz w:val="28"/>
          <w:szCs w:val="28"/>
        </w:rPr>
      </w:pPr>
      <w:r w:rsidRPr="00DA1726">
        <w:rPr>
          <w:b/>
          <w:sz w:val="28"/>
          <w:szCs w:val="28"/>
        </w:rPr>
        <w:t>Generalidades</w:t>
      </w:r>
      <w:r w:rsidR="009F6663" w:rsidRPr="00DA1726">
        <w:rPr>
          <w:b/>
          <w:sz w:val="28"/>
          <w:szCs w:val="28"/>
        </w:rPr>
        <w:t xml:space="preserve"> de la</w:t>
      </w:r>
      <w:r w:rsidRPr="00DA1726">
        <w:rPr>
          <w:b/>
          <w:sz w:val="28"/>
          <w:szCs w:val="28"/>
        </w:rPr>
        <w:t xml:space="preserve"> </w:t>
      </w:r>
      <w:r w:rsidR="009F6663" w:rsidRPr="00DA1726">
        <w:rPr>
          <w:b/>
          <w:sz w:val="28"/>
          <w:szCs w:val="28"/>
        </w:rPr>
        <w:t>orden</w:t>
      </w:r>
      <w:r w:rsidRPr="00DA1726">
        <w:rPr>
          <w:b/>
          <w:sz w:val="28"/>
          <w:szCs w:val="28"/>
        </w:rPr>
        <w:t xml:space="preserve"> </w:t>
      </w:r>
      <w:r w:rsidR="009F6663" w:rsidRPr="00DA1726">
        <w:rPr>
          <w:b/>
          <w:sz w:val="28"/>
          <w:szCs w:val="28"/>
        </w:rPr>
        <w:t>vigésima</w:t>
      </w:r>
      <w:r w:rsidRPr="00DA1726">
        <w:rPr>
          <w:b/>
          <w:sz w:val="28"/>
          <w:szCs w:val="28"/>
        </w:rPr>
        <w:t xml:space="preserve"> de la sentencia T-760 de 2008.</w:t>
      </w:r>
    </w:p>
    <w:p w:rsidR="00CA7ECD" w:rsidRPr="00DA1726" w:rsidRDefault="00CA7ECD" w:rsidP="00DA1726">
      <w:pPr>
        <w:pStyle w:val="Prrafodelista"/>
        <w:widowControl w:val="0"/>
        <w:tabs>
          <w:tab w:val="left" w:pos="426"/>
        </w:tabs>
        <w:autoSpaceDE w:val="0"/>
        <w:autoSpaceDN w:val="0"/>
        <w:adjustRightInd w:val="0"/>
        <w:ind w:left="0"/>
        <w:jc w:val="both"/>
        <w:rPr>
          <w:sz w:val="28"/>
          <w:szCs w:val="28"/>
        </w:rPr>
      </w:pPr>
    </w:p>
    <w:p w:rsidR="00EB1F45" w:rsidRPr="00DA1726" w:rsidRDefault="00EB1F45" w:rsidP="00DA1726">
      <w:pPr>
        <w:pStyle w:val="Prrafodelista"/>
        <w:widowControl w:val="0"/>
        <w:numPr>
          <w:ilvl w:val="3"/>
          <w:numId w:val="1"/>
        </w:numPr>
        <w:tabs>
          <w:tab w:val="left" w:pos="426"/>
        </w:tabs>
        <w:autoSpaceDE w:val="0"/>
        <w:autoSpaceDN w:val="0"/>
        <w:adjustRightInd w:val="0"/>
        <w:ind w:left="0" w:firstLine="0"/>
        <w:jc w:val="both"/>
        <w:rPr>
          <w:sz w:val="28"/>
          <w:szCs w:val="28"/>
          <w:lang w:val="es-ES_tradnl" w:eastAsia="es-ES_tradnl"/>
        </w:rPr>
      </w:pPr>
      <w:r w:rsidRPr="00DA1726">
        <w:rPr>
          <w:sz w:val="28"/>
          <w:szCs w:val="28"/>
          <w:lang w:eastAsia="es-ES_tradnl"/>
        </w:rPr>
        <w:t>La sentencia T-760 de 2008 estableció una serie de mandatos dirigidos a las autoridades del Sistema General de Seguridad Social en Salud -SGSSS-, con el fin de que adoptaran las medidas necesarias para enmendar las fallas de regulación identificadas a partir del análisis de los casos concretos acumulados y decididos en dicha providencia.</w:t>
      </w:r>
    </w:p>
    <w:p w:rsidR="00EB1F45" w:rsidRPr="00DA1726" w:rsidRDefault="00EB1F45" w:rsidP="00DA1726">
      <w:pPr>
        <w:pStyle w:val="Prrafodelista"/>
        <w:ind w:left="0"/>
        <w:jc w:val="both"/>
        <w:rPr>
          <w:sz w:val="28"/>
          <w:szCs w:val="28"/>
          <w:lang w:eastAsia="es-ES_tradnl"/>
        </w:rPr>
      </w:pPr>
    </w:p>
    <w:p w:rsidR="00384B46" w:rsidRPr="00DA1726" w:rsidRDefault="00EB1F45" w:rsidP="00DA1726">
      <w:pPr>
        <w:widowControl w:val="0"/>
        <w:tabs>
          <w:tab w:val="left" w:pos="426"/>
        </w:tabs>
        <w:autoSpaceDE w:val="0"/>
        <w:autoSpaceDN w:val="0"/>
        <w:adjustRightInd w:val="0"/>
        <w:jc w:val="both"/>
        <w:rPr>
          <w:sz w:val="28"/>
          <w:szCs w:val="28"/>
          <w:lang w:eastAsia="es-ES_tradnl"/>
        </w:rPr>
      </w:pPr>
      <w:r w:rsidRPr="00DA1726">
        <w:rPr>
          <w:sz w:val="28"/>
          <w:szCs w:val="28"/>
          <w:lang w:eastAsia="es-ES_tradnl"/>
        </w:rPr>
        <w:t>La Corte consideró que</w:t>
      </w:r>
      <w:r w:rsidR="00EA45D2" w:rsidRPr="00DA1726">
        <w:rPr>
          <w:sz w:val="28"/>
          <w:szCs w:val="28"/>
          <w:lang w:eastAsia="es-ES_tradnl"/>
        </w:rPr>
        <w:t xml:space="preserve"> </w:t>
      </w:r>
      <w:r w:rsidR="00384B46" w:rsidRPr="00DA1726">
        <w:rPr>
          <w:i/>
          <w:sz w:val="28"/>
          <w:szCs w:val="28"/>
          <w:lang w:eastAsia="es-ES_tradnl"/>
        </w:rPr>
        <w:t>“(…)</w:t>
      </w:r>
      <w:r w:rsidR="00384B46" w:rsidRPr="00DA1726">
        <w:rPr>
          <w:sz w:val="28"/>
          <w:szCs w:val="28"/>
          <w:lang w:eastAsia="es-ES_tradnl"/>
        </w:rPr>
        <w:t xml:space="preserve"> </w:t>
      </w:r>
      <w:r w:rsidR="00384B46" w:rsidRPr="00DA1726">
        <w:rPr>
          <w:i/>
          <w:sz w:val="28"/>
          <w:szCs w:val="28"/>
          <w:lang w:eastAsia="es-ES_tradnl"/>
        </w:rPr>
        <w:t xml:space="preserve">la libertad de escogencia es fundamental en el Sistema de Salud vigente, por cuanto permite a las personas desvincularse de aquellas entidades que no garantizan adecuadamente el goce efectivo de su derecho a la salud, a la vez que le permiten afiliarse a aquellas que demuestren que están prestando los servicios de salud con idoneidad, oportunidad y calidad </w:t>
      </w:r>
      <w:r w:rsidR="00384B46" w:rsidRPr="00DA1726">
        <w:rPr>
          <w:sz w:val="28"/>
          <w:szCs w:val="28"/>
          <w:lang w:eastAsia="es-ES_tradnl"/>
        </w:rPr>
        <w:t>(...)</w:t>
      </w:r>
      <w:r w:rsidR="00384B46" w:rsidRPr="00DA1726">
        <w:rPr>
          <w:i/>
          <w:sz w:val="28"/>
          <w:szCs w:val="28"/>
          <w:lang w:eastAsia="es-ES_tradnl"/>
        </w:rPr>
        <w:t xml:space="preserve"> Sin embargo, para que la libertad de escogencia de las entidades de salud por parte de las personas tenga el efecto de promover las buenas entidades y desincentivar a las malas, es preciso que la información sobre las mismas exista y pueda ser conocida por las personas en el momento de</w:t>
      </w:r>
      <w:r w:rsidR="00524DEB" w:rsidRPr="00DA1726">
        <w:rPr>
          <w:i/>
          <w:sz w:val="28"/>
          <w:szCs w:val="28"/>
          <w:lang w:eastAsia="es-ES_tradnl"/>
        </w:rPr>
        <w:t xml:space="preserve"> escoger la entidad en cuestión</w:t>
      </w:r>
      <w:r w:rsidR="00384B46" w:rsidRPr="00DA1726">
        <w:rPr>
          <w:i/>
          <w:sz w:val="28"/>
          <w:szCs w:val="28"/>
          <w:lang w:eastAsia="es-ES_tradnl"/>
        </w:rPr>
        <w:t>”</w:t>
      </w:r>
      <w:r w:rsidR="00524DEB" w:rsidRPr="00DA1726">
        <w:rPr>
          <w:i/>
          <w:sz w:val="28"/>
          <w:szCs w:val="28"/>
          <w:lang w:eastAsia="es-ES_tradnl"/>
        </w:rPr>
        <w:t>.</w:t>
      </w:r>
    </w:p>
    <w:p w:rsidR="00384B46" w:rsidRPr="00DA1726" w:rsidRDefault="00384B46" w:rsidP="00DA1726">
      <w:pPr>
        <w:widowControl w:val="0"/>
        <w:tabs>
          <w:tab w:val="left" w:pos="426"/>
        </w:tabs>
        <w:autoSpaceDE w:val="0"/>
        <w:autoSpaceDN w:val="0"/>
        <w:adjustRightInd w:val="0"/>
        <w:jc w:val="both"/>
        <w:rPr>
          <w:bCs/>
          <w:sz w:val="28"/>
          <w:szCs w:val="28"/>
          <w:lang w:eastAsia="es-ES_tradnl"/>
        </w:rPr>
      </w:pPr>
    </w:p>
    <w:p w:rsidR="00384B46" w:rsidRPr="00DA1726" w:rsidRDefault="00384B46" w:rsidP="00DA1726">
      <w:pPr>
        <w:widowControl w:val="0"/>
        <w:tabs>
          <w:tab w:val="left" w:pos="426"/>
        </w:tabs>
        <w:autoSpaceDE w:val="0"/>
        <w:autoSpaceDN w:val="0"/>
        <w:adjustRightInd w:val="0"/>
        <w:jc w:val="both"/>
        <w:rPr>
          <w:bCs/>
          <w:sz w:val="28"/>
          <w:szCs w:val="28"/>
          <w:lang w:eastAsia="es-ES_tradnl"/>
        </w:rPr>
      </w:pPr>
      <w:r w:rsidRPr="00DA1726">
        <w:rPr>
          <w:bCs/>
          <w:sz w:val="28"/>
          <w:szCs w:val="28"/>
          <w:lang w:eastAsia="es-ES_tradnl"/>
        </w:rPr>
        <w:t xml:space="preserve">En virtud de </w:t>
      </w:r>
      <w:r w:rsidR="007F3F14" w:rsidRPr="00DA1726">
        <w:rPr>
          <w:bCs/>
          <w:sz w:val="28"/>
          <w:szCs w:val="28"/>
          <w:lang w:eastAsia="es-ES_tradnl"/>
        </w:rPr>
        <w:t xml:space="preserve">superar </w:t>
      </w:r>
      <w:r w:rsidRPr="00DA1726">
        <w:rPr>
          <w:bCs/>
          <w:sz w:val="28"/>
          <w:szCs w:val="28"/>
          <w:lang w:eastAsia="es-ES_tradnl"/>
        </w:rPr>
        <w:t>esta problemática, en el ordinal vigésimo de la parte resolutiva de la citada sentencia, se dispuso:</w:t>
      </w:r>
    </w:p>
    <w:p w:rsidR="00384B46" w:rsidRPr="00DA1726" w:rsidRDefault="00384B46" w:rsidP="00DA1726">
      <w:pPr>
        <w:widowControl w:val="0"/>
        <w:tabs>
          <w:tab w:val="left" w:pos="426"/>
        </w:tabs>
        <w:autoSpaceDE w:val="0"/>
        <w:autoSpaceDN w:val="0"/>
        <w:adjustRightInd w:val="0"/>
        <w:jc w:val="both"/>
        <w:rPr>
          <w:bCs/>
          <w:sz w:val="28"/>
          <w:szCs w:val="28"/>
          <w:lang w:eastAsia="es-ES_tradnl"/>
        </w:rPr>
      </w:pPr>
    </w:p>
    <w:p w:rsidR="00384B46" w:rsidRPr="00DA1726" w:rsidRDefault="00384B46" w:rsidP="00DA1726">
      <w:pPr>
        <w:widowControl w:val="0"/>
        <w:tabs>
          <w:tab w:val="left" w:pos="709"/>
        </w:tabs>
        <w:autoSpaceDE w:val="0"/>
        <w:autoSpaceDN w:val="0"/>
        <w:adjustRightInd w:val="0"/>
        <w:ind w:left="426"/>
        <w:jc w:val="both"/>
        <w:rPr>
          <w:i/>
          <w:iCs/>
          <w:sz w:val="28"/>
          <w:szCs w:val="28"/>
          <w:lang w:eastAsia="es-ES_tradnl"/>
        </w:rPr>
      </w:pPr>
      <w:r w:rsidRPr="00DA1726">
        <w:rPr>
          <w:iCs/>
          <w:sz w:val="28"/>
          <w:szCs w:val="28"/>
          <w:lang w:eastAsia="es-ES_tradnl"/>
        </w:rPr>
        <w:t>“</w:t>
      </w:r>
      <w:r w:rsidRPr="00DA1726">
        <w:rPr>
          <w:i/>
          <w:iCs/>
          <w:sz w:val="28"/>
          <w:szCs w:val="28"/>
          <w:lang w:eastAsia="es-ES_tradnl"/>
        </w:rPr>
        <w:t>Ordenar al Ministerio de la Protección Social y a la Superintendencia Nacional de Salud que adopten las medidas para identificar las Entidades Promotoras de Salud y las Instituciones Prestadoras de Servicios que con mayor frecuencia se niegan a autorizar oportunamente servicios de salud incluidos en el POS o que se requieran con necesidad. Con este fin, el Ministerio y la Superintendencia deberán informar a la Defensoría del Pueblo, a la Procuraduría General de la Nación y a la Corte Constitucional (i) cuáles son las Entidades Promotoras de Salud y las Instituciones Prestadoras de Servicios que con mayor frecuencia incurren en prácticas violatorias del derecho a la salud de las personas; (ii) cuáles son las medidas concretas y específicas con relación a éstas entidades que se adoptaron en el pasado y las que se adelantan actualmente, en caso de haberlas adoptado; y (iii) cuáles son las medidas concretas y específicas que se han tomado para garantizar el goce efectivo del derecho a la salud, de las personas que se encuentran afiliadas a las Entidades Promotoras de Salud y las Instituciones Prestadoras de Servicios identificadas.</w:t>
      </w:r>
      <w:r w:rsidR="007F3F14" w:rsidRPr="00DA1726">
        <w:rPr>
          <w:i/>
          <w:iCs/>
          <w:sz w:val="28"/>
          <w:szCs w:val="28"/>
          <w:lang w:eastAsia="es-ES_tradnl"/>
        </w:rPr>
        <w:t>”</w:t>
      </w:r>
    </w:p>
    <w:p w:rsidR="00384B46" w:rsidRPr="00DA1726" w:rsidRDefault="00384B46" w:rsidP="00DA1726">
      <w:pPr>
        <w:widowControl w:val="0"/>
        <w:tabs>
          <w:tab w:val="left" w:pos="426"/>
        </w:tabs>
        <w:autoSpaceDE w:val="0"/>
        <w:autoSpaceDN w:val="0"/>
        <w:adjustRightInd w:val="0"/>
        <w:jc w:val="both"/>
        <w:rPr>
          <w:sz w:val="28"/>
          <w:szCs w:val="28"/>
          <w:lang w:eastAsia="es-ES_tradnl"/>
        </w:rPr>
      </w:pPr>
    </w:p>
    <w:p w:rsidR="007F3F14" w:rsidRPr="00DA1726" w:rsidRDefault="007F3F14" w:rsidP="00DA1726">
      <w:pPr>
        <w:pStyle w:val="Prrafodelista"/>
        <w:widowControl w:val="0"/>
        <w:numPr>
          <w:ilvl w:val="3"/>
          <w:numId w:val="1"/>
        </w:numPr>
        <w:tabs>
          <w:tab w:val="left" w:pos="426"/>
        </w:tabs>
        <w:autoSpaceDE w:val="0"/>
        <w:autoSpaceDN w:val="0"/>
        <w:adjustRightInd w:val="0"/>
        <w:ind w:left="0" w:firstLine="0"/>
        <w:jc w:val="both"/>
        <w:rPr>
          <w:b/>
          <w:sz w:val="28"/>
          <w:szCs w:val="28"/>
          <w:lang w:eastAsia="es-ES_tradnl"/>
        </w:rPr>
      </w:pPr>
      <w:r w:rsidRPr="00DA1726">
        <w:rPr>
          <w:b/>
          <w:sz w:val="28"/>
          <w:szCs w:val="28"/>
          <w:lang w:eastAsia="es-ES_tradnl"/>
        </w:rPr>
        <w:t xml:space="preserve">Desarrollo cronológico a </w:t>
      </w:r>
      <w:r w:rsidR="00B93B2C" w:rsidRPr="00DA1726">
        <w:rPr>
          <w:b/>
          <w:sz w:val="28"/>
          <w:szCs w:val="28"/>
          <w:lang w:eastAsia="es-ES_tradnl"/>
        </w:rPr>
        <w:t>partir de lo dispuesto en el auto 260 de 2012</w:t>
      </w:r>
      <w:r w:rsidRPr="00DA1726">
        <w:rPr>
          <w:sz w:val="28"/>
          <w:szCs w:val="28"/>
          <w:vertAlign w:val="superscript"/>
          <w:lang w:eastAsia="es-ES_tradnl"/>
        </w:rPr>
        <w:footnoteReference w:id="1"/>
      </w:r>
      <w:r w:rsidRPr="00DA1726">
        <w:rPr>
          <w:b/>
          <w:sz w:val="28"/>
          <w:szCs w:val="28"/>
          <w:lang w:eastAsia="es-ES_tradnl"/>
        </w:rPr>
        <w:t>.</w:t>
      </w:r>
    </w:p>
    <w:p w:rsidR="007F3F14" w:rsidRPr="00DA1726" w:rsidRDefault="007F3F14" w:rsidP="00DA1726">
      <w:pPr>
        <w:widowControl w:val="0"/>
        <w:tabs>
          <w:tab w:val="left" w:pos="426"/>
        </w:tabs>
        <w:autoSpaceDE w:val="0"/>
        <w:autoSpaceDN w:val="0"/>
        <w:adjustRightInd w:val="0"/>
        <w:jc w:val="both"/>
        <w:rPr>
          <w:sz w:val="28"/>
          <w:szCs w:val="28"/>
          <w:lang w:eastAsia="es-ES_tradnl"/>
        </w:rPr>
      </w:pPr>
    </w:p>
    <w:p w:rsidR="00B93B2C" w:rsidRPr="00DA1726" w:rsidRDefault="00524DEB" w:rsidP="00DA1726">
      <w:pPr>
        <w:pStyle w:val="Prrafodelista"/>
        <w:widowControl w:val="0"/>
        <w:numPr>
          <w:ilvl w:val="1"/>
          <w:numId w:val="40"/>
        </w:numPr>
        <w:tabs>
          <w:tab w:val="left" w:pos="426"/>
        </w:tabs>
        <w:autoSpaceDE w:val="0"/>
        <w:autoSpaceDN w:val="0"/>
        <w:adjustRightInd w:val="0"/>
        <w:ind w:left="0" w:firstLine="0"/>
        <w:jc w:val="both"/>
        <w:rPr>
          <w:sz w:val="28"/>
          <w:szCs w:val="28"/>
          <w:lang w:val="es-ES_tradnl"/>
        </w:rPr>
      </w:pPr>
      <w:r w:rsidRPr="00DA1726">
        <w:rPr>
          <w:sz w:val="28"/>
          <w:szCs w:val="28"/>
          <w:lang w:eastAsia="es-ES_tradnl"/>
        </w:rPr>
        <w:t>En el Auto 2</w:t>
      </w:r>
      <w:r w:rsidR="00B93B2C" w:rsidRPr="00DA1726">
        <w:rPr>
          <w:sz w:val="28"/>
          <w:szCs w:val="28"/>
          <w:lang w:eastAsia="es-ES_tradnl"/>
        </w:rPr>
        <w:t>6</w:t>
      </w:r>
      <w:r w:rsidRPr="00DA1726">
        <w:rPr>
          <w:sz w:val="28"/>
          <w:szCs w:val="28"/>
          <w:lang w:eastAsia="es-ES_tradnl"/>
        </w:rPr>
        <w:t>0</w:t>
      </w:r>
      <w:r w:rsidR="00B93B2C" w:rsidRPr="00DA1726">
        <w:rPr>
          <w:sz w:val="28"/>
          <w:szCs w:val="28"/>
          <w:lang w:eastAsia="es-ES_tradnl"/>
        </w:rPr>
        <w:t xml:space="preserve"> de 2012 la Sala Especial de Seguimiento valoró</w:t>
      </w:r>
      <w:r w:rsidR="00B93B2C" w:rsidRPr="00DA1726">
        <w:rPr>
          <w:sz w:val="28"/>
          <w:szCs w:val="28"/>
          <w:lang w:val="es-ES_tradnl"/>
        </w:rPr>
        <w:t xml:space="preserve"> el grado de cumplimiento del ordinal vigésimo de la sentencia T-760 de 2008, mediante la evaluación de los info</w:t>
      </w:r>
      <w:r w:rsidRPr="00DA1726">
        <w:rPr>
          <w:sz w:val="28"/>
          <w:szCs w:val="28"/>
          <w:lang w:val="es-ES_tradnl"/>
        </w:rPr>
        <w:t xml:space="preserve">rmes que sobre el </w:t>
      </w:r>
      <w:r w:rsidR="008D66F1" w:rsidRPr="00DA1726">
        <w:rPr>
          <w:i/>
          <w:sz w:val="28"/>
          <w:szCs w:val="28"/>
          <w:lang w:val="es-ES_tradnl"/>
        </w:rPr>
        <w:t>ranking</w:t>
      </w:r>
      <w:r w:rsidRPr="00DA1726">
        <w:rPr>
          <w:sz w:val="28"/>
          <w:szCs w:val="28"/>
          <w:lang w:val="es-ES_tradnl"/>
        </w:rPr>
        <w:t xml:space="preserve"> de entidades promotoras de salud e instituciones prestadoras de salud</w:t>
      </w:r>
      <w:r w:rsidR="00B93B2C" w:rsidRPr="00DA1726">
        <w:rPr>
          <w:sz w:val="28"/>
          <w:szCs w:val="28"/>
          <w:lang w:val="es-ES_tradnl"/>
        </w:rPr>
        <w:t xml:space="preserve"> ha</w:t>
      </w:r>
      <w:r w:rsidR="009D7A12" w:rsidRPr="00DA1726">
        <w:rPr>
          <w:sz w:val="28"/>
          <w:szCs w:val="28"/>
          <w:lang w:val="es-ES_tradnl"/>
        </w:rPr>
        <w:t>bía</w:t>
      </w:r>
      <w:r w:rsidR="00B93B2C" w:rsidRPr="00DA1726">
        <w:rPr>
          <w:sz w:val="28"/>
          <w:szCs w:val="28"/>
          <w:lang w:val="es-ES_tradnl"/>
        </w:rPr>
        <w:t>n presentado de forma conjunta el Ministerio de Salud y Protección Social y la Superintendencia Nacional de Salud.</w:t>
      </w:r>
    </w:p>
    <w:p w:rsidR="00B93B2C" w:rsidRPr="00DA1726" w:rsidRDefault="00B93B2C" w:rsidP="00DA1726">
      <w:pPr>
        <w:jc w:val="both"/>
        <w:rPr>
          <w:sz w:val="28"/>
          <w:szCs w:val="28"/>
          <w:lang w:val="es-ES_tradnl"/>
        </w:rPr>
      </w:pPr>
    </w:p>
    <w:p w:rsidR="00915F17" w:rsidRPr="00DA1726" w:rsidRDefault="00915F17" w:rsidP="00DA1726">
      <w:pPr>
        <w:pStyle w:val="Sinespaciado2"/>
        <w:jc w:val="both"/>
        <w:rPr>
          <w:sz w:val="28"/>
          <w:szCs w:val="28"/>
        </w:rPr>
      </w:pPr>
      <w:r w:rsidRPr="00DA1726">
        <w:rPr>
          <w:sz w:val="28"/>
          <w:szCs w:val="28"/>
          <w:lang w:val="es-ES_tradnl"/>
        </w:rPr>
        <w:t xml:space="preserve">En aquella oportunidad se encontró </w:t>
      </w:r>
      <w:r w:rsidR="00B93B2C" w:rsidRPr="00DA1726">
        <w:rPr>
          <w:sz w:val="28"/>
          <w:szCs w:val="28"/>
        </w:rPr>
        <w:t xml:space="preserve">que si bien los </w:t>
      </w:r>
      <w:r w:rsidR="00524DEB" w:rsidRPr="00DA1726">
        <w:rPr>
          <w:sz w:val="28"/>
          <w:szCs w:val="28"/>
        </w:rPr>
        <w:t>estudios</w:t>
      </w:r>
      <w:r w:rsidR="00B93B2C" w:rsidRPr="00DA1726">
        <w:rPr>
          <w:sz w:val="28"/>
          <w:szCs w:val="28"/>
        </w:rPr>
        <w:t xml:space="preserve"> presentados </w:t>
      </w:r>
      <w:r w:rsidRPr="00DA1726">
        <w:rPr>
          <w:sz w:val="28"/>
          <w:szCs w:val="28"/>
        </w:rPr>
        <w:t>constituían</w:t>
      </w:r>
      <w:r w:rsidR="00B93B2C" w:rsidRPr="00DA1726">
        <w:rPr>
          <w:sz w:val="28"/>
          <w:szCs w:val="28"/>
        </w:rPr>
        <w:t xml:space="preserve"> un avance en el cumplimiento de </w:t>
      </w:r>
      <w:r w:rsidRPr="00DA1726">
        <w:rPr>
          <w:sz w:val="28"/>
          <w:szCs w:val="28"/>
        </w:rPr>
        <w:t>lo dispuesto por la Corte</w:t>
      </w:r>
      <w:r w:rsidR="00B93B2C" w:rsidRPr="00DA1726">
        <w:rPr>
          <w:sz w:val="28"/>
          <w:szCs w:val="28"/>
        </w:rPr>
        <w:t xml:space="preserve">, los parámetros utilizados por dichas entidades para identificar las </w:t>
      </w:r>
      <w:r w:rsidR="00EA4FAC" w:rsidRPr="00DA1726">
        <w:rPr>
          <w:sz w:val="28"/>
          <w:szCs w:val="28"/>
        </w:rPr>
        <w:t>EPS</w:t>
      </w:r>
      <w:r w:rsidR="00B93B2C" w:rsidRPr="00DA1726">
        <w:rPr>
          <w:sz w:val="28"/>
          <w:szCs w:val="28"/>
        </w:rPr>
        <w:t xml:space="preserve"> e </w:t>
      </w:r>
      <w:r w:rsidR="00EA4FAC" w:rsidRPr="00DA1726">
        <w:rPr>
          <w:sz w:val="28"/>
          <w:szCs w:val="28"/>
        </w:rPr>
        <w:t>IPS</w:t>
      </w:r>
      <w:r w:rsidR="00B93B2C" w:rsidRPr="00DA1726">
        <w:rPr>
          <w:sz w:val="28"/>
          <w:szCs w:val="28"/>
        </w:rPr>
        <w:t xml:space="preserve"> que con mayor frecuencia incurren en </w:t>
      </w:r>
      <w:r w:rsidR="00B93B2C" w:rsidRPr="00DA1726">
        <w:rPr>
          <w:iCs/>
          <w:sz w:val="28"/>
          <w:szCs w:val="28"/>
        </w:rPr>
        <w:t xml:space="preserve">prácticas violatorias del derecho a la salud no </w:t>
      </w:r>
      <w:r w:rsidRPr="00DA1726">
        <w:rPr>
          <w:iCs/>
          <w:sz w:val="28"/>
          <w:szCs w:val="28"/>
        </w:rPr>
        <w:t>eran</w:t>
      </w:r>
      <w:r w:rsidR="00B93B2C" w:rsidRPr="00DA1726">
        <w:rPr>
          <w:iCs/>
          <w:sz w:val="28"/>
          <w:szCs w:val="28"/>
        </w:rPr>
        <w:t xml:space="preserve"> suficientes ni eficaces</w:t>
      </w:r>
      <w:r w:rsidRPr="00DA1726">
        <w:rPr>
          <w:iCs/>
          <w:sz w:val="28"/>
          <w:szCs w:val="28"/>
        </w:rPr>
        <w:t>. En este sentido</w:t>
      </w:r>
      <w:r w:rsidR="009D7A12" w:rsidRPr="00DA1726">
        <w:rPr>
          <w:iCs/>
          <w:sz w:val="28"/>
          <w:szCs w:val="28"/>
        </w:rPr>
        <w:t>,</w:t>
      </w:r>
      <w:r w:rsidRPr="00DA1726">
        <w:rPr>
          <w:iCs/>
          <w:sz w:val="28"/>
          <w:szCs w:val="28"/>
        </w:rPr>
        <w:t xml:space="preserve"> se declaró e</w:t>
      </w:r>
      <w:r w:rsidRPr="00DA1726">
        <w:rPr>
          <w:sz w:val="28"/>
          <w:szCs w:val="28"/>
        </w:rPr>
        <w:t>l cumplimiento parcial de la orden vigésima de la sentencia T-760 de 2008, en los términos señalados en la parte considerativa de esta providencia.</w:t>
      </w:r>
    </w:p>
    <w:p w:rsidR="00915F17" w:rsidRPr="00DA1726" w:rsidRDefault="00915F17" w:rsidP="00DA1726">
      <w:pPr>
        <w:widowControl w:val="0"/>
        <w:tabs>
          <w:tab w:val="left" w:pos="426"/>
        </w:tabs>
        <w:autoSpaceDE w:val="0"/>
        <w:autoSpaceDN w:val="0"/>
        <w:adjustRightInd w:val="0"/>
        <w:jc w:val="both"/>
        <w:rPr>
          <w:sz w:val="28"/>
          <w:szCs w:val="28"/>
          <w:lang w:eastAsia="es-ES_tradnl"/>
        </w:rPr>
      </w:pPr>
    </w:p>
    <w:p w:rsidR="00915F17" w:rsidRPr="00DA1726" w:rsidRDefault="00915F17" w:rsidP="00DA1726">
      <w:pPr>
        <w:widowControl w:val="0"/>
        <w:tabs>
          <w:tab w:val="left" w:pos="426"/>
        </w:tabs>
        <w:autoSpaceDE w:val="0"/>
        <w:autoSpaceDN w:val="0"/>
        <w:adjustRightInd w:val="0"/>
        <w:jc w:val="both"/>
        <w:rPr>
          <w:sz w:val="28"/>
          <w:szCs w:val="28"/>
        </w:rPr>
      </w:pPr>
      <w:r w:rsidRPr="00DA1726">
        <w:rPr>
          <w:sz w:val="28"/>
          <w:szCs w:val="28"/>
          <w:lang w:eastAsia="es-ES_tradnl"/>
        </w:rPr>
        <w:t xml:space="preserve">En procura de superar esta situación y a manera de derrotero, se ordenó al </w:t>
      </w:r>
      <w:r w:rsidRPr="00DA1726">
        <w:rPr>
          <w:sz w:val="28"/>
          <w:szCs w:val="28"/>
        </w:rPr>
        <w:t xml:space="preserve">Ministerio de Salud y Protección Social así como </w:t>
      </w:r>
      <w:r w:rsidR="009D7A12" w:rsidRPr="00DA1726">
        <w:rPr>
          <w:sz w:val="28"/>
          <w:szCs w:val="28"/>
        </w:rPr>
        <w:t xml:space="preserve">a </w:t>
      </w:r>
      <w:r w:rsidRPr="00DA1726">
        <w:rPr>
          <w:sz w:val="28"/>
          <w:szCs w:val="28"/>
        </w:rPr>
        <w:t>la Superintendencia Nacional de Salud, realizar de manera conjunta un</w:t>
      </w:r>
      <w:r w:rsidR="00524DEB" w:rsidRPr="00DA1726">
        <w:rPr>
          <w:sz w:val="28"/>
          <w:szCs w:val="28"/>
        </w:rPr>
        <w:t xml:space="preserve"> </w:t>
      </w:r>
      <w:r w:rsidR="008D66F1" w:rsidRPr="00DA1726">
        <w:rPr>
          <w:i/>
          <w:sz w:val="28"/>
          <w:szCs w:val="28"/>
        </w:rPr>
        <w:t>ranking</w:t>
      </w:r>
      <w:r w:rsidR="009D7A12" w:rsidRPr="00DA1726">
        <w:rPr>
          <w:sz w:val="28"/>
          <w:szCs w:val="28"/>
        </w:rPr>
        <w:t xml:space="preserve"> en el que identificara</w:t>
      </w:r>
      <w:r w:rsidRPr="00DA1726">
        <w:rPr>
          <w:sz w:val="28"/>
          <w:szCs w:val="28"/>
        </w:rPr>
        <w:t xml:space="preserve"> las </w:t>
      </w:r>
      <w:r w:rsidR="00524DEB" w:rsidRPr="00DA1726">
        <w:rPr>
          <w:sz w:val="28"/>
          <w:szCs w:val="28"/>
        </w:rPr>
        <w:t>p</w:t>
      </w:r>
      <w:r w:rsidRPr="00DA1726">
        <w:rPr>
          <w:sz w:val="28"/>
          <w:szCs w:val="28"/>
        </w:rPr>
        <w:t xml:space="preserve">romotoras </w:t>
      </w:r>
      <w:r w:rsidR="00524DEB" w:rsidRPr="00DA1726">
        <w:rPr>
          <w:sz w:val="28"/>
          <w:szCs w:val="28"/>
        </w:rPr>
        <w:t>y prestadoras</w:t>
      </w:r>
      <w:r w:rsidRPr="00DA1726">
        <w:rPr>
          <w:sz w:val="28"/>
          <w:szCs w:val="28"/>
        </w:rPr>
        <w:t xml:space="preserve"> que </w:t>
      </w:r>
      <w:r w:rsidR="008F438D" w:rsidRPr="00DA1726">
        <w:rPr>
          <w:sz w:val="28"/>
          <w:szCs w:val="28"/>
        </w:rPr>
        <w:t>incurren en mayores prácticas violatorias del derecho a la salud</w:t>
      </w:r>
      <w:r w:rsidRPr="00DA1726">
        <w:rPr>
          <w:sz w:val="28"/>
          <w:szCs w:val="28"/>
        </w:rPr>
        <w:t>, bajo los siguientes parámetros</w:t>
      </w:r>
      <w:r w:rsidR="00B332C8" w:rsidRPr="00DA1726">
        <w:rPr>
          <w:sz w:val="28"/>
          <w:szCs w:val="28"/>
          <w:vertAlign w:val="superscript"/>
        </w:rPr>
        <w:footnoteReference w:id="2"/>
      </w:r>
      <w:r w:rsidRPr="00DA1726">
        <w:rPr>
          <w:sz w:val="28"/>
          <w:szCs w:val="28"/>
        </w:rPr>
        <w:t>:</w:t>
      </w:r>
    </w:p>
    <w:p w:rsidR="00915F17" w:rsidRPr="00DA1726" w:rsidRDefault="00915F17" w:rsidP="00DA1726">
      <w:pPr>
        <w:pStyle w:val="Sinespaciado2"/>
        <w:tabs>
          <w:tab w:val="left" w:pos="567"/>
        </w:tabs>
        <w:jc w:val="both"/>
        <w:rPr>
          <w:sz w:val="28"/>
          <w:szCs w:val="28"/>
          <w:lang w:val="es-CO"/>
        </w:rPr>
      </w:pPr>
    </w:p>
    <w:p w:rsidR="00915F17" w:rsidRPr="00DA1726" w:rsidRDefault="00915F17" w:rsidP="00DA1726">
      <w:pPr>
        <w:pStyle w:val="Sinespaciado"/>
        <w:numPr>
          <w:ilvl w:val="0"/>
          <w:numId w:val="3"/>
        </w:numPr>
        <w:ind w:left="709"/>
        <w:jc w:val="both"/>
        <w:rPr>
          <w:rFonts w:ascii="Times New Roman" w:hAnsi="Times New Roman"/>
          <w:sz w:val="28"/>
          <w:szCs w:val="28"/>
        </w:rPr>
      </w:pPr>
      <w:r w:rsidRPr="00DA1726">
        <w:rPr>
          <w:rFonts w:ascii="Times New Roman" w:hAnsi="Times New Roman"/>
          <w:sz w:val="28"/>
          <w:szCs w:val="28"/>
        </w:rPr>
        <w:t>Se niegan a autorizar oportunamente servicios de salud incluidos en el POS.</w:t>
      </w:r>
    </w:p>
    <w:p w:rsidR="00915F17" w:rsidRPr="00DA1726" w:rsidRDefault="00915F17" w:rsidP="00DA1726">
      <w:pPr>
        <w:pStyle w:val="Sinespaciado"/>
        <w:ind w:left="709"/>
        <w:jc w:val="both"/>
        <w:rPr>
          <w:rFonts w:ascii="Times New Roman" w:hAnsi="Times New Roman"/>
          <w:sz w:val="28"/>
          <w:szCs w:val="28"/>
        </w:rPr>
      </w:pPr>
    </w:p>
    <w:p w:rsidR="00915F17" w:rsidRPr="00DA1726" w:rsidRDefault="00915F17" w:rsidP="00DA1726">
      <w:pPr>
        <w:pStyle w:val="Sinespaciado"/>
        <w:numPr>
          <w:ilvl w:val="0"/>
          <w:numId w:val="3"/>
        </w:numPr>
        <w:ind w:left="709"/>
        <w:jc w:val="both"/>
        <w:rPr>
          <w:rFonts w:ascii="Times New Roman" w:hAnsi="Times New Roman"/>
          <w:sz w:val="28"/>
          <w:szCs w:val="28"/>
        </w:rPr>
      </w:pPr>
      <w:r w:rsidRPr="00DA1726">
        <w:rPr>
          <w:rFonts w:ascii="Times New Roman" w:hAnsi="Times New Roman"/>
          <w:sz w:val="28"/>
          <w:szCs w:val="28"/>
        </w:rPr>
        <w:t>Se niegan a autorizar oportunamente servicios de salud excluidos del POS que se requieren con necesidad y que no pueden ser costeados por el interesado, bien sea porque su costo le resulta impagable dado su nivel de ingreso o porque le impone una carga desproporcionada.</w:t>
      </w:r>
    </w:p>
    <w:p w:rsidR="00915F17" w:rsidRPr="00DA1726" w:rsidRDefault="00915F17" w:rsidP="00DA1726">
      <w:pPr>
        <w:pStyle w:val="Sinespaciado"/>
        <w:ind w:left="709"/>
        <w:jc w:val="both"/>
        <w:rPr>
          <w:rFonts w:ascii="Times New Roman" w:hAnsi="Times New Roman"/>
          <w:sz w:val="28"/>
          <w:szCs w:val="28"/>
        </w:rPr>
      </w:pPr>
    </w:p>
    <w:p w:rsidR="00915F17" w:rsidRPr="00DA1726" w:rsidRDefault="00915F17" w:rsidP="00DA1726">
      <w:pPr>
        <w:pStyle w:val="Sinespaciado"/>
        <w:numPr>
          <w:ilvl w:val="0"/>
          <w:numId w:val="3"/>
        </w:numPr>
        <w:ind w:left="709"/>
        <w:jc w:val="both"/>
        <w:rPr>
          <w:rFonts w:ascii="Times New Roman" w:hAnsi="Times New Roman"/>
          <w:sz w:val="28"/>
          <w:szCs w:val="28"/>
        </w:rPr>
      </w:pPr>
      <w:r w:rsidRPr="00DA1726">
        <w:rPr>
          <w:rFonts w:ascii="Times New Roman" w:hAnsi="Times New Roman"/>
          <w:sz w:val="28"/>
          <w:szCs w:val="28"/>
        </w:rPr>
        <w:t xml:space="preserve">Se niegan a autorizar oportunamente servicios de salud con el argumento de que la persona no ha presentado la solicitud respectiva ante el Comité Técnico </w:t>
      </w:r>
      <w:r w:rsidR="008F438D" w:rsidRPr="00DA1726">
        <w:rPr>
          <w:rFonts w:ascii="Times New Roman" w:hAnsi="Times New Roman"/>
          <w:sz w:val="28"/>
          <w:szCs w:val="28"/>
        </w:rPr>
        <w:t>Científico -CTC-</w:t>
      </w:r>
    </w:p>
    <w:p w:rsidR="00915F17" w:rsidRPr="00DA1726" w:rsidRDefault="00915F17" w:rsidP="00DA1726">
      <w:pPr>
        <w:pStyle w:val="Sinespaciado"/>
        <w:ind w:left="709"/>
        <w:jc w:val="both"/>
        <w:rPr>
          <w:rFonts w:ascii="Times New Roman" w:hAnsi="Times New Roman"/>
          <w:sz w:val="28"/>
          <w:szCs w:val="28"/>
        </w:rPr>
      </w:pPr>
    </w:p>
    <w:p w:rsidR="00915F17" w:rsidRPr="00DA1726" w:rsidRDefault="00915F17" w:rsidP="00DA1726">
      <w:pPr>
        <w:pStyle w:val="Sinespaciado"/>
        <w:numPr>
          <w:ilvl w:val="0"/>
          <w:numId w:val="3"/>
        </w:numPr>
        <w:ind w:left="709"/>
        <w:jc w:val="both"/>
        <w:rPr>
          <w:rFonts w:ascii="Times New Roman" w:hAnsi="Times New Roman"/>
          <w:sz w:val="28"/>
          <w:szCs w:val="28"/>
        </w:rPr>
      </w:pPr>
      <w:r w:rsidRPr="00DA1726">
        <w:rPr>
          <w:rFonts w:ascii="Times New Roman" w:hAnsi="Times New Roman"/>
          <w:sz w:val="28"/>
          <w:szCs w:val="28"/>
        </w:rPr>
        <w:t>Se niegan a autorizar oportunamente servicios de salud con sujeción al principio de integralidad, entendido como el no fraccionamiento de las prestaciones que requiera la persona para recuperar su salud.</w:t>
      </w:r>
    </w:p>
    <w:p w:rsidR="00915F17" w:rsidRPr="00DA1726" w:rsidRDefault="00915F17" w:rsidP="00DA1726">
      <w:pPr>
        <w:pStyle w:val="Sinespaciado"/>
        <w:ind w:left="709"/>
        <w:jc w:val="both"/>
        <w:rPr>
          <w:rFonts w:ascii="Times New Roman" w:hAnsi="Times New Roman"/>
          <w:sz w:val="28"/>
          <w:szCs w:val="28"/>
        </w:rPr>
      </w:pPr>
    </w:p>
    <w:p w:rsidR="00915F17" w:rsidRPr="00DA1726" w:rsidRDefault="00915F17" w:rsidP="00DA1726">
      <w:pPr>
        <w:pStyle w:val="Sinespaciado"/>
        <w:numPr>
          <w:ilvl w:val="0"/>
          <w:numId w:val="3"/>
        </w:numPr>
        <w:ind w:left="709"/>
        <w:jc w:val="both"/>
        <w:rPr>
          <w:rFonts w:ascii="Times New Roman" w:hAnsi="Times New Roman"/>
          <w:sz w:val="28"/>
          <w:szCs w:val="28"/>
        </w:rPr>
      </w:pPr>
      <w:r w:rsidRPr="00DA1726">
        <w:rPr>
          <w:rFonts w:ascii="Times New Roman" w:hAnsi="Times New Roman"/>
          <w:sz w:val="28"/>
          <w:szCs w:val="28"/>
        </w:rPr>
        <w:t>Se niegan a autorizar oportunamente servicios de salud cuando han sido ordenados por un médico que no se encuentra adscrito a la entidad encargada de garantizar la prestación, pero que es un profesional reconocido que hace parte del sistema de salud y cuyo concepto no fue desvirtuado por la entidad con base en razones científicas que consideren el caso específico del paciente.</w:t>
      </w:r>
    </w:p>
    <w:p w:rsidR="00915F17" w:rsidRPr="00DA1726" w:rsidRDefault="00915F17" w:rsidP="00DA1726">
      <w:pPr>
        <w:pStyle w:val="Sinespaciado"/>
        <w:ind w:left="709"/>
        <w:jc w:val="both"/>
        <w:rPr>
          <w:rFonts w:ascii="Times New Roman" w:hAnsi="Times New Roman"/>
          <w:sz w:val="28"/>
          <w:szCs w:val="28"/>
        </w:rPr>
      </w:pPr>
    </w:p>
    <w:p w:rsidR="00915F17" w:rsidRPr="00DA1726" w:rsidRDefault="00915F17" w:rsidP="00DA1726">
      <w:pPr>
        <w:pStyle w:val="Sinespaciado"/>
        <w:numPr>
          <w:ilvl w:val="0"/>
          <w:numId w:val="3"/>
        </w:numPr>
        <w:ind w:left="709"/>
        <w:jc w:val="both"/>
        <w:rPr>
          <w:rFonts w:ascii="Times New Roman" w:hAnsi="Times New Roman"/>
          <w:sz w:val="28"/>
          <w:szCs w:val="28"/>
        </w:rPr>
      </w:pPr>
      <w:r w:rsidRPr="00DA1726">
        <w:rPr>
          <w:rFonts w:ascii="Times New Roman" w:hAnsi="Times New Roman"/>
          <w:sz w:val="28"/>
          <w:szCs w:val="28"/>
        </w:rPr>
        <w:t>Se niegan a autorizar oportunamente servicios de salud cuando se requiere que la persona se desplace a vivir en un lugar distinto a aquel en el que reside.</w:t>
      </w:r>
    </w:p>
    <w:p w:rsidR="00915F17" w:rsidRPr="00DA1726" w:rsidRDefault="00915F17" w:rsidP="00DA1726">
      <w:pPr>
        <w:pStyle w:val="Sinespaciado"/>
        <w:ind w:left="709"/>
        <w:jc w:val="both"/>
        <w:rPr>
          <w:rFonts w:ascii="Times New Roman" w:hAnsi="Times New Roman"/>
          <w:sz w:val="28"/>
          <w:szCs w:val="28"/>
        </w:rPr>
      </w:pPr>
    </w:p>
    <w:p w:rsidR="00915F17" w:rsidRPr="00DA1726" w:rsidRDefault="00915F17" w:rsidP="00DA1726">
      <w:pPr>
        <w:pStyle w:val="Sinespaciado"/>
        <w:numPr>
          <w:ilvl w:val="0"/>
          <w:numId w:val="3"/>
        </w:numPr>
        <w:ind w:left="709"/>
        <w:jc w:val="both"/>
        <w:rPr>
          <w:rFonts w:ascii="Times New Roman" w:hAnsi="Times New Roman"/>
          <w:sz w:val="28"/>
          <w:szCs w:val="28"/>
        </w:rPr>
      </w:pPr>
      <w:r w:rsidRPr="00DA1726">
        <w:rPr>
          <w:rFonts w:ascii="Times New Roman" w:hAnsi="Times New Roman"/>
          <w:sz w:val="28"/>
          <w:szCs w:val="28"/>
        </w:rPr>
        <w:t>Se niegan a autorizar oportunamente servicios de salud de alto costo y para tratar enfermedades catastróficas, así como sus exámenes diagnósticos.</w:t>
      </w:r>
    </w:p>
    <w:p w:rsidR="00915F17" w:rsidRPr="00DA1726" w:rsidRDefault="00915F17" w:rsidP="00DA1726">
      <w:pPr>
        <w:pStyle w:val="Sinespaciado"/>
        <w:ind w:left="709"/>
        <w:jc w:val="both"/>
        <w:rPr>
          <w:rFonts w:ascii="Times New Roman" w:hAnsi="Times New Roman"/>
          <w:sz w:val="28"/>
          <w:szCs w:val="28"/>
        </w:rPr>
      </w:pPr>
    </w:p>
    <w:p w:rsidR="00915F17" w:rsidRPr="00DA1726" w:rsidRDefault="00915F17" w:rsidP="00DA1726">
      <w:pPr>
        <w:pStyle w:val="Sinespaciado"/>
        <w:numPr>
          <w:ilvl w:val="0"/>
          <w:numId w:val="3"/>
        </w:numPr>
        <w:ind w:left="709"/>
        <w:jc w:val="both"/>
        <w:rPr>
          <w:rFonts w:ascii="Times New Roman" w:hAnsi="Times New Roman"/>
          <w:sz w:val="28"/>
          <w:szCs w:val="28"/>
        </w:rPr>
      </w:pPr>
      <w:r w:rsidRPr="00DA1726">
        <w:rPr>
          <w:rFonts w:ascii="Times New Roman" w:hAnsi="Times New Roman"/>
          <w:sz w:val="28"/>
          <w:szCs w:val="28"/>
        </w:rPr>
        <w:t>Se niegan a autorizar oportunamente servicios de salud que requiere un menor para su adecuado desarrollo y que no pueden ser costeados por sus responsables, aún cuando dichos servicios estén excluidos del POS y la vida o la integridad del menor no dependen de su prestación.</w:t>
      </w:r>
    </w:p>
    <w:p w:rsidR="00915F17" w:rsidRPr="00DA1726" w:rsidRDefault="00915F17" w:rsidP="00DA1726">
      <w:pPr>
        <w:pStyle w:val="Sinespaciado"/>
        <w:ind w:left="709"/>
        <w:jc w:val="both"/>
        <w:rPr>
          <w:rFonts w:ascii="Times New Roman" w:hAnsi="Times New Roman"/>
          <w:sz w:val="28"/>
          <w:szCs w:val="28"/>
        </w:rPr>
      </w:pPr>
    </w:p>
    <w:p w:rsidR="00915F17" w:rsidRPr="00DA1726" w:rsidRDefault="00915F17" w:rsidP="00DA1726">
      <w:pPr>
        <w:pStyle w:val="Sinespaciado"/>
        <w:numPr>
          <w:ilvl w:val="0"/>
          <w:numId w:val="3"/>
        </w:numPr>
        <w:ind w:left="709"/>
        <w:jc w:val="both"/>
        <w:rPr>
          <w:rFonts w:ascii="Times New Roman" w:hAnsi="Times New Roman"/>
          <w:sz w:val="28"/>
          <w:szCs w:val="28"/>
        </w:rPr>
      </w:pPr>
      <w:r w:rsidRPr="00DA1726">
        <w:rPr>
          <w:rFonts w:ascii="Times New Roman" w:hAnsi="Times New Roman"/>
          <w:sz w:val="28"/>
          <w:szCs w:val="28"/>
        </w:rPr>
        <w:t>Se niegan a autorizar oportunamente servicios de salud que se requieren con necesidad, supeditando su prestación al pago de una cuota moderadora.</w:t>
      </w:r>
    </w:p>
    <w:p w:rsidR="00915F17" w:rsidRPr="00DA1726" w:rsidRDefault="00915F17" w:rsidP="00DA1726">
      <w:pPr>
        <w:pStyle w:val="Sinespaciado"/>
        <w:tabs>
          <w:tab w:val="left" w:pos="709"/>
        </w:tabs>
        <w:ind w:left="709"/>
        <w:jc w:val="both"/>
        <w:rPr>
          <w:rFonts w:ascii="Times New Roman" w:hAnsi="Times New Roman"/>
          <w:sz w:val="28"/>
          <w:szCs w:val="28"/>
        </w:rPr>
      </w:pPr>
    </w:p>
    <w:p w:rsidR="00915F17" w:rsidRPr="00DA1726" w:rsidRDefault="00915F17" w:rsidP="00DA1726">
      <w:pPr>
        <w:pStyle w:val="Sinespaciado"/>
        <w:numPr>
          <w:ilvl w:val="0"/>
          <w:numId w:val="3"/>
        </w:numPr>
        <w:tabs>
          <w:tab w:val="left" w:pos="851"/>
        </w:tabs>
        <w:ind w:left="709"/>
        <w:jc w:val="both"/>
        <w:rPr>
          <w:rFonts w:ascii="Times New Roman" w:hAnsi="Times New Roman"/>
          <w:sz w:val="28"/>
          <w:szCs w:val="28"/>
        </w:rPr>
      </w:pPr>
      <w:r w:rsidRPr="00DA1726">
        <w:rPr>
          <w:rFonts w:ascii="Times New Roman" w:hAnsi="Times New Roman"/>
          <w:sz w:val="28"/>
          <w:szCs w:val="28"/>
        </w:rPr>
        <w:t>Se niegan a autorizar incapacidades laborales derivadas del estado de salud de la persona con el argumento de que en el pasado no se cumplió con la obligación de cancelar los aportes de salud dentro del plazo establecido para ello.</w:t>
      </w:r>
    </w:p>
    <w:p w:rsidR="00915F17" w:rsidRPr="00DA1726" w:rsidRDefault="00915F17" w:rsidP="00DA1726">
      <w:pPr>
        <w:pStyle w:val="Sinespaciado"/>
        <w:tabs>
          <w:tab w:val="left" w:pos="851"/>
        </w:tabs>
        <w:ind w:left="709"/>
        <w:jc w:val="both"/>
        <w:rPr>
          <w:rFonts w:ascii="Times New Roman" w:hAnsi="Times New Roman"/>
          <w:sz w:val="28"/>
          <w:szCs w:val="28"/>
        </w:rPr>
      </w:pPr>
    </w:p>
    <w:p w:rsidR="00915F17" w:rsidRPr="00DA1726" w:rsidRDefault="00915F17" w:rsidP="00DA1726">
      <w:pPr>
        <w:pStyle w:val="Sinespaciado"/>
        <w:numPr>
          <w:ilvl w:val="0"/>
          <w:numId w:val="3"/>
        </w:numPr>
        <w:tabs>
          <w:tab w:val="left" w:pos="900"/>
        </w:tabs>
        <w:ind w:left="709"/>
        <w:jc w:val="both"/>
        <w:rPr>
          <w:rFonts w:ascii="Times New Roman" w:hAnsi="Times New Roman"/>
          <w:sz w:val="28"/>
          <w:szCs w:val="28"/>
        </w:rPr>
      </w:pPr>
      <w:r w:rsidRPr="00DA1726">
        <w:rPr>
          <w:rFonts w:ascii="Times New Roman" w:hAnsi="Times New Roman"/>
          <w:sz w:val="28"/>
          <w:szCs w:val="28"/>
        </w:rPr>
        <w:t>Se niegan a afiliar personas, a pesar de que éstas ya hayan cumplido el tiempo para trasladarse, por el hecho de que dentro de su grupo familiar existe una persona (su hijo, un niño) que padece una enfermedad catastrófica.</w:t>
      </w:r>
    </w:p>
    <w:p w:rsidR="00915F17" w:rsidRPr="00DA1726" w:rsidRDefault="00915F17" w:rsidP="00DA1726">
      <w:pPr>
        <w:pStyle w:val="Sinespaciado"/>
        <w:tabs>
          <w:tab w:val="left" w:pos="851"/>
        </w:tabs>
        <w:ind w:left="709"/>
        <w:jc w:val="both"/>
        <w:rPr>
          <w:rFonts w:ascii="Times New Roman" w:hAnsi="Times New Roman"/>
          <w:sz w:val="28"/>
          <w:szCs w:val="28"/>
        </w:rPr>
      </w:pPr>
    </w:p>
    <w:p w:rsidR="00915F17" w:rsidRPr="00DA1726" w:rsidRDefault="00915F17" w:rsidP="00DA1726">
      <w:pPr>
        <w:pStyle w:val="Sinespaciado"/>
        <w:numPr>
          <w:ilvl w:val="0"/>
          <w:numId w:val="3"/>
        </w:numPr>
        <w:tabs>
          <w:tab w:val="left" w:pos="900"/>
        </w:tabs>
        <w:ind w:left="709"/>
        <w:jc w:val="both"/>
        <w:rPr>
          <w:rFonts w:ascii="Times New Roman" w:hAnsi="Times New Roman"/>
          <w:sz w:val="28"/>
          <w:szCs w:val="28"/>
        </w:rPr>
      </w:pPr>
      <w:r w:rsidRPr="00DA1726">
        <w:rPr>
          <w:rFonts w:ascii="Times New Roman" w:hAnsi="Times New Roman"/>
          <w:sz w:val="28"/>
          <w:szCs w:val="28"/>
        </w:rPr>
        <w:t>Interrumpen el suministro de servicios de salud, porque ya transcurrió un mes luego del momento en que la persona dejó de cotizar, en razón a que ahora es desempleado, antes de que éste haya sido en efecto asumido por otro prestador.</w:t>
      </w:r>
    </w:p>
    <w:p w:rsidR="00915F17" w:rsidRPr="00DA1726" w:rsidRDefault="00915F17" w:rsidP="00DA1726">
      <w:pPr>
        <w:pStyle w:val="Sinespaciado"/>
        <w:tabs>
          <w:tab w:val="left" w:pos="851"/>
        </w:tabs>
        <w:ind w:left="709"/>
        <w:jc w:val="both"/>
        <w:rPr>
          <w:rFonts w:ascii="Times New Roman" w:hAnsi="Times New Roman"/>
          <w:sz w:val="28"/>
          <w:szCs w:val="28"/>
        </w:rPr>
      </w:pPr>
    </w:p>
    <w:p w:rsidR="00915F17" w:rsidRPr="00DA1726" w:rsidRDefault="00915F17" w:rsidP="00DA1726">
      <w:pPr>
        <w:pStyle w:val="Sinespaciado"/>
        <w:numPr>
          <w:ilvl w:val="0"/>
          <w:numId w:val="3"/>
        </w:numPr>
        <w:tabs>
          <w:tab w:val="left" w:pos="851"/>
        </w:tabs>
        <w:ind w:left="709"/>
        <w:jc w:val="both"/>
        <w:rPr>
          <w:rFonts w:ascii="Times New Roman" w:hAnsi="Times New Roman"/>
          <w:sz w:val="28"/>
          <w:szCs w:val="28"/>
        </w:rPr>
      </w:pPr>
      <w:r w:rsidRPr="00DA1726">
        <w:rPr>
          <w:rFonts w:ascii="Times New Roman" w:hAnsi="Times New Roman"/>
          <w:sz w:val="28"/>
          <w:szCs w:val="28"/>
        </w:rPr>
        <w:t>Cobran copagos a personas que padecen una enfermedad catastrófica o de alto costo.</w:t>
      </w:r>
    </w:p>
    <w:p w:rsidR="00915F17" w:rsidRPr="00DA1726" w:rsidRDefault="00915F17" w:rsidP="00DA1726">
      <w:pPr>
        <w:pStyle w:val="Sinespaciado"/>
        <w:tabs>
          <w:tab w:val="left" w:pos="851"/>
        </w:tabs>
        <w:ind w:left="709"/>
        <w:jc w:val="both"/>
        <w:rPr>
          <w:rFonts w:ascii="Times New Roman" w:hAnsi="Times New Roman"/>
          <w:sz w:val="28"/>
          <w:szCs w:val="28"/>
        </w:rPr>
      </w:pPr>
    </w:p>
    <w:p w:rsidR="00915F17" w:rsidRPr="00DA1726" w:rsidRDefault="00915F17" w:rsidP="00DA1726">
      <w:pPr>
        <w:pStyle w:val="Sinespaciado"/>
        <w:numPr>
          <w:ilvl w:val="0"/>
          <w:numId w:val="3"/>
        </w:numPr>
        <w:tabs>
          <w:tab w:val="left" w:pos="851"/>
        </w:tabs>
        <w:ind w:left="709"/>
        <w:jc w:val="both"/>
        <w:rPr>
          <w:rFonts w:ascii="Times New Roman" w:hAnsi="Times New Roman"/>
          <w:sz w:val="28"/>
          <w:szCs w:val="28"/>
        </w:rPr>
      </w:pPr>
      <w:r w:rsidRPr="00DA1726">
        <w:rPr>
          <w:rFonts w:ascii="Times New Roman" w:hAnsi="Times New Roman"/>
          <w:sz w:val="28"/>
          <w:szCs w:val="28"/>
        </w:rPr>
        <w:t>Se niegan a autorizar servicios de salud que ya han sido ordenados por fallo de tutela.</w:t>
      </w:r>
    </w:p>
    <w:p w:rsidR="00915F17" w:rsidRPr="00DA1726" w:rsidRDefault="00915F17" w:rsidP="00DA1726">
      <w:pPr>
        <w:widowControl w:val="0"/>
        <w:tabs>
          <w:tab w:val="left" w:pos="426"/>
        </w:tabs>
        <w:autoSpaceDE w:val="0"/>
        <w:autoSpaceDN w:val="0"/>
        <w:adjustRightInd w:val="0"/>
        <w:jc w:val="both"/>
        <w:rPr>
          <w:sz w:val="28"/>
          <w:szCs w:val="28"/>
          <w:lang w:eastAsia="es-ES_tradnl"/>
        </w:rPr>
      </w:pPr>
    </w:p>
    <w:p w:rsidR="00F45AFD" w:rsidRPr="00DA1726" w:rsidRDefault="00FA504C" w:rsidP="00DA1726">
      <w:pPr>
        <w:widowControl w:val="0"/>
        <w:tabs>
          <w:tab w:val="left" w:pos="426"/>
        </w:tabs>
        <w:autoSpaceDE w:val="0"/>
        <w:autoSpaceDN w:val="0"/>
        <w:adjustRightInd w:val="0"/>
        <w:jc w:val="both"/>
        <w:rPr>
          <w:sz w:val="28"/>
          <w:szCs w:val="28"/>
          <w:lang w:val="es-ES_tradnl" w:eastAsia="es-ES_tradnl"/>
        </w:rPr>
      </w:pPr>
      <w:r w:rsidRPr="00DA1726">
        <w:rPr>
          <w:sz w:val="28"/>
          <w:szCs w:val="28"/>
          <w:lang w:val="es-ES_tradnl" w:eastAsia="es-ES_tradnl"/>
        </w:rPr>
        <w:t>Los referidos</w:t>
      </w:r>
      <w:r w:rsidR="00F45AFD" w:rsidRPr="00DA1726">
        <w:rPr>
          <w:sz w:val="28"/>
          <w:szCs w:val="28"/>
          <w:lang w:val="es-ES_tradnl" w:eastAsia="es-ES_tradnl"/>
        </w:rPr>
        <w:t xml:space="preserve"> parámetros </w:t>
      </w:r>
      <w:r w:rsidRPr="00DA1726">
        <w:rPr>
          <w:sz w:val="28"/>
          <w:szCs w:val="28"/>
          <w:lang w:val="es-ES_tradnl" w:eastAsia="es-ES_tradnl"/>
        </w:rPr>
        <w:t>se</w:t>
      </w:r>
      <w:r w:rsidR="00F45AFD" w:rsidRPr="00DA1726">
        <w:rPr>
          <w:sz w:val="28"/>
          <w:szCs w:val="28"/>
          <w:lang w:val="es-ES_tradnl" w:eastAsia="es-ES_tradnl"/>
        </w:rPr>
        <w:t xml:space="preserve"> relaciona</w:t>
      </w:r>
      <w:r w:rsidRPr="00DA1726">
        <w:rPr>
          <w:sz w:val="28"/>
          <w:szCs w:val="28"/>
          <w:lang w:val="es-ES_tradnl" w:eastAsia="es-ES_tradnl"/>
        </w:rPr>
        <w:t>n</w:t>
      </w:r>
      <w:r w:rsidR="00F45AFD" w:rsidRPr="00DA1726">
        <w:rPr>
          <w:sz w:val="28"/>
          <w:szCs w:val="28"/>
          <w:lang w:val="es-ES_tradnl" w:eastAsia="es-ES_tradnl"/>
        </w:rPr>
        <w:t xml:space="preserve"> </w:t>
      </w:r>
      <w:r w:rsidRPr="00DA1726">
        <w:rPr>
          <w:sz w:val="28"/>
          <w:szCs w:val="28"/>
          <w:lang w:val="es-ES_tradnl" w:eastAsia="es-ES_tradnl"/>
        </w:rPr>
        <w:t>con</w:t>
      </w:r>
      <w:r w:rsidR="006C1C99" w:rsidRPr="00DA1726">
        <w:rPr>
          <w:sz w:val="28"/>
          <w:szCs w:val="28"/>
          <w:lang w:val="es-ES_tradnl" w:eastAsia="es-ES_tradnl"/>
        </w:rPr>
        <w:t>:</w:t>
      </w:r>
      <w:r w:rsidRPr="00DA1726">
        <w:rPr>
          <w:sz w:val="28"/>
          <w:szCs w:val="28"/>
          <w:lang w:val="es-ES_tradnl" w:eastAsia="es-ES_tradnl"/>
        </w:rPr>
        <w:t xml:space="preserve"> (i)</w:t>
      </w:r>
      <w:r w:rsidR="00F45AFD" w:rsidRPr="00DA1726">
        <w:rPr>
          <w:sz w:val="28"/>
          <w:szCs w:val="28"/>
          <w:lang w:val="es-ES_tradnl" w:eastAsia="es-ES_tradnl"/>
        </w:rPr>
        <w:t xml:space="preserve"> negaciones de servicios incluidos en el </w:t>
      </w:r>
      <w:r w:rsidRPr="00DA1726">
        <w:rPr>
          <w:sz w:val="28"/>
          <w:szCs w:val="28"/>
          <w:lang w:val="es-ES_tradnl" w:eastAsia="es-ES_tradnl"/>
        </w:rPr>
        <w:t xml:space="preserve">POS y aquellos </w:t>
      </w:r>
      <w:r w:rsidR="006C1C99" w:rsidRPr="00DA1726">
        <w:rPr>
          <w:sz w:val="28"/>
          <w:szCs w:val="28"/>
          <w:lang w:val="es-ES_tradnl" w:eastAsia="es-ES_tradnl"/>
        </w:rPr>
        <w:t xml:space="preserve">que </w:t>
      </w:r>
      <w:r w:rsidRPr="00DA1726">
        <w:rPr>
          <w:sz w:val="28"/>
          <w:szCs w:val="28"/>
          <w:lang w:val="es-ES_tradnl" w:eastAsia="es-ES_tradnl"/>
        </w:rPr>
        <w:t>si bien no lo están</w:t>
      </w:r>
      <w:r w:rsidR="00F45AFD" w:rsidRPr="00DA1726">
        <w:rPr>
          <w:sz w:val="28"/>
          <w:szCs w:val="28"/>
          <w:lang w:val="es-ES_tradnl" w:eastAsia="es-ES_tradnl"/>
        </w:rPr>
        <w:t>, a criterio del médico tratan</w:t>
      </w:r>
      <w:r w:rsidRPr="00DA1726">
        <w:rPr>
          <w:sz w:val="28"/>
          <w:szCs w:val="28"/>
          <w:lang w:val="es-ES_tradnl" w:eastAsia="es-ES_tradnl"/>
        </w:rPr>
        <w:t>te son requeridos con necesidad; (ii)</w:t>
      </w:r>
      <w:r w:rsidR="00F45AFD" w:rsidRPr="00DA1726">
        <w:rPr>
          <w:sz w:val="28"/>
          <w:szCs w:val="28"/>
          <w:lang w:val="es-ES_tradnl" w:eastAsia="es-ES_tradnl"/>
        </w:rPr>
        <w:t xml:space="preserve"> </w:t>
      </w:r>
      <w:r w:rsidRPr="00DA1726">
        <w:rPr>
          <w:sz w:val="28"/>
          <w:szCs w:val="28"/>
          <w:lang w:val="es-ES_tradnl" w:eastAsia="es-ES_tradnl"/>
        </w:rPr>
        <w:t>atención oportuna, esto es,</w:t>
      </w:r>
      <w:r w:rsidR="00F45AFD" w:rsidRPr="00DA1726">
        <w:rPr>
          <w:sz w:val="28"/>
          <w:szCs w:val="28"/>
          <w:lang w:val="es-ES_tradnl" w:eastAsia="es-ES_tradnl"/>
        </w:rPr>
        <w:t xml:space="preserve"> no </w:t>
      </w:r>
      <w:r w:rsidR="00554056" w:rsidRPr="00DA1726">
        <w:rPr>
          <w:sz w:val="28"/>
          <w:szCs w:val="28"/>
          <w:lang w:val="es-ES_tradnl" w:eastAsia="es-ES_tradnl"/>
        </w:rPr>
        <w:t>solo</w:t>
      </w:r>
      <w:r w:rsidR="006C1C99" w:rsidRPr="00DA1726">
        <w:rPr>
          <w:sz w:val="28"/>
          <w:szCs w:val="28"/>
          <w:lang w:val="es-ES_tradnl" w:eastAsia="es-ES_tradnl"/>
        </w:rPr>
        <w:t xml:space="preserve"> autorizar un servicio</w:t>
      </w:r>
      <w:r w:rsidR="00F45AFD" w:rsidRPr="00DA1726">
        <w:rPr>
          <w:sz w:val="28"/>
          <w:szCs w:val="28"/>
          <w:lang w:val="es-ES_tradnl" w:eastAsia="es-ES_tradnl"/>
        </w:rPr>
        <w:t xml:space="preserve"> si</w:t>
      </w:r>
      <w:r w:rsidR="009D7A12" w:rsidRPr="00DA1726">
        <w:rPr>
          <w:sz w:val="28"/>
          <w:szCs w:val="28"/>
          <w:lang w:val="es-ES_tradnl" w:eastAsia="es-ES_tradnl"/>
        </w:rPr>
        <w:t xml:space="preserve"> </w:t>
      </w:r>
      <w:r w:rsidR="00F45AFD" w:rsidRPr="00DA1726">
        <w:rPr>
          <w:sz w:val="28"/>
          <w:szCs w:val="28"/>
          <w:lang w:val="es-ES_tradnl" w:eastAsia="es-ES_tradnl"/>
        </w:rPr>
        <w:t xml:space="preserve">no </w:t>
      </w:r>
      <w:r w:rsidR="009D7A12" w:rsidRPr="00DA1726">
        <w:rPr>
          <w:sz w:val="28"/>
          <w:szCs w:val="28"/>
          <w:lang w:val="es-ES_tradnl" w:eastAsia="es-ES_tradnl"/>
        </w:rPr>
        <w:t>darlos en tiempo adecuado</w:t>
      </w:r>
      <w:r w:rsidR="00554056" w:rsidRPr="00DA1726">
        <w:rPr>
          <w:sz w:val="28"/>
          <w:szCs w:val="28"/>
          <w:lang w:val="es-ES_tradnl" w:eastAsia="es-ES_tradnl"/>
        </w:rPr>
        <w:t xml:space="preserve"> </w:t>
      </w:r>
      <w:r w:rsidR="00F45AFD" w:rsidRPr="00DA1726">
        <w:rPr>
          <w:sz w:val="28"/>
          <w:szCs w:val="28"/>
          <w:lang w:val="es-ES_tradnl" w:eastAsia="es-ES_tradnl"/>
        </w:rPr>
        <w:t>para garantiz</w:t>
      </w:r>
      <w:r w:rsidR="00554056" w:rsidRPr="00DA1726">
        <w:rPr>
          <w:sz w:val="28"/>
          <w:szCs w:val="28"/>
          <w:lang w:val="es-ES_tradnl" w:eastAsia="es-ES_tradnl"/>
        </w:rPr>
        <w:t>ar el goce efectivo del derecho; y (iii) trabas administrativas que terminan por afectar la cobertura por parte del sistema a los usuarios.</w:t>
      </w:r>
    </w:p>
    <w:p w:rsidR="00F45AFD" w:rsidRPr="00DA1726" w:rsidRDefault="00F45AFD" w:rsidP="00DA1726">
      <w:pPr>
        <w:widowControl w:val="0"/>
        <w:tabs>
          <w:tab w:val="left" w:pos="426"/>
        </w:tabs>
        <w:autoSpaceDE w:val="0"/>
        <w:autoSpaceDN w:val="0"/>
        <w:adjustRightInd w:val="0"/>
        <w:jc w:val="both"/>
        <w:rPr>
          <w:sz w:val="28"/>
          <w:szCs w:val="28"/>
          <w:lang w:val="es-ES_tradnl" w:eastAsia="es-ES_tradnl"/>
        </w:rPr>
      </w:pPr>
    </w:p>
    <w:p w:rsidR="008F438D" w:rsidRPr="00DA1726" w:rsidRDefault="00F45AFD" w:rsidP="00DA1726">
      <w:pPr>
        <w:pStyle w:val="Prrafodelista"/>
        <w:widowControl w:val="0"/>
        <w:numPr>
          <w:ilvl w:val="1"/>
          <w:numId w:val="40"/>
        </w:numPr>
        <w:tabs>
          <w:tab w:val="left" w:pos="426"/>
        </w:tabs>
        <w:autoSpaceDE w:val="0"/>
        <w:autoSpaceDN w:val="0"/>
        <w:adjustRightInd w:val="0"/>
        <w:ind w:left="0" w:firstLine="0"/>
        <w:jc w:val="both"/>
        <w:rPr>
          <w:sz w:val="28"/>
          <w:szCs w:val="28"/>
          <w:lang w:eastAsia="es-ES_tradnl"/>
        </w:rPr>
      </w:pPr>
      <w:r w:rsidRPr="00DA1726">
        <w:rPr>
          <w:sz w:val="28"/>
          <w:szCs w:val="28"/>
          <w:lang w:eastAsia="es-ES_tradnl"/>
        </w:rPr>
        <w:t>El 28 de diciembre de 2012</w:t>
      </w:r>
      <w:r w:rsidR="007713E0" w:rsidRPr="00DA1726">
        <w:rPr>
          <w:sz w:val="28"/>
          <w:szCs w:val="28"/>
          <w:vertAlign w:val="superscript"/>
          <w:lang w:eastAsia="es-ES_tradnl"/>
        </w:rPr>
        <w:footnoteReference w:id="3"/>
      </w:r>
      <w:r w:rsidRPr="00DA1726">
        <w:rPr>
          <w:sz w:val="28"/>
          <w:szCs w:val="28"/>
          <w:lang w:eastAsia="es-ES_tradnl"/>
        </w:rPr>
        <w:t xml:space="preserve">, en cumplimiento de lo dispuesto por la Corte Constitucional, el Ministerio de Salud y Protección Social </w:t>
      </w:r>
      <w:r w:rsidR="00554056" w:rsidRPr="00DA1726">
        <w:rPr>
          <w:sz w:val="28"/>
          <w:szCs w:val="28"/>
          <w:lang w:eastAsia="es-ES_tradnl"/>
        </w:rPr>
        <w:t xml:space="preserve">presentó un informe en el que expuso tres aspectos: (i) metodología; (ii) resultados del ordenamiento; y (iii) </w:t>
      </w:r>
      <w:r w:rsidR="006C1C99" w:rsidRPr="00DA1726">
        <w:rPr>
          <w:sz w:val="28"/>
          <w:szCs w:val="28"/>
          <w:lang w:eastAsia="es-ES_tradnl"/>
        </w:rPr>
        <w:t xml:space="preserve">las </w:t>
      </w:r>
      <w:r w:rsidR="00554056" w:rsidRPr="00DA1726">
        <w:rPr>
          <w:sz w:val="28"/>
          <w:szCs w:val="28"/>
          <w:lang w:eastAsia="es-ES_tradnl"/>
        </w:rPr>
        <w:t>implicaciones sobre la publicación.</w:t>
      </w:r>
    </w:p>
    <w:p w:rsidR="00554056" w:rsidRPr="00DA1726" w:rsidRDefault="00554056" w:rsidP="00DA1726">
      <w:pPr>
        <w:widowControl w:val="0"/>
        <w:tabs>
          <w:tab w:val="left" w:pos="426"/>
        </w:tabs>
        <w:autoSpaceDE w:val="0"/>
        <w:autoSpaceDN w:val="0"/>
        <w:adjustRightInd w:val="0"/>
        <w:jc w:val="both"/>
        <w:rPr>
          <w:sz w:val="28"/>
          <w:szCs w:val="28"/>
          <w:lang w:eastAsia="es-ES_tradnl"/>
        </w:rPr>
      </w:pPr>
    </w:p>
    <w:p w:rsidR="00C8134D" w:rsidRPr="00DA1726" w:rsidRDefault="008B052B" w:rsidP="00DA1726">
      <w:pPr>
        <w:pStyle w:val="Prrafodelista"/>
        <w:widowControl w:val="0"/>
        <w:numPr>
          <w:ilvl w:val="2"/>
          <w:numId w:val="40"/>
        </w:numPr>
        <w:tabs>
          <w:tab w:val="left" w:pos="426"/>
        </w:tabs>
        <w:autoSpaceDE w:val="0"/>
        <w:autoSpaceDN w:val="0"/>
        <w:adjustRightInd w:val="0"/>
        <w:ind w:left="0" w:firstLine="0"/>
        <w:jc w:val="both"/>
        <w:rPr>
          <w:rStyle w:val="FontStyle65"/>
          <w:rFonts w:ascii="Times New Roman" w:hAnsi="Times New Roman" w:cs="Times New Roman"/>
          <w:sz w:val="28"/>
          <w:szCs w:val="28"/>
          <w:lang w:val="es-ES_tradnl" w:eastAsia="es-ES_tradnl"/>
        </w:rPr>
      </w:pPr>
      <w:r w:rsidRPr="00DA1726">
        <w:rPr>
          <w:i/>
          <w:sz w:val="28"/>
          <w:szCs w:val="28"/>
          <w:lang w:eastAsia="es-ES_tradnl"/>
        </w:rPr>
        <w:t>Metodología.</w:t>
      </w:r>
      <w:r w:rsidRPr="00DA1726">
        <w:rPr>
          <w:sz w:val="28"/>
          <w:szCs w:val="28"/>
          <w:lang w:eastAsia="es-ES_tradnl"/>
        </w:rPr>
        <w:t xml:space="preserve"> </w:t>
      </w:r>
      <w:r w:rsidR="00C63264" w:rsidRPr="00DA1726">
        <w:rPr>
          <w:sz w:val="28"/>
          <w:szCs w:val="28"/>
          <w:lang w:val="es-ES_tradnl" w:eastAsia="es-ES_tradnl"/>
        </w:rPr>
        <w:t>En cada uno de los catorce parámetros determinados por la Corte se definieron uno o varios indicadores que permitieran su medición</w:t>
      </w:r>
      <w:r w:rsidR="00331D7C" w:rsidRPr="00DA1726">
        <w:rPr>
          <w:sz w:val="28"/>
          <w:szCs w:val="28"/>
          <w:lang w:val="es-ES_tradnl" w:eastAsia="es-ES_tradnl"/>
        </w:rPr>
        <w:t>.</w:t>
      </w:r>
      <w:r w:rsidR="00A40435" w:rsidRPr="00DA1726">
        <w:rPr>
          <w:sz w:val="28"/>
          <w:szCs w:val="28"/>
          <w:lang w:val="es-ES_tradnl" w:eastAsia="es-ES_tradnl"/>
        </w:rPr>
        <w:t xml:space="preserve"> </w:t>
      </w:r>
      <w:r w:rsidR="00CE6CB0" w:rsidRPr="00DA1726">
        <w:rPr>
          <w:rStyle w:val="FontStyle65"/>
          <w:rFonts w:ascii="Times New Roman" w:hAnsi="Times New Roman" w:cs="Times New Roman"/>
          <w:sz w:val="28"/>
          <w:szCs w:val="28"/>
          <w:lang w:val="es-ES_tradnl" w:eastAsia="es-ES_tradnl"/>
        </w:rPr>
        <w:t xml:space="preserve">Luego de recolectar la información para cada uno de </w:t>
      </w:r>
      <w:r w:rsidR="00A40435" w:rsidRPr="00DA1726">
        <w:rPr>
          <w:rStyle w:val="FontStyle65"/>
          <w:rFonts w:ascii="Times New Roman" w:hAnsi="Times New Roman" w:cs="Times New Roman"/>
          <w:sz w:val="28"/>
          <w:szCs w:val="28"/>
          <w:lang w:val="es-ES_tradnl" w:eastAsia="es-ES_tradnl"/>
        </w:rPr>
        <w:t>ellos</w:t>
      </w:r>
      <w:r w:rsidR="00CE6CB0" w:rsidRPr="00DA1726">
        <w:rPr>
          <w:rStyle w:val="FontStyle65"/>
          <w:rFonts w:ascii="Times New Roman" w:hAnsi="Times New Roman" w:cs="Times New Roman"/>
          <w:sz w:val="28"/>
          <w:szCs w:val="28"/>
          <w:lang w:val="es-ES_tradnl" w:eastAsia="es-ES_tradnl"/>
        </w:rPr>
        <w:t xml:space="preserve">, </w:t>
      </w:r>
      <w:r w:rsidR="00747EDC" w:rsidRPr="00DA1726">
        <w:rPr>
          <w:rStyle w:val="FontStyle65"/>
          <w:rFonts w:ascii="Times New Roman" w:hAnsi="Times New Roman" w:cs="Times New Roman"/>
          <w:sz w:val="28"/>
          <w:szCs w:val="28"/>
          <w:lang w:val="es-ES_tradnl" w:eastAsia="es-ES_tradnl"/>
        </w:rPr>
        <w:t xml:space="preserve">se procedió a establecer </w:t>
      </w:r>
      <w:r w:rsidR="009D7A12" w:rsidRPr="00DA1726">
        <w:rPr>
          <w:rStyle w:val="FontStyle65"/>
          <w:rFonts w:ascii="Times New Roman" w:hAnsi="Times New Roman" w:cs="Times New Roman"/>
          <w:sz w:val="28"/>
          <w:szCs w:val="28"/>
          <w:lang w:val="es-ES_tradnl" w:eastAsia="es-ES_tradnl"/>
        </w:rPr>
        <w:t xml:space="preserve">las </w:t>
      </w:r>
      <w:r w:rsidR="00747EDC" w:rsidRPr="00DA1726">
        <w:rPr>
          <w:rStyle w:val="FontStyle65"/>
          <w:rFonts w:ascii="Times New Roman" w:hAnsi="Times New Roman" w:cs="Times New Roman"/>
          <w:sz w:val="28"/>
          <w:szCs w:val="28"/>
          <w:lang w:val="es-ES_tradnl" w:eastAsia="es-ES_tradnl"/>
        </w:rPr>
        <w:t xml:space="preserve">variables. Ello llevó a </w:t>
      </w:r>
      <w:r w:rsidR="00C8134D" w:rsidRPr="00DA1726">
        <w:rPr>
          <w:rStyle w:val="FontStyle65"/>
          <w:rFonts w:ascii="Times New Roman" w:hAnsi="Times New Roman" w:cs="Times New Roman"/>
          <w:sz w:val="28"/>
          <w:szCs w:val="28"/>
          <w:lang w:val="es-ES_tradnl" w:eastAsia="es-ES_tradnl"/>
        </w:rPr>
        <w:t>calcular un p</w:t>
      </w:r>
      <w:r w:rsidR="00747EDC" w:rsidRPr="00DA1726">
        <w:rPr>
          <w:rStyle w:val="FontStyle65"/>
          <w:rFonts w:ascii="Times New Roman" w:hAnsi="Times New Roman" w:cs="Times New Roman"/>
          <w:sz w:val="28"/>
          <w:szCs w:val="28"/>
          <w:lang w:val="es-ES_tradnl" w:eastAsia="es-ES_tradnl"/>
        </w:rPr>
        <w:t>untaje para cada</w:t>
      </w:r>
      <w:r w:rsidR="00A85E09" w:rsidRPr="00DA1726">
        <w:rPr>
          <w:rStyle w:val="FontStyle65"/>
          <w:rFonts w:ascii="Times New Roman" w:hAnsi="Times New Roman" w:cs="Times New Roman"/>
          <w:sz w:val="28"/>
          <w:szCs w:val="28"/>
          <w:lang w:val="es-ES_tradnl" w:eastAsia="es-ES_tradnl"/>
        </w:rPr>
        <w:t xml:space="preserve"> uno de los 14</w:t>
      </w:r>
      <w:r w:rsidR="00747EDC" w:rsidRPr="00DA1726">
        <w:rPr>
          <w:rStyle w:val="FontStyle65"/>
          <w:rFonts w:ascii="Times New Roman" w:hAnsi="Times New Roman" w:cs="Times New Roman"/>
          <w:sz w:val="28"/>
          <w:szCs w:val="28"/>
          <w:lang w:val="es-ES_tradnl" w:eastAsia="es-ES_tradnl"/>
        </w:rPr>
        <w:t xml:space="preserve"> </w:t>
      </w:r>
      <w:r w:rsidR="00A85E09" w:rsidRPr="00DA1726">
        <w:rPr>
          <w:rStyle w:val="FontStyle65"/>
          <w:rFonts w:ascii="Times New Roman" w:hAnsi="Times New Roman" w:cs="Times New Roman"/>
          <w:sz w:val="28"/>
          <w:szCs w:val="28"/>
          <w:lang w:val="es-ES_tradnl" w:eastAsia="es-ES_tradnl"/>
        </w:rPr>
        <w:t>parámetros</w:t>
      </w:r>
      <w:r w:rsidR="00C8134D" w:rsidRPr="00DA1726">
        <w:rPr>
          <w:rStyle w:val="FontStyle65"/>
          <w:rFonts w:ascii="Times New Roman" w:hAnsi="Times New Roman" w:cs="Times New Roman"/>
          <w:sz w:val="28"/>
          <w:szCs w:val="28"/>
          <w:lang w:val="es-ES_tradnl" w:eastAsia="es-ES_tradnl"/>
        </w:rPr>
        <w:t>.</w:t>
      </w:r>
    </w:p>
    <w:p w:rsidR="00C8134D" w:rsidRPr="00DA1726" w:rsidRDefault="00C8134D" w:rsidP="00DA1726">
      <w:pPr>
        <w:pStyle w:val="Style8"/>
        <w:widowControl/>
        <w:spacing w:line="240" w:lineRule="auto"/>
        <w:rPr>
          <w:rFonts w:ascii="Times New Roman" w:hAnsi="Times New Roman"/>
          <w:sz w:val="28"/>
          <w:szCs w:val="28"/>
        </w:rPr>
      </w:pPr>
    </w:p>
    <w:p w:rsidR="00C8134D" w:rsidRPr="00DA1726" w:rsidRDefault="00C8134D" w:rsidP="00DA1726">
      <w:pPr>
        <w:pStyle w:val="Style8"/>
        <w:widowControl/>
        <w:spacing w:line="240" w:lineRule="auto"/>
        <w:rPr>
          <w:rStyle w:val="FontStyle65"/>
          <w:rFonts w:ascii="Times New Roman" w:hAnsi="Times New Roman" w:cs="Times New Roman"/>
          <w:sz w:val="28"/>
          <w:szCs w:val="28"/>
          <w:lang w:val="es-ES_tradnl" w:eastAsia="es-ES_tradnl"/>
        </w:rPr>
      </w:pPr>
      <w:r w:rsidRPr="00DA1726">
        <w:rPr>
          <w:rStyle w:val="FontStyle65"/>
          <w:rFonts w:ascii="Times New Roman" w:hAnsi="Times New Roman" w:cs="Times New Roman"/>
          <w:sz w:val="28"/>
          <w:szCs w:val="28"/>
          <w:lang w:val="es-ES_tradnl" w:eastAsia="es-ES_tradnl"/>
        </w:rPr>
        <w:t xml:space="preserve">Para ordenar las EPS de cada régimen fue necesario ponderar cada una de </w:t>
      </w:r>
      <w:r w:rsidR="009A4567" w:rsidRPr="00DA1726">
        <w:rPr>
          <w:rStyle w:val="FontStyle65"/>
          <w:rFonts w:ascii="Times New Roman" w:hAnsi="Times New Roman" w:cs="Times New Roman"/>
          <w:sz w:val="28"/>
          <w:szCs w:val="28"/>
          <w:lang w:val="es-ES_tradnl" w:eastAsia="es-ES_tradnl"/>
        </w:rPr>
        <w:t>los parámetros</w:t>
      </w:r>
      <w:r w:rsidRPr="00DA1726">
        <w:rPr>
          <w:rStyle w:val="FontStyle65"/>
          <w:rFonts w:ascii="Times New Roman" w:hAnsi="Times New Roman" w:cs="Times New Roman"/>
          <w:sz w:val="28"/>
          <w:szCs w:val="28"/>
          <w:lang w:val="es-ES_tradnl" w:eastAsia="es-ES_tradnl"/>
        </w:rPr>
        <w:t xml:space="preserve"> de acuerdo a la importancia que tienen en el funcionamiento del Sistema. Para esto se utilizó el criterio expertos</w:t>
      </w:r>
      <w:r w:rsidRPr="00DA1726">
        <w:rPr>
          <w:rStyle w:val="FontStyle65"/>
          <w:rFonts w:ascii="Times New Roman" w:hAnsi="Times New Roman" w:cs="Times New Roman"/>
          <w:sz w:val="28"/>
          <w:szCs w:val="28"/>
          <w:vertAlign w:val="superscript"/>
          <w:lang w:val="es-ES_tradnl" w:eastAsia="es-ES_tradnl"/>
        </w:rPr>
        <w:footnoteReference w:id="4"/>
      </w:r>
      <w:r w:rsidRPr="00DA1726">
        <w:rPr>
          <w:rStyle w:val="FontStyle65"/>
          <w:rFonts w:ascii="Times New Roman" w:hAnsi="Times New Roman" w:cs="Times New Roman"/>
          <w:sz w:val="28"/>
          <w:szCs w:val="28"/>
          <w:lang w:val="es-ES_tradnl" w:eastAsia="es-ES_tradnl"/>
        </w:rPr>
        <w:t xml:space="preserve"> quienes asignaron puntuaciones a las 14 dimensiones de acuerdo a sus conocimientos y experiencia</w:t>
      </w:r>
      <w:r w:rsidR="009A4567" w:rsidRPr="00DA1726">
        <w:rPr>
          <w:rStyle w:val="FontStyle65"/>
          <w:rFonts w:ascii="Times New Roman" w:hAnsi="Times New Roman" w:cs="Times New Roman"/>
          <w:sz w:val="28"/>
          <w:szCs w:val="28"/>
          <w:lang w:val="es-ES_tradnl" w:eastAsia="es-ES_tradnl"/>
        </w:rPr>
        <w:t>.</w:t>
      </w:r>
    </w:p>
    <w:p w:rsidR="009A4567" w:rsidRPr="00DA1726" w:rsidRDefault="009A4567" w:rsidP="00DA1726">
      <w:pPr>
        <w:pStyle w:val="Style8"/>
        <w:widowControl/>
        <w:spacing w:line="240" w:lineRule="auto"/>
        <w:rPr>
          <w:rStyle w:val="FontStyle65"/>
          <w:rFonts w:ascii="Times New Roman" w:hAnsi="Times New Roman" w:cs="Times New Roman"/>
          <w:sz w:val="28"/>
          <w:szCs w:val="28"/>
          <w:lang w:val="es-ES_tradnl" w:eastAsia="es-ES_tradnl"/>
        </w:rPr>
      </w:pPr>
    </w:p>
    <w:p w:rsidR="00B71C0E" w:rsidRPr="00DA1726" w:rsidRDefault="00B71C0E" w:rsidP="00DA1726">
      <w:pPr>
        <w:widowControl w:val="0"/>
        <w:tabs>
          <w:tab w:val="left" w:pos="426"/>
        </w:tabs>
        <w:autoSpaceDE w:val="0"/>
        <w:autoSpaceDN w:val="0"/>
        <w:adjustRightInd w:val="0"/>
        <w:jc w:val="both"/>
        <w:rPr>
          <w:sz w:val="28"/>
          <w:szCs w:val="28"/>
          <w:lang w:val="es-ES_tradnl" w:eastAsia="es-ES_tradnl"/>
        </w:rPr>
      </w:pPr>
      <w:r w:rsidRPr="00DA1726">
        <w:rPr>
          <w:sz w:val="28"/>
          <w:szCs w:val="28"/>
          <w:lang w:val="es-ES_tradnl" w:eastAsia="es-ES_tradnl"/>
        </w:rPr>
        <w:t>Finalmente</w:t>
      </w:r>
      <w:r w:rsidR="009D7A12" w:rsidRPr="00DA1726">
        <w:rPr>
          <w:sz w:val="28"/>
          <w:szCs w:val="28"/>
          <w:lang w:val="es-ES_tradnl" w:eastAsia="es-ES_tradnl"/>
        </w:rPr>
        <w:t>,</w:t>
      </w:r>
      <w:r w:rsidRPr="00DA1726">
        <w:rPr>
          <w:sz w:val="28"/>
          <w:szCs w:val="28"/>
          <w:lang w:val="es-ES_tradnl" w:eastAsia="es-ES_tradnl"/>
        </w:rPr>
        <w:t xml:space="preserve"> se calcularon los percentiles 25, 50 y 75 de los puntajes obtenidos por las EPS en cada Régimen y con estos valores se generaron cuatro grupos de EPS de acuerdo al puntaje obtenido. Para el nivel bajo el límite superior se encuentra determinado por el percentil 25 de la distribución, el nivel medio bajo se encuentra delimitado por los percentiles 25 y 50, el nivel medio alto por los percentiles 50 y 75 y finalmente el nivel alto tiene como límite inferior el percentil 75.</w:t>
      </w:r>
    </w:p>
    <w:p w:rsidR="00B71C0E" w:rsidRPr="00DA1726" w:rsidRDefault="00B71C0E" w:rsidP="00DA1726">
      <w:pPr>
        <w:widowControl w:val="0"/>
        <w:tabs>
          <w:tab w:val="left" w:pos="426"/>
        </w:tabs>
        <w:autoSpaceDE w:val="0"/>
        <w:autoSpaceDN w:val="0"/>
        <w:adjustRightInd w:val="0"/>
        <w:jc w:val="both"/>
        <w:rPr>
          <w:sz w:val="28"/>
          <w:szCs w:val="28"/>
          <w:lang w:val="es-ES" w:eastAsia="es-ES_tradnl"/>
        </w:rPr>
      </w:pPr>
    </w:p>
    <w:p w:rsidR="001B0731" w:rsidRPr="00DA1726" w:rsidRDefault="00B32449" w:rsidP="00DA1726">
      <w:pPr>
        <w:pStyle w:val="Prrafodelista"/>
        <w:widowControl w:val="0"/>
        <w:numPr>
          <w:ilvl w:val="2"/>
          <w:numId w:val="40"/>
        </w:numPr>
        <w:tabs>
          <w:tab w:val="left" w:pos="426"/>
        </w:tabs>
        <w:autoSpaceDE w:val="0"/>
        <w:autoSpaceDN w:val="0"/>
        <w:adjustRightInd w:val="0"/>
        <w:jc w:val="both"/>
        <w:rPr>
          <w:bCs/>
          <w:sz w:val="28"/>
          <w:szCs w:val="28"/>
          <w:lang w:val="es-ES_tradnl" w:eastAsia="es-ES_tradnl"/>
        </w:rPr>
      </w:pPr>
      <w:r w:rsidRPr="00DA1726">
        <w:rPr>
          <w:bCs/>
          <w:i/>
          <w:sz w:val="28"/>
          <w:szCs w:val="28"/>
          <w:lang w:val="es-ES_tradnl" w:eastAsia="es-ES_tradnl"/>
        </w:rPr>
        <w:t>R</w:t>
      </w:r>
      <w:r w:rsidR="001B0731" w:rsidRPr="00DA1726">
        <w:rPr>
          <w:bCs/>
          <w:i/>
          <w:sz w:val="28"/>
          <w:szCs w:val="28"/>
          <w:lang w:val="es-ES_tradnl" w:eastAsia="es-ES_tradnl"/>
        </w:rPr>
        <w:t>esultados</w:t>
      </w:r>
      <w:r w:rsidRPr="00DA1726">
        <w:rPr>
          <w:bCs/>
          <w:i/>
          <w:sz w:val="28"/>
          <w:szCs w:val="28"/>
          <w:lang w:val="es-ES_tradnl" w:eastAsia="es-ES_tradnl"/>
        </w:rPr>
        <w:t>.</w:t>
      </w:r>
      <w:r w:rsidR="001A42A5" w:rsidRPr="00DA1726">
        <w:rPr>
          <w:bCs/>
          <w:sz w:val="28"/>
          <w:szCs w:val="28"/>
          <w:lang w:val="es-ES_tradnl" w:eastAsia="es-ES_tradnl"/>
        </w:rPr>
        <w:t xml:space="preserve"> </w:t>
      </w:r>
      <w:r w:rsidRPr="00DA1726">
        <w:rPr>
          <w:bCs/>
          <w:sz w:val="28"/>
          <w:szCs w:val="28"/>
          <w:lang w:val="es-ES_tradnl" w:eastAsia="es-ES_tradnl"/>
        </w:rPr>
        <w:t>Este ejercicio arrojó los siguientes resultados:</w:t>
      </w:r>
    </w:p>
    <w:p w:rsidR="00B71C0E" w:rsidRPr="00DA1726" w:rsidRDefault="00B71C0E" w:rsidP="00DA1726">
      <w:pPr>
        <w:widowControl w:val="0"/>
        <w:tabs>
          <w:tab w:val="left" w:pos="426"/>
        </w:tabs>
        <w:autoSpaceDE w:val="0"/>
        <w:autoSpaceDN w:val="0"/>
        <w:adjustRightInd w:val="0"/>
        <w:jc w:val="both"/>
        <w:rPr>
          <w:sz w:val="28"/>
          <w:szCs w:val="28"/>
          <w:lang w:val="es-ES_tradnl" w:eastAsia="es-ES_tradnl"/>
        </w:rPr>
      </w:pPr>
    </w:p>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r w:rsidRPr="00DA1726">
        <w:rPr>
          <w:rStyle w:val="FontStyle61"/>
          <w:rFonts w:ascii="Times New Roman" w:hAnsi="Times New Roman" w:cs="Times New Roman"/>
          <w:sz w:val="28"/>
          <w:szCs w:val="28"/>
          <w:lang w:val="es-ES_tradnl" w:eastAsia="es-ES_tradnl"/>
        </w:rPr>
        <w:t>R</w:t>
      </w:r>
      <w:r w:rsidR="009D7A12" w:rsidRPr="00DA1726">
        <w:rPr>
          <w:rStyle w:val="FontStyle61"/>
          <w:rFonts w:ascii="Times New Roman" w:hAnsi="Times New Roman" w:cs="Times New Roman"/>
          <w:sz w:val="28"/>
          <w:szCs w:val="28"/>
          <w:lang w:val="es-ES_tradnl" w:eastAsia="es-ES_tradnl"/>
        </w:rPr>
        <w:t>égimen c</w:t>
      </w:r>
      <w:r w:rsidRPr="00DA1726">
        <w:rPr>
          <w:rStyle w:val="FontStyle61"/>
          <w:rFonts w:ascii="Times New Roman" w:hAnsi="Times New Roman" w:cs="Times New Roman"/>
          <w:sz w:val="28"/>
          <w:szCs w:val="28"/>
          <w:lang w:val="es-ES_tradnl" w:eastAsia="es-ES_tradnl"/>
        </w:rPr>
        <w:t>ontributivo</w:t>
      </w:r>
    </w:p>
    <w:p w:rsidR="00C90446" w:rsidRPr="00DA1726" w:rsidRDefault="00C90446" w:rsidP="00DA1726">
      <w:pPr>
        <w:pStyle w:val="Style9"/>
        <w:widowControl/>
        <w:rPr>
          <w:rStyle w:val="FontStyle61"/>
          <w:rFonts w:ascii="Times New Roman" w:hAnsi="Times New Roman" w:cs="Times New Roman"/>
          <w:sz w:val="28"/>
          <w:szCs w:val="28"/>
          <w:lang w:val="es-ES_tradnl" w:eastAsia="es-ES_tradnl"/>
        </w:rPr>
      </w:pPr>
    </w:p>
    <w:tbl>
      <w:tblPr>
        <w:tblStyle w:val="Tablaconcuadrcula"/>
        <w:tblW w:w="8830" w:type="dxa"/>
        <w:tblInd w:w="-18" w:type="dxa"/>
        <w:tblLook w:val="04A0" w:firstRow="1" w:lastRow="0" w:firstColumn="1" w:lastColumn="0" w:noHBand="0" w:noVBand="1"/>
      </w:tblPr>
      <w:tblGrid>
        <w:gridCol w:w="4415"/>
        <w:gridCol w:w="4415"/>
      </w:tblGrid>
      <w:tr w:rsidR="00FD2611" w:rsidRPr="00DA1726" w:rsidTr="00C90446">
        <w:tc>
          <w:tcPr>
            <w:tcW w:w="4415" w:type="dxa"/>
            <w:tcBorders>
              <w:top w:val="single" w:sz="18" w:space="0" w:color="auto"/>
              <w:left w:val="single" w:sz="18" w:space="0" w:color="auto"/>
              <w:bottom w:val="single" w:sz="18" w:space="0" w:color="auto"/>
              <w:right w:val="single" w:sz="18" w:space="0" w:color="auto"/>
            </w:tcBorders>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1"/>
                <w:rFonts w:ascii="Times New Roman" w:hAnsi="Times New Roman" w:cs="Times New Roman"/>
                <w:sz w:val="28"/>
                <w:szCs w:val="28"/>
                <w:lang w:val="es-ES_tradnl" w:eastAsia="es-ES_tradnl"/>
              </w:rPr>
              <w:t>GRUPO</w:t>
            </w:r>
          </w:p>
        </w:tc>
        <w:tc>
          <w:tcPr>
            <w:tcW w:w="4415" w:type="dxa"/>
            <w:tcBorders>
              <w:top w:val="single" w:sz="18" w:space="0" w:color="auto"/>
              <w:left w:val="single" w:sz="18" w:space="0" w:color="auto"/>
              <w:bottom w:val="single" w:sz="18" w:space="0" w:color="auto"/>
              <w:right w:val="single" w:sz="18" w:space="0" w:color="auto"/>
            </w:tcBorders>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1"/>
                <w:rFonts w:ascii="Times New Roman" w:hAnsi="Times New Roman" w:cs="Times New Roman"/>
                <w:sz w:val="28"/>
                <w:szCs w:val="28"/>
                <w:lang w:val="es-ES_tradnl" w:eastAsia="es-ES_tradnl"/>
              </w:rPr>
              <w:t>EPS</w:t>
            </w:r>
          </w:p>
        </w:tc>
      </w:tr>
      <w:tr w:rsidR="00FD2611" w:rsidRPr="00DA1726" w:rsidTr="00C90446">
        <w:tc>
          <w:tcPr>
            <w:tcW w:w="4415" w:type="dxa"/>
            <w:vMerge w:val="restart"/>
            <w:tcBorders>
              <w:top w:val="single" w:sz="18" w:space="0" w:color="auto"/>
              <w:bottom w:val="single" w:sz="18" w:space="0" w:color="auto"/>
            </w:tcBorders>
            <w:vAlign w:val="center"/>
          </w:tcPr>
          <w:p w:rsidR="00C90446"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1"/>
                <w:rFonts w:ascii="Times New Roman" w:hAnsi="Times New Roman" w:cs="Times New Roman"/>
                <w:sz w:val="28"/>
                <w:szCs w:val="28"/>
                <w:lang w:val="es-ES_tradnl" w:eastAsia="es-ES_tradnl"/>
              </w:rPr>
              <w:t>ALTO</w:t>
            </w:r>
          </w:p>
        </w:tc>
        <w:tc>
          <w:tcPr>
            <w:tcW w:w="4415" w:type="dxa"/>
            <w:tcBorders>
              <w:top w:val="single" w:sz="18" w:space="0" w:color="auto"/>
            </w:tcBorders>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COOMEVA</w:t>
            </w:r>
          </w:p>
        </w:tc>
      </w:tr>
      <w:tr w:rsidR="00FD2611" w:rsidRPr="00DA1726" w:rsidTr="00C90446">
        <w:tc>
          <w:tcPr>
            <w:tcW w:w="4415" w:type="dxa"/>
            <w:vMerge/>
            <w:tcBorders>
              <w:bottom w:val="single" w:sz="18" w:space="0" w:color="auto"/>
            </w:tcBorders>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EPS SURA.</w:t>
            </w:r>
          </w:p>
        </w:tc>
      </w:tr>
      <w:tr w:rsidR="00FD2611" w:rsidRPr="00DA1726" w:rsidTr="00C90446">
        <w:tc>
          <w:tcPr>
            <w:tcW w:w="4415" w:type="dxa"/>
            <w:vMerge/>
            <w:tcBorders>
              <w:bottom w:val="single" w:sz="18" w:space="0" w:color="auto"/>
            </w:tcBorders>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SALUDCOOP</w:t>
            </w:r>
          </w:p>
        </w:tc>
      </w:tr>
      <w:tr w:rsidR="00FD2611" w:rsidRPr="00DA1726" w:rsidTr="00C90446">
        <w:tc>
          <w:tcPr>
            <w:tcW w:w="4415" w:type="dxa"/>
            <w:vMerge/>
            <w:tcBorders>
              <w:bottom w:val="single" w:sz="18" w:space="0" w:color="auto"/>
            </w:tcBorders>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Borders>
              <w:bottom w:val="single" w:sz="18" w:space="0" w:color="auto"/>
            </w:tcBorders>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SERVICIO OCCIDENTAL DE SALUD (SOS)</w:t>
            </w:r>
          </w:p>
        </w:tc>
      </w:tr>
      <w:tr w:rsidR="00FD2611" w:rsidRPr="00DA1726" w:rsidTr="00C90446">
        <w:tc>
          <w:tcPr>
            <w:tcW w:w="4415" w:type="dxa"/>
            <w:vMerge w:val="restart"/>
            <w:tcBorders>
              <w:top w:val="single" w:sz="18" w:space="0" w:color="auto"/>
              <w:bottom w:val="single" w:sz="18" w:space="0" w:color="auto"/>
              <w:right w:val="single" w:sz="8" w:space="0" w:color="auto"/>
            </w:tcBorders>
            <w:vAlign w:val="center"/>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1"/>
                <w:rFonts w:ascii="Times New Roman" w:hAnsi="Times New Roman" w:cs="Times New Roman"/>
                <w:sz w:val="28"/>
                <w:szCs w:val="28"/>
                <w:lang w:val="es-ES_tradnl" w:eastAsia="es-ES_tradnl"/>
              </w:rPr>
              <w:t>MEDIO ALTO</w:t>
            </w:r>
          </w:p>
        </w:tc>
        <w:tc>
          <w:tcPr>
            <w:tcW w:w="4415" w:type="dxa"/>
            <w:tcBorders>
              <w:top w:val="single" w:sz="18" w:space="0" w:color="auto"/>
              <w:left w:val="single" w:sz="8" w:space="0" w:color="auto"/>
              <w:bottom w:val="single" w:sz="8" w:space="0" w:color="auto"/>
              <w:right w:val="single" w:sz="8" w:space="0" w:color="auto"/>
            </w:tcBorders>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COMFENALCO VALLE</w:t>
            </w:r>
          </w:p>
        </w:tc>
      </w:tr>
      <w:tr w:rsidR="00FD2611" w:rsidRPr="00DA1726" w:rsidTr="00C90446">
        <w:tc>
          <w:tcPr>
            <w:tcW w:w="4415" w:type="dxa"/>
            <w:vMerge/>
            <w:tcBorders>
              <w:bottom w:val="single" w:sz="18" w:space="0" w:color="auto"/>
            </w:tcBorders>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Borders>
              <w:top w:val="single" w:sz="8" w:space="0" w:color="auto"/>
            </w:tcBorders>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COMPENSAR</w:t>
            </w:r>
          </w:p>
        </w:tc>
      </w:tr>
      <w:tr w:rsidR="00FD2611" w:rsidRPr="00DA1726" w:rsidTr="00C90446">
        <w:tc>
          <w:tcPr>
            <w:tcW w:w="4415" w:type="dxa"/>
            <w:vMerge/>
            <w:tcBorders>
              <w:bottom w:val="single" w:sz="18" w:space="0" w:color="auto"/>
            </w:tcBorders>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CRUZ BLANCA</w:t>
            </w:r>
          </w:p>
        </w:tc>
      </w:tr>
      <w:tr w:rsidR="00FD2611" w:rsidRPr="00DA1726" w:rsidTr="00C90446">
        <w:tc>
          <w:tcPr>
            <w:tcW w:w="4415" w:type="dxa"/>
            <w:vMerge/>
            <w:tcBorders>
              <w:bottom w:val="single" w:sz="18" w:space="0" w:color="auto"/>
            </w:tcBorders>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Pr>
          <w:p w:rsidR="00FD2611" w:rsidRPr="00DA1726" w:rsidRDefault="00FD2611" w:rsidP="00DA1726">
            <w:pPr>
              <w:pStyle w:val="Style9"/>
              <w:widowControl/>
              <w:jc w:val="center"/>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GOLDEN GROUP</w:t>
            </w:r>
          </w:p>
        </w:tc>
      </w:tr>
      <w:tr w:rsidR="00FD2611" w:rsidRPr="00DA1726" w:rsidTr="00C90446">
        <w:tc>
          <w:tcPr>
            <w:tcW w:w="4415" w:type="dxa"/>
            <w:vMerge/>
            <w:tcBorders>
              <w:bottom w:val="single" w:sz="18" w:space="0" w:color="auto"/>
            </w:tcBorders>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Borders>
              <w:bottom w:val="single" w:sz="18" w:space="0" w:color="auto"/>
            </w:tcBorders>
          </w:tcPr>
          <w:p w:rsidR="00FD2611" w:rsidRPr="00DA1726" w:rsidRDefault="00FD2611" w:rsidP="00DA1726">
            <w:pPr>
              <w:pStyle w:val="Style9"/>
              <w:widowControl/>
              <w:jc w:val="center"/>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SALUD COLPATRIA</w:t>
            </w:r>
          </w:p>
        </w:tc>
      </w:tr>
      <w:tr w:rsidR="00FD2611" w:rsidRPr="00DA1726" w:rsidTr="00C90446">
        <w:tc>
          <w:tcPr>
            <w:tcW w:w="4415" w:type="dxa"/>
            <w:vMerge w:val="restart"/>
            <w:tcBorders>
              <w:top w:val="single" w:sz="18" w:space="0" w:color="auto"/>
              <w:bottom w:val="single" w:sz="18" w:space="0" w:color="auto"/>
            </w:tcBorders>
            <w:vAlign w:val="center"/>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1"/>
                <w:rFonts w:ascii="Times New Roman" w:hAnsi="Times New Roman" w:cs="Times New Roman"/>
                <w:sz w:val="28"/>
                <w:szCs w:val="28"/>
                <w:lang w:val="es-ES_tradnl" w:eastAsia="es-ES_tradnl"/>
              </w:rPr>
              <w:t>MEDIO BAJO</w:t>
            </w:r>
          </w:p>
        </w:tc>
        <w:tc>
          <w:tcPr>
            <w:tcW w:w="4415" w:type="dxa"/>
            <w:tcBorders>
              <w:top w:val="single" w:sz="18" w:space="0" w:color="auto"/>
            </w:tcBorders>
          </w:tcPr>
          <w:p w:rsidR="00FD2611" w:rsidRPr="00DA1726" w:rsidRDefault="00FD2611" w:rsidP="00DA1726">
            <w:pPr>
              <w:pStyle w:val="Style9"/>
              <w:widowControl/>
              <w:jc w:val="center"/>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CAFESALUD</w:t>
            </w:r>
          </w:p>
        </w:tc>
      </w:tr>
      <w:tr w:rsidR="00FD2611" w:rsidRPr="00DA1726" w:rsidTr="00C90446">
        <w:tc>
          <w:tcPr>
            <w:tcW w:w="4415" w:type="dxa"/>
            <w:vMerge/>
            <w:tcBorders>
              <w:bottom w:val="single" w:sz="18" w:space="0" w:color="auto"/>
            </w:tcBorders>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Pr>
          <w:p w:rsidR="00FD2611" w:rsidRPr="00DA1726" w:rsidRDefault="00FD2611" w:rsidP="00DA1726">
            <w:pPr>
              <w:pStyle w:val="Style9"/>
              <w:widowControl/>
              <w:jc w:val="center"/>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COMFENALCO ANTIOQUIA</w:t>
            </w:r>
          </w:p>
        </w:tc>
      </w:tr>
      <w:tr w:rsidR="00FD2611" w:rsidRPr="00DA1726" w:rsidTr="00C90446">
        <w:tc>
          <w:tcPr>
            <w:tcW w:w="4415" w:type="dxa"/>
            <w:vMerge/>
            <w:tcBorders>
              <w:bottom w:val="single" w:sz="18" w:space="0" w:color="auto"/>
            </w:tcBorders>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Pr>
          <w:p w:rsidR="00FD2611" w:rsidRPr="00DA1726" w:rsidRDefault="00FD2611" w:rsidP="00DA1726">
            <w:pPr>
              <w:pStyle w:val="Style9"/>
              <w:widowControl/>
              <w:jc w:val="center"/>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NUEVA EPS</w:t>
            </w:r>
          </w:p>
        </w:tc>
      </w:tr>
      <w:tr w:rsidR="00FD2611" w:rsidRPr="00DA1726" w:rsidTr="00C90446">
        <w:tc>
          <w:tcPr>
            <w:tcW w:w="4415" w:type="dxa"/>
            <w:vMerge/>
            <w:tcBorders>
              <w:bottom w:val="single" w:sz="18" w:space="0" w:color="auto"/>
            </w:tcBorders>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Borders>
              <w:bottom w:val="single" w:sz="18" w:space="0" w:color="auto"/>
            </w:tcBorders>
          </w:tcPr>
          <w:p w:rsidR="00FD2611" w:rsidRPr="00DA1726" w:rsidRDefault="00FD2611" w:rsidP="00DA1726">
            <w:pPr>
              <w:pStyle w:val="Style9"/>
              <w:widowControl/>
              <w:jc w:val="center"/>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SALUD TOTAL</w:t>
            </w:r>
          </w:p>
        </w:tc>
      </w:tr>
      <w:tr w:rsidR="00FD2611" w:rsidRPr="00DA1726" w:rsidTr="00C90446">
        <w:tc>
          <w:tcPr>
            <w:tcW w:w="4415" w:type="dxa"/>
            <w:vMerge w:val="restart"/>
            <w:tcBorders>
              <w:top w:val="single" w:sz="18" w:space="0" w:color="auto"/>
            </w:tcBorders>
            <w:vAlign w:val="center"/>
          </w:tcPr>
          <w:p w:rsidR="00FD2611" w:rsidRPr="00DA1726" w:rsidRDefault="00FD2611"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1"/>
                <w:rFonts w:ascii="Times New Roman" w:hAnsi="Times New Roman" w:cs="Times New Roman"/>
                <w:sz w:val="28"/>
                <w:szCs w:val="28"/>
                <w:lang w:val="es-ES_tradnl" w:eastAsia="es-ES_tradnl"/>
              </w:rPr>
              <w:t>BAJO</w:t>
            </w:r>
          </w:p>
        </w:tc>
        <w:tc>
          <w:tcPr>
            <w:tcW w:w="4415" w:type="dxa"/>
            <w:tcBorders>
              <w:top w:val="single" w:sz="18" w:space="0" w:color="auto"/>
            </w:tcBorders>
          </w:tcPr>
          <w:p w:rsidR="00FD2611" w:rsidRPr="00DA1726" w:rsidRDefault="00FD2611" w:rsidP="00DA1726">
            <w:pPr>
              <w:pStyle w:val="Style9"/>
              <w:widowControl/>
              <w:jc w:val="center"/>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ALIANSALUD</w:t>
            </w:r>
          </w:p>
        </w:tc>
      </w:tr>
      <w:tr w:rsidR="00FD2611" w:rsidRPr="00DA1726" w:rsidTr="00C90446">
        <w:tc>
          <w:tcPr>
            <w:tcW w:w="4415" w:type="dxa"/>
            <w:vMerge/>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Pr>
          <w:p w:rsidR="00FD2611" w:rsidRPr="00DA1726" w:rsidRDefault="00FD2611" w:rsidP="00DA1726">
            <w:pPr>
              <w:pStyle w:val="Style9"/>
              <w:widowControl/>
              <w:jc w:val="center"/>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FAMISANAR</w:t>
            </w:r>
          </w:p>
        </w:tc>
      </w:tr>
      <w:tr w:rsidR="00FD2611" w:rsidRPr="00DA1726" w:rsidTr="00C90446">
        <w:tc>
          <w:tcPr>
            <w:tcW w:w="4415" w:type="dxa"/>
            <w:vMerge/>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Pr>
          <w:p w:rsidR="00FD2611" w:rsidRPr="00DA1726" w:rsidRDefault="00FD2611" w:rsidP="00DA1726">
            <w:pPr>
              <w:pStyle w:val="Style9"/>
              <w:widowControl/>
              <w:jc w:val="center"/>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HUMANAVIVIR</w:t>
            </w:r>
          </w:p>
        </w:tc>
      </w:tr>
      <w:tr w:rsidR="00FD2611" w:rsidRPr="00DA1726" w:rsidTr="00C90446">
        <w:tc>
          <w:tcPr>
            <w:tcW w:w="4415" w:type="dxa"/>
            <w:vMerge/>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Pr>
          <w:p w:rsidR="00FD2611" w:rsidRPr="00DA1726" w:rsidRDefault="00FD2611" w:rsidP="00DA1726">
            <w:pPr>
              <w:pStyle w:val="Style9"/>
              <w:widowControl/>
              <w:jc w:val="center"/>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SALUDVIDA</w:t>
            </w:r>
          </w:p>
        </w:tc>
      </w:tr>
      <w:tr w:rsidR="00FD2611" w:rsidRPr="00DA1726" w:rsidTr="00C90446">
        <w:tc>
          <w:tcPr>
            <w:tcW w:w="4415" w:type="dxa"/>
            <w:vMerge/>
          </w:tcPr>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tc>
        <w:tc>
          <w:tcPr>
            <w:tcW w:w="4415" w:type="dxa"/>
          </w:tcPr>
          <w:p w:rsidR="00FD2611" w:rsidRPr="00DA1726" w:rsidRDefault="00FD2611" w:rsidP="00DA1726">
            <w:pPr>
              <w:pStyle w:val="Style9"/>
              <w:widowControl/>
              <w:jc w:val="center"/>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position w:val="1"/>
                <w:sz w:val="28"/>
                <w:szCs w:val="28"/>
                <w:lang w:val="es-ES_tradnl" w:eastAsia="es-ES_tradnl"/>
              </w:rPr>
              <w:t>SOLSALUD</w:t>
            </w:r>
          </w:p>
        </w:tc>
      </w:tr>
    </w:tbl>
    <w:p w:rsidR="00FD2611" w:rsidRPr="00DA1726" w:rsidRDefault="00FD2611" w:rsidP="00DA1726">
      <w:pPr>
        <w:pStyle w:val="Style9"/>
        <w:widowControl/>
        <w:rPr>
          <w:rStyle w:val="FontStyle61"/>
          <w:rFonts w:ascii="Times New Roman" w:hAnsi="Times New Roman" w:cs="Times New Roman"/>
          <w:sz w:val="28"/>
          <w:szCs w:val="28"/>
          <w:lang w:val="es-ES_tradnl" w:eastAsia="es-ES_tradnl"/>
        </w:rPr>
      </w:pPr>
    </w:p>
    <w:p w:rsidR="00FD2611" w:rsidRPr="00DA1726" w:rsidRDefault="009D7A12" w:rsidP="00DA1726">
      <w:pPr>
        <w:widowControl w:val="0"/>
        <w:tabs>
          <w:tab w:val="left" w:pos="426"/>
        </w:tabs>
        <w:autoSpaceDE w:val="0"/>
        <w:autoSpaceDN w:val="0"/>
        <w:adjustRightInd w:val="0"/>
        <w:jc w:val="both"/>
        <w:rPr>
          <w:b/>
          <w:sz w:val="28"/>
          <w:szCs w:val="28"/>
          <w:lang w:val="es-ES_tradnl" w:eastAsia="es-ES_tradnl"/>
        </w:rPr>
      </w:pPr>
      <w:r w:rsidRPr="00DA1726">
        <w:rPr>
          <w:b/>
          <w:sz w:val="28"/>
          <w:szCs w:val="28"/>
          <w:lang w:val="es-ES_tradnl" w:eastAsia="es-ES_tradnl"/>
        </w:rPr>
        <w:t>Régimen s</w:t>
      </w:r>
      <w:r w:rsidR="00C90446" w:rsidRPr="00DA1726">
        <w:rPr>
          <w:b/>
          <w:sz w:val="28"/>
          <w:szCs w:val="28"/>
          <w:lang w:val="es-ES_tradnl" w:eastAsia="es-ES_tradnl"/>
        </w:rPr>
        <w:t>ubsidiado</w:t>
      </w:r>
    </w:p>
    <w:p w:rsidR="00C90446" w:rsidRPr="00DA1726" w:rsidRDefault="00C90446" w:rsidP="00DA1726">
      <w:pPr>
        <w:widowControl w:val="0"/>
        <w:tabs>
          <w:tab w:val="left" w:pos="426"/>
        </w:tabs>
        <w:autoSpaceDE w:val="0"/>
        <w:autoSpaceDN w:val="0"/>
        <w:adjustRightInd w:val="0"/>
        <w:jc w:val="both"/>
        <w:rPr>
          <w:sz w:val="28"/>
          <w:szCs w:val="28"/>
          <w:lang w:val="es-ES_tradnl" w:eastAsia="es-ES_tradnl"/>
        </w:rPr>
      </w:pPr>
    </w:p>
    <w:tbl>
      <w:tblPr>
        <w:tblStyle w:val="Tablaconcuadrcula"/>
        <w:tblW w:w="8848" w:type="dxa"/>
        <w:tblInd w:w="-126" w:type="dxa"/>
        <w:tblLook w:val="04A0" w:firstRow="1" w:lastRow="0" w:firstColumn="1" w:lastColumn="0" w:noHBand="0" w:noVBand="1"/>
      </w:tblPr>
      <w:tblGrid>
        <w:gridCol w:w="18"/>
        <w:gridCol w:w="4397"/>
        <w:gridCol w:w="18"/>
        <w:gridCol w:w="4397"/>
        <w:gridCol w:w="18"/>
      </w:tblGrid>
      <w:tr w:rsidR="00C90446" w:rsidRPr="00DA1726" w:rsidTr="00E025B1">
        <w:trPr>
          <w:gridAfter w:val="1"/>
          <w:wAfter w:w="18" w:type="dxa"/>
        </w:trPr>
        <w:tc>
          <w:tcPr>
            <w:tcW w:w="4415" w:type="dxa"/>
            <w:gridSpan w:val="2"/>
            <w:tcBorders>
              <w:top w:val="single" w:sz="18" w:space="0" w:color="auto"/>
              <w:left w:val="single" w:sz="18" w:space="0" w:color="auto"/>
              <w:bottom w:val="single" w:sz="18" w:space="0" w:color="auto"/>
              <w:right w:val="single" w:sz="18" w:space="0" w:color="auto"/>
            </w:tcBorders>
          </w:tcPr>
          <w:p w:rsidR="00C90446" w:rsidRPr="00DA1726" w:rsidRDefault="00C90446"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1"/>
                <w:rFonts w:ascii="Times New Roman" w:hAnsi="Times New Roman" w:cs="Times New Roman"/>
                <w:sz w:val="28"/>
                <w:szCs w:val="28"/>
                <w:lang w:val="es-ES_tradnl" w:eastAsia="es-ES_tradnl"/>
              </w:rPr>
              <w:t>GRUPO</w:t>
            </w:r>
          </w:p>
        </w:tc>
        <w:tc>
          <w:tcPr>
            <w:tcW w:w="4415" w:type="dxa"/>
            <w:gridSpan w:val="2"/>
            <w:tcBorders>
              <w:top w:val="single" w:sz="18" w:space="0" w:color="auto"/>
              <w:left w:val="single" w:sz="18" w:space="0" w:color="auto"/>
              <w:bottom w:val="single" w:sz="18" w:space="0" w:color="auto"/>
              <w:right w:val="single" w:sz="18" w:space="0" w:color="auto"/>
            </w:tcBorders>
          </w:tcPr>
          <w:p w:rsidR="00C90446" w:rsidRPr="00DA1726" w:rsidRDefault="00C90446" w:rsidP="00DA1726">
            <w:pPr>
              <w:pStyle w:val="Style9"/>
              <w:widowControl/>
              <w:jc w:val="center"/>
              <w:rPr>
                <w:rStyle w:val="FontStyle61"/>
                <w:rFonts w:ascii="Times New Roman" w:hAnsi="Times New Roman" w:cs="Times New Roman"/>
                <w:sz w:val="28"/>
                <w:szCs w:val="28"/>
                <w:lang w:val="es-ES_tradnl" w:eastAsia="es-ES_tradnl"/>
              </w:rPr>
            </w:pPr>
            <w:r w:rsidRPr="00DA1726">
              <w:rPr>
                <w:rStyle w:val="FontStyle61"/>
                <w:rFonts w:ascii="Times New Roman" w:hAnsi="Times New Roman" w:cs="Times New Roman"/>
                <w:sz w:val="28"/>
                <w:szCs w:val="28"/>
                <w:lang w:val="es-ES_tradnl" w:eastAsia="es-ES_tradnl"/>
              </w:rPr>
              <w:t>EPS</w:t>
            </w:r>
          </w:p>
        </w:tc>
      </w:tr>
      <w:tr w:rsidR="00E025B1" w:rsidRPr="00DA1726" w:rsidTr="00E025B1">
        <w:trPr>
          <w:gridBefore w:val="1"/>
          <w:wBefore w:w="18" w:type="dxa"/>
        </w:trPr>
        <w:tc>
          <w:tcPr>
            <w:tcW w:w="4415" w:type="dxa"/>
            <w:gridSpan w:val="2"/>
            <w:vMerge w:val="restart"/>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r w:rsidRPr="00DA1726">
              <w:rPr>
                <w:b/>
                <w:sz w:val="28"/>
                <w:szCs w:val="28"/>
                <w:lang w:val="es-ES_tradnl" w:eastAsia="es-ES_tradnl"/>
              </w:rPr>
              <w:t>ALTO</w:t>
            </w:r>
          </w:p>
        </w:tc>
        <w:tc>
          <w:tcPr>
            <w:tcW w:w="4415" w:type="dxa"/>
            <w:gridSpan w:val="2"/>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AIC - ASOCIACIÓN INDÍGENA DEL CAUCA (EPS-I CAUCA)</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AMBUQ (BARRIOS UNDOS DE QUIBDO)</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ANAS WAYUU (EPS-I)</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ANAS WAYUU (EPS-I)</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ASMET SALUD</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CCF BOYACÁ "COMFABOY"</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CCF CÓRDOBA "COMFACOR"</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CCF HUILA "COMFAMILIAR HUILA"</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CCF NORTE DE SANTANDER "FAMISALUD COMFANORTE"</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COOSALUD</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MUTUAL SER</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Borders>
              <w:bottom w:val="single" w:sz="18" w:space="0" w:color="auto"/>
            </w:tcBorders>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SELVASALUD</w:t>
            </w:r>
          </w:p>
        </w:tc>
      </w:tr>
      <w:tr w:rsidR="00E025B1" w:rsidRPr="00DA1726" w:rsidTr="00E025B1">
        <w:trPr>
          <w:gridBefore w:val="1"/>
          <w:wBefore w:w="18" w:type="dxa"/>
        </w:trPr>
        <w:tc>
          <w:tcPr>
            <w:tcW w:w="4415" w:type="dxa"/>
            <w:gridSpan w:val="2"/>
            <w:vMerge w:val="restart"/>
            <w:tcBorders>
              <w:top w:val="single" w:sz="18" w:space="0" w:color="auto"/>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r w:rsidRPr="00DA1726">
              <w:rPr>
                <w:b/>
                <w:sz w:val="28"/>
                <w:szCs w:val="28"/>
                <w:lang w:val="es-ES_tradnl" w:eastAsia="es-ES_tradnl"/>
              </w:rPr>
              <w:t>MEDIO ALTO</w:t>
            </w:r>
          </w:p>
        </w:tc>
        <w:tc>
          <w:tcPr>
            <w:tcW w:w="4415" w:type="dxa"/>
            <w:gridSpan w:val="2"/>
            <w:tcBorders>
              <w:top w:val="single" w:sz="18" w:space="0" w:color="auto"/>
            </w:tcBorders>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r w:rsidRPr="00DA1726">
              <w:rPr>
                <w:rStyle w:val="FontStyle60"/>
                <w:rFonts w:ascii="Times New Roman" w:hAnsi="Times New Roman" w:cs="Times New Roman"/>
                <w:sz w:val="28"/>
                <w:szCs w:val="28"/>
                <w:lang w:val="es-ES_tradnl" w:eastAsia="es-ES_tradnl"/>
              </w:rPr>
              <w:t>CAFESALUD</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CAPRECOM</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CAPRESOCA</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CAFAM</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CARTAGENA "CONFAMILIAR CARTAGENA"</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COMFENALCO TOLIMA</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CUNDINAMARCA "COMFACUNDI"</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DE LA GUAJIRA</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ORIENTE "COMFAORIENTE"</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EMSSANAR</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Borders>
              <w:bottom w:val="single" w:sz="18" w:space="0" w:color="auto"/>
            </w:tcBorders>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SOLSALUD</w:t>
            </w:r>
          </w:p>
        </w:tc>
      </w:tr>
      <w:tr w:rsidR="00E025B1" w:rsidRPr="00DA1726" w:rsidTr="00E025B1">
        <w:trPr>
          <w:gridBefore w:val="1"/>
          <w:wBefore w:w="18" w:type="dxa"/>
        </w:trPr>
        <w:tc>
          <w:tcPr>
            <w:tcW w:w="4415" w:type="dxa"/>
            <w:gridSpan w:val="2"/>
            <w:vMerge w:val="restart"/>
            <w:tcBorders>
              <w:top w:val="single" w:sz="18" w:space="0" w:color="auto"/>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r w:rsidRPr="00DA1726">
              <w:rPr>
                <w:b/>
                <w:sz w:val="28"/>
                <w:szCs w:val="28"/>
                <w:lang w:val="es-ES_tradnl" w:eastAsia="es-ES_tradnl"/>
              </w:rPr>
              <w:t>MEDIO BAJO</w:t>
            </w:r>
          </w:p>
        </w:tc>
        <w:tc>
          <w:tcPr>
            <w:tcW w:w="4415" w:type="dxa"/>
            <w:gridSpan w:val="2"/>
            <w:tcBorders>
              <w:top w:val="single" w:sz="18" w:space="0" w:color="auto"/>
            </w:tcBorders>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DE SUCRE</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ANTIOQUÍA "COMFAMA"</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CHOCÓ "CONMFACHOCÓ"</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COLSUBSIDIO</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DE NARIÑO</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CONVIDA</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DUSAKAWI (EPS-I CESAR Y GUAJIRA)</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ECOOPSOS</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PIJAOS SALUD (EPS-I)</w:t>
            </w:r>
          </w:p>
        </w:tc>
      </w:tr>
      <w:tr w:rsidR="00E025B1" w:rsidRPr="00DA1726" w:rsidTr="00E025B1">
        <w:trPr>
          <w:gridBefore w:val="1"/>
          <w:wBefore w:w="18" w:type="dxa"/>
        </w:trPr>
        <w:tc>
          <w:tcPr>
            <w:tcW w:w="4415" w:type="dxa"/>
            <w:gridSpan w:val="2"/>
            <w:vMerge/>
            <w:tcBorders>
              <w:bottom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p>
        </w:tc>
        <w:tc>
          <w:tcPr>
            <w:tcW w:w="4415" w:type="dxa"/>
            <w:gridSpan w:val="2"/>
            <w:tcBorders>
              <w:bottom w:val="single" w:sz="18" w:space="0" w:color="auto"/>
            </w:tcBorders>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SALUD CONDOR</w:t>
            </w:r>
          </w:p>
        </w:tc>
      </w:tr>
      <w:tr w:rsidR="00E025B1" w:rsidRPr="00DA1726" w:rsidTr="00E025B1">
        <w:trPr>
          <w:gridBefore w:val="1"/>
          <w:wBefore w:w="18" w:type="dxa"/>
        </w:trPr>
        <w:tc>
          <w:tcPr>
            <w:tcW w:w="4415" w:type="dxa"/>
            <w:gridSpan w:val="2"/>
            <w:vMerge w:val="restart"/>
            <w:tcBorders>
              <w:top w:val="single" w:sz="18" w:space="0" w:color="auto"/>
            </w:tcBorders>
            <w:vAlign w:val="center"/>
          </w:tcPr>
          <w:p w:rsidR="00E025B1" w:rsidRPr="00DA1726" w:rsidRDefault="00E025B1" w:rsidP="00DA1726">
            <w:pPr>
              <w:widowControl w:val="0"/>
              <w:tabs>
                <w:tab w:val="left" w:pos="426"/>
              </w:tabs>
              <w:autoSpaceDE w:val="0"/>
              <w:autoSpaceDN w:val="0"/>
              <w:adjustRightInd w:val="0"/>
              <w:jc w:val="center"/>
              <w:rPr>
                <w:b/>
                <w:sz w:val="28"/>
                <w:szCs w:val="28"/>
                <w:lang w:val="es-ES_tradnl" w:eastAsia="es-ES_tradnl"/>
              </w:rPr>
            </w:pPr>
            <w:r w:rsidRPr="00DA1726">
              <w:rPr>
                <w:b/>
                <w:sz w:val="28"/>
                <w:szCs w:val="28"/>
                <w:lang w:val="es-ES_tradnl" w:eastAsia="es-ES_tradnl"/>
              </w:rPr>
              <w:t>BAJO</w:t>
            </w:r>
          </w:p>
        </w:tc>
        <w:tc>
          <w:tcPr>
            <w:tcW w:w="4415" w:type="dxa"/>
            <w:gridSpan w:val="2"/>
            <w:tcBorders>
              <w:top w:val="single" w:sz="18" w:space="0" w:color="auto"/>
            </w:tcBorders>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CAPITAL SALUD</w:t>
            </w:r>
          </w:p>
        </w:tc>
      </w:tr>
      <w:tr w:rsidR="00E025B1" w:rsidRPr="00DA1726" w:rsidTr="00E025B1">
        <w:trPr>
          <w:gridBefore w:val="1"/>
          <w:wBefore w:w="18" w:type="dxa"/>
        </w:trPr>
        <w:tc>
          <w:tcPr>
            <w:tcW w:w="4415" w:type="dxa"/>
            <w:gridSpan w:val="2"/>
            <w:vMerge/>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ATLÁNTICO "CAJACOPI"</w:t>
            </w:r>
          </w:p>
        </w:tc>
      </w:tr>
      <w:tr w:rsidR="00E025B1" w:rsidRPr="00DA1726" w:rsidTr="00E025B1">
        <w:trPr>
          <w:gridBefore w:val="1"/>
          <w:wBefore w:w="18" w:type="dxa"/>
        </w:trPr>
        <w:tc>
          <w:tcPr>
            <w:tcW w:w="4415" w:type="dxa"/>
            <w:gridSpan w:val="2"/>
            <w:vMerge/>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BARRANCABERMEJA "CAFABA"</w:t>
            </w:r>
          </w:p>
        </w:tc>
      </w:tr>
      <w:tr w:rsidR="00E025B1" w:rsidRPr="00DA1726" w:rsidTr="00E025B1">
        <w:trPr>
          <w:gridBefore w:val="1"/>
          <w:wBefore w:w="18" w:type="dxa"/>
        </w:trPr>
        <w:tc>
          <w:tcPr>
            <w:tcW w:w="4415" w:type="dxa"/>
            <w:gridSpan w:val="2"/>
            <w:vMerge/>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CCF COMFENALCO SANTANDER</w:t>
            </w:r>
          </w:p>
        </w:tc>
      </w:tr>
      <w:tr w:rsidR="00E025B1" w:rsidRPr="00DA1726" w:rsidTr="00E025B1">
        <w:trPr>
          <w:gridBefore w:val="1"/>
          <w:wBefore w:w="18" w:type="dxa"/>
        </w:trPr>
        <w:tc>
          <w:tcPr>
            <w:tcW w:w="4415" w:type="dxa"/>
            <w:gridSpan w:val="2"/>
            <w:vMerge/>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COMFENALCO QUINDIO</w:t>
            </w:r>
          </w:p>
        </w:tc>
      </w:tr>
      <w:tr w:rsidR="00E025B1" w:rsidRPr="00DA1726" w:rsidTr="00E025B1">
        <w:trPr>
          <w:gridBefore w:val="1"/>
          <w:wBefore w:w="18" w:type="dxa"/>
        </w:trPr>
        <w:tc>
          <w:tcPr>
            <w:tcW w:w="4415" w:type="dxa"/>
            <w:gridSpan w:val="2"/>
            <w:vMerge/>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COMPARTA</w:t>
            </w:r>
          </w:p>
        </w:tc>
      </w:tr>
      <w:tr w:rsidR="00E025B1" w:rsidRPr="00DA1726" w:rsidTr="00E025B1">
        <w:trPr>
          <w:gridBefore w:val="1"/>
          <w:wBefore w:w="18" w:type="dxa"/>
        </w:trPr>
        <w:tc>
          <w:tcPr>
            <w:tcW w:w="4415" w:type="dxa"/>
            <w:gridSpan w:val="2"/>
            <w:vMerge/>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EMDISALUD</w:t>
            </w:r>
          </w:p>
        </w:tc>
      </w:tr>
      <w:tr w:rsidR="00E025B1" w:rsidRPr="00DA1726" w:rsidTr="00E025B1">
        <w:trPr>
          <w:gridBefore w:val="1"/>
          <w:wBefore w:w="18" w:type="dxa"/>
        </w:trPr>
        <w:tc>
          <w:tcPr>
            <w:tcW w:w="4415" w:type="dxa"/>
            <w:gridSpan w:val="2"/>
            <w:vMerge/>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HUMANAVIVIR</w:t>
            </w:r>
          </w:p>
        </w:tc>
      </w:tr>
      <w:tr w:rsidR="00E025B1" w:rsidRPr="00DA1726" w:rsidTr="00E025B1">
        <w:trPr>
          <w:gridBefore w:val="1"/>
          <w:wBefore w:w="18" w:type="dxa"/>
        </w:trPr>
        <w:tc>
          <w:tcPr>
            <w:tcW w:w="4415" w:type="dxa"/>
            <w:gridSpan w:val="2"/>
            <w:vMerge/>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MALLAMAS (EPS-I)</w:t>
            </w:r>
          </w:p>
        </w:tc>
      </w:tr>
      <w:tr w:rsidR="00E025B1" w:rsidRPr="00DA1726" w:rsidTr="00E025B1">
        <w:trPr>
          <w:gridBefore w:val="1"/>
          <w:wBefore w:w="18" w:type="dxa"/>
        </w:trPr>
        <w:tc>
          <w:tcPr>
            <w:tcW w:w="4415" w:type="dxa"/>
            <w:gridSpan w:val="2"/>
            <w:vMerge/>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MANEXKA (EPS-I ZENU)</w:t>
            </w:r>
          </w:p>
        </w:tc>
      </w:tr>
      <w:tr w:rsidR="00E025B1" w:rsidRPr="00DA1726" w:rsidTr="00E025B1">
        <w:trPr>
          <w:gridBefore w:val="1"/>
          <w:wBefore w:w="18" w:type="dxa"/>
        </w:trPr>
        <w:tc>
          <w:tcPr>
            <w:tcW w:w="4415" w:type="dxa"/>
            <w:gridSpan w:val="2"/>
            <w:vMerge/>
          </w:tcPr>
          <w:p w:rsidR="00E025B1" w:rsidRPr="00DA1726" w:rsidRDefault="00E025B1" w:rsidP="00DA1726">
            <w:pPr>
              <w:widowControl w:val="0"/>
              <w:tabs>
                <w:tab w:val="left" w:pos="426"/>
              </w:tabs>
              <w:autoSpaceDE w:val="0"/>
              <w:autoSpaceDN w:val="0"/>
              <w:adjustRightInd w:val="0"/>
              <w:jc w:val="both"/>
              <w:rPr>
                <w:sz w:val="28"/>
                <w:szCs w:val="28"/>
                <w:lang w:val="es-ES_tradnl" w:eastAsia="es-ES_tradnl"/>
              </w:rPr>
            </w:pPr>
          </w:p>
        </w:tc>
        <w:tc>
          <w:tcPr>
            <w:tcW w:w="4415" w:type="dxa"/>
            <w:gridSpan w:val="2"/>
          </w:tcPr>
          <w:p w:rsidR="00E025B1" w:rsidRPr="00DA1726" w:rsidRDefault="00E025B1" w:rsidP="00DA1726">
            <w:pPr>
              <w:widowControl w:val="0"/>
              <w:tabs>
                <w:tab w:val="left" w:pos="426"/>
              </w:tabs>
              <w:autoSpaceDE w:val="0"/>
              <w:autoSpaceDN w:val="0"/>
              <w:adjustRightInd w:val="0"/>
              <w:jc w:val="both"/>
              <w:rPr>
                <w:rStyle w:val="FontStyle60"/>
                <w:rFonts w:ascii="Times New Roman" w:hAnsi="Times New Roman" w:cs="Times New Roman"/>
                <w:sz w:val="28"/>
                <w:szCs w:val="28"/>
                <w:lang w:val="es-ES_tradnl" w:eastAsia="es-ES_tradnl"/>
              </w:rPr>
            </w:pPr>
            <w:r w:rsidRPr="00DA1726">
              <w:rPr>
                <w:rStyle w:val="FontStyle60"/>
                <w:rFonts w:ascii="Times New Roman" w:hAnsi="Times New Roman" w:cs="Times New Roman"/>
                <w:sz w:val="28"/>
                <w:szCs w:val="28"/>
                <w:lang w:val="es-ES_tradnl" w:eastAsia="es-ES_tradnl"/>
              </w:rPr>
              <w:t>SALUDVIDA</w:t>
            </w:r>
          </w:p>
        </w:tc>
      </w:tr>
    </w:tbl>
    <w:p w:rsidR="00C90446" w:rsidRPr="00DA1726" w:rsidRDefault="00C90446" w:rsidP="00DA1726">
      <w:pPr>
        <w:widowControl w:val="0"/>
        <w:tabs>
          <w:tab w:val="left" w:pos="426"/>
        </w:tabs>
        <w:autoSpaceDE w:val="0"/>
        <w:autoSpaceDN w:val="0"/>
        <w:adjustRightInd w:val="0"/>
        <w:jc w:val="both"/>
        <w:rPr>
          <w:sz w:val="28"/>
          <w:szCs w:val="28"/>
          <w:lang w:val="es-ES_tradnl" w:eastAsia="es-ES_tradnl"/>
        </w:rPr>
      </w:pPr>
    </w:p>
    <w:p w:rsidR="003C355A" w:rsidRPr="00DA1726" w:rsidRDefault="00B32449" w:rsidP="00DA1726">
      <w:pPr>
        <w:pStyle w:val="Prrafodelista"/>
        <w:widowControl w:val="0"/>
        <w:numPr>
          <w:ilvl w:val="2"/>
          <w:numId w:val="40"/>
        </w:numPr>
        <w:tabs>
          <w:tab w:val="left" w:pos="426"/>
        </w:tabs>
        <w:autoSpaceDE w:val="0"/>
        <w:autoSpaceDN w:val="0"/>
        <w:adjustRightInd w:val="0"/>
        <w:ind w:left="0" w:firstLine="0"/>
        <w:jc w:val="both"/>
        <w:rPr>
          <w:rStyle w:val="FontStyle65"/>
          <w:rFonts w:ascii="Times New Roman" w:hAnsi="Times New Roman" w:cs="Times New Roman"/>
          <w:sz w:val="28"/>
          <w:szCs w:val="28"/>
          <w:lang w:val="es-ES_tradnl" w:eastAsia="es-ES_tradnl"/>
        </w:rPr>
      </w:pPr>
      <w:r w:rsidRPr="00DA1726">
        <w:rPr>
          <w:i/>
          <w:sz w:val="28"/>
          <w:szCs w:val="28"/>
          <w:lang w:eastAsia="es-ES_tradnl"/>
        </w:rPr>
        <w:t>I</w:t>
      </w:r>
      <w:r w:rsidR="003C355A" w:rsidRPr="00DA1726">
        <w:rPr>
          <w:i/>
          <w:sz w:val="28"/>
          <w:szCs w:val="28"/>
          <w:lang w:eastAsia="es-ES_tradnl"/>
        </w:rPr>
        <w:t>mplicaciones de la publicación del ordenamiento</w:t>
      </w:r>
      <w:r w:rsidRPr="00DA1726">
        <w:rPr>
          <w:sz w:val="28"/>
          <w:szCs w:val="28"/>
          <w:lang w:eastAsia="es-ES_tradnl"/>
        </w:rPr>
        <w:t>.</w:t>
      </w:r>
      <w:r w:rsidR="001A42A5" w:rsidRPr="00DA1726">
        <w:rPr>
          <w:sz w:val="28"/>
          <w:szCs w:val="28"/>
          <w:lang w:eastAsia="es-ES_tradnl"/>
        </w:rPr>
        <w:t xml:space="preserve"> </w:t>
      </w:r>
      <w:r w:rsidRPr="00DA1726">
        <w:rPr>
          <w:sz w:val="28"/>
          <w:szCs w:val="28"/>
          <w:lang w:eastAsia="es-ES_tradnl"/>
        </w:rPr>
        <w:t>A</w:t>
      </w:r>
      <w:r w:rsidR="003C355A" w:rsidRPr="00DA1726">
        <w:rPr>
          <w:sz w:val="28"/>
          <w:szCs w:val="28"/>
          <w:lang w:eastAsia="es-ES_tradnl"/>
        </w:rPr>
        <w:t>dvirtió</w:t>
      </w:r>
      <w:r w:rsidRPr="00DA1726">
        <w:rPr>
          <w:sz w:val="28"/>
          <w:szCs w:val="28"/>
          <w:lang w:eastAsia="es-ES_tradnl"/>
        </w:rPr>
        <w:t xml:space="preserve"> el Ministerio</w:t>
      </w:r>
      <w:r w:rsidR="003C355A" w:rsidRPr="00DA1726">
        <w:rPr>
          <w:sz w:val="28"/>
          <w:szCs w:val="28"/>
          <w:lang w:eastAsia="es-ES_tradnl"/>
        </w:rPr>
        <w:t xml:space="preserve"> que la toma de decisiones informadas por parte de los usuarios debe obedecer a un proceso educativo, donde se explique la forma en que funciona el sistema de salud y </w:t>
      </w:r>
      <w:r w:rsidR="003C355A" w:rsidRPr="00DA1726">
        <w:rPr>
          <w:rStyle w:val="FontStyle65"/>
          <w:rFonts w:ascii="Times New Roman" w:hAnsi="Times New Roman" w:cs="Times New Roman"/>
          <w:sz w:val="28"/>
          <w:szCs w:val="28"/>
          <w:lang w:val="es-ES_tradnl" w:eastAsia="es-ES_tradnl"/>
        </w:rPr>
        <w:t>comprender los indicadores con los cuales se califican a los aseguradores y prestadores.</w:t>
      </w:r>
    </w:p>
    <w:p w:rsidR="00C90446" w:rsidRPr="00DA1726" w:rsidRDefault="00C90446" w:rsidP="00DA1726">
      <w:pPr>
        <w:widowControl w:val="0"/>
        <w:tabs>
          <w:tab w:val="left" w:pos="426"/>
        </w:tabs>
        <w:autoSpaceDE w:val="0"/>
        <w:autoSpaceDN w:val="0"/>
        <w:adjustRightInd w:val="0"/>
        <w:jc w:val="both"/>
        <w:rPr>
          <w:sz w:val="28"/>
          <w:szCs w:val="28"/>
          <w:lang w:val="es-ES_tradnl" w:eastAsia="es-ES_tradnl"/>
        </w:rPr>
      </w:pPr>
    </w:p>
    <w:p w:rsidR="00B32449" w:rsidRPr="00DA1726" w:rsidRDefault="00B32449" w:rsidP="00DA1726">
      <w:pPr>
        <w:pStyle w:val="Prrafodelista"/>
        <w:widowControl w:val="0"/>
        <w:numPr>
          <w:ilvl w:val="1"/>
          <w:numId w:val="40"/>
        </w:numPr>
        <w:tabs>
          <w:tab w:val="left" w:pos="567"/>
        </w:tabs>
        <w:autoSpaceDE w:val="0"/>
        <w:autoSpaceDN w:val="0"/>
        <w:adjustRightInd w:val="0"/>
        <w:ind w:left="0" w:firstLine="0"/>
        <w:jc w:val="both"/>
        <w:rPr>
          <w:sz w:val="28"/>
          <w:szCs w:val="28"/>
          <w:lang w:val="es-ES_tradnl" w:eastAsia="es-ES_tradnl"/>
        </w:rPr>
      </w:pPr>
      <w:r w:rsidRPr="00DA1726">
        <w:rPr>
          <w:sz w:val="28"/>
          <w:szCs w:val="28"/>
          <w:lang w:val="es-ES_tradnl" w:eastAsia="es-ES_tradnl"/>
        </w:rPr>
        <w:t>El 25 de febrero de 2013, la Defensor</w:t>
      </w:r>
      <w:r w:rsidR="00717000" w:rsidRPr="00DA1726">
        <w:rPr>
          <w:sz w:val="28"/>
          <w:szCs w:val="28"/>
          <w:lang w:val="es-ES_tradnl" w:eastAsia="es-ES_tradnl"/>
        </w:rPr>
        <w:t xml:space="preserve">ía del Pueblo presentó informe de análisis en relación con </w:t>
      </w:r>
      <w:r w:rsidR="0037459E" w:rsidRPr="00DA1726">
        <w:rPr>
          <w:sz w:val="28"/>
          <w:szCs w:val="28"/>
          <w:lang w:val="es-ES_tradnl" w:eastAsia="es-ES_tradnl"/>
        </w:rPr>
        <w:t>los datos presentados por el Ministerio de Salud y Protección Social</w:t>
      </w:r>
      <w:r w:rsidR="00955401" w:rsidRPr="00DA1726">
        <w:rPr>
          <w:sz w:val="28"/>
          <w:szCs w:val="28"/>
          <w:vertAlign w:val="superscript"/>
          <w:lang w:val="es-ES_tradnl" w:eastAsia="es-ES_tradnl"/>
        </w:rPr>
        <w:footnoteReference w:id="5"/>
      </w:r>
      <w:r w:rsidR="0037459E" w:rsidRPr="00DA1726">
        <w:rPr>
          <w:sz w:val="28"/>
          <w:szCs w:val="28"/>
          <w:lang w:val="es-ES_tradnl" w:eastAsia="es-ES_tradnl"/>
        </w:rPr>
        <w:t xml:space="preserve">. </w:t>
      </w:r>
    </w:p>
    <w:p w:rsidR="00717000" w:rsidRPr="00DA1726" w:rsidRDefault="00717000" w:rsidP="00DA1726">
      <w:pPr>
        <w:widowControl w:val="0"/>
        <w:tabs>
          <w:tab w:val="left" w:pos="426"/>
        </w:tabs>
        <w:autoSpaceDE w:val="0"/>
        <w:autoSpaceDN w:val="0"/>
        <w:adjustRightInd w:val="0"/>
        <w:jc w:val="both"/>
        <w:rPr>
          <w:sz w:val="28"/>
          <w:szCs w:val="28"/>
          <w:lang w:val="es-ES_tradnl" w:eastAsia="es-ES_tradnl"/>
        </w:rPr>
      </w:pPr>
    </w:p>
    <w:p w:rsidR="0037459E" w:rsidRPr="00DA1726" w:rsidRDefault="0037459E" w:rsidP="00DA1726">
      <w:pPr>
        <w:widowControl w:val="0"/>
        <w:tabs>
          <w:tab w:val="left" w:pos="426"/>
        </w:tabs>
        <w:autoSpaceDE w:val="0"/>
        <w:autoSpaceDN w:val="0"/>
        <w:adjustRightInd w:val="0"/>
        <w:jc w:val="both"/>
        <w:rPr>
          <w:sz w:val="28"/>
          <w:szCs w:val="28"/>
          <w:lang w:val="es-ES_tradnl" w:eastAsia="es-ES_tradnl"/>
        </w:rPr>
      </w:pPr>
      <w:r w:rsidRPr="00DA1726">
        <w:rPr>
          <w:sz w:val="28"/>
          <w:szCs w:val="28"/>
          <w:lang w:val="es-ES_tradnl" w:eastAsia="es-ES_tradnl"/>
        </w:rPr>
        <w:t>Indicó que la orden 20 de la sentencia T-760 de 2008 se cumplió parcialmente, toda vez que no se han solucionado los problemas de suficiencia, exactitud y precisión de los datos. Por este motivo, el tratamiento de la información y la metodología de cálculo se hacen, en cierta medida, contingentes.</w:t>
      </w:r>
    </w:p>
    <w:p w:rsidR="0037459E" w:rsidRPr="00DA1726" w:rsidRDefault="0037459E" w:rsidP="00DA1726">
      <w:pPr>
        <w:widowControl w:val="0"/>
        <w:tabs>
          <w:tab w:val="left" w:pos="426"/>
        </w:tabs>
        <w:autoSpaceDE w:val="0"/>
        <w:autoSpaceDN w:val="0"/>
        <w:adjustRightInd w:val="0"/>
        <w:jc w:val="both"/>
        <w:rPr>
          <w:sz w:val="28"/>
          <w:szCs w:val="28"/>
          <w:lang w:val="es-ES" w:eastAsia="es-ES_tradnl"/>
        </w:rPr>
      </w:pPr>
    </w:p>
    <w:p w:rsidR="000D09E5" w:rsidRPr="00DA1726" w:rsidRDefault="005E0786" w:rsidP="00DA1726">
      <w:pPr>
        <w:widowControl w:val="0"/>
        <w:tabs>
          <w:tab w:val="left" w:pos="426"/>
        </w:tabs>
        <w:autoSpaceDE w:val="0"/>
        <w:autoSpaceDN w:val="0"/>
        <w:adjustRightInd w:val="0"/>
        <w:jc w:val="both"/>
        <w:rPr>
          <w:sz w:val="28"/>
          <w:szCs w:val="28"/>
          <w:lang w:val="es-ES_tradnl" w:eastAsia="es-ES_tradnl"/>
        </w:rPr>
      </w:pPr>
      <w:r w:rsidRPr="00DA1726">
        <w:rPr>
          <w:sz w:val="28"/>
          <w:szCs w:val="28"/>
          <w:lang w:val="es-ES" w:eastAsia="es-ES_tradnl"/>
        </w:rPr>
        <w:t>En concreto destac</w:t>
      </w:r>
      <w:r w:rsidR="000D09E5" w:rsidRPr="00DA1726">
        <w:rPr>
          <w:sz w:val="28"/>
          <w:szCs w:val="28"/>
          <w:lang w:val="es-ES" w:eastAsia="es-ES_tradnl"/>
        </w:rPr>
        <w:t>ó como puntos positivos: (i) m</w:t>
      </w:r>
      <w:r w:rsidR="0037459E" w:rsidRPr="00DA1726">
        <w:rPr>
          <w:sz w:val="28"/>
          <w:szCs w:val="28"/>
          <w:lang w:val="es-ES_tradnl" w:eastAsia="es-ES_tradnl"/>
        </w:rPr>
        <w:t>ayor alcance y consistencia del conjunto de datos y resultados que componen las características requeridas</w:t>
      </w:r>
      <w:r w:rsidR="000D09E5" w:rsidRPr="00DA1726">
        <w:rPr>
          <w:sz w:val="28"/>
          <w:szCs w:val="28"/>
          <w:lang w:val="es-ES_tradnl" w:eastAsia="es-ES_tradnl"/>
        </w:rPr>
        <w:t>; (ii) m</w:t>
      </w:r>
      <w:r w:rsidR="0037459E" w:rsidRPr="00DA1726">
        <w:rPr>
          <w:sz w:val="28"/>
          <w:szCs w:val="28"/>
          <w:lang w:val="es-ES_tradnl" w:eastAsia="es-ES_tradnl"/>
        </w:rPr>
        <w:t>ejor conocimiento de fuentes y bases de d</w:t>
      </w:r>
      <w:r w:rsidR="000D09E5" w:rsidRPr="00DA1726">
        <w:rPr>
          <w:sz w:val="28"/>
          <w:szCs w:val="28"/>
          <w:lang w:val="es-ES_tradnl" w:eastAsia="es-ES_tradnl"/>
        </w:rPr>
        <w:t xml:space="preserve">atos para su uso en el </w:t>
      </w:r>
      <w:r w:rsidR="008D66F1" w:rsidRPr="00DA1726">
        <w:rPr>
          <w:i/>
          <w:sz w:val="28"/>
          <w:szCs w:val="28"/>
          <w:lang w:val="es-ES_tradnl" w:eastAsia="es-ES_tradnl"/>
        </w:rPr>
        <w:t>ranking</w:t>
      </w:r>
      <w:r w:rsidR="000D09E5" w:rsidRPr="00DA1726">
        <w:rPr>
          <w:sz w:val="28"/>
          <w:szCs w:val="28"/>
          <w:lang w:val="es-ES_tradnl" w:eastAsia="es-ES_tradnl"/>
        </w:rPr>
        <w:t>; (iii) m</w:t>
      </w:r>
      <w:r w:rsidR="0037459E" w:rsidRPr="00DA1726">
        <w:rPr>
          <w:sz w:val="28"/>
          <w:szCs w:val="28"/>
          <w:lang w:val="es-ES_tradnl" w:eastAsia="es-ES_tradnl"/>
        </w:rPr>
        <w:t>ejora de las condiciones de comparación entre unidades y el esfuerzo de crear un solo índice de comparación</w:t>
      </w:r>
      <w:r w:rsidR="000D09E5" w:rsidRPr="00DA1726">
        <w:rPr>
          <w:sz w:val="28"/>
          <w:szCs w:val="28"/>
          <w:lang w:val="es-ES_tradnl" w:eastAsia="es-ES_tradnl"/>
        </w:rPr>
        <w:t>; y (iv) el uso comparativo de varios métodos de ponderación.</w:t>
      </w:r>
    </w:p>
    <w:p w:rsidR="000D09E5" w:rsidRPr="00DA1726" w:rsidRDefault="000D09E5" w:rsidP="00DA1726">
      <w:pPr>
        <w:widowControl w:val="0"/>
        <w:tabs>
          <w:tab w:val="left" w:pos="426"/>
        </w:tabs>
        <w:autoSpaceDE w:val="0"/>
        <w:autoSpaceDN w:val="0"/>
        <w:adjustRightInd w:val="0"/>
        <w:jc w:val="both"/>
        <w:rPr>
          <w:sz w:val="28"/>
          <w:szCs w:val="28"/>
          <w:lang w:val="es-ES" w:eastAsia="es-ES_tradnl"/>
        </w:rPr>
      </w:pPr>
    </w:p>
    <w:p w:rsidR="000D09E5" w:rsidRPr="00DA1726" w:rsidRDefault="008B6CC2" w:rsidP="00DA1726">
      <w:pPr>
        <w:widowControl w:val="0"/>
        <w:tabs>
          <w:tab w:val="left" w:pos="426"/>
        </w:tabs>
        <w:autoSpaceDE w:val="0"/>
        <w:autoSpaceDN w:val="0"/>
        <w:adjustRightInd w:val="0"/>
        <w:jc w:val="both"/>
        <w:rPr>
          <w:sz w:val="28"/>
          <w:szCs w:val="28"/>
          <w:lang w:val="es-ES_tradnl" w:eastAsia="es-ES_tradnl"/>
        </w:rPr>
      </w:pPr>
      <w:r w:rsidRPr="00DA1726">
        <w:rPr>
          <w:sz w:val="28"/>
          <w:szCs w:val="28"/>
          <w:lang w:val="es-ES" w:eastAsia="es-ES_tradnl"/>
        </w:rPr>
        <w:t>Como aspectos negativos refirió: (i) f</w:t>
      </w:r>
      <w:r w:rsidR="000D09E5" w:rsidRPr="00DA1726">
        <w:rPr>
          <w:sz w:val="28"/>
          <w:szCs w:val="28"/>
          <w:lang w:val="es-ES_tradnl" w:eastAsia="es-ES_tradnl"/>
        </w:rPr>
        <w:t>alta de evidencia</w:t>
      </w:r>
      <w:r w:rsidR="00F1711A" w:rsidRPr="00DA1726">
        <w:rPr>
          <w:sz w:val="28"/>
          <w:szCs w:val="28"/>
          <w:lang w:val="es-ES_tradnl" w:eastAsia="es-ES_tradnl"/>
        </w:rPr>
        <w:t xml:space="preserve"> y validación</w:t>
      </w:r>
      <w:r w:rsidR="000D09E5" w:rsidRPr="00DA1726">
        <w:rPr>
          <w:sz w:val="28"/>
          <w:szCs w:val="28"/>
          <w:lang w:val="es-ES_tradnl" w:eastAsia="es-ES_tradnl"/>
        </w:rPr>
        <w:t xml:space="preserve"> sobre su </w:t>
      </w:r>
      <w:r w:rsidRPr="00DA1726">
        <w:rPr>
          <w:sz w:val="28"/>
          <w:szCs w:val="28"/>
          <w:lang w:val="es-ES_tradnl" w:eastAsia="es-ES_tradnl"/>
        </w:rPr>
        <w:t xml:space="preserve">aplicabilidad e implementación; (ii) </w:t>
      </w:r>
      <w:r w:rsidR="000D09E5" w:rsidRPr="00DA1726">
        <w:rPr>
          <w:sz w:val="28"/>
          <w:szCs w:val="28"/>
          <w:lang w:val="es-ES_tradnl" w:eastAsia="es-ES_tradnl"/>
        </w:rPr>
        <w:t xml:space="preserve">ausencia de métodos participativos para su interpretación, ponderación </w:t>
      </w:r>
      <w:r w:rsidRPr="00DA1726">
        <w:rPr>
          <w:sz w:val="28"/>
          <w:szCs w:val="28"/>
          <w:lang w:val="es-ES_tradnl" w:eastAsia="es-ES_tradnl"/>
        </w:rPr>
        <w:t xml:space="preserve">o su estrategia de comunicación; </w:t>
      </w:r>
      <w:r w:rsidR="001D742E" w:rsidRPr="00DA1726">
        <w:rPr>
          <w:sz w:val="28"/>
          <w:szCs w:val="28"/>
          <w:lang w:val="es-ES_tradnl" w:eastAsia="es-ES_tradnl"/>
        </w:rPr>
        <w:t xml:space="preserve">y </w:t>
      </w:r>
      <w:r w:rsidRPr="00DA1726">
        <w:rPr>
          <w:sz w:val="28"/>
          <w:szCs w:val="28"/>
          <w:lang w:val="es-ES_tradnl" w:eastAsia="es-ES_tradnl"/>
        </w:rPr>
        <w:t xml:space="preserve">(iii) </w:t>
      </w:r>
      <w:r w:rsidR="000D09E5" w:rsidRPr="00DA1726">
        <w:rPr>
          <w:sz w:val="28"/>
          <w:szCs w:val="28"/>
          <w:lang w:val="es-ES_tradnl" w:eastAsia="es-ES_tradnl"/>
        </w:rPr>
        <w:t>alcance parcial para evaluar la calidad como aspecto positivo de evaluación y comparación (ser menos malo no es necesariamente ser virtuoso).</w:t>
      </w:r>
    </w:p>
    <w:p w:rsidR="000D09E5" w:rsidRPr="00DA1726" w:rsidRDefault="000D09E5" w:rsidP="00DA1726">
      <w:pPr>
        <w:widowControl w:val="0"/>
        <w:tabs>
          <w:tab w:val="left" w:pos="426"/>
        </w:tabs>
        <w:autoSpaceDE w:val="0"/>
        <w:autoSpaceDN w:val="0"/>
        <w:adjustRightInd w:val="0"/>
        <w:jc w:val="both"/>
        <w:rPr>
          <w:sz w:val="28"/>
          <w:szCs w:val="28"/>
          <w:lang w:val="es-ES_tradnl" w:eastAsia="es-ES_tradnl"/>
        </w:rPr>
      </w:pPr>
    </w:p>
    <w:p w:rsidR="001D742E" w:rsidRPr="00DA1726" w:rsidRDefault="001D742E" w:rsidP="00DA1726">
      <w:pPr>
        <w:widowControl w:val="0"/>
        <w:tabs>
          <w:tab w:val="left" w:pos="426"/>
        </w:tabs>
        <w:autoSpaceDE w:val="0"/>
        <w:autoSpaceDN w:val="0"/>
        <w:adjustRightInd w:val="0"/>
        <w:jc w:val="both"/>
        <w:rPr>
          <w:rStyle w:val="FontStyle30"/>
          <w:rFonts w:ascii="Times New Roman" w:hAnsi="Times New Roman" w:cs="Times New Roman"/>
          <w:sz w:val="28"/>
          <w:szCs w:val="28"/>
          <w:lang w:val="es-ES_tradnl" w:eastAsia="es-ES_tradnl"/>
        </w:rPr>
      </w:pPr>
      <w:r w:rsidRPr="00DA1726">
        <w:rPr>
          <w:sz w:val="28"/>
          <w:szCs w:val="28"/>
          <w:lang w:val="es-ES_tradnl" w:eastAsia="es-ES_tradnl"/>
        </w:rPr>
        <w:t xml:space="preserve">Expuso que persisten dificultades en la implementación del </w:t>
      </w:r>
      <w:r w:rsidR="008D66F1" w:rsidRPr="00DA1726">
        <w:rPr>
          <w:i/>
          <w:sz w:val="28"/>
          <w:szCs w:val="28"/>
          <w:lang w:val="es-ES_tradnl" w:eastAsia="es-ES_tradnl"/>
        </w:rPr>
        <w:t>ranking</w:t>
      </w:r>
      <w:r w:rsidR="009F56A7" w:rsidRPr="00DA1726">
        <w:rPr>
          <w:sz w:val="28"/>
          <w:szCs w:val="28"/>
          <w:lang w:val="es-ES_tradnl" w:eastAsia="es-ES_tradnl"/>
        </w:rPr>
        <w:t xml:space="preserve">. En cuanto a la información indicó que: (i) no es </w:t>
      </w:r>
      <w:r w:rsidR="00273971" w:rsidRPr="00DA1726">
        <w:rPr>
          <w:rStyle w:val="FontStyle30"/>
          <w:rFonts w:ascii="Times New Roman" w:hAnsi="Times New Roman" w:cs="Times New Roman"/>
          <w:sz w:val="28"/>
          <w:szCs w:val="28"/>
          <w:lang w:val="es-ES_tradnl" w:eastAsia="es-ES_tradnl"/>
        </w:rPr>
        <w:t>fiable</w:t>
      </w:r>
      <w:r w:rsidRPr="00DA1726">
        <w:rPr>
          <w:rStyle w:val="FontStyle30"/>
          <w:rFonts w:ascii="Times New Roman" w:hAnsi="Times New Roman" w:cs="Times New Roman"/>
          <w:sz w:val="28"/>
          <w:szCs w:val="28"/>
          <w:lang w:val="es-ES_tradnl" w:eastAsia="es-ES_tradnl"/>
        </w:rPr>
        <w:t xml:space="preserve"> o al menos </w:t>
      </w:r>
      <w:r w:rsidR="00C93C7A" w:rsidRPr="00DA1726">
        <w:rPr>
          <w:rStyle w:val="FontStyle30"/>
          <w:rFonts w:ascii="Times New Roman" w:hAnsi="Times New Roman" w:cs="Times New Roman"/>
          <w:sz w:val="28"/>
          <w:szCs w:val="28"/>
          <w:lang w:val="es-ES_tradnl" w:eastAsia="es-ES_tradnl"/>
        </w:rPr>
        <w:t>no es explícit</w:t>
      </w:r>
      <w:r w:rsidR="00273971" w:rsidRPr="00DA1726">
        <w:rPr>
          <w:rStyle w:val="FontStyle30"/>
          <w:rFonts w:ascii="Times New Roman" w:hAnsi="Times New Roman" w:cs="Times New Roman"/>
          <w:sz w:val="28"/>
          <w:szCs w:val="28"/>
          <w:lang w:val="es-ES_tradnl" w:eastAsia="es-ES_tradnl"/>
        </w:rPr>
        <w:t>a</w:t>
      </w:r>
      <w:r w:rsidR="00C93C7A" w:rsidRPr="00DA1726">
        <w:rPr>
          <w:rStyle w:val="FontStyle30"/>
          <w:rFonts w:ascii="Times New Roman" w:hAnsi="Times New Roman" w:cs="Times New Roman"/>
          <w:sz w:val="28"/>
          <w:szCs w:val="28"/>
          <w:lang w:val="es-ES_tradnl" w:eastAsia="es-ES_tradnl"/>
        </w:rPr>
        <w:t>; (ii) e</w:t>
      </w:r>
      <w:r w:rsidR="00273971" w:rsidRPr="00DA1726">
        <w:rPr>
          <w:rStyle w:val="FontStyle30"/>
          <w:rFonts w:ascii="Times New Roman" w:hAnsi="Times New Roman" w:cs="Times New Roman"/>
          <w:sz w:val="28"/>
          <w:szCs w:val="28"/>
          <w:lang w:val="es-ES_tradnl" w:eastAsia="es-ES_tradnl"/>
        </w:rPr>
        <w:t>s insuficiente;</w:t>
      </w:r>
      <w:r w:rsidRPr="00DA1726">
        <w:rPr>
          <w:rStyle w:val="FontStyle30"/>
          <w:rFonts w:ascii="Times New Roman" w:hAnsi="Times New Roman" w:cs="Times New Roman"/>
          <w:sz w:val="28"/>
          <w:szCs w:val="28"/>
          <w:lang w:val="es-ES_tradnl" w:eastAsia="es-ES_tradnl"/>
        </w:rPr>
        <w:t xml:space="preserve"> y </w:t>
      </w:r>
      <w:r w:rsidR="00C93C7A" w:rsidRPr="00DA1726">
        <w:rPr>
          <w:rStyle w:val="FontStyle30"/>
          <w:rFonts w:ascii="Times New Roman" w:hAnsi="Times New Roman" w:cs="Times New Roman"/>
          <w:sz w:val="28"/>
          <w:szCs w:val="28"/>
          <w:lang w:val="es-ES_tradnl" w:eastAsia="es-ES_tradnl"/>
        </w:rPr>
        <w:t xml:space="preserve">(iii) </w:t>
      </w:r>
      <w:r w:rsidRPr="00DA1726">
        <w:rPr>
          <w:rStyle w:val="FontStyle30"/>
          <w:rFonts w:ascii="Times New Roman" w:hAnsi="Times New Roman" w:cs="Times New Roman"/>
          <w:sz w:val="28"/>
          <w:szCs w:val="28"/>
          <w:lang w:val="es-ES_tradnl" w:eastAsia="es-ES_tradnl"/>
        </w:rPr>
        <w:t>tampoco es estable.</w:t>
      </w:r>
    </w:p>
    <w:p w:rsidR="00867D8D" w:rsidRPr="00DA1726" w:rsidRDefault="00867D8D" w:rsidP="00DA1726">
      <w:pPr>
        <w:widowControl w:val="0"/>
        <w:tabs>
          <w:tab w:val="left" w:pos="426"/>
        </w:tabs>
        <w:autoSpaceDE w:val="0"/>
        <w:autoSpaceDN w:val="0"/>
        <w:adjustRightInd w:val="0"/>
        <w:jc w:val="both"/>
        <w:rPr>
          <w:rStyle w:val="FontStyle30"/>
          <w:rFonts w:ascii="Times New Roman" w:hAnsi="Times New Roman" w:cs="Times New Roman"/>
          <w:sz w:val="28"/>
          <w:szCs w:val="28"/>
          <w:lang w:val="es-ES_tradnl" w:eastAsia="es-ES_tradnl"/>
        </w:rPr>
      </w:pPr>
    </w:p>
    <w:p w:rsidR="00BF4DCE" w:rsidRPr="00DA1726" w:rsidRDefault="00EE4D35" w:rsidP="00DA1726">
      <w:pPr>
        <w:pStyle w:val="Style14"/>
        <w:widowControl/>
        <w:tabs>
          <w:tab w:val="left" w:pos="418"/>
        </w:tabs>
        <w:spacing w:line="240" w:lineRule="auto"/>
        <w:rPr>
          <w:rStyle w:val="FontStyle30"/>
          <w:rFonts w:ascii="Times New Roman" w:hAnsi="Times New Roman" w:cs="Times New Roman"/>
          <w:sz w:val="28"/>
          <w:szCs w:val="28"/>
          <w:lang w:val="es-ES_tradnl" w:eastAsia="es-ES_tradnl"/>
        </w:rPr>
      </w:pPr>
      <w:r w:rsidRPr="00DA1726">
        <w:rPr>
          <w:rStyle w:val="FontStyle30"/>
          <w:rFonts w:ascii="Times New Roman" w:hAnsi="Times New Roman" w:cs="Times New Roman"/>
          <w:sz w:val="28"/>
          <w:szCs w:val="28"/>
          <w:lang w:val="es-ES_tradnl" w:eastAsia="es-ES_tradnl"/>
        </w:rPr>
        <w:t>Respecto de la metodología destacó que</w:t>
      </w:r>
      <w:r w:rsidR="00867D8D" w:rsidRPr="00DA1726">
        <w:rPr>
          <w:rStyle w:val="FontStyle30"/>
          <w:rFonts w:ascii="Times New Roman" w:hAnsi="Times New Roman" w:cs="Times New Roman"/>
          <w:sz w:val="28"/>
          <w:szCs w:val="28"/>
          <w:lang w:val="es-ES_tradnl" w:eastAsia="es-ES_tradnl"/>
        </w:rPr>
        <w:t>: (i)</w:t>
      </w:r>
      <w:r w:rsidRPr="00DA1726">
        <w:rPr>
          <w:rStyle w:val="FontStyle30"/>
          <w:rFonts w:ascii="Times New Roman" w:hAnsi="Times New Roman" w:cs="Times New Roman"/>
          <w:sz w:val="28"/>
          <w:szCs w:val="28"/>
          <w:lang w:val="es-ES_tradnl" w:eastAsia="es-ES_tradnl"/>
        </w:rPr>
        <w:t xml:space="preserve"> s</w:t>
      </w:r>
      <w:r w:rsidR="001D742E" w:rsidRPr="00DA1726">
        <w:rPr>
          <w:rStyle w:val="FontStyle30"/>
          <w:rFonts w:ascii="Times New Roman" w:hAnsi="Times New Roman" w:cs="Times New Roman"/>
          <w:sz w:val="28"/>
          <w:szCs w:val="28"/>
          <w:lang w:val="es-ES_tradnl" w:eastAsia="es-ES_tradnl"/>
        </w:rPr>
        <w:t xml:space="preserve">olo considera un tipo de resultado basado en </w:t>
      </w:r>
      <w:r w:rsidR="00867D8D" w:rsidRPr="00DA1726">
        <w:rPr>
          <w:rStyle w:val="FontStyle30"/>
          <w:rFonts w:ascii="Times New Roman" w:hAnsi="Times New Roman" w:cs="Times New Roman"/>
          <w:sz w:val="28"/>
          <w:szCs w:val="28"/>
          <w:lang w:val="es-ES_tradnl" w:eastAsia="es-ES_tradnl"/>
        </w:rPr>
        <w:t>negaciones y barreras de acceso; (ii) l</w:t>
      </w:r>
      <w:r w:rsidR="00BF4DCE" w:rsidRPr="00DA1726">
        <w:rPr>
          <w:rStyle w:val="FontStyle30"/>
          <w:rFonts w:ascii="Times New Roman" w:hAnsi="Times New Roman" w:cs="Times New Roman"/>
          <w:sz w:val="28"/>
          <w:szCs w:val="28"/>
          <w:lang w:val="es-ES_tradnl" w:eastAsia="es-ES_tradnl"/>
        </w:rPr>
        <w:t xml:space="preserve">os supuestos sobre el tipo distribución y las alterativas de </w:t>
      </w:r>
      <w:r w:rsidR="00867D8D" w:rsidRPr="00DA1726">
        <w:rPr>
          <w:rStyle w:val="FontStyle30"/>
          <w:rFonts w:ascii="Times New Roman" w:hAnsi="Times New Roman" w:cs="Times New Roman"/>
          <w:sz w:val="28"/>
          <w:szCs w:val="28"/>
          <w:lang w:val="es-ES_tradnl" w:eastAsia="es-ES_tradnl"/>
        </w:rPr>
        <w:t>normalización no son explícitos; (iii) n</w:t>
      </w:r>
      <w:r w:rsidR="00BF4DCE" w:rsidRPr="00DA1726">
        <w:rPr>
          <w:rStyle w:val="FontStyle30"/>
          <w:rFonts w:ascii="Times New Roman" w:hAnsi="Times New Roman" w:cs="Times New Roman"/>
          <w:sz w:val="28"/>
          <w:szCs w:val="28"/>
          <w:lang w:val="es-ES_tradnl" w:eastAsia="es-ES_tradnl"/>
        </w:rPr>
        <w:t>o se profundiza en consideraciones ét</w:t>
      </w:r>
      <w:r w:rsidR="00867D8D" w:rsidRPr="00DA1726">
        <w:rPr>
          <w:rStyle w:val="FontStyle30"/>
          <w:rFonts w:ascii="Times New Roman" w:hAnsi="Times New Roman" w:cs="Times New Roman"/>
          <w:sz w:val="28"/>
          <w:szCs w:val="28"/>
          <w:lang w:val="es-ES_tradnl" w:eastAsia="es-ES_tradnl"/>
        </w:rPr>
        <w:t xml:space="preserve">icas y de impacto del </w:t>
      </w:r>
      <w:r w:rsidR="008D66F1" w:rsidRPr="00DA1726">
        <w:rPr>
          <w:rStyle w:val="FontStyle30"/>
          <w:rFonts w:ascii="Times New Roman" w:hAnsi="Times New Roman" w:cs="Times New Roman"/>
          <w:i/>
          <w:sz w:val="28"/>
          <w:szCs w:val="28"/>
          <w:lang w:val="es-ES_tradnl" w:eastAsia="es-ES_tradnl"/>
        </w:rPr>
        <w:t>ranking</w:t>
      </w:r>
      <w:r w:rsidR="00867D8D" w:rsidRPr="00DA1726">
        <w:rPr>
          <w:rStyle w:val="FontStyle30"/>
          <w:rFonts w:ascii="Times New Roman" w:hAnsi="Times New Roman" w:cs="Times New Roman"/>
          <w:sz w:val="28"/>
          <w:szCs w:val="28"/>
          <w:lang w:val="es-ES_tradnl" w:eastAsia="es-ES_tradnl"/>
        </w:rPr>
        <w:t>; (iv)</w:t>
      </w:r>
      <w:r w:rsidR="005D752E" w:rsidRPr="00DA1726">
        <w:rPr>
          <w:rStyle w:val="FontStyle30"/>
          <w:rFonts w:ascii="Times New Roman" w:hAnsi="Times New Roman" w:cs="Times New Roman"/>
          <w:sz w:val="28"/>
          <w:szCs w:val="28"/>
          <w:lang w:val="es-ES_tradnl" w:eastAsia="es-ES_tradnl"/>
        </w:rPr>
        <w:t xml:space="preserve"> </w:t>
      </w:r>
      <w:r w:rsidR="00867D8D" w:rsidRPr="00DA1726">
        <w:rPr>
          <w:rStyle w:val="FontStyle30"/>
          <w:rFonts w:ascii="Times New Roman" w:hAnsi="Times New Roman" w:cs="Times New Roman"/>
          <w:sz w:val="28"/>
          <w:szCs w:val="28"/>
          <w:lang w:val="es-ES_tradnl" w:eastAsia="es-ES_tradnl"/>
        </w:rPr>
        <w:t>l</w:t>
      </w:r>
      <w:r w:rsidR="00BF4DCE" w:rsidRPr="00DA1726">
        <w:rPr>
          <w:rStyle w:val="FontStyle30"/>
          <w:rFonts w:ascii="Times New Roman" w:hAnsi="Times New Roman" w:cs="Times New Roman"/>
          <w:sz w:val="28"/>
          <w:szCs w:val="28"/>
          <w:lang w:val="es-ES_tradnl" w:eastAsia="es-ES_tradnl"/>
        </w:rPr>
        <w:t xml:space="preserve">a articulación de la información del </w:t>
      </w:r>
      <w:r w:rsidR="008D66F1" w:rsidRPr="00DA1726">
        <w:rPr>
          <w:rStyle w:val="FontStyle30"/>
          <w:rFonts w:ascii="Times New Roman" w:hAnsi="Times New Roman" w:cs="Times New Roman"/>
          <w:i/>
          <w:sz w:val="28"/>
          <w:szCs w:val="28"/>
          <w:lang w:val="es-ES_tradnl" w:eastAsia="es-ES_tradnl"/>
        </w:rPr>
        <w:t>ranking</w:t>
      </w:r>
      <w:r w:rsidR="00867D8D" w:rsidRPr="00DA1726">
        <w:rPr>
          <w:rStyle w:val="FontStyle30"/>
          <w:rFonts w:ascii="Times New Roman" w:hAnsi="Times New Roman" w:cs="Times New Roman"/>
          <w:sz w:val="28"/>
          <w:szCs w:val="28"/>
          <w:lang w:val="es-ES_tradnl" w:eastAsia="es-ES_tradnl"/>
        </w:rPr>
        <w:t xml:space="preserve"> asegurador</w:t>
      </w:r>
      <w:r w:rsidR="00BF4DCE" w:rsidRPr="00DA1726">
        <w:rPr>
          <w:rStyle w:val="FontStyle30"/>
          <w:rFonts w:ascii="Times New Roman" w:hAnsi="Times New Roman" w:cs="Times New Roman"/>
          <w:sz w:val="28"/>
          <w:szCs w:val="28"/>
          <w:lang w:val="es-ES_tradnl" w:eastAsia="es-ES_tradnl"/>
        </w:rPr>
        <w:t xml:space="preserve">-prestador no se </w:t>
      </w:r>
      <w:r w:rsidR="00123569" w:rsidRPr="00DA1726">
        <w:rPr>
          <w:rStyle w:val="FontStyle30"/>
          <w:rFonts w:ascii="Times New Roman" w:hAnsi="Times New Roman" w:cs="Times New Roman"/>
          <w:sz w:val="28"/>
          <w:szCs w:val="28"/>
          <w:lang w:val="es-ES_tradnl" w:eastAsia="es-ES_tradnl"/>
        </w:rPr>
        <w:t xml:space="preserve">efectúa, máxime si se tiene en cuenta que </w:t>
      </w:r>
      <w:r w:rsidR="00BF4DCE" w:rsidRPr="00DA1726">
        <w:rPr>
          <w:rStyle w:val="FontStyle30"/>
          <w:rFonts w:ascii="Times New Roman" w:hAnsi="Times New Roman" w:cs="Times New Roman"/>
          <w:sz w:val="28"/>
          <w:szCs w:val="28"/>
          <w:lang w:val="es-ES_tradnl" w:eastAsia="es-ES_tradnl"/>
        </w:rPr>
        <w:t xml:space="preserve">la calificación del prestador, individual o como red del asegurador, es uno de los parámetros que </w:t>
      </w:r>
      <w:r w:rsidR="00123569" w:rsidRPr="00DA1726">
        <w:rPr>
          <w:rStyle w:val="FontStyle30"/>
          <w:rFonts w:ascii="Times New Roman" w:hAnsi="Times New Roman" w:cs="Times New Roman"/>
          <w:sz w:val="28"/>
          <w:szCs w:val="28"/>
          <w:lang w:val="es-ES_tradnl" w:eastAsia="es-ES_tradnl"/>
        </w:rPr>
        <w:t>tiene</w:t>
      </w:r>
      <w:r w:rsidR="00BF4DCE" w:rsidRPr="00DA1726">
        <w:rPr>
          <w:rStyle w:val="FontStyle30"/>
          <w:rFonts w:ascii="Times New Roman" w:hAnsi="Times New Roman" w:cs="Times New Roman"/>
          <w:sz w:val="28"/>
          <w:szCs w:val="28"/>
          <w:lang w:val="es-ES_tradnl" w:eastAsia="es-ES_tradnl"/>
        </w:rPr>
        <w:t xml:space="preserve"> mayor peso como criterio de decisión informada del ciudadano.</w:t>
      </w:r>
    </w:p>
    <w:p w:rsidR="00BF4DCE" w:rsidRPr="00DA1726" w:rsidRDefault="00BF4DCE" w:rsidP="00DA1726">
      <w:pPr>
        <w:pStyle w:val="Style8"/>
        <w:widowControl/>
        <w:spacing w:line="240" w:lineRule="auto"/>
        <w:rPr>
          <w:rFonts w:ascii="Times New Roman" w:hAnsi="Times New Roman"/>
          <w:sz w:val="28"/>
          <w:szCs w:val="28"/>
        </w:rPr>
      </w:pPr>
    </w:p>
    <w:p w:rsidR="00BF4DCE" w:rsidRPr="00DA1726" w:rsidRDefault="00F1711A" w:rsidP="00DA1726">
      <w:pPr>
        <w:pStyle w:val="Style8"/>
        <w:widowControl/>
        <w:spacing w:line="240" w:lineRule="auto"/>
        <w:rPr>
          <w:rStyle w:val="FontStyle30"/>
          <w:rFonts w:ascii="Times New Roman" w:hAnsi="Times New Roman" w:cs="Times New Roman"/>
          <w:sz w:val="28"/>
          <w:szCs w:val="28"/>
          <w:lang w:val="es-ES_tradnl" w:eastAsia="es-ES_tradnl"/>
        </w:rPr>
      </w:pPr>
      <w:r w:rsidRPr="00DA1726">
        <w:rPr>
          <w:rStyle w:val="FontStyle30"/>
          <w:rFonts w:ascii="Times New Roman" w:hAnsi="Times New Roman" w:cs="Times New Roman"/>
          <w:sz w:val="28"/>
          <w:szCs w:val="28"/>
          <w:lang w:val="es-ES_tradnl" w:eastAsia="es-ES_tradnl"/>
        </w:rPr>
        <w:t>Señaló que el sistema emp</w:t>
      </w:r>
      <w:r w:rsidR="00123569" w:rsidRPr="00DA1726">
        <w:rPr>
          <w:rStyle w:val="FontStyle30"/>
          <w:rFonts w:ascii="Times New Roman" w:hAnsi="Times New Roman" w:cs="Times New Roman"/>
          <w:sz w:val="28"/>
          <w:szCs w:val="28"/>
          <w:lang w:val="es-ES_tradnl" w:eastAsia="es-ES_tradnl"/>
        </w:rPr>
        <w:t>l</w:t>
      </w:r>
      <w:r w:rsidRPr="00DA1726">
        <w:rPr>
          <w:rStyle w:val="FontStyle30"/>
          <w:rFonts w:ascii="Times New Roman" w:hAnsi="Times New Roman" w:cs="Times New Roman"/>
          <w:sz w:val="28"/>
          <w:szCs w:val="28"/>
          <w:lang w:val="es-ES_tradnl" w:eastAsia="es-ES_tradnl"/>
        </w:rPr>
        <w:t>e</w:t>
      </w:r>
      <w:r w:rsidR="00123569" w:rsidRPr="00DA1726">
        <w:rPr>
          <w:rStyle w:val="FontStyle30"/>
          <w:rFonts w:ascii="Times New Roman" w:hAnsi="Times New Roman" w:cs="Times New Roman"/>
          <w:sz w:val="28"/>
          <w:szCs w:val="28"/>
          <w:lang w:val="es-ES_tradnl" w:eastAsia="es-ES_tradnl"/>
        </w:rPr>
        <w:t>ado presenta</w:t>
      </w:r>
      <w:r w:rsidR="00BF4DCE" w:rsidRPr="00DA1726">
        <w:rPr>
          <w:rStyle w:val="FontStyle30"/>
          <w:rFonts w:ascii="Times New Roman" w:hAnsi="Times New Roman" w:cs="Times New Roman"/>
          <w:sz w:val="28"/>
          <w:szCs w:val="28"/>
          <w:lang w:val="es-ES_tradnl" w:eastAsia="es-ES_tradnl"/>
        </w:rPr>
        <w:t xml:space="preserve"> las siguientes limitaciones:</w:t>
      </w:r>
      <w:r w:rsidR="00123569" w:rsidRPr="00DA1726">
        <w:rPr>
          <w:rStyle w:val="FontStyle30"/>
          <w:rFonts w:ascii="Times New Roman" w:hAnsi="Times New Roman" w:cs="Times New Roman"/>
          <w:sz w:val="28"/>
          <w:szCs w:val="28"/>
          <w:lang w:val="es-ES_tradnl" w:eastAsia="es-ES_tradnl"/>
        </w:rPr>
        <w:t xml:space="preserve"> (i) </w:t>
      </w:r>
      <w:r w:rsidR="00170D1E" w:rsidRPr="00DA1726">
        <w:rPr>
          <w:rStyle w:val="FontStyle30"/>
          <w:rFonts w:ascii="Times New Roman" w:hAnsi="Times New Roman" w:cs="Times New Roman"/>
          <w:sz w:val="28"/>
          <w:szCs w:val="28"/>
          <w:lang w:val="es-ES_tradnl" w:eastAsia="es-ES_tradnl"/>
        </w:rPr>
        <w:t>l</w:t>
      </w:r>
      <w:r w:rsidR="00BF4DCE" w:rsidRPr="00DA1726">
        <w:rPr>
          <w:rStyle w:val="FontStyle30"/>
          <w:rFonts w:ascii="Times New Roman" w:hAnsi="Times New Roman" w:cs="Times New Roman"/>
          <w:sz w:val="28"/>
          <w:szCs w:val="28"/>
          <w:lang w:val="es-ES_tradnl" w:eastAsia="es-ES_tradnl"/>
        </w:rPr>
        <w:t>a</w:t>
      </w:r>
      <w:r w:rsidR="00123569" w:rsidRPr="00DA1726">
        <w:rPr>
          <w:rStyle w:val="FontStyle30"/>
          <w:rFonts w:ascii="Times New Roman" w:hAnsi="Times New Roman" w:cs="Times New Roman"/>
          <w:sz w:val="28"/>
          <w:szCs w:val="28"/>
          <w:lang w:val="es-ES_tradnl" w:eastAsia="es-ES_tradnl"/>
        </w:rPr>
        <w:t xml:space="preserve"> falta</w:t>
      </w:r>
      <w:r w:rsidR="00BF4DCE" w:rsidRPr="00DA1726">
        <w:rPr>
          <w:rStyle w:val="FontStyle30"/>
          <w:rFonts w:ascii="Times New Roman" w:hAnsi="Times New Roman" w:cs="Times New Roman"/>
          <w:sz w:val="28"/>
          <w:szCs w:val="28"/>
          <w:lang w:val="es-ES_tradnl" w:eastAsia="es-ES_tradnl"/>
        </w:rPr>
        <w:t xml:space="preserve"> homogeneidad de los datos y fuentes de información disminuyen la </w:t>
      </w:r>
      <w:r w:rsidR="00123569" w:rsidRPr="00DA1726">
        <w:rPr>
          <w:rStyle w:val="FontStyle30"/>
          <w:rFonts w:ascii="Times New Roman" w:hAnsi="Times New Roman" w:cs="Times New Roman"/>
          <w:sz w:val="28"/>
          <w:szCs w:val="28"/>
          <w:lang w:val="es-ES_tradnl" w:eastAsia="es-ES_tradnl"/>
        </w:rPr>
        <w:t xml:space="preserve">confiabilidad de los resultados; (ii) </w:t>
      </w:r>
      <w:r w:rsidR="00170D1E" w:rsidRPr="00DA1726">
        <w:rPr>
          <w:rStyle w:val="FontStyle30"/>
          <w:rFonts w:ascii="Times New Roman" w:hAnsi="Times New Roman" w:cs="Times New Roman"/>
          <w:sz w:val="28"/>
          <w:szCs w:val="28"/>
          <w:lang w:val="es-ES_tradnl" w:eastAsia="es-ES_tradnl"/>
        </w:rPr>
        <w:t>la clasificación</w:t>
      </w:r>
      <w:r w:rsidR="00BF4DCE" w:rsidRPr="00DA1726">
        <w:rPr>
          <w:rStyle w:val="FontStyle30"/>
          <w:rFonts w:ascii="Times New Roman" w:hAnsi="Times New Roman" w:cs="Times New Roman"/>
          <w:sz w:val="28"/>
          <w:szCs w:val="28"/>
          <w:lang w:val="es-ES_tradnl" w:eastAsia="es-ES_tradnl"/>
        </w:rPr>
        <w:t xml:space="preserve"> por categorías resumida en un solo índice aún es compleja para cumplir su </w:t>
      </w:r>
      <w:r w:rsidR="00123569" w:rsidRPr="00DA1726">
        <w:rPr>
          <w:rStyle w:val="FontStyle30"/>
          <w:rFonts w:ascii="Times New Roman" w:hAnsi="Times New Roman" w:cs="Times New Roman"/>
          <w:sz w:val="28"/>
          <w:szCs w:val="28"/>
          <w:lang w:val="es-ES_tradnl" w:eastAsia="es-ES_tradnl"/>
        </w:rPr>
        <w:t xml:space="preserve">propósito de elección informada; y (iii) </w:t>
      </w:r>
      <w:r w:rsidR="00170D1E" w:rsidRPr="00DA1726">
        <w:rPr>
          <w:rStyle w:val="FontStyle30"/>
          <w:rFonts w:ascii="Times New Roman" w:hAnsi="Times New Roman" w:cs="Times New Roman"/>
          <w:sz w:val="28"/>
          <w:szCs w:val="28"/>
          <w:lang w:val="es-ES_tradnl" w:eastAsia="es-ES_tradnl"/>
        </w:rPr>
        <w:t>este proceso debe establecer</w:t>
      </w:r>
      <w:r w:rsidR="00BF4DCE" w:rsidRPr="00DA1726">
        <w:rPr>
          <w:rStyle w:val="FontStyle30"/>
          <w:rFonts w:ascii="Times New Roman" w:hAnsi="Times New Roman" w:cs="Times New Roman"/>
          <w:sz w:val="28"/>
          <w:szCs w:val="28"/>
          <w:lang w:val="es-ES_tradnl" w:eastAsia="es-ES_tradnl"/>
        </w:rPr>
        <w:t xml:space="preserve"> lo</w:t>
      </w:r>
      <w:r w:rsidR="00170D1E" w:rsidRPr="00DA1726">
        <w:rPr>
          <w:rStyle w:val="FontStyle30"/>
          <w:rFonts w:ascii="Times New Roman" w:hAnsi="Times New Roman" w:cs="Times New Roman"/>
          <w:sz w:val="28"/>
          <w:szCs w:val="28"/>
          <w:lang w:val="es-ES_tradnl" w:eastAsia="es-ES_tradnl"/>
        </w:rPr>
        <w:t>s puntos fuertes o débiles de cada</w:t>
      </w:r>
      <w:r w:rsidR="00BF4DCE" w:rsidRPr="00DA1726">
        <w:rPr>
          <w:rStyle w:val="FontStyle30"/>
          <w:rFonts w:ascii="Times New Roman" w:hAnsi="Times New Roman" w:cs="Times New Roman"/>
          <w:sz w:val="28"/>
          <w:szCs w:val="28"/>
          <w:lang w:val="es-ES_tradnl" w:eastAsia="es-ES_tradnl"/>
        </w:rPr>
        <w:t xml:space="preserve"> institución.</w:t>
      </w:r>
    </w:p>
    <w:p w:rsidR="00BF4DCE" w:rsidRPr="00DA1726" w:rsidRDefault="00BF4DCE" w:rsidP="00DA1726">
      <w:pPr>
        <w:widowControl w:val="0"/>
        <w:tabs>
          <w:tab w:val="left" w:pos="426"/>
        </w:tabs>
        <w:autoSpaceDE w:val="0"/>
        <w:autoSpaceDN w:val="0"/>
        <w:adjustRightInd w:val="0"/>
        <w:jc w:val="both"/>
        <w:rPr>
          <w:sz w:val="28"/>
          <w:szCs w:val="28"/>
          <w:lang w:val="es-ES_tradnl" w:eastAsia="es-ES_tradnl"/>
        </w:rPr>
      </w:pPr>
    </w:p>
    <w:p w:rsidR="00867D8D" w:rsidRPr="00DA1726" w:rsidRDefault="00123569" w:rsidP="00DA1726">
      <w:pPr>
        <w:pStyle w:val="Style5"/>
        <w:widowControl/>
        <w:rPr>
          <w:rStyle w:val="FontStyle30"/>
          <w:rFonts w:ascii="Times New Roman" w:hAnsi="Times New Roman" w:cs="Times New Roman"/>
          <w:sz w:val="28"/>
          <w:szCs w:val="28"/>
          <w:lang w:val="es-ES_tradnl" w:eastAsia="es-ES_tradnl"/>
        </w:rPr>
      </w:pPr>
      <w:r w:rsidRPr="00DA1726">
        <w:rPr>
          <w:rStyle w:val="FontStyle27"/>
          <w:rFonts w:ascii="Times New Roman" w:hAnsi="Times New Roman" w:cs="Times New Roman"/>
          <w:b w:val="0"/>
          <w:sz w:val="28"/>
          <w:szCs w:val="28"/>
          <w:lang w:val="es-ES_tradnl" w:eastAsia="es-ES_tradnl"/>
        </w:rPr>
        <w:t xml:space="preserve">Por lo anterior, </w:t>
      </w:r>
      <w:r w:rsidR="00867D8D" w:rsidRPr="00DA1726">
        <w:rPr>
          <w:rStyle w:val="FontStyle27"/>
          <w:rFonts w:ascii="Times New Roman" w:hAnsi="Times New Roman" w:cs="Times New Roman"/>
          <w:b w:val="0"/>
          <w:sz w:val="28"/>
          <w:szCs w:val="28"/>
          <w:lang w:val="es-ES_tradnl" w:eastAsia="es-ES_tradnl"/>
        </w:rPr>
        <w:t>hizo las siguientes</w:t>
      </w:r>
      <w:r w:rsidRPr="00DA1726">
        <w:rPr>
          <w:rStyle w:val="FontStyle27"/>
          <w:rFonts w:ascii="Times New Roman" w:hAnsi="Times New Roman" w:cs="Times New Roman"/>
          <w:b w:val="0"/>
          <w:sz w:val="28"/>
          <w:szCs w:val="28"/>
          <w:lang w:val="es-ES_tradnl" w:eastAsia="es-ES_tradnl"/>
        </w:rPr>
        <w:t xml:space="preserve"> recomendaciones:</w:t>
      </w:r>
      <w:r w:rsidR="00867D8D" w:rsidRPr="00DA1726">
        <w:rPr>
          <w:rStyle w:val="FontStyle27"/>
          <w:rFonts w:ascii="Times New Roman" w:hAnsi="Times New Roman" w:cs="Times New Roman"/>
          <w:b w:val="0"/>
          <w:sz w:val="28"/>
          <w:szCs w:val="28"/>
          <w:lang w:val="es-ES_tradnl" w:eastAsia="es-ES_tradnl"/>
        </w:rPr>
        <w:t xml:space="preserve"> (i) a</w:t>
      </w:r>
      <w:r w:rsidRPr="00DA1726">
        <w:rPr>
          <w:rStyle w:val="FontStyle30"/>
          <w:rFonts w:ascii="Times New Roman" w:hAnsi="Times New Roman" w:cs="Times New Roman"/>
          <w:sz w:val="28"/>
          <w:szCs w:val="28"/>
          <w:lang w:val="es-ES_tradnl" w:eastAsia="es-ES_tradnl"/>
        </w:rPr>
        <w:t>justar la metodología, categorías enunciadas por la Corte, dentro de un proceso amplio, verificable y reproducib</w:t>
      </w:r>
      <w:r w:rsidR="00170D1E" w:rsidRPr="00DA1726">
        <w:rPr>
          <w:rStyle w:val="FontStyle30"/>
          <w:rFonts w:ascii="Times New Roman" w:hAnsi="Times New Roman" w:cs="Times New Roman"/>
          <w:sz w:val="28"/>
          <w:szCs w:val="28"/>
          <w:lang w:val="es-ES_tradnl" w:eastAsia="es-ES_tradnl"/>
        </w:rPr>
        <w:t>le</w:t>
      </w:r>
      <w:r w:rsidR="00867D8D" w:rsidRPr="00DA1726">
        <w:rPr>
          <w:rStyle w:val="FontStyle30"/>
          <w:rFonts w:ascii="Times New Roman" w:hAnsi="Times New Roman" w:cs="Times New Roman"/>
          <w:sz w:val="28"/>
          <w:szCs w:val="28"/>
          <w:lang w:val="es-ES_tradnl" w:eastAsia="es-ES_tradnl"/>
        </w:rPr>
        <w:t xml:space="preserve"> de evaluación de la calidad; (ii) este proceso debe </w:t>
      </w:r>
      <w:r w:rsidRPr="00DA1726">
        <w:rPr>
          <w:rStyle w:val="FontStyle30"/>
          <w:rFonts w:ascii="Times New Roman" w:hAnsi="Times New Roman" w:cs="Times New Roman"/>
          <w:sz w:val="28"/>
          <w:szCs w:val="28"/>
          <w:lang w:val="es-ES_tradnl" w:eastAsia="es-ES_tradnl"/>
        </w:rPr>
        <w:t xml:space="preserve">servir </w:t>
      </w:r>
      <w:r w:rsidR="00170D1E" w:rsidRPr="00DA1726">
        <w:rPr>
          <w:rStyle w:val="FontStyle30"/>
          <w:rFonts w:ascii="Times New Roman" w:hAnsi="Times New Roman" w:cs="Times New Roman"/>
          <w:sz w:val="28"/>
          <w:szCs w:val="28"/>
          <w:lang w:val="es-ES_tradnl" w:eastAsia="es-ES_tradnl"/>
        </w:rPr>
        <w:t>como</w:t>
      </w:r>
      <w:r w:rsidRPr="00DA1726">
        <w:rPr>
          <w:rStyle w:val="FontStyle30"/>
          <w:rFonts w:ascii="Times New Roman" w:hAnsi="Times New Roman" w:cs="Times New Roman"/>
          <w:sz w:val="28"/>
          <w:szCs w:val="28"/>
          <w:lang w:val="es-ES_tradnl" w:eastAsia="es-ES_tradnl"/>
        </w:rPr>
        <w:t xml:space="preserve"> elemento informativo para la elección informada de los ciudadanos,</w:t>
      </w:r>
      <w:r w:rsidR="00170D1E" w:rsidRPr="00DA1726">
        <w:rPr>
          <w:rStyle w:val="FontStyle30"/>
          <w:rFonts w:ascii="Times New Roman" w:hAnsi="Times New Roman" w:cs="Times New Roman"/>
          <w:sz w:val="28"/>
          <w:szCs w:val="28"/>
          <w:lang w:val="es-ES_tradnl" w:eastAsia="es-ES_tradnl"/>
        </w:rPr>
        <w:t xml:space="preserve"> así</w:t>
      </w:r>
      <w:r w:rsidRPr="00DA1726">
        <w:rPr>
          <w:rStyle w:val="FontStyle30"/>
          <w:rFonts w:ascii="Times New Roman" w:hAnsi="Times New Roman" w:cs="Times New Roman"/>
          <w:sz w:val="28"/>
          <w:szCs w:val="28"/>
          <w:lang w:val="es-ES_tradnl" w:eastAsia="es-ES_tradnl"/>
        </w:rPr>
        <w:t xml:space="preserve"> como para la acción de política pública y el sistema de Inspección, Vigilancia y Control, que incluiría el programa de segui</w:t>
      </w:r>
      <w:r w:rsidR="00867D8D" w:rsidRPr="00DA1726">
        <w:rPr>
          <w:rStyle w:val="FontStyle30"/>
          <w:rFonts w:ascii="Times New Roman" w:hAnsi="Times New Roman" w:cs="Times New Roman"/>
          <w:sz w:val="28"/>
          <w:szCs w:val="28"/>
          <w:lang w:val="es-ES_tradnl" w:eastAsia="es-ES_tradnl"/>
        </w:rPr>
        <w:t>miento y planes de mejoramiento; (iii) de</w:t>
      </w:r>
      <w:r w:rsidRPr="00DA1726">
        <w:rPr>
          <w:rStyle w:val="FontStyle30"/>
          <w:rFonts w:ascii="Times New Roman" w:hAnsi="Times New Roman" w:cs="Times New Roman"/>
          <w:sz w:val="28"/>
          <w:szCs w:val="28"/>
          <w:lang w:val="es-ES_tradnl" w:eastAsia="es-ES_tradnl"/>
        </w:rPr>
        <w:t xml:space="preserve"> manera particular, es aconsejable articular el proceso de evaluación de prestadores tanto de forma independiente, como criterio de red calificable</w:t>
      </w:r>
      <w:r w:rsidR="00867D8D" w:rsidRPr="00DA1726">
        <w:rPr>
          <w:rStyle w:val="FontStyle30"/>
          <w:rFonts w:ascii="Times New Roman" w:hAnsi="Times New Roman" w:cs="Times New Roman"/>
          <w:sz w:val="28"/>
          <w:szCs w:val="28"/>
          <w:lang w:val="es-ES_tradnl" w:eastAsia="es-ES_tradnl"/>
        </w:rPr>
        <w:t xml:space="preserve"> dentro de los criterios de EPS; (iv) d</w:t>
      </w:r>
      <w:r w:rsidRPr="00DA1726">
        <w:rPr>
          <w:rStyle w:val="FontStyle30"/>
          <w:rFonts w:ascii="Times New Roman" w:hAnsi="Times New Roman" w:cs="Times New Roman"/>
          <w:sz w:val="28"/>
          <w:szCs w:val="28"/>
          <w:lang w:val="es-ES_tradnl" w:eastAsia="es-ES_tradnl"/>
        </w:rPr>
        <w:t xml:space="preserve">ado que en principio es un proceso </w:t>
      </w:r>
      <w:r w:rsidR="009B0D89" w:rsidRPr="00DA1726">
        <w:rPr>
          <w:rStyle w:val="FontStyle30"/>
          <w:rFonts w:ascii="Times New Roman" w:hAnsi="Times New Roman" w:cs="Times New Roman"/>
          <w:sz w:val="28"/>
          <w:szCs w:val="28"/>
          <w:lang w:val="es-ES_tradnl" w:eastAsia="es-ES_tradnl"/>
        </w:rPr>
        <w:t>en pro</w:t>
      </w:r>
      <w:r w:rsidRPr="00DA1726">
        <w:rPr>
          <w:rStyle w:val="FontStyle30"/>
          <w:rFonts w:ascii="Times New Roman" w:hAnsi="Times New Roman" w:cs="Times New Roman"/>
          <w:sz w:val="28"/>
          <w:szCs w:val="28"/>
          <w:lang w:val="es-ES_tradnl" w:eastAsia="es-ES_tradnl"/>
        </w:rPr>
        <w:t xml:space="preserve"> del usuario, es también aconsejable </w:t>
      </w:r>
      <w:r w:rsidR="009B0D89" w:rsidRPr="00DA1726">
        <w:rPr>
          <w:rStyle w:val="FontStyle30"/>
          <w:rFonts w:ascii="Times New Roman" w:hAnsi="Times New Roman" w:cs="Times New Roman"/>
          <w:sz w:val="28"/>
          <w:szCs w:val="28"/>
          <w:lang w:val="es-ES_tradnl" w:eastAsia="es-ES_tradnl"/>
        </w:rPr>
        <w:t>la utilización</w:t>
      </w:r>
      <w:r w:rsidRPr="00DA1726">
        <w:rPr>
          <w:rStyle w:val="FontStyle30"/>
          <w:rFonts w:ascii="Times New Roman" w:hAnsi="Times New Roman" w:cs="Times New Roman"/>
          <w:sz w:val="28"/>
          <w:szCs w:val="28"/>
          <w:lang w:val="es-ES_tradnl" w:eastAsia="es-ES_tradnl"/>
        </w:rPr>
        <w:t xml:space="preserve"> de técnicas cualitativas que lo involucren para escuchar sus prioridades y, a su vez, diseñar la estrategia de comunicación que</w:t>
      </w:r>
      <w:r w:rsidR="00867D8D" w:rsidRPr="00DA1726">
        <w:rPr>
          <w:rStyle w:val="FontStyle30"/>
          <w:rFonts w:ascii="Times New Roman" w:hAnsi="Times New Roman" w:cs="Times New Roman"/>
          <w:sz w:val="28"/>
          <w:szCs w:val="28"/>
          <w:lang w:val="es-ES_tradnl" w:eastAsia="es-ES_tradnl"/>
        </w:rPr>
        <w:t xml:space="preserve"> debe difundir estos resultados; (v) e</w:t>
      </w:r>
      <w:r w:rsidRPr="00DA1726">
        <w:rPr>
          <w:rStyle w:val="FontStyle30"/>
          <w:rFonts w:ascii="Times New Roman" w:hAnsi="Times New Roman" w:cs="Times New Roman"/>
          <w:sz w:val="28"/>
          <w:szCs w:val="28"/>
          <w:lang w:val="es-ES_tradnl" w:eastAsia="es-ES_tradnl"/>
        </w:rPr>
        <w:t>l derecho a la información del ciudadano y el usuario debe incorporar resultados de salud de origen epidemiológico</w:t>
      </w:r>
      <w:r w:rsidR="00867D8D" w:rsidRPr="00DA1726">
        <w:rPr>
          <w:rStyle w:val="FontStyle30"/>
          <w:rFonts w:ascii="Times New Roman" w:hAnsi="Times New Roman" w:cs="Times New Roman"/>
          <w:sz w:val="28"/>
          <w:szCs w:val="28"/>
          <w:lang w:val="es-ES_tradnl" w:eastAsia="es-ES_tradnl"/>
        </w:rPr>
        <w:t xml:space="preserve">; (vi) manejar la información de manera sistemática desde sus fuentes hasta su comunicación es condición </w:t>
      </w:r>
      <w:r w:rsidR="00867D8D" w:rsidRPr="00DA1726">
        <w:rPr>
          <w:rStyle w:val="FontStyle30"/>
          <w:rFonts w:ascii="Times New Roman" w:hAnsi="Times New Roman" w:cs="Times New Roman"/>
          <w:i/>
          <w:sz w:val="28"/>
          <w:szCs w:val="28"/>
          <w:lang w:val="es-ES_tradnl" w:eastAsia="es-ES_tradnl"/>
        </w:rPr>
        <w:t>sine qua non</w:t>
      </w:r>
      <w:r w:rsidR="00867D8D" w:rsidRPr="00DA1726">
        <w:rPr>
          <w:rStyle w:val="FontStyle30"/>
          <w:rFonts w:ascii="Times New Roman" w:hAnsi="Times New Roman" w:cs="Times New Roman"/>
          <w:sz w:val="28"/>
          <w:szCs w:val="28"/>
          <w:lang w:val="es-ES_tradnl" w:eastAsia="es-ES_tradnl"/>
        </w:rPr>
        <w:t xml:space="preserve"> para la confiabilidad de los resultados.</w:t>
      </w:r>
    </w:p>
    <w:p w:rsidR="00867D8D" w:rsidRPr="00DA1726" w:rsidRDefault="00867D8D" w:rsidP="00DA1726">
      <w:pPr>
        <w:pStyle w:val="Style5"/>
        <w:widowControl/>
        <w:rPr>
          <w:rFonts w:ascii="Times New Roman" w:hAnsi="Times New Roman"/>
          <w:sz w:val="28"/>
          <w:szCs w:val="28"/>
          <w:lang w:val="es-ES_tradnl" w:eastAsia="es-ES_tradnl"/>
        </w:rPr>
      </w:pPr>
    </w:p>
    <w:p w:rsidR="007111BB" w:rsidRPr="00DA1726" w:rsidRDefault="007111BB" w:rsidP="00DA1726">
      <w:pPr>
        <w:pStyle w:val="Style5"/>
        <w:widowControl/>
        <w:numPr>
          <w:ilvl w:val="1"/>
          <w:numId w:val="40"/>
        </w:numPr>
        <w:ind w:left="0" w:firstLine="0"/>
        <w:rPr>
          <w:rFonts w:ascii="Times New Roman" w:hAnsi="Times New Roman"/>
          <w:sz w:val="28"/>
          <w:szCs w:val="28"/>
          <w:lang w:val="es-ES_tradnl" w:eastAsia="es-ES_tradnl"/>
        </w:rPr>
      </w:pPr>
      <w:r w:rsidRPr="00DA1726">
        <w:rPr>
          <w:rStyle w:val="FontStyle32"/>
          <w:rFonts w:ascii="Times New Roman" w:hAnsi="Times New Roman" w:cs="Times New Roman"/>
          <w:sz w:val="28"/>
          <w:szCs w:val="28"/>
          <w:lang w:val="es-ES_tradnl" w:eastAsia="es-ES_tradnl"/>
        </w:rPr>
        <w:t>El 29 de abril de 2013</w:t>
      </w:r>
      <w:r w:rsidR="002B57F7" w:rsidRPr="00DA1726">
        <w:rPr>
          <w:rFonts w:ascii="Times New Roman" w:hAnsi="Times New Roman"/>
          <w:sz w:val="28"/>
          <w:szCs w:val="28"/>
          <w:vertAlign w:val="superscript"/>
          <w:lang w:val="es-ES_tradnl" w:eastAsia="es-ES_tradnl"/>
        </w:rPr>
        <w:footnoteReference w:id="6"/>
      </w:r>
      <w:r w:rsidRPr="00DA1726">
        <w:rPr>
          <w:rStyle w:val="FontStyle32"/>
          <w:rFonts w:ascii="Times New Roman" w:hAnsi="Times New Roman" w:cs="Times New Roman"/>
          <w:sz w:val="28"/>
          <w:szCs w:val="28"/>
          <w:lang w:val="es-ES_tradnl" w:eastAsia="es-ES_tradnl"/>
        </w:rPr>
        <w:t xml:space="preserve">, el Ministerio de Salud y Protección Social presentó un nuevo informe de actualización de </w:t>
      </w:r>
      <w:r w:rsidR="008D66F1" w:rsidRPr="00DA1726">
        <w:rPr>
          <w:rStyle w:val="FontStyle32"/>
          <w:rFonts w:ascii="Times New Roman" w:hAnsi="Times New Roman" w:cs="Times New Roman"/>
          <w:i/>
          <w:sz w:val="28"/>
          <w:szCs w:val="28"/>
          <w:lang w:val="es-ES_tradnl" w:eastAsia="es-ES_tradnl"/>
        </w:rPr>
        <w:t>ranking</w:t>
      </w:r>
      <w:r w:rsidRPr="00DA1726">
        <w:rPr>
          <w:rStyle w:val="FontStyle32"/>
          <w:rFonts w:ascii="Times New Roman" w:hAnsi="Times New Roman" w:cs="Times New Roman"/>
          <w:sz w:val="28"/>
          <w:szCs w:val="28"/>
          <w:lang w:val="es-ES_tradnl" w:eastAsia="es-ES_tradnl"/>
        </w:rPr>
        <w:t xml:space="preserve">, en el que usó </w:t>
      </w:r>
      <w:r w:rsidR="00C853E9" w:rsidRPr="00DA1726">
        <w:rPr>
          <w:rStyle w:val="FontStyle32"/>
          <w:rFonts w:ascii="Times New Roman" w:hAnsi="Times New Roman" w:cs="Times New Roman"/>
          <w:sz w:val="28"/>
          <w:szCs w:val="28"/>
          <w:lang w:val="es-ES_tradnl" w:eastAsia="es-ES_tradnl"/>
        </w:rPr>
        <w:t>la misma metodología e i</w:t>
      </w:r>
      <w:r w:rsidRPr="00DA1726">
        <w:rPr>
          <w:rStyle w:val="FontStyle32"/>
          <w:rFonts w:ascii="Times New Roman" w:hAnsi="Times New Roman" w:cs="Times New Roman"/>
          <w:sz w:val="28"/>
          <w:szCs w:val="28"/>
          <w:lang w:val="es-ES_tradnl" w:eastAsia="es-ES_tradnl"/>
        </w:rPr>
        <w:t>nformación actualizada a corte diciembre de 2012</w:t>
      </w:r>
      <w:r w:rsidR="004D4D8A" w:rsidRPr="00DA1726">
        <w:rPr>
          <w:rStyle w:val="FontStyle32"/>
          <w:rFonts w:ascii="Times New Roman" w:hAnsi="Times New Roman" w:cs="Times New Roman"/>
          <w:sz w:val="28"/>
          <w:szCs w:val="28"/>
          <w:lang w:val="es-ES_tradnl" w:eastAsia="es-ES_tradnl"/>
        </w:rPr>
        <w:t xml:space="preserve">, contexto en el que presentó los </w:t>
      </w:r>
      <w:r w:rsidRPr="00DA1726">
        <w:rPr>
          <w:rFonts w:ascii="Times New Roman" w:hAnsi="Times New Roman"/>
          <w:sz w:val="28"/>
          <w:szCs w:val="28"/>
          <w:lang w:val="es-ES_tradnl" w:eastAsia="es-ES_tradnl"/>
        </w:rPr>
        <w:t>resultados obtenidos. Explicó que</w:t>
      </w:r>
      <w:r w:rsidR="004D4D8A" w:rsidRPr="00DA1726">
        <w:rPr>
          <w:rFonts w:ascii="Times New Roman" w:hAnsi="Times New Roman"/>
          <w:sz w:val="28"/>
          <w:szCs w:val="28"/>
          <w:lang w:val="es-ES_tradnl" w:eastAsia="es-ES_tradnl"/>
        </w:rPr>
        <w:t xml:space="preserve"> utilizando los criterios enumerados por la </w:t>
      </w:r>
      <w:r w:rsidR="002B57F7" w:rsidRPr="00DA1726">
        <w:rPr>
          <w:rFonts w:ascii="Times New Roman" w:hAnsi="Times New Roman"/>
          <w:sz w:val="28"/>
          <w:szCs w:val="28"/>
          <w:lang w:val="es-ES_tradnl" w:eastAsia="es-ES_tradnl"/>
        </w:rPr>
        <w:t>Corte C</w:t>
      </w:r>
      <w:r w:rsidR="004D4D8A" w:rsidRPr="00DA1726">
        <w:rPr>
          <w:rFonts w:ascii="Times New Roman" w:hAnsi="Times New Roman"/>
          <w:sz w:val="28"/>
          <w:szCs w:val="28"/>
          <w:lang w:val="es-ES_tradnl" w:eastAsia="es-ES_tradnl"/>
        </w:rPr>
        <w:t>onstitucional, clasificó a</w:t>
      </w:r>
      <w:r w:rsidRPr="00DA1726">
        <w:rPr>
          <w:rFonts w:ascii="Times New Roman" w:hAnsi="Times New Roman"/>
          <w:sz w:val="28"/>
          <w:szCs w:val="28"/>
          <w:lang w:val="es-ES_tradnl" w:eastAsia="es-ES_tradnl"/>
        </w:rPr>
        <w:t xml:space="preserve"> las </w:t>
      </w:r>
      <w:r w:rsidR="00EA4FAC" w:rsidRPr="00DA1726">
        <w:rPr>
          <w:rFonts w:ascii="Times New Roman" w:hAnsi="Times New Roman"/>
          <w:sz w:val="28"/>
          <w:szCs w:val="28"/>
          <w:lang w:val="es-ES_tradnl" w:eastAsia="es-ES_tradnl"/>
        </w:rPr>
        <w:t>EPS</w:t>
      </w:r>
      <w:r w:rsidRPr="00DA1726">
        <w:rPr>
          <w:rFonts w:ascii="Times New Roman" w:hAnsi="Times New Roman"/>
          <w:sz w:val="28"/>
          <w:szCs w:val="28"/>
          <w:lang w:val="es-ES_tradnl" w:eastAsia="es-ES_tradnl"/>
        </w:rPr>
        <w:t xml:space="preserve"> que con menor frecuencia vulneran los derechos de los afiliados en el grupo ALTO y </w:t>
      </w:r>
      <w:r w:rsidR="004D4D8A" w:rsidRPr="00DA1726">
        <w:rPr>
          <w:rFonts w:ascii="Times New Roman" w:hAnsi="Times New Roman"/>
          <w:sz w:val="28"/>
          <w:szCs w:val="28"/>
          <w:lang w:val="es-ES_tradnl" w:eastAsia="es-ES_tradnl"/>
        </w:rPr>
        <w:t xml:space="preserve">en el </w:t>
      </w:r>
      <w:r w:rsidRPr="00DA1726">
        <w:rPr>
          <w:rFonts w:ascii="Times New Roman" w:hAnsi="Times New Roman"/>
          <w:sz w:val="28"/>
          <w:szCs w:val="28"/>
          <w:lang w:val="es-ES_tradnl" w:eastAsia="es-ES_tradnl"/>
        </w:rPr>
        <w:t xml:space="preserve">BAJO </w:t>
      </w:r>
      <w:r w:rsidR="004D4D8A" w:rsidRPr="00DA1726">
        <w:rPr>
          <w:rFonts w:ascii="Times New Roman" w:hAnsi="Times New Roman"/>
          <w:sz w:val="28"/>
          <w:szCs w:val="28"/>
          <w:lang w:val="es-ES_tradnl" w:eastAsia="es-ES_tradnl"/>
        </w:rPr>
        <w:t>a aquellas</w:t>
      </w:r>
      <w:r w:rsidRPr="00DA1726">
        <w:rPr>
          <w:rFonts w:ascii="Times New Roman" w:hAnsi="Times New Roman"/>
          <w:sz w:val="28"/>
          <w:szCs w:val="28"/>
          <w:lang w:val="es-ES_tradnl" w:eastAsia="es-ES_tradnl"/>
        </w:rPr>
        <w:t xml:space="preserve"> que vulneran con mayor frecuencia los derechos. Advirtió que el orden al interior de los grupos corresponde a un ordenamiento alfabético</w:t>
      </w:r>
      <w:r w:rsidR="004D4D8A" w:rsidRPr="00DA1726">
        <w:rPr>
          <w:rFonts w:ascii="Times New Roman" w:hAnsi="Times New Roman"/>
          <w:sz w:val="28"/>
          <w:szCs w:val="28"/>
          <w:lang w:val="es-ES_tradnl" w:eastAsia="es-ES_tradnl"/>
        </w:rPr>
        <w:t xml:space="preserve">, por lo que no </w:t>
      </w:r>
      <w:r w:rsidRPr="00DA1726">
        <w:rPr>
          <w:rFonts w:ascii="Times New Roman" w:hAnsi="Times New Roman"/>
          <w:sz w:val="28"/>
          <w:szCs w:val="28"/>
          <w:lang w:val="es-ES_tradnl" w:eastAsia="es-ES_tradnl"/>
        </w:rPr>
        <w:t>refleja una posición mejor con respecto a los demás integrantes de cada grupo.</w:t>
      </w:r>
    </w:p>
    <w:p w:rsidR="007111BB" w:rsidRPr="00DA1726" w:rsidRDefault="007111BB" w:rsidP="00DA1726">
      <w:pPr>
        <w:pStyle w:val="Style5"/>
        <w:rPr>
          <w:rFonts w:ascii="Times New Roman" w:hAnsi="Times New Roman"/>
          <w:sz w:val="28"/>
          <w:szCs w:val="28"/>
          <w:lang w:eastAsia="es-ES_tradnl"/>
        </w:rPr>
      </w:pPr>
    </w:p>
    <w:p w:rsidR="007111BB" w:rsidRPr="00DA1726" w:rsidRDefault="00F1711A"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Régimen c</w:t>
      </w:r>
      <w:r w:rsidR="007111BB" w:rsidRPr="00DA1726">
        <w:rPr>
          <w:rFonts w:ascii="Times New Roman" w:hAnsi="Times New Roman"/>
          <w:sz w:val="28"/>
          <w:szCs w:val="28"/>
          <w:lang w:val="es-ES_tradnl" w:eastAsia="es-ES_tradnl"/>
        </w:rPr>
        <w:t>ontributivo</w:t>
      </w:r>
    </w:p>
    <w:p w:rsidR="0082059D" w:rsidRPr="00DA1726" w:rsidRDefault="0082059D" w:rsidP="00DA1726">
      <w:pPr>
        <w:pStyle w:val="Style5"/>
        <w:rPr>
          <w:rFonts w:ascii="Times New Roman" w:hAnsi="Times New Roman"/>
          <w:sz w:val="28"/>
          <w:szCs w:val="28"/>
          <w:lang w:val="es-ES_tradnl" w:eastAsia="es-ES_tradnl"/>
        </w:rPr>
      </w:pPr>
    </w:p>
    <w:p w:rsidR="00955401" w:rsidRPr="00DA1726" w:rsidRDefault="00955401" w:rsidP="00DA1726">
      <w:pPr>
        <w:pStyle w:val="Style5"/>
        <w:rPr>
          <w:rFonts w:ascii="Times New Roman" w:hAnsi="Times New Roman"/>
          <w:sz w:val="28"/>
          <w:szCs w:val="28"/>
          <w:lang w:val="es-ES_tradnl" w:eastAsia="es-ES_tradnl"/>
        </w:rPr>
      </w:pPr>
    </w:p>
    <w:tbl>
      <w:tblPr>
        <w:tblStyle w:val="Tablaconcuadrcula"/>
        <w:tblW w:w="0" w:type="auto"/>
        <w:tblLook w:val="04A0" w:firstRow="1" w:lastRow="0" w:firstColumn="1" w:lastColumn="0" w:noHBand="0" w:noVBand="1"/>
      </w:tblPr>
      <w:tblGrid>
        <w:gridCol w:w="4395"/>
        <w:gridCol w:w="4399"/>
      </w:tblGrid>
      <w:tr w:rsidR="007111BB" w:rsidRPr="00DA1726" w:rsidTr="0082059D">
        <w:tc>
          <w:tcPr>
            <w:tcW w:w="4395" w:type="dxa"/>
            <w:tcBorders>
              <w:top w:val="single" w:sz="18" w:space="0" w:color="auto"/>
              <w:left w:val="single" w:sz="18" w:space="0" w:color="auto"/>
              <w:bottom w:val="single" w:sz="18" w:space="0" w:color="auto"/>
            </w:tcBorders>
          </w:tcPr>
          <w:p w:rsidR="007111BB" w:rsidRPr="00DA1726" w:rsidRDefault="007111BB" w:rsidP="00DA1726">
            <w:pPr>
              <w:pStyle w:val="Style5"/>
              <w:widowControl/>
              <w:jc w:val="center"/>
              <w:rPr>
                <w:rFonts w:ascii="Times New Roman" w:hAnsi="Times New Roman"/>
                <w:b/>
                <w:sz w:val="28"/>
                <w:szCs w:val="28"/>
                <w:lang w:val="es-ES_tradnl" w:eastAsia="es-ES_tradnl"/>
              </w:rPr>
            </w:pPr>
            <w:r w:rsidRPr="00DA1726">
              <w:rPr>
                <w:rFonts w:ascii="Times New Roman" w:hAnsi="Times New Roman"/>
                <w:b/>
                <w:sz w:val="28"/>
                <w:szCs w:val="28"/>
                <w:lang w:val="es-ES_tradnl" w:eastAsia="es-ES_tradnl"/>
              </w:rPr>
              <w:t>GRUPO</w:t>
            </w:r>
          </w:p>
        </w:tc>
        <w:tc>
          <w:tcPr>
            <w:tcW w:w="4399" w:type="dxa"/>
            <w:tcBorders>
              <w:top w:val="single" w:sz="18" w:space="0" w:color="auto"/>
              <w:bottom w:val="single" w:sz="18" w:space="0" w:color="auto"/>
              <w:right w:val="single" w:sz="18" w:space="0" w:color="auto"/>
            </w:tcBorders>
          </w:tcPr>
          <w:p w:rsidR="007111BB" w:rsidRPr="00DA1726" w:rsidRDefault="007111BB" w:rsidP="00DA1726">
            <w:pPr>
              <w:pStyle w:val="Style5"/>
              <w:widowControl/>
              <w:jc w:val="center"/>
              <w:rPr>
                <w:rFonts w:ascii="Times New Roman" w:hAnsi="Times New Roman"/>
                <w:b/>
                <w:sz w:val="28"/>
                <w:szCs w:val="28"/>
                <w:lang w:val="es-ES_tradnl" w:eastAsia="es-ES_tradnl"/>
              </w:rPr>
            </w:pPr>
            <w:r w:rsidRPr="00DA1726">
              <w:rPr>
                <w:rFonts w:ascii="Times New Roman" w:hAnsi="Times New Roman"/>
                <w:b/>
                <w:sz w:val="28"/>
                <w:szCs w:val="28"/>
                <w:lang w:val="es-ES_tradnl" w:eastAsia="es-ES_tradnl"/>
              </w:rPr>
              <w:t>EPS</w:t>
            </w:r>
          </w:p>
        </w:tc>
      </w:tr>
      <w:tr w:rsidR="00387D80" w:rsidRPr="00DA1726" w:rsidTr="0082059D">
        <w:tc>
          <w:tcPr>
            <w:tcW w:w="4395" w:type="dxa"/>
            <w:vMerge w:val="restart"/>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ALTO</w:t>
            </w:r>
          </w:p>
        </w:tc>
        <w:tc>
          <w:tcPr>
            <w:tcW w:w="4399" w:type="dxa"/>
            <w:tcBorders>
              <w:top w:val="single" w:sz="18" w:space="0" w:color="auto"/>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COMPENSAR</w:t>
            </w:r>
          </w:p>
        </w:tc>
      </w:tr>
      <w:tr w:rsidR="00387D80" w:rsidRPr="00DA1726" w:rsidTr="0082059D">
        <w:tc>
          <w:tcPr>
            <w:tcW w:w="4395" w:type="dxa"/>
            <w:vMerge/>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p>
        </w:tc>
        <w:tc>
          <w:tcPr>
            <w:tcW w:w="4399" w:type="dxa"/>
            <w:tcBorders>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COOMEVA</w:t>
            </w:r>
          </w:p>
        </w:tc>
      </w:tr>
      <w:tr w:rsidR="00387D80" w:rsidRPr="00DA1726" w:rsidTr="0082059D">
        <w:tc>
          <w:tcPr>
            <w:tcW w:w="4395" w:type="dxa"/>
            <w:vMerge/>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p>
        </w:tc>
        <w:tc>
          <w:tcPr>
            <w:tcW w:w="4399" w:type="dxa"/>
            <w:tcBorders>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CRUZ BLANCA</w:t>
            </w:r>
          </w:p>
        </w:tc>
      </w:tr>
      <w:tr w:rsidR="00387D80" w:rsidRPr="00DA1726" w:rsidTr="0082059D">
        <w:tc>
          <w:tcPr>
            <w:tcW w:w="4395" w:type="dxa"/>
            <w:vMerge/>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p>
        </w:tc>
        <w:tc>
          <w:tcPr>
            <w:tcW w:w="4399" w:type="dxa"/>
            <w:tcBorders>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SALUD COLPATRIA</w:t>
            </w:r>
          </w:p>
        </w:tc>
      </w:tr>
      <w:tr w:rsidR="00387D80" w:rsidRPr="00DA1726" w:rsidTr="0082059D">
        <w:tc>
          <w:tcPr>
            <w:tcW w:w="4395" w:type="dxa"/>
            <w:vMerge/>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p>
        </w:tc>
        <w:tc>
          <w:tcPr>
            <w:tcW w:w="4399" w:type="dxa"/>
            <w:tcBorders>
              <w:bottom w:val="single" w:sz="18" w:space="0" w:color="auto"/>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SALUDCOOP</w:t>
            </w:r>
          </w:p>
        </w:tc>
      </w:tr>
      <w:tr w:rsidR="00387D80" w:rsidRPr="00DA1726" w:rsidTr="0082059D">
        <w:tc>
          <w:tcPr>
            <w:tcW w:w="4395" w:type="dxa"/>
            <w:vMerge w:val="restart"/>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MEDIO ALTO</w:t>
            </w:r>
          </w:p>
        </w:tc>
        <w:tc>
          <w:tcPr>
            <w:tcW w:w="4399" w:type="dxa"/>
            <w:tcBorders>
              <w:top w:val="single" w:sz="18" w:space="0" w:color="auto"/>
              <w:right w:val="single" w:sz="18" w:space="0" w:color="auto"/>
            </w:tcBorders>
          </w:tcPr>
          <w:p w:rsidR="00387D80" w:rsidRPr="00DA1726" w:rsidRDefault="0082059D"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EPS</w:t>
            </w:r>
            <w:r w:rsidR="00387D80" w:rsidRPr="00DA1726">
              <w:rPr>
                <w:rFonts w:ascii="Times New Roman" w:hAnsi="Times New Roman"/>
                <w:sz w:val="28"/>
                <w:szCs w:val="28"/>
                <w:lang w:val="es-ES_tradnl" w:eastAsia="es-ES_tradnl"/>
              </w:rPr>
              <w:t xml:space="preserve"> SURA</w:t>
            </w:r>
          </w:p>
        </w:tc>
      </w:tr>
      <w:tr w:rsidR="00387D80" w:rsidRPr="00DA1726" w:rsidTr="0082059D">
        <w:tc>
          <w:tcPr>
            <w:tcW w:w="4395" w:type="dxa"/>
            <w:vMerge/>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p>
        </w:tc>
        <w:tc>
          <w:tcPr>
            <w:tcW w:w="4399" w:type="dxa"/>
            <w:tcBorders>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FAMISANAR</w:t>
            </w:r>
          </w:p>
        </w:tc>
      </w:tr>
      <w:tr w:rsidR="00387D80" w:rsidRPr="00DA1726" w:rsidTr="0082059D">
        <w:tc>
          <w:tcPr>
            <w:tcW w:w="4395" w:type="dxa"/>
            <w:vMerge/>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p>
        </w:tc>
        <w:tc>
          <w:tcPr>
            <w:tcW w:w="4399" w:type="dxa"/>
            <w:tcBorders>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SALUDVIDA</w:t>
            </w:r>
          </w:p>
        </w:tc>
      </w:tr>
      <w:tr w:rsidR="00387D80" w:rsidRPr="00DA1726" w:rsidTr="0082059D">
        <w:tc>
          <w:tcPr>
            <w:tcW w:w="4395" w:type="dxa"/>
            <w:vMerge/>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p>
        </w:tc>
        <w:tc>
          <w:tcPr>
            <w:tcW w:w="4399" w:type="dxa"/>
            <w:tcBorders>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SANITAS</w:t>
            </w:r>
          </w:p>
        </w:tc>
      </w:tr>
      <w:tr w:rsidR="00387D80" w:rsidRPr="00DA1726" w:rsidTr="0082059D">
        <w:tc>
          <w:tcPr>
            <w:tcW w:w="4395" w:type="dxa"/>
            <w:vMerge/>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p>
        </w:tc>
        <w:tc>
          <w:tcPr>
            <w:tcW w:w="4399" w:type="dxa"/>
            <w:tcBorders>
              <w:bottom w:val="single" w:sz="18" w:space="0" w:color="auto"/>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SERVICIO OCCIDENTAL DE SALUD (SOS)</w:t>
            </w:r>
          </w:p>
        </w:tc>
      </w:tr>
      <w:tr w:rsidR="00387D80" w:rsidRPr="00DA1726" w:rsidTr="0082059D">
        <w:tc>
          <w:tcPr>
            <w:tcW w:w="4395" w:type="dxa"/>
            <w:vMerge w:val="restart"/>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MEDIO BAJO</w:t>
            </w:r>
          </w:p>
        </w:tc>
        <w:tc>
          <w:tcPr>
            <w:tcW w:w="4399" w:type="dxa"/>
            <w:tcBorders>
              <w:top w:val="single" w:sz="18" w:space="0" w:color="auto"/>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CAFESALUD</w:t>
            </w:r>
          </w:p>
        </w:tc>
      </w:tr>
      <w:tr w:rsidR="00387D80" w:rsidRPr="00DA1726" w:rsidTr="0082059D">
        <w:tc>
          <w:tcPr>
            <w:tcW w:w="4395" w:type="dxa"/>
            <w:vMerge/>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p>
        </w:tc>
        <w:tc>
          <w:tcPr>
            <w:tcW w:w="4399" w:type="dxa"/>
            <w:tcBorders>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COMFENALCO VALLE</w:t>
            </w:r>
          </w:p>
        </w:tc>
      </w:tr>
      <w:tr w:rsidR="00387D80" w:rsidRPr="00DA1726" w:rsidTr="0082059D">
        <w:tc>
          <w:tcPr>
            <w:tcW w:w="4395" w:type="dxa"/>
            <w:vMerge/>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p>
        </w:tc>
        <w:tc>
          <w:tcPr>
            <w:tcW w:w="4399" w:type="dxa"/>
            <w:tcBorders>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 xml:space="preserve">COMFENALCO ANTIOQUIA </w:t>
            </w:r>
          </w:p>
        </w:tc>
      </w:tr>
      <w:tr w:rsidR="00387D80" w:rsidRPr="00DA1726" w:rsidTr="0082059D">
        <w:tc>
          <w:tcPr>
            <w:tcW w:w="4395" w:type="dxa"/>
            <w:vMerge/>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p>
        </w:tc>
        <w:tc>
          <w:tcPr>
            <w:tcW w:w="4399" w:type="dxa"/>
            <w:tcBorders>
              <w:bottom w:val="single" w:sz="18" w:space="0" w:color="auto"/>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NUEVA EPS</w:t>
            </w:r>
          </w:p>
        </w:tc>
      </w:tr>
      <w:tr w:rsidR="00387D80" w:rsidRPr="00DA1726" w:rsidTr="0082059D">
        <w:tc>
          <w:tcPr>
            <w:tcW w:w="4395" w:type="dxa"/>
            <w:vMerge w:val="restart"/>
            <w:tcBorders>
              <w:top w:val="single" w:sz="18" w:space="0" w:color="auto"/>
              <w:left w:val="single" w:sz="18" w:space="0" w:color="auto"/>
              <w:bottom w:val="single" w:sz="18" w:space="0" w:color="auto"/>
            </w:tcBorders>
            <w:vAlign w:val="center"/>
          </w:tcPr>
          <w:p w:rsidR="00387D80" w:rsidRPr="00DA1726" w:rsidRDefault="00387D80" w:rsidP="00DA1726">
            <w:pPr>
              <w:pStyle w:val="Style5"/>
              <w:widowControl/>
              <w:jc w:val="center"/>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BAJO</w:t>
            </w:r>
          </w:p>
        </w:tc>
        <w:tc>
          <w:tcPr>
            <w:tcW w:w="4399" w:type="dxa"/>
            <w:tcBorders>
              <w:top w:val="single" w:sz="18" w:space="0" w:color="auto"/>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ALIANSALUD</w:t>
            </w:r>
          </w:p>
        </w:tc>
      </w:tr>
      <w:tr w:rsidR="00387D80" w:rsidRPr="00DA1726" w:rsidTr="0082059D">
        <w:tc>
          <w:tcPr>
            <w:tcW w:w="4395" w:type="dxa"/>
            <w:vMerge/>
            <w:tcBorders>
              <w:top w:val="single" w:sz="18" w:space="0" w:color="auto"/>
              <w:left w:val="single" w:sz="18" w:space="0" w:color="auto"/>
              <w:bottom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p>
        </w:tc>
        <w:tc>
          <w:tcPr>
            <w:tcW w:w="4399" w:type="dxa"/>
            <w:tcBorders>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GOLDEN GROUP</w:t>
            </w:r>
          </w:p>
        </w:tc>
      </w:tr>
      <w:tr w:rsidR="00387D80" w:rsidRPr="00DA1726" w:rsidTr="0082059D">
        <w:tc>
          <w:tcPr>
            <w:tcW w:w="4395" w:type="dxa"/>
            <w:vMerge/>
            <w:tcBorders>
              <w:top w:val="single" w:sz="18" w:space="0" w:color="auto"/>
              <w:left w:val="single" w:sz="18" w:space="0" w:color="auto"/>
              <w:bottom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p>
        </w:tc>
        <w:tc>
          <w:tcPr>
            <w:tcW w:w="4399" w:type="dxa"/>
            <w:tcBorders>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HUMANAVIVIR</w:t>
            </w:r>
          </w:p>
        </w:tc>
      </w:tr>
      <w:tr w:rsidR="00387D80" w:rsidRPr="00DA1726" w:rsidTr="0082059D">
        <w:tc>
          <w:tcPr>
            <w:tcW w:w="4395" w:type="dxa"/>
            <w:vMerge/>
            <w:tcBorders>
              <w:top w:val="single" w:sz="18" w:space="0" w:color="auto"/>
              <w:left w:val="single" w:sz="18" w:space="0" w:color="auto"/>
              <w:bottom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p>
        </w:tc>
        <w:tc>
          <w:tcPr>
            <w:tcW w:w="4399" w:type="dxa"/>
            <w:tcBorders>
              <w:right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SALUD TOTAL</w:t>
            </w:r>
          </w:p>
        </w:tc>
      </w:tr>
      <w:tr w:rsidR="00387D80" w:rsidRPr="00DA1726" w:rsidTr="0082059D">
        <w:tc>
          <w:tcPr>
            <w:tcW w:w="4395" w:type="dxa"/>
            <w:vMerge/>
            <w:tcBorders>
              <w:top w:val="single" w:sz="18" w:space="0" w:color="auto"/>
              <w:left w:val="single" w:sz="18" w:space="0" w:color="auto"/>
              <w:bottom w:val="single" w:sz="18" w:space="0" w:color="auto"/>
            </w:tcBorders>
          </w:tcPr>
          <w:p w:rsidR="00387D80" w:rsidRPr="00DA1726" w:rsidRDefault="00387D80" w:rsidP="00DA1726">
            <w:pPr>
              <w:pStyle w:val="Style5"/>
              <w:widowControl/>
              <w:rPr>
                <w:rFonts w:ascii="Times New Roman" w:hAnsi="Times New Roman"/>
                <w:sz w:val="28"/>
                <w:szCs w:val="28"/>
                <w:lang w:val="es-ES_tradnl" w:eastAsia="es-ES_tradnl"/>
              </w:rPr>
            </w:pPr>
          </w:p>
        </w:tc>
        <w:tc>
          <w:tcPr>
            <w:tcW w:w="4399" w:type="dxa"/>
            <w:tcBorders>
              <w:bottom w:val="single" w:sz="18" w:space="0" w:color="auto"/>
              <w:right w:val="single" w:sz="18" w:space="0" w:color="auto"/>
            </w:tcBorders>
          </w:tcPr>
          <w:p w:rsidR="00387D80" w:rsidRPr="00DA1726" w:rsidRDefault="00387D80" w:rsidP="00DA1726">
            <w:pPr>
              <w:rPr>
                <w:sz w:val="28"/>
                <w:szCs w:val="28"/>
              </w:rPr>
            </w:pPr>
            <w:r w:rsidRPr="00DA1726">
              <w:rPr>
                <w:rFonts w:eastAsiaTheme="minorEastAsia"/>
                <w:sz w:val="28"/>
                <w:szCs w:val="28"/>
                <w:lang w:val="es-ES_tradnl" w:eastAsia="es-ES_tradnl"/>
              </w:rPr>
              <w:t>SOLSALUD</w:t>
            </w:r>
          </w:p>
        </w:tc>
      </w:tr>
    </w:tbl>
    <w:p w:rsidR="007111BB" w:rsidRPr="00DA1726" w:rsidRDefault="007111BB" w:rsidP="00DA1726">
      <w:pPr>
        <w:pStyle w:val="Style5"/>
        <w:widowControl/>
        <w:rPr>
          <w:rFonts w:ascii="Times New Roman" w:hAnsi="Times New Roman"/>
          <w:sz w:val="28"/>
          <w:szCs w:val="28"/>
          <w:lang w:val="es-ES_tradnl" w:eastAsia="es-ES_tradnl"/>
        </w:rPr>
      </w:pPr>
    </w:p>
    <w:p w:rsidR="007111BB" w:rsidRPr="00DA1726" w:rsidRDefault="004F00A6" w:rsidP="00DA1726">
      <w:pPr>
        <w:pStyle w:val="Style5"/>
        <w:widowControl/>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Régimen subsidiado</w:t>
      </w:r>
    </w:p>
    <w:p w:rsidR="004F00A6" w:rsidRPr="00DA1726" w:rsidRDefault="004F00A6" w:rsidP="00DA1726">
      <w:pPr>
        <w:pStyle w:val="Style5"/>
        <w:widowControl/>
        <w:rPr>
          <w:rFonts w:ascii="Times New Roman" w:hAnsi="Times New Roman"/>
          <w:sz w:val="28"/>
          <w:szCs w:val="28"/>
          <w:lang w:val="es-ES_tradnl" w:eastAsia="es-ES_tradnl"/>
        </w:rPr>
      </w:pPr>
    </w:p>
    <w:tbl>
      <w:tblPr>
        <w:tblStyle w:val="Tablaconcuadrcula"/>
        <w:tblW w:w="8830" w:type="dxa"/>
        <w:tblInd w:w="-90" w:type="dxa"/>
        <w:tblLook w:val="04A0" w:firstRow="1" w:lastRow="0" w:firstColumn="1" w:lastColumn="0" w:noHBand="0" w:noVBand="1"/>
      </w:tblPr>
      <w:tblGrid>
        <w:gridCol w:w="18"/>
        <w:gridCol w:w="4396"/>
        <w:gridCol w:w="4398"/>
        <w:gridCol w:w="18"/>
      </w:tblGrid>
      <w:tr w:rsidR="0082059D" w:rsidRPr="00DA1726" w:rsidTr="004F00A6">
        <w:trPr>
          <w:gridBefore w:val="1"/>
          <w:gridAfter w:val="1"/>
          <w:wBefore w:w="18" w:type="dxa"/>
          <w:wAfter w:w="18" w:type="dxa"/>
        </w:trPr>
        <w:tc>
          <w:tcPr>
            <w:tcW w:w="4396" w:type="dxa"/>
            <w:tcBorders>
              <w:top w:val="single" w:sz="18" w:space="0" w:color="auto"/>
              <w:left w:val="single" w:sz="18" w:space="0" w:color="auto"/>
              <w:bottom w:val="single" w:sz="18" w:space="0" w:color="auto"/>
            </w:tcBorders>
          </w:tcPr>
          <w:p w:rsidR="0082059D" w:rsidRPr="00DA1726" w:rsidRDefault="0082059D" w:rsidP="00DA1726">
            <w:pPr>
              <w:pStyle w:val="Style5"/>
              <w:widowControl/>
              <w:jc w:val="center"/>
              <w:rPr>
                <w:rFonts w:ascii="Times New Roman" w:hAnsi="Times New Roman"/>
                <w:b/>
                <w:sz w:val="28"/>
                <w:szCs w:val="28"/>
                <w:lang w:val="es-ES_tradnl" w:eastAsia="es-ES_tradnl"/>
              </w:rPr>
            </w:pPr>
            <w:r w:rsidRPr="00DA1726">
              <w:rPr>
                <w:rFonts w:ascii="Times New Roman" w:hAnsi="Times New Roman"/>
                <w:b/>
                <w:sz w:val="28"/>
                <w:szCs w:val="28"/>
                <w:lang w:val="es-ES_tradnl" w:eastAsia="es-ES_tradnl"/>
              </w:rPr>
              <w:t>GRUPO</w:t>
            </w:r>
          </w:p>
        </w:tc>
        <w:tc>
          <w:tcPr>
            <w:tcW w:w="4398" w:type="dxa"/>
            <w:tcBorders>
              <w:top w:val="single" w:sz="18" w:space="0" w:color="auto"/>
              <w:bottom w:val="single" w:sz="18" w:space="0" w:color="auto"/>
              <w:right w:val="single" w:sz="18" w:space="0" w:color="auto"/>
            </w:tcBorders>
          </w:tcPr>
          <w:p w:rsidR="0082059D" w:rsidRPr="00DA1726" w:rsidRDefault="0082059D" w:rsidP="00DA1726">
            <w:pPr>
              <w:pStyle w:val="Style5"/>
              <w:widowControl/>
              <w:jc w:val="center"/>
              <w:rPr>
                <w:rFonts w:ascii="Times New Roman" w:hAnsi="Times New Roman"/>
                <w:b/>
                <w:sz w:val="28"/>
                <w:szCs w:val="28"/>
                <w:lang w:val="es-ES_tradnl" w:eastAsia="es-ES_tradnl"/>
              </w:rPr>
            </w:pPr>
            <w:r w:rsidRPr="00DA1726">
              <w:rPr>
                <w:rFonts w:ascii="Times New Roman" w:hAnsi="Times New Roman"/>
                <w:b/>
                <w:sz w:val="28"/>
                <w:szCs w:val="28"/>
                <w:lang w:val="es-ES_tradnl" w:eastAsia="es-ES_tradnl"/>
              </w:rPr>
              <w:t>EPS</w:t>
            </w:r>
          </w:p>
        </w:tc>
      </w:tr>
      <w:tr w:rsidR="004F00A6" w:rsidRPr="00DA1726" w:rsidTr="004F00A6">
        <w:tc>
          <w:tcPr>
            <w:tcW w:w="4414" w:type="dxa"/>
            <w:gridSpan w:val="2"/>
            <w:vMerge w:val="restart"/>
            <w:tcBorders>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ALTO</w:t>
            </w:r>
          </w:p>
        </w:tc>
        <w:tc>
          <w:tcPr>
            <w:tcW w:w="4416" w:type="dxa"/>
            <w:gridSpan w:val="2"/>
            <w:tcBorders>
              <w:right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ANAS WAYUU (EPS-I)</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ASMET SALUD</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CAPRESOCA</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CAPRESOCA CCF BOYACÁ "COMFABOY"</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CARTAGENA "CONFAMILIAR CARTAGENA"</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DE NARIÑO</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DE SUCRE</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EMSSANAR</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bottom w:val="single" w:sz="18" w:space="0" w:color="auto"/>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MUTUAL SER</w:t>
            </w:r>
          </w:p>
        </w:tc>
      </w:tr>
      <w:tr w:rsidR="004F00A6" w:rsidRPr="00DA1726" w:rsidTr="004F00A6">
        <w:tc>
          <w:tcPr>
            <w:tcW w:w="4414" w:type="dxa"/>
            <w:gridSpan w:val="2"/>
            <w:vMerge w:val="restart"/>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MEDIO ALTO</w:t>
            </w:r>
          </w:p>
        </w:tc>
        <w:tc>
          <w:tcPr>
            <w:tcW w:w="4416" w:type="dxa"/>
            <w:gridSpan w:val="2"/>
            <w:tcBorders>
              <w:top w:val="single" w:sz="18" w:space="0" w:color="auto"/>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AIC - ASOCIACIÓN INDÍGENA DEL CAUCA (EPS-I CAUCA)</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CAFESALUD</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ATLÁNTICO "CAJACOPI"</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CHOCÓ "CONMFACHOCÓ"</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CÓRDOBA "COMFACOR"</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COMPARTA</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CONVIDA</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bottom w:val="single" w:sz="18" w:space="0" w:color="auto"/>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DUSAKAWI (EPS-I CESAR Y GUAJIRA)</w:t>
            </w:r>
          </w:p>
        </w:tc>
      </w:tr>
      <w:tr w:rsidR="004F00A6" w:rsidRPr="00DA1726" w:rsidTr="004F00A6">
        <w:tc>
          <w:tcPr>
            <w:tcW w:w="4414" w:type="dxa"/>
            <w:gridSpan w:val="2"/>
            <w:vMerge w:val="restart"/>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MEDIO BAJO</w:t>
            </w:r>
          </w:p>
        </w:tc>
        <w:tc>
          <w:tcPr>
            <w:tcW w:w="4416" w:type="dxa"/>
            <w:gridSpan w:val="2"/>
            <w:tcBorders>
              <w:top w:val="single" w:sz="18" w:space="0" w:color="auto"/>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AMBUQ (BARRIOS UNDOS DE QUIBDO)</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ANTIOQUÍA "COMFAMA"</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HUILA "COMFAMILIAR HUILA"</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COOSALUD</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ECOOPSOS</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HUMANAVIVIR</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PIJAOS SALUD (EPS-I)</w:t>
            </w:r>
          </w:p>
        </w:tc>
      </w:tr>
      <w:tr w:rsidR="004F00A6" w:rsidRPr="00DA1726" w:rsidTr="004F00A6">
        <w:tc>
          <w:tcPr>
            <w:tcW w:w="4414" w:type="dxa"/>
            <w:gridSpan w:val="2"/>
            <w:vMerge/>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p>
        </w:tc>
        <w:tc>
          <w:tcPr>
            <w:tcW w:w="4416" w:type="dxa"/>
            <w:gridSpan w:val="2"/>
            <w:tcBorders>
              <w:bottom w:val="single" w:sz="18" w:space="0" w:color="auto"/>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SOLSALUD</w:t>
            </w:r>
          </w:p>
        </w:tc>
      </w:tr>
      <w:tr w:rsidR="004F00A6" w:rsidRPr="00DA1726" w:rsidTr="004F00A6">
        <w:tc>
          <w:tcPr>
            <w:tcW w:w="4414" w:type="dxa"/>
            <w:gridSpan w:val="2"/>
            <w:vMerge w:val="restart"/>
            <w:tcBorders>
              <w:top w:val="single" w:sz="18" w:space="0" w:color="auto"/>
              <w:left w:val="single" w:sz="18" w:space="0" w:color="auto"/>
              <w:bottom w:val="single" w:sz="18" w:space="0" w:color="auto"/>
            </w:tcBorders>
            <w:vAlign w:val="center"/>
          </w:tcPr>
          <w:p w:rsidR="004F00A6" w:rsidRPr="00DA1726" w:rsidRDefault="004F00A6" w:rsidP="00DA1726">
            <w:pPr>
              <w:pStyle w:val="Style5"/>
              <w:widowControl/>
              <w:jc w:val="center"/>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BAJO</w:t>
            </w:r>
          </w:p>
        </w:tc>
        <w:tc>
          <w:tcPr>
            <w:tcW w:w="4416" w:type="dxa"/>
            <w:gridSpan w:val="2"/>
            <w:tcBorders>
              <w:top w:val="single" w:sz="18" w:space="0" w:color="auto"/>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CAPITAL SALUD</w:t>
            </w:r>
          </w:p>
        </w:tc>
      </w:tr>
      <w:tr w:rsidR="004F00A6" w:rsidRPr="00DA1726" w:rsidTr="004F00A6">
        <w:tc>
          <w:tcPr>
            <w:tcW w:w="4414" w:type="dxa"/>
            <w:gridSpan w:val="2"/>
            <w:vMerge/>
            <w:tcBorders>
              <w:top w:val="single" w:sz="18" w:space="0" w:color="auto"/>
              <w:left w:val="single" w:sz="18" w:space="0" w:color="auto"/>
              <w:bottom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CAPRECOM</w:t>
            </w:r>
          </w:p>
        </w:tc>
      </w:tr>
      <w:tr w:rsidR="004F00A6" w:rsidRPr="00DA1726" w:rsidTr="004F00A6">
        <w:tc>
          <w:tcPr>
            <w:tcW w:w="4414" w:type="dxa"/>
            <w:gridSpan w:val="2"/>
            <w:vMerge/>
            <w:tcBorders>
              <w:top w:val="single" w:sz="18" w:space="0" w:color="auto"/>
              <w:left w:val="single" w:sz="18" w:space="0" w:color="auto"/>
              <w:bottom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CAFAM</w:t>
            </w:r>
          </w:p>
        </w:tc>
      </w:tr>
      <w:tr w:rsidR="004F00A6" w:rsidRPr="00DA1726" w:rsidTr="004F00A6">
        <w:tc>
          <w:tcPr>
            <w:tcW w:w="4414" w:type="dxa"/>
            <w:gridSpan w:val="2"/>
            <w:vMerge/>
            <w:tcBorders>
              <w:top w:val="single" w:sz="18" w:space="0" w:color="auto"/>
              <w:left w:val="single" w:sz="18" w:space="0" w:color="auto"/>
              <w:bottom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COLSUBSIDIO</w:t>
            </w:r>
          </w:p>
        </w:tc>
      </w:tr>
      <w:tr w:rsidR="004F00A6" w:rsidRPr="00DA1726" w:rsidTr="004F00A6">
        <w:tc>
          <w:tcPr>
            <w:tcW w:w="4414" w:type="dxa"/>
            <w:gridSpan w:val="2"/>
            <w:vMerge/>
            <w:tcBorders>
              <w:top w:val="single" w:sz="18" w:space="0" w:color="auto"/>
              <w:left w:val="single" w:sz="18" w:space="0" w:color="auto"/>
              <w:bottom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CUNDINAMARCA "COMFACUNDI"</w:t>
            </w:r>
          </w:p>
        </w:tc>
      </w:tr>
      <w:tr w:rsidR="004F00A6" w:rsidRPr="00DA1726" w:rsidTr="004F00A6">
        <w:tc>
          <w:tcPr>
            <w:tcW w:w="4414" w:type="dxa"/>
            <w:gridSpan w:val="2"/>
            <w:vMerge/>
            <w:tcBorders>
              <w:top w:val="single" w:sz="18" w:space="0" w:color="auto"/>
              <w:left w:val="single" w:sz="18" w:space="0" w:color="auto"/>
              <w:bottom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CCF DE LA GUAJIRA</w:t>
            </w:r>
          </w:p>
        </w:tc>
      </w:tr>
      <w:tr w:rsidR="004F00A6" w:rsidRPr="00DA1726" w:rsidTr="004F00A6">
        <w:tc>
          <w:tcPr>
            <w:tcW w:w="4414" w:type="dxa"/>
            <w:gridSpan w:val="2"/>
            <w:vMerge/>
            <w:tcBorders>
              <w:top w:val="single" w:sz="18" w:space="0" w:color="auto"/>
              <w:left w:val="single" w:sz="18" w:space="0" w:color="auto"/>
              <w:bottom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MALLAMAS (EPS-I)</w:t>
            </w:r>
          </w:p>
        </w:tc>
      </w:tr>
      <w:tr w:rsidR="004F00A6" w:rsidRPr="00DA1726" w:rsidTr="004F00A6">
        <w:tc>
          <w:tcPr>
            <w:tcW w:w="4414" w:type="dxa"/>
            <w:gridSpan w:val="2"/>
            <w:vMerge/>
            <w:tcBorders>
              <w:top w:val="single" w:sz="18" w:space="0" w:color="auto"/>
              <w:left w:val="single" w:sz="18" w:space="0" w:color="auto"/>
              <w:bottom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p>
        </w:tc>
        <w:tc>
          <w:tcPr>
            <w:tcW w:w="4416" w:type="dxa"/>
            <w:gridSpan w:val="2"/>
            <w:tcBorders>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MANEXKA (EPS-I ZENU)</w:t>
            </w:r>
          </w:p>
        </w:tc>
      </w:tr>
      <w:tr w:rsidR="004F00A6" w:rsidRPr="00DA1726" w:rsidTr="004F00A6">
        <w:tc>
          <w:tcPr>
            <w:tcW w:w="4414" w:type="dxa"/>
            <w:gridSpan w:val="2"/>
            <w:vMerge/>
            <w:tcBorders>
              <w:top w:val="single" w:sz="18" w:space="0" w:color="auto"/>
              <w:left w:val="single" w:sz="18" w:space="0" w:color="auto"/>
              <w:bottom w:val="single" w:sz="18" w:space="0" w:color="auto"/>
            </w:tcBorders>
          </w:tcPr>
          <w:p w:rsidR="004F00A6" w:rsidRPr="00DA1726" w:rsidRDefault="004F00A6" w:rsidP="00DA1726">
            <w:pPr>
              <w:pStyle w:val="Style5"/>
              <w:widowControl/>
              <w:rPr>
                <w:rFonts w:ascii="Times New Roman" w:hAnsi="Times New Roman"/>
                <w:sz w:val="28"/>
                <w:szCs w:val="28"/>
                <w:lang w:val="es-ES_tradnl" w:eastAsia="es-ES_tradnl"/>
              </w:rPr>
            </w:pPr>
          </w:p>
        </w:tc>
        <w:tc>
          <w:tcPr>
            <w:tcW w:w="4416" w:type="dxa"/>
            <w:gridSpan w:val="2"/>
            <w:tcBorders>
              <w:bottom w:val="single" w:sz="18" w:space="0" w:color="auto"/>
              <w:right w:val="single" w:sz="18" w:space="0" w:color="auto"/>
            </w:tcBorders>
          </w:tcPr>
          <w:p w:rsidR="004F00A6" w:rsidRPr="00DA1726" w:rsidRDefault="004F00A6" w:rsidP="00DA1726">
            <w:pPr>
              <w:pStyle w:val="Style5"/>
              <w:widowControl/>
              <w:rPr>
                <w:rStyle w:val="FontStyle44"/>
                <w:rFonts w:ascii="Times New Roman" w:hAnsi="Times New Roman" w:cs="Times New Roman"/>
                <w:sz w:val="28"/>
                <w:szCs w:val="28"/>
                <w:lang w:val="es-ES_tradnl" w:eastAsia="es-ES_tradnl"/>
              </w:rPr>
            </w:pPr>
            <w:r w:rsidRPr="00DA1726">
              <w:rPr>
                <w:rStyle w:val="FontStyle44"/>
                <w:rFonts w:ascii="Times New Roman" w:hAnsi="Times New Roman" w:cs="Times New Roman"/>
                <w:sz w:val="28"/>
                <w:szCs w:val="28"/>
                <w:lang w:val="es-ES_tradnl" w:eastAsia="es-ES_tradnl"/>
              </w:rPr>
              <w:t>SALUDVIDA</w:t>
            </w:r>
          </w:p>
        </w:tc>
      </w:tr>
    </w:tbl>
    <w:p w:rsidR="007111BB" w:rsidRPr="00DA1726" w:rsidRDefault="007111BB" w:rsidP="00DA1726">
      <w:pPr>
        <w:pStyle w:val="Style5"/>
        <w:widowControl/>
        <w:rPr>
          <w:rFonts w:ascii="Times New Roman" w:hAnsi="Times New Roman"/>
          <w:sz w:val="28"/>
          <w:szCs w:val="28"/>
          <w:lang w:val="es-ES_tradnl" w:eastAsia="es-ES_tradnl"/>
        </w:rPr>
      </w:pPr>
    </w:p>
    <w:p w:rsidR="008357EE" w:rsidRPr="00DA1726" w:rsidRDefault="00635565" w:rsidP="00DA1726">
      <w:pPr>
        <w:pStyle w:val="Style5"/>
        <w:widowControl/>
        <w:numPr>
          <w:ilvl w:val="1"/>
          <w:numId w:val="40"/>
        </w:numPr>
        <w:ind w:left="0" w:firstLine="0"/>
        <w:rPr>
          <w:rStyle w:val="FontStyle14"/>
          <w:rFonts w:ascii="Times New Roman" w:hAnsi="Times New Roman" w:cs="Times New Roman"/>
          <w:sz w:val="28"/>
          <w:szCs w:val="28"/>
          <w:lang w:val="es-ES_tradnl" w:eastAsia="es-ES_tradnl"/>
        </w:rPr>
      </w:pPr>
      <w:r w:rsidRPr="00DA1726">
        <w:rPr>
          <w:rFonts w:ascii="Times New Roman" w:hAnsi="Times New Roman"/>
          <w:sz w:val="28"/>
          <w:szCs w:val="28"/>
          <w:lang w:val="es-ES_tradnl" w:eastAsia="es-ES_tradnl"/>
        </w:rPr>
        <w:t>El 24 de julio de 2013 la Defensoría del Pueblo remitió un nuevo informe</w:t>
      </w:r>
      <w:r w:rsidR="00A706E4" w:rsidRPr="00DA1726">
        <w:rPr>
          <w:rFonts w:ascii="Times New Roman" w:hAnsi="Times New Roman"/>
          <w:sz w:val="28"/>
          <w:szCs w:val="28"/>
          <w:vertAlign w:val="superscript"/>
          <w:lang w:val="es-ES_tradnl" w:eastAsia="es-ES_tradnl"/>
        </w:rPr>
        <w:footnoteReference w:id="7"/>
      </w:r>
      <w:r w:rsidRPr="00DA1726">
        <w:rPr>
          <w:rFonts w:ascii="Times New Roman" w:hAnsi="Times New Roman"/>
          <w:sz w:val="28"/>
          <w:szCs w:val="28"/>
          <w:lang w:val="es-ES_tradnl" w:eastAsia="es-ES_tradnl"/>
        </w:rPr>
        <w:t xml:space="preserve"> en el q</w:t>
      </w:r>
      <w:r w:rsidR="00F649E3" w:rsidRPr="00DA1726">
        <w:rPr>
          <w:rFonts w:ascii="Times New Roman" w:hAnsi="Times New Roman"/>
          <w:sz w:val="28"/>
          <w:szCs w:val="28"/>
          <w:lang w:val="es-ES_tradnl" w:eastAsia="es-ES_tradnl"/>
        </w:rPr>
        <w:t xml:space="preserve">ue indicó que se dio un </w:t>
      </w:r>
      <w:r w:rsidR="008357EE" w:rsidRPr="00DA1726">
        <w:rPr>
          <w:rStyle w:val="FontStyle14"/>
          <w:rFonts w:ascii="Times New Roman" w:hAnsi="Times New Roman" w:cs="Times New Roman"/>
          <w:sz w:val="28"/>
          <w:szCs w:val="28"/>
          <w:lang w:val="es-ES_tradnl" w:eastAsia="es-ES_tradnl"/>
        </w:rPr>
        <w:t>cumplimiento parcial de la orden dada la baja confiabilidad de las fuentes de información que conlleva a la poca comparabilidad y precisión de los resultados, que hace que los usuarios no cuenten con la suficiente información en el proceso de selección de aseguradora.</w:t>
      </w:r>
    </w:p>
    <w:p w:rsidR="00F649E3" w:rsidRPr="00DA1726" w:rsidRDefault="00F649E3" w:rsidP="00DA1726">
      <w:pPr>
        <w:pStyle w:val="Style1"/>
        <w:widowControl/>
        <w:spacing w:line="240" w:lineRule="auto"/>
        <w:rPr>
          <w:rStyle w:val="FontStyle14"/>
          <w:rFonts w:ascii="Times New Roman" w:hAnsi="Times New Roman" w:cs="Times New Roman"/>
          <w:sz w:val="28"/>
          <w:szCs w:val="28"/>
          <w:lang w:val="es-ES_tradnl" w:eastAsia="es-ES_tradnl"/>
        </w:rPr>
      </w:pPr>
    </w:p>
    <w:p w:rsidR="00C463C9" w:rsidRPr="00DA1726" w:rsidRDefault="00C463C9" w:rsidP="00DA1726">
      <w:pPr>
        <w:pStyle w:val="Style5"/>
        <w:widowControl/>
        <w:numPr>
          <w:ilvl w:val="1"/>
          <w:numId w:val="40"/>
        </w:numPr>
        <w:suppressAutoHyphens/>
        <w:ind w:left="0" w:firstLine="0"/>
        <w:rPr>
          <w:rFonts w:ascii="Times New Roman" w:hAnsi="Times New Roman"/>
          <w:bCs/>
          <w:color w:val="000000"/>
          <w:sz w:val="28"/>
          <w:szCs w:val="28"/>
        </w:rPr>
      </w:pPr>
      <w:r w:rsidRPr="00DA1726">
        <w:rPr>
          <w:rFonts w:ascii="Times New Roman" w:hAnsi="Times New Roman"/>
          <w:sz w:val="28"/>
          <w:szCs w:val="28"/>
          <w:lang w:val="es-ES_tradnl" w:eastAsia="es-ES_tradnl"/>
        </w:rPr>
        <w:t xml:space="preserve">El 13 de agosto de 2013, </w:t>
      </w:r>
      <w:r w:rsidR="00F1711A" w:rsidRPr="00DA1726">
        <w:rPr>
          <w:rFonts w:ascii="Times New Roman" w:hAnsi="Times New Roman"/>
          <w:sz w:val="28"/>
          <w:szCs w:val="28"/>
          <w:lang w:val="es-ES_tradnl" w:eastAsia="es-ES_tradnl"/>
        </w:rPr>
        <w:t>l</w:t>
      </w:r>
      <w:r w:rsidRPr="00DA1726">
        <w:rPr>
          <w:rFonts w:ascii="Times New Roman" w:hAnsi="Times New Roman"/>
          <w:sz w:val="28"/>
          <w:szCs w:val="28"/>
          <w:lang w:val="es-ES_tradnl" w:eastAsia="es-ES_tradnl"/>
        </w:rPr>
        <w:t xml:space="preserve">a Sala Especial de Seguimiento dio traslado del informe titulado </w:t>
      </w:r>
      <w:r w:rsidRPr="00DA1726">
        <w:rPr>
          <w:rFonts w:ascii="Times New Roman" w:hAnsi="Times New Roman"/>
          <w:bCs/>
          <w:i/>
          <w:color w:val="000000"/>
          <w:sz w:val="28"/>
          <w:szCs w:val="28"/>
        </w:rPr>
        <w:t xml:space="preserve">“Ordenación de EPS 2013” </w:t>
      </w:r>
      <w:r w:rsidRPr="00DA1726">
        <w:rPr>
          <w:rFonts w:ascii="Times New Roman" w:hAnsi="Times New Roman"/>
          <w:bCs/>
          <w:color w:val="000000"/>
          <w:sz w:val="28"/>
          <w:szCs w:val="28"/>
        </w:rPr>
        <w:t>a los Grupos de Seguimiento relacionados en esa providencia</w:t>
      </w:r>
      <w:r w:rsidR="00B23568" w:rsidRPr="00DA1726">
        <w:rPr>
          <w:rFonts w:ascii="Times New Roman" w:hAnsi="Times New Roman"/>
          <w:bCs/>
          <w:color w:val="000000"/>
          <w:sz w:val="28"/>
          <w:szCs w:val="28"/>
          <w:vertAlign w:val="superscript"/>
        </w:rPr>
        <w:footnoteReference w:id="8"/>
      </w:r>
      <w:r w:rsidRPr="00DA1726">
        <w:rPr>
          <w:rFonts w:ascii="Times New Roman" w:hAnsi="Times New Roman"/>
          <w:bCs/>
          <w:color w:val="000000"/>
          <w:sz w:val="28"/>
          <w:szCs w:val="28"/>
        </w:rPr>
        <w:t xml:space="preserve">. </w:t>
      </w:r>
      <w:r w:rsidR="00B23568" w:rsidRPr="00DA1726">
        <w:rPr>
          <w:rFonts w:ascii="Times New Roman" w:hAnsi="Times New Roman"/>
          <w:bCs/>
          <w:color w:val="000000"/>
          <w:sz w:val="28"/>
          <w:szCs w:val="28"/>
        </w:rPr>
        <w:t xml:space="preserve">Específicamente se les solicitó resolvieran </w:t>
      </w:r>
      <w:r w:rsidR="009916EB" w:rsidRPr="00DA1726">
        <w:rPr>
          <w:rFonts w:ascii="Times New Roman" w:hAnsi="Times New Roman"/>
          <w:bCs/>
          <w:color w:val="000000"/>
          <w:sz w:val="28"/>
          <w:szCs w:val="28"/>
        </w:rPr>
        <w:t>9 interrogantes</w:t>
      </w:r>
      <w:r w:rsidR="009916EB" w:rsidRPr="00DA1726">
        <w:rPr>
          <w:rFonts w:ascii="Times New Roman" w:hAnsi="Times New Roman"/>
          <w:bCs/>
          <w:color w:val="000000"/>
          <w:sz w:val="28"/>
          <w:szCs w:val="28"/>
          <w:vertAlign w:val="superscript"/>
        </w:rPr>
        <w:footnoteReference w:id="9"/>
      </w:r>
      <w:r w:rsidR="009916EB" w:rsidRPr="00DA1726">
        <w:rPr>
          <w:rFonts w:ascii="Times New Roman" w:hAnsi="Times New Roman"/>
          <w:bCs/>
          <w:color w:val="000000"/>
          <w:sz w:val="28"/>
          <w:szCs w:val="28"/>
        </w:rPr>
        <w:t>.</w:t>
      </w:r>
      <w:r w:rsidR="0098585A" w:rsidRPr="00DA1726">
        <w:rPr>
          <w:rFonts w:ascii="Times New Roman" w:hAnsi="Times New Roman"/>
          <w:bCs/>
          <w:color w:val="000000"/>
          <w:sz w:val="28"/>
          <w:szCs w:val="28"/>
        </w:rPr>
        <w:t xml:space="preserve"> Finalmente</w:t>
      </w:r>
      <w:r w:rsidR="00F1711A" w:rsidRPr="00DA1726">
        <w:rPr>
          <w:rFonts w:ascii="Times New Roman" w:hAnsi="Times New Roman"/>
          <w:bCs/>
          <w:color w:val="000000"/>
          <w:sz w:val="28"/>
          <w:szCs w:val="28"/>
        </w:rPr>
        <w:t>,</w:t>
      </w:r>
      <w:r w:rsidR="0098585A" w:rsidRPr="00DA1726">
        <w:rPr>
          <w:rFonts w:ascii="Times New Roman" w:hAnsi="Times New Roman"/>
          <w:bCs/>
          <w:color w:val="000000"/>
          <w:sz w:val="28"/>
          <w:szCs w:val="28"/>
        </w:rPr>
        <w:t xml:space="preserve"> se requirió a la Procuraduría para que se pronunciara en relación con la presente orden.</w:t>
      </w:r>
      <w:r w:rsidRPr="00DA1726">
        <w:rPr>
          <w:rFonts w:ascii="Times New Roman" w:hAnsi="Times New Roman"/>
          <w:sz w:val="28"/>
          <w:szCs w:val="28"/>
        </w:rPr>
        <w:t xml:space="preserve"> </w:t>
      </w:r>
    </w:p>
    <w:p w:rsidR="00C463C9" w:rsidRPr="00DA1726" w:rsidRDefault="00C463C9" w:rsidP="00DA1726">
      <w:pPr>
        <w:pStyle w:val="Style5"/>
        <w:widowControl/>
        <w:rPr>
          <w:rFonts w:ascii="Times New Roman" w:hAnsi="Times New Roman"/>
          <w:sz w:val="28"/>
          <w:szCs w:val="28"/>
          <w:lang w:val="es-ES_tradnl" w:eastAsia="es-ES_tradnl"/>
        </w:rPr>
      </w:pPr>
    </w:p>
    <w:p w:rsidR="00D060B9" w:rsidRPr="00DA1726" w:rsidRDefault="00DD39B8" w:rsidP="00DA1726">
      <w:pPr>
        <w:pStyle w:val="Style5"/>
        <w:widowControl/>
        <w:numPr>
          <w:ilvl w:val="1"/>
          <w:numId w:val="40"/>
        </w:numPr>
        <w:ind w:left="0" w:firstLine="0"/>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El 29 de agosto de 2013, la Procuraduría General de la Nación</w:t>
      </w:r>
      <w:r w:rsidR="00E63043" w:rsidRPr="00DA1726">
        <w:rPr>
          <w:rFonts w:ascii="Times New Roman" w:hAnsi="Times New Roman"/>
          <w:sz w:val="28"/>
          <w:szCs w:val="28"/>
          <w:vertAlign w:val="superscript"/>
          <w:lang w:val="es-ES_tradnl" w:eastAsia="es-ES_tradnl"/>
        </w:rPr>
        <w:footnoteReference w:id="10"/>
      </w:r>
      <w:r w:rsidRPr="00DA1726">
        <w:rPr>
          <w:rFonts w:ascii="Times New Roman" w:hAnsi="Times New Roman"/>
          <w:sz w:val="28"/>
          <w:szCs w:val="28"/>
          <w:lang w:val="es-ES_tradnl" w:eastAsia="es-ES_tradnl"/>
        </w:rPr>
        <w:t xml:space="preserve"> </w:t>
      </w:r>
      <w:r w:rsidR="002F7E7C" w:rsidRPr="00DA1726">
        <w:rPr>
          <w:rFonts w:ascii="Times New Roman" w:hAnsi="Times New Roman"/>
          <w:sz w:val="28"/>
          <w:szCs w:val="28"/>
          <w:lang w:val="es-ES_tradnl" w:eastAsia="es-ES_tradnl"/>
        </w:rPr>
        <w:t xml:space="preserve">expuso que el </w:t>
      </w:r>
      <w:r w:rsidR="00D060B9" w:rsidRPr="00DA1726">
        <w:rPr>
          <w:rFonts w:ascii="Times New Roman" w:hAnsi="Times New Roman"/>
          <w:sz w:val="28"/>
          <w:szCs w:val="28"/>
          <w:lang w:val="es-ES_tradnl" w:eastAsia="es-ES_tradnl"/>
        </w:rPr>
        <w:t xml:space="preserve">Ministerio de Salud y Protección Social y la Superintendencia Nacional de Salud, identificaron las fuentes de información que guardan pertinencia con lo ordenado por la Corte Constitucional, no obstante, </w:t>
      </w:r>
      <w:r w:rsidR="00E63043" w:rsidRPr="00DA1726">
        <w:rPr>
          <w:rFonts w:ascii="Times New Roman" w:hAnsi="Times New Roman"/>
          <w:sz w:val="28"/>
          <w:szCs w:val="28"/>
          <w:lang w:val="es-ES_tradnl" w:eastAsia="es-ES_tradnl"/>
        </w:rPr>
        <w:t xml:space="preserve">en su concepto </w:t>
      </w:r>
      <w:r w:rsidR="00D060B9" w:rsidRPr="00DA1726">
        <w:rPr>
          <w:rFonts w:ascii="Times New Roman" w:hAnsi="Times New Roman"/>
          <w:sz w:val="28"/>
          <w:szCs w:val="28"/>
          <w:lang w:val="es-ES_tradnl" w:eastAsia="es-ES_tradnl"/>
        </w:rPr>
        <w:t xml:space="preserve">se evidencia la ausencia de un instrumento que consulte directamente a los afectados, es decir a los afiliados y usuarios </w:t>
      </w:r>
      <w:r w:rsidR="00D060B9" w:rsidRPr="00DA1726">
        <w:rPr>
          <w:rFonts w:ascii="Times New Roman" w:hAnsi="Times New Roman"/>
          <w:i/>
          <w:iCs/>
          <w:sz w:val="28"/>
          <w:szCs w:val="28"/>
          <w:lang w:val="es-ES_tradnl" w:eastAsia="es-ES_tradnl"/>
        </w:rPr>
        <w:t xml:space="preserve">in situ, </w:t>
      </w:r>
      <w:r w:rsidR="00D060B9" w:rsidRPr="00DA1726">
        <w:rPr>
          <w:rFonts w:ascii="Times New Roman" w:hAnsi="Times New Roman"/>
          <w:sz w:val="28"/>
          <w:szCs w:val="28"/>
          <w:lang w:val="es-ES_tradnl" w:eastAsia="es-ES_tradnl"/>
        </w:rPr>
        <w:t>así como, de un diseño de las estrategias y los mecanismos p</w:t>
      </w:r>
      <w:r w:rsidR="00E63043" w:rsidRPr="00DA1726">
        <w:rPr>
          <w:rFonts w:ascii="Times New Roman" w:hAnsi="Times New Roman"/>
          <w:sz w:val="28"/>
          <w:szCs w:val="28"/>
          <w:lang w:val="es-ES_tradnl" w:eastAsia="es-ES_tradnl"/>
        </w:rPr>
        <w:t>ara el acopio y análisis de la i</w:t>
      </w:r>
      <w:r w:rsidR="00D060B9" w:rsidRPr="00DA1726">
        <w:rPr>
          <w:rFonts w:ascii="Times New Roman" w:hAnsi="Times New Roman"/>
          <w:sz w:val="28"/>
          <w:szCs w:val="28"/>
          <w:lang w:val="es-ES_tradnl" w:eastAsia="es-ES_tradnl"/>
        </w:rPr>
        <w:t xml:space="preserve">nformación e identificación a plenitud de las </w:t>
      </w:r>
      <w:r w:rsidR="00EA4FAC" w:rsidRPr="00DA1726">
        <w:rPr>
          <w:rFonts w:ascii="Times New Roman" w:hAnsi="Times New Roman"/>
          <w:sz w:val="28"/>
          <w:szCs w:val="28"/>
          <w:lang w:val="es-ES_tradnl" w:eastAsia="es-ES_tradnl"/>
        </w:rPr>
        <w:t>EPS</w:t>
      </w:r>
      <w:r w:rsidR="00D060B9" w:rsidRPr="00DA1726">
        <w:rPr>
          <w:rFonts w:ascii="Times New Roman" w:hAnsi="Times New Roman"/>
          <w:sz w:val="28"/>
          <w:szCs w:val="28"/>
          <w:lang w:val="es-ES_tradnl" w:eastAsia="es-ES_tradnl"/>
        </w:rPr>
        <w:t xml:space="preserve"> e </w:t>
      </w:r>
      <w:r w:rsidR="00EA4FAC" w:rsidRPr="00DA1726">
        <w:rPr>
          <w:rFonts w:ascii="Times New Roman" w:hAnsi="Times New Roman"/>
          <w:sz w:val="28"/>
          <w:szCs w:val="28"/>
          <w:lang w:val="es-ES_tradnl" w:eastAsia="es-ES_tradnl"/>
        </w:rPr>
        <w:t>IPS</w:t>
      </w:r>
      <w:r w:rsidR="00D060B9" w:rsidRPr="00DA1726">
        <w:rPr>
          <w:rFonts w:ascii="Times New Roman" w:hAnsi="Times New Roman"/>
          <w:sz w:val="28"/>
          <w:szCs w:val="28"/>
          <w:lang w:val="es-ES_tradnl" w:eastAsia="es-ES_tradnl"/>
        </w:rPr>
        <w:t xml:space="preserve"> que han vulnerado y continúan vulnerando el derecho fundamental a la salud.</w:t>
      </w:r>
    </w:p>
    <w:p w:rsidR="00D060B9" w:rsidRPr="00DA1726" w:rsidRDefault="00D060B9" w:rsidP="00DA1726">
      <w:pPr>
        <w:pStyle w:val="Style5"/>
        <w:rPr>
          <w:rFonts w:ascii="Times New Roman" w:hAnsi="Times New Roman"/>
          <w:sz w:val="28"/>
          <w:szCs w:val="28"/>
          <w:lang w:eastAsia="es-ES_tradnl"/>
        </w:rPr>
      </w:pPr>
    </w:p>
    <w:p w:rsidR="00D060B9" w:rsidRPr="00DA1726" w:rsidRDefault="00D060B9"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De otra parte, en l</w:t>
      </w:r>
      <w:r w:rsidR="00E63043" w:rsidRPr="00DA1726">
        <w:rPr>
          <w:rFonts w:ascii="Times New Roman" w:hAnsi="Times New Roman"/>
          <w:sz w:val="28"/>
          <w:szCs w:val="28"/>
          <w:lang w:val="es-ES_tradnl" w:eastAsia="es-ES_tradnl"/>
        </w:rPr>
        <w:t xml:space="preserve">a forma de la presentación del </w:t>
      </w:r>
      <w:r w:rsidR="008D66F1" w:rsidRPr="00DA1726">
        <w:rPr>
          <w:rFonts w:ascii="Times New Roman" w:hAnsi="Times New Roman"/>
          <w:i/>
          <w:sz w:val="28"/>
          <w:szCs w:val="28"/>
          <w:lang w:val="es-ES_tradnl" w:eastAsia="es-ES_tradnl"/>
        </w:rPr>
        <w:t>ranking</w:t>
      </w:r>
      <w:r w:rsidRPr="00DA1726">
        <w:rPr>
          <w:rFonts w:ascii="Times New Roman" w:hAnsi="Times New Roman"/>
          <w:sz w:val="28"/>
          <w:szCs w:val="28"/>
          <w:lang w:val="es-ES_tradnl" w:eastAsia="es-ES_tradnl"/>
        </w:rPr>
        <w:t xml:space="preserve"> se observa que las fórmulas del cálculo establecidas para identificar las </w:t>
      </w:r>
      <w:r w:rsidR="00E63043" w:rsidRPr="00DA1726">
        <w:rPr>
          <w:rFonts w:ascii="Times New Roman" w:hAnsi="Times New Roman"/>
          <w:sz w:val="28"/>
          <w:szCs w:val="28"/>
          <w:lang w:val="es-ES_tradnl" w:eastAsia="es-ES_tradnl"/>
        </w:rPr>
        <w:t>promotoras y prestadoras</w:t>
      </w:r>
      <w:r w:rsidRPr="00DA1726">
        <w:rPr>
          <w:rFonts w:ascii="Times New Roman" w:hAnsi="Times New Roman"/>
          <w:sz w:val="28"/>
          <w:szCs w:val="28"/>
          <w:lang w:val="es-ES_tradnl" w:eastAsia="es-ES_tradnl"/>
        </w:rPr>
        <w:t xml:space="preserve"> que </w:t>
      </w:r>
      <w:r w:rsidR="00E63043" w:rsidRPr="00DA1726">
        <w:rPr>
          <w:rFonts w:ascii="Times New Roman" w:hAnsi="Times New Roman"/>
          <w:sz w:val="28"/>
          <w:szCs w:val="28"/>
          <w:lang w:val="es-ES_tradnl" w:eastAsia="es-ES_tradnl"/>
        </w:rPr>
        <w:t xml:space="preserve">con mayor frecuencia </w:t>
      </w:r>
      <w:r w:rsidRPr="00DA1726">
        <w:rPr>
          <w:rFonts w:ascii="Times New Roman" w:hAnsi="Times New Roman"/>
          <w:sz w:val="28"/>
          <w:szCs w:val="28"/>
          <w:lang w:val="es-ES_tradnl" w:eastAsia="es-ES_tradnl"/>
        </w:rPr>
        <w:t xml:space="preserve">niegan los servicios de salud, no son claras y dificultan su comprensión </w:t>
      </w:r>
      <w:r w:rsidR="002F7E7C" w:rsidRPr="00DA1726">
        <w:rPr>
          <w:rFonts w:ascii="Times New Roman" w:hAnsi="Times New Roman"/>
          <w:sz w:val="28"/>
          <w:szCs w:val="28"/>
          <w:lang w:val="es-ES_tradnl" w:eastAsia="es-ES_tradnl"/>
        </w:rPr>
        <w:t>para el común de los ciudadanos</w:t>
      </w:r>
      <w:r w:rsidRPr="00DA1726">
        <w:rPr>
          <w:rFonts w:ascii="Times New Roman" w:hAnsi="Times New Roman"/>
          <w:sz w:val="28"/>
          <w:szCs w:val="28"/>
          <w:lang w:val="es-ES_tradnl" w:eastAsia="es-ES_tradnl"/>
        </w:rPr>
        <w:t>.</w:t>
      </w:r>
    </w:p>
    <w:p w:rsidR="00D060B9" w:rsidRPr="00DA1726" w:rsidRDefault="00D060B9" w:rsidP="00DA1726">
      <w:pPr>
        <w:pStyle w:val="Style5"/>
        <w:rPr>
          <w:rFonts w:ascii="Times New Roman" w:hAnsi="Times New Roman"/>
          <w:sz w:val="28"/>
          <w:szCs w:val="28"/>
          <w:lang w:eastAsia="es-ES_tradnl"/>
        </w:rPr>
      </w:pPr>
    </w:p>
    <w:p w:rsidR="00D060B9" w:rsidRPr="00DA1726" w:rsidRDefault="002F7E7C"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C</w:t>
      </w:r>
      <w:r w:rsidR="00327CCB" w:rsidRPr="00DA1726">
        <w:rPr>
          <w:rFonts w:ascii="Times New Roman" w:hAnsi="Times New Roman"/>
          <w:sz w:val="28"/>
          <w:szCs w:val="28"/>
          <w:lang w:val="es-ES_tradnl" w:eastAsia="es-ES_tradnl"/>
        </w:rPr>
        <w:t xml:space="preserve">oncluyó afirmando </w:t>
      </w:r>
      <w:r w:rsidR="00D060B9" w:rsidRPr="00DA1726">
        <w:rPr>
          <w:rFonts w:ascii="Times New Roman" w:hAnsi="Times New Roman"/>
          <w:sz w:val="28"/>
          <w:szCs w:val="28"/>
          <w:lang w:val="es-ES_tradnl" w:eastAsia="es-ES_tradnl"/>
        </w:rPr>
        <w:t xml:space="preserve">que se ha dado cumplimiento parcial a la orden proferida por </w:t>
      </w:r>
      <w:r w:rsidR="00F1711A" w:rsidRPr="00DA1726">
        <w:rPr>
          <w:rFonts w:ascii="Times New Roman" w:hAnsi="Times New Roman"/>
          <w:sz w:val="28"/>
          <w:szCs w:val="28"/>
          <w:lang w:val="es-ES_tradnl" w:eastAsia="es-ES_tradnl"/>
        </w:rPr>
        <w:t>la Corte</w:t>
      </w:r>
      <w:r w:rsidR="00D060B9" w:rsidRPr="00DA1726">
        <w:rPr>
          <w:rFonts w:ascii="Times New Roman" w:hAnsi="Times New Roman"/>
          <w:sz w:val="28"/>
          <w:szCs w:val="28"/>
          <w:lang w:val="es-ES_tradnl" w:eastAsia="es-ES_tradnl"/>
        </w:rPr>
        <w:t>, ya que los usuarios no cuentan con una información clara, confiable y precisa a la hora de ejercer su derecho a la libre elección, ni con un instrumento que consulte directamente a los afectados, es decir</w:t>
      </w:r>
      <w:r w:rsidR="00F1711A" w:rsidRPr="00DA1726">
        <w:rPr>
          <w:rFonts w:ascii="Times New Roman" w:hAnsi="Times New Roman"/>
          <w:sz w:val="28"/>
          <w:szCs w:val="28"/>
          <w:lang w:val="es-ES_tradnl" w:eastAsia="es-ES_tradnl"/>
        </w:rPr>
        <w:t>,</w:t>
      </w:r>
      <w:r w:rsidR="00D060B9" w:rsidRPr="00DA1726">
        <w:rPr>
          <w:rFonts w:ascii="Times New Roman" w:hAnsi="Times New Roman"/>
          <w:sz w:val="28"/>
          <w:szCs w:val="28"/>
          <w:lang w:val="es-ES_tradnl" w:eastAsia="es-ES_tradnl"/>
        </w:rPr>
        <w:t xml:space="preserve"> a los usuarios, quienes continúan acudiendo a la Procuraduría General de la Nación con aumento de sus quejas por negación de servicios</w:t>
      </w:r>
      <w:r w:rsidR="00F1711A" w:rsidRPr="00DA1726">
        <w:rPr>
          <w:rFonts w:ascii="Times New Roman" w:hAnsi="Times New Roman"/>
          <w:sz w:val="28"/>
          <w:szCs w:val="28"/>
          <w:lang w:val="es-ES_tradnl" w:eastAsia="es-ES_tradnl"/>
        </w:rPr>
        <w:t xml:space="preserve"> y para que les cumplan la</w:t>
      </w:r>
      <w:r w:rsidR="00D060B9" w:rsidRPr="00DA1726">
        <w:rPr>
          <w:rFonts w:ascii="Times New Roman" w:hAnsi="Times New Roman"/>
          <w:sz w:val="28"/>
          <w:szCs w:val="28"/>
          <w:lang w:val="es-ES_tradnl" w:eastAsia="es-ES_tradnl"/>
        </w:rPr>
        <w:t>s acciones de Tutela</w:t>
      </w:r>
      <w:r w:rsidRPr="00DA1726">
        <w:rPr>
          <w:rFonts w:ascii="Times New Roman" w:hAnsi="Times New Roman"/>
          <w:sz w:val="28"/>
          <w:szCs w:val="28"/>
          <w:lang w:val="es-ES_tradnl" w:eastAsia="es-ES_tradnl"/>
        </w:rPr>
        <w:t>.</w:t>
      </w:r>
    </w:p>
    <w:p w:rsidR="00D060B9" w:rsidRPr="00DA1726" w:rsidRDefault="00D060B9" w:rsidP="00DA1726">
      <w:pPr>
        <w:pStyle w:val="Style5"/>
        <w:widowControl/>
        <w:rPr>
          <w:rFonts w:ascii="Times New Roman" w:hAnsi="Times New Roman"/>
          <w:sz w:val="28"/>
          <w:szCs w:val="28"/>
          <w:lang w:val="es-ES_tradnl" w:eastAsia="es-ES_tradnl"/>
        </w:rPr>
      </w:pPr>
    </w:p>
    <w:p w:rsidR="00AC277C" w:rsidRPr="00DA1726" w:rsidRDefault="00895AA8" w:rsidP="00DA1726">
      <w:pPr>
        <w:pStyle w:val="Style5"/>
        <w:numPr>
          <w:ilvl w:val="1"/>
          <w:numId w:val="40"/>
        </w:numPr>
        <w:ind w:left="0" w:firstLine="0"/>
        <w:rPr>
          <w:rFonts w:ascii="Times New Roman" w:hAnsi="Times New Roman"/>
          <w:sz w:val="28"/>
          <w:szCs w:val="28"/>
          <w:lang w:val="es-CO" w:eastAsia="es-ES_tradnl"/>
        </w:rPr>
      </w:pPr>
      <w:r w:rsidRPr="00DA1726">
        <w:rPr>
          <w:rFonts w:ascii="Times New Roman" w:hAnsi="Times New Roman"/>
          <w:sz w:val="28"/>
          <w:szCs w:val="28"/>
          <w:lang w:val="es-ES_tradnl" w:eastAsia="es-ES_tradnl"/>
        </w:rPr>
        <w:t xml:space="preserve">En respuesta a los interrogantes </w:t>
      </w:r>
      <w:r w:rsidR="002B57F7" w:rsidRPr="00DA1726">
        <w:rPr>
          <w:rFonts w:ascii="Times New Roman" w:hAnsi="Times New Roman"/>
          <w:sz w:val="28"/>
          <w:szCs w:val="28"/>
          <w:lang w:val="es-ES_tradnl" w:eastAsia="es-ES_tradnl"/>
        </w:rPr>
        <w:t>formulados</w:t>
      </w:r>
      <w:r w:rsidRPr="00DA1726">
        <w:rPr>
          <w:rFonts w:ascii="Times New Roman" w:hAnsi="Times New Roman"/>
          <w:sz w:val="28"/>
          <w:szCs w:val="28"/>
          <w:lang w:val="es-ES_tradnl" w:eastAsia="es-ES_tradnl"/>
        </w:rPr>
        <w:t xml:space="preserve"> por la Sala Especial de Seguimiento</w:t>
      </w:r>
      <w:r w:rsidR="003D4933" w:rsidRPr="00DA1726">
        <w:rPr>
          <w:rFonts w:ascii="Times New Roman" w:hAnsi="Times New Roman"/>
          <w:sz w:val="28"/>
          <w:szCs w:val="28"/>
          <w:lang w:val="es-ES_tradnl" w:eastAsia="es-ES_tradnl"/>
        </w:rPr>
        <w:t>,</w:t>
      </w:r>
      <w:r w:rsidRPr="00DA1726">
        <w:rPr>
          <w:rFonts w:ascii="Times New Roman" w:hAnsi="Times New Roman"/>
          <w:sz w:val="28"/>
          <w:szCs w:val="28"/>
          <w:lang w:val="es-ES_tradnl" w:eastAsia="es-ES_tradnl"/>
        </w:rPr>
        <w:t xml:space="preserve"> </w:t>
      </w:r>
      <w:r w:rsidR="00AF75F5" w:rsidRPr="00DA1726">
        <w:rPr>
          <w:rFonts w:ascii="Times New Roman" w:hAnsi="Times New Roman"/>
          <w:sz w:val="28"/>
          <w:szCs w:val="28"/>
          <w:lang w:val="es-ES_tradnl" w:eastAsia="es-ES_tradnl"/>
        </w:rPr>
        <w:t xml:space="preserve">el 5 de septiembre de 2013 </w:t>
      </w:r>
      <w:r w:rsidR="00327CCB" w:rsidRPr="00DA1726">
        <w:rPr>
          <w:rFonts w:ascii="Times New Roman" w:hAnsi="Times New Roman"/>
          <w:sz w:val="28"/>
          <w:szCs w:val="28"/>
          <w:lang w:val="es-ES_tradnl" w:eastAsia="es-ES_tradnl"/>
        </w:rPr>
        <w:t xml:space="preserve">fueron recibidas </w:t>
      </w:r>
      <w:r w:rsidR="00AF75F5" w:rsidRPr="00DA1726">
        <w:rPr>
          <w:rFonts w:ascii="Times New Roman" w:hAnsi="Times New Roman"/>
          <w:sz w:val="28"/>
          <w:szCs w:val="28"/>
          <w:lang w:val="es-ES_tradnl" w:eastAsia="es-ES_tradnl"/>
        </w:rPr>
        <w:t xml:space="preserve">las respuestas a las preguntas formuladas por parte del Programa </w:t>
      </w:r>
      <w:r w:rsidR="00AC277C" w:rsidRPr="00DA1726">
        <w:rPr>
          <w:rFonts w:ascii="Times New Roman" w:hAnsi="Times New Roman"/>
          <w:i/>
          <w:iCs/>
          <w:sz w:val="28"/>
          <w:szCs w:val="28"/>
          <w:lang w:eastAsia="es-ES_tradnl"/>
        </w:rPr>
        <w:t>“Así Vamos en Salud”</w:t>
      </w:r>
      <w:r w:rsidR="00AC277C" w:rsidRPr="00DA1726">
        <w:rPr>
          <w:rFonts w:ascii="Times New Roman" w:hAnsi="Times New Roman"/>
          <w:iCs/>
          <w:sz w:val="28"/>
          <w:szCs w:val="28"/>
          <w:vertAlign w:val="superscript"/>
          <w:lang w:eastAsia="es-ES_tradnl"/>
        </w:rPr>
        <w:footnoteReference w:id="11"/>
      </w:r>
      <w:r w:rsidR="00AC277C" w:rsidRPr="00DA1726">
        <w:rPr>
          <w:rFonts w:ascii="Times New Roman" w:hAnsi="Times New Roman"/>
          <w:iCs/>
          <w:sz w:val="28"/>
          <w:szCs w:val="28"/>
          <w:lang w:eastAsia="es-ES_tradnl"/>
        </w:rPr>
        <w:t>; el movimiento social Pacientes Colombia</w:t>
      </w:r>
      <w:r w:rsidR="00AC277C" w:rsidRPr="00DA1726">
        <w:rPr>
          <w:rFonts w:ascii="Times New Roman" w:hAnsi="Times New Roman"/>
          <w:iCs/>
          <w:sz w:val="28"/>
          <w:szCs w:val="28"/>
          <w:vertAlign w:val="superscript"/>
          <w:lang w:eastAsia="es-ES_tradnl"/>
        </w:rPr>
        <w:footnoteReference w:id="12"/>
      </w:r>
      <w:r w:rsidR="00AC277C" w:rsidRPr="00DA1726">
        <w:rPr>
          <w:rFonts w:ascii="Times New Roman" w:hAnsi="Times New Roman"/>
          <w:iCs/>
          <w:sz w:val="28"/>
          <w:szCs w:val="28"/>
          <w:lang w:eastAsia="es-ES_tradnl"/>
        </w:rPr>
        <w:t xml:space="preserve">; </w:t>
      </w:r>
      <w:r w:rsidR="003D4933" w:rsidRPr="00DA1726">
        <w:rPr>
          <w:rFonts w:ascii="Times New Roman" w:hAnsi="Times New Roman"/>
          <w:iCs/>
          <w:sz w:val="28"/>
          <w:szCs w:val="28"/>
          <w:lang w:eastAsia="es-ES_tradnl"/>
        </w:rPr>
        <w:t xml:space="preserve">Asocajas, Acemi </w:t>
      </w:r>
      <w:r w:rsidR="00AC277C" w:rsidRPr="00DA1726">
        <w:rPr>
          <w:rFonts w:ascii="Times New Roman" w:hAnsi="Times New Roman"/>
          <w:iCs/>
          <w:sz w:val="28"/>
          <w:szCs w:val="28"/>
          <w:lang w:eastAsia="es-ES_tradnl"/>
        </w:rPr>
        <w:t xml:space="preserve">y </w:t>
      </w:r>
      <w:r w:rsidR="003D4933" w:rsidRPr="00DA1726">
        <w:rPr>
          <w:rFonts w:ascii="Times New Roman" w:hAnsi="Times New Roman"/>
          <w:iCs/>
          <w:sz w:val="28"/>
          <w:szCs w:val="28"/>
          <w:lang w:eastAsia="es-ES_tradnl"/>
        </w:rPr>
        <w:t>Gestarsalud</w:t>
      </w:r>
      <w:r w:rsidR="00AC277C" w:rsidRPr="00DA1726">
        <w:rPr>
          <w:rFonts w:ascii="Times New Roman" w:hAnsi="Times New Roman"/>
          <w:iCs/>
          <w:sz w:val="28"/>
          <w:szCs w:val="28"/>
          <w:vertAlign w:val="superscript"/>
          <w:lang w:eastAsia="es-ES_tradnl"/>
        </w:rPr>
        <w:footnoteReference w:id="13"/>
      </w:r>
      <w:r w:rsidR="00AC277C" w:rsidRPr="00DA1726">
        <w:rPr>
          <w:rFonts w:ascii="Times New Roman" w:hAnsi="Times New Roman"/>
          <w:iCs/>
          <w:sz w:val="28"/>
          <w:szCs w:val="28"/>
          <w:lang w:eastAsia="es-ES_tradnl"/>
        </w:rPr>
        <w:t xml:space="preserve">; y la Comisión de Seguimiento a la Sentencia T-760 de 2008 y de Reforma Estructural al Sistema de Salud </w:t>
      </w:r>
      <w:r w:rsidR="003D4933" w:rsidRPr="00DA1726">
        <w:rPr>
          <w:rFonts w:ascii="Times New Roman" w:hAnsi="Times New Roman"/>
          <w:iCs/>
          <w:sz w:val="28"/>
          <w:szCs w:val="28"/>
          <w:lang w:eastAsia="es-ES_tradnl"/>
        </w:rPr>
        <w:t>–</w:t>
      </w:r>
      <w:r w:rsidR="00AC277C" w:rsidRPr="00DA1726">
        <w:rPr>
          <w:rFonts w:ascii="Times New Roman" w:hAnsi="Times New Roman"/>
          <w:iCs/>
          <w:sz w:val="28"/>
          <w:szCs w:val="28"/>
          <w:lang w:eastAsia="es-ES_tradnl"/>
        </w:rPr>
        <w:t>CSR</w:t>
      </w:r>
      <w:r w:rsidR="003D4933" w:rsidRPr="00DA1726">
        <w:rPr>
          <w:rFonts w:ascii="Times New Roman" w:hAnsi="Times New Roman"/>
          <w:iCs/>
          <w:sz w:val="28"/>
          <w:szCs w:val="28"/>
          <w:lang w:eastAsia="es-ES_tradnl"/>
        </w:rPr>
        <w:t>-</w:t>
      </w:r>
      <w:r w:rsidR="00AC277C" w:rsidRPr="00DA1726">
        <w:rPr>
          <w:rFonts w:ascii="Times New Roman" w:hAnsi="Times New Roman"/>
          <w:iCs/>
          <w:sz w:val="28"/>
          <w:szCs w:val="28"/>
          <w:vertAlign w:val="superscript"/>
          <w:lang w:eastAsia="es-ES_tradnl"/>
        </w:rPr>
        <w:footnoteReference w:id="14"/>
      </w:r>
      <w:r w:rsidR="00AC277C" w:rsidRPr="00DA1726">
        <w:rPr>
          <w:rFonts w:ascii="Times New Roman" w:hAnsi="Times New Roman"/>
          <w:iCs/>
          <w:sz w:val="28"/>
          <w:szCs w:val="28"/>
          <w:lang w:eastAsia="es-ES_tradnl"/>
        </w:rPr>
        <w:t>.</w:t>
      </w:r>
    </w:p>
    <w:p w:rsidR="00AF75F5" w:rsidRPr="00DA1726" w:rsidRDefault="00AF75F5" w:rsidP="00DA1726">
      <w:pPr>
        <w:pStyle w:val="Style5"/>
        <w:widowControl/>
        <w:rPr>
          <w:rFonts w:ascii="Times New Roman" w:hAnsi="Times New Roman"/>
          <w:sz w:val="28"/>
          <w:szCs w:val="28"/>
          <w:lang w:val="es-ES_tradnl" w:eastAsia="es-ES_tradnl"/>
        </w:rPr>
      </w:pPr>
    </w:p>
    <w:p w:rsidR="00AF75F5" w:rsidRPr="00DA1726" w:rsidRDefault="00AF75F5" w:rsidP="00DA1726">
      <w:pPr>
        <w:pStyle w:val="Style5"/>
        <w:rPr>
          <w:rFonts w:ascii="Times New Roman" w:hAnsi="Times New Roman"/>
          <w:sz w:val="28"/>
          <w:szCs w:val="28"/>
          <w:lang w:val="es-CO" w:eastAsia="es-ES_tradnl"/>
        </w:rPr>
      </w:pPr>
      <w:r w:rsidRPr="00DA1726">
        <w:rPr>
          <w:rFonts w:ascii="Times New Roman" w:hAnsi="Times New Roman"/>
          <w:iCs/>
          <w:sz w:val="28"/>
          <w:szCs w:val="28"/>
          <w:lang w:eastAsia="es-ES_tradnl"/>
        </w:rPr>
        <w:t xml:space="preserve">Para los Grupos de Seguimiento que intervinieron, el documento </w:t>
      </w:r>
      <w:r w:rsidRPr="00DA1726">
        <w:rPr>
          <w:rFonts w:ascii="Times New Roman" w:hAnsi="Times New Roman"/>
          <w:i/>
          <w:iCs/>
          <w:sz w:val="28"/>
          <w:szCs w:val="28"/>
          <w:lang w:eastAsia="es-ES_tradnl"/>
        </w:rPr>
        <w:t>“Ordenación de EPS-</w:t>
      </w:r>
      <w:smartTag w:uri="urn:schemas-microsoft-com:office:smarttags" w:element="metricconverter">
        <w:smartTagPr>
          <w:attr w:name="ProductID" w:val="2013”"/>
        </w:smartTagPr>
        <w:r w:rsidRPr="00DA1726">
          <w:rPr>
            <w:rFonts w:ascii="Times New Roman" w:hAnsi="Times New Roman"/>
            <w:i/>
            <w:iCs/>
            <w:sz w:val="28"/>
            <w:szCs w:val="28"/>
            <w:lang w:eastAsia="es-ES_tradnl"/>
          </w:rPr>
          <w:t>2013”</w:t>
        </w:r>
      </w:smartTag>
      <w:r w:rsidRPr="00DA1726">
        <w:rPr>
          <w:rFonts w:ascii="Times New Roman" w:hAnsi="Times New Roman"/>
          <w:iCs/>
          <w:sz w:val="28"/>
          <w:szCs w:val="28"/>
          <w:lang w:eastAsia="es-ES_tradnl"/>
        </w:rPr>
        <w:t xml:space="preserve"> presenta</w:t>
      </w:r>
      <w:r w:rsidR="003D4933" w:rsidRPr="00DA1726">
        <w:rPr>
          <w:rFonts w:ascii="Times New Roman" w:hAnsi="Times New Roman"/>
          <w:iCs/>
          <w:sz w:val="28"/>
          <w:szCs w:val="28"/>
          <w:lang w:eastAsia="es-ES_tradnl"/>
        </w:rPr>
        <w:t>ba</w:t>
      </w:r>
      <w:r w:rsidRPr="00DA1726">
        <w:rPr>
          <w:rFonts w:ascii="Times New Roman" w:hAnsi="Times New Roman"/>
          <w:iCs/>
          <w:sz w:val="28"/>
          <w:szCs w:val="28"/>
          <w:lang w:eastAsia="es-ES_tradnl"/>
        </w:rPr>
        <w:t xml:space="preserve"> n</w:t>
      </w:r>
      <w:r w:rsidR="003D4933" w:rsidRPr="00DA1726">
        <w:rPr>
          <w:rFonts w:ascii="Times New Roman" w:hAnsi="Times New Roman"/>
          <w:iCs/>
          <w:sz w:val="28"/>
          <w:szCs w:val="28"/>
          <w:lang w:eastAsia="es-ES_tradnl"/>
        </w:rPr>
        <w:t>umerosas deficiencias que impedía</w:t>
      </w:r>
      <w:r w:rsidRPr="00DA1726">
        <w:rPr>
          <w:rFonts w:ascii="Times New Roman" w:hAnsi="Times New Roman"/>
          <w:iCs/>
          <w:sz w:val="28"/>
          <w:szCs w:val="28"/>
          <w:lang w:eastAsia="es-ES_tradnl"/>
        </w:rPr>
        <w:t>n la garantía efectiva d</w:t>
      </w:r>
      <w:r w:rsidRPr="00DA1726">
        <w:rPr>
          <w:rFonts w:ascii="Times New Roman" w:hAnsi="Times New Roman"/>
          <w:sz w:val="28"/>
          <w:szCs w:val="28"/>
          <w:lang w:val="es-CO" w:eastAsia="es-ES_tradnl"/>
        </w:rPr>
        <w:t xml:space="preserve">el derecho de los usuarios del sistema de salud a la información y a la libertad de escogencia, más cuando el </w:t>
      </w:r>
      <w:r w:rsidR="008D66F1" w:rsidRPr="00DA1726">
        <w:rPr>
          <w:rFonts w:ascii="Times New Roman" w:hAnsi="Times New Roman"/>
          <w:i/>
          <w:sz w:val="28"/>
          <w:szCs w:val="28"/>
          <w:lang w:val="es-CO" w:eastAsia="es-ES_tradnl"/>
        </w:rPr>
        <w:t>ranking</w:t>
      </w:r>
      <w:r w:rsidRPr="00DA1726">
        <w:rPr>
          <w:rFonts w:ascii="Times New Roman" w:hAnsi="Times New Roman"/>
          <w:sz w:val="28"/>
          <w:szCs w:val="28"/>
          <w:lang w:val="es-CO" w:eastAsia="es-ES_tradnl"/>
        </w:rPr>
        <w:t xml:space="preserve"> presentado por las autoridades gubernamentales no incluyó las </w:t>
      </w:r>
      <w:r w:rsidRPr="00DA1726">
        <w:rPr>
          <w:rFonts w:ascii="Times New Roman" w:hAnsi="Times New Roman"/>
          <w:sz w:val="28"/>
          <w:szCs w:val="28"/>
          <w:lang w:eastAsia="es-ES_tradnl"/>
        </w:rPr>
        <w:t xml:space="preserve">IPS. </w:t>
      </w:r>
    </w:p>
    <w:p w:rsidR="00AF75F5" w:rsidRPr="00DA1726" w:rsidRDefault="00AF75F5" w:rsidP="00DA1726">
      <w:pPr>
        <w:pStyle w:val="Style5"/>
        <w:rPr>
          <w:rFonts w:ascii="Times New Roman" w:hAnsi="Times New Roman"/>
          <w:iCs/>
          <w:sz w:val="28"/>
          <w:szCs w:val="28"/>
          <w:lang w:eastAsia="es-ES_tradnl"/>
        </w:rPr>
      </w:pPr>
    </w:p>
    <w:p w:rsidR="00AF75F5" w:rsidRPr="00DA1726" w:rsidRDefault="00631286" w:rsidP="00DA1726">
      <w:pPr>
        <w:pStyle w:val="Style5"/>
        <w:rPr>
          <w:rFonts w:ascii="Times New Roman" w:hAnsi="Times New Roman"/>
          <w:sz w:val="28"/>
          <w:szCs w:val="28"/>
          <w:lang w:val="es-CO" w:eastAsia="es-ES_tradnl"/>
        </w:rPr>
      </w:pPr>
      <w:r w:rsidRPr="00DA1726">
        <w:rPr>
          <w:rFonts w:ascii="Times New Roman" w:hAnsi="Times New Roman"/>
          <w:iCs/>
          <w:sz w:val="28"/>
          <w:szCs w:val="28"/>
          <w:lang w:eastAsia="es-ES_tradnl"/>
        </w:rPr>
        <w:t>L</w:t>
      </w:r>
      <w:r w:rsidR="00AF75F5" w:rsidRPr="00DA1726">
        <w:rPr>
          <w:rFonts w:ascii="Times New Roman" w:hAnsi="Times New Roman"/>
          <w:iCs/>
          <w:sz w:val="28"/>
          <w:szCs w:val="28"/>
          <w:lang w:eastAsia="es-ES_tradnl"/>
        </w:rPr>
        <w:t xml:space="preserve">a mayoría </w:t>
      </w:r>
      <w:r w:rsidRPr="00DA1726">
        <w:rPr>
          <w:rFonts w:ascii="Times New Roman" w:hAnsi="Times New Roman"/>
          <w:iCs/>
          <w:sz w:val="28"/>
          <w:szCs w:val="28"/>
          <w:lang w:eastAsia="es-ES_tradnl"/>
        </w:rPr>
        <w:t>de los intervinientes</w:t>
      </w:r>
      <w:r w:rsidR="00AF75F5" w:rsidRPr="00DA1726">
        <w:rPr>
          <w:rFonts w:ascii="Times New Roman" w:hAnsi="Times New Roman"/>
          <w:iCs/>
          <w:sz w:val="28"/>
          <w:szCs w:val="28"/>
          <w:lang w:eastAsia="es-ES_tradnl"/>
        </w:rPr>
        <w:t xml:space="preserve"> consideraron que los resultados obtenidos en el </w:t>
      </w:r>
      <w:r w:rsidR="00327CCB" w:rsidRPr="00DA1726">
        <w:rPr>
          <w:rFonts w:ascii="Times New Roman" w:hAnsi="Times New Roman"/>
          <w:iCs/>
          <w:sz w:val="28"/>
          <w:szCs w:val="28"/>
          <w:lang w:eastAsia="es-ES_tradnl"/>
        </w:rPr>
        <w:t>proceso de escalafón</w:t>
      </w:r>
      <w:r w:rsidR="00AF75F5" w:rsidRPr="00DA1726">
        <w:rPr>
          <w:rFonts w:ascii="Times New Roman" w:hAnsi="Times New Roman"/>
          <w:iCs/>
          <w:sz w:val="28"/>
          <w:szCs w:val="28"/>
          <w:lang w:eastAsia="es-ES_tradnl"/>
        </w:rPr>
        <w:t xml:space="preserve"> provinieron de diversos indicadores y fuentes de información que no permitieron consolidar de manera sistemática y estructurada los aseguradores y prestadores que con mayor frecuencia incurren en actuaciones violatorias del derecho a la salud. </w:t>
      </w:r>
      <w:r w:rsidRPr="00DA1726">
        <w:rPr>
          <w:rFonts w:ascii="Times New Roman" w:hAnsi="Times New Roman"/>
          <w:iCs/>
          <w:sz w:val="28"/>
          <w:szCs w:val="28"/>
          <w:lang w:eastAsia="es-ES_tradnl"/>
        </w:rPr>
        <w:t>Sin embargo</w:t>
      </w:r>
      <w:r w:rsidR="00AF75F5" w:rsidRPr="00DA1726">
        <w:rPr>
          <w:rFonts w:ascii="Times New Roman" w:hAnsi="Times New Roman"/>
          <w:iCs/>
          <w:sz w:val="28"/>
          <w:szCs w:val="28"/>
          <w:lang w:eastAsia="es-ES_tradnl"/>
        </w:rPr>
        <w:t xml:space="preserve">, este criterio no fue compartido por el Programa </w:t>
      </w:r>
      <w:r w:rsidR="00AF75F5" w:rsidRPr="00DA1726">
        <w:rPr>
          <w:rFonts w:ascii="Times New Roman" w:hAnsi="Times New Roman"/>
          <w:i/>
          <w:iCs/>
          <w:sz w:val="28"/>
          <w:szCs w:val="28"/>
          <w:lang w:eastAsia="es-ES_tradnl"/>
        </w:rPr>
        <w:t>“Así Vamos en Salud”</w:t>
      </w:r>
      <w:r w:rsidR="00AF75F5" w:rsidRPr="00DA1726">
        <w:rPr>
          <w:rFonts w:ascii="Times New Roman" w:hAnsi="Times New Roman"/>
          <w:iCs/>
          <w:sz w:val="28"/>
          <w:szCs w:val="28"/>
          <w:lang w:eastAsia="es-ES_tradnl"/>
        </w:rPr>
        <w:t xml:space="preserve"> que</w:t>
      </w:r>
      <w:r w:rsidR="003D4933" w:rsidRPr="00DA1726">
        <w:rPr>
          <w:rFonts w:ascii="Times New Roman" w:hAnsi="Times New Roman"/>
          <w:iCs/>
          <w:sz w:val="28"/>
          <w:szCs w:val="28"/>
          <w:lang w:eastAsia="es-ES_tradnl"/>
        </w:rPr>
        <w:t>,</w:t>
      </w:r>
      <w:r w:rsidR="00AF75F5" w:rsidRPr="00DA1726">
        <w:rPr>
          <w:rFonts w:ascii="Times New Roman" w:hAnsi="Times New Roman"/>
          <w:iCs/>
          <w:sz w:val="28"/>
          <w:szCs w:val="28"/>
          <w:lang w:eastAsia="es-ES_tradnl"/>
        </w:rPr>
        <w:t xml:space="preserve"> aunque sugirió trabajar en la construcción de un sistema único de información, sostuvo</w:t>
      </w:r>
      <w:r w:rsidRPr="00DA1726">
        <w:rPr>
          <w:rFonts w:ascii="Times New Roman" w:hAnsi="Times New Roman"/>
          <w:iCs/>
          <w:sz w:val="28"/>
          <w:szCs w:val="28"/>
          <w:lang w:eastAsia="es-ES_tradnl"/>
        </w:rPr>
        <w:t xml:space="preserve"> que las fuentes utilizadas </w:t>
      </w:r>
      <w:r w:rsidR="00AF75F5" w:rsidRPr="00DA1726">
        <w:rPr>
          <w:rFonts w:ascii="Times New Roman" w:hAnsi="Times New Roman"/>
          <w:iCs/>
          <w:sz w:val="28"/>
          <w:szCs w:val="28"/>
          <w:lang w:eastAsia="es-ES_tradnl"/>
        </w:rPr>
        <w:t>desarrollaban de manera adecuada la ordenación de EPS según los parámetros establecidos por la Corte.</w:t>
      </w:r>
    </w:p>
    <w:p w:rsidR="00AF75F5" w:rsidRPr="00DA1726" w:rsidRDefault="00AF75F5" w:rsidP="00DA1726">
      <w:pPr>
        <w:pStyle w:val="Style5"/>
        <w:rPr>
          <w:rFonts w:ascii="Times New Roman" w:hAnsi="Times New Roman"/>
          <w:sz w:val="28"/>
          <w:szCs w:val="28"/>
          <w:lang w:val="es-CO" w:eastAsia="es-ES_tradnl"/>
        </w:rPr>
      </w:pPr>
    </w:p>
    <w:p w:rsidR="00AF75F5" w:rsidRPr="00DA1726" w:rsidRDefault="00AF75F5" w:rsidP="00DA1726">
      <w:pPr>
        <w:pStyle w:val="Style5"/>
        <w:rPr>
          <w:rFonts w:ascii="Times New Roman" w:hAnsi="Times New Roman"/>
          <w:sz w:val="28"/>
          <w:szCs w:val="28"/>
          <w:lang w:val="es-CO" w:eastAsia="es-ES_tradnl"/>
        </w:rPr>
      </w:pPr>
      <w:r w:rsidRPr="00DA1726">
        <w:rPr>
          <w:rFonts w:ascii="Times New Roman" w:hAnsi="Times New Roman"/>
          <w:iCs/>
          <w:sz w:val="28"/>
          <w:szCs w:val="28"/>
          <w:lang w:eastAsia="es-ES_tradnl"/>
        </w:rPr>
        <w:t>En cuanto al mecanismo pa</w:t>
      </w:r>
      <w:r w:rsidR="00F1711A" w:rsidRPr="00DA1726">
        <w:rPr>
          <w:rFonts w:ascii="Times New Roman" w:hAnsi="Times New Roman"/>
          <w:iCs/>
          <w:sz w:val="28"/>
          <w:szCs w:val="28"/>
          <w:lang w:eastAsia="es-ES_tradnl"/>
        </w:rPr>
        <w:t>ra la captura de la información</w:t>
      </w:r>
      <w:r w:rsidRPr="00DA1726">
        <w:rPr>
          <w:rFonts w:ascii="Times New Roman" w:hAnsi="Times New Roman"/>
          <w:iCs/>
          <w:sz w:val="28"/>
          <w:szCs w:val="28"/>
          <w:lang w:eastAsia="es-ES_tradnl"/>
        </w:rPr>
        <w:t xml:space="preserve"> fueron identificados por los intervinientes diversos aspectos, cuya ausencia influyó de manera significativa en el estudio realizado por los entes gubernamentales, a saber: </w:t>
      </w:r>
      <w:r w:rsidR="00631286" w:rsidRPr="00DA1726">
        <w:rPr>
          <w:rFonts w:ascii="Times New Roman" w:hAnsi="Times New Roman"/>
          <w:iCs/>
          <w:sz w:val="28"/>
          <w:szCs w:val="28"/>
          <w:lang w:eastAsia="es-ES_tradnl"/>
        </w:rPr>
        <w:t>(</w:t>
      </w:r>
      <w:r w:rsidRPr="00DA1726">
        <w:rPr>
          <w:rFonts w:ascii="Times New Roman" w:hAnsi="Times New Roman"/>
          <w:iCs/>
          <w:sz w:val="28"/>
          <w:szCs w:val="28"/>
          <w:lang w:eastAsia="es-ES_tradnl"/>
        </w:rPr>
        <w:t xml:space="preserve">i) la falta de datos de las </w:t>
      </w:r>
      <w:r w:rsidR="00EA4FAC" w:rsidRPr="00DA1726">
        <w:rPr>
          <w:rFonts w:ascii="Times New Roman" w:hAnsi="Times New Roman"/>
          <w:iCs/>
          <w:sz w:val="28"/>
          <w:szCs w:val="28"/>
          <w:lang w:eastAsia="es-ES_tradnl"/>
        </w:rPr>
        <w:t>IPS</w:t>
      </w:r>
      <w:r w:rsidRPr="00DA1726">
        <w:rPr>
          <w:rFonts w:ascii="Times New Roman" w:hAnsi="Times New Roman"/>
          <w:iCs/>
          <w:sz w:val="28"/>
          <w:szCs w:val="28"/>
          <w:lang w:eastAsia="es-ES_tradnl"/>
        </w:rPr>
        <w:t xml:space="preserve"> y de las </w:t>
      </w:r>
      <w:r w:rsidR="00EA4FAC" w:rsidRPr="00DA1726">
        <w:rPr>
          <w:rFonts w:ascii="Times New Roman" w:hAnsi="Times New Roman"/>
          <w:iCs/>
          <w:sz w:val="28"/>
          <w:szCs w:val="28"/>
          <w:lang w:eastAsia="es-ES_tradnl"/>
        </w:rPr>
        <w:t>EPS</w:t>
      </w:r>
      <w:r w:rsidRPr="00DA1726">
        <w:rPr>
          <w:rFonts w:ascii="Times New Roman" w:hAnsi="Times New Roman"/>
          <w:iCs/>
          <w:sz w:val="28"/>
          <w:szCs w:val="28"/>
          <w:lang w:eastAsia="es-ES_tradnl"/>
        </w:rPr>
        <w:t xml:space="preserve"> intervenidas o en liquidación; </w:t>
      </w:r>
      <w:r w:rsidR="00631286" w:rsidRPr="00DA1726">
        <w:rPr>
          <w:rFonts w:ascii="Times New Roman" w:hAnsi="Times New Roman"/>
          <w:iCs/>
          <w:sz w:val="28"/>
          <w:szCs w:val="28"/>
          <w:lang w:eastAsia="es-ES_tradnl"/>
        </w:rPr>
        <w:t>(</w:t>
      </w:r>
      <w:r w:rsidRPr="00DA1726">
        <w:rPr>
          <w:rFonts w:ascii="Times New Roman" w:hAnsi="Times New Roman"/>
          <w:iCs/>
          <w:sz w:val="28"/>
          <w:szCs w:val="28"/>
          <w:lang w:eastAsia="es-ES_tradnl"/>
        </w:rPr>
        <w:t>ii) no haber contado con las asociaciones de usuarios;</w:t>
      </w:r>
      <w:r w:rsidR="00974A16" w:rsidRPr="00DA1726">
        <w:rPr>
          <w:rFonts w:ascii="Times New Roman" w:hAnsi="Times New Roman"/>
          <w:iCs/>
          <w:sz w:val="28"/>
          <w:szCs w:val="28"/>
          <w:lang w:eastAsia="es-ES_tradnl"/>
        </w:rPr>
        <w:t xml:space="preserve"> y</w:t>
      </w:r>
      <w:r w:rsidRPr="00DA1726">
        <w:rPr>
          <w:rFonts w:ascii="Times New Roman" w:hAnsi="Times New Roman"/>
          <w:iCs/>
          <w:sz w:val="28"/>
          <w:szCs w:val="28"/>
          <w:lang w:eastAsia="es-ES_tradnl"/>
        </w:rPr>
        <w:t xml:space="preserve"> </w:t>
      </w:r>
      <w:r w:rsidR="00631286" w:rsidRPr="00DA1726">
        <w:rPr>
          <w:rFonts w:ascii="Times New Roman" w:hAnsi="Times New Roman"/>
          <w:iCs/>
          <w:sz w:val="28"/>
          <w:szCs w:val="28"/>
          <w:lang w:eastAsia="es-ES_tradnl"/>
        </w:rPr>
        <w:t>(</w:t>
      </w:r>
      <w:r w:rsidRPr="00DA1726">
        <w:rPr>
          <w:rFonts w:ascii="Times New Roman" w:hAnsi="Times New Roman"/>
          <w:iCs/>
          <w:sz w:val="28"/>
          <w:szCs w:val="28"/>
          <w:lang w:eastAsia="es-ES_tradnl"/>
        </w:rPr>
        <w:t>iii) la comparación, en algunos casos inaplicable, entre el régimen contributivo y subsidiado.</w:t>
      </w:r>
    </w:p>
    <w:p w:rsidR="00AF75F5" w:rsidRPr="00DA1726" w:rsidRDefault="00AF75F5" w:rsidP="00DA1726">
      <w:pPr>
        <w:pStyle w:val="Style5"/>
        <w:rPr>
          <w:rFonts w:ascii="Times New Roman" w:hAnsi="Times New Roman"/>
          <w:iCs/>
          <w:sz w:val="28"/>
          <w:szCs w:val="28"/>
          <w:lang w:eastAsia="es-ES_tradnl"/>
        </w:rPr>
      </w:pPr>
    </w:p>
    <w:p w:rsidR="00AF75F5" w:rsidRPr="00DA1726" w:rsidRDefault="00AF75F5" w:rsidP="00DA1726">
      <w:pPr>
        <w:pStyle w:val="Style5"/>
        <w:rPr>
          <w:rFonts w:ascii="Times New Roman" w:hAnsi="Times New Roman"/>
          <w:sz w:val="28"/>
          <w:szCs w:val="28"/>
          <w:lang w:val="es-CO" w:eastAsia="es-ES_tradnl"/>
        </w:rPr>
      </w:pPr>
      <w:r w:rsidRPr="00DA1726">
        <w:rPr>
          <w:rFonts w:ascii="Times New Roman" w:hAnsi="Times New Roman"/>
          <w:iCs/>
          <w:sz w:val="28"/>
          <w:szCs w:val="28"/>
          <w:lang w:eastAsia="es-ES_tradnl"/>
        </w:rPr>
        <w:t xml:space="preserve">En relación con los indicadores definidos por el Ministerio de Salud y Protección Social algunos </w:t>
      </w:r>
      <w:r w:rsidR="00433259" w:rsidRPr="00DA1726">
        <w:rPr>
          <w:rFonts w:ascii="Times New Roman" w:hAnsi="Times New Roman"/>
          <w:iCs/>
          <w:sz w:val="28"/>
          <w:szCs w:val="28"/>
          <w:lang w:eastAsia="es-ES_tradnl"/>
        </w:rPr>
        <w:t xml:space="preserve">grupos de seguimiento </w:t>
      </w:r>
      <w:r w:rsidRPr="00DA1726">
        <w:rPr>
          <w:rFonts w:ascii="Times New Roman" w:hAnsi="Times New Roman"/>
          <w:iCs/>
          <w:sz w:val="28"/>
          <w:szCs w:val="28"/>
          <w:lang w:eastAsia="es-ES_tradnl"/>
        </w:rPr>
        <w:t xml:space="preserve">identificaron contradicciones en la calificación de las EPS. En el caso del Programa </w:t>
      </w:r>
      <w:r w:rsidRPr="00DA1726">
        <w:rPr>
          <w:rFonts w:ascii="Times New Roman" w:hAnsi="Times New Roman"/>
          <w:i/>
          <w:iCs/>
          <w:sz w:val="28"/>
          <w:szCs w:val="28"/>
          <w:lang w:eastAsia="es-ES_tradnl"/>
        </w:rPr>
        <w:t>“Así Vamos en Salud”</w:t>
      </w:r>
      <w:r w:rsidRPr="00DA1726">
        <w:rPr>
          <w:rFonts w:ascii="Times New Roman" w:hAnsi="Times New Roman"/>
          <w:iCs/>
          <w:sz w:val="28"/>
          <w:szCs w:val="28"/>
          <w:lang w:eastAsia="es-ES_tradnl"/>
        </w:rPr>
        <w:t xml:space="preserve"> concluyó que de los indicadores sí era posible inferir el comportamiento de cada EPS según el mayor o menor grado de vulneración del derecho a la salud. </w:t>
      </w:r>
    </w:p>
    <w:p w:rsidR="00B52F7C" w:rsidRPr="00DA1726" w:rsidRDefault="00B52F7C" w:rsidP="00DA1726">
      <w:pPr>
        <w:pStyle w:val="Style5"/>
        <w:rPr>
          <w:rFonts w:ascii="Times New Roman" w:hAnsi="Times New Roman"/>
          <w:iCs/>
          <w:sz w:val="28"/>
          <w:szCs w:val="28"/>
          <w:lang w:eastAsia="es-ES_tradnl"/>
        </w:rPr>
      </w:pPr>
    </w:p>
    <w:p w:rsidR="00AF75F5" w:rsidRPr="00DA1726" w:rsidRDefault="00AF75F5" w:rsidP="00DA1726">
      <w:pPr>
        <w:pStyle w:val="Style5"/>
        <w:rPr>
          <w:rFonts w:ascii="Times New Roman" w:hAnsi="Times New Roman"/>
          <w:sz w:val="28"/>
          <w:szCs w:val="28"/>
          <w:lang w:val="es-CO" w:eastAsia="es-ES_tradnl"/>
        </w:rPr>
      </w:pPr>
      <w:r w:rsidRPr="00DA1726">
        <w:rPr>
          <w:rFonts w:ascii="Times New Roman" w:hAnsi="Times New Roman"/>
          <w:iCs/>
          <w:sz w:val="28"/>
          <w:szCs w:val="28"/>
          <w:lang w:eastAsia="es-ES_tradnl"/>
        </w:rPr>
        <w:t xml:space="preserve">En sus intervenciones cada uno de los Grupos identificó fallas en la información contenida en el </w:t>
      </w:r>
      <w:r w:rsidR="008D66F1" w:rsidRPr="00DA1726">
        <w:rPr>
          <w:rFonts w:ascii="Times New Roman" w:hAnsi="Times New Roman"/>
          <w:i/>
          <w:iCs/>
          <w:sz w:val="28"/>
          <w:szCs w:val="28"/>
          <w:lang w:eastAsia="es-ES_tradnl"/>
        </w:rPr>
        <w:t>ranking</w:t>
      </w:r>
      <w:r w:rsidRPr="00DA1726">
        <w:rPr>
          <w:rFonts w:ascii="Times New Roman" w:hAnsi="Times New Roman"/>
          <w:iCs/>
          <w:sz w:val="28"/>
          <w:szCs w:val="28"/>
          <w:lang w:eastAsia="es-ES_tradnl"/>
        </w:rPr>
        <w:t xml:space="preserve">. </w:t>
      </w:r>
      <w:r w:rsidR="00B468AC" w:rsidRPr="00DA1726">
        <w:rPr>
          <w:rFonts w:ascii="Times New Roman" w:hAnsi="Times New Roman"/>
          <w:iCs/>
          <w:sz w:val="28"/>
          <w:szCs w:val="28"/>
          <w:lang w:eastAsia="es-ES_tradnl"/>
        </w:rPr>
        <w:t>E</w:t>
      </w:r>
      <w:r w:rsidRPr="00DA1726">
        <w:rPr>
          <w:rFonts w:ascii="Times New Roman" w:hAnsi="Times New Roman"/>
          <w:iCs/>
          <w:sz w:val="28"/>
          <w:szCs w:val="28"/>
          <w:lang w:eastAsia="es-ES_tradnl"/>
        </w:rPr>
        <w:t>l Programa “</w:t>
      </w:r>
      <w:r w:rsidRPr="00DA1726">
        <w:rPr>
          <w:rFonts w:ascii="Times New Roman" w:hAnsi="Times New Roman"/>
          <w:i/>
          <w:iCs/>
          <w:sz w:val="28"/>
          <w:szCs w:val="28"/>
          <w:lang w:eastAsia="es-ES_tradnl"/>
        </w:rPr>
        <w:t>Así Vamos en Salud”</w:t>
      </w:r>
      <w:r w:rsidRPr="00DA1726">
        <w:rPr>
          <w:rFonts w:ascii="Times New Roman" w:hAnsi="Times New Roman"/>
          <w:iCs/>
          <w:sz w:val="28"/>
          <w:szCs w:val="28"/>
          <w:lang w:eastAsia="es-ES_tradnl"/>
        </w:rPr>
        <w:t xml:space="preserve">, el movimiento social Pacientes Colombia y la CSR consideraron que no existe claridad en </w:t>
      </w:r>
      <w:r w:rsidR="00B468AC" w:rsidRPr="00DA1726">
        <w:rPr>
          <w:rFonts w:ascii="Times New Roman" w:hAnsi="Times New Roman"/>
          <w:iCs/>
          <w:sz w:val="28"/>
          <w:szCs w:val="28"/>
          <w:lang w:eastAsia="es-ES_tradnl"/>
        </w:rPr>
        <w:t>los datos suministrados</w:t>
      </w:r>
      <w:r w:rsidRPr="00DA1726">
        <w:rPr>
          <w:rFonts w:ascii="Times New Roman" w:hAnsi="Times New Roman"/>
          <w:iCs/>
          <w:sz w:val="28"/>
          <w:szCs w:val="28"/>
          <w:lang w:eastAsia="es-ES_tradnl"/>
        </w:rPr>
        <w:t xml:space="preserve"> y que tampoco se hizo la divulgación adec</w:t>
      </w:r>
      <w:r w:rsidR="00B468AC" w:rsidRPr="00DA1726">
        <w:rPr>
          <w:rFonts w:ascii="Times New Roman" w:hAnsi="Times New Roman"/>
          <w:iCs/>
          <w:sz w:val="28"/>
          <w:szCs w:val="28"/>
          <w:lang w:eastAsia="es-ES_tradnl"/>
        </w:rPr>
        <w:t>uada de los mismos</w:t>
      </w:r>
      <w:r w:rsidRPr="00DA1726">
        <w:rPr>
          <w:rFonts w:ascii="Times New Roman" w:hAnsi="Times New Roman"/>
          <w:iCs/>
          <w:sz w:val="28"/>
          <w:szCs w:val="28"/>
          <w:lang w:eastAsia="es-ES_tradnl"/>
        </w:rPr>
        <w:t xml:space="preserve">. Por otro lado, </w:t>
      </w:r>
      <w:r w:rsidR="00433259" w:rsidRPr="00DA1726">
        <w:rPr>
          <w:rFonts w:ascii="Times New Roman" w:hAnsi="Times New Roman"/>
          <w:iCs/>
          <w:sz w:val="28"/>
          <w:szCs w:val="28"/>
          <w:lang w:eastAsia="es-ES_tradnl"/>
        </w:rPr>
        <w:t xml:space="preserve">Asocajas, Acemi </w:t>
      </w:r>
      <w:r w:rsidRPr="00DA1726">
        <w:rPr>
          <w:rFonts w:ascii="Times New Roman" w:hAnsi="Times New Roman"/>
          <w:iCs/>
          <w:sz w:val="28"/>
          <w:szCs w:val="28"/>
          <w:lang w:eastAsia="es-ES_tradnl"/>
        </w:rPr>
        <w:t xml:space="preserve">y </w:t>
      </w:r>
      <w:r w:rsidR="00F1711A" w:rsidRPr="00DA1726">
        <w:rPr>
          <w:rFonts w:ascii="Times New Roman" w:hAnsi="Times New Roman"/>
          <w:iCs/>
          <w:sz w:val="28"/>
          <w:szCs w:val="28"/>
          <w:lang w:eastAsia="es-ES_tradnl"/>
        </w:rPr>
        <w:t>Gestarsalud</w:t>
      </w:r>
      <w:r w:rsidRPr="00DA1726">
        <w:rPr>
          <w:rFonts w:ascii="Times New Roman" w:hAnsi="Times New Roman"/>
          <w:iCs/>
          <w:sz w:val="28"/>
          <w:szCs w:val="28"/>
          <w:lang w:eastAsia="es-ES_tradnl"/>
        </w:rPr>
        <w:t xml:space="preserve"> coincidieron en indicar que la información no es completa y está desactualizada.  </w:t>
      </w:r>
    </w:p>
    <w:p w:rsidR="00AF75F5" w:rsidRPr="00DA1726" w:rsidRDefault="00AF75F5" w:rsidP="00DA1726">
      <w:pPr>
        <w:pStyle w:val="Style5"/>
        <w:rPr>
          <w:rFonts w:ascii="Times New Roman" w:hAnsi="Times New Roman"/>
          <w:iCs/>
          <w:sz w:val="28"/>
          <w:szCs w:val="28"/>
          <w:lang w:eastAsia="es-ES_tradnl"/>
        </w:rPr>
      </w:pPr>
    </w:p>
    <w:p w:rsidR="00AF75F5" w:rsidRPr="00DA1726" w:rsidRDefault="00AF75F5" w:rsidP="00DA1726">
      <w:pPr>
        <w:pStyle w:val="Style5"/>
        <w:rPr>
          <w:rFonts w:ascii="Times New Roman" w:hAnsi="Times New Roman"/>
          <w:iCs/>
          <w:sz w:val="28"/>
          <w:szCs w:val="28"/>
          <w:lang w:eastAsia="es-ES_tradnl"/>
        </w:rPr>
      </w:pPr>
      <w:r w:rsidRPr="00DA1726">
        <w:rPr>
          <w:rFonts w:ascii="Times New Roman" w:hAnsi="Times New Roman"/>
          <w:iCs/>
          <w:sz w:val="28"/>
          <w:szCs w:val="28"/>
          <w:lang w:eastAsia="es-ES_tradnl"/>
        </w:rPr>
        <w:t xml:space="preserve">Las organizaciones sociales también presentaron una serie de propuestas para el mayor entendimiento del </w:t>
      </w:r>
      <w:r w:rsidR="008D66F1" w:rsidRPr="00DA1726">
        <w:rPr>
          <w:rFonts w:ascii="Times New Roman" w:hAnsi="Times New Roman"/>
          <w:i/>
          <w:iCs/>
          <w:sz w:val="28"/>
          <w:szCs w:val="28"/>
          <w:lang w:eastAsia="es-ES_tradnl"/>
        </w:rPr>
        <w:t>ranking</w:t>
      </w:r>
      <w:r w:rsidRPr="00DA1726">
        <w:rPr>
          <w:rFonts w:ascii="Times New Roman" w:hAnsi="Times New Roman"/>
          <w:iCs/>
          <w:sz w:val="28"/>
          <w:szCs w:val="28"/>
          <w:lang w:eastAsia="es-ES_tradnl"/>
        </w:rPr>
        <w:t xml:space="preserve"> a cargo de las entidades estatales, entre las </w:t>
      </w:r>
      <w:r w:rsidR="00F1711A" w:rsidRPr="00DA1726">
        <w:rPr>
          <w:rFonts w:ascii="Times New Roman" w:hAnsi="Times New Roman"/>
          <w:iCs/>
          <w:sz w:val="28"/>
          <w:szCs w:val="28"/>
          <w:lang w:eastAsia="es-ES_tradnl"/>
        </w:rPr>
        <w:t xml:space="preserve">que </w:t>
      </w:r>
      <w:r w:rsidR="00C36C12" w:rsidRPr="00DA1726">
        <w:rPr>
          <w:rFonts w:ascii="Times New Roman" w:hAnsi="Times New Roman"/>
          <w:iCs/>
          <w:sz w:val="28"/>
          <w:szCs w:val="28"/>
          <w:lang w:eastAsia="es-ES_tradnl"/>
        </w:rPr>
        <w:t>se destacan</w:t>
      </w:r>
      <w:r w:rsidRPr="00DA1726">
        <w:rPr>
          <w:rFonts w:ascii="Times New Roman" w:hAnsi="Times New Roman"/>
          <w:iCs/>
          <w:sz w:val="28"/>
          <w:szCs w:val="28"/>
          <w:lang w:eastAsia="es-ES_tradnl"/>
        </w:rPr>
        <w:t xml:space="preserve">: </w:t>
      </w:r>
      <w:r w:rsidR="00C36C12" w:rsidRPr="00DA1726">
        <w:rPr>
          <w:rFonts w:ascii="Times New Roman" w:hAnsi="Times New Roman"/>
          <w:iCs/>
          <w:sz w:val="28"/>
          <w:szCs w:val="28"/>
          <w:lang w:eastAsia="es-ES_tradnl"/>
        </w:rPr>
        <w:t>(</w:t>
      </w:r>
      <w:r w:rsidRPr="00DA1726">
        <w:rPr>
          <w:rFonts w:ascii="Times New Roman" w:hAnsi="Times New Roman"/>
          <w:iCs/>
          <w:sz w:val="28"/>
          <w:szCs w:val="28"/>
          <w:lang w:eastAsia="es-ES_tradnl"/>
        </w:rPr>
        <w:t xml:space="preserve">i) la realización de procesos pedagógicos; </w:t>
      </w:r>
      <w:r w:rsidR="00C36C12" w:rsidRPr="00DA1726">
        <w:rPr>
          <w:rFonts w:ascii="Times New Roman" w:hAnsi="Times New Roman"/>
          <w:iCs/>
          <w:sz w:val="28"/>
          <w:szCs w:val="28"/>
          <w:lang w:eastAsia="es-ES_tradnl"/>
        </w:rPr>
        <w:t>(</w:t>
      </w:r>
      <w:r w:rsidRPr="00DA1726">
        <w:rPr>
          <w:rFonts w:ascii="Times New Roman" w:hAnsi="Times New Roman"/>
          <w:iCs/>
          <w:sz w:val="28"/>
          <w:szCs w:val="28"/>
          <w:lang w:eastAsia="es-ES_tradnl"/>
        </w:rPr>
        <w:t xml:space="preserve">ii) la consulta a los pacientes y los sectores vulnerables de la población; y </w:t>
      </w:r>
      <w:r w:rsidR="00C36C12" w:rsidRPr="00DA1726">
        <w:rPr>
          <w:rFonts w:ascii="Times New Roman" w:hAnsi="Times New Roman"/>
          <w:iCs/>
          <w:sz w:val="28"/>
          <w:szCs w:val="28"/>
          <w:lang w:eastAsia="es-ES_tradnl"/>
        </w:rPr>
        <w:t>(</w:t>
      </w:r>
      <w:r w:rsidRPr="00DA1726">
        <w:rPr>
          <w:rFonts w:ascii="Times New Roman" w:hAnsi="Times New Roman"/>
          <w:iCs/>
          <w:sz w:val="28"/>
          <w:szCs w:val="28"/>
          <w:lang w:eastAsia="es-ES_tradnl"/>
        </w:rPr>
        <w:t xml:space="preserve">iii) </w:t>
      </w:r>
      <w:r w:rsidR="00F1711A" w:rsidRPr="00DA1726">
        <w:rPr>
          <w:rFonts w:ascii="Times New Roman" w:hAnsi="Times New Roman"/>
          <w:iCs/>
          <w:sz w:val="28"/>
          <w:szCs w:val="28"/>
          <w:lang w:eastAsia="es-ES_tradnl"/>
        </w:rPr>
        <w:t xml:space="preserve">la </w:t>
      </w:r>
      <w:r w:rsidRPr="00DA1726">
        <w:rPr>
          <w:rFonts w:ascii="Times New Roman" w:hAnsi="Times New Roman"/>
          <w:iCs/>
          <w:sz w:val="28"/>
          <w:szCs w:val="28"/>
          <w:lang w:eastAsia="es-ES_tradnl"/>
        </w:rPr>
        <w:t>participación en el desarrollo del estudio, así como la difusión de la información y de los resultados obtenidos, en un lenguaje claro para los usuarios.</w:t>
      </w:r>
    </w:p>
    <w:p w:rsidR="00AF75F5" w:rsidRPr="00DA1726" w:rsidRDefault="00AF75F5" w:rsidP="00DA1726">
      <w:pPr>
        <w:pStyle w:val="Style5"/>
        <w:rPr>
          <w:rFonts w:ascii="Times New Roman" w:hAnsi="Times New Roman"/>
          <w:iCs/>
          <w:sz w:val="28"/>
          <w:szCs w:val="28"/>
          <w:lang w:eastAsia="es-ES_tradnl"/>
        </w:rPr>
      </w:pPr>
    </w:p>
    <w:p w:rsidR="00AF75F5" w:rsidRPr="00DA1726" w:rsidRDefault="00C36C12" w:rsidP="00DA1726">
      <w:pPr>
        <w:pStyle w:val="Style5"/>
        <w:numPr>
          <w:ilvl w:val="1"/>
          <w:numId w:val="40"/>
        </w:numPr>
        <w:ind w:left="0" w:firstLine="0"/>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 xml:space="preserve">El 31 de octubre de 2013, a través de Auto 249 de 2013 la Sala Especial de Seguimiento corrió traslado al </w:t>
      </w:r>
      <w:r w:rsidRPr="00DA1726">
        <w:rPr>
          <w:rFonts w:ascii="Times New Roman" w:hAnsi="Times New Roman"/>
          <w:sz w:val="28"/>
          <w:szCs w:val="28"/>
          <w:lang w:val="es-CO" w:eastAsia="es-ES_tradnl"/>
        </w:rPr>
        <w:t xml:space="preserve">Ministerio de Salud de las observaciones y propuestas presentadas por la sociedad civil sobre el </w:t>
      </w:r>
      <w:r w:rsidRPr="00DA1726">
        <w:rPr>
          <w:rFonts w:ascii="Times New Roman" w:hAnsi="Times New Roman"/>
          <w:i/>
          <w:sz w:val="28"/>
          <w:szCs w:val="28"/>
          <w:lang w:val="es-CO" w:eastAsia="es-ES_tradnl"/>
        </w:rPr>
        <w:t>“Ordenamiento de EPS-</w:t>
      </w:r>
      <w:smartTag w:uri="urn:schemas-microsoft-com:office:smarttags" w:element="metricconverter">
        <w:smartTagPr>
          <w:attr w:name="ProductID" w:val="2013”"/>
        </w:smartTagPr>
        <w:r w:rsidRPr="00DA1726">
          <w:rPr>
            <w:rFonts w:ascii="Times New Roman" w:hAnsi="Times New Roman"/>
            <w:i/>
            <w:sz w:val="28"/>
            <w:szCs w:val="28"/>
            <w:lang w:val="es-CO" w:eastAsia="es-ES_tradnl"/>
          </w:rPr>
          <w:t>2013”</w:t>
        </w:r>
      </w:smartTag>
      <w:r w:rsidR="009E754A" w:rsidRPr="00DA1726">
        <w:rPr>
          <w:rFonts w:ascii="Times New Roman" w:hAnsi="Times New Roman"/>
          <w:sz w:val="28"/>
          <w:szCs w:val="28"/>
          <w:lang w:val="es-CO" w:eastAsia="es-ES_tradnl"/>
        </w:rPr>
        <w:t>.</w:t>
      </w:r>
    </w:p>
    <w:p w:rsidR="00C36C12" w:rsidRPr="00DA1726" w:rsidRDefault="00C36C12" w:rsidP="00DA1726">
      <w:pPr>
        <w:pStyle w:val="Style5"/>
        <w:rPr>
          <w:rFonts w:ascii="Times New Roman" w:hAnsi="Times New Roman"/>
          <w:sz w:val="28"/>
          <w:szCs w:val="28"/>
          <w:lang w:val="es-CO" w:eastAsia="es-ES_tradnl"/>
        </w:rPr>
      </w:pPr>
    </w:p>
    <w:p w:rsidR="00722374" w:rsidRPr="00DA1726" w:rsidRDefault="009E754A" w:rsidP="00DA1726">
      <w:pPr>
        <w:pStyle w:val="Style5"/>
        <w:rPr>
          <w:rFonts w:ascii="Times New Roman" w:hAnsi="Times New Roman"/>
          <w:sz w:val="28"/>
          <w:szCs w:val="28"/>
          <w:lang w:val="es-CO" w:eastAsia="es-ES_tradnl"/>
        </w:rPr>
      </w:pPr>
      <w:r w:rsidRPr="00DA1726">
        <w:rPr>
          <w:rFonts w:ascii="Times New Roman" w:hAnsi="Times New Roman"/>
          <w:bCs/>
          <w:sz w:val="28"/>
          <w:szCs w:val="28"/>
          <w:lang w:eastAsia="es-ES_tradnl"/>
        </w:rPr>
        <w:t xml:space="preserve">Además dispuso que para </w:t>
      </w:r>
      <w:r w:rsidR="0070535D" w:rsidRPr="00DA1726">
        <w:rPr>
          <w:rFonts w:ascii="Times New Roman" w:hAnsi="Times New Roman"/>
          <w:bCs/>
          <w:sz w:val="28"/>
          <w:szCs w:val="28"/>
          <w:lang w:eastAsia="es-ES_tradnl"/>
        </w:rPr>
        <w:t xml:space="preserve">la elaboración del </w:t>
      </w:r>
      <w:r w:rsidR="008D66F1" w:rsidRPr="00DA1726">
        <w:rPr>
          <w:rFonts w:ascii="Times New Roman" w:hAnsi="Times New Roman"/>
          <w:i/>
          <w:iCs/>
          <w:sz w:val="28"/>
          <w:szCs w:val="28"/>
          <w:lang w:eastAsia="es-ES_tradnl"/>
        </w:rPr>
        <w:t>ranking</w:t>
      </w:r>
      <w:r w:rsidR="0070535D" w:rsidRPr="00DA1726">
        <w:rPr>
          <w:rFonts w:ascii="Times New Roman" w:hAnsi="Times New Roman"/>
          <w:iCs/>
          <w:sz w:val="28"/>
          <w:szCs w:val="28"/>
          <w:lang w:eastAsia="es-ES_tradnl"/>
        </w:rPr>
        <w:t xml:space="preserve"> 2014 </w:t>
      </w:r>
      <w:r w:rsidR="0070535D" w:rsidRPr="00DA1726">
        <w:rPr>
          <w:rFonts w:ascii="Times New Roman" w:hAnsi="Times New Roman"/>
          <w:bCs/>
          <w:sz w:val="28"/>
          <w:szCs w:val="28"/>
          <w:lang w:eastAsia="es-ES_tradnl"/>
        </w:rPr>
        <w:t xml:space="preserve">de </w:t>
      </w:r>
      <w:r w:rsidR="00EA4FAC" w:rsidRPr="00DA1726">
        <w:rPr>
          <w:rFonts w:ascii="Times New Roman" w:hAnsi="Times New Roman"/>
          <w:bCs/>
          <w:sz w:val="28"/>
          <w:szCs w:val="28"/>
          <w:lang w:eastAsia="es-ES_tradnl"/>
        </w:rPr>
        <w:t>EPS</w:t>
      </w:r>
      <w:r w:rsidR="0070535D" w:rsidRPr="00DA1726">
        <w:rPr>
          <w:rFonts w:ascii="Times New Roman" w:hAnsi="Times New Roman"/>
          <w:bCs/>
          <w:sz w:val="28"/>
          <w:szCs w:val="28"/>
          <w:lang w:eastAsia="es-ES_tradnl"/>
        </w:rPr>
        <w:t xml:space="preserve"> e </w:t>
      </w:r>
      <w:r w:rsidR="00EA4FAC" w:rsidRPr="00DA1726">
        <w:rPr>
          <w:rFonts w:ascii="Times New Roman" w:hAnsi="Times New Roman"/>
          <w:bCs/>
          <w:sz w:val="28"/>
          <w:szCs w:val="28"/>
          <w:lang w:eastAsia="es-ES_tradnl"/>
        </w:rPr>
        <w:t>IPS</w:t>
      </w:r>
      <w:r w:rsidR="0070535D" w:rsidRPr="00DA1726">
        <w:rPr>
          <w:rFonts w:ascii="Times New Roman" w:hAnsi="Times New Roman"/>
          <w:bCs/>
          <w:sz w:val="28"/>
          <w:szCs w:val="28"/>
          <w:lang w:eastAsia="es-ES_tradnl"/>
        </w:rPr>
        <w:t xml:space="preserve"> se </w:t>
      </w:r>
      <w:r w:rsidR="00433259" w:rsidRPr="00DA1726">
        <w:rPr>
          <w:rFonts w:ascii="Times New Roman" w:hAnsi="Times New Roman"/>
          <w:bCs/>
          <w:sz w:val="28"/>
          <w:szCs w:val="28"/>
          <w:lang w:eastAsia="es-ES_tradnl"/>
        </w:rPr>
        <w:t>abstuviera</w:t>
      </w:r>
      <w:r w:rsidR="0070535D" w:rsidRPr="00DA1726">
        <w:rPr>
          <w:rFonts w:ascii="Times New Roman" w:hAnsi="Times New Roman"/>
          <w:bCs/>
          <w:sz w:val="28"/>
          <w:szCs w:val="28"/>
          <w:lang w:eastAsia="es-ES_tradnl"/>
        </w:rPr>
        <w:t xml:space="preserve"> de incurrir </w:t>
      </w:r>
      <w:r w:rsidR="0070535D" w:rsidRPr="00DA1726">
        <w:rPr>
          <w:rFonts w:ascii="Times New Roman" w:hAnsi="Times New Roman"/>
          <w:iCs/>
          <w:sz w:val="28"/>
          <w:szCs w:val="28"/>
          <w:lang w:eastAsia="es-ES_tradnl"/>
        </w:rPr>
        <w:t xml:space="preserve">en los mismos defectos que se atribuyen a la </w:t>
      </w:r>
      <w:r w:rsidR="00F943D3" w:rsidRPr="00DA1726">
        <w:rPr>
          <w:rFonts w:ascii="Times New Roman" w:hAnsi="Times New Roman"/>
          <w:iCs/>
          <w:sz w:val="28"/>
          <w:szCs w:val="28"/>
          <w:lang w:eastAsia="es-ES_tradnl"/>
        </w:rPr>
        <w:t>clasificación</w:t>
      </w:r>
      <w:r w:rsidR="0070535D" w:rsidRPr="00DA1726">
        <w:rPr>
          <w:rFonts w:ascii="Times New Roman" w:hAnsi="Times New Roman"/>
          <w:iCs/>
          <w:sz w:val="28"/>
          <w:szCs w:val="28"/>
          <w:lang w:eastAsia="es-ES_tradnl"/>
        </w:rPr>
        <w:t xml:space="preserve"> 2013, para lo cual </w:t>
      </w:r>
      <w:r w:rsidR="00722374" w:rsidRPr="00DA1726">
        <w:rPr>
          <w:rFonts w:ascii="Times New Roman" w:hAnsi="Times New Roman"/>
          <w:iCs/>
          <w:sz w:val="28"/>
          <w:szCs w:val="28"/>
          <w:lang w:eastAsia="es-ES_tradnl"/>
        </w:rPr>
        <w:t>se exigió establecer una c</w:t>
      </w:r>
      <w:r w:rsidR="00722374" w:rsidRPr="00DA1726">
        <w:rPr>
          <w:rFonts w:ascii="Times New Roman" w:hAnsi="Times New Roman"/>
          <w:sz w:val="28"/>
          <w:szCs w:val="28"/>
          <w:lang w:eastAsia="es-ES_tradnl"/>
        </w:rPr>
        <w:t>lasificación por puestos: primero, segundo</w:t>
      </w:r>
      <w:r w:rsidR="00433259" w:rsidRPr="00DA1726">
        <w:rPr>
          <w:rFonts w:ascii="Times New Roman" w:hAnsi="Times New Roman"/>
          <w:sz w:val="28"/>
          <w:szCs w:val="28"/>
          <w:lang w:eastAsia="es-ES_tradnl"/>
        </w:rPr>
        <w:t>, tercero, etc.;</w:t>
      </w:r>
      <w:r w:rsidR="00722374" w:rsidRPr="00DA1726">
        <w:rPr>
          <w:rFonts w:ascii="Times New Roman" w:hAnsi="Times New Roman"/>
          <w:sz w:val="28"/>
          <w:szCs w:val="28"/>
          <w:lang w:eastAsia="es-ES_tradnl"/>
        </w:rPr>
        <w:t xml:space="preserve"> debié</w:t>
      </w:r>
      <w:r w:rsidR="00433259" w:rsidRPr="00DA1726">
        <w:rPr>
          <w:rFonts w:ascii="Times New Roman" w:hAnsi="Times New Roman"/>
          <w:sz w:val="28"/>
          <w:szCs w:val="28"/>
          <w:lang w:eastAsia="es-ES_tradnl"/>
        </w:rPr>
        <w:t>ndose ubicar en el primer lugar</w:t>
      </w:r>
      <w:r w:rsidR="00722374" w:rsidRPr="00DA1726">
        <w:rPr>
          <w:rFonts w:ascii="Times New Roman" w:hAnsi="Times New Roman"/>
          <w:sz w:val="28"/>
          <w:szCs w:val="28"/>
          <w:lang w:eastAsia="es-ES_tradnl"/>
        </w:rPr>
        <w:t xml:space="preserve"> </w:t>
      </w:r>
      <w:r w:rsidR="00993A30" w:rsidRPr="00DA1726">
        <w:rPr>
          <w:rFonts w:ascii="Times New Roman" w:hAnsi="Times New Roman"/>
          <w:sz w:val="28"/>
          <w:szCs w:val="28"/>
          <w:lang w:eastAsia="es-ES_tradnl"/>
        </w:rPr>
        <w:t>a</w:t>
      </w:r>
      <w:r w:rsidR="00722374" w:rsidRPr="00DA1726">
        <w:rPr>
          <w:rFonts w:ascii="Times New Roman" w:hAnsi="Times New Roman"/>
          <w:sz w:val="28"/>
          <w:szCs w:val="28"/>
          <w:lang w:eastAsia="es-ES_tradnl"/>
        </w:rPr>
        <w:t xml:space="preserve"> aquel asegurador o prestador que, a partir de la evaluación </w:t>
      </w:r>
      <w:r w:rsidR="00722374" w:rsidRPr="00DA1726">
        <w:rPr>
          <w:rFonts w:ascii="Times New Roman" w:hAnsi="Times New Roman"/>
          <w:i/>
          <w:sz w:val="28"/>
          <w:szCs w:val="28"/>
          <w:lang w:eastAsia="es-ES_tradnl"/>
        </w:rPr>
        <w:t>“sobre las prácticas violatorias del derecho a la salud”</w:t>
      </w:r>
      <w:r w:rsidR="00722374" w:rsidRPr="00DA1726">
        <w:rPr>
          <w:rFonts w:ascii="Times New Roman" w:hAnsi="Times New Roman"/>
          <w:sz w:val="28"/>
          <w:szCs w:val="28"/>
          <w:vertAlign w:val="superscript"/>
          <w:lang w:eastAsia="es-ES_tradnl"/>
        </w:rPr>
        <w:footnoteReference w:id="15"/>
      </w:r>
      <w:r w:rsidR="00722374" w:rsidRPr="00DA1726">
        <w:rPr>
          <w:rFonts w:ascii="Times New Roman" w:hAnsi="Times New Roman"/>
          <w:sz w:val="28"/>
          <w:szCs w:val="28"/>
          <w:lang w:eastAsia="es-ES_tradnl"/>
        </w:rPr>
        <w:t xml:space="preserve"> y teniendo como fuente un sistema de información confiable y de calidad, sea el q</w:t>
      </w:r>
      <w:r w:rsidR="00433259" w:rsidRPr="00DA1726">
        <w:rPr>
          <w:rFonts w:ascii="Times New Roman" w:hAnsi="Times New Roman"/>
          <w:sz w:val="28"/>
          <w:szCs w:val="28"/>
          <w:lang w:eastAsia="es-ES_tradnl"/>
        </w:rPr>
        <w:t>ue menos incurra en ellas,</w:t>
      </w:r>
      <w:r w:rsidR="00722374" w:rsidRPr="00DA1726">
        <w:rPr>
          <w:rFonts w:ascii="Times New Roman" w:hAnsi="Times New Roman"/>
          <w:sz w:val="28"/>
          <w:szCs w:val="28"/>
          <w:lang w:eastAsia="es-ES_tradnl"/>
        </w:rPr>
        <w:t xml:space="preserve"> mientras que en el último puesto </w:t>
      </w:r>
      <w:r w:rsidR="00993A30" w:rsidRPr="00DA1726">
        <w:rPr>
          <w:rFonts w:ascii="Times New Roman" w:hAnsi="Times New Roman"/>
          <w:sz w:val="28"/>
          <w:szCs w:val="28"/>
          <w:lang w:eastAsia="es-ES_tradnl"/>
        </w:rPr>
        <w:t>debía</w:t>
      </w:r>
      <w:r w:rsidR="00722374" w:rsidRPr="00DA1726">
        <w:rPr>
          <w:rFonts w:ascii="Times New Roman" w:hAnsi="Times New Roman"/>
          <w:sz w:val="28"/>
          <w:szCs w:val="28"/>
          <w:lang w:eastAsia="es-ES_tradnl"/>
        </w:rPr>
        <w:t xml:space="preserve"> registrarse aquella entidad que más reportes posea. Esta relación por ubicación debe compaginarse con una clasificación porcentual, en la cual el 100% corresponde a aquella entidad que no tiene reportes sobre violaciones al derecho a la salud y el 0% aquella que cuenta con más.</w:t>
      </w:r>
    </w:p>
    <w:p w:rsidR="0070535D" w:rsidRPr="00DA1726" w:rsidRDefault="0070535D" w:rsidP="00DA1726">
      <w:pPr>
        <w:pStyle w:val="Style5"/>
        <w:rPr>
          <w:rFonts w:ascii="Times New Roman" w:hAnsi="Times New Roman"/>
          <w:sz w:val="28"/>
          <w:szCs w:val="28"/>
          <w:lang w:eastAsia="es-ES_tradnl"/>
        </w:rPr>
      </w:pPr>
    </w:p>
    <w:p w:rsidR="00312E43" w:rsidRPr="00DA1726" w:rsidRDefault="00A731F6" w:rsidP="00DA1726">
      <w:pPr>
        <w:pStyle w:val="Style5"/>
        <w:numPr>
          <w:ilvl w:val="1"/>
          <w:numId w:val="40"/>
        </w:numPr>
        <w:ind w:left="0" w:firstLine="0"/>
        <w:rPr>
          <w:rFonts w:ascii="Times New Roman" w:hAnsi="Times New Roman"/>
          <w:sz w:val="28"/>
          <w:szCs w:val="28"/>
          <w:lang w:val="es-CO" w:eastAsia="es-ES_tradnl"/>
        </w:rPr>
      </w:pPr>
      <w:r w:rsidRPr="00DA1726">
        <w:rPr>
          <w:rFonts w:ascii="Times New Roman" w:hAnsi="Times New Roman"/>
          <w:sz w:val="28"/>
          <w:szCs w:val="28"/>
          <w:lang w:val="es-CO" w:eastAsia="es-ES_tradnl"/>
        </w:rPr>
        <w:t>El 3 de diciembre de 2013</w:t>
      </w:r>
      <w:r w:rsidR="000C0BC4" w:rsidRPr="00DA1726">
        <w:rPr>
          <w:rFonts w:ascii="Times New Roman" w:hAnsi="Times New Roman"/>
          <w:sz w:val="28"/>
          <w:szCs w:val="28"/>
          <w:lang w:val="es-CO" w:eastAsia="es-ES_tradnl"/>
        </w:rPr>
        <w:t xml:space="preserve">, el Ministerio de Salud presentó </w:t>
      </w:r>
      <w:r w:rsidRPr="00DA1726">
        <w:rPr>
          <w:rFonts w:ascii="Times New Roman" w:hAnsi="Times New Roman"/>
          <w:sz w:val="28"/>
          <w:szCs w:val="28"/>
          <w:lang w:val="es-CO" w:eastAsia="es-ES_tradnl"/>
        </w:rPr>
        <w:t xml:space="preserve">las respuestas a las observaciones remitidas por parte de los </w:t>
      </w:r>
      <w:r w:rsidR="00433259" w:rsidRPr="00DA1726">
        <w:rPr>
          <w:rFonts w:ascii="Times New Roman" w:hAnsi="Times New Roman"/>
          <w:sz w:val="28"/>
          <w:szCs w:val="28"/>
          <w:lang w:val="es-CO" w:eastAsia="es-ES_tradnl"/>
        </w:rPr>
        <w:t xml:space="preserve">grupos de seguimiento </w:t>
      </w:r>
      <w:r w:rsidRPr="00DA1726">
        <w:rPr>
          <w:rFonts w:ascii="Times New Roman" w:hAnsi="Times New Roman"/>
          <w:sz w:val="28"/>
          <w:szCs w:val="28"/>
          <w:lang w:val="es-CO" w:eastAsia="es-ES_tradnl"/>
        </w:rPr>
        <w:t xml:space="preserve">respecto al </w:t>
      </w:r>
      <w:r w:rsidR="00433259" w:rsidRPr="00DA1726">
        <w:rPr>
          <w:rFonts w:ascii="Times New Roman" w:hAnsi="Times New Roman"/>
          <w:i/>
          <w:sz w:val="28"/>
          <w:szCs w:val="28"/>
          <w:lang w:val="es-CO" w:eastAsia="es-ES_tradnl"/>
        </w:rPr>
        <w:t>ranking</w:t>
      </w:r>
      <w:r w:rsidRPr="00DA1726">
        <w:rPr>
          <w:rFonts w:ascii="Times New Roman" w:hAnsi="Times New Roman"/>
          <w:sz w:val="28"/>
          <w:szCs w:val="28"/>
          <w:lang w:val="es-CO" w:eastAsia="es-ES_tradnl"/>
        </w:rPr>
        <w:t xml:space="preserve"> de EPS 2013</w:t>
      </w:r>
      <w:r w:rsidR="00F53C62" w:rsidRPr="00DA1726">
        <w:rPr>
          <w:rFonts w:ascii="Times New Roman" w:hAnsi="Times New Roman"/>
          <w:sz w:val="28"/>
          <w:szCs w:val="28"/>
          <w:vertAlign w:val="superscript"/>
          <w:lang w:val="es-CO" w:eastAsia="es-ES_tradnl"/>
        </w:rPr>
        <w:footnoteReference w:id="16"/>
      </w:r>
      <w:r w:rsidRPr="00DA1726">
        <w:rPr>
          <w:rFonts w:ascii="Times New Roman" w:hAnsi="Times New Roman"/>
          <w:sz w:val="28"/>
          <w:szCs w:val="28"/>
          <w:lang w:val="es-CO" w:eastAsia="es-ES_tradnl"/>
        </w:rPr>
        <w:t>.</w:t>
      </w:r>
      <w:r w:rsidR="00296220" w:rsidRPr="00DA1726">
        <w:rPr>
          <w:rFonts w:ascii="Times New Roman" w:hAnsi="Times New Roman"/>
          <w:sz w:val="28"/>
          <w:szCs w:val="28"/>
          <w:lang w:val="es-CO" w:eastAsia="es-ES_tradnl"/>
        </w:rPr>
        <w:t xml:space="preserve"> </w:t>
      </w:r>
      <w:r w:rsidR="00B65738" w:rsidRPr="00DA1726">
        <w:rPr>
          <w:rFonts w:ascii="Times New Roman" w:hAnsi="Times New Roman"/>
          <w:sz w:val="28"/>
          <w:szCs w:val="28"/>
          <w:lang w:val="es-CO" w:eastAsia="es-ES_tradnl"/>
        </w:rPr>
        <w:t>Al respecto</w:t>
      </w:r>
      <w:r w:rsidR="00ED34D6" w:rsidRPr="00DA1726">
        <w:rPr>
          <w:rFonts w:ascii="Times New Roman" w:hAnsi="Times New Roman"/>
          <w:sz w:val="28"/>
          <w:szCs w:val="28"/>
          <w:lang w:val="es-CO" w:eastAsia="es-ES_tradnl"/>
        </w:rPr>
        <w:t>,</w:t>
      </w:r>
      <w:r w:rsidR="00B65738" w:rsidRPr="00DA1726">
        <w:rPr>
          <w:rFonts w:ascii="Times New Roman" w:hAnsi="Times New Roman"/>
          <w:sz w:val="28"/>
          <w:szCs w:val="28"/>
          <w:lang w:val="es-CO" w:eastAsia="es-ES_tradnl"/>
        </w:rPr>
        <w:t xml:space="preserve"> desarrolló los siguientes </w:t>
      </w:r>
      <w:r w:rsidR="00ED34D6" w:rsidRPr="00DA1726">
        <w:rPr>
          <w:rFonts w:ascii="Times New Roman" w:hAnsi="Times New Roman"/>
          <w:sz w:val="28"/>
          <w:szCs w:val="28"/>
          <w:lang w:val="es-CO" w:eastAsia="es-ES_tradnl"/>
        </w:rPr>
        <w:t>puntos</w:t>
      </w:r>
      <w:r w:rsidR="00312E43" w:rsidRPr="00DA1726">
        <w:rPr>
          <w:rFonts w:ascii="Times New Roman" w:hAnsi="Times New Roman"/>
          <w:sz w:val="28"/>
          <w:szCs w:val="28"/>
          <w:lang w:val="es-CO" w:eastAsia="es-ES_tradnl"/>
        </w:rPr>
        <w:t>.</w:t>
      </w:r>
    </w:p>
    <w:p w:rsidR="0094081A" w:rsidRPr="00DA1726" w:rsidRDefault="0094081A" w:rsidP="00DA1726">
      <w:pPr>
        <w:pStyle w:val="Style5"/>
        <w:rPr>
          <w:rFonts w:ascii="Times New Roman" w:hAnsi="Times New Roman"/>
          <w:sz w:val="28"/>
          <w:szCs w:val="28"/>
          <w:lang w:val="es-CO" w:eastAsia="es-ES_tradnl"/>
        </w:rPr>
      </w:pPr>
    </w:p>
    <w:p w:rsidR="0094081A" w:rsidRPr="00DA1726" w:rsidRDefault="0094081A" w:rsidP="00DA1726">
      <w:pPr>
        <w:pStyle w:val="Style5"/>
        <w:numPr>
          <w:ilvl w:val="2"/>
          <w:numId w:val="40"/>
        </w:numPr>
        <w:ind w:left="851" w:hanging="851"/>
        <w:rPr>
          <w:rFonts w:ascii="Times New Roman" w:hAnsi="Times New Roman"/>
          <w:i/>
          <w:sz w:val="28"/>
          <w:szCs w:val="28"/>
          <w:lang w:val="es-CO" w:eastAsia="es-ES_tradnl"/>
        </w:rPr>
      </w:pPr>
      <w:r w:rsidRPr="00DA1726">
        <w:rPr>
          <w:rFonts w:ascii="Times New Roman" w:hAnsi="Times New Roman"/>
          <w:i/>
          <w:sz w:val="28"/>
          <w:szCs w:val="28"/>
          <w:lang w:val="es-CO" w:eastAsia="es-ES_tradnl"/>
        </w:rPr>
        <w:t>Las fuentes de información y los mecanismos de captura de la información</w:t>
      </w:r>
      <w:r w:rsidR="003F3C6B" w:rsidRPr="00DA1726">
        <w:rPr>
          <w:rFonts w:ascii="Times New Roman" w:hAnsi="Times New Roman"/>
          <w:i/>
          <w:sz w:val="28"/>
          <w:szCs w:val="28"/>
          <w:lang w:val="es-CO" w:eastAsia="es-ES_tradnl"/>
        </w:rPr>
        <w:t>.</w:t>
      </w:r>
    </w:p>
    <w:p w:rsidR="00FC711B" w:rsidRPr="00DA1726" w:rsidRDefault="00FC711B" w:rsidP="00DA1726">
      <w:pPr>
        <w:pStyle w:val="Style5"/>
        <w:rPr>
          <w:rFonts w:ascii="Times New Roman" w:hAnsi="Times New Roman"/>
          <w:sz w:val="28"/>
          <w:szCs w:val="28"/>
          <w:lang w:val="es-CO" w:eastAsia="es-ES_tradnl"/>
        </w:rPr>
      </w:pPr>
    </w:p>
    <w:p w:rsidR="0094081A" w:rsidRPr="00DA1726" w:rsidRDefault="00E812FB" w:rsidP="00DA1726">
      <w:pPr>
        <w:pStyle w:val="Style5"/>
        <w:rPr>
          <w:rFonts w:ascii="Times New Roman" w:hAnsi="Times New Roman"/>
          <w:sz w:val="28"/>
          <w:szCs w:val="28"/>
          <w:lang w:val="es-CO" w:eastAsia="es-ES_tradnl"/>
        </w:rPr>
      </w:pPr>
      <w:r w:rsidRPr="00DA1726">
        <w:rPr>
          <w:rFonts w:ascii="Times New Roman" w:hAnsi="Times New Roman"/>
          <w:sz w:val="28"/>
          <w:szCs w:val="28"/>
          <w:lang w:val="es-CO" w:eastAsia="es-ES_tradnl"/>
        </w:rPr>
        <w:t>Resaltó</w:t>
      </w:r>
      <w:r w:rsidR="0094081A" w:rsidRPr="00DA1726">
        <w:rPr>
          <w:rFonts w:ascii="Times New Roman" w:hAnsi="Times New Roman"/>
          <w:sz w:val="28"/>
          <w:szCs w:val="28"/>
          <w:lang w:val="es-CO" w:eastAsia="es-ES_tradnl"/>
        </w:rPr>
        <w:t xml:space="preserve"> que no existe un mecanismo de recolección de información infalible y cualquiera que se seleccione tendrá pros y </w:t>
      </w:r>
      <w:r w:rsidR="00433259" w:rsidRPr="00DA1726">
        <w:rPr>
          <w:rFonts w:ascii="Times New Roman" w:hAnsi="Times New Roman"/>
          <w:sz w:val="28"/>
          <w:szCs w:val="28"/>
          <w:lang w:val="es-CO" w:eastAsia="es-ES_tradnl"/>
        </w:rPr>
        <w:t>contras. Un sistema de medición</w:t>
      </w:r>
      <w:r w:rsidR="0094081A" w:rsidRPr="00DA1726">
        <w:rPr>
          <w:rFonts w:ascii="Times New Roman" w:hAnsi="Times New Roman"/>
          <w:sz w:val="28"/>
          <w:szCs w:val="28"/>
          <w:lang w:val="es-CO" w:eastAsia="es-ES_tradnl"/>
        </w:rPr>
        <w:t xml:space="preserve"> no necesariamente debe ser único o proveer de un</w:t>
      </w:r>
      <w:r w:rsidRPr="00DA1726">
        <w:rPr>
          <w:rFonts w:ascii="Times New Roman" w:hAnsi="Times New Roman"/>
          <w:sz w:val="28"/>
          <w:szCs w:val="28"/>
          <w:lang w:val="es-CO" w:eastAsia="es-ES_tradnl"/>
        </w:rPr>
        <w:t>a única fuente</w:t>
      </w:r>
      <w:r w:rsidR="0094081A" w:rsidRPr="00DA1726">
        <w:rPr>
          <w:rFonts w:ascii="Times New Roman" w:hAnsi="Times New Roman"/>
          <w:sz w:val="28"/>
          <w:szCs w:val="28"/>
          <w:lang w:val="es-CO" w:eastAsia="es-ES_tradnl"/>
        </w:rPr>
        <w:t>. Por esta razón para disminuir estos riesgos, el ordenamiento usa diversos mecanismos de recolección de información (encuesta, estudios e información reportada por las EPS</w:t>
      </w:r>
      <w:r w:rsidRPr="00DA1726">
        <w:rPr>
          <w:rFonts w:ascii="Times New Roman" w:hAnsi="Times New Roman"/>
          <w:sz w:val="28"/>
          <w:szCs w:val="28"/>
          <w:lang w:val="es-CO" w:eastAsia="es-ES_tradnl"/>
        </w:rPr>
        <w:t>, entre otros</w:t>
      </w:r>
      <w:r w:rsidR="0094081A" w:rsidRPr="00DA1726">
        <w:rPr>
          <w:rFonts w:ascii="Times New Roman" w:hAnsi="Times New Roman"/>
          <w:sz w:val="28"/>
          <w:szCs w:val="28"/>
          <w:lang w:val="es-CO" w:eastAsia="es-ES_tradnl"/>
        </w:rPr>
        <w:t xml:space="preserve">) </w:t>
      </w:r>
      <w:r w:rsidRPr="00DA1726">
        <w:rPr>
          <w:rFonts w:ascii="Times New Roman" w:hAnsi="Times New Roman"/>
          <w:sz w:val="28"/>
          <w:szCs w:val="28"/>
          <w:lang w:val="es-CO" w:eastAsia="es-ES_tradnl"/>
        </w:rPr>
        <w:t>sin que ello implique que no se puedan mejorar</w:t>
      </w:r>
      <w:r w:rsidR="0094081A" w:rsidRPr="00DA1726">
        <w:rPr>
          <w:rFonts w:ascii="Times New Roman" w:hAnsi="Times New Roman"/>
          <w:sz w:val="28"/>
          <w:szCs w:val="28"/>
          <w:lang w:val="es-CO" w:eastAsia="es-ES_tradnl"/>
        </w:rPr>
        <w:t>.</w:t>
      </w:r>
    </w:p>
    <w:p w:rsidR="00BD2927" w:rsidRPr="00DA1726" w:rsidRDefault="00BD2927" w:rsidP="00DA1726">
      <w:pPr>
        <w:pStyle w:val="Style5"/>
        <w:rPr>
          <w:rFonts w:ascii="Times New Roman" w:hAnsi="Times New Roman"/>
          <w:sz w:val="28"/>
          <w:szCs w:val="28"/>
          <w:lang w:val="es-CO" w:eastAsia="es-ES_tradnl"/>
        </w:rPr>
      </w:pPr>
    </w:p>
    <w:p w:rsidR="00BD2927" w:rsidRPr="00DA1726" w:rsidRDefault="00E812FB"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Agregó que c</w:t>
      </w:r>
      <w:r w:rsidR="00BD2927" w:rsidRPr="00DA1726">
        <w:rPr>
          <w:rFonts w:ascii="Times New Roman" w:hAnsi="Times New Roman"/>
          <w:sz w:val="28"/>
          <w:szCs w:val="28"/>
          <w:lang w:val="es-ES_tradnl" w:eastAsia="es-ES_tradnl"/>
        </w:rPr>
        <w:t>ualquier mecanismo que se seleccione va a ser incompleto en la medida que no puede asegurar que se registren todos y cada uno de los eventos que puedan vulnerar a los usuarios. Por esta razón</w:t>
      </w:r>
      <w:r w:rsidR="00ED34D6" w:rsidRPr="00DA1726">
        <w:rPr>
          <w:rFonts w:ascii="Times New Roman" w:hAnsi="Times New Roman"/>
          <w:sz w:val="28"/>
          <w:szCs w:val="28"/>
          <w:lang w:val="es-ES_tradnl" w:eastAsia="es-ES_tradnl"/>
        </w:rPr>
        <w:t>,</w:t>
      </w:r>
      <w:r w:rsidR="00BD2927" w:rsidRPr="00DA1726">
        <w:rPr>
          <w:rFonts w:ascii="Times New Roman" w:hAnsi="Times New Roman"/>
          <w:sz w:val="28"/>
          <w:szCs w:val="28"/>
          <w:lang w:val="es-ES_tradnl" w:eastAsia="es-ES_tradnl"/>
        </w:rPr>
        <w:t xml:space="preserve"> el ordenamiento presentado consulta otras fuentes de información con el ánimo de complementar los registros existentes y tener un panorama más completo. </w:t>
      </w:r>
      <w:r w:rsidRPr="00DA1726">
        <w:rPr>
          <w:rFonts w:ascii="Times New Roman" w:hAnsi="Times New Roman"/>
          <w:sz w:val="28"/>
          <w:szCs w:val="28"/>
          <w:lang w:val="es-ES_tradnl" w:eastAsia="es-ES_tradnl"/>
        </w:rPr>
        <w:t>Además destacó que el Ministerio, la Superintendencia Nacional de Salud</w:t>
      </w:r>
      <w:r w:rsidR="00BD2927" w:rsidRPr="00DA1726">
        <w:rPr>
          <w:rFonts w:ascii="Times New Roman" w:hAnsi="Times New Roman"/>
          <w:sz w:val="28"/>
          <w:szCs w:val="28"/>
          <w:lang w:val="es-ES_tradnl" w:eastAsia="es-ES_tradnl"/>
        </w:rPr>
        <w:t xml:space="preserve"> y la Defensoría del Pueblo </w:t>
      </w:r>
      <w:r w:rsidRPr="00DA1726">
        <w:rPr>
          <w:rFonts w:ascii="Times New Roman" w:hAnsi="Times New Roman"/>
          <w:sz w:val="28"/>
          <w:szCs w:val="28"/>
          <w:lang w:val="es-ES_tradnl" w:eastAsia="es-ES_tradnl"/>
        </w:rPr>
        <w:t>vienen adelantando campañas</w:t>
      </w:r>
      <w:r w:rsidR="00BD2927" w:rsidRPr="00DA1726">
        <w:rPr>
          <w:rFonts w:ascii="Times New Roman" w:hAnsi="Times New Roman"/>
          <w:sz w:val="28"/>
          <w:szCs w:val="28"/>
          <w:lang w:val="es-ES_tradnl" w:eastAsia="es-ES_tradnl"/>
        </w:rPr>
        <w:t xml:space="preserve"> de divulgación masiva para que los ciudadanos conozcan sus derechos y deberes com</w:t>
      </w:r>
      <w:r w:rsidR="00ED34D6" w:rsidRPr="00DA1726">
        <w:rPr>
          <w:rFonts w:ascii="Times New Roman" w:hAnsi="Times New Roman"/>
          <w:sz w:val="28"/>
          <w:szCs w:val="28"/>
          <w:lang w:val="es-ES_tradnl" w:eastAsia="es-ES_tradnl"/>
        </w:rPr>
        <w:t>o usuarios del sistema de salud</w:t>
      </w:r>
      <w:r w:rsidR="00BD2927" w:rsidRPr="00DA1726">
        <w:rPr>
          <w:rFonts w:ascii="Times New Roman" w:hAnsi="Times New Roman"/>
          <w:sz w:val="28"/>
          <w:szCs w:val="28"/>
          <w:lang w:val="es-ES_tradnl" w:eastAsia="es-ES_tradnl"/>
        </w:rPr>
        <w:t xml:space="preserve"> y</w:t>
      </w:r>
      <w:r w:rsidR="00ED34D6" w:rsidRPr="00DA1726">
        <w:rPr>
          <w:rFonts w:ascii="Times New Roman" w:hAnsi="Times New Roman"/>
          <w:sz w:val="28"/>
          <w:szCs w:val="28"/>
          <w:lang w:val="es-ES_tradnl" w:eastAsia="es-ES_tradnl"/>
        </w:rPr>
        <w:t>,</w:t>
      </w:r>
      <w:r w:rsidR="00BD2927" w:rsidRPr="00DA1726">
        <w:rPr>
          <w:rFonts w:ascii="Times New Roman" w:hAnsi="Times New Roman"/>
          <w:sz w:val="28"/>
          <w:szCs w:val="28"/>
          <w:lang w:val="es-ES_tradnl" w:eastAsia="es-ES_tradnl"/>
        </w:rPr>
        <w:t xml:space="preserve"> adicionalmente</w:t>
      </w:r>
      <w:r w:rsidR="00ED34D6" w:rsidRPr="00DA1726">
        <w:rPr>
          <w:rFonts w:ascii="Times New Roman" w:hAnsi="Times New Roman"/>
          <w:sz w:val="28"/>
          <w:szCs w:val="28"/>
          <w:lang w:val="es-ES_tradnl" w:eastAsia="es-ES_tradnl"/>
        </w:rPr>
        <w:t>,</w:t>
      </w:r>
      <w:r w:rsidR="00BD2927" w:rsidRPr="00DA1726">
        <w:rPr>
          <w:rFonts w:ascii="Times New Roman" w:hAnsi="Times New Roman"/>
          <w:sz w:val="28"/>
          <w:szCs w:val="28"/>
          <w:lang w:val="es-ES_tradnl" w:eastAsia="es-ES_tradnl"/>
        </w:rPr>
        <w:t xml:space="preserve"> conozcan los mecanismos que tienen disponibles para interponer una queja o reclamo cuando evidencien una vulneración de sus </w:t>
      </w:r>
      <w:r w:rsidRPr="00DA1726">
        <w:rPr>
          <w:rFonts w:ascii="Times New Roman" w:hAnsi="Times New Roman"/>
          <w:sz w:val="28"/>
          <w:szCs w:val="28"/>
          <w:lang w:val="es-ES_tradnl" w:eastAsia="es-ES_tradnl"/>
        </w:rPr>
        <w:t>derechos en salud</w:t>
      </w:r>
      <w:r w:rsidR="00BD2927" w:rsidRPr="00DA1726">
        <w:rPr>
          <w:rFonts w:ascii="Times New Roman" w:hAnsi="Times New Roman"/>
          <w:sz w:val="28"/>
          <w:szCs w:val="28"/>
          <w:vertAlign w:val="superscript"/>
          <w:lang w:val="es-ES_tradnl" w:eastAsia="es-ES_tradnl"/>
        </w:rPr>
        <w:footnoteReference w:id="17"/>
      </w:r>
      <w:r w:rsidR="00B65738" w:rsidRPr="00DA1726">
        <w:rPr>
          <w:rFonts w:ascii="Times New Roman" w:hAnsi="Times New Roman"/>
          <w:sz w:val="28"/>
          <w:szCs w:val="28"/>
          <w:lang w:val="es-ES_tradnl" w:eastAsia="es-ES_tradnl"/>
        </w:rPr>
        <w:t>.</w:t>
      </w:r>
    </w:p>
    <w:p w:rsidR="00BD2927" w:rsidRPr="00DA1726" w:rsidRDefault="00BD2927" w:rsidP="00DA1726">
      <w:pPr>
        <w:pStyle w:val="Style5"/>
        <w:rPr>
          <w:rFonts w:ascii="Times New Roman" w:hAnsi="Times New Roman"/>
          <w:sz w:val="28"/>
          <w:szCs w:val="28"/>
          <w:lang w:eastAsia="es-ES_tradnl"/>
        </w:rPr>
      </w:pPr>
    </w:p>
    <w:p w:rsidR="003F3C6B" w:rsidRPr="00DA1726" w:rsidRDefault="00BE5933" w:rsidP="00DA1726">
      <w:pPr>
        <w:pStyle w:val="Style5"/>
        <w:numPr>
          <w:ilvl w:val="2"/>
          <w:numId w:val="40"/>
        </w:numPr>
        <w:ind w:left="851" w:hanging="851"/>
        <w:rPr>
          <w:rFonts w:ascii="Times New Roman" w:hAnsi="Times New Roman"/>
          <w:i/>
          <w:sz w:val="28"/>
          <w:szCs w:val="28"/>
          <w:lang w:val="es-CO" w:eastAsia="es-ES_tradnl"/>
        </w:rPr>
      </w:pPr>
      <w:r w:rsidRPr="00DA1726">
        <w:rPr>
          <w:rFonts w:ascii="Times New Roman" w:hAnsi="Times New Roman"/>
          <w:i/>
          <w:sz w:val="28"/>
          <w:szCs w:val="28"/>
          <w:lang w:val="es-CO" w:eastAsia="es-ES_tradnl"/>
        </w:rPr>
        <w:t>L</w:t>
      </w:r>
      <w:r w:rsidR="00733B8A" w:rsidRPr="00DA1726">
        <w:rPr>
          <w:rFonts w:ascii="Times New Roman" w:hAnsi="Times New Roman"/>
          <w:i/>
          <w:sz w:val="28"/>
          <w:szCs w:val="28"/>
          <w:lang w:val="es-CO" w:eastAsia="es-ES_tradnl"/>
        </w:rPr>
        <w:t>os indicadores utilizados</w:t>
      </w:r>
      <w:r w:rsidR="00FC711B" w:rsidRPr="00DA1726">
        <w:rPr>
          <w:rFonts w:ascii="Times New Roman" w:hAnsi="Times New Roman"/>
          <w:i/>
          <w:sz w:val="28"/>
          <w:szCs w:val="28"/>
          <w:lang w:val="es-CO" w:eastAsia="es-ES_tradnl"/>
        </w:rPr>
        <w:t>.</w:t>
      </w:r>
    </w:p>
    <w:p w:rsidR="00FC711B" w:rsidRPr="00DA1726" w:rsidRDefault="00FC711B" w:rsidP="00DA1726">
      <w:pPr>
        <w:pStyle w:val="Style5"/>
        <w:ind w:left="360"/>
        <w:rPr>
          <w:rFonts w:ascii="Times New Roman" w:hAnsi="Times New Roman"/>
          <w:i/>
          <w:sz w:val="28"/>
          <w:szCs w:val="28"/>
          <w:lang w:val="es-CO" w:eastAsia="es-ES_tradnl"/>
        </w:rPr>
      </w:pPr>
    </w:p>
    <w:p w:rsidR="00451A02" w:rsidRPr="00DA1726" w:rsidRDefault="00451A02" w:rsidP="00DA1726">
      <w:pPr>
        <w:pStyle w:val="Style9"/>
        <w:widowControl/>
        <w:rPr>
          <w:rStyle w:val="FontStyle40"/>
          <w:rFonts w:ascii="Times New Roman" w:hAnsi="Times New Roman" w:cs="Times New Roman"/>
          <w:sz w:val="28"/>
          <w:szCs w:val="28"/>
          <w:lang w:val="es-ES_tradnl" w:eastAsia="es-ES_tradnl"/>
        </w:rPr>
      </w:pPr>
      <w:r w:rsidRPr="00DA1726">
        <w:rPr>
          <w:rStyle w:val="FontStyle40"/>
          <w:rFonts w:ascii="Times New Roman" w:hAnsi="Times New Roman" w:cs="Times New Roman"/>
          <w:sz w:val="28"/>
          <w:szCs w:val="28"/>
          <w:lang w:val="es-ES_tradnl" w:eastAsia="es-ES_tradnl"/>
        </w:rPr>
        <w:t>El Ministerio seleccionó</w:t>
      </w:r>
      <w:r w:rsidR="003F3C6B" w:rsidRPr="00DA1726">
        <w:rPr>
          <w:rStyle w:val="FontStyle40"/>
          <w:rFonts w:ascii="Times New Roman" w:hAnsi="Times New Roman" w:cs="Times New Roman"/>
          <w:sz w:val="28"/>
          <w:szCs w:val="28"/>
          <w:lang w:val="es-ES_tradnl" w:eastAsia="es-ES_tradnl"/>
        </w:rPr>
        <w:t xml:space="preserve"> los indicadores que se acercaran de manera más adecuada a los fenómenos que se reflejan en los parámetros definidos por la Corte Constitucional y dicho trabajo se evidenció en la ficha de cada indicador donde se realiza una justificación sobre su selección y se anotan claramente las limitaciones o consideraciones técnicas que deben tenerse en cuenta en el momento de evaluar cada indicador. </w:t>
      </w:r>
    </w:p>
    <w:p w:rsidR="00B65738" w:rsidRPr="00DA1726" w:rsidRDefault="00B65738" w:rsidP="00DA1726">
      <w:pPr>
        <w:pStyle w:val="Style9"/>
        <w:widowControl/>
        <w:rPr>
          <w:rStyle w:val="FontStyle40"/>
          <w:rFonts w:ascii="Times New Roman" w:hAnsi="Times New Roman" w:cs="Times New Roman"/>
          <w:sz w:val="28"/>
          <w:szCs w:val="28"/>
          <w:lang w:val="es-ES_tradnl" w:eastAsia="es-ES_tradnl"/>
        </w:rPr>
      </w:pPr>
    </w:p>
    <w:p w:rsidR="00451A02" w:rsidRPr="00DA1726" w:rsidRDefault="00E75883" w:rsidP="00DA1726">
      <w:pPr>
        <w:pStyle w:val="Style5"/>
        <w:numPr>
          <w:ilvl w:val="2"/>
          <w:numId w:val="40"/>
        </w:numPr>
        <w:ind w:left="851" w:hanging="851"/>
        <w:rPr>
          <w:rFonts w:ascii="Times New Roman" w:hAnsi="Times New Roman"/>
          <w:i/>
          <w:sz w:val="28"/>
          <w:szCs w:val="28"/>
          <w:lang w:val="es-CO" w:eastAsia="es-ES_tradnl"/>
        </w:rPr>
      </w:pPr>
      <w:r w:rsidRPr="00DA1726">
        <w:rPr>
          <w:rFonts w:ascii="Times New Roman" w:hAnsi="Times New Roman"/>
          <w:i/>
          <w:sz w:val="28"/>
          <w:szCs w:val="28"/>
          <w:lang w:val="es-CO" w:eastAsia="es-ES_tradnl"/>
        </w:rPr>
        <w:t>L</w:t>
      </w:r>
      <w:r w:rsidR="00381212" w:rsidRPr="00DA1726">
        <w:rPr>
          <w:rFonts w:ascii="Times New Roman" w:hAnsi="Times New Roman"/>
          <w:i/>
          <w:sz w:val="28"/>
          <w:szCs w:val="28"/>
          <w:lang w:val="es-CO" w:eastAsia="es-ES_tradnl"/>
        </w:rPr>
        <w:t>a forma de presentación y los mecanismos de divulgación</w:t>
      </w:r>
    </w:p>
    <w:p w:rsidR="00E75883" w:rsidRPr="00DA1726" w:rsidRDefault="00E75883" w:rsidP="00DA1726">
      <w:pPr>
        <w:pStyle w:val="Style9"/>
        <w:widowControl/>
        <w:rPr>
          <w:rStyle w:val="FontStyle40"/>
          <w:rFonts w:ascii="Times New Roman" w:hAnsi="Times New Roman" w:cs="Times New Roman"/>
          <w:sz w:val="28"/>
          <w:szCs w:val="28"/>
          <w:lang w:val="es-ES_tradnl" w:eastAsia="es-ES_tradnl"/>
        </w:rPr>
      </w:pPr>
    </w:p>
    <w:p w:rsidR="00451A02" w:rsidRPr="00DA1726" w:rsidRDefault="00381212" w:rsidP="00DA1726">
      <w:pPr>
        <w:pStyle w:val="Style9"/>
        <w:widowControl/>
        <w:rPr>
          <w:rStyle w:val="FontStyle40"/>
          <w:rFonts w:ascii="Times New Roman" w:hAnsi="Times New Roman" w:cs="Times New Roman"/>
          <w:sz w:val="28"/>
          <w:szCs w:val="28"/>
          <w:lang w:val="es-ES_tradnl" w:eastAsia="es-ES_tradnl"/>
        </w:rPr>
      </w:pPr>
      <w:r w:rsidRPr="00DA1726">
        <w:rPr>
          <w:rStyle w:val="FontStyle40"/>
          <w:rFonts w:ascii="Times New Roman" w:hAnsi="Times New Roman" w:cs="Times New Roman"/>
          <w:sz w:val="28"/>
          <w:szCs w:val="28"/>
          <w:lang w:val="es-ES_tradnl" w:eastAsia="es-ES_tradnl"/>
        </w:rPr>
        <w:t>P</w:t>
      </w:r>
      <w:r w:rsidR="00451A02" w:rsidRPr="00DA1726">
        <w:rPr>
          <w:rStyle w:val="FontStyle40"/>
          <w:rFonts w:ascii="Times New Roman" w:hAnsi="Times New Roman" w:cs="Times New Roman"/>
          <w:sz w:val="28"/>
          <w:szCs w:val="28"/>
          <w:lang w:val="es-ES_tradnl" w:eastAsia="es-ES_tradnl"/>
        </w:rPr>
        <w:t xml:space="preserve">ara definir la forma de presentación al público </w:t>
      </w:r>
      <w:r w:rsidR="008952CA" w:rsidRPr="00DA1726">
        <w:rPr>
          <w:rStyle w:val="FontStyle40"/>
          <w:rFonts w:ascii="Times New Roman" w:hAnsi="Times New Roman" w:cs="Times New Roman"/>
          <w:sz w:val="28"/>
          <w:szCs w:val="28"/>
          <w:lang w:val="es-ES_tradnl" w:eastAsia="es-ES_tradnl"/>
        </w:rPr>
        <w:t xml:space="preserve">del </w:t>
      </w:r>
      <w:r w:rsidR="008D66F1" w:rsidRPr="00DA1726">
        <w:rPr>
          <w:rStyle w:val="FontStyle40"/>
          <w:rFonts w:ascii="Times New Roman" w:hAnsi="Times New Roman" w:cs="Times New Roman"/>
          <w:i/>
          <w:sz w:val="28"/>
          <w:szCs w:val="28"/>
          <w:lang w:val="es-ES_tradnl" w:eastAsia="es-ES_tradnl"/>
        </w:rPr>
        <w:t>ranking</w:t>
      </w:r>
      <w:r w:rsidRPr="00DA1726">
        <w:rPr>
          <w:rStyle w:val="FontStyle40"/>
          <w:rFonts w:ascii="Times New Roman" w:hAnsi="Times New Roman" w:cs="Times New Roman"/>
          <w:sz w:val="28"/>
          <w:szCs w:val="28"/>
          <w:lang w:val="es-ES_tradnl" w:eastAsia="es-ES_tradnl"/>
        </w:rPr>
        <w:t xml:space="preserve"> de las </w:t>
      </w:r>
      <w:r w:rsidR="00EA4FAC" w:rsidRPr="00DA1726">
        <w:rPr>
          <w:rStyle w:val="FontStyle40"/>
          <w:rFonts w:ascii="Times New Roman" w:hAnsi="Times New Roman" w:cs="Times New Roman"/>
          <w:sz w:val="28"/>
          <w:szCs w:val="28"/>
          <w:lang w:val="es-ES_tradnl" w:eastAsia="es-ES_tradnl"/>
        </w:rPr>
        <w:t>EPS</w:t>
      </w:r>
      <w:r w:rsidRPr="00DA1726">
        <w:rPr>
          <w:rStyle w:val="FontStyle40"/>
          <w:rFonts w:ascii="Times New Roman" w:hAnsi="Times New Roman" w:cs="Times New Roman"/>
          <w:sz w:val="28"/>
          <w:szCs w:val="28"/>
          <w:lang w:val="es-ES_tradnl" w:eastAsia="es-ES_tradnl"/>
        </w:rPr>
        <w:t xml:space="preserve">, </w:t>
      </w:r>
      <w:r w:rsidR="00451A02" w:rsidRPr="00DA1726">
        <w:rPr>
          <w:rStyle w:val="FontStyle40"/>
          <w:rFonts w:ascii="Times New Roman" w:hAnsi="Times New Roman" w:cs="Times New Roman"/>
          <w:sz w:val="28"/>
          <w:szCs w:val="28"/>
          <w:lang w:val="es-ES_tradnl" w:eastAsia="es-ES_tradnl"/>
        </w:rPr>
        <w:t xml:space="preserve">se debe tener en cuenta que uno de los principales </w:t>
      </w:r>
      <w:r w:rsidR="008952CA" w:rsidRPr="00DA1726">
        <w:rPr>
          <w:rStyle w:val="FontStyle40"/>
          <w:rFonts w:ascii="Times New Roman" w:hAnsi="Times New Roman" w:cs="Times New Roman"/>
          <w:sz w:val="28"/>
          <w:szCs w:val="28"/>
          <w:lang w:val="es-ES_tradnl" w:eastAsia="es-ES_tradnl"/>
        </w:rPr>
        <w:t>fines</w:t>
      </w:r>
      <w:r w:rsidR="00451A02" w:rsidRPr="00DA1726">
        <w:rPr>
          <w:rStyle w:val="FontStyle40"/>
          <w:rFonts w:ascii="Times New Roman" w:hAnsi="Times New Roman" w:cs="Times New Roman"/>
          <w:sz w:val="28"/>
          <w:szCs w:val="28"/>
          <w:lang w:val="es-ES_tradnl" w:eastAsia="es-ES_tradnl"/>
        </w:rPr>
        <w:t xml:space="preserve"> es informar a los ciudadanos de manera clara sobre </w:t>
      </w:r>
      <w:r w:rsidRPr="00DA1726">
        <w:rPr>
          <w:rStyle w:val="FontStyle40"/>
          <w:rFonts w:ascii="Times New Roman" w:hAnsi="Times New Roman" w:cs="Times New Roman"/>
          <w:sz w:val="28"/>
          <w:szCs w:val="28"/>
          <w:lang w:val="es-ES_tradnl" w:eastAsia="es-ES_tradnl"/>
        </w:rPr>
        <w:t>su desempeño</w:t>
      </w:r>
      <w:r w:rsidR="00451A02" w:rsidRPr="00DA1726">
        <w:rPr>
          <w:rStyle w:val="FontStyle40"/>
          <w:rFonts w:ascii="Times New Roman" w:hAnsi="Times New Roman" w:cs="Times New Roman"/>
          <w:sz w:val="28"/>
          <w:szCs w:val="28"/>
          <w:lang w:val="es-ES_tradnl" w:eastAsia="es-ES_tradnl"/>
        </w:rPr>
        <w:t xml:space="preserve"> y</w:t>
      </w:r>
      <w:r w:rsidR="008952CA" w:rsidRPr="00DA1726">
        <w:rPr>
          <w:rStyle w:val="FontStyle40"/>
          <w:rFonts w:ascii="Times New Roman" w:hAnsi="Times New Roman" w:cs="Times New Roman"/>
          <w:sz w:val="28"/>
          <w:szCs w:val="28"/>
          <w:lang w:val="es-ES_tradnl" w:eastAsia="es-ES_tradnl"/>
        </w:rPr>
        <w:t>,</w:t>
      </w:r>
      <w:r w:rsidR="00451A02" w:rsidRPr="00DA1726">
        <w:rPr>
          <w:rStyle w:val="FontStyle40"/>
          <w:rFonts w:ascii="Times New Roman" w:hAnsi="Times New Roman" w:cs="Times New Roman"/>
          <w:sz w:val="28"/>
          <w:szCs w:val="28"/>
          <w:lang w:val="es-ES_tradnl" w:eastAsia="es-ES_tradnl"/>
        </w:rPr>
        <w:t xml:space="preserve"> de esta manera, ayudarlos en la toma de decisiones. Pero también es importante que el ordenamiento ilustre a las </w:t>
      </w:r>
      <w:r w:rsidR="00B65738" w:rsidRPr="00DA1726">
        <w:rPr>
          <w:rStyle w:val="FontStyle40"/>
          <w:rFonts w:ascii="Times New Roman" w:hAnsi="Times New Roman" w:cs="Times New Roman"/>
          <w:sz w:val="28"/>
          <w:szCs w:val="28"/>
          <w:lang w:val="es-ES_tradnl" w:eastAsia="es-ES_tradnl"/>
        </w:rPr>
        <w:t xml:space="preserve">promotoras </w:t>
      </w:r>
      <w:r w:rsidR="00451A02" w:rsidRPr="00DA1726">
        <w:rPr>
          <w:rStyle w:val="FontStyle40"/>
          <w:rFonts w:ascii="Times New Roman" w:hAnsi="Times New Roman" w:cs="Times New Roman"/>
          <w:sz w:val="28"/>
          <w:szCs w:val="28"/>
          <w:lang w:val="es-ES_tradnl" w:eastAsia="es-ES_tradnl"/>
        </w:rPr>
        <w:t xml:space="preserve">sobre su </w:t>
      </w:r>
      <w:r w:rsidRPr="00DA1726">
        <w:rPr>
          <w:rStyle w:val="FontStyle40"/>
          <w:rFonts w:ascii="Times New Roman" w:hAnsi="Times New Roman" w:cs="Times New Roman"/>
          <w:sz w:val="28"/>
          <w:szCs w:val="28"/>
          <w:lang w:val="es-ES_tradnl" w:eastAsia="es-ES_tradnl"/>
        </w:rPr>
        <w:t>ejercicio</w:t>
      </w:r>
      <w:r w:rsidR="00451A02" w:rsidRPr="00DA1726">
        <w:rPr>
          <w:rStyle w:val="FontStyle40"/>
          <w:rFonts w:ascii="Times New Roman" w:hAnsi="Times New Roman" w:cs="Times New Roman"/>
          <w:sz w:val="28"/>
          <w:szCs w:val="28"/>
          <w:lang w:val="es-ES_tradnl" w:eastAsia="es-ES_tradnl"/>
        </w:rPr>
        <w:t xml:space="preserve"> para que emprendan proce</w:t>
      </w:r>
      <w:r w:rsidRPr="00DA1726">
        <w:rPr>
          <w:rStyle w:val="FontStyle40"/>
          <w:rFonts w:ascii="Times New Roman" w:hAnsi="Times New Roman" w:cs="Times New Roman"/>
          <w:sz w:val="28"/>
          <w:szCs w:val="28"/>
          <w:lang w:val="es-ES_tradnl" w:eastAsia="es-ES_tradnl"/>
        </w:rPr>
        <w:t>sos de mejoramiento y suministrar</w:t>
      </w:r>
      <w:r w:rsidR="00451A02" w:rsidRPr="00DA1726">
        <w:rPr>
          <w:rStyle w:val="FontStyle40"/>
          <w:rFonts w:ascii="Times New Roman" w:hAnsi="Times New Roman" w:cs="Times New Roman"/>
          <w:sz w:val="28"/>
          <w:szCs w:val="28"/>
          <w:lang w:val="es-ES_tradnl" w:eastAsia="es-ES_tradnl"/>
        </w:rPr>
        <w:t xml:space="preserve"> información útil a las diversas instituciones que hacen parte del Sistema de Salud.</w:t>
      </w:r>
    </w:p>
    <w:p w:rsidR="00451A02" w:rsidRPr="00DA1726" w:rsidRDefault="00451A02" w:rsidP="00DA1726">
      <w:pPr>
        <w:pStyle w:val="Style5"/>
        <w:rPr>
          <w:rFonts w:ascii="Times New Roman" w:hAnsi="Times New Roman"/>
          <w:sz w:val="28"/>
          <w:szCs w:val="28"/>
          <w:lang w:val="es-CO" w:eastAsia="es-ES_tradnl"/>
        </w:rPr>
      </w:pPr>
    </w:p>
    <w:p w:rsidR="00381212" w:rsidRPr="00DA1726" w:rsidRDefault="00381212" w:rsidP="00DA1726">
      <w:pPr>
        <w:pStyle w:val="Style9"/>
        <w:widowControl/>
        <w:rPr>
          <w:rStyle w:val="FontStyle40"/>
          <w:rFonts w:ascii="Times New Roman" w:hAnsi="Times New Roman" w:cs="Times New Roman"/>
          <w:sz w:val="28"/>
          <w:szCs w:val="28"/>
          <w:lang w:val="es-ES_tradnl" w:eastAsia="es-ES_tradnl"/>
        </w:rPr>
      </w:pPr>
      <w:r w:rsidRPr="00DA1726">
        <w:rPr>
          <w:rStyle w:val="FontStyle40"/>
          <w:rFonts w:ascii="Times New Roman" w:hAnsi="Times New Roman" w:cs="Times New Roman"/>
          <w:sz w:val="28"/>
          <w:szCs w:val="28"/>
          <w:lang w:val="es-ES_tradnl" w:eastAsia="es-ES_tradnl"/>
        </w:rPr>
        <w:t xml:space="preserve">El orden del </w:t>
      </w:r>
      <w:r w:rsidR="008D66F1" w:rsidRPr="00DA1726">
        <w:rPr>
          <w:rStyle w:val="FontStyle40"/>
          <w:rFonts w:ascii="Times New Roman" w:hAnsi="Times New Roman" w:cs="Times New Roman"/>
          <w:i/>
          <w:sz w:val="28"/>
          <w:szCs w:val="28"/>
          <w:lang w:val="es-ES_tradnl" w:eastAsia="es-ES_tradnl"/>
        </w:rPr>
        <w:t>ranking</w:t>
      </w:r>
      <w:r w:rsidRPr="00DA1726">
        <w:rPr>
          <w:rStyle w:val="FontStyle40"/>
          <w:rFonts w:ascii="Times New Roman" w:hAnsi="Times New Roman" w:cs="Times New Roman"/>
          <w:sz w:val="28"/>
          <w:szCs w:val="28"/>
          <w:lang w:val="es-ES_tradnl" w:eastAsia="es-ES_tradnl"/>
        </w:rPr>
        <w:t xml:space="preserve"> </w:t>
      </w:r>
      <w:r w:rsidR="004B42BD" w:rsidRPr="00DA1726">
        <w:rPr>
          <w:rStyle w:val="FontStyle40"/>
          <w:rFonts w:ascii="Times New Roman" w:hAnsi="Times New Roman" w:cs="Times New Roman"/>
          <w:sz w:val="28"/>
          <w:szCs w:val="28"/>
          <w:lang w:val="es-ES_tradnl" w:eastAsia="es-ES_tradnl"/>
        </w:rPr>
        <w:t xml:space="preserve">se desarrolló </w:t>
      </w:r>
      <w:r w:rsidRPr="00DA1726">
        <w:rPr>
          <w:rStyle w:val="FontStyle40"/>
          <w:rFonts w:ascii="Times New Roman" w:hAnsi="Times New Roman" w:cs="Times New Roman"/>
          <w:sz w:val="28"/>
          <w:szCs w:val="28"/>
          <w:lang w:val="es-ES_tradnl" w:eastAsia="es-ES_tradnl"/>
        </w:rPr>
        <w:t xml:space="preserve">de mayor a menor según </w:t>
      </w:r>
      <w:r w:rsidR="004B42BD" w:rsidRPr="00DA1726">
        <w:rPr>
          <w:rStyle w:val="FontStyle40"/>
          <w:rFonts w:ascii="Times New Roman" w:hAnsi="Times New Roman" w:cs="Times New Roman"/>
          <w:sz w:val="28"/>
          <w:szCs w:val="28"/>
          <w:lang w:val="es-ES_tradnl" w:eastAsia="es-ES_tradnl"/>
        </w:rPr>
        <w:t>el puntaje asignado a la</w:t>
      </w:r>
      <w:r w:rsidRPr="00DA1726">
        <w:rPr>
          <w:rStyle w:val="FontStyle40"/>
          <w:rFonts w:ascii="Times New Roman" w:hAnsi="Times New Roman" w:cs="Times New Roman"/>
          <w:sz w:val="28"/>
          <w:szCs w:val="28"/>
          <w:lang w:val="es-ES_tradnl" w:eastAsia="es-ES_tradnl"/>
        </w:rPr>
        <w:t xml:space="preserve"> EPS, en donde las primeras son las que menos vulneran a sus usuarios el acceso a servicios y las últimas las que más lo vulneran. Posteriorment</w:t>
      </w:r>
      <w:r w:rsidR="004B42BD" w:rsidRPr="00DA1726">
        <w:rPr>
          <w:rStyle w:val="FontStyle40"/>
          <w:rFonts w:ascii="Times New Roman" w:hAnsi="Times New Roman" w:cs="Times New Roman"/>
          <w:sz w:val="28"/>
          <w:szCs w:val="28"/>
          <w:lang w:val="es-ES_tradnl" w:eastAsia="es-ES_tradnl"/>
        </w:rPr>
        <w:t>e, se conformaron cuatro grupos,</w:t>
      </w:r>
      <w:r w:rsidRPr="00DA1726">
        <w:rPr>
          <w:rStyle w:val="FontStyle40"/>
          <w:rFonts w:ascii="Times New Roman" w:hAnsi="Times New Roman" w:cs="Times New Roman"/>
          <w:sz w:val="28"/>
          <w:szCs w:val="28"/>
          <w:lang w:val="es-ES_tradnl" w:eastAsia="es-ES_tradnl"/>
        </w:rPr>
        <w:t xml:space="preserve"> </w:t>
      </w:r>
      <w:r w:rsidR="004B42BD" w:rsidRPr="00DA1726">
        <w:rPr>
          <w:rStyle w:val="FontStyle40"/>
          <w:rFonts w:ascii="Times New Roman" w:hAnsi="Times New Roman" w:cs="Times New Roman"/>
          <w:sz w:val="28"/>
          <w:szCs w:val="28"/>
          <w:lang w:val="es-ES_tradnl" w:eastAsia="es-ES_tradnl"/>
        </w:rPr>
        <w:t>e</w:t>
      </w:r>
      <w:r w:rsidRPr="00DA1726">
        <w:rPr>
          <w:rStyle w:val="FontStyle40"/>
          <w:rFonts w:ascii="Times New Roman" w:hAnsi="Times New Roman" w:cs="Times New Roman"/>
          <w:sz w:val="28"/>
          <w:szCs w:val="28"/>
          <w:lang w:val="es-ES_tradnl" w:eastAsia="es-ES_tradnl"/>
        </w:rPr>
        <w:t>l primer 25% de EPS según su puntaje se cataloga como de puntaje alto, el siguiente 25% como puntaje medio alto, el siguiente grupo puntaje medio bajo y el ultimo 25% de EPS puntaje bajo. De tal manera, que los usuarios pueden identificar a su EPS dentro de esta clasificación.</w:t>
      </w:r>
    </w:p>
    <w:p w:rsidR="00381212" w:rsidRPr="00DA1726" w:rsidRDefault="00381212" w:rsidP="00DA1726">
      <w:pPr>
        <w:pStyle w:val="Style9"/>
        <w:widowControl/>
        <w:rPr>
          <w:rFonts w:ascii="Times New Roman" w:hAnsi="Times New Roman"/>
          <w:sz w:val="28"/>
          <w:szCs w:val="28"/>
        </w:rPr>
      </w:pPr>
    </w:p>
    <w:p w:rsidR="004B42BD" w:rsidRPr="00DA1726" w:rsidRDefault="004B42BD" w:rsidP="00DA1726">
      <w:pPr>
        <w:pStyle w:val="Style9"/>
        <w:widowControl/>
        <w:rPr>
          <w:rStyle w:val="FontStyle40"/>
          <w:rFonts w:ascii="Times New Roman" w:hAnsi="Times New Roman" w:cs="Times New Roman"/>
          <w:sz w:val="28"/>
          <w:szCs w:val="28"/>
          <w:lang w:val="es-ES_tradnl" w:eastAsia="es-ES_tradnl"/>
        </w:rPr>
      </w:pPr>
      <w:r w:rsidRPr="00DA1726">
        <w:rPr>
          <w:rStyle w:val="FontStyle40"/>
          <w:rFonts w:ascii="Times New Roman" w:hAnsi="Times New Roman" w:cs="Times New Roman"/>
          <w:sz w:val="28"/>
          <w:szCs w:val="28"/>
          <w:lang w:val="es-ES_tradnl" w:eastAsia="es-ES_tradnl"/>
        </w:rPr>
        <w:t>Explicó que s</w:t>
      </w:r>
      <w:r w:rsidR="00381212" w:rsidRPr="00DA1726">
        <w:rPr>
          <w:rStyle w:val="FontStyle40"/>
          <w:rFonts w:ascii="Times New Roman" w:hAnsi="Times New Roman" w:cs="Times New Roman"/>
          <w:sz w:val="28"/>
          <w:szCs w:val="28"/>
          <w:lang w:val="es-ES_tradnl" w:eastAsia="es-ES_tradnl"/>
        </w:rPr>
        <w:t>e optó</w:t>
      </w:r>
      <w:r w:rsidRPr="00DA1726">
        <w:rPr>
          <w:rStyle w:val="FontStyle40"/>
          <w:rFonts w:ascii="Times New Roman" w:hAnsi="Times New Roman" w:cs="Times New Roman"/>
          <w:sz w:val="28"/>
          <w:szCs w:val="28"/>
          <w:lang w:val="es-ES_tradnl" w:eastAsia="es-ES_tradnl"/>
        </w:rPr>
        <w:t xml:space="preserve"> por esta forma de presentación</w:t>
      </w:r>
      <w:r w:rsidR="00381212" w:rsidRPr="00DA1726">
        <w:rPr>
          <w:rStyle w:val="FontStyle40"/>
          <w:rFonts w:ascii="Times New Roman" w:hAnsi="Times New Roman" w:cs="Times New Roman"/>
          <w:sz w:val="28"/>
          <w:szCs w:val="28"/>
          <w:lang w:val="es-ES_tradnl" w:eastAsia="es-ES_tradnl"/>
        </w:rPr>
        <w:t xml:space="preserve"> y no la de una lista con el puntaje por cada EPS</w:t>
      </w:r>
      <w:r w:rsidRPr="00DA1726">
        <w:rPr>
          <w:rStyle w:val="FontStyle40"/>
          <w:rFonts w:ascii="Times New Roman" w:hAnsi="Times New Roman" w:cs="Times New Roman"/>
          <w:sz w:val="28"/>
          <w:szCs w:val="28"/>
          <w:lang w:val="es-ES_tradnl" w:eastAsia="es-ES_tradnl"/>
        </w:rPr>
        <w:t xml:space="preserve">, debido a que: (i) </w:t>
      </w:r>
      <w:r w:rsidR="00381212" w:rsidRPr="00DA1726">
        <w:rPr>
          <w:rStyle w:val="FontStyle40"/>
          <w:rFonts w:ascii="Times New Roman" w:hAnsi="Times New Roman" w:cs="Times New Roman"/>
          <w:sz w:val="28"/>
          <w:szCs w:val="28"/>
          <w:lang w:val="es-ES_tradnl" w:eastAsia="es-ES_tradnl"/>
        </w:rPr>
        <w:t xml:space="preserve">los cuatro grupos dan a los usuarios </w:t>
      </w:r>
      <w:r w:rsidRPr="00DA1726">
        <w:rPr>
          <w:rStyle w:val="FontStyle40"/>
          <w:rFonts w:ascii="Times New Roman" w:hAnsi="Times New Roman" w:cs="Times New Roman"/>
          <w:sz w:val="28"/>
          <w:szCs w:val="28"/>
          <w:lang w:val="es-ES_tradnl" w:eastAsia="es-ES_tradnl"/>
        </w:rPr>
        <w:t xml:space="preserve">un rango más amplio de elección; (ii) no todas las EPS están en todos los lugares del país, por esto es necesario que exista un rango de EPS con características similares para que las personas tengan varias alternativas; </w:t>
      </w:r>
      <w:r w:rsidR="007B5B72" w:rsidRPr="00DA1726">
        <w:rPr>
          <w:rStyle w:val="FontStyle40"/>
          <w:rFonts w:ascii="Times New Roman" w:hAnsi="Times New Roman" w:cs="Times New Roman"/>
          <w:sz w:val="28"/>
          <w:szCs w:val="28"/>
          <w:lang w:val="es-ES_tradnl" w:eastAsia="es-ES_tradnl"/>
        </w:rPr>
        <w:t xml:space="preserve">y </w:t>
      </w:r>
      <w:r w:rsidRPr="00DA1726">
        <w:rPr>
          <w:rStyle w:val="FontStyle40"/>
          <w:rFonts w:ascii="Times New Roman" w:hAnsi="Times New Roman" w:cs="Times New Roman"/>
          <w:sz w:val="28"/>
          <w:szCs w:val="28"/>
          <w:lang w:val="es-ES_tradnl" w:eastAsia="es-ES_tradnl"/>
        </w:rPr>
        <w:t>(iii) crear incentivos muy fuertes a favor de una sola EPS puede inducir a una entrada masiva de usuarios de las entidades que obtuvieron los menores puntajes a aquella que obtuvo el mayor.</w:t>
      </w:r>
    </w:p>
    <w:p w:rsidR="004B42BD" w:rsidRPr="00DA1726" w:rsidRDefault="004B42BD" w:rsidP="00DA1726">
      <w:pPr>
        <w:pStyle w:val="Style5"/>
        <w:rPr>
          <w:rFonts w:ascii="Times New Roman" w:hAnsi="Times New Roman"/>
          <w:sz w:val="28"/>
          <w:szCs w:val="28"/>
          <w:lang w:val="es-CO" w:eastAsia="es-ES_tradnl"/>
        </w:rPr>
      </w:pPr>
    </w:p>
    <w:p w:rsidR="007B5B72" w:rsidRPr="00DA1726" w:rsidRDefault="007B5B72" w:rsidP="00DA1726">
      <w:pPr>
        <w:pStyle w:val="Style5"/>
        <w:rPr>
          <w:rStyle w:val="FontStyle40"/>
          <w:rFonts w:ascii="Times New Roman" w:hAnsi="Times New Roman" w:cs="Times New Roman"/>
          <w:sz w:val="28"/>
          <w:szCs w:val="28"/>
          <w:lang w:val="es-ES_tradnl" w:eastAsia="es-ES_tradnl"/>
        </w:rPr>
      </w:pPr>
      <w:r w:rsidRPr="00DA1726">
        <w:rPr>
          <w:rFonts w:ascii="Times New Roman" w:hAnsi="Times New Roman"/>
          <w:sz w:val="28"/>
          <w:szCs w:val="28"/>
          <w:lang w:val="es-CO" w:eastAsia="es-ES_tradnl"/>
        </w:rPr>
        <w:t xml:space="preserve">Sobre la divulgación del </w:t>
      </w:r>
      <w:r w:rsidR="008D66F1" w:rsidRPr="00DA1726">
        <w:rPr>
          <w:rFonts w:ascii="Times New Roman" w:hAnsi="Times New Roman"/>
          <w:i/>
          <w:sz w:val="28"/>
          <w:szCs w:val="28"/>
          <w:lang w:val="es-CO" w:eastAsia="es-ES_tradnl"/>
        </w:rPr>
        <w:t>ranking</w:t>
      </w:r>
      <w:r w:rsidRPr="00DA1726">
        <w:rPr>
          <w:rFonts w:ascii="Times New Roman" w:hAnsi="Times New Roman"/>
          <w:sz w:val="28"/>
          <w:szCs w:val="28"/>
          <w:lang w:val="es-CO" w:eastAsia="es-ES_tradnl"/>
        </w:rPr>
        <w:t xml:space="preserve"> </w:t>
      </w:r>
      <w:r w:rsidRPr="00DA1726">
        <w:rPr>
          <w:rStyle w:val="FontStyle40"/>
          <w:rFonts w:ascii="Times New Roman" w:hAnsi="Times New Roman" w:cs="Times New Roman"/>
          <w:sz w:val="28"/>
          <w:szCs w:val="28"/>
          <w:lang w:val="es-ES_tradnl" w:eastAsia="es-ES_tradnl"/>
        </w:rPr>
        <w:t>el Ministerio</w:t>
      </w:r>
      <w:r w:rsidR="008952CA" w:rsidRPr="00DA1726">
        <w:rPr>
          <w:rStyle w:val="FontStyle40"/>
          <w:rFonts w:ascii="Times New Roman" w:hAnsi="Times New Roman" w:cs="Times New Roman"/>
          <w:sz w:val="28"/>
          <w:szCs w:val="28"/>
          <w:lang w:val="es-ES_tradnl" w:eastAsia="es-ES_tradnl"/>
        </w:rPr>
        <w:t xml:space="preserve"> de Salud</w:t>
      </w:r>
      <w:r w:rsidRPr="00DA1726">
        <w:rPr>
          <w:rStyle w:val="FontStyle40"/>
          <w:rFonts w:ascii="Times New Roman" w:hAnsi="Times New Roman" w:cs="Times New Roman"/>
          <w:sz w:val="28"/>
          <w:szCs w:val="28"/>
          <w:lang w:val="es-ES_tradnl" w:eastAsia="es-ES_tradnl"/>
        </w:rPr>
        <w:t xml:space="preserve"> y la Superintendencia a través de la Resolución 4343 de 2012</w:t>
      </w:r>
      <w:r w:rsidR="00273604" w:rsidRPr="00DA1726">
        <w:rPr>
          <w:rFonts w:ascii="Times New Roman" w:hAnsi="Times New Roman"/>
          <w:sz w:val="28"/>
          <w:szCs w:val="28"/>
          <w:vertAlign w:val="superscript"/>
          <w:lang w:val="es-ES_tradnl" w:eastAsia="es-ES_tradnl"/>
        </w:rPr>
        <w:footnoteReference w:id="18"/>
      </w:r>
      <w:r w:rsidRPr="00DA1726">
        <w:rPr>
          <w:rStyle w:val="FontStyle40"/>
          <w:rFonts w:ascii="Times New Roman" w:hAnsi="Times New Roman" w:cs="Times New Roman"/>
          <w:sz w:val="28"/>
          <w:szCs w:val="28"/>
          <w:lang w:val="es-ES_tradnl" w:eastAsia="es-ES_tradnl"/>
        </w:rPr>
        <w:t xml:space="preserve"> indicaron que ordenaron la publicación del ordenamiento en las cartas de desempeño de las EPS y se encuentran realizando el seguimiento respectivo a este material. Sin embargo, plantearon que para el año 2014 se incluiría una estrategia más amplia de divulgación y pedagogía orientada al usuario promedio del sistema y en colaboración con las asociaciones de usuarios, que pueden apoyar el proceso y servir como divulgadores de la información.</w:t>
      </w:r>
    </w:p>
    <w:p w:rsidR="007B5B72" w:rsidRPr="00DA1726" w:rsidRDefault="007B5B72" w:rsidP="00DA1726">
      <w:pPr>
        <w:pStyle w:val="Style5"/>
        <w:rPr>
          <w:rFonts w:ascii="Times New Roman" w:hAnsi="Times New Roman"/>
          <w:sz w:val="28"/>
          <w:szCs w:val="28"/>
          <w:lang w:val="es-CO" w:eastAsia="es-ES_tradnl"/>
        </w:rPr>
      </w:pPr>
    </w:p>
    <w:p w:rsidR="007B5B72" w:rsidRPr="00DA1726" w:rsidRDefault="007B5B72" w:rsidP="00DA1726">
      <w:pPr>
        <w:pStyle w:val="Style7"/>
        <w:widowControl/>
        <w:numPr>
          <w:ilvl w:val="2"/>
          <w:numId w:val="40"/>
        </w:numPr>
        <w:ind w:left="851" w:hanging="851"/>
        <w:rPr>
          <w:rStyle w:val="FontStyle36"/>
          <w:rFonts w:ascii="Times New Roman" w:hAnsi="Times New Roman" w:cs="Times New Roman"/>
          <w:b w:val="0"/>
          <w:i/>
          <w:sz w:val="28"/>
          <w:szCs w:val="28"/>
          <w:lang w:val="es-ES_tradnl" w:eastAsia="es-ES_tradnl"/>
        </w:rPr>
      </w:pPr>
      <w:r w:rsidRPr="00DA1726">
        <w:rPr>
          <w:rStyle w:val="FontStyle36"/>
          <w:rFonts w:ascii="Times New Roman" w:hAnsi="Times New Roman" w:cs="Times New Roman"/>
          <w:b w:val="0"/>
          <w:i/>
          <w:sz w:val="28"/>
          <w:szCs w:val="28"/>
          <w:lang w:val="es-ES_tradnl" w:eastAsia="es-ES_tradnl"/>
        </w:rPr>
        <w:t>Las medidas que se desprenden de los resultados del ordenamiento</w:t>
      </w:r>
    </w:p>
    <w:p w:rsidR="007B5B72" w:rsidRPr="00DA1726" w:rsidRDefault="007B5B72" w:rsidP="00DA1726">
      <w:pPr>
        <w:pStyle w:val="Style5"/>
        <w:rPr>
          <w:rFonts w:ascii="Times New Roman" w:hAnsi="Times New Roman"/>
          <w:sz w:val="28"/>
          <w:szCs w:val="28"/>
          <w:lang w:val="es-CO" w:eastAsia="es-ES_tradnl"/>
        </w:rPr>
      </w:pPr>
    </w:p>
    <w:p w:rsidR="006C7843" w:rsidRPr="00DA1726" w:rsidRDefault="006C7843" w:rsidP="00DA1726">
      <w:pPr>
        <w:pStyle w:val="Style9"/>
        <w:widowControl/>
        <w:rPr>
          <w:rStyle w:val="FontStyle40"/>
          <w:rFonts w:ascii="Times New Roman" w:hAnsi="Times New Roman" w:cs="Times New Roman"/>
          <w:sz w:val="28"/>
          <w:szCs w:val="28"/>
          <w:lang w:val="es-ES_tradnl" w:eastAsia="es-ES_tradnl"/>
        </w:rPr>
      </w:pPr>
      <w:r w:rsidRPr="00DA1726">
        <w:rPr>
          <w:rStyle w:val="FontStyle40"/>
          <w:rFonts w:ascii="Times New Roman" w:hAnsi="Times New Roman" w:cs="Times New Roman"/>
          <w:sz w:val="28"/>
          <w:szCs w:val="28"/>
          <w:lang w:val="es-ES_tradnl" w:eastAsia="es-ES_tradnl"/>
        </w:rPr>
        <w:t>El</w:t>
      </w:r>
      <w:r w:rsidR="00603948" w:rsidRPr="00DA1726">
        <w:rPr>
          <w:rStyle w:val="FontStyle40"/>
          <w:rFonts w:ascii="Times New Roman" w:hAnsi="Times New Roman" w:cs="Times New Roman"/>
          <w:sz w:val="28"/>
          <w:szCs w:val="28"/>
          <w:lang w:val="es-ES_tradnl" w:eastAsia="es-ES_tradnl"/>
        </w:rPr>
        <w:t xml:space="preserve"> Ministerio consideró</w:t>
      </w:r>
      <w:r w:rsidRPr="00DA1726">
        <w:rPr>
          <w:rStyle w:val="FontStyle40"/>
          <w:rFonts w:ascii="Times New Roman" w:hAnsi="Times New Roman" w:cs="Times New Roman"/>
          <w:sz w:val="28"/>
          <w:szCs w:val="28"/>
          <w:lang w:val="es-ES_tradnl" w:eastAsia="es-ES_tradnl"/>
        </w:rPr>
        <w:t xml:space="preserve"> que efectivamente </w:t>
      </w:r>
      <w:r w:rsidR="00603948" w:rsidRPr="00DA1726">
        <w:rPr>
          <w:rStyle w:val="FontStyle40"/>
          <w:rFonts w:ascii="Times New Roman" w:hAnsi="Times New Roman" w:cs="Times New Roman"/>
          <w:sz w:val="28"/>
          <w:szCs w:val="28"/>
          <w:lang w:val="es-ES_tradnl" w:eastAsia="es-ES_tradnl"/>
        </w:rPr>
        <w:t>era necesario</w:t>
      </w:r>
      <w:r w:rsidRPr="00DA1726">
        <w:rPr>
          <w:rStyle w:val="FontStyle40"/>
          <w:rFonts w:ascii="Times New Roman" w:hAnsi="Times New Roman" w:cs="Times New Roman"/>
          <w:sz w:val="28"/>
          <w:szCs w:val="28"/>
          <w:lang w:val="es-ES_tradnl" w:eastAsia="es-ES_tradnl"/>
        </w:rPr>
        <w:t xml:space="preserve"> hacer explícitas las posibles medidas que se pueden desprender a partir de </w:t>
      </w:r>
      <w:r w:rsidR="00603948" w:rsidRPr="00DA1726">
        <w:rPr>
          <w:rStyle w:val="FontStyle40"/>
          <w:rFonts w:ascii="Times New Roman" w:hAnsi="Times New Roman" w:cs="Times New Roman"/>
          <w:sz w:val="28"/>
          <w:szCs w:val="28"/>
          <w:lang w:val="es-ES_tradnl" w:eastAsia="es-ES_tradnl"/>
        </w:rPr>
        <w:t xml:space="preserve">los resultados del ordenamiento. En este sentido informó que para el ordenamiento del </w:t>
      </w:r>
      <w:r w:rsidRPr="00DA1726">
        <w:rPr>
          <w:rStyle w:val="FontStyle40"/>
          <w:rFonts w:ascii="Times New Roman" w:hAnsi="Times New Roman" w:cs="Times New Roman"/>
          <w:sz w:val="28"/>
          <w:szCs w:val="28"/>
          <w:lang w:val="es-ES_tradnl" w:eastAsia="es-ES_tradnl"/>
        </w:rPr>
        <w:t>año 2014 se incluirá</w:t>
      </w:r>
      <w:r w:rsidR="00603948" w:rsidRPr="00DA1726">
        <w:rPr>
          <w:rStyle w:val="FontStyle40"/>
          <w:rFonts w:ascii="Times New Roman" w:hAnsi="Times New Roman" w:cs="Times New Roman"/>
          <w:sz w:val="28"/>
          <w:szCs w:val="28"/>
          <w:lang w:val="es-ES_tradnl" w:eastAsia="es-ES_tradnl"/>
        </w:rPr>
        <w:t xml:space="preserve"> este tema de manera específica.</w:t>
      </w:r>
    </w:p>
    <w:p w:rsidR="006C7843" w:rsidRPr="00DA1726" w:rsidRDefault="006C7843" w:rsidP="00DA1726">
      <w:pPr>
        <w:pStyle w:val="Style5"/>
        <w:rPr>
          <w:rFonts w:ascii="Times New Roman" w:hAnsi="Times New Roman"/>
          <w:sz w:val="28"/>
          <w:szCs w:val="28"/>
          <w:lang w:val="es-CO" w:eastAsia="es-ES_tradnl"/>
        </w:rPr>
      </w:pPr>
    </w:p>
    <w:p w:rsidR="00603948" w:rsidRPr="00DA1726" w:rsidRDefault="00603948" w:rsidP="00DA1726">
      <w:pPr>
        <w:pStyle w:val="Style5"/>
        <w:numPr>
          <w:ilvl w:val="2"/>
          <w:numId w:val="40"/>
        </w:numPr>
        <w:ind w:left="851" w:hanging="851"/>
        <w:rPr>
          <w:rStyle w:val="FontStyle36"/>
          <w:rFonts w:ascii="Times New Roman" w:hAnsi="Times New Roman" w:cs="Times New Roman"/>
          <w:b w:val="0"/>
          <w:i/>
          <w:sz w:val="28"/>
          <w:szCs w:val="28"/>
          <w:lang w:val="es-ES_tradnl" w:eastAsia="es-ES_tradnl"/>
        </w:rPr>
      </w:pPr>
      <w:r w:rsidRPr="00DA1726">
        <w:rPr>
          <w:rStyle w:val="FontStyle36"/>
          <w:rFonts w:ascii="Times New Roman" w:hAnsi="Times New Roman" w:cs="Times New Roman"/>
          <w:b w:val="0"/>
          <w:i/>
          <w:sz w:val="28"/>
          <w:szCs w:val="28"/>
          <w:lang w:val="es-ES_tradnl" w:eastAsia="es-ES_tradnl"/>
        </w:rPr>
        <w:t xml:space="preserve">Consideraciones sobre </w:t>
      </w:r>
      <w:r w:rsidR="008D66F1" w:rsidRPr="00DA1726">
        <w:rPr>
          <w:rStyle w:val="FontStyle36"/>
          <w:rFonts w:ascii="Times New Roman" w:hAnsi="Times New Roman" w:cs="Times New Roman"/>
          <w:b w:val="0"/>
          <w:i/>
          <w:sz w:val="28"/>
          <w:szCs w:val="28"/>
          <w:lang w:val="es-ES_tradnl" w:eastAsia="es-ES_tradnl"/>
        </w:rPr>
        <w:t>Ranking</w:t>
      </w:r>
      <w:r w:rsidRPr="00DA1726">
        <w:rPr>
          <w:rStyle w:val="FontStyle36"/>
          <w:rFonts w:ascii="Times New Roman" w:hAnsi="Times New Roman" w:cs="Times New Roman"/>
          <w:b w:val="0"/>
          <w:i/>
          <w:sz w:val="28"/>
          <w:szCs w:val="28"/>
          <w:lang w:val="es-ES_tradnl" w:eastAsia="es-ES_tradnl"/>
        </w:rPr>
        <w:t xml:space="preserve"> de IPS</w:t>
      </w:r>
      <w:r w:rsidR="00B75C0C" w:rsidRPr="00DA1726">
        <w:rPr>
          <w:rStyle w:val="FontStyle36"/>
          <w:rFonts w:ascii="Times New Roman" w:hAnsi="Times New Roman" w:cs="Times New Roman"/>
          <w:b w:val="0"/>
          <w:i/>
          <w:sz w:val="28"/>
          <w:szCs w:val="28"/>
          <w:lang w:val="es-ES_tradnl" w:eastAsia="es-ES_tradnl"/>
        </w:rPr>
        <w:t>.</w:t>
      </w:r>
    </w:p>
    <w:p w:rsidR="00733DFB" w:rsidRPr="00DA1726" w:rsidRDefault="00733DFB" w:rsidP="00DA1726">
      <w:pPr>
        <w:pStyle w:val="Style5"/>
        <w:rPr>
          <w:rStyle w:val="FontStyle36"/>
          <w:rFonts w:ascii="Times New Roman" w:hAnsi="Times New Roman" w:cs="Times New Roman"/>
          <w:sz w:val="28"/>
          <w:szCs w:val="28"/>
          <w:lang w:val="es-ES_tradnl" w:eastAsia="es-ES_tradnl"/>
        </w:rPr>
      </w:pPr>
    </w:p>
    <w:p w:rsidR="00733DFB" w:rsidRPr="00DA1726" w:rsidRDefault="007269BF" w:rsidP="00DA1726">
      <w:pPr>
        <w:pStyle w:val="Style9"/>
        <w:widowControl/>
        <w:rPr>
          <w:rStyle w:val="FontStyle40"/>
          <w:rFonts w:ascii="Times New Roman" w:hAnsi="Times New Roman" w:cs="Times New Roman"/>
          <w:sz w:val="28"/>
          <w:szCs w:val="28"/>
          <w:lang w:val="es-ES_tradnl" w:eastAsia="es-ES_tradnl"/>
        </w:rPr>
      </w:pPr>
      <w:r w:rsidRPr="00DA1726">
        <w:rPr>
          <w:rStyle w:val="FontStyle40"/>
          <w:rFonts w:ascii="Times New Roman" w:hAnsi="Times New Roman" w:cs="Times New Roman"/>
          <w:sz w:val="28"/>
          <w:szCs w:val="28"/>
          <w:lang w:val="es-ES_tradnl" w:eastAsia="es-ES_tradnl"/>
        </w:rPr>
        <w:t>Indicó que l</w:t>
      </w:r>
      <w:r w:rsidR="00733DFB" w:rsidRPr="00DA1726">
        <w:rPr>
          <w:rStyle w:val="FontStyle40"/>
          <w:rFonts w:ascii="Times New Roman" w:hAnsi="Times New Roman" w:cs="Times New Roman"/>
          <w:sz w:val="28"/>
          <w:szCs w:val="28"/>
          <w:lang w:val="es-ES_tradnl" w:eastAsia="es-ES_tradnl"/>
        </w:rPr>
        <w:t>a mayoría de los criterios definidos por la Corte Constitucional no son aplicables a las IPS</w:t>
      </w:r>
      <w:r w:rsidRPr="00DA1726">
        <w:rPr>
          <w:rStyle w:val="FontStyle40"/>
          <w:rFonts w:ascii="Times New Roman" w:hAnsi="Times New Roman" w:cs="Times New Roman"/>
          <w:sz w:val="28"/>
          <w:szCs w:val="28"/>
          <w:lang w:val="es-ES_tradnl" w:eastAsia="es-ES_tradnl"/>
        </w:rPr>
        <w:t>,</w:t>
      </w:r>
      <w:r w:rsidR="00733DFB" w:rsidRPr="00DA1726">
        <w:rPr>
          <w:rStyle w:val="FontStyle40"/>
          <w:rFonts w:ascii="Times New Roman" w:hAnsi="Times New Roman" w:cs="Times New Roman"/>
          <w:sz w:val="28"/>
          <w:szCs w:val="28"/>
          <w:lang w:val="es-ES_tradnl" w:eastAsia="es-ES_tradnl"/>
        </w:rPr>
        <w:t xml:space="preserve"> ya que sus funciones no están asociadas al ámbito de la autorización de las atenciones requeridas por los pacientes y de afiliación de los usuarios. Las IPS dependen de la autorización de un pagador para realizar la atención, excepto que se trate de la atención inicial de urgencias.</w:t>
      </w:r>
    </w:p>
    <w:p w:rsidR="00733DFB" w:rsidRPr="00DA1726" w:rsidRDefault="00733DFB" w:rsidP="00DA1726">
      <w:pPr>
        <w:pStyle w:val="Style5"/>
        <w:rPr>
          <w:rFonts w:ascii="Times New Roman" w:hAnsi="Times New Roman"/>
          <w:sz w:val="28"/>
          <w:szCs w:val="28"/>
          <w:lang w:val="es-CO" w:eastAsia="es-ES_tradnl"/>
        </w:rPr>
      </w:pPr>
    </w:p>
    <w:p w:rsidR="001A4ECD" w:rsidRPr="00DA1726" w:rsidRDefault="001A4ECD" w:rsidP="00DA1726">
      <w:pPr>
        <w:pStyle w:val="Style5"/>
        <w:rPr>
          <w:rStyle w:val="FontStyle40"/>
          <w:rFonts w:ascii="Times New Roman" w:hAnsi="Times New Roman" w:cs="Times New Roman"/>
          <w:sz w:val="28"/>
          <w:szCs w:val="28"/>
          <w:lang w:val="es-ES_tradnl" w:eastAsia="es-ES_tradnl"/>
        </w:rPr>
      </w:pPr>
      <w:r w:rsidRPr="00DA1726">
        <w:rPr>
          <w:rStyle w:val="FontStyle40"/>
          <w:rFonts w:ascii="Times New Roman" w:hAnsi="Times New Roman" w:cs="Times New Roman"/>
          <w:sz w:val="28"/>
          <w:szCs w:val="28"/>
          <w:lang w:val="es-ES_tradnl" w:eastAsia="es-ES_tradnl"/>
        </w:rPr>
        <w:t xml:space="preserve">Esto no quiere decir que las </w:t>
      </w:r>
      <w:r w:rsidR="0064037E" w:rsidRPr="00DA1726">
        <w:rPr>
          <w:rStyle w:val="FontStyle40"/>
          <w:rFonts w:ascii="Times New Roman" w:hAnsi="Times New Roman" w:cs="Times New Roman"/>
          <w:sz w:val="28"/>
          <w:szCs w:val="28"/>
          <w:lang w:val="es-ES_tradnl" w:eastAsia="es-ES_tradnl"/>
        </w:rPr>
        <w:t xml:space="preserve">instituciones prestadoras de salud </w:t>
      </w:r>
      <w:r w:rsidRPr="00DA1726">
        <w:rPr>
          <w:rStyle w:val="FontStyle40"/>
          <w:rFonts w:ascii="Times New Roman" w:hAnsi="Times New Roman" w:cs="Times New Roman"/>
          <w:sz w:val="28"/>
          <w:szCs w:val="28"/>
          <w:lang w:val="es-ES_tradnl" w:eastAsia="es-ES_tradnl"/>
        </w:rPr>
        <w:t>no incurran en prácticas violatorias de los derechos de los usuarios, pero definir una métrica para la medición de los criterios tal y como están definidos en los parámetros de la Corte no es adecuado técnicamente. La complejidad radica en que los criterios de vulnerabilidad del derecho no están asociados a las responsabi</w:t>
      </w:r>
      <w:r w:rsidR="00E75883" w:rsidRPr="00DA1726">
        <w:rPr>
          <w:rStyle w:val="FontStyle40"/>
          <w:rFonts w:ascii="Times New Roman" w:hAnsi="Times New Roman" w:cs="Times New Roman"/>
          <w:sz w:val="28"/>
          <w:szCs w:val="28"/>
          <w:lang w:val="es-ES_tradnl" w:eastAsia="es-ES_tradnl"/>
        </w:rPr>
        <w:t>lidades particulares de las IPS</w:t>
      </w:r>
      <w:r w:rsidRPr="00DA1726">
        <w:rPr>
          <w:rStyle w:val="FontStyle40"/>
          <w:rFonts w:ascii="Times New Roman" w:hAnsi="Times New Roman" w:cs="Times New Roman"/>
          <w:sz w:val="28"/>
          <w:szCs w:val="28"/>
          <w:lang w:val="es-ES_tradnl" w:eastAsia="es-ES_tradnl"/>
        </w:rPr>
        <w:t xml:space="preserve"> y además los indicadores utilizados para el ordenamiento de l</w:t>
      </w:r>
      <w:r w:rsidR="007269BF" w:rsidRPr="00DA1726">
        <w:rPr>
          <w:rStyle w:val="FontStyle40"/>
          <w:rFonts w:ascii="Times New Roman" w:hAnsi="Times New Roman" w:cs="Times New Roman"/>
          <w:sz w:val="28"/>
          <w:szCs w:val="28"/>
          <w:lang w:val="es-ES_tradnl" w:eastAsia="es-ES_tradnl"/>
        </w:rPr>
        <w:t xml:space="preserve">as EPS no pueden ser los mismos, </w:t>
      </w:r>
      <w:r w:rsidRPr="00DA1726">
        <w:rPr>
          <w:rStyle w:val="FontStyle40"/>
          <w:rFonts w:ascii="Times New Roman" w:hAnsi="Times New Roman" w:cs="Times New Roman"/>
          <w:sz w:val="28"/>
          <w:szCs w:val="28"/>
          <w:lang w:val="es-ES_tradnl" w:eastAsia="es-ES_tradnl"/>
        </w:rPr>
        <w:t>como se observa en la siguiente tabla</w:t>
      </w:r>
      <w:r w:rsidR="00E75883" w:rsidRPr="00DA1726">
        <w:rPr>
          <w:rStyle w:val="FontStyle40"/>
          <w:rFonts w:ascii="Times New Roman" w:hAnsi="Times New Roman" w:cs="Times New Roman"/>
          <w:sz w:val="28"/>
          <w:szCs w:val="28"/>
          <w:lang w:val="es-ES_tradnl" w:eastAsia="es-ES_tradnl"/>
        </w:rPr>
        <w:t>:</w:t>
      </w:r>
    </w:p>
    <w:p w:rsidR="001A4ECD" w:rsidRPr="00DA1726" w:rsidRDefault="001A4ECD" w:rsidP="00DA1726">
      <w:pPr>
        <w:pStyle w:val="Style5"/>
        <w:rPr>
          <w:rStyle w:val="FontStyle40"/>
          <w:rFonts w:ascii="Times New Roman" w:hAnsi="Times New Roman" w:cs="Times New Roman"/>
          <w:sz w:val="28"/>
          <w:szCs w:val="28"/>
          <w:lang w:val="es-ES_tradnl" w:eastAsia="es-ES_tradnl"/>
        </w:rPr>
      </w:pPr>
    </w:p>
    <w:tbl>
      <w:tblPr>
        <w:tblW w:w="8883" w:type="dxa"/>
        <w:tblInd w:w="40" w:type="dxa"/>
        <w:tblLayout w:type="fixed"/>
        <w:tblCellMar>
          <w:left w:w="40" w:type="dxa"/>
          <w:right w:w="40" w:type="dxa"/>
        </w:tblCellMar>
        <w:tblLook w:val="0000" w:firstRow="0" w:lastRow="0" w:firstColumn="0" w:lastColumn="0" w:noHBand="0" w:noVBand="0"/>
      </w:tblPr>
      <w:tblGrid>
        <w:gridCol w:w="4238"/>
        <w:gridCol w:w="4645"/>
      </w:tblGrid>
      <w:tr w:rsidR="001A4ECD" w:rsidRPr="00DA1726" w:rsidTr="001A4ECD">
        <w:tc>
          <w:tcPr>
            <w:tcW w:w="4238" w:type="dxa"/>
            <w:tcBorders>
              <w:top w:val="single" w:sz="6" w:space="0" w:color="auto"/>
              <w:left w:val="single" w:sz="6" w:space="0" w:color="auto"/>
              <w:bottom w:val="single" w:sz="6" w:space="0" w:color="auto"/>
              <w:right w:val="single" w:sz="6" w:space="0" w:color="auto"/>
            </w:tcBorders>
          </w:tcPr>
          <w:p w:rsidR="001A4ECD" w:rsidRPr="00DA1726" w:rsidRDefault="001A4ECD" w:rsidP="00DA1726">
            <w:pPr>
              <w:pStyle w:val="Style5"/>
              <w:jc w:val="center"/>
              <w:rPr>
                <w:rFonts w:ascii="Times New Roman" w:hAnsi="Times New Roman"/>
                <w:b/>
                <w:bCs/>
                <w:sz w:val="28"/>
                <w:szCs w:val="28"/>
                <w:lang w:val="es-ES_tradnl" w:eastAsia="es-ES_tradnl"/>
              </w:rPr>
            </w:pPr>
            <w:r w:rsidRPr="00DA1726">
              <w:rPr>
                <w:rFonts w:ascii="Times New Roman" w:hAnsi="Times New Roman"/>
                <w:b/>
                <w:bCs/>
                <w:sz w:val="28"/>
                <w:szCs w:val="28"/>
                <w:lang w:val="es-ES_tradnl" w:eastAsia="es-ES_tradnl"/>
              </w:rPr>
              <w:t>Criterio de la Corte Constitucional</w:t>
            </w:r>
          </w:p>
        </w:tc>
        <w:tc>
          <w:tcPr>
            <w:tcW w:w="4645" w:type="dxa"/>
            <w:tcBorders>
              <w:top w:val="single" w:sz="6" w:space="0" w:color="auto"/>
              <w:left w:val="single" w:sz="6" w:space="0" w:color="auto"/>
              <w:bottom w:val="single" w:sz="6" w:space="0" w:color="auto"/>
              <w:right w:val="single" w:sz="6" w:space="0" w:color="auto"/>
            </w:tcBorders>
          </w:tcPr>
          <w:p w:rsidR="001A4ECD" w:rsidRPr="00DA1726" w:rsidRDefault="001A4ECD" w:rsidP="00DA1726">
            <w:pPr>
              <w:pStyle w:val="Style5"/>
              <w:jc w:val="center"/>
              <w:rPr>
                <w:rFonts w:ascii="Times New Roman" w:hAnsi="Times New Roman"/>
                <w:b/>
                <w:bCs/>
                <w:sz w:val="28"/>
                <w:szCs w:val="28"/>
                <w:lang w:val="es-ES_tradnl" w:eastAsia="es-ES_tradnl"/>
              </w:rPr>
            </w:pPr>
            <w:r w:rsidRPr="00DA1726">
              <w:rPr>
                <w:rFonts w:ascii="Times New Roman" w:hAnsi="Times New Roman"/>
                <w:b/>
                <w:bCs/>
                <w:sz w:val="28"/>
                <w:szCs w:val="28"/>
                <w:lang w:val="es-ES_tradnl" w:eastAsia="es-ES_tradnl"/>
              </w:rPr>
              <w:t>Pertinencia para evaluar IPS</w:t>
            </w:r>
          </w:p>
        </w:tc>
      </w:tr>
      <w:tr w:rsidR="001A4ECD" w:rsidRPr="00DA1726" w:rsidTr="001A4ECD">
        <w:tc>
          <w:tcPr>
            <w:tcW w:w="4238" w:type="dxa"/>
            <w:tcBorders>
              <w:top w:val="single" w:sz="6" w:space="0" w:color="auto"/>
              <w:left w:val="single" w:sz="6" w:space="0" w:color="auto"/>
              <w:bottom w:val="single" w:sz="6" w:space="0" w:color="auto"/>
              <w:right w:val="single" w:sz="6" w:space="0" w:color="auto"/>
            </w:tcBorders>
            <w:vAlign w:val="center"/>
          </w:tcPr>
          <w:p w:rsidR="001A4ECD" w:rsidRPr="00DA1726" w:rsidRDefault="001A4ECD"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1 al 10</w:t>
            </w:r>
          </w:p>
        </w:tc>
        <w:tc>
          <w:tcPr>
            <w:tcW w:w="4645" w:type="dxa"/>
            <w:tcBorders>
              <w:top w:val="single" w:sz="6" w:space="0" w:color="auto"/>
              <w:left w:val="single" w:sz="6" w:space="0" w:color="auto"/>
              <w:bottom w:val="single" w:sz="6" w:space="0" w:color="auto"/>
              <w:right w:val="single" w:sz="6" w:space="0" w:color="auto"/>
            </w:tcBorders>
            <w:vAlign w:val="center"/>
          </w:tcPr>
          <w:p w:rsidR="001A4ECD" w:rsidRPr="00DA1726" w:rsidRDefault="001A4ECD"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Se refieren a la autorización oportuna o negación de autoriz</w:t>
            </w:r>
            <w:r w:rsidR="007269BF" w:rsidRPr="00DA1726">
              <w:rPr>
                <w:rFonts w:ascii="Times New Roman" w:hAnsi="Times New Roman"/>
                <w:sz w:val="28"/>
                <w:szCs w:val="28"/>
                <w:lang w:val="es-ES_tradnl" w:eastAsia="es-ES_tradnl"/>
              </w:rPr>
              <w:t>ación de servicios. La “</w:t>
            </w:r>
            <w:r w:rsidR="0064037E" w:rsidRPr="00DA1726">
              <w:rPr>
                <w:rFonts w:ascii="Times New Roman" w:hAnsi="Times New Roman"/>
                <w:sz w:val="28"/>
                <w:szCs w:val="28"/>
                <w:lang w:val="es-ES_tradnl" w:eastAsia="es-ES_tradnl"/>
              </w:rPr>
              <w:t>autorización de servicios</w:t>
            </w:r>
            <w:r w:rsidR="007269BF" w:rsidRPr="00DA1726">
              <w:rPr>
                <w:rFonts w:ascii="Times New Roman" w:hAnsi="Times New Roman"/>
                <w:sz w:val="28"/>
                <w:szCs w:val="28"/>
                <w:lang w:val="es-ES_tradnl" w:eastAsia="es-ES_tradnl"/>
              </w:rPr>
              <w:t>”</w:t>
            </w:r>
            <w:r w:rsidRPr="00DA1726">
              <w:rPr>
                <w:rFonts w:ascii="Times New Roman" w:hAnsi="Times New Roman"/>
                <w:sz w:val="28"/>
                <w:szCs w:val="28"/>
                <w:lang w:val="es-ES_tradnl" w:eastAsia="es-ES_tradnl"/>
              </w:rPr>
              <w:t xml:space="preserve"> es una función exclusiva de las EPS.</w:t>
            </w:r>
          </w:p>
        </w:tc>
      </w:tr>
      <w:tr w:rsidR="001A4ECD" w:rsidRPr="00DA1726" w:rsidTr="001A4ECD">
        <w:tc>
          <w:tcPr>
            <w:tcW w:w="4238" w:type="dxa"/>
            <w:tcBorders>
              <w:top w:val="single" w:sz="6" w:space="0" w:color="auto"/>
              <w:left w:val="single" w:sz="6" w:space="0" w:color="auto"/>
              <w:bottom w:val="single" w:sz="6" w:space="0" w:color="auto"/>
              <w:right w:val="single" w:sz="6" w:space="0" w:color="auto"/>
            </w:tcBorders>
            <w:vAlign w:val="center"/>
          </w:tcPr>
          <w:p w:rsidR="001A4ECD" w:rsidRPr="00DA1726" w:rsidRDefault="001A4ECD"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11. Se niegan a afiliar personas, a pesar de que estas ya hayan cumplido el tiempo para trasladarse, por el hecho de que dentro de su grupo familiar existe una persona (su hijo, un niño) que padece una enfermedad catastrófica</w:t>
            </w:r>
            <w:r w:rsidR="0064037E" w:rsidRPr="00DA1726">
              <w:rPr>
                <w:rFonts w:ascii="Times New Roman" w:hAnsi="Times New Roman"/>
                <w:sz w:val="28"/>
                <w:szCs w:val="28"/>
                <w:lang w:val="es-ES_tradnl" w:eastAsia="es-ES_tradnl"/>
              </w:rPr>
              <w:t>.</w:t>
            </w:r>
          </w:p>
        </w:tc>
        <w:tc>
          <w:tcPr>
            <w:tcW w:w="4645" w:type="dxa"/>
            <w:tcBorders>
              <w:top w:val="single" w:sz="6" w:space="0" w:color="auto"/>
              <w:left w:val="single" w:sz="6" w:space="0" w:color="auto"/>
              <w:bottom w:val="single" w:sz="6" w:space="0" w:color="auto"/>
              <w:right w:val="single" w:sz="6" w:space="0" w:color="auto"/>
            </w:tcBorders>
            <w:vAlign w:val="center"/>
          </w:tcPr>
          <w:p w:rsidR="001A4ECD" w:rsidRPr="00DA1726" w:rsidRDefault="001A4ECD"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Se refiere a la afiliación que es una función propia de las EPS.</w:t>
            </w:r>
          </w:p>
        </w:tc>
      </w:tr>
      <w:tr w:rsidR="001A4ECD" w:rsidRPr="00DA1726" w:rsidTr="001A4ECD">
        <w:tc>
          <w:tcPr>
            <w:tcW w:w="4238" w:type="dxa"/>
            <w:tcBorders>
              <w:top w:val="single" w:sz="6" w:space="0" w:color="auto"/>
              <w:left w:val="single" w:sz="6" w:space="0" w:color="auto"/>
              <w:bottom w:val="single" w:sz="6" w:space="0" w:color="auto"/>
              <w:right w:val="single" w:sz="6" w:space="0" w:color="auto"/>
            </w:tcBorders>
          </w:tcPr>
          <w:p w:rsidR="001A4ECD" w:rsidRPr="00DA1726" w:rsidRDefault="001A4ECD"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12. Interrumpen el suministro de servicios de salud, porque ya transcurrió un mes luego del momento en que la persona dejó de cotizar, en razón a que ahora es desempleado, antes de que este haya en efecto sido asumido por otro prestador</w:t>
            </w:r>
            <w:r w:rsidR="0064037E" w:rsidRPr="00DA1726">
              <w:rPr>
                <w:rFonts w:ascii="Times New Roman" w:hAnsi="Times New Roman"/>
                <w:sz w:val="28"/>
                <w:szCs w:val="28"/>
                <w:lang w:val="es-ES_tradnl" w:eastAsia="es-ES_tradnl"/>
              </w:rPr>
              <w:t>.</w:t>
            </w:r>
          </w:p>
        </w:tc>
        <w:tc>
          <w:tcPr>
            <w:tcW w:w="4645" w:type="dxa"/>
            <w:tcBorders>
              <w:top w:val="single" w:sz="6" w:space="0" w:color="auto"/>
              <w:left w:val="single" w:sz="6" w:space="0" w:color="auto"/>
              <w:bottom w:val="single" w:sz="6" w:space="0" w:color="auto"/>
              <w:right w:val="single" w:sz="6" w:space="0" w:color="auto"/>
            </w:tcBorders>
          </w:tcPr>
          <w:p w:rsidR="001A4ECD" w:rsidRPr="00DA1726" w:rsidRDefault="001A4ECD"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Hace referencia a la interrupción del suministro de servicios de salud, con respecto a este parámetro es importante aclarar que la atención de urgencias está garantizada por ley sin importar la afiliación de la persona, si el servicio requerido es ambulatorio y la persona no tiene los recursos para costearlo, el municipio debe asumir el costo generado.</w:t>
            </w:r>
          </w:p>
        </w:tc>
      </w:tr>
      <w:tr w:rsidR="001A4ECD" w:rsidRPr="00DA1726" w:rsidTr="001A4ECD">
        <w:tc>
          <w:tcPr>
            <w:tcW w:w="4238" w:type="dxa"/>
            <w:tcBorders>
              <w:top w:val="single" w:sz="6" w:space="0" w:color="auto"/>
              <w:left w:val="single" w:sz="6" w:space="0" w:color="auto"/>
              <w:bottom w:val="single" w:sz="6" w:space="0" w:color="auto"/>
              <w:right w:val="single" w:sz="6" w:space="0" w:color="auto"/>
            </w:tcBorders>
            <w:vAlign w:val="center"/>
          </w:tcPr>
          <w:p w:rsidR="001A4ECD" w:rsidRPr="00DA1726" w:rsidRDefault="001A4ECD"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13. Cobran copagos a personas que padecen enfermedad catastrófica o de alto costo</w:t>
            </w:r>
            <w:r w:rsidR="0064037E" w:rsidRPr="00DA1726">
              <w:rPr>
                <w:rFonts w:ascii="Times New Roman" w:hAnsi="Times New Roman"/>
                <w:sz w:val="28"/>
                <w:szCs w:val="28"/>
                <w:lang w:val="es-ES_tradnl" w:eastAsia="es-ES_tradnl"/>
              </w:rPr>
              <w:t>.</w:t>
            </w:r>
          </w:p>
        </w:tc>
        <w:tc>
          <w:tcPr>
            <w:tcW w:w="4645" w:type="dxa"/>
            <w:tcBorders>
              <w:top w:val="single" w:sz="6" w:space="0" w:color="auto"/>
              <w:left w:val="single" w:sz="6" w:space="0" w:color="auto"/>
              <w:bottom w:val="single" w:sz="6" w:space="0" w:color="auto"/>
              <w:right w:val="single" w:sz="6" w:space="0" w:color="auto"/>
            </w:tcBorders>
            <w:vAlign w:val="center"/>
          </w:tcPr>
          <w:p w:rsidR="001A4ECD" w:rsidRPr="00DA1726" w:rsidRDefault="001A4ECD"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Para este parámetro, en muchos de los casos la orden de autorización de servicios tiene incluido el porcentaje a partir del cual se cobra el copago, razón por la que el cobro indebido sería responsabilidad de la EPS no de la IPS</w:t>
            </w:r>
            <w:r w:rsidR="007269BF" w:rsidRPr="00DA1726">
              <w:rPr>
                <w:rFonts w:ascii="Times New Roman" w:hAnsi="Times New Roman"/>
                <w:sz w:val="28"/>
                <w:szCs w:val="28"/>
                <w:lang w:val="es-ES_tradnl" w:eastAsia="es-ES_tradnl"/>
              </w:rPr>
              <w:t>.</w:t>
            </w:r>
          </w:p>
        </w:tc>
      </w:tr>
      <w:tr w:rsidR="001A4ECD" w:rsidRPr="00DA1726" w:rsidTr="001A4ECD">
        <w:tc>
          <w:tcPr>
            <w:tcW w:w="4238" w:type="dxa"/>
            <w:tcBorders>
              <w:top w:val="single" w:sz="6" w:space="0" w:color="auto"/>
              <w:left w:val="single" w:sz="6" w:space="0" w:color="auto"/>
              <w:bottom w:val="single" w:sz="6" w:space="0" w:color="auto"/>
              <w:right w:val="single" w:sz="6" w:space="0" w:color="auto"/>
            </w:tcBorders>
            <w:vAlign w:val="center"/>
          </w:tcPr>
          <w:p w:rsidR="001A4ECD" w:rsidRPr="00DA1726" w:rsidRDefault="001A4ECD"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14. Se niegan a autorizar servicios de salud que han sido ordenados por fallo de tutela</w:t>
            </w:r>
            <w:r w:rsidR="0064037E" w:rsidRPr="00DA1726">
              <w:rPr>
                <w:rFonts w:ascii="Times New Roman" w:hAnsi="Times New Roman"/>
                <w:sz w:val="28"/>
                <w:szCs w:val="28"/>
                <w:lang w:val="es-ES_tradnl" w:eastAsia="es-ES_tradnl"/>
              </w:rPr>
              <w:t>.</w:t>
            </w:r>
          </w:p>
        </w:tc>
        <w:tc>
          <w:tcPr>
            <w:tcW w:w="4645" w:type="dxa"/>
            <w:tcBorders>
              <w:top w:val="single" w:sz="6" w:space="0" w:color="auto"/>
              <w:left w:val="single" w:sz="6" w:space="0" w:color="auto"/>
              <w:bottom w:val="single" w:sz="6" w:space="0" w:color="auto"/>
              <w:right w:val="single" w:sz="6" w:space="0" w:color="auto"/>
            </w:tcBorders>
            <w:vAlign w:val="center"/>
          </w:tcPr>
          <w:p w:rsidR="001A4ECD" w:rsidRPr="00DA1726" w:rsidRDefault="001A4ECD" w:rsidP="00DA1726">
            <w:pPr>
              <w:pStyle w:val="Style5"/>
              <w:rPr>
                <w:rFonts w:ascii="Times New Roman" w:hAnsi="Times New Roman"/>
                <w:sz w:val="28"/>
                <w:szCs w:val="28"/>
                <w:lang w:val="es-ES_tradnl" w:eastAsia="es-ES_tradnl"/>
              </w:rPr>
            </w:pPr>
            <w:r w:rsidRPr="00DA1726">
              <w:rPr>
                <w:rFonts w:ascii="Times New Roman" w:hAnsi="Times New Roman"/>
                <w:sz w:val="28"/>
                <w:szCs w:val="28"/>
                <w:lang w:val="es-ES_tradnl" w:eastAsia="es-ES_tradnl"/>
              </w:rPr>
              <w:t>Se refiere a la autorización oportuna o negación de</w:t>
            </w:r>
            <w:r w:rsidR="007269BF" w:rsidRPr="00DA1726">
              <w:rPr>
                <w:rFonts w:ascii="Times New Roman" w:hAnsi="Times New Roman"/>
                <w:sz w:val="28"/>
                <w:szCs w:val="28"/>
                <w:lang w:val="es-ES_tradnl" w:eastAsia="es-ES_tradnl"/>
              </w:rPr>
              <w:t xml:space="preserve"> autorización de servicios. La “</w:t>
            </w:r>
            <w:r w:rsidR="0064037E" w:rsidRPr="00DA1726">
              <w:rPr>
                <w:rFonts w:ascii="Times New Roman" w:hAnsi="Times New Roman"/>
                <w:sz w:val="28"/>
                <w:szCs w:val="28"/>
                <w:lang w:val="es-ES_tradnl" w:eastAsia="es-ES_tradnl"/>
              </w:rPr>
              <w:t>autorización de servicios</w:t>
            </w:r>
            <w:r w:rsidR="007269BF" w:rsidRPr="00DA1726">
              <w:rPr>
                <w:rFonts w:ascii="Times New Roman" w:hAnsi="Times New Roman"/>
                <w:sz w:val="28"/>
                <w:szCs w:val="28"/>
                <w:lang w:val="es-ES_tradnl" w:eastAsia="es-ES_tradnl"/>
              </w:rPr>
              <w:t>”</w:t>
            </w:r>
            <w:r w:rsidRPr="00DA1726">
              <w:rPr>
                <w:rFonts w:ascii="Times New Roman" w:hAnsi="Times New Roman"/>
                <w:sz w:val="28"/>
                <w:szCs w:val="28"/>
                <w:lang w:val="es-ES_tradnl" w:eastAsia="es-ES_tradnl"/>
              </w:rPr>
              <w:t xml:space="preserve"> es una función exclusiva de las EPS.</w:t>
            </w:r>
          </w:p>
        </w:tc>
      </w:tr>
    </w:tbl>
    <w:p w:rsidR="001A4ECD" w:rsidRPr="00DA1726" w:rsidRDefault="001A4ECD" w:rsidP="00DA1726">
      <w:pPr>
        <w:pStyle w:val="Style5"/>
        <w:rPr>
          <w:rFonts w:ascii="Times New Roman" w:hAnsi="Times New Roman"/>
          <w:sz w:val="28"/>
          <w:szCs w:val="28"/>
          <w:lang w:val="es-CO" w:eastAsia="es-ES_tradnl"/>
        </w:rPr>
      </w:pPr>
    </w:p>
    <w:p w:rsidR="00F01149" w:rsidRPr="00DA1726" w:rsidRDefault="008535C4" w:rsidP="00DA1726">
      <w:pPr>
        <w:pStyle w:val="Style5"/>
        <w:rPr>
          <w:rStyle w:val="FontStyle40"/>
          <w:rFonts w:ascii="Times New Roman" w:hAnsi="Times New Roman" w:cs="Times New Roman"/>
          <w:sz w:val="28"/>
          <w:szCs w:val="28"/>
          <w:lang w:val="es-ES_tradnl" w:eastAsia="es-ES_tradnl"/>
        </w:rPr>
      </w:pPr>
      <w:r w:rsidRPr="00DA1726">
        <w:rPr>
          <w:rStyle w:val="FontStyle40"/>
          <w:rFonts w:ascii="Times New Roman" w:hAnsi="Times New Roman" w:cs="Times New Roman"/>
          <w:sz w:val="28"/>
          <w:szCs w:val="28"/>
          <w:lang w:val="es-ES_tradnl" w:eastAsia="es-ES_tradnl"/>
        </w:rPr>
        <w:t xml:space="preserve">Por otro lado, </w:t>
      </w:r>
      <w:r w:rsidR="00F01149" w:rsidRPr="00DA1726">
        <w:rPr>
          <w:rStyle w:val="FontStyle40"/>
          <w:rFonts w:ascii="Times New Roman" w:hAnsi="Times New Roman" w:cs="Times New Roman"/>
          <w:sz w:val="28"/>
          <w:szCs w:val="28"/>
          <w:lang w:val="es-ES_tradnl" w:eastAsia="es-ES_tradnl"/>
        </w:rPr>
        <w:t xml:space="preserve">destacó que </w:t>
      </w:r>
      <w:r w:rsidRPr="00DA1726">
        <w:rPr>
          <w:rStyle w:val="FontStyle40"/>
          <w:rFonts w:ascii="Times New Roman" w:hAnsi="Times New Roman" w:cs="Times New Roman"/>
          <w:sz w:val="28"/>
          <w:szCs w:val="28"/>
          <w:lang w:val="es-ES_tradnl" w:eastAsia="es-ES_tradnl"/>
        </w:rPr>
        <w:t xml:space="preserve">existen complejidades prácticas </w:t>
      </w:r>
      <w:r w:rsidR="00556DC7" w:rsidRPr="00DA1726">
        <w:rPr>
          <w:rStyle w:val="FontStyle40"/>
          <w:rFonts w:ascii="Times New Roman" w:hAnsi="Times New Roman" w:cs="Times New Roman"/>
          <w:sz w:val="28"/>
          <w:szCs w:val="28"/>
          <w:lang w:val="es-ES_tradnl" w:eastAsia="es-ES_tradnl"/>
        </w:rPr>
        <w:t xml:space="preserve">en </w:t>
      </w:r>
      <w:r w:rsidRPr="00DA1726">
        <w:rPr>
          <w:rStyle w:val="FontStyle40"/>
          <w:rFonts w:ascii="Times New Roman" w:hAnsi="Times New Roman" w:cs="Times New Roman"/>
          <w:sz w:val="28"/>
          <w:szCs w:val="28"/>
          <w:lang w:val="es-ES_tradnl" w:eastAsia="es-ES_tradnl"/>
        </w:rPr>
        <w:t xml:space="preserve">la aplicación del </w:t>
      </w:r>
      <w:r w:rsidR="008D66F1" w:rsidRPr="00DA1726">
        <w:rPr>
          <w:rStyle w:val="FontStyle40"/>
          <w:rFonts w:ascii="Times New Roman" w:hAnsi="Times New Roman" w:cs="Times New Roman"/>
          <w:i/>
          <w:sz w:val="28"/>
          <w:szCs w:val="28"/>
          <w:lang w:val="es-ES_tradnl" w:eastAsia="es-ES_tradnl"/>
        </w:rPr>
        <w:t>ranking</w:t>
      </w:r>
      <w:r w:rsidRPr="00DA1726">
        <w:rPr>
          <w:rStyle w:val="FontStyle40"/>
          <w:rFonts w:ascii="Times New Roman" w:hAnsi="Times New Roman" w:cs="Times New Roman"/>
          <w:sz w:val="28"/>
          <w:szCs w:val="28"/>
          <w:lang w:val="es-ES_tradnl" w:eastAsia="es-ES_tradnl"/>
        </w:rPr>
        <w:t xml:space="preserve"> sobre la totalidad de las IPS</w:t>
      </w:r>
      <w:r w:rsidR="00F01149" w:rsidRPr="00DA1726">
        <w:rPr>
          <w:rStyle w:val="FontStyle40"/>
          <w:rFonts w:ascii="Times New Roman" w:hAnsi="Times New Roman" w:cs="Times New Roman"/>
          <w:sz w:val="28"/>
          <w:szCs w:val="28"/>
          <w:lang w:val="es-ES_tradnl" w:eastAsia="es-ES_tradnl"/>
        </w:rPr>
        <w:t>, lo que además</w:t>
      </w:r>
      <w:r w:rsidRPr="00DA1726">
        <w:rPr>
          <w:rStyle w:val="FontStyle40"/>
          <w:rFonts w:ascii="Times New Roman" w:hAnsi="Times New Roman" w:cs="Times New Roman"/>
          <w:sz w:val="28"/>
          <w:szCs w:val="28"/>
          <w:lang w:val="es-ES_tradnl" w:eastAsia="es-ES_tradnl"/>
        </w:rPr>
        <w:t xml:space="preserve"> tendría una utilidad técnicamente cuestionable para los propósitos perseguidos. </w:t>
      </w:r>
      <w:r w:rsidR="00556DC7" w:rsidRPr="00DA1726">
        <w:rPr>
          <w:rStyle w:val="FontStyle40"/>
          <w:rFonts w:ascii="Times New Roman" w:hAnsi="Times New Roman" w:cs="Times New Roman"/>
          <w:sz w:val="28"/>
          <w:szCs w:val="28"/>
          <w:lang w:val="es-ES_tradnl" w:eastAsia="es-ES_tradnl"/>
        </w:rPr>
        <w:t>A m</w:t>
      </w:r>
      <w:r w:rsidR="00273604" w:rsidRPr="00DA1726">
        <w:rPr>
          <w:rStyle w:val="FontStyle40"/>
          <w:rFonts w:ascii="Times New Roman" w:hAnsi="Times New Roman" w:cs="Times New Roman"/>
          <w:sz w:val="28"/>
          <w:szCs w:val="28"/>
          <w:lang w:val="es-ES_tradnl" w:eastAsia="es-ES_tradnl"/>
        </w:rPr>
        <w:t>anera de ejemplo planteó</w:t>
      </w:r>
      <w:r w:rsidR="00556DC7" w:rsidRPr="00DA1726">
        <w:rPr>
          <w:rStyle w:val="FontStyle40"/>
          <w:rFonts w:ascii="Times New Roman" w:hAnsi="Times New Roman" w:cs="Times New Roman"/>
          <w:sz w:val="28"/>
          <w:szCs w:val="28"/>
          <w:lang w:val="es-ES_tradnl" w:eastAsia="es-ES_tradnl"/>
        </w:rPr>
        <w:t xml:space="preserve"> los siguientes interrogantes:</w:t>
      </w:r>
      <w:r w:rsidRPr="00DA1726">
        <w:rPr>
          <w:rStyle w:val="FontStyle40"/>
          <w:rFonts w:ascii="Times New Roman" w:hAnsi="Times New Roman" w:cs="Times New Roman"/>
          <w:sz w:val="28"/>
          <w:szCs w:val="28"/>
          <w:lang w:val="es-ES_tradnl" w:eastAsia="es-ES_tradnl"/>
        </w:rPr>
        <w:t xml:space="preserve"> </w:t>
      </w:r>
      <w:r w:rsidR="00273604" w:rsidRPr="00DA1726">
        <w:rPr>
          <w:rStyle w:val="FontStyle40"/>
          <w:rFonts w:ascii="Times New Roman" w:hAnsi="Times New Roman" w:cs="Times New Roman"/>
          <w:i/>
          <w:sz w:val="28"/>
          <w:szCs w:val="28"/>
          <w:lang w:val="es-ES_tradnl" w:eastAsia="es-ES_tradnl"/>
        </w:rPr>
        <w:t>“</w:t>
      </w:r>
      <w:r w:rsidRPr="00DA1726">
        <w:rPr>
          <w:rStyle w:val="FontStyle40"/>
          <w:rFonts w:ascii="Times New Roman" w:hAnsi="Times New Roman" w:cs="Times New Roman"/>
          <w:i/>
          <w:sz w:val="28"/>
          <w:szCs w:val="28"/>
          <w:lang w:val="es-ES_tradnl" w:eastAsia="es-ES_tradnl"/>
        </w:rPr>
        <w:t xml:space="preserve">¿qué sentido tendría elaborar un </w:t>
      </w:r>
      <w:r w:rsidR="008D66F1" w:rsidRPr="00DA1726">
        <w:rPr>
          <w:rStyle w:val="FontStyle40"/>
          <w:rFonts w:ascii="Times New Roman" w:hAnsi="Times New Roman" w:cs="Times New Roman"/>
          <w:i/>
          <w:sz w:val="28"/>
          <w:szCs w:val="28"/>
          <w:lang w:val="es-ES_tradnl" w:eastAsia="es-ES_tradnl"/>
        </w:rPr>
        <w:t>ranking</w:t>
      </w:r>
      <w:r w:rsidRPr="00DA1726">
        <w:rPr>
          <w:rStyle w:val="FontStyle40"/>
          <w:rFonts w:ascii="Times New Roman" w:hAnsi="Times New Roman" w:cs="Times New Roman"/>
          <w:i/>
          <w:sz w:val="28"/>
          <w:szCs w:val="28"/>
          <w:lang w:val="es-ES_tradnl" w:eastAsia="es-ES_tradnl"/>
        </w:rPr>
        <w:t xml:space="preserve"> que soporte la libre elección de IPS de usuarios que residen en 800 municipios de Colombia, d</w:t>
      </w:r>
      <w:r w:rsidR="00273604" w:rsidRPr="00DA1726">
        <w:rPr>
          <w:rStyle w:val="FontStyle40"/>
          <w:rFonts w:ascii="Times New Roman" w:hAnsi="Times New Roman" w:cs="Times New Roman"/>
          <w:i/>
          <w:sz w:val="28"/>
          <w:szCs w:val="28"/>
          <w:lang w:val="es-ES_tradnl" w:eastAsia="es-ES_tradnl"/>
        </w:rPr>
        <w:t>onde solo existe una única IPS?”</w:t>
      </w:r>
      <w:r w:rsidRPr="00DA1726">
        <w:rPr>
          <w:rStyle w:val="FontStyle40"/>
          <w:rFonts w:ascii="Times New Roman" w:hAnsi="Times New Roman" w:cs="Times New Roman"/>
          <w:i/>
          <w:sz w:val="28"/>
          <w:szCs w:val="28"/>
          <w:lang w:val="es-ES_tradnl" w:eastAsia="es-ES_tradnl"/>
        </w:rPr>
        <w:t xml:space="preserve"> </w:t>
      </w:r>
      <w:r w:rsidRPr="00DA1726">
        <w:rPr>
          <w:rStyle w:val="FontStyle40"/>
          <w:rFonts w:ascii="Times New Roman" w:hAnsi="Times New Roman" w:cs="Times New Roman"/>
          <w:sz w:val="28"/>
          <w:szCs w:val="28"/>
          <w:lang w:val="es-ES_tradnl" w:eastAsia="es-ES_tradnl"/>
        </w:rPr>
        <w:t>o</w:t>
      </w:r>
      <w:r w:rsidRPr="00DA1726">
        <w:rPr>
          <w:rStyle w:val="FontStyle40"/>
          <w:rFonts w:ascii="Times New Roman" w:hAnsi="Times New Roman" w:cs="Times New Roman"/>
          <w:i/>
          <w:sz w:val="28"/>
          <w:szCs w:val="28"/>
          <w:lang w:val="es-ES_tradnl" w:eastAsia="es-ES_tradnl"/>
        </w:rPr>
        <w:t xml:space="preserve"> </w:t>
      </w:r>
      <w:r w:rsidR="00273604" w:rsidRPr="00DA1726">
        <w:rPr>
          <w:rStyle w:val="FontStyle40"/>
          <w:rFonts w:ascii="Times New Roman" w:hAnsi="Times New Roman" w:cs="Times New Roman"/>
          <w:i/>
          <w:sz w:val="28"/>
          <w:szCs w:val="28"/>
          <w:lang w:val="es-ES_tradnl" w:eastAsia="es-ES_tradnl"/>
        </w:rPr>
        <w:t>“</w:t>
      </w:r>
      <w:r w:rsidRPr="00DA1726">
        <w:rPr>
          <w:rStyle w:val="FontStyle40"/>
          <w:rFonts w:ascii="Times New Roman" w:hAnsi="Times New Roman" w:cs="Times New Roman"/>
          <w:i/>
          <w:sz w:val="28"/>
          <w:szCs w:val="28"/>
          <w:lang w:val="es-ES_tradnl" w:eastAsia="es-ES_tradnl"/>
        </w:rPr>
        <w:t>¿qué sentido tiene ofrecerle alternativas de libre elección a usuarios que padecen enfermedades de alto costo, cuando prácticamente los prestadores son únicos en sus regiones?</w:t>
      </w:r>
      <w:r w:rsidR="00273604" w:rsidRPr="00DA1726">
        <w:rPr>
          <w:rStyle w:val="FontStyle40"/>
          <w:rFonts w:ascii="Times New Roman" w:hAnsi="Times New Roman" w:cs="Times New Roman"/>
          <w:i/>
          <w:sz w:val="28"/>
          <w:szCs w:val="28"/>
          <w:lang w:val="es-ES_tradnl" w:eastAsia="es-ES_tradnl"/>
        </w:rPr>
        <w:t>”</w:t>
      </w:r>
      <w:r w:rsidR="00FC711B" w:rsidRPr="00DA1726">
        <w:rPr>
          <w:rStyle w:val="FontStyle40"/>
          <w:rFonts w:ascii="Times New Roman" w:hAnsi="Times New Roman" w:cs="Times New Roman"/>
          <w:sz w:val="28"/>
          <w:szCs w:val="28"/>
          <w:lang w:val="es-ES_tradnl" w:eastAsia="es-ES_tradnl"/>
        </w:rPr>
        <w:t xml:space="preserve"> </w:t>
      </w:r>
      <w:r w:rsidR="00F01149" w:rsidRPr="00DA1726">
        <w:rPr>
          <w:rStyle w:val="FontStyle40"/>
          <w:rFonts w:ascii="Times New Roman" w:hAnsi="Times New Roman" w:cs="Times New Roman"/>
          <w:sz w:val="28"/>
          <w:szCs w:val="28"/>
          <w:lang w:val="es-ES_tradnl" w:eastAsia="es-ES_tradnl"/>
        </w:rPr>
        <w:t xml:space="preserve">No obstante, </w:t>
      </w:r>
      <w:r w:rsidR="00FC711B" w:rsidRPr="00DA1726">
        <w:rPr>
          <w:rStyle w:val="FontStyle40"/>
          <w:rFonts w:ascii="Times New Roman" w:hAnsi="Times New Roman" w:cs="Times New Roman"/>
          <w:sz w:val="28"/>
          <w:szCs w:val="28"/>
          <w:lang w:val="es-ES_tradnl" w:eastAsia="es-ES_tradnl"/>
        </w:rPr>
        <w:t xml:space="preserve">consideró </w:t>
      </w:r>
      <w:r w:rsidR="00F01149" w:rsidRPr="00DA1726">
        <w:rPr>
          <w:rStyle w:val="FontStyle40"/>
          <w:rFonts w:ascii="Times New Roman" w:hAnsi="Times New Roman" w:cs="Times New Roman"/>
          <w:sz w:val="28"/>
          <w:szCs w:val="28"/>
          <w:lang w:val="es-ES_tradnl" w:eastAsia="es-ES_tradnl"/>
        </w:rPr>
        <w:t xml:space="preserve">adecuado avanzar en </w:t>
      </w:r>
      <w:r w:rsidR="00FC711B" w:rsidRPr="00DA1726">
        <w:rPr>
          <w:rStyle w:val="FontStyle40"/>
          <w:rFonts w:ascii="Times New Roman" w:hAnsi="Times New Roman" w:cs="Times New Roman"/>
          <w:sz w:val="28"/>
          <w:szCs w:val="28"/>
          <w:lang w:val="es-ES_tradnl" w:eastAsia="es-ES_tradnl"/>
        </w:rPr>
        <w:t>la construcción de</w:t>
      </w:r>
      <w:r w:rsidR="00F01149" w:rsidRPr="00DA1726">
        <w:rPr>
          <w:rStyle w:val="FontStyle40"/>
          <w:rFonts w:ascii="Times New Roman" w:hAnsi="Times New Roman" w:cs="Times New Roman"/>
          <w:sz w:val="28"/>
          <w:szCs w:val="28"/>
          <w:lang w:val="es-ES_tradnl" w:eastAsia="es-ES_tradnl"/>
        </w:rPr>
        <w:t xml:space="preserve"> un ordenamiento de </w:t>
      </w:r>
      <w:r w:rsidR="00273604" w:rsidRPr="00DA1726">
        <w:rPr>
          <w:rStyle w:val="FontStyle40"/>
          <w:rFonts w:ascii="Times New Roman" w:hAnsi="Times New Roman" w:cs="Times New Roman"/>
          <w:sz w:val="28"/>
          <w:szCs w:val="28"/>
          <w:lang w:val="es-ES_tradnl" w:eastAsia="es-ES_tradnl"/>
        </w:rPr>
        <w:t>prestadoras</w:t>
      </w:r>
      <w:r w:rsidR="00F01149" w:rsidRPr="00DA1726">
        <w:rPr>
          <w:rStyle w:val="FontStyle40"/>
          <w:rFonts w:ascii="Times New Roman" w:hAnsi="Times New Roman" w:cs="Times New Roman"/>
          <w:sz w:val="28"/>
          <w:szCs w:val="28"/>
          <w:lang w:val="es-ES_tradnl" w:eastAsia="es-ES_tradnl"/>
        </w:rPr>
        <w:t xml:space="preserve"> </w:t>
      </w:r>
      <w:r w:rsidR="00FC711B" w:rsidRPr="00DA1726">
        <w:rPr>
          <w:rStyle w:val="FontStyle40"/>
          <w:rFonts w:ascii="Times New Roman" w:hAnsi="Times New Roman" w:cs="Times New Roman"/>
          <w:sz w:val="28"/>
          <w:szCs w:val="28"/>
          <w:lang w:val="es-ES_tradnl" w:eastAsia="es-ES_tradnl"/>
        </w:rPr>
        <w:t>donde se amplíen las</w:t>
      </w:r>
      <w:r w:rsidR="00F01149" w:rsidRPr="00DA1726">
        <w:rPr>
          <w:rStyle w:val="FontStyle40"/>
          <w:rFonts w:ascii="Times New Roman" w:hAnsi="Times New Roman" w:cs="Times New Roman"/>
          <w:sz w:val="28"/>
          <w:szCs w:val="28"/>
          <w:lang w:val="es-ES_tradnl" w:eastAsia="es-ES_tradnl"/>
        </w:rPr>
        <w:t xml:space="preserve"> dimensiones ordenadas por </w:t>
      </w:r>
      <w:r w:rsidR="00273604" w:rsidRPr="00DA1726">
        <w:rPr>
          <w:rStyle w:val="FontStyle40"/>
          <w:rFonts w:ascii="Times New Roman" w:hAnsi="Times New Roman" w:cs="Times New Roman"/>
          <w:sz w:val="28"/>
          <w:szCs w:val="28"/>
          <w:lang w:val="es-ES_tradnl" w:eastAsia="es-ES_tradnl"/>
        </w:rPr>
        <w:t>este Tribunal</w:t>
      </w:r>
      <w:r w:rsidR="00F01149" w:rsidRPr="00DA1726">
        <w:rPr>
          <w:rStyle w:val="FontStyle40"/>
          <w:rFonts w:ascii="Times New Roman" w:hAnsi="Times New Roman" w:cs="Times New Roman"/>
          <w:sz w:val="28"/>
          <w:szCs w:val="28"/>
          <w:lang w:val="es-ES_tradnl" w:eastAsia="es-ES_tradnl"/>
        </w:rPr>
        <w:t xml:space="preserve"> Constitucional.</w:t>
      </w:r>
    </w:p>
    <w:p w:rsidR="00F01149" w:rsidRPr="00DA1726" w:rsidRDefault="00F01149" w:rsidP="00DA1726">
      <w:pPr>
        <w:pStyle w:val="Style9"/>
        <w:widowControl/>
        <w:ind w:right="590"/>
        <w:rPr>
          <w:rFonts w:ascii="Times New Roman" w:hAnsi="Times New Roman"/>
          <w:sz w:val="28"/>
          <w:szCs w:val="28"/>
        </w:rPr>
      </w:pPr>
    </w:p>
    <w:p w:rsidR="00B75C0C" w:rsidRPr="00DA1726" w:rsidRDefault="00B75C0C" w:rsidP="00DA1726">
      <w:pPr>
        <w:pStyle w:val="Prrafodelista"/>
        <w:numPr>
          <w:ilvl w:val="1"/>
          <w:numId w:val="40"/>
        </w:numPr>
        <w:tabs>
          <w:tab w:val="left" w:pos="284"/>
        </w:tabs>
        <w:suppressAutoHyphens/>
        <w:ind w:left="0" w:firstLine="0"/>
        <w:jc w:val="both"/>
        <w:rPr>
          <w:color w:val="000000"/>
          <w:spacing w:val="-3"/>
          <w:sz w:val="28"/>
          <w:szCs w:val="28"/>
        </w:rPr>
      </w:pPr>
      <w:r w:rsidRPr="00DA1726">
        <w:rPr>
          <w:color w:val="000000"/>
          <w:spacing w:val="-3"/>
          <w:sz w:val="28"/>
          <w:szCs w:val="28"/>
        </w:rPr>
        <w:t xml:space="preserve">El 22 de enero de 2014, </w:t>
      </w:r>
      <w:r w:rsidR="00556DC7" w:rsidRPr="00DA1726">
        <w:rPr>
          <w:color w:val="000000"/>
          <w:spacing w:val="-3"/>
          <w:sz w:val="28"/>
          <w:szCs w:val="28"/>
        </w:rPr>
        <w:t>el</w:t>
      </w:r>
      <w:r w:rsidRPr="00DA1726">
        <w:rPr>
          <w:color w:val="000000"/>
          <w:spacing w:val="-3"/>
          <w:sz w:val="28"/>
          <w:szCs w:val="28"/>
        </w:rPr>
        <w:t xml:space="preserve"> Ministro de Salud y </w:t>
      </w:r>
      <w:r w:rsidR="00556DC7" w:rsidRPr="00DA1726">
        <w:rPr>
          <w:color w:val="000000"/>
          <w:spacing w:val="-3"/>
          <w:sz w:val="28"/>
          <w:szCs w:val="28"/>
        </w:rPr>
        <w:t>la Superintendencia</w:t>
      </w:r>
      <w:r w:rsidRPr="00DA1726">
        <w:rPr>
          <w:color w:val="000000"/>
          <w:spacing w:val="-3"/>
          <w:sz w:val="28"/>
          <w:szCs w:val="28"/>
        </w:rPr>
        <w:t xml:space="preserve"> </w:t>
      </w:r>
      <w:r w:rsidR="00F34B54" w:rsidRPr="00DA1726">
        <w:rPr>
          <w:color w:val="000000"/>
          <w:spacing w:val="-3"/>
          <w:sz w:val="28"/>
          <w:szCs w:val="28"/>
        </w:rPr>
        <w:t>presentaron solicitud</w:t>
      </w:r>
      <w:r w:rsidRPr="00DA1726">
        <w:rPr>
          <w:color w:val="000000"/>
          <w:spacing w:val="-3"/>
          <w:sz w:val="28"/>
          <w:szCs w:val="28"/>
        </w:rPr>
        <w:t xml:space="preserve"> a la </w:t>
      </w:r>
      <w:r w:rsidRPr="00DA1726">
        <w:rPr>
          <w:i/>
          <w:color w:val="000000"/>
          <w:spacing w:val="-3"/>
          <w:sz w:val="28"/>
          <w:szCs w:val="28"/>
        </w:rPr>
        <w:t>“Sala Especial de Seguimiento”</w:t>
      </w:r>
      <w:r w:rsidRPr="00DA1726">
        <w:rPr>
          <w:color w:val="000000"/>
          <w:spacing w:val="-3"/>
          <w:sz w:val="28"/>
          <w:szCs w:val="28"/>
          <w:vertAlign w:val="superscript"/>
        </w:rPr>
        <w:footnoteReference w:id="19"/>
      </w:r>
      <w:r w:rsidRPr="00DA1726">
        <w:rPr>
          <w:color w:val="000000"/>
          <w:spacing w:val="-3"/>
          <w:sz w:val="28"/>
          <w:szCs w:val="28"/>
        </w:rPr>
        <w:t xml:space="preserve"> </w:t>
      </w:r>
      <w:r w:rsidR="00F34B54" w:rsidRPr="00DA1726">
        <w:rPr>
          <w:color w:val="000000"/>
          <w:spacing w:val="-3"/>
          <w:sz w:val="28"/>
          <w:szCs w:val="28"/>
        </w:rPr>
        <w:t xml:space="preserve">donde </w:t>
      </w:r>
      <w:r w:rsidR="004562EE" w:rsidRPr="00DA1726">
        <w:rPr>
          <w:color w:val="000000"/>
          <w:spacing w:val="-3"/>
          <w:sz w:val="28"/>
          <w:szCs w:val="28"/>
        </w:rPr>
        <w:t>principalmente</w:t>
      </w:r>
      <w:r w:rsidR="00F34B54" w:rsidRPr="00DA1726">
        <w:rPr>
          <w:color w:val="000000"/>
          <w:spacing w:val="-3"/>
          <w:sz w:val="28"/>
          <w:szCs w:val="28"/>
        </w:rPr>
        <w:t xml:space="preserve"> manifestaron</w:t>
      </w:r>
      <w:r w:rsidR="004562EE" w:rsidRPr="00DA1726">
        <w:rPr>
          <w:color w:val="000000"/>
          <w:spacing w:val="-3"/>
          <w:sz w:val="28"/>
          <w:szCs w:val="28"/>
        </w:rPr>
        <w:t xml:space="preserve"> </w:t>
      </w:r>
      <w:r w:rsidRPr="00DA1726">
        <w:rPr>
          <w:color w:val="000000"/>
          <w:spacing w:val="-3"/>
          <w:sz w:val="28"/>
          <w:szCs w:val="28"/>
        </w:rPr>
        <w:t xml:space="preserve">lo siguiente: </w:t>
      </w:r>
    </w:p>
    <w:p w:rsidR="00B75C0C" w:rsidRPr="00DA1726" w:rsidRDefault="00B75C0C" w:rsidP="00DA1726">
      <w:pPr>
        <w:tabs>
          <w:tab w:val="left" w:pos="284"/>
        </w:tabs>
        <w:suppressAutoHyphens/>
        <w:jc w:val="both"/>
        <w:rPr>
          <w:color w:val="000000"/>
          <w:spacing w:val="-3"/>
          <w:sz w:val="28"/>
          <w:szCs w:val="28"/>
        </w:rPr>
      </w:pPr>
    </w:p>
    <w:p w:rsidR="00B75C0C" w:rsidRPr="00DA1726" w:rsidRDefault="0064037E" w:rsidP="00DA1726">
      <w:pPr>
        <w:tabs>
          <w:tab w:val="left" w:pos="284"/>
          <w:tab w:val="left" w:pos="567"/>
        </w:tabs>
        <w:suppressAutoHyphens/>
        <w:jc w:val="both"/>
        <w:rPr>
          <w:color w:val="000000"/>
          <w:spacing w:val="-3"/>
          <w:sz w:val="28"/>
          <w:szCs w:val="28"/>
        </w:rPr>
      </w:pPr>
      <w:r w:rsidRPr="00DA1726">
        <w:rPr>
          <w:color w:val="000000"/>
          <w:spacing w:val="-3"/>
          <w:sz w:val="28"/>
          <w:szCs w:val="28"/>
        </w:rPr>
        <w:t>i)</w:t>
      </w:r>
      <w:r w:rsidR="00556DC7" w:rsidRPr="00DA1726">
        <w:rPr>
          <w:color w:val="000000"/>
          <w:spacing w:val="-3"/>
          <w:sz w:val="28"/>
          <w:szCs w:val="28"/>
        </w:rPr>
        <w:t xml:space="preserve"> </w:t>
      </w:r>
      <w:r w:rsidR="00B75C0C" w:rsidRPr="00DA1726">
        <w:rPr>
          <w:color w:val="000000"/>
          <w:spacing w:val="-3"/>
          <w:sz w:val="28"/>
          <w:szCs w:val="28"/>
        </w:rPr>
        <w:t>Reconsiderar el fundamento núm. 6 del Auto 249 de 2013</w:t>
      </w:r>
      <w:r w:rsidR="00B75C0C" w:rsidRPr="00DA1726">
        <w:rPr>
          <w:color w:val="000000"/>
          <w:spacing w:val="-3"/>
          <w:sz w:val="28"/>
          <w:szCs w:val="28"/>
          <w:vertAlign w:val="superscript"/>
        </w:rPr>
        <w:footnoteReference w:id="20"/>
      </w:r>
      <w:r w:rsidR="00B75C0C" w:rsidRPr="00DA1726">
        <w:rPr>
          <w:color w:val="000000"/>
          <w:spacing w:val="-3"/>
          <w:sz w:val="28"/>
          <w:szCs w:val="28"/>
        </w:rPr>
        <w:t xml:space="preserve">, de modo que se mantenga lo </w:t>
      </w:r>
      <w:r w:rsidR="00F34B54" w:rsidRPr="00DA1726">
        <w:rPr>
          <w:color w:val="000000"/>
          <w:spacing w:val="-3"/>
          <w:sz w:val="28"/>
          <w:szCs w:val="28"/>
        </w:rPr>
        <w:t xml:space="preserve">dispuesto </w:t>
      </w:r>
      <w:r w:rsidR="00556DC7" w:rsidRPr="00DA1726">
        <w:rPr>
          <w:color w:val="000000"/>
          <w:spacing w:val="-3"/>
          <w:sz w:val="28"/>
          <w:szCs w:val="28"/>
        </w:rPr>
        <w:t>en la s</w:t>
      </w:r>
      <w:r w:rsidR="00B75C0C" w:rsidRPr="00DA1726">
        <w:rPr>
          <w:color w:val="000000"/>
          <w:spacing w:val="-3"/>
          <w:sz w:val="28"/>
          <w:szCs w:val="28"/>
        </w:rPr>
        <w:t>entencia T-760 de 2008 y el Auto 044 de 2012</w:t>
      </w:r>
      <w:r w:rsidR="008952CA" w:rsidRPr="00DA1726">
        <w:rPr>
          <w:color w:val="000000"/>
          <w:spacing w:val="-3"/>
          <w:sz w:val="28"/>
          <w:szCs w:val="28"/>
        </w:rPr>
        <w:t>,</w:t>
      </w:r>
      <w:r w:rsidR="00556DC7" w:rsidRPr="00DA1726">
        <w:rPr>
          <w:color w:val="000000"/>
          <w:spacing w:val="-3"/>
          <w:sz w:val="28"/>
          <w:szCs w:val="28"/>
        </w:rPr>
        <w:t xml:space="preserve"> y no se les obligue a hacer una clasificación por puestos (primero, segundo, tercero</w:t>
      </w:r>
      <w:r w:rsidR="005B617F" w:rsidRPr="00DA1726">
        <w:rPr>
          <w:color w:val="000000"/>
          <w:spacing w:val="-3"/>
          <w:sz w:val="28"/>
          <w:szCs w:val="28"/>
        </w:rPr>
        <w:t xml:space="preserve">) </w:t>
      </w:r>
      <w:r w:rsidR="00B75C0C" w:rsidRPr="00DA1726">
        <w:rPr>
          <w:color w:val="000000"/>
          <w:spacing w:val="-3"/>
          <w:sz w:val="28"/>
          <w:szCs w:val="28"/>
        </w:rPr>
        <w:t xml:space="preserve">y en caso de </w:t>
      </w:r>
      <w:r w:rsidR="005B617F" w:rsidRPr="00DA1726">
        <w:rPr>
          <w:color w:val="000000"/>
          <w:spacing w:val="-3"/>
          <w:sz w:val="28"/>
          <w:szCs w:val="28"/>
        </w:rPr>
        <w:t>que ello no proceda</w:t>
      </w:r>
      <w:r w:rsidR="00B75C0C" w:rsidRPr="00DA1726">
        <w:rPr>
          <w:color w:val="000000"/>
          <w:spacing w:val="-3"/>
          <w:sz w:val="28"/>
          <w:szCs w:val="28"/>
        </w:rPr>
        <w:t xml:space="preserve">, </w:t>
      </w:r>
      <w:r w:rsidR="00B75C0C" w:rsidRPr="00DA1726">
        <w:rPr>
          <w:i/>
          <w:color w:val="000000"/>
          <w:spacing w:val="-3"/>
          <w:sz w:val="28"/>
          <w:szCs w:val="28"/>
        </w:rPr>
        <w:t>“indicar a través de Auto cuáles son las razones que justifican un cambio en lo ordenado”</w:t>
      </w:r>
      <w:r w:rsidR="00B75C0C" w:rsidRPr="00DA1726">
        <w:rPr>
          <w:color w:val="000000"/>
          <w:spacing w:val="-3"/>
          <w:sz w:val="28"/>
          <w:szCs w:val="28"/>
          <w:vertAlign w:val="superscript"/>
        </w:rPr>
        <w:footnoteReference w:id="21"/>
      </w:r>
      <w:r w:rsidR="00B75C0C" w:rsidRPr="00DA1726">
        <w:rPr>
          <w:color w:val="000000"/>
          <w:spacing w:val="-3"/>
          <w:sz w:val="28"/>
          <w:szCs w:val="28"/>
        </w:rPr>
        <w:t xml:space="preserve"> en las citadas providencias. </w:t>
      </w:r>
    </w:p>
    <w:p w:rsidR="00F705E7" w:rsidRPr="00DA1726" w:rsidRDefault="00F705E7" w:rsidP="00DA1726">
      <w:pPr>
        <w:tabs>
          <w:tab w:val="left" w:pos="284"/>
          <w:tab w:val="left" w:pos="426"/>
        </w:tabs>
        <w:suppressAutoHyphens/>
        <w:jc w:val="both"/>
        <w:rPr>
          <w:color w:val="000000"/>
          <w:spacing w:val="-3"/>
          <w:sz w:val="28"/>
          <w:szCs w:val="28"/>
        </w:rPr>
      </w:pPr>
    </w:p>
    <w:p w:rsidR="00F705E7" w:rsidRPr="00DA1726" w:rsidRDefault="00F705E7" w:rsidP="00DA1726">
      <w:pPr>
        <w:tabs>
          <w:tab w:val="left" w:pos="284"/>
          <w:tab w:val="left" w:pos="426"/>
        </w:tabs>
        <w:suppressAutoHyphens/>
        <w:jc w:val="both"/>
        <w:rPr>
          <w:color w:val="000000"/>
          <w:spacing w:val="-3"/>
          <w:sz w:val="28"/>
          <w:szCs w:val="28"/>
        </w:rPr>
      </w:pPr>
      <w:r w:rsidRPr="00DA1726">
        <w:rPr>
          <w:color w:val="000000"/>
          <w:spacing w:val="-3"/>
          <w:sz w:val="28"/>
          <w:szCs w:val="28"/>
        </w:rPr>
        <w:t xml:space="preserve">Señalaron que existe una contradicción entre el auto 044 de 2012, la sentencia T-760 de 2008 y la medida preventiva adoptada en el auto 249 de 2013, ya que en las primeras se prohibió la entrega de un </w:t>
      </w:r>
      <w:r w:rsidRPr="00DA1726">
        <w:rPr>
          <w:i/>
          <w:color w:val="000000"/>
          <w:spacing w:val="-3"/>
          <w:sz w:val="28"/>
          <w:szCs w:val="28"/>
        </w:rPr>
        <w:t>“</w:t>
      </w:r>
      <w:r w:rsidR="008D66F1" w:rsidRPr="00DA1726">
        <w:rPr>
          <w:i/>
          <w:color w:val="000000"/>
          <w:spacing w:val="-3"/>
          <w:sz w:val="28"/>
          <w:szCs w:val="28"/>
        </w:rPr>
        <w:t>ranking</w:t>
      </w:r>
      <w:r w:rsidRPr="00DA1726">
        <w:rPr>
          <w:i/>
          <w:color w:val="000000"/>
          <w:spacing w:val="-3"/>
          <w:sz w:val="28"/>
          <w:szCs w:val="28"/>
        </w:rPr>
        <w:t xml:space="preserve"> simple”</w:t>
      </w:r>
      <w:r w:rsidRPr="00DA1726">
        <w:rPr>
          <w:color w:val="000000"/>
          <w:spacing w:val="-3"/>
          <w:sz w:val="28"/>
          <w:szCs w:val="28"/>
        </w:rPr>
        <w:t xml:space="preserve"> por lo que solo era necesaria una clasificación de aquellas EPS que incurrieran frecuentemente en prácticas violatorias del derecho a la salud, mientras que en el auto de 2013 se les obligó a establecer un orden por puestos que incluye a todos los aseguradores.</w:t>
      </w:r>
    </w:p>
    <w:p w:rsidR="005F2465" w:rsidRPr="00DA1726" w:rsidRDefault="005F2465" w:rsidP="00DA1726">
      <w:pPr>
        <w:tabs>
          <w:tab w:val="left" w:pos="284"/>
          <w:tab w:val="left" w:pos="567"/>
        </w:tabs>
        <w:suppressAutoHyphens/>
        <w:jc w:val="both"/>
        <w:rPr>
          <w:color w:val="000000"/>
          <w:spacing w:val="-3"/>
          <w:sz w:val="28"/>
          <w:szCs w:val="28"/>
        </w:rPr>
      </w:pPr>
    </w:p>
    <w:p w:rsidR="00F705E7" w:rsidRPr="00DA1726" w:rsidRDefault="00F34B54" w:rsidP="00DA1726">
      <w:pPr>
        <w:tabs>
          <w:tab w:val="left" w:pos="284"/>
          <w:tab w:val="left" w:pos="567"/>
        </w:tabs>
        <w:suppressAutoHyphens/>
        <w:jc w:val="both"/>
        <w:rPr>
          <w:i/>
          <w:color w:val="000000"/>
          <w:spacing w:val="-3"/>
          <w:sz w:val="28"/>
          <w:szCs w:val="28"/>
        </w:rPr>
      </w:pPr>
      <w:r w:rsidRPr="00DA1726">
        <w:rPr>
          <w:color w:val="000000"/>
          <w:spacing w:val="-3"/>
          <w:sz w:val="28"/>
          <w:szCs w:val="28"/>
        </w:rPr>
        <w:t>En tal sentido procedieron a relacionaron los aspectos</w:t>
      </w:r>
      <w:r w:rsidR="00F705E7" w:rsidRPr="00DA1726">
        <w:rPr>
          <w:color w:val="000000"/>
          <w:spacing w:val="-3"/>
          <w:sz w:val="28"/>
          <w:szCs w:val="28"/>
        </w:rPr>
        <w:t xml:space="preserve"> negativos de una </w:t>
      </w:r>
      <w:r w:rsidR="00F705E7" w:rsidRPr="00DA1726">
        <w:rPr>
          <w:i/>
          <w:color w:val="000000"/>
          <w:spacing w:val="-3"/>
          <w:sz w:val="28"/>
          <w:szCs w:val="28"/>
        </w:rPr>
        <w:t>“ordenación simple”,</w:t>
      </w:r>
      <w:r w:rsidR="00F705E7" w:rsidRPr="00DA1726">
        <w:rPr>
          <w:color w:val="000000"/>
          <w:spacing w:val="-3"/>
          <w:sz w:val="28"/>
          <w:szCs w:val="28"/>
        </w:rPr>
        <w:t xml:space="preserve"> a saber: </w:t>
      </w:r>
      <w:r w:rsidR="005F2465" w:rsidRPr="00DA1726">
        <w:rPr>
          <w:color w:val="000000"/>
          <w:spacing w:val="-3"/>
          <w:sz w:val="28"/>
          <w:szCs w:val="28"/>
        </w:rPr>
        <w:t>(</w:t>
      </w:r>
      <w:r w:rsidR="00F705E7" w:rsidRPr="00DA1726">
        <w:rPr>
          <w:color w:val="000000"/>
          <w:spacing w:val="-3"/>
          <w:sz w:val="28"/>
          <w:szCs w:val="28"/>
        </w:rPr>
        <w:t>i)</w:t>
      </w:r>
      <w:r w:rsidR="00F705E7" w:rsidRPr="00DA1726">
        <w:rPr>
          <w:i/>
          <w:color w:val="000000"/>
          <w:spacing w:val="-3"/>
          <w:sz w:val="28"/>
          <w:szCs w:val="28"/>
        </w:rPr>
        <w:t xml:space="preserve"> </w:t>
      </w:r>
      <w:r w:rsidR="00F705E7" w:rsidRPr="00DA1726">
        <w:rPr>
          <w:color w:val="000000"/>
          <w:spacing w:val="-3"/>
          <w:sz w:val="28"/>
          <w:szCs w:val="28"/>
        </w:rPr>
        <w:t>que la distinción numérica entre un asegurador y otro no necesariamente reflejaba las diferencias reales en su desempeño y patrones de comportamiento</w:t>
      </w:r>
      <w:r w:rsidR="005F2465" w:rsidRPr="00DA1726">
        <w:rPr>
          <w:color w:val="000000"/>
          <w:spacing w:val="-3"/>
          <w:sz w:val="28"/>
          <w:szCs w:val="28"/>
        </w:rPr>
        <w:t>;</w:t>
      </w:r>
      <w:r w:rsidR="00F705E7" w:rsidRPr="00DA1726">
        <w:rPr>
          <w:color w:val="000000"/>
          <w:spacing w:val="-3"/>
          <w:sz w:val="28"/>
          <w:szCs w:val="28"/>
        </w:rPr>
        <w:t xml:space="preserve"> y </w:t>
      </w:r>
      <w:r w:rsidR="005F2465" w:rsidRPr="00DA1726">
        <w:rPr>
          <w:color w:val="000000"/>
          <w:spacing w:val="-3"/>
          <w:sz w:val="28"/>
          <w:szCs w:val="28"/>
        </w:rPr>
        <w:t>(</w:t>
      </w:r>
      <w:r w:rsidR="00F705E7" w:rsidRPr="00DA1726">
        <w:rPr>
          <w:color w:val="000000"/>
          <w:spacing w:val="-3"/>
          <w:sz w:val="28"/>
          <w:szCs w:val="28"/>
        </w:rPr>
        <w:t xml:space="preserve">ii) el derecho a la libre elección de EPS tiene limitaciones materiales, dado que estas entidades tienen un máximo de usuarios que pueden atender, aunado a que no afilian personas en todo el país. </w:t>
      </w:r>
    </w:p>
    <w:p w:rsidR="00F705E7" w:rsidRPr="00DA1726" w:rsidRDefault="00F705E7" w:rsidP="00DA1726">
      <w:pPr>
        <w:pStyle w:val="Prrafodelista"/>
        <w:rPr>
          <w:color w:val="000000"/>
          <w:spacing w:val="-3"/>
          <w:sz w:val="28"/>
          <w:szCs w:val="28"/>
        </w:rPr>
      </w:pPr>
    </w:p>
    <w:p w:rsidR="00F705E7" w:rsidRPr="00DA1726" w:rsidRDefault="00F34B54" w:rsidP="00DA1726">
      <w:pPr>
        <w:tabs>
          <w:tab w:val="left" w:pos="284"/>
          <w:tab w:val="left" w:pos="567"/>
        </w:tabs>
        <w:suppressAutoHyphens/>
        <w:jc w:val="both"/>
        <w:rPr>
          <w:color w:val="000000"/>
          <w:spacing w:val="-3"/>
          <w:sz w:val="28"/>
          <w:szCs w:val="28"/>
        </w:rPr>
      </w:pPr>
      <w:r w:rsidRPr="00DA1726">
        <w:rPr>
          <w:color w:val="000000"/>
          <w:spacing w:val="-3"/>
          <w:sz w:val="28"/>
          <w:szCs w:val="28"/>
        </w:rPr>
        <w:t>Explicaron que h</w:t>
      </w:r>
      <w:r w:rsidR="005F2465" w:rsidRPr="00DA1726">
        <w:rPr>
          <w:color w:val="000000"/>
          <w:spacing w:val="-3"/>
          <w:sz w:val="28"/>
          <w:szCs w:val="28"/>
        </w:rPr>
        <w:t xml:space="preserve">acer </w:t>
      </w:r>
      <w:r w:rsidR="00F705E7" w:rsidRPr="00DA1726">
        <w:rPr>
          <w:color w:val="000000"/>
          <w:spacing w:val="-3"/>
          <w:sz w:val="28"/>
          <w:szCs w:val="28"/>
        </w:rPr>
        <w:t>un “</w:t>
      </w:r>
      <w:r w:rsidR="008D66F1" w:rsidRPr="00DA1726">
        <w:rPr>
          <w:i/>
          <w:color w:val="000000"/>
          <w:spacing w:val="-3"/>
          <w:sz w:val="28"/>
          <w:szCs w:val="28"/>
        </w:rPr>
        <w:t>ranking</w:t>
      </w:r>
      <w:r w:rsidR="00F705E7" w:rsidRPr="00DA1726">
        <w:rPr>
          <w:i/>
          <w:color w:val="000000"/>
          <w:spacing w:val="-3"/>
          <w:sz w:val="28"/>
          <w:szCs w:val="28"/>
        </w:rPr>
        <w:t xml:space="preserve"> simple”</w:t>
      </w:r>
      <w:r w:rsidR="00F705E7" w:rsidRPr="00DA1726">
        <w:rPr>
          <w:color w:val="000000"/>
          <w:spacing w:val="-3"/>
          <w:sz w:val="28"/>
          <w:szCs w:val="28"/>
        </w:rPr>
        <w:t xml:space="preserve"> de las entidades promotoras de servicios de salud </w:t>
      </w:r>
      <w:r w:rsidR="005F2465" w:rsidRPr="00DA1726">
        <w:rPr>
          <w:color w:val="000000"/>
          <w:spacing w:val="-3"/>
          <w:sz w:val="28"/>
          <w:szCs w:val="28"/>
        </w:rPr>
        <w:t>crea</w:t>
      </w:r>
      <w:r w:rsidR="00F705E7" w:rsidRPr="00DA1726">
        <w:rPr>
          <w:i/>
          <w:color w:val="000000"/>
          <w:spacing w:val="-3"/>
          <w:sz w:val="28"/>
          <w:szCs w:val="28"/>
        </w:rPr>
        <w:t xml:space="preserve"> </w:t>
      </w:r>
      <w:r w:rsidR="005F2465" w:rsidRPr="00DA1726">
        <w:rPr>
          <w:i/>
          <w:color w:val="000000"/>
          <w:spacing w:val="-3"/>
          <w:sz w:val="28"/>
          <w:szCs w:val="28"/>
        </w:rPr>
        <w:t>“</w:t>
      </w:r>
      <w:r w:rsidR="00F705E7" w:rsidRPr="00DA1726">
        <w:rPr>
          <w:i/>
          <w:color w:val="000000"/>
          <w:spacing w:val="-3"/>
          <w:sz w:val="28"/>
          <w:szCs w:val="28"/>
        </w:rPr>
        <w:t>un incentivo fuerte para que los usuarios se trasladaran a la primera – aunque en términos reales la segunda prácticamente fuera idéntica – aún cuando esta no pudiera recibir a los usuarios”</w:t>
      </w:r>
      <w:r w:rsidR="00F705E7" w:rsidRPr="00DA1726">
        <w:rPr>
          <w:color w:val="000000"/>
          <w:spacing w:val="-3"/>
          <w:sz w:val="28"/>
          <w:szCs w:val="28"/>
          <w:vertAlign w:val="superscript"/>
        </w:rPr>
        <w:footnoteReference w:id="22"/>
      </w:r>
      <w:r w:rsidR="00F705E7" w:rsidRPr="00DA1726">
        <w:rPr>
          <w:i/>
          <w:color w:val="000000"/>
          <w:spacing w:val="-3"/>
          <w:sz w:val="28"/>
          <w:szCs w:val="28"/>
        </w:rPr>
        <w:t xml:space="preserve">. </w:t>
      </w:r>
      <w:r w:rsidR="00F705E7" w:rsidRPr="00DA1726">
        <w:rPr>
          <w:color w:val="000000"/>
          <w:spacing w:val="-3"/>
          <w:sz w:val="28"/>
          <w:szCs w:val="28"/>
        </w:rPr>
        <w:t xml:space="preserve">En este sentido, resaltaron que si se permitiera y se incentivara que los usuarios se trasladen a la mejor EPS, dicha circunstancia generaría que esta entidad </w:t>
      </w:r>
      <w:r w:rsidR="00F705E7" w:rsidRPr="00DA1726">
        <w:rPr>
          <w:i/>
          <w:color w:val="000000"/>
          <w:spacing w:val="-3"/>
          <w:sz w:val="28"/>
          <w:szCs w:val="28"/>
        </w:rPr>
        <w:t xml:space="preserve">“tuviera que atender una población que no está en capacidad de atender (sic), lo cual muy probablemente la llevaría en poco tiempo a la parte baja del </w:t>
      </w:r>
      <w:r w:rsidR="008D66F1" w:rsidRPr="00DA1726">
        <w:rPr>
          <w:i/>
          <w:color w:val="000000"/>
          <w:spacing w:val="-3"/>
          <w:sz w:val="28"/>
          <w:szCs w:val="28"/>
        </w:rPr>
        <w:t>ranking</w:t>
      </w:r>
      <w:r w:rsidR="00F705E7" w:rsidRPr="00DA1726">
        <w:rPr>
          <w:i/>
          <w:color w:val="000000"/>
          <w:spacing w:val="-3"/>
          <w:sz w:val="28"/>
          <w:szCs w:val="28"/>
        </w:rPr>
        <w:t xml:space="preserve"> y afectaría el derecho a la salud de los afiliados”</w:t>
      </w:r>
      <w:r w:rsidR="005F2465" w:rsidRPr="00DA1726">
        <w:rPr>
          <w:i/>
          <w:color w:val="000000"/>
          <w:spacing w:val="-3"/>
          <w:sz w:val="28"/>
          <w:szCs w:val="28"/>
        </w:rPr>
        <w:t>.</w:t>
      </w:r>
    </w:p>
    <w:p w:rsidR="00F705E7" w:rsidRPr="00DA1726" w:rsidRDefault="00F705E7" w:rsidP="00DA1726">
      <w:pPr>
        <w:tabs>
          <w:tab w:val="left" w:pos="284"/>
          <w:tab w:val="left" w:pos="567"/>
        </w:tabs>
        <w:suppressAutoHyphens/>
        <w:jc w:val="both"/>
        <w:rPr>
          <w:color w:val="000000"/>
          <w:spacing w:val="-3"/>
          <w:sz w:val="28"/>
          <w:szCs w:val="28"/>
        </w:rPr>
      </w:pPr>
    </w:p>
    <w:p w:rsidR="005F2465" w:rsidRPr="00DA1726" w:rsidRDefault="0064037E" w:rsidP="00DA1726">
      <w:pPr>
        <w:tabs>
          <w:tab w:val="left" w:pos="284"/>
          <w:tab w:val="left" w:pos="567"/>
        </w:tabs>
        <w:suppressAutoHyphens/>
        <w:jc w:val="both"/>
        <w:rPr>
          <w:color w:val="000000"/>
          <w:spacing w:val="-3"/>
          <w:sz w:val="28"/>
          <w:szCs w:val="28"/>
        </w:rPr>
      </w:pPr>
      <w:r w:rsidRPr="00DA1726">
        <w:rPr>
          <w:color w:val="000000"/>
          <w:spacing w:val="-3"/>
          <w:sz w:val="28"/>
          <w:szCs w:val="28"/>
        </w:rPr>
        <w:t>ii</w:t>
      </w:r>
      <w:r w:rsidR="005B617F" w:rsidRPr="00DA1726">
        <w:rPr>
          <w:color w:val="000000"/>
          <w:spacing w:val="-3"/>
          <w:sz w:val="28"/>
          <w:szCs w:val="28"/>
        </w:rPr>
        <w:t xml:space="preserve">) </w:t>
      </w:r>
      <w:r w:rsidR="00B75C0C" w:rsidRPr="00DA1726">
        <w:rPr>
          <w:color w:val="000000"/>
          <w:spacing w:val="-3"/>
          <w:sz w:val="28"/>
          <w:szCs w:val="28"/>
        </w:rPr>
        <w:t xml:space="preserve">Variar la obligación de realizar el </w:t>
      </w:r>
      <w:r w:rsidR="008D66F1" w:rsidRPr="00DA1726">
        <w:rPr>
          <w:i/>
          <w:color w:val="000000"/>
          <w:spacing w:val="-3"/>
          <w:sz w:val="28"/>
          <w:szCs w:val="28"/>
        </w:rPr>
        <w:t>ranking</w:t>
      </w:r>
      <w:r w:rsidR="00B75C0C" w:rsidRPr="00DA1726">
        <w:rPr>
          <w:color w:val="000000"/>
          <w:spacing w:val="-3"/>
          <w:sz w:val="28"/>
          <w:szCs w:val="28"/>
        </w:rPr>
        <w:t xml:space="preserve"> de IPS </w:t>
      </w:r>
      <w:r w:rsidR="004562EE" w:rsidRPr="00DA1726">
        <w:rPr>
          <w:color w:val="000000"/>
          <w:spacing w:val="-3"/>
          <w:sz w:val="28"/>
          <w:szCs w:val="28"/>
        </w:rPr>
        <w:t>de acuerdo</w:t>
      </w:r>
      <w:r w:rsidR="005B617F" w:rsidRPr="00DA1726">
        <w:rPr>
          <w:color w:val="000000"/>
          <w:spacing w:val="-3"/>
          <w:sz w:val="28"/>
          <w:szCs w:val="28"/>
        </w:rPr>
        <w:t xml:space="preserve"> a los 14 criterios establecidos por la Corte Constitucional</w:t>
      </w:r>
      <w:r w:rsidR="005F2465" w:rsidRPr="00DA1726">
        <w:rPr>
          <w:color w:val="000000"/>
          <w:spacing w:val="-3"/>
          <w:sz w:val="28"/>
          <w:szCs w:val="28"/>
        </w:rPr>
        <w:t>,</w:t>
      </w:r>
      <w:r w:rsidR="00F53C62" w:rsidRPr="00DA1726">
        <w:rPr>
          <w:color w:val="000000"/>
          <w:spacing w:val="-3"/>
          <w:sz w:val="28"/>
          <w:szCs w:val="28"/>
        </w:rPr>
        <w:t xml:space="preserve"> debido a que</w:t>
      </w:r>
      <w:r w:rsidR="005F2465" w:rsidRPr="00DA1726">
        <w:rPr>
          <w:color w:val="000000"/>
          <w:spacing w:val="-3"/>
          <w:sz w:val="28"/>
          <w:szCs w:val="28"/>
        </w:rPr>
        <w:t xml:space="preserve"> son inaplicables a la actividad que desarrollan esas instituciones</w:t>
      </w:r>
      <w:r w:rsidR="00F53C62" w:rsidRPr="00DA1726">
        <w:rPr>
          <w:color w:val="000000"/>
          <w:spacing w:val="-3"/>
          <w:sz w:val="28"/>
          <w:szCs w:val="28"/>
        </w:rPr>
        <w:t xml:space="preserve">, ello si se tiene en cuenta </w:t>
      </w:r>
      <w:r w:rsidR="005F2465" w:rsidRPr="00DA1726">
        <w:rPr>
          <w:color w:val="000000"/>
          <w:spacing w:val="-3"/>
          <w:sz w:val="28"/>
          <w:szCs w:val="28"/>
        </w:rPr>
        <w:t xml:space="preserve">la heterogeneidad de prestadores. </w:t>
      </w:r>
    </w:p>
    <w:p w:rsidR="005F2465" w:rsidRPr="00DA1726" w:rsidRDefault="005F2465" w:rsidP="00DA1726">
      <w:pPr>
        <w:pStyle w:val="Prrafodelista"/>
        <w:rPr>
          <w:color w:val="000000"/>
          <w:spacing w:val="-3"/>
          <w:sz w:val="28"/>
          <w:szCs w:val="28"/>
        </w:rPr>
      </w:pPr>
    </w:p>
    <w:p w:rsidR="005F2465" w:rsidRPr="00DA1726" w:rsidRDefault="005F2465" w:rsidP="00DA1726">
      <w:pPr>
        <w:tabs>
          <w:tab w:val="left" w:pos="284"/>
          <w:tab w:val="left" w:pos="567"/>
        </w:tabs>
        <w:suppressAutoHyphens/>
        <w:jc w:val="both"/>
        <w:rPr>
          <w:color w:val="000000"/>
          <w:spacing w:val="-3"/>
          <w:sz w:val="28"/>
          <w:szCs w:val="28"/>
        </w:rPr>
      </w:pPr>
      <w:r w:rsidRPr="00DA1726">
        <w:rPr>
          <w:color w:val="000000"/>
          <w:spacing w:val="-3"/>
          <w:sz w:val="28"/>
          <w:szCs w:val="28"/>
        </w:rPr>
        <w:t>Sin embargo, expresaron que las dificultades reseñadas no suponen una ausencia de monitoreo al desempeño, dado que con las resoluciones 1446 de 2006</w:t>
      </w:r>
      <w:r w:rsidRPr="00DA1726">
        <w:rPr>
          <w:color w:val="000000"/>
          <w:spacing w:val="-3"/>
          <w:sz w:val="28"/>
          <w:szCs w:val="28"/>
          <w:vertAlign w:val="superscript"/>
        </w:rPr>
        <w:footnoteReference w:id="23"/>
      </w:r>
      <w:r w:rsidRPr="00DA1726">
        <w:rPr>
          <w:color w:val="000000"/>
          <w:spacing w:val="-3"/>
          <w:sz w:val="28"/>
          <w:szCs w:val="28"/>
        </w:rPr>
        <w:t xml:space="preserve"> y 4505 de 2013</w:t>
      </w:r>
      <w:r w:rsidRPr="00DA1726">
        <w:rPr>
          <w:color w:val="000000"/>
          <w:spacing w:val="-3"/>
          <w:sz w:val="28"/>
          <w:szCs w:val="28"/>
          <w:vertAlign w:val="superscript"/>
        </w:rPr>
        <w:footnoteReference w:id="24"/>
      </w:r>
      <w:r w:rsidRPr="00DA1726">
        <w:rPr>
          <w:color w:val="000000"/>
          <w:spacing w:val="-3"/>
          <w:sz w:val="28"/>
          <w:szCs w:val="28"/>
        </w:rPr>
        <w:t xml:space="preserve"> se obtiene la información sobre la actividad de los prestadores, aunado a la actividad de los entes territoriales que tienen a su cargo la inspección, vigilancia y control de dichas instituciones.</w:t>
      </w:r>
    </w:p>
    <w:p w:rsidR="00B75C0C" w:rsidRPr="00DA1726" w:rsidRDefault="00B75C0C" w:rsidP="00DA1726">
      <w:pPr>
        <w:rPr>
          <w:i/>
          <w:color w:val="000000"/>
          <w:spacing w:val="-3"/>
          <w:sz w:val="28"/>
          <w:szCs w:val="28"/>
        </w:rPr>
      </w:pPr>
    </w:p>
    <w:p w:rsidR="00B75C0C" w:rsidRPr="00DA1726" w:rsidRDefault="00B75C0C" w:rsidP="00DA1726">
      <w:pPr>
        <w:pStyle w:val="Prrafodelista"/>
        <w:numPr>
          <w:ilvl w:val="1"/>
          <w:numId w:val="40"/>
        </w:numPr>
        <w:tabs>
          <w:tab w:val="left" w:pos="284"/>
          <w:tab w:val="left" w:pos="851"/>
        </w:tabs>
        <w:suppressAutoHyphens/>
        <w:ind w:left="0" w:firstLine="0"/>
        <w:jc w:val="both"/>
        <w:rPr>
          <w:color w:val="000000"/>
          <w:spacing w:val="-3"/>
          <w:sz w:val="28"/>
          <w:szCs w:val="28"/>
        </w:rPr>
      </w:pPr>
      <w:r w:rsidRPr="00DA1726">
        <w:rPr>
          <w:color w:val="000000"/>
          <w:spacing w:val="-3"/>
          <w:sz w:val="28"/>
          <w:szCs w:val="28"/>
        </w:rPr>
        <w:t>El 29 de abril de 2014</w:t>
      </w:r>
      <w:r w:rsidR="0064037E" w:rsidRPr="00DA1726">
        <w:rPr>
          <w:color w:val="000000"/>
          <w:spacing w:val="-3"/>
          <w:sz w:val="28"/>
          <w:szCs w:val="28"/>
          <w:vertAlign w:val="superscript"/>
        </w:rPr>
        <w:footnoteReference w:id="25"/>
      </w:r>
      <w:r w:rsidRPr="00DA1726">
        <w:rPr>
          <w:color w:val="000000"/>
          <w:spacing w:val="-3"/>
          <w:sz w:val="28"/>
          <w:szCs w:val="28"/>
        </w:rPr>
        <w:t xml:space="preserve"> el Ministerio de Salud conjuntamente con la Superintendencia remitieron informe </w:t>
      </w:r>
      <w:r w:rsidRPr="00DA1726">
        <w:rPr>
          <w:i/>
          <w:color w:val="000000"/>
          <w:spacing w:val="-3"/>
          <w:sz w:val="28"/>
          <w:szCs w:val="28"/>
        </w:rPr>
        <w:t>“sobre las entidades que con mayor frecuencia incurren en prácticas violatorias del derecho a la salud de las personas para cada uno de los regímenes; que incluye también información preliminar sobre las medidas concretas y específicas que se han tomado para garantizar el goce efectivo del derecho a la salud, de las personas que se encuentran afiliadas a las Entidades Promotoras de Salud y las Instituciones Prestadoras de Servicios identificadas”</w:t>
      </w:r>
      <w:r w:rsidRPr="00DA1726">
        <w:rPr>
          <w:color w:val="000000"/>
          <w:spacing w:val="-3"/>
          <w:sz w:val="28"/>
          <w:szCs w:val="28"/>
        </w:rPr>
        <w:t>.</w:t>
      </w:r>
    </w:p>
    <w:p w:rsidR="00B75C0C" w:rsidRPr="00DA1726" w:rsidRDefault="00B75C0C" w:rsidP="00DA1726">
      <w:pPr>
        <w:rPr>
          <w:color w:val="000000"/>
          <w:spacing w:val="-3"/>
          <w:sz w:val="28"/>
          <w:szCs w:val="28"/>
        </w:rPr>
      </w:pPr>
    </w:p>
    <w:p w:rsidR="00B75C0C" w:rsidRPr="00DA1726" w:rsidRDefault="00B75C0C" w:rsidP="00DA1726">
      <w:pPr>
        <w:tabs>
          <w:tab w:val="left" w:pos="284"/>
          <w:tab w:val="left" w:pos="426"/>
          <w:tab w:val="left" w:pos="851"/>
        </w:tabs>
        <w:suppressAutoHyphens/>
        <w:jc w:val="both"/>
        <w:rPr>
          <w:color w:val="000000"/>
          <w:spacing w:val="-3"/>
          <w:sz w:val="28"/>
          <w:szCs w:val="28"/>
        </w:rPr>
      </w:pPr>
      <w:r w:rsidRPr="00DA1726">
        <w:rPr>
          <w:color w:val="000000"/>
          <w:spacing w:val="-3"/>
          <w:sz w:val="28"/>
          <w:szCs w:val="28"/>
        </w:rPr>
        <w:t>Según lo mencionado por las autoridades gubernamentales en dicho documento no solo se detallan los aspectos metodológicos sino los avances en el cumplimiento del mandato vigésimo. Afirmaron que atendiendo las observaciones formuladas por los Grupos de Seguimiento y lo dispuesto en el Auto 249 de 2013, se elaboró una nueva metodología.</w:t>
      </w:r>
    </w:p>
    <w:p w:rsidR="00B75C0C" w:rsidRPr="00DA1726" w:rsidRDefault="00B75C0C" w:rsidP="00DA1726">
      <w:pPr>
        <w:tabs>
          <w:tab w:val="left" w:pos="284"/>
          <w:tab w:val="left" w:pos="709"/>
          <w:tab w:val="left" w:pos="851"/>
        </w:tabs>
        <w:suppressAutoHyphens/>
        <w:jc w:val="both"/>
        <w:rPr>
          <w:color w:val="000000"/>
          <w:spacing w:val="-3"/>
          <w:sz w:val="28"/>
          <w:szCs w:val="28"/>
        </w:rPr>
      </w:pPr>
    </w:p>
    <w:p w:rsidR="00B75C0C" w:rsidRPr="00DA1726" w:rsidRDefault="00B75C0C" w:rsidP="00DA1726">
      <w:pPr>
        <w:tabs>
          <w:tab w:val="left" w:pos="284"/>
          <w:tab w:val="left" w:pos="709"/>
          <w:tab w:val="left" w:pos="851"/>
        </w:tabs>
        <w:suppressAutoHyphens/>
        <w:jc w:val="both"/>
        <w:rPr>
          <w:color w:val="000000"/>
          <w:spacing w:val="-3"/>
          <w:sz w:val="28"/>
          <w:szCs w:val="28"/>
        </w:rPr>
      </w:pPr>
      <w:r w:rsidRPr="00DA1726">
        <w:rPr>
          <w:color w:val="000000"/>
          <w:spacing w:val="-3"/>
          <w:sz w:val="28"/>
          <w:szCs w:val="28"/>
        </w:rPr>
        <w:t xml:space="preserve">Resaltaron que el nuevo enfoque incluyó un cambio sustancial en la fuente de información para el análisis de los 14 criterios definidos en el Auto 044 de 2012, por lo que fue diseñada una metodología de auditorías a las EPS </w:t>
      </w:r>
      <w:r w:rsidR="009F1436" w:rsidRPr="00DA1726">
        <w:rPr>
          <w:color w:val="000000"/>
          <w:spacing w:val="-3"/>
          <w:sz w:val="28"/>
          <w:szCs w:val="28"/>
        </w:rPr>
        <w:t xml:space="preserve">que buscaba un doble propósito. </w:t>
      </w:r>
      <w:r w:rsidRPr="00DA1726">
        <w:rPr>
          <w:color w:val="000000"/>
          <w:spacing w:val="-3"/>
          <w:sz w:val="28"/>
          <w:szCs w:val="28"/>
        </w:rPr>
        <w:t xml:space="preserve"> En primer lugar, recoger datos sobre vulneraciones de derechos en la fuente primaria de información, que implicó una transición del auto reporte al recaudo </w:t>
      </w:r>
      <w:r w:rsidRPr="00DA1726">
        <w:rPr>
          <w:i/>
          <w:color w:val="000000"/>
          <w:spacing w:val="-3"/>
          <w:sz w:val="28"/>
          <w:szCs w:val="28"/>
        </w:rPr>
        <w:t>in situ</w:t>
      </w:r>
      <w:r w:rsidRPr="00DA1726">
        <w:rPr>
          <w:color w:val="000000"/>
          <w:spacing w:val="-3"/>
          <w:sz w:val="28"/>
          <w:szCs w:val="28"/>
        </w:rPr>
        <w:t xml:space="preserve"> de los mismos.</w:t>
      </w:r>
      <w:r w:rsidR="009F1436" w:rsidRPr="00DA1726">
        <w:rPr>
          <w:color w:val="000000"/>
          <w:spacing w:val="-3"/>
          <w:sz w:val="28"/>
          <w:szCs w:val="28"/>
        </w:rPr>
        <w:t xml:space="preserve"> </w:t>
      </w:r>
      <w:r w:rsidRPr="00DA1726">
        <w:rPr>
          <w:color w:val="000000"/>
          <w:spacing w:val="-3"/>
          <w:sz w:val="28"/>
          <w:szCs w:val="28"/>
        </w:rPr>
        <w:t xml:space="preserve"> En segundo lugar, revisar el estado de los sistemas de información de los aseguradores y adoptar medidas para su mejoramiento de modo que cada vez se alcance m</w:t>
      </w:r>
      <w:r w:rsidR="009F1436" w:rsidRPr="00DA1726">
        <w:rPr>
          <w:color w:val="000000"/>
          <w:spacing w:val="-3"/>
          <w:sz w:val="28"/>
          <w:szCs w:val="28"/>
        </w:rPr>
        <w:t xml:space="preserve">ejor calidad en la información. Para tal fin se realizaron </w:t>
      </w:r>
      <w:r w:rsidRPr="00DA1726">
        <w:rPr>
          <w:color w:val="000000"/>
          <w:spacing w:val="-3"/>
          <w:sz w:val="28"/>
          <w:szCs w:val="28"/>
        </w:rPr>
        <w:t>auditorías a 48 autoridades entre febrero y marzo de 2014</w:t>
      </w:r>
      <w:r w:rsidR="00A01365" w:rsidRPr="00DA1726">
        <w:rPr>
          <w:color w:val="000000"/>
          <w:spacing w:val="-3"/>
          <w:sz w:val="28"/>
          <w:szCs w:val="28"/>
          <w:vertAlign w:val="superscript"/>
        </w:rPr>
        <w:footnoteReference w:id="26"/>
      </w:r>
      <w:r w:rsidRPr="00DA1726">
        <w:rPr>
          <w:color w:val="000000"/>
          <w:spacing w:val="-3"/>
          <w:sz w:val="28"/>
          <w:szCs w:val="28"/>
        </w:rPr>
        <w:t xml:space="preserve">. </w:t>
      </w:r>
    </w:p>
    <w:p w:rsidR="00B75C0C" w:rsidRPr="00DA1726" w:rsidRDefault="00B75C0C" w:rsidP="00DA1726">
      <w:pPr>
        <w:rPr>
          <w:color w:val="000000"/>
          <w:spacing w:val="-3"/>
          <w:sz w:val="28"/>
          <w:szCs w:val="28"/>
        </w:rPr>
      </w:pPr>
    </w:p>
    <w:p w:rsidR="00B75C0C" w:rsidRPr="00DA1726" w:rsidRDefault="008952CA" w:rsidP="00DA1726">
      <w:pPr>
        <w:tabs>
          <w:tab w:val="left" w:pos="284"/>
          <w:tab w:val="left" w:pos="851"/>
        </w:tabs>
        <w:suppressAutoHyphens/>
        <w:jc w:val="both"/>
        <w:rPr>
          <w:color w:val="000000"/>
          <w:spacing w:val="-3"/>
          <w:sz w:val="28"/>
          <w:szCs w:val="28"/>
          <w:vertAlign w:val="superscript"/>
        </w:rPr>
      </w:pPr>
      <w:r w:rsidRPr="00DA1726">
        <w:rPr>
          <w:color w:val="000000"/>
          <w:spacing w:val="-3"/>
          <w:sz w:val="28"/>
          <w:szCs w:val="28"/>
        </w:rPr>
        <w:t xml:space="preserve">Indicaron </w:t>
      </w:r>
      <w:r w:rsidR="00B75C0C" w:rsidRPr="00DA1726">
        <w:rPr>
          <w:color w:val="000000"/>
          <w:spacing w:val="-3"/>
          <w:sz w:val="28"/>
          <w:szCs w:val="28"/>
        </w:rPr>
        <w:t xml:space="preserve">que con el informe presentado se </w:t>
      </w:r>
      <w:r w:rsidR="00BF0D27" w:rsidRPr="00DA1726">
        <w:rPr>
          <w:color w:val="000000"/>
          <w:spacing w:val="-3"/>
          <w:sz w:val="28"/>
          <w:szCs w:val="28"/>
        </w:rPr>
        <w:t>muestran datos</w:t>
      </w:r>
      <w:r w:rsidR="00B75C0C" w:rsidRPr="00DA1726">
        <w:rPr>
          <w:color w:val="000000"/>
          <w:spacing w:val="-3"/>
          <w:sz w:val="28"/>
          <w:szCs w:val="28"/>
        </w:rPr>
        <w:t xml:space="preserve"> sobre las prácticas violatorias en las que incurren las EPS a la vez que se evita incurrir en los riesgos de realizar </w:t>
      </w:r>
      <w:r w:rsidR="00B75C0C" w:rsidRPr="00DA1726">
        <w:rPr>
          <w:i/>
          <w:color w:val="000000"/>
          <w:spacing w:val="-3"/>
          <w:sz w:val="28"/>
          <w:szCs w:val="28"/>
        </w:rPr>
        <w:t>“ordenaciones simples”</w:t>
      </w:r>
      <w:r w:rsidR="00952F1A" w:rsidRPr="00DA1726">
        <w:rPr>
          <w:i/>
          <w:color w:val="000000"/>
          <w:spacing w:val="-3"/>
          <w:sz w:val="28"/>
          <w:szCs w:val="28"/>
          <w:vertAlign w:val="superscript"/>
        </w:rPr>
        <w:footnoteReference w:id="27"/>
      </w:r>
      <w:r w:rsidR="00B75C0C" w:rsidRPr="00DA1726">
        <w:rPr>
          <w:color w:val="000000"/>
          <w:spacing w:val="-3"/>
          <w:sz w:val="28"/>
          <w:szCs w:val="28"/>
        </w:rPr>
        <w:t xml:space="preserve">. </w:t>
      </w:r>
    </w:p>
    <w:p w:rsidR="00B75C0C" w:rsidRPr="00DA1726" w:rsidRDefault="00B75C0C" w:rsidP="00DA1726">
      <w:pPr>
        <w:rPr>
          <w:color w:val="000000"/>
          <w:spacing w:val="-3"/>
          <w:sz w:val="28"/>
          <w:szCs w:val="28"/>
        </w:rPr>
      </w:pPr>
    </w:p>
    <w:p w:rsidR="00B75C0C" w:rsidRPr="00DA1726" w:rsidRDefault="00B75C0C" w:rsidP="00DA1726">
      <w:pPr>
        <w:tabs>
          <w:tab w:val="left" w:pos="284"/>
          <w:tab w:val="left" w:pos="567"/>
          <w:tab w:val="left" w:pos="851"/>
        </w:tabs>
        <w:suppressAutoHyphens/>
        <w:jc w:val="both"/>
        <w:rPr>
          <w:color w:val="000000"/>
          <w:spacing w:val="-3"/>
          <w:sz w:val="28"/>
          <w:szCs w:val="28"/>
        </w:rPr>
      </w:pPr>
      <w:r w:rsidRPr="00DA1726">
        <w:rPr>
          <w:color w:val="000000"/>
          <w:spacing w:val="-3"/>
          <w:sz w:val="28"/>
          <w:szCs w:val="28"/>
        </w:rPr>
        <w:t xml:space="preserve">En relación con el </w:t>
      </w:r>
      <w:r w:rsidR="008D66F1" w:rsidRPr="00DA1726">
        <w:rPr>
          <w:i/>
          <w:color w:val="000000"/>
          <w:spacing w:val="-3"/>
          <w:sz w:val="28"/>
          <w:szCs w:val="28"/>
        </w:rPr>
        <w:t>Ranking</w:t>
      </w:r>
      <w:r w:rsidRPr="00DA1726">
        <w:rPr>
          <w:color w:val="000000"/>
          <w:spacing w:val="-3"/>
          <w:sz w:val="28"/>
          <w:szCs w:val="28"/>
        </w:rPr>
        <w:t xml:space="preserve"> de IPS propusieron una herramienta para transmitir a los usuarios información que les permita tomar decisiones en el </w:t>
      </w:r>
      <w:r w:rsidR="0064037E" w:rsidRPr="00DA1726">
        <w:rPr>
          <w:color w:val="000000"/>
          <w:spacing w:val="-3"/>
          <w:sz w:val="28"/>
          <w:szCs w:val="28"/>
        </w:rPr>
        <w:t>s</w:t>
      </w:r>
      <w:r w:rsidRPr="00DA1726">
        <w:rPr>
          <w:color w:val="000000"/>
          <w:spacing w:val="-3"/>
          <w:sz w:val="28"/>
          <w:szCs w:val="28"/>
        </w:rPr>
        <w:t>istema, teniendo en cuenta “</w:t>
      </w:r>
      <w:r w:rsidRPr="00DA1726">
        <w:rPr>
          <w:i/>
          <w:color w:val="000000"/>
          <w:spacing w:val="-3"/>
          <w:sz w:val="28"/>
          <w:szCs w:val="28"/>
        </w:rPr>
        <w:t>las limitaciones técnicas que este tipo de mediciones envuelve”</w:t>
      </w:r>
      <w:r w:rsidRPr="00DA1726">
        <w:rPr>
          <w:color w:val="000000"/>
          <w:spacing w:val="-3"/>
          <w:sz w:val="28"/>
          <w:szCs w:val="28"/>
        </w:rPr>
        <w:t xml:space="preserve">. Reiteraron lo señalado en su escrito de 22 de enero de 2014 en el sentido de que </w:t>
      </w:r>
      <w:r w:rsidRPr="00DA1726">
        <w:rPr>
          <w:i/>
          <w:color w:val="000000"/>
          <w:spacing w:val="-3"/>
          <w:sz w:val="28"/>
          <w:szCs w:val="28"/>
        </w:rPr>
        <w:t xml:space="preserve">“un </w:t>
      </w:r>
      <w:r w:rsidR="008D66F1" w:rsidRPr="00DA1726">
        <w:rPr>
          <w:i/>
          <w:color w:val="000000"/>
          <w:spacing w:val="-3"/>
          <w:sz w:val="28"/>
          <w:szCs w:val="28"/>
        </w:rPr>
        <w:t>ranking</w:t>
      </w:r>
      <w:r w:rsidRPr="00DA1726">
        <w:rPr>
          <w:i/>
          <w:color w:val="000000"/>
          <w:spacing w:val="-3"/>
          <w:sz w:val="28"/>
          <w:szCs w:val="28"/>
        </w:rPr>
        <w:t xml:space="preserve"> de IPS no puede realizarse de acuerdo con los 14 criterios definidos en el Auto 044 de 2012”</w:t>
      </w:r>
      <w:r w:rsidR="00BF0D27" w:rsidRPr="00DA1726">
        <w:rPr>
          <w:color w:val="000000"/>
          <w:spacing w:val="-3"/>
          <w:sz w:val="28"/>
          <w:szCs w:val="28"/>
        </w:rPr>
        <w:t xml:space="preserve">. </w:t>
      </w:r>
      <w:r w:rsidRPr="00DA1726">
        <w:rPr>
          <w:color w:val="000000"/>
          <w:spacing w:val="-3"/>
          <w:sz w:val="28"/>
          <w:szCs w:val="28"/>
        </w:rPr>
        <w:t xml:space="preserve">Sostuvieron que una medición de este tipo debía enfrentar los retos de la desigualdad entre los diferentes prestadores comparables solo en pequeños grupos, aunado al alto número de entidades y las </w:t>
      </w:r>
      <w:r w:rsidRPr="00DA1726">
        <w:rPr>
          <w:i/>
          <w:color w:val="000000"/>
          <w:spacing w:val="-3"/>
          <w:sz w:val="28"/>
          <w:szCs w:val="28"/>
        </w:rPr>
        <w:t>“limitaciones territoriales que hacen que en muchos casos haya un solo prestador en el lugar de residencia de los usuarios”</w:t>
      </w:r>
      <w:r w:rsidRPr="00DA1726">
        <w:rPr>
          <w:color w:val="000000"/>
          <w:spacing w:val="-3"/>
          <w:sz w:val="28"/>
          <w:szCs w:val="28"/>
        </w:rPr>
        <w:t xml:space="preserve">. </w:t>
      </w:r>
    </w:p>
    <w:p w:rsidR="00B75C0C" w:rsidRPr="00DA1726" w:rsidRDefault="00B75C0C" w:rsidP="00DA1726">
      <w:pPr>
        <w:tabs>
          <w:tab w:val="left" w:pos="284"/>
          <w:tab w:val="left" w:pos="851"/>
        </w:tabs>
        <w:suppressAutoHyphens/>
        <w:jc w:val="both"/>
        <w:rPr>
          <w:color w:val="000000"/>
          <w:spacing w:val="-3"/>
          <w:sz w:val="28"/>
          <w:szCs w:val="28"/>
        </w:rPr>
      </w:pPr>
    </w:p>
    <w:p w:rsidR="00B75C0C" w:rsidRPr="00DA1726" w:rsidRDefault="00B75C0C" w:rsidP="00DA1726">
      <w:pPr>
        <w:tabs>
          <w:tab w:val="left" w:pos="284"/>
          <w:tab w:val="left" w:pos="426"/>
          <w:tab w:val="left" w:pos="851"/>
        </w:tabs>
        <w:suppressAutoHyphens/>
        <w:jc w:val="both"/>
        <w:rPr>
          <w:color w:val="000000"/>
          <w:spacing w:val="-3"/>
          <w:sz w:val="28"/>
          <w:szCs w:val="28"/>
        </w:rPr>
      </w:pPr>
      <w:r w:rsidRPr="00DA1726">
        <w:rPr>
          <w:color w:val="000000"/>
          <w:spacing w:val="-3"/>
          <w:sz w:val="28"/>
          <w:szCs w:val="28"/>
        </w:rPr>
        <w:t>Señalaron que tanto el informe de EPS como la propuesta de herramienta de IPS fueron debatidos y consultados con los usuarios del sistema en diversas reuniones, al igual que con la Defensoría del Pueblo en cumplimiento del Auto 249 de 2013.</w:t>
      </w:r>
    </w:p>
    <w:p w:rsidR="00B75C0C" w:rsidRPr="00DA1726" w:rsidRDefault="00B75C0C" w:rsidP="00DA1726">
      <w:pPr>
        <w:tabs>
          <w:tab w:val="left" w:pos="284"/>
          <w:tab w:val="left" w:pos="426"/>
          <w:tab w:val="left" w:pos="851"/>
        </w:tabs>
        <w:suppressAutoHyphens/>
        <w:ind w:left="360"/>
        <w:jc w:val="both"/>
        <w:rPr>
          <w:color w:val="000000"/>
          <w:spacing w:val="-3"/>
          <w:sz w:val="28"/>
          <w:szCs w:val="28"/>
        </w:rPr>
      </w:pPr>
    </w:p>
    <w:p w:rsidR="00B75C0C" w:rsidRPr="00DA1726" w:rsidRDefault="00B75C0C" w:rsidP="00DA1726">
      <w:pPr>
        <w:pStyle w:val="Prrafodelista"/>
        <w:numPr>
          <w:ilvl w:val="1"/>
          <w:numId w:val="7"/>
        </w:numPr>
        <w:tabs>
          <w:tab w:val="left" w:pos="284"/>
          <w:tab w:val="left" w:pos="426"/>
          <w:tab w:val="left" w:pos="851"/>
        </w:tabs>
        <w:suppressAutoHyphens/>
        <w:ind w:left="0" w:firstLine="0"/>
        <w:jc w:val="both"/>
        <w:rPr>
          <w:color w:val="000000"/>
          <w:spacing w:val="-3"/>
          <w:sz w:val="28"/>
          <w:szCs w:val="28"/>
        </w:rPr>
      </w:pPr>
      <w:r w:rsidRPr="00DA1726">
        <w:rPr>
          <w:color w:val="000000"/>
          <w:spacing w:val="-3"/>
          <w:sz w:val="28"/>
          <w:szCs w:val="28"/>
        </w:rPr>
        <w:t xml:space="preserve">El 2 de mayo de 2014, la Defensoría del Pueblo remitió </w:t>
      </w:r>
      <w:r w:rsidR="0083713A" w:rsidRPr="00DA1726">
        <w:rPr>
          <w:color w:val="000000"/>
          <w:spacing w:val="-3"/>
          <w:sz w:val="28"/>
          <w:szCs w:val="28"/>
        </w:rPr>
        <w:t>informe de cumplimiento de acuerdo a</w:t>
      </w:r>
      <w:r w:rsidR="00F566C0" w:rsidRPr="00DA1726">
        <w:rPr>
          <w:color w:val="000000"/>
          <w:spacing w:val="-3"/>
          <w:sz w:val="28"/>
          <w:szCs w:val="28"/>
        </w:rPr>
        <w:t xml:space="preserve"> lo</w:t>
      </w:r>
      <w:r w:rsidRPr="00DA1726">
        <w:rPr>
          <w:color w:val="000000"/>
          <w:spacing w:val="-3"/>
          <w:sz w:val="28"/>
          <w:szCs w:val="28"/>
        </w:rPr>
        <w:t xml:space="preserve"> ordenado en el ordinal cuarto del Auto 249 de 2013</w:t>
      </w:r>
      <w:r w:rsidRPr="00DA1726">
        <w:rPr>
          <w:color w:val="000000"/>
          <w:spacing w:val="-3"/>
          <w:sz w:val="28"/>
          <w:szCs w:val="28"/>
          <w:vertAlign w:val="superscript"/>
        </w:rPr>
        <w:footnoteReference w:id="28"/>
      </w:r>
      <w:r w:rsidRPr="00DA1726">
        <w:rPr>
          <w:color w:val="000000"/>
          <w:spacing w:val="-3"/>
          <w:sz w:val="28"/>
          <w:szCs w:val="28"/>
        </w:rPr>
        <w:t xml:space="preserve">. En este documento se reseñaron los cuatro informes presentados por el Ministerio y la Supersalud, precisando </w:t>
      </w:r>
      <w:r w:rsidR="00F566C0" w:rsidRPr="00DA1726">
        <w:rPr>
          <w:color w:val="000000"/>
          <w:spacing w:val="-3"/>
          <w:sz w:val="28"/>
          <w:szCs w:val="28"/>
        </w:rPr>
        <w:t>(</w:t>
      </w:r>
      <w:r w:rsidRPr="00DA1726">
        <w:rPr>
          <w:color w:val="000000"/>
          <w:spacing w:val="-3"/>
          <w:sz w:val="28"/>
          <w:szCs w:val="28"/>
        </w:rPr>
        <w:t xml:space="preserve">i) los riesgos de la propuesta gubernamental, </w:t>
      </w:r>
      <w:r w:rsidR="00F566C0" w:rsidRPr="00DA1726">
        <w:rPr>
          <w:color w:val="000000"/>
          <w:spacing w:val="-3"/>
          <w:sz w:val="28"/>
          <w:szCs w:val="28"/>
        </w:rPr>
        <w:t>(</w:t>
      </w:r>
      <w:r w:rsidRPr="00DA1726">
        <w:rPr>
          <w:color w:val="000000"/>
          <w:spacing w:val="-3"/>
          <w:sz w:val="28"/>
          <w:szCs w:val="28"/>
        </w:rPr>
        <w:t>ii) las observaciones</w:t>
      </w:r>
      <w:r w:rsidR="00F566C0" w:rsidRPr="00DA1726">
        <w:rPr>
          <w:color w:val="000000"/>
          <w:spacing w:val="-3"/>
          <w:sz w:val="28"/>
          <w:szCs w:val="28"/>
        </w:rPr>
        <w:t>,</w:t>
      </w:r>
      <w:r w:rsidRPr="00DA1726">
        <w:rPr>
          <w:color w:val="000000"/>
          <w:spacing w:val="-3"/>
          <w:sz w:val="28"/>
          <w:szCs w:val="28"/>
        </w:rPr>
        <w:t xml:space="preserve"> </w:t>
      </w:r>
      <w:r w:rsidR="00F566C0" w:rsidRPr="00DA1726">
        <w:rPr>
          <w:color w:val="000000"/>
          <w:spacing w:val="-3"/>
          <w:sz w:val="28"/>
          <w:szCs w:val="28"/>
        </w:rPr>
        <w:t>(</w:t>
      </w:r>
      <w:r w:rsidRPr="00DA1726">
        <w:rPr>
          <w:color w:val="000000"/>
          <w:spacing w:val="-3"/>
          <w:sz w:val="28"/>
          <w:szCs w:val="28"/>
        </w:rPr>
        <w:t>iii)</w:t>
      </w:r>
      <w:r w:rsidR="00F566C0" w:rsidRPr="00DA1726">
        <w:rPr>
          <w:color w:val="000000"/>
          <w:spacing w:val="-3"/>
          <w:sz w:val="28"/>
          <w:szCs w:val="28"/>
        </w:rPr>
        <w:t xml:space="preserve"> recomendaciones del órgano del control,</w:t>
      </w:r>
      <w:r w:rsidRPr="00DA1726">
        <w:rPr>
          <w:color w:val="000000"/>
          <w:spacing w:val="-3"/>
          <w:sz w:val="28"/>
          <w:szCs w:val="28"/>
        </w:rPr>
        <w:t xml:space="preserve"> y </w:t>
      </w:r>
      <w:r w:rsidR="00F566C0" w:rsidRPr="00DA1726">
        <w:rPr>
          <w:color w:val="000000"/>
          <w:spacing w:val="-3"/>
          <w:sz w:val="28"/>
          <w:szCs w:val="28"/>
        </w:rPr>
        <w:t>(</w:t>
      </w:r>
      <w:r w:rsidRPr="00DA1726">
        <w:rPr>
          <w:color w:val="000000"/>
          <w:spacing w:val="-3"/>
          <w:sz w:val="28"/>
          <w:szCs w:val="28"/>
        </w:rPr>
        <w:t xml:space="preserve">iv) los avances en proceso de construcción del </w:t>
      </w:r>
      <w:r w:rsidR="008D66F1" w:rsidRPr="00DA1726">
        <w:rPr>
          <w:i/>
          <w:color w:val="000000"/>
          <w:spacing w:val="-3"/>
          <w:sz w:val="28"/>
          <w:szCs w:val="28"/>
        </w:rPr>
        <w:t>ranking</w:t>
      </w:r>
      <w:r w:rsidRPr="00DA1726">
        <w:rPr>
          <w:color w:val="000000"/>
          <w:spacing w:val="-3"/>
          <w:sz w:val="28"/>
          <w:szCs w:val="28"/>
        </w:rPr>
        <w:t xml:space="preserve"> 2014.</w:t>
      </w:r>
    </w:p>
    <w:p w:rsidR="00D7751B" w:rsidRPr="00DA1726" w:rsidRDefault="00D7751B" w:rsidP="00DA1726">
      <w:pPr>
        <w:tabs>
          <w:tab w:val="left" w:pos="284"/>
          <w:tab w:val="left" w:pos="426"/>
          <w:tab w:val="left" w:pos="851"/>
        </w:tabs>
        <w:suppressAutoHyphens/>
        <w:jc w:val="both"/>
        <w:rPr>
          <w:color w:val="000000"/>
          <w:spacing w:val="-3"/>
          <w:sz w:val="28"/>
          <w:szCs w:val="28"/>
        </w:rPr>
      </w:pPr>
    </w:p>
    <w:p w:rsidR="00B75C0C" w:rsidRPr="00DA1726" w:rsidRDefault="00B75C0C" w:rsidP="00DA1726">
      <w:pPr>
        <w:tabs>
          <w:tab w:val="left" w:pos="284"/>
          <w:tab w:val="left" w:pos="426"/>
          <w:tab w:val="left" w:pos="851"/>
        </w:tabs>
        <w:suppressAutoHyphens/>
        <w:jc w:val="both"/>
        <w:rPr>
          <w:color w:val="000000"/>
          <w:spacing w:val="-3"/>
          <w:sz w:val="28"/>
          <w:szCs w:val="28"/>
        </w:rPr>
      </w:pPr>
      <w:r w:rsidRPr="00DA1726">
        <w:rPr>
          <w:color w:val="000000"/>
          <w:spacing w:val="-3"/>
          <w:sz w:val="28"/>
          <w:szCs w:val="28"/>
        </w:rPr>
        <w:t xml:space="preserve">Además, incluyó una sección denominada </w:t>
      </w:r>
      <w:r w:rsidRPr="00DA1726">
        <w:rPr>
          <w:i/>
          <w:color w:val="000000"/>
          <w:spacing w:val="-3"/>
          <w:sz w:val="28"/>
          <w:szCs w:val="28"/>
        </w:rPr>
        <w:t xml:space="preserve">“premisas para la evaluación del cumplimiento del auto 249 de </w:t>
      </w:r>
      <w:smartTag w:uri="urn:schemas-microsoft-com:office:smarttags" w:element="metricconverter">
        <w:smartTagPr>
          <w:attr w:name="ProductID" w:val="2013”"/>
        </w:smartTagPr>
        <w:r w:rsidRPr="00DA1726">
          <w:rPr>
            <w:i/>
            <w:color w:val="000000"/>
            <w:spacing w:val="-3"/>
            <w:sz w:val="28"/>
            <w:szCs w:val="28"/>
          </w:rPr>
          <w:t>2013”</w:t>
        </w:r>
      </w:smartTag>
      <w:r w:rsidRPr="00DA1726">
        <w:rPr>
          <w:color w:val="000000"/>
          <w:spacing w:val="-3"/>
          <w:sz w:val="28"/>
          <w:szCs w:val="28"/>
          <w:vertAlign w:val="superscript"/>
        </w:rPr>
        <w:footnoteReference w:id="29"/>
      </w:r>
      <w:r w:rsidR="008952CA" w:rsidRPr="00DA1726">
        <w:rPr>
          <w:i/>
          <w:color w:val="000000"/>
          <w:spacing w:val="-3"/>
          <w:sz w:val="28"/>
          <w:szCs w:val="28"/>
        </w:rPr>
        <w:t>,</w:t>
      </w:r>
      <w:r w:rsidR="00D7751B" w:rsidRPr="00DA1726">
        <w:rPr>
          <w:color w:val="000000"/>
          <w:spacing w:val="-3"/>
          <w:sz w:val="28"/>
          <w:szCs w:val="28"/>
        </w:rPr>
        <w:t xml:space="preserve"> en la que planteó </w:t>
      </w:r>
      <w:r w:rsidRPr="00DA1726">
        <w:rPr>
          <w:color w:val="000000"/>
          <w:spacing w:val="-3"/>
          <w:sz w:val="28"/>
          <w:szCs w:val="28"/>
        </w:rPr>
        <w:t>su posición sobre el cumplimiento o no por parte de las autoridades gubernamentales a lo ordenado en dicho proveído.</w:t>
      </w:r>
    </w:p>
    <w:p w:rsidR="00B75C0C" w:rsidRPr="00DA1726" w:rsidRDefault="00B75C0C" w:rsidP="00DA1726">
      <w:pPr>
        <w:tabs>
          <w:tab w:val="left" w:pos="284"/>
          <w:tab w:val="left" w:pos="426"/>
          <w:tab w:val="left" w:pos="851"/>
        </w:tabs>
        <w:suppressAutoHyphens/>
        <w:jc w:val="both"/>
        <w:rPr>
          <w:color w:val="000000"/>
          <w:spacing w:val="-3"/>
          <w:sz w:val="28"/>
          <w:szCs w:val="28"/>
        </w:rPr>
      </w:pPr>
    </w:p>
    <w:p w:rsidR="00B75C0C" w:rsidRPr="00DA1726" w:rsidRDefault="00B75C0C" w:rsidP="00DA1726">
      <w:pPr>
        <w:tabs>
          <w:tab w:val="left" w:pos="284"/>
          <w:tab w:val="left" w:pos="426"/>
          <w:tab w:val="left" w:pos="851"/>
        </w:tabs>
        <w:suppressAutoHyphens/>
        <w:jc w:val="both"/>
        <w:rPr>
          <w:color w:val="000000"/>
          <w:spacing w:val="-3"/>
          <w:sz w:val="28"/>
          <w:szCs w:val="28"/>
        </w:rPr>
      </w:pPr>
      <w:r w:rsidRPr="00DA1726">
        <w:rPr>
          <w:color w:val="000000"/>
          <w:spacing w:val="-3"/>
          <w:sz w:val="28"/>
          <w:szCs w:val="28"/>
        </w:rPr>
        <w:t xml:space="preserve">Para el órgano de control, si bien debe reconocerse el esfuerzo metodológico de carácter participativo de las autoridades gubernamentales en la construcción del </w:t>
      </w:r>
      <w:r w:rsidR="008D66F1" w:rsidRPr="00DA1726">
        <w:rPr>
          <w:i/>
          <w:color w:val="000000"/>
          <w:spacing w:val="-3"/>
          <w:sz w:val="28"/>
          <w:szCs w:val="28"/>
        </w:rPr>
        <w:t>ranking</w:t>
      </w:r>
      <w:r w:rsidRPr="00DA1726">
        <w:rPr>
          <w:color w:val="000000"/>
          <w:spacing w:val="-3"/>
          <w:sz w:val="28"/>
          <w:szCs w:val="28"/>
        </w:rPr>
        <w:t xml:space="preserve"> 2014, existen muchas limitaciones en materia de información que impiden que se cumplan con los objetivos de la orden vigésima del fallo estructural. </w:t>
      </w:r>
    </w:p>
    <w:p w:rsidR="00B75C0C" w:rsidRPr="00DA1726" w:rsidRDefault="00B75C0C" w:rsidP="00DA1726">
      <w:pPr>
        <w:tabs>
          <w:tab w:val="left" w:pos="284"/>
          <w:tab w:val="left" w:pos="426"/>
          <w:tab w:val="left" w:pos="851"/>
        </w:tabs>
        <w:suppressAutoHyphens/>
        <w:jc w:val="both"/>
        <w:rPr>
          <w:i/>
          <w:color w:val="000000"/>
          <w:spacing w:val="-3"/>
          <w:sz w:val="28"/>
          <w:szCs w:val="28"/>
        </w:rPr>
      </w:pPr>
    </w:p>
    <w:p w:rsidR="006E6D08" w:rsidRPr="00DA1726" w:rsidRDefault="006E6D08" w:rsidP="00DA1726">
      <w:pPr>
        <w:pStyle w:val="Prrafodelista"/>
        <w:numPr>
          <w:ilvl w:val="1"/>
          <w:numId w:val="7"/>
        </w:numPr>
        <w:tabs>
          <w:tab w:val="left" w:pos="284"/>
          <w:tab w:val="left" w:pos="426"/>
          <w:tab w:val="left" w:pos="851"/>
        </w:tabs>
        <w:suppressAutoHyphens/>
        <w:ind w:left="0" w:firstLine="0"/>
        <w:jc w:val="both"/>
        <w:rPr>
          <w:i/>
          <w:color w:val="000000"/>
          <w:spacing w:val="-3"/>
          <w:sz w:val="28"/>
          <w:szCs w:val="28"/>
        </w:rPr>
      </w:pPr>
      <w:r w:rsidRPr="00DA1726">
        <w:rPr>
          <w:color w:val="000000"/>
          <w:spacing w:val="-3"/>
          <w:sz w:val="28"/>
          <w:szCs w:val="28"/>
        </w:rPr>
        <w:t>El 18 de diciembre de 2014, el Ministerio de Salud y la Superintendencia, presentaron informe del plan de visitas de auditorías conc</w:t>
      </w:r>
      <w:r w:rsidR="008F6632" w:rsidRPr="00DA1726">
        <w:rPr>
          <w:color w:val="000000"/>
          <w:spacing w:val="-3"/>
          <w:sz w:val="28"/>
          <w:szCs w:val="28"/>
        </w:rPr>
        <w:t>urrentes en las 53 EPS de los regímenes</w:t>
      </w:r>
      <w:r w:rsidRPr="00DA1726">
        <w:rPr>
          <w:color w:val="000000"/>
          <w:spacing w:val="-3"/>
          <w:sz w:val="28"/>
          <w:szCs w:val="28"/>
        </w:rPr>
        <w:t xml:space="preserve"> contributivo y subsidiado, adelantadas en los meses de febrero y marzo de ese año</w:t>
      </w:r>
      <w:r w:rsidR="00A01365" w:rsidRPr="00DA1726">
        <w:rPr>
          <w:color w:val="000000"/>
          <w:spacing w:val="-3"/>
          <w:sz w:val="28"/>
          <w:szCs w:val="28"/>
          <w:vertAlign w:val="superscript"/>
        </w:rPr>
        <w:footnoteReference w:id="30"/>
      </w:r>
      <w:r w:rsidRPr="00DA1726">
        <w:rPr>
          <w:color w:val="000000"/>
          <w:spacing w:val="-3"/>
          <w:sz w:val="28"/>
          <w:szCs w:val="28"/>
        </w:rPr>
        <w:t>.</w:t>
      </w:r>
    </w:p>
    <w:p w:rsidR="006E6D08" w:rsidRPr="00DA1726" w:rsidRDefault="006E6D08" w:rsidP="00DA1726">
      <w:pPr>
        <w:tabs>
          <w:tab w:val="left" w:pos="284"/>
          <w:tab w:val="left" w:pos="426"/>
          <w:tab w:val="left" w:pos="851"/>
        </w:tabs>
        <w:suppressAutoHyphens/>
        <w:jc w:val="both"/>
        <w:rPr>
          <w:i/>
          <w:color w:val="000000"/>
          <w:spacing w:val="-3"/>
          <w:sz w:val="28"/>
          <w:szCs w:val="28"/>
        </w:rPr>
      </w:pPr>
    </w:p>
    <w:p w:rsidR="00FC19DD" w:rsidRPr="00DA1726" w:rsidRDefault="00FC19DD" w:rsidP="00DA1726">
      <w:pPr>
        <w:tabs>
          <w:tab w:val="left" w:pos="284"/>
          <w:tab w:val="left" w:pos="426"/>
          <w:tab w:val="left" w:pos="851"/>
        </w:tabs>
        <w:suppressAutoHyphens/>
        <w:jc w:val="both"/>
        <w:rPr>
          <w:color w:val="000000"/>
          <w:spacing w:val="-3"/>
          <w:sz w:val="28"/>
          <w:szCs w:val="28"/>
          <w:lang w:val="es-ES_tradnl"/>
        </w:rPr>
      </w:pPr>
      <w:r w:rsidRPr="00DA1726">
        <w:rPr>
          <w:color w:val="000000"/>
          <w:spacing w:val="-3"/>
          <w:sz w:val="28"/>
          <w:szCs w:val="28"/>
        </w:rPr>
        <w:t xml:space="preserve">Explicaron que con el fin de dar cumplimiento a lo ordenado por la Corte Constitucional, de acuerdo a los 14 criterios señalados por la Sala Especial de Seguimiento </w:t>
      </w:r>
      <w:r w:rsidR="00A01365" w:rsidRPr="00DA1726">
        <w:rPr>
          <w:color w:val="000000"/>
          <w:spacing w:val="-3"/>
          <w:sz w:val="28"/>
          <w:szCs w:val="28"/>
          <w:lang w:val="es-ES_tradnl"/>
        </w:rPr>
        <w:t>diseñaron un ordenamiento de las promotoras</w:t>
      </w:r>
      <w:r w:rsidRPr="00DA1726">
        <w:rPr>
          <w:color w:val="000000"/>
          <w:spacing w:val="-3"/>
          <w:sz w:val="28"/>
          <w:szCs w:val="28"/>
          <w:vertAlign w:val="superscript"/>
          <w:lang w:val="es-ES_tradnl"/>
        </w:rPr>
        <w:footnoteReference w:id="31"/>
      </w:r>
      <w:r w:rsidRPr="00DA1726">
        <w:rPr>
          <w:color w:val="000000"/>
          <w:spacing w:val="-3"/>
          <w:sz w:val="28"/>
          <w:szCs w:val="28"/>
          <w:lang w:val="es-ES_tradnl"/>
        </w:rPr>
        <w:t>.</w:t>
      </w:r>
    </w:p>
    <w:p w:rsidR="00FC19DD" w:rsidRPr="00DA1726" w:rsidRDefault="00FC19DD" w:rsidP="00DA1726">
      <w:pPr>
        <w:tabs>
          <w:tab w:val="left" w:pos="284"/>
          <w:tab w:val="left" w:pos="426"/>
          <w:tab w:val="left" w:pos="851"/>
        </w:tabs>
        <w:suppressAutoHyphens/>
        <w:jc w:val="both"/>
        <w:rPr>
          <w:color w:val="000000"/>
          <w:spacing w:val="-3"/>
          <w:sz w:val="28"/>
          <w:szCs w:val="28"/>
          <w:lang w:val="es-ES"/>
        </w:rPr>
      </w:pPr>
    </w:p>
    <w:p w:rsidR="00FC19DD" w:rsidRPr="00DA1726" w:rsidRDefault="00FC19DD" w:rsidP="00DA1726">
      <w:pPr>
        <w:tabs>
          <w:tab w:val="left" w:pos="284"/>
          <w:tab w:val="left" w:pos="426"/>
          <w:tab w:val="left" w:pos="851"/>
        </w:tabs>
        <w:suppressAutoHyphens/>
        <w:jc w:val="both"/>
        <w:rPr>
          <w:color w:val="000000"/>
          <w:spacing w:val="-3"/>
          <w:sz w:val="28"/>
          <w:szCs w:val="28"/>
          <w:lang w:val="es-ES_tradnl"/>
        </w:rPr>
      </w:pPr>
      <w:r w:rsidRPr="00DA1726">
        <w:rPr>
          <w:color w:val="000000"/>
          <w:spacing w:val="-3"/>
          <w:sz w:val="28"/>
          <w:szCs w:val="28"/>
          <w:lang w:val="es-ES_tradnl"/>
        </w:rPr>
        <w:t xml:space="preserve">El </w:t>
      </w:r>
      <w:r w:rsidR="008D66F1" w:rsidRPr="00DA1726">
        <w:rPr>
          <w:i/>
          <w:color w:val="000000"/>
          <w:spacing w:val="-3"/>
          <w:sz w:val="28"/>
          <w:szCs w:val="28"/>
          <w:lang w:val="es-ES_tradnl"/>
        </w:rPr>
        <w:t>ranking</w:t>
      </w:r>
      <w:r w:rsidRPr="00DA1726">
        <w:rPr>
          <w:color w:val="000000"/>
          <w:spacing w:val="-3"/>
          <w:sz w:val="28"/>
          <w:szCs w:val="28"/>
          <w:lang w:val="es-ES_tradnl"/>
        </w:rPr>
        <w:t xml:space="preserve"> de aseguradores bajo el esquema del año inmediatamente anterior (2013) tenía en cuenta los </w:t>
      </w:r>
      <w:r w:rsidRPr="00DA1726">
        <w:rPr>
          <w:bCs/>
          <w:color w:val="000000"/>
          <w:spacing w:val="-3"/>
          <w:sz w:val="28"/>
          <w:szCs w:val="28"/>
          <w:lang w:val="es-ES_tradnl"/>
        </w:rPr>
        <w:t>derechos</w:t>
      </w:r>
      <w:r w:rsidRPr="00DA1726">
        <w:rPr>
          <w:b/>
          <w:bCs/>
          <w:color w:val="000000"/>
          <w:spacing w:val="-3"/>
          <w:sz w:val="28"/>
          <w:szCs w:val="28"/>
          <w:lang w:val="es-ES_tradnl"/>
        </w:rPr>
        <w:t xml:space="preserve"> </w:t>
      </w:r>
      <w:r w:rsidRPr="00DA1726">
        <w:rPr>
          <w:color w:val="000000"/>
          <w:spacing w:val="-3"/>
          <w:sz w:val="28"/>
          <w:szCs w:val="28"/>
          <w:lang w:val="es-ES_tradnl"/>
        </w:rPr>
        <w:t>basados en los 14 criterios definidos por la Corte Constitucional y presentaba los resultados clasificando las EPS en cuatro grupos de desempeño.</w:t>
      </w:r>
    </w:p>
    <w:p w:rsidR="00FC19DD" w:rsidRPr="00DA1726" w:rsidRDefault="00FC19DD" w:rsidP="00DA1726">
      <w:pPr>
        <w:tabs>
          <w:tab w:val="left" w:pos="284"/>
          <w:tab w:val="left" w:pos="426"/>
          <w:tab w:val="left" w:pos="851"/>
        </w:tabs>
        <w:suppressAutoHyphens/>
        <w:jc w:val="both"/>
        <w:rPr>
          <w:color w:val="000000"/>
          <w:spacing w:val="-3"/>
          <w:sz w:val="28"/>
          <w:szCs w:val="28"/>
          <w:lang w:val="es-ES"/>
        </w:rPr>
      </w:pPr>
    </w:p>
    <w:p w:rsidR="00FC19DD" w:rsidRPr="00DA1726" w:rsidRDefault="008B4974" w:rsidP="00DA1726">
      <w:pPr>
        <w:tabs>
          <w:tab w:val="left" w:pos="284"/>
          <w:tab w:val="left" w:pos="426"/>
          <w:tab w:val="left" w:pos="851"/>
        </w:tabs>
        <w:suppressAutoHyphens/>
        <w:jc w:val="both"/>
        <w:rPr>
          <w:color w:val="000000"/>
          <w:spacing w:val="-3"/>
          <w:sz w:val="28"/>
          <w:szCs w:val="28"/>
          <w:lang w:val="es-ES_tradnl"/>
        </w:rPr>
      </w:pPr>
      <w:r w:rsidRPr="00DA1726">
        <w:rPr>
          <w:color w:val="000000"/>
          <w:spacing w:val="-3"/>
          <w:sz w:val="28"/>
          <w:szCs w:val="28"/>
          <w:lang w:val="es-ES_tradnl"/>
        </w:rPr>
        <w:t xml:space="preserve">Teniendo en cuenta que a través del Auto 249 de 2013, se pidió adelantar una </w:t>
      </w:r>
      <w:r w:rsidRPr="00DA1726">
        <w:rPr>
          <w:i/>
          <w:color w:val="000000"/>
          <w:spacing w:val="-3"/>
          <w:sz w:val="28"/>
          <w:szCs w:val="28"/>
          <w:lang w:val="es-ES_tradnl"/>
        </w:rPr>
        <w:t>“</w:t>
      </w:r>
      <w:r w:rsidR="00FC19DD" w:rsidRPr="00DA1726">
        <w:rPr>
          <w:i/>
          <w:color w:val="000000"/>
          <w:spacing w:val="-3"/>
          <w:sz w:val="28"/>
          <w:szCs w:val="28"/>
          <w:lang w:val="es-ES_tradnl"/>
        </w:rPr>
        <w:t>clasificación por puestos: primero, segundo, tercero, etc</w:t>
      </w:r>
      <w:r w:rsidRPr="00DA1726">
        <w:rPr>
          <w:i/>
          <w:color w:val="000000"/>
          <w:spacing w:val="-3"/>
          <w:sz w:val="28"/>
          <w:szCs w:val="28"/>
          <w:lang w:val="es-ES_tradnl"/>
        </w:rPr>
        <w:t>”</w:t>
      </w:r>
      <w:r w:rsidRPr="00DA1726">
        <w:rPr>
          <w:color w:val="000000"/>
          <w:spacing w:val="-3"/>
          <w:sz w:val="28"/>
          <w:szCs w:val="28"/>
          <w:lang w:val="es-ES_tradnl"/>
        </w:rPr>
        <w:t>,</w:t>
      </w:r>
      <w:r w:rsidR="00FC19DD" w:rsidRPr="00DA1726">
        <w:rPr>
          <w:color w:val="000000"/>
          <w:spacing w:val="-3"/>
          <w:sz w:val="28"/>
          <w:szCs w:val="28"/>
          <w:lang w:val="es-ES_tradnl"/>
        </w:rPr>
        <w:t xml:space="preserve"> compaginada co</w:t>
      </w:r>
      <w:r w:rsidRPr="00DA1726">
        <w:rPr>
          <w:color w:val="000000"/>
          <w:spacing w:val="-3"/>
          <w:sz w:val="28"/>
          <w:szCs w:val="28"/>
          <w:lang w:val="es-ES_tradnl"/>
        </w:rPr>
        <w:t xml:space="preserve">n una </w:t>
      </w:r>
      <w:r w:rsidR="00A01365" w:rsidRPr="00DA1726">
        <w:rPr>
          <w:i/>
          <w:color w:val="000000"/>
          <w:spacing w:val="-3"/>
          <w:sz w:val="28"/>
          <w:szCs w:val="28"/>
          <w:lang w:val="es-ES_tradnl"/>
        </w:rPr>
        <w:t>“clasificación porcentual”</w:t>
      </w:r>
      <w:r w:rsidR="00A01365" w:rsidRPr="00DA1726">
        <w:rPr>
          <w:color w:val="000000"/>
          <w:spacing w:val="-3"/>
          <w:sz w:val="28"/>
          <w:szCs w:val="28"/>
          <w:lang w:val="es-ES_tradnl"/>
        </w:rPr>
        <w:t>,</w:t>
      </w:r>
      <w:r w:rsidR="00A01365" w:rsidRPr="00DA1726">
        <w:rPr>
          <w:i/>
          <w:color w:val="000000"/>
          <w:spacing w:val="-3"/>
          <w:sz w:val="28"/>
          <w:szCs w:val="28"/>
          <w:lang w:val="es-ES_tradnl"/>
        </w:rPr>
        <w:t xml:space="preserve"> </w:t>
      </w:r>
      <w:r w:rsidRPr="00DA1726">
        <w:rPr>
          <w:color w:val="000000"/>
          <w:spacing w:val="-3"/>
          <w:sz w:val="28"/>
          <w:szCs w:val="28"/>
          <w:lang w:val="es-ES_tradnl"/>
        </w:rPr>
        <w:t xml:space="preserve">se desarrolló una metodología basada en dos componentes: </w:t>
      </w:r>
    </w:p>
    <w:p w:rsidR="008B4974" w:rsidRPr="00DA1726" w:rsidRDefault="008B4974" w:rsidP="00DA1726">
      <w:pPr>
        <w:tabs>
          <w:tab w:val="left" w:pos="284"/>
          <w:tab w:val="left" w:pos="426"/>
          <w:tab w:val="left" w:pos="851"/>
        </w:tabs>
        <w:suppressAutoHyphens/>
        <w:jc w:val="both"/>
        <w:rPr>
          <w:color w:val="000000"/>
          <w:spacing w:val="-3"/>
          <w:sz w:val="28"/>
          <w:szCs w:val="28"/>
          <w:lang w:val="es-ES"/>
        </w:rPr>
      </w:pPr>
    </w:p>
    <w:p w:rsidR="008B4974" w:rsidRPr="00DA1726" w:rsidRDefault="008B4974" w:rsidP="00DA1726">
      <w:pPr>
        <w:tabs>
          <w:tab w:val="left" w:pos="284"/>
          <w:tab w:val="left" w:pos="426"/>
          <w:tab w:val="left" w:pos="851"/>
        </w:tabs>
        <w:suppressAutoHyphens/>
        <w:ind w:left="284"/>
        <w:jc w:val="both"/>
        <w:rPr>
          <w:iCs/>
          <w:color w:val="000000"/>
          <w:spacing w:val="-3"/>
          <w:sz w:val="28"/>
          <w:szCs w:val="28"/>
          <w:lang w:val="es-ES_tradnl"/>
        </w:rPr>
      </w:pPr>
      <w:r w:rsidRPr="00DA1726">
        <w:rPr>
          <w:iCs/>
          <w:color w:val="000000"/>
          <w:spacing w:val="-3"/>
          <w:sz w:val="28"/>
          <w:szCs w:val="28"/>
          <w:lang w:val="es-ES_tradnl"/>
        </w:rPr>
        <w:t>i) C</w:t>
      </w:r>
      <w:r w:rsidR="00FC19DD" w:rsidRPr="00DA1726">
        <w:rPr>
          <w:iCs/>
          <w:color w:val="000000"/>
          <w:spacing w:val="-3"/>
          <w:sz w:val="28"/>
          <w:szCs w:val="28"/>
          <w:lang w:val="es-ES_tradnl"/>
        </w:rPr>
        <w:t xml:space="preserve">uáles son las </w:t>
      </w:r>
      <w:r w:rsidRPr="00DA1726">
        <w:rPr>
          <w:iCs/>
          <w:color w:val="000000"/>
          <w:spacing w:val="-3"/>
          <w:sz w:val="28"/>
          <w:szCs w:val="28"/>
          <w:lang w:val="es-ES_tradnl"/>
        </w:rPr>
        <w:t>EPS</w:t>
      </w:r>
      <w:r w:rsidR="00FC19DD" w:rsidRPr="00DA1726">
        <w:rPr>
          <w:iCs/>
          <w:color w:val="000000"/>
          <w:spacing w:val="-3"/>
          <w:sz w:val="28"/>
          <w:szCs w:val="28"/>
          <w:lang w:val="es-ES_tradnl"/>
        </w:rPr>
        <w:t xml:space="preserve"> y las </w:t>
      </w:r>
      <w:r w:rsidRPr="00DA1726">
        <w:rPr>
          <w:iCs/>
          <w:color w:val="000000"/>
          <w:spacing w:val="-3"/>
          <w:sz w:val="28"/>
          <w:szCs w:val="28"/>
          <w:lang w:val="es-ES_tradnl"/>
        </w:rPr>
        <w:t>IPS</w:t>
      </w:r>
      <w:r w:rsidR="00FC19DD" w:rsidRPr="00DA1726">
        <w:rPr>
          <w:iCs/>
          <w:color w:val="000000"/>
          <w:spacing w:val="-3"/>
          <w:sz w:val="28"/>
          <w:szCs w:val="28"/>
          <w:lang w:val="es-ES_tradnl"/>
        </w:rPr>
        <w:t xml:space="preserve"> que con mayor frecuencia incurren en prácticas violatorias del derecho a la salud de las personas</w:t>
      </w:r>
      <w:r w:rsidRPr="00DA1726">
        <w:rPr>
          <w:iCs/>
          <w:color w:val="000000"/>
          <w:spacing w:val="-3"/>
          <w:sz w:val="28"/>
          <w:szCs w:val="28"/>
          <w:lang w:val="es-ES_tradnl"/>
        </w:rPr>
        <w:t>.</w:t>
      </w:r>
    </w:p>
    <w:p w:rsidR="008B4974" w:rsidRPr="00DA1726" w:rsidRDefault="008B4974" w:rsidP="00DA1726">
      <w:pPr>
        <w:tabs>
          <w:tab w:val="left" w:pos="284"/>
          <w:tab w:val="left" w:pos="426"/>
          <w:tab w:val="left" w:pos="851"/>
        </w:tabs>
        <w:suppressAutoHyphens/>
        <w:ind w:left="284"/>
        <w:jc w:val="both"/>
        <w:rPr>
          <w:color w:val="000000"/>
          <w:spacing w:val="-3"/>
          <w:sz w:val="28"/>
          <w:szCs w:val="28"/>
          <w:lang w:val="es-ES_tradnl"/>
        </w:rPr>
      </w:pPr>
    </w:p>
    <w:p w:rsidR="00FC19DD" w:rsidRPr="00DA1726" w:rsidRDefault="008B4974" w:rsidP="00DA1726">
      <w:pPr>
        <w:tabs>
          <w:tab w:val="left" w:pos="284"/>
          <w:tab w:val="left" w:pos="426"/>
          <w:tab w:val="left" w:pos="851"/>
        </w:tabs>
        <w:suppressAutoHyphens/>
        <w:ind w:left="284"/>
        <w:jc w:val="both"/>
        <w:rPr>
          <w:iCs/>
          <w:color w:val="000000"/>
          <w:spacing w:val="-3"/>
          <w:sz w:val="28"/>
          <w:szCs w:val="28"/>
          <w:lang w:val="es-ES_tradnl"/>
        </w:rPr>
      </w:pPr>
      <w:r w:rsidRPr="00DA1726">
        <w:rPr>
          <w:iCs/>
          <w:color w:val="000000"/>
          <w:spacing w:val="-3"/>
          <w:sz w:val="28"/>
          <w:szCs w:val="28"/>
          <w:lang w:val="es-ES_tradnl"/>
        </w:rPr>
        <w:t>ii) C</w:t>
      </w:r>
      <w:r w:rsidR="00FC19DD" w:rsidRPr="00DA1726">
        <w:rPr>
          <w:iCs/>
          <w:color w:val="000000"/>
          <w:spacing w:val="-3"/>
          <w:sz w:val="28"/>
          <w:szCs w:val="28"/>
          <w:lang w:val="es-ES_tradnl"/>
        </w:rPr>
        <w:t xml:space="preserve">uáles son las medidas concretas y específicas que se han tomado para garantizar el goce efectivo del derecho a la salud, de las personas que se encuentran afiliadas a las </w:t>
      </w:r>
      <w:r w:rsidRPr="00DA1726">
        <w:rPr>
          <w:iCs/>
          <w:color w:val="000000"/>
          <w:spacing w:val="-3"/>
          <w:sz w:val="28"/>
          <w:szCs w:val="28"/>
          <w:lang w:val="es-ES_tradnl"/>
        </w:rPr>
        <w:t>EPS</w:t>
      </w:r>
      <w:r w:rsidR="00FC19DD" w:rsidRPr="00DA1726">
        <w:rPr>
          <w:iCs/>
          <w:color w:val="000000"/>
          <w:spacing w:val="-3"/>
          <w:sz w:val="28"/>
          <w:szCs w:val="28"/>
          <w:lang w:val="es-ES_tradnl"/>
        </w:rPr>
        <w:t xml:space="preserve"> y las </w:t>
      </w:r>
      <w:r w:rsidRPr="00DA1726">
        <w:rPr>
          <w:iCs/>
          <w:color w:val="000000"/>
          <w:spacing w:val="-3"/>
          <w:sz w:val="28"/>
          <w:szCs w:val="28"/>
          <w:lang w:val="es-ES_tradnl"/>
        </w:rPr>
        <w:t>IPS</w:t>
      </w:r>
      <w:r w:rsidR="00FC19DD" w:rsidRPr="00DA1726">
        <w:rPr>
          <w:iCs/>
          <w:color w:val="000000"/>
          <w:spacing w:val="-3"/>
          <w:sz w:val="28"/>
          <w:szCs w:val="28"/>
          <w:lang w:val="es-ES_tradnl"/>
        </w:rPr>
        <w:t xml:space="preserve"> identificadas</w:t>
      </w:r>
      <w:r w:rsidRPr="00DA1726">
        <w:rPr>
          <w:iCs/>
          <w:color w:val="000000"/>
          <w:spacing w:val="-3"/>
          <w:sz w:val="28"/>
          <w:szCs w:val="28"/>
          <w:lang w:val="es-ES_tradnl"/>
        </w:rPr>
        <w:t>.</w:t>
      </w:r>
    </w:p>
    <w:p w:rsidR="00FC19DD" w:rsidRPr="00DA1726" w:rsidRDefault="00FC19DD" w:rsidP="00DA1726">
      <w:pPr>
        <w:tabs>
          <w:tab w:val="left" w:pos="284"/>
          <w:tab w:val="left" w:pos="426"/>
          <w:tab w:val="left" w:pos="851"/>
        </w:tabs>
        <w:suppressAutoHyphens/>
        <w:jc w:val="both"/>
        <w:rPr>
          <w:color w:val="000000"/>
          <w:spacing w:val="-3"/>
          <w:sz w:val="28"/>
          <w:szCs w:val="28"/>
          <w:lang w:val="es-ES"/>
        </w:rPr>
      </w:pPr>
    </w:p>
    <w:p w:rsidR="00963A95" w:rsidRPr="00DA1726" w:rsidRDefault="008512EE" w:rsidP="00DA1726">
      <w:pPr>
        <w:tabs>
          <w:tab w:val="left" w:pos="284"/>
          <w:tab w:val="left" w:pos="426"/>
          <w:tab w:val="left" w:pos="851"/>
        </w:tabs>
        <w:suppressAutoHyphens/>
        <w:jc w:val="both"/>
        <w:rPr>
          <w:color w:val="000000"/>
          <w:spacing w:val="-3"/>
          <w:sz w:val="28"/>
          <w:szCs w:val="28"/>
          <w:lang w:val="es-ES_tradnl"/>
        </w:rPr>
      </w:pPr>
      <w:r w:rsidRPr="00DA1726">
        <w:rPr>
          <w:color w:val="000000"/>
          <w:spacing w:val="-3"/>
          <w:sz w:val="28"/>
          <w:szCs w:val="28"/>
          <w:lang w:val="es-ES_tradnl"/>
        </w:rPr>
        <w:t xml:space="preserve">De acuerdo </w:t>
      </w:r>
      <w:r w:rsidR="00991B7C" w:rsidRPr="00DA1726">
        <w:rPr>
          <w:color w:val="000000"/>
          <w:spacing w:val="-3"/>
          <w:sz w:val="28"/>
          <w:szCs w:val="28"/>
          <w:lang w:val="es-ES_tradnl"/>
        </w:rPr>
        <w:t>con</w:t>
      </w:r>
      <w:r w:rsidR="008B4974" w:rsidRPr="00DA1726">
        <w:rPr>
          <w:color w:val="000000"/>
          <w:spacing w:val="-3"/>
          <w:sz w:val="28"/>
          <w:szCs w:val="28"/>
          <w:lang w:val="es-ES_tradnl"/>
        </w:rPr>
        <w:t xml:space="preserve"> este esquema presentaron el plan de trabajo a adelantar a </w:t>
      </w:r>
      <w:r w:rsidR="00FC19DD" w:rsidRPr="00DA1726">
        <w:rPr>
          <w:color w:val="000000"/>
          <w:spacing w:val="-3"/>
          <w:sz w:val="28"/>
          <w:szCs w:val="28"/>
          <w:lang w:val="es-ES_tradnl"/>
        </w:rPr>
        <w:t>partir del mes de enero de 2015.</w:t>
      </w:r>
      <w:r w:rsidRPr="00DA1726">
        <w:rPr>
          <w:color w:val="000000"/>
          <w:spacing w:val="-3"/>
          <w:sz w:val="28"/>
          <w:szCs w:val="28"/>
          <w:lang w:val="es-ES_tradnl"/>
        </w:rPr>
        <w:t xml:space="preserve"> Para ello se planteó el ejercicio de </w:t>
      </w:r>
      <w:r w:rsidR="00963A95" w:rsidRPr="00DA1726">
        <w:rPr>
          <w:color w:val="000000"/>
          <w:spacing w:val="-3"/>
          <w:sz w:val="28"/>
          <w:szCs w:val="28"/>
          <w:lang w:val="es-ES_tradnl"/>
        </w:rPr>
        <w:t>elaboración de auditorías similares a las realizadas por esta Superin</w:t>
      </w:r>
      <w:r w:rsidRPr="00DA1726">
        <w:rPr>
          <w:color w:val="000000"/>
          <w:spacing w:val="-3"/>
          <w:sz w:val="28"/>
          <w:szCs w:val="28"/>
          <w:lang w:val="es-ES_tradnl"/>
        </w:rPr>
        <w:t xml:space="preserve">tendencia para la vigencia 2013, </w:t>
      </w:r>
      <w:r w:rsidR="00963A95" w:rsidRPr="00DA1726">
        <w:rPr>
          <w:color w:val="000000"/>
          <w:spacing w:val="-3"/>
          <w:sz w:val="28"/>
          <w:szCs w:val="28"/>
          <w:lang w:val="es-ES_tradnl"/>
        </w:rPr>
        <w:t>con un componente adicional asociado a la verificación y gestión del plan de m</w:t>
      </w:r>
      <w:r w:rsidR="00A01365" w:rsidRPr="00DA1726">
        <w:rPr>
          <w:color w:val="000000"/>
          <w:spacing w:val="-3"/>
          <w:sz w:val="28"/>
          <w:szCs w:val="28"/>
          <w:lang w:val="es-ES_tradnl"/>
        </w:rPr>
        <w:t>ejoramiento presentado por las e</w:t>
      </w:r>
      <w:r w:rsidR="00963A95" w:rsidRPr="00DA1726">
        <w:rPr>
          <w:color w:val="000000"/>
          <w:spacing w:val="-3"/>
          <w:sz w:val="28"/>
          <w:szCs w:val="28"/>
          <w:lang w:val="es-ES_tradnl"/>
        </w:rPr>
        <w:t>ntidades en el transcurso del año, asociad</w:t>
      </w:r>
      <w:r w:rsidR="0064037E" w:rsidRPr="00DA1726">
        <w:rPr>
          <w:color w:val="000000"/>
          <w:spacing w:val="-3"/>
          <w:sz w:val="28"/>
          <w:szCs w:val="28"/>
          <w:lang w:val="es-ES_tradnl"/>
        </w:rPr>
        <w:t>o a los informes de las auditorí</w:t>
      </w:r>
      <w:r w:rsidR="00963A95" w:rsidRPr="00DA1726">
        <w:rPr>
          <w:color w:val="000000"/>
          <w:spacing w:val="-3"/>
          <w:sz w:val="28"/>
          <w:szCs w:val="28"/>
          <w:lang w:val="es-ES_tradnl"/>
        </w:rPr>
        <w:t>as.</w:t>
      </w:r>
    </w:p>
    <w:p w:rsidR="00963A95" w:rsidRPr="00DA1726" w:rsidRDefault="00963A95" w:rsidP="00DA1726">
      <w:pPr>
        <w:tabs>
          <w:tab w:val="left" w:pos="284"/>
          <w:tab w:val="left" w:pos="426"/>
          <w:tab w:val="left" w:pos="851"/>
        </w:tabs>
        <w:suppressAutoHyphens/>
        <w:jc w:val="both"/>
        <w:rPr>
          <w:color w:val="000000"/>
          <w:spacing w:val="-3"/>
          <w:sz w:val="28"/>
          <w:szCs w:val="28"/>
          <w:lang w:val="es-ES"/>
        </w:rPr>
      </w:pPr>
    </w:p>
    <w:p w:rsidR="00963A95" w:rsidRPr="00DA1726" w:rsidRDefault="008512EE" w:rsidP="00DA1726">
      <w:pPr>
        <w:tabs>
          <w:tab w:val="left" w:pos="284"/>
          <w:tab w:val="left" w:pos="426"/>
          <w:tab w:val="left" w:pos="851"/>
        </w:tabs>
        <w:suppressAutoHyphens/>
        <w:jc w:val="both"/>
        <w:rPr>
          <w:color w:val="000000"/>
          <w:spacing w:val="-3"/>
          <w:sz w:val="28"/>
          <w:szCs w:val="28"/>
          <w:lang w:val="es-ES_tradnl"/>
        </w:rPr>
      </w:pPr>
      <w:r w:rsidRPr="00DA1726">
        <w:rPr>
          <w:color w:val="000000"/>
          <w:spacing w:val="-3"/>
          <w:sz w:val="28"/>
          <w:szCs w:val="28"/>
          <w:lang w:val="es-ES_tradnl"/>
        </w:rPr>
        <w:t>Adicionalmente</w:t>
      </w:r>
      <w:r w:rsidR="00991B7C" w:rsidRPr="00DA1726">
        <w:rPr>
          <w:color w:val="000000"/>
          <w:spacing w:val="-3"/>
          <w:sz w:val="28"/>
          <w:szCs w:val="28"/>
          <w:lang w:val="es-ES_tradnl"/>
        </w:rPr>
        <w:t>,</w:t>
      </w:r>
      <w:r w:rsidRPr="00DA1726">
        <w:rPr>
          <w:color w:val="000000"/>
          <w:spacing w:val="-3"/>
          <w:sz w:val="28"/>
          <w:szCs w:val="28"/>
          <w:lang w:val="es-ES_tradnl"/>
        </w:rPr>
        <w:t xml:space="preserve"> se llevaron a cabo </w:t>
      </w:r>
      <w:r w:rsidR="00963A95" w:rsidRPr="00DA1726">
        <w:rPr>
          <w:color w:val="000000"/>
          <w:spacing w:val="-3"/>
          <w:sz w:val="28"/>
          <w:szCs w:val="28"/>
          <w:lang w:val="es-ES_tradnl"/>
        </w:rPr>
        <w:t xml:space="preserve">mesas de trabajo con las agremiaciones de las EPS, con el fin de analizar, depurar y consolidar los formatos finales con los cuales se realizaran las visitas de auditoría. </w:t>
      </w:r>
      <w:r w:rsidRPr="00DA1726">
        <w:rPr>
          <w:color w:val="000000"/>
          <w:spacing w:val="-3"/>
          <w:sz w:val="28"/>
          <w:szCs w:val="28"/>
          <w:lang w:val="es-ES_tradnl"/>
        </w:rPr>
        <w:t xml:space="preserve">Es así como </w:t>
      </w:r>
      <w:r w:rsidR="00963A95" w:rsidRPr="00DA1726">
        <w:rPr>
          <w:color w:val="000000"/>
          <w:spacing w:val="-3"/>
          <w:sz w:val="28"/>
          <w:szCs w:val="28"/>
          <w:lang w:val="es-ES_tradnl"/>
        </w:rPr>
        <w:t xml:space="preserve">inicialmente se contaba con 19 formatos de recolección de información, </w:t>
      </w:r>
      <w:r w:rsidRPr="00DA1726">
        <w:rPr>
          <w:color w:val="000000"/>
          <w:spacing w:val="-3"/>
          <w:sz w:val="28"/>
          <w:szCs w:val="28"/>
          <w:lang w:val="es-ES_tradnl"/>
        </w:rPr>
        <w:t>los que</w:t>
      </w:r>
      <w:r w:rsidR="00963A95" w:rsidRPr="00DA1726">
        <w:rPr>
          <w:color w:val="000000"/>
          <w:spacing w:val="-3"/>
          <w:sz w:val="28"/>
          <w:szCs w:val="28"/>
          <w:lang w:val="es-ES_tradnl"/>
        </w:rPr>
        <w:t xml:space="preserve"> fueron reducidos a 11, de los cuales al régimen</w:t>
      </w:r>
      <w:r w:rsidR="00247EE4" w:rsidRPr="00DA1726">
        <w:rPr>
          <w:color w:val="000000"/>
          <w:spacing w:val="-3"/>
          <w:sz w:val="28"/>
          <w:szCs w:val="28"/>
          <w:lang w:val="es-ES_tradnl"/>
        </w:rPr>
        <w:t xml:space="preserve"> subsidiado solo le aplican diez de ellos</w:t>
      </w:r>
      <w:r w:rsidR="00963A95" w:rsidRPr="00DA1726">
        <w:rPr>
          <w:color w:val="000000"/>
          <w:spacing w:val="-3"/>
          <w:sz w:val="28"/>
          <w:szCs w:val="28"/>
          <w:lang w:val="es-ES_tradnl"/>
        </w:rPr>
        <w:t xml:space="preserve"> ya que existen dos criterios (10 y 12</w:t>
      </w:r>
      <w:r w:rsidR="00A01365" w:rsidRPr="00DA1726">
        <w:rPr>
          <w:color w:val="000000"/>
          <w:spacing w:val="-3"/>
          <w:sz w:val="28"/>
          <w:szCs w:val="28"/>
          <w:vertAlign w:val="superscript"/>
          <w:lang w:val="es-ES_tradnl"/>
        </w:rPr>
        <w:footnoteReference w:id="32"/>
      </w:r>
      <w:r w:rsidR="00963A95" w:rsidRPr="00DA1726">
        <w:rPr>
          <w:color w:val="000000"/>
          <w:spacing w:val="-3"/>
          <w:sz w:val="28"/>
          <w:szCs w:val="28"/>
          <w:lang w:val="es-ES_tradnl"/>
        </w:rPr>
        <w:t xml:space="preserve">) que por la naturaleza del requerimiento no incluyen a dicho régimen. </w:t>
      </w:r>
      <w:r w:rsidR="00991B7C" w:rsidRPr="00DA1726">
        <w:rPr>
          <w:color w:val="000000"/>
          <w:spacing w:val="-3"/>
          <w:sz w:val="28"/>
          <w:szCs w:val="28"/>
          <w:lang w:val="es-ES_tradnl"/>
        </w:rPr>
        <w:t>Además</w:t>
      </w:r>
      <w:r w:rsidR="00963A95" w:rsidRPr="00DA1726">
        <w:rPr>
          <w:color w:val="000000"/>
          <w:spacing w:val="-3"/>
          <w:sz w:val="28"/>
          <w:szCs w:val="28"/>
          <w:lang w:val="es-ES_tradnl"/>
        </w:rPr>
        <w:t xml:space="preserve">, gracias a la intervención de </w:t>
      </w:r>
      <w:r w:rsidR="0064037E" w:rsidRPr="00DA1726">
        <w:rPr>
          <w:color w:val="000000"/>
          <w:spacing w:val="-3"/>
          <w:sz w:val="28"/>
          <w:szCs w:val="28"/>
          <w:lang w:val="es-ES_tradnl"/>
        </w:rPr>
        <w:t>Gestarsalud</w:t>
      </w:r>
      <w:r w:rsidR="00963A95" w:rsidRPr="00DA1726">
        <w:rPr>
          <w:color w:val="000000"/>
          <w:spacing w:val="-3"/>
          <w:sz w:val="28"/>
          <w:szCs w:val="28"/>
          <w:lang w:val="es-ES_tradnl"/>
        </w:rPr>
        <w:t>, se excluyen algunas variables de identificación socioeconómica que para el particular no influyen en el análisis propuesto.</w:t>
      </w:r>
    </w:p>
    <w:p w:rsidR="00963A95" w:rsidRPr="00DA1726" w:rsidRDefault="00963A95" w:rsidP="00DA1726">
      <w:pPr>
        <w:tabs>
          <w:tab w:val="left" w:pos="284"/>
          <w:tab w:val="left" w:pos="426"/>
          <w:tab w:val="left" w:pos="851"/>
        </w:tabs>
        <w:suppressAutoHyphens/>
        <w:jc w:val="both"/>
        <w:rPr>
          <w:color w:val="000000"/>
          <w:spacing w:val="-3"/>
          <w:sz w:val="28"/>
          <w:szCs w:val="28"/>
          <w:lang w:val="es-ES"/>
        </w:rPr>
      </w:pPr>
    </w:p>
    <w:p w:rsidR="00FC19DD" w:rsidRPr="00DA1726" w:rsidRDefault="00D83DCA" w:rsidP="00DA1726">
      <w:pPr>
        <w:pStyle w:val="Prrafodelista"/>
        <w:numPr>
          <w:ilvl w:val="1"/>
          <w:numId w:val="7"/>
        </w:numPr>
        <w:tabs>
          <w:tab w:val="left" w:pos="284"/>
          <w:tab w:val="left" w:pos="426"/>
          <w:tab w:val="left" w:pos="851"/>
        </w:tabs>
        <w:suppressAutoHyphens/>
        <w:ind w:left="0" w:firstLine="0"/>
        <w:jc w:val="both"/>
        <w:rPr>
          <w:color w:val="000000"/>
          <w:spacing w:val="-3"/>
          <w:sz w:val="28"/>
          <w:szCs w:val="28"/>
        </w:rPr>
      </w:pPr>
      <w:r w:rsidRPr="00DA1726">
        <w:rPr>
          <w:color w:val="000000"/>
          <w:spacing w:val="-3"/>
          <w:sz w:val="28"/>
          <w:szCs w:val="28"/>
        </w:rPr>
        <w:t>El 29 de abril de 2015, el Min</w:t>
      </w:r>
      <w:r w:rsidR="00991B7C" w:rsidRPr="00DA1726">
        <w:rPr>
          <w:color w:val="000000"/>
          <w:spacing w:val="-3"/>
          <w:sz w:val="28"/>
          <w:szCs w:val="28"/>
        </w:rPr>
        <w:t xml:space="preserve">isterio de Salud </w:t>
      </w:r>
      <w:r w:rsidRPr="00DA1726">
        <w:rPr>
          <w:color w:val="000000"/>
          <w:spacing w:val="-3"/>
          <w:sz w:val="28"/>
          <w:szCs w:val="28"/>
        </w:rPr>
        <w:t>y Super</w:t>
      </w:r>
      <w:r w:rsidR="00991B7C" w:rsidRPr="00DA1726">
        <w:rPr>
          <w:color w:val="000000"/>
          <w:spacing w:val="-3"/>
          <w:sz w:val="28"/>
          <w:szCs w:val="28"/>
        </w:rPr>
        <w:t>intendencia</w:t>
      </w:r>
      <w:r w:rsidRPr="00DA1726">
        <w:rPr>
          <w:color w:val="000000"/>
          <w:spacing w:val="-3"/>
          <w:sz w:val="28"/>
          <w:szCs w:val="28"/>
        </w:rPr>
        <w:t xml:space="preserve"> presentaron informe sobre las entidades que con mayor frecuencia se niegan a </w:t>
      </w:r>
      <w:r w:rsidR="008F6632" w:rsidRPr="00DA1726">
        <w:rPr>
          <w:color w:val="000000"/>
          <w:spacing w:val="-3"/>
          <w:sz w:val="28"/>
          <w:szCs w:val="28"/>
        </w:rPr>
        <w:t>autorizar oportunamente servicios de salud incluidos en el POS o que se requieran c</w:t>
      </w:r>
      <w:r w:rsidR="0064037E" w:rsidRPr="00DA1726">
        <w:rPr>
          <w:color w:val="000000"/>
          <w:spacing w:val="-3"/>
          <w:sz w:val="28"/>
          <w:szCs w:val="28"/>
        </w:rPr>
        <w:t>on necesidad, tanto para EPS de los</w:t>
      </w:r>
      <w:r w:rsidR="008F6632" w:rsidRPr="00DA1726">
        <w:rPr>
          <w:color w:val="000000"/>
          <w:spacing w:val="-3"/>
          <w:sz w:val="28"/>
          <w:szCs w:val="28"/>
        </w:rPr>
        <w:t xml:space="preserve"> r</w:t>
      </w:r>
      <w:r w:rsidR="0064037E" w:rsidRPr="00DA1726">
        <w:rPr>
          <w:color w:val="000000"/>
          <w:spacing w:val="-3"/>
          <w:sz w:val="28"/>
          <w:szCs w:val="28"/>
        </w:rPr>
        <w:t>egí</w:t>
      </w:r>
      <w:r w:rsidR="008F6632" w:rsidRPr="00DA1726">
        <w:rPr>
          <w:color w:val="000000"/>
          <w:spacing w:val="-3"/>
          <w:sz w:val="28"/>
          <w:szCs w:val="28"/>
        </w:rPr>
        <w:t>men</w:t>
      </w:r>
      <w:r w:rsidR="0064037E" w:rsidRPr="00DA1726">
        <w:rPr>
          <w:color w:val="000000"/>
          <w:spacing w:val="-3"/>
          <w:sz w:val="28"/>
          <w:szCs w:val="28"/>
        </w:rPr>
        <w:t>es</w:t>
      </w:r>
      <w:r w:rsidR="008F6632" w:rsidRPr="00DA1726">
        <w:rPr>
          <w:color w:val="000000"/>
          <w:spacing w:val="-3"/>
          <w:sz w:val="28"/>
          <w:szCs w:val="28"/>
        </w:rPr>
        <w:t xml:space="preserve"> contributivo y subsidiado como para las IPS</w:t>
      </w:r>
      <w:r w:rsidR="002D22FE" w:rsidRPr="00DA1726">
        <w:rPr>
          <w:color w:val="000000"/>
          <w:spacing w:val="-3"/>
          <w:sz w:val="28"/>
          <w:szCs w:val="28"/>
          <w:vertAlign w:val="superscript"/>
        </w:rPr>
        <w:footnoteReference w:id="33"/>
      </w:r>
      <w:r w:rsidR="008F6632" w:rsidRPr="00DA1726">
        <w:rPr>
          <w:color w:val="000000"/>
          <w:spacing w:val="-3"/>
          <w:sz w:val="28"/>
          <w:szCs w:val="28"/>
        </w:rPr>
        <w:t>.</w:t>
      </w:r>
    </w:p>
    <w:p w:rsidR="00FC19DD" w:rsidRPr="00DA1726" w:rsidRDefault="00FC19DD" w:rsidP="00DA1726">
      <w:pPr>
        <w:tabs>
          <w:tab w:val="left" w:pos="284"/>
          <w:tab w:val="left" w:pos="426"/>
          <w:tab w:val="left" w:pos="851"/>
        </w:tabs>
        <w:suppressAutoHyphens/>
        <w:jc w:val="both"/>
        <w:rPr>
          <w:color w:val="000000"/>
          <w:spacing w:val="-3"/>
          <w:sz w:val="28"/>
          <w:szCs w:val="28"/>
        </w:rPr>
      </w:pPr>
    </w:p>
    <w:p w:rsidR="006202AD" w:rsidRPr="00DA1726" w:rsidRDefault="00247EE4" w:rsidP="00DA1726">
      <w:pPr>
        <w:pStyle w:val="Prrafodelista"/>
        <w:numPr>
          <w:ilvl w:val="2"/>
          <w:numId w:val="7"/>
        </w:numPr>
        <w:tabs>
          <w:tab w:val="left" w:pos="284"/>
          <w:tab w:val="left" w:pos="426"/>
          <w:tab w:val="left" w:pos="851"/>
        </w:tabs>
        <w:suppressAutoHyphens/>
        <w:ind w:left="0" w:hanging="11"/>
        <w:jc w:val="both"/>
        <w:rPr>
          <w:color w:val="000000"/>
          <w:spacing w:val="-3"/>
          <w:sz w:val="28"/>
          <w:szCs w:val="28"/>
          <w:lang w:val="es-ES_tradnl"/>
        </w:rPr>
      </w:pPr>
      <w:r w:rsidRPr="00DA1726">
        <w:rPr>
          <w:i/>
          <w:color w:val="000000"/>
          <w:spacing w:val="-3"/>
          <w:sz w:val="28"/>
          <w:szCs w:val="28"/>
        </w:rPr>
        <w:t>Desempeño de IPS 2015:</w:t>
      </w:r>
    </w:p>
    <w:p w:rsidR="00C1206B" w:rsidRPr="00DA1726" w:rsidRDefault="00C1206B" w:rsidP="00DA1726">
      <w:pPr>
        <w:pStyle w:val="Prrafodelista"/>
        <w:tabs>
          <w:tab w:val="left" w:pos="284"/>
          <w:tab w:val="left" w:pos="426"/>
          <w:tab w:val="left" w:pos="851"/>
        </w:tabs>
        <w:suppressAutoHyphens/>
        <w:ind w:left="0"/>
        <w:jc w:val="both"/>
        <w:rPr>
          <w:color w:val="000000"/>
          <w:spacing w:val="-3"/>
          <w:sz w:val="28"/>
          <w:szCs w:val="28"/>
          <w:lang w:val="es-ES_tradnl"/>
        </w:rPr>
      </w:pPr>
      <w:r w:rsidRPr="00DA1726">
        <w:rPr>
          <w:color w:val="000000"/>
          <w:spacing w:val="-3"/>
          <w:sz w:val="28"/>
          <w:szCs w:val="28"/>
        </w:rPr>
        <w:t xml:space="preserve">En este punto se explicó que </w:t>
      </w:r>
      <w:r w:rsidRPr="00DA1726">
        <w:rPr>
          <w:color w:val="000000"/>
          <w:spacing w:val="-3"/>
          <w:sz w:val="28"/>
          <w:szCs w:val="28"/>
          <w:lang w:val="es-ES_tradnl"/>
        </w:rPr>
        <w:t>para las vigencias 2012 y 2013 se tuvo en cuenta principalmente el desempeño de las EPS y no s</w:t>
      </w:r>
      <w:r w:rsidR="00355FB9" w:rsidRPr="00DA1726">
        <w:rPr>
          <w:color w:val="000000"/>
          <w:spacing w:val="-3"/>
          <w:sz w:val="28"/>
          <w:szCs w:val="28"/>
          <w:lang w:val="es-ES_tradnl"/>
        </w:rPr>
        <w:t xml:space="preserve">e hizo alusión a </w:t>
      </w:r>
      <w:r w:rsidRPr="00DA1726">
        <w:rPr>
          <w:color w:val="000000"/>
          <w:spacing w:val="-3"/>
          <w:sz w:val="28"/>
          <w:szCs w:val="28"/>
          <w:lang w:val="es-ES_tradnl"/>
        </w:rPr>
        <w:t xml:space="preserve">las IPS. </w:t>
      </w:r>
      <w:r w:rsidR="00355FB9" w:rsidRPr="00DA1726">
        <w:rPr>
          <w:color w:val="000000"/>
          <w:spacing w:val="-3"/>
          <w:sz w:val="28"/>
          <w:szCs w:val="28"/>
          <w:lang w:val="es-ES_tradnl"/>
        </w:rPr>
        <w:t>Esta situación tuvo su justificación en los siguientes aspectos:</w:t>
      </w:r>
    </w:p>
    <w:p w:rsidR="00355FB9" w:rsidRPr="00DA1726" w:rsidRDefault="00355FB9" w:rsidP="00DA1726">
      <w:pPr>
        <w:tabs>
          <w:tab w:val="left" w:pos="284"/>
          <w:tab w:val="left" w:pos="426"/>
          <w:tab w:val="left" w:pos="851"/>
        </w:tabs>
        <w:suppressAutoHyphens/>
        <w:jc w:val="both"/>
        <w:rPr>
          <w:color w:val="000000"/>
          <w:spacing w:val="-3"/>
          <w:sz w:val="28"/>
          <w:szCs w:val="28"/>
          <w:lang w:val="es-ES_tradnl"/>
        </w:rPr>
      </w:pPr>
    </w:p>
    <w:p w:rsidR="00C1206B" w:rsidRPr="00DA1726" w:rsidRDefault="00C1206B" w:rsidP="00DA1726">
      <w:pPr>
        <w:pStyle w:val="Prrafodelista"/>
        <w:numPr>
          <w:ilvl w:val="0"/>
          <w:numId w:val="9"/>
        </w:numPr>
        <w:suppressAutoHyphens/>
        <w:jc w:val="both"/>
        <w:rPr>
          <w:color w:val="000000"/>
          <w:spacing w:val="-3"/>
          <w:sz w:val="28"/>
          <w:szCs w:val="28"/>
          <w:lang w:val="es-ES_tradnl"/>
        </w:rPr>
      </w:pPr>
      <w:r w:rsidRPr="00DA1726">
        <w:rPr>
          <w:color w:val="000000"/>
          <w:spacing w:val="-3"/>
          <w:sz w:val="28"/>
          <w:szCs w:val="28"/>
          <w:lang w:val="es-ES_tradnl"/>
        </w:rPr>
        <w:t>Los 14 criterios indicados por la Corte Constitucional en el Auto 044 se centran en la autorización de la atención requerida por los pacientes y la afiliación de usuarios, funciones que son propias de las</w:t>
      </w:r>
      <w:r w:rsidR="00355FB9" w:rsidRPr="00DA1726">
        <w:rPr>
          <w:color w:val="000000"/>
          <w:spacing w:val="-3"/>
          <w:sz w:val="28"/>
          <w:szCs w:val="28"/>
          <w:lang w:val="es-ES_tradnl"/>
        </w:rPr>
        <w:t xml:space="preserve"> EPS</w:t>
      </w:r>
      <w:r w:rsidRPr="00DA1726">
        <w:rPr>
          <w:color w:val="000000"/>
          <w:spacing w:val="-3"/>
          <w:sz w:val="28"/>
          <w:szCs w:val="28"/>
          <w:lang w:val="es-ES_tradnl"/>
        </w:rPr>
        <w:t>.</w:t>
      </w:r>
    </w:p>
    <w:p w:rsidR="00C1206B" w:rsidRPr="00DA1726" w:rsidRDefault="00C1206B" w:rsidP="00DA1726">
      <w:pPr>
        <w:pStyle w:val="Prrafodelista"/>
        <w:numPr>
          <w:ilvl w:val="0"/>
          <w:numId w:val="9"/>
        </w:numPr>
        <w:tabs>
          <w:tab w:val="left" w:pos="851"/>
        </w:tabs>
        <w:suppressAutoHyphens/>
        <w:jc w:val="both"/>
        <w:rPr>
          <w:color w:val="000000"/>
          <w:spacing w:val="-3"/>
          <w:sz w:val="28"/>
          <w:szCs w:val="28"/>
          <w:lang w:val="es-ES_tradnl"/>
        </w:rPr>
      </w:pPr>
      <w:r w:rsidRPr="00DA1726">
        <w:rPr>
          <w:color w:val="000000"/>
          <w:spacing w:val="-3"/>
          <w:sz w:val="28"/>
          <w:szCs w:val="28"/>
          <w:lang w:val="es-ES_tradnl"/>
        </w:rPr>
        <w:t xml:space="preserve">Las IPS son un grupo heterogéneo de instituciones con características diferenciadas por sede, servicio, complejidad y capacidad, por esto no es posible diseñar un </w:t>
      </w:r>
      <w:r w:rsidR="008D66F1" w:rsidRPr="00DA1726">
        <w:rPr>
          <w:i/>
          <w:color w:val="000000"/>
          <w:spacing w:val="-3"/>
          <w:sz w:val="28"/>
          <w:szCs w:val="28"/>
          <w:lang w:val="es-ES_tradnl"/>
        </w:rPr>
        <w:t>ranking</w:t>
      </w:r>
      <w:r w:rsidRPr="00DA1726">
        <w:rPr>
          <w:color w:val="000000"/>
          <w:spacing w:val="-3"/>
          <w:sz w:val="28"/>
          <w:szCs w:val="28"/>
          <w:lang w:val="es-ES_tradnl"/>
        </w:rPr>
        <w:t xml:space="preserve"> que permita compararlas a todas en un solo conjunto.</w:t>
      </w:r>
    </w:p>
    <w:p w:rsidR="00C1206B" w:rsidRPr="00DA1726" w:rsidRDefault="00C1206B" w:rsidP="00DA1726">
      <w:pPr>
        <w:pStyle w:val="Prrafodelista"/>
        <w:numPr>
          <w:ilvl w:val="0"/>
          <w:numId w:val="9"/>
        </w:numPr>
        <w:tabs>
          <w:tab w:val="left" w:pos="851"/>
        </w:tabs>
        <w:suppressAutoHyphens/>
        <w:jc w:val="both"/>
        <w:rPr>
          <w:color w:val="000000"/>
          <w:spacing w:val="-3"/>
          <w:sz w:val="28"/>
          <w:szCs w:val="28"/>
          <w:lang w:val="es-ES_tradnl"/>
        </w:rPr>
      </w:pPr>
      <w:r w:rsidRPr="00DA1726">
        <w:rPr>
          <w:color w:val="000000"/>
          <w:spacing w:val="-3"/>
          <w:sz w:val="28"/>
          <w:szCs w:val="28"/>
          <w:lang w:val="es-ES_tradnl"/>
        </w:rPr>
        <w:t>Aproximadamente e</w:t>
      </w:r>
      <w:r w:rsidR="002D22FE" w:rsidRPr="00DA1726">
        <w:rPr>
          <w:color w:val="000000"/>
          <w:spacing w:val="-3"/>
          <w:sz w:val="28"/>
          <w:szCs w:val="28"/>
          <w:lang w:val="es-ES_tradnl"/>
        </w:rPr>
        <w:t>n el 75% de los municipios del p</w:t>
      </w:r>
      <w:r w:rsidRPr="00DA1726">
        <w:rPr>
          <w:color w:val="000000"/>
          <w:spacing w:val="-3"/>
          <w:sz w:val="28"/>
          <w:szCs w:val="28"/>
          <w:lang w:val="es-ES_tradnl"/>
        </w:rPr>
        <w:t>aís hay solamente una IPS, esto imposibilita la libre escogencia de los usuarios.</w:t>
      </w:r>
    </w:p>
    <w:p w:rsidR="00C1206B" w:rsidRPr="00DA1726" w:rsidRDefault="00C1206B" w:rsidP="00DA1726">
      <w:pPr>
        <w:pStyle w:val="Prrafodelista"/>
        <w:numPr>
          <w:ilvl w:val="0"/>
          <w:numId w:val="9"/>
        </w:numPr>
        <w:tabs>
          <w:tab w:val="left" w:pos="851"/>
        </w:tabs>
        <w:suppressAutoHyphens/>
        <w:jc w:val="both"/>
        <w:rPr>
          <w:color w:val="000000"/>
          <w:spacing w:val="-3"/>
          <w:sz w:val="28"/>
          <w:szCs w:val="28"/>
          <w:lang w:val="es-ES_tradnl"/>
        </w:rPr>
      </w:pPr>
      <w:r w:rsidRPr="00DA1726">
        <w:rPr>
          <w:color w:val="000000"/>
          <w:spacing w:val="-3"/>
          <w:sz w:val="28"/>
          <w:szCs w:val="28"/>
          <w:lang w:val="es-ES_tradnl"/>
        </w:rPr>
        <w:t>Los prestadores servicios de salud de enfermedades de alto costo prácticamente son únicos en sus regiones.</w:t>
      </w:r>
    </w:p>
    <w:p w:rsidR="00FC19DD" w:rsidRPr="00DA1726" w:rsidRDefault="00FC19DD" w:rsidP="00DA1726">
      <w:pPr>
        <w:tabs>
          <w:tab w:val="left" w:pos="284"/>
          <w:tab w:val="left" w:pos="426"/>
          <w:tab w:val="left" w:pos="851"/>
        </w:tabs>
        <w:suppressAutoHyphens/>
        <w:jc w:val="both"/>
        <w:rPr>
          <w:color w:val="000000"/>
          <w:spacing w:val="-3"/>
          <w:sz w:val="28"/>
          <w:szCs w:val="28"/>
        </w:rPr>
      </w:pPr>
    </w:p>
    <w:p w:rsidR="00355FB9" w:rsidRPr="00DA1726" w:rsidRDefault="00355FB9" w:rsidP="00DA1726">
      <w:pPr>
        <w:tabs>
          <w:tab w:val="left" w:pos="284"/>
          <w:tab w:val="left" w:pos="426"/>
          <w:tab w:val="left" w:pos="851"/>
        </w:tabs>
        <w:suppressAutoHyphens/>
        <w:jc w:val="both"/>
        <w:rPr>
          <w:color w:val="000000"/>
          <w:spacing w:val="-3"/>
          <w:sz w:val="28"/>
          <w:szCs w:val="28"/>
          <w:lang w:val="es-ES_tradnl"/>
        </w:rPr>
      </w:pPr>
      <w:r w:rsidRPr="00DA1726">
        <w:rPr>
          <w:color w:val="000000"/>
          <w:spacing w:val="-3"/>
          <w:sz w:val="28"/>
          <w:szCs w:val="28"/>
          <w:lang w:val="es-ES_tradnl"/>
        </w:rPr>
        <w:t xml:space="preserve">Pese a lo anterior, explicaron que para el informe presentado en abril de 2014 se elaboró </w:t>
      </w:r>
      <w:r w:rsidR="00991B7C" w:rsidRPr="00DA1726">
        <w:rPr>
          <w:color w:val="000000"/>
          <w:spacing w:val="-3"/>
          <w:sz w:val="28"/>
          <w:szCs w:val="28"/>
          <w:lang w:val="es-ES_tradnl"/>
        </w:rPr>
        <w:t xml:space="preserve">una herramienta virtual identificada como </w:t>
      </w:r>
      <w:r w:rsidRPr="00DA1726">
        <w:rPr>
          <w:i/>
          <w:color w:val="000000"/>
          <w:spacing w:val="-3"/>
          <w:sz w:val="28"/>
          <w:szCs w:val="28"/>
          <w:lang w:val="es-ES_tradnl"/>
        </w:rPr>
        <w:t xml:space="preserve">un visor </w:t>
      </w:r>
      <w:r w:rsidRPr="00DA1726">
        <w:rPr>
          <w:color w:val="000000"/>
          <w:spacing w:val="-3"/>
          <w:sz w:val="28"/>
          <w:szCs w:val="28"/>
          <w:lang w:val="es-ES_tradnl"/>
        </w:rPr>
        <w:t xml:space="preserve">que permite comparar dos </w:t>
      </w:r>
      <w:r w:rsidR="004731BD" w:rsidRPr="00DA1726">
        <w:rPr>
          <w:color w:val="000000"/>
          <w:spacing w:val="-3"/>
          <w:sz w:val="28"/>
          <w:szCs w:val="28"/>
          <w:lang w:val="es-ES_tradnl"/>
        </w:rPr>
        <w:t>instituciones prestadoras de salud</w:t>
      </w:r>
      <w:r w:rsidRPr="00DA1726">
        <w:rPr>
          <w:color w:val="000000"/>
          <w:spacing w:val="-3"/>
          <w:sz w:val="28"/>
          <w:szCs w:val="28"/>
          <w:lang w:val="es-ES_tradnl"/>
        </w:rPr>
        <w:t xml:space="preserve"> a partir de los servicios que prestan y su ubicación geográfica</w:t>
      </w:r>
      <w:r w:rsidRPr="00DA1726">
        <w:rPr>
          <w:color w:val="000000"/>
          <w:spacing w:val="-3"/>
          <w:sz w:val="28"/>
          <w:szCs w:val="28"/>
          <w:vertAlign w:val="superscript"/>
          <w:lang w:val="es-ES_tradnl"/>
        </w:rPr>
        <w:footnoteReference w:id="34"/>
      </w:r>
      <w:r w:rsidRPr="00DA1726">
        <w:rPr>
          <w:color w:val="000000"/>
          <w:spacing w:val="-3"/>
          <w:sz w:val="28"/>
          <w:szCs w:val="28"/>
          <w:lang w:val="es-ES_tradnl"/>
        </w:rPr>
        <w:t>.</w:t>
      </w:r>
    </w:p>
    <w:p w:rsidR="00FC19DD" w:rsidRPr="00DA1726" w:rsidRDefault="00FC19DD" w:rsidP="00DA1726">
      <w:pPr>
        <w:tabs>
          <w:tab w:val="left" w:pos="284"/>
          <w:tab w:val="left" w:pos="426"/>
          <w:tab w:val="left" w:pos="851"/>
        </w:tabs>
        <w:suppressAutoHyphens/>
        <w:jc w:val="both"/>
        <w:rPr>
          <w:color w:val="000000"/>
          <w:spacing w:val="-3"/>
          <w:sz w:val="28"/>
          <w:szCs w:val="28"/>
        </w:rPr>
      </w:pPr>
    </w:p>
    <w:p w:rsidR="001C406E" w:rsidRPr="00DA1726" w:rsidRDefault="001C406E" w:rsidP="00DA1726">
      <w:pPr>
        <w:tabs>
          <w:tab w:val="left" w:pos="284"/>
          <w:tab w:val="left" w:pos="426"/>
          <w:tab w:val="left" w:pos="851"/>
        </w:tabs>
        <w:suppressAutoHyphens/>
        <w:jc w:val="both"/>
        <w:rPr>
          <w:color w:val="000000"/>
          <w:spacing w:val="-3"/>
          <w:sz w:val="28"/>
          <w:szCs w:val="28"/>
        </w:rPr>
      </w:pPr>
      <w:r w:rsidRPr="00DA1726">
        <w:rPr>
          <w:color w:val="000000"/>
          <w:spacing w:val="-3"/>
          <w:sz w:val="28"/>
          <w:szCs w:val="28"/>
        </w:rPr>
        <w:t xml:space="preserve">Como parte del avance en la calificación de la </w:t>
      </w:r>
      <w:r w:rsidR="00EA4FAC" w:rsidRPr="00DA1726">
        <w:rPr>
          <w:color w:val="000000"/>
          <w:spacing w:val="-3"/>
          <w:sz w:val="28"/>
          <w:szCs w:val="28"/>
        </w:rPr>
        <w:t>IPS</w:t>
      </w:r>
      <w:r w:rsidRPr="00DA1726">
        <w:rPr>
          <w:color w:val="000000"/>
          <w:spacing w:val="-3"/>
          <w:sz w:val="28"/>
          <w:szCs w:val="28"/>
        </w:rPr>
        <w:t>, se hizo alusión al Sistema de Evaluación de Ca</w:t>
      </w:r>
      <w:r w:rsidR="00247EE4" w:rsidRPr="00DA1726">
        <w:rPr>
          <w:color w:val="000000"/>
          <w:spacing w:val="-3"/>
          <w:sz w:val="28"/>
          <w:szCs w:val="28"/>
        </w:rPr>
        <w:t>lificación de los actores (SEA)</w:t>
      </w:r>
      <w:r w:rsidRPr="00DA1726">
        <w:rPr>
          <w:color w:val="000000"/>
          <w:spacing w:val="-3"/>
          <w:sz w:val="28"/>
          <w:szCs w:val="28"/>
        </w:rPr>
        <w:t xml:space="preserve"> que</w:t>
      </w:r>
      <w:r w:rsidR="00247EE4" w:rsidRPr="00DA1726">
        <w:rPr>
          <w:color w:val="000000"/>
          <w:spacing w:val="-3"/>
          <w:sz w:val="28"/>
          <w:szCs w:val="28"/>
        </w:rPr>
        <w:t>,</w:t>
      </w:r>
      <w:r w:rsidRPr="00DA1726">
        <w:rPr>
          <w:color w:val="000000"/>
          <w:spacing w:val="-3"/>
          <w:sz w:val="28"/>
          <w:szCs w:val="28"/>
        </w:rPr>
        <w:t xml:space="preserve"> de acuerdo con el artículo 111 de la Ley 1438 de 2011</w:t>
      </w:r>
      <w:r w:rsidR="004731BD" w:rsidRPr="00DA1726">
        <w:rPr>
          <w:color w:val="000000"/>
          <w:spacing w:val="-3"/>
          <w:sz w:val="28"/>
          <w:szCs w:val="28"/>
          <w:vertAlign w:val="superscript"/>
        </w:rPr>
        <w:footnoteReference w:id="35"/>
      </w:r>
      <w:r w:rsidRPr="00DA1726">
        <w:rPr>
          <w:color w:val="000000"/>
          <w:spacing w:val="-3"/>
          <w:sz w:val="28"/>
          <w:szCs w:val="28"/>
        </w:rPr>
        <w:t xml:space="preserve">, busca </w:t>
      </w:r>
      <w:r w:rsidRPr="00DA1726">
        <w:rPr>
          <w:color w:val="000000"/>
          <w:spacing w:val="-3"/>
          <w:sz w:val="28"/>
          <w:szCs w:val="28"/>
          <w:lang w:val="es-ES_tradnl"/>
        </w:rPr>
        <w:t xml:space="preserve">dar a conocer públicamente información relacionada con la gestión del riesgo, programas de prevención y control de enfermedades implementados, resultados en </w:t>
      </w:r>
      <w:r w:rsidR="006202AD" w:rsidRPr="00DA1726">
        <w:rPr>
          <w:color w:val="000000"/>
          <w:spacing w:val="-3"/>
          <w:sz w:val="28"/>
          <w:szCs w:val="28"/>
          <w:lang w:val="es-ES_tradnl"/>
        </w:rPr>
        <w:t>el tratamiento</w:t>
      </w:r>
      <w:r w:rsidRPr="00DA1726">
        <w:rPr>
          <w:color w:val="000000"/>
          <w:spacing w:val="-3"/>
          <w:sz w:val="28"/>
          <w:szCs w:val="28"/>
          <w:lang w:val="es-ES_tradnl"/>
        </w:rPr>
        <w:t xml:space="preserve"> de la enfermedad, prevalencia de enfermedades de interés en salud pública, así como la calidad en la atención y la satisfacción del usuario</w:t>
      </w:r>
      <w:r w:rsidR="00355FB9" w:rsidRPr="00DA1726">
        <w:rPr>
          <w:color w:val="000000"/>
          <w:spacing w:val="-3"/>
          <w:sz w:val="28"/>
          <w:szCs w:val="28"/>
          <w:vertAlign w:val="superscript"/>
          <w:lang w:val="es-ES_tradnl"/>
        </w:rPr>
        <w:footnoteReference w:id="36"/>
      </w:r>
      <w:r w:rsidR="00355FB9" w:rsidRPr="00DA1726">
        <w:rPr>
          <w:color w:val="000000"/>
          <w:spacing w:val="-3"/>
          <w:sz w:val="28"/>
          <w:szCs w:val="28"/>
          <w:lang w:val="es-ES_tradnl"/>
        </w:rPr>
        <w:t>.</w:t>
      </w:r>
      <w:r w:rsidR="00094A53" w:rsidRPr="00DA1726">
        <w:rPr>
          <w:color w:val="000000"/>
          <w:spacing w:val="-3"/>
          <w:sz w:val="28"/>
          <w:szCs w:val="28"/>
        </w:rPr>
        <w:t xml:space="preserve"> Estos criterios de calificación fueron identificados así:</w:t>
      </w:r>
    </w:p>
    <w:p w:rsidR="00094A53" w:rsidRPr="00DA1726" w:rsidRDefault="00094A53" w:rsidP="00DA1726">
      <w:pPr>
        <w:tabs>
          <w:tab w:val="left" w:pos="284"/>
          <w:tab w:val="left" w:pos="426"/>
          <w:tab w:val="left" w:pos="851"/>
        </w:tabs>
        <w:suppressAutoHyphens/>
        <w:jc w:val="both"/>
        <w:rPr>
          <w:color w:val="000000"/>
          <w:spacing w:val="-3"/>
          <w:sz w:val="28"/>
          <w:szCs w:val="28"/>
        </w:rPr>
      </w:pPr>
    </w:p>
    <w:p w:rsidR="00094A53" w:rsidRPr="00DA1726" w:rsidRDefault="006202AD" w:rsidP="00DA1726">
      <w:pPr>
        <w:pStyle w:val="Prrafodelista"/>
        <w:numPr>
          <w:ilvl w:val="0"/>
          <w:numId w:val="8"/>
        </w:numPr>
        <w:tabs>
          <w:tab w:val="left" w:pos="284"/>
          <w:tab w:val="left" w:pos="426"/>
        </w:tabs>
        <w:suppressAutoHyphens/>
        <w:ind w:left="709" w:hanging="349"/>
        <w:jc w:val="both"/>
        <w:rPr>
          <w:color w:val="000000"/>
          <w:spacing w:val="-3"/>
          <w:sz w:val="28"/>
          <w:szCs w:val="28"/>
          <w:lang w:val="es-ES_tradnl"/>
        </w:rPr>
      </w:pPr>
      <w:r w:rsidRPr="00DA1726">
        <w:rPr>
          <w:color w:val="000000"/>
          <w:spacing w:val="-3"/>
          <w:sz w:val="28"/>
          <w:szCs w:val="28"/>
        </w:rPr>
        <w:t>Oportunidad</w:t>
      </w:r>
      <w:r w:rsidR="00094A53" w:rsidRPr="00DA1726">
        <w:rPr>
          <w:color w:val="000000"/>
          <w:spacing w:val="-3"/>
          <w:sz w:val="28"/>
          <w:szCs w:val="28"/>
        </w:rPr>
        <w:t xml:space="preserve"> de la asignación de cita</w:t>
      </w:r>
      <w:r w:rsidRPr="00DA1726">
        <w:rPr>
          <w:color w:val="000000"/>
          <w:spacing w:val="-3"/>
          <w:sz w:val="28"/>
          <w:szCs w:val="28"/>
        </w:rPr>
        <w:t>s</w:t>
      </w:r>
      <w:r w:rsidR="00094A53" w:rsidRPr="00DA1726">
        <w:rPr>
          <w:color w:val="000000"/>
          <w:spacing w:val="-3"/>
          <w:sz w:val="28"/>
          <w:szCs w:val="28"/>
        </w:rPr>
        <w:t xml:space="preserve"> en la consulta médica general. </w:t>
      </w:r>
      <w:r w:rsidR="00094A53" w:rsidRPr="00DA1726">
        <w:rPr>
          <w:color w:val="000000"/>
          <w:spacing w:val="-3"/>
          <w:sz w:val="28"/>
          <w:szCs w:val="28"/>
          <w:lang w:val="es-ES_tradnl"/>
        </w:rPr>
        <w:t>Entre 2006 y 2013 las oportunidades de este servicio para ambas redes oscilaron en media entre 2,2 y 3,1 días. El análisis diferenciado muestra además que dichos tiempos fueron</w:t>
      </w:r>
      <w:r w:rsidRPr="00DA1726">
        <w:rPr>
          <w:color w:val="000000"/>
          <w:spacing w:val="-3"/>
          <w:sz w:val="28"/>
          <w:szCs w:val="28"/>
          <w:lang w:val="es-ES_tradnl"/>
        </w:rPr>
        <w:t xml:space="preserve"> en promedio mayores entre las prestadoras</w:t>
      </w:r>
      <w:r w:rsidR="00094A53" w:rsidRPr="00DA1726">
        <w:rPr>
          <w:color w:val="000000"/>
          <w:spacing w:val="-3"/>
          <w:sz w:val="28"/>
          <w:szCs w:val="28"/>
          <w:lang w:val="es-ES_tradnl"/>
        </w:rPr>
        <w:t xml:space="preserve"> privadas que en las públicas.</w:t>
      </w:r>
    </w:p>
    <w:p w:rsidR="00355FB9" w:rsidRPr="00DA1726" w:rsidRDefault="006202AD" w:rsidP="00DA1726">
      <w:pPr>
        <w:pStyle w:val="Prrafodelista"/>
        <w:numPr>
          <w:ilvl w:val="0"/>
          <w:numId w:val="8"/>
        </w:numPr>
        <w:tabs>
          <w:tab w:val="left" w:pos="284"/>
          <w:tab w:val="left" w:pos="426"/>
        </w:tabs>
        <w:suppressAutoHyphens/>
        <w:ind w:left="709" w:hanging="349"/>
        <w:jc w:val="both"/>
        <w:rPr>
          <w:color w:val="000000"/>
          <w:spacing w:val="-3"/>
          <w:sz w:val="28"/>
          <w:szCs w:val="28"/>
        </w:rPr>
      </w:pPr>
      <w:r w:rsidRPr="00DA1726">
        <w:rPr>
          <w:color w:val="000000"/>
          <w:spacing w:val="-3"/>
          <w:sz w:val="28"/>
          <w:szCs w:val="28"/>
        </w:rPr>
        <w:t>Oportunidad</w:t>
      </w:r>
      <w:r w:rsidR="00094A53" w:rsidRPr="00DA1726">
        <w:rPr>
          <w:color w:val="000000"/>
          <w:spacing w:val="-3"/>
          <w:sz w:val="28"/>
          <w:szCs w:val="28"/>
        </w:rPr>
        <w:t xml:space="preserve"> de la asignación de cita</w:t>
      </w:r>
      <w:r w:rsidRPr="00DA1726">
        <w:rPr>
          <w:color w:val="000000"/>
          <w:spacing w:val="-3"/>
          <w:sz w:val="28"/>
          <w:szCs w:val="28"/>
        </w:rPr>
        <w:t>s</w:t>
      </w:r>
      <w:r w:rsidR="00094A53" w:rsidRPr="00DA1726">
        <w:rPr>
          <w:color w:val="000000"/>
          <w:spacing w:val="-3"/>
          <w:sz w:val="28"/>
          <w:szCs w:val="28"/>
        </w:rPr>
        <w:t xml:space="preserve"> en la consulta de odontología general. Existe </w:t>
      </w:r>
      <w:r w:rsidR="00094A53" w:rsidRPr="00DA1726">
        <w:rPr>
          <w:color w:val="000000"/>
          <w:spacing w:val="-3"/>
          <w:sz w:val="28"/>
          <w:szCs w:val="28"/>
          <w:lang w:val="es-ES_tradnl"/>
        </w:rPr>
        <w:t>una tendencia decreciente de la oportunidad en la atención de odontología general en ambas redes (pública y privada), con un cambio del 36% en la media de días entre 2006 y 2013. El análisis diferenciado según la naturaleza de la red muestra que la oportunidad en la atención es menor en la red pública que en la privada, con una tendencia decreciente mayor en la primera.</w:t>
      </w:r>
    </w:p>
    <w:p w:rsidR="00094A53" w:rsidRPr="00DA1726" w:rsidRDefault="00094A53" w:rsidP="00DA1726">
      <w:pPr>
        <w:pStyle w:val="Prrafodelista"/>
        <w:numPr>
          <w:ilvl w:val="0"/>
          <w:numId w:val="8"/>
        </w:numPr>
        <w:tabs>
          <w:tab w:val="left" w:pos="284"/>
          <w:tab w:val="left" w:pos="426"/>
        </w:tabs>
        <w:suppressAutoHyphens/>
        <w:ind w:left="709" w:hanging="349"/>
        <w:jc w:val="both"/>
        <w:rPr>
          <w:color w:val="000000"/>
          <w:spacing w:val="-3"/>
          <w:sz w:val="28"/>
          <w:szCs w:val="28"/>
        </w:rPr>
      </w:pPr>
      <w:r w:rsidRPr="00DA1726">
        <w:rPr>
          <w:color w:val="000000"/>
          <w:spacing w:val="-3"/>
          <w:sz w:val="28"/>
          <w:szCs w:val="28"/>
        </w:rPr>
        <w:t xml:space="preserve">Oportunidad en la atención en consulta de urgencias. </w:t>
      </w:r>
      <w:r w:rsidRPr="00DA1726">
        <w:rPr>
          <w:color w:val="000000"/>
          <w:spacing w:val="-3"/>
          <w:sz w:val="28"/>
          <w:szCs w:val="28"/>
          <w:lang w:val="es-ES_tradnl"/>
        </w:rPr>
        <w:t>Entre 2006 y 2013 las oportunidades de este servicio para ambas redes oscilaron en media entre 24,2 y 31,8 minutos. El análisis diferenciado muestra además que dichos tiempos fueron en promedio mayores entre las IPS privadas que en las públicas.</w:t>
      </w:r>
    </w:p>
    <w:p w:rsidR="00094A53" w:rsidRPr="00DA1726" w:rsidRDefault="00094A53" w:rsidP="00DA1726">
      <w:pPr>
        <w:pStyle w:val="Prrafodelista"/>
        <w:numPr>
          <w:ilvl w:val="0"/>
          <w:numId w:val="8"/>
        </w:numPr>
        <w:tabs>
          <w:tab w:val="left" w:pos="284"/>
          <w:tab w:val="left" w:pos="426"/>
        </w:tabs>
        <w:suppressAutoHyphens/>
        <w:ind w:left="709" w:hanging="349"/>
        <w:jc w:val="both"/>
        <w:rPr>
          <w:color w:val="000000"/>
          <w:spacing w:val="-3"/>
          <w:sz w:val="28"/>
          <w:szCs w:val="28"/>
        </w:rPr>
      </w:pPr>
      <w:r w:rsidRPr="00DA1726">
        <w:rPr>
          <w:color w:val="000000"/>
          <w:spacing w:val="-3"/>
          <w:sz w:val="28"/>
          <w:szCs w:val="28"/>
        </w:rPr>
        <w:t>Tas</w:t>
      </w:r>
      <w:r w:rsidR="006202AD" w:rsidRPr="00DA1726">
        <w:rPr>
          <w:color w:val="000000"/>
          <w:spacing w:val="-3"/>
          <w:sz w:val="28"/>
          <w:szCs w:val="28"/>
        </w:rPr>
        <w:t>a de r</w:t>
      </w:r>
      <w:r w:rsidRPr="00DA1726">
        <w:rPr>
          <w:color w:val="000000"/>
          <w:spacing w:val="-3"/>
          <w:sz w:val="28"/>
          <w:szCs w:val="28"/>
        </w:rPr>
        <w:t xml:space="preserve">eingreso de pacientes hospitalizados. </w:t>
      </w:r>
      <w:r w:rsidRPr="00DA1726">
        <w:rPr>
          <w:color w:val="000000"/>
          <w:spacing w:val="-3"/>
          <w:sz w:val="28"/>
          <w:szCs w:val="28"/>
          <w:lang w:val="es-ES_tradnl"/>
        </w:rPr>
        <w:t>Al inicio del periodo (2006-2008) la tasa de reingreso de pacientes hospitalizados era mayor en la red pública que en la privada, sin embargo este orden se invirtió en la mayor parte de los últimos años analizados (2009 y 2013). En todos los casos, se observa una fluctuación del comportamiento del indicador, con un pico de 2,8% en 2007 en la red pública. Las tasas fueron inferiores a 2% para todas las redes en el año 2013.</w:t>
      </w:r>
    </w:p>
    <w:p w:rsidR="00094A53" w:rsidRPr="00DA1726" w:rsidRDefault="00094A53" w:rsidP="00DA1726">
      <w:pPr>
        <w:pStyle w:val="Prrafodelista"/>
        <w:numPr>
          <w:ilvl w:val="0"/>
          <w:numId w:val="8"/>
        </w:numPr>
        <w:tabs>
          <w:tab w:val="left" w:pos="284"/>
          <w:tab w:val="left" w:pos="426"/>
        </w:tabs>
        <w:suppressAutoHyphens/>
        <w:ind w:left="709" w:hanging="349"/>
        <w:jc w:val="both"/>
        <w:rPr>
          <w:color w:val="000000"/>
          <w:spacing w:val="-3"/>
          <w:sz w:val="28"/>
          <w:szCs w:val="28"/>
        </w:rPr>
      </w:pPr>
      <w:r w:rsidRPr="00DA1726">
        <w:rPr>
          <w:color w:val="000000"/>
          <w:spacing w:val="-3"/>
          <w:sz w:val="28"/>
          <w:szCs w:val="28"/>
        </w:rPr>
        <w:t xml:space="preserve">Tasa de satisfacción global. </w:t>
      </w:r>
      <w:r w:rsidRPr="00DA1726">
        <w:rPr>
          <w:color w:val="000000"/>
          <w:spacing w:val="-3"/>
          <w:sz w:val="28"/>
          <w:szCs w:val="28"/>
          <w:lang w:val="es-ES_tradnl"/>
        </w:rPr>
        <w:t>Las tasas de satisfacción global han sido mayores al 80% durante todo el periodo y para todas las redes de IPS analizadas, sin embargo se observa que la red pública goza de mayores tasas de satisfacción que la red privada en todos los años estudiados.</w:t>
      </w:r>
    </w:p>
    <w:p w:rsidR="00355FB9" w:rsidRPr="00DA1726" w:rsidRDefault="00355FB9" w:rsidP="00DA1726">
      <w:pPr>
        <w:tabs>
          <w:tab w:val="left" w:pos="284"/>
          <w:tab w:val="left" w:pos="426"/>
          <w:tab w:val="left" w:pos="851"/>
        </w:tabs>
        <w:suppressAutoHyphens/>
        <w:jc w:val="both"/>
        <w:rPr>
          <w:color w:val="000000"/>
          <w:spacing w:val="-3"/>
          <w:sz w:val="28"/>
          <w:szCs w:val="28"/>
        </w:rPr>
      </w:pPr>
    </w:p>
    <w:p w:rsidR="00800BD5" w:rsidRPr="00DA1726" w:rsidRDefault="00800BD5" w:rsidP="00DA1726">
      <w:pPr>
        <w:pStyle w:val="Prrafodelista"/>
        <w:numPr>
          <w:ilvl w:val="2"/>
          <w:numId w:val="7"/>
        </w:numPr>
        <w:tabs>
          <w:tab w:val="left" w:pos="284"/>
          <w:tab w:val="left" w:pos="426"/>
          <w:tab w:val="left" w:pos="851"/>
        </w:tabs>
        <w:suppressAutoHyphens/>
        <w:ind w:left="0" w:firstLine="0"/>
        <w:jc w:val="both"/>
        <w:rPr>
          <w:i/>
          <w:color w:val="000000"/>
          <w:spacing w:val="-3"/>
          <w:sz w:val="28"/>
          <w:szCs w:val="28"/>
        </w:rPr>
      </w:pPr>
      <w:r w:rsidRPr="00DA1726">
        <w:rPr>
          <w:i/>
          <w:color w:val="000000"/>
          <w:spacing w:val="-3"/>
          <w:sz w:val="28"/>
          <w:szCs w:val="28"/>
        </w:rPr>
        <w:t>EPS que con mayor frecuencia se niegan a autorizar oportunamente servicios de salud- 2014. R</w:t>
      </w:r>
      <w:r w:rsidR="00E57884" w:rsidRPr="00DA1726">
        <w:rPr>
          <w:i/>
          <w:color w:val="000000"/>
          <w:spacing w:val="-3"/>
          <w:sz w:val="28"/>
          <w:szCs w:val="28"/>
        </w:rPr>
        <w:t>égimen subsidiado y contributivo.</w:t>
      </w:r>
    </w:p>
    <w:p w:rsidR="00800BD5" w:rsidRPr="00DA1726" w:rsidRDefault="00800BD5" w:rsidP="00DA1726">
      <w:pPr>
        <w:tabs>
          <w:tab w:val="left" w:pos="284"/>
          <w:tab w:val="left" w:pos="426"/>
          <w:tab w:val="left" w:pos="851"/>
        </w:tabs>
        <w:suppressAutoHyphens/>
        <w:jc w:val="both"/>
        <w:rPr>
          <w:color w:val="000000"/>
          <w:spacing w:val="-3"/>
          <w:sz w:val="28"/>
          <w:szCs w:val="28"/>
        </w:rPr>
      </w:pPr>
    </w:p>
    <w:p w:rsidR="008A7410" w:rsidRPr="00DA1726" w:rsidRDefault="008A7410" w:rsidP="00DA1726">
      <w:pPr>
        <w:tabs>
          <w:tab w:val="left" w:pos="284"/>
          <w:tab w:val="left" w:pos="426"/>
          <w:tab w:val="left" w:pos="851"/>
        </w:tabs>
        <w:suppressAutoHyphens/>
        <w:jc w:val="both"/>
        <w:rPr>
          <w:color w:val="000000"/>
          <w:spacing w:val="-3"/>
          <w:sz w:val="28"/>
          <w:szCs w:val="28"/>
          <w:lang w:val="es-ES_tradnl"/>
        </w:rPr>
      </w:pPr>
      <w:r w:rsidRPr="00DA1726">
        <w:rPr>
          <w:color w:val="000000"/>
          <w:spacing w:val="-3"/>
          <w:sz w:val="28"/>
          <w:szCs w:val="28"/>
          <w:lang w:val="es-ES_tradnl"/>
        </w:rPr>
        <w:t xml:space="preserve">Se hizo alusión a las diferentes acciones de inspección, vigilancia y control, respecto del comportamiento de las EPS, tanto del régimen subsidiado como del contributivo, en relación con las autorizaciones de servicios de salud incluidos y no incluidos en el </w:t>
      </w:r>
      <w:r w:rsidR="00733A41" w:rsidRPr="00DA1726">
        <w:rPr>
          <w:color w:val="000000"/>
          <w:spacing w:val="-3"/>
          <w:sz w:val="28"/>
          <w:szCs w:val="28"/>
          <w:lang w:val="es-ES_tradnl"/>
        </w:rPr>
        <w:t>plan obligatorio de salud</w:t>
      </w:r>
      <w:r w:rsidRPr="00DA1726">
        <w:rPr>
          <w:color w:val="000000"/>
          <w:spacing w:val="-3"/>
          <w:sz w:val="28"/>
          <w:szCs w:val="28"/>
          <w:lang w:val="es-ES_tradnl"/>
        </w:rPr>
        <w:t>-POS, de acuerdo con los 14 criterios establecidos por la Corte Constitucional.</w:t>
      </w:r>
    </w:p>
    <w:p w:rsidR="008A7410" w:rsidRPr="00DA1726" w:rsidRDefault="008A7410" w:rsidP="00DA1726">
      <w:pPr>
        <w:tabs>
          <w:tab w:val="left" w:pos="284"/>
          <w:tab w:val="left" w:pos="426"/>
          <w:tab w:val="left" w:pos="851"/>
        </w:tabs>
        <w:suppressAutoHyphens/>
        <w:jc w:val="both"/>
        <w:rPr>
          <w:color w:val="000000"/>
          <w:spacing w:val="-3"/>
          <w:sz w:val="28"/>
          <w:szCs w:val="28"/>
        </w:rPr>
      </w:pPr>
    </w:p>
    <w:p w:rsidR="0096437D" w:rsidRPr="00DA1726" w:rsidRDefault="0096437D" w:rsidP="00DA1726">
      <w:pPr>
        <w:tabs>
          <w:tab w:val="left" w:pos="284"/>
          <w:tab w:val="left" w:pos="426"/>
          <w:tab w:val="left" w:pos="851"/>
        </w:tabs>
        <w:suppressAutoHyphens/>
        <w:jc w:val="both"/>
        <w:rPr>
          <w:i/>
          <w:iCs/>
          <w:color w:val="000000"/>
          <w:spacing w:val="-3"/>
          <w:sz w:val="28"/>
          <w:szCs w:val="28"/>
          <w:lang w:val="es-ES_tradnl"/>
        </w:rPr>
      </w:pPr>
      <w:r w:rsidRPr="00DA1726">
        <w:rPr>
          <w:color w:val="000000"/>
          <w:spacing w:val="-3"/>
          <w:sz w:val="28"/>
          <w:szCs w:val="28"/>
        </w:rPr>
        <w:t xml:space="preserve">Refirieron que </w:t>
      </w:r>
      <w:r w:rsidR="006E4912" w:rsidRPr="00DA1726">
        <w:rPr>
          <w:color w:val="000000"/>
          <w:spacing w:val="-3"/>
          <w:sz w:val="28"/>
          <w:szCs w:val="28"/>
          <w:lang w:val="es-ES_tradnl"/>
        </w:rPr>
        <w:t>más allá de los a</w:t>
      </w:r>
      <w:r w:rsidRPr="00DA1726">
        <w:rPr>
          <w:color w:val="000000"/>
          <w:spacing w:val="-3"/>
          <w:sz w:val="28"/>
          <w:szCs w:val="28"/>
          <w:lang w:val="es-ES_tradnl"/>
        </w:rPr>
        <w:t xml:space="preserve">utos 044 de 2012 y 249 de 2013 es importante retomar los elementos definidos en la sentencia T-760 de 2008 para el cumplimiento de la orden 20, </w:t>
      </w:r>
      <w:r w:rsidR="006202AD" w:rsidRPr="00DA1726">
        <w:rPr>
          <w:color w:val="000000"/>
          <w:spacing w:val="-3"/>
          <w:sz w:val="28"/>
          <w:szCs w:val="28"/>
          <w:lang w:val="es-ES_tradnl"/>
        </w:rPr>
        <w:t>que se refiere principalmente a la necesidad de identificar</w:t>
      </w:r>
      <w:r w:rsidRPr="00DA1726">
        <w:rPr>
          <w:color w:val="000000"/>
          <w:spacing w:val="-3"/>
          <w:sz w:val="28"/>
          <w:szCs w:val="28"/>
          <w:lang w:val="es-ES_tradnl"/>
        </w:rPr>
        <w:t xml:space="preserve"> “</w:t>
      </w:r>
      <w:r w:rsidRPr="00DA1726">
        <w:rPr>
          <w:i/>
          <w:iCs/>
          <w:color w:val="000000"/>
          <w:spacing w:val="-3"/>
          <w:sz w:val="28"/>
          <w:szCs w:val="28"/>
          <w:lang w:val="es-ES_tradnl"/>
        </w:rPr>
        <w:t>cuáles son las Entidades Promotoras y las Instituciones Prestadoras de Servicios que con mayor frecuencia incurren en prácticas violatorias del dere</w:t>
      </w:r>
      <w:r w:rsidR="006202AD" w:rsidRPr="00DA1726">
        <w:rPr>
          <w:i/>
          <w:iCs/>
          <w:color w:val="000000"/>
          <w:spacing w:val="-3"/>
          <w:sz w:val="28"/>
          <w:szCs w:val="28"/>
          <w:lang w:val="es-ES_tradnl"/>
        </w:rPr>
        <w:t>cho a la salud de las personas”</w:t>
      </w:r>
      <w:r w:rsidRPr="00DA1726">
        <w:rPr>
          <w:i/>
          <w:iCs/>
          <w:color w:val="000000"/>
          <w:spacing w:val="-3"/>
          <w:sz w:val="28"/>
          <w:szCs w:val="28"/>
          <w:lang w:val="es-ES_tradnl"/>
        </w:rPr>
        <w:t>.</w:t>
      </w:r>
    </w:p>
    <w:p w:rsidR="0096437D" w:rsidRPr="00DA1726" w:rsidRDefault="0096437D" w:rsidP="00DA1726">
      <w:pPr>
        <w:tabs>
          <w:tab w:val="left" w:pos="284"/>
          <w:tab w:val="left" w:pos="426"/>
          <w:tab w:val="left" w:pos="851"/>
        </w:tabs>
        <w:suppressAutoHyphens/>
        <w:jc w:val="both"/>
        <w:rPr>
          <w:color w:val="000000"/>
          <w:spacing w:val="-3"/>
          <w:sz w:val="28"/>
          <w:szCs w:val="28"/>
          <w:lang w:val="es-ES"/>
        </w:rPr>
      </w:pPr>
    </w:p>
    <w:p w:rsidR="0096437D" w:rsidRPr="00DA1726" w:rsidRDefault="0096437D" w:rsidP="00DA1726">
      <w:pPr>
        <w:tabs>
          <w:tab w:val="left" w:pos="284"/>
          <w:tab w:val="left" w:pos="426"/>
          <w:tab w:val="left" w:pos="851"/>
        </w:tabs>
        <w:suppressAutoHyphens/>
        <w:jc w:val="both"/>
        <w:rPr>
          <w:color w:val="000000"/>
          <w:spacing w:val="-3"/>
          <w:sz w:val="28"/>
          <w:szCs w:val="28"/>
          <w:lang w:val="es-ES_tradnl"/>
        </w:rPr>
      </w:pPr>
      <w:r w:rsidRPr="00DA1726">
        <w:rPr>
          <w:color w:val="000000"/>
          <w:spacing w:val="-3"/>
          <w:sz w:val="28"/>
          <w:szCs w:val="28"/>
          <w:lang w:val="es-ES_tradnl"/>
        </w:rPr>
        <w:t>Por lo anterior</w:t>
      </w:r>
      <w:r w:rsidR="006202AD" w:rsidRPr="00DA1726">
        <w:rPr>
          <w:color w:val="000000"/>
          <w:spacing w:val="-3"/>
          <w:sz w:val="28"/>
          <w:szCs w:val="28"/>
          <w:lang w:val="es-ES_tradnl"/>
        </w:rPr>
        <w:t>,</w:t>
      </w:r>
      <w:r w:rsidRPr="00DA1726">
        <w:rPr>
          <w:color w:val="000000"/>
          <w:spacing w:val="-3"/>
          <w:sz w:val="28"/>
          <w:szCs w:val="28"/>
          <w:lang w:val="es-ES_tradnl"/>
        </w:rPr>
        <w:t xml:space="preserve"> reconsideraron y reorganizaron las fuentes de información, </w:t>
      </w:r>
      <w:r w:rsidR="006202AD" w:rsidRPr="00DA1726">
        <w:rPr>
          <w:color w:val="000000"/>
          <w:spacing w:val="-3"/>
          <w:sz w:val="28"/>
          <w:szCs w:val="28"/>
          <w:lang w:val="es-ES_tradnl"/>
        </w:rPr>
        <w:t xml:space="preserve">a partir de </w:t>
      </w:r>
      <w:r w:rsidRPr="00DA1726">
        <w:rPr>
          <w:color w:val="000000"/>
          <w:spacing w:val="-3"/>
          <w:sz w:val="28"/>
          <w:szCs w:val="28"/>
          <w:lang w:val="es-ES_tradnl"/>
        </w:rPr>
        <w:t xml:space="preserve">una metodología de visitas de auditoría en las cuales se toma como fuente primaria </w:t>
      </w:r>
      <w:r w:rsidR="006202AD" w:rsidRPr="00DA1726">
        <w:rPr>
          <w:color w:val="000000"/>
          <w:spacing w:val="-3"/>
          <w:sz w:val="28"/>
          <w:szCs w:val="28"/>
          <w:lang w:val="es-ES_tradnl"/>
        </w:rPr>
        <w:t xml:space="preserve">de evaluación </w:t>
      </w:r>
      <w:r w:rsidRPr="00DA1726">
        <w:rPr>
          <w:color w:val="000000"/>
          <w:spacing w:val="-3"/>
          <w:sz w:val="28"/>
          <w:szCs w:val="28"/>
          <w:lang w:val="es-ES_tradnl"/>
        </w:rPr>
        <w:t>los 14 criterios</w:t>
      </w:r>
      <w:r w:rsidR="006202AD" w:rsidRPr="00DA1726">
        <w:rPr>
          <w:color w:val="000000"/>
          <w:spacing w:val="-3"/>
          <w:sz w:val="28"/>
          <w:szCs w:val="28"/>
          <w:lang w:val="es-ES_tradnl"/>
        </w:rPr>
        <w:t>,</w:t>
      </w:r>
      <w:r w:rsidRPr="00DA1726">
        <w:rPr>
          <w:color w:val="000000"/>
          <w:spacing w:val="-3"/>
          <w:sz w:val="28"/>
          <w:szCs w:val="28"/>
          <w:lang w:val="es-ES_tradnl"/>
        </w:rPr>
        <w:t xml:space="preserve"> cuyos resultados se toman como base principal para la construcción del </w:t>
      </w:r>
      <w:r w:rsidRPr="00DA1726">
        <w:rPr>
          <w:i/>
          <w:iCs/>
          <w:color w:val="000000"/>
          <w:spacing w:val="-3"/>
          <w:sz w:val="28"/>
          <w:szCs w:val="28"/>
          <w:lang w:val="es-ES_tradnl"/>
        </w:rPr>
        <w:t xml:space="preserve">“Informe de entidades que con mayor frecuencia se niegan a autorizar oportunamente servicios de salud”, </w:t>
      </w:r>
      <w:r w:rsidRPr="00DA1726">
        <w:rPr>
          <w:color w:val="000000"/>
          <w:spacing w:val="-3"/>
          <w:sz w:val="28"/>
          <w:szCs w:val="28"/>
          <w:lang w:val="es-ES_tradnl"/>
        </w:rPr>
        <w:t>tanto para el régimen contributivo como para el subsidiado.</w:t>
      </w:r>
    </w:p>
    <w:p w:rsidR="0096437D" w:rsidRPr="00DA1726" w:rsidRDefault="0096437D" w:rsidP="00DA1726">
      <w:pPr>
        <w:tabs>
          <w:tab w:val="left" w:pos="284"/>
          <w:tab w:val="left" w:pos="426"/>
          <w:tab w:val="left" w:pos="851"/>
        </w:tabs>
        <w:suppressAutoHyphens/>
        <w:jc w:val="both"/>
        <w:rPr>
          <w:color w:val="000000"/>
          <w:spacing w:val="-3"/>
          <w:sz w:val="28"/>
          <w:szCs w:val="28"/>
          <w:lang w:val="es-ES"/>
        </w:rPr>
      </w:pPr>
    </w:p>
    <w:p w:rsidR="0096437D" w:rsidRPr="00DA1726" w:rsidRDefault="006202AD" w:rsidP="00DA1726">
      <w:pPr>
        <w:tabs>
          <w:tab w:val="left" w:pos="284"/>
          <w:tab w:val="left" w:pos="426"/>
          <w:tab w:val="left" w:pos="851"/>
        </w:tabs>
        <w:suppressAutoHyphens/>
        <w:jc w:val="both"/>
        <w:rPr>
          <w:color w:val="000000"/>
          <w:spacing w:val="-3"/>
          <w:sz w:val="28"/>
          <w:szCs w:val="28"/>
          <w:lang w:val="es-ES_tradnl"/>
        </w:rPr>
      </w:pPr>
      <w:r w:rsidRPr="00DA1726">
        <w:rPr>
          <w:color w:val="000000"/>
          <w:spacing w:val="-3"/>
          <w:sz w:val="28"/>
          <w:szCs w:val="28"/>
          <w:lang w:val="es-ES_tradnl"/>
        </w:rPr>
        <w:t xml:space="preserve">En </w:t>
      </w:r>
      <w:r w:rsidR="0096437D" w:rsidRPr="00DA1726">
        <w:rPr>
          <w:color w:val="000000"/>
          <w:spacing w:val="-3"/>
          <w:sz w:val="28"/>
          <w:szCs w:val="28"/>
          <w:lang w:val="es-ES_tradnl"/>
        </w:rPr>
        <w:t>este contexto durante el año 2014 la Sup</w:t>
      </w:r>
      <w:r w:rsidR="009650FE" w:rsidRPr="00DA1726">
        <w:rPr>
          <w:color w:val="000000"/>
          <w:spacing w:val="-3"/>
          <w:sz w:val="28"/>
          <w:szCs w:val="28"/>
          <w:lang w:val="es-ES_tradnl"/>
        </w:rPr>
        <w:t>erintendencia de Salud</w:t>
      </w:r>
      <w:r w:rsidR="0096437D" w:rsidRPr="00DA1726">
        <w:rPr>
          <w:color w:val="000000"/>
          <w:spacing w:val="-3"/>
          <w:sz w:val="28"/>
          <w:szCs w:val="28"/>
          <w:lang w:val="es-ES_tradnl"/>
        </w:rPr>
        <w:t xml:space="preserve"> realizó visitas de auditoría a las EPS, </w:t>
      </w:r>
      <w:r w:rsidR="009650FE" w:rsidRPr="00DA1726">
        <w:rPr>
          <w:color w:val="000000"/>
          <w:spacing w:val="-3"/>
          <w:sz w:val="28"/>
          <w:szCs w:val="28"/>
          <w:lang w:val="es-ES_tradnl"/>
        </w:rPr>
        <w:t>a partir de lo cual se</w:t>
      </w:r>
      <w:r w:rsidR="0096437D" w:rsidRPr="00DA1726">
        <w:rPr>
          <w:color w:val="000000"/>
          <w:spacing w:val="-3"/>
          <w:sz w:val="28"/>
          <w:szCs w:val="28"/>
          <w:lang w:val="es-ES_tradnl"/>
        </w:rPr>
        <w:t xml:space="preserve"> generó como resultado no solamente los dos informes de entidades que con mayor frecuencia se niegan a autorizar oportunamente servicios de salud en el régimen contributivo y en el régimen subsidiado, sino también la suscripción de planes de desempeño a través del cual las aseguradoras diseñaron acciones que permitirán un mejoramiento de cada entidad, en pro del goce efectivo del derecho a la salud.</w:t>
      </w:r>
    </w:p>
    <w:p w:rsidR="0096437D" w:rsidRPr="00DA1726" w:rsidRDefault="0096437D" w:rsidP="00DA1726">
      <w:pPr>
        <w:tabs>
          <w:tab w:val="left" w:pos="284"/>
          <w:tab w:val="left" w:pos="426"/>
          <w:tab w:val="left" w:pos="851"/>
        </w:tabs>
        <w:suppressAutoHyphens/>
        <w:jc w:val="both"/>
        <w:rPr>
          <w:color w:val="000000"/>
          <w:spacing w:val="-3"/>
          <w:sz w:val="28"/>
          <w:szCs w:val="28"/>
          <w:lang w:val="es-ES_tradnl"/>
        </w:rPr>
      </w:pPr>
    </w:p>
    <w:p w:rsidR="000061C7" w:rsidRPr="00DA1726" w:rsidRDefault="00E57884" w:rsidP="00DA1726">
      <w:pPr>
        <w:tabs>
          <w:tab w:val="left" w:pos="284"/>
          <w:tab w:val="left" w:pos="426"/>
          <w:tab w:val="left" w:pos="851"/>
        </w:tabs>
        <w:suppressAutoHyphens/>
        <w:jc w:val="both"/>
        <w:rPr>
          <w:color w:val="000000"/>
          <w:spacing w:val="-3"/>
          <w:sz w:val="28"/>
          <w:szCs w:val="28"/>
          <w:lang w:val="es-ES_tradnl"/>
        </w:rPr>
      </w:pPr>
      <w:r w:rsidRPr="00DA1726">
        <w:rPr>
          <w:color w:val="000000"/>
          <w:spacing w:val="-3"/>
          <w:sz w:val="28"/>
          <w:szCs w:val="28"/>
          <w:lang w:val="es-ES_tradnl"/>
        </w:rPr>
        <w:t>De las</w:t>
      </w:r>
      <w:r w:rsidR="000061C7" w:rsidRPr="00DA1726">
        <w:rPr>
          <w:color w:val="000000"/>
          <w:spacing w:val="-3"/>
          <w:sz w:val="28"/>
          <w:szCs w:val="28"/>
          <w:lang w:val="es-ES_tradnl"/>
        </w:rPr>
        <w:t xml:space="preserve"> visita</w:t>
      </w:r>
      <w:r w:rsidRPr="00DA1726">
        <w:rPr>
          <w:color w:val="000000"/>
          <w:spacing w:val="-3"/>
          <w:sz w:val="28"/>
          <w:szCs w:val="28"/>
          <w:lang w:val="es-ES_tradnl"/>
        </w:rPr>
        <w:t>s</w:t>
      </w:r>
      <w:r w:rsidR="000061C7" w:rsidRPr="00DA1726">
        <w:rPr>
          <w:color w:val="000000"/>
          <w:spacing w:val="-3"/>
          <w:sz w:val="28"/>
          <w:szCs w:val="28"/>
          <w:lang w:val="es-ES_tradnl"/>
        </w:rPr>
        <w:t xml:space="preserve"> de auditoría</w:t>
      </w:r>
      <w:r w:rsidRPr="00DA1726">
        <w:rPr>
          <w:color w:val="000000"/>
          <w:spacing w:val="-3"/>
          <w:sz w:val="28"/>
          <w:szCs w:val="28"/>
          <w:lang w:val="es-ES_tradnl"/>
        </w:rPr>
        <w:t xml:space="preserve"> realizadas en </w:t>
      </w:r>
      <w:r w:rsidR="009650FE" w:rsidRPr="00DA1726">
        <w:rPr>
          <w:color w:val="000000"/>
          <w:spacing w:val="-3"/>
          <w:sz w:val="28"/>
          <w:szCs w:val="28"/>
          <w:lang w:val="es-ES_tradnl"/>
        </w:rPr>
        <w:t>ese año</w:t>
      </w:r>
      <w:r w:rsidR="000061C7" w:rsidRPr="00DA1726">
        <w:rPr>
          <w:color w:val="000000"/>
          <w:spacing w:val="-3"/>
          <w:sz w:val="28"/>
          <w:szCs w:val="28"/>
          <w:lang w:val="es-ES_tradnl"/>
        </w:rPr>
        <w:t>, fueron generados los informes finales</w:t>
      </w:r>
      <w:r w:rsidRPr="00DA1726">
        <w:rPr>
          <w:color w:val="000000"/>
          <w:spacing w:val="-3"/>
          <w:sz w:val="28"/>
          <w:szCs w:val="28"/>
          <w:lang w:val="es-ES_tradnl"/>
        </w:rPr>
        <w:t>, sobre los que se</w:t>
      </w:r>
      <w:r w:rsidR="000061C7" w:rsidRPr="00DA1726">
        <w:rPr>
          <w:color w:val="000000"/>
          <w:spacing w:val="-3"/>
          <w:sz w:val="28"/>
          <w:szCs w:val="28"/>
          <w:lang w:val="es-ES_tradnl"/>
        </w:rPr>
        <w:t xml:space="preserve"> solicitó </w:t>
      </w:r>
      <w:r w:rsidR="006202AD" w:rsidRPr="00DA1726">
        <w:rPr>
          <w:color w:val="000000"/>
          <w:spacing w:val="-3"/>
          <w:sz w:val="28"/>
          <w:szCs w:val="28"/>
          <w:lang w:val="es-ES_tradnl"/>
        </w:rPr>
        <w:t xml:space="preserve">a las entidades promotoras </w:t>
      </w:r>
      <w:r w:rsidR="000061C7" w:rsidRPr="00DA1726">
        <w:rPr>
          <w:color w:val="000000"/>
          <w:spacing w:val="-3"/>
          <w:sz w:val="28"/>
          <w:szCs w:val="28"/>
          <w:lang w:val="es-ES_tradnl"/>
        </w:rPr>
        <w:t xml:space="preserve">el envío de un </w:t>
      </w:r>
      <w:r w:rsidR="006202AD" w:rsidRPr="00DA1726">
        <w:rPr>
          <w:i/>
          <w:color w:val="000000"/>
          <w:spacing w:val="-3"/>
          <w:sz w:val="28"/>
          <w:szCs w:val="28"/>
          <w:lang w:val="es-ES_tradnl"/>
        </w:rPr>
        <w:t>plan de mejoramiento</w:t>
      </w:r>
      <w:r w:rsidR="006202AD" w:rsidRPr="00DA1726">
        <w:rPr>
          <w:color w:val="000000"/>
          <w:spacing w:val="-3"/>
          <w:sz w:val="28"/>
          <w:szCs w:val="28"/>
          <w:lang w:val="es-ES_tradnl"/>
        </w:rPr>
        <w:t xml:space="preserve"> </w:t>
      </w:r>
      <w:r w:rsidR="000061C7" w:rsidRPr="00DA1726">
        <w:rPr>
          <w:color w:val="000000"/>
          <w:spacing w:val="-3"/>
          <w:sz w:val="28"/>
          <w:szCs w:val="28"/>
          <w:lang w:val="es-ES_tradnl"/>
        </w:rPr>
        <w:t xml:space="preserve">que permitiera solucionar las causas de fondo que generaron los hallazgos plasmados en cada uno de </w:t>
      </w:r>
      <w:r w:rsidRPr="00DA1726">
        <w:rPr>
          <w:color w:val="000000"/>
          <w:spacing w:val="-3"/>
          <w:sz w:val="28"/>
          <w:szCs w:val="28"/>
          <w:lang w:val="es-ES_tradnl"/>
        </w:rPr>
        <w:t>ellos</w:t>
      </w:r>
      <w:r w:rsidR="000061C7" w:rsidRPr="00DA1726">
        <w:rPr>
          <w:color w:val="000000"/>
          <w:spacing w:val="-3"/>
          <w:sz w:val="28"/>
          <w:szCs w:val="28"/>
          <w:lang w:val="es-ES_tradnl"/>
        </w:rPr>
        <w:t>, a fin de e</w:t>
      </w:r>
      <w:r w:rsidR="006202AD" w:rsidRPr="00DA1726">
        <w:rPr>
          <w:color w:val="000000"/>
          <w:spacing w:val="-3"/>
          <w:sz w:val="28"/>
          <w:szCs w:val="28"/>
          <w:lang w:val="es-ES_tradnl"/>
        </w:rPr>
        <w:t>vitar que situaciones similares se repitieran.</w:t>
      </w:r>
    </w:p>
    <w:p w:rsidR="000061C7" w:rsidRPr="00DA1726" w:rsidRDefault="000061C7" w:rsidP="00DA1726">
      <w:pPr>
        <w:tabs>
          <w:tab w:val="left" w:pos="284"/>
          <w:tab w:val="left" w:pos="426"/>
          <w:tab w:val="left" w:pos="851"/>
        </w:tabs>
        <w:suppressAutoHyphens/>
        <w:jc w:val="both"/>
        <w:rPr>
          <w:color w:val="000000"/>
          <w:spacing w:val="-3"/>
          <w:sz w:val="28"/>
          <w:szCs w:val="28"/>
          <w:lang w:val="es-ES_tradnl"/>
        </w:rPr>
      </w:pPr>
    </w:p>
    <w:p w:rsidR="006202AD" w:rsidRPr="00DA1726" w:rsidRDefault="00B334F3" w:rsidP="00DA1726">
      <w:pPr>
        <w:pStyle w:val="Prrafodelista"/>
        <w:numPr>
          <w:ilvl w:val="1"/>
          <w:numId w:val="7"/>
        </w:numPr>
        <w:tabs>
          <w:tab w:val="left" w:pos="284"/>
          <w:tab w:val="left" w:pos="426"/>
          <w:tab w:val="left" w:pos="851"/>
        </w:tabs>
        <w:suppressAutoHyphens/>
        <w:ind w:left="0" w:right="51" w:firstLine="0"/>
        <w:jc w:val="both"/>
        <w:rPr>
          <w:rFonts w:eastAsiaTheme="minorEastAsia"/>
          <w:sz w:val="28"/>
          <w:szCs w:val="28"/>
          <w:lang w:val="es-ES_tradnl" w:eastAsia="es-ES"/>
        </w:rPr>
      </w:pPr>
      <w:r w:rsidRPr="00DA1726">
        <w:rPr>
          <w:color w:val="000000"/>
          <w:spacing w:val="-3"/>
          <w:sz w:val="28"/>
          <w:szCs w:val="28"/>
        </w:rPr>
        <w:t>El 16 de septiembre de 2015, la Sala Especial de Seguimiento a través del Auto 412 de 2015</w:t>
      </w:r>
      <w:r w:rsidR="006A3CC7" w:rsidRPr="00DA1726">
        <w:rPr>
          <w:color w:val="000000"/>
          <w:spacing w:val="-3"/>
          <w:sz w:val="28"/>
          <w:szCs w:val="28"/>
        </w:rPr>
        <w:t xml:space="preserve"> </w:t>
      </w:r>
      <w:r w:rsidR="006202AD" w:rsidRPr="00DA1726">
        <w:rPr>
          <w:color w:val="000000"/>
          <w:spacing w:val="-3"/>
          <w:sz w:val="28"/>
          <w:szCs w:val="28"/>
        </w:rPr>
        <w:t xml:space="preserve">resolvió la solicitud </w:t>
      </w:r>
      <w:r w:rsidR="009650FE" w:rsidRPr="00DA1726">
        <w:rPr>
          <w:color w:val="000000"/>
          <w:spacing w:val="-3"/>
          <w:sz w:val="28"/>
          <w:szCs w:val="28"/>
        </w:rPr>
        <w:t>de reconsideración del numeral sexto del Auto 249 de 2013</w:t>
      </w:r>
      <w:r w:rsidR="009650FE" w:rsidRPr="00DA1726">
        <w:rPr>
          <w:rFonts w:eastAsiaTheme="minorEastAsia"/>
          <w:sz w:val="28"/>
          <w:szCs w:val="28"/>
          <w:vertAlign w:val="superscript"/>
          <w:lang w:val="es-ES_tradnl" w:eastAsia="es-ES"/>
        </w:rPr>
        <w:footnoteReference w:id="37"/>
      </w:r>
      <w:r w:rsidR="009650FE" w:rsidRPr="00DA1726">
        <w:rPr>
          <w:color w:val="000000"/>
          <w:spacing w:val="-3"/>
          <w:sz w:val="28"/>
          <w:szCs w:val="28"/>
        </w:rPr>
        <w:t xml:space="preserve">, </w:t>
      </w:r>
      <w:r w:rsidR="006202AD" w:rsidRPr="00DA1726">
        <w:rPr>
          <w:color w:val="000000"/>
          <w:spacing w:val="-3"/>
          <w:sz w:val="28"/>
          <w:szCs w:val="28"/>
        </w:rPr>
        <w:t>elevada</w:t>
      </w:r>
      <w:r w:rsidR="006A3CC7" w:rsidRPr="00DA1726">
        <w:rPr>
          <w:color w:val="000000"/>
          <w:spacing w:val="-3"/>
          <w:sz w:val="28"/>
          <w:szCs w:val="28"/>
        </w:rPr>
        <w:t xml:space="preserve"> por el Ministerio de Salud y la Supe</w:t>
      </w:r>
      <w:r w:rsidR="009650FE" w:rsidRPr="00DA1726">
        <w:rPr>
          <w:color w:val="000000"/>
          <w:spacing w:val="-3"/>
          <w:sz w:val="28"/>
          <w:szCs w:val="28"/>
        </w:rPr>
        <w:t>rintendencia</w:t>
      </w:r>
      <w:r w:rsidR="006202AD" w:rsidRPr="00DA1726">
        <w:rPr>
          <w:rFonts w:eastAsiaTheme="minorEastAsia"/>
          <w:sz w:val="28"/>
          <w:szCs w:val="28"/>
          <w:lang w:val="es-ES_tradnl" w:eastAsia="es-ES"/>
        </w:rPr>
        <w:t xml:space="preserve">. </w:t>
      </w:r>
    </w:p>
    <w:p w:rsidR="006202AD" w:rsidRPr="00DA1726" w:rsidRDefault="006202AD" w:rsidP="00DA1726">
      <w:pPr>
        <w:pStyle w:val="Style9"/>
        <w:widowControl/>
        <w:ind w:right="590"/>
        <w:rPr>
          <w:rFonts w:ascii="Times New Roman" w:hAnsi="Times New Roman"/>
          <w:sz w:val="28"/>
          <w:szCs w:val="28"/>
        </w:rPr>
      </w:pPr>
    </w:p>
    <w:p w:rsidR="00160B3D" w:rsidRPr="00DA1726" w:rsidRDefault="00160B3D" w:rsidP="00DA1726">
      <w:pPr>
        <w:jc w:val="both"/>
        <w:rPr>
          <w:rStyle w:val="FontStyle26"/>
          <w:b/>
          <w:bCs/>
          <w:sz w:val="28"/>
          <w:szCs w:val="28"/>
          <w:lang w:val="es-ES_tradnl" w:eastAsia="es-ES_tradnl"/>
        </w:rPr>
      </w:pPr>
      <w:r w:rsidRPr="00DA1726">
        <w:rPr>
          <w:sz w:val="28"/>
          <w:szCs w:val="28"/>
        </w:rPr>
        <w:t>En primer término</w:t>
      </w:r>
      <w:r w:rsidR="006202AD" w:rsidRPr="00DA1726">
        <w:rPr>
          <w:sz w:val="28"/>
          <w:szCs w:val="28"/>
        </w:rPr>
        <w:t>, la Sala</w:t>
      </w:r>
      <w:r w:rsidRPr="00DA1726">
        <w:rPr>
          <w:sz w:val="28"/>
          <w:szCs w:val="28"/>
        </w:rPr>
        <w:t xml:space="preserve"> declaró improcedente </w:t>
      </w:r>
      <w:r w:rsidRPr="00DA1726">
        <w:rPr>
          <w:rStyle w:val="FontStyle26"/>
          <w:sz w:val="28"/>
          <w:szCs w:val="28"/>
          <w:lang w:val="es-ES_tradnl" w:eastAsia="es-ES_tradnl"/>
        </w:rPr>
        <w:t>la solicitud de reconsideración, debido a que las providencias dictadas a causa del seguimiento deben ser cumplidas por las entidades a las que van dirigidas sin dilación alguna.</w:t>
      </w:r>
    </w:p>
    <w:p w:rsidR="00160B3D" w:rsidRPr="00DA1726" w:rsidRDefault="00160B3D" w:rsidP="00DA1726">
      <w:pPr>
        <w:pStyle w:val="Style9"/>
        <w:widowControl/>
        <w:ind w:right="590"/>
        <w:rPr>
          <w:rFonts w:ascii="Times New Roman" w:hAnsi="Times New Roman"/>
          <w:sz w:val="28"/>
          <w:szCs w:val="28"/>
        </w:rPr>
      </w:pPr>
    </w:p>
    <w:p w:rsidR="0031298B" w:rsidRPr="00DA1726" w:rsidRDefault="0031298B" w:rsidP="00DA1726">
      <w:pPr>
        <w:pStyle w:val="Style3"/>
        <w:widowControl/>
        <w:spacing w:line="240" w:lineRule="auto"/>
        <w:ind w:right="51"/>
        <w:rPr>
          <w:sz w:val="28"/>
          <w:szCs w:val="28"/>
          <w:lang w:val="es-ES_tradnl" w:eastAsia="es-ES_tradnl"/>
        </w:rPr>
      </w:pPr>
      <w:r w:rsidRPr="00DA1726">
        <w:rPr>
          <w:rStyle w:val="FontStyle26"/>
          <w:sz w:val="28"/>
          <w:szCs w:val="28"/>
          <w:lang w:val="es-ES_tradnl" w:eastAsia="es-ES_tradnl"/>
        </w:rPr>
        <w:t xml:space="preserve">En cuanto a la construcción de un </w:t>
      </w:r>
      <w:r w:rsidR="009650FE" w:rsidRPr="00DA1726">
        <w:rPr>
          <w:color w:val="000000"/>
          <w:sz w:val="28"/>
          <w:szCs w:val="28"/>
        </w:rPr>
        <w:t>“</w:t>
      </w:r>
      <w:r w:rsidR="008D66F1" w:rsidRPr="00DA1726">
        <w:rPr>
          <w:i/>
          <w:color w:val="000000"/>
          <w:sz w:val="28"/>
          <w:szCs w:val="28"/>
        </w:rPr>
        <w:t>ranking</w:t>
      </w:r>
      <w:r w:rsidRPr="00DA1726">
        <w:rPr>
          <w:color w:val="000000"/>
          <w:sz w:val="28"/>
          <w:szCs w:val="28"/>
        </w:rPr>
        <w:t xml:space="preserve"> simple</w:t>
      </w:r>
      <w:r w:rsidR="009650FE" w:rsidRPr="00DA1726">
        <w:rPr>
          <w:i/>
          <w:color w:val="000000"/>
          <w:sz w:val="28"/>
          <w:szCs w:val="28"/>
        </w:rPr>
        <w:t>”</w:t>
      </w:r>
      <w:r w:rsidRPr="00DA1726">
        <w:rPr>
          <w:color w:val="000000"/>
          <w:sz w:val="28"/>
          <w:szCs w:val="28"/>
        </w:rPr>
        <w:t xml:space="preserve"> se precisó que la orden 20 involucra un solo aspecto cardinal y prioritario del funcionamiento del sistema de salud: la vulneración directa del derecho fundamental derivada de la autorización oportuna de los servicios incluidos en el POS o que se requieran con necesidad. En este sentido </w:t>
      </w:r>
      <w:r w:rsidR="009F5018" w:rsidRPr="00DA1726">
        <w:rPr>
          <w:color w:val="000000"/>
          <w:sz w:val="28"/>
          <w:szCs w:val="28"/>
        </w:rPr>
        <w:t xml:space="preserve">se </w:t>
      </w:r>
      <w:r w:rsidRPr="00DA1726">
        <w:rPr>
          <w:color w:val="000000"/>
          <w:sz w:val="28"/>
          <w:szCs w:val="28"/>
        </w:rPr>
        <w:t xml:space="preserve">explicó que esa ordenación es mucho más reducida y puntual por lo que, como resultado, comprende la mayoría de facetas de la prestación. </w:t>
      </w:r>
    </w:p>
    <w:p w:rsidR="0031298B" w:rsidRPr="00DA1726" w:rsidRDefault="0031298B" w:rsidP="00DA1726">
      <w:pPr>
        <w:pStyle w:val="Sinespaciado"/>
        <w:tabs>
          <w:tab w:val="left" w:pos="851"/>
        </w:tabs>
        <w:jc w:val="both"/>
        <w:rPr>
          <w:rFonts w:ascii="Times New Roman" w:hAnsi="Times New Roman"/>
          <w:color w:val="000000"/>
          <w:sz w:val="28"/>
          <w:szCs w:val="28"/>
          <w:lang w:val="es-ES"/>
        </w:rPr>
      </w:pPr>
    </w:p>
    <w:p w:rsidR="0031298B" w:rsidRPr="00DA1726" w:rsidRDefault="0031298B" w:rsidP="00DA1726">
      <w:pPr>
        <w:pStyle w:val="Style9"/>
        <w:widowControl/>
        <w:ind w:right="51"/>
        <w:rPr>
          <w:rFonts w:ascii="Times New Roman" w:hAnsi="Times New Roman"/>
          <w:sz w:val="28"/>
          <w:szCs w:val="28"/>
        </w:rPr>
      </w:pPr>
      <w:r w:rsidRPr="00DA1726">
        <w:rPr>
          <w:rFonts w:ascii="Times New Roman" w:hAnsi="Times New Roman"/>
          <w:sz w:val="28"/>
          <w:szCs w:val="28"/>
        </w:rPr>
        <w:t xml:space="preserve">No obstante, </w:t>
      </w:r>
      <w:r w:rsidR="009F5018" w:rsidRPr="00DA1726">
        <w:rPr>
          <w:rFonts w:ascii="Times New Roman" w:hAnsi="Times New Roman"/>
          <w:sz w:val="28"/>
          <w:szCs w:val="28"/>
        </w:rPr>
        <w:t xml:space="preserve">se aceptó </w:t>
      </w:r>
      <w:r w:rsidRPr="00DA1726">
        <w:rPr>
          <w:rFonts w:ascii="Times New Roman" w:hAnsi="Times New Roman"/>
          <w:sz w:val="28"/>
          <w:szCs w:val="28"/>
        </w:rPr>
        <w:t xml:space="preserve">que algunos de los </w:t>
      </w:r>
      <w:r w:rsidR="00DF27D7" w:rsidRPr="00DA1726">
        <w:rPr>
          <w:rFonts w:ascii="Times New Roman" w:hAnsi="Times New Roman"/>
          <w:sz w:val="28"/>
          <w:szCs w:val="28"/>
        </w:rPr>
        <w:t xml:space="preserve">14 </w:t>
      </w:r>
      <w:r w:rsidRPr="00DA1726">
        <w:rPr>
          <w:rFonts w:ascii="Times New Roman" w:hAnsi="Times New Roman"/>
          <w:sz w:val="28"/>
          <w:szCs w:val="28"/>
        </w:rPr>
        <w:t xml:space="preserve">parámetros </w:t>
      </w:r>
      <w:r w:rsidR="00DF27D7" w:rsidRPr="00DA1726">
        <w:rPr>
          <w:rFonts w:ascii="Times New Roman" w:hAnsi="Times New Roman"/>
          <w:sz w:val="28"/>
          <w:szCs w:val="28"/>
        </w:rPr>
        <w:t>de medición establecidos por esta Corporación en el Auto 260 de 2012,</w:t>
      </w:r>
      <w:r w:rsidRPr="00DA1726">
        <w:rPr>
          <w:rFonts w:ascii="Times New Roman" w:hAnsi="Times New Roman"/>
          <w:sz w:val="28"/>
          <w:szCs w:val="28"/>
        </w:rPr>
        <w:t xml:space="preserve"> podrían ser objeto de actualización en los términos de la Ley</w:t>
      </w:r>
      <w:r w:rsidR="009650FE" w:rsidRPr="00DA1726">
        <w:rPr>
          <w:rFonts w:ascii="Times New Roman" w:hAnsi="Times New Roman"/>
          <w:sz w:val="28"/>
          <w:szCs w:val="28"/>
        </w:rPr>
        <w:t xml:space="preserve"> Estatutaria 1751 de 2015 y la S</w:t>
      </w:r>
      <w:r w:rsidRPr="00DA1726">
        <w:rPr>
          <w:rFonts w:ascii="Times New Roman" w:hAnsi="Times New Roman"/>
          <w:sz w:val="28"/>
          <w:szCs w:val="28"/>
        </w:rPr>
        <w:t>entencia C-313 de 2014. Por esa razón</w:t>
      </w:r>
      <w:r w:rsidR="00EC7FEF" w:rsidRPr="00DA1726">
        <w:rPr>
          <w:rFonts w:ascii="Times New Roman" w:hAnsi="Times New Roman"/>
          <w:sz w:val="28"/>
          <w:szCs w:val="28"/>
        </w:rPr>
        <w:t>,</w:t>
      </w:r>
      <w:r w:rsidRPr="00DA1726">
        <w:rPr>
          <w:rFonts w:ascii="Times New Roman" w:hAnsi="Times New Roman"/>
          <w:sz w:val="28"/>
          <w:szCs w:val="28"/>
        </w:rPr>
        <w:t xml:space="preserve"> </w:t>
      </w:r>
      <w:r w:rsidR="00DF27D7" w:rsidRPr="00DA1726">
        <w:rPr>
          <w:rFonts w:ascii="Times New Roman" w:hAnsi="Times New Roman"/>
          <w:sz w:val="28"/>
          <w:szCs w:val="28"/>
        </w:rPr>
        <w:t xml:space="preserve">se convocó </w:t>
      </w:r>
      <w:r w:rsidRPr="00DA1726">
        <w:rPr>
          <w:rFonts w:ascii="Times New Roman" w:hAnsi="Times New Roman"/>
          <w:sz w:val="28"/>
          <w:szCs w:val="28"/>
        </w:rPr>
        <w:t xml:space="preserve">a las entidades públicas que hacen parte del cumplimiento de la orden 20 y a los </w:t>
      </w:r>
      <w:r w:rsidR="009650FE" w:rsidRPr="00DA1726">
        <w:rPr>
          <w:rFonts w:ascii="Times New Roman" w:hAnsi="Times New Roman"/>
          <w:sz w:val="28"/>
          <w:szCs w:val="28"/>
        </w:rPr>
        <w:t xml:space="preserve">peritos constitucionales voluntarios </w:t>
      </w:r>
      <w:r w:rsidRPr="00DA1726">
        <w:rPr>
          <w:rFonts w:ascii="Times New Roman" w:hAnsi="Times New Roman"/>
          <w:sz w:val="28"/>
          <w:szCs w:val="28"/>
        </w:rPr>
        <w:t>vinculados en el proceso d</w:t>
      </w:r>
      <w:r w:rsidR="006202AD" w:rsidRPr="00DA1726">
        <w:rPr>
          <w:rFonts w:ascii="Times New Roman" w:hAnsi="Times New Roman"/>
          <w:sz w:val="28"/>
          <w:szCs w:val="28"/>
        </w:rPr>
        <w:t>e supervisión, para que presentara</w:t>
      </w:r>
      <w:r w:rsidRPr="00DA1726">
        <w:rPr>
          <w:rFonts w:ascii="Times New Roman" w:hAnsi="Times New Roman"/>
          <w:sz w:val="28"/>
          <w:szCs w:val="28"/>
        </w:rPr>
        <w:t>n sus conceptos y defin</w:t>
      </w:r>
      <w:r w:rsidR="006202AD" w:rsidRPr="00DA1726">
        <w:rPr>
          <w:rFonts w:ascii="Times New Roman" w:hAnsi="Times New Roman"/>
          <w:sz w:val="28"/>
          <w:szCs w:val="28"/>
        </w:rPr>
        <w:t>ier</w:t>
      </w:r>
      <w:r w:rsidRPr="00DA1726">
        <w:rPr>
          <w:rFonts w:ascii="Times New Roman" w:hAnsi="Times New Roman"/>
          <w:sz w:val="28"/>
          <w:szCs w:val="28"/>
        </w:rPr>
        <w:t xml:space="preserve">an </w:t>
      </w:r>
      <w:r w:rsidR="006202AD" w:rsidRPr="00DA1726">
        <w:rPr>
          <w:rFonts w:ascii="Times New Roman" w:hAnsi="Times New Roman"/>
          <w:sz w:val="28"/>
          <w:szCs w:val="28"/>
        </w:rPr>
        <w:t xml:space="preserve">si </w:t>
      </w:r>
      <w:r w:rsidRPr="00DA1726">
        <w:rPr>
          <w:rFonts w:ascii="Times New Roman" w:hAnsi="Times New Roman"/>
          <w:sz w:val="28"/>
          <w:szCs w:val="28"/>
        </w:rPr>
        <w:t>los 14 componentes de la ordenación de EPS debían modificarse.</w:t>
      </w:r>
    </w:p>
    <w:p w:rsidR="0031298B" w:rsidRPr="00DA1726" w:rsidRDefault="0031298B" w:rsidP="00DA1726">
      <w:pPr>
        <w:pStyle w:val="Style3"/>
        <w:widowControl/>
        <w:spacing w:line="240" w:lineRule="auto"/>
        <w:ind w:right="51"/>
        <w:rPr>
          <w:rStyle w:val="FontStyle26"/>
          <w:sz w:val="28"/>
          <w:szCs w:val="28"/>
          <w:lang w:val="es-ES_tradnl" w:eastAsia="es-ES_tradnl"/>
        </w:rPr>
      </w:pPr>
    </w:p>
    <w:p w:rsidR="00DF27D7" w:rsidRPr="00DA1726" w:rsidRDefault="00AE60F5"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T</w:t>
      </w:r>
      <w:r w:rsidR="00DF27D7" w:rsidRPr="00DA1726">
        <w:rPr>
          <w:rFonts w:ascii="Times New Roman" w:hAnsi="Times New Roman"/>
          <w:color w:val="000000"/>
          <w:sz w:val="28"/>
          <w:szCs w:val="28"/>
          <w:lang w:val="es-ES"/>
        </w:rPr>
        <w:t xml:space="preserve">eniendo en cuenta que una ordenación de </w:t>
      </w:r>
      <w:r w:rsidR="006202AD" w:rsidRPr="00DA1726">
        <w:rPr>
          <w:rFonts w:ascii="Times New Roman" w:hAnsi="Times New Roman"/>
          <w:color w:val="000000"/>
          <w:sz w:val="28"/>
          <w:szCs w:val="28"/>
          <w:lang w:val="es-ES"/>
        </w:rPr>
        <w:t>promotoras y prestadoras p</w:t>
      </w:r>
      <w:r w:rsidR="00DF27D7" w:rsidRPr="00DA1726">
        <w:rPr>
          <w:rFonts w:ascii="Times New Roman" w:hAnsi="Times New Roman"/>
          <w:color w:val="000000"/>
          <w:sz w:val="28"/>
          <w:szCs w:val="28"/>
          <w:lang w:val="es-ES"/>
        </w:rPr>
        <w:t xml:space="preserve">or grupos con diversos niveles de calificación también puede cumplir con las metas establecidas por la sentencia estructural y los autos complementarios, se ordenó a las entidades gubernamentales obligadas que informaran </w:t>
      </w:r>
      <w:r w:rsidR="00DF27D7" w:rsidRPr="00DA1726">
        <w:rPr>
          <w:rStyle w:val="FontStyle26"/>
          <w:sz w:val="28"/>
          <w:szCs w:val="28"/>
          <w:lang w:val="es-ES_tradnl" w:eastAsia="es-ES_tradnl"/>
        </w:rPr>
        <w:t xml:space="preserve">la metodología y parámetros de calificación que podrían implementarse para el perfeccionamiento de la ordenación. </w:t>
      </w:r>
      <w:r w:rsidR="000C5E17" w:rsidRPr="00DA1726">
        <w:rPr>
          <w:rStyle w:val="FontStyle26"/>
          <w:sz w:val="28"/>
          <w:szCs w:val="28"/>
          <w:lang w:val="es-ES_tradnl" w:eastAsia="es-ES_tradnl"/>
        </w:rPr>
        <w:t>En caso de no ser necesaria la modificación, tenían la obligación de</w:t>
      </w:r>
      <w:r w:rsidR="00DF27D7" w:rsidRPr="00DA1726">
        <w:rPr>
          <w:rStyle w:val="FontStyle26"/>
          <w:sz w:val="28"/>
          <w:szCs w:val="28"/>
          <w:lang w:val="es-ES_tradnl" w:eastAsia="es-ES_tradnl"/>
        </w:rPr>
        <w:t xml:space="preserve"> exponerlo cuidadosamente mediante escrito remitido a </w:t>
      </w:r>
      <w:r w:rsidR="006202AD" w:rsidRPr="00DA1726">
        <w:rPr>
          <w:rStyle w:val="FontStyle26"/>
          <w:sz w:val="28"/>
          <w:szCs w:val="28"/>
          <w:lang w:val="es-ES_tradnl" w:eastAsia="es-ES_tradnl"/>
        </w:rPr>
        <w:t>la Corte Constitucional</w:t>
      </w:r>
      <w:r w:rsidR="00DF27D7" w:rsidRPr="00DA1726">
        <w:rPr>
          <w:rStyle w:val="FontStyle26"/>
          <w:sz w:val="28"/>
          <w:szCs w:val="28"/>
          <w:lang w:val="es-ES_tradnl" w:eastAsia="es-ES_tradnl"/>
        </w:rPr>
        <w:t xml:space="preserve">, la Procuraduría </w:t>
      </w:r>
      <w:r w:rsidR="006202AD" w:rsidRPr="00DA1726">
        <w:rPr>
          <w:rStyle w:val="FontStyle26"/>
          <w:sz w:val="28"/>
          <w:szCs w:val="28"/>
          <w:lang w:val="es-ES_tradnl" w:eastAsia="es-ES_tradnl"/>
        </w:rPr>
        <w:t>General de la Nación y la Defensoría del Pueblo.</w:t>
      </w:r>
    </w:p>
    <w:p w:rsidR="00DF27D7" w:rsidRPr="00DA1726" w:rsidRDefault="00DF27D7" w:rsidP="00DA1726">
      <w:pPr>
        <w:pStyle w:val="Style3"/>
        <w:widowControl/>
        <w:spacing w:line="240" w:lineRule="auto"/>
        <w:ind w:right="51"/>
        <w:rPr>
          <w:rStyle w:val="FontStyle26"/>
          <w:sz w:val="28"/>
          <w:szCs w:val="28"/>
          <w:lang w:val="es-ES_tradnl" w:eastAsia="es-ES_tradnl"/>
        </w:rPr>
      </w:pPr>
    </w:p>
    <w:p w:rsidR="002A38E2" w:rsidRPr="00DA1726" w:rsidRDefault="00473820" w:rsidP="00DA1726">
      <w:pPr>
        <w:pStyle w:val="Sinespaciado"/>
        <w:tabs>
          <w:tab w:val="left" w:pos="851"/>
        </w:tabs>
        <w:jc w:val="both"/>
        <w:rPr>
          <w:rFonts w:ascii="Times New Roman" w:hAnsi="Times New Roman"/>
          <w:color w:val="000000"/>
          <w:spacing w:val="-3"/>
          <w:sz w:val="28"/>
          <w:szCs w:val="28"/>
        </w:rPr>
      </w:pPr>
      <w:r w:rsidRPr="00DA1726">
        <w:rPr>
          <w:rFonts w:ascii="Times New Roman" w:hAnsi="Times New Roman"/>
          <w:color w:val="000000"/>
          <w:sz w:val="28"/>
          <w:szCs w:val="28"/>
        </w:rPr>
        <w:t xml:space="preserve">Finalmente, </w:t>
      </w:r>
      <w:r w:rsidR="002A38E2" w:rsidRPr="00DA1726">
        <w:rPr>
          <w:rFonts w:ascii="Times New Roman" w:hAnsi="Times New Roman"/>
          <w:color w:val="000000"/>
          <w:sz w:val="28"/>
          <w:szCs w:val="28"/>
        </w:rPr>
        <w:t>ante el argumento expuesto e</w:t>
      </w:r>
      <w:r w:rsidRPr="00DA1726">
        <w:rPr>
          <w:rFonts w:ascii="Times New Roman" w:hAnsi="Times New Roman"/>
          <w:color w:val="000000"/>
          <w:sz w:val="28"/>
          <w:szCs w:val="28"/>
        </w:rPr>
        <w:t>l Minister</w:t>
      </w:r>
      <w:r w:rsidR="002A38E2" w:rsidRPr="00DA1726">
        <w:rPr>
          <w:rFonts w:ascii="Times New Roman" w:hAnsi="Times New Roman"/>
          <w:color w:val="000000"/>
          <w:sz w:val="28"/>
          <w:szCs w:val="28"/>
        </w:rPr>
        <w:t xml:space="preserve">io </w:t>
      </w:r>
      <w:r w:rsidR="00EC7FEF" w:rsidRPr="00DA1726">
        <w:rPr>
          <w:rFonts w:ascii="Times New Roman" w:hAnsi="Times New Roman"/>
          <w:color w:val="000000"/>
          <w:sz w:val="28"/>
          <w:szCs w:val="28"/>
        </w:rPr>
        <w:t xml:space="preserve">de Salud </w:t>
      </w:r>
      <w:r w:rsidR="002A38E2" w:rsidRPr="00DA1726">
        <w:rPr>
          <w:rFonts w:ascii="Times New Roman" w:hAnsi="Times New Roman"/>
          <w:color w:val="000000"/>
          <w:sz w:val="28"/>
          <w:szCs w:val="28"/>
        </w:rPr>
        <w:t xml:space="preserve">y la Superintendencia, en el sentido de advertir que </w:t>
      </w:r>
      <w:r w:rsidRPr="00DA1726">
        <w:rPr>
          <w:rFonts w:ascii="Times New Roman" w:hAnsi="Times New Roman"/>
          <w:color w:val="000000"/>
          <w:sz w:val="28"/>
          <w:szCs w:val="28"/>
        </w:rPr>
        <w:t xml:space="preserve">los 14 parámetros no son aplicables a las IPS debido a que sus funciones se relacionan con la prestación de servicios. </w:t>
      </w:r>
      <w:r w:rsidR="002A38E2" w:rsidRPr="00DA1726">
        <w:rPr>
          <w:rFonts w:ascii="Times New Roman" w:hAnsi="Times New Roman"/>
          <w:color w:val="000000"/>
          <w:sz w:val="28"/>
          <w:szCs w:val="28"/>
        </w:rPr>
        <w:t>La Sala encontró que el argumento expuesto por los órganos gubernamentales tenía un adecuado sustento, por lo que resultaba</w:t>
      </w:r>
      <w:r w:rsidR="002A38E2" w:rsidRPr="00DA1726">
        <w:rPr>
          <w:rFonts w:ascii="Times New Roman" w:hAnsi="Times New Roman"/>
          <w:color w:val="000000"/>
          <w:spacing w:val="-3"/>
          <w:sz w:val="28"/>
          <w:szCs w:val="28"/>
        </w:rPr>
        <w:t xml:space="preserve"> necesario convocar a los </w:t>
      </w:r>
      <w:r w:rsidR="009650FE" w:rsidRPr="00DA1726">
        <w:rPr>
          <w:rFonts w:ascii="Times New Roman" w:hAnsi="Times New Roman"/>
          <w:color w:val="000000"/>
          <w:spacing w:val="-3"/>
          <w:sz w:val="28"/>
          <w:szCs w:val="28"/>
        </w:rPr>
        <w:t xml:space="preserve">peritos constitucionales voluntarios </w:t>
      </w:r>
      <w:r w:rsidR="002A38E2" w:rsidRPr="00DA1726">
        <w:rPr>
          <w:rFonts w:ascii="Times New Roman" w:hAnsi="Times New Roman"/>
          <w:color w:val="000000"/>
          <w:spacing w:val="-3"/>
          <w:sz w:val="28"/>
          <w:szCs w:val="28"/>
        </w:rPr>
        <w:t>para que siguiendo la orden 20 de la Sentencia T-760 de 2008, junto con los informes presentados por el Ministerio y la Superintendencia, se</w:t>
      </w:r>
      <w:r w:rsidR="006202AD" w:rsidRPr="00DA1726">
        <w:rPr>
          <w:rFonts w:ascii="Times New Roman" w:hAnsi="Times New Roman"/>
          <w:color w:val="000000"/>
          <w:spacing w:val="-3"/>
          <w:sz w:val="28"/>
          <w:szCs w:val="28"/>
        </w:rPr>
        <w:t xml:space="preserve"> determinara</w:t>
      </w:r>
      <w:r w:rsidR="002A38E2" w:rsidRPr="00DA1726">
        <w:rPr>
          <w:rFonts w:ascii="Times New Roman" w:hAnsi="Times New Roman"/>
          <w:color w:val="000000"/>
          <w:spacing w:val="-3"/>
          <w:sz w:val="28"/>
          <w:szCs w:val="28"/>
        </w:rPr>
        <w:t xml:space="preserve">: (i) el cumplimiento de los objetivos del fallo estructural y si el número de prestadoras incluidas es suficiente y/o pertinente; y (ii) la metodología más apropiada para cumplir los objetivos del mandato teniendo en cuenta las restricciones manifestadas por el Ministerio y la Superintendencia, así como los parámetros definitivos para identificar las IPS que con mayor frecuencia incurren en prácticas violatorias del derecho a la salud de las personas. </w:t>
      </w:r>
    </w:p>
    <w:p w:rsidR="006A3CC7" w:rsidRPr="00DA1726" w:rsidRDefault="006A3CC7" w:rsidP="00DA1726">
      <w:pPr>
        <w:pStyle w:val="Prrafodelista"/>
        <w:tabs>
          <w:tab w:val="left" w:pos="284"/>
          <w:tab w:val="left" w:pos="567"/>
        </w:tabs>
        <w:suppressAutoHyphens/>
        <w:ind w:left="0"/>
        <w:jc w:val="both"/>
        <w:rPr>
          <w:rStyle w:val="FontStyle26"/>
          <w:sz w:val="28"/>
          <w:szCs w:val="28"/>
          <w:lang w:val="es-ES_tradnl" w:eastAsia="es-ES_tradnl"/>
        </w:rPr>
      </w:pPr>
    </w:p>
    <w:p w:rsidR="006A3CC7" w:rsidRPr="00DA1726" w:rsidRDefault="00BE4487" w:rsidP="00DA1726">
      <w:pPr>
        <w:pStyle w:val="Style9"/>
        <w:widowControl/>
        <w:numPr>
          <w:ilvl w:val="1"/>
          <w:numId w:val="7"/>
        </w:numPr>
        <w:ind w:left="0" w:right="51" w:firstLine="0"/>
        <w:rPr>
          <w:rFonts w:ascii="Times New Roman" w:hAnsi="Times New Roman"/>
          <w:sz w:val="28"/>
          <w:szCs w:val="28"/>
        </w:rPr>
      </w:pPr>
      <w:r w:rsidRPr="00DA1726">
        <w:rPr>
          <w:rFonts w:ascii="Times New Roman" w:hAnsi="Times New Roman"/>
          <w:sz w:val="28"/>
          <w:szCs w:val="28"/>
        </w:rPr>
        <w:t>El 27 de octubre de 2015, el Ministerio de Salud y Protección Social y la Superintendencia Nacional de Salud, presentaron el</w:t>
      </w:r>
      <w:r w:rsidR="006202AD" w:rsidRPr="00DA1726">
        <w:rPr>
          <w:rFonts w:ascii="Times New Roman" w:hAnsi="Times New Roman"/>
          <w:sz w:val="28"/>
          <w:szCs w:val="28"/>
        </w:rPr>
        <w:t xml:space="preserve"> informe de</w:t>
      </w:r>
      <w:r w:rsidRPr="00DA1726">
        <w:rPr>
          <w:rFonts w:ascii="Times New Roman" w:hAnsi="Times New Roman"/>
          <w:sz w:val="28"/>
          <w:szCs w:val="28"/>
        </w:rPr>
        <w:t xml:space="preserve"> desempeño de </w:t>
      </w:r>
      <w:r w:rsidR="00EA4FAC" w:rsidRPr="00DA1726">
        <w:rPr>
          <w:rFonts w:ascii="Times New Roman" w:hAnsi="Times New Roman"/>
          <w:sz w:val="28"/>
          <w:szCs w:val="28"/>
        </w:rPr>
        <w:t>EPS</w:t>
      </w:r>
      <w:r w:rsidRPr="00DA1726">
        <w:rPr>
          <w:rFonts w:ascii="Times New Roman" w:hAnsi="Times New Roman"/>
          <w:sz w:val="28"/>
          <w:szCs w:val="28"/>
        </w:rPr>
        <w:t xml:space="preserve"> e </w:t>
      </w:r>
      <w:r w:rsidR="00EA4FAC" w:rsidRPr="00DA1726">
        <w:rPr>
          <w:rFonts w:ascii="Times New Roman" w:hAnsi="Times New Roman"/>
          <w:sz w:val="28"/>
          <w:szCs w:val="28"/>
        </w:rPr>
        <w:t>IPS</w:t>
      </w:r>
      <w:r w:rsidR="006202AD" w:rsidRPr="00DA1726">
        <w:rPr>
          <w:rFonts w:ascii="Times New Roman" w:hAnsi="Times New Roman"/>
          <w:sz w:val="28"/>
          <w:szCs w:val="28"/>
          <w:vertAlign w:val="superscript"/>
        </w:rPr>
        <w:footnoteReference w:id="38"/>
      </w:r>
      <w:r w:rsidR="006202AD" w:rsidRPr="00DA1726">
        <w:rPr>
          <w:rFonts w:ascii="Times New Roman" w:hAnsi="Times New Roman"/>
          <w:sz w:val="28"/>
          <w:szCs w:val="28"/>
        </w:rPr>
        <w:t>.</w:t>
      </w:r>
    </w:p>
    <w:p w:rsidR="00BE4487" w:rsidRPr="00DA1726" w:rsidRDefault="00BE4487" w:rsidP="00DA1726">
      <w:pPr>
        <w:pStyle w:val="Style9"/>
        <w:widowControl/>
        <w:ind w:right="51"/>
        <w:rPr>
          <w:rFonts w:ascii="Times New Roman" w:hAnsi="Times New Roman"/>
          <w:sz w:val="28"/>
          <w:szCs w:val="28"/>
        </w:rPr>
      </w:pPr>
    </w:p>
    <w:p w:rsidR="00F947EA" w:rsidRPr="00DA1726" w:rsidRDefault="00BE4487" w:rsidP="00DA1726">
      <w:pPr>
        <w:pStyle w:val="Style9"/>
        <w:widowControl/>
        <w:ind w:right="51"/>
        <w:rPr>
          <w:rFonts w:ascii="Times New Roman" w:hAnsi="Times New Roman"/>
          <w:sz w:val="28"/>
          <w:szCs w:val="28"/>
        </w:rPr>
      </w:pPr>
      <w:r w:rsidRPr="00DA1726">
        <w:rPr>
          <w:rFonts w:ascii="Times New Roman" w:hAnsi="Times New Roman"/>
          <w:sz w:val="28"/>
          <w:szCs w:val="28"/>
        </w:rPr>
        <w:t>Conforme a las motivaciones y órdenes contenidas en el Auto 412</w:t>
      </w:r>
      <w:r w:rsidR="00F947EA" w:rsidRPr="00DA1726">
        <w:rPr>
          <w:rFonts w:ascii="Times New Roman" w:hAnsi="Times New Roman"/>
          <w:sz w:val="28"/>
          <w:szCs w:val="28"/>
        </w:rPr>
        <w:t xml:space="preserve"> de 2015</w:t>
      </w:r>
      <w:r w:rsidRPr="00DA1726">
        <w:rPr>
          <w:rFonts w:ascii="Times New Roman" w:hAnsi="Times New Roman"/>
          <w:sz w:val="28"/>
          <w:szCs w:val="28"/>
        </w:rPr>
        <w:t xml:space="preserve">, </w:t>
      </w:r>
      <w:r w:rsidR="00F947EA" w:rsidRPr="00DA1726">
        <w:rPr>
          <w:rFonts w:ascii="Times New Roman" w:hAnsi="Times New Roman"/>
          <w:sz w:val="28"/>
          <w:szCs w:val="28"/>
        </w:rPr>
        <w:t xml:space="preserve">procedieron a presentar </w:t>
      </w:r>
      <w:r w:rsidRPr="00DA1726">
        <w:rPr>
          <w:rFonts w:ascii="Times New Roman" w:hAnsi="Times New Roman"/>
          <w:sz w:val="28"/>
          <w:szCs w:val="28"/>
        </w:rPr>
        <w:t xml:space="preserve">la justificación de la metodología y parámetros de calificación que está siendo utilizado actualmente para el ordenamiento de EPS y, por otro lado, los resultados de la aplicación de la metodología vigente para identificar las </w:t>
      </w:r>
      <w:r w:rsidR="00EA4FAC" w:rsidRPr="00DA1726">
        <w:rPr>
          <w:rFonts w:ascii="Times New Roman" w:hAnsi="Times New Roman"/>
          <w:sz w:val="28"/>
          <w:szCs w:val="28"/>
        </w:rPr>
        <w:t>IPS</w:t>
      </w:r>
      <w:r w:rsidRPr="00DA1726">
        <w:rPr>
          <w:rFonts w:ascii="Times New Roman" w:hAnsi="Times New Roman"/>
          <w:sz w:val="28"/>
          <w:szCs w:val="28"/>
        </w:rPr>
        <w:t xml:space="preserve"> que con mayor frecuencia incurren en prácticas violatorias del derecho a la salud de las personas. </w:t>
      </w:r>
    </w:p>
    <w:p w:rsidR="00F947EA" w:rsidRPr="00DA1726" w:rsidRDefault="00F947EA" w:rsidP="00DA1726">
      <w:pPr>
        <w:pStyle w:val="Style9"/>
        <w:widowControl/>
        <w:ind w:right="51"/>
        <w:rPr>
          <w:rFonts w:ascii="Times New Roman" w:hAnsi="Times New Roman"/>
          <w:sz w:val="28"/>
          <w:szCs w:val="28"/>
        </w:rPr>
      </w:pPr>
    </w:p>
    <w:p w:rsidR="00760AEA" w:rsidRPr="00DA1726" w:rsidRDefault="00F947EA" w:rsidP="00DA1726">
      <w:pPr>
        <w:pStyle w:val="Style9"/>
        <w:widowControl/>
        <w:ind w:right="51"/>
        <w:rPr>
          <w:rFonts w:ascii="Times New Roman" w:hAnsi="Times New Roman"/>
          <w:sz w:val="28"/>
          <w:szCs w:val="28"/>
        </w:rPr>
      </w:pPr>
      <w:r w:rsidRPr="00DA1726">
        <w:rPr>
          <w:rFonts w:ascii="Times New Roman" w:hAnsi="Times New Roman"/>
          <w:sz w:val="28"/>
          <w:szCs w:val="28"/>
        </w:rPr>
        <w:t>Por otra parte</w:t>
      </w:r>
      <w:r w:rsidR="006202AD" w:rsidRPr="00DA1726">
        <w:rPr>
          <w:rFonts w:ascii="Times New Roman" w:hAnsi="Times New Roman"/>
          <w:sz w:val="28"/>
          <w:szCs w:val="28"/>
        </w:rPr>
        <w:t>, propusieron</w:t>
      </w:r>
      <w:r w:rsidRPr="00DA1726">
        <w:rPr>
          <w:rFonts w:ascii="Times New Roman" w:hAnsi="Times New Roman"/>
          <w:sz w:val="28"/>
          <w:szCs w:val="28"/>
        </w:rPr>
        <w:t xml:space="preserve"> que ante las</w:t>
      </w:r>
      <w:r w:rsidR="00BE4487" w:rsidRPr="00DA1726">
        <w:rPr>
          <w:rFonts w:ascii="Times New Roman" w:hAnsi="Times New Roman"/>
          <w:sz w:val="28"/>
          <w:szCs w:val="28"/>
        </w:rPr>
        <w:t xml:space="preserve"> diversas fallas </w:t>
      </w:r>
      <w:r w:rsidRPr="00DA1726">
        <w:rPr>
          <w:rFonts w:ascii="Times New Roman" w:hAnsi="Times New Roman"/>
          <w:sz w:val="28"/>
          <w:szCs w:val="28"/>
        </w:rPr>
        <w:t>que presenta la clasificación de IPS, resultaba</w:t>
      </w:r>
      <w:r w:rsidR="00BE4487" w:rsidRPr="00DA1726">
        <w:rPr>
          <w:rFonts w:ascii="Times New Roman" w:hAnsi="Times New Roman"/>
          <w:sz w:val="28"/>
          <w:szCs w:val="28"/>
        </w:rPr>
        <w:t xml:space="preserve"> </w:t>
      </w:r>
      <w:r w:rsidRPr="00DA1726">
        <w:rPr>
          <w:rFonts w:ascii="Times New Roman" w:hAnsi="Times New Roman"/>
          <w:sz w:val="28"/>
          <w:szCs w:val="28"/>
        </w:rPr>
        <w:t xml:space="preserve">necesario adelantar una evaluación conjunta </w:t>
      </w:r>
      <w:r w:rsidR="00BE4487" w:rsidRPr="00DA1726">
        <w:rPr>
          <w:rFonts w:ascii="Times New Roman" w:hAnsi="Times New Roman"/>
          <w:sz w:val="28"/>
          <w:szCs w:val="28"/>
        </w:rPr>
        <w:t xml:space="preserve">con la </w:t>
      </w:r>
      <w:r w:rsidRPr="00DA1726">
        <w:rPr>
          <w:rFonts w:ascii="Times New Roman" w:hAnsi="Times New Roman"/>
          <w:sz w:val="28"/>
          <w:szCs w:val="28"/>
        </w:rPr>
        <w:t>Sala de S</w:t>
      </w:r>
      <w:r w:rsidR="00BE4487" w:rsidRPr="00DA1726">
        <w:rPr>
          <w:rFonts w:ascii="Times New Roman" w:hAnsi="Times New Roman"/>
          <w:sz w:val="28"/>
          <w:szCs w:val="28"/>
        </w:rPr>
        <w:t xml:space="preserve">eguimiento, los peritos constitucionales y los terceros participantes </w:t>
      </w:r>
      <w:r w:rsidRPr="00DA1726">
        <w:rPr>
          <w:rFonts w:ascii="Times New Roman" w:hAnsi="Times New Roman"/>
          <w:sz w:val="28"/>
          <w:szCs w:val="28"/>
        </w:rPr>
        <w:t>de este proceso</w:t>
      </w:r>
      <w:r w:rsidR="00BE4487" w:rsidRPr="00DA1726">
        <w:rPr>
          <w:rFonts w:ascii="Times New Roman" w:hAnsi="Times New Roman"/>
          <w:sz w:val="28"/>
          <w:szCs w:val="28"/>
        </w:rPr>
        <w:t xml:space="preserve"> para corregir las </w:t>
      </w:r>
      <w:r w:rsidRPr="00DA1726">
        <w:rPr>
          <w:rFonts w:ascii="Times New Roman" w:hAnsi="Times New Roman"/>
          <w:sz w:val="28"/>
          <w:szCs w:val="28"/>
        </w:rPr>
        <w:t>falencias</w:t>
      </w:r>
      <w:r w:rsidR="00BE4487" w:rsidRPr="00DA1726">
        <w:rPr>
          <w:rFonts w:ascii="Times New Roman" w:hAnsi="Times New Roman"/>
          <w:sz w:val="28"/>
          <w:szCs w:val="28"/>
        </w:rPr>
        <w:t xml:space="preserve"> identificadas y adecuar los resultados a l</w:t>
      </w:r>
      <w:r w:rsidRPr="00DA1726">
        <w:rPr>
          <w:rFonts w:ascii="Times New Roman" w:hAnsi="Times New Roman"/>
          <w:sz w:val="28"/>
          <w:szCs w:val="28"/>
        </w:rPr>
        <w:t>os objetivos específicos de la s</w:t>
      </w:r>
      <w:r w:rsidR="00BE4487" w:rsidRPr="00DA1726">
        <w:rPr>
          <w:rFonts w:ascii="Times New Roman" w:hAnsi="Times New Roman"/>
          <w:sz w:val="28"/>
          <w:szCs w:val="28"/>
        </w:rPr>
        <w:t>entencia T-760 de 2008.</w:t>
      </w:r>
      <w:r w:rsidR="00314E9E" w:rsidRPr="00DA1726">
        <w:rPr>
          <w:rFonts w:ascii="Times New Roman" w:hAnsi="Times New Roman"/>
          <w:sz w:val="28"/>
          <w:szCs w:val="28"/>
        </w:rPr>
        <w:t xml:space="preserve"> Hecho este planteamiento, procedieron a desarrollar cada uno de los aspectos sentados en el auto 412 de 2015.</w:t>
      </w:r>
    </w:p>
    <w:p w:rsidR="00314E9E" w:rsidRPr="00DA1726" w:rsidRDefault="00314E9E" w:rsidP="00DA1726">
      <w:pPr>
        <w:pStyle w:val="Style9"/>
        <w:tabs>
          <w:tab w:val="left" w:pos="426"/>
        </w:tabs>
        <w:ind w:right="51"/>
        <w:rPr>
          <w:rFonts w:ascii="Times New Roman" w:hAnsi="Times New Roman"/>
          <w:sz w:val="28"/>
          <w:szCs w:val="28"/>
        </w:rPr>
      </w:pPr>
    </w:p>
    <w:p w:rsidR="00760AEA" w:rsidRPr="00DA1726" w:rsidRDefault="00760AEA" w:rsidP="00DA1726">
      <w:pPr>
        <w:pStyle w:val="Style9"/>
        <w:numPr>
          <w:ilvl w:val="2"/>
          <w:numId w:val="7"/>
        </w:numPr>
        <w:tabs>
          <w:tab w:val="left" w:pos="426"/>
        </w:tabs>
        <w:ind w:left="0" w:right="51" w:firstLine="0"/>
        <w:rPr>
          <w:rFonts w:ascii="Times New Roman" w:hAnsi="Times New Roman"/>
          <w:i/>
          <w:sz w:val="28"/>
          <w:szCs w:val="28"/>
        </w:rPr>
      </w:pPr>
      <w:r w:rsidRPr="00DA1726">
        <w:rPr>
          <w:rFonts w:ascii="Times New Roman" w:hAnsi="Times New Roman"/>
          <w:i/>
          <w:sz w:val="28"/>
          <w:szCs w:val="28"/>
        </w:rPr>
        <w:t>Análisis de los componentes de ordenación de EPS que deberían modificarse a la luz de la Ley 17</w:t>
      </w:r>
      <w:r w:rsidR="009650FE" w:rsidRPr="00DA1726">
        <w:rPr>
          <w:rFonts w:ascii="Times New Roman" w:hAnsi="Times New Roman"/>
          <w:i/>
          <w:sz w:val="28"/>
          <w:szCs w:val="28"/>
        </w:rPr>
        <w:t>51 de 2015 y de la sentencia C-</w:t>
      </w:r>
      <w:r w:rsidRPr="00DA1726">
        <w:rPr>
          <w:rFonts w:ascii="Times New Roman" w:hAnsi="Times New Roman"/>
          <w:i/>
          <w:sz w:val="28"/>
          <w:szCs w:val="28"/>
        </w:rPr>
        <w:t>313 de 2014.</w:t>
      </w:r>
    </w:p>
    <w:p w:rsidR="00760AEA" w:rsidRPr="00DA1726" w:rsidRDefault="00760AEA" w:rsidP="00DA1726">
      <w:pPr>
        <w:pStyle w:val="Style9"/>
        <w:ind w:right="51"/>
        <w:rPr>
          <w:rFonts w:ascii="Times New Roman" w:hAnsi="Times New Roman"/>
          <w:sz w:val="28"/>
          <w:szCs w:val="28"/>
        </w:rPr>
      </w:pPr>
    </w:p>
    <w:p w:rsidR="00760AEA" w:rsidRPr="00DA1726" w:rsidRDefault="00760AEA"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Al realizar acciones de inspección sobre </w:t>
      </w:r>
      <w:r w:rsidR="00314E9E" w:rsidRPr="00DA1726">
        <w:rPr>
          <w:rFonts w:ascii="Times New Roman" w:hAnsi="Times New Roman"/>
          <w:sz w:val="28"/>
          <w:szCs w:val="28"/>
          <w:lang w:val="es-ES_tradnl"/>
        </w:rPr>
        <w:t>los</w:t>
      </w:r>
      <w:r w:rsidRPr="00DA1726">
        <w:rPr>
          <w:rFonts w:ascii="Times New Roman" w:hAnsi="Times New Roman"/>
          <w:sz w:val="28"/>
          <w:szCs w:val="28"/>
          <w:lang w:val="es-ES_tradnl"/>
        </w:rPr>
        <w:t xml:space="preserve"> 14 componentes</w:t>
      </w:r>
      <w:r w:rsidR="00314E9E" w:rsidRPr="00DA1726">
        <w:rPr>
          <w:rFonts w:ascii="Times New Roman" w:hAnsi="Times New Roman"/>
          <w:sz w:val="28"/>
          <w:szCs w:val="28"/>
          <w:lang w:val="es-ES_tradnl"/>
        </w:rPr>
        <w:t xml:space="preserve"> establecidos por la Corte Constitucional</w:t>
      </w:r>
      <w:r w:rsidRPr="00DA1726">
        <w:rPr>
          <w:rFonts w:ascii="Times New Roman" w:hAnsi="Times New Roman"/>
          <w:sz w:val="28"/>
          <w:szCs w:val="28"/>
          <w:lang w:val="es-ES_tradnl"/>
        </w:rPr>
        <w:t xml:space="preserve">, la Superintendencia </w:t>
      </w:r>
      <w:r w:rsidR="00314E9E" w:rsidRPr="00DA1726">
        <w:rPr>
          <w:rFonts w:ascii="Times New Roman" w:hAnsi="Times New Roman"/>
          <w:sz w:val="28"/>
          <w:szCs w:val="28"/>
          <w:lang w:val="es-ES_tradnl"/>
        </w:rPr>
        <w:t xml:space="preserve">concluyó que para </w:t>
      </w:r>
      <w:r w:rsidRPr="00DA1726">
        <w:rPr>
          <w:rFonts w:ascii="Times New Roman" w:hAnsi="Times New Roman"/>
          <w:sz w:val="28"/>
          <w:szCs w:val="28"/>
          <w:lang w:val="es-ES_tradnl"/>
        </w:rPr>
        <w:t>l</w:t>
      </w:r>
      <w:r w:rsidR="00314E9E" w:rsidRPr="00DA1726">
        <w:rPr>
          <w:rFonts w:ascii="Times New Roman" w:hAnsi="Times New Roman"/>
          <w:sz w:val="28"/>
          <w:szCs w:val="28"/>
          <w:lang w:val="es-ES_tradnl"/>
        </w:rPr>
        <w:t>os</w:t>
      </w:r>
      <w:r w:rsidRPr="00DA1726">
        <w:rPr>
          <w:rFonts w:ascii="Times New Roman" w:hAnsi="Times New Roman"/>
          <w:sz w:val="28"/>
          <w:szCs w:val="28"/>
          <w:lang w:val="es-ES_tradnl"/>
        </w:rPr>
        <w:t xml:space="preserve"> </w:t>
      </w:r>
      <w:r w:rsidR="00314E9E" w:rsidRPr="00DA1726">
        <w:rPr>
          <w:rFonts w:ascii="Times New Roman" w:hAnsi="Times New Roman"/>
          <w:sz w:val="28"/>
          <w:szCs w:val="28"/>
          <w:lang w:val="es-ES_tradnl"/>
        </w:rPr>
        <w:t>regímenes</w:t>
      </w:r>
      <w:r w:rsidRPr="00DA1726">
        <w:rPr>
          <w:rFonts w:ascii="Times New Roman" w:hAnsi="Times New Roman"/>
          <w:sz w:val="28"/>
          <w:szCs w:val="28"/>
          <w:lang w:val="es-ES_tradnl"/>
        </w:rPr>
        <w:t xml:space="preserve"> subsidiado y contributivo 4 de estos no aplica</w:t>
      </w:r>
      <w:r w:rsidR="00CB551C" w:rsidRPr="00DA1726">
        <w:rPr>
          <w:rFonts w:ascii="Times New Roman" w:hAnsi="Times New Roman"/>
          <w:sz w:val="28"/>
          <w:szCs w:val="28"/>
          <w:lang w:val="es-ES_tradnl"/>
        </w:rPr>
        <w:t>ban, a saber:</w:t>
      </w:r>
    </w:p>
    <w:p w:rsidR="00314E9E" w:rsidRPr="00DA1726" w:rsidRDefault="00314E9E" w:rsidP="00DA1726">
      <w:pPr>
        <w:pStyle w:val="Style9"/>
        <w:ind w:right="51"/>
        <w:rPr>
          <w:rFonts w:ascii="Times New Roman" w:hAnsi="Times New Roman"/>
          <w:b/>
          <w:bCs/>
          <w:sz w:val="28"/>
          <w:szCs w:val="28"/>
          <w:lang w:val="es-ES_tradnl"/>
        </w:rPr>
      </w:pPr>
    </w:p>
    <w:p w:rsidR="00760AEA" w:rsidRPr="00DA1726" w:rsidRDefault="00CB551C" w:rsidP="00DA1726">
      <w:pPr>
        <w:pStyle w:val="Style9"/>
        <w:ind w:right="51"/>
        <w:rPr>
          <w:rFonts w:ascii="Times New Roman" w:hAnsi="Times New Roman"/>
          <w:sz w:val="28"/>
          <w:szCs w:val="28"/>
          <w:lang w:val="es-ES_tradnl"/>
        </w:rPr>
      </w:pPr>
      <w:r w:rsidRPr="00DA1726">
        <w:rPr>
          <w:rFonts w:ascii="Times New Roman" w:hAnsi="Times New Roman"/>
          <w:b/>
          <w:bCs/>
          <w:sz w:val="28"/>
          <w:szCs w:val="28"/>
          <w:lang w:val="es-ES_tradnl"/>
        </w:rPr>
        <w:t>Criterio 6:</w:t>
      </w:r>
      <w:r w:rsidR="00760AEA" w:rsidRPr="00DA1726">
        <w:rPr>
          <w:rFonts w:ascii="Times New Roman" w:hAnsi="Times New Roman"/>
          <w:b/>
          <w:bCs/>
          <w:sz w:val="28"/>
          <w:szCs w:val="28"/>
          <w:lang w:val="es-ES_tradnl"/>
        </w:rPr>
        <w:t xml:space="preserve"> </w:t>
      </w:r>
      <w:r w:rsidR="00D66FE4" w:rsidRPr="00DA1726">
        <w:rPr>
          <w:rFonts w:ascii="Times New Roman" w:hAnsi="Times New Roman"/>
          <w:bCs/>
          <w:i/>
          <w:iCs/>
          <w:sz w:val="28"/>
          <w:szCs w:val="28"/>
          <w:lang w:val="es-ES_tradnl"/>
        </w:rPr>
        <w:t>“</w:t>
      </w:r>
      <w:r w:rsidR="00760AEA" w:rsidRPr="00DA1726">
        <w:rPr>
          <w:rFonts w:ascii="Times New Roman" w:hAnsi="Times New Roman"/>
          <w:bCs/>
          <w:i/>
          <w:iCs/>
          <w:sz w:val="28"/>
          <w:szCs w:val="28"/>
          <w:lang w:val="es-ES_tradnl"/>
        </w:rPr>
        <w:t>Se niega a autorizar oportunamente servicios de salud cuando se requiere que la persona se desplace a vivir en un lugar distinto al lugar que reside</w:t>
      </w:r>
      <w:r w:rsidR="00D66FE4" w:rsidRPr="00DA1726">
        <w:rPr>
          <w:rFonts w:ascii="Times New Roman" w:hAnsi="Times New Roman"/>
          <w:bCs/>
          <w:i/>
          <w:iCs/>
          <w:sz w:val="28"/>
          <w:szCs w:val="28"/>
          <w:lang w:val="es-ES_tradnl"/>
        </w:rPr>
        <w:t>”</w:t>
      </w:r>
      <w:r w:rsidR="00760AEA" w:rsidRPr="00DA1726">
        <w:rPr>
          <w:rFonts w:ascii="Times New Roman" w:hAnsi="Times New Roman"/>
          <w:sz w:val="28"/>
          <w:szCs w:val="28"/>
          <w:lang w:val="es-ES_tradnl"/>
        </w:rPr>
        <w:t>.</w:t>
      </w:r>
    </w:p>
    <w:p w:rsidR="001C622C" w:rsidRPr="00DA1726" w:rsidRDefault="00D66FE4"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Explicaron</w:t>
      </w:r>
      <w:r w:rsidR="00760AEA" w:rsidRPr="00DA1726">
        <w:rPr>
          <w:rFonts w:ascii="Times New Roman" w:hAnsi="Times New Roman"/>
          <w:sz w:val="28"/>
          <w:szCs w:val="28"/>
          <w:lang w:val="es-ES_tradnl"/>
        </w:rPr>
        <w:t xml:space="preserve"> en la práctica el desplazamiento </w:t>
      </w:r>
      <w:r w:rsidR="006202AD" w:rsidRPr="00DA1726">
        <w:rPr>
          <w:rFonts w:ascii="Times New Roman" w:hAnsi="Times New Roman"/>
          <w:sz w:val="28"/>
          <w:szCs w:val="28"/>
          <w:lang w:val="es-ES_tradnl"/>
        </w:rPr>
        <w:t>del usuario a un lugar distinto</w:t>
      </w:r>
      <w:r w:rsidR="00760AEA" w:rsidRPr="00DA1726">
        <w:rPr>
          <w:rFonts w:ascii="Times New Roman" w:hAnsi="Times New Roman"/>
          <w:sz w:val="28"/>
          <w:szCs w:val="28"/>
          <w:lang w:val="es-ES_tradnl"/>
        </w:rPr>
        <w:t xml:space="preserve"> ocurre para la prestación de un servicio </w:t>
      </w:r>
      <w:r w:rsidR="00951D18" w:rsidRPr="00DA1726">
        <w:rPr>
          <w:rFonts w:ascii="Times New Roman" w:hAnsi="Times New Roman"/>
          <w:sz w:val="28"/>
          <w:szCs w:val="28"/>
          <w:lang w:val="es-ES_tradnl"/>
        </w:rPr>
        <w:t>de manera</w:t>
      </w:r>
      <w:r w:rsidRPr="00DA1726">
        <w:rPr>
          <w:rFonts w:ascii="Times New Roman" w:hAnsi="Times New Roman"/>
          <w:sz w:val="28"/>
          <w:szCs w:val="28"/>
          <w:lang w:val="es-ES_tradnl"/>
        </w:rPr>
        <w:t xml:space="preserve"> </w:t>
      </w:r>
      <w:r w:rsidR="00760AEA" w:rsidRPr="00DA1726">
        <w:rPr>
          <w:rFonts w:ascii="Times New Roman" w:hAnsi="Times New Roman"/>
          <w:sz w:val="28"/>
          <w:szCs w:val="28"/>
          <w:lang w:val="es-ES_tradnl"/>
        </w:rPr>
        <w:t xml:space="preserve">temporal. </w:t>
      </w:r>
    </w:p>
    <w:p w:rsidR="001C622C" w:rsidRPr="00DA1726" w:rsidRDefault="001C622C" w:rsidP="00DA1726">
      <w:pPr>
        <w:pStyle w:val="Style9"/>
        <w:ind w:right="51"/>
        <w:rPr>
          <w:rFonts w:ascii="Times New Roman" w:hAnsi="Times New Roman"/>
          <w:sz w:val="28"/>
          <w:szCs w:val="28"/>
          <w:lang w:val="es-ES_tradnl"/>
        </w:rPr>
      </w:pPr>
    </w:p>
    <w:p w:rsidR="00760AEA" w:rsidRPr="00DA1726" w:rsidRDefault="00760AEA" w:rsidP="00DA1726">
      <w:pPr>
        <w:pStyle w:val="Style9"/>
        <w:ind w:right="51"/>
        <w:rPr>
          <w:rFonts w:ascii="Times New Roman" w:hAnsi="Times New Roman"/>
          <w:sz w:val="28"/>
          <w:szCs w:val="28"/>
          <w:lang w:val="es-ES_tradnl"/>
        </w:rPr>
      </w:pPr>
      <w:r w:rsidRPr="00DA1726">
        <w:rPr>
          <w:rFonts w:ascii="Times New Roman" w:hAnsi="Times New Roman"/>
          <w:b/>
          <w:bCs/>
          <w:sz w:val="28"/>
          <w:szCs w:val="28"/>
          <w:lang w:val="es-ES_tradnl"/>
        </w:rPr>
        <w:t xml:space="preserve">Criterio 9: </w:t>
      </w:r>
      <w:r w:rsidR="001C622C" w:rsidRPr="00DA1726">
        <w:rPr>
          <w:rFonts w:ascii="Times New Roman" w:hAnsi="Times New Roman"/>
          <w:bCs/>
          <w:i/>
          <w:iCs/>
          <w:sz w:val="28"/>
          <w:szCs w:val="28"/>
          <w:lang w:val="es-ES_tradnl"/>
        </w:rPr>
        <w:t>“</w:t>
      </w:r>
      <w:r w:rsidRPr="00DA1726">
        <w:rPr>
          <w:rFonts w:ascii="Times New Roman" w:hAnsi="Times New Roman"/>
          <w:bCs/>
          <w:i/>
          <w:iCs/>
          <w:sz w:val="28"/>
          <w:szCs w:val="28"/>
          <w:lang w:val="es-ES_tradnl"/>
        </w:rPr>
        <w:t>Se niegan a autorizar oportunamente servicios de salud que se requieren con necesidad, supeditando su prestación a</w:t>
      </w:r>
      <w:r w:rsidR="001C622C" w:rsidRPr="00DA1726">
        <w:rPr>
          <w:rFonts w:ascii="Times New Roman" w:hAnsi="Times New Roman"/>
          <w:bCs/>
          <w:i/>
          <w:iCs/>
          <w:sz w:val="28"/>
          <w:szCs w:val="28"/>
          <w:lang w:val="es-ES_tradnl"/>
        </w:rPr>
        <w:t>l pago de una cuota moderadora.”</w:t>
      </w:r>
      <w:r w:rsidR="006202AD" w:rsidRPr="00DA1726">
        <w:rPr>
          <w:rFonts w:ascii="Times New Roman" w:hAnsi="Times New Roman"/>
          <w:bCs/>
          <w:i/>
          <w:iCs/>
          <w:sz w:val="28"/>
          <w:szCs w:val="28"/>
          <w:lang w:val="es-ES_tradnl"/>
        </w:rPr>
        <w:t xml:space="preserve"> </w:t>
      </w:r>
      <w:r w:rsidR="00780C0A" w:rsidRPr="00DA1726">
        <w:rPr>
          <w:rFonts w:ascii="Times New Roman" w:hAnsi="Times New Roman"/>
          <w:bCs/>
          <w:iCs/>
          <w:sz w:val="28"/>
          <w:szCs w:val="28"/>
          <w:lang w:val="es-ES_tradnl"/>
        </w:rPr>
        <w:t>N</w:t>
      </w:r>
      <w:r w:rsidRPr="00DA1726">
        <w:rPr>
          <w:rFonts w:ascii="Times New Roman" w:hAnsi="Times New Roman"/>
          <w:sz w:val="28"/>
          <w:szCs w:val="28"/>
          <w:lang w:val="es-ES_tradnl"/>
        </w:rPr>
        <w:t xml:space="preserve">o es aplicable al </w:t>
      </w:r>
      <w:r w:rsidR="00951D18" w:rsidRPr="00DA1726">
        <w:rPr>
          <w:rFonts w:ascii="Times New Roman" w:hAnsi="Times New Roman"/>
          <w:sz w:val="28"/>
          <w:szCs w:val="28"/>
          <w:lang w:val="es-ES_tradnl"/>
        </w:rPr>
        <w:t>régimen subsidiado</w:t>
      </w:r>
      <w:r w:rsidRPr="00DA1726">
        <w:rPr>
          <w:rFonts w:ascii="Times New Roman" w:hAnsi="Times New Roman"/>
          <w:sz w:val="28"/>
          <w:szCs w:val="28"/>
          <w:lang w:val="es-ES_tradnl"/>
        </w:rPr>
        <w:t>.</w:t>
      </w:r>
    </w:p>
    <w:p w:rsidR="00760AEA" w:rsidRPr="00DA1726" w:rsidRDefault="00760AEA" w:rsidP="00DA1726">
      <w:pPr>
        <w:pStyle w:val="Style9"/>
        <w:ind w:right="51"/>
        <w:rPr>
          <w:rFonts w:ascii="Times New Roman" w:hAnsi="Times New Roman"/>
          <w:sz w:val="28"/>
          <w:szCs w:val="28"/>
        </w:rPr>
      </w:pPr>
    </w:p>
    <w:p w:rsidR="00760AEA" w:rsidRPr="00DA1726" w:rsidRDefault="00760AEA" w:rsidP="00DA1726">
      <w:pPr>
        <w:pStyle w:val="Style9"/>
        <w:ind w:right="51"/>
        <w:rPr>
          <w:rFonts w:ascii="Times New Roman" w:hAnsi="Times New Roman"/>
          <w:b/>
          <w:bCs/>
          <w:i/>
          <w:iCs/>
          <w:sz w:val="28"/>
          <w:szCs w:val="28"/>
          <w:lang w:val="es-ES_tradnl"/>
        </w:rPr>
      </w:pPr>
      <w:r w:rsidRPr="00DA1726">
        <w:rPr>
          <w:rFonts w:ascii="Times New Roman" w:hAnsi="Times New Roman"/>
          <w:b/>
          <w:bCs/>
          <w:sz w:val="28"/>
          <w:szCs w:val="28"/>
          <w:lang w:val="es-ES_tradnl"/>
        </w:rPr>
        <w:t xml:space="preserve">Criterio 10: </w:t>
      </w:r>
      <w:r w:rsidR="001C622C" w:rsidRPr="00DA1726">
        <w:rPr>
          <w:rFonts w:ascii="Times New Roman" w:hAnsi="Times New Roman"/>
          <w:bCs/>
          <w:i/>
          <w:iCs/>
          <w:sz w:val="28"/>
          <w:szCs w:val="28"/>
          <w:lang w:val="es-ES_tradnl"/>
        </w:rPr>
        <w:t>“</w:t>
      </w:r>
      <w:r w:rsidRPr="00DA1726">
        <w:rPr>
          <w:rFonts w:ascii="Times New Roman" w:hAnsi="Times New Roman"/>
          <w:bCs/>
          <w:i/>
          <w:iCs/>
          <w:sz w:val="28"/>
          <w:szCs w:val="28"/>
          <w:lang w:val="es-ES_tradnl"/>
        </w:rPr>
        <w:t>Se niegan a autorizar incapacidades laborales derivadas del estado de salud de la persona con el argumento de que en el pasado no se cumplió con la obligación de cancelar los aportes de salud dentro d</w:t>
      </w:r>
      <w:r w:rsidR="001C622C" w:rsidRPr="00DA1726">
        <w:rPr>
          <w:rFonts w:ascii="Times New Roman" w:hAnsi="Times New Roman"/>
          <w:bCs/>
          <w:i/>
          <w:iCs/>
          <w:sz w:val="28"/>
          <w:szCs w:val="28"/>
          <w:lang w:val="es-ES_tradnl"/>
        </w:rPr>
        <w:t>el plazo establecido para ello.”</w:t>
      </w:r>
    </w:p>
    <w:p w:rsidR="00760AEA" w:rsidRPr="00DA1726" w:rsidRDefault="00760AEA"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Este criterio no es aplicable al </w:t>
      </w:r>
      <w:r w:rsidR="00951D18" w:rsidRPr="00DA1726">
        <w:rPr>
          <w:rFonts w:ascii="Times New Roman" w:hAnsi="Times New Roman"/>
          <w:sz w:val="28"/>
          <w:szCs w:val="28"/>
          <w:lang w:val="es-ES_tradnl"/>
        </w:rPr>
        <w:t>régimen subsidiado</w:t>
      </w:r>
      <w:r w:rsidRPr="00DA1726">
        <w:rPr>
          <w:rFonts w:ascii="Times New Roman" w:hAnsi="Times New Roman"/>
          <w:sz w:val="28"/>
          <w:szCs w:val="28"/>
          <w:lang w:val="es-ES_tradnl"/>
        </w:rPr>
        <w:t>.</w:t>
      </w:r>
    </w:p>
    <w:p w:rsidR="001C622C" w:rsidRPr="00DA1726" w:rsidRDefault="001C622C" w:rsidP="00DA1726">
      <w:pPr>
        <w:pStyle w:val="Style9"/>
        <w:ind w:right="51"/>
        <w:rPr>
          <w:rFonts w:ascii="Times New Roman" w:hAnsi="Times New Roman"/>
          <w:sz w:val="28"/>
          <w:szCs w:val="28"/>
          <w:lang w:val="es-ES_tradnl"/>
        </w:rPr>
      </w:pPr>
    </w:p>
    <w:p w:rsidR="00760AEA" w:rsidRPr="00DA1726" w:rsidRDefault="00760AEA" w:rsidP="00DA1726">
      <w:pPr>
        <w:pStyle w:val="Style9"/>
        <w:ind w:right="51"/>
        <w:rPr>
          <w:rFonts w:ascii="Times New Roman" w:hAnsi="Times New Roman"/>
          <w:bCs/>
          <w:i/>
          <w:iCs/>
          <w:sz w:val="28"/>
          <w:szCs w:val="28"/>
          <w:lang w:val="es-ES_tradnl"/>
        </w:rPr>
      </w:pPr>
      <w:r w:rsidRPr="00DA1726">
        <w:rPr>
          <w:rFonts w:ascii="Times New Roman" w:hAnsi="Times New Roman"/>
          <w:b/>
          <w:bCs/>
          <w:sz w:val="28"/>
          <w:szCs w:val="28"/>
          <w:lang w:val="es-ES_tradnl"/>
        </w:rPr>
        <w:t xml:space="preserve">Criterio 12: </w:t>
      </w:r>
      <w:r w:rsidR="001C622C" w:rsidRPr="00DA1726">
        <w:rPr>
          <w:rFonts w:ascii="Times New Roman" w:hAnsi="Times New Roman"/>
          <w:bCs/>
          <w:i/>
          <w:iCs/>
          <w:sz w:val="28"/>
          <w:szCs w:val="28"/>
          <w:lang w:val="es-ES_tradnl"/>
        </w:rPr>
        <w:t>“</w:t>
      </w:r>
      <w:r w:rsidRPr="00DA1726">
        <w:rPr>
          <w:rFonts w:ascii="Times New Roman" w:hAnsi="Times New Roman"/>
          <w:bCs/>
          <w:i/>
          <w:iCs/>
          <w:sz w:val="28"/>
          <w:szCs w:val="28"/>
          <w:lang w:val="es-ES_tradnl"/>
        </w:rPr>
        <w:t>Interrumpen el suministro de servicios de salud, porque ya transcurrió un mes luego del momento en que la persona dejó de cotizar, en razón a que ahora es desempleado, antes de que éste haya sido en efe</w:t>
      </w:r>
      <w:r w:rsidR="001C622C" w:rsidRPr="00DA1726">
        <w:rPr>
          <w:rFonts w:ascii="Times New Roman" w:hAnsi="Times New Roman"/>
          <w:bCs/>
          <w:i/>
          <w:iCs/>
          <w:sz w:val="28"/>
          <w:szCs w:val="28"/>
          <w:lang w:val="es-ES_tradnl"/>
        </w:rPr>
        <w:t>cto asumido por otro prestador.”</w:t>
      </w:r>
    </w:p>
    <w:p w:rsidR="00760AEA" w:rsidRPr="00DA1726" w:rsidRDefault="00760AEA"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Este criterio no es aplicable al </w:t>
      </w:r>
      <w:r w:rsidR="00951D18" w:rsidRPr="00DA1726">
        <w:rPr>
          <w:rFonts w:ascii="Times New Roman" w:hAnsi="Times New Roman"/>
          <w:sz w:val="28"/>
          <w:szCs w:val="28"/>
          <w:lang w:val="es-ES_tradnl"/>
        </w:rPr>
        <w:t>régimen subsidiado</w:t>
      </w:r>
      <w:r w:rsidRPr="00DA1726">
        <w:rPr>
          <w:rFonts w:ascii="Times New Roman" w:hAnsi="Times New Roman"/>
          <w:sz w:val="28"/>
          <w:szCs w:val="28"/>
          <w:lang w:val="es-ES_tradnl"/>
        </w:rPr>
        <w:t>.</w:t>
      </w:r>
    </w:p>
    <w:p w:rsidR="00BE4487" w:rsidRPr="00DA1726" w:rsidRDefault="00BE4487" w:rsidP="00DA1726">
      <w:pPr>
        <w:pStyle w:val="Style9"/>
        <w:widowControl/>
        <w:ind w:right="590"/>
        <w:rPr>
          <w:rFonts w:ascii="Times New Roman" w:hAnsi="Times New Roman"/>
          <w:sz w:val="28"/>
          <w:szCs w:val="28"/>
        </w:rPr>
      </w:pPr>
    </w:p>
    <w:p w:rsidR="00CF5DC7" w:rsidRPr="00DA1726" w:rsidRDefault="008D64F6"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Por</w:t>
      </w:r>
      <w:r w:rsidR="00CF5DC7" w:rsidRPr="00DA1726">
        <w:rPr>
          <w:rFonts w:ascii="Times New Roman" w:hAnsi="Times New Roman"/>
          <w:sz w:val="28"/>
          <w:szCs w:val="28"/>
          <w:lang w:val="es-ES_tradnl"/>
        </w:rPr>
        <w:t xml:space="preserve"> otra parte, respecto a la incorporación de nuevos criterios, destacaron que el artículo 5</w:t>
      </w:r>
      <w:r w:rsidR="00CF5DC7" w:rsidRPr="00DA1726">
        <w:rPr>
          <w:rFonts w:ascii="Times New Roman" w:hAnsi="Times New Roman"/>
          <w:sz w:val="28"/>
          <w:szCs w:val="28"/>
          <w:vertAlign w:val="superscript"/>
          <w:lang w:val="es-ES_tradnl"/>
        </w:rPr>
        <w:t>o</w:t>
      </w:r>
      <w:r w:rsidR="00CF5DC7" w:rsidRPr="00DA1726">
        <w:rPr>
          <w:rFonts w:ascii="Times New Roman" w:hAnsi="Times New Roman"/>
          <w:sz w:val="28"/>
          <w:szCs w:val="28"/>
          <w:lang w:val="es-ES_tradnl"/>
        </w:rPr>
        <w:t xml:space="preserve"> de la Ley 1751 de 2015, hace alusión a la formulación y adopción de políticas de salud que garanticen la igualdad de trato y oportunidades para toda la población, asegurando para ello la coordinación armónica de las acciones de todos los agentes del Sistema, en esa medida propusieron que estas políticas se enfoquen en la garantía del derecho a la salud desde la óptica de la prestación de los servicios y se incluyan en su seguimiento las metas previstas para cada uno de los componentes del Plan Decenal en Salud</w:t>
      </w:r>
      <w:r w:rsidR="00780C0A" w:rsidRPr="00DA1726">
        <w:rPr>
          <w:rFonts w:ascii="Times New Roman" w:hAnsi="Times New Roman"/>
          <w:sz w:val="28"/>
          <w:szCs w:val="28"/>
          <w:lang w:val="es-ES_tradnl"/>
        </w:rPr>
        <w:t>.</w:t>
      </w:r>
    </w:p>
    <w:p w:rsidR="00780C0A" w:rsidRPr="00DA1726" w:rsidRDefault="00780C0A" w:rsidP="00DA1726">
      <w:pPr>
        <w:pStyle w:val="Style9"/>
        <w:ind w:right="51"/>
        <w:rPr>
          <w:rFonts w:ascii="Times New Roman" w:hAnsi="Times New Roman"/>
          <w:sz w:val="28"/>
          <w:szCs w:val="28"/>
          <w:lang w:val="es-ES_tradnl"/>
        </w:rPr>
      </w:pPr>
    </w:p>
    <w:p w:rsidR="00CF5DC7" w:rsidRPr="00DA1726" w:rsidRDefault="00CF5DC7"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En consecuencia y en virtud de los principios de eficiencia y eficacia de la administración pública, se prop</w:t>
      </w:r>
      <w:r w:rsidR="00951D18" w:rsidRPr="00DA1726">
        <w:rPr>
          <w:rFonts w:ascii="Times New Roman" w:hAnsi="Times New Roman"/>
          <w:sz w:val="28"/>
          <w:szCs w:val="28"/>
          <w:lang w:val="es-ES_tradnl"/>
        </w:rPr>
        <w:t>uso</w:t>
      </w:r>
      <w:r w:rsidRPr="00DA1726">
        <w:rPr>
          <w:rFonts w:ascii="Times New Roman" w:hAnsi="Times New Roman"/>
          <w:sz w:val="28"/>
          <w:szCs w:val="28"/>
          <w:lang w:val="es-ES_tradnl"/>
        </w:rPr>
        <w:t xml:space="preserve"> que la verificación de la garantía del derecho a la salud se realice en conjunto con las acciones de inspección y vigilancia conferidas a la Superintendencia Nacional de Salud, en lo relativo al acceso a la seguridad social en salud, la prestación efectiva de los servicios de salud con calidad (oportunidad, seguridad, pertinencia, continuidad y accesibilidad), </w:t>
      </w:r>
      <w:r w:rsidR="00DC5120" w:rsidRPr="00DA1726">
        <w:rPr>
          <w:rFonts w:ascii="Times New Roman" w:hAnsi="Times New Roman"/>
          <w:sz w:val="28"/>
          <w:szCs w:val="28"/>
          <w:lang w:val="es-ES_tradnl"/>
        </w:rPr>
        <w:t xml:space="preserve">por lo que estimaron necesario </w:t>
      </w:r>
      <w:r w:rsidRPr="00DA1726">
        <w:rPr>
          <w:rFonts w:ascii="Times New Roman" w:hAnsi="Times New Roman"/>
          <w:sz w:val="28"/>
          <w:szCs w:val="28"/>
          <w:lang w:val="es-ES_tradnl"/>
        </w:rPr>
        <w:t>propiciar sesiones técnicas que in</w:t>
      </w:r>
      <w:r w:rsidR="00DC5120" w:rsidRPr="00DA1726">
        <w:rPr>
          <w:rFonts w:ascii="Times New Roman" w:hAnsi="Times New Roman"/>
          <w:sz w:val="28"/>
          <w:szCs w:val="28"/>
          <w:lang w:val="es-ES_tradnl"/>
        </w:rPr>
        <w:t>volucren todos los actores del s</w:t>
      </w:r>
      <w:r w:rsidRPr="00DA1726">
        <w:rPr>
          <w:rFonts w:ascii="Times New Roman" w:hAnsi="Times New Roman"/>
          <w:sz w:val="28"/>
          <w:szCs w:val="28"/>
          <w:lang w:val="es-ES_tradnl"/>
        </w:rPr>
        <w:t>istema, con el objetivo de evaluar, medir y cuantificar adecuadamente los 14 criterios definidos por la Corte con el fin de efectuar la clasificación solicitada.</w:t>
      </w:r>
    </w:p>
    <w:p w:rsidR="00BE4487" w:rsidRPr="00DA1726" w:rsidRDefault="00BE4487" w:rsidP="00DA1726">
      <w:pPr>
        <w:pStyle w:val="Style9"/>
        <w:widowControl/>
        <w:ind w:right="590"/>
        <w:rPr>
          <w:rFonts w:ascii="Times New Roman" w:hAnsi="Times New Roman"/>
          <w:sz w:val="28"/>
          <w:szCs w:val="28"/>
        </w:rPr>
      </w:pPr>
    </w:p>
    <w:p w:rsidR="008D64F6" w:rsidRPr="00DA1726" w:rsidRDefault="000C6CC4" w:rsidP="00DA1726">
      <w:pPr>
        <w:pStyle w:val="Style9"/>
        <w:numPr>
          <w:ilvl w:val="2"/>
          <w:numId w:val="7"/>
        </w:numPr>
        <w:ind w:left="0" w:right="51" w:firstLine="0"/>
        <w:rPr>
          <w:rFonts w:ascii="Times New Roman" w:hAnsi="Times New Roman"/>
          <w:i/>
          <w:sz w:val="28"/>
          <w:szCs w:val="28"/>
        </w:rPr>
      </w:pPr>
      <w:r w:rsidRPr="00DA1726">
        <w:rPr>
          <w:rFonts w:ascii="Times New Roman" w:hAnsi="Times New Roman"/>
          <w:i/>
          <w:sz w:val="28"/>
          <w:szCs w:val="28"/>
        </w:rPr>
        <w:t>Descripción de la metodología,</w:t>
      </w:r>
      <w:r w:rsidR="008D64F6" w:rsidRPr="00DA1726">
        <w:rPr>
          <w:rFonts w:ascii="Times New Roman" w:hAnsi="Times New Roman"/>
          <w:i/>
          <w:sz w:val="28"/>
          <w:szCs w:val="28"/>
        </w:rPr>
        <w:t xml:space="preserve"> parámetros de calificación y justificación.</w:t>
      </w:r>
    </w:p>
    <w:p w:rsidR="008D64F6" w:rsidRPr="00DA1726" w:rsidRDefault="008D64F6" w:rsidP="00DA1726">
      <w:pPr>
        <w:pStyle w:val="Style9"/>
        <w:ind w:right="51"/>
        <w:rPr>
          <w:rFonts w:ascii="Times New Roman" w:hAnsi="Times New Roman"/>
          <w:sz w:val="28"/>
          <w:szCs w:val="28"/>
        </w:rPr>
      </w:pPr>
    </w:p>
    <w:p w:rsidR="008D64F6" w:rsidRPr="00DA1726" w:rsidRDefault="008D64F6" w:rsidP="00DA1726">
      <w:pPr>
        <w:pStyle w:val="Style9"/>
        <w:ind w:right="51"/>
        <w:rPr>
          <w:rFonts w:ascii="Times New Roman" w:hAnsi="Times New Roman"/>
          <w:sz w:val="28"/>
          <w:szCs w:val="28"/>
        </w:rPr>
      </w:pPr>
      <w:r w:rsidRPr="00DA1726">
        <w:rPr>
          <w:rFonts w:ascii="Times New Roman" w:hAnsi="Times New Roman"/>
          <w:sz w:val="28"/>
          <w:szCs w:val="28"/>
        </w:rPr>
        <w:t xml:space="preserve">El planteamiento metodológico establecido por la Superintendencia Nacional de Salud </w:t>
      </w:r>
      <w:r w:rsidR="00675EBE" w:rsidRPr="00DA1726">
        <w:rPr>
          <w:rFonts w:ascii="Times New Roman" w:hAnsi="Times New Roman"/>
          <w:sz w:val="28"/>
          <w:szCs w:val="28"/>
        </w:rPr>
        <w:t>para 2013</w:t>
      </w:r>
      <w:r w:rsidRPr="00DA1726">
        <w:rPr>
          <w:rFonts w:ascii="Times New Roman" w:hAnsi="Times New Roman"/>
          <w:sz w:val="28"/>
          <w:szCs w:val="28"/>
        </w:rPr>
        <w:t xml:space="preserve">, fue </w:t>
      </w:r>
      <w:r w:rsidR="000C6CC4" w:rsidRPr="00DA1726">
        <w:rPr>
          <w:rFonts w:ascii="Times New Roman" w:hAnsi="Times New Roman"/>
          <w:sz w:val="28"/>
          <w:szCs w:val="28"/>
        </w:rPr>
        <w:t xml:space="preserve">a </w:t>
      </w:r>
      <w:r w:rsidRPr="00DA1726">
        <w:rPr>
          <w:rFonts w:ascii="Times New Roman" w:hAnsi="Times New Roman"/>
          <w:sz w:val="28"/>
          <w:szCs w:val="28"/>
        </w:rPr>
        <w:t xml:space="preserve">una auditoría de campo efectuada a las EPS activas, para lo cual </w:t>
      </w:r>
      <w:r w:rsidR="0080591F" w:rsidRPr="00DA1726">
        <w:rPr>
          <w:rFonts w:ascii="Times New Roman" w:hAnsi="Times New Roman"/>
          <w:sz w:val="28"/>
          <w:szCs w:val="28"/>
        </w:rPr>
        <w:t>se requirió</w:t>
      </w:r>
      <w:r w:rsidRPr="00DA1726">
        <w:rPr>
          <w:rFonts w:ascii="Times New Roman" w:hAnsi="Times New Roman"/>
          <w:sz w:val="28"/>
          <w:szCs w:val="28"/>
        </w:rPr>
        <w:t xml:space="preserve"> una información basada en la construcción de bases de datos de acuerdo con unos </w:t>
      </w:r>
      <w:r w:rsidR="00951D18" w:rsidRPr="00DA1726">
        <w:rPr>
          <w:rFonts w:ascii="Times New Roman" w:hAnsi="Times New Roman"/>
          <w:sz w:val="28"/>
          <w:szCs w:val="28"/>
        </w:rPr>
        <w:t>parámetros</w:t>
      </w:r>
      <w:r w:rsidRPr="00DA1726">
        <w:rPr>
          <w:rFonts w:ascii="Times New Roman" w:hAnsi="Times New Roman"/>
          <w:sz w:val="28"/>
          <w:szCs w:val="28"/>
        </w:rPr>
        <w:t xml:space="preserve"> definidos por un grupo de profesionales especializados.</w:t>
      </w:r>
    </w:p>
    <w:p w:rsidR="00675EBE" w:rsidRPr="00DA1726" w:rsidRDefault="00675EBE" w:rsidP="00DA1726">
      <w:pPr>
        <w:pStyle w:val="Style9"/>
        <w:ind w:right="51"/>
        <w:rPr>
          <w:rFonts w:ascii="Times New Roman" w:hAnsi="Times New Roman"/>
          <w:sz w:val="28"/>
          <w:szCs w:val="28"/>
        </w:rPr>
      </w:pPr>
    </w:p>
    <w:p w:rsidR="008D64F6" w:rsidRPr="00DA1726" w:rsidRDefault="0080591F" w:rsidP="00DA1726">
      <w:pPr>
        <w:pStyle w:val="Style9"/>
        <w:ind w:right="51"/>
        <w:rPr>
          <w:rFonts w:ascii="Times New Roman" w:hAnsi="Times New Roman"/>
          <w:sz w:val="28"/>
          <w:szCs w:val="28"/>
        </w:rPr>
      </w:pPr>
      <w:r w:rsidRPr="00DA1726">
        <w:rPr>
          <w:rFonts w:ascii="Times New Roman" w:hAnsi="Times New Roman"/>
          <w:sz w:val="28"/>
          <w:szCs w:val="28"/>
        </w:rPr>
        <w:t>Aclaró que l</w:t>
      </w:r>
      <w:r w:rsidR="008D64F6" w:rsidRPr="00DA1726">
        <w:rPr>
          <w:rFonts w:ascii="Times New Roman" w:hAnsi="Times New Roman"/>
          <w:sz w:val="28"/>
          <w:szCs w:val="28"/>
        </w:rPr>
        <w:t xml:space="preserve">a mayoría de los criterios previstos en la sentencia T-760 de 2008 se enfocan en la oportunidad en que las EPS emiten la autorización de algunos procedimientos de salud, </w:t>
      </w:r>
      <w:r w:rsidRPr="00DA1726">
        <w:rPr>
          <w:rFonts w:ascii="Times New Roman" w:hAnsi="Times New Roman"/>
          <w:sz w:val="28"/>
          <w:szCs w:val="28"/>
        </w:rPr>
        <w:t xml:space="preserve">por lo que </w:t>
      </w:r>
      <w:r w:rsidR="008D64F6" w:rsidRPr="00DA1726">
        <w:rPr>
          <w:rFonts w:ascii="Times New Roman" w:hAnsi="Times New Roman"/>
          <w:sz w:val="28"/>
          <w:szCs w:val="28"/>
        </w:rPr>
        <w:t xml:space="preserve">el mecanismo seleccionado para evaluar fue el cálculo real del tiempo en días calendario que tarda una </w:t>
      </w:r>
      <w:r w:rsidRPr="00DA1726">
        <w:rPr>
          <w:rFonts w:ascii="Times New Roman" w:hAnsi="Times New Roman"/>
          <w:sz w:val="28"/>
          <w:szCs w:val="28"/>
        </w:rPr>
        <w:t>aseguradora</w:t>
      </w:r>
      <w:r w:rsidR="008D64F6" w:rsidRPr="00DA1726">
        <w:rPr>
          <w:rFonts w:ascii="Times New Roman" w:hAnsi="Times New Roman"/>
          <w:sz w:val="28"/>
          <w:szCs w:val="28"/>
        </w:rPr>
        <w:t xml:space="preserve"> en el proceso de autorizaciones para algunas prestaciones, procedimientos y medicamentos, según las fichas técnicas</w:t>
      </w:r>
      <w:r w:rsidRPr="00DA1726">
        <w:rPr>
          <w:rFonts w:ascii="Times New Roman" w:hAnsi="Times New Roman"/>
          <w:sz w:val="28"/>
          <w:szCs w:val="28"/>
        </w:rPr>
        <w:t xml:space="preserve"> de</w:t>
      </w:r>
      <w:r w:rsidR="008D64F6" w:rsidRPr="00DA1726">
        <w:rPr>
          <w:rFonts w:ascii="Times New Roman" w:hAnsi="Times New Roman"/>
          <w:sz w:val="28"/>
          <w:szCs w:val="28"/>
        </w:rPr>
        <w:t xml:space="preserve"> guía de elaboración de las bases de datos de las auditorías mencionadas.</w:t>
      </w:r>
    </w:p>
    <w:p w:rsidR="0080591F" w:rsidRPr="00DA1726" w:rsidRDefault="0080591F" w:rsidP="00DA1726">
      <w:pPr>
        <w:pStyle w:val="Style9"/>
        <w:ind w:right="51"/>
        <w:rPr>
          <w:rFonts w:ascii="Times New Roman" w:hAnsi="Times New Roman"/>
          <w:sz w:val="28"/>
          <w:szCs w:val="28"/>
        </w:rPr>
      </w:pPr>
    </w:p>
    <w:p w:rsidR="008D64F6" w:rsidRPr="00DA1726" w:rsidRDefault="00F4674A" w:rsidP="00DA1726">
      <w:pPr>
        <w:pStyle w:val="Style9"/>
        <w:ind w:right="51"/>
        <w:rPr>
          <w:rFonts w:ascii="Times New Roman" w:hAnsi="Times New Roman"/>
          <w:sz w:val="28"/>
          <w:szCs w:val="28"/>
        </w:rPr>
      </w:pPr>
      <w:r w:rsidRPr="00DA1726">
        <w:rPr>
          <w:rFonts w:ascii="Times New Roman" w:hAnsi="Times New Roman"/>
          <w:sz w:val="28"/>
          <w:szCs w:val="28"/>
        </w:rPr>
        <w:t>C</w:t>
      </w:r>
      <w:r w:rsidR="008D64F6" w:rsidRPr="00DA1726">
        <w:rPr>
          <w:rFonts w:ascii="Times New Roman" w:hAnsi="Times New Roman"/>
          <w:sz w:val="28"/>
          <w:szCs w:val="28"/>
        </w:rPr>
        <w:t xml:space="preserve">omo insumo principal se tuvieron en cuenta las fechas diligenciadas por las </w:t>
      </w:r>
      <w:r w:rsidRPr="00DA1726">
        <w:rPr>
          <w:rFonts w:ascii="Times New Roman" w:hAnsi="Times New Roman"/>
          <w:sz w:val="28"/>
          <w:szCs w:val="28"/>
        </w:rPr>
        <w:t>EPS</w:t>
      </w:r>
      <w:r w:rsidR="008D64F6" w:rsidRPr="00DA1726">
        <w:rPr>
          <w:rFonts w:ascii="Times New Roman" w:hAnsi="Times New Roman"/>
          <w:sz w:val="28"/>
          <w:szCs w:val="28"/>
        </w:rPr>
        <w:t>, las cuales estaban d</w:t>
      </w:r>
      <w:r w:rsidRPr="00DA1726">
        <w:rPr>
          <w:rFonts w:ascii="Times New Roman" w:hAnsi="Times New Roman"/>
          <w:sz w:val="28"/>
          <w:szCs w:val="28"/>
        </w:rPr>
        <w:t xml:space="preserve">ebidamente diferenciadas así: </w:t>
      </w:r>
      <w:r w:rsidR="008D64F6" w:rsidRPr="00DA1726">
        <w:rPr>
          <w:rFonts w:ascii="Times New Roman" w:hAnsi="Times New Roman"/>
          <w:sz w:val="28"/>
          <w:szCs w:val="28"/>
        </w:rPr>
        <w:t>Fecha de radicación, fecha de autorización, f</w:t>
      </w:r>
      <w:r w:rsidRPr="00DA1726">
        <w:rPr>
          <w:rFonts w:ascii="Times New Roman" w:hAnsi="Times New Roman"/>
          <w:sz w:val="28"/>
          <w:szCs w:val="28"/>
        </w:rPr>
        <w:t>echa de prestación, entre otras</w:t>
      </w:r>
      <w:r w:rsidR="008D64F6" w:rsidRPr="00DA1726">
        <w:rPr>
          <w:rFonts w:ascii="Times New Roman" w:hAnsi="Times New Roman"/>
          <w:sz w:val="28"/>
          <w:szCs w:val="28"/>
        </w:rPr>
        <w:t>.</w:t>
      </w:r>
    </w:p>
    <w:p w:rsidR="00F4674A" w:rsidRPr="00DA1726" w:rsidRDefault="00F4674A" w:rsidP="00DA1726">
      <w:pPr>
        <w:pStyle w:val="Style9"/>
        <w:ind w:right="51"/>
        <w:rPr>
          <w:rFonts w:ascii="Times New Roman" w:hAnsi="Times New Roman"/>
          <w:sz w:val="28"/>
          <w:szCs w:val="28"/>
        </w:rPr>
      </w:pPr>
    </w:p>
    <w:p w:rsidR="008D64F6" w:rsidRPr="00DA1726" w:rsidRDefault="008D64F6" w:rsidP="00DA1726">
      <w:pPr>
        <w:pStyle w:val="Style9"/>
        <w:ind w:right="51"/>
        <w:rPr>
          <w:rFonts w:ascii="Times New Roman" w:hAnsi="Times New Roman"/>
          <w:sz w:val="28"/>
          <w:szCs w:val="28"/>
        </w:rPr>
      </w:pPr>
      <w:r w:rsidRPr="00DA1726">
        <w:rPr>
          <w:rFonts w:ascii="Times New Roman" w:hAnsi="Times New Roman"/>
          <w:sz w:val="28"/>
          <w:szCs w:val="28"/>
        </w:rPr>
        <w:t>Una vez se obtenían los cálculos por parte de los técnicos de la Superintendencia, los resultados se diligenciaban en una base de datos consolidada de los catorce criterios establecidos y de allí se extraía la información pertinente para la elaboración de los informes de visitas que fueron remitidos a los vigilados.</w:t>
      </w:r>
    </w:p>
    <w:p w:rsidR="00F4674A" w:rsidRPr="00DA1726" w:rsidRDefault="00F4674A" w:rsidP="00DA1726">
      <w:pPr>
        <w:pStyle w:val="Style9"/>
        <w:ind w:right="51"/>
        <w:rPr>
          <w:rFonts w:ascii="Times New Roman" w:hAnsi="Times New Roman"/>
          <w:sz w:val="28"/>
          <w:szCs w:val="28"/>
        </w:rPr>
      </w:pPr>
    </w:p>
    <w:p w:rsidR="00F4674A" w:rsidRPr="00DA1726" w:rsidRDefault="00F4674A"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Para la evaluación de la vigencia 2014, </w:t>
      </w:r>
      <w:r w:rsidR="00EC7FEF" w:rsidRPr="00DA1726">
        <w:rPr>
          <w:rFonts w:ascii="Times New Roman" w:hAnsi="Times New Roman"/>
          <w:sz w:val="28"/>
          <w:szCs w:val="28"/>
          <w:lang w:val="es-ES_tradnl"/>
        </w:rPr>
        <w:t>señalaron</w:t>
      </w:r>
      <w:r w:rsidR="00D479EB" w:rsidRPr="00DA1726">
        <w:rPr>
          <w:rFonts w:ascii="Times New Roman" w:hAnsi="Times New Roman"/>
          <w:sz w:val="28"/>
          <w:szCs w:val="28"/>
          <w:lang w:val="es-ES_tradnl"/>
        </w:rPr>
        <w:t xml:space="preserve"> que </w:t>
      </w:r>
      <w:r w:rsidRPr="00DA1726">
        <w:rPr>
          <w:rFonts w:ascii="Times New Roman" w:hAnsi="Times New Roman"/>
          <w:sz w:val="28"/>
          <w:szCs w:val="28"/>
          <w:lang w:val="es-ES_tradnl"/>
        </w:rPr>
        <w:t>se fortaleció el proceso de análisis de los criterios</w:t>
      </w:r>
      <w:r w:rsidR="00D479EB" w:rsidRPr="00DA1726">
        <w:rPr>
          <w:rFonts w:ascii="Times New Roman" w:hAnsi="Times New Roman"/>
          <w:sz w:val="28"/>
          <w:szCs w:val="28"/>
          <w:lang w:val="es-ES_tradnl"/>
        </w:rPr>
        <w:t>, al ajustar</w:t>
      </w:r>
      <w:r w:rsidRPr="00DA1726">
        <w:rPr>
          <w:rFonts w:ascii="Times New Roman" w:hAnsi="Times New Roman"/>
          <w:sz w:val="28"/>
          <w:szCs w:val="28"/>
          <w:lang w:val="es-ES_tradnl"/>
        </w:rPr>
        <w:t xml:space="preserve"> los instrumentos de recolección de acuerdo con la metodología planteada para la vigencia anterior.</w:t>
      </w:r>
      <w:r w:rsidR="00D479EB" w:rsidRPr="00DA1726">
        <w:rPr>
          <w:rFonts w:ascii="Times New Roman" w:hAnsi="Times New Roman"/>
          <w:sz w:val="28"/>
          <w:szCs w:val="28"/>
          <w:lang w:val="es-ES_tradnl"/>
        </w:rPr>
        <w:t xml:space="preserve"> Para este fin se desarrollaron dos componentes. </w:t>
      </w:r>
    </w:p>
    <w:p w:rsidR="00F4674A" w:rsidRPr="00DA1726" w:rsidRDefault="00F4674A" w:rsidP="00DA1726">
      <w:pPr>
        <w:pStyle w:val="Style9"/>
        <w:ind w:right="51"/>
        <w:rPr>
          <w:rFonts w:ascii="Times New Roman" w:hAnsi="Times New Roman"/>
          <w:sz w:val="28"/>
          <w:szCs w:val="28"/>
          <w:lang w:val="es-ES_tradnl"/>
        </w:rPr>
      </w:pPr>
    </w:p>
    <w:p w:rsidR="00F4674A" w:rsidRPr="00DA1726" w:rsidRDefault="00596A69" w:rsidP="00DA1726">
      <w:pPr>
        <w:pStyle w:val="Style9"/>
        <w:numPr>
          <w:ilvl w:val="0"/>
          <w:numId w:val="42"/>
        </w:numPr>
        <w:ind w:right="51"/>
        <w:rPr>
          <w:rFonts w:ascii="Times New Roman" w:hAnsi="Times New Roman"/>
          <w:sz w:val="28"/>
          <w:szCs w:val="28"/>
          <w:lang w:val="es-ES_tradnl"/>
        </w:rPr>
      </w:pPr>
      <w:r w:rsidRPr="00DA1726">
        <w:rPr>
          <w:rFonts w:ascii="Times New Roman" w:hAnsi="Times New Roman"/>
          <w:sz w:val="28"/>
          <w:szCs w:val="28"/>
          <w:lang w:val="es-ES_tradnl"/>
        </w:rPr>
        <w:t>S</w:t>
      </w:r>
      <w:r w:rsidR="00F4674A" w:rsidRPr="00DA1726">
        <w:rPr>
          <w:rFonts w:ascii="Times New Roman" w:hAnsi="Times New Roman"/>
          <w:sz w:val="28"/>
          <w:szCs w:val="28"/>
          <w:lang w:val="es-ES_tradnl"/>
        </w:rPr>
        <w:t xml:space="preserve">e enfoca en las acciones de control que ha desarrollado la Superintendencia Nacional de Salud, </w:t>
      </w:r>
      <w:r w:rsidR="00D479EB" w:rsidRPr="00DA1726">
        <w:rPr>
          <w:rFonts w:ascii="Times New Roman" w:hAnsi="Times New Roman"/>
          <w:sz w:val="28"/>
          <w:szCs w:val="28"/>
          <w:lang w:val="es-ES_tradnl"/>
        </w:rPr>
        <w:t>respecto de</w:t>
      </w:r>
      <w:r w:rsidR="00F4674A" w:rsidRPr="00DA1726">
        <w:rPr>
          <w:rFonts w:ascii="Times New Roman" w:hAnsi="Times New Roman"/>
          <w:sz w:val="28"/>
          <w:szCs w:val="28"/>
          <w:lang w:val="es-ES_tradnl"/>
        </w:rPr>
        <w:t xml:space="preserve"> la garantía de la prestación de servicios de salud a la población colombiana.</w:t>
      </w:r>
    </w:p>
    <w:p w:rsidR="00D479EB" w:rsidRPr="00DA1726" w:rsidRDefault="00D479EB" w:rsidP="00DA1726">
      <w:pPr>
        <w:pStyle w:val="Style9"/>
        <w:ind w:right="51"/>
        <w:rPr>
          <w:rFonts w:ascii="Times New Roman" w:hAnsi="Times New Roman"/>
          <w:sz w:val="28"/>
          <w:szCs w:val="28"/>
          <w:lang w:val="es-ES_tradnl"/>
        </w:rPr>
      </w:pPr>
    </w:p>
    <w:p w:rsidR="00D479EB" w:rsidRPr="00DA1726" w:rsidRDefault="00596A69" w:rsidP="00DA1726">
      <w:pPr>
        <w:pStyle w:val="Style9"/>
        <w:numPr>
          <w:ilvl w:val="0"/>
          <w:numId w:val="42"/>
        </w:numPr>
        <w:ind w:right="51"/>
        <w:rPr>
          <w:rFonts w:ascii="Times New Roman" w:hAnsi="Times New Roman"/>
          <w:sz w:val="28"/>
          <w:szCs w:val="28"/>
          <w:lang w:val="es-ES_tradnl"/>
        </w:rPr>
      </w:pPr>
      <w:r w:rsidRPr="00DA1726">
        <w:rPr>
          <w:rFonts w:ascii="Times New Roman" w:hAnsi="Times New Roman"/>
          <w:sz w:val="28"/>
          <w:szCs w:val="28"/>
          <w:lang w:val="es-ES_tradnl"/>
        </w:rPr>
        <w:t>E</w:t>
      </w:r>
      <w:r w:rsidR="00F4674A" w:rsidRPr="00DA1726">
        <w:rPr>
          <w:rFonts w:ascii="Times New Roman" w:hAnsi="Times New Roman"/>
          <w:sz w:val="28"/>
          <w:szCs w:val="28"/>
          <w:lang w:val="es-ES_tradnl"/>
        </w:rPr>
        <w:t>valuación del cumplimiento de los planes de mejoramiento suscritos ante la Superintendencia por cada una de las EPS</w:t>
      </w:r>
      <w:r w:rsidR="00D479EB" w:rsidRPr="00DA1726">
        <w:rPr>
          <w:rFonts w:ascii="Times New Roman" w:hAnsi="Times New Roman"/>
          <w:sz w:val="28"/>
          <w:szCs w:val="28"/>
          <w:lang w:val="es-ES_tradnl"/>
        </w:rPr>
        <w:t>.</w:t>
      </w:r>
      <w:r w:rsidR="00F4674A" w:rsidRPr="00DA1726">
        <w:rPr>
          <w:rFonts w:ascii="Times New Roman" w:hAnsi="Times New Roman"/>
          <w:sz w:val="28"/>
          <w:szCs w:val="28"/>
          <w:lang w:val="es-ES_tradnl"/>
        </w:rPr>
        <w:t xml:space="preserve"> </w:t>
      </w:r>
    </w:p>
    <w:p w:rsidR="00D479EB" w:rsidRPr="00DA1726" w:rsidRDefault="00D479EB" w:rsidP="00DA1726">
      <w:pPr>
        <w:pStyle w:val="Style9"/>
        <w:ind w:right="51"/>
        <w:rPr>
          <w:rFonts w:ascii="Times New Roman" w:hAnsi="Times New Roman"/>
          <w:sz w:val="28"/>
          <w:szCs w:val="28"/>
          <w:lang w:val="es-ES_tradnl"/>
        </w:rPr>
      </w:pPr>
    </w:p>
    <w:p w:rsidR="00F4674A" w:rsidRPr="00DA1726" w:rsidRDefault="000F594B"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Indica</w:t>
      </w:r>
      <w:r w:rsidR="00EC7FEF" w:rsidRPr="00DA1726">
        <w:rPr>
          <w:rFonts w:ascii="Times New Roman" w:hAnsi="Times New Roman"/>
          <w:sz w:val="28"/>
          <w:szCs w:val="28"/>
          <w:lang w:val="es-ES_tradnl"/>
        </w:rPr>
        <w:t>ro</w:t>
      </w:r>
      <w:r w:rsidRPr="00DA1726">
        <w:rPr>
          <w:rFonts w:ascii="Times New Roman" w:hAnsi="Times New Roman"/>
          <w:sz w:val="28"/>
          <w:szCs w:val="28"/>
          <w:lang w:val="es-ES_tradnl"/>
        </w:rPr>
        <w:t xml:space="preserve">n que se realizó un ejercicio comparativo con la vigencia 2013, </w:t>
      </w:r>
      <w:r w:rsidR="00F4674A" w:rsidRPr="00DA1726">
        <w:rPr>
          <w:rFonts w:ascii="Times New Roman" w:hAnsi="Times New Roman"/>
          <w:sz w:val="28"/>
          <w:szCs w:val="28"/>
          <w:lang w:val="es-ES_tradnl"/>
        </w:rPr>
        <w:t xml:space="preserve">esquematizado con un semáforo de comportamiento, el cual identificó en verde el evento en el que la entidad presentó mejoría en el análisis del criterio, amarillo si no presentó un cambio sustancial en los reportes analizados y rojo si la entidad presentó un comportamiento desfavorable con relación a la vigencia </w:t>
      </w:r>
      <w:r w:rsidRPr="00DA1726">
        <w:rPr>
          <w:rFonts w:ascii="Times New Roman" w:hAnsi="Times New Roman"/>
          <w:sz w:val="28"/>
          <w:szCs w:val="28"/>
          <w:lang w:val="es-ES_tradnl"/>
        </w:rPr>
        <w:t>anterior</w:t>
      </w:r>
      <w:r w:rsidR="00F4674A" w:rsidRPr="00DA1726">
        <w:rPr>
          <w:rFonts w:ascii="Times New Roman" w:hAnsi="Times New Roman"/>
          <w:sz w:val="28"/>
          <w:szCs w:val="28"/>
          <w:lang w:val="es-ES_tradnl"/>
        </w:rPr>
        <w:t xml:space="preserve">. </w:t>
      </w:r>
      <w:r w:rsidRPr="00DA1726">
        <w:rPr>
          <w:rFonts w:ascii="Times New Roman" w:hAnsi="Times New Roman"/>
          <w:sz w:val="28"/>
          <w:szCs w:val="28"/>
          <w:lang w:val="es-ES_tradnl"/>
        </w:rPr>
        <w:t>Así, los ciudadanos contaría</w:t>
      </w:r>
      <w:r w:rsidR="00F4674A" w:rsidRPr="00DA1726">
        <w:rPr>
          <w:rFonts w:ascii="Times New Roman" w:hAnsi="Times New Roman"/>
          <w:sz w:val="28"/>
          <w:szCs w:val="28"/>
          <w:lang w:val="es-ES_tradnl"/>
        </w:rPr>
        <w:t>n con una herramienta gráfica para identificar el cumplimiento de lo evaluado en los informes generados.</w:t>
      </w:r>
    </w:p>
    <w:p w:rsidR="000F594B" w:rsidRPr="00DA1726" w:rsidRDefault="000F594B" w:rsidP="00DA1726">
      <w:pPr>
        <w:pStyle w:val="Style9"/>
        <w:ind w:right="51"/>
        <w:rPr>
          <w:rFonts w:ascii="Times New Roman" w:hAnsi="Times New Roman"/>
          <w:sz w:val="28"/>
          <w:szCs w:val="28"/>
          <w:lang w:val="es-ES_tradnl"/>
        </w:rPr>
      </w:pPr>
    </w:p>
    <w:p w:rsidR="00F4674A" w:rsidRPr="00DA1726" w:rsidRDefault="000F594B"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En este contexto</w:t>
      </w:r>
      <w:r w:rsidR="00F4674A" w:rsidRPr="00DA1726">
        <w:rPr>
          <w:rFonts w:ascii="Times New Roman" w:hAnsi="Times New Roman"/>
          <w:sz w:val="28"/>
          <w:szCs w:val="28"/>
          <w:lang w:val="es-ES_tradnl"/>
        </w:rPr>
        <w:t>, la Superintendencia pr</w:t>
      </w:r>
      <w:r w:rsidR="00596A69" w:rsidRPr="00DA1726">
        <w:rPr>
          <w:rFonts w:ascii="Times New Roman" w:hAnsi="Times New Roman"/>
          <w:sz w:val="28"/>
          <w:szCs w:val="28"/>
          <w:lang w:val="es-ES_tradnl"/>
        </w:rPr>
        <w:t>opuso</w:t>
      </w:r>
      <w:r w:rsidR="00F4674A" w:rsidRPr="00DA1726">
        <w:rPr>
          <w:rFonts w:ascii="Times New Roman" w:hAnsi="Times New Roman"/>
          <w:sz w:val="28"/>
          <w:szCs w:val="28"/>
          <w:lang w:val="es-ES_tradnl"/>
        </w:rPr>
        <w:t xml:space="preserve"> mantener el método de auditorías en campo para la recolección de información, incorporando los ajustes </w:t>
      </w:r>
      <w:r w:rsidR="00861107" w:rsidRPr="00DA1726">
        <w:rPr>
          <w:rFonts w:ascii="Times New Roman" w:hAnsi="Times New Roman"/>
          <w:sz w:val="28"/>
          <w:szCs w:val="28"/>
          <w:lang w:val="es-ES_tradnl"/>
        </w:rPr>
        <w:t>a</w:t>
      </w:r>
      <w:r w:rsidR="00F4674A" w:rsidRPr="00DA1726">
        <w:rPr>
          <w:rFonts w:ascii="Times New Roman" w:hAnsi="Times New Roman"/>
          <w:sz w:val="28"/>
          <w:szCs w:val="28"/>
          <w:lang w:val="es-ES_tradnl"/>
        </w:rPr>
        <w:t xml:space="preserve"> los instrumentos de recolección de información que se consideren pertinentes.</w:t>
      </w:r>
    </w:p>
    <w:p w:rsidR="000F594B" w:rsidRPr="00DA1726" w:rsidRDefault="000F594B" w:rsidP="00DA1726">
      <w:pPr>
        <w:pStyle w:val="Style9"/>
        <w:ind w:right="51"/>
        <w:rPr>
          <w:rFonts w:ascii="Times New Roman" w:hAnsi="Times New Roman"/>
          <w:sz w:val="28"/>
          <w:szCs w:val="28"/>
          <w:lang w:val="es-ES_tradnl"/>
        </w:rPr>
      </w:pPr>
    </w:p>
    <w:p w:rsidR="00F4674A" w:rsidRPr="00DA1726" w:rsidRDefault="00861107" w:rsidP="00DA1726">
      <w:pPr>
        <w:pStyle w:val="Style9"/>
        <w:widowControl/>
        <w:ind w:right="51"/>
        <w:rPr>
          <w:rFonts w:ascii="Times New Roman" w:hAnsi="Times New Roman"/>
          <w:sz w:val="28"/>
          <w:szCs w:val="28"/>
          <w:lang w:val="es-ES_tradnl"/>
        </w:rPr>
      </w:pPr>
      <w:r w:rsidRPr="00DA1726">
        <w:rPr>
          <w:rFonts w:ascii="Times New Roman" w:hAnsi="Times New Roman"/>
          <w:sz w:val="28"/>
          <w:szCs w:val="28"/>
          <w:lang w:val="es-ES_tradnl"/>
        </w:rPr>
        <w:t>Adicionalmente</w:t>
      </w:r>
      <w:r w:rsidR="00F4674A" w:rsidRPr="00DA1726">
        <w:rPr>
          <w:rFonts w:ascii="Times New Roman" w:hAnsi="Times New Roman"/>
          <w:sz w:val="28"/>
          <w:szCs w:val="28"/>
          <w:lang w:val="es-ES_tradnl"/>
        </w:rPr>
        <w:t xml:space="preserve">, la Superintendencia </w:t>
      </w:r>
      <w:r w:rsidR="00596A69" w:rsidRPr="00DA1726">
        <w:rPr>
          <w:rFonts w:ascii="Times New Roman" w:hAnsi="Times New Roman"/>
          <w:sz w:val="28"/>
          <w:szCs w:val="28"/>
          <w:lang w:val="es-ES_tradnl"/>
        </w:rPr>
        <w:t>planteó</w:t>
      </w:r>
      <w:r w:rsidR="00F4674A" w:rsidRPr="00DA1726">
        <w:rPr>
          <w:rFonts w:ascii="Times New Roman" w:hAnsi="Times New Roman"/>
          <w:sz w:val="28"/>
          <w:szCs w:val="28"/>
          <w:lang w:val="es-ES_tradnl"/>
        </w:rPr>
        <w:t xml:space="preserve"> </w:t>
      </w:r>
      <w:r w:rsidRPr="00DA1726">
        <w:rPr>
          <w:rFonts w:ascii="Times New Roman" w:hAnsi="Times New Roman"/>
          <w:sz w:val="28"/>
          <w:szCs w:val="28"/>
          <w:lang w:val="es-ES_tradnl"/>
        </w:rPr>
        <w:t xml:space="preserve">que la clasificación de las entidades se diera por </w:t>
      </w:r>
      <w:r w:rsidRPr="00DA1726">
        <w:rPr>
          <w:rFonts w:ascii="Times New Roman" w:hAnsi="Times New Roman"/>
          <w:i/>
          <w:sz w:val="28"/>
          <w:szCs w:val="28"/>
          <w:lang w:val="es-ES_tradnl"/>
        </w:rPr>
        <w:t>“</w:t>
      </w:r>
      <w:r w:rsidR="00F4674A" w:rsidRPr="00DA1726">
        <w:rPr>
          <w:rFonts w:ascii="Times New Roman" w:hAnsi="Times New Roman"/>
          <w:i/>
          <w:sz w:val="28"/>
          <w:szCs w:val="28"/>
          <w:lang w:val="es-ES_tradnl"/>
        </w:rPr>
        <w:t>categorías de criticidad</w:t>
      </w:r>
      <w:r w:rsidRPr="00DA1726">
        <w:rPr>
          <w:rFonts w:ascii="Times New Roman" w:hAnsi="Times New Roman"/>
          <w:i/>
          <w:sz w:val="28"/>
          <w:szCs w:val="28"/>
          <w:lang w:val="es-ES_tradnl"/>
        </w:rPr>
        <w:t>”</w:t>
      </w:r>
      <w:r w:rsidR="00F4674A" w:rsidRPr="00DA1726">
        <w:rPr>
          <w:rFonts w:ascii="Times New Roman" w:hAnsi="Times New Roman"/>
          <w:sz w:val="28"/>
          <w:szCs w:val="28"/>
          <w:lang w:val="es-ES_tradnl"/>
        </w:rPr>
        <w:t xml:space="preserve"> asociadas a la vulneración de derechos relacionados con la prestación efectiva de los servicios de salud, con el fin de determinar pa</w:t>
      </w:r>
      <w:r w:rsidR="000C6CC4" w:rsidRPr="00DA1726">
        <w:rPr>
          <w:rFonts w:ascii="Times New Roman" w:hAnsi="Times New Roman"/>
          <w:sz w:val="28"/>
          <w:szCs w:val="28"/>
          <w:lang w:val="es-ES_tradnl"/>
        </w:rPr>
        <w:t>ra cada uno de los regímenes cuá</w:t>
      </w:r>
      <w:r w:rsidR="00F4674A" w:rsidRPr="00DA1726">
        <w:rPr>
          <w:rFonts w:ascii="Times New Roman" w:hAnsi="Times New Roman"/>
          <w:sz w:val="28"/>
          <w:szCs w:val="28"/>
          <w:lang w:val="es-ES_tradnl"/>
        </w:rPr>
        <w:t>les son las entidades que conforman los grupos críticos que requerirán un seguimiento detallado por parte de los organismos de control, para garantizar a los usuarios del sistema el cumplimiento óptimo y de calidad.</w:t>
      </w:r>
    </w:p>
    <w:p w:rsidR="00861107" w:rsidRPr="00DA1726" w:rsidRDefault="00861107" w:rsidP="00DA1726">
      <w:pPr>
        <w:pStyle w:val="Style9"/>
        <w:widowControl/>
        <w:ind w:right="51"/>
        <w:rPr>
          <w:rFonts w:ascii="Times New Roman" w:hAnsi="Times New Roman"/>
          <w:sz w:val="28"/>
          <w:szCs w:val="28"/>
          <w:lang w:val="es-ES_tradnl"/>
        </w:rPr>
      </w:pPr>
    </w:p>
    <w:p w:rsidR="00861107" w:rsidRPr="00DA1726" w:rsidRDefault="00CC67B2" w:rsidP="00DA1726">
      <w:pPr>
        <w:pStyle w:val="Style9"/>
        <w:numPr>
          <w:ilvl w:val="2"/>
          <w:numId w:val="7"/>
        </w:numPr>
        <w:ind w:left="0" w:right="51" w:hanging="11"/>
        <w:rPr>
          <w:rFonts w:ascii="Times New Roman" w:hAnsi="Times New Roman"/>
          <w:i/>
          <w:sz w:val="28"/>
          <w:szCs w:val="28"/>
          <w:lang w:val="es-ES_tradnl"/>
        </w:rPr>
      </w:pPr>
      <w:r w:rsidRPr="00DA1726">
        <w:rPr>
          <w:rFonts w:ascii="Times New Roman" w:hAnsi="Times New Roman"/>
          <w:i/>
          <w:sz w:val="28"/>
          <w:szCs w:val="28"/>
          <w:lang w:val="es-ES_tradnl"/>
        </w:rPr>
        <w:t>Propuestas sobre la(s) mejor(es) metodología(s) para recopilar elementos empíricos que permitan evaluar el grado de aceptación, entendimiento y la utilidad que la ordenación de EPS e IPS presta a los usuarios del sistema.</w:t>
      </w:r>
    </w:p>
    <w:p w:rsidR="00861107" w:rsidRPr="00DA1726" w:rsidRDefault="00861107" w:rsidP="00DA1726">
      <w:pPr>
        <w:pStyle w:val="Style9"/>
        <w:widowControl/>
        <w:ind w:right="51"/>
        <w:rPr>
          <w:rFonts w:ascii="Times New Roman" w:hAnsi="Times New Roman"/>
          <w:sz w:val="28"/>
          <w:szCs w:val="28"/>
        </w:rPr>
      </w:pPr>
    </w:p>
    <w:p w:rsidR="00CC67B2" w:rsidRPr="00DA1726" w:rsidRDefault="003B1306"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Refirieron que es necesario que </w:t>
      </w:r>
      <w:r w:rsidR="00CC67B2" w:rsidRPr="00DA1726">
        <w:rPr>
          <w:rFonts w:ascii="Times New Roman" w:hAnsi="Times New Roman"/>
          <w:sz w:val="28"/>
          <w:szCs w:val="28"/>
          <w:lang w:val="es-ES_tradnl"/>
        </w:rPr>
        <w:t xml:space="preserve">las propuestas </w:t>
      </w:r>
      <w:r w:rsidRPr="00DA1726">
        <w:rPr>
          <w:rFonts w:ascii="Times New Roman" w:hAnsi="Times New Roman"/>
          <w:sz w:val="28"/>
          <w:szCs w:val="28"/>
          <w:lang w:val="es-ES_tradnl"/>
        </w:rPr>
        <w:t xml:space="preserve">presentadas </w:t>
      </w:r>
      <w:r w:rsidR="00CC67B2" w:rsidRPr="00DA1726">
        <w:rPr>
          <w:rFonts w:ascii="Times New Roman" w:hAnsi="Times New Roman"/>
          <w:sz w:val="28"/>
          <w:szCs w:val="28"/>
          <w:lang w:val="es-ES_tradnl"/>
        </w:rPr>
        <w:t>sean analizadas, socializadas y definidas en sesiones técnicas que involucren todos los actores del S</w:t>
      </w:r>
      <w:r w:rsidRPr="00DA1726">
        <w:rPr>
          <w:rFonts w:ascii="Times New Roman" w:hAnsi="Times New Roman"/>
          <w:sz w:val="28"/>
          <w:szCs w:val="28"/>
          <w:lang w:val="es-ES_tradnl"/>
        </w:rPr>
        <w:t>GSSS</w:t>
      </w:r>
      <w:r w:rsidR="00CC67B2" w:rsidRPr="00DA1726">
        <w:rPr>
          <w:rFonts w:ascii="Times New Roman" w:hAnsi="Times New Roman"/>
          <w:sz w:val="28"/>
          <w:szCs w:val="28"/>
          <w:lang w:val="es-ES_tradnl"/>
        </w:rPr>
        <w:t>, con el objetivo de evaluar, medir y cuantificar adecuadamente el impacto de los criterios definidos por la Corte.</w:t>
      </w:r>
    </w:p>
    <w:p w:rsidR="00CC67B2" w:rsidRPr="00DA1726" w:rsidRDefault="00CC67B2" w:rsidP="00DA1726">
      <w:pPr>
        <w:pStyle w:val="Style9"/>
        <w:ind w:right="51"/>
        <w:rPr>
          <w:rFonts w:ascii="Times New Roman" w:hAnsi="Times New Roman"/>
          <w:sz w:val="28"/>
          <w:szCs w:val="28"/>
          <w:lang w:val="es-ES_tradnl"/>
        </w:rPr>
      </w:pPr>
    </w:p>
    <w:p w:rsidR="00CC67B2" w:rsidRPr="00DA1726" w:rsidRDefault="00C31604" w:rsidP="00DA1726">
      <w:pPr>
        <w:pStyle w:val="Style9"/>
        <w:widowControl/>
        <w:numPr>
          <w:ilvl w:val="2"/>
          <w:numId w:val="7"/>
        </w:numPr>
        <w:ind w:left="0" w:right="51" w:firstLine="0"/>
        <w:rPr>
          <w:rFonts w:ascii="Times New Roman" w:hAnsi="Times New Roman"/>
          <w:sz w:val="28"/>
          <w:szCs w:val="28"/>
        </w:rPr>
      </w:pPr>
      <w:r w:rsidRPr="00DA1726">
        <w:rPr>
          <w:rFonts w:ascii="Times New Roman" w:hAnsi="Times New Roman"/>
          <w:i/>
          <w:sz w:val="28"/>
          <w:szCs w:val="28"/>
        </w:rPr>
        <w:t>Ordenamiento de IPS.</w:t>
      </w:r>
    </w:p>
    <w:p w:rsidR="00C31604" w:rsidRPr="00DA1726" w:rsidRDefault="00C31604" w:rsidP="00DA1726">
      <w:pPr>
        <w:pStyle w:val="Style9"/>
        <w:widowControl/>
        <w:ind w:right="51"/>
        <w:rPr>
          <w:rFonts w:ascii="Times New Roman" w:hAnsi="Times New Roman"/>
          <w:sz w:val="28"/>
          <w:szCs w:val="28"/>
        </w:rPr>
      </w:pPr>
    </w:p>
    <w:p w:rsidR="00C31604" w:rsidRPr="00DA1726" w:rsidRDefault="00C31604" w:rsidP="00DA1726">
      <w:pPr>
        <w:pStyle w:val="Style9"/>
        <w:widowControl/>
        <w:ind w:right="51"/>
        <w:rPr>
          <w:rFonts w:ascii="Times New Roman" w:hAnsi="Times New Roman"/>
          <w:sz w:val="28"/>
          <w:szCs w:val="28"/>
        </w:rPr>
      </w:pPr>
      <w:r w:rsidRPr="00DA1726">
        <w:rPr>
          <w:rFonts w:ascii="Times New Roman" w:hAnsi="Times New Roman"/>
          <w:sz w:val="28"/>
          <w:szCs w:val="28"/>
        </w:rPr>
        <w:t>En este punto los entes gubernamentales desarrollaron cuatro aspectos que consideraron importantes al momento de realizar una sesión técnica sobre la materia. Al respecto reiteraron la imposibilidad fáctica para realizar el ordenamiento de IPS conform</w:t>
      </w:r>
      <w:r w:rsidR="00596A69" w:rsidRPr="00DA1726">
        <w:rPr>
          <w:rFonts w:ascii="Times New Roman" w:hAnsi="Times New Roman"/>
          <w:sz w:val="28"/>
          <w:szCs w:val="28"/>
        </w:rPr>
        <w:t>e a las especificaciones de la S</w:t>
      </w:r>
      <w:r w:rsidRPr="00DA1726">
        <w:rPr>
          <w:rFonts w:ascii="Times New Roman" w:hAnsi="Times New Roman"/>
          <w:sz w:val="28"/>
          <w:szCs w:val="28"/>
        </w:rPr>
        <w:t xml:space="preserve">entencia T-760 de 2008 y del </w:t>
      </w:r>
      <w:r w:rsidR="00596A69" w:rsidRPr="00DA1726">
        <w:rPr>
          <w:rFonts w:ascii="Times New Roman" w:hAnsi="Times New Roman"/>
          <w:sz w:val="28"/>
          <w:szCs w:val="28"/>
        </w:rPr>
        <w:t>A</w:t>
      </w:r>
      <w:r w:rsidRPr="00DA1726">
        <w:rPr>
          <w:rFonts w:ascii="Times New Roman" w:hAnsi="Times New Roman"/>
          <w:sz w:val="28"/>
          <w:szCs w:val="28"/>
        </w:rPr>
        <w:t>uto 249 de 2013.</w:t>
      </w:r>
    </w:p>
    <w:p w:rsidR="00C31604" w:rsidRPr="00DA1726" w:rsidRDefault="00C31604" w:rsidP="00DA1726">
      <w:pPr>
        <w:pStyle w:val="Style9"/>
        <w:widowControl/>
        <w:ind w:right="51"/>
        <w:rPr>
          <w:rFonts w:ascii="Times New Roman" w:hAnsi="Times New Roman"/>
          <w:sz w:val="28"/>
          <w:szCs w:val="28"/>
        </w:rPr>
      </w:pPr>
    </w:p>
    <w:p w:rsidR="00C31604" w:rsidRPr="00DA1726" w:rsidRDefault="00C31604"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Advirtieron que si bien existe inaplicabilidad de los criterios est</w:t>
      </w:r>
      <w:r w:rsidR="003D66E9" w:rsidRPr="00DA1726">
        <w:rPr>
          <w:rFonts w:ascii="Times New Roman" w:hAnsi="Times New Roman"/>
          <w:sz w:val="28"/>
          <w:szCs w:val="28"/>
          <w:lang w:val="es-ES_tradnl"/>
        </w:rPr>
        <w:t>ablecidos</w:t>
      </w:r>
      <w:r w:rsidRPr="00DA1726">
        <w:rPr>
          <w:rFonts w:ascii="Times New Roman" w:hAnsi="Times New Roman"/>
          <w:sz w:val="28"/>
          <w:szCs w:val="28"/>
          <w:lang w:val="es-ES_tradnl"/>
        </w:rPr>
        <w:t>, también existen unas limitaciones frente a la construcción técnica de las variables de evaluación.</w:t>
      </w:r>
    </w:p>
    <w:p w:rsidR="00C31604" w:rsidRPr="00DA1726" w:rsidRDefault="00C31604" w:rsidP="00DA1726">
      <w:pPr>
        <w:pStyle w:val="Style9"/>
        <w:widowControl/>
        <w:ind w:right="51"/>
        <w:rPr>
          <w:rFonts w:ascii="Times New Roman" w:hAnsi="Times New Roman"/>
          <w:sz w:val="28"/>
          <w:szCs w:val="28"/>
        </w:rPr>
      </w:pPr>
    </w:p>
    <w:p w:rsidR="003D66E9" w:rsidRPr="00DA1726" w:rsidRDefault="003D66E9" w:rsidP="00DA1726">
      <w:pPr>
        <w:pStyle w:val="Style9"/>
        <w:widowControl/>
        <w:ind w:right="51"/>
        <w:rPr>
          <w:rStyle w:val="FontStyle81"/>
          <w:rFonts w:ascii="Times New Roman" w:hAnsi="Times New Roman" w:cs="Times New Roman"/>
          <w:sz w:val="28"/>
          <w:szCs w:val="28"/>
          <w:lang w:val="es-ES_tradnl" w:eastAsia="es-ES_tradnl"/>
        </w:rPr>
      </w:pPr>
      <w:r w:rsidRPr="00DA1726">
        <w:rPr>
          <w:rFonts w:ascii="Times New Roman" w:hAnsi="Times New Roman"/>
          <w:sz w:val="28"/>
          <w:szCs w:val="28"/>
        </w:rPr>
        <w:t>Señala</w:t>
      </w:r>
      <w:r w:rsidR="000C6CC4" w:rsidRPr="00DA1726">
        <w:rPr>
          <w:rFonts w:ascii="Times New Roman" w:hAnsi="Times New Roman"/>
          <w:sz w:val="28"/>
          <w:szCs w:val="28"/>
        </w:rPr>
        <w:t>ro</w:t>
      </w:r>
      <w:r w:rsidRPr="00DA1726">
        <w:rPr>
          <w:rFonts w:ascii="Times New Roman" w:hAnsi="Times New Roman"/>
          <w:sz w:val="28"/>
          <w:szCs w:val="28"/>
        </w:rPr>
        <w:t xml:space="preserve">n que </w:t>
      </w:r>
      <w:r w:rsidR="00C31604" w:rsidRPr="00DA1726">
        <w:rPr>
          <w:rStyle w:val="FontStyle81"/>
          <w:rFonts w:ascii="Times New Roman" w:hAnsi="Times New Roman" w:cs="Times New Roman"/>
          <w:sz w:val="28"/>
          <w:szCs w:val="28"/>
          <w:lang w:val="es-ES_tradnl" w:eastAsia="es-ES_tradnl"/>
        </w:rPr>
        <w:t xml:space="preserve">a marzo de 2014 </w:t>
      </w:r>
      <w:r w:rsidR="000C6CC4" w:rsidRPr="00DA1726">
        <w:rPr>
          <w:rStyle w:val="FontStyle81"/>
          <w:rFonts w:ascii="Times New Roman" w:hAnsi="Times New Roman" w:cs="Times New Roman"/>
          <w:sz w:val="28"/>
          <w:szCs w:val="28"/>
          <w:lang w:val="es-ES_tradnl" w:eastAsia="es-ES_tradnl"/>
        </w:rPr>
        <w:t>existían</w:t>
      </w:r>
      <w:r w:rsidRPr="00DA1726">
        <w:rPr>
          <w:rStyle w:val="FontStyle81"/>
          <w:rFonts w:ascii="Times New Roman" w:hAnsi="Times New Roman" w:cs="Times New Roman"/>
          <w:sz w:val="28"/>
          <w:szCs w:val="28"/>
          <w:lang w:val="es-ES_tradnl" w:eastAsia="es-ES_tradnl"/>
        </w:rPr>
        <w:t xml:space="preserve"> un total de 11.253 IPS y </w:t>
      </w:r>
      <w:r w:rsidR="00C31604" w:rsidRPr="00DA1726">
        <w:rPr>
          <w:rStyle w:val="FontStyle81"/>
          <w:rFonts w:ascii="Times New Roman" w:hAnsi="Times New Roman" w:cs="Times New Roman"/>
          <w:sz w:val="28"/>
          <w:szCs w:val="28"/>
          <w:lang w:val="es-ES_tradnl" w:eastAsia="es-ES_tradnl"/>
        </w:rPr>
        <w:t xml:space="preserve">una sola </w:t>
      </w:r>
      <w:r w:rsidR="00EA4FAC" w:rsidRPr="00DA1726">
        <w:rPr>
          <w:rStyle w:val="FontStyle81"/>
          <w:rFonts w:ascii="Times New Roman" w:hAnsi="Times New Roman" w:cs="Times New Roman"/>
          <w:sz w:val="28"/>
          <w:szCs w:val="28"/>
          <w:lang w:val="es-ES_tradnl" w:eastAsia="es-ES_tradnl"/>
        </w:rPr>
        <w:t>IPS</w:t>
      </w:r>
      <w:r w:rsidR="00C31604" w:rsidRPr="00DA1726">
        <w:rPr>
          <w:rStyle w:val="FontStyle81"/>
          <w:rFonts w:ascii="Times New Roman" w:hAnsi="Times New Roman" w:cs="Times New Roman"/>
          <w:sz w:val="28"/>
          <w:szCs w:val="28"/>
          <w:lang w:val="es-ES_tradnl" w:eastAsia="es-ES_tradnl"/>
        </w:rPr>
        <w:t xml:space="preserve"> puede llegar a tene</w:t>
      </w:r>
      <w:r w:rsidR="000C6CC4" w:rsidRPr="00DA1726">
        <w:rPr>
          <w:rStyle w:val="FontStyle81"/>
          <w:rFonts w:ascii="Times New Roman" w:hAnsi="Times New Roman" w:cs="Times New Roman"/>
          <w:sz w:val="28"/>
          <w:szCs w:val="28"/>
          <w:lang w:val="es-ES_tradnl" w:eastAsia="es-ES_tradnl"/>
        </w:rPr>
        <w:t xml:space="preserve">r 54 sedes. Lo que equivaldría a </w:t>
      </w:r>
      <w:r w:rsidR="00C31604" w:rsidRPr="00DA1726">
        <w:rPr>
          <w:rStyle w:val="FontStyle81"/>
          <w:rFonts w:ascii="Times New Roman" w:hAnsi="Times New Roman" w:cs="Times New Roman"/>
          <w:sz w:val="28"/>
          <w:szCs w:val="28"/>
          <w:lang w:val="es-ES_tradnl" w:eastAsia="es-ES_tradnl"/>
        </w:rPr>
        <w:t xml:space="preserve">analizar </w:t>
      </w:r>
      <w:r w:rsidR="00C31604" w:rsidRPr="00DA1726">
        <w:rPr>
          <w:rStyle w:val="FontStyle89"/>
          <w:rFonts w:ascii="Times New Roman" w:hAnsi="Times New Roman" w:cs="Times New Roman"/>
          <w:b w:val="0"/>
          <w:sz w:val="28"/>
          <w:szCs w:val="28"/>
          <w:lang w:val="es-ES_tradnl" w:eastAsia="es-ES_tradnl"/>
        </w:rPr>
        <w:t>19.076</w:t>
      </w:r>
      <w:r w:rsidR="00C31604" w:rsidRPr="00DA1726">
        <w:rPr>
          <w:rStyle w:val="FontStyle89"/>
          <w:rFonts w:ascii="Times New Roman" w:hAnsi="Times New Roman" w:cs="Times New Roman"/>
          <w:sz w:val="28"/>
          <w:szCs w:val="28"/>
          <w:lang w:val="es-ES_tradnl" w:eastAsia="es-ES_tradnl"/>
        </w:rPr>
        <w:t xml:space="preserve"> </w:t>
      </w:r>
      <w:r w:rsidR="00C31604" w:rsidRPr="00DA1726">
        <w:rPr>
          <w:rStyle w:val="FontStyle81"/>
          <w:rFonts w:ascii="Times New Roman" w:hAnsi="Times New Roman" w:cs="Times New Roman"/>
          <w:sz w:val="28"/>
          <w:szCs w:val="28"/>
          <w:lang w:val="es-ES_tradnl" w:eastAsia="es-ES_tradnl"/>
        </w:rPr>
        <w:t>prestadores.</w:t>
      </w:r>
      <w:r w:rsidR="000C6CC4" w:rsidRPr="00DA1726">
        <w:rPr>
          <w:rStyle w:val="FontStyle81"/>
          <w:rFonts w:ascii="Times New Roman" w:hAnsi="Times New Roman" w:cs="Times New Roman"/>
          <w:sz w:val="28"/>
          <w:szCs w:val="28"/>
          <w:lang w:val="es-ES_tradnl" w:eastAsia="es-ES_tradnl"/>
        </w:rPr>
        <w:t xml:space="preserve"> </w:t>
      </w:r>
      <w:r w:rsidRPr="00DA1726">
        <w:rPr>
          <w:rStyle w:val="FontStyle81"/>
          <w:rFonts w:ascii="Times New Roman" w:hAnsi="Times New Roman" w:cs="Times New Roman"/>
          <w:sz w:val="28"/>
          <w:szCs w:val="28"/>
          <w:lang w:val="es-ES_tradnl" w:eastAsia="es-ES_tradnl"/>
        </w:rPr>
        <w:t xml:space="preserve">Además, </w:t>
      </w:r>
      <w:r w:rsidR="00C31604" w:rsidRPr="00DA1726">
        <w:rPr>
          <w:rStyle w:val="FontStyle81"/>
          <w:rFonts w:ascii="Times New Roman" w:hAnsi="Times New Roman" w:cs="Times New Roman"/>
          <w:sz w:val="28"/>
          <w:szCs w:val="28"/>
          <w:lang w:val="es-ES_tradnl" w:eastAsia="es-ES_tradnl"/>
        </w:rPr>
        <w:t>las IPS presentan una heterogeneidad que v</w:t>
      </w:r>
      <w:r w:rsidRPr="00DA1726">
        <w:rPr>
          <w:rStyle w:val="FontStyle81"/>
          <w:rFonts w:ascii="Times New Roman" w:hAnsi="Times New Roman" w:cs="Times New Roman"/>
          <w:sz w:val="28"/>
          <w:szCs w:val="28"/>
          <w:lang w:val="es-ES_tradnl" w:eastAsia="es-ES_tradnl"/>
        </w:rPr>
        <w:t>a desde la capacidad instalada (</w:t>
      </w:r>
      <w:r w:rsidR="00C31604" w:rsidRPr="00DA1726">
        <w:rPr>
          <w:rStyle w:val="FontStyle81"/>
          <w:rFonts w:ascii="Times New Roman" w:hAnsi="Times New Roman" w:cs="Times New Roman"/>
          <w:sz w:val="28"/>
          <w:szCs w:val="28"/>
          <w:lang w:val="es-ES_tradnl" w:eastAsia="es-ES_tradnl"/>
        </w:rPr>
        <w:t>número de camas disponibles</w:t>
      </w:r>
      <w:r w:rsidRPr="00DA1726">
        <w:rPr>
          <w:rStyle w:val="FontStyle81"/>
          <w:rFonts w:ascii="Times New Roman" w:hAnsi="Times New Roman" w:cs="Times New Roman"/>
          <w:sz w:val="28"/>
          <w:szCs w:val="28"/>
          <w:lang w:val="es-ES_tradnl" w:eastAsia="es-ES_tradnl"/>
        </w:rPr>
        <w:t>)</w:t>
      </w:r>
      <w:r w:rsidR="00C31604" w:rsidRPr="00DA1726">
        <w:rPr>
          <w:rStyle w:val="FontStyle81"/>
          <w:rFonts w:ascii="Times New Roman" w:hAnsi="Times New Roman" w:cs="Times New Roman"/>
          <w:sz w:val="28"/>
          <w:szCs w:val="28"/>
          <w:lang w:val="es-ES_tradnl" w:eastAsia="es-ES_tradnl"/>
        </w:rPr>
        <w:t xml:space="preserve">, hasta la complejidad de servicios que presta. </w:t>
      </w:r>
      <w:r w:rsidRPr="00DA1726">
        <w:rPr>
          <w:rStyle w:val="FontStyle81"/>
          <w:rFonts w:ascii="Times New Roman" w:hAnsi="Times New Roman" w:cs="Times New Roman"/>
          <w:sz w:val="28"/>
          <w:szCs w:val="28"/>
          <w:lang w:val="es-ES_tradnl" w:eastAsia="es-ES_tradnl"/>
        </w:rPr>
        <w:t>Así, la</w:t>
      </w:r>
      <w:r w:rsidR="00C31604" w:rsidRPr="00DA1726">
        <w:rPr>
          <w:rStyle w:val="FontStyle81"/>
          <w:rFonts w:ascii="Times New Roman" w:hAnsi="Times New Roman" w:cs="Times New Roman"/>
          <w:sz w:val="28"/>
          <w:szCs w:val="28"/>
          <w:lang w:val="es-ES_tradnl" w:eastAsia="es-ES_tradnl"/>
        </w:rPr>
        <w:t xml:space="preserve"> ausencia de uniformidad </w:t>
      </w:r>
      <w:r w:rsidRPr="00DA1726">
        <w:rPr>
          <w:rStyle w:val="FontStyle81"/>
          <w:rFonts w:ascii="Times New Roman" w:hAnsi="Times New Roman" w:cs="Times New Roman"/>
          <w:sz w:val="28"/>
          <w:szCs w:val="28"/>
          <w:lang w:val="es-ES_tradnl" w:eastAsia="es-ES_tradnl"/>
        </w:rPr>
        <w:t>dificulta</w:t>
      </w:r>
      <w:r w:rsidR="00C31604" w:rsidRPr="00DA1726">
        <w:rPr>
          <w:rStyle w:val="FontStyle81"/>
          <w:rFonts w:ascii="Times New Roman" w:hAnsi="Times New Roman" w:cs="Times New Roman"/>
          <w:sz w:val="28"/>
          <w:szCs w:val="28"/>
          <w:lang w:val="es-ES_tradnl" w:eastAsia="es-ES_tradnl"/>
        </w:rPr>
        <w:t xml:space="preserve"> su comparación. </w:t>
      </w:r>
    </w:p>
    <w:p w:rsidR="003D66E9" w:rsidRPr="00DA1726" w:rsidRDefault="003D66E9" w:rsidP="00DA1726">
      <w:pPr>
        <w:pStyle w:val="Style5"/>
        <w:widowControl/>
        <w:rPr>
          <w:rStyle w:val="FontStyle81"/>
          <w:rFonts w:ascii="Times New Roman" w:hAnsi="Times New Roman" w:cs="Times New Roman"/>
          <w:sz w:val="28"/>
          <w:szCs w:val="28"/>
          <w:lang w:val="es-ES_tradnl" w:eastAsia="es-ES_tradnl"/>
        </w:rPr>
      </w:pPr>
    </w:p>
    <w:p w:rsidR="008C646D" w:rsidRPr="00DA1726" w:rsidRDefault="0031348D"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Por otra parte, las fuentes de información son limitadas. Entre las fuentes disponibles, están los indicadores de la Resolución 1446 de 2006</w:t>
      </w:r>
      <w:r w:rsidR="008C646D" w:rsidRPr="00DA1726">
        <w:rPr>
          <w:rFonts w:ascii="Times New Roman" w:hAnsi="Times New Roman"/>
          <w:sz w:val="28"/>
          <w:szCs w:val="28"/>
          <w:vertAlign w:val="superscript"/>
          <w:lang w:val="es-ES_tradnl"/>
        </w:rPr>
        <w:footnoteReference w:id="39"/>
      </w:r>
      <w:r w:rsidRPr="00DA1726">
        <w:rPr>
          <w:rFonts w:ascii="Times New Roman" w:hAnsi="Times New Roman"/>
          <w:sz w:val="28"/>
          <w:szCs w:val="28"/>
          <w:lang w:val="es-ES_tradnl"/>
        </w:rPr>
        <w:t xml:space="preserve"> y el Registro Individual de Prestaciones de Salud - RIPS</w:t>
      </w:r>
      <w:r w:rsidR="008C646D" w:rsidRPr="00DA1726">
        <w:rPr>
          <w:rFonts w:ascii="Times New Roman" w:hAnsi="Times New Roman"/>
          <w:sz w:val="28"/>
          <w:szCs w:val="28"/>
          <w:vertAlign w:val="superscript"/>
          <w:lang w:val="es-ES_tradnl"/>
        </w:rPr>
        <w:footnoteReference w:id="40"/>
      </w:r>
      <w:r w:rsidR="008C646D" w:rsidRPr="00DA1726">
        <w:rPr>
          <w:rFonts w:ascii="Times New Roman" w:hAnsi="Times New Roman"/>
          <w:sz w:val="28"/>
          <w:szCs w:val="28"/>
          <w:lang w:val="es-ES_tradnl"/>
        </w:rPr>
        <w:t>, los que presentan falencias relacionadas con la mala calidad de los datos y la ausencia de reporte.</w:t>
      </w:r>
    </w:p>
    <w:p w:rsidR="008C646D" w:rsidRPr="00DA1726" w:rsidRDefault="008C646D" w:rsidP="00DA1726">
      <w:pPr>
        <w:pStyle w:val="Style9"/>
        <w:ind w:right="51"/>
        <w:rPr>
          <w:rFonts w:ascii="Times New Roman" w:hAnsi="Times New Roman"/>
          <w:sz w:val="28"/>
          <w:szCs w:val="28"/>
          <w:lang w:val="es-ES_tradnl"/>
        </w:rPr>
      </w:pPr>
    </w:p>
    <w:p w:rsidR="00B534C8" w:rsidRPr="00DA1726" w:rsidRDefault="008C646D"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Finalmente, respecto a los </w:t>
      </w:r>
      <w:r w:rsidRPr="00DA1726">
        <w:rPr>
          <w:rFonts w:ascii="Times New Roman" w:hAnsi="Times New Roman"/>
          <w:bCs/>
          <w:sz w:val="28"/>
          <w:szCs w:val="28"/>
          <w:lang w:val="es-ES_tradnl"/>
        </w:rPr>
        <w:t xml:space="preserve">indicadores a seleccionar, </w:t>
      </w:r>
      <w:r w:rsidR="00B534C8" w:rsidRPr="00DA1726">
        <w:rPr>
          <w:rFonts w:ascii="Times New Roman" w:hAnsi="Times New Roman"/>
          <w:bCs/>
          <w:sz w:val="28"/>
          <w:szCs w:val="28"/>
          <w:lang w:val="es-ES_tradnl"/>
        </w:rPr>
        <w:t xml:space="preserve">se buscó que estuvieran asociados a </w:t>
      </w:r>
      <w:r w:rsidRPr="00DA1726">
        <w:rPr>
          <w:rFonts w:ascii="Times New Roman" w:hAnsi="Times New Roman"/>
          <w:sz w:val="28"/>
          <w:szCs w:val="28"/>
          <w:lang w:val="es-ES_tradnl"/>
        </w:rPr>
        <w:t>los deb</w:t>
      </w:r>
      <w:r w:rsidR="00B534C8" w:rsidRPr="00DA1726">
        <w:rPr>
          <w:rFonts w:ascii="Times New Roman" w:hAnsi="Times New Roman"/>
          <w:sz w:val="28"/>
          <w:szCs w:val="28"/>
          <w:lang w:val="es-ES_tradnl"/>
        </w:rPr>
        <w:t>eres y derechos de los usuarios, los que cumplieron</w:t>
      </w:r>
      <w:r w:rsidRPr="00DA1726">
        <w:rPr>
          <w:rFonts w:ascii="Times New Roman" w:hAnsi="Times New Roman"/>
          <w:sz w:val="28"/>
          <w:szCs w:val="28"/>
          <w:lang w:val="es-ES_tradnl"/>
        </w:rPr>
        <w:t xml:space="preserve"> co</w:t>
      </w:r>
      <w:r w:rsidR="00B534C8" w:rsidRPr="00DA1726">
        <w:rPr>
          <w:rFonts w:ascii="Times New Roman" w:hAnsi="Times New Roman"/>
          <w:sz w:val="28"/>
          <w:szCs w:val="28"/>
          <w:lang w:val="es-ES_tradnl"/>
        </w:rPr>
        <w:t>n los requisitos de formulación</w:t>
      </w:r>
      <w:r w:rsidR="00B534C8" w:rsidRPr="00DA1726">
        <w:rPr>
          <w:rFonts w:ascii="Times New Roman" w:hAnsi="Times New Roman"/>
          <w:sz w:val="28"/>
          <w:szCs w:val="28"/>
          <w:vertAlign w:val="superscript"/>
          <w:lang w:val="es-ES_tradnl"/>
        </w:rPr>
        <w:footnoteReference w:id="41"/>
      </w:r>
      <w:r w:rsidR="00D742F2" w:rsidRPr="00DA1726">
        <w:rPr>
          <w:rFonts w:ascii="Times New Roman" w:hAnsi="Times New Roman"/>
          <w:sz w:val="28"/>
          <w:szCs w:val="28"/>
          <w:lang w:val="es-ES_tradnl"/>
        </w:rPr>
        <w:t>.</w:t>
      </w:r>
    </w:p>
    <w:p w:rsidR="00B534C8" w:rsidRPr="00DA1726" w:rsidRDefault="00B534C8" w:rsidP="00DA1726">
      <w:pPr>
        <w:pStyle w:val="Style9"/>
        <w:ind w:right="51"/>
        <w:rPr>
          <w:rFonts w:ascii="Times New Roman" w:hAnsi="Times New Roman"/>
          <w:sz w:val="28"/>
          <w:szCs w:val="28"/>
          <w:lang w:val="es-ES_tradnl"/>
        </w:rPr>
      </w:pPr>
    </w:p>
    <w:p w:rsidR="008C646D" w:rsidRPr="00DA1726" w:rsidRDefault="00D742F2" w:rsidP="00DA1726">
      <w:pPr>
        <w:pStyle w:val="Style9"/>
        <w:numPr>
          <w:ilvl w:val="2"/>
          <w:numId w:val="7"/>
        </w:numPr>
        <w:ind w:left="0" w:right="51" w:firstLine="1"/>
        <w:rPr>
          <w:rFonts w:ascii="Times New Roman" w:hAnsi="Times New Roman"/>
          <w:i/>
          <w:sz w:val="28"/>
          <w:szCs w:val="28"/>
          <w:lang w:val="es-ES_tradnl"/>
        </w:rPr>
      </w:pPr>
      <w:r w:rsidRPr="00DA1726">
        <w:rPr>
          <w:rFonts w:ascii="Times New Roman" w:hAnsi="Times New Roman"/>
          <w:i/>
          <w:sz w:val="28"/>
          <w:szCs w:val="28"/>
          <w:lang w:val="es-ES_tradnl"/>
        </w:rPr>
        <w:t xml:space="preserve">Implementación de la propuesta para la elaboración del </w:t>
      </w:r>
      <w:r w:rsidR="008D66F1" w:rsidRPr="00DA1726">
        <w:rPr>
          <w:rFonts w:ascii="Times New Roman" w:hAnsi="Times New Roman"/>
          <w:i/>
          <w:sz w:val="28"/>
          <w:szCs w:val="28"/>
          <w:lang w:val="es-ES_tradnl"/>
        </w:rPr>
        <w:t>ranking</w:t>
      </w:r>
      <w:r w:rsidRPr="00DA1726">
        <w:rPr>
          <w:rFonts w:ascii="Times New Roman" w:hAnsi="Times New Roman"/>
          <w:i/>
          <w:sz w:val="28"/>
          <w:szCs w:val="28"/>
          <w:lang w:val="es-ES_tradnl"/>
        </w:rPr>
        <w:t xml:space="preserve"> de IPS.</w:t>
      </w:r>
    </w:p>
    <w:p w:rsidR="00D742F2" w:rsidRPr="00DA1726" w:rsidRDefault="00D742F2" w:rsidP="00DA1726">
      <w:pPr>
        <w:pStyle w:val="Style9"/>
        <w:ind w:left="1" w:right="51"/>
        <w:rPr>
          <w:rFonts w:ascii="Times New Roman" w:hAnsi="Times New Roman"/>
          <w:i/>
          <w:sz w:val="28"/>
          <w:szCs w:val="28"/>
          <w:lang w:val="es-ES_tradnl"/>
        </w:rPr>
      </w:pPr>
    </w:p>
    <w:p w:rsidR="00D742F2" w:rsidRPr="00DA1726" w:rsidRDefault="00D742F2"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Explicaron que a pesar de las dificultades</w:t>
      </w:r>
      <w:r w:rsidR="00162483" w:rsidRPr="00DA1726">
        <w:rPr>
          <w:rFonts w:ascii="Times New Roman" w:hAnsi="Times New Roman"/>
          <w:sz w:val="28"/>
          <w:szCs w:val="28"/>
          <w:lang w:val="es-ES_tradnl"/>
        </w:rPr>
        <w:t>,</w:t>
      </w:r>
      <w:r w:rsidRPr="00DA1726">
        <w:rPr>
          <w:rFonts w:ascii="Times New Roman" w:hAnsi="Times New Roman"/>
          <w:sz w:val="28"/>
          <w:szCs w:val="28"/>
          <w:lang w:val="es-ES_tradnl"/>
        </w:rPr>
        <w:t xml:space="preserve"> existe una herramienta que le da insumos a los usuarios para poder tomar decisiones informadas respecto a sus prestadores de servicios de salud.  Consiste en un visor que permite comparar dos </w:t>
      </w:r>
      <w:r w:rsidR="00EA4FAC" w:rsidRPr="00DA1726">
        <w:rPr>
          <w:rFonts w:ascii="Times New Roman" w:hAnsi="Times New Roman"/>
          <w:sz w:val="28"/>
          <w:szCs w:val="28"/>
          <w:lang w:val="es-ES_tradnl"/>
        </w:rPr>
        <w:t>IPS</w:t>
      </w:r>
      <w:r w:rsidRPr="00DA1726">
        <w:rPr>
          <w:rFonts w:ascii="Times New Roman" w:hAnsi="Times New Roman"/>
          <w:sz w:val="28"/>
          <w:szCs w:val="28"/>
          <w:lang w:val="es-ES_tradnl"/>
        </w:rPr>
        <w:t xml:space="preserve"> a partir de los servicios que prestan y su ubicación geográfica basada en los </w:t>
      </w:r>
      <w:r w:rsidR="00596A69" w:rsidRPr="00DA1726">
        <w:rPr>
          <w:rFonts w:ascii="Times New Roman" w:hAnsi="Times New Roman"/>
          <w:sz w:val="28"/>
          <w:szCs w:val="28"/>
          <w:lang w:val="es-ES_tradnl"/>
        </w:rPr>
        <w:t>indicadores de calidad</w:t>
      </w:r>
      <w:r w:rsidRPr="00DA1726">
        <w:rPr>
          <w:rFonts w:ascii="Times New Roman" w:hAnsi="Times New Roman"/>
          <w:sz w:val="28"/>
          <w:szCs w:val="28"/>
          <w:lang w:val="es-ES_tradnl"/>
        </w:rPr>
        <w:t xml:space="preserve"> de la Resolución 1446 de 2006</w:t>
      </w:r>
      <w:r w:rsidRPr="00DA1726">
        <w:rPr>
          <w:rFonts w:ascii="Times New Roman" w:hAnsi="Times New Roman"/>
          <w:sz w:val="28"/>
          <w:szCs w:val="28"/>
          <w:vertAlign w:val="superscript"/>
          <w:lang w:val="es-ES_tradnl"/>
        </w:rPr>
        <w:footnoteReference w:id="42"/>
      </w:r>
      <w:r w:rsidRPr="00DA1726">
        <w:rPr>
          <w:rFonts w:ascii="Times New Roman" w:hAnsi="Times New Roman"/>
          <w:sz w:val="28"/>
          <w:szCs w:val="28"/>
          <w:lang w:val="es-ES_tradnl"/>
        </w:rPr>
        <w:t xml:space="preserve">. </w:t>
      </w:r>
    </w:p>
    <w:p w:rsidR="00D742F2" w:rsidRPr="00DA1726" w:rsidRDefault="00D742F2" w:rsidP="00DA1726">
      <w:pPr>
        <w:pStyle w:val="Style9"/>
        <w:ind w:left="1" w:right="51"/>
        <w:rPr>
          <w:rFonts w:ascii="Times New Roman" w:hAnsi="Times New Roman"/>
          <w:sz w:val="28"/>
          <w:szCs w:val="28"/>
          <w:lang w:val="es-ES_tradnl"/>
        </w:rPr>
      </w:pPr>
    </w:p>
    <w:p w:rsidR="00D742F2" w:rsidRPr="00DA1726" w:rsidRDefault="00D742F2"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 xml:space="preserve">Los indicadores seleccionados </w:t>
      </w:r>
      <w:r w:rsidR="00162483" w:rsidRPr="00DA1726">
        <w:rPr>
          <w:rFonts w:ascii="Times New Roman" w:hAnsi="Times New Roman"/>
          <w:sz w:val="28"/>
          <w:szCs w:val="28"/>
          <w:lang w:val="es-ES_tradnl"/>
        </w:rPr>
        <w:t>para poder cumplir con el estudio comparado de atendieron a</w:t>
      </w:r>
      <w:r w:rsidRPr="00DA1726">
        <w:rPr>
          <w:rFonts w:ascii="Times New Roman" w:hAnsi="Times New Roman"/>
          <w:sz w:val="28"/>
          <w:szCs w:val="28"/>
          <w:lang w:val="es-ES_tradnl"/>
        </w:rPr>
        <w:t xml:space="preserve">: </w:t>
      </w:r>
      <w:r w:rsidR="00162483" w:rsidRPr="00DA1726">
        <w:rPr>
          <w:rFonts w:ascii="Times New Roman" w:hAnsi="Times New Roman"/>
          <w:sz w:val="28"/>
          <w:szCs w:val="28"/>
          <w:lang w:val="es-ES_tradnl"/>
        </w:rPr>
        <w:t>(</w:t>
      </w:r>
      <w:r w:rsidRPr="00DA1726">
        <w:rPr>
          <w:rFonts w:ascii="Times New Roman" w:hAnsi="Times New Roman"/>
          <w:sz w:val="28"/>
          <w:szCs w:val="28"/>
          <w:lang w:val="es-ES_tradnl"/>
        </w:rPr>
        <w:t>i) el comportamiento de un determinado servicio que presta la institución en razón a la oportunidad</w:t>
      </w:r>
      <w:r w:rsidR="00162483" w:rsidRPr="00DA1726">
        <w:rPr>
          <w:rFonts w:ascii="Times New Roman" w:hAnsi="Times New Roman"/>
          <w:sz w:val="28"/>
          <w:szCs w:val="28"/>
          <w:lang w:val="es-ES_tradnl"/>
        </w:rPr>
        <w:t>;</w:t>
      </w:r>
      <w:r w:rsidRPr="00DA1726">
        <w:rPr>
          <w:rFonts w:ascii="Times New Roman" w:hAnsi="Times New Roman"/>
          <w:sz w:val="28"/>
          <w:szCs w:val="28"/>
          <w:lang w:val="es-ES_tradnl"/>
        </w:rPr>
        <w:t xml:space="preserve"> </w:t>
      </w:r>
      <w:r w:rsidR="00162483" w:rsidRPr="00DA1726">
        <w:rPr>
          <w:rFonts w:ascii="Times New Roman" w:hAnsi="Times New Roman"/>
          <w:sz w:val="28"/>
          <w:szCs w:val="28"/>
          <w:lang w:val="es-ES_tradnl"/>
        </w:rPr>
        <w:t>(</w:t>
      </w:r>
      <w:r w:rsidRPr="00DA1726">
        <w:rPr>
          <w:rFonts w:ascii="Times New Roman" w:hAnsi="Times New Roman"/>
          <w:sz w:val="28"/>
          <w:szCs w:val="28"/>
          <w:lang w:val="es-ES_tradnl"/>
        </w:rPr>
        <w:t>ii) seguridad del paciente</w:t>
      </w:r>
      <w:r w:rsidR="00162483" w:rsidRPr="00DA1726">
        <w:rPr>
          <w:rFonts w:ascii="Times New Roman" w:hAnsi="Times New Roman"/>
          <w:sz w:val="28"/>
          <w:szCs w:val="28"/>
          <w:lang w:val="es-ES_tradnl"/>
        </w:rPr>
        <w:t>;</w:t>
      </w:r>
      <w:r w:rsidRPr="00DA1726">
        <w:rPr>
          <w:rFonts w:ascii="Times New Roman" w:hAnsi="Times New Roman"/>
          <w:sz w:val="28"/>
          <w:szCs w:val="28"/>
          <w:lang w:val="es-ES_tradnl"/>
        </w:rPr>
        <w:t xml:space="preserve"> </w:t>
      </w:r>
      <w:r w:rsidR="00162483" w:rsidRPr="00DA1726">
        <w:rPr>
          <w:rFonts w:ascii="Times New Roman" w:hAnsi="Times New Roman"/>
          <w:sz w:val="28"/>
          <w:szCs w:val="28"/>
          <w:lang w:val="es-ES_tradnl"/>
        </w:rPr>
        <w:t>(</w:t>
      </w:r>
      <w:r w:rsidRPr="00DA1726">
        <w:rPr>
          <w:rFonts w:ascii="Times New Roman" w:hAnsi="Times New Roman"/>
          <w:sz w:val="28"/>
          <w:szCs w:val="28"/>
          <w:lang w:val="es-ES_tradnl"/>
        </w:rPr>
        <w:t>iii) percepción del usuario</w:t>
      </w:r>
      <w:r w:rsidR="00162483" w:rsidRPr="00DA1726">
        <w:rPr>
          <w:rFonts w:ascii="Times New Roman" w:hAnsi="Times New Roman"/>
          <w:sz w:val="28"/>
          <w:szCs w:val="28"/>
          <w:lang w:val="es-ES_tradnl"/>
        </w:rPr>
        <w:t>;</w:t>
      </w:r>
      <w:r w:rsidRPr="00DA1726">
        <w:rPr>
          <w:rFonts w:ascii="Times New Roman" w:hAnsi="Times New Roman"/>
          <w:sz w:val="28"/>
          <w:szCs w:val="28"/>
          <w:lang w:val="es-ES_tradnl"/>
        </w:rPr>
        <w:t xml:space="preserve"> </w:t>
      </w:r>
      <w:r w:rsidR="00162483" w:rsidRPr="00DA1726">
        <w:rPr>
          <w:rFonts w:ascii="Times New Roman" w:hAnsi="Times New Roman"/>
          <w:sz w:val="28"/>
          <w:szCs w:val="28"/>
          <w:lang w:val="es-ES_tradnl"/>
        </w:rPr>
        <w:t>(</w:t>
      </w:r>
      <w:r w:rsidRPr="00DA1726">
        <w:rPr>
          <w:rFonts w:ascii="Times New Roman" w:hAnsi="Times New Roman"/>
          <w:sz w:val="28"/>
          <w:szCs w:val="28"/>
          <w:lang w:val="es-ES_tradnl"/>
        </w:rPr>
        <w:t>iv) promoción y prevención de la salud frente al manejo de la hipertensión arterial</w:t>
      </w:r>
      <w:r w:rsidR="00162483" w:rsidRPr="00DA1726">
        <w:rPr>
          <w:rFonts w:ascii="Times New Roman" w:hAnsi="Times New Roman"/>
          <w:sz w:val="28"/>
          <w:szCs w:val="28"/>
          <w:lang w:val="es-ES_tradnl"/>
        </w:rPr>
        <w:t>;</w:t>
      </w:r>
      <w:r w:rsidRPr="00DA1726">
        <w:rPr>
          <w:rFonts w:ascii="Times New Roman" w:hAnsi="Times New Roman"/>
          <w:sz w:val="28"/>
          <w:szCs w:val="28"/>
          <w:lang w:val="es-ES_tradnl"/>
        </w:rPr>
        <w:t xml:space="preserve"> y </w:t>
      </w:r>
      <w:r w:rsidR="00162483" w:rsidRPr="00DA1726">
        <w:rPr>
          <w:rFonts w:ascii="Times New Roman" w:hAnsi="Times New Roman"/>
          <w:sz w:val="28"/>
          <w:szCs w:val="28"/>
          <w:lang w:val="es-ES_tradnl"/>
        </w:rPr>
        <w:t>(</w:t>
      </w:r>
      <w:r w:rsidRPr="00DA1726">
        <w:rPr>
          <w:rFonts w:ascii="Times New Roman" w:hAnsi="Times New Roman"/>
          <w:sz w:val="28"/>
          <w:szCs w:val="28"/>
          <w:lang w:val="es-ES_tradnl"/>
        </w:rPr>
        <w:t>v) comportamiento del servicio hospitalario y quirúrgico</w:t>
      </w:r>
    </w:p>
    <w:p w:rsidR="00780C0A" w:rsidRPr="00DA1726" w:rsidRDefault="00780C0A" w:rsidP="00DA1726">
      <w:pPr>
        <w:pStyle w:val="Style9"/>
        <w:ind w:left="1" w:right="51"/>
        <w:rPr>
          <w:rFonts w:ascii="Times New Roman" w:hAnsi="Times New Roman"/>
          <w:sz w:val="28"/>
          <w:szCs w:val="28"/>
          <w:lang w:val="es-ES_tradnl"/>
        </w:rPr>
      </w:pPr>
    </w:p>
    <w:p w:rsidR="006D4A7B" w:rsidRPr="00DA1726" w:rsidRDefault="00162483"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Adicionalmente se utilizó</w:t>
      </w:r>
      <w:r w:rsidR="00780C0A" w:rsidRPr="00DA1726">
        <w:rPr>
          <w:rFonts w:ascii="Times New Roman" w:hAnsi="Times New Roman"/>
          <w:sz w:val="28"/>
          <w:szCs w:val="28"/>
          <w:lang w:val="es-ES_tradnl"/>
        </w:rPr>
        <w:t xml:space="preserve"> un criterio vali</w:t>
      </w:r>
      <w:r w:rsidRPr="00DA1726">
        <w:rPr>
          <w:rFonts w:ascii="Times New Roman" w:hAnsi="Times New Roman"/>
          <w:sz w:val="28"/>
          <w:szCs w:val="28"/>
          <w:lang w:val="es-ES_tradnl"/>
        </w:rPr>
        <w:t>dador - la existencia del servicio de unidad de cuidado intensivo- el cual disminuye la brecha en la comparación de IPS, facilitando la comparación entre prestadores cuya complejidad sea similar. No obstante lo anterior no garantiza completamente homogenización de criterios de evaluación que permitan una categorización equitativa.</w:t>
      </w:r>
      <w:r w:rsidR="006D4A7B" w:rsidRPr="00DA1726">
        <w:rPr>
          <w:rFonts w:ascii="Times New Roman" w:hAnsi="Times New Roman"/>
          <w:sz w:val="28"/>
          <w:szCs w:val="28"/>
          <w:lang w:val="es-ES_tradnl"/>
        </w:rPr>
        <w:t xml:space="preserve"> </w:t>
      </w:r>
      <w:r w:rsidR="00915826" w:rsidRPr="00DA1726">
        <w:rPr>
          <w:rFonts w:ascii="Times New Roman" w:hAnsi="Times New Roman"/>
          <w:sz w:val="28"/>
          <w:szCs w:val="28"/>
          <w:lang w:val="es-ES_tradnl"/>
        </w:rPr>
        <w:t xml:space="preserve">A manera de conclusión </w:t>
      </w:r>
      <w:r w:rsidR="006D4A7B" w:rsidRPr="00DA1726">
        <w:rPr>
          <w:rFonts w:ascii="Times New Roman" w:hAnsi="Times New Roman"/>
          <w:sz w:val="28"/>
          <w:szCs w:val="28"/>
          <w:lang w:val="es-ES_tradnl"/>
        </w:rPr>
        <w:t>resaltaron:</w:t>
      </w:r>
    </w:p>
    <w:p w:rsidR="006D4A7B" w:rsidRPr="00DA1726" w:rsidRDefault="006D4A7B" w:rsidP="00DA1726">
      <w:pPr>
        <w:pStyle w:val="Style9"/>
        <w:ind w:left="1" w:right="51"/>
        <w:rPr>
          <w:rFonts w:ascii="Times New Roman" w:hAnsi="Times New Roman"/>
          <w:sz w:val="28"/>
          <w:szCs w:val="28"/>
          <w:lang w:val="es-ES_tradnl"/>
        </w:rPr>
      </w:pPr>
    </w:p>
    <w:p w:rsidR="00162483" w:rsidRPr="00DA1726" w:rsidRDefault="006D4A7B"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 C</w:t>
      </w:r>
      <w:r w:rsidR="00162483" w:rsidRPr="00DA1726">
        <w:rPr>
          <w:rFonts w:ascii="Times New Roman" w:hAnsi="Times New Roman"/>
          <w:sz w:val="28"/>
          <w:szCs w:val="28"/>
          <w:lang w:val="es-ES_tradnl"/>
        </w:rPr>
        <w:t xml:space="preserve">omo resultado final se pueden observar 13 ordenamientos o </w:t>
      </w:r>
      <w:r w:rsidR="008D66F1" w:rsidRPr="00DA1726">
        <w:rPr>
          <w:rFonts w:ascii="Times New Roman" w:hAnsi="Times New Roman"/>
          <w:i/>
          <w:sz w:val="28"/>
          <w:szCs w:val="28"/>
          <w:lang w:val="es-ES_tradnl"/>
        </w:rPr>
        <w:t>ranking</w:t>
      </w:r>
      <w:r w:rsidR="00162483" w:rsidRPr="00DA1726">
        <w:rPr>
          <w:rFonts w:ascii="Times New Roman" w:hAnsi="Times New Roman"/>
          <w:sz w:val="28"/>
          <w:szCs w:val="28"/>
          <w:lang w:val="es-ES_tradnl"/>
        </w:rPr>
        <w:t xml:space="preserve">s que agrupa en total </w:t>
      </w:r>
      <w:r w:rsidR="00162483" w:rsidRPr="00DA1726">
        <w:rPr>
          <w:rFonts w:ascii="Times New Roman" w:hAnsi="Times New Roman"/>
          <w:bCs/>
          <w:sz w:val="28"/>
          <w:szCs w:val="28"/>
          <w:lang w:val="es-ES_tradnl"/>
        </w:rPr>
        <w:t xml:space="preserve">18.704 </w:t>
      </w:r>
      <w:r w:rsidR="00EA4FAC" w:rsidRPr="00DA1726">
        <w:rPr>
          <w:rFonts w:ascii="Times New Roman" w:hAnsi="Times New Roman"/>
          <w:bCs/>
          <w:sz w:val="28"/>
          <w:szCs w:val="28"/>
          <w:lang w:val="es-ES_tradnl"/>
        </w:rPr>
        <w:t>IPS</w:t>
      </w:r>
      <w:r w:rsidR="00162483" w:rsidRPr="00DA1726">
        <w:rPr>
          <w:rFonts w:ascii="Times New Roman" w:hAnsi="Times New Roman"/>
          <w:b/>
          <w:bCs/>
          <w:sz w:val="28"/>
          <w:szCs w:val="28"/>
          <w:lang w:val="es-ES_tradnl"/>
        </w:rPr>
        <w:t xml:space="preserve"> </w:t>
      </w:r>
      <w:r w:rsidR="00162483" w:rsidRPr="00DA1726">
        <w:rPr>
          <w:rFonts w:ascii="Times New Roman" w:hAnsi="Times New Roman"/>
          <w:sz w:val="28"/>
          <w:szCs w:val="28"/>
          <w:lang w:val="es-ES_tradnl"/>
        </w:rPr>
        <w:t>que son evaluadas en relación con el servicio u at</w:t>
      </w:r>
      <w:r w:rsidR="00116F6B" w:rsidRPr="00DA1726">
        <w:rPr>
          <w:rFonts w:ascii="Times New Roman" w:hAnsi="Times New Roman"/>
          <w:sz w:val="28"/>
          <w:szCs w:val="28"/>
          <w:lang w:val="es-ES_tradnl"/>
        </w:rPr>
        <w:t>ributo de la calidad. Siendo la</w:t>
      </w:r>
      <w:r w:rsidR="00162483" w:rsidRPr="00DA1726">
        <w:rPr>
          <w:rFonts w:ascii="Times New Roman" w:hAnsi="Times New Roman"/>
          <w:sz w:val="28"/>
          <w:szCs w:val="28"/>
          <w:lang w:val="es-ES_tradnl"/>
        </w:rPr>
        <w:t xml:space="preserve">s </w:t>
      </w:r>
      <w:r w:rsidR="000C6CC4" w:rsidRPr="00DA1726">
        <w:rPr>
          <w:rFonts w:ascii="Times New Roman" w:hAnsi="Times New Roman"/>
          <w:sz w:val="28"/>
          <w:szCs w:val="28"/>
          <w:lang w:val="es-ES_tradnl"/>
        </w:rPr>
        <w:t>prestadoras</w:t>
      </w:r>
      <w:r w:rsidR="00162483" w:rsidRPr="00DA1726">
        <w:rPr>
          <w:rFonts w:ascii="Times New Roman" w:hAnsi="Times New Roman"/>
          <w:sz w:val="28"/>
          <w:szCs w:val="28"/>
          <w:lang w:val="es-ES_tradnl"/>
        </w:rPr>
        <w:t xml:space="preserve"> con mejor desempeño las que ocupan</w:t>
      </w:r>
      <w:r w:rsidR="00116F6B" w:rsidRPr="00DA1726">
        <w:rPr>
          <w:rFonts w:ascii="Times New Roman" w:hAnsi="Times New Roman"/>
          <w:sz w:val="28"/>
          <w:szCs w:val="28"/>
          <w:lang w:val="es-ES_tradnl"/>
        </w:rPr>
        <w:t xml:space="preserve"> el primer puesto en cada categoría.</w:t>
      </w:r>
    </w:p>
    <w:p w:rsidR="00116F6B" w:rsidRPr="00DA1726" w:rsidRDefault="00116F6B" w:rsidP="00DA1726">
      <w:pPr>
        <w:pStyle w:val="Style9"/>
        <w:ind w:left="1" w:right="51"/>
        <w:rPr>
          <w:rFonts w:ascii="Times New Roman" w:hAnsi="Times New Roman"/>
          <w:sz w:val="28"/>
          <w:szCs w:val="28"/>
          <w:lang w:val="es-ES_tradnl"/>
        </w:rPr>
      </w:pPr>
    </w:p>
    <w:p w:rsidR="00162483" w:rsidRPr="00DA1726" w:rsidRDefault="006D4A7B"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 </w:t>
      </w:r>
      <w:r w:rsidR="00162483" w:rsidRPr="00DA1726">
        <w:rPr>
          <w:rFonts w:ascii="Times New Roman" w:hAnsi="Times New Roman"/>
          <w:sz w:val="28"/>
          <w:szCs w:val="28"/>
          <w:lang w:val="es-ES_tradnl"/>
        </w:rPr>
        <w:t>Cada indicador también está agrupado por Departamento, por lo que de acuerdo al territorio se pueden analizar las cifras.</w:t>
      </w:r>
    </w:p>
    <w:p w:rsidR="00116F6B" w:rsidRPr="00DA1726" w:rsidRDefault="00116F6B" w:rsidP="00DA1726">
      <w:pPr>
        <w:pStyle w:val="Style9"/>
        <w:ind w:right="51"/>
        <w:rPr>
          <w:rFonts w:ascii="Times New Roman" w:hAnsi="Times New Roman"/>
          <w:sz w:val="28"/>
          <w:szCs w:val="28"/>
          <w:lang w:val="es-ES_tradnl"/>
        </w:rPr>
      </w:pPr>
    </w:p>
    <w:p w:rsidR="00162483" w:rsidRPr="00DA1726" w:rsidRDefault="006D4A7B"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 </w:t>
      </w:r>
      <w:r w:rsidR="00162483" w:rsidRPr="00DA1726">
        <w:rPr>
          <w:rFonts w:ascii="Times New Roman" w:hAnsi="Times New Roman"/>
          <w:sz w:val="28"/>
          <w:szCs w:val="28"/>
          <w:lang w:val="es-ES_tradnl"/>
        </w:rPr>
        <w:t>Los datos reflejan las agrupaciones, por lo que se constituyen en aproximaciones del desempeño de una determinada IPS en general y no respecto a un individuo en particular.</w:t>
      </w:r>
    </w:p>
    <w:p w:rsidR="00116F6B" w:rsidRPr="00DA1726" w:rsidRDefault="00116F6B" w:rsidP="00DA1726">
      <w:pPr>
        <w:pStyle w:val="Style9"/>
        <w:ind w:right="51"/>
        <w:rPr>
          <w:rFonts w:ascii="Times New Roman" w:hAnsi="Times New Roman"/>
          <w:sz w:val="28"/>
          <w:szCs w:val="28"/>
          <w:lang w:val="es-ES_tradnl"/>
        </w:rPr>
      </w:pPr>
    </w:p>
    <w:p w:rsidR="00162483" w:rsidRPr="00DA1726" w:rsidRDefault="006D4A7B"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 </w:t>
      </w:r>
      <w:r w:rsidR="00162483" w:rsidRPr="00DA1726">
        <w:rPr>
          <w:rFonts w:ascii="Times New Roman" w:hAnsi="Times New Roman"/>
          <w:sz w:val="28"/>
          <w:szCs w:val="28"/>
          <w:lang w:val="es-ES_tradnl"/>
        </w:rPr>
        <w:t xml:space="preserve">El no reporte de información tiene impacto negativo, por ende, las IPS que </w:t>
      </w:r>
      <w:r w:rsidR="00116F6B" w:rsidRPr="00DA1726">
        <w:rPr>
          <w:rFonts w:ascii="Times New Roman" w:hAnsi="Times New Roman"/>
          <w:sz w:val="28"/>
          <w:szCs w:val="28"/>
          <w:lang w:val="es-ES_tradnl"/>
        </w:rPr>
        <w:t>tenían</w:t>
      </w:r>
      <w:r w:rsidR="00162483" w:rsidRPr="00DA1726">
        <w:rPr>
          <w:rFonts w:ascii="Times New Roman" w:hAnsi="Times New Roman"/>
          <w:sz w:val="28"/>
          <w:szCs w:val="28"/>
          <w:lang w:val="es-ES_tradnl"/>
        </w:rPr>
        <w:t xml:space="preserve"> que reportar y no lo hicieron se encuentran en los puestos más bajos del ordenamiento.</w:t>
      </w:r>
      <w:r w:rsidR="000C6CC4" w:rsidRPr="00DA1726">
        <w:rPr>
          <w:rFonts w:ascii="Times New Roman" w:hAnsi="Times New Roman"/>
          <w:sz w:val="28"/>
          <w:szCs w:val="28"/>
          <w:lang w:val="es-ES_tradnl"/>
        </w:rPr>
        <w:t xml:space="preserve"> Al respecto existe </w:t>
      </w:r>
      <w:r w:rsidR="00162483" w:rsidRPr="00DA1726">
        <w:rPr>
          <w:rFonts w:ascii="Times New Roman" w:hAnsi="Times New Roman"/>
          <w:sz w:val="28"/>
          <w:szCs w:val="28"/>
          <w:lang w:val="es-ES_tradnl"/>
        </w:rPr>
        <w:t xml:space="preserve">un número considerable de no reporte. Se pudo identificar que 10680 </w:t>
      </w:r>
      <w:r w:rsidR="000C6CC4" w:rsidRPr="00DA1726">
        <w:rPr>
          <w:rFonts w:ascii="Times New Roman" w:hAnsi="Times New Roman"/>
          <w:sz w:val="28"/>
          <w:szCs w:val="28"/>
          <w:lang w:val="es-ES_tradnl"/>
        </w:rPr>
        <w:t>prestadoras</w:t>
      </w:r>
      <w:r w:rsidR="00162483" w:rsidRPr="00DA1726">
        <w:rPr>
          <w:rFonts w:ascii="Times New Roman" w:hAnsi="Times New Roman"/>
          <w:sz w:val="28"/>
          <w:szCs w:val="28"/>
          <w:lang w:val="es-ES_tradnl"/>
        </w:rPr>
        <w:t xml:space="preserve"> que tenían que reportar</w:t>
      </w:r>
      <w:r w:rsidR="000C6CC4" w:rsidRPr="00DA1726">
        <w:rPr>
          <w:rFonts w:ascii="Times New Roman" w:hAnsi="Times New Roman"/>
          <w:sz w:val="28"/>
          <w:szCs w:val="28"/>
          <w:lang w:val="es-ES_tradnl"/>
        </w:rPr>
        <w:t xml:space="preserve"> </w:t>
      </w:r>
      <w:r w:rsidR="00162483" w:rsidRPr="00DA1726">
        <w:rPr>
          <w:rFonts w:ascii="Times New Roman" w:hAnsi="Times New Roman"/>
          <w:sz w:val="28"/>
          <w:szCs w:val="28"/>
          <w:lang w:val="es-ES_tradnl"/>
        </w:rPr>
        <w:t>no lo hicieron.</w:t>
      </w:r>
    </w:p>
    <w:p w:rsidR="00116F6B" w:rsidRPr="00DA1726" w:rsidRDefault="00116F6B" w:rsidP="00DA1726">
      <w:pPr>
        <w:pStyle w:val="Style9"/>
        <w:ind w:right="51"/>
        <w:rPr>
          <w:rFonts w:ascii="Times New Roman" w:hAnsi="Times New Roman"/>
          <w:sz w:val="28"/>
          <w:szCs w:val="28"/>
          <w:lang w:val="es-ES_tradnl"/>
        </w:rPr>
      </w:pPr>
    </w:p>
    <w:p w:rsidR="00162483" w:rsidRPr="00DA1726" w:rsidRDefault="006D4A7B"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 </w:t>
      </w:r>
      <w:r w:rsidR="00162483" w:rsidRPr="00DA1726">
        <w:rPr>
          <w:rFonts w:ascii="Times New Roman" w:hAnsi="Times New Roman"/>
          <w:sz w:val="28"/>
          <w:szCs w:val="28"/>
          <w:lang w:val="es-ES_tradnl"/>
        </w:rPr>
        <w:t xml:space="preserve">El autoreporte sigue siendo la fuente de información disponible para este tipo de ordenamiento, pese a las grandes debilidades </w:t>
      </w:r>
      <w:r w:rsidRPr="00DA1726">
        <w:rPr>
          <w:rFonts w:ascii="Times New Roman" w:hAnsi="Times New Roman"/>
          <w:sz w:val="28"/>
          <w:szCs w:val="28"/>
          <w:lang w:val="es-ES_tradnl"/>
        </w:rPr>
        <w:t>que presenta (</w:t>
      </w:r>
      <w:r w:rsidR="00162483" w:rsidRPr="00DA1726">
        <w:rPr>
          <w:rFonts w:ascii="Times New Roman" w:hAnsi="Times New Roman"/>
          <w:sz w:val="28"/>
          <w:szCs w:val="28"/>
          <w:lang w:val="es-ES_tradnl"/>
        </w:rPr>
        <w:t>duplicados, datos inconsistentes o que pudieran no estar reflejando la realidad</w:t>
      </w:r>
      <w:r w:rsidRPr="00DA1726">
        <w:rPr>
          <w:rFonts w:ascii="Times New Roman" w:hAnsi="Times New Roman"/>
          <w:sz w:val="28"/>
          <w:szCs w:val="28"/>
          <w:lang w:val="es-ES_tradnl"/>
        </w:rPr>
        <w:t>)</w:t>
      </w:r>
      <w:r w:rsidR="00162483" w:rsidRPr="00DA1726">
        <w:rPr>
          <w:rFonts w:ascii="Times New Roman" w:hAnsi="Times New Roman"/>
          <w:sz w:val="28"/>
          <w:szCs w:val="28"/>
          <w:lang w:val="es-ES_tradnl"/>
        </w:rPr>
        <w:t>.</w:t>
      </w:r>
    </w:p>
    <w:p w:rsidR="00162483" w:rsidRPr="00DA1726" w:rsidRDefault="00162483" w:rsidP="00DA1726">
      <w:pPr>
        <w:pStyle w:val="Style9"/>
        <w:ind w:left="1" w:right="51"/>
        <w:rPr>
          <w:rFonts w:ascii="Times New Roman" w:hAnsi="Times New Roman"/>
          <w:sz w:val="28"/>
          <w:szCs w:val="28"/>
          <w:lang w:val="es-ES_tradnl"/>
        </w:rPr>
      </w:pPr>
    </w:p>
    <w:p w:rsidR="00BD4BA0" w:rsidRPr="00DA1726" w:rsidRDefault="00BD4BA0" w:rsidP="00DA1726">
      <w:pPr>
        <w:pStyle w:val="Style9"/>
        <w:numPr>
          <w:ilvl w:val="1"/>
          <w:numId w:val="7"/>
        </w:numPr>
        <w:ind w:left="0" w:right="51" w:firstLine="0"/>
        <w:rPr>
          <w:rFonts w:ascii="Times New Roman" w:hAnsi="Times New Roman"/>
          <w:i/>
          <w:sz w:val="28"/>
          <w:szCs w:val="28"/>
          <w:lang w:val="es-ES_tradnl"/>
        </w:rPr>
      </w:pPr>
      <w:r w:rsidRPr="00DA1726">
        <w:rPr>
          <w:rFonts w:ascii="Times New Roman" w:hAnsi="Times New Roman"/>
          <w:i/>
          <w:sz w:val="28"/>
          <w:szCs w:val="28"/>
          <w:lang w:val="es-ES_tradnl"/>
        </w:rPr>
        <w:t>Respuestas otorgadas por los peritos constitucionales voluntarios.</w:t>
      </w:r>
    </w:p>
    <w:p w:rsidR="00BD4BA0" w:rsidRPr="00DA1726" w:rsidRDefault="00BD4BA0" w:rsidP="00DA1726">
      <w:pPr>
        <w:pStyle w:val="Style9"/>
        <w:ind w:right="51"/>
        <w:rPr>
          <w:rFonts w:ascii="Times New Roman" w:hAnsi="Times New Roman"/>
          <w:sz w:val="28"/>
          <w:szCs w:val="28"/>
          <w:lang w:val="es-ES_tradnl"/>
        </w:rPr>
      </w:pPr>
    </w:p>
    <w:p w:rsidR="00F07164" w:rsidRPr="00DA1726" w:rsidRDefault="00F07164" w:rsidP="00DA1726">
      <w:pPr>
        <w:pStyle w:val="Style9"/>
        <w:numPr>
          <w:ilvl w:val="2"/>
          <w:numId w:val="7"/>
        </w:numPr>
        <w:ind w:left="0" w:right="51" w:firstLine="0"/>
        <w:rPr>
          <w:rFonts w:ascii="Times New Roman" w:hAnsi="Times New Roman"/>
          <w:sz w:val="28"/>
          <w:szCs w:val="28"/>
          <w:lang w:val="es-ES_tradnl"/>
        </w:rPr>
      </w:pPr>
      <w:r w:rsidRPr="00DA1726">
        <w:rPr>
          <w:rFonts w:ascii="Times New Roman" w:hAnsi="Times New Roman"/>
          <w:sz w:val="28"/>
          <w:szCs w:val="28"/>
          <w:lang w:val="es-ES_tradnl"/>
        </w:rPr>
        <w:t xml:space="preserve">El 22 de octubre de 2015, la </w:t>
      </w:r>
      <w:r w:rsidRPr="00DA1726">
        <w:rPr>
          <w:rFonts w:ascii="Times New Roman" w:hAnsi="Times New Roman"/>
          <w:b/>
          <w:sz w:val="28"/>
          <w:szCs w:val="28"/>
          <w:lang w:val="es-ES_tradnl"/>
        </w:rPr>
        <w:t>Asociación Colombiana de Empresas</w:t>
      </w:r>
      <w:r w:rsidR="00AF47AF" w:rsidRPr="00DA1726">
        <w:rPr>
          <w:rFonts w:ascii="Times New Roman" w:hAnsi="Times New Roman"/>
          <w:b/>
          <w:sz w:val="28"/>
          <w:szCs w:val="28"/>
          <w:lang w:val="es-ES_tradnl"/>
        </w:rPr>
        <w:t xml:space="preserve"> de Medicina Integral</w:t>
      </w:r>
      <w:r w:rsidR="00AF47AF" w:rsidRPr="00DA1726">
        <w:rPr>
          <w:rFonts w:ascii="Times New Roman" w:hAnsi="Times New Roman"/>
          <w:sz w:val="28"/>
          <w:szCs w:val="28"/>
          <w:lang w:val="es-ES_tradnl"/>
        </w:rPr>
        <w:t xml:space="preserve"> se </w:t>
      </w:r>
      <w:r w:rsidR="00243888" w:rsidRPr="00DA1726">
        <w:rPr>
          <w:rFonts w:ascii="Times New Roman" w:hAnsi="Times New Roman"/>
          <w:sz w:val="28"/>
          <w:szCs w:val="28"/>
          <w:lang w:val="es-ES_tradnl"/>
        </w:rPr>
        <w:t>pronunció en relación</w:t>
      </w:r>
      <w:r w:rsidR="00AF47AF" w:rsidRPr="00DA1726">
        <w:rPr>
          <w:rFonts w:ascii="Times New Roman" w:hAnsi="Times New Roman"/>
          <w:sz w:val="28"/>
          <w:szCs w:val="28"/>
          <w:lang w:val="es-ES_tradnl"/>
        </w:rPr>
        <w:t xml:space="preserve"> a </w:t>
      </w:r>
      <w:r w:rsidR="00AF47AF" w:rsidRPr="00DA1726">
        <w:rPr>
          <w:rFonts w:ascii="Times New Roman" w:hAnsi="Times New Roman"/>
          <w:bCs/>
          <w:sz w:val="28"/>
          <w:szCs w:val="28"/>
          <w:lang w:val="es-ES_tradnl"/>
        </w:rPr>
        <w:t>la medición de EPS</w:t>
      </w:r>
      <w:r w:rsidR="007E67AA" w:rsidRPr="00DA1726">
        <w:rPr>
          <w:rFonts w:ascii="Times New Roman" w:hAnsi="Times New Roman"/>
          <w:bCs/>
          <w:sz w:val="28"/>
          <w:szCs w:val="28"/>
          <w:vertAlign w:val="superscript"/>
          <w:lang w:val="es-ES_tradnl"/>
        </w:rPr>
        <w:footnoteReference w:id="43"/>
      </w:r>
      <w:r w:rsidR="00AF47AF" w:rsidRPr="00DA1726">
        <w:rPr>
          <w:rFonts w:ascii="Times New Roman" w:hAnsi="Times New Roman"/>
          <w:bCs/>
          <w:sz w:val="28"/>
          <w:szCs w:val="28"/>
          <w:lang w:val="es-ES_tradnl"/>
        </w:rPr>
        <w:t xml:space="preserve">, aduciendo que </w:t>
      </w:r>
      <w:r w:rsidRPr="00DA1726">
        <w:rPr>
          <w:rFonts w:ascii="Times New Roman" w:hAnsi="Times New Roman"/>
          <w:sz w:val="28"/>
          <w:szCs w:val="28"/>
          <w:lang w:val="es-ES_tradnl"/>
        </w:rPr>
        <w:t xml:space="preserve">las negaciones de servicios </w:t>
      </w:r>
      <w:r w:rsidRPr="00DA1726">
        <w:rPr>
          <w:rFonts w:ascii="Times New Roman" w:hAnsi="Times New Roman"/>
          <w:bCs/>
          <w:sz w:val="28"/>
          <w:szCs w:val="28"/>
          <w:lang w:val="es-ES_tradnl"/>
        </w:rPr>
        <w:t>no sirven para establecer de manera automática,</w:t>
      </w:r>
      <w:r w:rsidRPr="00DA1726">
        <w:rPr>
          <w:rFonts w:ascii="Times New Roman" w:hAnsi="Times New Roman"/>
          <w:b/>
          <w:bCs/>
          <w:sz w:val="28"/>
          <w:szCs w:val="28"/>
          <w:lang w:val="es-ES_tradnl"/>
        </w:rPr>
        <w:t xml:space="preserve"> </w:t>
      </w:r>
      <w:r w:rsidRPr="00DA1726">
        <w:rPr>
          <w:rFonts w:ascii="Times New Roman" w:hAnsi="Times New Roman"/>
          <w:sz w:val="28"/>
          <w:szCs w:val="28"/>
          <w:lang w:val="es-ES_tradnl"/>
        </w:rPr>
        <w:t xml:space="preserve">cuáles son las entidades promotoras de salud que </w:t>
      </w:r>
      <w:r w:rsidR="00AF47AF" w:rsidRPr="00DA1726">
        <w:rPr>
          <w:rFonts w:ascii="Times New Roman" w:hAnsi="Times New Roman"/>
          <w:sz w:val="28"/>
          <w:szCs w:val="28"/>
          <w:lang w:val="es-ES_tradnl"/>
        </w:rPr>
        <w:t>incurren en violaciones a</w:t>
      </w:r>
      <w:r w:rsidRPr="00DA1726">
        <w:rPr>
          <w:rFonts w:ascii="Times New Roman" w:hAnsi="Times New Roman"/>
          <w:sz w:val="28"/>
          <w:szCs w:val="28"/>
          <w:lang w:val="es-ES_tradnl"/>
        </w:rPr>
        <w:t xml:space="preserve"> la salud</w:t>
      </w:r>
      <w:r w:rsidR="00AF47AF" w:rsidRPr="00DA1726">
        <w:rPr>
          <w:rFonts w:ascii="Times New Roman" w:hAnsi="Times New Roman"/>
          <w:sz w:val="28"/>
          <w:szCs w:val="28"/>
          <w:lang w:val="es-ES_tradnl"/>
        </w:rPr>
        <w:t xml:space="preserve"> de los usuarios.</w:t>
      </w:r>
    </w:p>
    <w:p w:rsidR="00AF47AF" w:rsidRPr="00DA1726" w:rsidRDefault="00AF47AF" w:rsidP="00DA1726">
      <w:pPr>
        <w:pStyle w:val="Style9"/>
        <w:ind w:right="51"/>
        <w:rPr>
          <w:rFonts w:ascii="Times New Roman" w:hAnsi="Times New Roman"/>
          <w:sz w:val="28"/>
          <w:szCs w:val="28"/>
          <w:lang w:val="es-ES_tradnl"/>
        </w:rPr>
      </w:pPr>
    </w:p>
    <w:p w:rsidR="00AF47AF" w:rsidRPr="00DA1726" w:rsidRDefault="00243888"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Indicó que a su juicio e</w:t>
      </w:r>
      <w:r w:rsidR="00AF47AF" w:rsidRPr="00DA1726">
        <w:rPr>
          <w:rFonts w:ascii="Times New Roman" w:hAnsi="Times New Roman"/>
          <w:sz w:val="28"/>
          <w:szCs w:val="28"/>
          <w:lang w:val="es-ES_tradnl"/>
        </w:rPr>
        <w:t>s necesario diferenciar las responsabilidades que tienen las diferentes instituciones que particip</w:t>
      </w:r>
      <w:r w:rsidRPr="00DA1726">
        <w:rPr>
          <w:rFonts w:ascii="Times New Roman" w:hAnsi="Times New Roman"/>
          <w:sz w:val="28"/>
          <w:szCs w:val="28"/>
          <w:lang w:val="es-ES_tradnl"/>
        </w:rPr>
        <w:t>an en el sistema. Refirió</w:t>
      </w:r>
      <w:r w:rsidR="00AF47AF" w:rsidRPr="00DA1726">
        <w:rPr>
          <w:rFonts w:ascii="Times New Roman" w:hAnsi="Times New Roman"/>
          <w:sz w:val="28"/>
          <w:szCs w:val="28"/>
          <w:lang w:val="es-ES_tradnl"/>
        </w:rPr>
        <w:t xml:space="preserve"> que el juez constitucional ha venido asumiendo erradamente que las aseguradoras debe</w:t>
      </w:r>
      <w:r w:rsidR="00F26C6D" w:rsidRPr="00DA1726">
        <w:rPr>
          <w:rFonts w:ascii="Times New Roman" w:hAnsi="Times New Roman"/>
          <w:sz w:val="28"/>
          <w:szCs w:val="28"/>
          <w:lang w:val="es-ES_tradnl"/>
        </w:rPr>
        <w:t>n</w:t>
      </w:r>
      <w:r w:rsidR="00AF47AF" w:rsidRPr="00DA1726">
        <w:rPr>
          <w:rFonts w:ascii="Times New Roman" w:hAnsi="Times New Roman"/>
          <w:sz w:val="28"/>
          <w:szCs w:val="28"/>
          <w:lang w:val="es-ES_tradnl"/>
        </w:rPr>
        <w:t xml:space="preserve"> responder por todas las prestaciones de salud y por todos aquellos servicios que no son propios de salud pero que en determinado momento se requieren para garantizar el acceso a los </w:t>
      </w:r>
      <w:r w:rsidR="000C6CC4" w:rsidRPr="00DA1726">
        <w:rPr>
          <w:rFonts w:ascii="Times New Roman" w:hAnsi="Times New Roman"/>
          <w:sz w:val="28"/>
          <w:szCs w:val="28"/>
          <w:lang w:val="es-ES_tradnl"/>
        </w:rPr>
        <w:t>mismos. En este sentido destaca</w:t>
      </w:r>
      <w:r w:rsidR="00AF47AF" w:rsidRPr="00DA1726">
        <w:rPr>
          <w:rFonts w:ascii="Times New Roman" w:hAnsi="Times New Roman"/>
          <w:sz w:val="28"/>
          <w:szCs w:val="28"/>
          <w:lang w:val="es-ES_tradnl"/>
        </w:rPr>
        <w:t xml:space="preserve">: </w:t>
      </w:r>
    </w:p>
    <w:p w:rsidR="00AF47AF" w:rsidRPr="00DA1726" w:rsidRDefault="00AF47AF" w:rsidP="00DA1726">
      <w:pPr>
        <w:pStyle w:val="Style9"/>
        <w:ind w:right="51"/>
        <w:rPr>
          <w:rFonts w:ascii="Times New Roman" w:hAnsi="Times New Roman"/>
          <w:sz w:val="28"/>
          <w:szCs w:val="28"/>
        </w:rPr>
      </w:pPr>
    </w:p>
    <w:p w:rsidR="00243888" w:rsidRPr="00DA1726" w:rsidRDefault="00AF47AF" w:rsidP="00DA1726">
      <w:pPr>
        <w:pStyle w:val="Style9"/>
        <w:numPr>
          <w:ilvl w:val="0"/>
          <w:numId w:val="43"/>
        </w:numPr>
        <w:ind w:right="51"/>
        <w:rPr>
          <w:rFonts w:ascii="Times New Roman" w:hAnsi="Times New Roman"/>
          <w:sz w:val="28"/>
          <w:szCs w:val="28"/>
        </w:rPr>
      </w:pPr>
      <w:r w:rsidRPr="00DA1726">
        <w:rPr>
          <w:rFonts w:ascii="Times New Roman" w:hAnsi="Times New Roman"/>
          <w:sz w:val="28"/>
          <w:szCs w:val="28"/>
        </w:rPr>
        <w:t xml:space="preserve">No todas las negaciones de servicios desconocen el derecho a la salud del afiliado. </w:t>
      </w:r>
    </w:p>
    <w:p w:rsidR="00243888" w:rsidRPr="00DA1726" w:rsidRDefault="00243888" w:rsidP="00DA1726">
      <w:pPr>
        <w:pStyle w:val="Style9"/>
        <w:ind w:right="51"/>
        <w:rPr>
          <w:rFonts w:ascii="Times New Roman" w:hAnsi="Times New Roman"/>
          <w:sz w:val="28"/>
          <w:szCs w:val="28"/>
        </w:rPr>
      </w:pPr>
    </w:p>
    <w:p w:rsidR="00AF47AF" w:rsidRPr="00DA1726" w:rsidRDefault="00AF47AF" w:rsidP="00DA1726">
      <w:pPr>
        <w:pStyle w:val="Style9"/>
        <w:numPr>
          <w:ilvl w:val="0"/>
          <w:numId w:val="43"/>
        </w:numPr>
        <w:ind w:right="51"/>
        <w:rPr>
          <w:rFonts w:ascii="Times New Roman" w:hAnsi="Times New Roman"/>
          <w:sz w:val="28"/>
          <w:szCs w:val="28"/>
        </w:rPr>
      </w:pPr>
      <w:r w:rsidRPr="00DA1726">
        <w:rPr>
          <w:rFonts w:ascii="Times New Roman" w:hAnsi="Times New Roman"/>
          <w:sz w:val="28"/>
          <w:szCs w:val="28"/>
        </w:rPr>
        <w:t>No puede asumirse automáticamente que una negación de servicios equivale a una violación de un derecho. Hay negaciones pertinentes y la herramienta no permite diferenciar este tipo de situaciones.</w:t>
      </w:r>
    </w:p>
    <w:p w:rsidR="00AF47AF" w:rsidRPr="00DA1726" w:rsidRDefault="00AF47AF" w:rsidP="00DA1726">
      <w:pPr>
        <w:pStyle w:val="Style9"/>
        <w:ind w:right="51"/>
        <w:rPr>
          <w:rFonts w:ascii="Times New Roman" w:hAnsi="Times New Roman"/>
          <w:sz w:val="28"/>
          <w:szCs w:val="28"/>
        </w:rPr>
      </w:pPr>
    </w:p>
    <w:p w:rsidR="00AF47AF" w:rsidRPr="00DA1726" w:rsidRDefault="00AF47AF" w:rsidP="00DA1726">
      <w:pPr>
        <w:pStyle w:val="Style9"/>
        <w:numPr>
          <w:ilvl w:val="0"/>
          <w:numId w:val="43"/>
        </w:numPr>
        <w:ind w:right="51"/>
        <w:rPr>
          <w:rFonts w:ascii="Times New Roman" w:hAnsi="Times New Roman"/>
          <w:sz w:val="28"/>
          <w:szCs w:val="28"/>
        </w:rPr>
      </w:pPr>
      <w:r w:rsidRPr="00DA1726">
        <w:rPr>
          <w:rFonts w:ascii="Times New Roman" w:hAnsi="Times New Roman"/>
          <w:sz w:val="28"/>
          <w:szCs w:val="28"/>
        </w:rPr>
        <w:t>No todos los criterios permiten evaluar la violación de derechos en cabeza de las EPS.</w:t>
      </w:r>
      <w:r w:rsidR="008679D7" w:rsidRPr="00DA1726">
        <w:rPr>
          <w:rFonts w:ascii="Times New Roman" w:hAnsi="Times New Roman"/>
          <w:sz w:val="28"/>
          <w:szCs w:val="28"/>
        </w:rPr>
        <w:t xml:space="preserve"> </w:t>
      </w:r>
    </w:p>
    <w:p w:rsidR="008679D7" w:rsidRPr="00DA1726" w:rsidRDefault="008679D7" w:rsidP="00DA1726">
      <w:pPr>
        <w:pStyle w:val="Style9"/>
        <w:ind w:right="51"/>
        <w:rPr>
          <w:rFonts w:ascii="Times New Roman" w:hAnsi="Times New Roman"/>
          <w:sz w:val="28"/>
          <w:szCs w:val="28"/>
        </w:rPr>
      </w:pPr>
    </w:p>
    <w:p w:rsidR="007F09DE" w:rsidRPr="00DA1726" w:rsidRDefault="008679D7" w:rsidP="00DA1726">
      <w:pPr>
        <w:pStyle w:val="Style9"/>
        <w:numPr>
          <w:ilvl w:val="0"/>
          <w:numId w:val="43"/>
        </w:numPr>
        <w:ind w:right="51"/>
        <w:rPr>
          <w:rFonts w:ascii="Times New Roman" w:hAnsi="Times New Roman"/>
          <w:sz w:val="28"/>
          <w:szCs w:val="28"/>
        </w:rPr>
      </w:pPr>
      <w:r w:rsidRPr="00DA1726">
        <w:rPr>
          <w:rFonts w:ascii="Times New Roman" w:hAnsi="Times New Roman"/>
          <w:sz w:val="28"/>
          <w:szCs w:val="28"/>
          <w:lang w:val="es-ES_tradnl"/>
        </w:rPr>
        <w:t>Se asignan a las EPS responsabilidades que son de terceros</w:t>
      </w:r>
      <w:r w:rsidR="00F26C6D" w:rsidRPr="00DA1726">
        <w:rPr>
          <w:rFonts w:ascii="Times New Roman" w:hAnsi="Times New Roman"/>
          <w:sz w:val="28"/>
          <w:szCs w:val="28"/>
          <w:vertAlign w:val="superscript"/>
        </w:rPr>
        <w:footnoteReference w:id="44"/>
      </w:r>
      <w:r w:rsidR="00F26C6D" w:rsidRPr="00DA1726">
        <w:rPr>
          <w:rFonts w:ascii="Times New Roman" w:hAnsi="Times New Roman"/>
          <w:sz w:val="28"/>
          <w:szCs w:val="28"/>
        </w:rPr>
        <w:t xml:space="preserve">. </w:t>
      </w:r>
    </w:p>
    <w:p w:rsidR="007F09DE" w:rsidRPr="00DA1726" w:rsidRDefault="007F09DE" w:rsidP="00DA1726">
      <w:pPr>
        <w:pStyle w:val="Style9"/>
        <w:ind w:right="51"/>
        <w:rPr>
          <w:rFonts w:ascii="Times New Roman" w:hAnsi="Times New Roman"/>
          <w:sz w:val="28"/>
          <w:szCs w:val="28"/>
        </w:rPr>
      </w:pPr>
    </w:p>
    <w:p w:rsidR="00F26C6D" w:rsidRPr="00DA1726" w:rsidRDefault="00526F00" w:rsidP="00DA1726">
      <w:pPr>
        <w:pStyle w:val="Style9"/>
        <w:ind w:right="51"/>
        <w:rPr>
          <w:rFonts w:ascii="Times New Roman" w:hAnsi="Times New Roman"/>
          <w:sz w:val="28"/>
          <w:szCs w:val="28"/>
          <w:lang w:val="es-ES_tradnl"/>
        </w:rPr>
      </w:pPr>
      <w:r w:rsidRPr="00DA1726">
        <w:rPr>
          <w:rStyle w:val="FontStyle26"/>
          <w:sz w:val="28"/>
          <w:szCs w:val="28"/>
          <w:lang w:val="es-ES_tradnl" w:eastAsia="es-ES_tradnl"/>
        </w:rPr>
        <w:t>Agregó que las</w:t>
      </w:r>
      <w:r w:rsidR="000C6CC4" w:rsidRPr="00DA1726">
        <w:rPr>
          <w:rStyle w:val="FontStyle26"/>
          <w:sz w:val="28"/>
          <w:szCs w:val="28"/>
          <w:lang w:val="es-ES_tradnl" w:eastAsia="es-ES_tradnl"/>
        </w:rPr>
        <w:t xml:space="preserve"> promotoras </w:t>
      </w:r>
      <w:r w:rsidRPr="00DA1726">
        <w:rPr>
          <w:rStyle w:val="FontStyle26"/>
          <w:sz w:val="28"/>
          <w:szCs w:val="28"/>
          <w:lang w:val="es-ES_tradnl" w:eastAsia="es-ES_tradnl"/>
        </w:rPr>
        <w:t>se encuentran en una encrucijada, aplicar</w:t>
      </w:r>
      <w:r w:rsidR="00F26C6D" w:rsidRPr="00DA1726">
        <w:rPr>
          <w:rStyle w:val="FontStyle26"/>
          <w:sz w:val="28"/>
          <w:szCs w:val="28"/>
          <w:lang w:val="es-ES_tradnl" w:eastAsia="es-ES_tradnl"/>
        </w:rPr>
        <w:t xml:space="preserve"> todas las normas vigentes o los criterios jurisprudenciales de la Corte Constitucional, </w:t>
      </w:r>
      <w:r w:rsidRPr="00DA1726">
        <w:rPr>
          <w:rStyle w:val="FontStyle26"/>
          <w:sz w:val="28"/>
          <w:szCs w:val="28"/>
          <w:lang w:val="es-ES_tradnl" w:eastAsia="es-ES_tradnl"/>
        </w:rPr>
        <w:t>lo que genera</w:t>
      </w:r>
      <w:r w:rsidR="00F26C6D" w:rsidRPr="00DA1726">
        <w:rPr>
          <w:rStyle w:val="FontStyle26"/>
          <w:sz w:val="28"/>
          <w:szCs w:val="28"/>
          <w:lang w:val="es-ES_tradnl" w:eastAsia="es-ES_tradnl"/>
        </w:rPr>
        <w:t xml:space="preserve"> </w:t>
      </w:r>
      <w:r w:rsidR="00F26C6D" w:rsidRPr="00DA1726">
        <w:rPr>
          <w:rFonts w:ascii="Times New Roman" w:hAnsi="Times New Roman"/>
          <w:bCs/>
          <w:sz w:val="28"/>
          <w:szCs w:val="28"/>
          <w:lang w:val="es-ES_tradnl"/>
        </w:rPr>
        <w:t>riesgos legales y financieros para las entidades y sus representantes y administradores.</w:t>
      </w:r>
      <w:r w:rsidR="00F26C6D" w:rsidRPr="00DA1726">
        <w:rPr>
          <w:rFonts w:ascii="Times New Roman" w:hAnsi="Times New Roman"/>
          <w:b/>
          <w:bCs/>
          <w:sz w:val="28"/>
          <w:szCs w:val="28"/>
          <w:lang w:val="es-ES_tradnl"/>
        </w:rPr>
        <w:t xml:space="preserve"> </w:t>
      </w:r>
      <w:r w:rsidR="00F26C6D" w:rsidRPr="00DA1726">
        <w:rPr>
          <w:rFonts w:ascii="Times New Roman" w:hAnsi="Times New Roman"/>
          <w:sz w:val="28"/>
          <w:szCs w:val="28"/>
          <w:lang w:val="es-ES_tradnl"/>
        </w:rPr>
        <w:t xml:space="preserve">Se considera que las EPS deben </w:t>
      </w:r>
      <w:r w:rsidRPr="00DA1726">
        <w:rPr>
          <w:rFonts w:ascii="Times New Roman" w:hAnsi="Times New Roman"/>
          <w:i/>
          <w:sz w:val="28"/>
          <w:szCs w:val="28"/>
          <w:lang w:val="es-ES_tradnl"/>
        </w:rPr>
        <w:t>“inaplicar”</w:t>
      </w:r>
      <w:r w:rsidR="00F26C6D" w:rsidRPr="00DA1726">
        <w:rPr>
          <w:rFonts w:ascii="Times New Roman" w:hAnsi="Times New Roman"/>
          <w:sz w:val="28"/>
          <w:szCs w:val="28"/>
          <w:lang w:val="es-ES_tradnl"/>
        </w:rPr>
        <w:t xml:space="preserve"> de manera generalizada las normas cuando se trata del derecho a la salud, sin tener en cuenta que muchas de esas negaciones debe realizarlas en cumpl</w:t>
      </w:r>
      <w:r w:rsidRPr="00DA1726">
        <w:rPr>
          <w:rFonts w:ascii="Times New Roman" w:hAnsi="Times New Roman"/>
          <w:sz w:val="28"/>
          <w:szCs w:val="28"/>
          <w:lang w:val="es-ES_tradnl"/>
        </w:rPr>
        <w:t>imiento de las normas vigentes.</w:t>
      </w:r>
    </w:p>
    <w:p w:rsidR="00526F00" w:rsidRPr="00DA1726" w:rsidRDefault="00526F00" w:rsidP="00DA1726">
      <w:pPr>
        <w:pStyle w:val="Style9"/>
        <w:ind w:right="51"/>
        <w:rPr>
          <w:rFonts w:ascii="Times New Roman" w:hAnsi="Times New Roman"/>
          <w:sz w:val="28"/>
          <w:szCs w:val="28"/>
          <w:lang w:val="es-ES_tradnl"/>
        </w:rPr>
      </w:pPr>
    </w:p>
    <w:p w:rsidR="00526F00" w:rsidRPr="00DA1726" w:rsidRDefault="00526F00" w:rsidP="00DA1726">
      <w:pPr>
        <w:pStyle w:val="Style9"/>
        <w:ind w:right="51"/>
        <w:rPr>
          <w:rFonts w:ascii="Times New Roman" w:hAnsi="Times New Roman"/>
          <w:sz w:val="28"/>
          <w:szCs w:val="28"/>
          <w:lang w:val="es-ES_tradnl"/>
        </w:rPr>
      </w:pPr>
      <w:r w:rsidRPr="00DA1726">
        <w:rPr>
          <w:rFonts w:ascii="Times New Roman" w:hAnsi="Times New Roman"/>
          <w:bCs/>
          <w:sz w:val="28"/>
          <w:szCs w:val="28"/>
          <w:lang w:val="es-ES_tradnl"/>
        </w:rPr>
        <w:t xml:space="preserve">Respecto </w:t>
      </w:r>
      <w:r w:rsidR="00243888" w:rsidRPr="00DA1726">
        <w:rPr>
          <w:rFonts w:ascii="Times New Roman" w:hAnsi="Times New Roman"/>
          <w:bCs/>
          <w:sz w:val="28"/>
          <w:szCs w:val="28"/>
          <w:lang w:val="es-ES_tradnl"/>
        </w:rPr>
        <w:t>de</w:t>
      </w:r>
      <w:r w:rsidRPr="00DA1726">
        <w:rPr>
          <w:rFonts w:ascii="Times New Roman" w:hAnsi="Times New Roman"/>
          <w:bCs/>
          <w:sz w:val="28"/>
          <w:szCs w:val="28"/>
          <w:lang w:val="es-ES_tradnl"/>
        </w:rPr>
        <w:t xml:space="preserve"> las IPS</w:t>
      </w:r>
      <w:r w:rsidR="00DC3497" w:rsidRPr="00DA1726">
        <w:rPr>
          <w:rFonts w:ascii="Times New Roman" w:hAnsi="Times New Roman"/>
          <w:bCs/>
          <w:sz w:val="28"/>
          <w:szCs w:val="28"/>
          <w:lang w:val="es-ES_tradnl"/>
        </w:rPr>
        <w:t xml:space="preserve"> afirmó que e</w:t>
      </w:r>
      <w:r w:rsidRPr="00DA1726">
        <w:rPr>
          <w:rFonts w:ascii="Times New Roman" w:hAnsi="Times New Roman"/>
          <w:sz w:val="28"/>
          <w:szCs w:val="28"/>
          <w:lang w:val="es-ES_tradnl"/>
        </w:rPr>
        <w:t>s fundamental para garantizar una información clara en el sistema que estas entidades sean evaluadas y que los resultados estén</w:t>
      </w:r>
      <w:r w:rsidR="00DC3497" w:rsidRPr="00DA1726">
        <w:rPr>
          <w:rFonts w:ascii="Times New Roman" w:hAnsi="Times New Roman"/>
          <w:sz w:val="28"/>
          <w:szCs w:val="28"/>
          <w:lang w:val="es-ES_tradnl"/>
        </w:rPr>
        <w:t xml:space="preserve"> disponibles para los afiliados, lo que permite </w:t>
      </w:r>
      <w:r w:rsidRPr="00DA1726">
        <w:rPr>
          <w:rFonts w:ascii="Times New Roman" w:hAnsi="Times New Roman"/>
          <w:sz w:val="28"/>
          <w:szCs w:val="28"/>
          <w:lang w:val="es-ES_tradnl"/>
        </w:rPr>
        <w:t xml:space="preserve">estimular </w:t>
      </w:r>
      <w:r w:rsidR="00720B79" w:rsidRPr="00DA1726">
        <w:rPr>
          <w:rFonts w:ascii="Times New Roman" w:hAnsi="Times New Roman"/>
          <w:sz w:val="28"/>
          <w:szCs w:val="28"/>
          <w:lang w:val="es-ES_tradnl"/>
        </w:rPr>
        <w:t>su</w:t>
      </w:r>
      <w:r w:rsidRPr="00DA1726">
        <w:rPr>
          <w:rFonts w:ascii="Times New Roman" w:hAnsi="Times New Roman"/>
          <w:sz w:val="28"/>
          <w:szCs w:val="28"/>
          <w:lang w:val="es-ES_tradnl"/>
        </w:rPr>
        <w:t xml:space="preserve"> mejoramiento y </w:t>
      </w:r>
      <w:r w:rsidR="00720B79" w:rsidRPr="00DA1726">
        <w:rPr>
          <w:rFonts w:ascii="Times New Roman" w:hAnsi="Times New Roman"/>
          <w:sz w:val="28"/>
          <w:szCs w:val="28"/>
          <w:lang w:val="es-ES_tradnl"/>
        </w:rPr>
        <w:t>genera</w:t>
      </w:r>
      <w:r w:rsidRPr="00DA1726">
        <w:rPr>
          <w:rFonts w:ascii="Times New Roman" w:hAnsi="Times New Roman"/>
          <w:sz w:val="28"/>
          <w:szCs w:val="28"/>
          <w:lang w:val="es-ES_tradnl"/>
        </w:rPr>
        <w:t xml:space="preserve"> un mayor control social.</w:t>
      </w:r>
      <w:r w:rsidR="00720B79" w:rsidRPr="00DA1726">
        <w:rPr>
          <w:rFonts w:ascii="Times New Roman" w:hAnsi="Times New Roman"/>
          <w:sz w:val="28"/>
          <w:szCs w:val="28"/>
          <w:lang w:val="es-ES_tradnl"/>
        </w:rPr>
        <w:t xml:space="preserve"> Para tal fin advirtió que es importante</w:t>
      </w:r>
      <w:r w:rsidRPr="00DA1726">
        <w:rPr>
          <w:rFonts w:ascii="Times New Roman" w:hAnsi="Times New Roman"/>
          <w:sz w:val="28"/>
          <w:szCs w:val="28"/>
          <w:lang w:val="es-ES_tradnl"/>
        </w:rPr>
        <w:t xml:space="preserve"> definir un instrumento con indicadore</w:t>
      </w:r>
      <w:r w:rsidR="000C6CC4" w:rsidRPr="00DA1726">
        <w:rPr>
          <w:rFonts w:ascii="Times New Roman" w:hAnsi="Times New Roman"/>
          <w:sz w:val="28"/>
          <w:szCs w:val="28"/>
          <w:lang w:val="es-ES_tradnl"/>
        </w:rPr>
        <w:t>s específicos que puedan medir su</w:t>
      </w:r>
      <w:r w:rsidRPr="00DA1726">
        <w:rPr>
          <w:rFonts w:ascii="Times New Roman" w:hAnsi="Times New Roman"/>
          <w:sz w:val="28"/>
          <w:szCs w:val="28"/>
          <w:lang w:val="es-ES_tradnl"/>
        </w:rPr>
        <w:t xml:space="preserve"> gestión </w:t>
      </w:r>
      <w:r w:rsidR="00720B79" w:rsidRPr="00DA1726">
        <w:rPr>
          <w:rFonts w:ascii="Times New Roman" w:hAnsi="Times New Roman"/>
          <w:sz w:val="28"/>
          <w:szCs w:val="28"/>
          <w:lang w:val="es-ES_tradnl"/>
        </w:rPr>
        <w:t>e</w:t>
      </w:r>
      <w:r w:rsidRPr="00DA1726">
        <w:rPr>
          <w:rFonts w:ascii="Times New Roman" w:hAnsi="Times New Roman"/>
          <w:sz w:val="28"/>
          <w:szCs w:val="28"/>
          <w:lang w:val="es-ES_tradnl"/>
        </w:rPr>
        <w:t xml:space="preserve"> identificar las prácticas v</w:t>
      </w:r>
      <w:r w:rsidR="000C6CC4" w:rsidRPr="00DA1726">
        <w:rPr>
          <w:rFonts w:ascii="Times New Roman" w:hAnsi="Times New Roman"/>
          <w:sz w:val="28"/>
          <w:szCs w:val="28"/>
          <w:lang w:val="es-ES_tradnl"/>
        </w:rPr>
        <w:t>iolatorias del derecho que pueda</w:t>
      </w:r>
      <w:r w:rsidRPr="00DA1726">
        <w:rPr>
          <w:rFonts w:ascii="Times New Roman" w:hAnsi="Times New Roman"/>
          <w:sz w:val="28"/>
          <w:szCs w:val="28"/>
          <w:lang w:val="es-ES_tradnl"/>
        </w:rPr>
        <w:t>n darse en este nivel.</w:t>
      </w:r>
    </w:p>
    <w:p w:rsidR="00720B79" w:rsidRPr="00DA1726" w:rsidRDefault="00720B79" w:rsidP="00DA1726">
      <w:pPr>
        <w:pStyle w:val="Style9"/>
        <w:ind w:right="51"/>
        <w:rPr>
          <w:rFonts w:ascii="Times New Roman" w:hAnsi="Times New Roman"/>
          <w:sz w:val="28"/>
          <w:szCs w:val="28"/>
          <w:lang w:val="es-ES_tradnl"/>
        </w:rPr>
      </w:pPr>
    </w:p>
    <w:p w:rsidR="003D4F27" w:rsidRPr="00DA1726" w:rsidRDefault="006B56D7" w:rsidP="00DA1726">
      <w:pPr>
        <w:pStyle w:val="Style9"/>
        <w:numPr>
          <w:ilvl w:val="2"/>
          <w:numId w:val="7"/>
        </w:numPr>
        <w:ind w:left="0" w:right="51" w:firstLine="0"/>
        <w:rPr>
          <w:rFonts w:ascii="Times New Roman" w:hAnsi="Times New Roman"/>
          <w:sz w:val="28"/>
          <w:szCs w:val="28"/>
          <w:lang w:val="es-ES_tradnl"/>
        </w:rPr>
      </w:pPr>
      <w:r w:rsidRPr="00DA1726">
        <w:rPr>
          <w:rFonts w:ascii="Times New Roman" w:hAnsi="Times New Roman"/>
          <w:sz w:val="28"/>
          <w:szCs w:val="28"/>
          <w:lang w:val="es-ES_tradnl"/>
        </w:rPr>
        <w:t xml:space="preserve">El 23 de octubre de 2015 </w:t>
      </w:r>
      <w:r w:rsidRPr="00DA1726">
        <w:rPr>
          <w:rFonts w:ascii="Times New Roman" w:hAnsi="Times New Roman"/>
          <w:b/>
          <w:sz w:val="28"/>
          <w:szCs w:val="28"/>
          <w:lang w:val="es-ES_tradnl"/>
        </w:rPr>
        <w:t>el observatorio “Así Vamos en Salud”</w:t>
      </w:r>
      <w:r w:rsidR="007E67AA" w:rsidRPr="00DA1726">
        <w:rPr>
          <w:rFonts w:ascii="Times New Roman" w:hAnsi="Times New Roman"/>
          <w:b/>
          <w:sz w:val="28"/>
          <w:szCs w:val="28"/>
          <w:vertAlign w:val="superscript"/>
          <w:lang w:val="es-ES_tradnl"/>
        </w:rPr>
        <w:footnoteReference w:id="45"/>
      </w:r>
      <w:r w:rsidRPr="00DA1726">
        <w:rPr>
          <w:rFonts w:ascii="Times New Roman" w:hAnsi="Times New Roman"/>
          <w:sz w:val="28"/>
          <w:szCs w:val="28"/>
          <w:lang w:val="es-ES_tradnl"/>
        </w:rPr>
        <w:t xml:space="preserve"> señaló </w:t>
      </w:r>
      <w:r w:rsidR="003D4F27" w:rsidRPr="00DA1726">
        <w:rPr>
          <w:rFonts w:ascii="Times New Roman" w:hAnsi="Times New Roman"/>
          <w:sz w:val="28"/>
          <w:szCs w:val="28"/>
          <w:lang w:val="es-ES_tradnl"/>
        </w:rPr>
        <w:t xml:space="preserve">que </w:t>
      </w:r>
      <w:r w:rsidRPr="00DA1726">
        <w:rPr>
          <w:rFonts w:ascii="Times New Roman" w:hAnsi="Times New Roman"/>
          <w:sz w:val="28"/>
          <w:szCs w:val="28"/>
          <w:lang w:val="es-ES_tradnl"/>
        </w:rPr>
        <w:t xml:space="preserve">aunque se presentan avances </w:t>
      </w:r>
      <w:r w:rsidR="003D4F27" w:rsidRPr="00DA1726">
        <w:rPr>
          <w:rFonts w:ascii="Times New Roman" w:hAnsi="Times New Roman"/>
          <w:sz w:val="28"/>
          <w:szCs w:val="28"/>
          <w:lang w:val="es-ES_tradnl"/>
        </w:rPr>
        <w:t xml:space="preserve">en relación con </w:t>
      </w:r>
      <w:r w:rsidRPr="00DA1726">
        <w:rPr>
          <w:rFonts w:ascii="Times New Roman" w:hAnsi="Times New Roman"/>
          <w:sz w:val="28"/>
          <w:szCs w:val="28"/>
          <w:lang w:val="es-ES_tradnl"/>
        </w:rPr>
        <w:t>los mecanismos para la recolección y poste</w:t>
      </w:r>
      <w:r w:rsidR="00C71AD8" w:rsidRPr="00DA1726">
        <w:rPr>
          <w:rFonts w:ascii="Times New Roman" w:hAnsi="Times New Roman"/>
          <w:sz w:val="28"/>
          <w:szCs w:val="28"/>
          <w:lang w:val="es-ES_tradnl"/>
        </w:rPr>
        <w:t>rior depuración y análisis de los datos</w:t>
      </w:r>
      <w:r w:rsidR="001A438D" w:rsidRPr="00DA1726">
        <w:rPr>
          <w:rFonts w:ascii="Times New Roman" w:hAnsi="Times New Roman"/>
          <w:sz w:val="28"/>
          <w:szCs w:val="28"/>
          <w:lang w:val="es-ES_tradnl"/>
        </w:rPr>
        <w:t xml:space="preserve">, se debe continuar con el seguimiento </w:t>
      </w:r>
      <w:r w:rsidRPr="00DA1726">
        <w:rPr>
          <w:rFonts w:ascii="Times New Roman" w:hAnsi="Times New Roman"/>
          <w:sz w:val="28"/>
          <w:szCs w:val="28"/>
          <w:lang w:val="es-ES_tradnl"/>
        </w:rPr>
        <w:t xml:space="preserve">a los sistemas de información que manejan las </w:t>
      </w:r>
      <w:r w:rsidR="003D4F27" w:rsidRPr="00DA1726">
        <w:rPr>
          <w:rFonts w:ascii="Times New Roman" w:hAnsi="Times New Roman"/>
          <w:sz w:val="28"/>
          <w:szCs w:val="28"/>
          <w:lang w:val="es-ES_tradnl"/>
        </w:rPr>
        <w:t>aseguradoras</w:t>
      </w:r>
      <w:r w:rsidRPr="00DA1726">
        <w:rPr>
          <w:rFonts w:ascii="Times New Roman" w:hAnsi="Times New Roman"/>
          <w:sz w:val="28"/>
          <w:szCs w:val="28"/>
          <w:lang w:val="es-ES_tradnl"/>
        </w:rPr>
        <w:t>, puesto que</w:t>
      </w:r>
      <w:r w:rsidR="00243888" w:rsidRPr="00DA1726">
        <w:rPr>
          <w:rFonts w:ascii="Times New Roman" w:hAnsi="Times New Roman"/>
          <w:sz w:val="28"/>
          <w:szCs w:val="28"/>
          <w:lang w:val="es-ES_tradnl"/>
        </w:rPr>
        <w:t xml:space="preserve"> siguen evidenciando falencias</w:t>
      </w:r>
      <w:r w:rsidRPr="00DA1726">
        <w:rPr>
          <w:rFonts w:ascii="Times New Roman" w:hAnsi="Times New Roman"/>
          <w:sz w:val="28"/>
          <w:szCs w:val="28"/>
          <w:lang w:val="es-ES_tradnl"/>
        </w:rPr>
        <w:t xml:space="preserve"> en la calidad </w:t>
      </w:r>
      <w:r w:rsidR="003D4F27" w:rsidRPr="00DA1726">
        <w:rPr>
          <w:rFonts w:ascii="Times New Roman" w:hAnsi="Times New Roman"/>
          <w:sz w:val="28"/>
          <w:szCs w:val="28"/>
          <w:lang w:val="es-ES_tradnl"/>
        </w:rPr>
        <w:t>y</w:t>
      </w:r>
      <w:r w:rsidRPr="00DA1726">
        <w:rPr>
          <w:rFonts w:ascii="Times New Roman" w:hAnsi="Times New Roman"/>
          <w:sz w:val="28"/>
          <w:szCs w:val="28"/>
          <w:lang w:val="es-ES_tradnl"/>
        </w:rPr>
        <w:t xml:space="preserve"> la obligatoriedad del reporte</w:t>
      </w:r>
      <w:r w:rsidR="003D4F27" w:rsidRPr="00DA1726">
        <w:rPr>
          <w:rFonts w:ascii="Times New Roman" w:hAnsi="Times New Roman"/>
          <w:sz w:val="28"/>
          <w:szCs w:val="28"/>
          <w:lang w:val="es-ES_tradnl"/>
        </w:rPr>
        <w:t>.</w:t>
      </w:r>
    </w:p>
    <w:p w:rsidR="003D4F27" w:rsidRPr="00DA1726" w:rsidRDefault="003D4F27" w:rsidP="00DA1726">
      <w:pPr>
        <w:pStyle w:val="Style9"/>
        <w:ind w:right="51"/>
        <w:rPr>
          <w:rFonts w:ascii="Times New Roman" w:hAnsi="Times New Roman"/>
          <w:sz w:val="28"/>
          <w:szCs w:val="28"/>
          <w:lang w:val="es-ES_tradnl"/>
        </w:rPr>
      </w:pPr>
    </w:p>
    <w:p w:rsidR="008E6E05" w:rsidRPr="00DA1726" w:rsidRDefault="00B519F4"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Resaltó que </w:t>
      </w:r>
      <w:r w:rsidR="008E6E05" w:rsidRPr="00DA1726">
        <w:rPr>
          <w:rFonts w:ascii="Times New Roman" w:hAnsi="Times New Roman"/>
          <w:sz w:val="28"/>
          <w:szCs w:val="28"/>
          <w:lang w:val="es-ES_tradnl"/>
        </w:rPr>
        <w:t xml:space="preserve">esta medición constituye en una herramienta de seguimiento pertinente en la medida que permite dar a conocer cuales </w:t>
      </w:r>
      <w:r w:rsidR="00EA4FAC" w:rsidRPr="00DA1726">
        <w:rPr>
          <w:rFonts w:ascii="Times New Roman" w:hAnsi="Times New Roman"/>
          <w:sz w:val="28"/>
          <w:szCs w:val="28"/>
          <w:lang w:val="es-ES_tradnl"/>
        </w:rPr>
        <w:t>EPS</w:t>
      </w:r>
      <w:r w:rsidR="008E6E05" w:rsidRPr="00DA1726">
        <w:rPr>
          <w:rFonts w:ascii="Times New Roman" w:hAnsi="Times New Roman"/>
          <w:sz w:val="28"/>
          <w:szCs w:val="28"/>
          <w:lang w:val="es-ES_tradnl"/>
        </w:rPr>
        <w:t xml:space="preserve"> han realizado acciones en pro de mejorar </w:t>
      </w:r>
      <w:r w:rsidR="006601B0" w:rsidRPr="00DA1726">
        <w:rPr>
          <w:rFonts w:ascii="Times New Roman" w:hAnsi="Times New Roman"/>
          <w:sz w:val="28"/>
          <w:szCs w:val="28"/>
          <w:lang w:val="es-ES_tradnl"/>
        </w:rPr>
        <w:t xml:space="preserve">en </w:t>
      </w:r>
      <w:r w:rsidR="008E6E05" w:rsidRPr="00DA1726">
        <w:rPr>
          <w:rFonts w:ascii="Times New Roman" w:hAnsi="Times New Roman"/>
          <w:sz w:val="28"/>
          <w:szCs w:val="28"/>
          <w:lang w:val="es-ES_tradnl"/>
        </w:rPr>
        <w:t>cada uno de los criterios evaluados</w:t>
      </w:r>
      <w:r w:rsidR="001D64B2" w:rsidRPr="00DA1726">
        <w:rPr>
          <w:rFonts w:ascii="Times New Roman" w:hAnsi="Times New Roman"/>
          <w:sz w:val="28"/>
          <w:szCs w:val="28"/>
          <w:lang w:val="es-ES_tradnl"/>
        </w:rPr>
        <w:t xml:space="preserve"> y de esta manera </w:t>
      </w:r>
      <w:r w:rsidR="008E6E05" w:rsidRPr="00DA1726">
        <w:rPr>
          <w:rFonts w:ascii="Times New Roman" w:hAnsi="Times New Roman"/>
          <w:sz w:val="28"/>
          <w:szCs w:val="28"/>
          <w:lang w:val="es-ES_tradnl"/>
        </w:rPr>
        <w:t>avanzar hacia la disminución de las barreras de acceso que limitan el goce efectivo del derecho a la salud por parte de los usuarios del sistema.</w:t>
      </w:r>
    </w:p>
    <w:p w:rsidR="008E6E05" w:rsidRPr="00DA1726" w:rsidRDefault="008E6E05" w:rsidP="00DA1726">
      <w:pPr>
        <w:pStyle w:val="Style9"/>
        <w:ind w:right="51"/>
        <w:rPr>
          <w:rFonts w:ascii="Times New Roman" w:hAnsi="Times New Roman"/>
          <w:sz w:val="28"/>
          <w:szCs w:val="28"/>
          <w:lang w:val="es-ES_tradnl"/>
        </w:rPr>
      </w:pPr>
    </w:p>
    <w:p w:rsidR="00B519F4" w:rsidRPr="00DA1726" w:rsidRDefault="000A57E2"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Añadió que p</w:t>
      </w:r>
      <w:r w:rsidR="00B519F4" w:rsidRPr="00DA1726">
        <w:rPr>
          <w:rFonts w:ascii="Times New Roman" w:hAnsi="Times New Roman"/>
          <w:sz w:val="28"/>
          <w:szCs w:val="28"/>
          <w:lang w:val="es-ES_tradnl"/>
        </w:rPr>
        <w:t>ara que esta información sea</w:t>
      </w:r>
      <w:r w:rsidRPr="00DA1726">
        <w:rPr>
          <w:rFonts w:ascii="Times New Roman" w:hAnsi="Times New Roman"/>
          <w:sz w:val="28"/>
          <w:szCs w:val="28"/>
          <w:lang w:val="es-ES_tradnl"/>
        </w:rPr>
        <w:t xml:space="preserve"> de utilidad para los usuarios</w:t>
      </w:r>
      <w:r w:rsidR="00B519F4" w:rsidRPr="00DA1726">
        <w:rPr>
          <w:rFonts w:ascii="Times New Roman" w:hAnsi="Times New Roman"/>
          <w:sz w:val="28"/>
          <w:szCs w:val="28"/>
          <w:lang w:val="es-ES_tradnl"/>
        </w:rPr>
        <w:t xml:space="preserve"> </w:t>
      </w:r>
      <w:r w:rsidRPr="00DA1726">
        <w:rPr>
          <w:rFonts w:ascii="Times New Roman" w:hAnsi="Times New Roman"/>
          <w:sz w:val="28"/>
          <w:szCs w:val="28"/>
          <w:lang w:val="es-ES_tradnl"/>
        </w:rPr>
        <w:t>al momento de tomar una decisión respecto de su afiliación</w:t>
      </w:r>
      <w:r w:rsidR="00B519F4" w:rsidRPr="00DA1726">
        <w:rPr>
          <w:rFonts w:ascii="Times New Roman" w:hAnsi="Times New Roman"/>
          <w:sz w:val="28"/>
          <w:szCs w:val="28"/>
          <w:lang w:val="es-ES_tradnl"/>
        </w:rPr>
        <w:t xml:space="preserve">, esta debe </w:t>
      </w:r>
      <w:r w:rsidRPr="00DA1726">
        <w:rPr>
          <w:rFonts w:ascii="Times New Roman" w:hAnsi="Times New Roman"/>
          <w:sz w:val="28"/>
          <w:szCs w:val="28"/>
          <w:lang w:val="es-ES_tradnl"/>
        </w:rPr>
        <w:t>estar a disposición en un</w:t>
      </w:r>
      <w:r w:rsidR="00B519F4" w:rsidRPr="00DA1726">
        <w:rPr>
          <w:rFonts w:ascii="Times New Roman" w:hAnsi="Times New Roman"/>
          <w:sz w:val="28"/>
          <w:szCs w:val="28"/>
          <w:lang w:val="es-ES_tradnl"/>
        </w:rPr>
        <w:t xml:space="preserve"> lenguaje sencillo; por lo que nuevamente se sugiere seguir realizando este proceso de manera participativa.</w:t>
      </w:r>
    </w:p>
    <w:p w:rsidR="000A57E2" w:rsidRPr="00DA1726" w:rsidRDefault="000A57E2" w:rsidP="00DA1726">
      <w:pPr>
        <w:pStyle w:val="Style9"/>
        <w:ind w:right="51"/>
        <w:rPr>
          <w:rFonts w:ascii="Times New Roman" w:hAnsi="Times New Roman"/>
          <w:sz w:val="28"/>
          <w:szCs w:val="28"/>
          <w:lang w:val="es-ES_tradnl"/>
        </w:rPr>
      </w:pPr>
    </w:p>
    <w:p w:rsidR="000A57E2" w:rsidRPr="00DA1726" w:rsidRDefault="000A57E2"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Sobre el informe </w:t>
      </w:r>
      <w:r w:rsidRPr="00DA1726">
        <w:rPr>
          <w:rFonts w:ascii="Times New Roman" w:hAnsi="Times New Roman"/>
          <w:i/>
          <w:sz w:val="28"/>
          <w:szCs w:val="28"/>
          <w:lang w:val="es-ES_tradnl"/>
        </w:rPr>
        <w:t>“Desempeño de IPS-2015”</w:t>
      </w:r>
      <w:r w:rsidRPr="00DA1726">
        <w:rPr>
          <w:rFonts w:ascii="Times New Roman" w:hAnsi="Times New Roman"/>
          <w:sz w:val="28"/>
          <w:szCs w:val="28"/>
          <w:lang w:val="es-ES_tradnl"/>
        </w:rPr>
        <w:t xml:space="preserve"> indicó que en el aplicativo web y en e</w:t>
      </w:r>
      <w:r w:rsidR="006601B0" w:rsidRPr="00DA1726">
        <w:rPr>
          <w:rFonts w:ascii="Times New Roman" w:hAnsi="Times New Roman"/>
          <w:sz w:val="28"/>
          <w:szCs w:val="28"/>
          <w:lang w:val="es-ES_tradnl"/>
        </w:rPr>
        <w:t>l informe 2015 no hay claridad respecto</w:t>
      </w:r>
      <w:r w:rsidRPr="00DA1726">
        <w:rPr>
          <w:rFonts w:ascii="Times New Roman" w:hAnsi="Times New Roman"/>
          <w:sz w:val="28"/>
          <w:szCs w:val="28"/>
          <w:lang w:val="es-ES_tradnl"/>
        </w:rPr>
        <w:t xml:space="preserve"> al número total de </w:t>
      </w:r>
      <w:r w:rsidR="001D64B2" w:rsidRPr="00DA1726">
        <w:rPr>
          <w:rFonts w:ascii="Times New Roman" w:hAnsi="Times New Roman"/>
          <w:sz w:val="28"/>
          <w:szCs w:val="28"/>
          <w:lang w:val="es-ES_tradnl"/>
        </w:rPr>
        <w:t xml:space="preserve">instituciones </w:t>
      </w:r>
      <w:r w:rsidRPr="00DA1726">
        <w:rPr>
          <w:rFonts w:ascii="Times New Roman" w:hAnsi="Times New Roman"/>
          <w:sz w:val="28"/>
          <w:szCs w:val="28"/>
          <w:lang w:val="es-ES_tradnl"/>
        </w:rPr>
        <w:t>incluidas en ambos reportes, respecto al total de habilitadas y cuya información se encuentra en el Registro Especial de Prestadores de Servicios de Salud REPS.</w:t>
      </w:r>
    </w:p>
    <w:p w:rsidR="000A57E2" w:rsidRPr="00DA1726" w:rsidRDefault="000A57E2" w:rsidP="00DA1726">
      <w:pPr>
        <w:pStyle w:val="Style9"/>
        <w:ind w:right="51"/>
        <w:rPr>
          <w:rFonts w:ascii="Times New Roman" w:hAnsi="Times New Roman"/>
          <w:sz w:val="28"/>
          <w:szCs w:val="28"/>
          <w:lang w:val="es-ES_tradnl"/>
        </w:rPr>
      </w:pPr>
    </w:p>
    <w:p w:rsidR="00672DED" w:rsidRPr="00DA1726" w:rsidRDefault="00672DED"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Por último destaca que debido a que muchas de las variables necesarias para construir el </w:t>
      </w:r>
      <w:r w:rsidR="008D66F1" w:rsidRPr="00DA1726">
        <w:rPr>
          <w:rFonts w:ascii="Times New Roman" w:hAnsi="Times New Roman"/>
          <w:i/>
          <w:sz w:val="28"/>
          <w:szCs w:val="28"/>
          <w:lang w:val="es-ES_tradnl"/>
        </w:rPr>
        <w:t>ranking</w:t>
      </w:r>
      <w:r w:rsidRPr="00DA1726">
        <w:rPr>
          <w:rFonts w:ascii="Times New Roman" w:hAnsi="Times New Roman"/>
          <w:sz w:val="28"/>
          <w:szCs w:val="28"/>
          <w:lang w:val="es-ES_tradnl"/>
        </w:rPr>
        <w:t xml:space="preserve"> de IPS deben partir de las mismas instituciones, es </w:t>
      </w:r>
      <w:r w:rsidR="00C30064" w:rsidRPr="00DA1726">
        <w:rPr>
          <w:rFonts w:ascii="Times New Roman" w:hAnsi="Times New Roman"/>
          <w:sz w:val="28"/>
          <w:szCs w:val="28"/>
          <w:lang w:val="es-ES_tradnl"/>
        </w:rPr>
        <w:t>indispensable</w:t>
      </w:r>
      <w:r w:rsidRPr="00DA1726">
        <w:rPr>
          <w:rFonts w:ascii="Times New Roman" w:hAnsi="Times New Roman"/>
          <w:sz w:val="28"/>
          <w:szCs w:val="28"/>
          <w:lang w:val="es-ES_tradnl"/>
        </w:rPr>
        <w:t xml:space="preserve"> replantear </w:t>
      </w:r>
      <w:r w:rsidR="00C30064" w:rsidRPr="00DA1726">
        <w:rPr>
          <w:rFonts w:ascii="Times New Roman" w:hAnsi="Times New Roman"/>
          <w:sz w:val="28"/>
          <w:szCs w:val="28"/>
          <w:lang w:val="es-ES_tradnl"/>
        </w:rPr>
        <w:t>este ejercicio</w:t>
      </w:r>
      <w:r w:rsidRPr="00DA1726">
        <w:rPr>
          <w:rFonts w:ascii="Times New Roman" w:hAnsi="Times New Roman"/>
          <w:sz w:val="28"/>
          <w:szCs w:val="28"/>
          <w:lang w:val="es-ES_tradnl"/>
        </w:rPr>
        <w:t xml:space="preserve"> generando incentivos para el reporte, exaltando a quienes procuran el respeto por el derecho a la salud y de esta forma se estaría generando estímulos hacia la competencia por calidad y prestigio.</w:t>
      </w:r>
    </w:p>
    <w:p w:rsidR="00672DED" w:rsidRPr="00DA1726" w:rsidRDefault="00672DED" w:rsidP="00DA1726">
      <w:pPr>
        <w:pStyle w:val="Style9"/>
        <w:ind w:right="51"/>
        <w:rPr>
          <w:rFonts w:ascii="Times New Roman" w:hAnsi="Times New Roman"/>
          <w:sz w:val="28"/>
          <w:szCs w:val="28"/>
        </w:rPr>
      </w:pPr>
    </w:p>
    <w:p w:rsidR="000A57E2" w:rsidRPr="00DA1726" w:rsidRDefault="00BD4BA0" w:rsidP="00DA1726">
      <w:pPr>
        <w:pStyle w:val="Style9"/>
        <w:numPr>
          <w:ilvl w:val="2"/>
          <w:numId w:val="7"/>
        </w:numPr>
        <w:ind w:left="0" w:right="51" w:firstLine="0"/>
        <w:rPr>
          <w:rStyle w:val="FontStyle18"/>
          <w:rFonts w:ascii="Times New Roman" w:hAnsi="Times New Roman" w:cs="Times New Roman"/>
          <w:sz w:val="28"/>
          <w:szCs w:val="28"/>
          <w:lang w:val="es-ES_tradnl"/>
        </w:rPr>
      </w:pPr>
      <w:r w:rsidRPr="00DA1726">
        <w:rPr>
          <w:rFonts w:ascii="Times New Roman" w:hAnsi="Times New Roman"/>
          <w:sz w:val="28"/>
          <w:szCs w:val="28"/>
        </w:rPr>
        <w:t xml:space="preserve">El 23 de octubre de 2015, </w:t>
      </w:r>
      <w:r w:rsidRPr="00DA1726">
        <w:rPr>
          <w:rFonts w:ascii="Times New Roman" w:hAnsi="Times New Roman"/>
          <w:b/>
          <w:sz w:val="28"/>
          <w:szCs w:val="28"/>
        </w:rPr>
        <w:t>el Grupo Médico por el Derecho a Decidir</w:t>
      </w:r>
      <w:r w:rsidR="007E67AA" w:rsidRPr="00DA1726">
        <w:rPr>
          <w:rFonts w:ascii="Times New Roman" w:hAnsi="Times New Roman"/>
          <w:b/>
          <w:sz w:val="28"/>
          <w:szCs w:val="28"/>
          <w:vertAlign w:val="superscript"/>
        </w:rPr>
        <w:footnoteReference w:id="46"/>
      </w:r>
      <w:r w:rsidRPr="00DA1726">
        <w:rPr>
          <w:rFonts w:ascii="Times New Roman" w:hAnsi="Times New Roman"/>
          <w:b/>
          <w:sz w:val="28"/>
          <w:szCs w:val="28"/>
        </w:rPr>
        <w:t xml:space="preserve"> </w:t>
      </w:r>
      <w:r w:rsidRPr="00DA1726">
        <w:rPr>
          <w:rFonts w:ascii="Times New Roman" w:hAnsi="Times New Roman"/>
          <w:sz w:val="28"/>
          <w:szCs w:val="28"/>
        </w:rPr>
        <w:t>aduj</w:t>
      </w:r>
      <w:r w:rsidR="001D64B2" w:rsidRPr="00DA1726">
        <w:rPr>
          <w:rFonts w:ascii="Times New Roman" w:hAnsi="Times New Roman"/>
          <w:sz w:val="28"/>
          <w:szCs w:val="28"/>
        </w:rPr>
        <w:t>o</w:t>
      </w:r>
      <w:r w:rsidRPr="00DA1726">
        <w:rPr>
          <w:rFonts w:ascii="Times New Roman" w:hAnsi="Times New Roman"/>
          <w:sz w:val="28"/>
          <w:szCs w:val="28"/>
        </w:rPr>
        <w:t xml:space="preserve"> que el </w:t>
      </w:r>
      <w:r w:rsidRPr="00DA1726">
        <w:rPr>
          <w:rStyle w:val="FontStyle18"/>
          <w:rFonts w:ascii="Times New Roman" w:hAnsi="Times New Roman" w:cs="Times New Roman"/>
          <w:sz w:val="28"/>
          <w:szCs w:val="28"/>
          <w:lang w:val="es-ES_tradnl" w:eastAsia="es-ES_tradnl"/>
        </w:rPr>
        <w:t xml:space="preserve">acceso a la información es un elemento central para la garantía del derecho fundamental a la salud, en interés no solo de los pacientes, sino de la población en general, por lo que la ordenación de </w:t>
      </w:r>
      <w:r w:rsidR="00EA4FAC" w:rsidRPr="00DA1726">
        <w:rPr>
          <w:rStyle w:val="FontStyle18"/>
          <w:rFonts w:ascii="Times New Roman" w:hAnsi="Times New Roman" w:cs="Times New Roman"/>
          <w:sz w:val="28"/>
          <w:szCs w:val="28"/>
          <w:lang w:val="es-ES_tradnl" w:eastAsia="es-ES_tradnl"/>
        </w:rPr>
        <w:t>EPS</w:t>
      </w:r>
      <w:r w:rsidRPr="00DA1726">
        <w:rPr>
          <w:rStyle w:val="FontStyle18"/>
          <w:rFonts w:ascii="Times New Roman" w:hAnsi="Times New Roman" w:cs="Times New Roman"/>
          <w:sz w:val="28"/>
          <w:szCs w:val="28"/>
          <w:lang w:val="es-ES_tradnl" w:eastAsia="es-ES_tradnl"/>
        </w:rPr>
        <w:t xml:space="preserve"> e </w:t>
      </w:r>
      <w:r w:rsidR="00EA4FAC" w:rsidRPr="00DA1726">
        <w:rPr>
          <w:rStyle w:val="FontStyle18"/>
          <w:rFonts w:ascii="Times New Roman" w:hAnsi="Times New Roman" w:cs="Times New Roman"/>
          <w:sz w:val="28"/>
          <w:szCs w:val="28"/>
          <w:lang w:val="es-ES_tradnl" w:eastAsia="es-ES_tradnl"/>
        </w:rPr>
        <w:t>IPS</w:t>
      </w:r>
      <w:r w:rsidRPr="00DA1726">
        <w:rPr>
          <w:rStyle w:val="FontStyle18"/>
          <w:rFonts w:ascii="Times New Roman" w:hAnsi="Times New Roman" w:cs="Times New Roman"/>
          <w:sz w:val="28"/>
          <w:szCs w:val="28"/>
          <w:lang w:val="es-ES_tradnl" w:eastAsia="es-ES_tradnl"/>
        </w:rPr>
        <w:t xml:space="preserve"> debe atender a un esquema claro, oportuno y completo que permita al usuario tomar decisiones sobre su salud.</w:t>
      </w:r>
    </w:p>
    <w:p w:rsidR="00BD4BA0" w:rsidRPr="00DA1726" w:rsidRDefault="00BD4BA0" w:rsidP="00DA1726">
      <w:pPr>
        <w:pStyle w:val="Style9"/>
        <w:ind w:right="51"/>
        <w:rPr>
          <w:rStyle w:val="FontStyle18"/>
          <w:rFonts w:ascii="Times New Roman" w:hAnsi="Times New Roman" w:cs="Times New Roman"/>
          <w:sz w:val="28"/>
          <w:szCs w:val="28"/>
          <w:lang w:val="es-ES_tradnl" w:eastAsia="es-ES_tradnl"/>
        </w:rPr>
      </w:pPr>
    </w:p>
    <w:p w:rsidR="00BD4BA0" w:rsidRPr="00DA1726" w:rsidRDefault="005C2EC7"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Afirmó </w:t>
      </w:r>
      <w:r w:rsidR="00BD4BA0" w:rsidRPr="00DA1726">
        <w:rPr>
          <w:rFonts w:ascii="Times New Roman" w:hAnsi="Times New Roman"/>
          <w:sz w:val="28"/>
          <w:szCs w:val="28"/>
          <w:lang w:val="es-ES_tradnl"/>
        </w:rPr>
        <w:t xml:space="preserve">que los catorce parámetros deben aplicarse tanto a las </w:t>
      </w:r>
      <w:r w:rsidR="001D64B2" w:rsidRPr="00DA1726">
        <w:rPr>
          <w:rFonts w:ascii="Times New Roman" w:hAnsi="Times New Roman"/>
          <w:sz w:val="28"/>
          <w:szCs w:val="28"/>
          <w:lang w:val="es-ES_tradnl"/>
        </w:rPr>
        <w:t>promotoras</w:t>
      </w:r>
      <w:r w:rsidR="00BD4BA0" w:rsidRPr="00DA1726">
        <w:rPr>
          <w:rFonts w:ascii="Times New Roman" w:hAnsi="Times New Roman"/>
          <w:sz w:val="28"/>
          <w:szCs w:val="28"/>
          <w:lang w:val="es-ES_tradnl"/>
        </w:rPr>
        <w:t xml:space="preserve"> como a las </w:t>
      </w:r>
      <w:r w:rsidR="001D64B2" w:rsidRPr="00DA1726">
        <w:rPr>
          <w:rFonts w:ascii="Times New Roman" w:hAnsi="Times New Roman"/>
          <w:sz w:val="28"/>
          <w:szCs w:val="28"/>
          <w:lang w:val="es-ES_tradnl"/>
        </w:rPr>
        <w:t xml:space="preserve">prestadoras, en consideración a </w:t>
      </w:r>
      <w:r w:rsidR="00BD4BA0" w:rsidRPr="00DA1726">
        <w:rPr>
          <w:rFonts w:ascii="Times New Roman" w:hAnsi="Times New Roman"/>
          <w:sz w:val="28"/>
          <w:szCs w:val="28"/>
          <w:lang w:val="es-ES_tradnl"/>
        </w:rPr>
        <w:t>que las p</w:t>
      </w:r>
      <w:r w:rsidR="001D64B2" w:rsidRPr="00DA1726">
        <w:rPr>
          <w:rFonts w:ascii="Times New Roman" w:hAnsi="Times New Roman"/>
          <w:sz w:val="28"/>
          <w:szCs w:val="28"/>
          <w:lang w:val="es-ES_tradnl"/>
        </w:rPr>
        <w:t>rimeras autorizan los servicios</w:t>
      </w:r>
      <w:r w:rsidR="00BD4BA0" w:rsidRPr="00DA1726">
        <w:rPr>
          <w:rFonts w:ascii="Times New Roman" w:hAnsi="Times New Roman"/>
          <w:sz w:val="28"/>
          <w:szCs w:val="28"/>
          <w:lang w:val="es-ES_tradnl"/>
        </w:rPr>
        <w:t xml:space="preserve"> y las segundas son quienes los prestan.</w:t>
      </w:r>
      <w:r w:rsidRPr="00DA1726">
        <w:rPr>
          <w:rFonts w:ascii="Times New Roman" w:hAnsi="Times New Roman"/>
          <w:sz w:val="28"/>
          <w:szCs w:val="28"/>
          <w:lang w:val="es-ES_tradnl"/>
        </w:rPr>
        <w:t xml:space="preserve"> Además u</w:t>
      </w:r>
      <w:r w:rsidR="00BD4BA0" w:rsidRPr="00DA1726">
        <w:rPr>
          <w:rFonts w:ascii="Times New Roman" w:hAnsi="Times New Roman"/>
          <w:sz w:val="28"/>
          <w:szCs w:val="28"/>
          <w:lang w:val="es-ES_tradnl"/>
        </w:rPr>
        <w:t>na ordenación simple no contradice las demás funciones a las que están sujetas, porque se busca informar qué entidades con mayor frecuencia se niegan a autorizar o prestar oportunamente los servicios de salud.</w:t>
      </w:r>
    </w:p>
    <w:p w:rsidR="005C2EC7" w:rsidRPr="00DA1726" w:rsidRDefault="005C2EC7" w:rsidP="00DA1726">
      <w:pPr>
        <w:pStyle w:val="Style9"/>
        <w:ind w:right="51"/>
        <w:rPr>
          <w:rFonts w:ascii="Times New Roman" w:hAnsi="Times New Roman"/>
          <w:sz w:val="28"/>
          <w:szCs w:val="28"/>
          <w:lang w:val="es-ES_tradnl"/>
        </w:rPr>
      </w:pPr>
    </w:p>
    <w:p w:rsidR="005C2EC7" w:rsidRPr="00DA1726" w:rsidRDefault="00EB6298" w:rsidP="00DA1726">
      <w:pPr>
        <w:pStyle w:val="Style9"/>
        <w:numPr>
          <w:ilvl w:val="2"/>
          <w:numId w:val="7"/>
        </w:numPr>
        <w:ind w:left="0" w:right="51" w:firstLine="0"/>
        <w:rPr>
          <w:rFonts w:ascii="Times New Roman" w:hAnsi="Times New Roman"/>
          <w:sz w:val="28"/>
          <w:szCs w:val="28"/>
          <w:lang w:val="es-ES_tradnl"/>
        </w:rPr>
      </w:pPr>
      <w:r w:rsidRPr="00DA1726">
        <w:rPr>
          <w:rFonts w:ascii="Times New Roman" w:hAnsi="Times New Roman"/>
          <w:sz w:val="28"/>
          <w:szCs w:val="28"/>
          <w:lang w:val="es-ES_tradnl"/>
        </w:rPr>
        <w:t xml:space="preserve">El 23 de octubre de 2015, </w:t>
      </w:r>
      <w:r w:rsidRPr="00DA1726">
        <w:rPr>
          <w:rFonts w:ascii="Times New Roman" w:hAnsi="Times New Roman"/>
          <w:b/>
          <w:sz w:val="28"/>
          <w:szCs w:val="28"/>
          <w:lang w:val="es-ES_tradnl"/>
        </w:rPr>
        <w:t>la Comisión de Seguimiento a la sentencia T-760 de 2008</w:t>
      </w:r>
      <w:r w:rsidRPr="00DA1726">
        <w:rPr>
          <w:rFonts w:ascii="Times New Roman" w:hAnsi="Times New Roman"/>
          <w:b/>
          <w:sz w:val="28"/>
          <w:szCs w:val="28"/>
        </w:rPr>
        <w:t xml:space="preserve"> </w:t>
      </w:r>
      <w:r w:rsidRPr="00DA1726">
        <w:rPr>
          <w:rFonts w:ascii="Times New Roman" w:hAnsi="Times New Roman"/>
          <w:b/>
          <w:sz w:val="28"/>
          <w:szCs w:val="28"/>
          <w:lang w:val="es-ES_tradnl"/>
        </w:rPr>
        <w:t>y de Reforma Estructural del Sistema de Salud y Seguridad Social (CSR)</w:t>
      </w:r>
      <w:r w:rsidR="007E67AA" w:rsidRPr="00DA1726">
        <w:rPr>
          <w:rFonts w:ascii="Times New Roman" w:hAnsi="Times New Roman"/>
          <w:b/>
          <w:sz w:val="28"/>
          <w:szCs w:val="28"/>
          <w:vertAlign w:val="superscript"/>
          <w:lang w:val="es-ES_tradnl"/>
        </w:rPr>
        <w:footnoteReference w:id="47"/>
      </w:r>
      <w:r w:rsidRPr="00DA1726">
        <w:rPr>
          <w:rFonts w:ascii="Times New Roman" w:hAnsi="Times New Roman"/>
          <w:sz w:val="28"/>
          <w:szCs w:val="28"/>
          <w:lang w:val="es-ES_tradnl"/>
        </w:rPr>
        <w:t xml:space="preserve"> se refirió a cada uno de los 14 parámetros contenidos en el auto 260 de 2012.</w:t>
      </w:r>
      <w:r w:rsidR="00CC159D" w:rsidRPr="00DA1726">
        <w:rPr>
          <w:rFonts w:ascii="Times New Roman" w:hAnsi="Times New Roman"/>
          <w:sz w:val="28"/>
          <w:szCs w:val="28"/>
          <w:lang w:val="es-ES_tradnl"/>
        </w:rPr>
        <w:t xml:space="preserve"> Al respecto se destacan aquellos sobre los cuales sugirió específicamente una </w:t>
      </w:r>
      <w:r w:rsidR="00DB6618" w:rsidRPr="00DA1726">
        <w:rPr>
          <w:rFonts w:ascii="Times New Roman" w:hAnsi="Times New Roman"/>
          <w:sz w:val="28"/>
          <w:szCs w:val="28"/>
          <w:lang w:val="es-ES_tradnl"/>
        </w:rPr>
        <w:t>modificación</w:t>
      </w:r>
      <w:r w:rsidR="00CC159D" w:rsidRPr="00DA1726">
        <w:rPr>
          <w:rFonts w:ascii="Times New Roman" w:hAnsi="Times New Roman"/>
          <w:sz w:val="28"/>
          <w:szCs w:val="28"/>
          <w:lang w:val="es-ES_tradnl"/>
        </w:rPr>
        <w:t>.</w:t>
      </w:r>
    </w:p>
    <w:p w:rsidR="00563056" w:rsidRPr="00DA1726" w:rsidRDefault="00563056" w:rsidP="00DA1726">
      <w:pPr>
        <w:pStyle w:val="Style9"/>
        <w:ind w:right="51"/>
        <w:rPr>
          <w:rFonts w:ascii="Times New Roman" w:hAnsi="Times New Roman"/>
          <w:sz w:val="28"/>
          <w:szCs w:val="28"/>
          <w:lang w:val="es-ES_tradnl"/>
        </w:rPr>
      </w:pPr>
    </w:p>
    <w:p w:rsidR="00563056" w:rsidRPr="00DA1726" w:rsidRDefault="00D1246E" w:rsidP="00DA1726">
      <w:pPr>
        <w:pStyle w:val="Style9"/>
        <w:ind w:right="51"/>
        <w:rPr>
          <w:rFonts w:ascii="Times New Roman" w:hAnsi="Times New Roman"/>
          <w:i/>
          <w:sz w:val="28"/>
          <w:szCs w:val="28"/>
          <w:lang w:val="es-ES_tradnl"/>
        </w:rPr>
      </w:pPr>
      <w:r w:rsidRPr="00DA1726">
        <w:rPr>
          <w:rFonts w:ascii="Times New Roman" w:hAnsi="Times New Roman"/>
          <w:sz w:val="28"/>
          <w:szCs w:val="28"/>
          <w:lang w:val="es-ES_tradnl"/>
        </w:rPr>
        <w:t xml:space="preserve">Sobre el primer criterio que hace alusión a </w:t>
      </w:r>
      <w:r w:rsidR="00563056" w:rsidRPr="00DA1726">
        <w:rPr>
          <w:rFonts w:ascii="Times New Roman" w:hAnsi="Times New Roman"/>
          <w:sz w:val="28"/>
          <w:szCs w:val="28"/>
          <w:lang w:val="es-ES_tradnl"/>
        </w:rPr>
        <w:t>autorizar oportunamente servici</w:t>
      </w:r>
      <w:r w:rsidRPr="00DA1726">
        <w:rPr>
          <w:rFonts w:ascii="Times New Roman" w:hAnsi="Times New Roman"/>
          <w:sz w:val="28"/>
          <w:szCs w:val="28"/>
          <w:lang w:val="es-ES_tradnl"/>
        </w:rPr>
        <w:t xml:space="preserve">os de Salud incluido en el POS, </w:t>
      </w:r>
      <w:r w:rsidR="001D64B2" w:rsidRPr="00DA1726">
        <w:rPr>
          <w:rFonts w:ascii="Times New Roman" w:hAnsi="Times New Roman"/>
          <w:sz w:val="28"/>
          <w:szCs w:val="28"/>
          <w:lang w:val="es-ES_tradnl"/>
        </w:rPr>
        <w:t xml:space="preserve">explicó </w:t>
      </w:r>
      <w:r w:rsidR="00563056" w:rsidRPr="00DA1726">
        <w:rPr>
          <w:rFonts w:ascii="Times New Roman" w:hAnsi="Times New Roman"/>
          <w:sz w:val="28"/>
          <w:szCs w:val="28"/>
          <w:lang w:val="es-ES_tradnl"/>
        </w:rPr>
        <w:t xml:space="preserve">que de acuerdo con la Ley 1751 de 2015, el Plan Obligatorio de Salud es sustituido por un régimen de exclusiones, por lo que este parámetro debería quedar así: </w:t>
      </w:r>
      <w:r w:rsidR="00563056" w:rsidRPr="00DA1726">
        <w:rPr>
          <w:rFonts w:ascii="Times New Roman" w:hAnsi="Times New Roman"/>
          <w:i/>
          <w:sz w:val="28"/>
          <w:szCs w:val="28"/>
          <w:lang w:val="es-ES_tradnl"/>
        </w:rPr>
        <w:t>Se niegan a autorizar oportunamente Servicios de Salud.</w:t>
      </w:r>
    </w:p>
    <w:p w:rsidR="00563056" w:rsidRPr="00DA1726" w:rsidRDefault="00563056" w:rsidP="00DA1726">
      <w:pPr>
        <w:pStyle w:val="Style9"/>
        <w:ind w:right="51"/>
        <w:rPr>
          <w:rFonts w:ascii="Times New Roman" w:hAnsi="Times New Roman"/>
          <w:i/>
          <w:sz w:val="28"/>
          <w:szCs w:val="28"/>
          <w:lang w:val="es-ES_tradnl"/>
        </w:rPr>
      </w:pPr>
    </w:p>
    <w:p w:rsidR="000229CD" w:rsidRPr="00DA1726" w:rsidRDefault="008C5A72" w:rsidP="00DA1726">
      <w:pPr>
        <w:pStyle w:val="Style9"/>
        <w:ind w:right="51"/>
        <w:rPr>
          <w:rFonts w:ascii="Times New Roman" w:hAnsi="Times New Roman"/>
          <w:i/>
          <w:sz w:val="28"/>
          <w:szCs w:val="28"/>
          <w:lang w:val="es-ES_tradnl"/>
        </w:rPr>
      </w:pPr>
      <w:r w:rsidRPr="00DA1726">
        <w:rPr>
          <w:rFonts w:ascii="Times New Roman" w:hAnsi="Times New Roman"/>
          <w:sz w:val="28"/>
          <w:szCs w:val="28"/>
          <w:lang w:val="es-ES_tradnl"/>
        </w:rPr>
        <w:t xml:space="preserve">Respecto al segundo ítem alusivo a </w:t>
      </w:r>
      <w:r w:rsidR="00563056" w:rsidRPr="00DA1726">
        <w:rPr>
          <w:rFonts w:ascii="Times New Roman" w:hAnsi="Times New Roman"/>
          <w:sz w:val="28"/>
          <w:szCs w:val="28"/>
          <w:lang w:val="es-ES_tradnl"/>
        </w:rPr>
        <w:t>autorizar oportunamente servicios de salud excluidos del POS que se requieren con necesidad y que no pueden ser costeados por el interesado, bien sea porque su costo le resulta impagable dado su nivel de ingreso o porque le im</w:t>
      </w:r>
      <w:r w:rsidRPr="00DA1726">
        <w:rPr>
          <w:rFonts w:ascii="Times New Roman" w:hAnsi="Times New Roman"/>
          <w:sz w:val="28"/>
          <w:szCs w:val="28"/>
          <w:lang w:val="es-ES_tradnl"/>
        </w:rPr>
        <w:t>pone una carga desproporcionada, advirtió que e</w:t>
      </w:r>
      <w:r w:rsidR="000229CD" w:rsidRPr="00DA1726">
        <w:rPr>
          <w:rFonts w:ascii="Times New Roman" w:hAnsi="Times New Roman"/>
          <w:sz w:val="28"/>
          <w:szCs w:val="28"/>
          <w:lang w:val="es-ES_tradnl"/>
        </w:rPr>
        <w:t>ste parámetro pierde fuerza argumentativa al no existir un POS y un No POS, sino un sistema de exclusiones</w:t>
      </w:r>
      <w:r w:rsidR="000229CD" w:rsidRPr="00DA1726">
        <w:rPr>
          <w:rFonts w:ascii="Times New Roman" w:hAnsi="Times New Roman"/>
          <w:i/>
          <w:sz w:val="28"/>
          <w:szCs w:val="28"/>
          <w:lang w:val="es-ES_tradnl"/>
        </w:rPr>
        <w:t>.</w:t>
      </w:r>
    </w:p>
    <w:p w:rsidR="000229CD" w:rsidRPr="00DA1726" w:rsidRDefault="000229CD" w:rsidP="00DA1726">
      <w:pPr>
        <w:pStyle w:val="Style9"/>
        <w:ind w:right="51"/>
        <w:rPr>
          <w:rFonts w:ascii="Times New Roman" w:hAnsi="Times New Roman"/>
          <w:sz w:val="28"/>
          <w:szCs w:val="28"/>
          <w:lang w:val="es-ES_tradnl"/>
        </w:rPr>
      </w:pPr>
    </w:p>
    <w:p w:rsidR="00C214B4" w:rsidRPr="00DA1726" w:rsidRDefault="008C5A72" w:rsidP="00DA1726">
      <w:pPr>
        <w:pStyle w:val="Style9"/>
        <w:ind w:right="51"/>
        <w:rPr>
          <w:rFonts w:ascii="Times New Roman" w:hAnsi="Times New Roman"/>
          <w:i/>
          <w:sz w:val="28"/>
          <w:szCs w:val="28"/>
          <w:lang w:val="es-ES_tradnl"/>
        </w:rPr>
      </w:pPr>
      <w:r w:rsidRPr="00DA1726">
        <w:rPr>
          <w:rFonts w:ascii="Times New Roman" w:hAnsi="Times New Roman"/>
          <w:sz w:val="28"/>
          <w:szCs w:val="28"/>
          <w:lang w:val="es-ES_tradnl"/>
        </w:rPr>
        <w:t>Por otra parte</w:t>
      </w:r>
      <w:r w:rsidR="00EC7FEF" w:rsidRPr="00DA1726">
        <w:rPr>
          <w:rFonts w:ascii="Times New Roman" w:hAnsi="Times New Roman"/>
          <w:sz w:val="28"/>
          <w:szCs w:val="28"/>
          <w:lang w:val="es-ES_tradnl"/>
        </w:rPr>
        <w:t>,</w:t>
      </w:r>
      <w:r w:rsidRPr="00DA1726">
        <w:rPr>
          <w:rFonts w:ascii="Times New Roman" w:hAnsi="Times New Roman"/>
          <w:sz w:val="28"/>
          <w:szCs w:val="28"/>
          <w:lang w:val="es-ES_tradnl"/>
        </w:rPr>
        <w:t xml:space="preserve"> el tercer aspecto de valoración referente a </w:t>
      </w:r>
      <w:r w:rsidR="000229CD" w:rsidRPr="00DA1726">
        <w:rPr>
          <w:rFonts w:ascii="Times New Roman" w:hAnsi="Times New Roman"/>
          <w:sz w:val="28"/>
          <w:szCs w:val="28"/>
          <w:lang w:val="es-ES_tradnl"/>
        </w:rPr>
        <w:t>autorizar oportunamente servicios de salud con el a</w:t>
      </w:r>
      <w:r w:rsidR="00C214B4" w:rsidRPr="00DA1726">
        <w:rPr>
          <w:rFonts w:ascii="Times New Roman" w:hAnsi="Times New Roman"/>
          <w:sz w:val="28"/>
          <w:szCs w:val="28"/>
          <w:lang w:val="es-ES_tradnl"/>
        </w:rPr>
        <w:t>rgumento de que l</w:t>
      </w:r>
      <w:r w:rsidR="000229CD" w:rsidRPr="00DA1726">
        <w:rPr>
          <w:rFonts w:ascii="Times New Roman" w:hAnsi="Times New Roman"/>
          <w:sz w:val="28"/>
          <w:szCs w:val="28"/>
          <w:lang w:val="es-ES_tradnl"/>
        </w:rPr>
        <w:t>a persona no ha presentado la solicitud respectiva ante el comité técnico científico CTC</w:t>
      </w:r>
      <w:r w:rsidR="00C214B4" w:rsidRPr="00DA1726">
        <w:rPr>
          <w:rFonts w:ascii="Times New Roman" w:hAnsi="Times New Roman"/>
          <w:sz w:val="28"/>
          <w:szCs w:val="28"/>
          <w:lang w:val="es-ES_tradnl"/>
        </w:rPr>
        <w:t>.</w:t>
      </w:r>
      <w:r w:rsidR="00CC65F4" w:rsidRPr="00DA1726">
        <w:rPr>
          <w:rFonts w:ascii="Times New Roman" w:hAnsi="Times New Roman"/>
          <w:sz w:val="28"/>
          <w:szCs w:val="28"/>
          <w:lang w:val="es-ES_tradnl"/>
        </w:rPr>
        <w:t xml:space="preserve"> La </w:t>
      </w:r>
      <w:r w:rsidR="00213AF6" w:rsidRPr="00DA1726">
        <w:rPr>
          <w:rFonts w:ascii="Times New Roman" w:hAnsi="Times New Roman"/>
          <w:sz w:val="28"/>
          <w:szCs w:val="28"/>
          <w:lang w:val="es-ES_tradnl"/>
        </w:rPr>
        <w:t xml:space="preserve">ley estatutaria </w:t>
      </w:r>
      <w:r w:rsidR="00CC159D" w:rsidRPr="00DA1726">
        <w:rPr>
          <w:rFonts w:ascii="Times New Roman" w:hAnsi="Times New Roman"/>
          <w:sz w:val="28"/>
          <w:szCs w:val="28"/>
          <w:lang w:val="es-ES_tradnl"/>
        </w:rPr>
        <w:t>en materia de salud</w:t>
      </w:r>
      <w:r w:rsidR="00213AF6" w:rsidRPr="00DA1726">
        <w:rPr>
          <w:rFonts w:ascii="Times New Roman" w:hAnsi="Times New Roman"/>
          <w:sz w:val="28"/>
          <w:szCs w:val="28"/>
          <w:lang w:val="es-ES_tradnl"/>
        </w:rPr>
        <w:t xml:space="preserve"> en su artículo 14 </w:t>
      </w:r>
      <w:r w:rsidR="00CC159D" w:rsidRPr="00DA1726">
        <w:rPr>
          <w:rFonts w:ascii="Times New Roman" w:hAnsi="Times New Roman"/>
          <w:sz w:val="28"/>
          <w:szCs w:val="28"/>
          <w:lang w:val="es-ES_tradnl"/>
        </w:rPr>
        <w:t xml:space="preserve">prohíbe </w:t>
      </w:r>
      <w:r w:rsidR="00213AF6" w:rsidRPr="00DA1726">
        <w:rPr>
          <w:rFonts w:ascii="Times New Roman" w:hAnsi="Times New Roman"/>
          <w:sz w:val="28"/>
          <w:szCs w:val="28"/>
          <w:lang w:val="es-ES_tradnl"/>
        </w:rPr>
        <w:t>la negación de servicios</w:t>
      </w:r>
      <w:r w:rsidR="00CC159D" w:rsidRPr="00DA1726">
        <w:rPr>
          <w:rFonts w:ascii="Times New Roman" w:hAnsi="Times New Roman"/>
          <w:sz w:val="28"/>
          <w:szCs w:val="28"/>
          <w:lang w:val="es-ES_tradnl"/>
        </w:rPr>
        <w:t xml:space="preserve"> por trámites administrativos</w:t>
      </w:r>
      <w:r w:rsidR="00CC159D" w:rsidRPr="00DA1726">
        <w:rPr>
          <w:rFonts w:ascii="Times New Roman" w:hAnsi="Times New Roman"/>
          <w:sz w:val="28"/>
          <w:szCs w:val="28"/>
          <w:vertAlign w:val="superscript"/>
          <w:lang w:val="es-ES_tradnl"/>
        </w:rPr>
        <w:footnoteReference w:id="48"/>
      </w:r>
      <w:r w:rsidR="00CC159D" w:rsidRPr="00DA1726">
        <w:rPr>
          <w:rFonts w:ascii="Times New Roman" w:hAnsi="Times New Roman"/>
          <w:sz w:val="28"/>
          <w:szCs w:val="28"/>
          <w:lang w:val="es-ES_tradnl"/>
        </w:rPr>
        <w:t xml:space="preserve">, por lo que </w:t>
      </w:r>
      <w:r w:rsidRPr="00DA1726">
        <w:rPr>
          <w:rFonts w:ascii="Times New Roman" w:hAnsi="Times New Roman"/>
          <w:sz w:val="28"/>
          <w:szCs w:val="28"/>
          <w:lang w:val="es-ES_tradnl"/>
        </w:rPr>
        <w:t>debe</w:t>
      </w:r>
      <w:r w:rsidR="00CC65F4" w:rsidRPr="00DA1726">
        <w:rPr>
          <w:rFonts w:ascii="Times New Roman" w:hAnsi="Times New Roman"/>
          <w:sz w:val="28"/>
          <w:szCs w:val="28"/>
          <w:lang w:val="es-ES_tradnl"/>
        </w:rPr>
        <w:t xml:space="preserve"> modificarse</w:t>
      </w:r>
      <w:r w:rsidR="00213AF6" w:rsidRPr="00DA1726">
        <w:rPr>
          <w:rFonts w:ascii="Times New Roman" w:hAnsi="Times New Roman"/>
          <w:i/>
          <w:sz w:val="28"/>
          <w:szCs w:val="28"/>
          <w:lang w:val="es-ES_tradnl"/>
        </w:rPr>
        <w:t>.</w:t>
      </w:r>
    </w:p>
    <w:p w:rsidR="00CC159D" w:rsidRPr="00DA1726" w:rsidRDefault="00CC159D" w:rsidP="00DA1726">
      <w:pPr>
        <w:pStyle w:val="Style9"/>
        <w:ind w:right="51"/>
        <w:rPr>
          <w:rFonts w:ascii="Times New Roman" w:hAnsi="Times New Roman"/>
          <w:sz w:val="28"/>
          <w:szCs w:val="28"/>
          <w:lang w:val="es-ES_tradnl"/>
        </w:rPr>
      </w:pPr>
    </w:p>
    <w:p w:rsidR="00F1738B" w:rsidRPr="00DA1726" w:rsidRDefault="00BD65A7"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Posteriormente</w:t>
      </w:r>
      <w:r w:rsidR="00EC7FEF" w:rsidRPr="00DA1726">
        <w:rPr>
          <w:rFonts w:ascii="Times New Roman" w:hAnsi="Times New Roman"/>
          <w:sz w:val="28"/>
          <w:szCs w:val="28"/>
          <w:lang w:val="es-ES_tradnl"/>
        </w:rPr>
        <w:t>,</w:t>
      </w:r>
      <w:r w:rsidRPr="00DA1726">
        <w:rPr>
          <w:rFonts w:ascii="Times New Roman" w:hAnsi="Times New Roman"/>
          <w:sz w:val="28"/>
          <w:szCs w:val="28"/>
          <w:lang w:val="es-ES_tradnl"/>
        </w:rPr>
        <w:t xml:space="preserve"> hizo alusión al </w:t>
      </w:r>
      <w:r w:rsidR="001141C1" w:rsidRPr="00DA1726">
        <w:rPr>
          <w:rFonts w:ascii="Times New Roman" w:hAnsi="Times New Roman"/>
          <w:sz w:val="28"/>
          <w:szCs w:val="28"/>
          <w:lang w:val="es-ES_tradnl"/>
        </w:rPr>
        <w:t>g</w:t>
      </w:r>
      <w:r w:rsidR="00F1738B" w:rsidRPr="00DA1726">
        <w:rPr>
          <w:rFonts w:ascii="Times New Roman" w:hAnsi="Times New Roman"/>
          <w:sz w:val="28"/>
          <w:szCs w:val="28"/>
          <w:lang w:val="es-ES_tradnl"/>
        </w:rPr>
        <w:t>rado de aceptación, entendimiento y la utilidad que la ordenación pr</w:t>
      </w:r>
      <w:r w:rsidR="001141C1" w:rsidRPr="00DA1726">
        <w:rPr>
          <w:rFonts w:ascii="Times New Roman" w:hAnsi="Times New Roman"/>
          <w:sz w:val="28"/>
          <w:szCs w:val="28"/>
          <w:lang w:val="es-ES_tradnl"/>
        </w:rPr>
        <w:t>esta a los usuarios del sist</w:t>
      </w:r>
      <w:r w:rsidRPr="00DA1726">
        <w:rPr>
          <w:rFonts w:ascii="Times New Roman" w:hAnsi="Times New Roman"/>
          <w:sz w:val="28"/>
          <w:szCs w:val="28"/>
          <w:lang w:val="es-ES_tradnl"/>
        </w:rPr>
        <w:t>ema. Sobre el particular</w:t>
      </w:r>
      <w:r w:rsidR="001141C1" w:rsidRPr="00DA1726">
        <w:rPr>
          <w:rFonts w:ascii="Times New Roman" w:hAnsi="Times New Roman"/>
          <w:sz w:val="28"/>
          <w:szCs w:val="28"/>
          <w:lang w:val="es-ES_tradnl"/>
        </w:rPr>
        <w:t xml:space="preserve"> </w:t>
      </w:r>
      <w:r w:rsidR="00DB6618" w:rsidRPr="00DA1726">
        <w:rPr>
          <w:rFonts w:ascii="Times New Roman" w:hAnsi="Times New Roman"/>
          <w:sz w:val="28"/>
          <w:szCs w:val="28"/>
          <w:lang w:val="es-ES_tradnl"/>
        </w:rPr>
        <w:t>afirmó que</w:t>
      </w:r>
      <w:r w:rsidR="00F1738B" w:rsidRPr="00DA1726">
        <w:rPr>
          <w:rFonts w:ascii="Times New Roman" w:hAnsi="Times New Roman"/>
          <w:sz w:val="28"/>
          <w:szCs w:val="28"/>
          <w:lang w:val="es-ES_tradnl"/>
        </w:rPr>
        <w:t xml:space="preserve"> </w:t>
      </w:r>
      <w:r w:rsidR="001141C1" w:rsidRPr="00DA1726">
        <w:rPr>
          <w:rFonts w:ascii="Times New Roman" w:hAnsi="Times New Roman"/>
          <w:sz w:val="28"/>
          <w:szCs w:val="28"/>
          <w:lang w:val="es-ES_tradnl"/>
        </w:rPr>
        <w:t>en la escogencia de la e</w:t>
      </w:r>
      <w:r w:rsidR="00205032" w:rsidRPr="00DA1726">
        <w:rPr>
          <w:rFonts w:ascii="Times New Roman" w:hAnsi="Times New Roman"/>
          <w:sz w:val="28"/>
          <w:szCs w:val="28"/>
          <w:lang w:val="es-ES_tradnl"/>
        </w:rPr>
        <w:t>ntidad</w:t>
      </w:r>
      <w:r w:rsidR="001141C1" w:rsidRPr="00DA1726">
        <w:rPr>
          <w:rFonts w:ascii="Times New Roman" w:hAnsi="Times New Roman"/>
          <w:sz w:val="28"/>
          <w:szCs w:val="28"/>
          <w:lang w:val="es-ES_tradnl"/>
        </w:rPr>
        <w:t xml:space="preserve"> promotora de salud, </w:t>
      </w:r>
      <w:r w:rsidR="00F1738B" w:rsidRPr="00DA1726">
        <w:rPr>
          <w:rFonts w:ascii="Times New Roman" w:hAnsi="Times New Roman"/>
          <w:sz w:val="28"/>
          <w:szCs w:val="28"/>
          <w:lang w:val="es-ES_tradnl"/>
        </w:rPr>
        <w:t xml:space="preserve">normalmente las personas </w:t>
      </w:r>
      <w:r w:rsidR="001141C1" w:rsidRPr="00DA1726">
        <w:rPr>
          <w:rFonts w:ascii="Times New Roman" w:hAnsi="Times New Roman"/>
          <w:sz w:val="28"/>
          <w:szCs w:val="28"/>
          <w:lang w:val="es-ES_tradnl"/>
        </w:rPr>
        <w:t>se inclinan por aquellas que</w:t>
      </w:r>
      <w:r w:rsidR="00F1738B" w:rsidRPr="00DA1726">
        <w:rPr>
          <w:rFonts w:ascii="Times New Roman" w:hAnsi="Times New Roman"/>
          <w:sz w:val="28"/>
          <w:szCs w:val="28"/>
          <w:lang w:val="es-ES_tradnl"/>
        </w:rPr>
        <w:t xml:space="preserve"> está</w:t>
      </w:r>
      <w:r w:rsidR="001141C1" w:rsidRPr="00DA1726">
        <w:rPr>
          <w:rFonts w:ascii="Times New Roman" w:hAnsi="Times New Roman"/>
          <w:sz w:val="28"/>
          <w:szCs w:val="28"/>
          <w:lang w:val="es-ES_tradnl"/>
        </w:rPr>
        <w:t>n</w:t>
      </w:r>
      <w:r w:rsidR="00F1738B" w:rsidRPr="00DA1726">
        <w:rPr>
          <w:rFonts w:ascii="Times New Roman" w:hAnsi="Times New Roman"/>
          <w:sz w:val="28"/>
          <w:szCs w:val="28"/>
          <w:lang w:val="es-ES_tradnl"/>
        </w:rPr>
        <w:t xml:space="preserve"> presente</w:t>
      </w:r>
      <w:r w:rsidR="001141C1" w:rsidRPr="00DA1726">
        <w:rPr>
          <w:rFonts w:ascii="Times New Roman" w:hAnsi="Times New Roman"/>
          <w:sz w:val="28"/>
          <w:szCs w:val="28"/>
          <w:lang w:val="es-ES_tradnl"/>
        </w:rPr>
        <w:t>s</w:t>
      </w:r>
      <w:r w:rsidR="00F1738B" w:rsidRPr="00DA1726">
        <w:rPr>
          <w:rFonts w:ascii="Times New Roman" w:hAnsi="Times New Roman"/>
          <w:sz w:val="28"/>
          <w:szCs w:val="28"/>
          <w:lang w:val="es-ES_tradnl"/>
        </w:rPr>
        <w:t xml:space="preserve"> en la ciudad donde habita</w:t>
      </w:r>
      <w:r w:rsidR="001141C1" w:rsidRPr="00DA1726">
        <w:rPr>
          <w:rFonts w:ascii="Times New Roman" w:hAnsi="Times New Roman"/>
          <w:sz w:val="28"/>
          <w:szCs w:val="28"/>
          <w:lang w:val="es-ES_tradnl"/>
        </w:rPr>
        <w:t>n</w:t>
      </w:r>
      <w:r w:rsidR="001D64B2" w:rsidRPr="00DA1726">
        <w:rPr>
          <w:rFonts w:ascii="Times New Roman" w:hAnsi="Times New Roman"/>
          <w:sz w:val="28"/>
          <w:szCs w:val="28"/>
          <w:lang w:val="es-ES_tradnl"/>
        </w:rPr>
        <w:t>;</w:t>
      </w:r>
      <w:r w:rsidR="00F1738B" w:rsidRPr="00DA1726">
        <w:rPr>
          <w:rFonts w:ascii="Times New Roman" w:hAnsi="Times New Roman"/>
          <w:sz w:val="28"/>
          <w:szCs w:val="28"/>
          <w:lang w:val="es-ES_tradnl"/>
        </w:rPr>
        <w:t xml:space="preserve"> en </w:t>
      </w:r>
      <w:r w:rsidR="00DB6618" w:rsidRPr="00DA1726">
        <w:rPr>
          <w:rFonts w:ascii="Times New Roman" w:hAnsi="Times New Roman"/>
          <w:sz w:val="28"/>
          <w:szCs w:val="28"/>
          <w:lang w:val="es-ES_tradnl"/>
        </w:rPr>
        <w:t>otros</w:t>
      </w:r>
      <w:r w:rsidR="00F1738B" w:rsidRPr="00DA1726">
        <w:rPr>
          <w:rFonts w:ascii="Times New Roman" w:hAnsi="Times New Roman"/>
          <w:sz w:val="28"/>
          <w:szCs w:val="28"/>
          <w:lang w:val="es-ES_tradnl"/>
        </w:rPr>
        <w:t xml:space="preserve"> casos el empleador lo obliga a afiliarse a una específica para dis</w:t>
      </w:r>
      <w:r w:rsidR="001D64B2" w:rsidRPr="00DA1726">
        <w:rPr>
          <w:rFonts w:ascii="Times New Roman" w:hAnsi="Times New Roman"/>
          <w:sz w:val="28"/>
          <w:szCs w:val="28"/>
          <w:lang w:val="es-ES_tradnl"/>
        </w:rPr>
        <w:t>minuir trámites administrativos;</w:t>
      </w:r>
      <w:r w:rsidR="00F1738B" w:rsidRPr="00DA1726">
        <w:rPr>
          <w:rFonts w:ascii="Times New Roman" w:hAnsi="Times New Roman"/>
          <w:sz w:val="28"/>
          <w:szCs w:val="28"/>
          <w:lang w:val="es-ES_tradnl"/>
        </w:rPr>
        <w:t xml:space="preserve"> </w:t>
      </w:r>
      <w:r w:rsidR="001D64B2" w:rsidRPr="00DA1726">
        <w:rPr>
          <w:rFonts w:ascii="Times New Roman" w:hAnsi="Times New Roman"/>
          <w:sz w:val="28"/>
          <w:szCs w:val="28"/>
          <w:lang w:val="es-ES_tradnl"/>
        </w:rPr>
        <w:t>o</w:t>
      </w:r>
      <w:r w:rsidR="00F1738B" w:rsidRPr="00DA1726">
        <w:rPr>
          <w:rFonts w:ascii="Times New Roman" w:hAnsi="Times New Roman"/>
          <w:sz w:val="28"/>
          <w:szCs w:val="28"/>
          <w:lang w:val="es-ES_tradnl"/>
        </w:rPr>
        <w:t xml:space="preserve">tras veces la selección es por regionalismo como se ve en </w:t>
      </w:r>
      <w:r w:rsidR="001141C1" w:rsidRPr="00DA1726">
        <w:rPr>
          <w:rFonts w:ascii="Times New Roman" w:hAnsi="Times New Roman"/>
          <w:sz w:val="28"/>
          <w:szCs w:val="28"/>
          <w:lang w:val="es-ES_tradnl"/>
        </w:rPr>
        <w:t>las aseguradoras</w:t>
      </w:r>
      <w:r w:rsidR="00F1738B" w:rsidRPr="00DA1726">
        <w:rPr>
          <w:rFonts w:ascii="Times New Roman" w:hAnsi="Times New Roman"/>
          <w:sz w:val="28"/>
          <w:szCs w:val="28"/>
          <w:lang w:val="es-ES_tradnl"/>
        </w:rPr>
        <w:t xml:space="preserve"> Coomeva, Comfenalco y otras del subsidiado que sus afiliados en un 90% son de la región de donde se crearon. </w:t>
      </w:r>
    </w:p>
    <w:p w:rsidR="00F1738B" w:rsidRPr="00DA1726" w:rsidRDefault="00F1738B" w:rsidP="00DA1726">
      <w:pPr>
        <w:pStyle w:val="Style9"/>
        <w:ind w:right="51"/>
        <w:rPr>
          <w:rFonts w:ascii="Times New Roman" w:hAnsi="Times New Roman"/>
          <w:sz w:val="28"/>
          <w:szCs w:val="28"/>
          <w:lang w:val="es-ES_tradnl"/>
        </w:rPr>
      </w:pPr>
    </w:p>
    <w:p w:rsidR="00F1738B" w:rsidRPr="00DA1726" w:rsidRDefault="00F1738B"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En cuanto a las </w:t>
      </w:r>
      <w:r w:rsidR="00EA4FAC" w:rsidRPr="00DA1726">
        <w:rPr>
          <w:rFonts w:ascii="Times New Roman" w:hAnsi="Times New Roman"/>
          <w:sz w:val="28"/>
          <w:szCs w:val="28"/>
          <w:lang w:val="es-ES_tradnl"/>
        </w:rPr>
        <w:t>IPS</w:t>
      </w:r>
      <w:r w:rsidRPr="00DA1726">
        <w:rPr>
          <w:rFonts w:ascii="Times New Roman" w:hAnsi="Times New Roman"/>
          <w:sz w:val="28"/>
          <w:szCs w:val="28"/>
          <w:lang w:val="es-ES_tradnl"/>
        </w:rPr>
        <w:t xml:space="preserve"> la selección se hace dentro de la red que tiene contratada la </w:t>
      </w:r>
      <w:r w:rsidR="00EA4FAC" w:rsidRPr="00DA1726">
        <w:rPr>
          <w:rFonts w:ascii="Times New Roman" w:hAnsi="Times New Roman"/>
          <w:sz w:val="28"/>
          <w:szCs w:val="28"/>
          <w:lang w:val="es-ES_tradnl"/>
        </w:rPr>
        <w:t>EPS</w:t>
      </w:r>
      <w:r w:rsidRPr="00DA1726">
        <w:rPr>
          <w:rFonts w:ascii="Times New Roman" w:hAnsi="Times New Roman"/>
          <w:sz w:val="28"/>
          <w:szCs w:val="28"/>
          <w:lang w:val="es-ES_tradnl"/>
        </w:rPr>
        <w:t xml:space="preserve"> y el servicio que tenga contratado, muchas veces en una </w:t>
      </w:r>
      <w:r w:rsidR="001D64B2" w:rsidRPr="00DA1726">
        <w:rPr>
          <w:rFonts w:ascii="Times New Roman" w:hAnsi="Times New Roman"/>
          <w:sz w:val="28"/>
          <w:szCs w:val="28"/>
          <w:lang w:val="es-ES_tradnl"/>
        </w:rPr>
        <w:t>prestadora</w:t>
      </w:r>
      <w:r w:rsidRPr="00DA1726">
        <w:rPr>
          <w:rFonts w:ascii="Times New Roman" w:hAnsi="Times New Roman"/>
          <w:sz w:val="28"/>
          <w:szCs w:val="28"/>
          <w:lang w:val="es-ES_tradnl"/>
        </w:rPr>
        <w:t xml:space="preserve"> solo contratan cirugías y no UCI, entonces el usuario </w:t>
      </w:r>
      <w:r w:rsidR="001141C1" w:rsidRPr="00DA1726">
        <w:rPr>
          <w:rFonts w:ascii="Times New Roman" w:hAnsi="Times New Roman"/>
          <w:sz w:val="28"/>
          <w:szCs w:val="28"/>
          <w:lang w:val="es-ES_tradnl"/>
        </w:rPr>
        <w:t xml:space="preserve">se conforma con aquella donde le autorizan el servicio y </w:t>
      </w:r>
      <w:r w:rsidRPr="00DA1726">
        <w:rPr>
          <w:rFonts w:ascii="Times New Roman" w:hAnsi="Times New Roman"/>
          <w:sz w:val="28"/>
          <w:szCs w:val="28"/>
          <w:lang w:val="es-ES_tradnl"/>
        </w:rPr>
        <w:t xml:space="preserve"> cuando quiere una especifica debe recurrir a tutela y justificar muy bien el porqué, ya que la </w:t>
      </w:r>
      <w:r w:rsidR="001141C1" w:rsidRPr="00DA1726">
        <w:rPr>
          <w:rFonts w:ascii="Times New Roman" w:hAnsi="Times New Roman"/>
          <w:sz w:val="28"/>
          <w:szCs w:val="28"/>
          <w:lang w:val="es-ES_tradnl"/>
        </w:rPr>
        <w:t>e</w:t>
      </w:r>
      <w:r w:rsidR="00205032" w:rsidRPr="00DA1726">
        <w:rPr>
          <w:rFonts w:ascii="Times New Roman" w:hAnsi="Times New Roman"/>
          <w:sz w:val="28"/>
          <w:szCs w:val="28"/>
          <w:lang w:val="es-ES_tradnl"/>
        </w:rPr>
        <w:t>ntidad</w:t>
      </w:r>
      <w:r w:rsidR="001141C1" w:rsidRPr="00DA1726">
        <w:rPr>
          <w:rFonts w:ascii="Times New Roman" w:hAnsi="Times New Roman"/>
          <w:sz w:val="28"/>
          <w:szCs w:val="28"/>
          <w:lang w:val="es-ES_tradnl"/>
        </w:rPr>
        <w:t xml:space="preserve"> promotora</w:t>
      </w:r>
      <w:r w:rsidRPr="00DA1726">
        <w:rPr>
          <w:rFonts w:ascii="Times New Roman" w:hAnsi="Times New Roman"/>
          <w:sz w:val="28"/>
          <w:szCs w:val="28"/>
          <w:lang w:val="es-ES_tradnl"/>
        </w:rPr>
        <w:t xml:space="preserve"> la objeta diciendo que no viola el derecho porque le ofrece la red que contrato.</w:t>
      </w:r>
    </w:p>
    <w:p w:rsidR="00F1738B" w:rsidRPr="00DA1726" w:rsidRDefault="00F1738B" w:rsidP="00DA1726">
      <w:pPr>
        <w:pStyle w:val="Style9"/>
        <w:ind w:right="51"/>
        <w:rPr>
          <w:rFonts w:ascii="Times New Roman" w:hAnsi="Times New Roman"/>
          <w:sz w:val="28"/>
          <w:szCs w:val="28"/>
          <w:lang w:val="es-ES_tradnl"/>
        </w:rPr>
      </w:pPr>
    </w:p>
    <w:p w:rsidR="00DC7ECE" w:rsidRPr="00DA1726" w:rsidRDefault="001141C1" w:rsidP="00DA1726">
      <w:pPr>
        <w:pStyle w:val="Style9"/>
        <w:ind w:right="51"/>
        <w:rPr>
          <w:rStyle w:val="FontStyle26"/>
          <w:sz w:val="28"/>
          <w:szCs w:val="28"/>
          <w:lang w:val="es-ES_tradnl"/>
        </w:rPr>
      </w:pPr>
      <w:r w:rsidRPr="00DA1726">
        <w:rPr>
          <w:rFonts w:ascii="Times New Roman" w:hAnsi="Times New Roman"/>
          <w:sz w:val="28"/>
          <w:szCs w:val="28"/>
          <w:lang w:val="es-ES_tradnl"/>
        </w:rPr>
        <w:t>En relación con el b</w:t>
      </w:r>
      <w:r w:rsidR="00DB6618" w:rsidRPr="00DA1726">
        <w:rPr>
          <w:rFonts w:ascii="Times New Roman" w:hAnsi="Times New Roman"/>
          <w:sz w:val="28"/>
          <w:szCs w:val="28"/>
          <w:lang w:val="es-ES_tradnl"/>
        </w:rPr>
        <w:t xml:space="preserve">alance del documento </w:t>
      </w:r>
      <w:r w:rsidR="00DB6618" w:rsidRPr="00DA1726">
        <w:rPr>
          <w:rFonts w:ascii="Times New Roman" w:hAnsi="Times New Roman"/>
          <w:i/>
          <w:sz w:val="28"/>
          <w:szCs w:val="28"/>
          <w:lang w:val="es-ES_tradnl"/>
        </w:rPr>
        <w:t>“Desempeño de IPS -2015: Siguiendo la orden 20 de la Sentencia T-760 de 2008”</w:t>
      </w:r>
      <w:r w:rsidRPr="00DA1726">
        <w:rPr>
          <w:rFonts w:ascii="Times New Roman" w:hAnsi="Times New Roman"/>
          <w:sz w:val="28"/>
          <w:szCs w:val="28"/>
          <w:lang w:val="es-ES_tradnl"/>
        </w:rPr>
        <w:t xml:space="preserve">, </w:t>
      </w:r>
      <w:r w:rsidR="00BD65A7" w:rsidRPr="00DA1726">
        <w:rPr>
          <w:rFonts w:ascii="Times New Roman" w:hAnsi="Times New Roman"/>
          <w:sz w:val="28"/>
          <w:szCs w:val="28"/>
          <w:lang w:val="es-ES_tradnl"/>
        </w:rPr>
        <w:t>refirió</w:t>
      </w:r>
      <w:r w:rsidRPr="00DA1726">
        <w:rPr>
          <w:rFonts w:ascii="Times New Roman" w:hAnsi="Times New Roman"/>
          <w:sz w:val="28"/>
          <w:szCs w:val="28"/>
          <w:lang w:val="es-ES_tradnl"/>
        </w:rPr>
        <w:t xml:space="preserve"> que s</w:t>
      </w:r>
      <w:r w:rsidR="00C90C42" w:rsidRPr="00DA1726">
        <w:rPr>
          <w:rFonts w:ascii="Times New Roman" w:hAnsi="Times New Roman"/>
          <w:sz w:val="28"/>
          <w:szCs w:val="28"/>
          <w:lang w:val="es-ES_tradnl"/>
        </w:rPr>
        <w:t>egún el D</w:t>
      </w:r>
      <w:r w:rsidR="00DB6618" w:rsidRPr="00DA1726">
        <w:rPr>
          <w:rFonts w:ascii="Times New Roman" w:hAnsi="Times New Roman"/>
          <w:sz w:val="28"/>
          <w:szCs w:val="28"/>
          <w:lang w:val="es-ES_tradnl"/>
        </w:rPr>
        <w:t>ecreto 1011 de 2006, por el cual se establece el Sistema Obligatorio de Garantía de Calidad de la Atención de Salud del Sistema General de Seguridad Social en Salud</w:t>
      </w:r>
      <w:r w:rsidR="00205032" w:rsidRPr="00DA1726">
        <w:rPr>
          <w:rFonts w:ascii="Times New Roman" w:hAnsi="Times New Roman"/>
          <w:sz w:val="28"/>
          <w:szCs w:val="28"/>
          <w:lang w:val="es-ES_tradnl"/>
        </w:rPr>
        <w:t xml:space="preserve"> -SOGCS</w:t>
      </w:r>
      <w:r w:rsidR="001D64B2" w:rsidRPr="00DA1726">
        <w:rPr>
          <w:rFonts w:ascii="Times New Roman" w:hAnsi="Times New Roman"/>
          <w:sz w:val="28"/>
          <w:szCs w:val="28"/>
          <w:vertAlign w:val="superscript"/>
          <w:lang w:val="es-ES_tradnl"/>
        </w:rPr>
        <w:footnoteReference w:id="49"/>
      </w:r>
      <w:r w:rsidR="00DB6618" w:rsidRPr="00DA1726">
        <w:rPr>
          <w:rFonts w:ascii="Times New Roman" w:hAnsi="Times New Roman"/>
          <w:sz w:val="28"/>
          <w:szCs w:val="28"/>
          <w:lang w:val="es-ES_tradnl"/>
        </w:rPr>
        <w:t xml:space="preserve">, </w:t>
      </w:r>
      <w:r w:rsidR="001D64B2" w:rsidRPr="00DA1726">
        <w:rPr>
          <w:rFonts w:ascii="Times New Roman" w:hAnsi="Times New Roman"/>
          <w:sz w:val="28"/>
          <w:szCs w:val="28"/>
          <w:lang w:val="es-ES_tradnl"/>
        </w:rPr>
        <w:t>l</w:t>
      </w:r>
      <w:r w:rsidR="00C90C42" w:rsidRPr="00DA1726">
        <w:rPr>
          <w:rFonts w:ascii="Times New Roman" w:hAnsi="Times New Roman"/>
          <w:sz w:val="28"/>
          <w:szCs w:val="28"/>
          <w:lang w:val="es-ES_tradnl"/>
        </w:rPr>
        <w:t>os 14 puntos</w:t>
      </w:r>
      <w:r w:rsidR="00205032" w:rsidRPr="00DA1726">
        <w:rPr>
          <w:rFonts w:ascii="Times New Roman" w:hAnsi="Times New Roman"/>
          <w:sz w:val="28"/>
          <w:szCs w:val="28"/>
          <w:lang w:val="es-ES_tradnl"/>
        </w:rPr>
        <w:t xml:space="preserve"> establecidos por la Corte Constitucional en materia de </w:t>
      </w:r>
      <w:r w:rsidR="008D66F1" w:rsidRPr="00DA1726">
        <w:rPr>
          <w:rFonts w:ascii="Times New Roman" w:hAnsi="Times New Roman"/>
          <w:i/>
          <w:sz w:val="28"/>
          <w:szCs w:val="28"/>
          <w:lang w:val="es-ES_tradnl"/>
        </w:rPr>
        <w:t>ranking</w:t>
      </w:r>
      <w:r w:rsidR="00205032" w:rsidRPr="00DA1726">
        <w:rPr>
          <w:rFonts w:ascii="Times New Roman" w:hAnsi="Times New Roman"/>
          <w:sz w:val="28"/>
          <w:szCs w:val="28"/>
          <w:lang w:val="es-ES_tradnl"/>
        </w:rPr>
        <w:t xml:space="preserve"> de</w:t>
      </w:r>
      <w:r w:rsidR="00C90C42" w:rsidRPr="00DA1726">
        <w:rPr>
          <w:rFonts w:ascii="Times New Roman" w:hAnsi="Times New Roman"/>
          <w:sz w:val="28"/>
          <w:szCs w:val="28"/>
          <w:lang w:val="es-ES_tradnl"/>
        </w:rPr>
        <w:t xml:space="preserve"> EPS </w:t>
      </w:r>
      <w:r w:rsidR="00205032" w:rsidRPr="00DA1726">
        <w:rPr>
          <w:rFonts w:ascii="Times New Roman" w:hAnsi="Times New Roman"/>
          <w:sz w:val="28"/>
          <w:szCs w:val="28"/>
          <w:lang w:val="es-ES_tradnl"/>
        </w:rPr>
        <w:t>e</w:t>
      </w:r>
      <w:r w:rsidR="00C90C42" w:rsidRPr="00DA1726">
        <w:rPr>
          <w:rFonts w:ascii="Times New Roman" w:hAnsi="Times New Roman"/>
          <w:sz w:val="28"/>
          <w:szCs w:val="28"/>
          <w:lang w:val="es-ES_tradnl"/>
        </w:rPr>
        <w:t xml:space="preserve"> IPS,</w:t>
      </w:r>
      <w:r w:rsidR="00205032" w:rsidRPr="00DA1726">
        <w:rPr>
          <w:rFonts w:ascii="Times New Roman" w:hAnsi="Times New Roman"/>
          <w:sz w:val="28"/>
          <w:szCs w:val="28"/>
          <w:lang w:val="es-ES_tradnl"/>
        </w:rPr>
        <w:t xml:space="preserve"> aplican a ambas por igual,</w:t>
      </w:r>
      <w:r w:rsidR="00C90C42" w:rsidRPr="00DA1726">
        <w:rPr>
          <w:rFonts w:ascii="Times New Roman" w:hAnsi="Times New Roman"/>
          <w:sz w:val="28"/>
          <w:szCs w:val="28"/>
          <w:lang w:val="es-ES_tradnl"/>
        </w:rPr>
        <w:t xml:space="preserve"> ya que los procesos de calidad, si bien tienen rutas específicas en cada entidad, obedecen al logro de un objetivo</w:t>
      </w:r>
      <w:r w:rsidR="00DC7ECE" w:rsidRPr="00DA1726">
        <w:rPr>
          <w:rFonts w:ascii="Times New Roman" w:hAnsi="Times New Roman"/>
          <w:sz w:val="28"/>
          <w:szCs w:val="28"/>
          <w:lang w:val="es-ES_tradnl"/>
        </w:rPr>
        <w:t xml:space="preserve"> común</w:t>
      </w:r>
      <w:r w:rsidR="00C90C42" w:rsidRPr="00DA1726">
        <w:rPr>
          <w:rFonts w:ascii="Times New Roman" w:hAnsi="Times New Roman"/>
          <w:sz w:val="28"/>
          <w:szCs w:val="28"/>
          <w:lang w:val="es-ES_tradnl"/>
        </w:rPr>
        <w:t xml:space="preserve">, la prestación de servicios médicos para la atención de calidad, que repercuten en la </w:t>
      </w:r>
      <w:r w:rsidR="00205032" w:rsidRPr="00DA1726">
        <w:rPr>
          <w:rFonts w:ascii="Times New Roman" w:hAnsi="Times New Roman"/>
          <w:sz w:val="28"/>
          <w:szCs w:val="28"/>
          <w:lang w:val="es-ES_tradnl"/>
        </w:rPr>
        <w:t>garantía</w:t>
      </w:r>
      <w:r w:rsidR="00C90C42" w:rsidRPr="00DA1726">
        <w:rPr>
          <w:rFonts w:ascii="Times New Roman" w:hAnsi="Times New Roman"/>
          <w:sz w:val="28"/>
          <w:szCs w:val="28"/>
          <w:lang w:val="es-ES_tradnl"/>
        </w:rPr>
        <w:t xml:space="preserve"> del derecho fundamental a la salud.</w:t>
      </w:r>
      <w:r w:rsidR="004444D2" w:rsidRPr="00DA1726">
        <w:rPr>
          <w:rFonts w:ascii="Times New Roman" w:hAnsi="Times New Roman"/>
          <w:sz w:val="28"/>
          <w:szCs w:val="28"/>
          <w:lang w:val="es-ES_tradnl"/>
        </w:rPr>
        <w:t xml:space="preserve"> En este punto aclara que </w:t>
      </w:r>
      <w:r w:rsidR="001D64B2" w:rsidRPr="00DA1726">
        <w:rPr>
          <w:rFonts w:ascii="Times New Roman" w:hAnsi="Times New Roman"/>
          <w:sz w:val="28"/>
          <w:szCs w:val="28"/>
          <w:lang w:val="es-ES_tradnl"/>
        </w:rPr>
        <w:t xml:space="preserve">es viable </w:t>
      </w:r>
      <w:r w:rsidR="004444D2" w:rsidRPr="00DA1726">
        <w:rPr>
          <w:rFonts w:ascii="Times New Roman" w:hAnsi="Times New Roman"/>
          <w:sz w:val="28"/>
          <w:szCs w:val="28"/>
          <w:lang w:val="es-ES_tradnl"/>
        </w:rPr>
        <w:t>l</w:t>
      </w:r>
      <w:r w:rsidR="00DC7ECE" w:rsidRPr="00DA1726">
        <w:rPr>
          <w:rStyle w:val="FontStyle26"/>
          <w:sz w:val="28"/>
          <w:szCs w:val="28"/>
          <w:lang w:val="es-ES_tradnl" w:eastAsia="es-ES_tradnl"/>
        </w:rPr>
        <w:t>a aplicación de los parámetros a las IPS, salvo en la autorización de pago de incapacidades</w:t>
      </w:r>
      <w:r w:rsidR="001D64B2" w:rsidRPr="00DA1726">
        <w:rPr>
          <w:rStyle w:val="FontStyle26"/>
          <w:sz w:val="28"/>
          <w:szCs w:val="28"/>
          <w:lang w:val="es-ES_tradnl" w:eastAsia="es-ES_tradnl"/>
        </w:rPr>
        <w:t xml:space="preserve"> (criterio 10)</w:t>
      </w:r>
      <w:r w:rsidR="00DC7ECE" w:rsidRPr="00DA1726">
        <w:rPr>
          <w:rStyle w:val="FontStyle26"/>
          <w:sz w:val="28"/>
          <w:szCs w:val="28"/>
          <w:lang w:val="es-ES_tradnl" w:eastAsia="es-ES_tradnl"/>
        </w:rPr>
        <w:t xml:space="preserve"> y de la afiliación</w:t>
      </w:r>
      <w:r w:rsidR="001D64B2" w:rsidRPr="00DA1726">
        <w:rPr>
          <w:rStyle w:val="FontStyle26"/>
          <w:sz w:val="28"/>
          <w:szCs w:val="28"/>
          <w:lang w:val="es-ES_tradnl" w:eastAsia="es-ES_tradnl"/>
        </w:rPr>
        <w:t xml:space="preserve"> (criterio 11)</w:t>
      </w:r>
      <w:r w:rsidR="00DC7ECE" w:rsidRPr="00DA1726">
        <w:rPr>
          <w:rStyle w:val="FontStyle26"/>
          <w:sz w:val="28"/>
          <w:szCs w:val="28"/>
          <w:lang w:val="es-ES_tradnl" w:eastAsia="es-ES_tradnl"/>
        </w:rPr>
        <w:t>.</w:t>
      </w:r>
      <w:r w:rsidR="001D64B2" w:rsidRPr="00DA1726">
        <w:rPr>
          <w:rStyle w:val="FontStyle26"/>
          <w:sz w:val="28"/>
          <w:szCs w:val="28"/>
          <w:lang w:val="es-ES_tradnl" w:eastAsia="es-ES_tradnl"/>
        </w:rPr>
        <w:t xml:space="preserve"> </w:t>
      </w:r>
    </w:p>
    <w:p w:rsidR="001D64B2" w:rsidRPr="00DA1726" w:rsidRDefault="001D64B2" w:rsidP="00DA1726">
      <w:pPr>
        <w:pStyle w:val="Style3"/>
        <w:widowControl/>
        <w:spacing w:line="240" w:lineRule="auto"/>
        <w:ind w:right="34"/>
        <w:rPr>
          <w:sz w:val="28"/>
          <w:szCs w:val="28"/>
        </w:rPr>
      </w:pPr>
    </w:p>
    <w:p w:rsidR="00BD65A7" w:rsidRPr="00DA1726" w:rsidRDefault="00EC7FEF" w:rsidP="00DA1726">
      <w:pPr>
        <w:pStyle w:val="Style3"/>
        <w:widowControl/>
        <w:numPr>
          <w:ilvl w:val="2"/>
          <w:numId w:val="7"/>
        </w:numPr>
        <w:spacing w:line="240" w:lineRule="auto"/>
        <w:ind w:left="0" w:right="34" w:firstLine="0"/>
        <w:rPr>
          <w:sz w:val="28"/>
          <w:szCs w:val="28"/>
          <w:lang w:val="es-ES_tradnl"/>
        </w:rPr>
      </w:pPr>
      <w:r w:rsidRPr="00DA1726">
        <w:rPr>
          <w:sz w:val="28"/>
          <w:szCs w:val="28"/>
        </w:rPr>
        <w:t>El 23 de octubre de 2015</w:t>
      </w:r>
      <w:r w:rsidR="00BD65A7" w:rsidRPr="00DA1726">
        <w:rPr>
          <w:sz w:val="28"/>
          <w:szCs w:val="28"/>
        </w:rPr>
        <w:t xml:space="preserve"> </w:t>
      </w:r>
      <w:r w:rsidR="00BD65A7" w:rsidRPr="00DA1726">
        <w:rPr>
          <w:b/>
          <w:sz w:val="28"/>
          <w:szCs w:val="28"/>
        </w:rPr>
        <w:t>Dejusticia</w:t>
      </w:r>
      <w:r w:rsidR="007E67AA" w:rsidRPr="00DA1726">
        <w:rPr>
          <w:b/>
          <w:sz w:val="28"/>
          <w:szCs w:val="28"/>
          <w:vertAlign w:val="superscript"/>
        </w:rPr>
        <w:footnoteReference w:id="50"/>
      </w:r>
      <w:r w:rsidR="00BD65A7" w:rsidRPr="00DA1726">
        <w:rPr>
          <w:b/>
          <w:sz w:val="28"/>
          <w:szCs w:val="28"/>
        </w:rPr>
        <w:t xml:space="preserve"> </w:t>
      </w:r>
      <w:r w:rsidR="00BD65A7" w:rsidRPr="00DA1726">
        <w:rPr>
          <w:sz w:val="28"/>
          <w:szCs w:val="28"/>
        </w:rPr>
        <w:t xml:space="preserve">se refirió a </w:t>
      </w:r>
      <w:r w:rsidR="00BD65A7" w:rsidRPr="00DA1726">
        <w:rPr>
          <w:sz w:val="28"/>
          <w:szCs w:val="28"/>
          <w:lang w:val="es-ES_tradnl"/>
        </w:rPr>
        <w:t>la relevancia y vigencia de los componentes de la ordenación de EPS definidos en el Auto 260 de 2012 a la luz de la Ley 1751 de 2015 y la sentencia C-313 de 2014 y propuso los cambios que consider</w:t>
      </w:r>
      <w:r w:rsidR="001D64B2" w:rsidRPr="00DA1726">
        <w:rPr>
          <w:sz w:val="28"/>
          <w:szCs w:val="28"/>
          <w:lang w:val="es-ES_tradnl"/>
        </w:rPr>
        <w:t>ó</w:t>
      </w:r>
      <w:r w:rsidR="00BD65A7" w:rsidRPr="00DA1726">
        <w:rPr>
          <w:sz w:val="28"/>
          <w:szCs w:val="28"/>
          <w:lang w:val="es-ES_tradnl"/>
        </w:rPr>
        <w:t xml:space="preserve"> necesarios. </w:t>
      </w:r>
      <w:r w:rsidR="000145E8" w:rsidRPr="00DA1726">
        <w:rPr>
          <w:sz w:val="28"/>
          <w:szCs w:val="28"/>
          <w:lang w:val="es-ES_tradnl"/>
        </w:rPr>
        <w:t>En este sentido hizo alusión a los criterios específicos sobre los cuales hizo las propuestas que estimó importantes, como se expone a continuación.</w:t>
      </w:r>
    </w:p>
    <w:p w:rsidR="00BD65A7" w:rsidRPr="00DA1726" w:rsidRDefault="00BD65A7" w:rsidP="00DA1726">
      <w:pPr>
        <w:pStyle w:val="Style3"/>
        <w:widowControl/>
        <w:spacing w:line="240" w:lineRule="auto"/>
        <w:ind w:right="34"/>
        <w:rPr>
          <w:sz w:val="28"/>
          <w:szCs w:val="28"/>
          <w:lang w:val="es-ES_tradnl"/>
        </w:rPr>
      </w:pPr>
    </w:p>
    <w:p w:rsidR="00BD65A7" w:rsidRPr="00DA1726" w:rsidRDefault="000145E8" w:rsidP="00DA1726">
      <w:pPr>
        <w:jc w:val="both"/>
        <w:rPr>
          <w:sz w:val="28"/>
          <w:szCs w:val="28"/>
          <w:lang w:val="es-ES_tradnl"/>
        </w:rPr>
      </w:pPr>
      <w:r w:rsidRPr="00DA1726">
        <w:rPr>
          <w:sz w:val="28"/>
          <w:szCs w:val="28"/>
          <w:lang w:val="es-ES_tradnl"/>
        </w:rPr>
        <w:t>Respecto del primero</w:t>
      </w:r>
      <w:r w:rsidR="00EE02E9" w:rsidRPr="00DA1726">
        <w:rPr>
          <w:sz w:val="28"/>
          <w:szCs w:val="28"/>
          <w:vertAlign w:val="superscript"/>
          <w:lang w:val="es-ES_tradnl"/>
        </w:rPr>
        <w:footnoteReference w:id="51"/>
      </w:r>
      <w:r w:rsidR="00EE02E9" w:rsidRPr="00DA1726">
        <w:rPr>
          <w:sz w:val="28"/>
          <w:szCs w:val="28"/>
          <w:lang w:val="es-ES_tradnl"/>
        </w:rPr>
        <w:t xml:space="preserve"> e</w:t>
      </w:r>
      <w:r w:rsidR="00AB2D74" w:rsidRPr="00DA1726">
        <w:rPr>
          <w:sz w:val="28"/>
          <w:szCs w:val="28"/>
          <w:lang w:val="es-ES_tradnl" w:eastAsia="es-ES"/>
        </w:rPr>
        <w:t xml:space="preserve">xplicó que una de las modificaciones de la ley estatutaria en salud es que </w:t>
      </w:r>
      <w:r w:rsidR="00AB2D74" w:rsidRPr="00DA1726">
        <w:rPr>
          <w:rStyle w:val="FontStyle29"/>
          <w:sz w:val="28"/>
          <w:szCs w:val="28"/>
          <w:lang w:val="es-ES_tradnl" w:eastAsia="es-ES_tradnl"/>
        </w:rPr>
        <w:t xml:space="preserve">todos los servicios y tecnologías de salud  </w:t>
      </w:r>
      <w:r w:rsidR="00AB2D74" w:rsidRPr="00DA1726">
        <w:rPr>
          <w:rStyle w:val="FontStyle32"/>
          <w:rFonts w:ascii="Times New Roman" w:hAnsi="Times New Roman" w:cs="Times New Roman"/>
          <w:sz w:val="28"/>
          <w:szCs w:val="28"/>
          <w:lang w:val="es-ES_tradnl" w:eastAsia="es-ES_tradnl"/>
        </w:rPr>
        <w:t xml:space="preserve">que no estén expresamente excluidos se entenderán como incluidos (art. 15 Ley 1751 de 2015). </w:t>
      </w:r>
      <w:r w:rsidR="00AB2D74" w:rsidRPr="00DA1726">
        <w:rPr>
          <w:rStyle w:val="FontStyle29"/>
          <w:sz w:val="28"/>
          <w:szCs w:val="28"/>
          <w:lang w:val="es-ES_tradnl" w:eastAsia="es-ES_tradnl"/>
        </w:rPr>
        <w:t>En esa medida, con la nueva regulación la inclusión pasó a ser la regla y la exclusión la excepción.</w:t>
      </w:r>
    </w:p>
    <w:p w:rsidR="00BD65A7" w:rsidRPr="00DA1726" w:rsidRDefault="00BD65A7" w:rsidP="00DA1726">
      <w:pPr>
        <w:pStyle w:val="Style3"/>
        <w:widowControl/>
        <w:spacing w:line="240" w:lineRule="auto"/>
        <w:ind w:right="34"/>
        <w:rPr>
          <w:sz w:val="28"/>
          <w:szCs w:val="28"/>
          <w:lang w:val="es-ES_tradnl"/>
        </w:rPr>
      </w:pPr>
    </w:p>
    <w:p w:rsidR="00DA42B8" w:rsidRPr="00DA1726" w:rsidRDefault="00EE02E9" w:rsidP="00DA1726">
      <w:pPr>
        <w:pStyle w:val="Style3"/>
        <w:widowControl/>
        <w:spacing w:line="240" w:lineRule="auto"/>
        <w:ind w:right="34"/>
        <w:rPr>
          <w:rStyle w:val="FontStyle29"/>
          <w:i/>
          <w:sz w:val="28"/>
          <w:szCs w:val="28"/>
          <w:lang w:val="es-ES_tradnl" w:eastAsia="es-ES_tradnl"/>
        </w:rPr>
      </w:pPr>
      <w:r w:rsidRPr="00DA1726">
        <w:rPr>
          <w:sz w:val="28"/>
          <w:szCs w:val="28"/>
          <w:lang w:val="es-ES_tradnl"/>
        </w:rPr>
        <w:t>En cuanto al s</w:t>
      </w:r>
      <w:r w:rsidR="00DA42B8" w:rsidRPr="00DA1726">
        <w:rPr>
          <w:sz w:val="28"/>
          <w:szCs w:val="28"/>
          <w:lang w:val="es-ES_tradnl"/>
        </w:rPr>
        <w:t>egundo</w:t>
      </w:r>
      <w:r w:rsidRPr="00DA1726">
        <w:rPr>
          <w:sz w:val="28"/>
          <w:szCs w:val="28"/>
          <w:vertAlign w:val="superscript"/>
          <w:lang w:val="es-ES_tradnl"/>
        </w:rPr>
        <w:footnoteReference w:id="52"/>
      </w:r>
      <w:r w:rsidRPr="00DA1726">
        <w:rPr>
          <w:sz w:val="28"/>
          <w:szCs w:val="28"/>
          <w:lang w:val="es-ES_tradnl"/>
        </w:rPr>
        <w:t xml:space="preserve"> d</w:t>
      </w:r>
      <w:r w:rsidR="00DA42B8" w:rsidRPr="00DA1726">
        <w:rPr>
          <w:rStyle w:val="FontStyle29"/>
          <w:sz w:val="28"/>
          <w:szCs w:val="28"/>
          <w:lang w:val="es-ES_tradnl" w:eastAsia="es-ES_tradnl"/>
        </w:rPr>
        <w:t xml:space="preserve">estacó que a la luz de la nueva regulación su redacción debe ser modificada, entendiendo que únicamente los servicios incluidos en la lista de exclusiones son lo que no deben ser financiados por el Sistema (es decir, son los únicos </w:t>
      </w:r>
      <w:r w:rsidR="00DA42B8" w:rsidRPr="00DA1726">
        <w:rPr>
          <w:rStyle w:val="FontStyle29"/>
          <w:i/>
          <w:sz w:val="28"/>
          <w:szCs w:val="28"/>
          <w:lang w:val="es-ES_tradnl" w:eastAsia="es-ES_tradnl"/>
        </w:rPr>
        <w:t>“No POS”</w:t>
      </w:r>
      <w:r w:rsidR="00CC65F4" w:rsidRPr="00DA1726">
        <w:rPr>
          <w:rStyle w:val="FontStyle29"/>
          <w:sz w:val="28"/>
          <w:szCs w:val="28"/>
          <w:lang w:val="es-ES_tradnl" w:eastAsia="es-ES_tradnl"/>
        </w:rPr>
        <w:t>)</w:t>
      </w:r>
      <w:r w:rsidR="00DA42B8" w:rsidRPr="00DA1726">
        <w:rPr>
          <w:rStyle w:val="FontStyle29"/>
          <w:i/>
          <w:sz w:val="28"/>
          <w:szCs w:val="28"/>
          <w:lang w:val="es-ES_tradnl" w:eastAsia="es-ES_tradnl"/>
        </w:rPr>
        <w:t>.</w:t>
      </w:r>
    </w:p>
    <w:p w:rsidR="00DA42B8" w:rsidRPr="00DA1726" w:rsidRDefault="00DA42B8" w:rsidP="00DA1726">
      <w:pPr>
        <w:rPr>
          <w:sz w:val="28"/>
          <w:szCs w:val="28"/>
          <w:lang w:val="es-ES_tradnl"/>
        </w:rPr>
      </w:pPr>
    </w:p>
    <w:p w:rsidR="00571AF0" w:rsidRPr="00DA1726" w:rsidRDefault="00CF693E" w:rsidP="00DA1726">
      <w:pPr>
        <w:jc w:val="both"/>
        <w:rPr>
          <w:rStyle w:val="FontStyle29"/>
          <w:sz w:val="28"/>
          <w:szCs w:val="28"/>
          <w:lang w:val="es-ES_tradnl" w:eastAsia="es-ES_tradnl"/>
        </w:rPr>
      </w:pPr>
      <w:r w:rsidRPr="00DA1726">
        <w:rPr>
          <w:sz w:val="28"/>
          <w:szCs w:val="28"/>
          <w:lang w:val="es-ES_tradnl"/>
        </w:rPr>
        <w:t>En relación con el t</w:t>
      </w:r>
      <w:r w:rsidR="00381BB4" w:rsidRPr="00DA1726">
        <w:rPr>
          <w:sz w:val="28"/>
          <w:szCs w:val="28"/>
          <w:lang w:val="es-ES_tradnl"/>
        </w:rPr>
        <w:t>ercero</w:t>
      </w:r>
      <w:r w:rsidRPr="00DA1726">
        <w:rPr>
          <w:sz w:val="28"/>
          <w:szCs w:val="28"/>
          <w:vertAlign w:val="superscript"/>
          <w:lang w:val="es-ES_tradnl"/>
        </w:rPr>
        <w:footnoteReference w:id="53"/>
      </w:r>
      <w:r w:rsidRPr="00DA1726">
        <w:rPr>
          <w:sz w:val="28"/>
          <w:szCs w:val="28"/>
          <w:lang w:val="es-ES_tradnl"/>
        </w:rPr>
        <w:t xml:space="preserve">, advirtió que </w:t>
      </w:r>
      <w:r w:rsidR="00381BB4" w:rsidRPr="00DA1726">
        <w:rPr>
          <w:rStyle w:val="FontStyle29"/>
          <w:sz w:val="28"/>
          <w:szCs w:val="28"/>
          <w:lang w:val="es-ES_tradnl" w:eastAsia="es-ES_tradnl"/>
        </w:rPr>
        <w:t xml:space="preserve">este </w:t>
      </w:r>
      <w:r w:rsidRPr="00DA1726">
        <w:rPr>
          <w:rStyle w:val="FontStyle29"/>
          <w:sz w:val="28"/>
          <w:szCs w:val="28"/>
          <w:lang w:val="es-ES_tradnl" w:eastAsia="es-ES_tradnl"/>
        </w:rPr>
        <w:t xml:space="preserve">a </w:t>
      </w:r>
      <w:r w:rsidR="00381BB4" w:rsidRPr="00DA1726">
        <w:rPr>
          <w:rStyle w:val="FontStyle29"/>
          <w:sz w:val="28"/>
          <w:szCs w:val="28"/>
          <w:lang w:val="es-ES_tradnl" w:eastAsia="es-ES_tradnl"/>
        </w:rPr>
        <w:t xml:space="preserve">componente deben </w:t>
      </w:r>
      <w:r w:rsidRPr="00DA1726">
        <w:rPr>
          <w:rStyle w:val="FontStyle29"/>
          <w:sz w:val="28"/>
          <w:szCs w:val="28"/>
          <w:lang w:val="es-ES_tradnl" w:eastAsia="es-ES_tradnl"/>
        </w:rPr>
        <w:t>hacérsele</w:t>
      </w:r>
      <w:r w:rsidR="00381BB4" w:rsidRPr="00DA1726">
        <w:rPr>
          <w:rStyle w:val="FontStyle29"/>
          <w:sz w:val="28"/>
          <w:szCs w:val="28"/>
          <w:lang w:val="es-ES_tradnl" w:eastAsia="es-ES_tradnl"/>
        </w:rPr>
        <w:t xml:space="preserve"> dos precisiones. En primer lugar, la Ley Estatutaria no es clara frente a si se mantiene la figura de los CTC o no</w:t>
      </w:r>
      <w:r w:rsidR="00571AF0" w:rsidRPr="00DA1726">
        <w:rPr>
          <w:sz w:val="28"/>
          <w:szCs w:val="28"/>
          <w:vertAlign w:val="superscript"/>
          <w:lang w:val="es-ES_tradnl" w:eastAsia="es-ES_tradnl"/>
        </w:rPr>
        <w:footnoteReference w:id="54"/>
      </w:r>
      <w:r w:rsidR="00571AF0" w:rsidRPr="00DA1726">
        <w:rPr>
          <w:rStyle w:val="FontStyle29"/>
          <w:sz w:val="28"/>
          <w:szCs w:val="28"/>
          <w:lang w:val="es-ES_tradnl" w:eastAsia="es-ES_tradnl"/>
        </w:rPr>
        <w:t>. Además, según esa misma normatividad a</w:t>
      </w:r>
      <w:r w:rsidR="00381BB4" w:rsidRPr="00DA1726">
        <w:rPr>
          <w:rStyle w:val="FontStyle29"/>
          <w:sz w:val="28"/>
          <w:szCs w:val="28"/>
          <w:lang w:val="es-ES_tradnl" w:eastAsia="es-ES_tradnl"/>
        </w:rPr>
        <w:t xml:space="preserve"> los pacientes a que no se les </w:t>
      </w:r>
      <w:r w:rsidR="00571AF0" w:rsidRPr="00DA1726">
        <w:rPr>
          <w:rStyle w:val="FontStyle29"/>
          <w:sz w:val="28"/>
          <w:szCs w:val="28"/>
          <w:lang w:val="es-ES_tradnl" w:eastAsia="es-ES_tradnl"/>
        </w:rPr>
        <w:t xml:space="preserve">puede </w:t>
      </w:r>
      <w:r w:rsidR="00381BB4" w:rsidRPr="00DA1726">
        <w:rPr>
          <w:rStyle w:val="FontStyle29"/>
          <w:sz w:val="28"/>
          <w:szCs w:val="28"/>
          <w:lang w:val="es-ES_tradnl" w:eastAsia="es-ES_tradnl"/>
        </w:rPr>
        <w:t>traslad</w:t>
      </w:r>
      <w:r w:rsidR="00571AF0" w:rsidRPr="00DA1726">
        <w:rPr>
          <w:rStyle w:val="FontStyle29"/>
          <w:sz w:val="28"/>
          <w:szCs w:val="28"/>
          <w:lang w:val="es-ES_tradnl" w:eastAsia="es-ES_tradnl"/>
        </w:rPr>
        <w:t>ar</w:t>
      </w:r>
      <w:r w:rsidR="00381BB4" w:rsidRPr="00DA1726">
        <w:rPr>
          <w:rStyle w:val="FontStyle29"/>
          <w:sz w:val="28"/>
          <w:szCs w:val="28"/>
          <w:lang w:val="es-ES_tradnl" w:eastAsia="es-ES_tradnl"/>
        </w:rPr>
        <w:t xml:space="preserve"> cargas administrativas que constituyen obstáculos para el goce efectivo del derecho</w:t>
      </w:r>
      <w:r w:rsidR="00571AF0" w:rsidRPr="00DA1726">
        <w:rPr>
          <w:sz w:val="28"/>
          <w:szCs w:val="28"/>
          <w:vertAlign w:val="superscript"/>
          <w:lang w:val="es-ES_tradnl" w:eastAsia="es-ES_tradnl"/>
        </w:rPr>
        <w:footnoteReference w:id="55"/>
      </w:r>
      <w:r w:rsidR="00381BB4" w:rsidRPr="00DA1726">
        <w:rPr>
          <w:rStyle w:val="FontStyle29"/>
          <w:sz w:val="28"/>
          <w:szCs w:val="28"/>
          <w:lang w:val="es-ES_tradnl" w:eastAsia="es-ES_tradnl"/>
        </w:rPr>
        <w:t xml:space="preserve">. </w:t>
      </w:r>
    </w:p>
    <w:p w:rsidR="00571AF0" w:rsidRPr="00DA1726" w:rsidRDefault="00571AF0" w:rsidP="00DA1726">
      <w:pPr>
        <w:pStyle w:val="Style18"/>
        <w:widowControl/>
        <w:spacing w:line="240" w:lineRule="auto"/>
        <w:ind w:right="12"/>
        <w:rPr>
          <w:rStyle w:val="FontStyle29"/>
          <w:sz w:val="28"/>
          <w:szCs w:val="28"/>
          <w:lang w:val="es-ES_tradnl" w:eastAsia="es-ES_tradnl"/>
        </w:rPr>
      </w:pPr>
    </w:p>
    <w:p w:rsidR="00F13A20" w:rsidRPr="00DA1726" w:rsidRDefault="00374781" w:rsidP="00DA1726">
      <w:pPr>
        <w:jc w:val="both"/>
        <w:rPr>
          <w:sz w:val="28"/>
          <w:szCs w:val="28"/>
          <w:lang w:val="es-ES_tradnl"/>
        </w:rPr>
      </w:pPr>
      <w:r w:rsidRPr="00DA1726">
        <w:rPr>
          <w:sz w:val="28"/>
          <w:szCs w:val="28"/>
          <w:lang w:val="es-ES_tradnl"/>
        </w:rPr>
        <w:t>De cara al o</w:t>
      </w:r>
      <w:r w:rsidR="00F13A20" w:rsidRPr="00DA1726">
        <w:rPr>
          <w:sz w:val="28"/>
          <w:szCs w:val="28"/>
          <w:lang w:val="es-ES_tradnl"/>
        </w:rPr>
        <w:t>ctavo</w:t>
      </w:r>
      <w:r w:rsidRPr="00DA1726">
        <w:rPr>
          <w:sz w:val="28"/>
          <w:szCs w:val="28"/>
          <w:vertAlign w:val="superscript"/>
          <w:lang w:val="es-ES_tradnl"/>
        </w:rPr>
        <w:footnoteReference w:id="56"/>
      </w:r>
      <w:r w:rsidRPr="00DA1726">
        <w:rPr>
          <w:sz w:val="28"/>
          <w:szCs w:val="28"/>
          <w:lang w:val="es-ES_tradnl"/>
        </w:rPr>
        <w:t xml:space="preserve">, </w:t>
      </w:r>
      <w:r w:rsidR="00CC65F4" w:rsidRPr="00DA1726">
        <w:rPr>
          <w:sz w:val="28"/>
          <w:szCs w:val="28"/>
          <w:lang w:val="es-ES_tradnl"/>
        </w:rPr>
        <w:t>señaló que</w:t>
      </w:r>
      <w:r w:rsidR="00F13A20" w:rsidRPr="00DA1726">
        <w:rPr>
          <w:sz w:val="28"/>
          <w:szCs w:val="28"/>
          <w:lang w:val="es-ES_tradnl"/>
        </w:rPr>
        <w:t xml:space="preserve"> la </w:t>
      </w:r>
      <w:r w:rsidR="00D377CC" w:rsidRPr="00DA1726">
        <w:rPr>
          <w:sz w:val="28"/>
          <w:szCs w:val="28"/>
          <w:lang w:val="es-ES_tradnl"/>
        </w:rPr>
        <w:t>l</w:t>
      </w:r>
      <w:r w:rsidR="00F13A20" w:rsidRPr="00DA1726">
        <w:rPr>
          <w:sz w:val="28"/>
          <w:szCs w:val="28"/>
          <w:lang w:val="es-ES_tradnl"/>
        </w:rPr>
        <w:t>ey</w:t>
      </w:r>
      <w:r w:rsidR="00D377CC" w:rsidRPr="00DA1726">
        <w:rPr>
          <w:sz w:val="28"/>
          <w:szCs w:val="28"/>
          <w:lang w:val="es-ES_tradnl"/>
        </w:rPr>
        <w:t xml:space="preserve"> estatutaria de salud</w:t>
      </w:r>
      <w:r w:rsidR="00F13A20" w:rsidRPr="00DA1726">
        <w:rPr>
          <w:sz w:val="28"/>
          <w:szCs w:val="28"/>
          <w:lang w:val="es-ES_tradnl"/>
        </w:rPr>
        <w:t xml:space="preserve"> reconoce en su artículo 11 a los menores como sujetos de protección especial que no pueden tener ninguna limitación administrativa o económica en su atención</w:t>
      </w:r>
      <w:r w:rsidR="00D377CC" w:rsidRPr="00DA1726">
        <w:rPr>
          <w:sz w:val="28"/>
          <w:szCs w:val="28"/>
          <w:lang w:val="es-ES_tradnl"/>
        </w:rPr>
        <w:t xml:space="preserve"> y </w:t>
      </w:r>
      <w:r w:rsidR="00F13A20" w:rsidRPr="00DA1726">
        <w:rPr>
          <w:sz w:val="28"/>
          <w:szCs w:val="28"/>
          <w:lang w:val="es-ES_tradnl"/>
        </w:rPr>
        <w:t>que en otros componentes se hace alusión a situaciones en las que se niega el acceso a servicios de salud a sujetos de especial protección diferentes a los niños, como los pacientes de alto costo</w:t>
      </w:r>
      <w:r w:rsidR="006041F5" w:rsidRPr="00DA1726">
        <w:rPr>
          <w:sz w:val="28"/>
          <w:szCs w:val="28"/>
          <w:lang w:val="es-ES_tradnl"/>
        </w:rPr>
        <w:t>, con el fin de</w:t>
      </w:r>
      <w:r w:rsidR="00F13A20" w:rsidRPr="00DA1726">
        <w:rPr>
          <w:sz w:val="28"/>
          <w:szCs w:val="28"/>
          <w:lang w:val="es-ES_tradnl"/>
        </w:rPr>
        <w:t xml:space="preserve"> depurar el </w:t>
      </w:r>
      <w:r w:rsidR="001D64B2" w:rsidRPr="00DA1726">
        <w:rPr>
          <w:sz w:val="28"/>
          <w:szCs w:val="28"/>
          <w:lang w:val="es-ES_tradnl"/>
        </w:rPr>
        <w:t>catálogo</w:t>
      </w:r>
      <w:r w:rsidR="00F13A20" w:rsidRPr="00DA1726">
        <w:rPr>
          <w:sz w:val="28"/>
          <w:szCs w:val="28"/>
          <w:lang w:val="es-ES_tradnl"/>
        </w:rPr>
        <w:t xml:space="preserve"> de </w:t>
      </w:r>
      <w:r w:rsidR="00D377CC" w:rsidRPr="00DA1726">
        <w:rPr>
          <w:sz w:val="28"/>
          <w:szCs w:val="28"/>
          <w:lang w:val="es-ES_tradnl"/>
        </w:rPr>
        <w:t>indicadores</w:t>
      </w:r>
      <w:r w:rsidR="00F13A20" w:rsidRPr="00DA1726">
        <w:rPr>
          <w:sz w:val="28"/>
          <w:szCs w:val="28"/>
          <w:lang w:val="es-ES_tradnl"/>
        </w:rPr>
        <w:t xml:space="preserve">, </w:t>
      </w:r>
      <w:r w:rsidRPr="00DA1726">
        <w:rPr>
          <w:sz w:val="28"/>
          <w:szCs w:val="28"/>
          <w:lang w:val="es-ES_tradnl"/>
        </w:rPr>
        <w:t xml:space="preserve">por lo que </w:t>
      </w:r>
      <w:r w:rsidR="00F13A20" w:rsidRPr="00DA1726">
        <w:rPr>
          <w:sz w:val="28"/>
          <w:szCs w:val="28"/>
          <w:lang w:val="es-ES_tradnl"/>
        </w:rPr>
        <w:t>se podrían agru</w:t>
      </w:r>
      <w:r w:rsidR="00E91D74" w:rsidRPr="00DA1726">
        <w:rPr>
          <w:sz w:val="28"/>
          <w:szCs w:val="28"/>
          <w:lang w:val="es-ES_tradnl"/>
        </w:rPr>
        <w:t>par todas estas situaciones, lo que obliga a crear un nuevo componente</w:t>
      </w:r>
      <w:r w:rsidR="00D377CC" w:rsidRPr="00DA1726">
        <w:rPr>
          <w:i/>
          <w:sz w:val="28"/>
          <w:szCs w:val="28"/>
          <w:lang w:val="es-ES_tradnl"/>
        </w:rPr>
        <w:t>.</w:t>
      </w:r>
      <w:r w:rsidR="00F13A20" w:rsidRPr="00DA1726">
        <w:rPr>
          <w:sz w:val="28"/>
          <w:szCs w:val="28"/>
          <w:lang w:val="es-ES_tradnl"/>
        </w:rPr>
        <w:t xml:space="preserve"> </w:t>
      </w:r>
      <w:r w:rsidR="00BF17B9" w:rsidRPr="00DA1726">
        <w:rPr>
          <w:sz w:val="28"/>
          <w:szCs w:val="28"/>
          <w:lang w:val="es-ES_tradnl"/>
        </w:rPr>
        <w:t>En el mismo sentido se refirió a los criterios décimo</w:t>
      </w:r>
      <w:r w:rsidR="00BF17B9" w:rsidRPr="00DA1726">
        <w:rPr>
          <w:sz w:val="28"/>
          <w:szCs w:val="28"/>
          <w:vertAlign w:val="superscript"/>
          <w:lang w:val="es-ES_tradnl"/>
        </w:rPr>
        <w:footnoteReference w:id="57"/>
      </w:r>
      <w:r w:rsidR="00BF17B9" w:rsidRPr="00DA1726">
        <w:rPr>
          <w:sz w:val="28"/>
          <w:szCs w:val="28"/>
          <w:lang w:val="es-ES_tradnl"/>
        </w:rPr>
        <w:t xml:space="preserve"> y undécimo</w:t>
      </w:r>
      <w:r w:rsidR="00BF17B9" w:rsidRPr="00DA1726">
        <w:rPr>
          <w:sz w:val="28"/>
          <w:szCs w:val="28"/>
          <w:vertAlign w:val="superscript"/>
          <w:lang w:val="es-ES_tradnl"/>
        </w:rPr>
        <w:footnoteReference w:id="58"/>
      </w:r>
    </w:p>
    <w:p w:rsidR="00D377CC" w:rsidRPr="00DA1726" w:rsidRDefault="00D377CC" w:rsidP="00DA1726">
      <w:pPr>
        <w:jc w:val="both"/>
        <w:rPr>
          <w:sz w:val="28"/>
          <w:szCs w:val="28"/>
          <w:lang w:val="es-ES_tradnl"/>
        </w:rPr>
      </w:pPr>
    </w:p>
    <w:p w:rsidR="006041F5" w:rsidRPr="00DA1726" w:rsidRDefault="00BF17B9" w:rsidP="00DA1726">
      <w:pPr>
        <w:jc w:val="both"/>
        <w:rPr>
          <w:sz w:val="28"/>
          <w:szCs w:val="28"/>
          <w:lang w:val="es-ES_tradnl"/>
        </w:rPr>
      </w:pPr>
      <w:r w:rsidRPr="00DA1726">
        <w:rPr>
          <w:sz w:val="28"/>
          <w:szCs w:val="28"/>
          <w:lang w:val="es-ES_tradnl"/>
        </w:rPr>
        <w:t>En relación con el n</w:t>
      </w:r>
      <w:r w:rsidR="00E66AB8" w:rsidRPr="00DA1726">
        <w:rPr>
          <w:sz w:val="28"/>
          <w:szCs w:val="28"/>
          <w:lang w:val="es-ES_tradnl"/>
        </w:rPr>
        <w:t>oveno</w:t>
      </w:r>
      <w:r w:rsidRPr="00DA1726">
        <w:rPr>
          <w:sz w:val="28"/>
          <w:szCs w:val="28"/>
          <w:vertAlign w:val="superscript"/>
          <w:lang w:val="es-ES_tradnl"/>
        </w:rPr>
        <w:footnoteReference w:id="59"/>
      </w:r>
      <w:r w:rsidRPr="00DA1726">
        <w:rPr>
          <w:sz w:val="28"/>
          <w:szCs w:val="28"/>
          <w:lang w:val="es-ES_tradnl"/>
        </w:rPr>
        <w:t xml:space="preserve"> afirmó que </w:t>
      </w:r>
      <w:r w:rsidR="006041F5" w:rsidRPr="00DA1726">
        <w:rPr>
          <w:sz w:val="28"/>
          <w:szCs w:val="28"/>
          <w:lang w:val="es-ES_tradnl"/>
        </w:rPr>
        <w:t xml:space="preserve">en este parámetro se debería eliminar el factor de que los servicios se requieran </w:t>
      </w:r>
      <w:r w:rsidR="00E66AB8" w:rsidRPr="00DA1726">
        <w:rPr>
          <w:i/>
          <w:sz w:val="28"/>
          <w:szCs w:val="28"/>
          <w:lang w:val="es-ES_tradnl"/>
        </w:rPr>
        <w:t>“</w:t>
      </w:r>
      <w:r w:rsidR="006041F5" w:rsidRPr="00DA1726">
        <w:rPr>
          <w:i/>
          <w:sz w:val="28"/>
          <w:szCs w:val="28"/>
          <w:lang w:val="es-ES_tradnl"/>
        </w:rPr>
        <w:t>con necesidad</w:t>
      </w:r>
      <w:r w:rsidR="00E66AB8" w:rsidRPr="00DA1726">
        <w:rPr>
          <w:i/>
          <w:sz w:val="28"/>
          <w:szCs w:val="28"/>
          <w:lang w:val="es-ES_tradnl"/>
        </w:rPr>
        <w:t>”</w:t>
      </w:r>
      <w:r w:rsidR="006041F5" w:rsidRPr="00DA1726">
        <w:rPr>
          <w:sz w:val="28"/>
          <w:szCs w:val="28"/>
          <w:lang w:val="es-ES_tradnl"/>
        </w:rPr>
        <w:t xml:space="preserve"> ya que de acuerdo con la legislación actual y con la jurisprudencia, supeditar la prestación del servicio al pago de una cuota moderadora es una clara violación al derecho a la salud </w:t>
      </w:r>
      <w:r w:rsidR="00E66AB8" w:rsidRPr="00DA1726">
        <w:rPr>
          <w:sz w:val="28"/>
          <w:szCs w:val="28"/>
          <w:lang w:val="es-ES_tradnl"/>
        </w:rPr>
        <w:t>(P</w:t>
      </w:r>
      <w:r w:rsidR="006041F5" w:rsidRPr="00DA1726">
        <w:rPr>
          <w:sz w:val="28"/>
          <w:szCs w:val="28"/>
          <w:lang w:val="es-ES_tradnl"/>
        </w:rPr>
        <w:t>arg</w:t>
      </w:r>
      <w:r w:rsidR="00E66AB8" w:rsidRPr="00DA1726">
        <w:rPr>
          <w:sz w:val="28"/>
          <w:szCs w:val="28"/>
          <w:lang w:val="es-ES_tradnl"/>
        </w:rPr>
        <w:t>.</w:t>
      </w:r>
      <w:r w:rsidR="006041F5" w:rsidRPr="00DA1726">
        <w:rPr>
          <w:sz w:val="28"/>
          <w:szCs w:val="28"/>
          <w:lang w:val="es-ES_tradnl"/>
        </w:rPr>
        <w:t xml:space="preserve"> </w:t>
      </w:r>
      <w:r w:rsidR="00E66AB8" w:rsidRPr="00DA1726">
        <w:rPr>
          <w:sz w:val="28"/>
          <w:szCs w:val="28"/>
          <w:lang w:val="es-ES_tradnl"/>
        </w:rPr>
        <w:t>1</w:t>
      </w:r>
      <w:r w:rsidR="006041F5" w:rsidRPr="00DA1726">
        <w:rPr>
          <w:sz w:val="28"/>
          <w:szCs w:val="28"/>
          <w:vertAlign w:val="superscript"/>
          <w:lang w:val="es-ES_tradnl"/>
        </w:rPr>
        <w:t>o</w:t>
      </w:r>
      <w:r w:rsidR="006041F5" w:rsidRPr="00DA1726">
        <w:rPr>
          <w:sz w:val="28"/>
          <w:szCs w:val="28"/>
          <w:lang w:val="es-ES_tradnl"/>
        </w:rPr>
        <w:t xml:space="preserve"> del art</w:t>
      </w:r>
      <w:r w:rsidR="00E66AB8" w:rsidRPr="00DA1726">
        <w:rPr>
          <w:sz w:val="28"/>
          <w:szCs w:val="28"/>
          <w:lang w:val="es-ES_tradnl"/>
        </w:rPr>
        <w:t>.</w:t>
      </w:r>
      <w:r w:rsidR="006041F5" w:rsidRPr="00DA1726">
        <w:rPr>
          <w:sz w:val="28"/>
          <w:szCs w:val="28"/>
          <w:lang w:val="es-ES_tradnl"/>
        </w:rPr>
        <w:t xml:space="preserve"> 10 </w:t>
      </w:r>
      <w:r w:rsidR="00E66AB8" w:rsidRPr="00DA1726">
        <w:rPr>
          <w:sz w:val="28"/>
          <w:szCs w:val="28"/>
          <w:lang w:val="es-ES_tradnl"/>
        </w:rPr>
        <w:t>Ley 1751 de 2015</w:t>
      </w:r>
      <w:r w:rsidR="001D64B2" w:rsidRPr="00DA1726">
        <w:rPr>
          <w:sz w:val="28"/>
          <w:szCs w:val="28"/>
          <w:vertAlign w:val="superscript"/>
          <w:lang w:val="es-ES_tradnl"/>
        </w:rPr>
        <w:footnoteReference w:id="60"/>
      </w:r>
      <w:r w:rsidR="00EC7FEF" w:rsidRPr="00DA1726">
        <w:rPr>
          <w:sz w:val="28"/>
          <w:szCs w:val="28"/>
          <w:lang w:val="es-ES_tradnl"/>
        </w:rPr>
        <w:t>).</w:t>
      </w:r>
    </w:p>
    <w:p w:rsidR="00EC7FEF" w:rsidRPr="00DA1726" w:rsidRDefault="00EC7FEF" w:rsidP="00DA1726">
      <w:pPr>
        <w:jc w:val="both"/>
        <w:rPr>
          <w:sz w:val="28"/>
          <w:szCs w:val="28"/>
          <w:lang w:val="es-ES_tradnl"/>
        </w:rPr>
      </w:pPr>
    </w:p>
    <w:p w:rsidR="003A7B88" w:rsidRPr="00DA1726" w:rsidRDefault="00B773BB" w:rsidP="00DA1726">
      <w:pPr>
        <w:pStyle w:val="Style5"/>
        <w:widowControl/>
        <w:ind w:right="233"/>
        <w:rPr>
          <w:rFonts w:ascii="Times New Roman" w:hAnsi="Times New Roman"/>
          <w:sz w:val="28"/>
          <w:szCs w:val="28"/>
          <w:lang w:val="es-ES_tradnl"/>
        </w:rPr>
      </w:pPr>
      <w:r w:rsidRPr="00DA1726">
        <w:rPr>
          <w:rFonts w:ascii="Times New Roman" w:hAnsi="Times New Roman"/>
          <w:sz w:val="28"/>
          <w:szCs w:val="28"/>
          <w:lang w:val="es-ES_tradnl"/>
        </w:rPr>
        <w:t>En cuanto al d</w:t>
      </w:r>
      <w:r w:rsidR="003A7B88" w:rsidRPr="00DA1726">
        <w:rPr>
          <w:rFonts w:ascii="Times New Roman" w:hAnsi="Times New Roman"/>
          <w:sz w:val="28"/>
          <w:szCs w:val="28"/>
          <w:lang w:val="es-ES_tradnl"/>
        </w:rPr>
        <w:t>écimo tercero</w:t>
      </w:r>
      <w:r w:rsidR="001E56BD" w:rsidRPr="00DA1726">
        <w:rPr>
          <w:rFonts w:ascii="Times New Roman" w:hAnsi="Times New Roman"/>
          <w:sz w:val="28"/>
          <w:szCs w:val="28"/>
          <w:vertAlign w:val="superscript"/>
          <w:lang w:val="es-ES_tradnl"/>
        </w:rPr>
        <w:footnoteReference w:id="61"/>
      </w:r>
      <w:r w:rsidR="001E56BD" w:rsidRPr="00DA1726">
        <w:rPr>
          <w:rFonts w:ascii="Times New Roman" w:hAnsi="Times New Roman"/>
          <w:sz w:val="28"/>
          <w:szCs w:val="28"/>
          <w:lang w:val="es-ES_tradnl"/>
        </w:rPr>
        <w:t>, a</w:t>
      </w:r>
      <w:r w:rsidR="003A7B88" w:rsidRPr="00DA1726">
        <w:rPr>
          <w:rFonts w:ascii="Times New Roman" w:hAnsi="Times New Roman"/>
          <w:sz w:val="28"/>
          <w:szCs w:val="28"/>
          <w:lang w:val="es-ES_tradnl"/>
        </w:rPr>
        <w:t>l tratarse de una limitación económica al acceso a servicios de salud por parte de un sujeto de especial protección, puede ser agrupa</w:t>
      </w:r>
      <w:r w:rsidR="001B4CBE" w:rsidRPr="00DA1726">
        <w:rPr>
          <w:rFonts w:ascii="Times New Roman" w:hAnsi="Times New Roman"/>
          <w:sz w:val="28"/>
          <w:szCs w:val="28"/>
          <w:lang w:val="es-ES_tradnl"/>
        </w:rPr>
        <w:t xml:space="preserve">da en el siguiente componente: </w:t>
      </w:r>
      <w:r w:rsidR="001B4CBE" w:rsidRPr="00DA1726">
        <w:rPr>
          <w:rFonts w:ascii="Times New Roman" w:hAnsi="Times New Roman"/>
          <w:i/>
          <w:sz w:val="28"/>
          <w:szCs w:val="28"/>
          <w:lang w:val="es-ES_tradnl"/>
        </w:rPr>
        <w:t>“</w:t>
      </w:r>
      <w:r w:rsidR="003A7B88" w:rsidRPr="00DA1726">
        <w:rPr>
          <w:rFonts w:ascii="Times New Roman" w:hAnsi="Times New Roman"/>
          <w:i/>
          <w:sz w:val="28"/>
          <w:szCs w:val="28"/>
          <w:lang w:val="es-ES_tradnl"/>
        </w:rPr>
        <w:t>Niegan el acceso oportuno a servicios de salud a sujetos de especial protección con base en limitaciones administr</w:t>
      </w:r>
      <w:r w:rsidR="001E56BD" w:rsidRPr="00DA1726">
        <w:rPr>
          <w:rFonts w:ascii="Times New Roman" w:hAnsi="Times New Roman"/>
          <w:i/>
          <w:sz w:val="28"/>
          <w:szCs w:val="28"/>
          <w:lang w:val="es-ES_tradnl"/>
        </w:rPr>
        <w:t>ativas o económicas del usuario</w:t>
      </w:r>
      <w:r w:rsidR="001B4CBE" w:rsidRPr="00DA1726">
        <w:rPr>
          <w:rFonts w:ascii="Times New Roman" w:hAnsi="Times New Roman"/>
          <w:i/>
          <w:sz w:val="28"/>
          <w:szCs w:val="28"/>
          <w:lang w:val="es-ES_tradnl"/>
        </w:rPr>
        <w:t>”</w:t>
      </w:r>
      <w:r w:rsidR="003A7B88" w:rsidRPr="00DA1726">
        <w:rPr>
          <w:rFonts w:ascii="Times New Roman" w:hAnsi="Times New Roman"/>
          <w:i/>
          <w:sz w:val="28"/>
          <w:szCs w:val="28"/>
          <w:lang w:val="es-ES_tradnl"/>
        </w:rPr>
        <w:t>.</w:t>
      </w:r>
    </w:p>
    <w:p w:rsidR="003A7B88" w:rsidRPr="00DA1726" w:rsidRDefault="003A7B88" w:rsidP="00DA1726">
      <w:pPr>
        <w:pStyle w:val="Style5"/>
        <w:widowControl/>
        <w:ind w:right="233"/>
        <w:rPr>
          <w:rFonts w:ascii="Times New Roman" w:hAnsi="Times New Roman"/>
          <w:sz w:val="28"/>
          <w:szCs w:val="28"/>
          <w:lang w:val="es-ES_tradnl"/>
        </w:rPr>
      </w:pPr>
    </w:p>
    <w:p w:rsidR="003A7B88" w:rsidRPr="00DA1726" w:rsidRDefault="00F71B5A" w:rsidP="00DA1726">
      <w:pPr>
        <w:jc w:val="both"/>
        <w:rPr>
          <w:sz w:val="28"/>
          <w:szCs w:val="28"/>
          <w:lang w:val="es-ES_tradnl"/>
        </w:rPr>
      </w:pPr>
      <w:r w:rsidRPr="00DA1726">
        <w:rPr>
          <w:sz w:val="28"/>
          <w:szCs w:val="28"/>
          <w:lang w:val="es-ES_tradnl"/>
        </w:rPr>
        <w:t>Hecho el</w:t>
      </w:r>
      <w:r w:rsidR="001D64B2" w:rsidRPr="00DA1726">
        <w:rPr>
          <w:sz w:val="28"/>
          <w:szCs w:val="28"/>
          <w:lang w:val="es-ES_tradnl"/>
        </w:rPr>
        <w:t xml:space="preserve"> anterior recuento, expuso que a</w:t>
      </w:r>
      <w:r w:rsidR="00BF5072" w:rsidRPr="00DA1726">
        <w:rPr>
          <w:sz w:val="28"/>
          <w:szCs w:val="28"/>
          <w:lang w:val="es-ES_tradnl"/>
        </w:rPr>
        <w:t>n</w:t>
      </w:r>
      <w:r w:rsidRPr="00DA1726">
        <w:rPr>
          <w:sz w:val="28"/>
          <w:szCs w:val="28"/>
          <w:lang w:val="es-ES_tradnl"/>
        </w:rPr>
        <w:t>t</w:t>
      </w:r>
      <w:r w:rsidR="00BF5072" w:rsidRPr="00DA1726">
        <w:rPr>
          <w:sz w:val="28"/>
          <w:szCs w:val="28"/>
          <w:lang w:val="es-ES_tradnl"/>
        </w:rPr>
        <w:t xml:space="preserve">e el nuevo marco normativo (Ley 1751 de 2015) y la interpretación </w:t>
      </w:r>
      <w:r w:rsidRPr="00DA1726">
        <w:rPr>
          <w:sz w:val="28"/>
          <w:szCs w:val="28"/>
          <w:lang w:val="es-ES_tradnl"/>
        </w:rPr>
        <w:t>jurisprudencia vigente</w:t>
      </w:r>
      <w:r w:rsidR="00BF5072" w:rsidRPr="00DA1726">
        <w:rPr>
          <w:sz w:val="28"/>
          <w:szCs w:val="28"/>
          <w:lang w:val="es-ES_tradnl"/>
        </w:rPr>
        <w:t xml:space="preserve"> (sentencia C-313 de 2015), lo procedente sería</w:t>
      </w:r>
      <w:r w:rsidR="001B4CBE" w:rsidRPr="00DA1726">
        <w:rPr>
          <w:sz w:val="28"/>
          <w:szCs w:val="28"/>
          <w:lang w:val="es-ES_tradnl"/>
        </w:rPr>
        <w:t xml:space="preserve"> hacer algunas modificaciones en </w:t>
      </w:r>
      <w:r w:rsidR="00BF17B9" w:rsidRPr="00DA1726">
        <w:rPr>
          <w:sz w:val="28"/>
          <w:szCs w:val="28"/>
          <w:lang w:val="es-ES_tradnl"/>
        </w:rPr>
        <w:t>la redacción de los componentes</w:t>
      </w:r>
      <w:r w:rsidR="001B4CBE" w:rsidRPr="00DA1726">
        <w:rPr>
          <w:sz w:val="28"/>
          <w:szCs w:val="28"/>
          <w:lang w:val="es-ES_tradnl"/>
        </w:rPr>
        <w:t>.</w:t>
      </w:r>
    </w:p>
    <w:p w:rsidR="00781606" w:rsidRPr="00DA1726" w:rsidRDefault="00781606" w:rsidP="00DA1726">
      <w:pPr>
        <w:jc w:val="both"/>
        <w:rPr>
          <w:sz w:val="28"/>
          <w:szCs w:val="28"/>
          <w:lang w:val="es-ES_tradnl"/>
        </w:rPr>
      </w:pPr>
    </w:p>
    <w:p w:rsidR="003D42D9" w:rsidRPr="00DA1726" w:rsidRDefault="001E56BD" w:rsidP="00DA1726">
      <w:pPr>
        <w:jc w:val="both"/>
        <w:rPr>
          <w:rStyle w:val="FontStyle29"/>
          <w:sz w:val="28"/>
          <w:szCs w:val="28"/>
          <w:lang w:val="es-ES_tradnl" w:eastAsia="es-ES_tradnl"/>
        </w:rPr>
      </w:pPr>
      <w:r w:rsidRPr="00DA1726">
        <w:rPr>
          <w:sz w:val="28"/>
          <w:szCs w:val="28"/>
          <w:lang w:val="es-ES_tradnl"/>
        </w:rPr>
        <w:t xml:space="preserve">En cuanto al requerimiento </w:t>
      </w:r>
      <w:r w:rsidR="00EC7FEF" w:rsidRPr="00DA1726">
        <w:rPr>
          <w:sz w:val="28"/>
          <w:szCs w:val="28"/>
          <w:lang w:val="es-ES_tradnl"/>
        </w:rPr>
        <w:t>dado</w:t>
      </w:r>
      <w:r w:rsidRPr="00DA1726">
        <w:rPr>
          <w:sz w:val="28"/>
          <w:szCs w:val="28"/>
          <w:lang w:val="es-ES_tradnl"/>
        </w:rPr>
        <w:t xml:space="preserve"> por la Corte Constitucional para que se pronunciara sobre la e</w:t>
      </w:r>
      <w:r w:rsidR="003D42D9" w:rsidRPr="00DA1726">
        <w:rPr>
          <w:rStyle w:val="FontStyle30"/>
          <w:rFonts w:ascii="Times New Roman" w:hAnsi="Times New Roman" w:cs="Times New Roman"/>
          <w:sz w:val="28"/>
          <w:szCs w:val="28"/>
          <w:lang w:val="es-ES_tradnl" w:eastAsia="es-ES_tradnl"/>
        </w:rPr>
        <w:t>valuación del grado de aceptación, entendimiento y utilidad que la o</w:t>
      </w:r>
      <w:r w:rsidRPr="00DA1726">
        <w:rPr>
          <w:rStyle w:val="FontStyle30"/>
          <w:rFonts w:ascii="Times New Roman" w:hAnsi="Times New Roman" w:cs="Times New Roman"/>
          <w:sz w:val="28"/>
          <w:szCs w:val="28"/>
          <w:lang w:val="es-ES_tradnl" w:eastAsia="es-ES_tradnl"/>
        </w:rPr>
        <w:t>rdenación presta a los usuarios, e</w:t>
      </w:r>
      <w:r w:rsidR="00B814BD" w:rsidRPr="00DA1726">
        <w:rPr>
          <w:rStyle w:val="FontStyle29"/>
          <w:sz w:val="28"/>
          <w:szCs w:val="28"/>
          <w:lang w:val="es-ES_tradnl" w:eastAsia="es-ES_tradnl"/>
        </w:rPr>
        <w:t>n primer lugar refirió que</w:t>
      </w:r>
      <w:r w:rsidR="003D42D9" w:rsidRPr="00DA1726">
        <w:rPr>
          <w:rStyle w:val="FontStyle29"/>
          <w:sz w:val="28"/>
          <w:szCs w:val="28"/>
          <w:lang w:val="es-ES_tradnl" w:eastAsia="es-ES_tradnl"/>
        </w:rPr>
        <w:t xml:space="preserve"> la ordenación simple propuesta por la Corte en el Auto 249 de 2013</w:t>
      </w:r>
      <w:r w:rsidRPr="00DA1726">
        <w:rPr>
          <w:rStyle w:val="FontStyle29"/>
          <w:sz w:val="28"/>
          <w:szCs w:val="28"/>
          <w:lang w:val="es-ES_tradnl" w:eastAsia="es-ES_tradnl"/>
        </w:rPr>
        <w:t>, la que en su sentir</w:t>
      </w:r>
      <w:r w:rsidR="003D42D9" w:rsidRPr="00DA1726">
        <w:rPr>
          <w:rStyle w:val="FontStyle29"/>
          <w:sz w:val="28"/>
          <w:szCs w:val="28"/>
          <w:lang w:val="es-ES_tradnl" w:eastAsia="es-ES_tradnl"/>
        </w:rPr>
        <w:t xml:space="preserve"> puede generar incen</w:t>
      </w:r>
      <w:r w:rsidR="00B814BD" w:rsidRPr="00DA1726">
        <w:rPr>
          <w:rStyle w:val="FontStyle29"/>
          <w:sz w:val="28"/>
          <w:szCs w:val="28"/>
          <w:lang w:val="es-ES_tradnl" w:eastAsia="es-ES_tradnl"/>
        </w:rPr>
        <w:t>tivos negativos en la población, debido a que existen municipios donde solo tiene presencia una EPS o IPS, la cual puede ser calificada como la entidad que con más frecuencia viola el derecho a la salud.</w:t>
      </w:r>
    </w:p>
    <w:p w:rsidR="003D42D9" w:rsidRPr="00DA1726" w:rsidRDefault="003D42D9" w:rsidP="00DA1726">
      <w:pPr>
        <w:jc w:val="both"/>
        <w:rPr>
          <w:rStyle w:val="FontStyle29"/>
          <w:sz w:val="28"/>
          <w:szCs w:val="28"/>
          <w:lang w:val="es-ES_tradnl" w:eastAsia="es-ES_tradnl"/>
        </w:rPr>
      </w:pPr>
    </w:p>
    <w:p w:rsidR="003D42D9" w:rsidRPr="00DA1726" w:rsidRDefault="001E56BD" w:rsidP="00DA1726">
      <w:pPr>
        <w:jc w:val="both"/>
        <w:rPr>
          <w:rStyle w:val="FontStyle29"/>
          <w:sz w:val="28"/>
          <w:szCs w:val="28"/>
          <w:lang w:val="es-ES_tradnl" w:eastAsia="es-ES_tradnl"/>
        </w:rPr>
      </w:pPr>
      <w:r w:rsidRPr="00DA1726">
        <w:rPr>
          <w:rStyle w:val="FontStyle29"/>
          <w:sz w:val="28"/>
          <w:szCs w:val="28"/>
          <w:lang w:val="es-ES_tradnl" w:eastAsia="es-ES_tradnl"/>
        </w:rPr>
        <w:t>Agregó que r</w:t>
      </w:r>
      <w:r w:rsidR="008F4ED1" w:rsidRPr="00DA1726">
        <w:rPr>
          <w:rStyle w:val="FontStyle29"/>
          <w:sz w:val="28"/>
          <w:szCs w:val="28"/>
          <w:lang w:val="es-ES_tradnl" w:eastAsia="es-ES_tradnl"/>
        </w:rPr>
        <w:t xml:space="preserve">esulta difícil identificar cuál de los 14 componentes de violación </w:t>
      </w:r>
      <w:r w:rsidR="00EC7FEF" w:rsidRPr="00DA1726">
        <w:rPr>
          <w:rStyle w:val="FontStyle29"/>
          <w:sz w:val="28"/>
          <w:szCs w:val="28"/>
          <w:lang w:val="es-ES_tradnl" w:eastAsia="es-ES_tradnl"/>
        </w:rPr>
        <w:t>tiene más valor</w:t>
      </w:r>
      <w:r w:rsidR="008F4ED1" w:rsidRPr="00DA1726">
        <w:rPr>
          <w:rStyle w:val="FontStyle29"/>
          <w:sz w:val="28"/>
          <w:szCs w:val="28"/>
          <w:lang w:val="es-ES_tradnl" w:eastAsia="es-ES_tradnl"/>
        </w:rPr>
        <w:t xml:space="preserve"> al momento de dar una calificación unificada, lo que además puede generar una desinformación perjudicial para los usuarios, debido a que es necesario que puedan conocer específicamente respecto de cada indicador la frecuencia en que su EPS incurre en determinada práctica violatoria.</w:t>
      </w:r>
    </w:p>
    <w:p w:rsidR="003D42D9" w:rsidRPr="00DA1726" w:rsidRDefault="003D42D9" w:rsidP="00DA1726">
      <w:pPr>
        <w:jc w:val="both"/>
        <w:rPr>
          <w:rStyle w:val="FontStyle29"/>
          <w:sz w:val="28"/>
          <w:szCs w:val="28"/>
          <w:lang w:val="es-ES_tradnl" w:eastAsia="es-ES_tradnl"/>
        </w:rPr>
      </w:pPr>
    </w:p>
    <w:p w:rsidR="00E72CEF" w:rsidRPr="00DA1726" w:rsidRDefault="001E56BD" w:rsidP="00DA1726">
      <w:pPr>
        <w:pStyle w:val="Style5"/>
        <w:widowControl/>
        <w:rPr>
          <w:rStyle w:val="FontStyle29"/>
          <w:sz w:val="28"/>
          <w:szCs w:val="28"/>
          <w:lang w:val="es-ES_tradnl" w:eastAsia="es-ES_tradnl"/>
        </w:rPr>
      </w:pPr>
      <w:r w:rsidRPr="00DA1726">
        <w:rPr>
          <w:rFonts w:ascii="Times New Roman" w:hAnsi="Times New Roman"/>
          <w:sz w:val="28"/>
          <w:szCs w:val="28"/>
        </w:rPr>
        <w:t>Destacó que p</w:t>
      </w:r>
      <w:r w:rsidR="008F4ED1" w:rsidRPr="00DA1726">
        <w:rPr>
          <w:rFonts w:ascii="Times New Roman" w:hAnsi="Times New Roman"/>
          <w:sz w:val="28"/>
          <w:szCs w:val="28"/>
        </w:rPr>
        <w:t xml:space="preserve">ara evitar que la cantidad de información generada a partir de los 14 componentes </w:t>
      </w:r>
      <w:r w:rsidR="001D64B2" w:rsidRPr="00DA1726">
        <w:rPr>
          <w:rFonts w:ascii="Times New Roman" w:hAnsi="Times New Roman"/>
          <w:sz w:val="28"/>
          <w:szCs w:val="28"/>
        </w:rPr>
        <w:t>pueda</w:t>
      </w:r>
      <w:r w:rsidR="008F4ED1" w:rsidRPr="00DA1726">
        <w:rPr>
          <w:rFonts w:ascii="Times New Roman" w:hAnsi="Times New Roman"/>
          <w:sz w:val="28"/>
          <w:szCs w:val="28"/>
        </w:rPr>
        <w:t xml:space="preserve"> llegar </w:t>
      </w:r>
      <w:r w:rsidR="001D64B2" w:rsidRPr="00DA1726">
        <w:rPr>
          <w:rFonts w:ascii="Times New Roman" w:hAnsi="Times New Roman"/>
          <w:sz w:val="28"/>
          <w:szCs w:val="28"/>
        </w:rPr>
        <w:t>confundir al</w:t>
      </w:r>
      <w:r w:rsidR="008F4ED1" w:rsidRPr="00DA1726">
        <w:rPr>
          <w:rFonts w:ascii="Times New Roman" w:hAnsi="Times New Roman"/>
          <w:sz w:val="28"/>
          <w:szCs w:val="28"/>
        </w:rPr>
        <w:t xml:space="preserve"> usuario </w:t>
      </w:r>
      <w:r w:rsidR="001D64B2" w:rsidRPr="00DA1726">
        <w:rPr>
          <w:rFonts w:ascii="Times New Roman" w:hAnsi="Times New Roman"/>
          <w:sz w:val="28"/>
          <w:szCs w:val="28"/>
        </w:rPr>
        <w:t>al momento de decidir</w:t>
      </w:r>
      <w:r w:rsidR="008F4ED1" w:rsidRPr="00DA1726">
        <w:rPr>
          <w:rFonts w:ascii="Times New Roman" w:hAnsi="Times New Roman"/>
          <w:sz w:val="28"/>
          <w:szCs w:val="28"/>
        </w:rPr>
        <w:t xml:space="preserve"> a qué EPS afiliarse</w:t>
      </w:r>
      <w:r w:rsidR="001D64B2" w:rsidRPr="00DA1726">
        <w:rPr>
          <w:rFonts w:ascii="Times New Roman" w:hAnsi="Times New Roman"/>
          <w:sz w:val="28"/>
          <w:szCs w:val="28"/>
        </w:rPr>
        <w:t xml:space="preserve">, </w:t>
      </w:r>
      <w:r w:rsidR="00E72CEF" w:rsidRPr="00DA1726">
        <w:rPr>
          <w:rFonts w:ascii="Times New Roman" w:hAnsi="Times New Roman"/>
          <w:sz w:val="28"/>
          <w:szCs w:val="28"/>
        </w:rPr>
        <w:t xml:space="preserve">propuso </w:t>
      </w:r>
      <w:r w:rsidR="00E72CEF" w:rsidRPr="00DA1726">
        <w:rPr>
          <w:rStyle w:val="FontStyle29"/>
          <w:sz w:val="28"/>
          <w:szCs w:val="28"/>
          <w:lang w:val="es-ES_tradnl" w:eastAsia="es-ES_tradnl"/>
        </w:rPr>
        <w:t>que se haga una clasificación por grupos o rangos, que puede ser la propuesta por la Corte en el sen</w:t>
      </w:r>
      <w:r w:rsidR="007A7FBC" w:rsidRPr="00DA1726">
        <w:rPr>
          <w:rStyle w:val="FontStyle29"/>
          <w:sz w:val="28"/>
          <w:szCs w:val="28"/>
          <w:lang w:val="es-ES_tradnl" w:eastAsia="es-ES_tradnl"/>
        </w:rPr>
        <w:t>tido de identificar un rango crí</w:t>
      </w:r>
      <w:r w:rsidR="00E72CEF" w:rsidRPr="00DA1726">
        <w:rPr>
          <w:rStyle w:val="FontStyle29"/>
          <w:sz w:val="28"/>
          <w:szCs w:val="28"/>
          <w:lang w:val="es-ES_tradnl" w:eastAsia="es-ES_tradnl"/>
        </w:rPr>
        <w:t>t</w:t>
      </w:r>
      <w:r w:rsidR="003534D2" w:rsidRPr="00DA1726">
        <w:rPr>
          <w:rStyle w:val="FontStyle29"/>
          <w:sz w:val="28"/>
          <w:szCs w:val="28"/>
          <w:lang w:val="es-ES_tradnl" w:eastAsia="es-ES_tradnl"/>
        </w:rPr>
        <w:t>ico (las aseguradoras</w:t>
      </w:r>
      <w:r w:rsidR="00E72CEF" w:rsidRPr="00DA1726">
        <w:rPr>
          <w:rStyle w:val="FontStyle29"/>
          <w:sz w:val="28"/>
          <w:szCs w:val="28"/>
          <w:lang w:val="es-ES_tradnl" w:eastAsia="es-ES_tradnl"/>
        </w:rPr>
        <w:t xml:space="preserve"> que, teniendo en cuenta el número de afiliados, </w:t>
      </w:r>
      <w:r w:rsidR="003534D2" w:rsidRPr="00DA1726">
        <w:rPr>
          <w:rStyle w:val="FontStyle29"/>
          <w:sz w:val="28"/>
          <w:szCs w:val="28"/>
          <w:lang w:val="es-ES_tradnl" w:eastAsia="es-ES_tradnl"/>
        </w:rPr>
        <w:t xml:space="preserve">incurre </w:t>
      </w:r>
      <w:r w:rsidR="00E72CEF" w:rsidRPr="00DA1726">
        <w:rPr>
          <w:rStyle w:val="FontStyle29"/>
          <w:sz w:val="28"/>
          <w:szCs w:val="28"/>
          <w:lang w:val="es-ES_tradnl" w:eastAsia="es-ES_tradnl"/>
        </w:rPr>
        <w:t xml:space="preserve">en más practicas violatorias) y luego rangos de alarma, aceptabilidad y superioridad. De esta forma los usuarios pueden identificar las </w:t>
      </w:r>
      <w:r w:rsidR="003534D2" w:rsidRPr="00DA1726">
        <w:rPr>
          <w:rStyle w:val="FontStyle29"/>
          <w:sz w:val="28"/>
          <w:szCs w:val="28"/>
          <w:lang w:val="es-ES_tradnl" w:eastAsia="es-ES_tradnl"/>
        </w:rPr>
        <w:t>Entidades Promotoras de Salud</w:t>
      </w:r>
      <w:r w:rsidR="00E72CEF" w:rsidRPr="00DA1726">
        <w:rPr>
          <w:rStyle w:val="FontStyle29"/>
          <w:sz w:val="28"/>
          <w:szCs w:val="28"/>
          <w:lang w:val="es-ES_tradnl" w:eastAsia="es-ES_tradnl"/>
        </w:rPr>
        <w:t xml:space="preserve"> que </w:t>
      </w:r>
      <w:r w:rsidR="003534D2" w:rsidRPr="00DA1726">
        <w:rPr>
          <w:rStyle w:val="FontStyle29"/>
          <w:sz w:val="28"/>
          <w:szCs w:val="28"/>
          <w:lang w:val="es-ES_tradnl" w:eastAsia="es-ES_tradnl"/>
        </w:rPr>
        <w:t>con mayor frecuencia</w:t>
      </w:r>
      <w:r w:rsidR="00E72CEF" w:rsidRPr="00DA1726">
        <w:rPr>
          <w:rStyle w:val="FontStyle29"/>
          <w:sz w:val="28"/>
          <w:szCs w:val="28"/>
          <w:lang w:val="es-ES_tradnl" w:eastAsia="es-ES_tradnl"/>
        </w:rPr>
        <w:t xml:space="preserve"> incurren en prácticas violatorias sin que esto implique un juicio por puesto específico. Es decir, el usuario buscará afiliarse a </w:t>
      </w:r>
      <w:r w:rsidR="003534D2" w:rsidRPr="00DA1726">
        <w:rPr>
          <w:rStyle w:val="FontStyle29"/>
          <w:sz w:val="28"/>
          <w:szCs w:val="28"/>
          <w:lang w:val="es-ES_tradnl" w:eastAsia="es-ES_tradnl"/>
        </w:rPr>
        <w:t>aquellas aseguradoras</w:t>
      </w:r>
      <w:r w:rsidR="00E72CEF" w:rsidRPr="00DA1726">
        <w:rPr>
          <w:rStyle w:val="FontStyle29"/>
          <w:sz w:val="28"/>
          <w:szCs w:val="28"/>
          <w:lang w:val="es-ES_tradnl" w:eastAsia="es-ES_tradnl"/>
        </w:rPr>
        <w:t xml:space="preserve"> que están dentro del rango de superioridad y no a la EPS especifica que está en el primer puesto.</w:t>
      </w:r>
    </w:p>
    <w:p w:rsidR="003D42D9" w:rsidRPr="00DA1726" w:rsidRDefault="003D42D9" w:rsidP="00DA1726">
      <w:pPr>
        <w:pStyle w:val="Style5"/>
        <w:widowControl/>
        <w:rPr>
          <w:rFonts w:ascii="Times New Roman" w:hAnsi="Times New Roman"/>
          <w:sz w:val="28"/>
          <w:szCs w:val="28"/>
        </w:rPr>
      </w:pPr>
    </w:p>
    <w:p w:rsidR="00EA0D60" w:rsidRPr="00DA1726" w:rsidRDefault="00EC7FEF" w:rsidP="00DA1726">
      <w:pPr>
        <w:pStyle w:val="Style5"/>
        <w:widowControl/>
        <w:ind w:right="41"/>
        <w:rPr>
          <w:rStyle w:val="FontStyle29"/>
          <w:sz w:val="28"/>
          <w:szCs w:val="28"/>
          <w:lang w:val="es-ES_tradnl" w:eastAsia="es-ES_tradnl"/>
        </w:rPr>
      </w:pPr>
      <w:r w:rsidRPr="00DA1726">
        <w:rPr>
          <w:rStyle w:val="FontStyle29"/>
          <w:sz w:val="28"/>
          <w:szCs w:val="28"/>
          <w:lang w:val="es-ES_tradnl" w:eastAsia="es-ES_tradnl"/>
        </w:rPr>
        <w:t>A</w:t>
      </w:r>
      <w:r w:rsidR="00CF3A32" w:rsidRPr="00DA1726">
        <w:rPr>
          <w:rStyle w:val="FontStyle29"/>
          <w:sz w:val="28"/>
          <w:szCs w:val="28"/>
          <w:lang w:val="es-ES_tradnl" w:eastAsia="es-ES_tradnl"/>
        </w:rPr>
        <w:t xml:space="preserve">dvirtió que para mayor entendimiento de los usuarios, el </w:t>
      </w:r>
      <w:r w:rsidR="008D66F1" w:rsidRPr="00DA1726">
        <w:rPr>
          <w:rStyle w:val="FontStyle29"/>
          <w:i/>
          <w:sz w:val="28"/>
          <w:szCs w:val="28"/>
          <w:lang w:val="es-ES_tradnl" w:eastAsia="es-ES_tradnl"/>
        </w:rPr>
        <w:t>ranking</w:t>
      </w:r>
      <w:r w:rsidR="00CF3A32" w:rsidRPr="00DA1726">
        <w:rPr>
          <w:rStyle w:val="FontStyle29"/>
          <w:sz w:val="28"/>
          <w:szCs w:val="28"/>
          <w:lang w:val="es-ES_tradnl" w:eastAsia="es-ES_tradnl"/>
        </w:rPr>
        <w:t xml:space="preserve"> en términos de violaciones (orden 20), debe ser presentado en junto </w:t>
      </w:r>
      <w:r w:rsidR="007A7FBC" w:rsidRPr="00DA1726">
        <w:rPr>
          <w:rStyle w:val="FontStyle29"/>
          <w:sz w:val="28"/>
          <w:szCs w:val="28"/>
          <w:lang w:val="es-ES_tradnl" w:eastAsia="es-ES_tradnl"/>
        </w:rPr>
        <w:t>la clasificación</w:t>
      </w:r>
      <w:r w:rsidR="00CF3A32" w:rsidRPr="00DA1726">
        <w:rPr>
          <w:rStyle w:val="FontStyle29"/>
          <w:sz w:val="28"/>
          <w:szCs w:val="28"/>
          <w:lang w:val="es-ES_tradnl" w:eastAsia="es-ES_tradnl"/>
        </w:rPr>
        <w:t xml:space="preserve"> de desempeño en donde se miran factores de calidad, cobertura, resultados, evaluación de los usuarios, entre otros (orden 28).</w:t>
      </w:r>
    </w:p>
    <w:p w:rsidR="00EA0D60" w:rsidRPr="00DA1726" w:rsidRDefault="00EA0D60" w:rsidP="00DA1726">
      <w:pPr>
        <w:pStyle w:val="Style5"/>
        <w:widowControl/>
        <w:ind w:right="41"/>
        <w:rPr>
          <w:rFonts w:ascii="Times New Roman" w:hAnsi="Times New Roman"/>
          <w:sz w:val="28"/>
          <w:szCs w:val="28"/>
          <w:lang w:val="es-ES_tradnl" w:eastAsia="es-ES_tradnl"/>
        </w:rPr>
      </w:pPr>
    </w:p>
    <w:p w:rsidR="00072486" w:rsidRPr="00DA1726" w:rsidRDefault="007A7FBC" w:rsidP="00DA1726">
      <w:pPr>
        <w:pStyle w:val="Style7"/>
        <w:widowControl/>
        <w:jc w:val="both"/>
        <w:rPr>
          <w:rStyle w:val="FontStyle29"/>
          <w:sz w:val="28"/>
          <w:szCs w:val="28"/>
          <w:lang w:val="es-ES_tradnl" w:eastAsia="es-ES_tradnl"/>
        </w:rPr>
      </w:pPr>
      <w:r w:rsidRPr="00DA1726">
        <w:rPr>
          <w:rStyle w:val="FontStyle30"/>
          <w:rFonts w:ascii="Times New Roman" w:hAnsi="Times New Roman" w:cs="Times New Roman"/>
          <w:sz w:val="28"/>
          <w:szCs w:val="28"/>
          <w:lang w:val="es-ES_tradnl" w:eastAsia="es-ES_tradnl"/>
        </w:rPr>
        <w:t xml:space="preserve">Finalmente respecto al </w:t>
      </w:r>
      <w:r w:rsidRPr="00DA1726">
        <w:rPr>
          <w:rStyle w:val="FontStyle30"/>
          <w:rFonts w:ascii="Times New Roman" w:hAnsi="Times New Roman" w:cs="Times New Roman"/>
          <w:i/>
          <w:sz w:val="28"/>
          <w:szCs w:val="28"/>
          <w:lang w:val="es-ES_tradnl" w:eastAsia="es-ES_tradnl"/>
        </w:rPr>
        <w:t>n</w:t>
      </w:r>
      <w:r w:rsidR="00EA0D60" w:rsidRPr="00DA1726">
        <w:rPr>
          <w:rStyle w:val="FontStyle30"/>
          <w:rFonts w:ascii="Times New Roman" w:hAnsi="Times New Roman" w:cs="Times New Roman"/>
          <w:i/>
          <w:sz w:val="28"/>
          <w:szCs w:val="28"/>
          <w:lang w:val="es-ES_tradnl" w:eastAsia="es-ES_tradnl"/>
        </w:rPr>
        <w:t>ivel de cumplimiento de la orden 20</w:t>
      </w:r>
      <w:r w:rsidRPr="00DA1726">
        <w:rPr>
          <w:rStyle w:val="FontStyle30"/>
          <w:rFonts w:ascii="Times New Roman" w:hAnsi="Times New Roman" w:cs="Times New Roman"/>
          <w:i/>
          <w:sz w:val="28"/>
          <w:szCs w:val="28"/>
          <w:lang w:val="es-ES_tradnl" w:eastAsia="es-ES_tradnl"/>
        </w:rPr>
        <w:t xml:space="preserve">, </w:t>
      </w:r>
      <w:r w:rsidRPr="00DA1726">
        <w:rPr>
          <w:rStyle w:val="FontStyle30"/>
          <w:rFonts w:ascii="Times New Roman" w:hAnsi="Times New Roman" w:cs="Times New Roman"/>
          <w:sz w:val="28"/>
          <w:szCs w:val="28"/>
          <w:lang w:val="es-ES_tradnl" w:eastAsia="es-ES_tradnl"/>
        </w:rPr>
        <w:t>c</w:t>
      </w:r>
      <w:r w:rsidR="00072486" w:rsidRPr="00DA1726">
        <w:rPr>
          <w:rStyle w:val="FontStyle29"/>
          <w:sz w:val="28"/>
          <w:szCs w:val="28"/>
          <w:lang w:val="es-ES_tradnl" w:eastAsia="es-ES_tradnl"/>
        </w:rPr>
        <w:t xml:space="preserve">omo cuestión preliminar, advirtió que en el informe no se acoge lo ordenado en el Auto 249 de 2013, toda vez que: (i) no se clasifica a las EPS por puestos de acuerdo con la frecuencia en la que incurren en prácticas violatorias; y (ii) no se hace un </w:t>
      </w:r>
      <w:r w:rsidR="008D66F1" w:rsidRPr="00DA1726">
        <w:rPr>
          <w:rStyle w:val="FontStyle29"/>
          <w:i/>
          <w:sz w:val="28"/>
          <w:szCs w:val="28"/>
          <w:lang w:val="es-ES_tradnl" w:eastAsia="es-ES_tradnl"/>
        </w:rPr>
        <w:t>ranking</w:t>
      </w:r>
      <w:r w:rsidR="00072486" w:rsidRPr="00DA1726">
        <w:rPr>
          <w:rStyle w:val="FontStyle29"/>
          <w:sz w:val="28"/>
          <w:szCs w:val="28"/>
          <w:lang w:val="es-ES_tradnl" w:eastAsia="es-ES_tradnl"/>
        </w:rPr>
        <w:t xml:space="preserve"> simple en donde se determine </w:t>
      </w:r>
      <w:r w:rsidR="001D64B2" w:rsidRPr="00DA1726">
        <w:rPr>
          <w:rStyle w:val="FontStyle29"/>
          <w:sz w:val="28"/>
          <w:szCs w:val="28"/>
          <w:lang w:val="es-ES_tradnl" w:eastAsia="es-ES_tradnl"/>
        </w:rPr>
        <w:t>cuáles</w:t>
      </w:r>
      <w:r w:rsidR="00072486" w:rsidRPr="00DA1726">
        <w:rPr>
          <w:rStyle w:val="FontStyle29"/>
          <w:sz w:val="28"/>
          <w:szCs w:val="28"/>
          <w:lang w:val="es-ES_tradnl" w:eastAsia="es-ES_tradnl"/>
        </w:rPr>
        <w:t xml:space="preserve"> son las EPS que en términos generales más violan el derecho a la salud. </w:t>
      </w:r>
    </w:p>
    <w:p w:rsidR="00072486" w:rsidRPr="00DA1726" w:rsidRDefault="00072486" w:rsidP="00DA1726">
      <w:pPr>
        <w:pStyle w:val="Style5"/>
        <w:widowControl/>
        <w:rPr>
          <w:rFonts w:ascii="Times New Roman" w:hAnsi="Times New Roman"/>
          <w:sz w:val="28"/>
          <w:szCs w:val="28"/>
        </w:rPr>
      </w:pPr>
    </w:p>
    <w:p w:rsidR="00EA0D60" w:rsidRPr="00DA1726" w:rsidRDefault="00851CF9" w:rsidP="00DA1726">
      <w:pPr>
        <w:pStyle w:val="Style5"/>
        <w:widowControl/>
        <w:rPr>
          <w:rFonts w:ascii="Times New Roman" w:hAnsi="Times New Roman"/>
          <w:sz w:val="28"/>
          <w:szCs w:val="28"/>
        </w:rPr>
      </w:pPr>
      <w:r w:rsidRPr="00DA1726">
        <w:rPr>
          <w:rStyle w:val="FontStyle29"/>
          <w:sz w:val="28"/>
          <w:szCs w:val="28"/>
          <w:lang w:val="es-ES_tradnl" w:eastAsia="es-ES_tradnl"/>
        </w:rPr>
        <w:t xml:space="preserve">Explicó que </w:t>
      </w:r>
      <w:r w:rsidR="00EA0D60" w:rsidRPr="00DA1726">
        <w:rPr>
          <w:rStyle w:val="FontStyle29"/>
          <w:sz w:val="28"/>
          <w:szCs w:val="28"/>
          <w:lang w:val="es-ES_tradnl" w:eastAsia="es-ES_tradnl"/>
        </w:rPr>
        <w:t>el cumplimiento de</w:t>
      </w:r>
      <w:r w:rsidR="00D43DFC" w:rsidRPr="00DA1726">
        <w:rPr>
          <w:rStyle w:val="FontStyle29"/>
          <w:sz w:val="28"/>
          <w:szCs w:val="28"/>
          <w:lang w:val="es-ES_tradnl" w:eastAsia="es-ES_tradnl"/>
        </w:rPr>
        <w:t xml:space="preserve"> lo dispuesto por la Corte Constitucional</w:t>
      </w:r>
      <w:r w:rsidR="00EA0D60" w:rsidRPr="00DA1726">
        <w:rPr>
          <w:rStyle w:val="FontStyle29"/>
          <w:sz w:val="28"/>
          <w:szCs w:val="28"/>
          <w:lang w:val="es-ES_tradnl" w:eastAsia="es-ES_tradnl"/>
        </w:rPr>
        <w:t xml:space="preserve"> </w:t>
      </w:r>
      <w:r w:rsidRPr="00DA1726">
        <w:rPr>
          <w:rStyle w:val="FontStyle29"/>
          <w:sz w:val="28"/>
          <w:szCs w:val="28"/>
          <w:lang w:val="es-ES_tradnl" w:eastAsia="es-ES_tradnl"/>
        </w:rPr>
        <w:t>implica identificar</w:t>
      </w:r>
      <w:r w:rsidR="00EA0D60" w:rsidRPr="00DA1726">
        <w:rPr>
          <w:rStyle w:val="FontStyle29"/>
          <w:sz w:val="28"/>
          <w:szCs w:val="28"/>
          <w:lang w:val="es-ES_tradnl" w:eastAsia="es-ES_tradnl"/>
        </w:rPr>
        <w:t xml:space="preserve"> a la EPS que con mayor frecuencia incurren en </w:t>
      </w:r>
      <w:r w:rsidRPr="00DA1726">
        <w:rPr>
          <w:rStyle w:val="FontStyle29"/>
          <w:sz w:val="28"/>
          <w:szCs w:val="28"/>
          <w:lang w:val="es-ES_tradnl" w:eastAsia="es-ES_tradnl"/>
        </w:rPr>
        <w:t>prácticas</w:t>
      </w:r>
      <w:r w:rsidR="00EA0D60" w:rsidRPr="00DA1726">
        <w:rPr>
          <w:rStyle w:val="FontStyle29"/>
          <w:sz w:val="28"/>
          <w:szCs w:val="28"/>
          <w:lang w:val="es-ES_tradnl" w:eastAsia="es-ES_tradnl"/>
        </w:rPr>
        <w:t xml:space="preserve"> violatorias</w:t>
      </w:r>
      <w:r w:rsidR="001D64B2" w:rsidRPr="00DA1726">
        <w:rPr>
          <w:rStyle w:val="FontStyle29"/>
          <w:sz w:val="28"/>
          <w:szCs w:val="28"/>
          <w:lang w:val="es-ES_tradnl" w:eastAsia="es-ES_tradnl"/>
        </w:rPr>
        <w:t>, donde</w:t>
      </w:r>
      <w:r w:rsidR="00EB68D7" w:rsidRPr="00DA1726">
        <w:rPr>
          <w:rStyle w:val="FontStyle29"/>
          <w:sz w:val="28"/>
          <w:szCs w:val="28"/>
          <w:lang w:val="es-ES_tradnl" w:eastAsia="es-ES_tradnl"/>
        </w:rPr>
        <w:t xml:space="preserve"> </w:t>
      </w:r>
      <w:r w:rsidR="00EA0D60" w:rsidRPr="00DA1726">
        <w:rPr>
          <w:rStyle w:val="FontStyle29"/>
          <w:sz w:val="28"/>
          <w:szCs w:val="28"/>
          <w:lang w:val="es-ES_tradnl" w:eastAsia="es-ES_tradnl"/>
        </w:rPr>
        <w:t xml:space="preserve">el análisis y la recolección de datos </w:t>
      </w:r>
      <w:r w:rsidR="00EB68D7" w:rsidRPr="00DA1726">
        <w:rPr>
          <w:rStyle w:val="FontStyle29"/>
          <w:sz w:val="28"/>
          <w:szCs w:val="28"/>
          <w:lang w:val="es-ES_tradnl" w:eastAsia="es-ES_tradnl"/>
        </w:rPr>
        <w:t xml:space="preserve">contienen </w:t>
      </w:r>
      <w:r w:rsidR="00EA0D60" w:rsidRPr="00DA1726">
        <w:rPr>
          <w:rStyle w:val="FontStyle29"/>
          <w:sz w:val="28"/>
          <w:szCs w:val="28"/>
          <w:lang w:val="es-ES_tradnl" w:eastAsia="es-ES_tradnl"/>
        </w:rPr>
        <w:t xml:space="preserve">serias fallas. </w:t>
      </w:r>
      <w:r w:rsidR="00072486" w:rsidRPr="00DA1726">
        <w:rPr>
          <w:rStyle w:val="FontStyle29"/>
          <w:sz w:val="28"/>
          <w:szCs w:val="28"/>
          <w:lang w:val="es-ES_tradnl" w:eastAsia="es-ES_tradnl"/>
        </w:rPr>
        <w:t xml:space="preserve">Al respecto destacó: </w:t>
      </w:r>
    </w:p>
    <w:p w:rsidR="00EA0D60" w:rsidRPr="00DA1726" w:rsidRDefault="00EA0D60" w:rsidP="00DA1726">
      <w:pPr>
        <w:pStyle w:val="Style5"/>
        <w:widowControl/>
        <w:ind w:left="401"/>
        <w:jc w:val="left"/>
        <w:rPr>
          <w:rStyle w:val="FontStyle29"/>
          <w:sz w:val="28"/>
          <w:szCs w:val="28"/>
          <w:u w:val="single"/>
          <w:lang w:val="es-ES_tradnl" w:eastAsia="es-ES_tradnl"/>
        </w:rPr>
      </w:pPr>
    </w:p>
    <w:p w:rsidR="00072486" w:rsidRPr="00DA1726" w:rsidRDefault="00072486" w:rsidP="00DA1726">
      <w:pPr>
        <w:pStyle w:val="Style22"/>
        <w:widowControl/>
        <w:tabs>
          <w:tab w:val="left" w:pos="1116"/>
        </w:tabs>
        <w:spacing w:line="240" w:lineRule="auto"/>
        <w:ind w:firstLine="0"/>
        <w:rPr>
          <w:rStyle w:val="FontStyle29"/>
          <w:sz w:val="28"/>
          <w:szCs w:val="28"/>
          <w:lang w:val="es-ES_tradnl" w:eastAsia="es-ES_tradnl"/>
        </w:rPr>
      </w:pPr>
      <w:r w:rsidRPr="00DA1726">
        <w:rPr>
          <w:rStyle w:val="FontStyle32"/>
          <w:rFonts w:ascii="Times New Roman" w:hAnsi="Times New Roman" w:cs="Times New Roman"/>
          <w:sz w:val="28"/>
          <w:szCs w:val="28"/>
          <w:lang w:val="es-ES_tradnl" w:eastAsia="es-ES_tradnl"/>
        </w:rPr>
        <w:t xml:space="preserve">(i) </w:t>
      </w:r>
      <w:r w:rsidR="00EA0D60" w:rsidRPr="00DA1726">
        <w:rPr>
          <w:rStyle w:val="FontStyle32"/>
          <w:rFonts w:ascii="Times New Roman" w:hAnsi="Times New Roman" w:cs="Times New Roman"/>
          <w:sz w:val="28"/>
          <w:szCs w:val="28"/>
          <w:lang w:val="es-ES_tradnl" w:eastAsia="es-ES_tradnl"/>
        </w:rPr>
        <w:t>En varios componentes no se tienen en cuenta las violaciones, únicamente se mira la oportunidad.</w:t>
      </w:r>
      <w:r w:rsidRPr="00DA1726">
        <w:rPr>
          <w:rStyle w:val="FontStyle32"/>
          <w:rFonts w:ascii="Times New Roman" w:hAnsi="Times New Roman" w:cs="Times New Roman"/>
          <w:sz w:val="28"/>
          <w:szCs w:val="28"/>
          <w:lang w:val="es-ES_tradnl" w:eastAsia="es-ES_tradnl"/>
        </w:rPr>
        <w:t xml:space="preserve"> </w:t>
      </w:r>
      <w:r w:rsidR="00EA0D60" w:rsidRPr="00DA1726">
        <w:rPr>
          <w:rStyle w:val="FontStyle29"/>
          <w:sz w:val="28"/>
          <w:szCs w:val="28"/>
          <w:lang w:val="es-ES_tradnl" w:eastAsia="es-ES_tradnl"/>
        </w:rPr>
        <w:t>En 7 de los 14 componentes en donde se pide cuanti</w:t>
      </w:r>
      <w:r w:rsidR="00363C9D" w:rsidRPr="00DA1726">
        <w:rPr>
          <w:rStyle w:val="FontStyle29"/>
          <w:sz w:val="28"/>
          <w:szCs w:val="28"/>
          <w:lang w:val="es-ES_tradnl" w:eastAsia="es-ES_tradnl"/>
        </w:rPr>
        <w:t xml:space="preserve">ficar las prácticas en las que </w:t>
      </w:r>
      <w:r w:rsidR="00363C9D" w:rsidRPr="00DA1726">
        <w:rPr>
          <w:rStyle w:val="FontStyle29"/>
          <w:i/>
          <w:sz w:val="28"/>
          <w:szCs w:val="28"/>
          <w:lang w:val="es-ES_tradnl" w:eastAsia="es-ES_tradnl"/>
        </w:rPr>
        <w:t>“</w:t>
      </w:r>
      <w:r w:rsidR="00EA0D60" w:rsidRPr="00DA1726">
        <w:rPr>
          <w:rStyle w:val="FontStyle29"/>
          <w:i/>
          <w:sz w:val="28"/>
          <w:szCs w:val="28"/>
          <w:lang w:val="es-ES_tradnl" w:eastAsia="es-ES_tradnl"/>
        </w:rPr>
        <w:t>se niegan a autorizar oportunamente</w:t>
      </w:r>
      <w:r w:rsidR="00363C9D" w:rsidRPr="00DA1726">
        <w:rPr>
          <w:rStyle w:val="FontStyle29"/>
          <w:i/>
          <w:sz w:val="28"/>
          <w:szCs w:val="28"/>
          <w:lang w:val="es-ES_tradnl" w:eastAsia="es-ES_tradnl"/>
        </w:rPr>
        <w:t>”</w:t>
      </w:r>
      <w:r w:rsidR="00EA0D60" w:rsidRPr="00DA1726">
        <w:rPr>
          <w:rStyle w:val="FontStyle29"/>
          <w:sz w:val="28"/>
          <w:szCs w:val="28"/>
          <w:lang w:val="es-ES_tradnl" w:eastAsia="es-ES_tradnl"/>
        </w:rPr>
        <w:t xml:space="preserve"> diferentes tipos de servicios, el informe únicamente anal</w:t>
      </w:r>
      <w:r w:rsidR="00363C9D" w:rsidRPr="00DA1726">
        <w:rPr>
          <w:rStyle w:val="FontStyle29"/>
          <w:sz w:val="28"/>
          <w:szCs w:val="28"/>
          <w:lang w:val="es-ES_tradnl" w:eastAsia="es-ES_tradnl"/>
        </w:rPr>
        <w:t>iza la variable de oportunidad y deja de lado valor</w:t>
      </w:r>
      <w:r w:rsidR="000F2B60" w:rsidRPr="00DA1726">
        <w:rPr>
          <w:rStyle w:val="FontStyle29"/>
          <w:sz w:val="28"/>
          <w:szCs w:val="28"/>
          <w:lang w:val="es-ES_tradnl" w:eastAsia="es-ES_tradnl"/>
        </w:rPr>
        <w:t>ar las negaciones de servicios y hasta tanto no se tengan en cuenta las negaciones como prácticas violatorias no se podrá considerar completo el informe.</w:t>
      </w:r>
    </w:p>
    <w:p w:rsidR="00FC2635" w:rsidRPr="00DA1726" w:rsidRDefault="00FC2635" w:rsidP="00DA1726">
      <w:pPr>
        <w:pStyle w:val="Style22"/>
        <w:widowControl/>
        <w:tabs>
          <w:tab w:val="left" w:pos="1116"/>
        </w:tabs>
        <w:spacing w:line="240" w:lineRule="auto"/>
        <w:ind w:firstLine="0"/>
        <w:rPr>
          <w:rStyle w:val="FontStyle29"/>
          <w:sz w:val="28"/>
          <w:szCs w:val="28"/>
          <w:lang w:val="es-ES_tradnl" w:eastAsia="es-ES_tradnl"/>
        </w:rPr>
      </w:pPr>
    </w:p>
    <w:p w:rsidR="000F2B60" w:rsidRPr="00DA1726" w:rsidRDefault="00072486" w:rsidP="00DA1726">
      <w:pPr>
        <w:pStyle w:val="Style22"/>
        <w:widowControl/>
        <w:tabs>
          <w:tab w:val="left" w:pos="1116"/>
        </w:tabs>
        <w:spacing w:line="240" w:lineRule="auto"/>
        <w:ind w:firstLine="0"/>
        <w:rPr>
          <w:rStyle w:val="FontStyle29"/>
          <w:sz w:val="28"/>
          <w:szCs w:val="28"/>
          <w:lang w:val="es-ES_tradnl" w:eastAsia="es-ES_tradnl"/>
        </w:rPr>
      </w:pPr>
      <w:r w:rsidRPr="00DA1726">
        <w:rPr>
          <w:rStyle w:val="FontStyle32"/>
          <w:rFonts w:ascii="Times New Roman" w:hAnsi="Times New Roman" w:cs="Times New Roman"/>
          <w:sz w:val="28"/>
          <w:szCs w:val="28"/>
          <w:lang w:val="es-ES_tradnl" w:eastAsia="es-ES_tradnl"/>
        </w:rPr>
        <w:t xml:space="preserve">(ii) </w:t>
      </w:r>
      <w:r w:rsidR="00EA0D60" w:rsidRPr="00DA1726">
        <w:rPr>
          <w:rStyle w:val="FontStyle32"/>
          <w:rFonts w:ascii="Times New Roman" w:hAnsi="Times New Roman" w:cs="Times New Roman"/>
          <w:sz w:val="28"/>
          <w:szCs w:val="28"/>
          <w:lang w:val="es-ES_tradnl" w:eastAsia="es-ES_tradnl"/>
        </w:rPr>
        <w:t>El análisis de la oportunidad se hace con base en los tiempos promedio, dejando por fuera el análisis de prácticas violatorias individualizadas.</w:t>
      </w:r>
      <w:r w:rsidRPr="00DA1726">
        <w:rPr>
          <w:rStyle w:val="FontStyle32"/>
          <w:rFonts w:ascii="Times New Roman" w:hAnsi="Times New Roman" w:cs="Times New Roman"/>
          <w:sz w:val="28"/>
          <w:szCs w:val="28"/>
          <w:lang w:val="es-ES_tradnl" w:eastAsia="es-ES_tradnl"/>
        </w:rPr>
        <w:t xml:space="preserve"> </w:t>
      </w:r>
      <w:r w:rsidR="00260104" w:rsidRPr="00DA1726">
        <w:rPr>
          <w:rStyle w:val="FontStyle29"/>
          <w:sz w:val="28"/>
          <w:szCs w:val="28"/>
          <w:lang w:val="es-ES_tradnl" w:eastAsia="es-ES_tradnl"/>
        </w:rPr>
        <w:t xml:space="preserve">Si bien el tiempo promedio en la prestación o autorización de un servicio puede ser un indicador relevante para los usuarios a la hora de elegir su aseguradora, no se cumple con el objetivo de identificar las </w:t>
      </w:r>
      <w:r w:rsidR="00FC2635" w:rsidRPr="00DA1726">
        <w:rPr>
          <w:rStyle w:val="FontStyle29"/>
          <w:sz w:val="28"/>
          <w:szCs w:val="28"/>
          <w:lang w:val="es-ES_tradnl" w:eastAsia="es-ES_tradnl"/>
        </w:rPr>
        <w:t>prácticas</w:t>
      </w:r>
      <w:r w:rsidR="00260104" w:rsidRPr="00DA1726">
        <w:rPr>
          <w:rStyle w:val="FontStyle29"/>
          <w:sz w:val="28"/>
          <w:szCs w:val="28"/>
          <w:lang w:val="es-ES_tradnl" w:eastAsia="es-ES_tradnl"/>
        </w:rPr>
        <w:t xml:space="preserve"> violatorias. En ese sentido, la practica violatoria sería la autorización o prestación del servicio que se demore </w:t>
      </w:r>
      <w:r w:rsidR="00260104" w:rsidRPr="00DA1726">
        <w:rPr>
          <w:rStyle w:val="FontStyle32"/>
          <w:rFonts w:ascii="Times New Roman" w:hAnsi="Times New Roman" w:cs="Times New Roman"/>
          <w:sz w:val="28"/>
          <w:szCs w:val="28"/>
          <w:lang w:val="es-ES_tradnl" w:eastAsia="es-ES_tradnl"/>
        </w:rPr>
        <w:t xml:space="preserve">más del tiempo establecido en la ley, por lo que </w:t>
      </w:r>
      <w:r w:rsidR="00260104" w:rsidRPr="00DA1726">
        <w:rPr>
          <w:rStyle w:val="FontStyle29"/>
          <w:sz w:val="28"/>
          <w:szCs w:val="28"/>
          <w:lang w:val="es-ES_tradnl" w:eastAsia="es-ES_tradnl"/>
        </w:rPr>
        <w:t xml:space="preserve">se debería identificar el número de casos en que, para cada componente, la EPS se demoró más del plazo legal. </w:t>
      </w:r>
    </w:p>
    <w:p w:rsidR="00EA0D60" w:rsidRPr="00DA1726" w:rsidRDefault="00EA0D60" w:rsidP="00DA1726">
      <w:pPr>
        <w:jc w:val="both"/>
        <w:rPr>
          <w:rStyle w:val="FontStyle29"/>
          <w:sz w:val="28"/>
          <w:szCs w:val="28"/>
          <w:lang w:val="es-ES_tradnl" w:eastAsia="es-ES_tradnl"/>
        </w:rPr>
      </w:pPr>
    </w:p>
    <w:p w:rsidR="00FC2635" w:rsidRPr="00DA1726" w:rsidRDefault="00FC2635" w:rsidP="00DA1726">
      <w:pPr>
        <w:pStyle w:val="Style12"/>
        <w:widowControl/>
        <w:tabs>
          <w:tab w:val="left" w:pos="1080"/>
        </w:tabs>
        <w:spacing w:line="240" w:lineRule="auto"/>
        <w:ind w:firstLine="0"/>
        <w:rPr>
          <w:rStyle w:val="FontStyle29"/>
          <w:sz w:val="28"/>
          <w:szCs w:val="28"/>
          <w:lang w:val="es-ES_tradnl" w:eastAsia="es-ES_tradnl"/>
        </w:rPr>
      </w:pPr>
      <w:r w:rsidRPr="00DA1726">
        <w:rPr>
          <w:rStyle w:val="FontStyle32"/>
          <w:rFonts w:ascii="Times New Roman" w:hAnsi="Times New Roman" w:cs="Times New Roman"/>
          <w:sz w:val="28"/>
          <w:szCs w:val="28"/>
          <w:lang w:val="es-ES_tradnl" w:eastAsia="es-ES_tradnl"/>
        </w:rPr>
        <w:t xml:space="preserve">(iii) </w:t>
      </w:r>
      <w:r w:rsidR="00EA0D60" w:rsidRPr="00DA1726">
        <w:rPr>
          <w:rStyle w:val="FontStyle29"/>
          <w:sz w:val="28"/>
          <w:szCs w:val="28"/>
          <w:lang w:val="es-ES_tradnl" w:eastAsia="es-ES_tradnl"/>
        </w:rPr>
        <w:t>Si bien el hecho de limitarse a analizar la oportunidad de la autorización y el servicio, y hacerlo con base en tiempos promedio, no es útil para identificar la frecuencia con la que se incurre en prácticas violatorias, los resultados presentados en términos de oportunidad muestran un avance significativo en comparación con el año anterior (2013).</w:t>
      </w:r>
    </w:p>
    <w:p w:rsidR="00FC2635" w:rsidRPr="00DA1726" w:rsidRDefault="00FC2635" w:rsidP="00DA1726">
      <w:pPr>
        <w:pStyle w:val="Style12"/>
        <w:widowControl/>
        <w:tabs>
          <w:tab w:val="left" w:pos="1080"/>
        </w:tabs>
        <w:spacing w:line="240" w:lineRule="auto"/>
        <w:ind w:firstLine="0"/>
        <w:rPr>
          <w:rStyle w:val="FontStyle29"/>
          <w:sz w:val="28"/>
          <w:szCs w:val="28"/>
          <w:lang w:val="es-ES_tradnl" w:eastAsia="es-ES_tradnl"/>
        </w:rPr>
      </w:pPr>
    </w:p>
    <w:p w:rsidR="00FC2635" w:rsidRPr="00DA1726" w:rsidRDefault="001D64B2" w:rsidP="00DA1726">
      <w:pPr>
        <w:pStyle w:val="Prrafodelista"/>
        <w:numPr>
          <w:ilvl w:val="2"/>
          <w:numId w:val="7"/>
        </w:numPr>
        <w:ind w:left="0" w:firstLine="0"/>
        <w:jc w:val="both"/>
        <w:rPr>
          <w:sz w:val="28"/>
          <w:szCs w:val="28"/>
          <w:lang w:val="es-ES_tradnl"/>
        </w:rPr>
      </w:pPr>
      <w:r w:rsidRPr="00DA1726">
        <w:rPr>
          <w:sz w:val="28"/>
          <w:szCs w:val="28"/>
          <w:lang w:val="es-ES_tradnl"/>
        </w:rPr>
        <w:t>El 30 de octubre de 2015, el d</w:t>
      </w:r>
      <w:r w:rsidR="00E41621" w:rsidRPr="00DA1726">
        <w:rPr>
          <w:sz w:val="28"/>
          <w:szCs w:val="28"/>
          <w:lang w:val="es-ES_tradnl"/>
        </w:rPr>
        <w:t xml:space="preserve">ecano de la </w:t>
      </w:r>
      <w:r w:rsidR="00E41621" w:rsidRPr="00DA1726">
        <w:rPr>
          <w:b/>
          <w:sz w:val="28"/>
          <w:szCs w:val="28"/>
          <w:lang w:val="es-ES_tradnl"/>
        </w:rPr>
        <w:t>Facultad de Medicina de la Universidad Nacional</w:t>
      </w:r>
      <w:r w:rsidR="007E67AA" w:rsidRPr="00DA1726">
        <w:rPr>
          <w:b/>
          <w:sz w:val="28"/>
          <w:szCs w:val="28"/>
          <w:vertAlign w:val="superscript"/>
          <w:lang w:val="es-ES_tradnl"/>
        </w:rPr>
        <w:footnoteReference w:id="62"/>
      </w:r>
      <w:r w:rsidR="00E41621" w:rsidRPr="00DA1726">
        <w:rPr>
          <w:sz w:val="28"/>
          <w:szCs w:val="28"/>
          <w:lang w:val="es-ES_tradnl"/>
        </w:rPr>
        <w:t xml:space="preserve"> remitió concepto del</w:t>
      </w:r>
      <w:r w:rsidRPr="00DA1726">
        <w:rPr>
          <w:sz w:val="28"/>
          <w:szCs w:val="28"/>
          <w:lang w:val="es-ES_tradnl"/>
        </w:rPr>
        <w:t xml:space="preserve"> </w:t>
      </w:r>
      <w:r w:rsidR="00E41621" w:rsidRPr="00DA1726">
        <w:rPr>
          <w:sz w:val="28"/>
          <w:szCs w:val="28"/>
          <w:lang w:val="es-ES_tradnl"/>
        </w:rPr>
        <w:t xml:space="preserve">Coordinador del Doctorado Interfacultades en Salud Pública, en calidad de perito constitucional voluntario. </w:t>
      </w:r>
    </w:p>
    <w:p w:rsidR="00FC2635" w:rsidRPr="00DA1726" w:rsidRDefault="00FC2635" w:rsidP="00DA1726">
      <w:pPr>
        <w:jc w:val="both"/>
        <w:rPr>
          <w:sz w:val="28"/>
          <w:szCs w:val="28"/>
          <w:lang w:val="es-ES_tradnl"/>
        </w:rPr>
      </w:pPr>
    </w:p>
    <w:p w:rsidR="007E74EF" w:rsidRPr="00DA1726" w:rsidRDefault="00975D82" w:rsidP="00DA1726">
      <w:pPr>
        <w:jc w:val="both"/>
        <w:rPr>
          <w:sz w:val="28"/>
          <w:szCs w:val="28"/>
          <w:lang w:val="es-ES_tradnl"/>
        </w:rPr>
      </w:pPr>
      <w:r w:rsidRPr="00DA1726">
        <w:rPr>
          <w:bCs/>
          <w:sz w:val="28"/>
          <w:szCs w:val="28"/>
          <w:lang w:val="es-ES_tradnl"/>
        </w:rPr>
        <w:t xml:space="preserve">Explicó </w:t>
      </w:r>
      <w:r w:rsidR="00D51F48" w:rsidRPr="00DA1726">
        <w:rPr>
          <w:sz w:val="28"/>
          <w:szCs w:val="28"/>
          <w:lang w:val="es-ES_tradnl"/>
        </w:rPr>
        <w:t>que los 14</w:t>
      </w:r>
      <w:r w:rsidR="001D64B2" w:rsidRPr="00DA1726">
        <w:rPr>
          <w:sz w:val="28"/>
          <w:szCs w:val="28"/>
          <w:lang w:val="es-ES_tradnl"/>
        </w:rPr>
        <w:t xml:space="preserve"> parámetros establecidos en la s</w:t>
      </w:r>
      <w:r w:rsidR="00D51F48" w:rsidRPr="00DA1726">
        <w:rPr>
          <w:sz w:val="28"/>
          <w:szCs w:val="28"/>
          <w:lang w:val="es-ES_tradnl"/>
        </w:rPr>
        <w:t xml:space="preserve">entencia T-760 de 2008 permiten identificar violaciones al goce efectivo del derecho a la atención en salud. </w:t>
      </w:r>
      <w:r w:rsidRPr="00DA1726">
        <w:rPr>
          <w:sz w:val="28"/>
          <w:szCs w:val="28"/>
          <w:lang w:val="es-ES_tradnl"/>
        </w:rPr>
        <w:t xml:space="preserve">Sin embargo, </w:t>
      </w:r>
      <w:r w:rsidR="00D51F48" w:rsidRPr="00DA1726">
        <w:rPr>
          <w:sz w:val="28"/>
          <w:szCs w:val="28"/>
          <w:lang w:val="es-ES_tradnl"/>
        </w:rPr>
        <w:t xml:space="preserve">estos parámetros requieren ajustes a la luz de </w:t>
      </w:r>
      <w:r w:rsidRPr="00DA1726">
        <w:rPr>
          <w:sz w:val="28"/>
          <w:szCs w:val="28"/>
          <w:lang w:val="es-ES_tradnl"/>
        </w:rPr>
        <w:t xml:space="preserve">la Ley Estatutaria 1751 de 2015 y la sentencia C-313 de 2014, </w:t>
      </w:r>
      <w:r w:rsidR="00D51F48" w:rsidRPr="00DA1726">
        <w:rPr>
          <w:sz w:val="28"/>
          <w:szCs w:val="28"/>
          <w:lang w:val="es-ES_tradnl"/>
        </w:rPr>
        <w:t xml:space="preserve">labor requiere un esfuerzo sistemático, profundo y de largo aliento en el que </w:t>
      </w:r>
      <w:r w:rsidRPr="00DA1726">
        <w:rPr>
          <w:sz w:val="28"/>
          <w:szCs w:val="28"/>
          <w:lang w:val="es-ES_tradnl"/>
        </w:rPr>
        <w:t>ese ente universitario</w:t>
      </w:r>
      <w:r w:rsidR="007E74EF" w:rsidRPr="00DA1726">
        <w:rPr>
          <w:sz w:val="28"/>
          <w:szCs w:val="28"/>
          <w:lang w:val="es-ES_tradnl"/>
        </w:rPr>
        <w:t xml:space="preserve"> puede contribuir</w:t>
      </w:r>
      <w:r w:rsidR="00B67B27" w:rsidRPr="00DA1726">
        <w:rPr>
          <w:sz w:val="28"/>
          <w:szCs w:val="28"/>
          <w:lang w:val="es-ES_tradnl"/>
        </w:rPr>
        <w:t xml:space="preserve">. </w:t>
      </w:r>
    </w:p>
    <w:p w:rsidR="007E74EF" w:rsidRPr="00DA1726" w:rsidRDefault="007E74EF" w:rsidP="00DA1726">
      <w:pPr>
        <w:jc w:val="both"/>
        <w:rPr>
          <w:sz w:val="28"/>
          <w:szCs w:val="28"/>
          <w:lang w:val="es-ES_tradnl"/>
        </w:rPr>
      </w:pPr>
    </w:p>
    <w:p w:rsidR="00E262EB" w:rsidRPr="00DA1726" w:rsidRDefault="003A2C5F" w:rsidP="00DA1726">
      <w:pPr>
        <w:jc w:val="both"/>
        <w:rPr>
          <w:sz w:val="28"/>
          <w:szCs w:val="28"/>
          <w:lang w:val="es-ES_tradnl"/>
        </w:rPr>
      </w:pPr>
      <w:r w:rsidRPr="00DA1726">
        <w:rPr>
          <w:sz w:val="28"/>
          <w:szCs w:val="28"/>
          <w:lang w:val="es-ES_tradnl"/>
        </w:rPr>
        <w:t xml:space="preserve">En cuanto al documento denominado </w:t>
      </w:r>
      <w:r w:rsidRPr="00DA1726">
        <w:rPr>
          <w:i/>
          <w:sz w:val="28"/>
          <w:szCs w:val="28"/>
          <w:lang w:val="es-ES_tradnl"/>
        </w:rPr>
        <w:t>“</w:t>
      </w:r>
      <w:r w:rsidR="00E262EB" w:rsidRPr="00DA1726">
        <w:rPr>
          <w:bCs/>
          <w:i/>
          <w:sz w:val="28"/>
          <w:szCs w:val="28"/>
          <w:lang w:val="es-ES_tradnl"/>
        </w:rPr>
        <w:t>Desempeño de IPS-2015: Siguiendo la</w:t>
      </w:r>
      <w:r w:rsidR="001D64B2" w:rsidRPr="00DA1726">
        <w:rPr>
          <w:bCs/>
          <w:i/>
          <w:sz w:val="28"/>
          <w:szCs w:val="28"/>
          <w:lang w:val="es-ES_tradnl"/>
        </w:rPr>
        <w:t xml:space="preserve"> </w:t>
      </w:r>
      <w:r w:rsidR="00E262EB" w:rsidRPr="00DA1726">
        <w:rPr>
          <w:bCs/>
          <w:i/>
          <w:sz w:val="28"/>
          <w:szCs w:val="28"/>
          <w:lang w:val="es-ES_tradnl"/>
        </w:rPr>
        <w:t>orden 20 de la Sentencia T-760 de 2008</w:t>
      </w:r>
      <w:r w:rsidRPr="00DA1726">
        <w:rPr>
          <w:bCs/>
          <w:i/>
          <w:sz w:val="28"/>
          <w:szCs w:val="28"/>
          <w:lang w:val="es-ES_tradnl"/>
        </w:rPr>
        <w:t>”</w:t>
      </w:r>
      <w:r w:rsidRPr="00DA1726">
        <w:rPr>
          <w:bCs/>
          <w:sz w:val="28"/>
          <w:szCs w:val="28"/>
          <w:lang w:val="es-ES_tradnl"/>
        </w:rPr>
        <w:t xml:space="preserve">, advirtió que los criterios de valoración utilizados por las entidades encargadas de cumplir con este mandato, </w:t>
      </w:r>
      <w:r w:rsidR="00E262EB" w:rsidRPr="00DA1726">
        <w:rPr>
          <w:sz w:val="28"/>
          <w:szCs w:val="28"/>
          <w:lang w:val="es-ES_tradnl"/>
        </w:rPr>
        <w:t xml:space="preserve">no responden realmente a lo demandado en la orden vigésima. Corresponden a un avance en el cumplimiento de la orden </w:t>
      </w:r>
      <w:r w:rsidRPr="00DA1726">
        <w:rPr>
          <w:sz w:val="28"/>
          <w:szCs w:val="28"/>
          <w:lang w:val="es-ES_tradnl"/>
        </w:rPr>
        <w:t>28</w:t>
      </w:r>
      <w:r w:rsidR="00E262EB" w:rsidRPr="00DA1726">
        <w:rPr>
          <w:sz w:val="28"/>
          <w:szCs w:val="28"/>
          <w:lang w:val="es-ES_tradnl"/>
        </w:rPr>
        <w:t xml:space="preserve">, que se centra en el asunto del desempeño de las </w:t>
      </w:r>
      <w:r w:rsidR="001B5EB2" w:rsidRPr="00DA1726">
        <w:rPr>
          <w:sz w:val="28"/>
          <w:szCs w:val="28"/>
          <w:lang w:val="es-ES_tradnl"/>
        </w:rPr>
        <w:t>aseguradoras y prestadoras de servicios de salud</w:t>
      </w:r>
      <w:r w:rsidR="00E262EB" w:rsidRPr="00DA1726">
        <w:rPr>
          <w:sz w:val="28"/>
          <w:szCs w:val="28"/>
          <w:lang w:val="es-ES_tradnl"/>
        </w:rPr>
        <w:t xml:space="preserve"> para la construcción de una clasificación de estas entidades.</w:t>
      </w:r>
    </w:p>
    <w:p w:rsidR="00E262EB" w:rsidRPr="00DA1726" w:rsidRDefault="00E262EB" w:rsidP="00DA1726">
      <w:pPr>
        <w:rPr>
          <w:sz w:val="28"/>
          <w:szCs w:val="28"/>
          <w:lang w:val="es-ES"/>
        </w:rPr>
      </w:pPr>
    </w:p>
    <w:p w:rsidR="00E262EB" w:rsidRPr="00DA1726" w:rsidRDefault="003A2C5F" w:rsidP="00DA1726">
      <w:pPr>
        <w:jc w:val="both"/>
        <w:rPr>
          <w:sz w:val="28"/>
          <w:szCs w:val="28"/>
          <w:lang w:val="es-ES_tradnl"/>
        </w:rPr>
      </w:pPr>
      <w:r w:rsidRPr="00DA1726">
        <w:rPr>
          <w:sz w:val="28"/>
          <w:szCs w:val="28"/>
          <w:lang w:val="es-ES_tradnl"/>
        </w:rPr>
        <w:t>E</w:t>
      </w:r>
      <w:r w:rsidR="00E262EB" w:rsidRPr="00DA1726">
        <w:rPr>
          <w:sz w:val="28"/>
          <w:szCs w:val="28"/>
          <w:lang w:val="es-ES_tradnl"/>
        </w:rPr>
        <w:t xml:space="preserve">l informe no presenta la información sobre cuántas </w:t>
      </w:r>
      <w:r w:rsidR="00EA4FAC" w:rsidRPr="00DA1726">
        <w:rPr>
          <w:sz w:val="28"/>
          <w:szCs w:val="28"/>
          <w:lang w:val="es-ES_tradnl"/>
        </w:rPr>
        <w:t>IPS</w:t>
      </w:r>
      <w:r w:rsidR="00E262EB" w:rsidRPr="00DA1726">
        <w:rPr>
          <w:sz w:val="28"/>
          <w:szCs w:val="28"/>
          <w:lang w:val="es-ES_tradnl"/>
        </w:rPr>
        <w:t>, públicas o privadas, fueron incluidas en el estudio, ni sus características diferenciales p</w:t>
      </w:r>
      <w:r w:rsidRPr="00DA1726">
        <w:rPr>
          <w:sz w:val="28"/>
          <w:szCs w:val="28"/>
          <w:lang w:val="es-ES_tradnl"/>
        </w:rPr>
        <w:t>or complejidad o por territorio</w:t>
      </w:r>
      <w:r w:rsidR="00E262EB" w:rsidRPr="00DA1726">
        <w:rPr>
          <w:sz w:val="28"/>
          <w:szCs w:val="28"/>
          <w:lang w:val="es-ES_tradnl"/>
        </w:rPr>
        <w:t>.</w:t>
      </w:r>
    </w:p>
    <w:p w:rsidR="00E262EB" w:rsidRPr="00DA1726" w:rsidRDefault="00E262EB" w:rsidP="00DA1726">
      <w:pPr>
        <w:rPr>
          <w:sz w:val="28"/>
          <w:szCs w:val="28"/>
          <w:lang w:val="es-ES"/>
        </w:rPr>
      </w:pPr>
    </w:p>
    <w:p w:rsidR="00E262EB" w:rsidRPr="00DA1726" w:rsidRDefault="003A2C5F" w:rsidP="00DA1726">
      <w:pPr>
        <w:jc w:val="both"/>
        <w:rPr>
          <w:sz w:val="28"/>
          <w:szCs w:val="28"/>
          <w:lang w:val="es-ES_tradnl"/>
        </w:rPr>
      </w:pPr>
      <w:r w:rsidRPr="00DA1726">
        <w:rPr>
          <w:sz w:val="28"/>
          <w:szCs w:val="28"/>
          <w:lang w:val="es-ES_tradnl"/>
        </w:rPr>
        <w:t xml:space="preserve">Además, </w:t>
      </w:r>
      <w:r w:rsidR="00E262EB" w:rsidRPr="00DA1726">
        <w:rPr>
          <w:sz w:val="28"/>
          <w:szCs w:val="28"/>
          <w:lang w:val="es-ES_tradnl"/>
        </w:rPr>
        <w:t xml:space="preserve">es necesario profundizar en la relación entre </w:t>
      </w:r>
      <w:r w:rsidR="00EA4FAC" w:rsidRPr="00DA1726">
        <w:rPr>
          <w:sz w:val="28"/>
          <w:szCs w:val="28"/>
          <w:lang w:val="es-ES_tradnl"/>
        </w:rPr>
        <w:t>EPS</w:t>
      </w:r>
      <w:r w:rsidR="00E262EB" w:rsidRPr="00DA1726">
        <w:rPr>
          <w:sz w:val="28"/>
          <w:szCs w:val="28"/>
          <w:lang w:val="es-ES_tradnl"/>
        </w:rPr>
        <w:t xml:space="preserve"> e </w:t>
      </w:r>
      <w:r w:rsidR="00EA4FAC" w:rsidRPr="00DA1726">
        <w:rPr>
          <w:sz w:val="28"/>
          <w:szCs w:val="28"/>
          <w:lang w:val="es-ES_tradnl"/>
        </w:rPr>
        <w:t>IPS</w:t>
      </w:r>
      <w:r w:rsidR="00E262EB" w:rsidRPr="00DA1726">
        <w:rPr>
          <w:sz w:val="28"/>
          <w:szCs w:val="28"/>
          <w:lang w:val="es-ES_tradnl"/>
        </w:rPr>
        <w:t xml:space="preserve"> cuando se presentan negaciones arbitrarias de servicios e identificar con claridad si la responsabilidad recae en una o en otra, de manera que se pueda definir si hubo o no violación del derecho fundamental a la salud.</w:t>
      </w:r>
    </w:p>
    <w:p w:rsidR="007E74EF" w:rsidRPr="00DA1726" w:rsidRDefault="007E74EF" w:rsidP="00DA1726">
      <w:pPr>
        <w:rPr>
          <w:sz w:val="28"/>
          <w:szCs w:val="28"/>
          <w:lang w:val="es-ES_tradnl"/>
        </w:rPr>
      </w:pPr>
    </w:p>
    <w:p w:rsidR="00392120" w:rsidRPr="00DA1726" w:rsidRDefault="001B5EB2" w:rsidP="00DA1726">
      <w:pPr>
        <w:jc w:val="both"/>
        <w:rPr>
          <w:sz w:val="28"/>
          <w:szCs w:val="28"/>
          <w:lang w:val="es-ES_tradnl"/>
        </w:rPr>
      </w:pPr>
      <w:r w:rsidRPr="00DA1726">
        <w:rPr>
          <w:bCs/>
          <w:sz w:val="28"/>
          <w:szCs w:val="28"/>
          <w:lang w:val="es-ES_tradnl"/>
        </w:rPr>
        <w:t>En cuanto a</w:t>
      </w:r>
      <w:r w:rsidR="003A2C5F" w:rsidRPr="00DA1726">
        <w:rPr>
          <w:bCs/>
          <w:sz w:val="28"/>
          <w:szCs w:val="28"/>
          <w:lang w:val="es-ES_tradnl"/>
        </w:rPr>
        <w:t xml:space="preserve"> la metodología más apropiada para </w:t>
      </w:r>
      <w:r w:rsidR="00392120" w:rsidRPr="00DA1726">
        <w:rPr>
          <w:bCs/>
          <w:sz w:val="28"/>
          <w:szCs w:val="28"/>
          <w:lang w:val="es-ES_tradnl"/>
        </w:rPr>
        <w:t xml:space="preserve">identificar las </w:t>
      </w:r>
      <w:r w:rsidR="001D64B2" w:rsidRPr="00DA1726">
        <w:rPr>
          <w:bCs/>
          <w:sz w:val="28"/>
          <w:szCs w:val="28"/>
          <w:lang w:val="es-ES_tradnl"/>
        </w:rPr>
        <w:t>prestadoras</w:t>
      </w:r>
      <w:r w:rsidR="00392120" w:rsidRPr="00DA1726">
        <w:rPr>
          <w:bCs/>
          <w:sz w:val="28"/>
          <w:szCs w:val="28"/>
          <w:lang w:val="es-ES_tradnl"/>
        </w:rPr>
        <w:t xml:space="preserve"> que con mayor frecuencia incurren en prácticas violatorias, explicó que lo ideal es contar con</w:t>
      </w:r>
      <w:r w:rsidR="003A2C5F" w:rsidRPr="00DA1726">
        <w:rPr>
          <w:sz w:val="28"/>
          <w:szCs w:val="28"/>
          <w:lang w:val="es-ES_tradnl"/>
        </w:rPr>
        <w:t xml:space="preserve"> </w:t>
      </w:r>
      <w:r w:rsidR="00392120" w:rsidRPr="00DA1726">
        <w:rPr>
          <w:sz w:val="28"/>
          <w:szCs w:val="28"/>
          <w:lang w:val="es-ES_tradnl"/>
        </w:rPr>
        <w:t>un</w:t>
      </w:r>
      <w:r w:rsidR="003A2C5F" w:rsidRPr="00DA1726">
        <w:rPr>
          <w:sz w:val="28"/>
          <w:szCs w:val="28"/>
          <w:lang w:val="es-ES_tradnl"/>
        </w:rPr>
        <w:t xml:space="preserve"> sistema integrado de información en salud que permita hacer seguimiento en línea del proceso de atención, más </w:t>
      </w:r>
      <w:r w:rsidR="00392120" w:rsidRPr="00DA1726">
        <w:rPr>
          <w:sz w:val="28"/>
          <w:szCs w:val="28"/>
          <w:lang w:val="es-ES_tradnl"/>
        </w:rPr>
        <w:t>allá</w:t>
      </w:r>
      <w:r w:rsidR="003A2C5F" w:rsidRPr="00DA1726">
        <w:rPr>
          <w:sz w:val="28"/>
          <w:szCs w:val="28"/>
          <w:lang w:val="es-ES_tradnl"/>
        </w:rPr>
        <w:t xml:space="preserve"> de la remisión de información a la Superintendencia filtrada por los agentes.</w:t>
      </w:r>
      <w:r w:rsidR="00392120" w:rsidRPr="00DA1726">
        <w:rPr>
          <w:sz w:val="28"/>
          <w:szCs w:val="28"/>
          <w:lang w:val="es-ES_tradnl"/>
        </w:rPr>
        <w:t xml:space="preserve"> </w:t>
      </w:r>
    </w:p>
    <w:p w:rsidR="00392120" w:rsidRPr="00DA1726" w:rsidRDefault="00392120" w:rsidP="00DA1726">
      <w:pPr>
        <w:jc w:val="both"/>
        <w:rPr>
          <w:sz w:val="28"/>
          <w:szCs w:val="28"/>
          <w:lang w:val="es-ES_tradnl"/>
        </w:rPr>
      </w:pPr>
    </w:p>
    <w:p w:rsidR="003A2C5F" w:rsidRPr="00DA1726" w:rsidRDefault="0051054F" w:rsidP="00DA1726">
      <w:pPr>
        <w:jc w:val="both"/>
        <w:rPr>
          <w:sz w:val="28"/>
          <w:szCs w:val="28"/>
          <w:lang w:val="es-ES_tradnl"/>
        </w:rPr>
      </w:pPr>
      <w:r w:rsidRPr="00DA1726">
        <w:rPr>
          <w:sz w:val="28"/>
          <w:szCs w:val="28"/>
          <w:lang w:val="es-ES_tradnl"/>
        </w:rPr>
        <w:t>Afirmó que actualmente</w:t>
      </w:r>
      <w:r w:rsidR="003A2C5F" w:rsidRPr="00DA1726">
        <w:rPr>
          <w:sz w:val="28"/>
          <w:szCs w:val="28"/>
          <w:lang w:val="es-ES_tradnl"/>
        </w:rPr>
        <w:t xml:space="preserve"> cada entidad maneja su info</w:t>
      </w:r>
      <w:r w:rsidRPr="00DA1726">
        <w:rPr>
          <w:sz w:val="28"/>
          <w:szCs w:val="28"/>
          <w:lang w:val="es-ES_tradnl"/>
        </w:rPr>
        <w:t xml:space="preserve">rmación con demasiada autonomía, debido a la estructura del sistema, ya que la salud está siendo manejada a través de </w:t>
      </w:r>
      <w:r w:rsidR="003A2C5F" w:rsidRPr="00DA1726">
        <w:rPr>
          <w:sz w:val="28"/>
          <w:szCs w:val="28"/>
          <w:lang w:val="es-ES_tradnl"/>
        </w:rPr>
        <w:t xml:space="preserve">entidades privadas en </w:t>
      </w:r>
      <w:r w:rsidRPr="00DA1726">
        <w:rPr>
          <w:sz w:val="28"/>
          <w:szCs w:val="28"/>
          <w:lang w:val="es-ES_tradnl"/>
        </w:rPr>
        <w:t xml:space="preserve">un mercado regido por la </w:t>
      </w:r>
      <w:r w:rsidR="003A2C5F" w:rsidRPr="00DA1726">
        <w:rPr>
          <w:sz w:val="28"/>
          <w:szCs w:val="28"/>
          <w:lang w:val="es-ES_tradnl"/>
        </w:rPr>
        <w:t>competencia</w:t>
      </w:r>
      <w:r w:rsidRPr="00DA1726">
        <w:rPr>
          <w:sz w:val="28"/>
          <w:szCs w:val="28"/>
          <w:lang w:val="es-ES_tradnl"/>
        </w:rPr>
        <w:t>, lo que debilita</w:t>
      </w:r>
      <w:r w:rsidR="003A2C5F" w:rsidRPr="00DA1726">
        <w:rPr>
          <w:sz w:val="28"/>
          <w:szCs w:val="28"/>
          <w:lang w:val="es-ES_tradnl"/>
        </w:rPr>
        <w:t xml:space="preserve"> la capacidad del Estado </w:t>
      </w:r>
      <w:r w:rsidRPr="00DA1726">
        <w:rPr>
          <w:sz w:val="28"/>
          <w:szCs w:val="28"/>
          <w:lang w:val="es-ES_tradnl"/>
        </w:rPr>
        <w:t>como ente regulador</w:t>
      </w:r>
      <w:r w:rsidR="003A2C5F" w:rsidRPr="00DA1726">
        <w:rPr>
          <w:sz w:val="28"/>
          <w:szCs w:val="28"/>
          <w:lang w:val="es-ES_tradnl"/>
        </w:rPr>
        <w:t xml:space="preserve"> para garantizar el derecho fundamental a la salud. </w:t>
      </w:r>
      <w:r w:rsidRPr="00DA1726">
        <w:rPr>
          <w:sz w:val="28"/>
          <w:szCs w:val="28"/>
          <w:lang w:val="es-ES_tradnl"/>
        </w:rPr>
        <w:t xml:space="preserve">Planteó la necesidad de </w:t>
      </w:r>
      <w:r w:rsidR="003A2C5F" w:rsidRPr="00DA1726">
        <w:rPr>
          <w:sz w:val="28"/>
          <w:szCs w:val="28"/>
          <w:lang w:val="es-ES_tradnl"/>
        </w:rPr>
        <w:t>revisar el modelo de aseguramiento competencia regulada y subsidio a la demanda establecido por la Ley 100 de 1993 y relacionadas, a la luz de los desarrollos constitucionales, legales y jurisprudenciales del derecho fundamental a la salud.</w:t>
      </w:r>
    </w:p>
    <w:p w:rsidR="003A2C5F" w:rsidRPr="00DA1726" w:rsidRDefault="003A2C5F" w:rsidP="00DA1726">
      <w:pPr>
        <w:rPr>
          <w:sz w:val="28"/>
          <w:szCs w:val="28"/>
          <w:lang w:val="es-ES_tradnl"/>
        </w:rPr>
      </w:pPr>
    </w:p>
    <w:p w:rsidR="00EE7D78" w:rsidRPr="00DA1726" w:rsidRDefault="00D42CFA" w:rsidP="00DA1726">
      <w:pPr>
        <w:pStyle w:val="Prrafodelista"/>
        <w:numPr>
          <w:ilvl w:val="2"/>
          <w:numId w:val="7"/>
        </w:numPr>
        <w:ind w:left="0" w:firstLine="0"/>
        <w:jc w:val="both"/>
        <w:rPr>
          <w:sz w:val="28"/>
          <w:szCs w:val="28"/>
          <w:lang w:val="es-ES_tradnl" w:eastAsia="es-ES_tradnl"/>
        </w:rPr>
      </w:pPr>
      <w:r w:rsidRPr="00DA1726">
        <w:rPr>
          <w:sz w:val="28"/>
          <w:szCs w:val="28"/>
          <w:lang w:val="es-ES_tradnl"/>
        </w:rPr>
        <w:t xml:space="preserve">El 6 de noviembre de 2015 </w:t>
      </w:r>
      <w:r w:rsidRPr="00DA1726">
        <w:rPr>
          <w:rStyle w:val="FontStyle20"/>
          <w:rFonts w:ascii="Times New Roman" w:hAnsi="Times New Roman" w:cs="Times New Roman"/>
          <w:b/>
          <w:sz w:val="28"/>
          <w:szCs w:val="28"/>
          <w:lang w:val="es-ES_tradnl" w:eastAsia="es-ES_tradnl"/>
        </w:rPr>
        <w:t xml:space="preserve">la Asociación de Empresas Gestoras </w:t>
      </w:r>
      <w:r w:rsidR="00294293" w:rsidRPr="00DA1726">
        <w:rPr>
          <w:rStyle w:val="FontStyle20"/>
          <w:rFonts w:ascii="Times New Roman" w:hAnsi="Times New Roman" w:cs="Times New Roman"/>
          <w:b/>
          <w:sz w:val="28"/>
          <w:szCs w:val="28"/>
          <w:lang w:val="es-ES_tradnl" w:eastAsia="es-ES_tradnl"/>
        </w:rPr>
        <w:t>del Aseguramiento de la Salud –Gestarsalud</w:t>
      </w:r>
      <w:r w:rsidR="007E67AA" w:rsidRPr="00DA1726">
        <w:rPr>
          <w:b/>
          <w:sz w:val="28"/>
          <w:szCs w:val="28"/>
          <w:vertAlign w:val="superscript"/>
          <w:lang w:val="es-ES_tradnl" w:eastAsia="es-ES_tradnl"/>
        </w:rPr>
        <w:footnoteReference w:id="63"/>
      </w:r>
      <w:r w:rsidR="00294293" w:rsidRPr="00DA1726">
        <w:rPr>
          <w:rStyle w:val="FontStyle20"/>
          <w:rFonts w:ascii="Times New Roman" w:hAnsi="Times New Roman" w:cs="Times New Roman"/>
          <w:sz w:val="28"/>
          <w:szCs w:val="28"/>
          <w:lang w:val="es-ES_tradnl" w:eastAsia="es-ES_tradnl"/>
        </w:rPr>
        <w:t xml:space="preserve"> </w:t>
      </w:r>
      <w:r w:rsidR="001D64B2" w:rsidRPr="00DA1726">
        <w:rPr>
          <w:rStyle w:val="FontStyle20"/>
          <w:rFonts w:ascii="Times New Roman" w:hAnsi="Times New Roman" w:cs="Times New Roman"/>
          <w:sz w:val="28"/>
          <w:szCs w:val="28"/>
          <w:lang w:val="es-ES_tradnl" w:eastAsia="es-ES_tradnl"/>
        </w:rPr>
        <w:t>d</w:t>
      </w:r>
      <w:r w:rsidR="001D64B2" w:rsidRPr="00DA1726">
        <w:rPr>
          <w:sz w:val="28"/>
          <w:szCs w:val="28"/>
          <w:lang w:val="es-ES_tradnl" w:eastAsia="es-ES_tradnl"/>
        </w:rPr>
        <w:t>estacó las</w:t>
      </w:r>
      <w:r w:rsidR="00EE7D78" w:rsidRPr="00DA1726">
        <w:rPr>
          <w:sz w:val="28"/>
          <w:szCs w:val="28"/>
          <w:lang w:val="es-ES_tradnl" w:eastAsia="es-ES_tradnl"/>
        </w:rPr>
        <w:t xml:space="preserve"> 14 prá</w:t>
      </w:r>
      <w:r w:rsidR="001D64B2" w:rsidRPr="00DA1726">
        <w:rPr>
          <w:sz w:val="28"/>
          <w:szCs w:val="28"/>
          <w:lang w:val="es-ES_tradnl" w:eastAsia="es-ES_tradnl"/>
        </w:rPr>
        <w:t xml:space="preserve">cticas violatorias del derecho </w:t>
      </w:r>
      <w:r w:rsidR="00EE7D78" w:rsidRPr="00DA1726">
        <w:rPr>
          <w:sz w:val="28"/>
          <w:szCs w:val="28"/>
          <w:lang w:val="es-ES_tradnl" w:eastAsia="es-ES_tradnl"/>
        </w:rPr>
        <w:t>que deberían modificarse en virt</w:t>
      </w:r>
      <w:r w:rsidR="001D64B2" w:rsidRPr="00DA1726">
        <w:rPr>
          <w:sz w:val="28"/>
          <w:szCs w:val="28"/>
          <w:lang w:val="es-ES_tradnl" w:eastAsia="es-ES_tradnl"/>
        </w:rPr>
        <w:t>ud de la Ley Estatutaria.</w:t>
      </w:r>
    </w:p>
    <w:p w:rsidR="00EE7D78" w:rsidRPr="00DA1726" w:rsidRDefault="00EE7D78" w:rsidP="00DA1726">
      <w:pPr>
        <w:pStyle w:val="Prrafodelista"/>
        <w:rPr>
          <w:sz w:val="28"/>
          <w:szCs w:val="28"/>
          <w:lang w:val="es-ES" w:eastAsia="es-ES_tradnl"/>
        </w:rPr>
      </w:pPr>
    </w:p>
    <w:p w:rsidR="00EE7D78" w:rsidRPr="00DA1726" w:rsidRDefault="00EE7D78" w:rsidP="00DA1726">
      <w:pPr>
        <w:jc w:val="both"/>
        <w:rPr>
          <w:i/>
          <w:iCs/>
          <w:sz w:val="28"/>
          <w:szCs w:val="28"/>
          <w:lang w:val="es-ES_tradnl" w:eastAsia="es-ES_tradnl"/>
        </w:rPr>
      </w:pPr>
      <w:r w:rsidRPr="00DA1726">
        <w:rPr>
          <w:iCs/>
          <w:sz w:val="28"/>
          <w:szCs w:val="28"/>
          <w:lang w:val="es-ES_tradnl" w:eastAsia="es-ES_tradnl"/>
        </w:rPr>
        <w:t>Criterio 6.</w:t>
      </w:r>
      <w:r w:rsidRPr="00DA1726">
        <w:rPr>
          <w:i/>
          <w:iCs/>
          <w:sz w:val="28"/>
          <w:szCs w:val="28"/>
          <w:lang w:val="es-ES_tradnl" w:eastAsia="es-ES_tradnl"/>
        </w:rPr>
        <w:t xml:space="preserve"> “Se niega a autorizar oportunamente servicios de salud cuando se requiere que la persona se desplace a vivir en un lugar distinto al lugar que reside”.</w:t>
      </w:r>
    </w:p>
    <w:p w:rsidR="00EE7D78" w:rsidRPr="00DA1726" w:rsidRDefault="00EE7D78" w:rsidP="00DA1726">
      <w:pPr>
        <w:rPr>
          <w:sz w:val="28"/>
          <w:szCs w:val="28"/>
          <w:lang w:val="es-ES" w:eastAsia="es-ES_tradnl"/>
        </w:rPr>
      </w:pPr>
    </w:p>
    <w:p w:rsidR="00104903" w:rsidRPr="00DA1726" w:rsidRDefault="00210D6C" w:rsidP="00DA1726">
      <w:pPr>
        <w:pStyle w:val="Prrafodelista"/>
        <w:ind w:left="0"/>
        <w:jc w:val="both"/>
        <w:rPr>
          <w:sz w:val="28"/>
          <w:szCs w:val="28"/>
          <w:lang w:val="es-ES_tradnl" w:eastAsia="es-ES_tradnl"/>
        </w:rPr>
      </w:pPr>
      <w:r w:rsidRPr="00DA1726">
        <w:rPr>
          <w:sz w:val="28"/>
          <w:szCs w:val="28"/>
          <w:lang w:val="es-ES_tradnl" w:eastAsia="es-ES_tradnl"/>
        </w:rPr>
        <w:t>Señaló</w:t>
      </w:r>
      <w:r w:rsidR="00EE7D78" w:rsidRPr="00DA1726">
        <w:rPr>
          <w:sz w:val="28"/>
          <w:szCs w:val="28"/>
          <w:lang w:val="es-ES_tradnl" w:eastAsia="es-ES_tradnl"/>
        </w:rPr>
        <w:t xml:space="preserve"> que en </w:t>
      </w:r>
      <w:r w:rsidR="00104903" w:rsidRPr="00DA1726">
        <w:rPr>
          <w:sz w:val="28"/>
          <w:szCs w:val="28"/>
          <w:lang w:val="es-ES_tradnl" w:eastAsia="es-ES_tradnl"/>
        </w:rPr>
        <w:t>esta práctica violatoria del derecho a la salud, también es aplicable lo que ocurre cuando una afiliado al S</w:t>
      </w:r>
      <w:r w:rsidR="00E645A7" w:rsidRPr="00DA1726">
        <w:rPr>
          <w:sz w:val="28"/>
          <w:szCs w:val="28"/>
          <w:lang w:val="es-ES_tradnl" w:eastAsia="es-ES_tradnl"/>
        </w:rPr>
        <w:t>istema</w:t>
      </w:r>
      <w:r w:rsidR="00104903" w:rsidRPr="00DA1726">
        <w:rPr>
          <w:sz w:val="28"/>
          <w:szCs w:val="28"/>
          <w:lang w:val="es-ES_tradnl" w:eastAsia="es-ES_tradnl"/>
        </w:rPr>
        <w:t xml:space="preserve"> hace uso del derecho a la portabilidad del seguro de salud definida en el Decreto 16 de 2013</w:t>
      </w:r>
      <w:r w:rsidR="001D64B2" w:rsidRPr="00DA1726">
        <w:rPr>
          <w:sz w:val="28"/>
          <w:szCs w:val="28"/>
          <w:vertAlign w:val="superscript"/>
          <w:lang w:val="es-ES_tradnl" w:eastAsia="es-ES_tradnl"/>
        </w:rPr>
        <w:footnoteReference w:id="64"/>
      </w:r>
      <w:r w:rsidR="00104903" w:rsidRPr="00DA1726">
        <w:rPr>
          <w:sz w:val="28"/>
          <w:szCs w:val="28"/>
          <w:lang w:val="es-ES_tradnl" w:eastAsia="es-ES_tradnl"/>
        </w:rPr>
        <w:t>, donde dependiendo del tiempo que el afiliado y su familia deban estar fue</w:t>
      </w:r>
      <w:r w:rsidR="00E645A7" w:rsidRPr="00DA1726">
        <w:rPr>
          <w:sz w:val="28"/>
          <w:szCs w:val="28"/>
          <w:lang w:val="es-ES_tradnl" w:eastAsia="es-ES_tradnl"/>
        </w:rPr>
        <w:t>ra</w:t>
      </w:r>
      <w:r w:rsidR="00104903" w:rsidRPr="00DA1726">
        <w:rPr>
          <w:sz w:val="28"/>
          <w:szCs w:val="28"/>
          <w:lang w:val="es-ES_tradnl" w:eastAsia="es-ES_tradnl"/>
        </w:rPr>
        <w:t xml:space="preserve"> del municipio de afiliación la emigración puede ser ocasional, temporal, permanente o por dispersión del núcleo familiar</w:t>
      </w:r>
      <w:r w:rsidR="004003AF" w:rsidRPr="00DA1726">
        <w:rPr>
          <w:sz w:val="28"/>
          <w:szCs w:val="28"/>
          <w:vertAlign w:val="superscript"/>
          <w:lang w:val="es-ES_tradnl" w:eastAsia="es-ES_tradnl"/>
        </w:rPr>
        <w:footnoteReference w:id="65"/>
      </w:r>
      <w:r w:rsidR="00104903" w:rsidRPr="00DA1726">
        <w:rPr>
          <w:sz w:val="28"/>
          <w:szCs w:val="28"/>
          <w:lang w:val="es-ES_tradnl" w:eastAsia="es-ES_tradnl"/>
        </w:rPr>
        <w:t>.</w:t>
      </w:r>
    </w:p>
    <w:p w:rsidR="00104903" w:rsidRPr="00DA1726" w:rsidRDefault="00104903" w:rsidP="00DA1726">
      <w:pPr>
        <w:pStyle w:val="Prrafodelista"/>
        <w:ind w:left="0"/>
        <w:rPr>
          <w:sz w:val="28"/>
          <w:szCs w:val="28"/>
          <w:lang w:val="es-ES" w:eastAsia="es-ES_tradnl"/>
        </w:rPr>
      </w:pPr>
    </w:p>
    <w:p w:rsidR="004003AF" w:rsidRPr="00DA1726" w:rsidRDefault="004003AF" w:rsidP="00DA1726">
      <w:pPr>
        <w:pStyle w:val="Prrafodelista"/>
        <w:ind w:left="0"/>
        <w:jc w:val="both"/>
        <w:rPr>
          <w:i/>
          <w:iCs/>
          <w:sz w:val="28"/>
          <w:szCs w:val="28"/>
          <w:lang w:val="es-ES_tradnl" w:eastAsia="es-ES_tradnl"/>
        </w:rPr>
      </w:pPr>
      <w:r w:rsidRPr="00DA1726">
        <w:rPr>
          <w:iCs/>
          <w:sz w:val="28"/>
          <w:szCs w:val="28"/>
          <w:lang w:val="es-ES_tradnl" w:eastAsia="es-ES_tradnl"/>
        </w:rPr>
        <w:t>Criterio 9</w:t>
      </w:r>
      <w:r w:rsidRPr="00DA1726">
        <w:rPr>
          <w:i/>
          <w:iCs/>
          <w:sz w:val="28"/>
          <w:szCs w:val="28"/>
          <w:lang w:val="es-ES_tradnl" w:eastAsia="es-ES_tradnl"/>
        </w:rPr>
        <w:t>: “Se niegan a autorizar oportunamente servicios de salud que se requieren con necesidad, supeditando su prestación al pago de una cuota moderadora”.</w:t>
      </w:r>
    </w:p>
    <w:p w:rsidR="004003AF" w:rsidRPr="00DA1726" w:rsidRDefault="004003AF" w:rsidP="00DA1726">
      <w:pPr>
        <w:pStyle w:val="Prrafodelista"/>
        <w:ind w:left="0"/>
        <w:rPr>
          <w:sz w:val="28"/>
          <w:szCs w:val="28"/>
          <w:lang w:val="es-ES" w:eastAsia="es-ES_tradnl"/>
        </w:rPr>
      </w:pPr>
    </w:p>
    <w:p w:rsidR="004003AF" w:rsidRPr="00DA1726" w:rsidRDefault="004003AF" w:rsidP="00DA1726">
      <w:pPr>
        <w:pStyle w:val="Prrafodelista"/>
        <w:ind w:left="0"/>
        <w:jc w:val="both"/>
        <w:rPr>
          <w:sz w:val="28"/>
          <w:szCs w:val="28"/>
          <w:lang w:val="es-ES_tradnl" w:eastAsia="es-ES_tradnl"/>
        </w:rPr>
      </w:pPr>
      <w:r w:rsidRPr="00DA1726">
        <w:rPr>
          <w:sz w:val="28"/>
          <w:szCs w:val="28"/>
          <w:lang w:val="es-ES_tradnl" w:eastAsia="es-ES_tradnl"/>
        </w:rPr>
        <w:t xml:space="preserve">Consideró que el criterio pudiera modificarse en el sentido de adicionar el concepto de copago (aplicable al régimen subsidiado) y de esta manera monitorearlo, por cuanto existe un </w:t>
      </w:r>
      <w:r w:rsidR="00B34AE2" w:rsidRPr="00DA1726">
        <w:rPr>
          <w:sz w:val="28"/>
          <w:szCs w:val="28"/>
          <w:lang w:val="es-ES_tradnl" w:eastAsia="es-ES_tradnl"/>
        </w:rPr>
        <w:t>ítem</w:t>
      </w:r>
      <w:r w:rsidRPr="00DA1726">
        <w:rPr>
          <w:sz w:val="28"/>
          <w:szCs w:val="28"/>
          <w:lang w:val="es-ES_tradnl" w:eastAsia="es-ES_tradnl"/>
        </w:rPr>
        <w:t xml:space="preserve"> donde se analiza este ítem solo para el caso de personas que padecen una enfermedad catastrófica o de alto costo.</w:t>
      </w:r>
    </w:p>
    <w:p w:rsidR="00294293" w:rsidRPr="00DA1726" w:rsidRDefault="00294293" w:rsidP="00DA1726">
      <w:pPr>
        <w:pStyle w:val="Prrafodelista"/>
        <w:ind w:left="0"/>
        <w:jc w:val="both"/>
        <w:rPr>
          <w:rStyle w:val="FontStyle20"/>
          <w:rFonts w:ascii="Times New Roman" w:hAnsi="Times New Roman" w:cs="Times New Roman"/>
          <w:sz w:val="28"/>
          <w:szCs w:val="28"/>
          <w:lang w:val="es-ES_tradnl" w:eastAsia="es-ES_tradnl"/>
        </w:rPr>
      </w:pPr>
    </w:p>
    <w:p w:rsidR="004003AF" w:rsidRPr="00DA1726" w:rsidRDefault="004003AF" w:rsidP="00DA1726">
      <w:pPr>
        <w:pStyle w:val="Prrafodelista"/>
        <w:ind w:left="0"/>
        <w:jc w:val="both"/>
        <w:rPr>
          <w:i/>
          <w:iCs/>
          <w:sz w:val="28"/>
          <w:szCs w:val="28"/>
          <w:lang w:val="es-ES_tradnl" w:eastAsia="es-ES_tradnl"/>
        </w:rPr>
      </w:pPr>
      <w:r w:rsidRPr="00DA1726">
        <w:rPr>
          <w:iCs/>
          <w:sz w:val="28"/>
          <w:szCs w:val="28"/>
          <w:lang w:val="es-ES_tradnl" w:eastAsia="es-ES_tradnl"/>
        </w:rPr>
        <w:t>Criterio 12:</w:t>
      </w:r>
      <w:r w:rsidRPr="00DA1726">
        <w:rPr>
          <w:i/>
          <w:iCs/>
          <w:sz w:val="28"/>
          <w:szCs w:val="28"/>
          <w:lang w:val="es-ES_tradnl" w:eastAsia="es-ES_tradnl"/>
        </w:rPr>
        <w:t xml:space="preserve"> </w:t>
      </w:r>
      <w:r w:rsidR="00B34AE2" w:rsidRPr="00DA1726">
        <w:rPr>
          <w:i/>
          <w:iCs/>
          <w:sz w:val="28"/>
          <w:szCs w:val="28"/>
          <w:lang w:val="es-ES_tradnl" w:eastAsia="es-ES_tradnl"/>
        </w:rPr>
        <w:t>“</w:t>
      </w:r>
      <w:r w:rsidRPr="00DA1726">
        <w:rPr>
          <w:i/>
          <w:iCs/>
          <w:sz w:val="28"/>
          <w:szCs w:val="28"/>
          <w:lang w:val="es-ES_tradnl" w:eastAsia="es-ES_tradnl"/>
        </w:rPr>
        <w:t>Interrumpen el suministro de servicio</w:t>
      </w:r>
      <w:r w:rsidR="00B34AE2" w:rsidRPr="00DA1726">
        <w:rPr>
          <w:i/>
          <w:iCs/>
          <w:sz w:val="28"/>
          <w:szCs w:val="28"/>
          <w:lang w:val="es-ES_tradnl" w:eastAsia="es-ES_tradnl"/>
        </w:rPr>
        <w:t>s de salud, porque ya transcurrió</w:t>
      </w:r>
      <w:r w:rsidRPr="00DA1726">
        <w:rPr>
          <w:i/>
          <w:iCs/>
          <w:sz w:val="28"/>
          <w:szCs w:val="28"/>
          <w:lang w:val="es-ES_tradnl" w:eastAsia="es-ES_tradnl"/>
        </w:rPr>
        <w:t xml:space="preserve"> un mes luego del momento en que la persona dejó de cotizar, en razón a que es desempleado, antes de que éste haya sido en efecto asumido por otro prestador”.</w:t>
      </w:r>
    </w:p>
    <w:p w:rsidR="004003AF" w:rsidRPr="00DA1726" w:rsidRDefault="004003AF" w:rsidP="00DA1726">
      <w:pPr>
        <w:pStyle w:val="Prrafodelista"/>
        <w:ind w:left="0"/>
        <w:rPr>
          <w:sz w:val="28"/>
          <w:szCs w:val="28"/>
          <w:lang w:val="es-ES" w:eastAsia="es-ES_tradnl"/>
        </w:rPr>
      </w:pPr>
    </w:p>
    <w:p w:rsidR="004003AF" w:rsidRPr="00DA1726" w:rsidRDefault="007571CC" w:rsidP="00DA1726">
      <w:pPr>
        <w:pStyle w:val="Prrafodelista"/>
        <w:ind w:left="0"/>
        <w:jc w:val="both"/>
        <w:rPr>
          <w:sz w:val="28"/>
          <w:szCs w:val="28"/>
          <w:lang w:val="es-ES_tradnl" w:eastAsia="es-ES_tradnl"/>
        </w:rPr>
      </w:pPr>
      <w:r w:rsidRPr="00DA1726">
        <w:rPr>
          <w:sz w:val="28"/>
          <w:szCs w:val="28"/>
          <w:lang w:val="es-ES_tradnl" w:eastAsia="es-ES_tradnl"/>
        </w:rPr>
        <w:t>Afirmó que este criterio es aplicable incluso al régimen subsidiado, toda vez que en</w:t>
      </w:r>
      <w:r w:rsidR="004003AF" w:rsidRPr="00DA1726">
        <w:rPr>
          <w:sz w:val="28"/>
          <w:szCs w:val="28"/>
          <w:lang w:val="es-ES_tradnl" w:eastAsia="es-ES_tradnl"/>
        </w:rPr>
        <w:t xml:space="preserve"> el proceso de movilidad entre regímenes reglamentado mediante el Decreto 3047 de 2013</w:t>
      </w:r>
      <w:r w:rsidRPr="00DA1726">
        <w:rPr>
          <w:sz w:val="28"/>
          <w:szCs w:val="28"/>
          <w:vertAlign w:val="superscript"/>
          <w:lang w:val="es-ES_tradnl" w:eastAsia="es-ES_tradnl"/>
        </w:rPr>
        <w:footnoteReference w:id="66"/>
      </w:r>
      <w:r w:rsidR="004003AF" w:rsidRPr="00DA1726">
        <w:rPr>
          <w:sz w:val="28"/>
          <w:szCs w:val="28"/>
          <w:lang w:val="es-ES_tradnl" w:eastAsia="es-ES_tradnl"/>
        </w:rPr>
        <w:t xml:space="preserve">, </w:t>
      </w:r>
      <w:r w:rsidRPr="00DA1726">
        <w:rPr>
          <w:sz w:val="28"/>
          <w:szCs w:val="28"/>
          <w:lang w:val="es-ES_tradnl" w:eastAsia="es-ES_tradnl"/>
        </w:rPr>
        <w:t>las</w:t>
      </w:r>
      <w:r w:rsidR="004003AF" w:rsidRPr="00DA1726">
        <w:rPr>
          <w:sz w:val="28"/>
          <w:szCs w:val="28"/>
          <w:lang w:val="es-ES_tradnl" w:eastAsia="es-ES_tradnl"/>
        </w:rPr>
        <w:t xml:space="preserve"> EPS</w:t>
      </w:r>
      <w:r w:rsidRPr="00DA1726">
        <w:rPr>
          <w:sz w:val="28"/>
          <w:szCs w:val="28"/>
          <w:lang w:val="es-ES_tradnl" w:eastAsia="es-ES_tradnl"/>
        </w:rPr>
        <w:t>-S</w:t>
      </w:r>
      <w:r w:rsidR="004003AF" w:rsidRPr="00DA1726">
        <w:rPr>
          <w:sz w:val="28"/>
          <w:szCs w:val="28"/>
          <w:lang w:val="es-ES_tradnl" w:eastAsia="es-ES_tradnl"/>
        </w:rPr>
        <w:t xml:space="preserve"> </w:t>
      </w:r>
      <w:r w:rsidRPr="00DA1726">
        <w:rPr>
          <w:sz w:val="28"/>
          <w:szCs w:val="28"/>
          <w:lang w:val="es-ES_tradnl" w:eastAsia="es-ES_tradnl"/>
        </w:rPr>
        <w:t xml:space="preserve">pueden </w:t>
      </w:r>
      <w:r w:rsidR="004003AF" w:rsidRPr="00DA1726">
        <w:rPr>
          <w:sz w:val="28"/>
          <w:szCs w:val="28"/>
          <w:lang w:val="es-ES_tradnl" w:eastAsia="es-ES_tradnl"/>
        </w:rPr>
        <w:t>continuar garantizando los servicios del POS a los afiliados que sean vinculados mediante contrato laboral o que tenga capacidad de pago para hacer aportes al Sistema junto con su grupo familiar.</w:t>
      </w:r>
    </w:p>
    <w:p w:rsidR="00294293" w:rsidRPr="00DA1726" w:rsidRDefault="00294293" w:rsidP="00DA1726">
      <w:pPr>
        <w:pStyle w:val="Prrafodelista"/>
        <w:ind w:left="0"/>
        <w:jc w:val="both"/>
        <w:rPr>
          <w:rStyle w:val="FontStyle20"/>
          <w:rFonts w:ascii="Times New Roman" w:hAnsi="Times New Roman" w:cs="Times New Roman"/>
          <w:sz w:val="28"/>
          <w:szCs w:val="28"/>
          <w:lang w:val="es-ES_tradnl" w:eastAsia="es-ES_tradnl"/>
        </w:rPr>
      </w:pPr>
    </w:p>
    <w:p w:rsidR="004A726C" w:rsidRPr="00DA1726" w:rsidRDefault="004A726C" w:rsidP="00DA1726">
      <w:pPr>
        <w:pStyle w:val="Style2"/>
        <w:widowControl/>
        <w:spacing w:line="240" w:lineRule="auto"/>
        <w:rPr>
          <w:rStyle w:val="FontStyle20"/>
          <w:rFonts w:ascii="Times New Roman" w:hAnsi="Times New Roman" w:cs="Times New Roman"/>
          <w:sz w:val="28"/>
          <w:szCs w:val="28"/>
          <w:lang w:val="es-ES_tradnl" w:eastAsia="es-ES_tradnl"/>
        </w:rPr>
      </w:pPr>
      <w:r w:rsidRPr="00DA1726">
        <w:rPr>
          <w:rStyle w:val="FontStyle22"/>
          <w:rFonts w:ascii="Times New Roman" w:hAnsi="Times New Roman" w:cs="Times New Roman"/>
          <w:b w:val="0"/>
          <w:sz w:val="28"/>
          <w:szCs w:val="28"/>
          <w:lang w:val="es-ES_tradnl" w:eastAsia="es-ES_tradnl"/>
        </w:rPr>
        <w:t xml:space="preserve">En cuanto a </w:t>
      </w:r>
      <w:r w:rsidRPr="00DA1726">
        <w:rPr>
          <w:rStyle w:val="FontStyle20"/>
          <w:rFonts w:ascii="Times New Roman" w:hAnsi="Times New Roman" w:cs="Times New Roman"/>
          <w:sz w:val="28"/>
          <w:szCs w:val="28"/>
          <w:lang w:val="es-ES_tradnl" w:eastAsia="es-ES_tradnl"/>
        </w:rPr>
        <w:t>la necesidad de incorporar otros criterios en el marco de la Ley Estatutaria, destacó que los principios del derecho fundamental a la salud señalados en el artículo 6 de la Ley 1751 de 2015</w:t>
      </w:r>
      <w:r w:rsidRPr="00DA1726">
        <w:rPr>
          <w:rFonts w:ascii="Times New Roman" w:hAnsi="Times New Roman"/>
          <w:sz w:val="28"/>
          <w:szCs w:val="28"/>
          <w:vertAlign w:val="superscript"/>
          <w:lang w:val="es-ES_tradnl" w:eastAsia="es-ES_tradnl"/>
        </w:rPr>
        <w:footnoteReference w:id="67"/>
      </w:r>
      <w:r w:rsidR="00F77103" w:rsidRPr="00DA1726">
        <w:rPr>
          <w:rStyle w:val="FontStyle20"/>
          <w:rFonts w:ascii="Times New Roman" w:hAnsi="Times New Roman" w:cs="Times New Roman"/>
          <w:sz w:val="28"/>
          <w:szCs w:val="28"/>
          <w:lang w:val="es-ES_tradnl" w:eastAsia="es-ES_tradnl"/>
        </w:rPr>
        <w:t>,</w:t>
      </w:r>
      <w:r w:rsidRPr="00DA1726">
        <w:rPr>
          <w:rStyle w:val="FontStyle20"/>
          <w:rFonts w:ascii="Times New Roman" w:hAnsi="Times New Roman" w:cs="Times New Roman"/>
          <w:sz w:val="28"/>
          <w:szCs w:val="28"/>
          <w:lang w:val="es-ES_tradnl" w:eastAsia="es-ES_tradnl"/>
        </w:rPr>
        <w:t xml:space="preserve"> debieran ser parte del seguimiento a la orden vigésima identificando las prácticas violatorias del derecho relacionadas con el incumplimiento de estos,</w:t>
      </w:r>
      <w:r w:rsidR="00F77103" w:rsidRPr="00DA1726">
        <w:rPr>
          <w:rStyle w:val="FontStyle20"/>
          <w:rFonts w:ascii="Times New Roman" w:hAnsi="Times New Roman" w:cs="Times New Roman"/>
          <w:sz w:val="28"/>
          <w:szCs w:val="28"/>
          <w:lang w:val="es-ES_tradnl" w:eastAsia="es-ES_tradnl"/>
        </w:rPr>
        <w:t xml:space="preserve"> así como </w:t>
      </w:r>
      <w:r w:rsidRPr="00DA1726">
        <w:rPr>
          <w:rStyle w:val="FontStyle20"/>
          <w:rFonts w:ascii="Times New Roman" w:hAnsi="Times New Roman" w:cs="Times New Roman"/>
          <w:sz w:val="28"/>
          <w:szCs w:val="28"/>
          <w:lang w:val="es-ES_tradnl" w:eastAsia="es-ES_tradnl"/>
        </w:rPr>
        <w:t xml:space="preserve">en los aspectos que no se </w:t>
      </w:r>
      <w:r w:rsidR="00F77103" w:rsidRPr="00DA1726">
        <w:rPr>
          <w:rStyle w:val="FontStyle20"/>
          <w:rFonts w:ascii="Times New Roman" w:hAnsi="Times New Roman" w:cs="Times New Roman"/>
          <w:sz w:val="28"/>
          <w:szCs w:val="28"/>
          <w:lang w:val="es-ES_tradnl" w:eastAsia="es-ES_tradnl"/>
        </w:rPr>
        <w:t xml:space="preserve">abordan en otras ordenes de la sentencia T 760 de </w:t>
      </w:r>
      <w:r w:rsidRPr="00DA1726">
        <w:rPr>
          <w:rStyle w:val="FontStyle20"/>
          <w:rFonts w:ascii="Times New Roman" w:hAnsi="Times New Roman" w:cs="Times New Roman"/>
          <w:sz w:val="28"/>
          <w:szCs w:val="28"/>
          <w:lang w:val="es-ES_tradnl" w:eastAsia="es-ES_tradnl"/>
        </w:rPr>
        <w:t>2008.</w:t>
      </w:r>
    </w:p>
    <w:p w:rsidR="004A726C" w:rsidRPr="00DA1726" w:rsidRDefault="004A726C" w:rsidP="00DA1726">
      <w:pPr>
        <w:pStyle w:val="Style4"/>
        <w:widowControl/>
        <w:spacing w:line="240" w:lineRule="auto"/>
        <w:rPr>
          <w:rFonts w:ascii="Times New Roman" w:hAnsi="Times New Roman" w:cs="Times New Roman"/>
          <w:sz w:val="28"/>
          <w:szCs w:val="28"/>
        </w:rPr>
      </w:pPr>
    </w:p>
    <w:p w:rsidR="00294293" w:rsidRPr="00DA1726" w:rsidRDefault="00D03234" w:rsidP="00DA1726">
      <w:pPr>
        <w:pStyle w:val="Prrafodelista"/>
        <w:ind w:left="0"/>
        <w:jc w:val="both"/>
        <w:rPr>
          <w:rStyle w:val="FontStyle20"/>
          <w:rFonts w:ascii="Times New Roman" w:hAnsi="Times New Roman" w:cs="Times New Roman"/>
          <w:sz w:val="28"/>
          <w:szCs w:val="28"/>
          <w:lang w:val="es-ES_tradnl" w:eastAsia="es-ES_tradnl"/>
        </w:rPr>
      </w:pPr>
      <w:r w:rsidRPr="00DA1726">
        <w:rPr>
          <w:rStyle w:val="FontStyle20"/>
          <w:rFonts w:ascii="Times New Roman" w:hAnsi="Times New Roman" w:cs="Times New Roman"/>
          <w:sz w:val="28"/>
          <w:szCs w:val="28"/>
          <w:lang w:val="es-ES_tradnl" w:eastAsia="es-ES_tradnl"/>
        </w:rPr>
        <w:t>Afirmó</w:t>
      </w:r>
      <w:r w:rsidR="00F77103" w:rsidRPr="00DA1726">
        <w:rPr>
          <w:rStyle w:val="FontStyle20"/>
          <w:rFonts w:ascii="Times New Roman" w:hAnsi="Times New Roman" w:cs="Times New Roman"/>
          <w:sz w:val="28"/>
          <w:szCs w:val="28"/>
          <w:lang w:val="es-ES_tradnl" w:eastAsia="es-ES_tradnl"/>
        </w:rPr>
        <w:t xml:space="preserve"> que dentro</w:t>
      </w:r>
      <w:r w:rsidR="004A726C" w:rsidRPr="00DA1726">
        <w:rPr>
          <w:rStyle w:val="FontStyle20"/>
          <w:rFonts w:ascii="Times New Roman" w:hAnsi="Times New Roman" w:cs="Times New Roman"/>
          <w:sz w:val="28"/>
          <w:szCs w:val="28"/>
          <w:lang w:val="es-ES_tradnl" w:eastAsia="es-ES_tradnl"/>
        </w:rPr>
        <w:t xml:space="preserve"> de las prácticas violatorias del derecho, </w:t>
      </w:r>
      <w:r w:rsidR="00F77103" w:rsidRPr="00DA1726">
        <w:rPr>
          <w:rStyle w:val="FontStyle20"/>
          <w:rFonts w:ascii="Times New Roman" w:hAnsi="Times New Roman" w:cs="Times New Roman"/>
          <w:sz w:val="28"/>
          <w:szCs w:val="28"/>
          <w:lang w:val="es-ES_tradnl" w:eastAsia="es-ES_tradnl"/>
        </w:rPr>
        <w:t>resulta necesario incluir</w:t>
      </w:r>
      <w:r w:rsidR="004A726C" w:rsidRPr="00DA1726">
        <w:rPr>
          <w:rStyle w:val="FontStyle20"/>
          <w:rFonts w:ascii="Times New Roman" w:hAnsi="Times New Roman" w:cs="Times New Roman"/>
          <w:sz w:val="28"/>
          <w:szCs w:val="28"/>
          <w:lang w:val="es-ES_tradnl" w:eastAsia="es-ES_tradnl"/>
        </w:rPr>
        <w:t xml:space="preserve"> la calidad de la prestación de los servicios</w:t>
      </w:r>
      <w:r w:rsidR="00F77103" w:rsidRPr="00DA1726">
        <w:rPr>
          <w:rStyle w:val="FontStyle20"/>
          <w:rFonts w:ascii="Times New Roman" w:hAnsi="Times New Roman" w:cs="Times New Roman"/>
          <w:sz w:val="28"/>
          <w:szCs w:val="28"/>
          <w:lang w:val="es-ES_tradnl" w:eastAsia="es-ES_tradnl"/>
        </w:rPr>
        <w:t>. Advirtió que si bien</w:t>
      </w:r>
      <w:r w:rsidR="004A726C" w:rsidRPr="00DA1726">
        <w:rPr>
          <w:rStyle w:val="FontStyle20"/>
          <w:rFonts w:ascii="Times New Roman" w:hAnsi="Times New Roman" w:cs="Times New Roman"/>
          <w:sz w:val="28"/>
          <w:szCs w:val="28"/>
          <w:lang w:val="es-ES_tradnl" w:eastAsia="es-ES_tradnl"/>
        </w:rPr>
        <w:t xml:space="preserve"> la oportunidad de la atención </w:t>
      </w:r>
      <w:r w:rsidR="00F77103" w:rsidRPr="00DA1726">
        <w:rPr>
          <w:rStyle w:val="FontStyle20"/>
          <w:rFonts w:ascii="Times New Roman" w:hAnsi="Times New Roman" w:cs="Times New Roman"/>
          <w:sz w:val="28"/>
          <w:szCs w:val="28"/>
          <w:lang w:val="es-ES_tradnl" w:eastAsia="es-ES_tradnl"/>
        </w:rPr>
        <w:t>es</w:t>
      </w:r>
      <w:r w:rsidR="004A726C" w:rsidRPr="00DA1726">
        <w:rPr>
          <w:rStyle w:val="FontStyle20"/>
          <w:rFonts w:ascii="Times New Roman" w:hAnsi="Times New Roman" w:cs="Times New Roman"/>
          <w:sz w:val="28"/>
          <w:szCs w:val="28"/>
          <w:lang w:val="es-ES_tradnl" w:eastAsia="es-ES_tradnl"/>
        </w:rPr>
        <w:t xml:space="preserve"> uno de los elementos a incorporar, lo cual resulta razonable</w:t>
      </w:r>
      <w:r w:rsidR="00474D0E" w:rsidRPr="00DA1726">
        <w:rPr>
          <w:rStyle w:val="FontStyle20"/>
          <w:rFonts w:ascii="Times New Roman" w:hAnsi="Times New Roman" w:cs="Times New Roman"/>
          <w:sz w:val="28"/>
          <w:szCs w:val="28"/>
          <w:lang w:val="es-ES_tradnl" w:eastAsia="es-ES_tradnl"/>
        </w:rPr>
        <w:t xml:space="preserve">, </w:t>
      </w:r>
      <w:r w:rsidR="004A726C" w:rsidRPr="00DA1726">
        <w:rPr>
          <w:rStyle w:val="FontStyle20"/>
          <w:rFonts w:ascii="Times New Roman" w:hAnsi="Times New Roman" w:cs="Times New Roman"/>
          <w:sz w:val="28"/>
          <w:szCs w:val="28"/>
          <w:lang w:val="es-ES_tradnl" w:eastAsia="es-ES_tradnl"/>
        </w:rPr>
        <w:t>de manera progresiva podrían incorporarse al seguimiento de la orden vigésima, las demás características de calidad</w:t>
      </w:r>
      <w:r w:rsidR="00474D0E" w:rsidRPr="00DA1726">
        <w:rPr>
          <w:rStyle w:val="FontStyle20"/>
          <w:rFonts w:ascii="Times New Roman" w:hAnsi="Times New Roman" w:cs="Times New Roman"/>
          <w:sz w:val="28"/>
          <w:szCs w:val="28"/>
          <w:lang w:val="es-ES_tradnl" w:eastAsia="es-ES_tradnl"/>
        </w:rPr>
        <w:t xml:space="preserve"> (art. 6 Ley 1751 de 2015</w:t>
      </w:r>
      <w:r w:rsidR="00B34AE2" w:rsidRPr="00DA1726">
        <w:rPr>
          <w:sz w:val="28"/>
          <w:szCs w:val="28"/>
          <w:vertAlign w:val="superscript"/>
          <w:lang w:val="es-ES_tradnl" w:eastAsia="es-ES_tradnl"/>
        </w:rPr>
        <w:footnoteReference w:id="68"/>
      </w:r>
      <w:r w:rsidR="00474D0E" w:rsidRPr="00DA1726">
        <w:rPr>
          <w:rStyle w:val="FontStyle20"/>
          <w:rFonts w:ascii="Times New Roman" w:hAnsi="Times New Roman" w:cs="Times New Roman"/>
          <w:sz w:val="28"/>
          <w:szCs w:val="28"/>
          <w:lang w:val="es-ES_tradnl" w:eastAsia="es-ES_tradnl"/>
        </w:rPr>
        <w:t>)</w:t>
      </w:r>
      <w:r w:rsidR="004A726C" w:rsidRPr="00DA1726">
        <w:rPr>
          <w:rStyle w:val="FontStyle20"/>
          <w:rFonts w:ascii="Times New Roman" w:hAnsi="Times New Roman" w:cs="Times New Roman"/>
          <w:sz w:val="28"/>
          <w:szCs w:val="28"/>
          <w:lang w:val="es-ES_tradnl" w:eastAsia="es-ES_tradnl"/>
        </w:rPr>
        <w:t>.</w:t>
      </w:r>
    </w:p>
    <w:p w:rsidR="00294293" w:rsidRPr="00DA1726" w:rsidRDefault="00294293" w:rsidP="00DA1726">
      <w:pPr>
        <w:pStyle w:val="Prrafodelista"/>
        <w:ind w:left="0"/>
        <w:jc w:val="both"/>
        <w:rPr>
          <w:rStyle w:val="FontStyle20"/>
          <w:rFonts w:ascii="Times New Roman" w:hAnsi="Times New Roman" w:cs="Times New Roman"/>
          <w:sz w:val="28"/>
          <w:szCs w:val="28"/>
          <w:lang w:val="es-ES_tradnl" w:eastAsia="es-ES_tradnl"/>
        </w:rPr>
      </w:pPr>
    </w:p>
    <w:p w:rsidR="00294293" w:rsidRPr="00DA1726" w:rsidRDefault="006F3EAA" w:rsidP="00DA1726">
      <w:pPr>
        <w:pStyle w:val="Prrafodelista"/>
        <w:ind w:left="0"/>
        <w:jc w:val="both"/>
        <w:rPr>
          <w:rStyle w:val="FontStyle20"/>
          <w:rFonts w:ascii="Times New Roman" w:hAnsi="Times New Roman" w:cs="Times New Roman"/>
          <w:sz w:val="28"/>
          <w:szCs w:val="28"/>
          <w:lang w:val="es-ES_tradnl" w:eastAsia="es-ES_tradnl"/>
        </w:rPr>
      </w:pPr>
      <w:r w:rsidRPr="00DA1726">
        <w:rPr>
          <w:rStyle w:val="FontStyle20"/>
          <w:rFonts w:ascii="Times New Roman" w:hAnsi="Times New Roman" w:cs="Times New Roman"/>
          <w:sz w:val="28"/>
          <w:szCs w:val="28"/>
          <w:lang w:val="es-ES_tradnl" w:eastAsia="es-ES_tradnl"/>
        </w:rPr>
        <w:t xml:space="preserve">Añadió que es necesaria la vinculación de las </w:t>
      </w:r>
      <w:r w:rsidRPr="00DA1726">
        <w:rPr>
          <w:sz w:val="28"/>
          <w:szCs w:val="28"/>
          <w:lang w:val="es-ES_tradnl" w:eastAsia="es-ES_tradnl"/>
        </w:rPr>
        <w:t>entidades territoriales, por ser parte fundamental en de la garantía del goce efectivo del derecho a salud</w:t>
      </w:r>
      <w:r w:rsidR="00B34AE2" w:rsidRPr="00DA1726">
        <w:rPr>
          <w:sz w:val="28"/>
          <w:szCs w:val="28"/>
          <w:lang w:val="es-ES_tradnl" w:eastAsia="es-ES_tradnl"/>
        </w:rPr>
        <w:t>,</w:t>
      </w:r>
      <w:r w:rsidRPr="00DA1726">
        <w:rPr>
          <w:sz w:val="28"/>
          <w:szCs w:val="28"/>
          <w:lang w:val="es-ES_tradnl" w:eastAsia="es-ES_tradnl"/>
        </w:rPr>
        <w:t xml:space="preserve"> particularmente en el Régimen Subsidiado, especialmente en lo relacionado con el proceso de atención de los servicios no cubiertos por el POS, donde la EPS garantiza el acceso efectivo a los servicios y tecnologías, y las entidades territoriales del orden departamental y distrital son responsables del pago de estos servicios ante las </w:t>
      </w:r>
      <w:r w:rsidR="00EA4FAC" w:rsidRPr="00DA1726">
        <w:rPr>
          <w:sz w:val="28"/>
          <w:szCs w:val="28"/>
          <w:lang w:val="es-ES_tradnl" w:eastAsia="es-ES_tradnl"/>
        </w:rPr>
        <w:t>IPS</w:t>
      </w:r>
      <w:r w:rsidRPr="00DA1726">
        <w:rPr>
          <w:sz w:val="28"/>
          <w:szCs w:val="28"/>
          <w:lang w:val="es-ES_tradnl" w:eastAsia="es-ES_tradnl"/>
        </w:rPr>
        <w:t xml:space="preserve"> de acuerdo con la Resolución 1479 de 2015</w:t>
      </w:r>
      <w:r w:rsidRPr="00DA1726">
        <w:rPr>
          <w:sz w:val="28"/>
          <w:szCs w:val="28"/>
          <w:vertAlign w:val="superscript"/>
          <w:lang w:val="es-ES_tradnl" w:eastAsia="es-ES_tradnl"/>
        </w:rPr>
        <w:footnoteReference w:id="69"/>
      </w:r>
      <w:r w:rsidRPr="00DA1726">
        <w:rPr>
          <w:sz w:val="28"/>
          <w:szCs w:val="28"/>
          <w:lang w:val="es-ES_tradnl" w:eastAsia="es-ES_tradnl"/>
        </w:rPr>
        <w:t>.</w:t>
      </w:r>
    </w:p>
    <w:p w:rsidR="00294293" w:rsidRPr="00DA1726" w:rsidRDefault="00294293" w:rsidP="00DA1726">
      <w:pPr>
        <w:pStyle w:val="Prrafodelista"/>
        <w:ind w:left="0"/>
        <w:jc w:val="both"/>
        <w:rPr>
          <w:rStyle w:val="FontStyle20"/>
          <w:rFonts w:ascii="Times New Roman" w:hAnsi="Times New Roman" w:cs="Times New Roman"/>
          <w:sz w:val="28"/>
          <w:szCs w:val="28"/>
          <w:lang w:val="es-ES_tradnl" w:eastAsia="es-ES_tradnl"/>
        </w:rPr>
      </w:pPr>
    </w:p>
    <w:p w:rsidR="00474D0E" w:rsidRPr="00DA1726" w:rsidRDefault="004A66B2" w:rsidP="00DA1726">
      <w:pPr>
        <w:pStyle w:val="Prrafodelista"/>
        <w:ind w:left="0"/>
        <w:jc w:val="both"/>
        <w:rPr>
          <w:sz w:val="28"/>
          <w:szCs w:val="28"/>
          <w:lang w:val="es-ES_tradnl" w:eastAsia="es-ES_tradnl"/>
        </w:rPr>
      </w:pPr>
      <w:r w:rsidRPr="00DA1726">
        <w:rPr>
          <w:sz w:val="28"/>
          <w:szCs w:val="28"/>
          <w:lang w:val="es-ES" w:eastAsia="es-ES_tradnl"/>
        </w:rPr>
        <w:t>Agreg</w:t>
      </w:r>
      <w:r w:rsidR="00D03234" w:rsidRPr="00DA1726">
        <w:rPr>
          <w:sz w:val="28"/>
          <w:szCs w:val="28"/>
          <w:lang w:val="es-ES" w:eastAsia="es-ES_tradnl"/>
        </w:rPr>
        <w:t>ó</w:t>
      </w:r>
      <w:r w:rsidRPr="00DA1726">
        <w:rPr>
          <w:sz w:val="28"/>
          <w:szCs w:val="28"/>
          <w:lang w:val="es-ES" w:eastAsia="es-ES_tradnl"/>
        </w:rPr>
        <w:t xml:space="preserve"> que es importante que l</w:t>
      </w:r>
      <w:r w:rsidR="00474D0E" w:rsidRPr="00DA1726">
        <w:rPr>
          <w:sz w:val="28"/>
          <w:szCs w:val="28"/>
          <w:lang w:val="es-ES_tradnl" w:eastAsia="es-ES_tradnl"/>
        </w:rPr>
        <w:t xml:space="preserve">os análisis consideren variables como número de afiliados de las entidades aseguradoras, el nivel socio-económico de sus afiliados, su presencia regional y otros que permitan reconocer </w:t>
      </w:r>
      <w:r w:rsidRPr="00DA1726">
        <w:rPr>
          <w:sz w:val="28"/>
          <w:szCs w:val="28"/>
          <w:lang w:val="es-ES_tradnl" w:eastAsia="es-ES_tradnl"/>
        </w:rPr>
        <w:t>sus</w:t>
      </w:r>
      <w:r w:rsidR="00474D0E" w:rsidRPr="00DA1726">
        <w:rPr>
          <w:sz w:val="28"/>
          <w:szCs w:val="28"/>
          <w:lang w:val="es-ES_tradnl" w:eastAsia="es-ES_tradnl"/>
        </w:rPr>
        <w:t xml:space="preserve"> diferencias.</w:t>
      </w:r>
    </w:p>
    <w:p w:rsidR="00474D0E" w:rsidRPr="00DA1726" w:rsidRDefault="00474D0E" w:rsidP="00DA1726">
      <w:pPr>
        <w:pStyle w:val="Prrafodelista"/>
        <w:ind w:left="0"/>
        <w:rPr>
          <w:sz w:val="28"/>
          <w:szCs w:val="28"/>
          <w:lang w:val="es-ES" w:eastAsia="es-ES_tradnl"/>
        </w:rPr>
      </w:pPr>
    </w:p>
    <w:p w:rsidR="009B618D" w:rsidRPr="00DA1726" w:rsidRDefault="005F36EB" w:rsidP="00DA1726">
      <w:pPr>
        <w:pStyle w:val="Prrafodelista"/>
        <w:ind w:left="0"/>
        <w:jc w:val="both"/>
        <w:rPr>
          <w:sz w:val="28"/>
          <w:szCs w:val="28"/>
          <w:lang w:val="es-ES_tradnl" w:eastAsia="es-ES_tradnl"/>
        </w:rPr>
      </w:pPr>
      <w:r w:rsidRPr="00DA1726">
        <w:rPr>
          <w:rStyle w:val="FontStyle20"/>
          <w:rFonts w:ascii="Times New Roman" w:hAnsi="Times New Roman" w:cs="Times New Roman"/>
          <w:sz w:val="28"/>
          <w:szCs w:val="28"/>
          <w:lang w:val="es-ES_tradnl" w:eastAsia="es-ES_tradnl"/>
        </w:rPr>
        <w:t xml:space="preserve">En cuanto a </w:t>
      </w:r>
      <w:r w:rsidRPr="00DA1726">
        <w:rPr>
          <w:sz w:val="28"/>
          <w:szCs w:val="28"/>
          <w:lang w:val="es-ES_tradnl" w:eastAsia="es-ES_tradnl"/>
        </w:rPr>
        <w:t xml:space="preserve">la mejor metodología para verificar el grado de aceptación, entendimiento y la utilidad que la ordenación de </w:t>
      </w:r>
      <w:r w:rsidR="00B34AE2" w:rsidRPr="00DA1726">
        <w:rPr>
          <w:sz w:val="28"/>
          <w:szCs w:val="28"/>
          <w:lang w:val="es-ES_tradnl" w:eastAsia="es-ES_tradnl"/>
        </w:rPr>
        <w:t>promotoras</w:t>
      </w:r>
      <w:r w:rsidRPr="00DA1726">
        <w:rPr>
          <w:sz w:val="28"/>
          <w:szCs w:val="28"/>
          <w:lang w:val="es-ES_tradnl" w:eastAsia="es-ES_tradnl"/>
        </w:rPr>
        <w:t xml:space="preserve"> </w:t>
      </w:r>
      <w:r w:rsidR="00B34AE2" w:rsidRPr="00DA1726">
        <w:rPr>
          <w:sz w:val="28"/>
          <w:szCs w:val="28"/>
          <w:lang w:val="es-ES_tradnl" w:eastAsia="es-ES_tradnl"/>
        </w:rPr>
        <w:t>y prestadoras otorga</w:t>
      </w:r>
      <w:r w:rsidRPr="00DA1726">
        <w:rPr>
          <w:sz w:val="28"/>
          <w:szCs w:val="28"/>
          <w:lang w:val="es-ES_tradnl" w:eastAsia="es-ES_tradnl"/>
        </w:rPr>
        <w:t xml:space="preserve"> a los usuarios del sistema, explicó que </w:t>
      </w:r>
      <w:r w:rsidR="00B34AE2" w:rsidRPr="00DA1726">
        <w:rPr>
          <w:sz w:val="28"/>
          <w:szCs w:val="28"/>
          <w:lang w:val="es-ES_tradnl" w:eastAsia="es-ES_tradnl"/>
        </w:rPr>
        <w:t>es</w:t>
      </w:r>
      <w:r w:rsidRPr="00DA1726">
        <w:rPr>
          <w:sz w:val="28"/>
          <w:szCs w:val="28"/>
          <w:lang w:val="es-ES_tradnl" w:eastAsia="es-ES_tradnl"/>
        </w:rPr>
        <w:t xml:space="preserve"> importante desarrollar</w:t>
      </w:r>
      <w:r w:rsidR="009B618D" w:rsidRPr="00DA1726">
        <w:rPr>
          <w:sz w:val="28"/>
          <w:szCs w:val="28"/>
          <w:lang w:val="es-ES_tradnl" w:eastAsia="es-ES_tradnl"/>
        </w:rPr>
        <w:t xml:space="preserve"> estrategias de divulgación entre los afiliados a través de medios masivos de comunicación nacional o regional, que aporten información sobre el alcance y los objetivos de la orden vigésima de la </w:t>
      </w:r>
      <w:r w:rsidR="0041083D" w:rsidRPr="00DA1726">
        <w:rPr>
          <w:sz w:val="28"/>
          <w:szCs w:val="28"/>
          <w:lang w:val="es-ES_tradnl" w:eastAsia="es-ES_tradnl"/>
        </w:rPr>
        <w:t>s</w:t>
      </w:r>
      <w:r w:rsidR="009B618D" w:rsidRPr="00DA1726">
        <w:rPr>
          <w:sz w:val="28"/>
          <w:szCs w:val="28"/>
          <w:lang w:val="es-ES_tradnl" w:eastAsia="es-ES_tradnl"/>
        </w:rPr>
        <w:t>entencia T</w:t>
      </w:r>
      <w:r w:rsidR="0041083D" w:rsidRPr="00DA1726">
        <w:rPr>
          <w:sz w:val="28"/>
          <w:szCs w:val="28"/>
          <w:lang w:val="es-ES_tradnl" w:eastAsia="es-ES_tradnl"/>
        </w:rPr>
        <w:t>-</w:t>
      </w:r>
      <w:r w:rsidR="009B618D" w:rsidRPr="00DA1726">
        <w:rPr>
          <w:sz w:val="28"/>
          <w:szCs w:val="28"/>
          <w:lang w:val="es-ES_tradnl" w:eastAsia="es-ES_tradnl"/>
        </w:rPr>
        <w:t>760</w:t>
      </w:r>
      <w:r w:rsidR="0041083D" w:rsidRPr="00DA1726">
        <w:rPr>
          <w:sz w:val="28"/>
          <w:szCs w:val="28"/>
          <w:lang w:val="es-ES_tradnl" w:eastAsia="es-ES_tradnl"/>
        </w:rPr>
        <w:t xml:space="preserve"> de </w:t>
      </w:r>
      <w:r w:rsidR="009B618D" w:rsidRPr="00DA1726">
        <w:rPr>
          <w:sz w:val="28"/>
          <w:szCs w:val="28"/>
          <w:lang w:val="es-ES_tradnl" w:eastAsia="es-ES_tradnl"/>
        </w:rPr>
        <w:t xml:space="preserve">2008 </w:t>
      </w:r>
      <w:r w:rsidR="0041083D" w:rsidRPr="00DA1726">
        <w:rPr>
          <w:sz w:val="28"/>
          <w:szCs w:val="28"/>
          <w:lang w:val="es-ES_tradnl" w:eastAsia="es-ES_tradnl"/>
        </w:rPr>
        <w:t>de cara al</w:t>
      </w:r>
      <w:r w:rsidR="009B618D" w:rsidRPr="00DA1726">
        <w:rPr>
          <w:sz w:val="28"/>
          <w:szCs w:val="28"/>
          <w:lang w:val="es-ES_tradnl" w:eastAsia="es-ES_tradnl"/>
        </w:rPr>
        <w:t xml:space="preserve"> derecho a la información y como consecuencia de ello, a la libre elección</w:t>
      </w:r>
      <w:r w:rsidR="0041083D" w:rsidRPr="00DA1726">
        <w:rPr>
          <w:sz w:val="28"/>
          <w:szCs w:val="28"/>
          <w:lang w:val="es-ES_tradnl" w:eastAsia="es-ES_tradnl"/>
        </w:rPr>
        <w:t>, dependiendo de cada régimen atendiendo las restricciones de oferta institucional, situación que permitiría contar con un conocimiento informado sobre la metodología de calificación empelada</w:t>
      </w:r>
      <w:r w:rsidR="009B618D" w:rsidRPr="00DA1726">
        <w:rPr>
          <w:sz w:val="28"/>
          <w:szCs w:val="28"/>
          <w:lang w:val="es-ES_tradnl" w:eastAsia="es-ES_tradnl"/>
        </w:rPr>
        <w:t>.</w:t>
      </w:r>
    </w:p>
    <w:p w:rsidR="00294293" w:rsidRPr="00DA1726" w:rsidRDefault="00294293" w:rsidP="00DA1726">
      <w:pPr>
        <w:pStyle w:val="Prrafodelista"/>
        <w:ind w:left="0"/>
        <w:jc w:val="both"/>
        <w:rPr>
          <w:rStyle w:val="FontStyle20"/>
          <w:rFonts w:ascii="Times New Roman" w:hAnsi="Times New Roman" w:cs="Times New Roman"/>
          <w:sz w:val="28"/>
          <w:szCs w:val="28"/>
          <w:lang w:val="es-ES_tradnl" w:eastAsia="es-ES_tradnl"/>
        </w:rPr>
      </w:pPr>
    </w:p>
    <w:p w:rsidR="00462380" w:rsidRPr="00DA1726" w:rsidRDefault="00983BBB" w:rsidP="00DA1726">
      <w:pPr>
        <w:pStyle w:val="Prrafodelista"/>
        <w:ind w:left="0"/>
        <w:jc w:val="both"/>
        <w:rPr>
          <w:sz w:val="28"/>
          <w:szCs w:val="28"/>
          <w:lang w:val="es-ES_tradnl"/>
        </w:rPr>
      </w:pPr>
      <w:r w:rsidRPr="00DA1726">
        <w:rPr>
          <w:sz w:val="28"/>
          <w:szCs w:val="28"/>
          <w:lang w:val="es-ES_tradnl"/>
        </w:rPr>
        <w:t xml:space="preserve">Respecto del documento </w:t>
      </w:r>
      <w:r w:rsidRPr="00DA1726">
        <w:rPr>
          <w:i/>
          <w:sz w:val="28"/>
          <w:szCs w:val="28"/>
          <w:lang w:val="es-ES_tradnl"/>
        </w:rPr>
        <w:t>“</w:t>
      </w:r>
      <w:r w:rsidR="0041083D" w:rsidRPr="00DA1726">
        <w:rPr>
          <w:i/>
          <w:sz w:val="28"/>
          <w:szCs w:val="28"/>
          <w:lang w:val="es-ES_tradnl"/>
        </w:rPr>
        <w:t xml:space="preserve">Desempeño de IPS 2015: Siguiendo la orden </w:t>
      </w:r>
      <w:r w:rsidRPr="00DA1726">
        <w:rPr>
          <w:i/>
          <w:sz w:val="28"/>
          <w:szCs w:val="28"/>
          <w:lang w:val="es-ES_tradnl"/>
        </w:rPr>
        <w:t>20 de la Sentencia T-760 de 2008”</w:t>
      </w:r>
      <w:r w:rsidR="00462380" w:rsidRPr="00DA1726">
        <w:rPr>
          <w:sz w:val="28"/>
          <w:szCs w:val="28"/>
          <w:lang w:val="es-ES_tradnl"/>
        </w:rPr>
        <w:t xml:space="preserve">, se refirió al número de prestadoras incluidas en el estudio, advirtiendo que con la metodología adoptada y el universo de prestadores con el cual se trabajó la medición del año 2015, correspondiente a 18.704 instituciones inscritas en el Registro Especial de Prestadores de Servicios -REPS, que reportaron la información de indicadores en el segundo semestre de 2014, </w:t>
      </w:r>
      <w:r w:rsidR="00943E51" w:rsidRPr="00DA1726">
        <w:rPr>
          <w:sz w:val="28"/>
          <w:szCs w:val="28"/>
          <w:lang w:val="es-ES_tradnl"/>
        </w:rPr>
        <w:t>lo que muestra un avance significativo en el cumplimiento de la orden 20</w:t>
      </w:r>
      <w:r w:rsidR="00462380" w:rsidRPr="00DA1726">
        <w:rPr>
          <w:sz w:val="28"/>
          <w:szCs w:val="28"/>
          <w:lang w:val="es-ES_tradnl"/>
        </w:rPr>
        <w:t>.</w:t>
      </w:r>
      <w:r w:rsidR="00943E51" w:rsidRPr="00DA1726">
        <w:rPr>
          <w:sz w:val="28"/>
          <w:szCs w:val="28"/>
          <w:lang w:val="es-ES_tradnl"/>
        </w:rPr>
        <w:t xml:space="preserve"> S</w:t>
      </w:r>
      <w:r w:rsidR="00462380" w:rsidRPr="00DA1726">
        <w:rPr>
          <w:sz w:val="28"/>
          <w:szCs w:val="28"/>
          <w:lang w:val="es-ES_tradnl"/>
        </w:rPr>
        <w:t xml:space="preserve">in embargo, </w:t>
      </w:r>
      <w:r w:rsidR="00943E51" w:rsidRPr="00DA1726">
        <w:rPr>
          <w:sz w:val="28"/>
          <w:szCs w:val="28"/>
          <w:lang w:val="es-ES_tradnl"/>
        </w:rPr>
        <w:t>consideró</w:t>
      </w:r>
      <w:r w:rsidR="00462380" w:rsidRPr="00DA1726">
        <w:rPr>
          <w:sz w:val="28"/>
          <w:szCs w:val="28"/>
          <w:lang w:val="es-ES_tradnl"/>
        </w:rPr>
        <w:t xml:space="preserve"> que progresivamente se deben valorar prácticas violatorias del derecho a la salud en proveedores como droguerías que dispensan medicamentos a los afiliados del régimen subsidiado en municipios apartados y que no hacen parte del REPS</w:t>
      </w:r>
      <w:r w:rsidR="00D37CB8" w:rsidRPr="00DA1726">
        <w:rPr>
          <w:sz w:val="28"/>
          <w:szCs w:val="28"/>
          <w:lang w:val="es-ES_tradnl"/>
        </w:rPr>
        <w:t>,</w:t>
      </w:r>
      <w:r w:rsidR="00462380" w:rsidRPr="00DA1726">
        <w:rPr>
          <w:sz w:val="28"/>
          <w:szCs w:val="28"/>
          <w:lang w:val="es-ES_tradnl"/>
        </w:rPr>
        <w:t xml:space="preserve"> así como otros proveedores.</w:t>
      </w:r>
    </w:p>
    <w:p w:rsidR="00462380" w:rsidRPr="00DA1726" w:rsidRDefault="00462380" w:rsidP="00DA1726">
      <w:pPr>
        <w:rPr>
          <w:sz w:val="28"/>
          <w:szCs w:val="28"/>
          <w:lang w:val="es-ES"/>
        </w:rPr>
      </w:pPr>
    </w:p>
    <w:p w:rsidR="001574DA" w:rsidRPr="00DA1726" w:rsidRDefault="00A9499B" w:rsidP="00DA1726">
      <w:pPr>
        <w:pStyle w:val="Style4"/>
        <w:widowControl/>
        <w:spacing w:line="240" w:lineRule="auto"/>
        <w:rPr>
          <w:rStyle w:val="FontStyle20"/>
          <w:rFonts w:ascii="Times New Roman" w:hAnsi="Times New Roman" w:cs="Times New Roman"/>
          <w:sz w:val="28"/>
          <w:szCs w:val="28"/>
          <w:lang w:val="es-ES_tradnl" w:eastAsia="es-ES_tradnl"/>
        </w:rPr>
      </w:pPr>
      <w:r w:rsidRPr="00DA1726">
        <w:rPr>
          <w:rStyle w:val="FontStyle20"/>
          <w:rFonts w:ascii="Times New Roman" w:hAnsi="Times New Roman" w:cs="Times New Roman"/>
          <w:sz w:val="28"/>
          <w:szCs w:val="28"/>
          <w:lang w:val="es-ES_tradnl" w:eastAsia="es-ES_tradnl"/>
        </w:rPr>
        <w:t>Explicó que la metodología de valoración de instituciones prestadoras elaborada por el Ministerio de Salud y la Superintendencia Nacional de Salud</w:t>
      </w:r>
      <w:r w:rsidR="001574DA" w:rsidRPr="00DA1726">
        <w:rPr>
          <w:rStyle w:val="FontStyle20"/>
          <w:rFonts w:ascii="Times New Roman" w:hAnsi="Times New Roman" w:cs="Times New Roman"/>
          <w:sz w:val="28"/>
          <w:szCs w:val="28"/>
          <w:lang w:val="es-ES_tradnl" w:eastAsia="es-ES_tradnl"/>
        </w:rPr>
        <w:t>, constituye un punto de partida sujeto a mejoramiento como todo proceso de calidad.</w:t>
      </w:r>
      <w:r w:rsidRPr="00DA1726">
        <w:rPr>
          <w:rStyle w:val="FontStyle20"/>
          <w:rFonts w:ascii="Times New Roman" w:hAnsi="Times New Roman" w:cs="Times New Roman"/>
          <w:sz w:val="28"/>
          <w:szCs w:val="28"/>
          <w:lang w:val="es-ES_tradnl" w:eastAsia="es-ES_tradnl"/>
        </w:rPr>
        <w:t xml:space="preserve"> Para ello advirtió que en este ejercicio es necesario contar con </w:t>
      </w:r>
      <w:r w:rsidR="00B34AE2" w:rsidRPr="00DA1726">
        <w:rPr>
          <w:rStyle w:val="FontStyle20"/>
          <w:rFonts w:ascii="Times New Roman" w:hAnsi="Times New Roman" w:cs="Times New Roman"/>
          <w:i/>
          <w:sz w:val="28"/>
          <w:szCs w:val="28"/>
          <w:lang w:val="es-ES_tradnl" w:eastAsia="es-ES_tradnl"/>
        </w:rPr>
        <w:t>“</w:t>
      </w:r>
      <w:r w:rsidR="001574DA" w:rsidRPr="00DA1726">
        <w:rPr>
          <w:rStyle w:val="FontStyle20"/>
          <w:rFonts w:ascii="Times New Roman" w:hAnsi="Times New Roman" w:cs="Times New Roman"/>
          <w:i/>
          <w:sz w:val="28"/>
          <w:szCs w:val="28"/>
          <w:lang w:val="es-ES_tradnl" w:eastAsia="es-ES_tradnl"/>
        </w:rPr>
        <w:t>estudios de caso</w:t>
      </w:r>
      <w:r w:rsidRPr="00DA1726">
        <w:rPr>
          <w:rStyle w:val="FontStyle20"/>
          <w:rFonts w:ascii="Times New Roman" w:hAnsi="Times New Roman" w:cs="Times New Roman"/>
          <w:i/>
          <w:sz w:val="28"/>
          <w:szCs w:val="28"/>
          <w:lang w:val="es-ES_tradnl" w:eastAsia="es-ES_tradnl"/>
        </w:rPr>
        <w:t>s</w:t>
      </w:r>
      <w:r w:rsidR="00B34AE2" w:rsidRPr="00DA1726">
        <w:rPr>
          <w:rStyle w:val="FontStyle20"/>
          <w:rFonts w:ascii="Times New Roman" w:hAnsi="Times New Roman" w:cs="Times New Roman"/>
          <w:i/>
          <w:sz w:val="28"/>
          <w:szCs w:val="28"/>
          <w:lang w:val="es-ES_tradnl" w:eastAsia="es-ES_tradnl"/>
        </w:rPr>
        <w:t>”</w:t>
      </w:r>
      <w:r w:rsidR="001574DA" w:rsidRPr="00DA1726">
        <w:rPr>
          <w:rStyle w:val="FontStyle20"/>
          <w:rFonts w:ascii="Times New Roman" w:hAnsi="Times New Roman" w:cs="Times New Roman"/>
          <w:sz w:val="28"/>
          <w:szCs w:val="28"/>
          <w:lang w:val="es-ES_tradnl" w:eastAsia="es-ES_tradnl"/>
        </w:rPr>
        <w:t xml:space="preserve"> ya que del análisis de los mismos se podrán complementar el reporte de los indicadores por parte de los prestadores y así identificar las violaciones al derecho que en un período de tiempo se hayan dado.</w:t>
      </w:r>
      <w:r w:rsidR="00B34AE2" w:rsidRPr="00DA1726">
        <w:rPr>
          <w:rStyle w:val="FontStyle20"/>
          <w:rFonts w:ascii="Times New Roman" w:hAnsi="Times New Roman" w:cs="Times New Roman"/>
          <w:sz w:val="28"/>
          <w:szCs w:val="28"/>
          <w:lang w:val="es-ES_tradnl" w:eastAsia="es-ES_tradnl"/>
        </w:rPr>
        <w:t xml:space="preserve"> </w:t>
      </w:r>
      <w:r w:rsidR="001574DA" w:rsidRPr="00DA1726">
        <w:rPr>
          <w:rStyle w:val="FontStyle20"/>
          <w:rFonts w:ascii="Times New Roman" w:hAnsi="Times New Roman" w:cs="Times New Roman"/>
          <w:sz w:val="28"/>
          <w:szCs w:val="28"/>
          <w:lang w:val="es-ES_tradnl" w:eastAsia="es-ES_tradnl"/>
        </w:rPr>
        <w:t xml:space="preserve">Así mismo, </w:t>
      </w:r>
      <w:r w:rsidRPr="00DA1726">
        <w:rPr>
          <w:rStyle w:val="FontStyle20"/>
          <w:rFonts w:ascii="Times New Roman" w:hAnsi="Times New Roman" w:cs="Times New Roman"/>
          <w:sz w:val="28"/>
          <w:szCs w:val="28"/>
          <w:lang w:val="es-ES_tradnl" w:eastAsia="es-ES_tradnl"/>
        </w:rPr>
        <w:t xml:space="preserve">expresó la necesidad de </w:t>
      </w:r>
      <w:r w:rsidR="001574DA" w:rsidRPr="00DA1726">
        <w:rPr>
          <w:rStyle w:val="FontStyle20"/>
          <w:rFonts w:ascii="Times New Roman" w:hAnsi="Times New Roman" w:cs="Times New Roman"/>
          <w:sz w:val="28"/>
          <w:szCs w:val="28"/>
          <w:lang w:val="es-ES_tradnl" w:eastAsia="es-ES_tradnl"/>
        </w:rPr>
        <w:t>continuar</w:t>
      </w:r>
      <w:r w:rsidR="00682B9B" w:rsidRPr="00DA1726">
        <w:rPr>
          <w:rStyle w:val="FontStyle20"/>
          <w:rFonts w:ascii="Times New Roman" w:hAnsi="Times New Roman" w:cs="Times New Roman"/>
          <w:sz w:val="28"/>
          <w:szCs w:val="28"/>
          <w:lang w:val="es-ES_tradnl" w:eastAsia="es-ES_tradnl"/>
        </w:rPr>
        <w:t xml:space="preserve"> con </w:t>
      </w:r>
      <w:r w:rsidR="001574DA" w:rsidRPr="00DA1726">
        <w:rPr>
          <w:rStyle w:val="FontStyle20"/>
          <w:rFonts w:ascii="Times New Roman" w:hAnsi="Times New Roman" w:cs="Times New Roman"/>
          <w:sz w:val="28"/>
          <w:szCs w:val="28"/>
          <w:lang w:val="es-ES_tradnl" w:eastAsia="es-ES_tradnl"/>
        </w:rPr>
        <w:t xml:space="preserve">la auditoria </w:t>
      </w:r>
      <w:r w:rsidR="00682B9B" w:rsidRPr="00DA1726">
        <w:rPr>
          <w:rStyle w:val="FontStyle20"/>
          <w:rFonts w:ascii="Times New Roman" w:hAnsi="Times New Roman" w:cs="Times New Roman"/>
          <w:sz w:val="28"/>
          <w:szCs w:val="28"/>
          <w:lang w:val="es-ES_tradnl" w:eastAsia="es-ES_tradnl"/>
        </w:rPr>
        <w:t xml:space="preserve">a las IPS </w:t>
      </w:r>
      <w:r w:rsidR="001574DA" w:rsidRPr="00DA1726">
        <w:rPr>
          <w:rStyle w:val="FontStyle20"/>
          <w:rFonts w:ascii="Times New Roman" w:hAnsi="Times New Roman" w:cs="Times New Roman"/>
          <w:sz w:val="28"/>
          <w:szCs w:val="28"/>
          <w:lang w:val="es-ES_tradnl" w:eastAsia="es-ES_tradnl"/>
        </w:rPr>
        <w:t xml:space="preserve">que permita la verificación en terreno de la información, a través de </w:t>
      </w:r>
      <w:r w:rsidR="00B34AE2" w:rsidRPr="00DA1726">
        <w:rPr>
          <w:rStyle w:val="FontStyle20"/>
          <w:rFonts w:ascii="Times New Roman" w:hAnsi="Times New Roman" w:cs="Times New Roman"/>
          <w:i/>
          <w:sz w:val="28"/>
          <w:szCs w:val="28"/>
          <w:lang w:val="es-ES_tradnl" w:eastAsia="es-ES_tradnl"/>
        </w:rPr>
        <w:t>“cliente oculto”</w:t>
      </w:r>
      <w:r w:rsidR="001574DA" w:rsidRPr="00DA1726">
        <w:rPr>
          <w:rStyle w:val="FontStyle20"/>
          <w:rFonts w:ascii="Times New Roman" w:hAnsi="Times New Roman" w:cs="Times New Roman"/>
          <w:sz w:val="28"/>
          <w:szCs w:val="28"/>
          <w:lang w:val="es-ES_tradnl" w:eastAsia="es-ES_tradnl"/>
        </w:rPr>
        <w:t xml:space="preserve"> u otro mecanismo de validación.</w:t>
      </w:r>
      <w:r w:rsidR="00682B9B" w:rsidRPr="00DA1726">
        <w:rPr>
          <w:rStyle w:val="FontStyle20"/>
          <w:rFonts w:ascii="Times New Roman" w:hAnsi="Times New Roman" w:cs="Times New Roman"/>
          <w:sz w:val="28"/>
          <w:szCs w:val="28"/>
          <w:lang w:val="es-ES_tradnl" w:eastAsia="es-ES_tradnl"/>
        </w:rPr>
        <w:t xml:space="preserve"> </w:t>
      </w:r>
    </w:p>
    <w:p w:rsidR="00983BBB" w:rsidRPr="00DA1726" w:rsidRDefault="00983BBB" w:rsidP="00DA1726">
      <w:pPr>
        <w:jc w:val="both"/>
        <w:rPr>
          <w:sz w:val="28"/>
          <w:szCs w:val="28"/>
          <w:lang w:val="es-ES_tradnl"/>
        </w:rPr>
      </w:pPr>
    </w:p>
    <w:p w:rsidR="00E7034B" w:rsidRPr="00DA1726" w:rsidRDefault="00E7034B" w:rsidP="00DA1726">
      <w:pPr>
        <w:pStyle w:val="Prrafodelista"/>
        <w:numPr>
          <w:ilvl w:val="2"/>
          <w:numId w:val="7"/>
        </w:numPr>
        <w:ind w:left="0" w:firstLine="0"/>
        <w:jc w:val="both"/>
        <w:rPr>
          <w:sz w:val="28"/>
          <w:szCs w:val="28"/>
          <w:lang w:val="es-ES_tradnl"/>
        </w:rPr>
      </w:pPr>
      <w:r w:rsidRPr="00DA1726">
        <w:rPr>
          <w:sz w:val="28"/>
          <w:szCs w:val="28"/>
          <w:lang w:val="es-ES_tradnl"/>
        </w:rPr>
        <w:t>El 24 de noviembre de 2015, la Procuraduría General de la Naci</w:t>
      </w:r>
      <w:r w:rsidR="00F21EC6" w:rsidRPr="00DA1726">
        <w:rPr>
          <w:sz w:val="28"/>
          <w:szCs w:val="28"/>
          <w:lang w:val="es-ES_tradnl"/>
        </w:rPr>
        <w:t xml:space="preserve">ón procedió a dar </w:t>
      </w:r>
      <w:r w:rsidR="00B34AE2" w:rsidRPr="00DA1726">
        <w:rPr>
          <w:sz w:val="28"/>
          <w:szCs w:val="28"/>
          <w:lang w:val="es-ES_tradnl"/>
        </w:rPr>
        <w:t>cumplimiento</w:t>
      </w:r>
      <w:r w:rsidR="00F21EC6" w:rsidRPr="00DA1726">
        <w:rPr>
          <w:sz w:val="28"/>
          <w:szCs w:val="28"/>
          <w:lang w:val="es-ES_tradnl"/>
        </w:rPr>
        <w:t xml:space="preserve"> a lo </w:t>
      </w:r>
      <w:r w:rsidR="00B34AE2" w:rsidRPr="00DA1726">
        <w:rPr>
          <w:sz w:val="28"/>
          <w:szCs w:val="28"/>
          <w:lang w:val="es-ES_tradnl"/>
        </w:rPr>
        <w:t xml:space="preserve">dispuesto </w:t>
      </w:r>
      <w:r w:rsidR="00F21EC6" w:rsidRPr="00DA1726">
        <w:rPr>
          <w:sz w:val="28"/>
          <w:szCs w:val="28"/>
          <w:lang w:val="es-ES_tradnl"/>
        </w:rPr>
        <w:t>por la Corte Constitucional</w:t>
      </w:r>
      <w:r w:rsidR="007E67AA" w:rsidRPr="00DA1726">
        <w:rPr>
          <w:sz w:val="28"/>
          <w:szCs w:val="28"/>
          <w:vertAlign w:val="superscript"/>
          <w:lang w:val="es-ES_tradnl"/>
        </w:rPr>
        <w:footnoteReference w:id="70"/>
      </w:r>
      <w:r w:rsidR="007E67AA" w:rsidRPr="00DA1726">
        <w:rPr>
          <w:sz w:val="28"/>
          <w:szCs w:val="28"/>
          <w:lang w:val="es-ES_tradnl"/>
        </w:rPr>
        <w:t>,</w:t>
      </w:r>
      <w:r w:rsidR="00F21EC6" w:rsidRPr="00DA1726">
        <w:rPr>
          <w:sz w:val="28"/>
          <w:szCs w:val="28"/>
          <w:lang w:val="es-ES_tradnl"/>
        </w:rPr>
        <w:t xml:space="preserve"> en orden a realizar </w:t>
      </w:r>
      <w:r w:rsidR="00EC7CE5" w:rsidRPr="00DA1726">
        <w:rPr>
          <w:sz w:val="28"/>
          <w:szCs w:val="28"/>
          <w:lang w:val="es-ES_tradnl"/>
        </w:rPr>
        <w:t>vigilancia y acompañamiento al proceso de la información solicitada al Ministerio de Salud y Protección Social y la Supe</w:t>
      </w:r>
      <w:r w:rsidR="00F21EC6" w:rsidRPr="00DA1726">
        <w:rPr>
          <w:sz w:val="28"/>
          <w:szCs w:val="28"/>
          <w:lang w:val="es-ES_tradnl"/>
        </w:rPr>
        <w:t xml:space="preserve">rintendencia Nacional de Salud. </w:t>
      </w:r>
      <w:r w:rsidR="006E71C3" w:rsidRPr="00DA1726">
        <w:rPr>
          <w:sz w:val="28"/>
          <w:szCs w:val="28"/>
          <w:lang w:val="es-ES_tradnl"/>
        </w:rPr>
        <w:t xml:space="preserve">Para tal fin, solicitó al Ministerio </w:t>
      </w:r>
      <w:r w:rsidRPr="00DA1726">
        <w:rPr>
          <w:sz w:val="28"/>
          <w:szCs w:val="28"/>
          <w:lang w:val="es-ES_tradnl"/>
        </w:rPr>
        <w:t xml:space="preserve">aclaración y el manejo actual de las implementaciones que </w:t>
      </w:r>
      <w:r w:rsidR="00F075F3" w:rsidRPr="00DA1726">
        <w:rPr>
          <w:sz w:val="28"/>
          <w:szCs w:val="28"/>
          <w:lang w:val="es-ES_tradnl"/>
        </w:rPr>
        <w:t>se dan a la información de los c</w:t>
      </w:r>
      <w:r w:rsidRPr="00DA1726">
        <w:rPr>
          <w:sz w:val="28"/>
          <w:szCs w:val="28"/>
          <w:lang w:val="es-ES_tradnl"/>
        </w:rPr>
        <w:t xml:space="preserve">riterios </w:t>
      </w:r>
      <w:r w:rsidRPr="00DA1726">
        <w:rPr>
          <w:bCs/>
          <w:sz w:val="28"/>
          <w:szCs w:val="28"/>
          <w:lang w:val="es-ES_tradnl"/>
        </w:rPr>
        <w:t xml:space="preserve">6, 9 </w:t>
      </w:r>
      <w:r w:rsidRPr="00DA1726">
        <w:rPr>
          <w:sz w:val="28"/>
          <w:szCs w:val="28"/>
          <w:lang w:val="es-ES_tradnl"/>
        </w:rPr>
        <w:t xml:space="preserve">y </w:t>
      </w:r>
      <w:r w:rsidRPr="00DA1726">
        <w:rPr>
          <w:bCs/>
          <w:sz w:val="28"/>
          <w:szCs w:val="28"/>
          <w:lang w:val="es-ES_tradnl"/>
        </w:rPr>
        <w:t>12,</w:t>
      </w:r>
      <w:r w:rsidRPr="00DA1726">
        <w:rPr>
          <w:b/>
          <w:bCs/>
          <w:sz w:val="28"/>
          <w:szCs w:val="28"/>
          <w:lang w:val="es-ES_tradnl"/>
        </w:rPr>
        <w:t xml:space="preserve"> </w:t>
      </w:r>
      <w:r w:rsidRPr="00DA1726">
        <w:rPr>
          <w:sz w:val="28"/>
          <w:szCs w:val="28"/>
          <w:lang w:val="es-ES_tradnl"/>
        </w:rPr>
        <w:t xml:space="preserve">por cuanto </w:t>
      </w:r>
      <w:r w:rsidR="00F075F3" w:rsidRPr="00DA1726">
        <w:rPr>
          <w:sz w:val="28"/>
          <w:szCs w:val="28"/>
          <w:lang w:val="es-ES_tradnl"/>
        </w:rPr>
        <w:t>afirma que no son aplicables al régimen s</w:t>
      </w:r>
      <w:r w:rsidRPr="00DA1726">
        <w:rPr>
          <w:sz w:val="28"/>
          <w:szCs w:val="28"/>
          <w:lang w:val="es-ES_tradnl"/>
        </w:rPr>
        <w:t>ubsidiado</w:t>
      </w:r>
      <w:r w:rsidR="00F075F3" w:rsidRPr="00DA1726">
        <w:rPr>
          <w:sz w:val="28"/>
          <w:szCs w:val="28"/>
          <w:lang w:val="es-ES_tradnl"/>
        </w:rPr>
        <w:t>,</w:t>
      </w:r>
      <w:r w:rsidRPr="00DA1726">
        <w:rPr>
          <w:sz w:val="28"/>
          <w:szCs w:val="28"/>
          <w:lang w:val="es-ES_tradnl"/>
        </w:rPr>
        <w:t xml:space="preserve"> sin embargo, </w:t>
      </w:r>
      <w:r w:rsidR="00F075F3" w:rsidRPr="00DA1726">
        <w:rPr>
          <w:sz w:val="28"/>
          <w:szCs w:val="28"/>
          <w:lang w:val="es-ES_tradnl"/>
        </w:rPr>
        <w:t>tienen vigencia en el</w:t>
      </w:r>
      <w:r w:rsidRPr="00DA1726">
        <w:rPr>
          <w:sz w:val="28"/>
          <w:szCs w:val="28"/>
          <w:lang w:val="es-ES_tradnl"/>
        </w:rPr>
        <w:t xml:space="preserve"> régimen </w:t>
      </w:r>
      <w:r w:rsidR="00F075F3" w:rsidRPr="00DA1726">
        <w:rPr>
          <w:sz w:val="28"/>
          <w:szCs w:val="28"/>
          <w:lang w:val="es-ES_tradnl"/>
        </w:rPr>
        <w:t>c</w:t>
      </w:r>
      <w:r w:rsidRPr="00DA1726">
        <w:rPr>
          <w:sz w:val="28"/>
          <w:szCs w:val="28"/>
          <w:lang w:val="es-ES_tradnl"/>
        </w:rPr>
        <w:t xml:space="preserve">ontributivo, cuyos hechos </w:t>
      </w:r>
      <w:r w:rsidR="00F075F3" w:rsidRPr="00DA1726">
        <w:rPr>
          <w:sz w:val="28"/>
          <w:szCs w:val="28"/>
          <w:lang w:val="es-ES_tradnl"/>
        </w:rPr>
        <w:t xml:space="preserve">se siguen presentando </w:t>
      </w:r>
      <w:r w:rsidRPr="00DA1726">
        <w:rPr>
          <w:sz w:val="28"/>
          <w:szCs w:val="28"/>
          <w:lang w:val="es-ES_tradnl"/>
        </w:rPr>
        <w:t>y se debe contar con la respectiva estadística desagregada, deduciendo que como no se dispone al momento de dicha información se debe continuar trabajando para valorar los respectivos datos.</w:t>
      </w:r>
    </w:p>
    <w:p w:rsidR="00983BBB" w:rsidRPr="00DA1726" w:rsidRDefault="00983BBB" w:rsidP="00DA1726">
      <w:pPr>
        <w:pStyle w:val="Prrafodelista"/>
        <w:ind w:left="0"/>
        <w:jc w:val="both"/>
        <w:rPr>
          <w:sz w:val="28"/>
          <w:szCs w:val="28"/>
          <w:lang w:val="es-ES_tradnl"/>
        </w:rPr>
      </w:pPr>
    </w:p>
    <w:p w:rsidR="00E7034B" w:rsidRPr="00DA1726" w:rsidRDefault="00E7034B" w:rsidP="00DA1726">
      <w:pPr>
        <w:jc w:val="both"/>
        <w:rPr>
          <w:sz w:val="28"/>
          <w:szCs w:val="28"/>
          <w:lang w:val="es-ES_tradnl"/>
        </w:rPr>
      </w:pPr>
      <w:r w:rsidRPr="00DA1726">
        <w:rPr>
          <w:sz w:val="28"/>
          <w:szCs w:val="28"/>
          <w:lang w:val="es-ES_tradnl"/>
        </w:rPr>
        <w:t xml:space="preserve">En cuanto a la implementación de la propuesta </w:t>
      </w:r>
      <w:r w:rsidRPr="00DA1726">
        <w:rPr>
          <w:iCs/>
          <w:sz w:val="28"/>
          <w:szCs w:val="28"/>
          <w:lang w:val="es-ES_tradnl"/>
        </w:rPr>
        <w:t>para</w:t>
      </w:r>
      <w:r w:rsidRPr="00DA1726">
        <w:rPr>
          <w:i/>
          <w:iCs/>
          <w:sz w:val="28"/>
          <w:szCs w:val="28"/>
          <w:lang w:val="es-ES_tradnl"/>
        </w:rPr>
        <w:t xml:space="preserve"> </w:t>
      </w:r>
      <w:r w:rsidR="00B34AE2" w:rsidRPr="00DA1726">
        <w:rPr>
          <w:sz w:val="28"/>
          <w:szCs w:val="28"/>
          <w:lang w:val="es-ES_tradnl"/>
        </w:rPr>
        <w:t xml:space="preserve">la elaboración del </w:t>
      </w:r>
      <w:r w:rsidR="008D66F1" w:rsidRPr="00DA1726">
        <w:rPr>
          <w:i/>
          <w:sz w:val="28"/>
          <w:szCs w:val="28"/>
          <w:lang w:val="es-ES_tradnl"/>
        </w:rPr>
        <w:t>ranking</w:t>
      </w:r>
      <w:r w:rsidRPr="00DA1726">
        <w:rPr>
          <w:sz w:val="28"/>
          <w:szCs w:val="28"/>
          <w:lang w:val="es-ES_tradnl"/>
        </w:rPr>
        <w:t xml:space="preserve"> de </w:t>
      </w:r>
      <w:r w:rsidR="00EA4FAC" w:rsidRPr="00DA1726">
        <w:rPr>
          <w:sz w:val="28"/>
          <w:szCs w:val="28"/>
          <w:lang w:val="es-ES_tradnl"/>
        </w:rPr>
        <w:t>IPS</w:t>
      </w:r>
      <w:r w:rsidRPr="00DA1726">
        <w:rPr>
          <w:sz w:val="28"/>
          <w:szCs w:val="28"/>
          <w:lang w:val="es-ES_tradnl"/>
        </w:rPr>
        <w:t xml:space="preserve">, </w:t>
      </w:r>
      <w:r w:rsidR="00F075F3" w:rsidRPr="00DA1726">
        <w:rPr>
          <w:sz w:val="28"/>
          <w:szCs w:val="28"/>
          <w:lang w:val="es-ES_tradnl"/>
        </w:rPr>
        <w:t>el Ministerio Público expuso</w:t>
      </w:r>
      <w:r w:rsidRPr="00DA1726">
        <w:rPr>
          <w:sz w:val="28"/>
          <w:szCs w:val="28"/>
          <w:lang w:val="es-ES_tradnl"/>
        </w:rPr>
        <w:t xml:space="preserve"> que de acuerdo con las situaciones administrativas anteriormente expuestas, continúan presentándose deficiencias tales como: </w:t>
      </w:r>
      <w:r w:rsidR="00F075F3" w:rsidRPr="00DA1726">
        <w:rPr>
          <w:bCs/>
          <w:iCs/>
          <w:sz w:val="28"/>
          <w:szCs w:val="28"/>
          <w:lang w:val="es-ES_tradnl"/>
        </w:rPr>
        <w:t>(i</w:t>
      </w:r>
      <w:r w:rsidRPr="00DA1726">
        <w:rPr>
          <w:bCs/>
          <w:iCs/>
          <w:sz w:val="28"/>
          <w:szCs w:val="28"/>
          <w:lang w:val="es-ES_tradnl"/>
        </w:rPr>
        <w:t>)</w:t>
      </w:r>
      <w:r w:rsidRPr="00DA1726">
        <w:rPr>
          <w:b/>
          <w:bCs/>
          <w:iCs/>
          <w:sz w:val="28"/>
          <w:szCs w:val="28"/>
          <w:lang w:val="es-ES_tradnl"/>
        </w:rPr>
        <w:t xml:space="preserve"> </w:t>
      </w:r>
      <w:r w:rsidRPr="00DA1726">
        <w:rPr>
          <w:iCs/>
          <w:sz w:val="28"/>
          <w:szCs w:val="28"/>
          <w:lang w:val="es-ES_tradnl"/>
        </w:rPr>
        <w:t>un nú</w:t>
      </w:r>
      <w:r w:rsidR="00F075F3" w:rsidRPr="00DA1726">
        <w:rPr>
          <w:iCs/>
          <w:sz w:val="28"/>
          <w:szCs w:val="28"/>
          <w:lang w:val="es-ES_tradnl"/>
        </w:rPr>
        <w:t>mero considerable de no reporte;</w:t>
      </w:r>
      <w:r w:rsidRPr="00DA1726">
        <w:rPr>
          <w:iCs/>
          <w:sz w:val="28"/>
          <w:szCs w:val="28"/>
          <w:lang w:val="es-ES_tradnl"/>
        </w:rPr>
        <w:t xml:space="preserve"> </w:t>
      </w:r>
      <w:r w:rsidR="00F075F3" w:rsidRPr="00DA1726">
        <w:rPr>
          <w:bCs/>
          <w:iCs/>
          <w:sz w:val="28"/>
          <w:szCs w:val="28"/>
          <w:lang w:val="es-ES_tradnl"/>
        </w:rPr>
        <w:t>(ii)</w:t>
      </w:r>
      <w:r w:rsidRPr="00DA1726">
        <w:rPr>
          <w:b/>
          <w:bCs/>
          <w:iCs/>
          <w:sz w:val="28"/>
          <w:szCs w:val="28"/>
          <w:lang w:val="es-ES_tradnl"/>
        </w:rPr>
        <w:t xml:space="preserve"> </w:t>
      </w:r>
      <w:r w:rsidRPr="00DA1726">
        <w:rPr>
          <w:iCs/>
          <w:sz w:val="28"/>
          <w:szCs w:val="28"/>
          <w:lang w:val="es-ES_tradnl"/>
        </w:rPr>
        <w:t>el autoreporte sigue siendo la fuente de información disponible para este tipo de ordenamiento, pese a las grandes debilidades que cuenta e</w:t>
      </w:r>
      <w:r w:rsidR="00F075F3" w:rsidRPr="00DA1726">
        <w:rPr>
          <w:iCs/>
          <w:sz w:val="28"/>
          <w:szCs w:val="28"/>
          <w:lang w:val="es-ES_tradnl"/>
        </w:rPr>
        <w:t>ste tipo de notificación, como l</w:t>
      </w:r>
      <w:r w:rsidRPr="00DA1726">
        <w:rPr>
          <w:iCs/>
          <w:sz w:val="28"/>
          <w:szCs w:val="28"/>
          <w:lang w:val="es-ES_tradnl"/>
        </w:rPr>
        <w:t xml:space="preserve">o son: duplicados, datos inconsistente o que pudieran no estar reflejando </w:t>
      </w:r>
      <w:r w:rsidR="00F075F3" w:rsidRPr="00DA1726">
        <w:rPr>
          <w:iCs/>
          <w:sz w:val="28"/>
          <w:szCs w:val="28"/>
          <w:lang w:val="es-ES_tradnl"/>
        </w:rPr>
        <w:t>l</w:t>
      </w:r>
      <w:r w:rsidRPr="00DA1726">
        <w:rPr>
          <w:iCs/>
          <w:sz w:val="28"/>
          <w:szCs w:val="28"/>
          <w:lang w:val="es-ES_tradnl"/>
        </w:rPr>
        <w:t xml:space="preserve">a realidad, </w:t>
      </w:r>
      <w:r w:rsidRPr="00DA1726">
        <w:rPr>
          <w:sz w:val="28"/>
          <w:szCs w:val="28"/>
          <w:lang w:val="es-ES_tradnl"/>
        </w:rPr>
        <w:t>entre otras, lo que se traduce en que las medidas adoptadas impiden que se cumpla con la finalidad de la orden 20.</w:t>
      </w:r>
    </w:p>
    <w:p w:rsidR="00921263" w:rsidRPr="00DA1726" w:rsidRDefault="00921263" w:rsidP="00DA1726">
      <w:pPr>
        <w:jc w:val="both"/>
        <w:rPr>
          <w:sz w:val="28"/>
          <w:szCs w:val="28"/>
          <w:lang w:val="es-ES_tradnl"/>
        </w:rPr>
      </w:pPr>
    </w:p>
    <w:p w:rsidR="005315B6" w:rsidRPr="00DA1726" w:rsidRDefault="00D32BD4" w:rsidP="00DA1726">
      <w:pPr>
        <w:pStyle w:val="Prrafodelista"/>
        <w:numPr>
          <w:ilvl w:val="2"/>
          <w:numId w:val="7"/>
        </w:numPr>
        <w:ind w:left="0" w:firstLine="0"/>
        <w:jc w:val="both"/>
        <w:rPr>
          <w:sz w:val="28"/>
          <w:szCs w:val="28"/>
          <w:lang w:val="es-ES_tradnl"/>
        </w:rPr>
      </w:pPr>
      <w:r w:rsidRPr="00DA1726">
        <w:rPr>
          <w:sz w:val="28"/>
          <w:szCs w:val="28"/>
          <w:lang w:val="es-ES_tradnl"/>
        </w:rPr>
        <w:t xml:space="preserve">El 26 de noviembre de 2015, la Defensoría del Pueblo presentó </w:t>
      </w:r>
      <w:r w:rsidR="005315B6" w:rsidRPr="00DA1726">
        <w:rPr>
          <w:sz w:val="28"/>
          <w:szCs w:val="28"/>
          <w:lang w:val="es-ES_tradnl"/>
        </w:rPr>
        <w:t>los comentarios respecto al cumplimiento del Auto 412 de 2015</w:t>
      </w:r>
      <w:r w:rsidR="007E67AA" w:rsidRPr="00DA1726">
        <w:rPr>
          <w:sz w:val="28"/>
          <w:szCs w:val="28"/>
          <w:vertAlign w:val="superscript"/>
          <w:lang w:val="es-ES_tradnl"/>
        </w:rPr>
        <w:footnoteReference w:id="71"/>
      </w:r>
      <w:r w:rsidR="005315B6" w:rsidRPr="00DA1726">
        <w:rPr>
          <w:sz w:val="28"/>
          <w:szCs w:val="28"/>
          <w:lang w:val="es-ES_tradnl"/>
        </w:rPr>
        <w:t>, con ocasión a los informes presentados por el Ministerio de Salud y Protección Social y la Sup</w:t>
      </w:r>
      <w:r w:rsidRPr="00DA1726">
        <w:rPr>
          <w:sz w:val="28"/>
          <w:szCs w:val="28"/>
          <w:lang w:val="es-ES_tradnl"/>
        </w:rPr>
        <w:t>erintendencia Nacional de Salud.</w:t>
      </w:r>
    </w:p>
    <w:p w:rsidR="005315B6" w:rsidRPr="00DA1726" w:rsidRDefault="005315B6" w:rsidP="00DA1726">
      <w:pPr>
        <w:pStyle w:val="Prrafodelista"/>
        <w:ind w:left="0"/>
        <w:jc w:val="both"/>
        <w:rPr>
          <w:sz w:val="28"/>
          <w:szCs w:val="28"/>
          <w:lang w:val="es-ES_tradnl"/>
        </w:rPr>
      </w:pPr>
    </w:p>
    <w:p w:rsidR="00D32BD4" w:rsidRPr="00DA1726" w:rsidRDefault="00D32BD4" w:rsidP="00DA1726">
      <w:pPr>
        <w:jc w:val="both"/>
        <w:rPr>
          <w:sz w:val="28"/>
          <w:szCs w:val="28"/>
          <w:lang w:val="es-ES_tradnl"/>
        </w:rPr>
      </w:pPr>
      <w:r w:rsidRPr="00DA1726">
        <w:rPr>
          <w:sz w:val="28"/>
          <w:szCs w:val="28"/>
          <w:lang w:val="es-ES_tradnl"/>
        </w:rPr>
        <w:t>Indicó</w:t>
      </w:r>
      <w:r w:rsidR="00B34AE2" w:rsidRPr="00DA1726">
        <w:rPr>
          <w:sz w:val="28"/>
          <w:szCs w:val="28"/>
          <w:lang w:val="es-ES_tradnl"/>
        </w:rPr>
        <w:t xml:space="preserve"> que </w:t>
      </w:r>
      <w:r w:rsidRPr="00DA1726">
        <w:rPr>
          <w:sz w:val="28"/>
          <w:szCs w:val="28"/>
          <w:lang w:val="es-ES_tradnl"/>
        </w:rPr>
        <w:t>el derecho a la información no solo debe ser garantizado a las personas cuando hacen parte del sistema de salud, sino desde antes de que ingresen a él, de tal manera que la información debe servir para que puedan elegir de manera informada la EPS e IPS que desean que les preste los servicios de salud en función de sus necesidades. Bajo esta última premisa, observó la Defensoría, que no hay un avance importante para garantizar la elección informada de los ciudadanos e</w:t>
      </w:r>
      <w:r w:rsidR="00592B3D" w:rsidRPr="00DA1726">
        <w:rPr>
          <w:sz w:val="28"/>
          <w:szCs w:val="28"/>
          <w:lang w:val="es-ES_tradnl"/>
        </w:rPr>
        <w:t xml:space="preserve">n el sistema de salud, lo cual parte de </w:t>
      </w:r>
      <w:r w:rsidRPr="00DA1726">
        <w:rPr>
          <w:sz w:val="28"/>
          <w:szCs w:val="28"/>
          <w:lang w:val="es-ES_tradnl"/>
        </w:rPr>
        <w:t xml:space="preserve">las deficiencias sistemáticas de información </w:t>
      </w:r>
      <w:r w:rsidR="00592B3D" w:rsidRPr="00DA1726">
        <w:rPr>
          <w:sz w:val="28"/>
          <w:szCs w:val="28"/>
          <w:lang w:val="es-ES_tradnl"/>
        </w:rPr>
        <w:t xml:space="preserve">por parte de los aseguradores, </w:t>
      </w:r>
      <w:r w:rsidR="00B34AE2" w:rsidRPr="00DA1726">
        <w:rPr>
          <w:sz w:val="28"/>
          <w:szCs w:val="28"/>
          <w:lang w:val="es-ES_tradnl"/>
        </w:rPr>
        <w:t>por tanto</w:t>
      </w:r>
      <w:r w:rsidR="00592B3D" w:rsidRPr="00DA1726">
        <w:rPr>
          <w:sz w:val="28"/>
          <w:szCs w:val="28"/>
          <w:lang w:val="es-ES_tradnl"/>
        </w:rPr>
        <w:t xml:space="preserve"> </w:t>
      </w:r>
      <w:r w:rsidRPr="00DA1726">
        <w:rPr>
          <w:sz w:val="28"/>
          <w:szCs w:val="28"/>
          <w:lang w:val="es-ES_tradnl"/>
        </w:rPr>
        <w:t xml:space="preserve">la metodología de auditorías anuales desde 2014 </w:t>
      </w:r>
      <w:r w:rsidR="00592B3D" w:rsidRPr="00DA1726">
        <w:rPr>
          <w:sz w:val="28"/>
          <w:szCs w:val="28"/>
          <w:lang w:val="es-ES_tradnl"/>
        </w:rPr>
        <w:t>son</w:t>
      </w:r>
      <w:r w:rsidRPr="00DA1726">
        <w:rPr>
          <w:sz w:val="28"/>
          <w:szCs w:val="28"/>
          <w:lang w:val="es-ES_tradnl"/>
        </w:rPr>
        <w:t xml:space="preserve"> un avance importante.</w:t>
      </w:r>
      <w:r w:rsidR="00592B3D" w:rsidRPr="00DA1726">
        <w:rPr>
          <w:sz w:val="28"/>
          <w:szCs w:val="28"/>
          <w:lang w:val="es-ES_tradnl"/>
        </w:rPr>
        <w:t xml:space="preserve"> No obstante, es imperioso que se busque </w:t>
      </w:r>
      <w:r w:rsidRPr="00DA1726">
        <w:rPr>
          <w:sz w:val="28"/>
          <w:szCs w:val="28"/>
          <w:lang w:val="es-ES_tradnl"/>
        </w:rPr>
        <w:t xml:space="preserve">un sistema de información continuo, confiable y de calidad, para todo tipo de prestación y no solo el alto costo, por parte de los actores que permita tal ordenación y las acciones públicas, regulatorias y de control oportunas, para evitar o sancionar las conductas violatorias </w:t>
      </w:r>
      <w:r w:rsidR="00B34AE2" w:rsidRPr="00DA1726">
        <w:rPr>
          <w:sz w:val="28"/>
          <w:szCs w:val="28"/>
          <w:lang w:val="es-ES_tradnl"/>
        </w:rPr>
        <w:t>de cara</w:t>
      </w:r>
      <w:r w:rsidRPr="00DA1726">
        <w:rPr>
          <w:sz w:val="28"/>
          <w:szCs w:val="28"/>
          <w:lang w:val="es-ES_tradnl"/>
        </w:rPr>
        <w:t xml:space="preserve"> al derecho a la información y al goce efectivo del derecho fundamental a la salud.</w:t>
      </w:r>
    </w:p>
    <w:p w:rsidR="00D32BD4" w:rsidRPr="00DA1726" w:rsidRDefault="00D32BD4" w:rsidP="00DA1726">
      <w:pPr>
        <w:pStyle w:val="Prrafodelista"/>
        <w:ind w:left="0"/>
        <w:jc w:val="both"/>
        <w:rPr>
          <w:sz w:val="28"/>
          <w:szCs w:val="28"/>
          <w:lang w:val="es-ES_tradnl"/>
        </w:rPr>
      </w:pPr>
    </w:p>
    <w:p w:rsidR="00D07578" w:rsidRPr="00DA1726" w:rsidRDefault="00D07578" w:rsidP="00DA1726">
      <w:pPr>
        <w:pStyle w:val="Prrafodelista"/>
        <w:ind w:left="0"/>
        <w:jc w:val="both"/>
        <w:rPr>
          <w:sz w:val="28"/>
          <w:szCs w:val="28"/>
          <w:lang w:val="es-ES_tradnl"/>
        </w:rPr>
      </w:pPr>
      <w:r w:rsidRPr="00DA1726">
        <w:rPr>
          <w:sz w:val="28"/>
          <w:szCs w:val="28"/>
          <w:lang w:val="es-ES_tradnl"/>
        </w:rPr>
        <w:t>Como principales dificultades que persisten en el cumplimiento de la orden 20 y sus causas, destacó: (i) la suficiencia, continuidad, oportunidad y calidad de la información disponible para construir el ordenamiento solicitado; y (ii) los incentivos y/o la falta de control y cultura de lo público y de los derechos fundamentales como orden primario institucional.</w:t>
      </w:r>
    </w:p>
    <w:p w:rsidR="00D07578" w:rsidRPr="00DA1726" w:rsidRDefault="00D07578" w:rsidP="00DA1726">
      <w:pPr>
        <w:pStyle w:val="Prrafodelista"/>
        <w:ind w:left="0"/>
        <w:jc w:val="both"/>
        <w:rPr>
          <w:sz w:val="28"/>
          <w:szCs w:val="28"/>
          <w:lang w:val="es-ES_tradnl"/>
        </w:rPr>
      </w:pPr>
    </w:p>
    <w:p w:rsidR="00D07578" w:rsidRPr="00DA1726" w:rsidRDefault="007C2599" w:rsidP="00DA1726">
      <w:pPr>
        <w:pStyle w:val="Prrafodelista"/>
        <w:ind w:left="0"/>
        <w:jc w:val="both"/>
        <w:rPr>
          <w:sz w:val="28"/>
          <w:szCs w:val="28"/>
          <w:lang w:val="es-ES_tradnl"/>
        </w:rPr>
      </w:pPr>
      <w:r w:rsidRPr="00DA1726">
        <w:rPr>
          <w:sz w:val="28"/>
          <w:szCs w:val="28"/>
          <w:lang w:val="es-ES_tradnl"/>
        </w:rPr>
        <w:t>Concluyó advirtiendo que es</w:t>
      </w:r>
      <w:r w:rsidR="00D07578" w:rsidRPr="00DA1726">
        <w:rPr>
          <w:sz w:val="28"/>
          <w:szCs w:val="28"/>
          <w:lang w:val="es-ES_tradnl"/>
        </w:rPr>
        <w:t xml:space="preserve"> necesario que el Gobierno incluya a la totalidad de las promotoras y las prestadoras, y establezca medidas diferenciales respecto de cada conjunt</w:t>
      </w:r>
      <w:r w:rsidRPr="00DA1726">
        <w:rPr>
          <w:sz w:val="28"/>
          <w:szCs w:val="28"/>
          <w:lang w:val="es-ES_tradnl"/>
        </w:rPr>
        <w:t>o de entidades</w:t>
      </w:r>
      <w:r w:rsidR="00D07578" w:rsidRPr="00DA1726">
        <w:rPr>
          <w:sz w:val="28"/>
          <w:szCs w:val="28"/>
          <w:lang w:val="es-ES_tradnl"/>
        </w:rPr>
        <w:t>.</w:t>
      </w:r>
      <w:r w:rsidRPr="00DA1726">
        <w:rPr>
          <w:sz w:val="28"/>
          <w:szCs w:val="28"/>
          <w:lang w:val="es-ES_tradnl"/>
        </w:rPr>
        <w:t xml:space="preserve"> P</w:t>
      </w:r>
      <w:r w:rsidR="00D07578" w:rsidRPr="00DA1726">
        <w:rPr>
          <w:sz w:val="28"/>
          <w:szCs w:val="28"/>
          <w:lang w:val="es-ES_tradnl"/>
        </w:rPr>
        <w:t xml:space="preserve">or ello, a pesar de los esfuerzos del Ministerio y de la Superintendencia, respecto a la búsqueda formal de soluciones, </w:t>
      </w:r>
      <w:r w:rsidRPr="00DA1726">
        <w:rPr>
          <w:sz w:val="28"/>
          <w:szCs w:val="28"/>
          <w:lang w:val="es-ES_tradnl"/>
        </w:rPr>
        <w:t xml:space="preserve">en criterio de la Defensoría </w:t>
      </w:r>
      <w:r w:rsidR="00D07578" w:rsidRPr="00DA1726">
        <w:rPr>
          <w:sz w:val="28"/>
          <w:szCs w:val="28"/>
          <w:lang w:val="es-ES_tradnl"/>
        </w:rPr>
        <w:t>la orden se cumple parcialmente.</w:t>
      </w:r>
    </w:p>
    <w:p w:rsidR="008639CB" w:rsidRPr="00DA1726" w:rsidRDefault="008639CB" w:rsidP="00DA1726">
      <w:pPr>
        <w:pStyle w:val="Prrafodelista"/>
        <w:ind w:left="0"/>
        <w:jc w:val="both"/>
        <w:rPr>
          <w:sz w:val="28"/>
          <w:szCs w:val="28"/>
          <w:lang w:val="es-ES_tradnl"/>
        </w:rPr>
      </w:pPr>
    </w:p>
    <w:p w:rsidR="00412140" w:rsidRPr="00DA1726" w:rsidRDefault="008639CB" w:rsidP="00DA1726">
      <w:pPr>
        <w:pStyle w:val="Prrafodelista"/>
        <w:numPr>
          <w:ilvl w:val="1"/>
          <w:numId w:val="7"/>
        </w:numPr>
        <w:ind w:left="0" w:firstLine="0"/>
        <w:jc w:val="both"/>
        <w:rPr>
          <w:sz w:val="28"/>
          <w:szCs w:val="28"/>
          <w:lang w:val="es-ES_tradnl"/>
        </w:rPr>
      </w:pPr>
      <w:r w:rsidRPr="00DA1726">
        <w:rPr>
          <w:sz w:val="28"/>
          <w:szCs w:val="28"/>
          <w:lang w:val="es-ES_tradnl"/>
        </w:rPr>
        <w:t xml:space="preserve">El 29 de abril de 2016, el Ministerio de Salud y Protección Social </w:t>
      </w:r>
      <w:r w:rsidR="00A24CB2" w:rsidRPr="00DA1726">
        <w:rPr>
          <w:sz w:val="28"/>
          <w:szCs w:val="28"/>
          <w:lang w:val="es-ES_tradnl"/>
        </w:rPr>
        <w:t>y la Superintendencia Nacional de Salud remitieron informe de cumplimento en relación con la vigencia 2015</w:t>
      </w:r>
      <w:r w:rsidR="008B5047" w:rsidRPr="00DA1726">
        <w:rPr>
          <w:sz w:val="28"/>
          <w:szCs w:val="28"/>
          <w:vertAlign w:val="superscript"/>
          <w:lang w:val="es-ES_tradnl"/>
        </w:rPr>
        <w:footnoteReference w:id="72"/>
      </w:r>
      <w:r w:rsidR="00284A55" w:rsidRPr="00DA1726">
        <w:rPr>
          <w:sz w:val="28"/>
          <w:szCs w:val="28"/>
          <w:lang w:val="es-ES_tradnl"/>
        </w:rPr>
        <w:t xml:space="preserve"> donde se </w:t>
      </w:r>
      <w:r w:rsidR="00412140" w:rsidRPr="00DA1726">
        <w:rPr>
          <w:sz w:val="28"/>
          <w:szCs w:val="28"/>
          <w:lang w:val="es-ES_tradnl"/>
        </w:rPr>
        <w:t>establec</w:t>
      </w:r>
      <w:r w:rsidR="00284A55" w:rsidRPr="00DA1726">
        <w:rPr>
          <w:sz w:val="28"/>
          <w:szCs w:val="28"/>
          <w:lang w:val="es-ES_tradnl"/>
        </w:rPr>
        <w:t>ió</w:t>
      </w:r>
      <w:r w:rsidR="00412140" w:rsidRPr="00DA1726">
        <w:rPr>
          <w:sz w:val="28"/>
          <w:szCs w:val="28"/>
          <w:lang w:val="es-ES_tradnl"/>
        </w:rPr>
        <w:t xml:space="preserve"> un análisis integral de la garantía del derecho a la salud que refleje el comportamiento de las EPS </w:t>
      </w:r>
      <w:r w:rsidR="00EE078B" w:rsidRPr="00DA1726">
        <w:rPr>
          <w:sz w:val="28"/>
          <w:szCs w:val="28"/>
          <w:lang w:val="es-ES_tradnl"/>
        </w:rPr>
        <w:t>respecto</w:t>
      </w:r>
      <w:r w:rsidR="00412140" w:rsidRPr="00DA1726">
        <w:rPr>
          <w:sz w:val="28"/>
          <w:szCs w:val="28"/>
          <w:lang w:val="es-ES_tradnl"/>
        </w:rPr>
        <w:t xml:space="preserve"> a la vulneración de los derechos en salud de los afiliados al Sistema</w:t>
      </w:r>
      <w:r w:rsidR="00EE078B" w:rsidRPr="00DA1726">
        <w:rPr>
          <w:sz w:val="28"/>
          <w:szCs w:val="28"/>
          <w:lang w:val="es-ES_tradnl"/>
        </w:rPr>
        <w:t>, para ello consideraron ne</w:t>
      </w:r>
      <w:r w:rsidR="00412140" w:rsidRPr="00DA1726">
        <w:rPr>
          <w:sz w:val="28"/>
          <w:szCs w:val="28"/>
          <w:lang w:val="es-ES_tradnl"/>
        </w:rPr>
        <w:t>cesario trascender de la verificación de las 14</w:t>
      </w:r>
      <w:r w:rsidR="00EE078B" w:rsidRPr="00DA1726">
        <w:rPr>
          <w:sz w:val="28"/>
          <w:szCs w:val="28"/>
          <w:lang w:val="es-ES_tradnl"/>
        </w:rPr>
        <w:t xml:space="preserve"> </w:t>
      </w:r>
      <w:r w:rsidR="00EE078B" w:rsidRPr="00DA1726">
        <w:rPr>
          <w:i/>
          <w:sz w:val="28"/>
          <w:szCs w:val="28"/>
          <w:lang w:val="es-ES_tradnl"/>
        </w:rPr>
        <w:t>“</w:t>
      </w:r>
      <w:r w:rsidR="00412140" w:rsidRPr="00DA1726">
        <w:rPr>
          <w:i/>
          <w:sz w:val="28"/>
          <w:szCs w:val="28"/>
          <w:lang w:val="es-ES_tradnl"/>
        </w:rPr>
        <w:t>prácticas violatorias</w:t>
      </w:r>
      <w:r w:rsidR="00EE078B" w:rsidRPr="00DA1726">
        <w:rPr>
          <w:i/>
          <w:sz w:val="28"/>
          <w:szCs w:val="28"/>
          <w:lang w:val="es-ES_tradnl"/>
        </w:rPr>
        <w:t>”</w:t>
      </w:r>
      <w:r w:rsidR="00412140" w:rsidRPr="00DA1726">
        <w:rPr>
          <w:sz w:val="28"/>
          <w:szCs w:val="28"/>
          <w:lang w:val="es-ES_tradnl"/>
        </w:rPr>
        <w:t xml:space="preserve"> del derecho a la salud y realizar un abordaje integral a las EPS, a fin de que en efecto los usuarios puedan tomar decisiones informadas sobre su afiliación.</w:t>
      </w:r>
    </w:p>
    <w:p w:rsidR="00412140" w:rsidRPr="00DA1726" w:rsidRDefault="00412140" w:rsidP="00DA1726">
      <w:pPr>
        <w:jc w:val="both"/>
        <w:rPr>
          <w:sz w:val="28"/>
          <w:szCs w:val="28"/>
          <w:lang w:val="es-ES"/>
        </w:rPr>
      </w:pPr>
    </w:p>
    <w:p w:rsidR="00412140" w:rsidRPr="00DA1726" w:rsidRDefault="00412140" w:rsidP="00DA1726">
      <w:pPr>
        <w:jc w:val="both"/>
        <w:rPr>
          <w:sz w:val="28"/>
          <w:szCs w:val="28"/>
          <w:lang w:val="es-ES_tradnl"/>
        </w:rPr>
      </w:pPr>
      <w:r w:rsidRPr="00DA1726">
        <w:rPr>
          <w:sz w:val="28"/>
          <w:szCs w:val="28"/>
          <w:lang w:val="es-ES_tradnl"/>
        </w:rPr>
        <w:t xml:space="preserve">En tal sentido, </w:t>
      </w:r>
      <w:r w:rsidR="00A36368" w:rsidRPr="00DA1726">
        <w:rPr>
          <w:sz w:val="28"/>
          <w:szCs w:val="28"/>
          <w:lang w:val="es-ES_tradnl"/>
        </w:rPr>
        <w:t>se realizaron</w:t>
      </w:r>
      <w:r w:rsidRPr="00DA1726">
        <w:rPr>
          <w:sz w:val="28"/>
          <w:szCs w:val="28"/>
          <w:lang w:val="es-ES_tradnl"/>
        </w:rPr>
        <w:t xml:space="preserve"> auditorías especiales en las EPS, </w:t>
      </w:r>
      <w:r w:rsidR="00A36368" w:rsidRPr="00DA1726">
        <w:rPr>
          <w:sz w:val="28"/>
          <w:szCs w:val="28"/>
          <w:lang w:val="es-ES_tradnl"/>
        </w:rPr>
        <w:t>en las que se ajustó</w:t>
      </w:r>
      <w:r w:rsidRPr="00DA1726">
        <w:rPr>
          <w:sz w:val="28"/>
          <w:szCs w:val="28"/>
          <w:lang w:val="es-ES_tradnl"/>
        </w:rPr>
        <w:t xml:space="preserve"> el procedimiento de recolección de la información, puntualizando los seguimientos a planes de mejoramiento suscritos por las aquellas, </w:t>
      </w:r>
      <w:r w:rsidR="00A36368" w:rsidRPr="00DA1726">
        <w:rPr>
          <w:sz w:val="28"/>
          <w:szCs w:val="28"/>
          <w:lang w:val="es-ES_tradnl"/>
        </w:rPr>
        <w:t>en relación con</w:t>
      </w:r>
      <w:r w:rsidRPr="00DA1726">
        <w:rPr>
          <w:sz w:val="28"/>
          <w:szCs w:val="28"/>
          <w:lang w:val="es-ES_tradnl"/>
        </w:rPr>
        <w:t xml:space="preserve"> los hallazgos evidenciados en la vigencia 2014. Por su parte, para calcular e</w:t>
      </w:r>
      <w:r w:rsidR="00A36368" w:rsidRPr="00DA1726">
        <w:rPr>
          <w:sz w:val="28"/>
          <w:szCs w:val="28"/>
          <w:lang w:val="es-ES_tradnl"/>
        </w:rPr>
        <w:t xml:space="preserve">l </w:t>
      </w:r>
      <w:r w:rsidR="00A36368" w:rsidRPr="00DA1726">
        <w:rPr>
          <w:i/>
          <w:sz w:val="28"/>
          <w:szCs w:val="28"/>
          <w:lang w:val="es-ES_tradnl"/>
        </w:rPr>
        <w:t>“indicador de la garantía del d</w:t>
      </w:r>
      <w:r w:rsidRPr="00DA1726">
        <w:rPr>
          <w:i/>
          <w:sz w:val="28"/>
          <w:szCs w:val="28"/>
          <w:lang w:val="es-ES_tradnl"/>
        </w:rPr>
        <w:t>erecho a la salud</w:t>
      </w:r>
      <w:r w:rsidR="00A36368" w:rsidRPr="00DA1726">
        <w:rPr>
          <w:i/>
          <w:sz w:val="28"/>
          <w:szCs w:val="28"/>
          <w:lang w:val="es-ES_tradnl"/>
        </w:rPr>
        <w:t>”</w:t>
      </w:r>
      <w:r w:rsidRPr="00DA1726">
        <w:rPr>
          <w:sz w:val="28"/>
          <w:szCs w:val="28"/>
          <w:lang w:val="es-ES_tradnl"/>
        </w:rPr>
        <w:t>, se incluyeron otras dimensiones de medición (indicador financiero, indica</w:t>
      </w:r>
      <w:r w:rsidR="00A36368" w:rsidRPr="00DA1726">
        <w:rPr>
          <w:sz w:val="28"/>
          <w:szCs w:val="28"/>
          <w:lang w:val="es-ES_tradnl"/>
        </w:rPr>
        <w:t>dor de calidad, indicador de peticiones, quejas y reclamos-PQR</w:t>
      </w:r>
      <w:r w:rsidRPr="00DA1726">
        <w:rPr>
          <w:sz w:val="28"/>
          <w:szCs w:val="28"/>
          <w:lang w:val="es-ES_tradnl"/>
        </w:rPr>
        <w:t xml:space="preserve"> y pon</w:t>
      </w:r>
      <w:r w:rsidR="00A36368" w:rsidRPr="00DA1726">
        <w:rPr>
          <w:sz w:val="28"/>
          <w:szCs w:val="28"/>
          <w:lang w:val="es-ES_tradnl"/>
        </w:rPr>
        <w:t>derador por medidas especiales)</w:t>
      </w:r>
      <w:r w:rsidRPr="00DA1726">
        <w:rPr>
          <w:sz w:val="28"/>
          <w:szCs w:val="28"/>
          <w:lang w:val="es-ES_tradnl"/>
        </w:rPr>
        <w:t>.</w:t>
      </w:r>
    </w:p>
    <w:p w:rsidR="00412140" w:rsidRPr="00DA1726" w:rsidRDefault="00412140" w:rsidP="00DA1726">
      <w:pPr>
        <w:jc w:val="both"/>
        <w:rPr>
          <w:sz w:val="28"/>
          <w:szCs w:val="28"/>
          <w:lang w:val="es-ES"/>
        </w:rPr>
      </w:pPr>
    </w:p>
    <w:p w:rsidR="00412140" w:rsidRPr="00DA1726" w:rsidRDefault="00412140" w:rsidP="00DA1726">
      <w:pPr>
        <w:jc w:val="both"/>
        <w:rPr>
          <w:sz w:val="28"/>
          <w:szCs w:val="28"/>
          <w:lang w:val="es-ES_tradnl"/>
        </w:rPr>
      </w:pPr>
      <w:r w:rsidRPr="00DA1726">
        <w:rPr>
          <w:sz w:val="28"/>
          <w:szCs w:val="28"/>
          <w:lang w:val="es-ES_tradnl"/>
        </w:rPr>
        <w:t>En este contexto, para la vigencia 2015,</w:t>
      </w:r>
      <w:r w:rsidR="00C302E1" w:rsidRPr="00DA1726">
        <w:rPr>
          <w:sz w:val="28"/>
          <w:szCs w:val="28"/>
          <w:lang w:val="es-ES_tradnl"/>
        </w:rPr>
        <w:t xml:space="preserve"> se realizaron algunas modificaciones en relación con </w:t>
      </w:r>
      <w:r w:rsidRPr="00DA1726">
        <w:rPr>
          <w:sz w:val="28"/>
          <w:szCs w:val="28"/>
          <w:lang w:val="es-ES_tradnl"/>
        </w:rPr>
        <w:t>la metodología de captura de la información relacionada con las 14 prácticas vio</w:t>
      </w:r>
      <w:r w:rsidR="008B5047" w:rsidRPr="00DA1726">
        <w:rPr>
          <w:sz w:val="28"/>
          <w:szCs w:val="28"/>
          <w:lang w:val="es-ES_tradnl"/>
        </w:rPr>
        <w:t>latorias del derecho a la salud.</w:t>
      </w:r>
    </w:p>
    <w:p w:rsidR="00412140" w:rsidRPr="00DA1726" w:rsidRDefault="00412140" w:rsidP="00DA1726">
      <w:pPr>
        <w:jc w:val="both"/>
        <w:rPr>
          <w:sz w:val="28"/>
          <w:szCs w:val="28"/>
          <w:lang w:val="es-ES"/>
        </w:rPr>
      </w:pPr>
    </w:p>
    <w:p w:rsidR="00412140" w:rsidRPr="00DA1726" w:rsidRDefault="00537B7F" w:rsidP="00DA1726">
      <w:pPr>
        <w:jc w:val="both"/>
        <w:rPr>
          <w:sz w:val="28"/>
          <w:szCs w:val="28"/>
          <w:lang w:val="es-ES_tradnl"/>
        </w:rPr>
      </w:pPr>
      <w:r w:rsidRPr="00DA1726">
        <w:rPr>
          <w:sz w:val="28"/>
          <w:szCs w:val="28"/>
          <w:lang w:val="es-ES_tradnl"/>
        </w:rPr>
        <w:t>Por otra parte,</w:t>
      </w:r>
      <w:r w:rsidR="00412140" w:rsidRPr="00DA1726">
        <w:rPr>
          <w:sz w:val="28"/>
          <w:szCs w:val="28"/>
          <w:lang w:val="es-ES_tradnl"/>
        </w:rPr>
        <w:t xml:space="preserve"> se consideró técnicamente la inclusión de otros indicadores sensibles </w:t>
      </w:r>
      <w:r w:rsidR="008B5047" w:rsidRPr="00DA1726">
        <w:rPr>
          <w:sz w:val="28"/>
          <w:szCs w:val="28"/>
          <w:lang w:val="es-ES_tradnl"/>
        </w:rPr>
        <w:t xml:space="preserve">respecto </w:t>
      </w:r>
      <w:r w:rsidR="00412140" w:rsidRPr="00DA1726">
        <w:rPr>
          <w:sz w:val="28"/>
          <w:szCs w:val="28"/>
          <w:lang w:val="es-ES_tradnl"/>
        </w:rPr>
        <w:t>a la garantía del Derecho a</w:t>
      </w:r>
      <w:r w:rsidRPr="00DA1726">
        <w:rPr>
          <w:sz w:val="28"/>
          <w:szCs w:val="28"/>
          <w:lang w:val="es-ES_tradnl"/>
        </w:rPr>
        <w:t xml:space="preserve"> la Salud por parte de las EPS. </w:t>
      </w:r>
      <w:r w:rsidR="00412140" w:rsidRPr="00DA1726">
        <w:rPr>
          <w:sz w:val="28"/>
          <w:szCs w:val="28"/>
          <w:lang w:val="es-ES_tradnl"/>
        </w:rPr>
        <w:t xml:space="preserve">De acuerdo con lo anterior, se construyó un indicador Integral de la </w:t>
      </w:r>
      <w:r w:rsidR="008B5047" w:rsidRPr="00DA1726">
        <w:rPr>
          <w:sz w:val="28"/>
          <w:szCs w:val="28"/>
          <w:lang w:val="es-ES_tradnl"/>
        </w:rPr>
        <w:t>Garantía del Derecho a la Salud</w:t>
      </w:r>
      <w:r w:rsidR="00412140" w:rsidRPr="00DA1726">
        <w:rPr>
          <w:sz w:val="28"/>
          <w:szCs w:val="28"/>
          <w:lang w:val="es-ES_tradnl"/>
        </w:rPr>
        <w:t xml:space="preserve"> a partir de los siguientes indicadores:</w:t>
      </w:r>
    </w:p>
    <w:p w:rsidR="00412140" w:rsidRPr="00DA1726" w:rsidRDefault="00412140" w:rsidP="00DA1726">
      <w:pPr>
        <w:jc w:val="both"/>
        <w:rPr>
          <w:sz w:val="28"/>
          <w:szCs w:val="28"/>
          <w:lang w:val="es-ES_tradnl"/>
        </w:rPr>
      </w:pPr>
    </w:p>
    <w:p w:rsidR="00412140" w:rsidRPr="00DA1726" w:rsidRDefault="00412140" w:rsidP="00DA1726">
      <w:pPr>
        <w:numPr>
          <w:ilvl w:val="0"/>
          <w:numId w:val="12"/>
        </w:numPr>
        <w:jc w:val="both"/>
        <w:rPr>
          <w:b/>
          <w:bCs/>
          <w:i/>
          <w:iCs/>
          <w:sz w:val="28"/>
          <w:szCs w:val="28"/>
          <w:lang w:val="es-ES_tradnl"/>
        </w:rPr>
      </w:pPr>
      <w:r w:rsidRPr="00DA1726">
        <w:rPr>
          <w:b/>
          <w:bCs/>
          <w:i/>
          <w:iCs/>
          <w:sz w:val="28"/>
          <w:szCs w:val="28"/>
          <w:lang w:val="es-ES_tradnl"/>
        </w:rPr>
        <w:t>Indicadores T-760</w:t>
      </w:r>
      <w:r w:rsidR="00537B7F" w:rsidRPr="00DA1726">
        <w:rPr>
          <w:b/>
          <w:bCs/>
          <w:i/>
          <w:iCs/>
          <w:sz w:val="28"/>
          <w:szCs w:val="28"/>
          <w:lang w:val="es-ES_tradnl"/>
        </w:rPr>
        <w:t xml:space="preserve"> de 2008.</w:t>
      </w:r>
      <w:r w:rsidRPr="00DA1726">
        <w:rPr>
          <w:b/>
          <w:bCs/>
          <w:i/>
          <w:iCs/>
          <w:sz w:val="28"/>
          <w:szCs w:val="28"/>
          <w:lang w:val="es-ES_tradnl"/>
        </w:rPr>
        <w:t xml:space="preserve"> </w:t>
      </w:r>
      <w:r w:rsidRPr="00DA1726">
        <w:rPr>
          <w:sz w:val="28"/>
          <w:szCs w:val="28"/>
          <w:lang w:val="es-ES_tradnl"/>
        </w:rPr>
        <w:t>Incluye los resultados de la auditoría realizada en la vigencia 2015, relativa a la verificación de las</w:t>
      </w:r>
      <w:r w:rsidR="00537B7F" w:rsidRPr="00DA1726">
        <w:rPr>
          <w:sz w:val="28"/>
          <w:szCs w:val="28"/>
          <w:lang w:val="es-ES_tradnl"/>
        </w:rPr>
        <w:t xml:space="preserve"> 14</w:t>
      </w:r>
      <w:r w:rsidRPr="00DA1726">
        <w:rPr>
          <w:sz w:val="28"/>
          <w:szCs w:val="28"/>
          <w:lang w:val="es-ES_tradnl"/>
        </w:rPr>
        <w:t xml:space="preserve"> prácticas violatorias del derecho a la salud.</w:t>
      </w:r>
    </w:p>
    <w:p w:rsidR="00537B7F" w:rsidRPr="00DA1726" w:rsidRDefault="00537B7F" w:rsidP="00DA1726">
      <w:pPr>
        <w:jc w:val="both"/>
        <w:rPr>
          <w:b/>
          <w:bCs/>
          <w:i/>
          <w:iCs/>
          <w:sz w:val="28"/>
          <w:szCs w:val="28"/>
          <w:lang w:val="es-ES_tradnl"/>
        </w:rPr>
      </w:pPr>
    </w:p>
    <w:p w:rsidR="00412140" w:rsidRPr="00DA1726" w:rsidRDefault="00412140" w:rsidP="00DA1726">
      <w:pPr>
        <w:numPr>
          <w:ilvl w:val="0"/>
          <w:numId w:val="12"/>
        </w:numPr>
        <w:jc w:val="both"/>
        <w:rPr>
          <w:b/>
          <w:bCs/>
          <w:i/>
          <w:iCs/>
          <w:sz w:val="28"/>
          <w:szCs w:val="28"/>
          <w:lang w:val="es-ES_tradnl"/>
        </w:rPr>
      </w:pPr>
      <w:r w:rsidRPr="00DA1726">
        <w:rPr>
          <w:b/>
          <w:bCs/>
          <w:i/>
          <w:iCs/>
          <w:sz w:val="28"/>
          <w:szCs w:val="28"/>
          <w:lang w:val="es-ES_tradnl"/>
        </w:rPr>
        <w:t>Indicador de calidad</w:t>
      </w:r>
      <w:r w:rsidR="00537B7F" w:rsidRPr="00DA1726">
        <w:rPr>
          <w:b/>
          <w:bCs/>
          <w:i/>
          <w:iCs/>
          <w:sz w:val="28"/>
          <w:szCs w:val="28"/>
          <w:lang w:val="es-ES_tradnl"/>
        </w:rPr>
        <w:t>.</w:t>
      </w:r>
      <w:r w:rsidRPr="00DA1726">
        <w:rPr>
          <w:b/>
          <w:bCs/>
          <w:i/>
          <w:iCs/>
          <w:sz w:val="28"/>
          <w:szCs w:val="28"/>
          <w:lang w:val="es-ES_tradnl"/>
        </w:rPr>
        <w:t xml:space="preserve"> </w:t>
      </w:r>
      <w:r w:rsidRPr="00DA1726">
        <w:rPr>
          <w:sz w:val="28"/>
          <w:szCs w:val="28"/>
          <w:lang w:val="es-ES_tradnl"/>
        </w:rPr>
        <w:t xml:space="preserve">Incluye </w:t>
      </w:r>
      <w:r w:rsidR="00FC3D5C" w:rsidRPr="00DA1726">
        <w:rPr>
          <w:sz w:val="28"/>
          <w:szCs w:val="28"/>
          <w:lang w:val="es-ES_tradnl"/>
        </w:rPr>
        <w:t xml:space="preserve">(i) </w:t>
      </w:r>
      <w:r w:rsidRPr="00DA1726">
        <w:rPr>
          <w:sz w:val="28"/>
          <w:szCs w:val="28"/>
          <w:lang w:val="es-ES_tradnl"/>
        </w:rPr>
        <w:t xml:space="preserve">las variables relacionadas con accesibilidad y oportunidad (Citas medicina general, citas medicina interna, citas ginecobstetricia, citas pediatría, citas cirugía general, entrega medicamentos POS, citas odontología general, referencia, número de tutelas, realización de cirugía programada, servicios de imagenología); </w:t>
      </w:r>
      <w:r w:rsidR="00FC3D5C" w:rsidRPr="00DA1726">
        <w:rPr>
          <w:sz w:val="28"/>
          <w:szCs w:val="28"/>
          <w:lang w:val="es-ES_tradnl"/>
        </w:rPr>
        <w:t xml:space="preserve">(ii) </w:t>
      </w:r>
      <w:r w:rsidRPr="00DA1726">
        <w:rPr>
          <w:sz w:val="28"/>
          <w:szCs w:val="28"/>
          <w:lang w:val="es-ES_tradnl"/>
        </w:rPr>
        <w:t xml:space="preserve">calidad técnica (esquemas de vacunación adecuados para niños menores de un año, oportunidad en la detección de cáncer de cuello uterino); </w:t>
      </w:r>
      <w:r w:rsidR="00FC3D5C" w:rsidRPr="00DA1726">
        <w:rPr>
          <w:sz w:val="28"/>
          <w:szCs w:val="28"/>
          <w:lang w:val="es-ES_tradnl"/>
        </w:rPr>
        <w:t xml:space="preserve">(iii) </w:t>
      </w:r>
      <w:r w:rsidRPr="00DA1726">
        <w:rPr>
          <w:sz w:val="28"/>
          <w:szCs w:val="28"/>
          <w:lang w:val="es-ES_tradnl"/>
        </w:rPr>
        <w:t xml:space="preserve">gerencia del riesgo (tasa de mortalidad por neumonía mayores de 65 años, tasa de mortalidad por neumonía menores de 5 años, razón de mortalidad materna); y </w:t>
      </w:r>
      <w:r w:rsidR="00FC3D5C" w:rsidRPr="00DA1726">
        <w:rPr>
          <w:sz w:val="28"/>
          <w:szCs w:val="28"/>
          <w:lang w:val="es-ES_tradnl"/>
        </w:rPr>
        <w:t xml:space="preserve">(iv) </w:t>
      </w:r>
      <w:r w:rsidRPr="00DA1726">
        <w:rPr>
          <w:sz w:val="28"/>
          <w:szCs w:val="28"/>
          <w:lang w:val="es-ES_tradnl"/>
        </w:rPr>
        <w:t>satisfacción (tasa de satisfacción global, proporción de quejas resueltas antes de 15 días, tasa de traslados).</w:t>
      </w:r>
    </w:p>
    <w:p w:rsidR="00FC3D5C" w:rsidRPr="00DA1726" w:rsidRDefault="00FC3D5C" w:rsidP="00DA1726">
      <w:pPr>
        <w:jc w:val="both"/>
        <w:rPr>
          <w:b/>
          <w:bCs/>
          <w:i/>
          <w:iCs/>
          <w:sz w:val="28"/>
          <w:szCs w:val="28"/>
          <w:lang w:val="es-ES_tradnl"/>
        </w:rPr>
      </w:pPr>
    </w:p>
    <w:p w:rsidR="00412140" w:rsidRPr="00DA1726" w:rsidRDefault="00412140" w:rsidP="00DA1726">
      <w:pPr>
        <w:numPr>
          <w:ilvl w:val="0"/>
          <w:numId w:val="12"/>
        </w:numPr>
        <w:jc w:val="both"/>
        <w:rPr>
          <w:b/>
          <w:bCs/>
          <w:i/>
          <w:iCs/>
          <w:sz w:val="28"/>
          <w:szCs w:val="28"/>
          <w:lang w:val="es-ES_tradnl"/>
        </w:rPr>
      </w:pPr>
      <w:r w:rsidRPr="00DA1726">
        <w:rPr>
          <w:b/>
          <w:bCs/>
          <w:i/>
          <w:iCs/>
          <w:sz w:val="28"/>
          <w:szCs w:val="28"/>
          <w:lang w:val="es-ES_tradnl"/>
        </w:rPr>
        <w:t>Indicadores de Desempeño Peticiones, Quejas y Reclamos</w:t>
      </w:r>
      <w:r w:rsidR="000B6F4A" w:rsidRPr="00DA1726">
        <w:rPr>
          <w:b/>
          <w:bCs/>
          <w:i/>
          <w:iCs/>
          <w:sz w:val="28"/>
          <w:szCs w:val="28"/>
          <w:lang w:val="es-ES_tradnl"/>
        </w:rPr>
        <w:t xml:space="preserve"> –PQR.</w:t>
      </w:r>
      <w:r w:rsidRPr="00DA1726">
        <w:rPr>
          <w:b/>
          <w:bCs/>
          <w:i/>
          <w:iCs/>
          <w:sz w:val="28"/>
          <w:szCs w:val="28"/>
          <w:lang w:val="es-ES_tradnl"/>
        </w:rPr>
        <w:t xml:space="preserve"> </w:t>
      </w:r>
      <w:r w:rsidRPr="00DA1726">
        <w:rPr>
          <w:sz w:val="28"/>
          <w:szCs w:val="28"/>
          <w:lang w:val="es-ES_tradnl"/>
        </w:rPr>
        <w:t xml:space="preserve">Involucra </w:t>
      </w:r>
      <w:r w:rsidR="000B6F4A" w:rsidRPr="00DA1726">
        <w:rPr>
          <w:sz w:val="28"/>
          <w:szCs w:val="28"/>
          <w:lang w:val="es-ES_tradnl"/>
        </w:rPr>
        <w:t xml:space="preserve">(i) </w:t>
      </w:r>
      <w:r w:rsidRPr="00DA1726">
        <w:rPr>
          <w:sz w:val="28"/>
          <w:szCs w:val="28"/>
          <w:lang w:val="es-ES_tradnl"/>
        </w:rPr>
        <w:t xml:space="preserve">el indicador de PQR radicadas en la Superintendencia Nacional de Salud, </w:t>
      </w:r>
      <w:r w:rsidR="000B6F4A" w:rsidRPr="00DA1726">
        <w:rPr>
          <w:sz w:val="28"/>
          <w:szCs w:val="28"/>
          <w:lang w:val="es-ES_tradnl"/>
        </w:rPr>
        <w:t>(n</w:t>
      </w:r>
      <w:r w:rsidRPr="00DA1726">
        <w:rPr>
          <w:sz w:val="28"/>
          <w:szCs w:val="28"/>
          <w:lang w:val="es-ES_tradnl"/>
        </w:rPr>
        <w:t>úmero de quejas ajustado por total de afiliados, motivo, características específicas de la PQR y del afectado</w:t>
      </w:r>
      <w:r w:rsidR="000B6F4A" w:rsidRPr="00DA1726">
        <w:rPr>
          <w:sz w:val="28"/>
          <w:szCs w:val="28"/>
          <w:lang w:val="es-ES_tradnl"/>
        </w:rPr>
        <w:t>); (ii) el de seguimiento (o</w:t>
      </w:r>
      <w:r w:rsidRPr="00DA1726">
        <w:rPr>
          <w:sz w:val="28"/>
          <w:szCs w:val="28"/>
          <w:lang w:val="es-ES_tradnl"/>
        </w:rPr>
        <w:t xml:space="preserve">portunidad y calidad de la respuesta </w:t>
      </w:r>
      <w:r w:rsidR="000B6F4A" w:rsidRPr="00DA1726">
        <w:rPr>
          <w:sz w:val="28"/>
          <w:szCs w:val="28"/>
          <w:lang w:val="es-ES_tradnl"/>
        </w:rPr>
        <w:t>por parte de la EPS, v</w:t>
      </w:r>
      <w:r w:rsidRPr="00DA1726">
        <w:rPr>
          <w:sz w:val="28"/>
          <w:szCs w:val="28"/>
          <w:lang w:val="es-ES_tradnl"/>
        </w:rPr>
        <w:t>alor esperado de la respuesta y satisfacción del usuario)</w:t>
      </w:r>
      <w:r w:rsidR="000B6F4A" w:rsidRPr="00DA1726">
        <w:rPr>
          <w:sz w:val="28"/>
          <w:szCs w:val="28"/>
          <w:lang w:val="es-ES_tradnl"/>
        </w:rPr>
        <w:t>;</w:t>
      </w:r>
      <w:r w:rsidRPr="00DA1726">
        <w:rPr>
          <w:sz w:val="28"/>
          <w:szCs w:val="28"/>
          <w:lang w:val="es-ES_tradnl"/>
        </w:rPr>
        <w:t xml:space="preserve"> y </w:t>
      </w:r>
      <w:r w:rsidR="000B6F4A" w:rsidRPr="00DA1726">
        <w:rPr>
          <w:sz w:val="28"/>
          <w:szCs w:val="28"/>
          <w:lang w:val="es-ES_tradnl"/>
        </w:rPr>
        <w:t xml:space="preserve">(iii) </w:t>
      </w:r>
      <w:r w:rsidRPr="00DA1726">
        <w:rPr>
          <w:sz w:val="28"/>
          <w:szCs w:val="28"/>
          <w:lang w:val="es-ES_tradnl"/>
        </w:rPr>
        <w:t xml:space="preserve">PQR reiteradas </w:t>
      </w:r>
      <w:r w:rsidR="005C54E3" w:rsidRPr="00DA1726">
        <w:rPr>
          <w:sz w:val="28"/>
          <w:szCs w:val="28"/>
          <w:lang w:val="es-ES_tradnl"/>
        </w:rPr>
        <w:t>(</w:t>
      </w:r>
      <w:r w:rsidRPr="00DA1726">
        <w:rPr>
          <w:sz w:val="28"/>
          <w:szCs w:val="28"/>
          <w:lang w:val="es-ES_tradnl"/>
        </w:rPr>
        <w:t>inicialmente no tuvieron respuesta y fueron nuevamente radicadas por el usuario según tipo de motivo</w:t>
      </w:r>
      <w:r w:rsidR="005C54E3" w:rsidRPr="00DA1726">
        <w:rPr>
          <w:sz w:val="28"/>
          <w:szCs w:val="28"/>
          <w:lang w:val="es-ES_tradnl"/>
        </w:rPr>
        <w:t>)</w:t>
      </w:r>
      <w:r w:rsidRPr="00DA1726">
        <w:rPr>
          <w:sz w:val="28"/>
          <w:szCs w:val="28"/>
          <w:lang w:val="es-ES_tradnl"/>
        </w:rPr>
        <w:t>.</w:t>
      </w:r>
    </w:p>
    <w:p w:rsidR="00FC3D5C" w:rsidRPr="00DA1726" w:rsidRDefault="00FC3D5C" w:rsidP="00DA1726">
      <w:pPr>
        <w:jc w:val="both"/>
        <w:rPr>
          <w:b/>
          <w:bCs/>
          <w:i/>
          <w:iCs/>
          <w:sz w:val="28"/>
          <w:szCs w:val="28"/>
          <w:lang w:val="es-ES_tradnl"/>
        </w:rPr>
      </w:pPr>
    </w:p>
    <w:p w:rsidR="00412140" w:rsidRPr="00DA1726" w:rsidRDefault="00412140" w:rsidP="00DA1726">
      <w:pPr>
        <w:numPr>
          <w:ilvl w:val="0"/>
          <w:numId w:val="12"/>
        </w:numPr>
        <w:jc w:val="both"/>
        <w:rPr>
          <w:b/>
          <w:bCs/>
          <w:i/>
          <w:iCs/>
          <w:sz w:val="28"/>
          <w:szCs w:val="28"/>
          <w:lang w:val="es-ES_tradnl"/>
        </w:rPr>
      </w:pPr>
      <w:r w:rsidRPr="00DA1726">
        <w:rPr>
          <w:b/>
          <w:bCs/>
          <w:i/>
          <w:iCs/>
          <w:sz w:val="28"/>
          <w:szCs w:val="28"/>
          <w:lang w:val="es-ES_tradnl"/>
        </w:rPr>
        <w:t>Medidas Adoptadas por la Superintendencia Nacional de Salud</w:t>
      </w:r>
      <w:r w:rsidR="005C54E3" w:rsidRPr="00DA1726">
        <w:rPr>
          <w:b/>
          <w:bCs/>
          <w:i/>
          <w:iCs/>
          <w:sz w:val="28"/>
          <w:szCs w:val="28"/>
          <w:lang w:val="es-ES_tradnl"/>
        </w:rPr>
        <w:t>.</w:t>
      </w:r>
      <w:r w:rsidRPr="00DA1726">
        <w:rPr>
          <w:b/>
          <w:bCs/>
          <w:i/>
          <w:iCs/>
          <w:sz w:val="28"/>
          <w:szCs w:val="28"/>
          <w:lang w:val="es-ES_tradnl"/>
        </w:rPr>
        <w:t xml:space="preserve"> </w:t>
      </w:r>
      <w:r w:rsidR="005C54E3" w:rsidRPr="00DA1726">
        <w:rPr>
          <w:bCs/>
          <w:iCs/>
          <w:sz w:val="28"/>
          <w:szCs w:val="28"/>
          <w:lang w:val="es-ES_tradnl"/>
        </w:rPr>
        <w:t>E</w:t>
      </w:r>
      <w:r w:rsidRPr="00DA1726">
        <w:rPr>
          <w:sz w:val="28"/>
          <w:szCs w:val="28"/>
          <w:lang w:val="es-ES_tradnl"/>
        </w:rPr>
        <w:t>ste indicador actúa como un ponderador que ajusta los resultados cuando la entidad se encuentra incursa en alguna medida (programa de recuperación o vigilancia especial).</w:t>
      </w:r>
    </w:p>
    <w:p w:rsidR="00412140" w:rsidRPr="00DA1726" w:rsidRDefault="00412140" w:rsidP="00DA1726">
      <w:pPr>
        <w:jc w:val="both"/>
        <w:rPr>
          <w:sz w:val="28"/>
          <w:szCs w:val="28"/>
          <w:lang w:val="es-ES"/>
        </w:rPr>
      </w:pPr>
    </w:p>
    <w:p w:rsidR="00DD33F3" w:rsidRPr="00DA1726" w:rsidRDefault="00DD33F3" w:rsidP="00DA1726">
      <w:pPr>
        <w:jc w:val="both"/>
        <w:rPr>
          <w:sz w:val="28"/>
          <w:szCs w:val="28"/>
          <w:lang w:val="es-ES_tradnl"/>
        </w:rPr>
      </w:pPr>
      <w:r w:rsidRPr="00DA1726">
        <w:rPr>
          <w:sz w:val="28"/>
          <w:szCs w:val="28"/>
          <w:lang w:val="es-ES"/>
        </w:rPr>
        <w:t xml:space="preserve">Finalmente, toda la información recogida se agrupa en un indicador integral de la garantía del derecho a la salud, que según informaron les </w:t>
      </w:r>
      <w:r w:rsidR="005C54E3" w:rsidRPr="00DA1726">
        <w:rPr>
          <w:sz w:val="28"/>
          <w:szCs w:val="28"/>
          <w:lang w:val="es-ES_tradnl"/>
        </w:rPr>
        <w:t xml:space="preserve">permite agrupar las entidades, </w:t>
      </w:r>
      <w:r w:rsidR="008B5047" w:rsidRPr="00DA1726">
        <w:rPr>
          <w:sz w:val="28"/>
          <w:szCs w:val="28"/>
          <w:lang w:val="es-ES_tradnl"/>
        </w:rPr>
        <w:t xml:space="preserve">lo </w:t>
      </w:r>
      <w:r w:rsidR="005C54E3" w:rsidRPr="00DA1726">
        <w:rPr>
          <w:sz w:val="28"/>
          <w:szCs w:val="28"/>
          <w:lang w:val="es-ES_tradnl"/>
        </w:rPr>
        <w:t xml:space="preserve">que da cuenta de una visión </w:t>
      </w:r>
      <w:r w:rsidR="008B5047" w:rsidRPr="00DA1726">
        <w:rPr>
          <w:sz w:val="28"/>
          <w:szCs w:val="28"/>
          <w:lang w:val="es-ES_tradnl"/>
        </w:rPr>
        <w:t>globa</w:t>
      </w:r>
      <w:r w:rsidR="005C54E3" w:rsidRPr="00DA1726">
        <w:rPr>
          <w:sz w:val="28"/>
          <w:szCs w:val="28"/>
          <w:lang w:val="es-ES_tradnl"/>
        </w:rPr>
        <w:t xml:space="preserve">l del desempeño de la entidad. De acuerdo al resultado, </w:t>
      </w:r>
      <w:r w:rsidR="008B5047" w:rsidRPr="00DA1726">
        <w:rPr>
          <w:sz w:val="28"/>
          <w:szCs w:val="28"/>
          <w:lang w:val="es-ES_tradnl"/>
        </w:rPr>
        <w:t xml:space="preserve">las </w:t>
      </w:r>
      <w:r w:rsidR="00EA4FAC" w:rsidRPr="00DA1726">
        <w:rPr>
          <w:sz w:val="28"/>
          <w:szCs w:val="28"/>
          <w:lang w:val="es-ES_tradnl"/>
        </w:rPr>
        <w:t>EPS</w:t>
      </w:r>
      <w:r w:rsidR="008B5047" w:rsidRPr="00DA1726">
        <w:rPr>
          <w:sz w:val="28"/>
          <w:szCs w:val="28"/>
          <w:lang w:val="es-ES_tradnl"/>
        </w:rPr>
        <w:t xml:space="preserve"> </w:t>
      </w:r>
      <w:r w:rsidR="005C54E3" w:rsidRPr="00DA1726">
        <w:rPr>
          <w:sz w:val="28"/>
          <w:szCs w:val="28"/>
          <w:lang w:val="es-ES_tradnl"/>
        </w:rPr>
        <w:t>se clasifican por régimen en tres grupos</w:t>
      </w:r>
      <w:r w:rsidR="008B5047" w:rsidRPr="00DA1726">
        <w:rPr>
          <w:sz w:val="28"/>
          <w:szCs w:val="28"/>
          <w:lang w:val="es-ES_tradnl"/>
        </w:rPr>
        <w:t>,</w:t>
      </w:r>
      <w:r w:rsidR="005C54E3" w:rsidRPr="00DA1726">
        <w:rPr>
          <w:sz w:val="28"/>
          <w:szCs w:val="28"/>
          <w:lang w:val="es-ES_tradnl"/>
        </w:rPr>
        <w:t xml:space="preserve"> teniendo en cuenta su nivel de vulnerabilidad al incumplimiento de la garantía al derecho de salud, siendo el 1 el de menor nivel. Para los grupos establecidos se adoptan distintas acciones de supervisión de acuerdo con su desempeño integral y su nivel de vulnerabilidad al incumplimiento de criterios de calidad y garantía de derechos</w:t>
      </w:r>
      <w:r w:rsidR="00CA5A76" w:rsidRPr="00DA1726">
        <w:rPr>
          <w:sz w:val="28"/>
          <w:szCs w:val="28"/>
          <w:lang w:val="es-ES_tradnl"/>
        </w:rPr>
        <w:t>.</w:t>
      </w:r>
    </w:p>
    <w:p w:rsidR="00CA5A76" w:rsidRPr="00DA1726" w:rsidRDefault="00CA5A76" w:rsidP="00DA1726">
      <w:pPr>
        <w:jc w:val="both"/>
        <w:rPr>
          <w:sz w:val="28"/>
          <w:szCs w:val="28"/>
        </w:rPr>
      </w:pPr>
    </w:p>
    <w:p w:rsidR="0017590B" w:rsidRPr="00DA1726" w:rsidRDefault="0017590B" w:rsidP="00DA1726">
      <w:pPr>
        <w:jc w:val="both"/>
        <w:rPr>
          <w:sz w:val="28"/>
          <w:szCs w:val="28"/>
          <w:lang w:val="es-ES_tradnl"/>
        </w:rPr>
      </w:pPr>
      <w:r w:rsidRPr="00DA1726">
        <w:rPr>
          <w:sz w:val="28"/>
          <w:szCs w:val="28"/>
          <w:lang w:val="es-ES_tradnl"/>
        </w:rPr>
        <w:t xml:space="preserve">En cuanto a las </w:t>
      </w:r>
      <w:r w:rsidR="00EA4FAC" w:rsidRPr="00DA1726">
        <w:rPr>
          <w:sz w:val="28"/>
          <w:szCs w:val="28"/>
          <w:lang w:val="es-ES_tradnl"/>
        </w:rPr>
        <w:t>IPS</w:t>
      </w:r>
      <w:r w:rsidRPr="00DA1726">
        <w:rPr>
          <w:sz w:val="28"/>
          <w:szCs w:val="28"/>
          <w:lang w:val="es-ES_tradnl"/>
        </w:rPr>
        <w:t xml:space="preserve">, informaron que </w:t>
      </w:r>
      <w:r w:rsidR="00A5723A" w:rsidRPr="00DA1726">
        <w:rPr>
          <w:sz w:val="28"/>
          <w:szCs w:val="28"/>
          <w:lang w:val="es-ES_tradnl"/>
        </w:rPr>
        <w:t xml:space="preserve">se envió un ejercicio de </w:t>
      </w:r>
      <w:r w:rsidR="008D66F1" w:rsidRPr="00DA1726">
        <w:rPr>
          <w:i/>
          <w:sz w:val="28"/>
          <w:szCs w:val="28"/>
          <w:lang w:val="es-ES_tradnl"/>
        </w:rPr>
        <w:t>ranking</w:t>
      </w:r>
      <w:r w:rsidR="00A5723A" w:rsidRPr="00DA1726">
        <w:rPr>
          <w:sz w:val="28"/>
          <w:szCs w:val="28"/>
          <w:lang w:val="es-ES_tradnl"/>
        </w:rPr>
        <w:t xml:space="preserve"> a finales de octubre de 2015, del cual no se ha recibido observaciones, </w:t>
      </w:r>
      <w:r w:rsidRPr="00DA1726">
        <w:rPr>
          <w:sz w:val="28"/>
          <w:szCs w:val="28"/>
          <w:lang w:val="es-ES_tradnl"/>
        </w:rPr>
        <w:t xml:space="preserve">por lo que </w:t>
      </w:r>
      <w:r w:rsidR="00A5723A" w:rsidRPr="00DA1726">
        <w:rPr>
          <w:sz w:val="28"/>
          <w:szCs w:val="28"/>
          <w:lang w:val="es-ES_tradnl"/>
        </w:rPr>
        <w:t>para el año 2016 se contin</w:t>
      </w:r>
      <w:r w:rsidRPr="00DA1726">
        <w:rPr>
          <w:sz w:val="28"/>
          <w:szCs w:val="28"/>
          <w:lang w:val="es-ES_tradnl"/>
        </w:rPr>
        <w:t>uó</w:t>
      </w:r>
      <w:r w:rsidR="00A5723A" w:rsidRPr="00DA1726">
        <w:rPr>
          <w:sz w:val="28"/>
          <w:szCs w:val="28"/>
          <w:lang w:val="es-ES_tradnl"/>
        </w:rPr>
        <w:t xml:space="preserve"> con la propuesta planteada incorporando algunas de las observaciones recibidas por los grupos de seguimiento en anteriores comunicaciones.</w:t>
      </w:r>
      <w:r w:rsidRPr="00DA1726">
        <w:rPr>
          <w:sz w:val="28"/>
          <w:szCs w:val="28"/>
          <w:lang w:val="es-ES_tradnl"/>
        </w:rPr>
        <w:t xml:space="preserve"> </w:t>
      </w:r>
      <w:r w:rsidR="00A5723A" w:rsidRPr="00DA1726">
        <w:rPr>
          <w:sz w:val="28"/>
          <w:szCs w:val="28"/>
          <w:lang w:val="es-ES_tradnl"/>
        </w:rPr>
        <w:t>Este informe se divide en cuatro secciones</w:t>
      </w:r>
      <w:r w:rsidRPr="00DA1726">
        <w:rPr>
          <w:sz w:val="28"/>
          <w:szCs w:val="28"/>
          <w:lang w:val="es-ES_tradnl"/>
        </w:rPr>
        <w:t>, como pasa a explicarse</w:t>
      </w:r>
      <w:r w:rsidR="00A5723A" w:rsidRPr="00DA1726">
        <w:rPr>
          <w:sz w:val="28"/>
          <w:szCs w:val="28"/>
          <w:lang w:val="es-ES_tradnl"/>
        </w:rPr>
        <w:t xml:space="preserve">: </w:t>
      </w:r>
    </w:p>
    <w:p w:rsidR="0017590B" w:rsidRPr="00DA1726" w:rsidRDefault="0017590B" w:rsidP="00DA1726">
      <w:pPr>
        <w:jc w:val="both"/>
        <w:rPr>
          <w:i/>
          <w:sz w:val="28"/>
          <w:szCs w:val="28"/>
          <w:lang w:val="es-ES_tradnl"/>
        </w:rPr>
      </w:pPr>
    </w:p>
    <w:p w:rsidR="00A5723A" w:rsidRPr="00DA1726" w:rsidRDefault="00D43DFC" w:rsidP="00DA1726">
      <w:pPr>
        <w:jc w:val="both"/>
        <w:rPr>
          <w:i/>
          <w:sz w:val="28"/>
          <w:szCs w:val="28"/>
          <w:lang w:val="es-ES_tradnl"/>
        </w:rPr>
      </w:pPr>
      <w:r w:rsidRPr="00DA1726">
        <w:rPr>
          <w:i/>
          <w:sz w:val="28"/>
          <w:szCs w:val="28"/>
          <w:lang w:val="es-ES_tradnl"/>
        </w:rPr>
        <w:t>i. A</w:t>
      </w:r>
      <w:r w:rsidR="00A5723A" w:rsidRPr="00DA1726">
        <w:rPr>
          <w:i/>
          <w:sz w:val="28"/>
          <w:szCs w:val="28"/>
          <w:lang w:val="es-ES_tradnl"/>
        </w:rPr>
        <w:t>vances relacionados con el monitoreo nacional de la calidad</w:t>
      </w:r>
      <w:r w:rsidR="0017590B" w:rsidRPr="00DA1726">
        <w:rPr>
          <w:i/>
          <w:sz w:val="28"/>
          <w:szCs w:val="28"/>
          <w:lang w:val="es-ES_tradnl"/>
        </w:rPr>
        <w:t>.</w:t>
      </w:r>
    </w:p>
    <w:p w:rsidR="0017590B" w:rsidRPr="00DA1726" w:rsidRDefault="0017590B" w:rsidP="00DA1726">
      <w:pPr>
        <w:jc w:val="both"/>
        <w:rPr>
          <w:i/>
          <w:sz w:val="28"/>
          <w:szCs w:val="28"/>
          <w:lang w:val="es-ES_tradnl"/>
        </w:rPr>
      </w:pPr>
    </w:p>
    <w:p w:rsidR="008E70CB" w:rsidRPr="00DA1726" w:rsidRDefault="00971925" w:rsidP="00DA1726">
      <w:pPr>
        <w:jc w:val="both"/>
        <w:rPr>
          <w:sz w:val="28"/>
          <w:szCs w:val="28"/>
          <w:lang w:val="es-ES_tradnl"/>
        </w:rPr>
      </w:pPr>
      <w:r w:rsidRPr="00DA1726">
        <w:rPr>
          <w:sz w:val="28"/>
          <w:szCs w:val="28"/>
          <w:lang w:val="es-ES_tradnl"/>
        </w:rPr>
        <w:t>La primera de estas medidas es la disposición de un visor que permite la comparación de dos IPS a partir de los resultados del reporte de los indicadores contenidos en la Resolución 1446 de 2006</w:t>
      </w:r>
      <w:r w:rsidR="008E70CB" w:rsidRPr="00DA1726">
        <w:rPr>
          <w:sz w:val="28"/>
          <w:szCs w:val="28"/>
          <w:vertAlign w:val="superscript"/>
          <w:lang w:val="es-ES_tradnl"/>
        </w:rPr>
        <w:footnoteReference w:id="73"/>
      </w:r>
      <w:r w:rsidRPr="00DA1726">
        <w:rPr>
          <w:sz w:val="28"/>
          <w:szCs w:val="28"/>
          <w:lang w:val="es-ES_tradnl"/>
        </w:rPr>
        <w:t>, asociados con el tipo de servicio que presta (de conformidad con el Registro Especial de Prestadores de Servicios de Salud REPS), ubicación geográfica (Departamento-Municipio) y capacidad de atención (se definió teniendo en cuenta la intensidad del auto-reporte de los indicadores de la Resolución 1446 de 2006 a la Superintendencia Nacional de Salud)</w:t>
      </w:r>
      <w:r w:rsidR="008E70CB" w:rsidRPr="00DA1726">
        <w:rPr>
          <w:sz w:val="28"/>
          <w:szCs w:val="28"/>
          <w:vertAlign w:val="superscript"/>
          <w:lang w:val="es-ES_tradnl"/>
        </w:rPr>
        <w:footnoteReference w:id="74"/>
      </w:r>
      <w:r w:rsidRPr="00DA1726">
        <w:rPr>
          <w:sz w:val="28"/>
          <w:szCs w:val="28"/>
          <w:lang w:val="es-ES_tradnl"/>
        </w:rPr>
        <w:t xml:space="preserve">. </w:t>
      </w:r>
    </w:p>
    <w:p w:rsidR="008E70CB" w:rsidRPr="00DA1726" w:rsidRDefault="008E70CB" w:rsidP="00DA1726">
      <w:pPr>
        <w:jc w:val="both"/>
        <w:rPr>
          <w:sz w:val="28"/>
          <w:szCs w:val="28"/>
          <w:lang w:val="es-ES_tradnl"/>
        </w:rPr>
      </w:pPr>
    </w:p>
    <w:p w:rsidR="00EE044C" w:rsidRPr="00DA1726" w:rsidRDefault="00EE044C" w:rsidP="00DA1726">
      <w:pPr>
        <w:jc w:val="both"/>
        <w:rPr>
          <w:sz w:val="28"/>
          <w:szCs w:val="28"/>
          <w:lang w:val="es-ES_tradnl"/>
        </w:rPr>
      </w:pPr>
      <w:r w:rsidRPr="00DA1726">
        <w:rPr>
          <w:i/>
          <w:sz w:val="28"/>
          <w:szCs w:val="28"/>
          <w:lang w:val="es-ES_tradnl"/>
        </w:rPr>
        <w:t xml:space="preserve">ii. </w:t>
      </w:r>
      <w:r w:rsidR="00D43DFC" w:rsidRPr="00DA1726">
        <w:rPr>
          <w:i/>
          <w:sz w:val="28"/>
          <w:szCs w:val="28"/>
          <w:lang w:val="es-ES_tradnl"/>
        </w:rPr>
        <w:t>C</w:t>
      </w:r>
      <w:r w:rsidRPr="00DA1726">
        <w:rPr>
          <w:i/>
          <w:sz w:val="28"/>
          <w:szCs w:val="28"/>
          <w:lang w:val="es-ES_tradnl"/>
        </w:rPr>
        <w:t>onsideraciones a tener en cuenta relacionadas con el ordenamiento de IPS conforme a la orden vigésima de la sentencia T-760 de 2008</w:t>
      </w:r>
      <w:r w:rsidR="0017590B" w:rsidRPr="00DA1726">
        <w:rPr>
          <w:i/>
          <w:sz w:val="28"/>
          <w:szCs w:val="28"/>
          <w:lang w:val="es-ES_tradnl"/>
        </w:rPr>
        <w:t>.</w:t>
      </w:r>
      <w:r w:rsidRPr="00DA1726">
        <w:rPr>
          <w:sz w:val="28"/>
          <w:szCs w:val="28"/>
          <w:lang w:val="es-ES_tradnl"/>
        </w:rPr>
        <w:t xml:space="preserve"> </w:t>
      </w:r>
    </w:p>
    <w:p w:rsidR="00EE044C" w:rsidRPr="00DA1726" w:rsidRDefault="00EE044C" w:rsidP="00DA1726">
      <w:pPr>
        <w:jc w:val="both"/>
        <w:rPr>
          <w:sz w:val="28"/>
          <w:szCs w:val="28"/>
          <w:lang w:val="es-ES_tradnl"/>
        </w:rPr>
      </w:pPr>
    </w:p>
    <w:p w:rsidR="00EE044C" w:rsidRPr="00DA1726" w:rsidRDefault="00493FE1" w:rsidP="00DA1726">
      <w:pPr>
        <w:jc w:val="both"/>
        <w:rPr>
          <w:sz w:val="28"/>
          <w:szCs w:val="28"/>
          <w:lang w:val="es-ES_tradnl"/>
        </w:rPr>
      </w:pPr>
      <w:r w:rsidRPr="00DA1726">
        <w:rPr>
          <w:sz w:val="28"/>
          <w:szCs w:val="28"/>
          <w:lang w:val="es-ES_tradnl"/>
        </w:rPr>
        <w:t>En este punto manifestaron</w:t>
      </w:r>
      <w:r w:rsidR="00EE044C" w:rsidRPr="00DA1726">
        <w:rPr>
          <w:sz w:val="28"/>
          <w:szCs w:val="28"/>
          <w:lang w:val="es-ES_tradnl"/>
        </w:rPr>
        <w:t xml:space="preserve"> </w:t>
      </w:r>
      <w:r w:rsidR="00A4283A" w:rsidRPr="00DA1726">
        <w:rPr>
          <w:sz w:val="28"/>
          <w:szCs w:val="28"/>
          <w:lang w:val="es-ES_tradnl"/>
        </w:rPr>
        <w:t>las</w:t>
      </w:r>
      <w:r w:rsidRPr="00DA1726">
        <w:rPr>
          <w:sz w:val="28"/>
          <w:szCs w:val="28"/>
          <w:lang w:val="es-ES_tradnl"/>
        </w:rPr>
        <w:t xml:space="preserve"> implicaciones que conlleva</w:t>
      </w:r>
      <w:r w:rsidR="00EE044C" w:rsidRPr="00DA1726">
        <w:rPr>
          <w:sz w:val="28"/>
          <w:szCs w:val="28"/>
          <w:lang w:val="es-ES_tradnl"/>
        </w:rPr>
        <w:t xml:space="preserve"> elaborar un </w:t>
      </w:r>
      <w:r w:rsidR="008D66F1" w:rsidRPr="00DA1726">
        <w:rPr>
          <w:i/>
          <w:sz w:val="28"/>
          <w:szCs w:val="28"/>
          <w:lang w:val="es-ES_tradnl"/>
        </w:rPr>
        <w:t>ranking</w:t>
      </w:r>
      <w:r w:rsidR="00EE044C" w:rsidRPr="00DA1726">
        <w:rPr>
          <w:sz w:val="28"/>
          <w:szCs w:val="28"/>
          <w:lang w:val="es-ES_tradnl"/>
        </w:rPr>
        <w:t xml:space="preserve"> de prácticas violatorias para todas las </w:t>
      </w:r>
      <w:r w:rsidR="00A4283A" w:rsidRPr="00DA1726">
        <w:rPr>
          <w:sz w:val="28"/>
          <w:szCs w:val="28"/>
          <w:lang w:val="es-ES_tradnl"/>
        </w:rPr>
        <w:t>IPS</w:t>
      </w:r>
      <w:r w:rsidR="00EE044C" w:rsidRPr="00DA1726">
        <w:rPr>
          <w:sz w:val="28"/>
          <w:szCs w:val="28"/>
          <w:lang w:val="es-ES_tradnl"/>
        </w:rPr>
        <w:t xml:space="preserve">, </w:t>
      </w:r>
      <w:r w:rsidRPr="00DA1726">
        <w:rPr>
          <w:sz w:val="28"/>
          <w:szCs w:val="28"/>
          <w:lang w:val="es-ES_tradnl"/>
        </w:rPr>
        <w:t>lo que</w:t>
      </w:r>
      <w:r w:rsidR="00EE044C" w:rsidRPr="00DA1726">
        <w:rPr>
          <w:sz w:val="28"/>
          <w:szCs w:val="28"/>
          <w:lang w:val="es-ES_tradnl"/>
        </w:rPr>
        <w:t xml:space="preserve"> hasta la fecha han dificultado su cumplimiento.</w:t>
      </w:r>
    </w:p>
    <w:p w:rsidR="00EE044C" w:rsidRPr="00DA1726" w:rsidRDefault="00EE044C" w:rsidP="00DA1726">
      <w:pPr>
        <w:jc w:val="both"/>
        <w:rPr>
          <w:sz w:val="28"/>
          <w:szCs w:val="28"/>
          <w:lang w:val="es-ES_tradnl"/>
        </w:rPr>
      </w:pPr>
    </w:p>
    <w:p w:rsidR="00EE044C" w:rsidRPr="00DA1726" w:rsidRDefault="00EE044C" w:rsidP="00DA1726">
      <w:pPr>
        <w:pStyle w:val="Prrafodelista"/>
        <w:numPr>
          <w:ilvl w:val="0"/>
          <w:numId w:val="13"/>
        </w:numPr>
        <w:jc w:val="both"/>
        <w:rPr>
          <w:b/>
          <w:bCs/>
          <w:sz w:val="28"/>
          <w:szCs w:val="28"/>
          <w:lang w:val="es-ES_tradnl"/>
        </w:rPr>
      </w:pPr>
      <w:r w:rsidRPr="00DA1726">
        <w:rPr>
          <w:b/>
          <w:bCs/>
          <w:sz w:val="28"/>
          <w:szCs w:val="28"/>
          <w:lang w:val="es-ES_tradnl"/>
        </w:rPr>
        <w:t>Rankear a todas las IPS garantizando el principio de la igualdad</w:t>
      </w:r>
      <w:r w:rsidR="00493FE1" w:rsidRPr="00DA1726">
        <w:rPr>
          <w:b/>
          <w:bCs/>
          <w:sz w:val="28"/>
          <w:szCs w:val="28"/>
          <w:lang w:val="es-ES_tradnl"/>
        </w:rPr>
        <w:t xml:space="preserve">. </w:t>
      </w:r>
    </w:p>
    <w:p w:rsidR="00493FE1" w:rsidRPr="00DA1726" w:rsidRDefault="00EE044C" w:rsidP="00DA1726">
      <w:pPr>
        <w:jc w:val="both"/>
        <w:rPr>
          <w:sz w:val="28"/>
          <w:szCs w:val="28"/>
          <w:lang w:val="es-ES_tradnl"/>
        </w:rPr>
      </w:pPr>
      <w:r w:rsidRPr="00DA1726">
        <w:rPr>
          <w:sz w:val="28"/>
          <w:szCs w:val="28"/>
          <w:lang w:val="es-ES_tradnl"/>
        </w:rPr>
        <w:t>Por mandato de la Corte, se debe identificar la totalidad de instituciones prestadoras de servicios de salud que con mayor frecuencia incurren en práctica viol</w:t>
      </w:r>
      <w:r w:rsidR="00493FE1" w:rsidRPr="00DA1726">
        <w:rPr>
          <w:sz w:val="28"/>
          <w:szCs w:val="28"/>
          <w:lang w:val="es-ES_tradnl"/>
        </w:rPr>
        <w:t>atorias del derecho a la salud. Al respecto e</w:t>
      </w:r>
      <w:r w:rsidRPr="00DA1726">
        <w:rPr>
          <w:sz w:val="28"/>
          <w:szCs w:val="28"/>
          <w:lang w:val="es-ES_tradnl"/>
        </w:rPr>
        <w:t xml:space="preserve">l Ministerio ya ha manifestado con anterioridad la dificultad operativa y técnica que representa </w:t>
      </w:r>
      <w:r w:rsidRPr="00DA1726">
        <w:rPr>
          <w:i/>
          <w:iCs/>
          <w:sz w:val="28"/>
          <w:szCs w:val="28"/>
          <w:lang w:val="es-ES_tradnl"/>
        </w:rPr>
        <w:t xml:space="preserve">rankear </w:t>
      </w:r>
      <w:r w:rsidRPr="00DA1726">
        <w:rPr>
          <w:sz w:val="28"/>
          <w:szCs w:val="28"/>
          <w:lang w:val="es-ES_tradnl"/>
        </w:rPr>
        <w:t>a la totalidad de los prestadores en salud (en la actualidad asciende a más de 10.000). La dificultad técnica radica en el hecho de que los prestadores presentan características heterogéneas principalmente enmarcadas en la zona geográfica, en los servicios que oferta, el tipo de población, y</w:t>
      </w:r>
      <w:r w:rsidR="00493FE1" w:rsidRPr="00DA1726">
        <w:rPr>
          <w:sz w:val="28"/>
          <w:szCs w:val="28"/>
          <w:lang w:val="es-ES_tradnl"/>
        </w:rPr>
        <w:t xml:space="preserve"> su carácter público o privado.</w:t>
      </w:r>
    </w:p>
    <w:p w:rsidR="00493FE1" w:rsidRPr="00DA1726" w:rsidRDefault="00493FE1" w:rsidP="00DA1726">
      <w:pPr>
        <w:jc w:val="both"/>
        <w:rPr>
          <w:sz w:val="28"/>
          <w:szCs w:val="28"/>
          <w:lang w:val="es-ES_tradnl"/>
        </w:rPr>
      </w:pPr>
    </w:p>
    <w:p w:rsidR="00EE044C" w:rsidRPr="00DA1726" w:rsidRDefault="00493FE1" w:rsidP="00DA1726">
      <w:pPr>
        <w:jc w:val="both"/>
        <w:rPr>
          <w:sz w:val="28"/>
          <w:szCs w:val="28"/>
          <w:lang w:val="es-ES_tradnl"/>
        </w:rPr>
      </w:pPr>
      <w:r w:rsidRPr="00DA1726">
        <w:rPr>
          <w:sz w:val="28"/>
          <w:szCs w:val="28"/>
          <w:lang w:val="es-ES_tradnl"/>
        </w:rPr>
        <w:t xml:space="preserve">Para tal fin, se </w:t>
      </w:r>
      <w:r w:rsidR="00EE044C" w:rsidRPr="00DA1726">
        <w:rPr>
          <w:sz w:val="28"/>
          <w:szCs w:val="28"/>
          <w:lang w:val="es-ES_tradnl"/>
        </w:rPr>
        <w:t xml:space="preserve">reformó el sistema de información para calidad, con la expedición de la </w:t>
      </w:r>
      <w:r w:rsidRPr="00DA1726">
        <w:rPr>
          <w:sz w:val="28"/>
          <w:szCs w:val="28"/>
          <w:lang w:val="es-ES_tradnl"/>
        </w:rPr>
        <w:t>R</w:t>
      </w:r>
      <w:r w:rsidR="00EE044C" w:rsidRPr="00DA1726">
        <w:rPr>
          <w:sz w:val="28"/>
          <w:szCs w:val="28"/>
          <w:lang w:val="es-ES_tradnl"/>
        </w:rPr>
        <w:t xml:space="preserve">esolución 256 de 2016, se establecieron indicadores de obligatorio reporte por parte de los prestadores que permitirá valorar efectividad, seguridad y la experiencia de la atención en las IPS. </w:t>
      </w:r>
      <w:r w:rsidRPr="00DA1726">
        <w:rPr>
          <w:sz w:val="28"/>
          <w:szCs w:val="28"/>
          <w:lang w:val="es-ES_tradnl"/>
        </w:rPr>
        <w:t xml:space="preserve">Advirtieron que </w:t>
      </w:r>
      <w:r w:rsidR="00EE044C" w:rsidRPr="00DA1726">
        <w:rPr>
          <w:sz w:val="28"/>
          <w:szCs w:val="28"/>
          <w:lang w:val="es-ES_tradnl"/>
        </w:rPr>
        <w:t>esta es una medida estructural, que permitirán a mediano y largo plazo obtener un panorama más aproximado de la calidad vista desde la gestión propia de los hospitales.</w:t>
      </w:r>
    </w:p>
    <w:p w:rsidR="00EE044C" w:rsidRPr="00DA1726" w:rsidRDefault="00EE044C" w:rsidP="00DA1726">
      <w:pPr>
        <w:jc w:val="both"/>
        <w:rPr>
          <w:sz w:val="28"/>
          <w:szCs w:val="28"/>
          <w:lang w:val="es-ES"/>
        </w:rPr>
      </w:pPr>
    </w:p>
    <w:p w:rsidR="00EE044C" w:rsidRPr="00DA1726" w:rsidRDefault="00EE044C" w:rsidP="00DA1726">
      <w:pPr>
        <w:pStyle w:val="Prrafodelista"/>
        <w:numPr>
          <w:ilvl w:val="0"/>
          <w:numId w:val="13"/>
        </w:numPr>
        <w:jc w:val="both"/>
        <w:rPr>
          <w:b/>
          <w:bCs/>
          <w:sz w:val="28"/>
          <w:szCs w:val="28"/>
          <w:lang w:val="es-ES_tradnl"/>
        </w:rPr>
      </w:pPr>
      <w:r w:rsidRPr="00DA1726">
        <w:rPr>
          <w:b/>
          <w:bCs/>
          <w:sz w:val="28"/>
          <w:szCs w:val="28"/>
          <w:lang w:val="es-ES_tradnl"/>
        </w:rPr>
        <w:t>El rol de las IPS en la sentencia T-760</w:t>
      </w:r>
      <w:r w:rsidR="00493FE1" w:rsidRPr="00DA1726">
        <w:rPr>
          <w:b/>
          <w:bCs/>
          <w:sz w:val="28"/>
          <w:szCs w:val="28"/>
          <w:lang w:val="es-ES_tradnl"/>
        </w:rPr>
        <w:t xml:space="preserve"> de</w:t>
      </w:r>
      <w:r w:rsidRPr="00DA1726">
        <w:rPr>
          <w:b/>
          <w:bCs/>
          <w:sz w:val="28"/>
          <w:szCs w:val="28"/>
          <w:lang w:val="es-ES_tradnl"/>
        </w:rPr>
        <w:t xml:space="preserve"> 2008</w:t>
      </w:r>
      <w:r w:rsidR="00E478FE" w:rsidRPr="00DA1726">
        <w:rPr>
          <w:b/>
          <w:bCs/>
          <w:sz w:val="28"/>
          <w:szCs w:val="28"/>
          <w:lang w:val="es-ES_tradnl"/>
        </w:rPr>
        <w:t>.</w:t>
      </w:r>
    </w:p>
    <w:p w:rsidR="00493FE1" w:rsidRPr="00DA1726" w:rsidRDefault="00E478FE" w:rsidP="00DA1726">
      <w:pPr>
        <w:jc w:val="both"/>
        <w:rPr>
          <w:sz w:val="28"/>
          <w:szCs w:val="28"/>
          <w:lang w:val="es-ES_tradnl"/>
        </w:rPr>
      </w:pPr>
      <w:r w:rsidRPr="00DA1726">
        <w:rPr>
          <w:sz w:val="28"/>
          <w:szCs w:val="28"/>
          <w:lang w:val="es-ES_tradnl"/>
        </w:rPr>
        <w:t xml:space="preserve">Explicaron que </w:t>
      </w:r>
      <w:r w:rsidR="00493FE1" w:rsidRPr="00DA1726">
        <w:rPr>
          <w:sz w:val="28"/>
          <w:szCs w:val="28"/>
          <w:lang w:val="es-ES_tradnl"/>
        </w:rPr>
        <w:t xml:space="preserve"> la falta de claridad en la determinación de prácticas violatorias del derecho de la salud para IPS desde la </w:t>
      </w:r>
      <w:r w:rsidR="00493FE1" w:rsidRPr="00DA1726">
        <w:rPr>
          <w:i/>
          <w:iCs/>
          <w:sz w:val="28"/>
          <w:szCs w:val="28"/>
          <w:lang w:val="es-ES_tradnl"/>
        </w:rPr>
        <w:t xml:space="preserve">ratio decidendi </w:t>
      </w:r>
      <w:r w:rsidR="00493FE1" w:rsidRPr="00DA1726">
        <w:rPr>
          <w:sz w:val="28"/>
          <w:szCs w:val="28"/>
          <w:lang w:val="es-ES_tradnl"/>
        </w:rPr>
        <w:t xml:space="preserve">o en el </w:t>
      </w:r>
      <w:r w:rsidRPr="00DA1726">
        <w:rPr>
          <w:i/>
          <w:iCs/>
          <w:sz w:val="28"/>
          <w:szCs w:val="28"/>
          <w:lang w:val="es-ES_tradnl"/>
        </w:rPr>
        <w:t>o</w:t>
      </w:r>
      <w:r w:rsidR="00493FE1" w:rsidRPr="00DA1726">
        <w:rPr>
          <w:i/>
          <w:iCs/>
          <w:sz w:val="28"/>
          <w:szCs w:val="28"/>
          <w:lang w:val="es-ES_tradnl"/>
        </w:rPr>
        <w:t xml:space="preserve">biter dicta </w:t>
      </w:r>
      <w:r w:rsidR="00493FE1" w:rsidRPr="00DA1726">
        <w:rPr>
          <w:sz w:val="28"/>
          <w:szCs w:val="28"/>
          <w:lang w:val="es-ES_tradnl"/>
        </w:rPr>
        <w:t xml:space="preserve">de la </w:t>
      </w:r>
      <w:r w:rsidRPr="00DA1726">
        <w:rPr>
          <w:sz w:val="28"/>
          <w:szCs w:val="28"/>
          <w:lang w:val="es-ES_tradnl"/>
        </w:rPr>
        <w:t>providencia objeto de seguimiento</w:t>
      </w:r>
      <w:r w:rsidR="00493FE1" w:rsidRPr="00DA1726">
        <w:rPr>
          <w:sz w:val="28"/>
          <w:szCs w:val="28"/>
          <w:lang w:val="es-ES_tradnl"/>
        </w:rPr>
        <w:t xml:space="preserve"> no justifica el incumplimiento en la elaboración de un </w:t>
      </w:r>
      <w:r w:rsidR="008D66F1" w:rsidRPr="00DA1726">
        <w:rPr>
          <w:i/>
          <w:sz w:val="28"/>
          <w:szCs w:val="28"/>
          <w:lang w:val="es-ES_tradnl"/>
        </w:rPr>
        <w:t>ranking</w:t>
      </w:r>
      <w:r w:rsidR="00493FE1" w:rsidRPr="00DA1726">
        <w:rPr>
          <w:sz w:val="28"/>
          <w:szCs w:val="28"/>
          <w:lang w:val="es-ES_tradnl"/>
        </w:rPr>
        <w:t>, pero sí se considera como un antecedente importante que ha impactado negativamente en el desarrollo de esta orden.</w:t>
      </w:r>
    </w:p>
    <w:p w:rsidR="00EE044C" w:rsidRPr="00DA1726" w:rsidRDefault="00EE044C" w:rsidP="00DA1726">
      <w:pPr>
        <w:jc w:val="both"/>
        <w:rPr>
          <w:sz w:val="28"/>
          <w:szCs w:val="28"/>
          <w:lang w:val="es-ES_tradnl"/>
        </w:rPr>
      </w:pPr>
    </w:p>
    <w:p w:rsidR="00E478FE" w:rsidRPr="00DA1726" w:rsidRDefault="00EE044C" w:rsidP="00DA1726">
      <w:pPr>
        <w:jc w:val="both"/>
        <w:rPr>
          <w:i/>
          <w:sz w:val="28"/>
          <w:szCs w:val="28"/>
          <w:lang w:val="es-ES_tradnl"/>
        </w:rPr>
      </w:pPr>
      <w:r w:rsidRPr="00DA1726">
        <w:rPr>
          <w:i/>
          <w:sz w:val="28"/>
          <w:szCs w:val="28"/>
          <w:lang w:val="es-ES_tradnl"/>
        </w:rPr>
        <w:t>iii. Met</w:t>
      </w:r>
      <w:r w:rsidR="00E478FE" w:rsidRPr="00DA1726">
        <w:rPr>
          <w:i/>
          <w:sz w:val="28"/>
          <w:szCs w:val="28"/>
          <w:lang w:val="es-ES_tradnl"/>
        </w:rPr>
        <w:t>odología de ordenamiento de IPS.</w:t>
      </w:r>
    </w:p>
    <w:p w:rsidR="00E478FE" w:rsidRPr="00DA1726" w:rsidRDefault="00E478FE" w:rsidP="00DA1726">
      <w:pPr>
        <w:jc w:val="both"/>
        <w:rPr>
          <w:sz w:val="28"/>
          <w:szCs w:val="28"/>
          <w:lang w:val="es-ES_tradnl"/>
        </w:rPr>
      </w:pPr>
    </w:p>
    <w:p w:rsidR="00E478FE" w:rsidRPr="00DA1726" w:rsidRDefault="00E478FE" w:rsidP="00DA1726">
      <w:pPr>
        <w:jc w:val="both"/>
        <w:rPr>
          <w:sz w:val="28"/>
          <w:szCs w:val="28"/>
          <w:lang w:val="es-ES_tradnl"/>
        </w:rPr>
      </w:pPr>
      <w:r w:rsidRPr="00DA1726">
        <w:rPr>
          <w:sz w:val="28"/>
          <w:szCs w:val="28"/>
          <w:lang w:val="es-ES_tradnl"/>
        </w:rPr>
        <w:t xml:space="preserve">A pesar de lo expuesto con anterioridad, en cumplimiento de lo ordenando por la Corte Constitucional </w:t>
      </w:r>
      <w:r w:rsidR="00A47C90" w:rsidRPr="00DA1726">
        <w:rPr>
          <w:sz w:val="28"/>
          <w:szCs w:val="28"/>
          <w:lang w:val="es-ES_tradnl"/>
        </w:rPr>
        <w:t>describieron</w:t>
      </w:r>
      <w:r w:rsidRPr="00DA1726">
        <w:rPr>
          <w:sz w:val="28"/>
          <w:szCs w:val="28"/>
          <w:lang w:val="es-ES_tradnl"/>
        </w:rPr>
        <w:t xml:space="preserve"> la metodol</w:t>
      </w:r>
      <w:r w:rsidR="00A47C90" w:rsidRPr="00DA1726">
        <w:rPr>
          <w:sz w:val="28"/>
          <w:szCs w:val="28"/>
          <w:lang w:val="es-ES_tradnl"/>
        </w:rPr>
        <w:t>ogía y los indicadores utilizado</w:t>
      </w:r>
      <w:r w:rsidRPr="00DA1726">
        <w:rPr>
          <w:sz w:val="28"/>
          <w:szCs w:val="28"/>
          <w:lang w:val="es-ES_tradnl"/>
        </w:rPr>
        <w:t>s en el ordenamiento presentado en este documento.</w:t>
      </w:r>
      <w:r w:rsidR="00570AB1" w:rsidRPr="00DA1726">
        <w:rPr>
          <w:sz w:val="28"/>
          <w:szCs w:val="28"/>
          <w:lang w:val="es-ES_tradnl"/>
        </w:rPr>
        <w:t xml:space="preserve"> </w:t>
      </w:r>
    </w:p>
    <w:p w:rsidR="00E478FE" w:rsidRPr="00DA1726" w:rsidRDefault="00E478FE" w:rsidP="00DA1726">
      <w:pPr>
        <w:jc w:val="both"/>
        <w:rPr>
          <w:sz w:val="28"/>
          <w:szCs w:val="28"/>
          <w:lang w:val="es-ES_tradnl"/>
        </w:rPr>
      </w:pPr>
    </w:p>
    <w:p w:rsidR="00B92009" w:rsidRPr="00DA1726" w:rsidRDefault="004B7ADE" w:rsidP="00DA1726">
      <w:pPr>
        <w:jc w:val="both"/>
        <w:rPr>
          <w:sz w:val="28"/>
          <w:szCs w:val="28"/>
          <w:lang w:val="es-ES_tradnl"/>
        </w:rPr>
      </w:pPr>
      <w:r w:rsidRPr="00DA1726">
        <w:rPr>
          <w:sz w:val="28"/>
          <w:szCs w:val="28"/>
          <w:lang w:val="es-ES_tradnl"/>
        </w:rPr>
        <w:t>Afirmaron que solamente los indicadores propuestos cumplen con los requisitos de formulación</w:t>
      </w:r>
      <w:r w:rsidR="00B92009" w:rsidRPr="00DA1726">
        <w:rPr>
          <w:sz w:val="28"/>
          <w:szCs w:val="28"/>
          <w:lang w:val="es-ES_tradnl"/>
        </w:rPr>
        <w:t>, debido a que reflejan: (i) el comportamiento de un determinado servicio que presta la institución en razón a la oportunidad; (ii) percepción del usuario; (iii) promoción y prevención de la salud frente al manejo de la hipertensión arterial; y (iv) comportamiento del servicio hospitalario y quirúrgico.</w:t>
      </w:r>
    </w:p>
    <w:p w:rsidR="008B5047" w:rsidRPr="00DA1726" w:rsidRDefault="008B5047" w:rsidP="00DA1726">
      <w:pPr>
        <w:jc w:val="both"/>
        <w:rPr>
          <w:sz w:val="28"/>
          <w:szCs w:val="28"/>
          <w:lang w:val="es-ES_tradnl"/>
        </w:rPr>
      </w:pPr>
    </w:p>
    <w:p w:rsidR="000F053C" w:rsidRPr="00DA1726" w:rsidRDefault="008B5047" w:rsidP="00DA1726">
      <w:pPr>
        <w:jc w:val="both"/>
        <w:rPr>
          <w:sz w:val="28"/>
          <w:szCs w:val="28"/>
          <w:lang w:val="es-ES_tradnl"/>
        </w:rPr>
      </w:pPr>
      <w:r w:rsidRPr="00DA1726">
        <w:rPr>
          <w:sz w:val="28"/>
          <w:szCs w:val="28"/>
          <w:lang w:val="es-ES_tradnl"/>
        </w:rPr>
        <w:t>I</w:t>
      </w:r>
      <w:r w:rsidR="000F053C" w:rsidRPr="00DA1726">
        <w:rPr>
          <w:sz w:val="28"/>
          <w:szCs w:val="28"/>
          <w:lang w:val="es-ES_tradnl"/>
        </w:rPr>
        <w:t xml:space="preserve">ndicaron que las IPS presentan heterogeneidad en su composición así como en los servicios que prestan. Por tal razón, se definieron unas variables diferenciadoras que </w:t>
      </w:r>
      <w:r w:rsidR="000F053C" w:rsidRPr="00DA1726">
        <w:rPr>
          <w:i/>
          <w:iCs/>
          <w:sz w:val="28"/>
          <w:szCs w:val="28"/>
          <w:lang w:val="es-ES_tradnl"/>
        </w:rPr>
        <w:t xml:space="preserve">alertan </w:t>
      </w:r>
      <w:r w:rsidR="000F053C" w:rsidRPr="00DA1726">
        <w:rPr>
          <w:sz w:val="28"/>
          <w:szCs w:val="28"/>
          <w:lang w:val="es-ES_tradnl"/>
        </w:rPr>
        <w:t xml:space="preserve">o </w:t>
      </w:r>
      <w:r w:rsidR="000F053C" w:rsidRPr="00DA1726">
        <w:rPr>
          <w:i/>
          <w:iCs/>
          <w:sz w:val="28"/>
          <w:szCs w:val="28"/>
          <w:lang w:val="es-ES_tradnl"/>
        </w:rPr>
        <w:t xml:space="preserve">Informan </w:t>
      </w:r>
      <w:r w:rsidR="000F053C" w:rsidRPr="00DA1726">
        <w:rPr>
          <w:sz w:val="28"/>
          <w:szCs w:val="28"/>
          <w:lang w:val="es-ES_tradnl"/>
        </w:rPr>
        <w:t>a los usuarios sobre las condiciones de un determinado prestador, puesto que las mismas tienen profundas implicaciones en la manera que se debe interpretar la clasificación.</w:t>
      </w:r>
    </w:p>
    <w:p w:rsidR="00E90DCA" w:rsidRPr="00DA1726" w:rsidRDefault="00E90DCA" w:rsidP="00DA1726">
      <w:pPr>
        <w:jc w:val="both"/>
        <w:rPr>
          <w:sz w:val="28"/>
          <w:szCs w:val="28"/>
          <w:lang w:val="es-ES_tradnl"/>
        </w:rPr>
      </w:pPr>
    </w:p>
    <w:p w:rsidR="00570AB1" w:rsidRPr="00DA1726" w:rsidRDefault="00381B89" w:rsidP="00DA1726">
      <w:pPr>
        <w:jc w:val="both"/>
        <w:rPr>
          <w:sz w:val="28"/>
          <w:szCs w:val="28"/>
          <w:lang w:val="es-ES_tradnl"/>
        </w:rPr>
      </w:pPr>
      <w:r w:rsidRPr="00DA1726">
        <w:rPr>
          <w:b/>
          <w:bCs/>
          <w:sz w:val="28"/>
          <w:szCs w:val="28"/>
          <w:lang w:val="es-ES_tradnl"/>
        </w:rPr>
        <w:t>Zona geográfica</w:t>
      </w:r>
      <w:r w:rsidR="00556749" w:rsidRPr="00DA1726">
        <w:rPr>
          <w:b/>
          <w:bCs/>
          <w:sz w:val="28"/>
          <w:szCs w:val="28"/>
          <w:lang w:val="es-ES_tradnl"/>
        </w:rPr>
        <w:t>.</w:t>
      </w:r>
      <w:r w:rsidRPr="00DA1726">
        <w:rPr>
          <w:b/>
          <w:bCs/>
          <w:sz w:val="28"/>
          <w:szCs w:val="28"/>
          <w:lang w:val="es-ES_tradnl"/>
        </w:rPr>
        <w:t xml:space="preserve"> </w:t>
      </w:r>
      <w:r w:rsidRPr="00DA1726">
        <w:rPr>
          <w:sz w:val="28"/>
          <w:szCs w:val="28"/>
          <w:lang w:val="es-ES_tradnl"/>
        </w:rPr>
        <w:t>Las características del territorio influyen en la manera en que se prestan de servicios de salud asi como en su oferta, por tanto es relevante diferenciar aquellas IPS que se encuentran en las zonas urbanas</w:t>
      </w:r>
      <w:r w:rsidR="00E90DCA" w:rsidRPr="00DA1726">
        <w:rPr>
          <w:sz w:val="28"/>
          <w:szCs w:val="28"/>
          <w:vertAlign w:val="superscript"/>
          <w:lang w:val="es-ES_tradnl"/>
        </w:rPr>
        <w:footnoteReference w:id="75"/>
      </w:r>
      <w:r w:rsidRPr="00DA1726">
        <w:rPr>
          <w:sz w:val="28"/>
          <w:szCs w:val="28"/>
          <w:lang w:val="es-ES_tradnl"/>
        </w:rPr>
        <w:t>, en la alta ruralidad</w:t>
      </w:r>
      <w:r w:rsidR="00E90DCA" w:rsidRPr="00DA1726">
        <w:rPr>
          <w:sz w:val="28"/>
          <w:szCs w:val="28"/>
          <w:vertAlign w:val="superscript"/>
          <w:lang w:val="es-ES_tradnl"/>
        </w:rPr>
        <w:footnoteReference w:id="76"/>
      </w:r>
      <w:r w:rsidRPr="00DA1726">
        <w:rPr>
          <w:sz w:val="28"/>
          <w:szCs w:val="28"/>
          <w:lang w:val="es-ES_tradnl"/>
        </w:rPr>
        <w:t xml:space="preserve"> y en las zonas dispersas</w:t>
      </w:r>
      <w:r w:rsidR="00E90DCA" w:rsidRPr="00DA1726">
        <w:rPr>
          <w:sz w:val="28"/>
          <w:szCs w:val="28"/>
          <w:vertAlign w:val="superscript"/>
          <w:lang w:val="es-ES_tradnl"/>
        </w:rPr>
        <w:footnoteReference w:id="77"/>
      </w:r>
      <w:r w:rsidR="00E90DCA" w:rsidRPr="00DA1726">
        <w:rPr>
          <w:sz w:val="28"/>
          <w:szCs w:val="28"/>
          <w:lang w:val="es-ES_tradnl"/>
        </w:rPr>
        <w:t>.</w:t>
      </w:r>
    </w:p>
    <w:p w:rsidR="00E90DCA" w:rsidRPr="00DA1726" w:rsidRDefault="00E90DCA" w:rsidP="00DA1726">
      <w:pPr>
        <w:jc w:val="both"/>
        <w:rPr>
          <w:sz w:val="28"/>
          <w:szCs w:val="28"/>
          <w:lang w:val="es-ES_tradnl"/>
        </w:rPr>
      </w:pPr>
    </w:p>
    <w:p w:rsidR="00556749" w:rsidRPr="00DA1726" w:rsidRDefault="00556749" w:rsidP="00DA1726">
      <w:pPr>
        <w:jc w:val="both"/>
        <w:rPr>
          <w:sz w:val="28"/>
          <w:szCs w:val="28"/>
          <w:lang w:val="es-ES_tradnl"/>
        </w:rPr>
      </w:pPr>
      <w:r w:rsidRPr="00DA1726">
        <w:rPr>
          <w:b/>
          <w:bCs/>
          <w:sz w:val="28"/>
          <w:szCs w:val="28"/>
          <w:lang w:val="es-ES_tradnl"/>
        </w:rPr>
        <w:t xml:space="preserve">Acreditación. </w:t>
      </w:r>
      <w:r w:rsidRPr="00DA1726">
        <w:rPr>
          <w:sz w:val="28"/>
          <w:szCs w:val="28"/>
          <w:lang w:val="es-ES_tradnl"/>
        </w:rPr>
        <w:t>Es un proceso voluntario y periódico de autoevaluación interna y revisión externa de los procesos y resultados, que garantizan y mejoran la calidad de la atención del cliente en una organización de salud, a través de una serie de estándares óptimos y factibles de alcanzar, previamente conocidos por las entidades evaluadas</w:t>
      </w:r>
      <w:r w:rsidRPr="00DA1726">
        <w:rPr>
          <w:sz w:val="28"/>
          <w:szCs w:val="28"/>
          <w:vertAlign w:val="superscript"/>
          <w:lang w:val="es-ES_tradnl"/>
        </w:rPr>
        <w:footnoteReference w:id="78"/>
      </w:r>
      <w:r w:rsidRPr="00DA1726">
        <w:rPr>
          <w:sz w:val="28"/>
          <w:szCs w:val="28"/>
          <w:lang w:val="es-ES_tradnl"/>
        </w:rPr>
        <w:t xml:space="preserve">. </w:t>
      </w:r>
    </w:p>
    <w:p w:rsidR="00556749" w:rsidRPr="00DA1726" w:rsidRDefault="00556749" w:rsidP="00DA1726">
      <w:pPr>
        <w:jc w:val="both"/>
        <w:rPr>
          <w:sz w:val="28"/>
          <w:szCs w:val="28"/>
          <w:lang w:val="es-ES_tradnl"/>
        </w:rPr>
      </w:pPr>
    </w:p>
    <w:p w:rsidR="00556749" w:rsidRPr="00DA1726" w:rsidRDefault="00556749" w:rsidP="00DA1726">
      <w:pPr>
        <w:jc w:val="both"/>
        <w:rPr>
          <w:sz w:val="28"/>
          <w:szCs w:val="28"/>
          <w:lang w:val="es-ES_tradnl"/>
        </w:rPr>
      </w:pPr>
      <w:r w:rsidRPr="00DA1726">
        <w:rPr>
          <w:b/>
          <w:bCs/>
          <w:sz w:val="28"/>
          <w:szCs w:val="28"/>
          <w:lang w:val="es-ES_tradnl"/>
        </w:rPr>
        <w:t>Complejidad.</w:t>
      </w:r>
      <w:r w:rsidRPr="00DA1726">
        <w:rPr>
          <w:sz w:val="28"/>
          <w:szCs w:val="28"/>
          <w:lang w:val="es-ES_tradnl"/>
        </w:rPr>
        <w:t xml:space="preserve"> Se busca diferenciar las IPS de complejidad I o II de las III y IV. Ya que las IPS de mayor complejidad gozan de mayor infraestructura, talento humano especializado, por lo general se encuentran en zona urbanas y no presentan mayores barreras en la distancia entre los servicios y la población.</w:t>
      </w:r>
    </w:p>
    <w:p w:rsidR="00556749" w:rsidRPr="00DA1726" w:rsidRDefault="00556749" w:rsidP="00DA1726">
      <w:pPr>
        <w:jc w:val="both"/>
        <w:rPr>
          <w:b/>
          <w:bCs/>
          <w:sz w:val="28"/>
          <w:szCs w:val="28"/>
          <w:lang w:val="es-ES_tradnl"/>
        </w:rPr>
      </w:pPr>
    </w:p>
    <w:p w:rsidR="00EE044C" w:rsidRPr="00DA1726" w:rsidRDefault="00556749" w:rsidP="00DA1726">
      <w:pPr>
        <w:jc w:val="both"/>
        <w:rPr>
          <w:sz w:val="28"/>
          <w:szCs w:val="28"/>
          <w:lang w:val="es-ES_tradnl"/>
        </w:rPr>
      </w:pPr>
      <w:r w:rsidRPr="00DA1726">
        <w:rPr>
          <w:b/>
          <w:bCs/>
          <w:sz w:val="28"/>
          <w:szCs w:val="28"/>
          <w:lang w:val="es-ES_tradnl"/>
        </w:rPr>
        <w:t xml:space="preserve">Naturaleza jurídica de las Instituciones prestadoras de servicios de salud. </w:t>
      </w:r>
      <w:r w:rsidRPr="00DA1726">
        <w:rPr>
          <w:sz w:val="28"/>
          <w:szCs w:val="28"/>
          <w:lang w:val="es-ES_tradnl"/>
        </w:rPr>
        <w:t>Existen tres clases de IPS: Públicas, Privadas y Mixtas.</w:t>
      </w:r>
    </w:p>
    <w:p w:rsidR="00556749" w:rsidRPr="00DA1726" w:rsidRDefault="00556749" w:rsidP="00DA1726">
      <w:pPr>
        <w:jc w:val="both"/>
        <w:rPr>
          <w:sz w:val="28"/>
          <w:szCs w:val="28"/>
          <w:lang w:val="es-ES_tradnl"/>
        </w:rPr>
      </w:pPr>
    </w:p>
    <w:p w:rsidR="00556749" w:rsidRPr="00DA1726" w:rsidRDefault="008B5047" w:rsidP="00DA1726">
      <w:pPr>
        <w:jc w:val="both"/>
        <w:rPr>
          <w:sz w:val="28"/>
          <w:szCs w:val="28"/>
          <w:lang w:val="es-ES_tradnl"/>
        </w:rPr>
      </w:pPr>
      <w:r w:rsidRPr="00DA1726">
        <w:rPr>
          <w:bCs/>
          <w:sz w:val="28"/>
          <w:szCs w:val="28"/>
          <w:lang w:val="es-ES_tradnl"/>
        </w:rPr>
        <w:t>En este contexto</w:t>
      </w:r>
      <w:r w:rsidR="00A73A81" w:rsidRPr="00DA1726">
        <w:rPr>
          <w:bCs/>
          <w:sz w:val="28"/>
          <w:szCs w:val="28"/>
          <w:lang w:val="es-ES_tradnl"/>
        </w:rPr>
        <w:t xml:space="preserve">, se elaboró un </w:t>
      </w:r>
      <w:r w:rsidR="008D66F1" w:rsidRPr="00DA1726">
        <w:rPr>
          <w:bCs/>
          <w:i/>
          <w:sz w:val="28"/>
          <w:szCs w:val="28"/>
          <w:lang w:val="es-ES_tradnl"/>
        </w:rPr>
        <w:t>ranking</w:t>
      </w:r>
      <w:r w:rsidR="00556749" w:rsidRPr="00DA1726">
        <w:rPr>
          <w:bCs/>
          <w:sz w:val="28"/>
          <w:szCs w:val="28"/>
          <w:lang w:val="es-ES_tradnl"/>
        </w:rPr>
        <w:t xml:space="preserve"> de </w:t>
      </w:r>
      <w:r w:rsidR="00EA4FAC" w:rsidRPr="00DA1726">
        <w:rPr>
          <w:bCs/>
          <w:sz w:val="28"/>
          <w:szCs w:val="28"/>
          <w:lang w:val="es-ES_tradnl"/>
        </w:rPr>
        <w:t>IPS</w:t>
      </w:r>
      <w:r w:rsidR="00556749" w:rsidRPr="00DA1726">
        <w:rPr>
          <w:bCs/>
          <w:sz w:val="28"/>
          <w:szCs w:val="28"/>
          <w:lang w:val="es-ES_tradnl"/>
        </w:rPr>
        <w:t>-2016</w:t>
      </w:r>
      <w:r w:rsidR="00A73A81" w:rsidRPr="00DA1726">
        <w:rPr>
          <w:bCs/>
          <w:sz w:val="28"/>
          <w:szCs w:val="28"/>
          <w:lang w:val="es-ES_tradnl"/>
        </w:rPr>
        <w:t xml:space="preserve"> </w:t>
      </w:r>
      <w:r w:rsidR="00556749" w:rsidRPr="00DA1726">
        <w:rPr>
          <w:sz w:val="28"/>
          <w:szCs w:val="28"/>
          <w:lang w:val="es-ES_tradnl"/>
        </w:rPr>
        <w:t xml:space="preserve">que contiene dos clasificaciones: </w:t>
      </w:r>
      <w:r w:rsidR="00A73A81" w:rsidRPr="00DA1726">
        <w:rPr>
          <w:sz w:val="28"/>
          <w:szCs w:val="28"/>
          <w:lang w:val="es-ES_tradnl"/>
        </w:rPr>
        <w:t xml:space="preserve">(i) </w:t>
      </w:r>
      <w:r w:rsidR="00A73A81" w:rsidRPr="00DA1726">
        <w:rPr>
          <w:bCs/>
          <w:sz w:val="28"/>
          <w:szCs w:val="28"/>
          <w:lang w:val="es-ES_tradnl"/>
        </w:rPr>
        <w:t xml:space="preserve">de servicio y percepción del paciente; y (ii) </w:t>
      </w:r>
      <w:r w:rsidR="004C3CED" w:rsidRPr="00DA1726">
        <w:rPr>
          <w:bCs/>
          <w:sz w:val="28"/>
          <w:szCs w:val="28"/>
          <w:lang w:val="es-ES_tradnl"/>
        </w:rPr>
        <w:t>ámbito y percepción del paciente.</w:t>
      </w:r>
      <w:r w:rsidR="004C3CED" w:rsidRPr="00DA1726">
        <w:rPr>
          <w:b/>
          <w:bCs/>
          <w:sz w:val="28"/>
          <w:szCs w:val="28"/>
          <w:lang w:val="es-ES_tradnl"/>
        </w:rPr>
        <w:t xml:space="preserve"> </w:t>
      </w:r>
      <w:r w:rsidR="00556749" w:rsidRPr="00DA1726">
        <w:rPr>
          <w:sz w:val="28"/>
          <w:szCs w:val="28"/>
          <w:lang w:val="es-ES_tradnl"/>
        </w:rPr>
        <w:t xml:space="preserve">Adicionalmente al ordenamiento cuantitativo se adicionó una variable denominada </w:t>
      </w:r>
      <w:r w:rsidR="004C3CED" w:rsidRPr="00DA1726">
        <w:rPr>
          <w:bCs/>
          <w:i/>
          <w:iCs/>
          <w:sz w:val="28"/>
          <w:szCs w:val="28"/>
          <w:lang w:val="es-ES_tradnl"/>
        </w:rPr>
        <w:t>estimativo de desempeño,</w:t>
      </w:r>
      <w:r w:rsidR="004C3CED" w:rsidRPr="00DA1726">
        <w:rPr>
          <w:b/>
          <w:bCs/>
          <w:i/>
          <w:iCs/>
          <w:sz w:val="28"/>
          <w:szCs w:val="28"/>
          <w:lang w:val="es-ES_tradnl"/>
        </w:rPr>
        <w:t xml:space="preserve"> </w:t>
      </w:r>
      <w:r w:rsidR="00556749" w:rsidRPr="00DA1726">
        <w:rPr>
          <w:sz w:val="28"/>
          <w:szCs w:val="28"/>
          <w:lang w:val="es-ES_tradnl"/>
        </w:rPr>
        <w:t xml:space="preserve">la cual asigna una valoración cualitativa a la ponderación de los </w:t>
      </w:r>
      <w:r w:rsidR="008D66F1" w:rsidRPr="00DA1726">
        <w:rPr>
          <w:i/>
          <w:sz w:val="28"/>
          <w:szCs w:val="28"/>
          <w:lang w:val="es-ES_tradnl"/>
        </w:rPr>
        <w:t>ranking</w:t>
      </w:r>
      <w:r w:rsidR="00556749" w:rsidRPr="00DA1726">
        <w:rPr>
          <w:sz w:val="28"/>
          <w:szCs w:val="28"/>
          <w:lang w:val="es-ES_tradnl"/>
        </w:rPr>
        <w:t xml:space="preserve">s, </w:t>
      </w:r>
      <w:r w:rsidR="004C3CED" w:rsidRPr="00DA1726">
        <w:rPr>
          <w:sz w:val="28"/>
          <w:szCs w:val="28"/>
          <w:lang w:val="es-ES_tradnl"/>
        </w:rPr>
        <w:t>que se hizo</w:t>
      </w:r>
      <w:r w:rsidR="00556749" w:rsidRPr="00DA1726">
        <w:rPr>
          <w:sz w:val="28"/>
          <w:szCs w:val="28"/>
          <w:lang w:val="es-ES_tradnl"/>
        </w:rPr>
        <w:t xml:space="preserve"> con dos intenciones</w:t>
      </w:r>
      <w:r w:rsidR="004C3CED" w:rsidRPr="00DA1726">
        <w:rPr>
          <w:sz w:val="28"/>
          <w:szCs w:val="28"/>
          <w:lang w:val="es-ES_tradnl"/>
        </w:rPr>
        <w:t>:</w:t>
      </w:r>
      <w:r w:rsidR="00556749" w:rsidRPr="00DA1726">
        <w:rPr>
          <w:sz w:val="28"/>
          <w:szCs w:val="28"/>
          <w:lang w:val="es-ES_tradnl"/>
        </w:rPr>
        <w:t xml:space="preserve"> </w:t>
      </w:r>
      <w:r w:rsidR="004C3CED" w:rsidRPr="00DA1726">
        <w:rPr>
          <w:sz w:val="28"/>
          <w:szCs w:val="28"/>
          <w:lang w:val="es-ES_tradnl"/>
        </w:rPr>
        <w:t>(i) p</w:t>
      </w:r>
      <w:r w:rsidR="00556749" w:rsidRPr="00DA1726">
        <w:rPr>
          <w:sz w:val="28"/>
          <w:szCs w:val="28"/>
          <w:lang w:val="es-ES_tradnl"/>
        </w:rPr>
        <w:t>ara el usuario es más comprensible una clasificaci</w:t>
      </w:r>
      <w:r w:rsidR="004C3CED" w:rsidRPr="00DA1726">
        <w:rPr>
          <w:sz w:val="28"/>
          <w:szCs w:val="28"/>
          <w:lang w:val="es-ES_tradnl"/>
        </w:rPr>
        <w:t>ón por nombres, que por números; (ii) l</w:t>
      </w:r>
      <w:r w:rsidR="00556749" w:rsidRPr="00DA1726">
        <w:rPr>
          <w:sz w:val="28"/>
          <w:szCs w:val="28"/>
          <w:lang w:val="es-ES_tradnl"/>
        </w:rPr>
        <w:t xml:space="preserve">as categorías </w:t>
      </w:r>
      <w:r w:rsidR="004C3CED" w:rsidRPr="00DA1726">
        <w:rPr>
          <w:i/>
          <w:sz w:val="28"/>
          <w:szCs w:val="28"/>
          <w:lang w:val="es-ES_tradnl"/>
        </w:rPr>
        <w:t>(a)</w:t>
      </w:r>
      <w:r w:rsidR="004C3CED" w:rsidRPr="00DA1726">
        <w:rPr>
          <w:sz w:val="28"/>
          <w:szCs w:val="28"/>
          <w:lang w:val="es-ES_tradnl"/>
        </w:rPr>
        <w:t xml:space="preserve"> </w:t>
      </w:r>
      <w:r w:rsidR="00556749" w:rsidRPr="00DA1726">
        <w:rPr>
          <w:i/>
          <w:iCs/>
          <w:sz w:val="28"/>
          <w:szCs w:val="28"/>
          <w:lang w:val="es-ES_tradnl"/>
        </w:rPr>
        <w:t>mejor que el promedio</w:t>
      </w:r>
      <w:r w:rsidR="004C3CED" w:rsidRPr="00DA1726">
        <w:rPr>
          <w:i/>
          <w:iCs/>
          <w:sz w:val="28"/>
          <w:szCs w:val="28"/>
          <w:vertAlign w:val="superscript"/>
          <w:lang w:val="es-ES_tradnl"/>
        </w:rPr>
        <w:footnoteReference w:id="79"/>
      </w:r>
      <w:r w:rsidR="00556749" w:rsidRPr="00DA1726">
        <w:rPr>
          <w:i/>
          <w:iCs/>
          <w:sz w:val="28"/>
          <w:szCs w:val="28"/>
          <w:lang w:val="es-ES_tradnl"/>
        </w:rPr>
        <w:t xml:space="preserve">, </w:t>
      </w:r>
      <w:r w:rsidR="004C3CED" w:rsidRPr="00DA1726">
        <w:rPr>
          <w:i/>
          <w:iCs/>
          <w:sz w:val="28"/>
          <w:szCs w:val="28"/>
          <w:lang w:val="es-ES_tradnl"/>
        </w:rPr>
        <w:t xml:space="preserve">(b) </w:t>
      </w:r>
      <w:r w:rsidR="00556749" w:rsidRPr="00DA1726">
        <w:rPr>
          <w:i/>
          <w:iCs/>
          <w:sz w:val="28"/>
          <w:szCs w:val="28"/>
          <w:lang w:val="es-ES_tradnl"/>
        </w:rPr>
        <w:t>en el promedio</w:t>
      </w:r>
      <w:r w:rsidR="004C3CED" w:rsidRPr="00DA1726">
        <w:rPr>
          <w:i/>
          <w:iCs/>
          <w:sz w:val="28"/>
          <w:szCs w:val="28"/>
          <w:vertAlign w:val="superscript"/>
          <w:lang w:val="es-ES_tradnl"/>
        </w:rPr>
        <w:footnoteReference w:id="80"/>
      </w:r>
      <w:r w:rsidR="00556749" w:rsidRPr="00DA1726">
        <w:rPr>
          <w:i/>
          <w:iCs/>
          <w:sz w:val="28"/>
          <w:szCs w:val="28"/>
          <w:lang w:val="es-ES_tradnl"/>
        </w:rPr>
        <w:t xml:space="preserve"> y </w:t>
      </w:r>
      <w:r w:rsidR="004C3CED" w:rsidRPr="00DA1726">
        <w:rPr>
          <w:i/>
          <w:iCs/>
          <w:sz w:val="28"/>
          <w:szCs w:val="28"/>
          <w:lang w:val="es-ES_tradnl"/>
        </w:rPr>
        <w:t xml:space="preserve">(c) </w:t>
      </w:r>
      <w:r w:rsidR="00556749" w:rsidRPr="00DA1726">
        <w:rPr>
          <w:i/>
          <w:iCs/>
          <w:sz w:val="28"/>
          <w:szCs w:val="28"/>
          <w:lang w:val="es-ES_tradnl"/>
        </w:rPr>
        <w:t>el resto</w:t>
      </w:r>
      <w:r w:rsidR="004C3CED" w:rsidRPr="00DA1726">
        <w:rPr>
          <w:i/>
          <w:iCs/>
          <w:sz w:val="28"/>
          <w:szCs w:val="28"/>
          <w:vertAlign w:val="superscript"/>
          <w:lang w:val="es-ES_tradnl"/>
        </w:rPr>
        <w:footnoteReference w:id="81"/>
      </w:r>
      <w:r w:rsidR="00556749" w:rsidRPr="00DA1726">
        <w:rPr>
          <w:i/>
          <w:iCs/>
          <w:sz w:val="28"/>
          <w:szCs w:val="28"/>
          <w:lang w:val="es-ES_tradnl"/>
        </w:rPr>
        <w:t xml:space="preserve">, </w:t>
      </w:r>
      <w:r w:rsidR="00556749" w:rsidRPr="00DA1726">
        <w:rPr>
          <w:sz w:val="28"/>
          <w:szCs w:val="28"/>
          <w:lang w:val="es-ES_tradnl"/>
        </w:rPr>
        <w:t xml:space="preserve">generan mayor impacto en los evaluados y en los usuarios ya que visibilizan y agrupan en grandes categorías IPS </w:t>
      </w:r>
      <w:r w:rsidR="004C3CED" w:rsidRPr="00DA1726">
        <w:rPr>
          <w:sz w:val="28"/>
          <w:szCs w:val="28"/>
          <w:lang w:val="es-ES_tradnl"/>
        </w:rPr>
        <w:t xml:space="preserve">con </w:t>
      </w:r>
      <w:r w:rsidR="00556749" w:rsidRPr="00DA1726">
        <w:rPr>
          <w:sz w:val="28"/>
          <w:szCs w:val="28"/>
          <w:lang w:val="es-ES_tradnl"/>
        </w:rPr>
        <w:t>desempeño similar.</w:t>
      </w:r>
    </w:p>
    <w:p w:rsidR="004C3CED" w:rsidRPr="00DA1726" w:rsidRDefault="004C3CED" w:rsidP="00DA1726">
      <w:pPr>
        <w:jc w:val="both"/>
        <w:rPr>
          <w:sz w:val="28"/>
          <w:szCs w:val="28"/>
          <w:lang w:val="es-ES_tradnl"/>
        </w:rPr>
      </w:pPr>
    </w:p>
    <w:p w:rsidR="00171AF5" w:rsidRPr="00DA1726" w:rsidRDefault="008B5047" w:rsidP="00DA1726">
      <w:pPr>
        <w:jc w:val="both"/>
        <w:rPr>
          <w:bCs/>
          <w:iCs/>
          <w:sz w:val="28"/>
          <w:szCs w:val="28"/>
          <w:lang w:val="es-ES_tradnl"/>
        </w:rPr>
      </w:pPr>
      <w:r w:rsidRPr="00DA1726">
        <w:rPr>
          <w:sz w:val="28"/>
          <w:szCs w:val="28"/>
          <w:lang w:val="es-ES_tradnl"/>
        </w:rPr>
        <w:t>También</w:t>
      </w:r>
      <w:r w:rsidR="00EC4265" w:rsidRPr="00DA1726">
        <w:rPr>
          <w:sz w:val="28"/>
          <w:szCs w:val="28"/>
          <w:lang w:val="es-ES_tradnl"/>
        </w:rPr>
        <w:t xml:space="preserve"> se dispuso de un visor por mapa</w:t>
      </w:r>
      <w:r w:rsidR="009A3AC8" w:rsidRPr="00DA1726">
        <w:rPr>
          <w:sz w:val="28"/>
          <w:szCs w:val="28"/>
          <w:vertAlign w:val="superscript"/>
          <w:lang w:val="es-ES_tradnl"/>
        </w:rPr>
        <w:footnoteReference w:id="82"/>
      </w:r>
      <w:r w:rsidR="00EC4265" w:rsidRPr="00DA1726">
        <w:rPr>
          <w:sz w:val="28"/>
          <w:szCs w:val="28"/>
          <w:lang w:val="es-ES_tradnl"/>
        </w:rPr>
        <w:t xml:space="preserve"> en el cual el usuario puede observar tres tipos de clasificaciones:</w:t>
      </w:r>
      <w:r w:rsidR="009A3AC8" w:rsidRPr="00DA1726">
        <w:rPr>
          <w:sz w:val="28"/>
          <w:szCs w:val="28"/>
          <w:lang w:val="es-ES_tradnl"/>
        </w:rPr>
        <w:t xml:space="preserve"> </w:t>
      </w:r>
      <w:r w:rsidR="002817F2" w:rsidRPr="00DA1726">
        <w:rPr>
          <w:sz w:val="28"/>
          <w:szCs w:val="28"/>
          <w:lang w:val="es-ES_tradnl"/>
        </w:rPr>
        <w:t xml:space="preserve">(i) </w:t>
      </w:r>
      <w:r w:rsidR="002817F2" w:rsidRPr="00DA1726">
        <w:rPr>
          <w:bCs/>
          <w:iCs/>
          <w:sz w:val="28"/>
          <w:szCs w:val="28"/>
          <w:lang w:val="es-ES_tradnl"/>
        </w:rPr>
        <w:t>servicios hospitalarios</w:t>
      </w:r>
      <w:r w:rsidR="009A3AC8" w:rsidRPr="00DA1726">
        <w:rPr>
          <w:bCs/>
          <w:iCs/>
          <w:sz w:val="28"/>
          <w:szCs w:val="28"/>
          <w:vertAlign w:val="superscript"/>
          <w:lang w:val="es-ES_tradnl"/>
        </w:rPr>
        <w:footnoteReference w:id="83"/>
      </w:r>
      <w:r w:rsidR="002817F2" w:rsidRPr="00DA1726">
        <w:rPr>
          <w:bCs/>
          <w:iCs/>
          <w:sz w:val="28"/>
          <w:szCs w:val="28"/>
          <w:lang w:val="es-ES_tradnl"/>
        </w:rPr>
        <w:t>; (ii) percepción del paciente</w:t>
      </w:r>
      <w:r w:rsidR="002817F2" w:rsidRPr="00DA1726">
        <w:rPr>
          <w:bCs/>
          <w:iCs/>
          <w:sz w:val="28"/>
          <w:szCs w:val="28"/>
          <w:vertAlign w:val="superscript"/>
          <w:lang w:val="es-ES_tradnl"/>
        </w:rPr>
        <w:footnoteReference w:id="84"/>
      </w:r>
      <w:r w:rsidR="002817F2" w:rsidRPr="00DA1726">
        <w:rPr>
          <w:bCs/>
          <w:iCs/>
          <w:sz w:val="28"/>
          <w:szCs w:val="28"/>
          <w:lang w:val="es-ES_tradnl"/>
        </w:rPr>
        <w:t xml:space="preserve">; </w:t>
      </w:r>
      <w:r w:rsidR="006E0B04" w:rsidRPr="00DA1726">
        <w:rPr>
          <w:bCs/>
          <w:iCs/>
          <w:sz w:val="28"/>
          <w:szCs w:val="28"/>
          <w:lang w:val="es-ES_tradnl"/>
        </w:rPr>
        <w:t xml:space="preserve">y </w:t>
      </w:r>
      <w:r w:rsidR="002817F2" w:rsidRPr="00DA1726">
        <w:rPr>
          <w:bCs/>
          <w:iCs/>
          <w:sz w:val="28"/>
          <w:szCs w:val="28"/>
          <w:lang w:val="es-ES_tradnl"/>
        </w:rPr>
        <w:t>(iii) consulta médica general</w:t>
      </w:r>
      <w:r w:rsidR="002817F2" w:rsidRPr="00DA1726">
        <w:rPr>
          <w:bCs/>
          <w:iCs/>
          <w:sz w:val="28"/>
          <w:szCs w:val="28"/>
          <w:vertAlign w:val="superscript"/>
          <w:lang w:val="es-ES_tradnl"/>
        </w:rPr>
        <w:footnoteReference w:id="85"/>
      </w:r>
      <w:r w:rsidR="00A42C87" w:rsidRPr="00DA1726">
        <w:rPr>
          <w:bCs/>
          <w:iCs/>
          <w:sz w:val="28"/>
          <w:szCs w:val="28"/>
          <w:lang w:val="es-ES_tradnl"/>
        </w:rPr>
        <w:t>.</w:t>
      </w:r>
    </w:p>
    <w:p w:rsidR="00171AF5" w:rsidRPr="00DA1726" w:rsidRDefault="00171AF5" w:rsidP="00DA1726">
      <w:pPr>
        <w:rPr>
          <w:sz w:val="28"/>
          <w:szCs w:val="28"/>
          <w:lang w:val="es-ES_tradnl"/>
        </w:rPr>
      </w:pPr>
    </w:p>
    <w:p w:rsidR="008A2D81" w:rsidRPr="00DA1726" w:rsidRDefault="008A2D81" w:rsidP="00DA1726">
      <w:pPr>
        <w:pStyle w:val="Prrafodelista1"/>
        <w:tabs>
          <w:tab w:val="left" w:pos="426"/>
        </w:tabs>
        <w:suppressAutoHyphens/>
        <w:ind w:left="0"/>
        <w:jc w:val="both"/>
        <w:rPr>
          <w:szCs w:val="28"/>
          <w:lang w:val="es-CO"/>
        </w:rPr>
      </w:pPr>
      <w:r w:rsidRPr="00DA1726">
        <w:rPr>
          <w:szCs w:val="28"/>
          <w:lang w:val="es-CO"/>
        </w:rPr>
        <w:t xml:space="preserve">Finalmente, el Ministerio y la Superintendencia de Salud solicitaron la ejecución de una sesión técnica para deliberar sobre las alternativas para superar las fallas relacionadas en el informe de vigencia 2015. </w:t>
      </w:r>
    </w:p>
    <w:p w:rsidR="008A2D81" w:rsidRPr="00DA1726" w:rsidRDefault="008A2D81" w:rsidP="00DA1726">
      <w:pPr>
        <w:jc w:val="both"/>
        <w:rPr>
          <w:sz w:val="28"/>
          <w:szCs w:val="28"/>
          <w:lang w:val="es-ES_tradnl"/>
        </w:rPr>
      </w:pPr>
    </w:p>
    <w:p w:rsidR="006D71B6" w:rsidRPr="00DA1726" w:rsidRDefault="006D71B6" w:rsidP="00DA1726">
      <w:pPr>
        <w:pStyle w:val="Prrafodelista"/>
        <w:numPr>
          <w:ilvl w:val="1"/>
          <w:numId w:val="7"/>
        </w:numPr>
        <w:tabs>
          <w:tab w:val="left" w:pos="426"/>
        </w:tabs>
        <w:ind w:left="0" w:firstLine="0"/>
        <w:jc w:val="both"/>
        <w:rPr>
          <w:sz w:val="28"/>
          <w:szCs w:val="28"/>
        </w:rPr>
      </w:pPr>
      <w:r w:rsidRPr="00DA1726">
        <w:rPr>
          <w:sz w:val="28"/>
          <w:szCs w:val="28"/>
          <w:lang w:val="es-ES_tradnl"/>
        </w:rPr>
        <w:t xml:space="preserve">A través de Auto 219 del 19 de mayo de 2016, </w:t>
      </w:r>
      <w:r w:rsidR="0017096D" w:rsidRPr="00DA1726">
        <w:rPr>
          <w:sz w:val="28"/>
          <w:szCs w:val="28"/>
          <w:lang w:val="es-ES_tradnl"/>
        </w:rPr>
        <w:t xml:space="preserve">se aceptó la solicitud de convocatoria a sesión técnica, la cual se fijaría </w:t>
      </w:r>
      <w:r w:rsidRPr="00DA1726">
        <w:rPr>
          <w:sz w:val="28"/>
          <w:szCs w:val="28"/>
        </w:rPr>
        <w:t xml:space="preserve">una vez </w:t>
      </w:r>
      <w:r w:rsidR="0017096D" w:rsidRPr="00DA1726">
        <w:rPr>
          <w:sz w:val="28"/>
          <w:szCs w:val="28"/>
        </w:rPr>
        <w:t>recibidas y analizadas</w:t>
      </w:r>
      <w:r w:rsidRPr="00DA1726">
        <w:rPr>
          <w:sz w:val="28"/>
          <w:szCs w:val="28"/>
        </w:rPr>
        <w:t xml:space="preserve"> las respuestas de los peritos constitucionales voluntarios sobre el documento trasladado mediante la presente providencia, en aras de contar con mayores elementos de juicio al momento de su realización. </w:t>
      </w:r>
    </w:p>
    <w:p w:rsidR="006D71B6" w:rsidRPr="00DA1726" w:rsidRDefault="006D71B6" w:rsidP="00DA1726">
      <w:pPr>
        <w:pStyle w:val="Sinespaciado1"/>
        <w:tabs>
          <w:tab w:val="left" w:pos="426"/>
        </w:tabs>
        <w:jc w:val="both"/>
        <w:rPr>
          <w:rFonts w:ascii="Times New Roman" w:hAnsi="Times New Roman"/>
          <w:sz w:val="28"/>
          <w:szCs w:val="28"/>
        </w:rPr>
      </w:pPr>
    </w:p>
    <w:p w:rsidR="006D71B6" w:rsidRPr="00DA1726" w:rsidRDefault="00D17629" w:rsidP="00DA1726">
      <w:pPr>
        <w:pStyle w:val="Prrafodelista"/>
        <w:numPr>
          <w:ilvl w:val="2"/>
          <w:numId w:val="7"/>
        </w:numPr>
        <w:ind w:left="0" w:firstLine="0"/>
        <w:jc w:val="both"/>
        <w:rPr>
          <w:sz w:val="28"/>
          <w:szCs w:val="28"/>
          <w:lang w:val="es-ES_tradnl"/>
        </w:rPr>
      </w:pPr>
      <w:r w:rsidRPr="00DA1726">
        <w:rPr>
          <w:sz w:val="28"/>
          <w:szCs w:val="28"/>
          <w:lang w:val="es-ES_tradnl"/>
        </w:rPr>
        <w:t>El 20 de junio de 2016, la Comisión de Seguimiento a la Sentencia T-760 de 2008 y de Reforma Estructural del Sistema de Salud y Seguridad Social (CSR) presentó concepto en relación con lo expuesto en el Auto 219 de 2016</w:t>
      </w:r>
      <w:r w:rsidR="007E67AA" w:rsidRPr="00DA1726">
        <w:rPr>
          <w:sz w:val="28"/>
          <w:szCs w:val="28"/>
          <w:vertAlign w:val="superscript"/>
          <w:lang w:val="es-ES_tradnl"/>
        </w:rPr>
        <w:footnoteReference w:id="86"/>
      </w:r>
      <w:r w:rsidRPr="00DA1726">
        <w:rPr>
          <w:sz w:val="28"/>
          <w:szCs w:val="28"/>
          <w:lang w:val="es-ES_tradnl"/>
        </w:rPr>
        <w:t xml:space="preserve">. </w:t>
      </w:r>
    </w:p>
    <w:p w:rsidR="00D17629" w:rsidRPr="00DA1726" w:rsidRDefault="00D17629" w:rsidP="00DA1726">
      <w:pPr>
        <w:pStyle w:val="Prrafodelista"/>
        <w:ind w:left="0"/>
        <w:jc w:val="both"/>
        <w:rPr>
          <w:sz w:val="28"/>
          <w:szCs w:val="28"/>
          <w:lang w:val="es-ES_tradnl"/>
        </w:rPr>
      </w:pPr>
    </w:p>
    <w:p w:rsidR="00D17629" w:rsidRPr="00DA1726" w:rsidRDefault="00D17629" w:rsidP="00DA1726">
      <w:pPr>
        <w:pStyle w:val="Prrafodelista"/>
        <w:ind w:left="0"/>
        <w:jc w:val="both"/>
        <w:rPr>
          <w:sz w:val="28"/>
          <w:szCs w:val="28"/>
          <w:lang w:val="es-ES_tradnl"/>
        </w:rPr>
      </w:pPr>
      <w:r w:rsidRPr="00DA1726">
        <w:rPr>
          <w:sz w:val="28"/>
          <w:szCs w:val="28"/>
          <w:lang w:val="es-ES_tradnl"/>
        </w:rPr>
        <w:t xml:space="preserve">Expuso que existe un problema en la interpretación del contenido de esta orden por parte del Ministerio de Salud y Protección Social y de la Superintendencia Nacional de Salud, consistente en mezclar la orden 20 con la 28, es decir asumir que el </w:t>
      </w:r>
      <w:r w:rsidR="008D66F1" w:rsidRPr="00DA1726">
        <w:rPr>
          <w:i/>
          <w:sz w:val="28"/>
          <w:szCs w:val="28"/>
          <w:lang w:val="es-ES_tradnl"/>
        </w:rPr>
        <w:t>ranking</w:t>
      </w:r>
      <w:r w:rsidRPr="00DA1726">
        <w:rPr>
          <w:sz w:val="28"/>
          <w:szCs w:val="28"/>
          <w:lang w:val="es-ES_tradnl"/>
        </w:rPr>
        <w:t xml:space="preserve"> solicitado en la orden 20 sobre negaciones de servicios es un </w:t>
      </w:r>
      <w:r w:rsidR="008D66F1" w:rsidRPr="00DA1726">
        <w:rPr>
          <w:i/>
          <w:sz w:val="28"/>
          <w:szCs w:val="28"/>
          <w:lang w:val="es-ES_tradnl"/>
        </w:rPr>
        <w:t>ranking</w:t>
      </w:r>
      <w:r w:rsidRPr="00DA1726">
        <w:rPr>
          <w:sz w:val="28"/>
          <w:szCs w:val="28"/>
          <w:lang w:val="es-ES_tradnl"/>
        </w:rPr>
        <w:t xml:space="preserve"> de desempeño de las </w:t>
      </w:r>
      <w:r w:rsidR="00EA4FAC" w:rsidRPr="00DA1726">
        <w:rPr>
          <w:sz w:val="28"/>
          <w:szCs w:val="28"/>
          <w:lang w:val="es-ES_tradnl"/>
        </w:rPr>
        <w:t>IPS</w:t>
      </w:r>
      <w:r w:rsidRPr="00DA1726">
        <w:rPr>
          <w:sz w:val="28"/>
          <w:szCs w:val="28"/>
          <w:lang w:val="es-ES_tradnl"/>
        </w:rPr>
        <w:t xml:space="preserve"> y </w:t>
      </w:r>
      <w:r w:rsidR="00EA4FAC" w:rsidRPr="00DA1726">
        <w:rPr>
          <w:sz w:val="28"/>
          <w:szCs w:val="28"/>
          <w:lang w:val="es-ES_tradnl"/>
        </w:rPr>
        <w:t>EPS</w:t>
      </w:r>
      <w:r w:rsidRPr="00DA1726">
        <w:rPr>
          <w:sz w:val="28"/>
          <w:szCs w:val="28"/>
          <w:lang w:val="es-ES_tradnl"/>
        </w:rPr>
        <w:t xml:space="preserve">. </w:t>
      </w:r>
    </w:p>
    <w:p w:rsidR="00D17629" w:rsidRPr="00DA1726" w:rsidRDefault="00D17629" w:rsidP="00DA1726">
      <w:pPr>
        <w:pStyle w:val="Prrafodelista"/>
        <w:ind w:left="0"/>
        <w:jc w:val="both"/>
        <w:rPr>
          <w:sz w:val="28"/>
          <w:szCs w:val="28"/>
          <w:lang w:val="es-ES_tradnl"/>
        </w:rPr>
      </w:pPr>
    </w:p>
    <w:p w:rsidR="00D17629" w:rsidRPr="00DA1726" w:rsidRDefault="00D17629" w:rsidP="00DA1726">
      <w:pPr>
        <w:pStyle w:val="Prrafodelista"/>
        <w:ind w:left="0"/>
        <w:jc w:val="both"/>
        <w:rPr>
          <w:sz w:val="28"/>
          <w:szCs w:val="28"/>
          <w:lang w:val="es-ES_tradnl"/>
        </w:rPr>
      </w:pPr>
      <w:r w:rsidRPr="00DA1726">
        <w:rPr>
          <w:sz w:val="28"/>
          <w:szCs w:val="28"/>
          <w:lang w:val="es-ES_tradnl"/>
        </w:rPr>
        <w:t xml:space="preserve">En su concepto los informes presentados por la Superintendencia de Salud y el Ministerio de Salud y Protección Social, abandonan el contenido esencial de la orden 20 que es identificar las </w:t>
      </w:r>
      <w:r w:rsidR="008B5047" w:rsidRPr="00DA1726">
        <w:rPr>
          <w:sz w:val="28"/>
          <w:szCs w:val="28"/>
          <w:lang w:val="es-ES_tradnl"/>
        </w:rPr>
        <w:t>promotoras</w:t>
      </w:r>
      <w:r w:rsidRPr="00DA1726">
        <w:rPr>
          <w:sz w:val="28"/>
          <w:szCs w:val="28"/>
          <w:lang w:val="es-ES_tradnl"/>
        </w:rPr>
        <w:t xml:space="preserve"> </w:t>
      </w:r>
      <w:r w:rsidR="008B5047" w:rsidRPr="00DA1726">
        <w:rPr>
          <w:sz w:val="28"/>
          <w:szCs w:val="28"/>
          <w:lang w:val="es-ES_tradnl"/>
        </w:rPr>
        <w:t>y prestadoras</w:t>
      </w:r>
      <w:r w:rsidRPr="00DA1726">
        <w:rPr>
          <w:sz w:val="28"/>
          <w:szCs w:val="28"/>
          <w:lang w:val="es-ES_tradnl"/>
        </w:rPr>
        <w:t xml:space="preserve"> que con mayor frecuencia niegan servicios y se concentran en modificar su contenido para indagar sobre indicadores de calidad y desempeño financiero, lo que evidencia que el objetivo de la orden se ha desviado hacia medir la calidad y no la negación.</w:t>
      </w:r>
    </w:p>
    <w:p w:rsidR="00D17629" w:rsidRPr="00DA1726" w:rsidRDefault="00D17629" w:rsidP="00DA1726">
      <w:pPr>
        <w:rPr>
          <w:sz w:val="28"/>
          <w:szCs w:val="28"/>
          <w:lang w:val="es-ES"/>
        </w:rPr>
      </w:pPr>
    </w:p>
    <w:p w:rsidR="00D17629" w:rsidRPr="00DA1726" w:rsidRDefault="00AE7F75" w:rsidP="00DA1726">
      <w:pPr>
        <w:jc w:val="both"/>
        <w:rPr>
          <w:sz w:val="28"/>
          <w:szCs w:val="28"/>
          <w:lang w:val="es-ES_tradnl"/>
        </w:rPr>
      </w:pPr>
      <w:r w:rsidRPr="00DA1726">
        <w:rPr>
          <w:sz w:val="28"/>
          <w:szCs w:val="28"/>
          <w:lang w:val="es-ES_tradnl"/>
        </w:rPr>
        <w:t>Agregó que l</w:t>
      </w:r>
      <w:r w:rsidR="00D17629" w:rsidRPr="00DA1726">
        <w:rPr>
          <w:sz w:val="28"/>
          <w:szCs w:val="28"/>
          <w:lang w:val="es-ES_tradnl"/>
        </w:rPr>
        <w:t>a situación que persigu</w:t>
      </w:r>
      <w:r w:rsidR="008B5047" w:rsidRPr="00DA1726">
        <w:rPr>
          <w:sz w:val="28"/>
          <w:szCs w:val="28"/>
          <w:lang w:val="es-ES_tradnl"/>
        </w:rPr>
        <w:t>e identificar la orden 20 es cuá</w:t>
      </w:r>
      <w:r w:rsidR="00D17629" w:rsidRPr="00DA1726">
        <w:rPr>
          <w:sz w:val="28"/>
          <w:szCs w:val="28"/>
          <w:lang w:val="es-ES_tradnl"/>
        </w:rPr>
        <w:t xml:space="preserve">ntos servicios negó la EPS o IPS sin importar si su desempeño es alto y de buena calidad o al contrario. </w:t>
      </w:r>
      <w:r w:rsidRPr="00DA1726">
        <w:rPr>
          <w:sz w:val="28"/>
          <w:szCs w:val="28"/>
          <w:lang w:val="es-ES_tradnl"/>
        </w:rPr>
        <w:t>A</w:t>
      </w:r>
      <w:r w:rsidR="00D17629" w:rsidRPr="00DA1726">
        <w:rPr>
          <w:sz w:val="28"/>
          <w:szCs w:val="28"/>
          <w:lang w:val="es-ES_tradnl"/>
        </w:rPr>
        <w:t>marrar las negaciones a indicadores de calidad y desempeño financiero sería abrir el camino para afirmar que el derecho de los ciudadanos</w:t>
      </w:r>
      <w:r w:rsidRPr="00DA1726">
        <w:rPr>
          <w:sz w:val="28"/>
          <w:szCs w:val="28"/>
          <w:lang w:val="es-ES_tradnl"/>
        </w:rPr>
        <w:t xml:space="preserve"> está</w:t>
      </w:r>
      <w:r w:rsidR="00D17629" w:rsidRPr="00DA1726">
        <w:rPr>
          <w:sz w:val="28"/>
          <w:szCs w:val="28"/>
          <w:lang w:val="es-ES_tradnl"/>
        </w:rPr>
        <w:t xml:space="preserve"> limitado a las condiciones administrativas, f</w:t>
      </w:r>
      <w:r w:rsidR="00FD4C63" w:rsidRPr="00DA1726">
        <w:rPr>
          <w:sz w:val="28"/>
          <w:szCs w:val="28"/>
          <w:lang w:val="es-ES_tradnl"/>
        </w:rPr>
        <w:t>inancieras y de infraestructura,</w:t>
      </w:r>
      <w:r w:rsidR="00D17629" w:rsidRPr="00DA1726">
        <w:rPr>
          <w:sz w:val="28"/>
          <w:szCs w:val="28"/>
          <w:lang w:val="es-ES_tradnl"/>
        </w:rPr>
        <w:t xml:space="preserve"> por lo tanto cuando estas no tengan las condiciones adecuadas la negación se justifica.</w:t>
      </w:r>
    </w:p>
    <w:p w:rsidR="00D17629" w:rsidRPr="00DA1726" w:rsidRDefault="00D17629" w:rsidP="00DA1726">
      <w:pPr>
        <w:rPr>
          <w:sz w:val="28"/>
          <w:szCs w:val="28"/>
          <w:lang w:val="es-ES"/>
        </w:rPr>
      </w:pPr>
    </w:p>
    <w:p w:rsidR="00AE7F75" w:rsidRPr="00DA1726" w:rsidRDefault="0017590B" w:rsidP="00DA1726">
      <w:pPr>
        <w:pStyle w:val="Prrafodelista"/>
        <w:ind w:left="0"/>
        <w:jc w:val="both"/>
        <w:rPr>
          <w:sz w:val="28"/>
          <w:szCs w:val="28"/>
          <w:lang w:val="es-ES_tradnl"/>
        </w:rPr>
      </w:pPr>
      <w:r w:rsidRPr="00DA1726">
        <w:rPr>
          <w:sz w:val="28"/>
          <w:szCs w:val="28"/>
          <w:lang w:val="es-ES_tradnl"/>
        </w:rPr>
        <w:t>En su criterio,</w:t>
      </w:r>
      <w:r w:rsidR="00D17629" w:rsidRPr="00DA1726">
        <w:rPr>
          <w:sz w:val="28"/>
          <w:szCs w:val="28"/>
          <w:lang w:val="es-ES_tradnl"/>
        </w:rPr>
        <w:t xml:space="preserve"> se debe volver a la intención inicial</w:t>
      </w:r>
      <w:r w:rsidRPr="00DA1726">
        <w:rPr>
          <w:sz w:val="28"/>
          <w:szCs w:val="28"/>
          <w:lang w:val="es-ES_tradnl"/>
        </w:rPr>
        <w:t xml:space="preserve"> de un </w:t>
      </w:r>
      <w:r w:rsidR="008D66F1" w:rsidRPr="00DA1726">
        <w:rPr>
          <w:i/>
          <w:sz w:val="28"/>
          <w:szCs w:val="28"/>
          <w:lang w:val="es-ES_tradnl"/>
        </w:rPr>
        <w:t>ranking</w:t>
      </w:r>
      <w:r w:rsidRPr="00DA1726">
        <w:rPr>
          <w:sz w:val="28"/>
          <w:szCs w:val="28"/>
          <w:lang w:val="es-ES_tradnl"/>
        </w:rPr>
        <w:t xml:space="preserve"> simple que ordene</w:t>
      </w:r>
      <w:r w:rsidR="00D17629" w:rsidRPr="00DA1726">
        <w:rPr>
          <w:sz w:val="28"/>
          <w:szCs w:val="28"/>
          <w:lang w:val="es-ES_tradnl"/>
        </w:rPr>
        <w:t xml:space="preserve"> las </w:t>
      </w:r>
      <w:r w:rsidRPr="00DA1726">
        <w:rPr>
          <w:sz w:val="28"/>
          <w:szCs w:val="28"/>
          <w:lang w:val="es-ES_tradnl"/>
        </w:rPr>
        <w:t>aseguradoras y prestadoras</w:t>
      </w:r>
      <w:r w:rsidR="00D17629" w:rsidRPr="00DA1726">
        <w:rPr>
          <w:sz w:val="28"/>
          <w:szCs w:val="28"/>
          <w:lang w:val="es-ES_tradnl"/>
        </w:rPr>
        <w:t xml:space="preserve"> que con mayor frecuencia niegan servicios y a lo sumo ponderar este en relación con el número de afiliados que atiende cada una. </w:t>
      </w:r>
    </w:p>
    <w:p w:rsidR="00AE7F75" w:rsidRPr="00DA1726" w:rsidRDefault="00AE7F75" w:rsidP="00DA1726">
      <w:pPr>
        <w:pStyle w:val="Prrafodelista"/>
        <w:ind w:left="0"/>
        <w:jc w:val="both"/>
        <w:rPr>
          <w:sz w:val="28"/>
          <w:szCs w:val="28"/>
          <w:lang w:val="es-ES_tradnl"/>
        </w:rPr>
      </w:pPr>
    </w:p>
    <w:p w:rsidR="00AE7F75" w:rsidRPr="00DA1726" w:rsidRDefault="00AE7F75" w:rsidP="00DA1726">
      <w:pPr>
        <w:jc w:val="both"/>
        <w:rPr>
          <w:sz w:val="28"/>
          <w:szCs w:val="28"/>
          <w:lang w:val="es-ES_tradnl"/>
        </w:rPr>
      </w:pPr>
      <w:r w:rsidRPr="00DA1726">
        <w:rPr>
          <w:sz w:val="28"/>
          <w:szCs w:val="28"/>
          <w:lang w:val="es-ES_tradnl"/>
        </w:rPr>
        <w:t xml:space="preserve">Respecto al aplicativo </w:t>
      </w:r>
      <w:r w:rsidR="0017590B" w:rsidRPr="00DA1726">
        <w:rPr>
          <w:sz w:val="28"/>
          <w:szCs w:val="28"/>
          <w:lang w:val="es-ES_tradnl"/>
        </w:rPr>
        <w:t>electrónico,</w:t>
      </w:r>
      <w:r w:rsidRPr="00DA1726">
        <w:rPr>
          <w:sz w:val="28"/>
          <w:szCs w:val="28"/>
          <w:lang w:val="es-ES_tradnl"/>
        </w:rPr>
        <w:t xml:space="preserve"> indicó que posee información signi</w:t>
      </w:r>
      <w:r w:rsidR="0017590B" w:rsidRPr="00DA1726">
        <w:rPr>
          <w:sz w:val="28"/>
          <w:szCs w:val="28"/>
          <w:lang w:val="es-ES_tradnl"/>
        </w:rPr>
        <w:t>ficativa, aunque no es entendibl</w:t>
      </w:r>
      <w:r w:rsidRPr="00DA1726">
        <w:rPr>
          <w:sz w:val="28"/>
          <w:szCs w:val="28"/>
          <w:lang w:val="es-ES_tradnl"/>
        </w:rPr>
        <w:t>e para los ciudadanos que no están familiarizados con las estadísticas y tampoco son claros algunos indicadores.</w:t>
      </w:r>
      <w:r w:rsidR="0017590B" w:rsidRPr="00DA1726">
        <w:rPr>
          <w:sz w:val="28"/>
          <w:szCs w:val="28"/>
          <w:lang w:val="es-ES_tradnl"/>
        </w:rPr>
        <w:t xml:space="preserve"> E</w:t>
      </w:r>
      <w:r w:rsidRPr="00DA1726">
        <w:rPr>
          <w:sz w:val="28"/>
          <w:szCs w:val="28"/>
          <w:lang w:val="es-ES_tradnl"/>
        </w:rPr>
        <w:t xml:space="preserve">l </w:t>
      </w:r>
      <w:r w:rsidR="008D66F1" w:rsidRPr="00DA1726">
        <w:rPr>
          <w:i/>
          <w:sz w:val="28"/>
          <w:szCs w:val="28"/>
          <w:lang w:val="es-ES_tradnl"/>
        </w:rPr>
        <w:t>ranking</w:t>
      </w:r>
      <w:r w:rsidRPr="00DA1726">
        <w:rPr>
          <w:sz w:val="28"/>
          <w:szCs w:val="28"/>
          <w:lang w:val="es-ES_tradnl"/>
        </w:rPr>
        <w:t xml:space="preserve"> simple se volvió tan complejo que desincentiva al ciudadano para consultarlo, las negaciones se diluyeron y partieron en diferentes categorías, </w:t>
      </w:r>
      <w:r w:rsidR="0017590B" w:rsidRPr="00DA1726">
        <w:rPr>
          <w:sz w:val="28"/>
          <w:szCs w:val="28"/>
          <w:lang w:val="es-ES_tradnl"/>
        </w:rPr>
        <w:t xml:space="preserve">por lo </w:t>
      </w:r>
      <w:r w:rsidRPr="00DA1726">
        <w:rPr>
          <w:sz w:val="28"/>
          <w:szCs w:val="28"/>
          <w:lang w:val="es-ES_tradnl"/>
        </w:rPr>
        <w:t xml:space="preserve">que es muy difícil acceder al dato general de cuantas negaciones tiene una EPS o IPS independientemente de si es por accesibilidad, oportunidad, calidad o del servicio que preste, </w:t>
      </w:r>
      <w:r w:rsidR="0017590B" w:rsidRPr="00DA1726">
        <w:rPr>
          <w:sz w:val="28"/>
          <w:szCs w:val="28"/>
          <w:lang w:val="es-ES_tradnl"/>
        </w:rPr>
        <w:t>a pesar de que el dato clave es cuá</w:t>
      </w:r>
      <w:r w:rsidRPr="00DA1726">
        <w:rPr>
          <w:sz w:val="28"/>
          <w:szCs w:val="28"/>
          <w:lang w:val="es-ES_tradnl"/>
        </w:rPr>
        <w:t>ntas negaciones se dan independientemente de la categoría o del servicio.</w:t>
      </w:r>
    </w:p>
    <w:p w:rsidR="00AE7F75" w:rsidRPr="00DA1726" w:rsidRDefault="00AE7F75" w:rsidP="00DA1726">
      <w:pPr>
        <w:jc w:val="both"/>
        <w:rPr>
          <w:sz w:val="28"/>
          <w:szCs w:val="28"/>
          <w:lang w:val="es-ES_tradnl"/>
        </w:rPr>
      </w:pPr>
    </w:p>
    <w:p w:rsidR="0007486E" w:rsidRPr="00DA1726" w:rsidRDefault="0007486E" w:rsidP="00DA1726">
      <w:pPr>
        <w:pStyle w:val="Prrafodelista"/>
        <w:numPr>
          <w:ilvl w:val="1"/>
          <w:numId w:val="7"/>
        </w:numPr>
        <w:ind w:left="0" w:firstLine="0"/>
        <w:jc w:val="both"/>
        <w:rPr>
          <w:b/>
          <w:sz w:val="28"/>
          <w:szCs w:val="28"/>
        </w:rPr>
      </w:pPr>
      <w:r w:rsidRPr="00DA1726">
        <w:rPr>
          <w:sz w:val="28"/>
          <w:szCs w:val="28"/>
          <w:lang w:val="es-ES_tradnl"/>
        </w:rPr>
        <w:t xml:space="preserve">El 12 de agosto de 2016, el Ministerio de Salud remitió informe </w:t>
      </w:r>
      <w:r w:rsidR="004E7A5B" w:rsidRPr="00DA1726">
        <w:rPr>
          <w:sz w:val="28"/>
          <w:szCs w:val="28"/>
          <w:lang w:val="es-ES_tradnl"/>
        </w:rPr>
        <w:t>alusivo a la sesión técnica solicitada</w:t>
      </w:r>
      <w:r w:rsidR="00257DC4" w:rsidRPr="00DA1726">
        <w:rPr>
          <w:sz w:val="28"/>
          <w:szCs w:val="28"/>
          <w:lang w:val="es-ES_tradnl"/>
        </w:rPr>
        <w:t>,</w:t>
      </w:r>
      <w:r w:rsidRPr="00DA1726">
        <w:rPr>
          <w:sz w:val="28"/>
          <w:szCs w:val="28"/>
          <w:lang w:val="es-ES_tradnl"/>
        </w:rPr>
        <w:t xml:space="preserve"> el que se dividió en tres secciones: (i) </w:t>
      </w:r>
      <w:r w:rsidRPr="00DA1726">
        <w:rPr>
          <w:sz w:val="28"/>
          <w:szCs w:val="28"/>
        </w:rPr>
        <w:t xml:space="preserve">antecedentes y avances del </w:t>
      </w:r>
      <w:r w:rsidR="008D66F1" w:rsidRPr="00DA1726">
        <w:rPr>
          <w:i/>
          <w:sz w:val="28"/>
          <w:szCs w:val="28"/>
        </w:rPr>
        <w:t>ranking</w:t>
      </w:r>
      <w:r w:rsidRPr="00DA1726">
        <w:rPr>
          <w:sz w:val="28"/>
          <w:szCs w:val="28"/>
        </w:rPr>
        <w:t xml:space="preserve"> de IPS; (ii) identificación de barreras de implementación; y (iii) oportunidades de mejora del </w:t>
      </w:r>
      <w:r w:rsidR="008D66F1" w:rsidRPr="00DA1726">
        <w:rPr>
          <w:i/>
          <w:sz w:val="28"/>
          <w:szCs w:val="28"/>
        </w:rPr>
        <w:t>ranking</w:t>
      </w:r>
      <w:r w:rsidRPr="00DA1726">
        <w:rPr>
          <w:sz w:val="28"/>
          <w:szCs w:val="28"/>
        </w:rPr>
        <w:t xml:space="preserve">. </w:t>
      </w:r>
    </w:p>
    <w:p w:rsidR="0007486E" w:rsidRPr="00DA1726" w:rsidRDefault="0007486E" w:rsidP="00DA1726">
      <w:pPr>
        <w:pStyle w:val="Prrafodelista"/>
        <w:ind w:left="0"/>
        <w:jc w:val="both"/>
        <w:rPr>
          <w:sz w:val="28"/>
          <w:szCs w:val="28"/>
        </w:rPr>
      </w:pPr>
    </w:p>
    <w:p w:rsidR="00735B01" w:rsidRPr="00DA1726" w:rsidRDefault="00735B01" w:rsidP="00DA1726">
      <w:pPr>
        <w:pStyle w:val="Prrafodelista"/>
        <w:ind w:left="0"/>
        <w:jc w:val="both"/>
        <w:rPr>
          <w:i/>
          <w:sz w:val="28"/>
          <w:szCs w:val="28"/>
        </w:rPr>
      </w:pPr>
      <w:r w:rsidRPr="00DA1726">
        <w:rPr>
          <w:i/>
          <w:sz w:val="28"/>
          <w:szCs w:val="28"/>
          <w:lang w:val="es-ES_tradnl"/>
        </w:rPr>
        <w:t xml:space="preserve">i) </w:t>
      </w:r>
      <w:r w:rsidRPr="00DA1726">
        <w:rPr>
          <w:i/>
          <w:sz w:val="28"/>
          <w:szCs w:val="28"/>
        </w:rPr>
        <w:t xml:space="preserve">antecedentes y avances del </w:t>
      </w:r>
      <w:r w:rsidR="008D66F1" w:rsidRPr="00DA1726">
        <w:rPr>
          <w:i/>
          <w:sz w:val="28"/>
          <w:szCs w:val="28"/>
        </w:rPr>
        <w:t>ranking</w:t>
      </w:r>
      <w:r w:rsidRPr="00DA1726">
        <w:rPr>
          <w:i/>
          <w:sz w:val="28"/>
          <w:szCs w:val="28"/>
        </w:rPr>
        <w:t xml:space="preserve"> de IPS.</w:t>
      </w:r>
    </w:p>
    <w:p w:rsidR="00735B01" w:rsidRPr="00DA1726" w:rsidRDefault="00735B01" w:rsidP="00DA1726">
      <w:pPr>
        <w:pStyle w:val="Prrafodelista"/>
        <w:ind w:left="0"/>
        <w:jc w:val="both"/>
        <w:rPr>
          <w:sz w:val="28"/>
          <w:szCs w:val="28"/>
        </w:rPr>
      </w:pPr>
    </w:p>
    <w:p w:rsidR="00735B01" w:rsidRPr="00DA1726" w:rsidRDefault="00735B01" w:rsidP="00DA1726">
      <w:pPr>
        <w:jc w:val="both"/>
        <w:rPr>
          <w:sz w:val="28"/>
          <w:szCs w:val="28"/>
        </w:rPr>
      </w:pPr>
      <w:r w:rsidRPr="00DA1726">
        <w:rPr>
          <w:sz w:val="28"/>
          <w:szCs w:val="28"/>
        </w:rPr>
        <w:t>Afirmó que es deber del regulador</w:t>
      </w:r>
      <w:r w:rsidR="0007486E" w:rsidRPr="00DA1726">
        <w:rPr>
          <w:sz w:val="28"/>
          <w:szCs w:val="28"/>
        </w:rPr>
        <w:t xml:space="preserve"> asegurar:</w:t>
      </w:r>
      <w:r w:rsidRPr="00DA1726">
        <w:rPr>
          <w:sz w:val="28"/>
          <w:szCs w:val="28"/>
        </w:rPr>
        <w:t xml:space="preserve"> (a) l</w:t>
      </w:r>
      <w:r w:rsidR="0007486E" w:rsidRPr="00DA1726">
        <w:rPr>
          <w:sz w:val="28"/>
          <w:szCs w:val="28"/>
        </w:rPr>
        <w:t>a escogencia de las temáticas de medición</w:t>
      </w:r>
      <w:r w:rsidRPr="00DA1726">
        <w:rPr>
          <w:sz w:val="28"/>
          <w:szCs w:val="28"/>
        </w:rPr>
        <w:t>; (b) i</w:t>
      </w:r>
      <w:r w:rsidR="0007486E" w:rsidRPr="00DA1726">
        <w:rPr>
          <w:sz w:val="28"/>
          <w:szCs w:val="28"/>
        </w:rPr>
        <w:t>ndicadores o mediciones</w:t>
      </w:r>
      <w:r w:rsidRPr="00DA1726">
        <w:rPr>
          <w:sz w:val="28"/>
          <w:szCs w:val="28"/>
        </w:rPr>
        <w:t>; (c) contar con un sistema de información que asegure datos confiabl</w:t>
      </w:r>
      <w:r w:rsidR="00F56883" w:rsidRPr="00DA1726">
        <w:rPr>
          <w:sz w:val="28"/>
          <w:szCs w:val="28"/>
        </w:rPr>
        <w:t xml:space="preserve">es, verificables y comparables. </w:t>
      </w:r>
    </w:p>
    <w:p w:rsidR="00735B01" w:rsidRPr="00DA1726" w:rsidRDefault="00735B01" w:rsidP="00DA1726">
      <w:pPr>
        <w:jc w:val="both"/>
        <w:rPr>
          <w:sz w:val="28"/>
          <w:szCs w:val="28"/>
        </w:rPr>
      </w:pPr>
    </w:p>
    <w:p w:rsidR="0007486E" w:rsidRPr="00DA1726" w:rsidRDefault="00F56883" w:rsidP="00DA1726">
      <w:pPr>
        <w:jc w:val="both"/>
        <w:rPr>
          <w:sz w:val="28"/>
          <w:szCs w:val="28"/>
        </w:rPr>
      </w:pPr>
      <w:r w:rsidRPr="00DA1726">
        <w:rPr>
          <w:sz w:val="28"/>
          <w:szCs w:val="28"/>
        </w:rPr>
        <w:t>Advirtió que</w:t>
      </w:r>
      <w:r w:rsidR="0007486E" w:rsidRPr="00DA1726">
        <w:rPr>
          <w:sz w:val="28"/>
          <w:szCs w:val="28"/>
        </w:rPr>
        <w:t xml:space="preserve"> si bien la Corte ha sido reiterativa en ordenar un </w:t>
      </w:r>
      <w:r w:rsidR="008D66F1" w:rsidRPr="00DA1726">
        <w:rPr>
          <w:i/>
          <w:sz w:val="28"/>
          <w:szCs w:val="28"/>
        </w:rPr>
        <w:t>ranking</w:t>
      </w:r>
      <w:r w:rsidR="0007486E" w:rsidRPr="00DA1726">
        <w:rPr>
          <w:sz w:val="28"/>
          <w:szCs w:val="28"/>
        </w:rPr>
        <w:t xml:space="preserve"> de prácticas violatorias de </w:t>
      </w:r>
      <w:r w:rsidR="0007486E" w:rsidRPr="00DA1726">
        <w:rPr>
          <w:b/>
          <w:sz w:val="28"/>
          <w:szCs w:val="28"/>
        </w:rPr>
        <w:t xml:space="preserve">negación </w:t>
      </w:r>
      <w:r w:rsidR="0007486E" w:rsidRPr="00DA1726">
        <w:rPr>
          <w:sz w:val="28"/>
          <w:szCs w:val="28"/>
        </w:rPr>
        <w:t xml:space="preserve">para IPS, se aprecia que los mismos participantes sugieren evaluar otros ámbitos como el de oportunidad en la atención o seguridad de paciente. </w:t>
      </w:r>
    </w:p>
    <w:p w:rsidR="006B4FB8" w:rsidRPr="00DA1726" w:rsidRDefault="006B4FB8" w:rsidP="00DA1726">
      <w:pPr>
        <w:jc w:val="both"/>
        <w:rPr>
          <w:sz w:val="28"/>
          <w:szCs w:val="28"/>
        </w:rPr>
      </w:pPr>
    </w:p>
    <w:p w:rsidR="006B4FB8" w:rsidRPr="00DA1726" w:rsidRDefault="00257DC4" w:rsidP="00DA1726">
      <w:pPr>
        <w:jc w:val="both"/>
        <w:rPr>
          <w:i/>
          <w:sz w:val="28"/>
          <w:szCs w:val="28"/>
        </w:rPr>
      </w:pPr>
      <w:r w:rsidRPr="00DA1726">
        <w:rPr>
          <w:i/>
          <w:sz w:val="28"/>
          <w:szCs w:val="28"/>
        </w:rPr>
        <w:t>ii) identificación de barreras de implementación.</w:t>
      </w:r>
    </w:p>
    <w:p w:rsidR="00257DC4" w:rsidRPr="00DA1726" w:rsidRDefault="00257DC4" w:rsidP="00DA1726">
      <w:pPr>
        <w:jc w:val="both"/>
        <w:rPr>
          <w:i/>
          <w:sz w:val="28"/>
          <w:szCs w:val="28"/>
        </w:rPr>
      </w:pPr>
    </w:p>
    <w:p w:rsidR="006B4FB8" w:rsidRPr="00DA1726" w:rsidRDefault="006B4FB8" w:rsidP="00DA1726">
      <w:pPr>
        <w:jc w:val="both"/>
        <w:rPr>
          <w:sz w:val="28"/>
          <w:szCs w:val="28"/>
        </w:rPr>
      </w:pPr>
      <w:r w:rsidRPr="00DA1726">
        <w:rPr>
          <w:sz w:val="28"/>
          <w:szCs w:val="28"/>
        </w:rPr>
        <w:t xml:space="preserve">Una vez expuestos los diferentes ejercicios que se han realizado para dar cumplimiento a la orden vigésima en cuanto a un </w:t>
      </w:r>
      <w:r w:rsidR="008D66F1" w:rsidRPr="00DA1726">
        <w:rPr>
          <w:i/>
          <w:sz w:val="28"/>
          <w:szCs w:val="28"/>
        </w:rPr>
        <w:t>ranking</w:t>
      </w:r>
      <w:r w:rsidRPr="00DA1726">
        <w:rPr>
          <w:sz w:val="28"/>
          <w:szCs w:val="28"/>
        </w:rPr>
        <w:t xml:space="preserve"> de IPS, se hace necesario exponer las barreras o dificultades que surgen al plantear un ordenamiento de hospitales y clínicas a nivel nacional enfocado en la negación</w:t>
      </w:r>
      <w:r w:rsidR="00CF78D3" w:rsidRPr="00DA1726">
        <w:rPr>
          <w:sz w:val="28"/>
          <w:szCs w:val="28"/>
        </w:rPr>
        <w:t xml:space="preserve">, </w:t>
      </w:r>
      <w:r w:rsidR="001D68F5" w:rsidRPr="00DA1726">
        <w:rPr>
          <w:sz w:val="28"/>
          <w:szCs w:val="28"/>
        </w:rPr>
        <w:t xml:space="preserve">debido a que </w:t>
      </w:r>
      <w:r w:rsidRPr="00DA1726">
        <w:rPr>
          <w:sz w:val="28"/>
          <w:szCs w:val="28"/>
        </w:rPr>
        <w:t>presentan características heterogéneas principalmente enmarcadas en la zona geográfica, en los servicios que oferta, el tipo de población y su carácter público o privado</w:t>
      </w:r>
      <w:r w:rsidR="00CF78D3" w:rsidRPr="00DA1726">
        <w:rPr>
          <w:sz w:val="28"/>
          <w:szCs w:val="28"/>
          <w:vertAlign w:val="superscript"/>
        </w:rPr>
        <w:footnoteReference w:id="87"/>
      </w:r>
      <w:r w:rsidR="001D68F5" w:rsidRPr="00DA1726">
        <w:rPr>
          <w:sz w:val="28"/>
          <w:szCs w:val="28"/>
        </w:rPr>
        <w:t>.</w:t>
      </w:r>
      <w:r w:rsidRPr="00DA1726">
        <w:rPr>
          <w:sz w:val="28"/>
          <w:szCs w:val="28"/>
        </w:rPr>
        <w:t xml:space="preserve"> Lo anterior toma más relevancia cuando se debe garantizar el principio de igualdad, el cual le impone a este Ministerio otorgar el mismo método de evaluación a todas las Instituciones Prestadoras de Servicios de Salud al momento de clasificarlas.</w:t>
      </w:r>
    </w:p>
    <w:p w:rsidR="0007486E" w:rsidRPr="00DA1726" w:rsidRDefault="0007486E" w:rsidP="00DA1726">
      <w:pPr>
        <w:pStyle w:val="Prrafodelista"/>
        <w:ind w:left="0"/>
        <w:jc w:val="both"/>
        <w:rPr>
          <w:sz w:val="28"/>
          <w:szCs w:val="28"/>
          <w:lang w:val="es-ES_tradnl"/>
        </w:rPr>
      </w:pPr>
    </w:p>
    <w:p w:rsidR="00BE4527" w:rsidRPr="00DA1726" w:rsidRDefault="00BE4527" w:rsidP="00DA1726">
      <w:pPr>
        <w:jc w:val="both"/>
        <w:rPr>
          <w:sz w:val="28"/>
          <w:szCs w:val="28"/>
        </w:rPr>
      </w:pPr>
      <w:r w:rsidRPr="00DA1726">
        <w:rPr>
          <w:sz w:val="28"/>
          <w:szCs w:val="28"/>
        </w:rPr>
        <w:t>En definitiva el panorama de los prestadores de servicios de salud es complejo y diverso, sus características implican que un prestador pueda ser evaluado de manera distinta por cualquiera de estas características así: naturaleza jurídica, complejidad, capacidad instalada, sedes, servicios, hospitalario o ambulatorio.</w:t>
      </w:r>
    </w:p>
    <w:p w:rsidR="0007486E" w:rsidRPr="00DA1726" w:rsidRDefault="0007486E" w:rsidP="00DA1726">
      <w:pPr>
        <w:pStyle w:val="Prrafodelista"/>
        <w:ind w:left="0"/>
        <w:jc w:val="both"/>
        <w:rPr>
          <w:sz w:val="28"/>
          <w:szCs w:val="28"/>
          <w:lang w:val="es-ES_tradnl"/>
        </w:rPr>
      </w:pPr>
    </w:p>
    <w:p w:rsidR="00531F92" w:rsidRPr="00DA1726" w:rsidRDefault="00F676AB" w:rsidP="00DA1726">
      <w:pPr>
        <w:pStyle w:val="Prrafodelista"/>
        <w:ind w:left="0"/>
        <w:jc w:val="both"/>
        <w:rPr>
          <w:sz w:val="28"/>
          <w:szCs w:val="28"/>
        </w:rPr>
      </w:pPr>
      <w:r w:rsidRPr="00DA1726">
        <w:rPr>
          <w:sz w:val="28"/>
          <w:szCs w:val="28"/>
          <w:lang w:val="es-ES_tradnl"/>
        </w:rPr>
        <w:t xml:space="preserve">Esto llevó a reformar </w:t>
      </w:r>
      <w:r w:rsidR="00531F92" w:rsidRPr="00DA1726">
        <w:rPr>
          <w:sz w:val="28"/>
          <w:szCs w:val="28"/>
        </w:rPr>
        <w:t xml:space="preserve">el sistema de información para calidad, con la expedición de la </w:t>
      </w:r>
      <w:r w:rsidRPr="00DA1726">
        <w:rPr>
          <w:sz w:val="28"/>
          <w:szCs w:val="28"/>
        </w:rPr>
        <w:t>R</w:t>
      </w:r>
      <w:r w:rsidR="00531F92" w:rsidRPr="00DA1726">
        <w:rPr>
          <w:sz w:val="28"/>
          <w:szCs w:val="28"/>
        </w:rPr>
        <w:t>esolución 256 de 2016</w:t>
      </w:r>
      <w:r w:rsidR="00531F92" w:rsidRPr="00DA1726">
        <w:rPr>
          <w:sz w:val="28"/>
          <w:szCs w:val="28"/>
          <w:vertAlign w:val="superscript"/>
        </w:rPr>
        <w:footnoteReference w:id="88"/>
      </w:r>
      <w:r w:rsidR="00531F92" w:rsidRPr="00DA1726">
        <w:rPr>
          <w:sz w:val="28"/>
          <w:szCs w:val="28"/>
        </w:rPr>
        <w:t xml:space="preserve">, </w:t>
      </w:r>
      <w:r w:rsidRPr="00DA1726">
        <w:rPr>
          <w:sz w:val="28"/>
          <w:szCs w:val="28"/>
        </w:rPr>
        <w:t>a través de la cual s</w:t>
      </w:r>
      <w:r w:rsidR="00531F92" w:rsidRPr="00DA1726">
        <w:rPr>
          <w:sz w:val="28"/>
          <w:szCs w:val="28"/>
        </w:rPr>
        <w:t xml:space="preserve">e establecieron indicadores de obligatorio reporte por parte de los prestadores que permitirá valorar efectividad, seguridad y la experiencia de la atención en las IPS. Cabe resaltar que esta es una medida estructural, que permitirán a mediano y largo plazo obtener un panorama más aproximado de la calidad desde la gestión propia de los hospitales. </w:t>
      </w:r>
    </w:p>
    <w:p w:rsidR="00531F92" w:rsidRPr="00DA1726" w:rsidRDefault="00531F92" w:rsidP="00DA1726">
      <w:pPr>
        <w:pStyle w:val="Prrafodelista"/>
        <w:ind w:left="0"/>
        <w:jc w:val="both"/>
        <w:rPr>
          <w:sz w:val="28"/>
          <w:szCs w:val="28"/>
          <w:lang w:val="es-ES_tradnl"/>
        </w:rPr>
      </w:pPr>
    </w:p>
    <w:p w:rsidR="00F5650F" w:rsidRPr="00DA1726" w:rsidRDefault="00CF78D3" w:rsidP="00DA1726">
      <w:pPr>
        <w:jc w:val="both"/>
        <w:rPr>
          <w:sz w:val="28"/>
          <w:szCs w:val="28"/>
        </w:rPr>
      </w:pPr>
      <w:r w:rsidRPr="00DA1726">
        <w:rPr>
          <w:sz w:val="28"/>
          <w:szCs w:val="28"/>
        </w:rPr>
        <w:t>Agregó que e</w:t>
      </w:r>
      <w:r w:rsidR="00257DC4" w:rsidRPr="00DA1726">
        <w:rPr>
          <w:sz w:val="28"/>
          <w:szCs w:val="28"/>
        </w:rPr>
        <w:t>n la actualidad y haciendo un comparativo de los últimos cinco años, las acciones de tutela atribuidas a un prestador se han mantenido constante</w:t>
      </w:r>
      <w:r w:rsidR="001D68F5" w:rsidRPr="00DA1726">
        <w:rPr>
          <w:sz w:val="28"/>
          <w:szCs w:val="28"/>
        </w:rPr>
        <w:t>s</w:t>
      </w:r>
      <w:r w:rsidR="00257DC4" w:rsidRPr="00DA1726">
        <w:rPr>
          <w:sz w:val="28"/>
          <w:szCs w:val="28"/>
        </w:rPr>
        <w:t xml:space="preserve">, con un porcentaje de participación del 3%. </w:t>
      </w:r>
      <w:r w:rsidRPr="00DA1726">
        <w:rPr>
          <w:sz w:val="28"/>
          <w:szCs w:val="28"/>
        </w:rPr>
        <w:t>De donde extrajo que</w:t>
      </w:r>
      <w:r w:rsidR="00F5650F" w:rsidRPr="00DA1726">
        <w:rPr>
          <w:sz w:val="28"/>
          <w:szCs w:val="28"/>
        </w:rPr>
        <w:t xml:space="preserve"> si bien pueden existir vulneraciones al derecho a la salud en una clínica u hospital, las mismas no están relacionadas con una negación explícita sino a situaciones relacionadas con seguridad del paciente, humanización, trámites administrativos como demora en la entrega de </w:t>
      </w:r>
      <w:r w:rsidRPr="00DA1726">
        <w:rPr>
          <w:sz w:val="28"/>
          <w:szCs w:val="28"/>
        </w:rPr>
        <w:t>registros clínicos, entre otros,</w:t>
      </w:r>
      <w:r w:rsidR="00F5650F" w:rsidRPr="00DA1726">
        <w:rPr>
          <w:sz w:val="28"/>
          <w:szCs w:val="28"/>
        </w:rPr>
        <w:t xml:space="preserve"> que si bien pueden influir en el estado de salud de una persona, la situación no representa un riesgo grave e inminente para su vida.</w:t>
      </w:r>
    </w:p>
    <w:p w:rsidR="00CF78D3" w:rsidRPr="00DA1726" w:rsidRDefault="00CF78D3" w:rsidP="00DA1726">
      <w:pPr>
        <w:jc w:val="both"/>
        <w:rPr>
          <w:sz w:val="28"/>
          <w:szCs w:val="28"/>
        </w:rPr>
      </w:pPr>
    </w:p>
    <w:p w:rsidR="007206E2" w:rsidRPr="00DA1726" w:rsidRDefault="007206E2" w:rsidP="00DA1726">
      <w:pPr>
        <w:jc w:val="both"/>
        <w:rPr>
          <w:i/>
          <w:sz w:val="28"/>
          <w:szCs w:val="28"/>
        </w:rPr>
      </w:pPr>
      <w:r w:rsidRPr="00DA1726">
        <w:rPr>
          <w:i/>
          <w:sz w:val="28"/>
          <w:szCs w:val="28"/>
        </w:rPr>
        <w:t>iii) O</w:t>
      </w:r>
      <w:r w:rsidR="00610F87" w:rsidRPr="00DA1726">
        <w:rPr>
          <w:i/>
          <w:sz w:val="28"/>
          <w:szCs w:val="28"/>
        </w:rPr>
        <w:t xml:space="preserve">portunidades de mejorar </w:t>
      </w:r>
      <w:r w:rsidRPr="00DA1726">
        <w:rPr>
          <w:i/>
          <w:sz w:val="28"/>
          <w:szCs w:val="28"/>
        </w:rPr>
        <w:t xml:space="preserve">el </w:t>
      </w:r>
      <w:r w:rsidR="008D66F1" w:rsidRPr="00DA1726">
        <w:rPr>
          <w:i/>
          <w:sz w:val="28"/>
          <w:szCs w:val="28"/>
        </w:rPr>
        <w:t>ranking</w:t>
      </w:r>
      <w:r w:rsidRPr="00DA1726">
        <w:rPr>
          <w:i/>
          <w:sz w:val="28"/>
          <w:szCs w:val="28"/>
        </w:rPr>
        <w:t>.</w:t>
      </w:r>
    </w:p>
    <w:p w:rsidR="007206E2" w:rsidRPr="00DA1726" w:rsidRDefault="007206E2" w:rsidP="00DA1726">
      <w:pPr>
        <w:jc w:val="both"/>
        <w:rPr>
          <w:sz w:val="28"/>
          <w:szCs w:val="28"/>
        </w:rPr>
      </w:pPr>
    </w:p>
    <w:p w:rsidR="007206E2" w:rsidRPr="00DA1726" w:rsidRDefault="007206E2" w:rsidP="00DA1726">
      <w:pPr>
        <w:jc w:val="both"/>
        <w:rPr>
          <w:sz w:val="28"/>
          <w:szCs w:val="28"/>
        </w:rPr>
      </w:pPr>
      <w:r w:rsidRPr="00DA1726">
        <w:rPr>
          <w:sz w:val="28"/>
          <w:szCs w:val="28"/>
        </w:rPr>
        <w:t xml:space="preserve">Resaltó la necesidad de implementar un consenso entre todos los interesados, </w:t>
      </w:r>
      <w:r w:rsidR="00610F87" w:rsidRPr="00DA1726">
        <w:rPr>
          <w:sz w:val="28"/>
          <w:szCs w:val="28"/>
        </w:rPr>
        <w:t>en procura de alcanzar</w:t>
      </w:r>
      <w:r w:rsidRPr="00DA1726">
        <w:rPr>
          <w:sz w:val="28"/>
          <w:szCs w:val="28"/>
        </w:rPr>
        <w:t xml:space="preserve"> un espacio de reflexión y deliberación técnica </w:t>
      </w:r>
      <w:r w:rsidR="00610F87" w:rsidRPr="00DA1726">
        <w:rPr>
          <w:sz w:val="28"/>
          <w:szCs w:val="28"/>
        </w:rPr>
        <w:t>para</w:t>
      </w:r>
      <w:r w:rsidRPr="00DA1726">
        <w:rPr>
          <w:sz w:val="28"/>
          <w:szCs w:val="28"/>
        </w:rPr>
        <w:t xml:space="preserve"> la formulación de indicadores que evalúen la garantía y goce </w:t>
      </w:r>
      <w:r w:rsidR="000D2479" w:rsidRPr="00DA1726">
        <w:rPr>
          <w:sz w:val="28"/>
          <w:szCs w:val="28"/>
        </w:rPr>
        <w:t xml:space="preserve">efectivo del derecho a la salud, </w:t>
      </w:r>
      <w:r w:rsidRPr="00DA1726">
        <w:rPr>
          <w:sz w:val="28"/>
          <w:szCs w:val="28"/>
        </w:rPr>
        <w:t>más allá de la negación de servicios</w:t>
      </w:r>
      <w:r w:rsidR="000D2479" w:rsidRPr="00DA1726">
        <w:rPr>
          <w:sz w:val="28"/>
          <w:szCs w:val="28"/>
        </w:rPr>
        <w:t>, que garanticen</w:t>
      </w:r>
      <w:r w:rsidRPr="00DA1726">
        <w:rPr>
          <w:sz w:val="28"/>
          <w:szCs w:val="28"/>
        </w:rPr>
        <w:t xml:space="preserve"> la comparabilidad entre prestadores, con herramientas accesibles y amigables que disminuyan la desigualdad en la información, una metodología estandarizada y legítimamente validada, un marco normativo que asegure la exigibilidad del reporte.</w:t>
      </w:r>
    </w:p>
    <w:p w:rsidR="000D2479" w:rsidRPr="00DA1726" w:rsidRDefault="000D2479" w:rsidP="00DA1726">
      <w:pPr>
        <w:jc w:val="both"/>
        <w:rPr>
          <w:sz w:val="28"/>
          <w:szCs w:val="28"/>
        </w:rPr>
      </w:pPr>
    </w:p>
    <w:p w:rsidR="007206E2" w:rsidRPr="00DA1726" w:rsidRDefault="007206E2" w:rsidP="00DA1726">
      <w:pPr>
        <w:jc w:val="both"/>
        <w:rPr>
          <w:sz w:val="28"/>
          <w:szCs w:val="28"/>
        </w:rPr>
      </w:pPr>
      <w:r w:rsidRPr="00DA1726">
        <w:rPr>
          <w:sz w:val="28"/>
          <w:szCs w:val="28"/>
        </w:rPr>
        <w:t xml:space="preserve">En este orden de ideas </w:t>
      </w:r>
      <w:r w:rsidR="000D2479" w:rsidRPr="00DA1726">
        <w:rPr>
          <w:sz w:val="28"/>
          <w:szCs w:val="28"/>
        </w:rPr>
        <w:t>sugirió</w:t>
      </w:r>
      <w:r w:rsidRPr="00DA1726">
        <w:rPr>
          <w:sz w:val="28"/>
          <w:szCs w:val="28"/>
        </w:rPr>
        <w:t>:</w:t>
      </w:r>
      <w:r w:rsidR="000D2479" w:rsidRPr="00DA1726">
        <w:rPr>
          <w:sz w:val="28"/>
          <w:szCs w:val="28"/>
        </w:rPr>
        <w:t xml:space="preserve"> (a) r</w:t>
      </w:r>
      <w:r w:rsidRPr="00DA1726">
        <w:rPr>
          <w:sz w:val="28"/>
          <w:szCs w:val="28"/>
        </w:rPr>
        <w:t xml:space="preserve">eplantear un </w:t>
      </w:r>
      <w:r w:rsidR="008D66F1" w:rsidRPr="00DA1726">
        <w:rPr>
          <w:i/>
          <w:sz w:val="28"/>
          <w:szCs w:val="28"/>
        </w:rPr>
        <w:t>ranking</w:t>
      </w:r>
      <w:r w:rsidRPr="00DA1726">
        <w:rPr>
          <w:sz w:val="28"/>
          <w:szCs w:val="28"/>
        </w:rPr>
        <w:t xml:space="preserve"> basado </w:t>
      </w:r>
      <w:r w:rsidR="000D2479" w:rsidRPr="00DA1726">
        <w:rPr>
          <w:sz w:val="28"/>
          <w:szCs w:val="28"/>
        </w:rPr>
        <w:t>en la negación de servicios; (b) c</w:t>
      </w:r>
      <w:r w:rsidRPr="00DA1726">
        <w:rPr>
          <w:sz w:val="28"/>
          <w:szCs w:val="28"/>
        </w:rPr>
        <w:t>oncretar los ejes de medición de una IPS</w:t>
      </w:r>
      <w:r w:rsidR="000D2479" w:rsidRPr="00DA1726">
        <w:rPr>
          <w:sz w:val="28"/>
          <w:szCs w:val="28"/>
        </w:rPr>
        <w:t>; (c) d</w:t>
      </w:r>
      <w:r w:rsidRPr="00DA1726">
        <w:rPr>
          <w:sz w:val="28"/>
          <w:szCs w:val="28"/>
        </w:rPr>
        <w:t>efinir de manera con</w:t>
      </w:r>
      <w:r w:rsidR="000D2479" w:rsidRPr="00DA1726">
        <w:rPr>
          <w:sz w:val="28"/>
          <w:szCs w:val="28"/>
        </w:rPr>
        <w:t>junta los indicadores a evaluar; y (d) d</w:t>
      </w:r>
      <w:r w:rsidRPr="00DA1726">
        <w:rPr>
          <w:sz w:val="28"/>
          <w:szCs w:val="28"/>
        </w:rPr>
        <w:t>elimitar el número de prestadores y definir bajo</w:t>
      </w:r>
      <w:r w:rsidR="000D2479" w:rsidRPr="00DA1726">
        <w:rPr>
          <w:sz w:val="28"/>
          <w:szCs w:val="28"/>
        </w:rPr>
        <w:t xml:space="preserve"> que parámetros serán evaluados.</w:t>
      </w:r>
    </w:p>
    <w:p w:rsidR="007206E2" w:rsidRPr="00DA1726" w:rsidRDefault="007206E2" w:rsidP="00DA1726">
      <w:pPr>
        <w:jc w:val="both"/>
        <w:rPr>
          <w:sz w:val="28"/>
          <w:szCs w:val="28"/>
        </w:rPr>
      </w:pPr>
    </w:p>
    <w:p w:rsidR="00B6191F" w:rsidRPr="00DA1726" w:rsidRDefault="00B6191F" w:rsidP="00DA1726">
      <w:pPr>
        <w:pStyle w:val="Prrafodelista"/>
        <w:numPr>
          <w:ilvl w:val="1"/>
          <w:numId w:val="7"/>
        </w:numPr>
        <w:ind w:left="0" w:firstLine="0"/>
        <w:jc w:val="both"/>
        <w:rPr>
          <w:sz w:val="28"/>
          <w:szCs w:val="28"/>
        </w:rPr>
      </w:pPr>
      <w:r w:rsidRPr="00DA1726">
        <w:rPr>
          <w:sz w:val="28"/>
          <w:szCs w:val="28"/>
        </w:rPr>
        <w:t xml:space="preserve">El 2 de septiembre de 2016 se llevó a cabo la sesión técnica, </w:t>
      </w:r>
      <w:r w:rsidR="00C07848" w:rsidRPr="00DA1726">
        <w:rPr>
          <w:sz w:val="28"/>
          <w:szCs w:val="28"/>
        </w:rPr>
        <w:t>de donde se extraen los siguientes apartes relevantes.</w:t>
      </w:r>
    </w:p>
    <w:p w:rsidR="00F01DEA" w:rsidRPr="00DA1726" w:rsidRDefault="00F01DEA" w:rsidP="00DA1726">
      <w:pPr>
        <w:jc w:val="both"/>
        <w:rPr>
          <w:sz w:val="28"/>
          <w:szCs w:val="28"/>
        </w:rPr>
      </w:pPr>
    </w:p>
    <w:p w:rsidR="00D945B5" w:rsidRPr="00DA1726" w:rsidRDefault="00F01DEA" w:rsidP="00DA1726">
      <w:pPr>
        <w:jc w:val="both"/>
        <w:rPr>
          <w:sz w:val="28"/>
          <w:szCs w:val="28"/>
        </w:rPr>
      </w:pPr>
      <w:r w:rsidRPr="00DA1726">
        <w:rPr>
          <w:b/>
          <w:sz w:val="28"/>
          <w:szCs w:val="28"/>
        </w:rPr>
        <w:t>El Ministerio de Salud y Protección Social</w:t>
      </w:r>
      <w:r w:rsidRPr="00DA1726">
        <w:rPr>
          <w:sz w:val="28"/>
          <w:szCs w:val="28"/>
        </w:rPr>
        <w:t xml:space="preserve">, además del informe remitido previo a esta actuación judicial, </w:t>
      </w:r>
      <w:r w:rsidR="00C07848" w:rsidRPr="00DA1726">
        <w:rPr>
          <w:sz w:val="28"/>
          <w:szCs w:val="28"/>
        </w:rPr>
        <w:t>a</w:t>
      </w:r>
      <w:r w:rsidR="00D945B5" w:rsidRPr="00DA1726">
        <w:rPr>
          <w:sz w:val="28"/>
          <w:szCs w:val="28"/>
        </w:rPr>
        <w:t>dvirtió que el criterio de negaciones de servicios no era el factor principal de dificultad de acceso de los usuarios al servicio de salud.</w:t>
      </w:r>
      <w:r w:rsidR="00C07848" w:rsidRPr="00DA1726">
        <w:rPr>
          <w:sz w:val="28"/>
          <w:szCs w:val="28"/>
        </w:rPr>
        <w:t xml:space="preserve"> Agregó que l</w:t>
      </w:r>
      <w:r w:rsidR="00D945B5" w:rsidRPr="00DA1726">
        <w:rPr>
          <w:sz w:val="28"/>
          <w:szCs w:val="28"/>
        </w:rPr>
        <w:t xml:space="preserve">as quejas de los usuarios no son un indicador ideal para hacer un </w:t>
      </w:r>
      <w:r w:rsidR="008D66F1" w:rsidRPr="00DA1726">
        <w:rPr>
          <w:i/>
          <w:sz w:val="28"/>
          <w:szCs w:val="28"/>
        </w:rPr>
        <w:t>ranking</w:t>
      </w:r>
      <w:r w:rsidR="00D945B5" w:rsidRPr="00DA1726">
        <w:rPr>
          <w:sz w:val="28"/>
          <w:szCs w:val="28"/>
        </w:rPr>
        <w:t>, hasta tanto no se verifique si efectivamente se presentó una vulneraci</w:t>
      </w:r>
      <w:r w:rsidR="00C07848" w:rsidRPr="00DA1726">
        <w:rPr>
          <w:sz w:val="28"/>
          <w:szCs w:val="28"/>
        </w:rPr>
        <w:t>ón al derecho a la salud y destacó que l</w:t>
      </w:r>
      <w:r w:rsidR="00D945B5" w:rsidRPr="00DA1726">
        <w:rPr>
          <w:sz w:val="28"/>
          <w:szCs w:val="28"/>
        </w:rPr>
        <w:t xml:space="preserve">a valoración de las </w:t>
      </w:r>
      <w:r w:rsidR="00EA4FAC" w:rsidRPr="00DA1726">
        <w:rPr>
          <w:sz w:val="28"/>
          <w:szCs w:val="28"/>
        </w:rPr>
        <w:t>IPS</w:t>
      </w:r>
      <w:r w:rsidR="00D945B5" w:rsidRPr="00DA1726">
        <w:rPr>
          <w:sz w:val="28"/>
          <w:szCs w:val="28"/>
        </w:rPr>
        <w:t xml:space="preserve"> se debe hacer desde la igualdad de la prestación de sus servicios, lo que lleve a buscar factores comunes de comparación.</w:t>
      </w:r>
    </w:p>
    <w:p w:rsidR="00D945B5" w:rsidRPr="00DA1726" w:rsidRDefault="00D945B5" w:rsidP="00DA1726">
      <w:pPr>
        <w:jc w:val="both"/>
        <w:rPr>
          <w:sz w:val="28"/>
          <w:szCs w:val="28"/>
        </w:rPr>
      </w:pPr>
    </w:p>
    <w:p w:rsidR="00B6191F" w:rsidRPr="00DA1726" w:rsidRDefault="00C07848" w:rsidP="00DA1726">
      <w:pPr>
        <w:jc w:val="both"/>
        <w:rPr>
          <w:sz w:val="28"/>
          <w:szCs w:val="28"/>
        </w:rPr>
      </w:pPr>
      <w:r w:rsidRPr="00DA1726">
        <w:rPr>
          <w:sz w:val="28"/>
          <w:szCs w:val="28"/>
        </w:rPr>
        <w:t>Afirmó</w:t>
      </w:r>
      <w:r w:rsidR="00D945B5" w:rsidRPr="00DA1726">
        <w:rPr>
          <w:sz w:val="28"/>
          <w:szCs w:val="28"/>
        </w:rPr>
        <w:t xml:space="preserve"> que el proceso de auditorías en materia de contratos, no resulta viable, dado el costo que ello representa, debido a la multiplicidad de </w:t>
      </w:r>
      <w:r w:rsidR="00EA4FAC" w:rsidRPr="00DA1726">
        <w:rPr>
          <w:sz w:val="28"/>
          <w:szCs w:val="28"/>
        </w:rPr>
        <w:t>IPS</w:t>
      </w:r>
      <w:r w:rsidR="00D945B5" w:rsidRPr="00DA1726">
        <w:rPr>
          <w:sz w:val="28"/>
          <w:szCs w:val="28"/>
        </w:rPr>
        <w:t xml:space="preserve"> que existen en el país.</w:t>
      </w:r>
    </w:p>
    <w:p w:rsidR="00D945B5" w:rsidRPr="00DA1726" w:rsidRDefault="00D945B5" w:rsidP="00DA1726">
      <w:pPr>
        <w:jc w:val="both"/>
        <w:rPr>
          <w:sz w:val="28"/>
          <w:szCs w:val="28"/>
        </w:rPr>
      </w:pPr>
    </w:p>
    <w:p w:rsidR="00D945B5" w:rsidRPr="00DA1726" w:rsidRDefault="00D802C4" w:rsidP="00DA1726">
      <w:pPr>
        <w:jc w:val="both"/>
        <w:rPr>
          <w:sz w:val="28"/>
          <w:szCs w:val="28"/>
        </w:rPr>
      </w:pPr>
      <w:r w:rsidRPr="00DA1726">
        <w:rPr>
          <w:sz w:val="28"/>
          <w:szCs w:val="28"/>
        </w:rPr>
        <w:t>Plante</w:t>
      </w:r>
      <w:r w:rsidR="006F7CDC" w:rsidRPr="00DA1726">
        <w:rPr>
          <w:sz w:val="28"/>
          <w:szCs w:val="28"/>
        </w:rPr>
        <w:t>ó</w:t>
      </w:r>
      <w:r w:rsidRPr="00DA1726">
        <w:rPr>
          <w:sz w:val="28"/>
          <w:szCs w:val="28"/>
        </w:rPr>
        <w:t xml:space="preserve"> que antes de estudiar la negación de servicios por parte de la </w:t>
      </w:r>
      <w:r w:rsidR="008B5047" w:rsidRPr="00DA1726">
        <w:rPr>
          <w:sz w:val="28"/>
          <w:szCs w:val="28"/>
        </w:rPr>
        <w:t>prestadoras,</w:t>
      </w:r>
      <w:r w:rsidRPr="00DA1726">
        <w:rPr>
          <w:sz w:val="28"/>
          <w:szCs w:val="28"/>
        </w:rPr>
        <w:t xml:space="preserve"> se deben advertir problemas en </w:t>
      </w:r>
      <w:r w:rsidR="00D945B5" w:rsidRPr="00DA1726">
        <w:rPr>
          <w:sz w:val="28"/>
          <w:szCs w:val="28"/>
        </w:rPr>
        <w:t>la atención oportuna</w:t>
      </w:r>
      <w:r w:rsidRPr="00DA1726">
        <w:rPr>
          <w:sz w:val="28"/>
          <w:szCs w:val="28"/>
        </w:rPr>
        <w:t xml:space="preserve"> de consulta de urgencias;</w:t>
      </w:r>
      <w:r w:rsidR="00D945B5" w:rsidRPr="00DA1726">
        <w:rPr>
          <w:sz w:val="28"/>
          <w:szCs w:val="28"/>
        </w:rPr>
        <w:t xml:space="preserve"> </w:t>
      </w:r>
      <w:r w:rsidRPr="00DA1726">
        <w:rPr>
          <w:sz w:val="28"/>
          <w:szCs w:val="28"/>
        </w:rPr>
        <w:t>la humanización; la seguridad del paciente a través del seguimiento de protocolos, guías de práctica clínica, control y gestión de infecciones, entre otras</w:t>
      </w:r>
      <w:r w:rsidR="006F7CDC" w:rsidRPr="00DA1726">
        <w:rPr>
          <w:sz w:val="28"/>
          <w:szCs w:val="28"/>
        </w:rPr>
        <w:t xml:space="preserve">. Además de adoptar </w:t>
      </w:r>
      <w:r w:rsidRPr="00DA1726">
        <w:rPr>
          <w:sz w:val="28"/>
          <w:szCs w:val="28"/>
        </w:rPr>
        <w:t xml:space="preserve">acciones </w:t>
      </w:r>
      <w:r w:rsidR="006F7CDC" w:rsidRPr="00DA1726">
        <w:rPr>
          <w:sz w:val="28"/>
          <w:szCs w:val="28"/>
        </w:rPr>
        <w:t>respecto</w:t>
      </w:r>
      <w:r w:rsidRPr="00DA1726">
        <w:rPr>
          <w:sz w:val="28"/>
          <w:szCs w:val="28"/>
        </w:rPr>
        <w:t xml:space="preserve"> a la identificación de eventos adversos.</w:t>
      </w:r>
    </w:p>
    <w:p w:rsidR="00D802C4" w:rsidRPr="00DA1726" w:rsidRDefault="00D802C4" w:rsidP="00DA1726">
      <w:pPr>
        <w:jc w:val="both"/>
        <w:rPr>
          <w:sz w:val="28"/>
          <w:szCs w:val="28"/>
        </w:rPr>
      </w:pPr>
    </w:p>
    <w:p w:rsidR="00D802C4" w:rsidRPr="00DA1726" w:rsidRDefault="006F7CDC" w:rsidP="00DA1726">
      <w:pPr>
        <w:jc w:val="both"/>
        <w:rPr>
          <w:sz w:val="28"/>
          <w:szCs w:val="28"/>
        </w:rPr>
      </w:pPr>
      <w:r w:rsidRPr="00DA1726">
        <w:rPr>
          <w:sz w:val="28"/>
          <w:szCs w:val="28"/>
        </w:rPr>
        <w:t xml:space="preserve">Propuso que replantear </w:t>
      </w:r>
      <w:r w:rsidR="00D802C4" w:rsidRPr="00DA1726">
        <w:rPr>
          <w:sz w:val="28"/>
          <w:szCs w:val="28"/>
        </w:rPr>
        <w:t xml:space="preserve">el </w:t>
      </w:r>
      <w:r w:rsidR="008D66F1" w:rsidRPr="00DA1726">
        <w:rPr>
          <w:i/>
          <w:sz w:val="28"/>
          <w:szCs w:val="28"/>
        </w:rPr>
        <w:t>ranking</w:t>
      </w:r>
      <w:r w:rsidR="00D802C4" w:rsidRPr="00DA1726">
        <w:rPr>
          <w:sz w:val="28"/>
          <w:szCs w:val="28"/>
        </w:rPr>
        <w:t xml:space="preserve"> desde </w:t>
      </w:r>
      <w:r w:rsidRPr="00DA1726">
        <w:rPr>
          <w:sz w:val="28"/>
          <w:szCs w:val="28"/>
        </w:rPr>
        <w:t>un</w:t>
      </w:r>
      <w:r w:rsidR="00D802C4" w:rsidRPr="00DA1726">
        <w:rPr>
          <w:sz w:val="28"/>
          <w:szCs w:val="28"/>
        </w:rPr>
        <w:t xml:space="preserve"> punto de vista diferente a la negación de servicios, por no ser la principal fuente de violación del derecho a la salud, además de resultar costoso.</w:t>
      </w:r>
    </w:p>
    <w:p w:rsidR="00D802C4" w:rsidRPr="00DA1726" w:rsidRDefault="00D802C4" w:rsidP="00DA1726">
      <w:pPr>
        <w:jc w:val="both"/>
        <w:rPr>
          <w:sz w:val="28"/>
          <w:szCs w:val="28"/>
        </w:rPr>
      </w:pPr>
    </w:p>
    <w:p w:rsidR="00D802C4" w:rsidRPr="00DA1726" w:rsidRDefault="00D802C4" w:rsidP="00DA1726">
      <w:pPr>
        <w:jc w:val="both"/>
        <w:rPr>
          <w:sz w:val="28"/>
          <w:szCs w:val="28"/>
        </w:rPr>
      </w:pPr>
      <w:r w:rsidRPr="00DA1726">
        <w:rPr>
          <w:sz w:val="28"/>
          <w:szCs w:val="28"/>
        </w:rPr>
        <w:t xml:space="preserve">En consecuencia se deberían definir mejor las dimensiones de </w:t>
      </w:r>
      <w:r w:rsidR="00F40D92" w:rsidRPr="00DA1726">
        <w:rPr>
          <w:sz w:val="28"/>
          <w:szCs w:val="28"/>
        </w:rPr>
        <w:t>medición de las IPS, a manera de ejemplo se tendrían en cuenta aspectos como seguridad del paciente, humanizaci</w:t>
      </w:r>
      <w:r w:rsidR="006F7CDC" w:rsidRPr="00DA1726">
        <w:rPr>
          <w:sz w:val="28"/>
          <w:szCs w:val="28"/>
        </w:rPr>
        <w:t>ón, entre otro</w:t>
      </w:r>
      <w:r w:rsidR="00F40D92" w:rsidRPr="00DA1726">
        <w:rPr>
          <w:sz w:val="28"/>
          <w:szCs w:val="28"/>
        </w:rPr>
        <w:t>s. Definido esto establecer nuevos indicadores, a partir de las fuentes de información convenidas.</w:t>
      </w:r>
    </w:p>
    <w:p w:rsidR="00F40D92" w:rsidRPr="00DA1726" w:rsidRDefault="00F40D92" w:rsidP="00DA1726">
      <w:pPr>
        <w:jc w:val="both"/>
        <w:rPr>
          <w:sz w:val="28"/>
          <w:szCs w:val="28"/>
        </w:rPr>
      </w:pPr>
    </w:p>
    <w:p w:rsidR="00F40D92" w:rsidRPr="00DA1726" w:rsidRDefault="00F40D92" w:rsidP="00DA1726">
      <w:pPr>
        <w:jc w:val="both"/>
        <w:rPr>
          <w:sz w:val="28"/>
          <w:szCs w:val="28"/>
        </w:rPr>
      </w:pPr>
      <w:r w:rsidRPr="00DA1726">
        <w:rPr>
          <w:sz w:val="28"/>
          <w:szCs w:val="28"/>
        </w:rPr>
        <w:t xml:space="preserve">En conclusión no existe una posición única </w:t>
      </w:r>
      <w:r w:rsidR="008B5047" w:rsidRPr="00DA1726">
        <w:rPr>
          <w:sz w:val="28"/>
          <w:szCs w:val="28"/>
        </w:rPr>
        <w:t>respecto</w:t>
      </w:r>
      <w:r w:rsidRPr="00DA1726">
        <w:rPr>
          <w:sz w:val="28"/>
          <w:szCs w:val="28"/>
        </w:rPr>
        <w:t xml:space="preserve"> a lo que se debe medir, lo que lleva a que </w:t>
      </w:r>
      <w:r w:rsidR="008B5047" w:rsidRPr="00DA1726">
        <w:rPr>
          <w:sz w:val="28"/>
          <w:szCs w:val="28"/>
        </w:rPr>
        <w:t>este ejercicio sea complejo desde su elaboración hasta</w:t>
      </w:r>
      <w:r w:rsidRPr="00DA1726">
        <w:rPr>
          <w:sz w:val="28"/>
          <w:szCs w:val="28"/>
        </w:rPr>
        <w:t xml:space="preserve"> su consulta. </w:t>
      </w:r>
      <w:r w:rsidR="006F7CDC" w:rsidRPr="00DA1726">
        <w:rPr>
          <w:sz w:val="28"/>
          <w:szCs w:val="28"/>
        </w:rPr>
        <w:t>Agregó que l</w:t>
      </w:r>
      <w:r w:rsidRPr="00DA1726">
        <w:rPr>
          <w:sz w:val="28"/>
          <w:szCs w:val="28"/>
        </w:rPr>
        <w:t xml:space="preserve">a negación no es la más importante de las prácticas que afecta el derecho a los usuarios. </w:t>
      </w:r>
    </w:p>
    <w:p w:rsidR="006F7CDC" w:rsidRPr="00DA1726" w:rsidRDefault="006F7CDC" w:rsidP="00DA1726">
      <w:pPr>
        <w:jc w:val="both"/>
        <w:rPr>
          <w:sz w:val="28"/>
          <w:szCs w:val="28"/>
        </w:rPr>
      </w:pPr>
    </w:p>
    <w:p w:rsidR="00A25468" w:rsidRPr="00DA1726" w:rsidRDefault="00942699" w:rsidP="00DA1726">
      <w:pPr>
        <w:jc w:val="both"/>
        <w:rPr>
          <w:sz w:val="28"/>
          <w:szCs w:val="28"/>
        </w:rPr>
      </w:pPr>
      <w:r w:rsidRPr="00DA1726">
        <w:rPr>
          <w:b/>
          <w:sz w:val="28"/>
          <w:szCs w:val="28"/>
        </w:rPr>
        <w:t xml:space="preserve">La </w:t>
      </w:r>
      <w:r w:rsidR="0062641C" w:rsidRPr="00DA1726">
        <w:rPr>
          <w:b/>
          <w:sz w:val="28"/>
          <w:szCs w:val="28"/>
        </w:rPr>
        <w:t>Defensoría del Pueblo</w:t>
      </w:r>
      <w:r w:rsidRPr="00DA1726">
        <w:rPr>
          <w:b/>
          <w:sz w:val="28"/>
          <w:szCs w:val="28"/>
        </w:rPr>
        <w:t xml:space="preserve"> </w:t>
      </w:r>
      <w:r w:rsidRPr="00DA1726">
        <w:rPr>
          <w:sz w:val="28"/>
          <w:szCs w:val="28"/>
        </w:rPr>
        <w:t>c</w:t>
      </w:r>
      <w:r w:rsidR="006F7CDC" w:rsidRPr="00DA1726">
        <w:rPr>
          <w:sz w:val="28"/>
          <w:szCs w:val="28"/>
        </w:rPr>
        <w:t>omenzó por señalar que e</w:t>
      </w:r>
      <w:r w:rsidR="00A25468" w:rsidRPr="00DA1726">
        <w:rPr>
          <w:sz w:val="28"/>
          <w:szCs w:val="28"/>
        </w:rPr>
        <w:t>s necesario definir la negación de servicios.</w:t>
      </w:r>
      <w:r w:rsidR="006F7CDC" w:rsidRPr="00DA1726">
        <w:rPr>
          <w:sz w:val="28"/>
          <w:szCs w:val="28"/>
        </w:rPr>
        <w:t xml:space="preserve"> Destacó que uno de los aspectos importantes a tratar es l</w:t>
      </w:r>
      <w:r w:rsidR="00A25468" w:rsidRPr="00DA1726">
        <w:rPr>
          <w:sz w:val="28"/>
          <w:szCs w:val="28"/>
        </w:rPr>
        <w:t xml:space="preserve">a dilación </w:t>
      </w:r>
      <w:r w:rsidR="00434C5C" w:rsidRPr="00DA1726">
        <w:rPr>
          <w:sz w:val="28"/>
          <w:szCs w:val="28"/>
        </w:rPr>
        <w:t>en la prestación de servicios</w:t>
      </w:r>
      <w:r w:rsidR="006F7CDC" w:rsidRPr="00DA1726">
        <w:rPr>
          <w:sz w:val="28"/>
          <w:szCs w:val="28"/>
        </w:rPr>
        <w:t>, debido a que esta</w:t>
      </w:r>
      <w:r w:rsidR="00A25468" w:rsidRPr="00DA1726">
        <w:rPr>
          <w:sz w:val="28"/>
          <w:szCs w:val="28"/>
        </w:rPr>
        <w:t xml:space="preserve"> constituye un insumo importante para</w:t>
      </w:r>
      <w:r w:rsidR="006F7CDC" w:rsidRPr="00DA1726">
        <w:rPr>
          <w:sz w:val="28"/>
          <w:szCs w:val="28"/>
        </w:rPr>
        <w:t xml:space="preserve"> identificar causas violatorias, así como la i</w:t>
      </w:r>
      <w:r w:rsidR="00434C5C" w:rsidRPr="00DA1726">
        <w:rPr>
          <w:sz w:val="28"/>
          <w:szCs w:val="28"/>
        </w:rPr>
        <w:t xml:space="preserve">nsuficiencia de oferta y prestación de servicios. </w:t>
      </w:r>
    </w:p>
    <w:p w:rsidR="006F7CDC" w:rsidRPr="00DA1726" w:rsidRDefault="006F7CDC" w:rsidP="00DA1726">
      <w:pPr>
        <w:jc w:val="both"/>
        <w:rPr>
          <w:sz w:val="28"/>
          <w:szCs w:val="28"/>
        </w:rPr>
      </w:pPr>
    </w:p>
    <w:p w:rsidR="000A0D8C" w:rsidRPr="00DA1726" w:rsidRDefault="00942699" w:rsidP="00DA1726">
      <w:pPr>
        <w:jc w:val="both"/>
        <w:rPr>
          <w:sz w:val="28"/>
          <w:szCs w:val="28"/>
        </w:rPr>
      </w:pPr>
      <w:r w:rsidRPr="00DA1726">
        <w:rPr>
          <w:sz w:val="28"/>
          <w:szCs w:val="28"/>
        </w:rPr>
        <w:t>Refirió que s</w:t>
      </w:r>
      <w:r w:rsidR="00434C5C" w:rsidRPr="00DA1726">
        <w:rPr>
          <w:sz w:val="28"/>
          <w:szCs w:val="28"/>
        </w:rPr>
        <w:t>e necesita tener un registro de posibles violaci</w:t>
      </w:r>
      <w:r w:rsidRPr="00DA1726">
        <w:rPr>
          <w:sz w:val="28"/>
          <w:szCs w:val="28"/>
        </w:rPr>
        <w:t>ones al derecho de los usuarios y remató afirmando que e</w:t>
      </w:r>
      <w:r w:rsidR="00A25468" w:rsidRPr="00DA1726">
        <w:rPr>
          <w:sz w:val="28"/>
          <w:szCs w:val="28"/>
        </w:rPr>
        <w:t xml:space="preserve">s importante la calificación de las </w:t>
      </w:r>
      <w:r w:rsidR="00EA4FAC" w:rsidRPr="00DA1726">
        <w:rPr>
          <w:sz w:val="28"/>
          <w:szCs w:val="28"/>
        </w:rPr>
        <w:t>IPS</w:t>
      </w:r>
      <w:r w:rsidR="00A25468" w:rsidRPr="00DA1726">
        <w:rPr>
          <w:sz w:val="28"/>
          <w:szCs w:val="28"/>
        </w:rPr>
        <w:t>, para favorecer la elección de los usuarios.</w:t>
      </w:r>
    </w:p>
    <w:p w:rsidR="00434C5C" w:rsidRPr="00DA1726" w:rsidRDefault="00434C5C" w:rsidP="00DA1726">
      <w:pPr>
        <w:jc w:val="both"/>
        <w:rPr>
          <w:sz w:val="28"/>
          <w:szCs w:val="28"/>
        </w:rPr>
      </w:pPr>
    </w:p>
    <w:p w:rsidR="00434C5C" w:rsidRPr="00DA1726" w:rsidRDefault="008B5047" w:rsidP="00DA1726">
      <w:pPr>
        <w:jc w:val="both"/>
        <w:rPr>
          <w:sz w:val="28"/>
          <w:szCs w:val="28"/>
        </w:rPr>
      </w:pPr>
      <w:r w:rsidRPr="00DA1726">
        <w:rPr>
          <w:b/>
          <w:sz w:val="28"/>
          <w:szCs w:val="28"/>
        </w:rPr>
        <w:t>La CSR</w:t>
      </w:r>
      <w:r w:rsidR="00942699" w:rsidRPr="00DA1726">
        <w:rPr>
          <w:b/>
          <w:sz w:val="28"/>
          <w:szCs w:val="28"/>
        </w:rPr>
        <w:t xml:space="preserve"> </w:t>
      </w:r>
      <w:r w:rsidR="00942699" w:rsidRPr="00DA1726">
        <w:rPr>
          <w:sz w:val="28"/>
          <w:szCs w:val="28"/>
        </w:rPr>
        <w:t xml:space="preserve">destacó que la negación de servicios se debe valorar desde un criterio básico: </w:t>
      </w:r>
      <w:r w:rsidR="00434C5C" w:rsidRPr="00DA1726">
        <w:rPr>
          <w:sz w:val="28"/>
          <w:szCs w:val="28"/>
        </w:rPr>
        <w:t>se atendió o no a un paciente, para posteriormente establecer las causas de esa negación.</w:t>
      </w:r>
      <w:r w:rsidR="00942699" w:rsidRPr="00DA1726">
        <w:rPr>
          <w:sz w:val="28"/>
          <w:szCs w:val="28"/>
        </w:rPr>
        <w:t xml:space="preserve"> </w:t>
      </w:r>
      <w:r w:rsidR="00D75F6F" w:rsidRPr="00DA1726">
        <w:rPr>
          <w:sz w:val="28"/>
          <w:szCs w:val="28"/>
        </w:rPr>
        <w:t xml:space="preserve">Al Ministerio le corresponde saber cuántos servicios se están negando, los que además ya están pagos por la UPC. </w:t>
      </w:r>
    </w:p>
    <w:p w:rsidR="00D75F6F" w:rsidRPr="00DA1726" w:rsidRDefault="00D75F6F" w:rsidP="00DA1726">
      <w:pPr>
        <w:jc w:val="both"/>
        <w:rPr>
          <w:sz w:val="28"/>
          <w:szCs w:val="28"/>
        </w:rPr>
      </w:pPr>
    </w:p>
    <w:p w:rsidR="00D75F6F" w:rsidRPr="00DA1726" w:rsidRDefault="00942699" w:rsidP="00DA1726">
      <w:pPr>
        <w:jc w:val="both"/>
        <w:rPr>
          <w:sz w:val="28"/>
          <w:szCs w:val="28"/>
        </w:rPr>
      </w:pPr>
      <w:r w:rsidRPr="00DA1726">
        <w:rPr>
          <w:sz w:val="28"/>
          <w:szCs w:val="28"/>
        </w:rPr>
        <w:t>Agregó que s</w:t>
      </w:r>
      <w:r w:rsidR="00D75F6F" w:rsidRPr="00DA1726">
        <w:rPr>
          <w:sz w:val="28"/>
          <w:szCs w:val="28"/>
        </w:rPr>
        <w:t xml:space="preserve">e deben determinar qué barreras administrativas están afectando el goce </w:t>
      </w:r>
      <w:r w:rsidRPr="00DA1726">
        <w:rPr>
          <w:sz w:val="28"/>
          <w:szCs w:val="28"/>
        </w:rPr>
        <w:t>efectivo del derecho a la salud, que s</w:t>
      </w:r>
      <w:r w:rsidR="00D75F6F" w:rsidRPr="00DA1726">
        <w:rPr>
          <w:sz w:val="28"/>
          <w:szCs w:val="28"/>
        </w:rPr>
        <w:t>e caracterizan principalmente por dilación en la prestación del servicio</w:t>
      </w:r>
      <w:r w:rsidRPr="00DA1726">
        <w:rPr>
          <w:sz w:val="28"/>
          <w:szCs w:val="28"/>
        </w:rPr>
        <w:t xml:space="preserve"> y </w:t>
      </w:r>
      <w:r w:rsidR="00D75F6F" w:rsidRPr="00DA1726">
        <w:rPr>
          <w:sz w:val="28"/>
          <w:szCs w:val="28"/>
        </w:rPr>
        <w:t xml:space="preserve">celebración de contratos con </w:t>
      </w:r>
      <w:r w:rsidR="008B5047" w:rsidRPr="00DA1726">
        <w:rPr>
          <w:sz w:val="28"/>
          <w:szCs w:val="28"/>
        </w:rPr>
        <w:t>prestadoras</w:t>
      </w:r>
      <w:r w:rsidR="00D75F6F" w:rsidRPr="00DA1726">
        <w:rPr>
          <w:sz w:val="28"/>
          <w:szCs w:val="28"/>
        </w:rPr>
        <w:t xml:space="preserve"> que no cuentan con capacidad para cubrir la prestación de un determinado servicio</w:t>
      </w:r>
      <w:r w:rsidRPr="00DA1726">
        <w:rPr>
          <w:sz w:val="28"/>
          <w:szCs w:val="28"/>
        </w:rPr>
        <w:t>.</w:t>
      </w:r>
    </w:p>
    <w:p w:rsidR="00D75F6F" w:rsidRPr="00DA1726" w:rsidRDefault="00D75F6F" w:rsidP="00DA1726">
      <w:pPr>
        <w:jc w:val="both"/>
        <w:rPr>
          <w:sz w:val="28"/>
          <w:szCs w:val="28"/>
        </w:rPr>
      </w:pPr>
    </w:p>
    <w:p w:rsidR="00942699" w:rsidRPr="00DA1726" w:rsidRDefault="00EF48CA" w:rsidP="00DA1726">
      <w:pPr>
        <w:jc w:val="both"/>
        <w:rPr>
          <w:sz w:val="28"/>
          <w:szCs w:val="28"/>
        </w:rPr>
      </w:pPr>
      <w:r w:rsidRPr="00DA1726">
        <w:rPr>
          <w:b/>
          <w:sz w:val="28"/>
          <w:szCs w:val="28"/>
        </w:rPr>
        <w:t>ACEMI</w:t>
      </w:r>
      <w:r w:rsidR="00942699" w:rsidRPr="00DA1726">
        <w:rPr>
          <w:b/>
          <w:sz w:val="28"/>
          <w:szCs w:val="28"/>
        </w:rPr>
        <w:t xml:space="preserve"> </w:t>
      </w:r>
      <w:r w:rsidR="00942699" w:rsidRPr="00DA1726">
        <w:rPr>
          <w:sz w:val="28"/>
          <w:szCs w:val="28"/>
        </w:rPr>
        <w:t>indicó que l</w:t>
      </w:r>
      <w:r w:rsidR="00AF7336" w:rsidRPr="00DA1726">
        <w:rPr>
          <w:sz w:val="28"/>
          <w:szCs w:val="28"/>
        </w:rPr>
        <w:t>as violaciones están principalmente enfocadas a establecer indicadores que muestren casos de insuficiencia en los servicios que se ofrecen</w:t>
      </w:r>
      <w:r w:rsidR="00942699" w:rsidRPr="00DA1726">
        <w:rPr>
          <w:sz w:val="28"/>
          <w:szCs w:val="28"/>
        </w:rPr>
        <w:t>.</w:t>
      </w:r>
    </w:p>
    <w:p w:rsidR="00942699" w:rsidRPr="00DA1726" w:rsidRDefault="00942699" w:rsidP="00DA1726">
      <w:pPr>
        <w:jc w:val="both"/>
        <w:rPr>
          <w:sz w:val="28"/>
          <w:szCs w:val="28"/>
        </w:rPr>
      </w:pPr>
    </w:p>
    <w:p w:rsidR="00AF7336" w:rsidRPr="00DA1726" w:rsidRDefault="008B5047" w:rsidP="00DA1726">
      <w:pPr>
        <w:jc w:val="both"/>
        <w:rPr>
          <w:sz w:val="28"/>
          <w:szCs w:val="28"/>
        </w:rPr>
      </w:pPr>
      <w:r w:rsidRPr="00DA1726">
        <w:rPr>
          <w:b/>
          <w:sz w:val="28"/>
          <w:szCs w:val="28"/>
        </w:rPr>
        <w:t>Así vamos en salud</w:t>
      </w:r>
      <w:r w:rsidR="00363BA5" w:rsidRPr="00DA1726">
        <w:rPr>
          <w:b/>
          <w:sz w:val="28"/>
          <w:szCs w:val="28"/>
        </w:rPr>
        <w:t xml:space="preserve"> </w:t>
      </w:r>
      <w:r w:rsidR="00363BA5" w:rsidRPr="00DA1726">
        <w:rPr>
          <w:sz w:val="28"/>
          <w:szCs w:val="28"/>
        </w:rPr>
        <w:t>afirmó que e</w:t>
      </w:r>
      <w:r w:rsidR="00734871" w:rsidRPr="00DA1726">
        <w:rPr>
          <w:sz w:val="28"/>
          <w:szCs w:val="28"/>
        </w:rPr>
        <w:t xml:space="preserve">l </w:t>
      </w:r>
      <w:r w:rsidR="008D66F1" w:rsidRPr="00DA1726">
        <w:rPr>
          <w:i/>
          <w:sz w:val="28"/>
          <w:szCs w:val="28"/>
        </w:rPr>
        <w:t>ranking</w:t>
      </w:r>
      <w:r w:rsidR="00734871" w:rsidRPr="00DA1726">
        <w:rPr>
          <w:sz w:val="28"/>
          <w:szCs w:val="28"/>
        </w:rPr>
        <w:t xml:space="preserve"> debe</w:t>
      </w:r>
      <w:r w:rsidR="00363BA5" w:rsidRPr="00DA1726">
        <w:rPr>
          <w:sz w:val="28"/>
          <w:szCs w:val="28"/>
        </w:rPr>
        <w:t xml:space="preserve"> ser cualitativo y cuantitativo, a</w:t>
      </w:r>
      <w:r w:rsidR="00734871" w:rsidRPr="00DA1726">
        <w:rPr>
          <w:sz w:val="28"/>
          <w:szCs w:val="28"/>
        </w:rPr>
        <w:t xml:space="preserve"> partir de la percepci</w:t>
      </w:r>
      <w:r w:rsidR="00363BA5" w:rsidRPr="00DA1726">
        <w:rPr>
          <w:sz w:val="28"/>
          <w:szCs w:val="28"/>
        </w:rPr>
        <w:t>ón de ciudadanos. Aseveró que a</w:t>
      </w:r>
      <w:r w:rsidR="00734871" w:rsidRPr="00DA1726">
        <w:rPr>
          <w:sz w:val="28"/>
          <w:szCs w:val="28"/>
        </w:rPr>
        <w:t xml:space="preserve">ún no se ha definido qué es lo que se quiere en materia de vigilancia y control, </w:t>
      </w:r>
      <w:r w:rsidR="00363BA5" w:rsidRPr="00DA1726">
        <w:rPr>
          <w:sz w:val="28"/>
          <w:szCs w:val="28"/>
        </w:rPr>
        <w:t xml:space="preserve">ya que </w:t>
      </w:r>
      <w:r w:rsidR="00734871" w:rsidRPr="00DA1726">
        <w:rPr>
          <w:sz w:val="28"/>
          <w:szCs w:val="28"/>
        </w:rPr>
        <w:t xml:space="preserve">no solo </w:t>
      </w:r>
      <w:r w:rsidR="00363BA5" w:rsidRPr="00DA1726">
        <w:rPr>
          <w:sz w:val="28"/>
          <w:szCs w:val="28"/>
        </w:rPr>
        <w:t xml:space="preserve">puede atender a </w:t>
      </w:r>
      <w:r w:rsidR="00734871" w:rsidRPr="00DA1726">
        <w:rPr>
          <w:sz w:val="28"/>
          <w:szCs w:val="28"/>
        </w:rPr>
        <w:t>un aspecto punitivo, si</w:t>
      </w:r>
      <w:r w:rsidR="00363BA5" w:rsidRPr="00DA1726">
        <w:rPr>
          <w:sz w:val="28"/>
          <w:szCs w:val="28"/>
        </w:rPr>
        <w:t>no</w:t>
      </w:r>
      <w:r w:rsidR="00734871" w:rsidRPr="00DA1726">
        <w:rPr>
          <w:sz w:val="28"/>
          <w:szCs w:val="28"/>
        </w:rPr>
        <w:t xml:space="preserve"> además estar enfocada hacia generar incentivos para una mejor prestación de servi</w:t>
      </w:r>
      <w:r w:rsidRPr="00DA1726">
        <w:rPr>
          <w:sz w:val="28"/>
          <w:szCs w:val="28"/>
        </w:rPr>
        <w:t xml:space="preserve">cios (sistema de acreditación), </w:t>
      </w:r>
      <w:r w:rsidR="00734871" w:rsidRPr="00DA1726">
        <w:rPr>
          <w:sz w:val="28"/>
          <w:szCs w:val="28"/>
        </w:rPr>
        <w:t xml:space="preserve">para </w:t>
      </w:r>
      <w:r w:rsidRPr="00DA1726">
        <w:rPr>
          <w:sz w:val="28"/>
          <w:szCs w:val="28"/>
        </w:rPr>
        <w:t xml:space="preserve">de esta manera </w:t>
      </w:r>
      <w:r w:rsidR="00363BA5" w:rsidRPr="00DA1726">
        <w:rPr>
          <w:sz w:val="28"/>
          <w:szCs w:val="28"/>
        </w:rPr>
        <w:t xml:space="preserve">alcanzar </w:t>
      </w:r>
      <w:r w:rsidR="00734871" w:rsidRPr="00DA1726">
        <w:rPr>
          <w:sz w:val="28"/>
          <w:szCs w:val="28"/>
        </w:rPr>
        <w:t xml:space="preserve">un acceso real y efectivo por parte de los usuarios. </w:t>
      </w:r>
    </w:p>
    <w:p w:rsidR="00AF7336" w:rsidRPr="00DA1726" w:rsidRDefault="00AF7336" w:rsidP="00DA1726">
      <w:pPr>
        <w:jc w:val="both"/>
        <w:rPr>
          <w:sz w:val="28"/>
          <w:szCs w:val="28"/>
        </w:rPr>
      </w:pPr>
    </w:p>
    <w:p w:rsidR="00A24DD6" w:rsidRPr="00DA1726" w:rsidRDefault="00363BA5" w:rsidP="00DA1726">
      <w:pPr>
        <w:jc w:val="both"/>
        <w:rPr>
          <w:sz w:val="28"/>
          <w:szCs w:val="28"/>
        </w:rPr>
      </w:pPr>
      <w:r w:rsidRPr="00DA1726">
        <w:rPr>
          <w:b/>
          <w:sz w:val="28"/>
          <w:szCs w:val="28"/>
        </w:rPr>
        <w:t xml:space="preserve">La asociación de hospitales y clínicas </w:t>
      </w:r>
      <w:r w:rsidRPr="00DA1726">
        <w:rPr>
          <w:sz w:val="28"/>
          <w:szCs w:val="28"/>
        </w:rPr>
        <w:t>expuso que la evaluación de la n</w:t>
      </w:r>
      <w:r w:rsidR="00DC3620" w:rsidRPr="00DA1726">
        <w:rPr>
          <w:sz w:val="28"/>
          <w:szCs w:val="28"/>
        </w:rPr>
        <w:t xml:space="preserve">egación debe atender a demanda satisfecha y demanda insatisfecha. </w:t>
      </w:r>
      <w:r w:rsidRPr="00DA1726">
        <w:rPr>
          <w:sz w:val="28"/>
          <w:szCs w:val="28"/>
        </w:rPr>
        <w:t xml:space="preserve"> Agregó que s</w:t>
      </w:r>
      <w:r w:rsidR="00DC3620" w:rsidRPr="00DA1726">
        <w:rPr>
          <w:sz w:val="28"/>
          <w:szCs w:val="28"/>
        </w:rPr>
        <w:t xml:space="preserve">e debe avanzar en la construcción de un </w:t>
      </w:r>
      <w:r w:rsidR="008D66F1" w:rsidRPr="00DA1726">
        <w:rPr>
          <w:i/>
          <w:sz w:val="28"/>
          <w:szCs w:val="28"/>
        </w:rPr>
        <w:t>ranking</w:t>
      </w:r>
      <w:r w:rsidR="00DC3620" w:rsidRPr="00DA1726">
        <w:rPr>
          <w:sz w:val="28"/>
          <w:szCs w:val="28"/>
        </w:rPr>
        <w:t xml:space="preserve"> </w:t>
      </w:r>
      <w:r w:rsidR="00A24DD6" w:rsidRPr="00DA1726">
        <w:rPr>
          <w:sz w:val="28"/>
          <w:szCs w:val="28"/>
        </w:rPr>
        <w:t>en</w:t>
      </w:r>
      <w:r w:rsidR="00DC3620" w:rsidRPr="00DA1726">
        <w:rPr>
          <w:sz w:val="28"/>
          <w:szCs w:val="28"/>
        </w:rPr>
        <w:t xml:space="preserve"> </w:t>
      </w:r>
      <w:r w:rsidRPr="00DA1726">
        <w:rPr>
          <w:sz w:val="28"/>
          <w:szCs w:val="28"/>
        </w:rPr>
        <w:t>donde</w:t>
      </w:r>
      <w:r w:rsidR="00DC3620" w:rsidRPr="00DA1726">
        <w:rPr>
          <w:sz w:val="28"/>
          <w:szCs w:val="28"/>
        </w:rPr>
        <w:t xml:space="preserve"> el usuario pueda identificar qu</w:t>
      </w:r>
      <w:r w:rsidR="00A24DD6" w:rsidRPr="00DA1726">
        <w:rPr>
          <w:sz w:val="28"/>
          <w:szCs w:val="28"/>
        </w:rPr>
        <w:t>é prestadora es buena, regular y mala</w:t>
      </w:r>
      <w:r w:rsidRPr="00DA1726">
        <w:rPr>
          <w:sz w:val="28"/>
          <w:szCs w:val="28"/>
        </w:rPr>
        <w:t xml:space="preserve">, para ello es necesario </w:t>
      </w:r>
      <w:r w:rsidR="00DA5C4D" w:rsidRPr="00DA1726">
        <w:rPr>
          <w:sz w:val="28"/>
          <w:szCs w:val="28"/>
        </w:rPr>
        <w:t>partir de unas bases de estructura (habilitación), proceso (porcentaje de ocupación, días de estancia, infección intrahospitalaria, entre otras)</w:t>
      </w:r>
      <w:r w:rsidRPr="00DA1726">
        <w:rPr>
          <w:sz w:val="28"/>
          <w:szCs w:val="28"/>
        </w:rPr>
        <w:t xml:space="preserve"> y</w:t>
      </w:r>
      <w:r w:rsidR="00DA5C4D" w:rsidRPr="00DA1726">
        <w:rPr>
          <w:sz w:val="28"/>
          <w:szCs w:val="28"/>
        </w:rPr>
        <w:t xml:space="preserve"> resultado (indicadores para medición de valor). </w:t>
      </w:r>
      <w:r w:rsidR="00A24DD6" w:rsidRPr="00DA1726">
        <w:rPr>
          <w:sz w:val="28"/>
          <w:szCs w:val="28"/>
        </w:rPr>
        <w:t>El cual además debe ser técnico, confiable, justo, progresivo (los indicadores se deben ir adaptando), público y útil (comprensible).</w:t>
      </w:r>
    </w:p>
    <w:p w:rsidR="00DA5C4D" w:rsidRPr="00DA1726" w:rsidRDefault="00DA5C4D" w:rsidP="00DA1726">
      <w:pPr>
        <w:jc w:val="both"/>
        <w:rPr>
          <w:sz w:val="28"/>
          <w:szCs w:val="28"/>
        </w:rPr>
      </w:pPr>
    </w:p>
    <w:p w:rsidR="00A24DD6" w:rsidRPr="00DA1726" w:rsidRDefault="008B5047" w:rsidP="00DA1726">
      <w:pPr>
        <w:jc w:val="both"/>
        <w:rPr>
          <w:sz w:val="28"/>
          <w:szCs w:val="28"/>
        </w:rPr>
      </w:pPr>
      <w:r w:rsidRPr="00DA1726">
        <w:rPr>
          <w:sz w:val="28"/>
          <w:szCs w:val="28"/>
        </w:rPr>
        <w:t>Por último, la Corte Constitucional, a</w:t>
      </w:r>
      <w:r w:rsidR="00A24DD6" w:rsidRPr="00DA1726">
        <w:rPr>
          <w:sz w:val="28"/>
          <w:szCs w:val="28"/>
        </w:rPr>
        <w:t xml:space="preserve">nte la necesidad de definir qué se puede entender por violación del derecho y atendiendo a que esta construcción se debe dar por parte de todos, no solo del gobierno, invitó a las partes a reunirse para establecer el plan de trabajo a fin de estructurar el </w:t>
      </w:r>
      <w:r w:rsidR="008D66F1" w:rsidRPr="00DA1726">
        <w:rPr>
          <w:i/>
          <w:sz w:val="28"/>
          <w:szCs w:val="28"/>
        </w:rPr>
        <w:t>ranking</w:t>
      </w:r>
      <w:r w:rsidR="00A24DD6" w:rsidRPr="00DA1726">
        <w:rPr>
          <w:sz w:val="28"/>
          <w:szCs w:val="28"/>
        </w:rPr>
        <w:t xml:space="preserve"> de las </w:t>
      </w:r>
      <w:r w:rsidR="00EA4FAC" w:rsidRPr="00DA1726">
        <w:rPr>
          <w:sz w:val="28"/>
          <w:szCs w:val="28"/>
        </w:rPr>
        <w:t>IPS</w:t>
      </w:r>
      <w:r w:rsidR="00A24DD6" w:rsidRPr="00DA1726">
        <w:rPr>
          <w:sz w:val="28"/>
          <w:szCs w:val="28"/>
        </w:rPr>
        <w:t>.</w:t>
      </w:r>
    </w:p>
    <w:p w:rsidR="00A24DD6" w:rsidRPr="00DA1726" w:rsidRDefault="00A24DD6" w:rsidP="00DA1726">
      <w:pPr>
        <w:jc w:val="both"/>
        <w:rPr>
          <w:sz w:val="28"/>
          <w:szCs w:val="28"/>
        </w:rPr>
      </w:pPr>
    </w:p>
    <w:p w:rsidR="001A1D76" w:rsidRPr="00DA1726" w:rsidRDefault="001A1D76" w:rsidP="00DA1726">
      <w:pPr>
        <w:pStyle w:val="Prrafodelista"/>
        <w:numPr>
          <w:ilvl w:val="0"/>
          <w:numId w:val="40"/>
        </w:numPr>
        <w:ind w:left="0" w:firstLine="0"/>
        <w:jc w:val="both"/>
        <w:rPr>
          <w:b/>
          <w:snapToGrid w:val="0"/>
          <w:sz w:val="28"/>
          <w:szCs w:val="28"/>
        </w:rPr>
      </w:pPr>
      <w:r w:rsidRPr="00DA1726">
        <w:rPr>
          <w:b/>
          <w:snapToGrid w:val="0"/>
          <w:sz w:val="28"/>
          <w:szCs w:val="28"/>
        </w:rPr>
        <w:t>CONSIDERACIONES DE LA SALA ESPECIAL DE SEGUIMIENTO</w:t>
      </w:r>
    </w:p>
    <w:p w:rsidR="001A1D76" w:rsidRPr="00DA1726" w:rsidRDefault="001A1D76" w:rsidP="00DA1726">
      <w:pPr>
        <w:jc w:val="both"/>
        <w:rPr>
          <w:snapToGrid w:val="0"/>
          <w:sz w:val="28"/>
          <w:szCs w:val="28"/>
          <w:lang w:val="es-ES_tradnl"/>
        </w:rPr>
      </w:pPr>
    </w:p>
    <w:p w:rsidR="001A1D76" w:rsidRPr="00DA1726" w:rsidRDefault="001A1D76" w:rsidP="00DA1726">
      <w:pPr>
        <w:pStyle w:val="Prrafodelista"/>
        <w:numPr>
          <w:ilvl w:val="3"/>
          <w:numId w:val="40"/>
        </w:numPr>
        <w:ind w:left="284" w:hanging="284"/>
        <w:jc w:val="both"/>
        <w:rPr>
          <w:b/>
          <w:bCs/>
          <w:snapToGrid w:val="0"/>
          <w:sz w:val="28"/>
          <w:szCs w:val="28"/>
        </w:rPr>
      </w:pPr>
      <w:r w:rsidRPr="00DA1726">
        <w:rPr>
          <w:b/>
          <w:snapToGrid w:val="0"/>
          <w:sz w:val="28"/>
          <w:szCs w:val="28"/>
        </w:rPr>
        <w:t>Competencia y metodología de la valoración.</w:t>
      </w:r>
    </w:p>
    <w:p w:rsidR="001A1D76" w:rsidRPr="00DA1726" w:rsidRDefault="001A1D76" w:rsidP="00DA1726">
      <w:pPr>
        <w:jc w:val="both"/>
        <w:rPr>
          <w:b/>
          <w:snapToGrid w:val="0"/>
          <w:sz w:val="28"/>
          <w:szCs w:val="28"/>
        </w:rPr>
      </w:pPr>
    </w:p>
    <w:p w:rsidR="001A1D76" w:rsidRPr="00DA1726" w:rsidRDefault="001A1D76" w:rsidP="00DA1726">
      <w:pPr>
        <w:jc w:val="both"/>
        <w:rPr>
          <w:snapToGrid w:val="0"/>
          <w:sz w:val="28"/>
          <w:szCs w:val="28"/>
        </w:rPr>
      </w:pPr>
      <w:r w:rsidRPr="00DA1726">
        <w:rPr>
          <w:snapToGrid w:val="0"/>
          <w:sz w:val="28"/>
          <w:szCs w:val="28"/>
          <w:lang w:val="es-ES_tradnl"/>
        </w:rPr>
        <w:t xml:space="preserve">Conforme a las atribuciones dadas por la Sala Plena de la Corte Constitucional </w:t>
      </w:r>
      <w:r w:rsidRPr="00DA1726">
        <w:rPr>
          <w:snapToGrid w:val="0"/>
          <w:sz w:val="28"/>
          <w:szCs w:val="28"/>
        </w:rPr>
        <w:t>en sesión del 1° de abril de 2009; el artículo 86 de la Constitución Política; el artículo 25, numeral 2, literal c)</w:t>
      </w:r>
      <w:r w:rsidRPr="00DA1726">
        <w:rPr>
          <w:snapToGrid w:val="0"/>
          <w:sz w:val="28"/>
          <w:szCs w:val="28"/>
          <w:vertAlign w:val="superscript"/>
        </w:rPr>
        <w:footnoteReference w:id="89"/>
      </w:r>
      <w:r w:rsidRPr="00DA1726">
        <w:rPr>
          <w:snapToGrid w:val="0"/>
          <w:sz w:val="28"/>
          <w:szCs w:val="28"/>
        </w:rPr>
        <w:t xml:space="preserve"> de la Convención Americana sobre Derechos Humanos</w:t>
      </w:r>
      <w:r w:rsidRPr="00DA1726">
        <w:rPr>
          <w:snapToGrid w:val="0"/>
          <w:sz w:val="28"/>
          <w:szCs w:val="28"/>
          <w:vertAlign w:val="superscript"/>
        </w:rPr>
        <w:footnoteReference w:id="90"/>
      </w:r>
      <w:r w:rsidRPr="00DA1726">
        <w:rPr>
          <w:snapToGrid w:val="0"/>
          <w:sz w:val="28"/>
          <w:szCs w:val="28"/>
        </w:rPr>
        <w:t>; y el artículo 27 del Decreto Estatutario 2591 de 1991, esta Sala Especial de Seguimiento es competente para proferir el presente auto.</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 xml:space="preserve">En esta </w:t>
      </w:r>
      <w:r w:rsidRPr="00DA1726">
        <w:rPr>
          <w:snapToGrid w:val="0"/>
          <w:sz w:val="28"/>
          <w:szCs w:val="28"/>
          <w:lang w:val="es-ES_tradnl"/>
        </w:rPr>
        <w:t>oportunidad</w:t>
      </w:r>
      <w:r w:rsidRPr="00DA1726">
        <w:rPr>
          <w:snapToGrid w:val="0"/>
          <w:sz w:val="28"/>
          <w:szCs w:val="28"/>
        </w:rPr>
        <w:t>, la Corte se encargará de evaluar el grado de cumplimiento de lo dispuesto en la sentencia T-760 de 2008</w:t>
      </w:r>
      <w:r w:rsidR="0089508F" w:rsidRPr="00DA1726">
        <w:rPr>
          <w:snapToGrid w:val="0"/>
          <w:sz w:val="28"/>
          <w:szCs w:val="28"/>
        </w:rPr>
        <w:t xml:space="preserve"> y sus autos complementarios</w:t>
      </w:r>
      <w:r w:rsidR="00F014E0" w:rsidRPr="00DA1726">
        <w:rPr>
          <w:snapToGrid w:val="0"/>
          <w:sz w:val="28"/>
          <w:szCs w:val="28"/>
        </w:rPr>
        <w:t>, específica y exclusivamente</w:t>
      </w:r>
      <w:r w:rsidRPr="00DA1726">
        <w:rPr>
          <w:snapToGrid w:val="0"/>
          <w:sz w:val="28"/>
          <w:szCs w:val="28"/>
        </w:rPr>
        <w:t xml:space="preserve"> en lo relacionado con la orden </w:t>
      </w:r>
      <w:r w:rsidR="0089508F" w:rsidRPr="00DA1726">
        <w:rPr>
          <w:snapToGrid w:val="0"/>
          <w:sz w:val="28"/>
          <w:szCs w:val="28"/>
        </w:rPr>
        <w:t>vigésima</w:t>
      </w:r>
      <w:r w:rsidRPr="00DA1726">
        <w:rPr>
          <w:snapToGrid w:val="0"/>
          <w:sz w:val="28"/>
          <w:szCs w:val="28"/>
        </w:rPr>
        <w:t xml:space="preserve"> </w:t>
      </w:r>
      <w:r w:rsidR="0089508F" w:rsidRPr="00DA1726">
        <w:rPr>
          <w:snapToGrid w:val="0"/>
          <w:sz w:val="28"/>
          <w:szCs w:val="28"/>
        </w:rPr>
        <w:t xml:space="preserve">en cuanto al </w:t>
      </w:r>
      <w:r w:rsidR="008D66F1" w:rsidRPr="00DA1726">
        <w:rPr>
          <w:i/>
          <w:snapToGrid w:val="0"/>
          <w:sz w:val="28"/>
          <w:szCs w:val="28"/>
        </w:rPr>
        <w:t>ranking</w:t>
      </w:r>
      <w:r w:rsidR="0089508F" w:rsidRPr="00DA1726">
        <w:rPr>
          <w:snapToGrid w:val="0"/>
          <w:sz w:val="28"/>
          <w:szCs w:val="28"/>
        </w:rPr>
        <w:t xml:space="preserve"> de </w:t>
      </w:r>
      <w:r w:rsidR="00EA4FAC" w:rsidRPr="00DA1726">
        <w:rPr>
          <w:snapToGrid w:val="0"/>
          <w:sz w:val="28"/>
          <w:szCs w:val="28"/>
        </w:rPr>
        <w:t>EPS</w:t>
      </w:r>
      <w:r w:rsidR="0089508F" w:rsidRPr="00DA1726">
        <w:rPr>
          <w:snapToGrid w:val="0"/>
          <w:sz w:val="28"/>
          <w:szCs w:val="28"/>
        </w:rPr>
        <w:t xml:space="preserve"> e </w:t>
      </w:r>
      <w:r w:rsidR="00EA4FAC" w:rsidRPr="00DA1726">
        <w:rPr>
          <w:snapToGrid w:val="0"/>
          <w:sz w:val="28"/>
          <w:szCs w:val="28"/>
        </w:rPr>
        <w:t>IPS</w:t>
      </w:r>
      <w:r w:rsidR="00A444E0" w:rsidRPr="00DA1726">
        <w:rPr>
          <w:snapToGrid w:val="0"/>
          <w:sz w:val="28"/>
          <w:szCs w:val="28"/>
        </w:rPr>
        <w:t>, a partir de los informes presentados por las entidades obligadas, peritos y demás organizaciones, allegados con posterioridad a la expedición del Auto 260 de 2012, toda vez que en dicha providencia ya se hizo un ejercicio de valoración del mandato objeto de examen</w:t>
      </w:r>
      <w:r w:rsidRPr="00DA1726">
        <w:rPr>
          <w:snapToGrid w:val="0"/>
          <w:sz w:val="28"/>
          <w:szCs w:val="28"/>
        </w:rPr>
        <w:t>.</w:t>
      </w:r>
    </w:p>
    <w:p w:rsidR="001A1D76" w:rsidRPr="00DA1726" w:rsidRDefault="001A1D76" w:rsidP="00DA1726">
      <w:pPr>
        <w:jc w:val="both"/>
        <w:rPr>
          <w:snapToGrid w:val="0"/>
          <w:sz w:val="28"/>
          <w:szCs w:val="28"/>
        </w:rPr>
      </w:pPr>
    </w:p>
    <w:p w:rsidR="00F014E0" w:rsidRPr="00DA1726" w:rsidRDefault="00F014E0" w:rsidP="00DA1726">
      <w:pPr>
        <w:jc w:val="both"/>
        <w:rPr>
          <w:snapToGrid w:val="0"/>
          <w:sz w:val="28"/>
          <w:szCs w:val="28"/>
        </w:rPr>
      </w:pPr>
      <w:r w:rsidRPr="00DA1726">
        <w:rPr>
          <w:snapToGrid w:val="0"/>
          <w:sz w:val="28"/>
          <w:szCs w:val="28"/>
        </w:rPr>
        <w:t xml:space="preserve">Ahora bien, los aspectos relacionados con </w:t>
      </w:r>
      <w:r w:rsidRPr="00DA1726">
        <w:rPr>
          <w:iCs/>
          <w:sz w:val="28"/>
          <w:szCs w:val="28"/>
          <w:lang w:eastAsia="es-ES_tradnl"/>
        </w:rPr>
        <w:t>(ii) las medidas adoptadas res</w:t>
      </w:r>
      <w:r w:rsidR="00435138" w:rsidRPr="00DA1726">
        <w:rPr>
          <w:iCs/>
          <w:sz w:val="28"/>
          <w:szCs w:val="28"/>
          <w:lang w:eastAsia="es-ES_tradnl"/>
        </w:rPr>
        <w:t xml:space="preserve">pecto de las </w:t>
      </w:r>
      <w:r w:rsidRPr="00DA1726">
        <w:rPr>
          <w:iCs/>
          <w:sz w:val="28"/>
          <w:szCs w:val="28"/>
          <w:lang w:eastAsia="es-ES_tradnl"/>
        </w:rPr>
        <w:t>entidades</w:t>
      </w:r>
      <w:r w:rsidR="00FD1BD3" w:rsidRPr="00DA1726">
        <w:rPr>
          <w:iCs/>
          <w:sz w:val="28"/>
          <w:szCs w:val="28"/>
          <w:lang w:eastAsia="es-ES_tradnl"/>
        </w:rPr>
        <w:t xml:space="preserve"> que incurren en mayores prácticas violatorias</w:t>
      </w:r>
      <w:r w:rsidRPr="00DA1726">
        <w:rPr>
          <w:iCs/>
          <w:sz w:val="28"/>
          <w:szCs w:val="28"/>
          <w:lang w:eastAsia="es-ES_tradnl"/>
        </w:rPr>
        <w:t>; y (iii) las medidas concretas y específicas tomadas para garantizar el goce efectivo del derecho a la salud</w:t>
      </w:r>
      <w:r w:rsidR="00FD1BD3" w:rsidRPr="00DA1726">
        <w:rPr>
          <w:iCs/>
          <w:sz w:val="28"/>
          <w:szCs w:val="28"/>
          <w:lang w:eastAsia="es-ES_tradnl"/>
        </w:rPr>
        <w:t xml:space="preserve"> por parte del Ministerio y la Superintendencia de Salud</w:t>
      </w:r>
      <w:r w:rsidRPr="00DA1726">
        <w:rPr>
          <w:iCs/>
          <w:sz w:val="28"/>
          <w:szCs w:val="28"/>
          <w:lang w:eastAsia="es-ES_tradnl"/>
        </w:rPr>
        <w:t>, serán objeto de valoración en posterior pronunciamiento de este Tribunal Constitucional.</w:t>
      </w:r>
    </w:p>
    <w:p w:rsidR="00F014E0" w:rsidRPr="00DA1726" w:rsidRDefault="00F014E0"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 xml:space="preserve">Para tal fin, la Sala Especial de Seguimiento considera pertinente hacer referencia a: (i) los niveles de cumplimiento de las órdenes impartidas en las providencias objeto de verificación; (ii) </w:t>
      </w:r>
      <w:r w:rsidR="00B45A55" w:rsidRPr="00DA1726">
        <w:rPr>
          <w:snapToGrid w:val="0"/>
          <w:sz w:val="28"/>
          <w:szCs w:val="28"/>
        </w:rPr>
        <w:t>alcance, contenido y evolución</w:t>
      </w:r>
      <w:r w:rsidRPr="00DA1726">
        <w:rPr>
          <w:snapToGrid w:val="0"/>
          <w:sz w:val="28"/>
          <w:szCs w:val="28"/>
        </w:rPr>
        <w:t xml:space="preserve"> jurisprudencial </w:t>
      </w:r>
      <w:r w:rsidR="00B45A55" w:rsidRPr="00DA1726">
        <w:rPr>
          <w:snapToGrid w:val="0"/>
          <w:sz w:val="28"/>
          <w:szCs w:val="28"/>
        </w:rPr>
        <w:t xml:space="preserve">de la orden vigésima de la sentencia T-760 de 2008, </w:t>
      </w:r>
      <w:r w:rsidRPr="00DA1726">
        <w:rPr>
          <w:snapToGrid w:val="0"/>
          <w:sz w:val="28"/>
          <w:szCs w:val="28"/>
        </w:rPr>
        <w:t xml:space="preserve">sobre </w:t>
      </w:r>
      <w:r w:rsidR="0089508F" w:rsidRPr="00DA1726">
        <w:rPr>
          <w:snapToGrid w:val="0"/>
          <w:sz w:val="28"/>
          <w:szCs w:val="28"/>
        </w:rPr>
        <w:t xml:space="preserve">la clasificación de </w:t>
      </w:r>
      <w:r w:rsidR="00176A8A" w:rsidRPr="00DA1726">
        <w:rPr>
          <w:snapToGrid w:val="0"/>
          <w:sz w:val="28"/>
          <w:szCs w:val="28"/>
        </w:rPr>
        <w:t>entidade</w:t>
      </w:r>
      <w:r w:rsidR="0089508F" w:rsidRPr="00DA1726">
        <w:rPr>
          <w:snapToGrid w:val="0"/>
          <w:sz w:val="28"/>
          <w:szCs w:val="28"/>
        </w:rPr>
        <w:t>s promotoras de salud y las instituciones prestadoras de salud y su incidencia en la libre escogencia de los usuarios del SGSSS</w:t>
      </w:r>
      <w:r w:rsidRPr="00DA1726">
        <w:rPr>
          <w:snapToGrid w:val="0"/>
          <w:sz w:val="28"/>
          <w:szCs w:val="28"/>
        </w:rPr>
        <w:t xml:space="preserve">; (iv) finalmente abordar el análisis sobre el cumplimiento en concreto.  </w:t>
      </w:r>
    </w:p>
    <w:p w:rsidR="001A1D76" w:rsidRPr="00DA1726" w:rsidRDefault="001A1D76" w:rsidP="00DA1726">
      <w:pPr>
        <w:jc w:val="both"/>
        <w:rPr>
          <w:snapToGrid w:val="0"/>
          <w:sz w:val="28"/>
          <w:szCs w:val="28"/>
        </w:rPr>
      </w:pPr>
    </w:p>
    <w:p w:rsidR="001A1D76" w:rsidRPr="00DA1726" w:rsidRDefault="001A1D76" w:rsidP="00DA1726">
      <w:pPr>
        <w:pStyle w:val="Prrafodelista"/>
        <w:numPr>
          <w:ilvl w:val="3"/>
          <w:numId w:val="40"/>
        </w:numPr>
        <w:ind w:left="426" w:hanging="426"/>
        <w:jc w:val="both"/>
        <w:rPr>
          <w:b/>
          <w:snapToGrid w:val="0"/>
          <w:sz w:val="28"/>
          <w:szCs w:val="28"/>
        </w:rPr>
      </w:pPr>
      <w:r w:rsidRPr="00DA1726">
        <w:rPr>
          <w:b/>
          <w:snapToGrid w:val="0"/>
          <w:sz w:val="28"/>
          <w:szCs w:val="28"/>
        </w:rPr>
        <w:t>Niveles de cumplimiento a las órdenes de la sentencia T-760 de 2008.</w:t>
      </w:r>
    </w:p>
    <w:p w:rsidR="001A1D76" w:rsidRPr="00DA1726" w:rsidRDefault="001A1D76" w:rsidP="00DA1726">
      <w:pPr>
        <w:jc w:val="both"/>
        <w:rPr>
          <w:b/>
          <w:snapToGrid w:val="0"/>
          <w:sz w:val="28"/>
          <w:szCs w:val="28"/>
        </w:rPr>
      </w:pPr>
    </w:p>
    <w:p w:rsidR="001A1D76" w:rsidRPr="00DA1726" w:rsidRDefault="001A1D76" w:rsidP="00DA1726">
      <w:pPr>
        <w:jc w:val="both"/>
        <w:rPr>
          <w:snapToGrid w:val="0"/>
          <w:sz w:val="28"/>
          <w:szCs w:val="28"/>
        </w:rPr>
      </w:pPr>
      <w:r w:rsidRPr="00DA1726">
        <w:rPr>
          <w:snapToGrid w:val="0"/>
          <w:sz w:val="28"/>
          <w:szCs w:val="28"/>
        </w:rPr>
        <w:t>2.1. Las órdenes estructurales impartidas en la sentencia T-760 de 2008 implican la intervención judicial excepcional en el diseño y/o implementación de la política pública en salud. Por ende, para lograr su cumplimiento se deberán observar, sin perjuicio de sus elementos característicos, las condiciones básicas determinadas en la jurisprudencia constitucional</w:t>
      </w:r>
      <w:r w:rsidRPr="00DA1726">
        <w:rPr>
          <w:snapToGrid w:val="0"/>
          <w:sz w:val="28"/>
          <w:szCs w:val="28"/>
          <w:vertAlign w:val="superscript"/>
        </w:rPr>
        <w:footnoteReference w:id="91"/>
      </w:r>
      <w:r w:rsidRPr="00DA1726">
        <w:rPr>
          <w:snapToGrid w:val="0"/>
          <w:sz w:val="28"/>
          <w:szCs w:val="28"/>
        </w:rPr>
        <w:t xml:space="preserve">. </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La primera es que exista efectivamente, es decir, que haga parte de un programa de acción estructurado que permita a la autoridad responsable adoptar las medidas adecuadas y necesarias. Además, debe suponer un cronograma de actividades para su realización y debe ser ejecutado en un tiempo determinado y razonable.</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 xml:space="preserve">La segunda es que el plan de acción tenga como prioridad garantizar el goce efectivo del derecho. No puede tratarse de una política pública simbólica o formal. La misión del Estado no se reduce a expedir normas que reconozcan en el papel la titularidad de derechos. La racionalidad mínima del texto Superior manda que estén seguidas de acciones reales, dirigidas a facilitar el disfrute y el ejercicio cabal de las atribuciones fundamentales. Se vulnera la Constitución cuando existiendo una ruta se constata que solo está escrita y no ha sido iniciada su ejecución o aunque se esté implementando resulta evidentemente inane, bien porque no es sensible a las verdaderas angustias poblacionales o porque su materialización se ha diferido indefinidamente. </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 xml:space="preserve">La tercera está dada en que los procesos de decisión, elaboración, implementación y evaluación de la política pública, habrán de permitir una participación democrática efectiva en todas las etapas. Es inaceptable que exista un plan gubernamental que no abra espacios de interacción real a los ciudadanos en las diferentes fases del proceso o aunque los brinde resulten inocuos al limitarse a prever una intervención trivial. </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La Corte Constitucional ha precisado que el adecuado funcionamiento y los buenos resultados de las reformas normativas dependen de que estas se encuentren soportadas en estudios empíricos y de juiciosas reflexiones sobre cuál es el mejor curso de la acción estatal</w:t>
      </w:r>
      <w:r w:rsidRPr="00DA1726">
        <w:rPr>
          <w:snapToGrid w:val="0"/>
          <w:sz w:val="28"/>
          <w:szCs w:val="28"/>
          <w:vertAlign w:val="superscript"/>
        </w:rPr>
        <w:footnoteReference w:id="92"/>
      </w:r>
      <w:r w:rsidRPr="00DA1726">
        <w:rPr>
          <w:snapToGrid w:val="0"/>
          <w:sz w:val="28"/>
          <w:szCs w:val="28"/>
        </w:rPr>
        <w:t>. Siempre habrá que tener en cuenta que una verdadera política pública involucra el cumplimiento de obligaciones de respeto y garantía a los derechos humanos</w:t>
      </w:r>
      <w:r w:rsidRPr="00DA1726">
        <w:rPr>
          <w:snapToGrid w:val="0"/>
          <w:sz w:val="28"/>
          <w:szCs w:val="28"/>
          <w:vertAlign w:val="superscript"/>
        </w:rPr>
        <w:footnoteReference w:id="93"/>
      </w:r>
      <w:r w:rsidRPr="00DA1726">
        <w:rPr>
          <w:snapToGrid w:val="0"/>
          <w:sz w:val="28"/>
          <w:szCs w:val="28"/>
        </w:rPr>
        <w:t>.  La simple expedición de normas legales o de actos administrativos, la ejecución parcial de políticas públicas y la mera demostración de ajustes presupuestales, no constituyen en modo alguno un motivo suficiente o una razón determinante para dar por superada la falla estructural declarada en la Sentencia</w:t>
      </w:r>
      <w:r w:rsidRPr="00DA1726">
        <w:rPr>
          <w:snapToGrid w:val="0"/>
          <w:sz w:val="28"/>
          <w:szCs w:val="28"/>
          <w:vertAlign w:val="superscript"/>
        </w:rPr>
        <w:footnoteReference w:id="94"/>
      </w:r>
      <w:r w:rsidRPr="00DA1726">
        <w:rPr>
          <w:snapToGrid w:val="0"/>
          <w:sz w:val="28"/>
          <w:szCs w:val="28"/>
        </w:rPr>
        <w:t xml:space="preserve">.   </w:t>
      </w:r>
    </w:p>
    <w:p w:rsidR="001A1D76" w:rsidRPr="00DA1726" w:rsidRDefault="001A1D76" w:rsidP="00DA1726">
      <w:pPr>
        <w:jc w:val="both"/>
        <w:rPr>
          <w:snapToGrid w:val="0"/>
          <w:sz w:val="28"/>
          <w:szCs w:val="28"/>
        </w:rPr>
      </w:pPr>
    </w:p>
    <w:p w:rsidR="001A1D76" w:rsidRPr="00DA1726" w:rsidRDefault="001A1D76" w:rsidP="00DA1726">
      <w:pPr>
        <w:jc w:val="both"/>
        <w:rPr>
          <w:sz w:val="28"/>
          <w:szCs w:val="28"/>
          <w:lang w:eastAsia="es-ES_tradnl"/>
        </w:rPr>
      </w:pPr>
      <w:r w:rsidRPr="00DA1726">
        <w:rPr>
          <w:snapToGrid w:val="0"/>
          <w:sz w:val="28"/>
          <w:szCs w:val="28"/>
        </w:rPr>
        <w:t>2.2. Durante los ocho años que han transcurrido desde la expedición del fallo objeto de supervisión</w:t>
      </w:r>
      <w:r w:rsidRPr="00DA1726">
        <w:rPr>
          <w:snapToGrid w:val="0"/>
          <w:sz w:val="28"/>
          <w:szCs w:val="28"/>
          <w:vertAlign w:val="superscript"/>
        </w:rPr>
        <w:footnoteReference w:id="95"/>
      </w:r>
      <w:r w:rsidRPr="00DA1726">
        <w:rPr>
          <w:snapToGrid w:val="0"/>
          <w:sz w:val="28"/>
          <w:szCs w:val="28"/>
        </w:rPr>
        <w:t>, este Tribunal ha realizado varias valoraciones de cumplimiento de algunas de las órdenes estructurales. En tal sentido, ha declarado incumplimientos generales</w:t>
      </w:r>
      <w:r w:rsidRPr="00DA1726">
        <w:rPr>
          <w:snapToGrid w:val="0"/>
          <w:sz w:val="28"/>
          <w:szCs w:val="28"/>
          <w:vertAlign w:val="superscript"/>
        </w:rPr>
        <w:footnoteReference w:id="96"/>
      </w:r>
      <w:r w:rsidRPr="00DA1726">
        <w:rPr>
          <w:snapToGrid w:val="0"/>
          <w:sz w:val="28"/>
          <w:szCs w:val="28"/>
        </w:rPr>
        <w:t>, incumplimientos parciales</w:t>
      </w:r>
      <w:r w:rsidRPr="00DA1726">
        <w:rPr>
          <w:snapToGrid w:val="0"/>
          <w:sz w:val="28"/>
          <w:szCs w:val="28"/>
          <w:vertAlign w:val="superscript"/>
        </w:rPr>
        <w:footnoteReference w:id="97"/>
      </w:r>
      <w:r w:rsidRPr="00DA1726">
        <w:rPr>
          <w:snapToGrid w:val="0"/>
          <w:sz w:val="28"/>
          <w:szCs w:val="28"/>
        </w:rPr>
        <w:t>, cumplimientos parciales</w:t>
      </w:r>
      <w:r w:rsidRPr="00DA1726">
        <w:rPr>
          <w:snapToGrid w:val="0"/>
          <w:sz w:val="28"/>
          <w:szCs w:val="28"/>
          <w:vertAlign w:val="superscript"/>
        </w:rPr>
        <w:footnoteReference w:id="98"/>
      </w:r>
      <w:r w:rsidRPr="00DA1726">
        <w:rPr>
          <w:snapToGrid w:val="0"/>
          <w:sz w:val="28"/>
          <w:szCs w:val="28"/>
        </w:rPr>
        <w:t xml:space="preserve"> e incluso, el nivel de acatamiento bajo</w:t>
      </w:r>
      <w:r w:rsidRPr="00DA1726">
        <w:rPr>
          <w:snapToGrid w:val="0"/>
          <w:sz w:val="28"/>
          <w:szCs w:val="28"/>
          <w:vertAlign w:val="superscript"/>
        </w:rPr>
        <w:footnoteReference w:id="99"/>
      </w:r>
      <w:r w:rsidRPr="00DA1726">
        <w:rPr>
          <w:snapToGrid w:val="0"/>
          <w:sz w:val="28"/>
          <w:szCs w:val="28"/>
        </w:rPr>
        <w:t>, con ocasión del análisis de las gestiones, acciones o medidas adelantadas por las autoridades obligadas. De hecho en el Auto 226 de 2011</w:t>
      </w:r>
      <w:r w:rsidRPr="00DA1726">
        <w:rPr>
          <w:snapToGrid w:val="0"/>
          <w:sz w:val="28"/>
          <w:szCs w:val="28"/>
          <w:vertAlign w:val="superscript"/>
        </w:rPr>
        <w:footnoteReference w:id="100"/>
      </w:r>
      <w:r w:rsidRPr="00DA1726">
        <w:rPr>
          <w:snapToGrid w:val="0"/>
          <w:sz w:val="28"/>
          <w:szCs w:val="28"/>
        </w:rPr>
        <w:t xml:space="preserve"> fueron determinados los niveles de acatamiento de la orden decimoséptima y sus correspondientes parámetros de cumplimiento. En aquella oportunidad se determinaron las medidas bajo los cuales se debería hacer esta valoración, que obedecían a </w:t>
      </w:r>
      <w:r w:rsidRPr="00DA1726">
        <w:rPr>
          <w:b/>
          <w:sz w:val="28"/>
          <w:szCs w:val="28"/>
          <w:lang w:val="es-ES_tradnl"/>
        </w:rPr>
        <w:t>estructura</w:t>
      </w:r>
      <w:r w:rsidRPr="00DA1726">
        <w:rPr>
          <w:sz w:val="28"/>
          <w:szCs w:val="28"/>
          <w:vertAlign w:val="superscript"/>
        </w:rPr>
        <w:footnoteReference w:id="101"/>
      </w:r>
      <w:r w:rsidRPr="00DA1726">
        <w:rPr>
          <w:sz w:val="28"/>
          <w:szCs w:val="28"/>
          <w:lang w:val="es-ES_tradnl"/>
        </w:rPr>
        <w:t xml:space="preserve">, </w:t>
      </w:r>
      <w:r w:rsidRPr="00DA1726">
        <w:rPr>
          <w:b/>
          <w:sz w:val="28"/>
          <w:szCs w:val="28"/>
          <w:lang w:val="es-ES_tradnl"/>
        </w:rPr>
        <w:t>proceso</w:t>
      </w:r>
      <w:r w:rsidRPr="00DA1726">
        <w:rPr>
          <w:sz w:val="28"/>
          <w:szCs w:val="28"/>
          <w:vertAlign w:val="superscript"/>
        </w:rPr>
        <w:footnoteReference w:id="102"/>
      </w:r>
      <w:r w:rsidRPr="00DA1726">
        <w:rPr>
          <w:sz w:val="28"/>
          <w:szCs w:val="28"/>
          <w:lang w:val="es-ES_tradnl"/>
        </w:rPr>
        <w:t xml:space="preserve"> y </w:t>
      </w:r>
      <w:r w:rsidRPr="00DA1726">
        <w:rPr>
          <w:b/>
          <w:sz w:val="28"/>
          <w:szCs w:val="28"/>
          <w:lang w:val="es-ES_tradnl"/>
        </w:rPr>
        <w:t>resultado</w:t>
      </w:r>
      <w:r w:rsidRPr="00DA1726">
        <w:rPr>
          <w:sz w:val="28"/>
          <w:szCs w:val="28"/>
          <w:vertAlign w:val="superscript"/>
        </w:rPr>
        <w:footnoteReference w:id="103"/>
      </w:r>
      <w:r w:rsidRPr="00DA1726">
        <w:rPr>
          <w:sz w:val="28"/>
          <w:szCs w:val="28"/>
          <w:lang w:val="es-ES_tradnl"/>
        </w:rPr>
        <w:t xml:space="preserve"> para llevar a cabo la actualización integral del POS por parte del Ministerio de la Protección Social y la Comisión de Regulación en Salud. También fijó los niveles de cumplimiento e incumplimiento que regirían la valoración de dichos lineamientos e </w:t>
      </w:r>
      <w:r w:rsidRPr="00DA1726">
        <w:rPr>
          <w:sz w:val="28"/>
          <w:szCs w:val="28"/>
          <w:lang w:val="es-ES_tradnl" w:eastAsia="es-ES_tradnl"/>
        </w:rPr>
        <w:t xml:space="preserve">invitó </w:t>
      </w:r>
      <w:r w:rsidRPr="00DA1726">
        <w:rPr>
          <w:sz w:val="28"/>
          <w:szCs w:val="28"/>
          <w:lang w:val="es-ES_tradnl"/>
        </w:rPr>
        <w:t>al Gobierno Nacional y al Congreso de la República a que implementaran las medidas necesarias para acatar las diferentes órdenes generales impartidas en la sentencia T-760 de 2008, con el fin de avanzar hacia el goce efectivo del derecho fundamental a la salud de la población.</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lang w:val="es-ES_tradnl"/>
        </w:rPr>
      </w:pPr>
      <w:r w:rsidRPr="00DA1726">
        <w:rPr>
          <w:snapToGrid w:val="0"/>
          <w:sz w:val="28"/>
          <w:szCs w:val="28"/>
        </w:rPr>
        <w:t xml:space="preserve">No obstante, el tiempo que ha implicado el seguimiento obliga a que la Corte los actualice y contextualice respecto de la totalidad de mandatos objeto de supervisión. En este contexto, se profirió el </w:t>
      </w:r>
      <w:r w:rsidRPr="00DA1726">
        <w:rPr>
          <w:snapToGrid w:val="0"/>
          <w:sz w:val="28"/>
          <w:szCs w:val="28"/>
          <w:lang w:val="es-ES_tradnl"/>
        </w:rPr>
        <w:t xml:space="preserve">Auto 411 de 2015, a través del cual esta Sala estableció los niveles de cumplimiento que seguirá aplicando a </w:t>
      </w:r>
      <w:r w:rsidRPr="00DA1726">
        <w:rPr>
          <w:snapToGrid w:val="0"/>
          <w:sz w:val="28"/>
          <w:szCs w:val="28"/>
        </w:rPr>
        <w:t>la totalidad de valoraciones de acatamiento que se lleven a cabo respecto de las diferentes órdenes generales impartidas en la sentencia T-760 de 2008 y sus autos de seguimiento.</w:t>
      </w:r>
    </w:p>
    <w:p w:rsidR="001A1D76" w:rsidRPr="00DA1726" w:rsidRDefault="001A1D76" w:rsidP="00DA1726">
      <w:pPr>
        <w:tabs>
          <w:tab w:val="left" w:pos="426"/>
        </w:tabs>
        <w:jc w:val="both"/>
        <w:rPr>
          <w:snapToGrid w:val="0"/>
          <w:sz w:val="28"/>
          <w:szCs w:val="28"/>
          <w:lang w:val="es-ES_tradnl"/>
        </w:rPr>
      </w:pPr>
    </w:p>
    <w:p w:rsidR="001A1D76" w:rsidRPr="00DA1726" w:rsidRDefault="001A1D76" w:rsidP="00DA1726">
      <w:pPr>
        <w:tabs>
          <w:tab w:val="left" w:pos="426"/>
        </w:tabs>
        <w:jc w:val="both"/>
        <w:rPr>
          <w:sz w:val="28"/>
          <w:szCs w:val="28"/>
        </w:rPr>
      </w:pPr>
      <w:r w:rsidRPr="00DA1726">
        <w:rPr>
          <w:snapToGrid w:val="0"/>
          <w:sz w:val="28"/>
          <w:szCs w:val="28"/>
          <w:lang w:val="es-ES_tradnl"/>
        </w:rPr>
        <w:t xml:space="preserve">Se advirtió que a pesar que en el </w:t>
      </w:r>
      <w:r w:rsidRPr="00DA1726">
        <w:rPr>
          <w:sz w:val="28"/>
          <w:szCs w:val="28"/>
        </w:rPr>
        <w:t>Auto 226 de 2011</w:t>
      </w:r>
      <w:r w:rsidRPr="00DA1726">
        <w:rPr>
          <w:sz w:val="28"/>
          <w:szCs w:val="28"/>
          <w:vertAlign w:val="superscript"/>
        </w:rPr>
        <w:footnoteReference w:id="104"/>
      </w:r>
      <w:r w:rsidRPr="00DA1726">
        <w:rPr>
          <w:sz w:val="28"/>
          <w:szCs w:val="28"/>
        </w:rPr>
        <w:t xml:space="preserve"> fueron determinados los niveles de acatamiento de la orden decimoséptima y sus correspondientes parámetros de cumplimiento, se hizo necesario establecer la </w:t>
      </w:r>
      <w:r w:rsidRPr="00DA1726">
        <w:rPr>
          <w:i/>
          <w:sz w:val="28"/>
          <w:szCs w:val="28"/>
        </w:rPr>
        <w:t>metodología y matrices de valoración</w:t>
      </w:r>
      <w:r w:rsidRPr="00DA1726">
        <w:rPr>
          <w:sz w:val="28"/>
          <w:szCs w:val="28"/>
        </w:rPr>
        <w:t xml:space="preserve">, partiendo desde tres aspectos: las medidas, los resultados y los avances. </w:t>
      </w:r>
    </w:p>
    <w:p w:rsidR="001A1D76" w:rsidRPr="00DA1726" w:rsidRDefault="001A1D76" w:rsidP="00DA1726">
      <w:pPr>
        <w:jc w:val="both"/>
        <w:rPr>
          <w:sz w:val="28"/>
          <w:szCs w:val="28"/>
        </w:rPr>
      </w:pPr>
    </w:p>
    <w:p w:rsidR="001A1D76" w:rsidRPr="00DA1726" w:rsidRDefault="001A1D76" w:rsidP="00DA1726">
      <w:pPr>
        <w:pStyle w:val="Prrafodelista"/>
        <w:tabs>
          <w:tab w:val="left" w:pos="567"/>
        </w:tabs>
        <w:ind w:left="0"/>
        <w:jc w:val="both"/>
        <w:rPr>
          <w:b/>
          <w:sz w:val="28"/>
          <w:szCs w:val="28"/>
        </w:rPr>
      </w:pPr>
      <w:r w:rsidRPr="00DA1726">
        <w:rPr>
          <w:sz w:val="28"/>
          <w:szCs w:val="28"/>
        </w:rPr>
        <w:t>A partir de allí se conceptualizan 5 categorías de evaluación de cumplimiento: (i) incumplimiento general; (ii) nivel de cumplimiento bajo; (iii) nivel de cumplimiento medio; (iv) nivel de cumplimiento alto; y (v) cumplimiento general</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Lo anterior adquiere su fundamento, a partir de la necesidad de adelantar un examen más riguroso atendiendo el lapso temporal del que ha dispuesto el rector de la política pública para cumplir efectivamente la orden impuesta y que impide estudiar solamente los actos meramente formales acreditados por el Gobierno, toda vez que las determinaciones de este Tribunal se construirán desde la evidencia social.</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Corresponde entonces a la Sala comprobar los resultados concretos que se han logrado en el sistema de salud, de manera que valore el avance en el goce efectivo del derecho de los residentes en el territorio nacional. Bajo este entendido solo se declararía la superación de la problemática estructural cuando el Ejecutivo demuestre: (i) unas transformaciones en el funcionamiento del sector salud; (ii) que esos cambios impliquen con alto grado de certeza la consecución de las condiciones para lograr el goce efectivo y avanzar sosteniblemente; y por último (iii) que esas soluciones tengan la virtud de ser coherentes y duraderas, como lo ha exigido la jurisprudencia de la Corte</w:t>
      </w:r>
      <w:r w:rsidRPr="00DA1726">
        <w:rPr>
          <w:snapToGrid w:val="0"/>
          <w:sz w:val="28"/>
          <w:szCs w:val="28"/>
          <w:vertAlign w:val="superscript"/>
        </w:rPr>
        <w:footnoteReference w:id="105"/>
      </w:r>
      <w:r w:rsidRPr="00DA1726">
        <w:rPr>
          <w:snapToGrid w:val="0"/>
          <w:sz w:val="28"/>
          <w:szCs w:val="28"/>
        </w:rPr>
        <w:t>.</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 xml:space="preserve">La Sala Especial esperaría que existieran resultados verificables emanados de cada una de las decisiones cuyo cumplimiento es objeto de monitoreo. Al momento de valorar la ejecución de cada mandato, esta Corporación hará una calificación detenida de las medidas adoptadas y las acciones efectuadas por las autoridades, aunado a que determinará su impacto o efectividad en el sistema. Lo anterior, con fundamento en que la política pública debe construirse desde la realidad social y bajo el empoderamiento de la ciudadanía con el objeto de permitir la participación de los usuarios y la sociedad civil en las decisiones que le afectan. </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 xml:space="preserve">Por consiguiente, la totalidad de valoraciones de acatamiento a futuro se podrán efectuar de manera general sobre la orden y específicamente sobre cada uno de sus elementos constitucionalmente relevantes. </w:t>
      </w:r>
    </w:p>
    <w:p w:rsidR="001A1D76" w:rsidRPr="00DA1726" w:rsidRDefault="001A1D76" w:rsidP="00DA1726">
      <w:pPr>
        <w:jc w:val="both"/>
        <w:rPr>
          <w:b/>
          <w:snapToGrid w:val="0"/>
          <w:sz w:val="28"/>
          <w:szCs w:val="28"/>
        </w:rPr>
      </w:pPr>
    </w:p>
    <w:p w:rsidR="001A1D76" w:rsidRPr="00DA1726" w:rsidRDefault="001A1D76" w:rsidP="00DA1726">
      <w:pPr>
        <w:jc w:val="both"/>
        <w:rPr>
          <w:b/>
          <w:snapToGrid w:val="0"/>
          <w:sz w:val="28"/>
          <w:szCs w:val="28"/>
        </w:rPr>
      </w:pPr>
      <w:r w:rsidRPr="00DA1726">
        <w:rPr>
          <w:b/>
          <w:snapToGrid w:val="0"/>
          <w:sz w:val="28"/>
          <w:szCs w:val="28"/>
        </w:rPr>
        <w:t>2.3. Metodología y matrices de valoración:</w:t>
      </w:r>
      <w:r w:rsidRPr="00DA1726">
        <w:rPr>
          <w:snapToGrid w:val="0"/>
          <w:sz w:val="28"/>
          <w:szCs w:val="28"/>
        </w:rPr>
        <w:t xml:space="preserve"> Como se expuso en el auto 411 de 2015 para adelantar esa evaluación, es necesario analizar la orden desde tres aspectos: las medidas, los resultados y los avances. </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 xml:space="preserve">En primer lugar, se debe estudiar la existencia de </w:t>
      </w:r>
      <w:r w:rsidRPr="00DA1726">
        <w:rPr>
          <w:b/>
          <w:snapToGrid w:val="0"/>
          <w:sz w:val="28"/>
          <w:szCs w:val="28"/>
        </w:rPr>
        <w:t xml:space="preserve">MEDIDAS </w:t>
      </w:r>
      <w:r w:rsidRPr="00DA1726">
        <w:rPr>
          <w:snapToGrid w:val="0"/>
          <w:sz w:val="28"/>
          <w:szCs w:val="28"/>
        </w:rPr>
        <w:t>y si las mismas son conducentes o no de lo cual dependerá el nivel de cumplimiento decretado, como se expone:</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Matriz núm. 1</w:t>
      </w:r>
    </w:p>
    <w:p w:rsidR="001A1D76" w:rsidRPr="00DA1726" w:rsidRDefault="001A1D76" w:rsidP="00DA1726">
      <w:pPr>
        <w:jc w:val="both"/>
        <w:rPr>
          <w:snapToGrid w:val="0"/>
          <w:sz w:val="28"/>
          <w:szCs w:val="28"/>
        </w:rPr>
      </w:pPr>
    </w:p>
    <w:tbl>
      <w:tblPr>
        <w:tblW w:w="9214" w:type="dxa"/>
        <w:tblInd w:w="-10" w:type="dxa"/>
        <w:tblCellMar>
          <w:left w:w="70" w:type="dxa"/>
          <w:right w:w="70" w:type="dxa"/>
        </w:tblCellMar>
        <w:tblLook w:val="04A0" w:firstRow="1" w:lastRow="0" w:firstColumn="1" w:lastColumn="0" w:noHBand="0" w:noVBand="1"/>
      </w:tblPr>
      <w:tblGrid>
        <w:gridCol w:w="468"/>
        <w:gridCol w:w="1867"/>
        <w:gridCol w:w="2054"/>
        <w:gridCol w:w="1867"/>
        <w:gridCol w:w="1867"/>
        <w:gridCol w:w="1867"/>
        <w:gridCol w:w="1867"/>
      </w:tblGrid>
      <w:tr w:rsidR="001A1D76" w:rsidRPr="00DA1726" w:rsidTr="0089508F">
        <w:trPr>
          <w:trHeight w:val="731"/>
        </w:trPr>
        <w:tc>
          <w:tcPr>
            <w:tcW w:w="2084" w:type="dxa"/>
            <w:gridSpan w:val="2"/>
            <w:tcBorders>
              <w:top w:val="single" w:sz="8" w:space="0" w:color="auto"/>
              <w:left w:val="single" w:sz="8" w:space="0" w:color="auto"/>
              <w:bottom w:val="single" w:sz="4" w:space="0" w:color="auto"/>
              <w:right w:val="single" w:sz="4" w:space="0" w:color="auto"/>
            </w:tcBorders>
            <w:shd w:val="clear" w:color="000000" w:fill="A6A6A6"/>
            <w:vAlign w:val="center"/>
            <w:hideMark/>
          </w:tcPr>
          <w:p w:rsidR="001A1D76" w:rsidRPr="00DA1726" w:rsidRDefault="001A1D76" w:rsidP="00DA1726">
            <w:pPr>
              <w:jc w:val="both"/>
              <w:rPr>
                <w:b/>
                <w:snapToGrid w:val="0"/>
                <w:sz w:val="28"/>
                <w:szCs w:val="28"/>
              </w:rPr>
            </w:pPr>
            <w:r w:rsidRPr="00DA1726">
              <w:rPr>
                <w:b/>
                <w:snapToGrid w:val="0"/>
                <w:sz w:val="28"/>
                <w:szCs w:val="28"/>
              </w:rPr>
              <w:t>Elementos a evaluar </w:t>
            </w:r>
          </w:p>
        </w:tc>
        <w:tc>
          <w:tcPr>
            <w:tcW w:w="1507" w:type="dxa"/>
            <w:tcBorders>
              <w:top w:val="single" w:sz="8" w:space="0" w:color="auto"/>
              <w:left w:val="nil"/>
              <w:bottom w:val="single" w:sz="4"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Incumplimiento General</w:t>
            </w:r>
          </w:p>
        </w:tc>
        <w:tc>
          <w:tcPr>
            <w:tcW w:w="1374" w:type="dxa"/>
            <w:tcBorders>
              <w:top w:val="single" w:sz="8" w:space="0" w:color="auto"/>
              <w:left w:val="nil"/>
              <w:bottom w:val="single" w:sz="4"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Nivel de Cumplimiento Bajo</w:t>
            </w:r>
          </w:p>
        </w:tc>
        <w:tc>
          <w:tcPr>
            <w:tcW w:w="1414" w:type="dxa"/>
            <w:tcBorders>
              <w:top w:val="single" w:sz="8" w:space="0" w:color="auto"/>
              <w:left w:val="nil"/>
              <w:bottom w:val="single" w:sz="4"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Nivel de Cumplimiento Medio</w:t>
            </w:r>
          </w:p>
        </w:tc>
        <w:tc>
          <w:tcPr>
            <w:tcW w:w="1418" w:type="dxa"/>
            <w:tcBorders>
              <w:top w:val="single" w:sz="8" w:space="0" w:color="auto"/>
              <w:left w:val="nil"/>
              <w:bottom w:val="single" w:sz="4"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Nivel de Cumplimiento Alto</w:t>
            </w:r>
          </w:p>
        </w:tc>
        <w:tc>
          <w:tcPr>
            <w:tcW w:w="1417" w:type="dxa"/>
            <w:tcBorders>
              <w:top w:val="single" w:sz="8" w:space="0" w:color="auto"/>
              <w:left w:val="nil"/>
              <w:bottom w:val="single" w:sz="4" w:space="0" w:color="auto"/>
              <w:right w:val="single" w:sz="8"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Cumplimiento General</w:t>
            </w:r>
          </w:p>
        </w:tc>
      </w:tr>
      <w:tr w:rsidR="001A1D76" w:rsidRPr="00DA1726" w:rsidTr="0089508F">
        <w:trPr>
          <w:trHeight w:val="315"/>
        </w:trPr>
        <w:tc>
          <w:tcPr>
            <w:tcW w:w="376" w:type="dxa"/>
            <w:vMerge w:val="restart"/>
            <w:tcBorders>
              <w:top w:val="nil"/>
              <w:left w:val="single" w:sz="8" w:space="0" w:color="auto"/>
              <w:bottom w:val="single" w:sz="8" w:space="0" w:color="000000"/>
              <w:right w:val="single" w:sz="4" w:space="0" w:color="auto"/>
            </w:tcBorders>
            <w:shd w:val="clear" w:color="000000" w:fill="A6A6A6"/>
            <w:textDirection w:val="btLr"/>
            <w:vAlign w:val="center"/>
            <w:hideMark/>
          </w:tcPr>
          <w:p w:rsidR="001A1D76" w:rsidRPr="00DA1726" w:rsidRDefault="001A1D76" w:rsidP="00DA1726">
            <w:pPr>
              <w:jc w:val="both"/>
              <w:rPr>
                <w:b/>
                <w:snapToGrid w:val="0"/>
                <w:sz w:val="28"/>
                <w:szCs w:val="28"/>
              </w:rPr>
            </w:pPr>
            <w:r w:rsidRPr="00DA1726">
              <w:rPr>
                <w:b/>
                <w:snapToGrid w:val="0"/>
                <w:sz w:val="28"/>
                <w:szCs w:val="28"/>
              </w:rPr>
              <w:t>Medidas</w:t>
            </w:r>
          </w:p>
        </w:tc>
        <w:tc>
          <w:tcPr>
            <w:tcW w:w="1708" w:type="dxa"/>
            <w:tcBorders>
              <w:top w:val="nil"/>
              <w:left w:val="nil"/>
              <w:bottom w:val="single" w:sz="4" w:space="0" w:color="auto"/>
              <w:right w:val="single" w:sz="4" w:space="0" w:color="auto"/>
            </w:tcBorders>
            <w:vAlign w:val="center"/>
            <w:hideMark/>
          </w:tcPr>
          <w:p w:rsidR="001A1D76" w:rsidRPr="00DA1726" w:rsidRDefault="001A1D76" w:rsidP="00DA1726">
            <w:pPr>
              <w:jc w:val="both"/>
              <w:rPr>
                <w:b/>
                <w:snapToGrid w:val="0"/>
                <w:sz w:val="28"/>
                <w:szCs w:val="28"/>
              </w:rPr>
            </w:pPr>
            <w:r w:rsidRPr="00DA1726">
              <w:rPr>
                <w:b/>
                <w:snapToGrid w:val="0"/>
                <w:sz w:val="28"/>
                <w:szCs w:val="28"/>
              </w:rPr>
              <w:t>No existen</w:t>
            </w:r>
          </w:p>
        </w:tc>
        <w:tc>
          <w:tcPr>
            <w:tcW w:w="1507" w:type="dxa"/>
            <w:tcBorders>
              <w:top w:val="nil"/>
              <w:left w:val="nil"/>
              <w:bottom w:val="single" w:sz="4"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X</w:t>
            </w:r>
          </w:p>
        </w:tc>
        <w:tc>
          <w:tcPr>
            <w:tcW w:w="1374" w:type="dxa"/>
            <w:tcBorders>
              <w:top w:val="nil"/>
              <w:left w:val="nil"/>
              <w:bottom w:val="single" w:sz="4"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4" w:type="dxa"/>
            <w:tcBorders>
              <w:top w:val="nil"/>
              <w:left w:val="nil"/>
              <w:bottom w:val="single" w:sz="4"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8" w:type="dxa"/>
            <w:tcBorders>
              <w:top w:val="nil"/>
              <w:left w:val="nil"/>
              <w:bottom w:val="single" w:sz="4"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7" w:type="dxa"/>
            <w:tcBorders>
              <w:top w:val="nil"/>
              <w:left w:val="nil"/>
              <w:bottom w:val="single" w:sz="4" w:space="0" w:color="auto"/>
              <w:right w:val="single" w:sz="8"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 </w:t>
            </w:r>
          </w:p>
        </w:tc>
      </w:tr>
      <w:tr w:rsidR="001A1D76" w:rsidRPr="00DA1726" w:rsidTr="0089508F">
        <w:trPr>
          <w:trHeight w:val="315"/>
        </w:trPr>
        <w:tc>
          <w:tcPr>
            <w:tcW w:w="376" w:type="dxa"/>
            <w:vMerge/>
            <w:tcBorders>
              <w:top w:val="nil"/>
              <w:left w:val="single" w:sz="8" w:space="0" w:color="auto"/>
              <w:bottom w:val="single" w:sz="8" w:space="0" w:color="000000"/>
              <w:right w:val="single" w:sz="4" w:space="0" w:color="auto"/>
            </w:tcBorders>
            <w:vAlign w:val="center"/>
            <w:hideMark/>
          </w:tcPr>
          <w:p w:rsidR="001A1D76" w:rsidRPr="00DA1726" w:rsidRDefault="001A1D76" w:rsidP="00DA1726">
            <w:pPr>
              <w:jc w:val="both"/>
              <w:rPr>
                <w:b/>
                <w:snapToGrid w:val="0"/>
                <w:sz w:val="28"/>
                <w:szCs w:val="28"/>
              </w:rPr>
            </w:pPr>
          </w:p>
        </w:tc>
        <w:tc>
          <w:tcPr>
            <w:tcW w:w="1708" w:type="dxa"/>
            <w:tcBorders>
              <w:top w:val="nil"/>
              <w:left w:val="nil"/>
              <w:bottom w:val="single" w:sz="4" w:space="0" w:color="auto"/>
              <w:right w:val="single" w:sz="4" w:space="0" w:color="auto"/>
            </w:tcBorders>
            <w:vAlign w:val="center"/>
            <w:hideMark/>
          </w:tcPr>
          <w:p w:rsidR="001A1D76" w:rsidRPr="00DA1726" w:rsidRDefault="001A1D76" w:rsidP="00DA1726">
            <w:pPr>
              <w:jc w:val="both"/>
              <w:rPr>
                <w:b/>
                <w:snapToGrid w:val="0"/>
                <w:sz w:val="28"/>
                <w:szCs w:val="28"/>
              </w:rPr>
            </w:pPr>
            <w:r w:rsidRPr="00DA1726">
              <w:rPr>
                <w:b/>
                <w:snapToGrid w:val="0"/>
                <w:sz w:val="28"/>
                <w:szCs w:val="28"/>
              </w:rPr>
              <w:t>Inconducentes</w:t>
            </w:r>
          </w:p>
        </w:tc>
        <w:tc>
          <w:tcPr>
            <w:tcW w:w="1507" w:type="dxa"/>
            <w:tcBorders>
              <w:top w:val="nil"/>
              <w:left w:val="nil"/>
              <w:bottom w:val="single" w:sz="4"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374" w:type="dxa"/>
            <w:tcBorders>
              <w:top w:val="nil"/>
              <w:left w:val="nil"/>
              <w:bottom w:val="single" w:sz="4"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X</w:t>
            </w:r>
          </w:p>
        </w:tc>
        <w:tc>
          <w:tcPr>
            <w:tcW w:w="1414" w:type="dxa"/>
            <w:tcBorders>
              <w:top w:val="nil"/>
              <w:left w:val="nil"/>
              <w:bottom w:val="single" w:sz="4"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8" w:type="dxa"/>
            <w:tcBorders>
              <w:top w:val="nil"/>
              <w:left w:val="nil"/>
              <w:bottom w:val="single" w:sz="4"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7" w:type="dxa"/>
            <w:tcBorders>
              <w:top w:val="nil"/>
              <w:left w:val="nil"/>
              <w:bottom w:val="single" w:sz="4" w:space="0" w:color="auto"/>
              <w:right w:val="single" w:sz="8"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 </w:t>
            </w:r>
          </w:p>
        </w:tc>
      </w:tr>
      <w:tr w:rsidR="001A1D76" w:rsidRPr="00DA1726" w:rsidTr="0089508F">
        <w:trPr>
          <w:trHeight w:val="330"/>
        </w:trPr>
        <w:tc>
          <w:tcPr>
            <w:tcW w:w="376" w:type="dxa"/>
            <w:vMerge/>
            <w:tcBorders>
              <w:top w:val="nil"/>
              <w:left w:val="single" w:sz="8" w:space="0" w:color="auto"/>
              <w:bottom w:val="single" w:sz="8" w:space="0" w:color="000000"/>
              <w:right w:val="single" w:sz="4" w:space="0" w:color="auto"/>
            </w:tcBorders>
            <w:vAlign w:val="center"/>
            <w:hideMark/>
          </w:tcPr>
          <w:p w:rsidR="001A1D76" w:rsidRPr="00DA1726" w:rsidRDefault="001A1D76" w:rsidP="00DA1726">
            <w:pPr>
              <w:jc w:val="both"/>
              <w:rPr>
                <w:b/>
                <w:snapToGrid w:val="0"/>
                <w:sz w:val="28"/>
                <w:szCs w:val="28"/>
              </w:rPr>
            </w:pPr>
          </w:p>
        </w:tc>
        <w:tc>
          <w:tcPr>
            <w:tcW w:w="1708" w:type="dxa"/>
            <w:tcBorders>
              <w:top w:val="nil"/>
              <w:left w:val="nil"/>
              <w:bottom w:val="single" w:sz="8" w:space="0" w:color="auto"/>
              <w:right w:val="single" w:sz="4" w:space="0" w:color="auto"/>
            </w:tcBorders>
            <w:vAlign w:val="center"/>
            <w:hideMark/>
          </w:tcPr>
          <w:p w:rsidR="001A1D76" w:rsidRPr="00DA1726" w:rsidRDefault="001A1D76" w:rsidP="00DA1726">
            <w:pPr>
              <w:jc w:val="both"/>
              <w:rPr>
                <w:b/>
                <w:snapToGrid w:val="0"/>
                <w:sz w:val="28"/>
                <w:szCs w:val="28"/>
              </w:rPr>
            </w:pPr>
            <w:r w:rsidRPr="00DA1726">
              <w:rPr>
                <w:b/>
                <w:snapToGrid w:val="0"/>
                <w:sz w:val="28"/>
                <w:szCs w:val="28"/>
              </w:rPr>
              <w:t>Conducentes</w:t>
            </w:r>
          </w:p>
        </w:tc>
        <w:tc>
          <w:tcPr>
            <w:tcW w:w="1507" w:type="dxa"/>
            <w:tcBorders>
              <w:top w:val="nil"/>
              <w:left w:val="nil"/>
              <w:bottom w:val="single" w:sz="8"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374" w:type="dxa"/>
            <w:tcBorders>
              <w:top w:val="nil"/>
              <w:left w:val="nil"/>
              <w:bottom w:val="single" w:sz="8"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X</w:t>
            </w:r>
          </w:p>
        </w:tc>
        <w:tc>
          <w:tcPr>
            <w:tcW w:w="1414" w:type="dxa"/>
            <w:tcBorders>
              <w:top w:val="nil"/>
              <w:left w:val="nil"/>
              <w:bottom w:val="single" w:sz="8"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X</w:t>
            </w:r>
          </w:p>
        </w:tc>
        <w:tc>
          <w:tcPr>
            <w:tcW w:w="1418" w:type="dxa"/>
            <w:tcBorders>
              <w:top w:val="nil"/>
              <w:left w:val="nil"/>
              <w:bottom w:val="single" w:sz="8"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X</w:t>
            </w:r>
          </w:p>
        </w:tc>
        <w:tc>
          <w:tcPr>
            <w:tcW w:w="1417" w:type="dxa"/>
            <w:tcBorders>
              <w:top w:val="nil"/>
              <w:left w:val="nil"/>
              <w:bottom w:val="single" w:sz="8" w:space="0" w:color="auto"/>
              <w:right w:val="single" w:sz="8"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X</w:t>
            </w:r>
          </w:p>
        </w:tc>
      </w:tr>
    </w:tbl>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 xml:space="preserve">Si la situación encuadra en el primer (no existen) o segundo (son inconducentes) supuesto se concluirá inmediatamente el estudio del grado de acatamiento. De lo contrario, si se constata la existencia de medidas conducentes para cumplir el objeto de la orden (3 fila de la matriz núm. 1), se continuará con la revisión de los </w:t>
      </w:r>
      <w:r w:rsidRPr="00DA1726">
        <w:rPr>
          <w:b/>
          <w:snapToGrid w:val="0"/>
          <w:sz w:val="28"/>
          <w:szCs w:val="28"/>
        </w:rPr>
        <w:t>RESULTADOS</w:t>
      </w:r>
      <w:r w:rsidRPr="00DA1726">
        <w:rPr>
          <w:snapToGrid w:val="0"/>
          <w:sz w:val="28"/>
          <w:szCs w:val="28"/>
        </w:rPr>
        <w:t>, a saber:</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Matriz núm. 2</w:t>
      </w:r>
    </w:p>
    <w:p w:rsidR="001A1D76" w:rsidRPr="00DA1726" w:rsidRDefault="001A1D76" w:rsidP="00DA1726">
      <w:pPr>
        <w:jc w:val="both"/>
        <w:rPr>
          <w:snapToGrid w:val="0"/>
          <w:sz w:val="28"/>
          <w:szCs w:val="28"/>
        </w:rPr>
      </w:pPr>
    </w:p>
    <w:tbl>
      <w:tblPr>
        <w:tblW w:w="9214" w:type="dxa"/>
        <w:tblInd w:w="-10" w:type="dxa"/>
        <w:tblCellMar>
          <w:left w:w="70" w:type="dxa"/>
          <w:right w:w="70" w:type="dxa"/>
        </w:tblCellMar>
        <w:tblLook w:val="04A0" w:firstRow="1" w:lastRow="0" w:firstColumn="1" w:lastColumn="0" w:noHBand="0" w:noVBand="1"/>
      </w:tblPr>
      <w:tblGrid>
        <w:gridCol w:w="468"/>
        <w:gridCol w:w="1727"/>
        <w:gridCol w:w="2054"/>
        <w:gridCol w:w="1867"/>
        <w:gridCol w:w="1867"/>
        <w:gridCol w:w="1867"/>
        <w:gridCol w:w="1867"/>
      </w:tblGrid>
      <w:tr w:rsidR="001A1D76" w:rsidRPr="00DA1726" w:rsidTr="0089508F">
        <w:trPr>
          <w:trHeight w:val="742"/>
        </w:trPr>
        <w:tc>
          <w:tcPr>
            <w:tcW w:w="1869" w:type="dxa"/>
            <w:gridSpan w:val="2"/>
            <w:tcBorders>
              <w:top w:val="single" w:sz="8" w:space="0" w:color="auto"/>
              <w:left w:val="single" w:sz="8" w:space="0" w:color="auto"/>
              <w:bottom w:val="single" w:sz="4" w:space="0" w:color="auto"/>
              <w:right w:val="single" w:sz="4" w:space="0" w:color="auto"/>
            </w:tcBorders>
            <w:shd w:val="clear" w:color="000000" w:fill="A6A6A6"/>
            <w:vAlign w:val="center"/>
            <w:hideMark/>
          </w:tcPr>
          <w:p w:rsidR="001A1D76" w:rsidRPr="00DA1726" w:rsidRDefault="001A1D76" w:rsidP="00DA1726">
            <w:pPr>
              <w:jc w:val="both"/>
              <w:rPr>
                <w:b/>
                <w:snapToGrid w:val="0"/>
                <w:sz w:val="28"/>
                <w:szCs w:val="28"/>
              </w:rPr>
            </w:pPr>
            <w:r w:rsidRPr="00DA1726">
              <w:rPr>
                <w:b/>
                <w:snapToGrid w:val="0"/>
                <w:sz w:val="28"/>
                <w:szCs w:val="28"/>
              </w:rPr>
              <w:t>Elementos a evaluar </w:t>
            </w:r>
          </w:p>
        </w:tc>
        <w:tc>
          <w:tcPr>
            <w:tcW w:w="1666" w:type="dxa"/>
            <w:tcBorders>
              <w:top w:val="single" w:sz="8" w:space="0" w:color="auto"/>
              <w:left w:val="nil"/>
              <w:bottom w:val="single" w:sz="4"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Incumplimiento General</w:t>
            </w:r>
          </w:p>
        </w:tc>
        <w:tc>
          <w:tcPr>
            <w:tcW w:w="1410" w:type="dxa"/>
            <w:tcBorders>
              <w:top w:val="single" w:sz="8" w:space="0" w:color="auto"/>
              <w:left w:val="nil"/>
              <w:bottom w:val="single" w:sz="4"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Nivel de Cumplimiento Bajo</w:t>
            </w:r>
          </w:p>
        </w:tc>
        <w:tc>
          <w:tcPr>
            <w:tcW w:w="1409" w:type="dxa"/>
            <w:tcBorders>
              <w:top w:val="single" w:sz="8" w:space="0" w:color="auto"/>
              <w:left w:val="nil"/>
              <w:bottom w:val="single" w:sz="4"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Nivel de Cumplimiento Medio</w:t>
            </w:r>
          </w:p>
        </w:tc>
        <w:tc>
          <w:tcPr>
            <w:tcW w:w="1410" w:type="dxa"/>
            <w:tcBorders>
              <w:top w:val="single" w:sz="8" w:space="0" w:color="auto"/>
              <w:left w:val="nil"/>
              <w:bottom w:val="single" w:sz="4"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Nivel de Cumplimiento Alto</w:t>
            </w:r>
          </w:p>
        </w:tc>
        <w:tc>
          <w:tcPr>
            <w:tcW w:w="1450" w:type="dxa"/>
            <w:tcBorders>
              <w:top w:val="single" w:sz="8" w:space="0" w:color="auto"/>
              <w:left w:val="nil"/>
              <w:bottom w:val="single" w:sz="4" w:space="0" w:color="auto"/>
              <w:right w:val="single" w:sz="8"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Cumplimiento General</w:t>
            </w:r>
          </w:p>
        </w:tc>
      </w:tr>
      <w:tr w:rsidR="001A1D76" w:rsidRPr="00DA1726" w:rsidTr="0089508F">
        <w:trPr>
          <w:trHeight w:val="424"/>
        </w:trPr>
        <w:tc>
          <w:tcPr>
            <w:tcW w:w="377" w:type="dxa"/>
            <w:vMerge w:val="restart"/>
            <w:tcBorders>
              <w:top w:val="nil"/>
              <w:left w:val="single" w:sz="8" w:space="0" w:color="auto"/>
              <w:bottom w:val="single" w:sz="8" w:space="0" w:color="000000"/>
              <w:right w:val="single" w:sz="4" w:space="0" w:color="auto"/>
            </w:tcBorders>
            <w:shd w:val="clear" w:color="000000" w:fill="A6A6A6"/>
            <w:textDirection w:val="btLr"/>
            <w:vAlign w:val="center"/>
            <w:hideMark/>
          </w:tcPr>
          <w:p w:rsidR="001A1D76" w:rsidRPr="00DA1726" w:rsidRDefault="001A1D76" w:rsidP="00DA1726">
            <w:pPr>
              <w:jc w:val="both"/>
              <w:rPr>
                <w:b/>
                <w:snapToGrid w:val="0"/>
                <w:sz w:val="28"/>
                <w:szCs w:val="28"/>
              </w:rPr>
            </w:pPr>
            <w:r w:rsidRPr="00DA1726">
              <w:rPr>
                <w:b/>
                <w:snapToGrid w:val="0"/>
                <w:sz w:val="28"/>
                <w:szCs w:val="28"/>
              </w:rPr>
              <w:t>Resultados</w:t>
            </w:r>
          </w:p>
        </w:tc>
        <w:tc>
          <w:tcPr>
            <w:tcW w:w="1492" w:type="dxa"/>
            <w:tcBorders>
              <w:top w:val="nil"/>
              <w:left w:val="nil"/>
              <w:bottom w:val="single" w:sz="4" w:space="0" w:color="auto"/>
              <w:right w:val="single" w:sz="4" w:space="0" w:color="auto"/>
            </w:tcBorders>
            <w:vAlign w:val="center"/>
            <w:hideMark/>
          </w:tcPr>
          <w:p w:rsidR="001A1D76" w:rsidRPr="00DA1726" w:rsidRDefault="001A1D76" w:rsidP="00DA1726">
            <w:pPr>
              <w:jc w:val="both"/>
              <w:rPr>
                <w:b/>
                <w:snapToGrid w:val="0"/>
                <w:sz w:val="28"/>
                <w:szCs w:val="28"/>
              </w:rPr>
            </w:pPr>
            <w:r w:rsidRPr="00DA1726">
              <w:rPr>
                <w:b/>
                <w:snapToGrid w:val="0"/>
                <w:sz w:val="28"/>
                <w:szCs w:val="28"/>
              </w:rPr>
              <w:t>No acreditados</w:t>
            </w:r>
          </w:p>
        </w:tc>
        <w:tc>
          <w:tcPr>
            <w:tcW w:w="1666" w:type="dxa"/>
            <w:tcBorders>
              <w:top w:val="nil"/>
              <w:left w:val="nil"/>
              <w:bottom w:val="single" w:sz="4"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0" w:type="dxa"/>
            <w:tcBorders>
              <w:top w:val="nil"/>
              <w:left w:val="nil"/>
              <w:bottom w:val="single" w:sz="4"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X</w:t>
            </w:r>
          </w:p>
        </w:tc>
        <w:tc>
          <w:tcPr>
            <w:tcW w:w="1409" w:type="dxa"/>
            <w:tcBorders>
              <w:top w:val="nil"/>
              <w:left w:val="nil"/>
              <w:bottom w:val="single" w:sz="4"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0" w:type="dxa"/>
            <w:tcBorders>
              <w:top w:val="nil"/>
              <w:left w:val="nil"/>
              <w:bottom w:val="single" w:sz="4"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50" w:type="dxa"/>
            <w:tcBorders>
              <w:top w:val="nil"/>
              <w:left w:val="nil"/>
              <w:bottom w:val="single" w:sz="4" w:space="0" w:color="auto"/>
              <w:right w:val="single" w:sz="8"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 </w:t>
            </w:r>
          </w:p>
        </w:tc>
      </w:tr>
      <w:tr w:rsidR="001A1D76" w:rsidRPr="00DA1726" w:rsidTr="0089508F">
        <w:trPr>
          <w:trHeight w:val="315"/>
        </w:trPr>
        <w:tc>
          <w:tcPr>
            <w:tcW w:w="377" w:type="dxa"/>
            <w:vMerge/>
            <w:tcBorders>
              <w:top w:val="nil"/>
              <w:left w:val="single" w:sz="8" w:space="0" w:color="auto"/>
              <w:bottom w:val="single" w:sz="8" w:space="0" w:color="000000"/>
              <w:right w:val="single" w:sz="4" w:space="0" w:color="auto"/>
            </w:tcBorders>
            <w:vAlign w:val="center"/>
            <w:hideMark/>
          </w:tcPr>
          <w:p w:rsidR="001A1D76" w:rsidRPr="00DA1726" w:rsidRDefault="001A1D76" w:rsidP="00DA1726">
            <w:pPr>
              <w:jc w:val="both"/>
              <w:rPr>
                <w:b/>
                <w:snapToGrid w:val="0"/>
                <w:sz w:val="28"/>
                <w:szCs w:val="28"/>
              </w:rPr>
            </w:pPr>
          </w:p>
        </w:tc>
        <w:tc>
          <w:tcPr>
            <w:tcW w:w="1492" w:type="dxa"/>
            <w:tcBorders>
              <w:top w:val="nil"/>
              <w:left w:val="nil"/>
              <w:bottom w:val="single" w:sz="4" w:space="0" w:color="auto"/>
              <w:right w:val="single" w:sz="4" w:space="0" w:color="auto"/>
            </w:tcBorders>
            <w:vAlign w:val="center"/>
            <w:hideMark/>
          </w:tcPr>
          <w:p w:rsidR="001A1D76" w:rsidRPr="00DA1726" w:rsidRDefault="001A1D76" w:rsidP="00DA1726">
            <w:pPr>
              <w:jc w:val="both"/>
              <w:rPr>
                <w:b/>
                <w:snapToGrid w:val="0"/>
                <w:sz w:val="28"/>
                <w:szCs w:val="28"/>
              </w:rPr>
            </w:pPr>
            <w:r w:rsidRPr="00DA1726">
              <w:rPr>
                <w:b/>
                <w:snapToGrid w:val="0"/>
                <w:sz w:val="28"/>
                <w:szCs w:val="28"/>
              </w:rPr>
              <w:t>No permiten evidenciar que se va a superar la problemática</w:t>
            </w:r>
          </w:p>
        </w:tc>
        <w:tc>
          <w:tcPr>
            <w:tcW w:w="1666" w:type="dxa"/>
            <w:tcBorders>
              <w:top w:val="nil"/>
              <w:left w:val="nil"/>
              <w:bottom w:val="single" w:sz="4"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0" w:type="dxa"/>
            <w:tcBorders>
              <w:top w:val="nil"/>
              <w:left w:val="nil"/>
              <w:bottom w:val="single" w:sz="4"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X</w:t>
            </w:r>
          </w:p>
        </w:tc>
        <w:tc>
          <w:tcPr>
            <w:tcW w:w="1409" w:type="dxa"/>
            <w:tcBorders>
              <w:top w:val="nil"/>
              <w:left w:val="nil"/>
              <w:bottom w:val="single" w:sz="4"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0" w:type="dxa"/>
            <w:tcBorders>
              <w:top w:val="nil"/>
              <w:left w:val="nil"/>
              <w:bottom w:val="single" w:sz="4"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50" w:type="dxa"/>
            <w:tcBorders>
              <w:top w:val="nil"/>
              <w:left w:val="nil"/>
              <w:bottom w:val="single" w:sz="4" w:space="0" w:color="auto"/>
              <w:right w:val="single" w:sz="8"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 </w:t>
            </w:r>
          </w:p>
        </w:tc>
      </w:tr>
      <w:tr w:rsidR="001A1D76" w:rsidRPr="00DA1726" w:rsidTr="0089508F">
        <w:trPr>
          <w:trHeight w:val="330"/>
        </w:trPr>
        <w:tc>
          <w:tcPr>
            <w:tcW w:w="377" w:type="dxa"/>
            <w:vMerge/>
            <w:tcBorders>
              <w:top w:val="nil"/>
              <w:left w:val="single" w:sz="8" w:space="0" w:color="auto"/>
              <w:bottom w:val="single" w:sz="8" w:space="0" w:color="000000"/>
              <w:right w:val="single" w:sz="4" w:space="0" w:color="auto"/>
            </w:tcBorders>
            <w:vAlign w:val="center"/>
            <w:hideMark/>
          </w:tcPr>
          <w:p w:rsidR="001A1D76" w:rsidRPr="00DA1726" w:rsidRDefault="001A1D76" w:rsidP="00DA1726">
            <w:pPr>
              <w:jc w:val="both"/>
              <w:rPr>
                <w:b/>
                <w:snapToGrid w:val="0"/>
                <w:sz w:val="28"/>
                <w:szCs w:val="28"/>
              </w:rPr>
            </w:pPr>
          </w:p>
        </w:tc>
        <w:tc>
          <w:tcPr>
            <w:tcW w:w="1492" w:type="dxa"/>
            <w:tcBorders>
              <w:top w:val="single" w:sz="4" w:space="0" w:color="auto"/>
              <w:left w:val="nil"/>
              <w:bottom w:val="single" w:sz="4" w:space="0" w:color="auto"/>
              <w:right w:val="single" w:sz="4" w:space="0" w:color="auto"/>
            </w:tcBorders>
            <w:vAlign w:val="center"/>
            <w:hideMark/>
          </w:tcPr>
          <w:p w:rsidR="001A1D76" w:rsidRPr="00DA1726" w:rsidRDefault="001A1D76" w:rsidP="00DA1726">
            <w:pPr>
              <w:jc w:val="both"/>
              <w:rPr>
                <w:b/>
                <w:snapToGrid w:val="0"/>
                <w:sz w:val="28"/>
                <w:szCs w:val="28"/>
              </w:rPr>
            </w:pPr>
            <w:r w:rsidRPr="00DA1726">
              <w:rPr>
                <w:b/>
                <w:snapToGrid w:val="0"/>
                <w:sz w:val="28"/>
                <w:szCs w:val="28"/>
              </w:rPr>
              <w:t>Permiten evidenciar que se va a superar la problemática</w:t>
            </w:r>
          </w:p>
        </w:tc>
        <w:tc>
          <w:tcPr>
            <w:tcW w:w="1666" w:type="dxa"/>
            <w:tcBorders>
              <w:top w:val="single" w:sz="4" w:space="0" w:color="auto"/>
              <w:left w:val="nil"/>
              <w:bottom w:val="single" w:sz="4"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0" w:type="dxa"/>
            <w:tcBorders>
              <w:top w:val="single" w:sz="4" w:space="0" w:color="auto"/>
              <w:left w:val="nil"/>
              <w:bottom w:val="single" w:sz="4"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09" w:type="dxa"/>
            <w:tcBorders>
              <w:top w:val="single" w:sz="4" w:space="0" w:color="auto"/>
              <w:left w:val="nil"/>
              <w:bottom w:val="single" w:sz="4"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X</w:t>
            </w:r>
          </w:p>
        </w:tc>
        <w:tc>
          <w:tcPr>
            <w:tcW w:w="1410" w:type="dxa"/>
            <w:tcBorders>
              <w:top w:val="single" w:sz="4" w:space="0" w:color="auto"/>
              <w:left w:val="nil"/>
              <w:bottom w:val="single" w:sz="4"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X</w:t>
            </w:r>
          </w:p>
        </w:tc>
        <w:tc>
          <w:tcPr>
            <w:tcW w:w="1450" w:type="dxa"/>
            <w:tcBorders>
              <w:top w:val="single" w:sz="4" w:space="0" w:color="auto"/>
              <w:left w:val="nil"/>
              <w:bottom w:val="single" w:sz="4" w:space="0" w:color="auto"/>
              <w:right w:val="single" w:sz="4"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X</w:t>
            </w:r>
          </w:p>
        </w:tc>
      </w:tr>
    </w:tbl>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 xml:space="preserve">Si los resultados no fueron acreditados o no permiten evidenciar que se vaya a superar la crisis se calificará hasta este aspecto la observancia de la orden. Solo si se llegare a contar con pruebas que permitan deducir que si se va a conjurar la falla (3º fila de la matriz núm. 2), se prosigue a la evaluación de los </w:t>
      </w:r>
      <w:r w:rsidRPr="00DA1726">
        <w:rPr>
          <w:b/>
          <w:snapToGrid w:val="0"/>
          <w:sz w:val="28"/>
          <w:szCs w:val="28"/>
        </w:rPr>
        <w:t>AVANCES</w:t>
      </w:r>
      <w:r w:rsidRPr="00DA1726">
        <w:rPr>
          <w:snapToGrid w:val="0"/>
          <w:sz w:val="28"/>
          <w:szCs w:val="28"/>
        </w:rPr>
        <w:t xml:space="preserve"> bajo los siguientes parámetros:</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Matriz núm. 3</w:t>
      </w:r>
    </w:p>
    <w:p w:rsidR="001A1D76" w:rsidRPr="00DA1726" w:rsidRDefault="001A1D76" w:rsidP="00DA1726">
      <w:pPr>
        <w:jc w:val="both"/>
        <w:rPr>
          <w:snapToGrid w:val="0"/>
          <w:sz w:val="28"/>
          <w:szCs w:val="28"/>
        </w:rPr>
      </w:pPr>
    </w:p>
    <w:tbl>
      <w:tblPr>
        <w:tblW w:w="9771" w:type="dxa"/>
        <w:jc w:val="center"/>
        <w:tblLayout w:type="fixed"/>
        <w:tblCellMar>
          <w:left w:w="70" w:type="dxa"/>
          <w:right w:w="70" w:type="dxa"/>
        </w:tblCellMar>
        <w:tblLook w:val="04A0" w:firstRow="1" w:lastRow="0" w:firstColumn="1" w:lastColumn="0" w:noHBand="0" w:noVBand="1"/>
      </w:tblPr>
      <w:tblGrid>
        <w:gridCol w:w="293"/>
        <w:gridCol w:w="2127"/>
        <w:gridCol w:w="1559"/>
        <w:gridCol w:w="1559"/>
        <w:gridCol w:w="1418"/>
        <w:gridCol w:w="1417"/>
        <w:gridCol w:w="1398"/>
      </w:tblGrid>
      <w:tr w:rsidR="001A1D76" w:rsidRPr="00DA1726" w:rsidTr="0089508F">
        <w:trPr>
          <w:trHeight w:val="945"/>
          <w:jc w:val="center"/>
        </w:trPr>
        <w:tc>
          <w:tcPr>
            <w:tcW w:w="2420" w:type="dxa"/>
            <w:gridSpan w:val="2"/>
            <w:tcBorders>
              <w:top w:val="single" w:sz="8" w:space="0" w:color="auto"/>
              <w:left w:val="single" w:sz="8" w:space="0" w:color="auto"/>
              <w:bottom w:val="single" w:sz="4" w:space="0" w:color="auto"/>
              <w:right w:val="single" w:sz="4" w:space="0" w:color="auto"/>
            </w:tcBorders>
            <w:shd w:val="clear" w:color="000000" w:fill="A6A6A6"/>
            <w:vAlign w:val="center"/>
            <w:hideMark/>
          </w:tcPr>
          <w:p w:rsidR="001A1D76" w:rsidRPr="00DA1726" w:rsidRDefault="001A1D76" w:rsidP="00DA1726">
            <w:pPr>
              <w:jc w:val="both"/>
              <w:rPr>
                <w:b/>
                <w:snapToGrid w:val="0"/>
                <w:sz w:val="28"/>
                <w:szCs w:val="28"/>
              </w:rPr>
            </w:pPr>
            <w:r w:rsidRPr="00DA1726">
              <w:rPr>
                <w:b/>
                <w:snapToGrid w:val="0"/>
                <w:sz w:val="28"/>
                <w:szCs w:val="28"/>
              </w:rPr>
              <w:t>Elementos a evaluar </w:t>
            </w:r>
          </w:p>
        </w:tc>
        <w:tc>
          <w:tcPr>
            <w:tcW w:w="1559" w:type="dxa"/>
            <w:tcBorders>
              <w:top w:val="single" w:sz="8" w:space="0" w:color="auto"/>
              <w:left w:val="nil"/>
              <w:bottom w:val="single" w:sz="4"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Incumplimiento General</w:t>
            </w:r>
          </w:p>
        </w:tc>
        <w:tc>
          <w:tcPr>
            <w:tcW w:w="1559" w:type="dxa"/>
            <w:tcBorders>
              <w:top w:val="single" w:sz="8" w:space="0" w:color="auto"/>
              <w:left w:val="nil"/>
              <w:bottom w:val="single" w:sz="4"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Nivel de Cumplimiento Bajo</w:t>
            </w:r>
          </w:p>
        </w:tc>
        <w:tc>
          <w:tcPr>
            <w:tcW w:w="1418" w:type="dxa"/>
            <w:tcBorders>
              <w:top w:val="single" w:sz="8" w:space="0" w:color="auto"/>
              <w:left w:val="nil"/>
              <w:bottom w:val="single" w:sz="4"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Nivel de Cumplimiento Medio</w:t>
            </w:r>
          </w:p>
        </w:tc>
        <w:tc>
          <w:tcPr>
            <w:tcW w:w="1417" w:type="dxa"/>
            <w:tcBorders>
              <w:top w:val="single" w:sz="8" w:space="0" w:color="auto"/>
              <w:left w:val="nil"/>
              <w:bottom w:val="single" w:sz="4"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Nivel de Cumplimiento Alto</w:t>
            </w:r>
          </w:p>
        </w:tc>
        <w:tc>
          <w:tcPr>
            <w:tcW w:w="1398" w:type="dxa"/>
            <w:tcBorders>
              <w:top w:val="single" w:sz="8" w:space="0" w:color="auto"/>
              <w:left w:val="nil"/>
              <w:bottom w:val="single" w:sz="4" w:space="0" w:color="auto"/>
              <w:right w:val="single" w:sz="8"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Cumplimiento General</w:t>
            </w:r>
          </w:p>
        </w:tc>
      </w:tr>
      <w:tr w:rsidR="001A1D76" w:rsidRPr="00DA1726" w:rsidTr="0089508F">
        <w:trPr>
          <w:trHeight w:val="315"/>
          <w:jc w:val="center"/>
        </w:trPr>
        <w:tc>
          <w:tcPr>
            <w:tcW w:w="293" w:type="dxa"/>
            <w:vMerge w:val="restart"/>
            <w:tcBorders>
              <w:top w:val="nil"/>
              <w:left w:val="single" w:sz="8" w:space="0" w:color="auto"/>
              <w:bottom w:val="single" w:sz="8" w:space="0" w:color="000000"/>
              <w:right w:val="single" w:sz="4" w:space="0" w:color="auto"/>
            </w:tcBorders>
            <w:shd w:val="clear" w:color="000000" w:fill="A6A6A6"/>
            <w:textDirection w:val="btLr"/>
            <w:vAlign w:val="center"/>
            <w:hideMark/>
          </w:tcPr>
          <w:p w:rsidR="001A1D76" w:rsidRPr="00DA1726" w:rsidRDefault="001A1D76" w:rsidP="00DA1726">
            <w:pPr>
              <w:jc w:val="both"/>
              <w:rPr>
                <w:b/>
                <w:snapToGrid w:val="0"/>
                <w:sz w:val="28"/>
                <w:szCs w:val="28"/>
              </w:rPr>
            </w:pPr>
            <w:r w:rsidRPr="00DA1726">
              <w:rPr>
                <w:b/>
                <w:snapToGrid w:val="0"/>
                <w:sz w:val="28"/>
                <w:szCs w:val="28"/>
              </w:rPr>
              <w:t>Avances</w:t>
            </w:r>
          </w:p>
        </w:tc>
        <w:tc>
          <w:tcPr>
            <w:tcW w:w="2127" w:type="dxa"/>
            <w:tcBorders>
              <w:top w:val="nil"/>
              <w:left w:val="nil"/>
              <w:bottom w:val="single" w:sz="4" w:space="0" w:color="auto"/>
              <w:right w:val="single" w:sz="4" w:space="0" w:color="auto"/>
            </w:tcBorders>
            <w:vAlign w:val="center"/>
            <w:hideMark/>
          </w:tcPr>
          <w:p w:rsidR="001A1D76" w:rsidRPr="00DA1726" w:rsidRDefault="001A1D76" w:rsidP="00DA1726">
            <w:pPr>
              <w:jc w:val="both"/>
              <w:rPr>
                <w:b/>
                <w:snapToGrid w:val="0"/>
                <w:sz w:val="28"/>
                <w:szCs w:val="28"/>
              </w:rPr>
            </w:pPr>
            <w:r w:rsidRPr="00DA1726">
              <w:rPr>
                <w:b/>
                <w:snapToGrid w:val="0"/>
                <w:sz w:val="28"/>
                <w:szCs w:val="28"/>
              </w:rPr>
              <w:t>No hay avances significativos</w:t>
            </w:r>
          </w:p>
        </w:tc>
        <w:tc>
          <w:tcPr>
            <w:tcW w:w="1559" w:type="dxa"/>
            <w:tcBorders>
              <w:top w:val="nil"/>
              <w:left w:val="nil"/>
              <w:bottom w:val="single" w:sz="4"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559" w:type="dxa"/>
            <w:tcBorders>
              <w:top w:val="nil"/>
              <w:left w:val="nil"/>
              <w:bottom w:val="single" w:sz="4"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8" w:type="dxa"/>
            <w:tcBorders>
              <w:top w:val="nil"/>
              <w:left w:val="nil"/>
              <w:bottom w:val="single" w:sz="4"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X</w:t>
            </w:r>
          </w:p>
        </w:tc>
        <w:tc>
          <w:tcPr>
            <w:tcW w:w="1417" w:type="dxa"/>
            <w:tcBorders>
              <w:top w:val="nil"/>
              <w:left w:val="nil"/>
              <w:bottom w:val="single" w:sz="4"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398" w:type="dxa"/>
            <w:tcBorders>
              <w:top w:val="nil"/>
              <w:left w:val="nil"/>
              <w:bottom w:val="single" w:sz="4" w:space="0" w:color="auto"/>
              <w:right w:val="single" w:sz="8"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 </w:t>
            </w:r>
          </w:p>
        </w:tc>
      </w:tr>
      <w:tr w:rsidR="001A1D76" w:rsidRPr="00DA1726" w:rsidTr="0089508F">
        <w:trPr>
          <w:trHeight w:val="315"/>
          <w:jc w:val="center"/>
        </w:trPr>
        <w:tc>
          <w:tcPr>
            <w:tcW w:w="293" w:type="dxa"/>
            <w:vMerge/>
            <w:tcBorders>
              <w:top w:val="nil"/>
              <w:left w:val="single" w:sz="8" w:space="0" w:color="auto"/>
              <w:bottom w:val="single" w:sz="8" w:space="0" w:color="000000"/>
              <w:right w:val="single" w:sz="4" w:space="0" w:color="auto"/>
            </w:tcBorders>
            <w:vAlign w:val="center"/>
            <w:hideMark/>
          </w:tcPr>
          <w:p w:rsidR="001A1D76" w:rsidRPr="00DA1726" w:rsidRDefault="001A1D76" w:rsidP="00DA1726">
            <w:pPr>
              <w:jc w:val="both"/>
              <w:rPr>
                <w:b/>
                <w:snapToGrid w:val="0"/>
                <w:sz w:val="28"/>
                <w:szCs w:val="28"/>
              </w:rPr>
            </w:pPr>
          </w:p>
        </w:tc>
        <w:tc>
          <w:tcPr>
            <w:tcW w:w="2127" w:type="dxa"/>
            <w:tcBorders>
              <w:top w:val="nil"/>
              <w:left w:val="nil"/>
              <w:bottom w:val="single" w:sz="4" w:space="0" w:color="auto"/>
              <w:right w:val="single" w:sz="4" w:space="0" w:color="auto"/>
            </w:tcBorders>
            <w:vAlign w:val="center"/>
            <w:hideMark/>
          </w:tcPr>
          <w:p w:rsidR="001A1D76" w:rsidRPr="00DA1726" w:rsidRDefault="001A1D76" w:rsidP="00DA1726">
            <w:pPr>
              <w:jc w:val="both"/>
              <w:rPr>
                <w:b/>
                <w:snapToGrid w:val="0"/>
                <w:sz w:val="28"/>
                <w:szCs w:val="28"/>
              </w:rPr>
            </w:pPr>
            <w:r w:rsidRPr="00DA1726">
              <w:rPr>
                <w:b/>
                <w:snapToGrid w:val="0"/>
                <w:sz w:val="28"/>
                <w:szCs w:val="28"/>
              </w:rPr>
              <w:t>Hay avances significativos, pero no han conjurado en su totalidad la falla</w:t>
            </w:r>
          </w:p>
        </w:tc>
        <w:tc>
          <w:tcPr>
            <w:tcW w:w="1559" w:type="dxa"/>
            <w:tcBorders>
              <w:top w:val="nil"/>
              <w:left w:val="nil"/>
              <w:bottom w:val="single" w:sz="4"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559" w:type="dxa"/>
            <w:tcBorders>
              <w:top w:val="nil"/>
              <w:left w:val="nil"/>
              <w:bottom w:val="single" w:sz="4"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8" w:type="dxa"/>
            <w:tcBorders>
              <w:top w:val="nil"/>
              <w:left w:val="nil"/>
              <w:bottom w:val="single" w:sz="4"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7" w:type="dxa"/>
            <w:tcBorders>
              <w:top w:val="nil"/>
              <w:left w:val="nil"/>
              <w:bottom w:val="single" w:sz="4"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X</w:t>
            </w:r>
          </w:p>
        </w:tc>
        <w:tc>
          <w:tcPr>
            <w:tcW w:w="1398" w:type="dxa"/>
            <w:tcBorders>
              <w:top w:val="nil"/>
              <w:left w:val="nil"/>
              <w:bottom w:val="single" w:sz="4" w:space="0" w:color="auto"/>
              <w:right w:val="single" w:sz="8"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 </w:t>
            </w:r>
          </w:p>
        </w:tc>
      </w:tr>
      <w:tr w:rsidR="001A1D76" w:rsidRPr="00DA1726" w:rsidTr="0089508F">
        <w:trPr>
          <w:trHeight w:val="330"/>
          <w:jc w:val="center"/>
        </w:trPr>
        <w:tc>
          <w:tcPr>
            <w:tcW w:w="293" w:type="dxa"/>
            <w:vMerge/>
            <w:tcBorders>
              <w:top w:val="nil"/>
              <w:left w:val="single" w:sz="8" w:space="0" w:color="auto"/>
              <w:bottom w:val="single" w:sz="8" w:space="0" w:color="000000"/>
              <w:right w:val="single" w:sz="4" w:space="0" w:color="auto"/>
            </w:tcBorders>
            <w:vAlign w:val="center"/>
            <w:hideMark/>
          </w:tcPr>
          <w:p w:rsidR="001A1D76" w:rsidRPr="00DA1726" w:rsidRDefault="001A1D76" w:rsidP="00DA1726">
            <w:pPr>
              <w:jc w:val="both"/>
              <w:rPr>
                <w:b/>
                <w:snapToGrid w:val="0"/>
                <w:sz w:val="28"/>
                <w:szCs w:val="28"/>
              </w:rPr>
            </w:pPr>
          </w:p>
        </w:tc>
        <w:tc>
          <w:tcPr>
            <w:tcW w:w="2127" w:type="dxa"/>
            <w:tcBorders>
              <w:top w:val="nil"/>
              <w:left w:val="nil"/>
              <w:bottom w:val="single" w:sz="8" w:space="0" w:color="auto"/>
              <w:right w:val="single" w:sz="4" w:space="0" w:color="auto"/>
            </w:tcBorders>
            <w:vAlign w:val="center"/>
            <w:hideMark/>
          </w:tcPr>
          <w:p w:rsidR="001A1D76" w:rsidRPr="00DA1726" w:rsidRDefault="001A1D76" w:rsidP="00DA1726">
            <w:pPr>
              <w:jc w:val="both"/>
              <w:rPr>
                <w:b/>
                <w:snapToGrid w:val="0"/>
                <w:sz w:val="28"/>
                <w:szCs w:val="28"/>
              </w:rPr>
            </w:pPr>
            <w:r w:rsidRPr="00DA1726">
              <w:rPr>
                <w:b/>
                <w:snapToGrid w:val="0"/>
                <w:sz w:val="28"/>
                <w:szCs w:val="28"/>
              </w:rPr>
              <w:t>Superaron la falla estructural que dio origen a la orden</w:t>
            </w:r>
          </w:p>
        </w:tc>
        <w:tc>
          <w:tcPr>
            <w:tcW w:w="1559" w:type="dxa"/>
            <w:tcBorders>
              <w:top w:val="nil"/>
              <w:left w:val="nil"/>
              <w:bottom w:val="single" w:sz="8" w:space="0" w:color="auto"/>
              <w:right w:val="single" w:sz="4" w:space="0" w:color="auto"/>
            </w:tcBorders>
            <w:shd w:val="clear" w:color="000000" w:fill="C0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559" w:type="dxa"/>
            <w:tcBorders>
              <w:top w:val="nil"/>
              <w:left w:val="nil"/>
              <w:bottom w:val="single" w:sz="8" w:space="0" w:color="auto"/>
              <w:right w:val="single" w:sz="4" w:space="0" w:color="auto"/>
            </w:tcBorders>
            <w:shd w:val="clear" w:color="000000" w:fill="FF00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8" w:type="dxa"/>
            <w:tcBorders>
              <w:top w:val="nil"/>
              <w:left w:val="nil"/>
              <w:bottom w:val="single" w:sz="8" w:space="0" w:color="auto"/>
              <w:right w:val="single" w:sz="4" w:space="0" w:color="auto"/>
            </w:tcBorders>
            <w:shd w:val="clear" w:color="000000" w:fill="ED7D31"/>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417" w:type="dxa"/>
            <w:tcBorders>
              <w:top w:val="nil"/>
              <w:left w:val="nil"/>
              <w:bottom w:val="single" w:sz="8" w:space="0" w:color="auto"/>
              <w:right w:val="single" w:sz="4" w:space="0" w:color="auto"/>
            </w:tcBorders>
            <w:shd w:val="clear" w:color="000000" w:fill="FFFF00"/>
            <w:vAlign w:val="center"/>
            <w:hideMark/>
          </w:tcPr>
          <w:p w:rsidR="001A1D76" w:rsidRPr="00DA1726" w:rsidRDefault="001A1D76" w:rsidP="00DA1726">
            <w:pPr>
              <w:jc w:val="both"/>
              <w:rPr>
                <w:b/>
                <w:snapToGrid w:val="0"/>
                <w:sz w:val="28"/>
                <w:szCs w:val="28"/>
              </w:rPr>
            </w:pPr>
            <w:r w:rsidRPr="00DA1726">
              <w:rPr>
                <w:b/>
                <w:snapToGrid w:val="0"/>
                <w:sz w:val="28"/>
                <w:szCs w:val="28"/>
              </w:rPr>
              <w:t> </w:t>
            </w:r>
          </w:p>
        </w:tc>
        <w:tc>
          <w:tcPr>
            <w:tcW w:w="1398" w:type="dxa"/>
            <w:tcBorders>
              <w:top w:val="nil"/>
              <w:left w:val="nil"/>
              <w:bottom w:val="single" w:sz="8" w:space="0" w:color="auto"/>
              <w:right w:val="single" w:sz="8" w:space="0" w:color="auto"/>
            </w:tcBorders>
            <w:shd w:val="clear" w:color="000000" w:fill="70AD47"/>
            <w:vAlign w:val="center"/>
            <w:hideMark/>
          </w:tcPr>
          <w:p w:rsidR="001A1D76" w:rsidRPr="00DA1726" w:rsidRDefault="001A1D76" w:rsidP="00DA1726">
            <w:pPr>
              <w:jc w:val="both"/>
              <w:rPr>
                <w:b/>
                <w:snapToGrid w:val="0"/>
                <w:sz w:val="28"/>
                <w:szCs w:val="28"/>
              </w:rPr>
            </w:pPr>
            <w:r w:rsidRPr="00DA1726">
              <w:rPr>
                <w:b/>
                <w:snapToGrid w:val="0"/>
                <w:sz w:val="28"/>
                <w:szCs w:val="28"/>
              </w:rPr>
              <w:t>X</w:t>
            </w:r>
          </w:p>
        </w:tc>
      </w:tr>
    </w:tbl>
    <w:p w:rsidR="001A1D76" w:rsidRPr="00DA1726" w:rsidRDefault="001A1D76" w:rsidP="00DA1726">
      <w:pPr>
        <w:jc w:val="both"/>
        <w:rPr>
          <w:snapToGrid w:val="0"/>
          <w:sz w:val="28"/>
          <w:szCs w:val="28"/>
        </w:rPr>
      </w:pPr>
    </w:p>
    <w:p w:rsidR="001A1D76" w:rsidRPr="00DA1726" w:rsidRDefault="001A1D76" w:rsidP="00DA1726">
      <w:pPr>
        <w:pStyle w:val="Prrafodelista"/>
        <w:numPr>
          <w:ilvl w:val="1"/>
          <w:numId w:val="26"/>
        </w:numPr>
        <w:tabs>
          <w:tab w:val="left" w:pos="426"/>
        </w:tabs>
        <w:ind w:left="0" w:firstLine="0"/>
        <w:jc w:val="both"/>
        <w:rPr>
          <w:snapToGrid w:val="0"/>
          <w:sz w:val="28"/>
          <w:szCs w:val="28"/>
        </w:rPr>
      </w:pPr>
      <w:r w:rsidRPr="00DA1726">
        <w:rPr>
          <w:snapToGrid w:val="0"/>
          <w:sz w:val="28"/>
          <w:szCs w:val="28"/>
        </w:rPr>
        <w:t>Bajo tales precisiones, a continuación se proceden a conceptualizar las cinco (5) categorías de evaluación de cumplimiento, las cuales serán aplicadas en la medida en que sean compatibles con el contenido y alcance del mandato supervisado:</w:t>
      </w:r>
    </w:p>
    <w:p w:rsidR="001A1D76" w:rsidRPr="00DA1726" w:rsidRDefault="001A1D76" w:rsidP="00DA1726">
      <w:pPr>
        <w:jc w:val="both"/>
        <w:rPr>
          <w:snapToGrid w:val="0"/>
          <w:sz w:val="28"/>
          <w:szCs w:val="28"/>
        </w:rPr>
      </w:pPr>
    </w:p>
    <w:p w:rsidR="001A1D76" w:rsidRPr="00DA1726" w:rsidRDefault="001A1D76" w:rsidP="00DA1726">
      <w:pPr>
        <w:pStyle w:val="Prrafodelista"/>
        <w:numPr>
          <w:ilvl w:val="2"/>
          <w:numId w:val="26"/>
        </w:numPr>
        <w:tabs>
          <w:tab w:val="left" w:pos="426"/>
        </w:tabs>
        <w:ind w:left="0" w:firstLine="0"/>
        <w:jc w:val="both"/>
        <w:rPr>
          <w:snapToGrid w:val="0"/>
          <w:sz w:val="28"/>
          <w:szCs w:val="28"/>
        </w:rPr>
      </w:pPr>
      <w:r w:rsidRPr="00DA1726">
        <w:rPr>
          <w:b/>
          <w:snapToGrid w:val="0"/>
          <w:sz w:val="28"/>
          <w:szCs w:val="28"/>
        </w:rPr>
        <w:t>Incumplimiento General</w:t>
      </w:r>
      <w:r w:rsidRPr="00DA1726">
        <w:rPr>
          <w:snapToGrid w:val="0"/>
          <w:sz w:val="28"/>
          <w:szCs w:val="28"/>
        </w:rPr>
        <w:t>. Este nivel se declarará si revisado el estado actual de la orden se constata la inexistencia de medidas adoptadas por la autoridad obligada, con la finalidad de superar la problemática estructural que dio origen al mandato judicial.</w:t>
      </w:r>
      <w:r w:rsidRPr="00DA1726">
        <w:rPr>
          <w:b/>
          <w:snapToGrid w:val="0"/>
          <w:sz w:val="28"/>
          <w:szCs w:val="28"/>
        </w:rPr>
        <w:t xml:space="preserve"> </w:t>
      </w:r>
    </w:p>
    <w:p w:rsidR="001A1D76" w:rsidRPr="00DA1726" w:rsidRDefault="001A1D76" w:rsidP="00DA1726">
      <w:pPr>
        <w:jc w:val="both"/>
        <w:rPr>
          <w:b/>
          <w:snapToGrid w:val="0"/>
          <w:sz w:val="28"/>
          <w:szCs w:val="28"/>
        </w:rPr>
      </w:pPr>
    </w:p>
    <w:p w:rsidR="001A1D76" w:rsidRPr="00DA1726" w:rsidRDefault="001A1D76" w:rsidP="00DA1726">
      <w:pPr>
        <w:numPr>
          <w:ilvl w:val="2"/>
          <w:numId w:val="26"/>
        </w:numPr>
        <w:tabs>
          <w:tab w:val="left" w:pos="709"/>
        </w:tabs>
        <w:ind w:left="0" w:firstLine="0"/>
        <w:jc w:val="both"/>
        <w:rPr>
          <w:b/>
          <w:snapToGrid w:val="0"/>
          <w:sz w:val="28"/>
          <w:szCs w:val="28"/>
        </w:rPr>
      </w:pPr>
      <w:r w:rsidRPr="00DA1726">
        <w:rPr>
          <w:b/>
          <w:snapToGrid w:val="0"/>
          <w:sz w:val="28"/>
          <w:szCs w:val="28"/>
        </w:rPr>
        <w:t xml:space="preserve">Nivel de Cumplimiento Bajo. </w:t>
      </w:r>
      <w:r w:rsidRPr="00DA1726">
        <w:rPr>
          <w:snapToGrid w:val="0"/>
          <w:sz w:val="28"/>
          <w:szCs w:val="28"/>
        </w:rPr>
        <w:t>Se presenta cuando la autoridad obligada haya adoptado algunas medidas con el fin de cumplir la Sentencia T-760 de 2008 y concurra cualquiera de los siguientes supuestos:</w:t>
      </w:r>
    </w:p>
    <w:p w:rsidR="001A1D76" w:rsidRPr="00DA1726" w:rsidRDefault="001A1D76" w:rsidP="00DA1726">
      <w:pPr>
        <w:jc w:val="both"/>
        <w:rPr>
          <w:snapToGrid w:val="0"/>
          <w:sz w:val="28"/>
          <w:szCs w:val="28"/>
        </w:rPr>
      </w:pPr>
    </w:p>
    <w:p w:rsidR="001A1D76" w:rsidRPr="00DA1726" w:rsidRDefault="001A1D76" w:rsidP="00DA1726">
      <w:pPr>
        <w:numPr>
          <w:ilvl w:val="0"/>
          <w:numId w:val="25"/>
        </w:numPr>
        <w:tabs>
          <w:tab w:val="left" w:pos="284"/>
        </w:tabs>
        <w:ind w:left="0" w:hanging="11"/>
        <w:jc w:val="both"/>
        <w:rPr>
          <w:snapToGrid w:val="0"/>
          <w:sz w:val="28"/>
          <w:szCs w:val="28"/>
        </w:rPr>
      </w:pPr>
      <w:r w:rsidRPr="00DA1726">
        <w:rPr>
          <w:snapToGrid w:val="0"/>
          <w:sz w:val="28"/>
          <w:szCs w:val="28"/>
        </w:rPr>
        <w:t xml:space="preserve"> Las medidas adoptadas son inconducentes para el cumplimiento de la orden estructural, es decir, no son compatibles con los elementos del mandato. </w:t>
      </w:r>
    </w:p>
    <w:p w:rsidR="001A1D76" w:rsidRPr="00DA1726" w:rsidRDefault="001A1D76" w:rsidP="00DA1726">
      <w:pPr>
        <w:ind w:hanging="11"/>
        <w:jc w:val="both"/>
        <w:rPr>
          <w:snapToGrid w:val="0"/>
          <w:sz w:val="28"/>
          <w:szCs w:val="28"/>
        </w:rPr>
      </w:pPr>
    </w:p>
    <w:p w:rsidR="001A1D76" w:rsidRPr="00DA1726" w:rsidRDefault="001A1D76" w:rsidP="00DA1726">
      <w:pPr>
        <w:numPr>
          <w:ilvl w:val="0"/>
          <w:numId w:val="25"/>
        </w:numPr>
        <w:tabs>
          <w:tab w:val="left" w:pos="426"/>
        </w:tabs>
        <w:ind w:left="0" w:hanging="11"/>
        <w:jc w:val="both"/>
        <w:rPr>
          <w:snapToGrid w:val="0"/>
          <w:sz w:val="28"/>
          <w:szCs w:val="28"/>
        </w:rPr>
      </w:pPr>
      <w:r w:rsidRPr="00DA1726">
        <w:rPr>
          <w:snapToGrid w:val="0"/>
          <w:sz w:val="28"/>
          <w:szCs w:val="28"/>
        </w:rPr>
        <w:t>Las medidas son conducentes para el acatamiento de la disposición examinada, esto es, abordan acciones en torno a los requerimientos propios de la orden, no obstante, la autoridad obligada no acreditó sus resultados</w:t>
      </w:r>
      <w:r w:rsidRPr="00DA1726">
        <w:rPr>
          <w:snapToGrid w:val="0"/>
          <w:sz w:val="28"/>
          <w:szCs w:val="28"/>
          <w:vertAlign w:val="superscript"/>
        </w:rPr>
        <w:footnoteReference w:id="106"/>
      </w:r>
      <w:r w:rsidRPr="00DA1726">
        <w:rPr>
          <w:snapToGrid w:val="0"/>
          <w:sz w:val="28"/>
          <w:szCs w:val="28"/>
        </w:rPr>
        <w:t xml:space="preserve"> en el sistema de salud.</w:t>
      </w:r>
    </w:p>
    <w:p w:rsidR="001A1D76" w:rsidRPr="00DA1726" w:rsidRDefault="001A1D76" w:rsidP="00DA1726">
      <w:pPr>
        <w:ind w:hanging="11"/>
        <w:jc w:val="both"/>
        <w:rPr>
          <w:snapToGrid w:val="0"/>
          <w:sz w:val="28"/>
          <w:szCs w:val="28"/>
        </w:rPr>
      </w:pPr>
    </w:p>
    <w:p w:rsidR="001A1D76" w:rsidRPr="00DA1726" w:rsidRDefault="001A1D76" w:rsidP="00DA1726">
      <w:pPr>
        <w:numPr>
          <w:ilvl w:val="0"/>
          <w:numId w:val="25"/>
        </w:numPr>
        <w:tabs>
          <w:tab w:val="left" w:pos="426"/>
        </w:tabs>
        <w:ind w:left="0" w:hanging="11"/>
        <w:jc w:val="both"/>
        <w:rPr>
          <w:snapToGrid w:val="0"/>
          <w:sz w:val="28"/>
          <w:szCs w:val="28"/>
        </w:rPr>
      </w:pPr>
      <w:r w:rsidRPr="00DA1726">
        <w:rPr>
          <w:snapToGrid w:val="0"/>
          <w:sz w:val="28"/>
          <w:szCs w:val="28"/>
        </w:rPr>
        <w:t xml:space="preserve"> Las medidas son conducentes y sus resultados fueron informados por la autoridad obligada a la Sala Especial. Sin embargo, a partir de dicho reporte se advierte la inexistencia de avances reales</w:t>
      </w:r>
      <w:r w:rsidRPr="00DA1726">
        <w:rPr>
          <w:snapToGrid w:val="0"/>
          <w:sz w:val="28"/>
          <w:szCs w:val="28"/>
          <w:vertAlign w:val="superscript"/>
        </w:rPr>
        <w:footnoteReference w:id="107"/>
      </w:r>
      <w:r w:rsidRPr="00DA1726">
        <w:rPr>
          <w:snapToGrid w:val="0"/>
          <w:sz w:val="28"/>
          <w:szCs w:val="28"/>
        </w:rPr>
        <w:t xml:space="preserve">, por lo que no es razonable esperar que se obtenga la satisfacción del mandato analizado, es decir, la superación de la falla estructural. </w:t>
      </w:r>
    </w:p>
    <w:p w:rsidR="001A1D76" w:rsidRPr="00DA1726" w:rsidRDefault="001A1D76" w:rsidP="00DA1726">
      <w:pPr>
        <w:jc w:val="both"/>
        <w:rPr>
          <w:snapToGrid w:val="0"/>
          <w:sz w:val="28"/>
          <w:szCs w:val="28"/>
        </w:rPr>
      </w:pPr>
    </w:p>
    <w:p w:rsidR="001A1D76" w:rsidRPr="00DA1726" w:rsidRDefault="001A1D76" w:rsidP="00DA1726">
      <w:pPr>
        <w:pStyle w:val="Prrafodelista"/>
        <w:numPr>
          <w:ilvl w:val="2"/>
          <w:numId w:val="26"/>
        </w:numPr>
        <w:ind w:left="0" w:firstLine="0"/>
        <w:jc w:val="both"/>
        <w:rPr>
          <w:snapToGrid w:val="0"/>
          <w:sz w:val="28"/>
          <w:szCs w:val="28"/>
        </w:rPr>
      </w:pPr>
      <w:r w:rsidRPr="00DA1726">
        <w:rPr>
          <w:b/>
          <w:snapToGrid w:val="0"/>
          <w:sz w:val="28"/>
          <w:szCs w:val="28"/>
        </w:rPr>
        <w:t>Nivel de Cumplimiento Medio</w:t>
      </w:r>
      <w:r w:rsidRPr="00DA1726">
        <w:rPr>
          <w:snapToGrid w:val="0"/>
          <w:sz w:val="28"/>
          <w:szCs w:val="28"/>
        </w:rPr>
        <w:t>. Se procederá a decretar el nivel de cumplimiento medio cuando pese a que el obligado adoptó las medidas conducentes, reportó los resultados a la Corte y estos muestran avances en la implementación de la política, dichas mejoras no son suficientes sino que se muestran parciales para superar la falla estructural</w:t>
      </w:r>
      <w:r w:rsidRPr="00DA1726">
        <w:rPr>
          <w:snapToGrid w:val="0"/>
          <w:sz w:val="28"/>
          <w:szCs w:val="28"/>
          <w:lang w:val="es-ES_tradnl"/>
        </w:rPr>
        <w:t xml:space="preserve"> que dio origen a la orden objeto de supervisión.</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Al declarar la existencia de este nivel, la Corte dará un plazo razonable al término del cual se verificará nuevamente el acatamiento de la orden.</w:t>
      </w:r>
    </w:p>
    <w:p w:rsidR="001A1D76" w:rsidRPr="00DA1726" w:rsidRDefault="001A1D76" w:rsidP="00DA1726">
      <w:pPr>
        <w:jc w:val="both"/>
        <w:rPr>
          <w:snapToGrid w:val="0"/>
          <w:sz w:val="28"/>
          <w:szCs w:val="28"/>
        </w:rPr>
      </w:pPr>
    </w:p>
    <w:p w:rsidR="001A1D76" w:rsidRPr="00DA1726" w:rsidRDefault="001A1D76" w:rsidP="00DA1726">
      <w:pPr>
        <w:numPr>
          <w:ilvl w:val="2"/>
          <w:numId w:val="26"/>
        </w:numPr>
        <w:ind w:left="0" w:firstLine="0"/>
        <w:jc w:val="both"/>
        <w:rPr>
          <w:snapToGrid w:val="0"/>
          <w:sz w:val="28"/>
          <w:szCs w:val="28"/>
        </w:rPr>
      </w:pPr>
      <w:r w:rsidRPr="00DA1726">
        <w:rPr>
          <w:b/>
          <w:snapToGrid w:val="0"/>
          <w:sz w:val="28"/>
          <w:szCs w:val="28"/>
        </w:rPr>
        <w:t>Nivel de Cumplimiento Alto</w:t>
      </w:r>
      <w:r w:rsidRPr="00DA1726">
        <w:rPr>
          <w:snapToGrid w:val="0"/>
          <w:sz w:val="28"/>
          <w:szCs w:val="28"/>
        </w:rPr>
        <w:t>. Procederá la declaratoria del nivel de cumplimiento alto cuando:</w:t>
      </w:r>
      <w:r w:rsidRPr="00DA1726">
        <w:rPr>
          <w:i/>
          <w:snapToGrid w:val="0"/>
          <w:sz w:val="28"/>
          <w:szCs w:val="28"/>
        </w:rPr>
        <w:t xml:space="preserve"> </w:t>
      </w:r>
      <w:r w:rsidRPr="00DA1726">
        <w:rPr>
          <w:snapToGrid w:val="0"/>
          <w:sz w:val="28"/>
          <w:szCs w:val="28"/>
        </w:rPr>
        <w:t xml:space="preserve">(i) existen las medidas adecuadas para el acatamiento de la disposición examinada; (ii) se reporten los resultados concretos a la Sala Especial por parte de la autoridad obligada; (iii) </w:t>
      </w:r>
      <w:r w:rsidRPr="00DA1726">
        <w:rPr>
          <w:snapToGrid w:val="0"/>
          <w:sz w:val="28"/>
          <w:szCs w:val="28"/>
          <w:lang w:val="es-ES_tradnl"/>
        </w:rPr>
        <w:t>los avances evidenciados son suficientes, progresivos, sostenibles y significativos para el cumplimiento de la orden;</w:t>
      </w:r>
      <w:r w:rsidRPr="00DA1726">
        <w:rPr>
          <w:snapToGrid w:val="0"/>
          <w:sz w:val="28"/>
          <w:szCs w:val="28"/>
        </w:rPr>
        <w:t xml:space="preserve"> (iv)</w:t>
      </w:r>
      <w:r w:rsidRPr="00DA1726">
        <w:rPr>
          <w:snapToGrid w:val="0"/>
          <w:sz w:val="28"/>
          <w:szCs w:val="28"/>
          <w:lang w:val="es-ES_tradnl"/>
        </w:rPr>
        <w:t xml:space="preserve"> </w:t>
      </w:r>
      <w:r w:rsidRPr="00DA1726">
        <w:rPr>
          <w:snapToGrid w:val="0"/>
          <w:sz w:val="28"/>
          <w:szCs w:val="28"/>
        </w:rPr>
        <w:t>es razonable que la problemática que dio lugar a la orden valorada se pueda superar; y</w:t>
      </w:r>
      <w:r w:rsidRPr="00DA1726">
        <w:rPr>
          <w:snapToGrid w:val="0"/>
          <w:sz w:val="28"/>
          <w:szCs w:val="28"/>
          <w:lang w:val="es-ES_tradnl"/>
        </w:rPr>
        <w:t xml:space="preserve"> (v) falte por culminar o no se ha logrado la totalidad de la ejecución de</w:t>
      </w:r>
      <w:r w:rsidRPr="00DA1726">
        <w:rPr>
          <w:snapToGrid w:val="0"/>
          <w:sz w:val="28"/>
          <w:szCs w:val="28"/>
        </w:rPr>
        <w:t>l mandato analizado.</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Habiéndose declarado el</w:t>
      </w:r>
      <w:r w:rsidRPr="00DA1726">
        <w:rPr>
          <w:i/>
          <w:snapToGrid w:val="0"/>
          <w:sz w:val="28"/>
          <w:szCs w:val="28"/>
        </w:rPr>
        <w:t xml:space="preserve"> nivel de cumplimiento alto </w:t>
      </w:r>
      <w:r w:rsidRPr="00DA1726">
        <w:rPr>
          <w:snapToGrid w:val="0"/>
          <w:sz w:val="28"/>
          <w:szCs w:val="28"/>
        </w:rPr>
        <w:t xml:space="preserve"> de la orden, se podrá trasladar el ciclo de supervisión, mediante la </w:t>
      </w:r>
      <w:r w:rsidRPr="00DA1726">
        <w:rPr>
          <w:b/>
          <w:snapToGrid w:val="0"/>
          <w:sz w:val="28"/>
          <w:szCs w:val="28"/>
        </w:rPr>
        <w:t>SUSPENSIÓN DEL SEGUIMIENTO</w:t>
      </w:r>
      <w:r w:rsidRPr="00DA1726">
        <w:rPr>
          <w:snapToGrid w:val="0"/>
          <w:sz w:val="28"/>
          <w:szCs w:val="28"/>
        </w:rPr>
        <w:t xml:space="preserve"> por parte de la Corte Constitucional, para que sea entregado a la Procuraduría General de Nación</w:t>
      </w:r>
      <w:r w:rsidRPr="00DA1726">
        <w:rPr>
          <w:snapToGrid w:val="0"/>
          <w:sz w:val="28"/>
          <w:szCs w:val="28"/>
          <w:vertAlign w:val="superscript"/>
        </w:rPr>
        <w:footnoteReference w:id="108"/>
      </w:r>
      <w:r w:rsidRPr="00DA1726">
        <w:rPr>
          <w:snapToGrid w:val="0"/>
          <w:sz w:val="28"/>
          <w:szCs w:val="28"/>
        </w:rPr>
        <w:t xml:space="preserve"> y/o la Defensoría del Pueblo, a fin de que continúen con la verificación de la ejecución de la política pública a la que circunscribe el mandato estructural, bajo informes periódicos presentados a la Sala Plena por un tiempo hasta tanto se acate de forma general la orden examinada o la Corte decida reanudar el trámite suspendido.</w:t>
      </w:r>
    </w:p>
    <w:p w:rsidR="001A1D76" w:rsidRPr="00DA1726" w:rsidRDefault="001A1D76" w:rsidP="00DA1726">
      <w:pPr>
        <w:jc w:val="both"/>
        <w:rPr>
          <w:snapToGrid w:val="0"/>
          <w:sz w:val="28"/>
          <w:szCs w:val="28"/>
        </w:rPr>
      </w:pPr>
    </w:p>
    <w:p w:rsidR="001A1D76" w:rsidRPr="00DA1726" w:rsidRDefault="001A1D76" w:rsidP="00DA1726">
      <w:pPr>
        <w:numPr>
          <w:ilvl w:val="2"/>
          <w:numId w:val="26"/>
        </w:numPr>
        <w:ind w:left="0" w:firstLine="0"/>
        <w:jc w:val="both"/>
        <w:rPr>
          <w:snapToGrid w:val="0"/>
          <w:sz w:val="28"/>
          <w:szCs w:val="28"/>
        </w:rPr>
      </w:pPr>
      <w:r w:rsidRPr="00DA1726">
        <w:rPr>
          <w:b/>
          <w:snapToGrid w:val="0"/>
          <w:sz w:val="28"/>
          <w:szCs w:val="28"/>
        </w:rPr>
        <w:t>Cumplimiento General</w:t>
      </w:r>
      <w:r w:rsidRPr="00DA1726">
        <w:rPr>
          <w:snapToGrid w:val="0"/>
          <w:sz w:val="28"/>
          <w:szCs w:val="28"/>
        </w:rPr>
        <w:t>. La declaratoria de este nivel de cumplimiento se circunscribe a que al momento de realizar la valoración, la Sala colija que las medidas son adecuadas para el acatamiento de la disposición examinada y que sus resultados son suficientes</w:t>
      </w:r>
      <w:r w:rsidRPr="00DA1726">
        <w:rPr>
          <w:snapToGrid w:val="0"/>
          <w:sz w:val="28"/>
          <w:szCs w:val="28"/>
          <w:lang w:val="es-ES_tradnl"/>
        </w:rPr>
        <w:t>, progresivos, sostenibles, significativos</w:t>
      </w:r>
      <w:r w:rsidRPr="00DA1726">
        <w:rPr>
          <w:snapToGrid w:val="0"/>
          <w:sz w:val="28"/>
          <w:szCs w:val="28"/>
        </w:rPr>
        <w:t xml:space="preserve"> y logran, en su totalidad, los cometidos del mandato analizado, esto es, la superación continua de la falla estructural que motivó la expedición de la orden. Aunado a lo anterior, se esperaría que el sistema haya apropiado instrumentos para confrontar anomalías similares a las que provocaron la Sentencia T-760, que se presenten en el futuro.</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 xml:space="preserve">Este nivel de cumplimiento, conllevaría concluir el ciclo de supervisión mediante el </w:t>
      </w:r>
      <w:r w:rsidRPr="00DA1726">
        <w:rPr>
          <w:b/>
          <w:snapToGrid w:val="0"/>
          <w:sz w:val="28"/>
          <w:szCs w:val="28"/>
        </w:rPr>
        <w:t>CESE DEL SEGUIMIENTO</w:t>
      </w:r>
      <w:r w:rsidRPr="00DA1726">
        <w:rPr>
          <w:snapToGrid w:val="0"/>
          <w:sz w:val="28"/>
          <w:szCs w:val="28"/>
        </w:rPr>
        <w:t xml:space="preserve"> por parte de la Corte Constitucional ante la obtención de los resultados pretendidos por el fallo objeto de supervisión.</w:t>
      </w:r>
    </w:p>
    <w:p w:rsidR="001A1D76" w:rsidRPr="00DA1726" w:rsidRDefault="001A1D76" w:rsidP="00DA1726">
      <w:pPr>
        <w:jc w:val="both"/>
        <w:rPr>
          <w:b/>
          <w:snapToGrid w:val="0"/>
          <w:sz w:val="28"/>
          <w:szCs w:val="28"/>
        </w:rPr>
      </w:pPr>
    </w:p>
    <w:p w:rsidR="001A1D76" w:rsidRPr="00DA1726" w:rsidRDefault="001A1D76" w:rsidP="00DA1726">
      <w:pPr>
        <w:numPr>
          <w:ilvl w:val="1"/>
          <w:numId w:val="26"/>
        </w:numPr>
        <w:tabs>
          <w:tab w:val="left" w:pos="426"/>
        </w:tabs>
        <w:ind w:left="0" w:firstLine="0"/>
        <w:jc w:val="both"/>
        <w:rPr>
          <w:snapToGrid w:val="0"/>
          <w:sz w:val="28"/>
          <w:szCs w:val="28"/>
        </w:rPr>
      </w:pPr>
      <w:r w:rsidRPr="00DA1726">
        <w:rPr>
          <w:snapToGrid w:val="0"/>
          <w:sz w:val="28"/>
          <w:szCs w:val="28"/>
        </w:rPr>
        <w:t xml:space="preserve"> El trámite de supervisión también podrá </w:t>
      </w:r>
      <w:r w:rsidRPr="00DA1726">
        <w:rPr>
          <w:b/>
          <w:snapToGrid w:val="0"/>
          <w:sz w:val="28"/>
          <w:szCs w:val="28"/>
        </w:rPr>
        <w:t xml:space="preserve">CESARSE </w:t>
      </w:r>
      <w:r w:rsidRPr="00DA1726">
        <w:rPr>
          <w:snapToGrid w:val="0"/>
          <w:sz w:val="28"/>
          <w:szCs w:val="28"/>
        </w:rPr>
        <w:t xml:space="preserve">respecto de cualquier orden que haya sido valorada con </w:t>
      </w:r>
      <w:r w:rsidRPr="00DA1726">
        <w:rPr>
          <w:i/>
          <w:snapToGrid w:val="0"/>
          <w:sz w:val="28"/>
          <w:szCs w:val="28"/>
        </w:rPr>
        <w:t>incumplimiento,</w:t>
      </w:r>
      <w:r w:rsidRPr="00DA1726">
        <w:rPr>
          <w:snapToGrid w:val="0"/>
          <w:sz w:val="28"/>
          <w:szCs w:val="28"/>
        </w:rPr>
        <w:t xml:space="preserve"> </w:t>
      </w:r>
      <w:r w:rsidRPr="00DA1726">
        <w:rPr>
          <w:i/>
          <w:snapToGrid w:val="0"/>
          <w:sz w:val="28"/>
          <w:szCs w:val="28"/>
        </w:rPr>
        <w:t>nivel de cumplimiento bajo y medio,</w:t>
      </w:r>
      <w:r w:rsidRPr="00DA1726">
        <w:rPr>
          <w:snapToGrid w:val="0"/>
          <w:sz w:val="28"/>
          <w:szCs w:val="28"/>
        </w:rPr>
        <w:t xml:space="preserve"> cuando el mandato haya perdido los fundamentos de hecho o de derecho que le dieron lugar o cuando se haya agotado su vigencia temporal. Este último supuesto se refiere a las órdenes cuya ejecución estaba limitada en el tiempo, es decir, de una fecha determinada a otra igual.  Este último supuesto se refiere a las órdenes cuya ejecución estaba limitada en el tiempo, es decir, de una fecha determinada a otra igual, siempre que se permita determinar la superación material del motivo que dio lugar a lo ordenado y no continúe ejerciendo efectos jurídicos. </w:t>
      </w:r>
    </w:p>
    <w:p w:rsidR="001A1D76" w:rsidRPr="00DA1726" w:rsidRDefault="001A1D76" w:rsidP="00DA1726">
      <w:pPr>
        <w:jc w:val="both"/>
        <w:rPr>
          <w:b/>
          <w:snapToGrid w:val="0"/>
          <w:sz w:val="28"/>
          <w:szCs w:val="28"/>
        </w:rPr>
      </w:pPr>
    </w:p>
    <w:p w:rsidR="001A1D76" w:rsidRPr="00DA1726" w:rsidRDefault="001A1D76" w:rsidP="00DA1726">
      <w:pPr>
        <w:numPr>
          <w:ilvl w:val="1"/>
          <w:numId w:val="26"/>
        </w:numPr>
        <w:tabs>
          <w:tab w:val="left" w:pos="426"/>
        </w:tabs>
        <w:ind w:left="0" w:firstLine="0"/>
        <w:jc w:val="both"/>
        <w:rPr>
          <w:b/>
          <w:snapToGrid w:val="0"/>
          <w:sz w:val="28"/>
          <w:szCs w:val="28"/>
        </w:rPr>
      </w:pPr>
      <w:r w:rsidRPr="00DA1726">
        <w:rPr>
          <w:b/>
          <w:snapToGrid w:val="0"/>
          <w:sz w:val="28"/>
          <w:szCs w:val="28"/>
        </w:rPr>
        <w:t xml:space="preserve"> </w:t>
      </w:r>
      <w:r w:rsidRPr="00DA1726">
        <w:rPr>
          <w:snapToGrid w:val="0"/>
          <w:sz w:val="28"/>
          <w:szCs w:val="28"/>
        </w:rPr>
        <w:t xml:space="preserve">Este Tribunal resalta que en caso de que las autoridades obligadas persistan en un </w:t>
      </w:r>
      <w:r w:rsidRPr="00DA1726">
        <w:rPr>
          <w:i/>
          <w:snapToGrid w:val="0"/>
          <w:sz w:val="28"/>
          <w:szCs w:val="28"/>
        </w:rPr>
        <w:t>incumplimiento general o en los niveles de acatamiento bajo y medio</w:t>
      </w:r>
      <w:r w:rsidRPr="00DA1726">
        <w:rPr>
          <w:snapToGrid w:val="0"/>
          <w:sz w:val="28"/>
          <w:szCs w:val="28"/>
        </w:rPr>
        <w:t>, la Corte hará uso de las diferentes herramientas de origen constitucional y/o legal para hacer efectivas sus órdenes, en aras de evitar la secuencia de incumplimientos y conseguir avances progresivos y significativos en el goce efectivo del derecho por la población colombiana. En tal contexto, la Sala podrá valerse de un control y seguimiento más riguroso para alcanzar los objetivos constitucionales, como adoptar medidas restaurativas, de reemplazo, sancionatorias o cualquier otra que estime pertinente.</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 xml:space="preserve">Aunado a lo anterior, se destaca el rol que debe cumplir la Procuraduría General de Nación en la vigilancia de la Sentencia T-760 de 2008, de tal forma que en uso de sus competencias constitucionales y legales, ante la declaratoria de los </w:t>
      </w:r>
      <w:r w:rsidRPr="00DA1726">
        <w:rPr>
          <w:i/>
          <w:snapToGrid w:val="0"/>
          <w:sz w:val="28"/>
          <w:szCs w:val="28"/>
        </w:rPr>
        <w:t>niveles de cumplimiento bajo y medio</w:t>
      </w:r>
      <w:r w:rsidRPr="00DA1726">
        <w:rPr>
          <w:snapToGrid w:val="0"/>
          <w:sz w:val="28"/>
          <w:szCs w:val="28"/>
        </w:rPr>
        <w:t>, deberá realizar un acompañamiento con enfoque preventivo</w:t>
      </w:r>
      <w:r w:rsidRPr="00DA1726">
        <w:rPr>
          <w:snapToGrid w:val="0"/>
          <w:sz w:val="28"/>
          <w:szCs w:val="28"/>
          <w:vertAlign w:val="superscript"/>
        </w:rPr>
        <w:footnoteReference w:id="109"/>
      </w:r>
      <w:r w:rsidRPr="00DA1726">
        <w:rPr>
          <w:snapToGrid w:val="0"/>
          <w:sz w:val="28"/>
          <w:szCs w:val="28"/>
        </w:rPr>
        <w:t xml:space="preserve"> a las entidades concernidas en la ejecución de las determinaciones adoptadas por esta Corporación. Su intervención debe ser oportuna y activa para el logro de los fines sociales y esenciales del Estado. </w:t>
      </w:r>
    </w:p>
    <w:p w:rsidR="001A1D76" w:rsidRPr="00DA1726" w:rsidRDefault="001A1D76" w:rsidP="00DA1726">
      <w:pPr>
        <w:jc w:val="both"/>
        <w:rPr>
          <w:snapToGrid w:val="0"/>
          <w:sz w:val="28"/>
          <w:szCs w:val="28"/>
        </w:rPr>
      </w:pPr>
    </w:p>
    <w:p w:rsidR="001A1D76" w:rsidRPr="00DA1726" w:rsidRDefault="001A1D76" w:rsidP="00DA1726">
      <w:pPr>
        <w:jc w:val="both"/>
        <w:rPr>
          <w:snapToGrid w:val="0"/>
          <w:sz w:val="28"/>
          <w:szCs w:val="28"/>
        </w:rPr>
      </w:pPr>
      <w:r w:rsidRPr="00DA1726">
        <w:rPr>
          <w:snapToGrid w:val="0"/>
          <w:sz w:val="28"/>
          <w:szCs w:val="28"/>
        </w:rPr>
        <w:t>Igualmente, deberá ejercer la facultad disciplinaria</w:t>
      </w:r>
      <w:r w:rsidRPr="00DA1726">
        <w:rPr>
          <w:snapToGrid w:val="0"/>
          <w:sz w:val="28"/>
          <w:szCs w:val="28"/>
          <w:vertAlign w:val="superscript"/>
        </w:rPr>
        <w:footnoteReference w:id="110"/>
      </w:r>
      <w:r w:rsidRPr="00DA1726">
        <w:rPr>
          <w:snapToGrid w:val="0"/>
          <w:sz w:val="28"/>
          <w:szCs w:val="28"/>
        </w:rPr>
        <w:t xml:space="preserve"> para investigar y sancionar las conductas omisivas que hayan dado origen a dicha declaración. Todo lo anterior, sin perjuicio de las decisiones que continúe profiriendo la Sala Especial mientras se mantenga el trámite de supervisión.</w:t>
      </w:r>
    </w:p>
    <w:p w:rsidR="001A1D76" w:rsidRPr="00DA1726" w:rsidRDefault="001A1D76" w:rsidP="00DA1726">
      <w:pPr>
        <w:jc w:val="both"/>
        <w:rPr>
          <w:snapToGrid w:val="0"/>
          <w:sz w:val="28"/>
          <w:szCs w:val="28"/>
        </w:rPr>
      </w:pPr>
    </w:p>
    <w:p w:rsidR="001A1D76" w:rsidRPr="00DA1726" w:rsidRDefault="00B45A55" w:rsidP="00DA1726">
      <w:pPr>
        <w:pStyle w:val="Prrafodelista"/>
        <w:numPr>
          <w:ilvl w:val="0"/>
          <w:numId w:val="26"/>
        </w:numPr>
        <w:tabs>
          <w:tab w:val="left" w:pos="0"/>
          <w:tab w:val="left" w:pos="284"/>
        </w:tabs>
        <w:autoSpaceDN w:val="0"/>
        <w:ind w:left="0" w:firstLine="0"/>
        <w:jc w:val="both"/>
        <w:rPr>
          <w:b/>
          <w:sz w:val="28"/>
          <w:szCs w:val="28"/>
        </w:rPr>
      </w:pPr>
      <w:r w:rsidRPr="00DA1726">
        <w:rPr>
          <w:b/>
          <w:snapToGrid w:val="0"/>
          <w:sz w:val="28"/>
          <w:szCs w:val="28"/>
        </w:rPr>
        <w:t xml:space="preserve">Alcance, contenido y evolución jurisprudencial de la orden vigésima de la sentencia T-760 de 2008, sobre la clasificación de </w:t>
      </w:r>
      <w:r w:rsidR="00176A8A" w:rsidRPr="00DA1726">
        <w:rPr>
          <w:b/>
          <w:snapToGrid w:val="0"/>
          <w:sz w:val="28"/>
          <w:szCs w:val="28"/>
        </w:rPr>
        <w:t>entidade</w:t>
      </w:r>
      <w:r w:rsidRPr="00DA1726">
        <w:rPr>
          <w:b/>
          <w:snapToGrid w:val="0"/>
          <w:sz w:val="28"/>
          <w:szCs w:val="28"/>
        </w:rPr>
        <w:t>s promotoras de salud y las instituciones prestadoras de salud y su incidencia en la libre escogencia de los usuarios del SGSSS</w:t>
      </w:r>
      <w:r w:rsidR="001A1D76" w:rsidRPr="00DA1726">
        <w:rPr>
          <w:b/>
          <w:sz w:val="28"/>
          <w:szCs w:val="28"/>
        </w:rPr>
        <w:t xml:space="preserve">. </w:t>
      </w:r>
    </w:p>
    <w:p w:rsidR="00A24DD6" w:rsidRPr="00DA1726" w:rsidRDefault="00A24DD6" w:rsidP="00DA1726">
      <w:pPr>
        <w:jc w:val="both"/>
        <w:rPr>
          <w:sz w:val="28"/>
          <w:szCs w:val="28"/>
        </w:rPr>
      </w:pPr>
    </w:p>
    <w:p w:rsidR="00EC078D" w:rsidRPr="00DA1726" w:rsidRDefault="00AB54A6" w:rsidP="00DA1726">
      <w:pPr>
        <w:jc w:val="both"/>
        <w:rPr>
          <w:sz w:val="28"/>
          <w:szCs w:val="28"/>
        </w:rPr>
      </w:pPr>
      <w:r w:rsidRPr="00DA1726">
        <w:rPr>
          <w:sz w:val="28"/>
          <w:szCs w:val="28"/>
        </w:rPr>
        <w:t>La sentencia estructural</w:t>
      </w:r>
      <w:r w:rsidR="00EC078D" w:rsidRPr="00DA1726">
        <w:rPr>
          <w:sz w:val="28"/>
          <w:szCs w:val="28"/>
        </w:rPr>
        <w:t xml:space="preserve"> llamó la atención sobre diferentes aspectos relacionados con el funcionamiento del sistema general de seguridad social en salud, lo que llevó a dictar una serie de órdenes estructurales para su corrección.</w:t>
      </w:r>
    </w:p>
    <w:p w:rsidR="00EC078D" w:rsidRPr="00DA1726" w:rsidRDefault="00EC078D" w:rsidP="00DA1726">
      <w:pPr>
        <w:jc w:val="both"/>
        <w:rPr>
          <w:sz w:val="28"/>
          <w:szCs w:val="28"/>
        </w:rPr>
      </w:pPr>
    </w:p>
    <w:p w:rsidR="001A319A" w:rsidRPr="00DA1726" w:rsidRDefault="00EC078D" w:rsidP="00DA1726">
      <w:pPr>
        <w:jc w:val="both"/>
        <w:rPr>
          <w:sz w:val="28"/>
          <w:szCs w:val="28"/>
        </w:rPr>
      </w:pPr>
      <w:r w:rsidRPr="00DA1726">
        <w:rPr>
          <w:sz w:val="28"/>
          <w:szCs w:val="28"/>
        </w:rPr>
        <w:t xml:space="preserve">Esta providencia tuvo su fundamento en distintas normas constitucionales, específicamente se hizo alusión a lo dispuesto en el </w:t>
      </w:r>
      <w:r w:rsidR="001A319A" w:rsidRPr="00DA1726">
        <w:rPr>
          <w:sz w:val="28"/>
          <w:szCs w:val="28"/>
        </w:rPr>
        <w:t xml:space="preserve">artículo 48 </w:t>
      </w:r>
      <w:r w:rsidR="004725E7" w:rsidRPr="00DA1726">
        <w:rPr>
          <w:sz w:val="28"/>
          <w:szCs w:val="28"/>
        </w:rPr>
        <w:t>que</w:t>
      </w:r>
      <w:r w:rsidRPr="00DA1726">
        <w:rPr>
          <w:sz w:val="28"/>
          <w:szCs w:val="28"/>
        </w:rPr>
        <w:t xml:space="preserve"> se establece que</w:t>
      </w:r>
      <w:r w:rsidR="00AB54A6" w:rsidRPr="00DA1726">
        <w:rPr>
          <w:sz w:val="28"/>
          <w:szCs w:val="28"/>
        </w:rPr>
        <w:t xml:space="preserve"> </w:t>
      </w:r>
      <w:r w:rsidR="001A319A" w:rsidRPr="00DA1726">
        <w:rPr>
          <w:sz w:val="28"/>
          <w:szCs w:val="28"/>
        </w:rPr>
        <w:t xml:space="preserve">la seguridad social </w:t>
      </w:r>
      <w:r w:rsidRPr="00DA1726">
        <w:rPr>
          <w:sz w:val="28"/>
          <w:szCs w:val="28"/>
        </w:rPr>
        <w:t>es</w:t>
      </w:r>
      <w:r w:rsidR="00AB54A6" w:rsidRPr="00DA1726">
        <w:rPr>
          <w:sz w:val="28"/>
          <w:szCs w:val="28"/>
        </w:rPr>
        <w:t xml:space="preserve"> </w:t>
      </w:r>
      <w:r w:rsidR="001A319A" w:rsidRPr="00DA1726">
        <w:rPr>
          <w:sz w:val="28"/>
          <w:szCs w:val="28"/>
        </w:rPr>
        <w:t>un servicio público de carácter obligatorio e irrenunciable que se presta a través del Estado</w:t>
      </w:r>
      <w:r w:rsidR="00C1323C" w:rsidRPr="00DA1726">
        <w:rPr>
          <w:sz w:val="28"/>
          <w:szCs w:val="28"/>
        </w:rPr>
        <w:t xml:space="preserve">, que debe </w:t>
      </w:r>
      <w:r w:rsidR="00C1323C" w:rsidRPr="00DA1726">
        <w:rPr>
          <w:sz w:val="28"/>
          <w:szCs w:val="28"/>
          <w:lang w:val="es-ES"/>
        </w:rPr>
        <w:t>prestarse con atención a los principios de oportunidad, eficiencia, calidad, integralidad y continuidad, entre otros</w:t>
      </w:r>
      <w:r w:rsidR="001A319A" w:rsidRPr="00DA1726">
        <w:rPr>
          <w:sz w:val="28"/>
          <w:szCs w:val="28"/>
        </w:rPr>
        <w:t>.</w:t>
      </w:r>
    </w:p>
    <w:p w:rsidR="001A319A" w:rsidRPr="00DA1726" w:rsidRDefault="001A319A" w:rsidP="00DA1726">
      <w:pPr>
        <w:jc w:val="both"/>
        <w:rPr>
          <w:sz w:val="28"/>
          <w:szCs w:val="28"/>
        </w:rPr>
      </w:pPr>
    </w:p>
    <w:p w:rsidR="009B4BAC" w:rsidRPr="00DA1726" w:rsidRDefault="00B277B6" w:rsidP="00DA1726">
      <w:pPr>
        <w:jc w:val="both"/>
        <w:rPr>
          <w:sz w:val="28"/>
          <w:szCs w:val="28"/>
        </w:rPr>
      </w:pPr>
      <w:r w:rsidRPr="00DA1726">
        <w:rPr>
          <w:sz w:val="28"/>
          <w:szCs w:val="28"/>
        </w:rPr>
        <w:t xml:space="preserve">A su vez, se </w:t>
      </w:r>
      <w:r w:rsidR="004725E7" w:rsidRPr="00DA1726">
        <w:rPr>
          <w:sz w:val="28"/>
          <w:szCs w:val="28"/>
        </w:rPr>
        <w:t xml:space="preserve">hizo alusión a </w:t>
      </w:r>
      <w:r w:rsidRPr="00DA1726">
        <w:rPr>
          <w:sz w:val="28"/>
          <w:szCs w:val="28"/>
        </w:rPr>
        <w:t>lo dispuesto en e</w:t>
      </w:r>
      <w:r w:rsidR="00DA524C" w:rsidRPr="00DA1726">
        <w:rPr>
          <w:sz w:val="28"/>
          <w:szCs w:val="28"/>
        </w:rPr>
        <w:t xml:space="preserve">l artículo 49 de la Carta </w:t>
      </w:r>
      <w:r w:rsidRPr="00DA1726">
        <w:rPr>
          <w:sz w:val="28"/>
          <w:szCs w:val="28"/>
        </w:rPr>
        <w:t xml:space="preserve">que </w:t>
      </w:r>
      <w:r w:rsidR="00DA524C" w:rsidRPr="00DA1726">
        <w:rPr>
          <w:sz w:val="28"/>
          <w:szCs w:val="28"/>
        </w:rPr>
        <w:t>señala que la atención de la salud es un servicio público a cargo del Estad</w:t>
      </w:r>
      <w:r w:rsidR="009B4BAC" w:rsidRPr="00DA1726">
        <w:rPr>
          <w:sz w:val="28"/>
          <w:szCs w:val="28"/>
        </w:rPr>
        <w:t xml:space="preserve">o con las siguientes obligaciones: (i) </w:t>
      </w:r>
      <w:r w:rsidR="009B4BAC" w:rsidRPr="00DA1726">
        <w:rPr>
          <w:i/>
          <w:iCs/>
          <w:sz w:val="28"/>
          <w:szCs w:val="28"/>
        </w:rPr>
        <w:t>organizar</w:t>
      </w:r>
      <w:r w:rsidR="009B4BAC" w:rsidRPr="00DA1726">
        <w:rPr>
          <w:sz w:val="28"/>
          <w:szCs w:val="28"/>
        </w:rPr>
        <w:t xml:space="preserve">, (ii) </w:t>
      </w:r>
      <w:r w:rsidR="009B4BAC" w:rsidRPr="00DA1726">
        <w:rPr>
          <w:i/>
          <w:iCs/>
          <w:sz w:val="28"/>
          <w:szCs w:val="28"/>
        </w:rPr>
        <w:t>dirigir</w:t>
      </w:r>
      <w:r w:rsidR="009B4BAC" w:rsidRPr="00DA1726">
        <w:rPr>
          <w:sz w:val="28"/>
          <w:szCs w:val="28"/>
        </w:rPr>
        <w:t xml:space="preserve"> y (iii) </w:t>
      </w:r>
      <w:r w:rsidR="009B4BAC" w:rsidRPr="00DA1726">
        <w:rPr>
          <w:i/>
          <w:iCs/>
          <w:sz w:val="28"/>
          <w:szCs w:val="28"/>
        </w:rPr>
        <w:t>regular</w:t>
      </w:r>
      <w:r w:rsidR="009B4BAC" w:rsidRPr="00DA1726">
        <w:rPr>
          <w:sz w:val="28"/>
          <w:szCs w:val="28"/>
        </w:rPr>
        <w:t xml:space="preserve"> la prestación de los servicios de salud; (iv) establecer las políticas para la prestación de los servicios por parte de entidades privadas, y ejercer (v) su </w:t>
      </w:r>
      <w:r w:rsidR="009B4BAC" w:rsidRPr="00DA1726">
        <w:rPr>
          <w:i/>
          <w:iCs/>
          <w:sz w:val="28"/>
          <w:szCs w:val="28"/>
        </w:rPr>
        <w:t>vigilancia</w:t>
      </w:r>
      <w:r w:rsidR="009B4BAC" w:rsidRPr="00DA1726">
        <w:rPr>
          <w:sz w:val="28"/>
          <w:szCs w:val="28"/>
        </w:rPr>
        <w:t xml:space="preserve"> y (vi) </w:t>
      </w:r>
      <w:r w:rsidR="009B4BAC" w:rsidRPr="00DA1726">
        <w:rPr>
          <w:i/>
          <w:iCs/>
          <w:sz w:val="28"/>
          <w:szCs w:val="28"/>
        </w:rPr>
        <w:t>control</w:t>
      </w:r>
      <w:r w:rsidR="009B4BAC" w:rsidRPr="00DA1726">
        <w:rPr>
          <w:sz w:val="28"/>
          <w:szCs w:val="28"/>
        </w:rPr>
        <w:t>; (viii) establecer las competencias de la Nación, las entidades territoriales y los particulares, y (ix) determinar los aportes a su cargo en los términos y condiciones señalados en la ley. Entonces es responsable de establecer el Sistema; definir qué entidades y personas lo pueden integrar y qué labores puede desempeñar cada uno; cómo pueden los particulares participar en la prestación de los servicios y en qué términos; así como también, establecer quiénes aportan al Sistema y en qué cantidades, esto es, definir el flujo de recursos del Sistema</w:t>
      </w:r>
      <w:r w:rsidR="009B4BAC" w:rsidRPr="00DA1726">
        <w:rPr>
          <w:sz w:val="28"/>
          <w:szCs w:val="28"/>
          <w:vertAlign w:val="superscript"/>
        </w:rPr>
        <w:footnoteReference w:id="111"/>
      </w:r>
      <w:r w:rsidR="009B4BAC" w:rsidRPr="00DA1726">
        <w:rPr>
          <w:sz w:val="28"/>
          <w:szCs w:val="28"/>
        </w:rPr>
        <w:t xml:space="preserve">. </w:t>
      </w:r>
    </w:p>
    <w:p w:rsidR="00C1323C" w:rsidRPr="00DA1726" w:rsidRDefault="00C1323C" w:rsidP="00DA1726">
      <w:pPr>
        <w:tabs>
          <w:tab w:val="left" w:pos="1843"/>
          <w:tab w:val="left" w:pos="3544"/>
        </w:tabs>
        <w:jc w:val="both"/>
        <w:rPr>
          <w:i/>
          <w:sz w:val="28"/>
          <w:szCs w:val="28"/>
        </w:rPr>
      </w:pPr>
    </w:p>
    <w:p w:rsidR="001A319A" w:rsidRPr="00DA1726" w:rsidRDefault="00B417A3" w:rsidP="00DA1726">
      <w:pPr>
        <w:tabs>
          <w:tab w:val="left" w:pos="1843"/>
          <w:tab w:val="left" w:pos="3544"/>
        </w:tabs>
        <w:jc w:val="both"/>
        <w:rPr>
          <w:sz w:val="28"/>
          <w:szCs w:val="28"/>
          <w:lang w:val="es-ES"/>
        </w:rPr>
      </w:pPr>
      <w:r w:rsidRPr="00DA1726">
        <w:rPr>
          <w:sz w:val="28"/>
          <w:szCs w:val="28"/>
          <w:lang w:val="es-ES"/>
        </w:rPr>
        <w:t>En desarrollo de estos postulados,</w:t>
      </w:r>
      <w:r w:rsidR="00C1323C" w:rsidRPr="00DA1726">
        <w:rPr>
          <w:sz w:val="28"/>
          <w:szCs w:val="28"/>
          <w:lang w:val="es-ES"/>
        </w:rPr>
        <w:t xml:space="preserve"> se </w:t>
      </w:r>
      <w:r w:rsidR="004725E7" w:rsidRPr="00DA1726">
        <w:rPr>
          <w:sz w:val="28"/>
          <w:szCs w:val="28"/>
          <w:lang w:val="es-ES"/>
        </w:rPr>
        <w:t>insistió en</w:t>
      </w:r>
      <w:r w:rsidR="00C1323C" w:rsidRPr="00DA1726">
        <w:rPr>
          <w:sz w:val="28"/>
          <w:szCs w:val="28"/>
          <w:lang w:val="es-ES"/>
        </w:rPr>
        <w:t xml:space="preserve"> que</w:t>
      </w:r>
      <w:r w:rsidR="00DA5C8E" w:rsidRPr="00DA1726">
        <w:rPr>
          <w:sz w:val="28"/>
          <w:szCs w:val="28"/>
          <w:lang w:val="es-ES"/>
        </w:rPr>
        <w:t xml:space="preserve"> </w:t>
      </w:r>
      <w:r w:rsidRPr="00DA1726">
        <w:rPr>
          <w:sz w:val="28"/>
          <w:szCs w:val="28"/>
          <w:lang w:val="es-ES"/>
        </w:rPr>
        <w:t>la Ley 100 de 1993</w:t>
      </w:r>
      <w:r w:rsidRPr="00DA1726">
        <w:rPr>
          <w:sz w:val="28"/>
          <w:szCs w:val="28"/>
          <w:vertAlign w:val="superscript"/>
          <w:lang w:val="es-ES"/>
        </w:rPr>
        <w:footnoteReference w:id="112"/>
      </w:r>
      <w:r w:rsidRPr="00DA1726">
        <w:rPr>
          <w:sz w:val="28"/>
          <w:szCs w:val="28"/>
          <w:lang w:val="es-ES"/>
        </w:rPr>
        <w:t xml:space="preserve"> </w:t>
      </w:r>
      <w:r w:rsidR="004725E7" w:rsidRPr="00DA1726">
        <w:rPr>
          <w:sz w:val="28"/>
          <w:szCs w:val="28"/>
          <w:lang w:val="es-ES"/>
        </w:rPr>
        <w:t>establece</w:t>
      </w:r>
      <w:r w:rsidR="00DA5C8E" w:rsidRPr="00DA1726">
        <w:rPr>
          <w:sz w:val="28"/>
          <w:szCs w:val="28"/>
          <w:lang w:val="es-ES"/>
        </w:rPr>
        <w:t xml:space="preserve"> </w:t>
      </w:r>
      <w:r w:rsidR="001A319A" w:rsidRPr="00DA1726">
        <w:rPr>
          <w:sz w:val="28"/>
          <w:szCs w:val="28"/>
          <w:lang w:val="es-ES"/>
        </w:rPr>
        <w:t>que la prestación del servicio de salud se encuentra a cargo de las Entidades Prestadoras de Salud, quienes, a su vez, delegan la atención de los pacientes a las Instituciones</w:t>
      </w:r>
      <w:r w:rsidR="00DA5C8E" w:rsidRPr="00DA1726">
        <w:rPr>
          <w:sz w:val="28"/>
          <w:szCs w:val="28"/>
          <w:lang w:val="es-ES"/>
        </w:rPr>
        <w:t xml:space="preserve"> Prestadoras de Salud. En concreto la norma señala</w:t>
      </w:r>
      <w:r w:rsidR="001A319A" w:rsidRPr="00DA1726">
        <w:rPr>
          <w:sz w:val="28"/>
          <w:szCs w:val="28"/>
          <w:lang w:val="es-ES"/>
        </w:rPr>
        <w:t>:</w:t>
      </w:r>
    </w:p>
    <w:p w:rsidR="001A319A" w:rsidRPr="00DA1726" w:rsidRDefault="001A319A" w:rsidP="00DA1726">
      <w:pPr>
        <w:tabs>
          <w:tab w:val="left" w:pos="1843"/>
          <w:tab w:val="left" w:pos="3544"/>
        </w:tabs>
        <w:jc w:val="both"/>
        <w:rPr>
          <w:sz w:val="28"/>
          <w:szCs w:val="28"/>
          <w:lang w:val="es-ES"/>
        </w:rPr>
      </w:pPr>
    </w:p>
    <w:p w:rsidR="001A319A" w:rsidRPr="00DA1726" w:rsidRDefault="002912F4" w:rsidP="00DA1726">
      <w:pPr>
        <w:tabs>
          <w:tab w:val="left" w:pos="1843"/>
          <w:tab w:val="left" w:pos="3544"/>
        </w:tabs>
        <w:ind w:left="426" w:right="51"/>
        <w:jc w:val="both"/>
        <w:rPr>
          <w:sz w:val="28"/>
          <w:szCs w:val="28"/>
          <w:lang w:val="es-ES"/>
        </w:rPr>
      </w:pPr>
      <w:r w:rsidRPr="00DA1726">
        <w:rPr>
          <w:i/>
          <w:sz w:val="28"/>
          <w:szCs w:val="28"/>
        </w:rPr>
        <w:t>“</w:t>
      </w:r>
      <w:r w:rsidR="001A319A" w:rsidRPr="00DA1726">
        <w:rPr>
          <w:i/>
          <w:sz w:val="28"/>
          <w:szCs w:val="28"/>
        </w:rPr>
        <w:t>Las Entidades Promotoras de Salud tendrán a cargo la afiliación de los usuarios y la administración de la prestación de los servicios de las Instituciones Prestadoras. Ellas están en la obligación de suministrar, dentro de los límites establecidos en el numeral 5 del artículo 180, a cualquier persona que desee afiliarse y pague la cotización o tenga el subsidio correspondiente, el Plan Obligatorio de Salud, en los térmi</w:t>
      </w:r>
      <w:r w:rsidRPr="00DA1726">
        <w:rPr>
          <w:i/>
          <w:sz w:val="28"/>
          <w:szCs w:val="28"/>
        </w:rPr>
        <w:t>nos que reglamente el gobierno</w:t>
      </w:r>
      <w:r w:rsidR="00DA524C" w:rsidRPr="00DA1726">
        <w:rPr>
          <w:i/>
          <w:sz w:val="28"/>
          <w:szCs w:val="28"/>
        </w:rPr>
        <w:t>.</w:t>
      </w:r>
      <w:r w:rsidRPr="00DA1726">
        <w:rPr>
          <w:i/>
          <w:sz w:val="28"/>
          <w:szCs w:val="28"/>
        </w:rPr>
        <w:t>”</w:t>
      </w:r>
      <w:r w:rsidR="001A319A" w:rsidRPr="00DA1726">
        <w:rPr>
          <w:sz w:val="28"/>
          <w:szCs w:val="28"/>
          <w:vertAlign w:val="superscript"/>
        </w:rPr>
        <w:footnoteReference w:id="113"/>
      </w:r>
    </w:p>
    <w:p w:rsidR="001A319A" w:rsidRPr="00DA1726" w:rsidRDefault="001A319A" w:rsidP="00DA1726">
      <w:pPr>
        <w:tabs>
          <w:tab w:val="left" w:pos="1843"/>
          <w:tab w:val="left" w:pos="3544"/>
        </w:tabs>
        <w:jc w:val="both"/>
        <w:rPr>
          <w:i/>
          <w:sz w:val="28"/>
          <w:szCs w:val="28"/>
          <w:lang w:val="es-ES"/>
        </w:rPr>
      </w:pPr>
    </w:p>
    <w:p w:rsidR="001A319A" w:rsidRPr="00DA1726" w:rsidRDefault="00C1323C" w:rsidP="00DA1726">
      <w:pPr>
        <w:tabs>
          <w:tab w:val="left" w:pos="1843"/>
          <w:tab w:val="left" w:pos="3544"/>
        </w:tabs>
        <w:jc w:val="both"/>
        <w:rPr>
          <w:sz w:val="28"/>
          <w:szCs w:val="28"/>
          <w:lang w:val="es-ES"/>
        </w:rPr>
      </w:pPr>
      <w:r w:rsidRPr="00DA1726">
        <w:rPr>
          <w:sz w:val="28"/>
          <w:szCs w:val="28"/>
          <w:lang w:val="es-ES"/>
        </w:rPr>
        <w:t>En consecuencia, e</w:t>
      </w:r>
      <w:r w:rsidR="001A319A" w:rsidRPr="00DA1726">
        <w:rPr>
          <w:sz w:val="28"/>
          <w:szCs w:val="28"/>
          <w:lang w:val="es-ES"/>
        </w:rPr>
        <w:t>stos establecimientos son los directamente responsables de la ejecución del derecho</w:t>
      </w:r>
      <w:r w:rsidR="00DA5C8E" w:rsidRPr="00DA1726">
        <w:rPr>
          <w:sz w:val="28"/>
          <w:szCs w:val="28"/>
          <w:lang w:val="es-ES"/>
        </w:rPr>
        <w:t xml:space="preserve"> fundamental a la salud, además</w:t>
      </w:r>
      <w:r w:rsidR="001A319A" w:rsidRPr="00DA1726">
        <w:rPr>
          <w:sz w:val="28"/>
          <w:szCs w:val="28"/>
          <w:lang w:val="es-ES"/>
        </w:rPr>
        <w:t xml:space="preserve"> son quienes suministran los beneficios del plan obligatorio de salud. </w:t>
      </w:r>
    </w:p>
    <w:p w:rsidR="001A319A" w:rsidRPr="00DA1726" w:rsidRDefault="001A319A" w:rsidP="00DA1726">
      <w:pPr>
        <w:tabs>
          <w:tab w:val="left" w:pos="1843"/>
          <w:tab w:val="left" w:pos="3544"/>
        </w:tabs>
        <w:jc w:val="both"/>
        <w:rPr>
          <w:sz w:val="28"/>
          <w:szCs w:val="28"/>
          <w:lang w:val="es-ES"/>
        </w:rPr>
      </w:pPr>
    </w:p>
    <w:p w:rsidR="00156334" w:rsidRPr="00DA1726" w:rsidRDefault="008E361E" w:rsidP="00DA1726">
      <w:pPr>
        <w:tabs>
          <w:tab w:val="left" w:pos="1843"/>
          <w:tab w:val="left" w:pos="3544"/>
        </w:tabs>
        <w:jc w:val="both"/>
        <w:rPr>
          <w:sz w:val="28"/>
          <w:szCs w:val="28"/>
        </w:rPr>
      </w:pPr>
      <w:r w:rsidRPr="00DA1726">
        <w:rPr>
          <w:sz w:val="28"/>
          <w:szCs w:val="28"/>
          <w:lang w:val="es-ES"/>
        </w:rPr>
        <w:t>Por su parte</w:t>
      </w:r>
      <w:r w:rsidR="004725E7" w:rsidRPr="00DA1726">
        <w:rPr>
          <w:sz w:val="28"/>
          <w:szCs w:val="28"/>
          <w:lang w:val="es-ES"/>
        </w:rPr>
        <w:t>,</w:t>
      </w:r>
      <w:r w:rsidRPr="00DA1726">
        <w:rPr>
          <w:sz w:val="28"/>
          <w:szCs w:val="28"/>
          <w:lang w:val="es-ES"/>
        </w:rPr>
        <w:t xml:space="preserve"> el </w:t>
      </w:r>
      <w:r w:rsidR="009B4BAC" w:rsidRPr="00DA1726">
        <w:rPr>
          <w:sz w:val="28"/>
          <w:szCs w:val="28"/>
          <w:lang w:val="es-ES"/>
        </w:rPr>
        <w:t xml:space="preserve">artículo 153 de la Ley 100 de 1993 establece que, los usuarios del servicio de salud tienen derecho a escoger la EPS a la que se quieren afiliar y, una vez decidido ello, podrán elegir cuál de las IPS ofrecidas desea que le preste atención médica. </w:t>
      </w:r>
      <w:r w:rsidRPr="00DA1726">
        <w:rPr>
          <w:sz w:val="28"/>
          <w:szCs w:val="28"/>
          <w:lang w:val="es-ES"/>
        </w:rPr>
        <w:t xml:space="preserve">El principio de la </w:t>
      </w:r>
      <w:r w:rsidRPr="00DA1726">
        <w:rPr>
          <w:i/>
          <w:sz w:val="28"/>
          <w:szCs w:val="28"/>
          <w:lang w:val="es-ES"/>
        </w:rPr>
        <w:t>libre escogencia</w:t>
      </w:r>
      <w:r w:rsidRPr="00DA1726">
        <w:rPr>
          <w:sz w:val="28"/>
          <w:szCs w:val="28"/>
          <w:lang w:val="es-ES"/>
        </w:rPr>
        <w:t xml:space="preserve"> se edifica a partir de </w:t>
      </w:r>
      <w:r w:rsidR="00407E3C" w:rsidRPr="00DA1726">
        <w:rPr>
          <w:sz w:val="28"/>
          <w:szCs w:val="28"/>
          <w:lang w:val="es-ES"/>
        </w:rPr>
        <w:t xml:space="preserve">la participación que se otorga a </w:t>
      </w:r>
      <w:r w:rsidR="00407E3C" w:rsidRPr="00DA1726">
        <w:rPr>
          <w:i/>
          <w:sz w:val="28"/>
          <w:szCs w:val="28"/>
          <w:lang w:val="es-ES"/>
        </w:rPr>
        <w:t>“</w:t>
      </w:r>
      <w:r w:rsidR="00156334" w:rsidRPr="00DA1726">
        <w:rPr>
          <w:i/>
          <w:iCs/>
          <w:sz w:val="28"/>
          <w:szCs w:val="28"/>
        </w:rPr>
        <w:t>diferentes entidades que ofrezcan la administración y la prestación de los servicios de salud, bajo las regulaciones y vigilancia del Estado y asegurará a los usuarios libertad en la escogencia entre las Entidades Promotoras de Salud y las Instituciones Prestadoras de Servicios de Salud, cuando ello sea posible según las condiciones de oferta de servicios</w:t>
      </w:r>
      <w:r w:rsidR="00407E3C" w:rsidRPr="00DA1726">
        <w:rPr>
          <w:i/>
          <w:sz w:val="28"/>
          <w:szCs w:val="28"/>
        </w:rPr>
        <w:t>”</w:t>
      </w:r>
      <w:r w:rsidR="00156334" w:rsidRPr="00DA1726">
        <w:rPr>
          <w:sz w:val="28"/>
          <w:szCs w:val="28"/>
        </w:rPr>
        <w:t xml:space="preserve">. </w:t>
      </w:r>
      <w:r w:rsidR="00407E3C" w:rsidRPr="00DA1726">
        <w:rPr>
          <w:sz w:val="28"/>
          <w:szCs w:val="28"/>
        </w:rPr>
        <w:t xml:space="preserve"> Este principio</w:t>
      </w:r>
      <w:r w:rsidR="00156334" w:rsidRPr="00DA1726">
        <w:rPr>
          <w:sz w:val="28"/>
          <w:szCs w:val="28"/>
        </w:rPr>
        <w:t xml:space="preserve"> permite a las personas desvincularse de aquellas entidades que no garantizan adecuadamente el goce efectivo de su derecho a la salud, a la vez que les permiten afiliarse a aquellas que demuestren que están prestando los servicios de salud con idoneidad, oportunidad y calidad</w:t>
      </w:r>
      <w:r w:rsidR="00407E3C" w:rsidRPr="00DA1726">
        <w:rPr>
          <w:sz w:val="28"/>
          <w:szCs w:val="28"/>
          <w:vertAlign w:val="superscript"/>
        </w:rPr>
        <w:footnoteReference w:id="114"/>
      </w:r>
      <w:r w:rsidR="00156334" w:rsidRPr="00DA1726">
        <w:rPr>
          <w:sz w:val="28"/>
          <w:szCs w:val="28"/>
        </w:rPr>
        <w:t>.</w:t>
      </w:r>
      <w:r w:rsidR="00407E3C" w:rsidRPr="00DA1726">
        <w:rPr>
          <w:sz w:val="28"/>
          <w:szCs w:val="28"/>
        </w:rPr>
        <w:t xml:space="preserve"> </w:t>
      </w:r>
    </w:p>
    <w:p w:rsidR="004725E7" w:rsidRPr="00DA1726" w:rsidRDefault="004725E7" w:rsidP="00DA1726">
      <w:pPr>
        <w:jc w:val="both"/>
        <w:rPr>
          <w:sz w:val="28"/>
          <w:szCs w:val="28"/>
        </w:rPr>
      </w:pPr>
    </w:p>
    <w:p w:rsidR="008B6D45" w:rsidRPr="00DA1726" w:rsidRDefault="00F33575" w:rsidP="00DA1726">
      <w:pPr>
        <w:jc w:val="both"/>
        <w:rPr>
          <w:sz w:val="28"/>
          <w:szCs w:val="28"/>
        </w:rPr>
      </w:pPr>
      <w:r w:rsidRPr="00DA1726">
        <w:rPr>
          <w:sz w:val="28"/>
          <w:szCs w:val="28"/>
        </w:rPr>
        <w:t>Entonces, l</w:t>
      </w:r>
      <w:r w:rsidR="008B6D45" w:rsidRPr="00DA1726">
        <w:rPr>
          <w:sz w:val="28"/>
          <w:szCs w:val="28"/>
        </w:rPr>
        <w:t xml:space="preserve">as entidades del Sistema de Salud tienen la obligación de brindar a las personas la información que sea necesaria para poder acceder a los servicios de salud que requieran, con libertad y autonomía, permitiendo que la persona elija la opción que le garantice en mayor medida su derecho. </w:t>
      </w:r>
      <w:r w:rsidRPr="00DA1726">
        <w:rPr>
          <w:sz w:val="28"/>
          <w:szCs w:val="28"/>
        </w:rPr>
        <w:t xml:space="preserve">Sobre este particular en la sentencia T-760 de 2008 estableció: </w:t>
      </w:r>
    </w:p>
    <w:p w:rsidR="008B6D45" w:rsidRPr="00DA1726" w:rsidRDefault="008B6D45" w:rsidP="00DA1726">
      <w:pPr>
        <w:jc w:val="both"/>
        <w:rPr>
          <w:sz w:val="28"/>
          <w:szCs w:val="28"/>
        </w:rPr>
      </w:pPr>
    </w:p>
    <w:p w:rsidR="008B6D45" w:rsidRPr="00DA1726" w:rsidRDefault="00F33575" w:rsidP="00DA1726">
      <w:pPr>
        <w:ind w:left="426"/>
        <w:jc w:val="both"/>
        <w:rPr>
          <w:i/>
          <w:sz w:val="28"/>
          <w:szCs w:val="28"/>
        </w:rPr>
      </w:pPr>
      <w:r w:rsidRPr="00DA1726">
        <w:rPr>
          <w:i/>
          <w:sz w:val="28"/>
          <w:szCs w:val="28"/>
        </w:rPr>
        <w:t>“</w:t>
      </w:r>
      <w:r w:rsidR="008B6D45" w:rsidRPr="00DA1726">
        <w:rPr>
          <w:i/>
          <w:sz w:val="28"/>
          <w:szCs w:val="28"/>
        </w:rPr>
        <w:t>4.3.3. La información que deben dar a las personas los diferentes actores dentro del sistema de salud (los empleadores, la Superintendencia de Salud, las Entidades Promotoras de Salud, EPS, las Instituciones Prestadoras de Salud, IPS, y las entidades territoriales responsables), debe ser entregada antes del momento de la afiliación. En efecto, para que una persona pueda ejercer su libertad de afiliación (art. 153, Ley 100 de 1993), ha de contar con los datos suficientes que le permitan conocer (i) cuáles son las opciones de afiliación con las que cuenta, y (ii) el desempeño de cada una de estas instituciones, en función del respeto al goce efectivo del derecho a la salud. Legalmente corresponde al Ministerio del sector, producir información que se fije especialmente en el acceso a los servicios de salud en condiciones de oportunidad, calidad y eficiencia; información orientada a la evaluación y corrección de la prestación de los servicios de salud a los usuarios.</w:t>
      </w:r>
      <w:r w:rsidR="008B6D45" w:rsidRPr="00DA1726">
        <w:rPr>
          <w:i/>
          <w:sz w:val="28"/>
          <w:szCs w:val="28"/>
          <w:vertAlign w:val="superscript"/>
        </w:rPr>
        <w:footnoteReference w:id="115"/>
      </w:r>
      <w:r w:rsidRPr="00DA1726">
        <w:rPr>
          <w:i/>
          <w:sz w:val="28"/>
          <w:szCs w:val="28"/>
        </w:rPr>
        <w:t>”</w:t>
      </w:r>
    </w:p>
    <w:p w:rsidR="00F33575" w:rsidRPr="00DA1726" w:rsidRDefault="00F33575" w:rsidP="00DA1726">
      <w:pPr>
        <w:jc w:val="both"/>
        <w:rPr>
          <w:sz w:val="28"/>
          <w:szCs w:val="28"/>
        </w:rPr>
      </w:pPr>
    </w:p>
    <w:p w:rsidR="00867069" w:rsidRPr="00DA1726" w:rsidRDefault="004E7A5B" w:rsidP="00DA1726">
      <w:pPr>
        <w:jc w:val="both"/>
        <w:rPr>
          <w:sz w:val="28"/>
          <w:szCs w:val="28"/>
        </w:rPr>
      </w:pPr>
      <w:r w:rsidRPr="00DA1726">
        <w:rPr>
          <w:sz w:val="28"/>
          <w:szCs w:val="28"/>
        </w:rPr>
        <w:t>Así las cosas es viable concluir que</w:t>
      </w:r>
      <w:r w:rsidR="00867069" w:rsidRPr="00DA1726">
        <w:rPr>
          <w:sz w:val="28"/>
          <w:szCs w:val="28"/>
        </w:rPr>
        <w:t xml:space="preserve"> </w:t>
      </w:r>
      <w:r w:rsidR="008B6D45" w:rsidRPr="00DA1726">
        <w:rPr>
          <w:sz w:val="28"/>
          <w:szCs w:val="28"/>
        </w:rPr>
        <w:t xml:space="preserve">la libertad de escogencia es fundamental en </w:t>
      </w:r>
      <w:r w:rsidR="00867069" w:rsidRPr="00DA1726">
        <w:rPr>
          <w:sz w:val="28"/>
          <w:szCs w:val="28"/>
        </w:rPr>
        <w:t>la medida</w:t>
      </w:r>
      <w:r w:rsidR="008B6D45" w:rsidRPr="00DA1726">
        <w:rPr>
          <w:sz w:val="28"/>
          <w:szCs w:val="28"/>
        </w:rPr>
        <w:t xml:space="preserve"> permite a las personas desvincularse de aquellas entidades que no garantizan adecuadamente el goce efectivo de su derecho a la salud, a la vez que le permiten afiliarse a aquellas que demuestren que están prestando los servicios de salud con i</w:t>
      </w:r>
      <w:r w:rsidR="00867069" w:rsidRPr="00DA1726">
        <w:rPr>
          <w:sz w:val="28"/>
          <w:szCs w:val="28"/>
        </w:rPr>
        <w:t>doneidad, oportunidad y calidad.</w:t>
      </w:r>
    </w:p>
    <w:p w:rsidR="00867069" w:rsidRPr="00DA1726" w:rsidRDefault="00867069" w:rsidP="00DA1726">
      <w:pPr>
        <w:jc w:val="both"/>
        <w:rPr>
          <w:sz w:val="28"/>
          <w:szCs w:val="28"/>
        </w:rPr>
      </w:pPr>
    </w:p>
    <w:p w:rsidR="00C1323C" w:rsidRPr="00DA1726" w:rsidRDefault="00C1323C" w:rsidP="00DA1726">
      <w:pPr>
        <w:jc w:val="both"/>
        <w:rPr>
          <w:color w:val="000000"/>
          <w:sz w:val="28"/>
          <w:szCs w:val="28"/>
          <w:lang w:val="es-ES"/>
        </w:rPr>
      </w:pPr>
      <w:r w:rsidRPr="00DA1726">
        <w:rPr>
          <w:rStyle w:val="FontStyle26"/>
          <w:sz w:val="28"/>
          <w:szCs w:val="28"/>
          <w:lang w:val="es-ES_tradnl" w:eastAsia="es-ES_tradnl"/>
        </w:rPr>
        <w:t xml:space="preserve">En este punto la Sala considera útil reiterar y precisar lo indicado por este Tribunal en la sentencia T-760 de 2008 y sus autos de seguimiento en lo atinente al cumplimiento del mandato vigésimo del mencionado fallo estructural. </w:t>
      </w:r>
      <w:r w:rsidRPr="00DA1726">
        <w:rPr>
          <w:color w:val="000000"/>
          <w:sz w:val="28"/>
          <w:szCs w:val="28"/>
          <w:lang w:val="es-ES"/>
        </w:rPr>
        <w:t xml:space="preserve">En la providencia estructural esta Corporación </w:t>
      </w:r>
      <w:r w:rsidRPr="00DA1726">
        <w:rPr>
          <w:sz w:val="28"/>
          <w:szCs w:val="28"/>
        </w:rPr>
        <w:t>precisó el alcance del derecho a la información, en el marco del derecho a la salud, así:</w:t>
      </w:r>
    </w:p>
    <w:p w:rsidR="00C1323C" w:rsidRPr="00DA1726" w:rsidRDefault="00C1323C" w:rsidP="00DA1726">
      <w:pPr>
        <w:pStyle w:val="Sinespaciado3"/>
        <w:jc w:val="both"/>
        <w:rPr>
          <w:rFonts w:ascii="Times New Roman" w:hAnsi="Times New Roman"/>
          <w:sz w:val="28"/>
          <w:szCs w:val="28"/>
        </w:rPr>
      </w:pPr>
    </w:p>
    <w:p w:rsidR="00C1323C" w:rsidRPr="00DA1726" w:rsidRDefault="00C1323C" w:rsidP="00DA1726">
      <w:pPr>
        <w:pStyle w:val="Sinespaciado3"/>
        <w:ind w:left="426"/>
        <w:jc w:val="both"/>
        <w:rPr>
          <w:rFonts w:ascii="Times New Roman" w:hAnsi="Times New Roman"/>
          <w:sz w:val="28"/>
          <w:szCs w:val="28"/>
        </w:rPr>
      </w:pPr>
      <w:r w:rsidRPr="00DA1726">
        <w:rPr>
          <w:rFonts w:ascii="Times New Roman" w:hAnsi="Times New Roman"/>
          <w:i/>
          <w:sz w:val="28"/>
          <w:szCs w:val="28"/>
        </w:rPr>
        <w:t>“Las entidades del Sistema de Salud tienen la obligación de brindar a las personas la información que sea necesaria para poder acceder a los servicios de salud que requieran, con libertad y autonomía, permitiendo que la persona elija la opción que le garantice en mayor medida su derecho.”</w:t>
      </w:r>
    </w:p>
    <w:p w:rsidR="00C1323C" w:rsidRPr="00DA1726" w:rsidRDefault="00C1323C" w:rsidP="00DA1726">
      <w:pPr>
        <w:pStyle w:val="Sinespacio"/>
        <w:tabs>
          <w:tab w:val="clear" w:pos="1800"/>
          <w:tab w:val="left" w:pos="708"/>
        </w:tabs>
        <w:jc w:val="both"/>
        <w:rPr>
          <w:b w:val="0"/>
          <w:bCs w:val="0"/>
          <w:kern w:val="0"/>
          <w:lang w:val="es-CO" w:eastAsia="es-CO"/>
        </w:rPr>
      </w:pPr>
    </w:p>
    <w:p w:rsidR="00C1323C" w:rsidRPr="00DA1726" w:rsidRDefault="004E7A5B" w:rsidP="00DA1726">
      <w:pPr>
        <w:pStyle w:val="Sinespacio"/>
        <w:tabs>
          <w:tab w:val="clear" w:pos="1800"/>
          <w:tab w:val="left" w:pos="708"/>
        </w:tabs>
        <w:jc w:val="both"/>
        <w:rPr>
          <w:b w:val="0"/>
        </w:rPr>
      </w:pPr>
      <w:r w:rsidRPr="00DA1726">
        <w:rPr>
          <w:b w:val="0"/>
        </w:rPr>
        <w:t>En consecuencia</w:t>
      </w:r>
      <w:r w:rsidR="00C1323C" w:rsidRPr="00DA1726">
        <w:rPr>
          <w:b w:val="0"/>
        </w:rPr>
        <w:t xml:space="preserve">, se ordenó a la Superintendencia Nacional de Salud y al Ministerio de la Protección Social -hoy, Ministerio de Salud y Protección Social- que, entre otras cosas, adoptaran las medidas necesarias para identificar las EPS e IPS que con mayor frecuencia incurren en </w:t>
      </w:r>
      <w:r w:rsidR="00C1323C" w:rsidRPr="00DA1726">
        <w:rPr>
          <w:b w:val="0"/>
          <w:iCs/>
        </w:rPr>
        <w:t xml:space="preserve">prácticas violatorias del derecho a la salud, con el fin de que las personas cuenten con un elemento de juicio ecuánime que les permita elegir la opción que les garantice en mayor medida el goce efectivo de su derecho. Para tal efecto, discriminó las prácticas violatorias del derecho a la salud, especialmente en los capítulos 4° y 8° de la mencionada providencia. Así en el fundamento jurídico 8.1 hizo alusión al acceso a los servicios de salud </w:t>
      </w:r>
      <w:r w:rsidR="00C1323C" w:rsidRPr="00DA1726">
        <w:rPr>
          <w:b w:val="0"/>
          <w:bCs w:val="0"/>
          <w:lang w:val="es-CO"/>
        </w:rPr>
        <w:t>de calidad y de manera oportuna y eficaz garantizado por el derecho fundamental a la salud en el orden constitucional, atendiendo los siguientes derechos constitucionales:</w:t>
      </w:r>
    </w:p>
    <w:p w:rsidR="00C1323C" w:rsidRPr="00DA1726" w:rsidRDefault="00C1323C" w:rsidP="00DA1726">
      <w:pPr>
        <w:rPr>
          <w:sz w:val="28"/>
          <w:szCs w:val="28"/>
        </w:rPr>
      </w:pPr>
    </w:p>
    <w:p w:rsidR="00C1323C" w:rsidRPr="00DA1726" w:rsidRDefault="00C1323C" w:rsidP="00DA1726">
      <w:pPr>
        <w:ind w:left="426"/>
        <w:jc w:val="both"/>
        <w:rPr>
          <w:bCs/>
          <w:sz w:val="28"/>
          <w:szCs w:val="28"/>
        </w:rPr>
      </w:pPr>
      <w:r w:rsidRPr="00DA1726">
        <w:rPr>
          <w:sz w:val="28"/>
          <w:szCs w:val="28"/>
        </w:rPr>
        <w:t>(</w:t>
      </w:r>
      <w:r w:rsidRPr="00DA1726">
        <w:rPr>
          <w:i/>
          <w:iCs/>
          <w:sz w:val="28"/>
          <w:szCs w:val="28"/>
        </w:rPr>
        <w:t>i</w:t>
      </w:r>
      <w:r w:rsidRPr="00DA1726">
        <w:rPr>
          <w:sz w:val="28"/>
          <w:szCs w:val="28"/>
        </w:rPr>
        <w:t xml:space="preserve">) </w:t>
      </w:r>
      <w:r w:rsidRPr="00DA1726">
        <w:rPr>
          <w:i/>
          <w:sz w:val="28"/>
          <w:szCs w:val="28"/>
        </w:rPr>
        <w:t>Acceso a servicios</w:t>
      </w:r>
      <w:r w:rsidRPr="00DA1726">
        <w:rPr>
          <w:sz w:val="28"/>
          <w:szCs w:val="28"/>
        </w:rPr>
        <w:t>. Toda persona tiene derecho a que la entidad encargada de garantizarle la prestación de los servicios de salud, EPS,</w:t>
      </w:r>
      <w:r w:rsidRPr="00DA1726">
        <w:rPr>
          <w:sz w:val="28"/>
          <w:szCs w:val="28"/>
          <w:vertAlign w:val="superscript"/>
        </w:rPr>
        <w:footnoteReference w:id="116"/>
      </w:r>
      <w:r w:rsidRPr="00DA1726">
        <w:rPr>
          <w:sz w:val="28"/>
          <w:szCs w:val="28"/>
        </w:rPr>
        <w:t xml:space="preserve"> autorice el acceso a los servicios que </w:t>
      </w:r>
      <w:r w:rsidRPr="00DA1726">
        <w:rPr>
          <w:i/>
          <w:sz w:val="28"/>
          <w:szCs w:val="28"/>
        </w:rPr>
        <w:t>requiere</w:t>
      </w:r>
      <w:r w:rsidRPr="00DA1726">
        <w:rPr>
          <w:sz w:val="28"/>
          <w:szCs w:val="28"/>
        </w:rPr>
        <w:t xml:space="preserve"> y aquellos que </w:t>
      </w:r>
      <w:r w:rsidRPr="00DA1726">
        <w:rPr>
          <w:i/>
          <w:sz w:val="28"/>
          <w:szCs w:val="28"/>
        </w:rPr>
        <w:t>requiere con necesidad</w:t>
      </w:r>
      <w:r w:rsidRPr="00DA1726">
        <w:rPr>
          <w:sz w:val="28"/>
          <w:szCs w:val="28"/>
        </w:rPr>
        <w:t xml:space="preserve">, incluso si no se encuentran en el plan obligatorio de salud(…). El acceso a los servicios debe ser </w:t>
      </w:r>
      <w:r w:rsidRPr="00DA1726">
        <w:rPr>
          <w:i/>
          <w:sz w:val="28"/>
          <w:szCs w:val="28"/>
        </w:rPr>
        <w:t>oportuno</w:t>
      </w:r>
      <w:r w:rsidRPr="00DA1726">
        <w:rPr>
          <w:sz w:val="28"/>
          <w:szCs w:val="28"/>
        </w:rPr>
        <w:t xml:space="preserve">, de </w:t>
      </w:r>
      <w:r w:rsidRPr="00DA1726">
        <w:rPr>
          <w:i/>
          <w:sz w:val="28"/>
          <w:szCs w:val="28"/>
        </w:rPr>
        <w:t>calidad</w:t>
      </w:r>
      <w:r w:rsidRPr="00DA1726">
        <w:rPr>
          <w:sz w:val="28"/>
          <w:szCs w:val="28"/>
        </w:rPr>
        <w:t xml:space="preserve"> y </w:t>
      </w:r>
      <w:r w:rsidRPr="00DA1726">
        <w:rPr>
          <w:i/>
          <w:sz w:val="28"/>
          <w:szCs w:val="28"/>
        </w:rPr>
        <w:t>eficiente</w:t>
      </w:r>
      <w:r w:rsidRPr="00DA1726">
        <w:rPr>
          <w:sz w:val="28"/>
          <w:szCs w:val="28"/>
        </w:rPr>
        <w:t>.</w:t>
      </w:r>
      <w:r w:rsidRPr="00DA1726">
        <w:rPr>
          <w:b/>
          <w:bCs/>
          <w:sz w:val="28"/>
          <w:szCs w:val="28"/>
        </w:rPr>
        <w:t xml:space="preserve"> </w:t>
      </w:r>
    </w:p>
    <w:p w:rsidR="00C1323C" w:rsidRPr="00DA1726" w:rsidRDefault="00C1323C" w:rsidP="00DA1726">
      <w:pPr>
        <w:ind w:left="426"/>
        <w:jc w:val="both"/>
        <w:rPr>
          <w:sz w:val="28"/>
          <w:szCs w:val="28"/>
        </w:rPr>
      </w:pPr>
    </w:p>
    <w:p w:rsidR="00C1323C" w:rsidRPr="00DA1726" w:rsidRDefault="00C1323C" w:rsidP="00DA1726">
      <w:pPr>
        <w:ind w:left="426"/>
        <w:jc w:val="both"/>
        <w:rPr>
          <w:sz w:val="28"/>
          <w:szCs w:val="28"/>
        </w:rPr>
      </w:pPr>
      <w:r w:rsidRPr="00DA1726">
        <w:rPr>
          <w:sz w:val="28"/>
          <w:szCs w:val="28"/>
        </w:rPr>
        <w:t>(</w:t>
      </w:r>
      <w:r w:rsidRPr="00DA1726">
        <w:rPr>
          <w:i/>
          <w:iCs/>
          <w:sz w:val="28"/>
          <w:szCs w:val="28"/>
        </w:rPr>
        <w:t>ii</w:t>
      </w:r>
      <w:r w:rsidRPr="00DA1726">
        <w:rPr>
          <w:sz w:val="28"/>
          <w:szCs w:val="28"/>
        </w:rPr>
        <w:t xml:space="preserve">) </w:t>
      </w:r>
      <w:r w:rsidRPr="00DA1726">
        <w:rPr>
          <w:i/>
          <w:sz w:val="28"/>
          <w:szCs w:val="28"/>
        </w:rPr>
        <w:t>Protección especial a niños y niñas</w:t>
      </w:r>
      <w:r w:rsidRPr="00DA1726">
        <w:rPr>
          <w:sz w:val="28"/>
          <w:szCs w:val="28"/>
        </w:rPr>
        <w:t>. Los derechos a acceder a un servicio de salud que requiere un niño o una niña para conservar su vida, su dignidad, y su integridad así como para desarrollarse armónica e integralmente, está especialmente protegido; cuando una EPS obstaculiza el acceso a servicios de salud, incluidos aquellos que atienden las necesidades específicas de los menores, irrespeta gravemente su derecho a la salud.</w:t>
      </w:r>
    </w:p>
    <w:p w:rsidR="00C1323C" w:rsidRPr="00DA1726" w:rsidRDefault="00C1323C" w:rsidP="00DA1726">
      <w:pPr>
        <w:ind w:left="426"/>
        <w:jc w:val="both"/>
        <w:rPr>
          <w:sz w:val="28"/>
          <w:szCs w:val="28"/>
        </w:rPr>
      </w:pPr>
    </w:p>
    <w:p w:rsidR="00C1323C" w:rsidRPr="00DA1726" w:rsidRDefault="00C1323C" w:rsidP="00DA1726">
      <w:pPr>
        <w:ind w:left="426"/>
        <w:jc w:val="both"/>
        <w:rPr>
          <w:sz w:val="28"/>
          <w:szCs w:val="28"/>
        </w:rPr>
      </w:pPr>
      <w:r w:rsidRPr="00DA1726">
        <w:rPr>
          <w:sz w:val="28"/>
          <w:szCs w:val="28"/>
        </w:rPr>
        <w:t>(</w:t>
      </w:r>
      <w:r w:rsidRPr="00DA1726">
        <w:rPr>
          <w:i/>
          <w:iCs/>
          <w:sz w:val="28"/>
          <w:szCs w:val="28"/>
        </w:rPr>
        <w:t>iii</w:t>
      </w:r>
      <w:r w:rsidRPr="00DA1726">
        <w:rPr>
          <w:sz w:val="28"/>
          <w:szCs w:val="28"/>
        </w:rPr>
        <w:t xml:space="preserve">) </w:t>
      </w:r>
      <w:r w:rsidRPr="00DA1726">
        <w:rPr>
          <w:i/>
          <w:sz w:val="28"/>
          <w:szCs w:val="28"/>
        </w:rPr>
        <w:t>Concepto del médico adscrito y externo</w:t>
      </w:r>
      <w:r w:rsidRPr="00DA1726">
        <w:rPr>
          <w:sz w:val="28"/>
          <w:szCs w:val="28"/>
        </w:rPr>
        <w:t>.  Por regla general, el médico que puede prescribir un servicio de salud es el médico adscrito a la EPS. El usuario puede acudir a otros médicos pero su concepto no obliga a la EPS a autorizar lo que éste prescribió, sino a remitir al usuario a un médico adscrito a la correspondiente EPS (…).</w:t>
      </w:r>
    </w:p>
    <w:p w:rsidR="00C1323C" w:rsidRPr="00DA1726" w:rsidRDefault="00C1323C" w:rsidP="00DA1726">
      <w:pPr>
        <w:ind w:left="426"/>
        <w:jc w:val="both"/>
        <w:rPr>
          <w:sz w:val="28"/>
          <w:szCs w:val="28"/>
        </w:rPr>
      </w:pPr>
    </w:p>
    <w:p w:rsidR="00C1323C" w:rsidRPr="00DA1726" w:rsidRDefault="00C1323C" w:rsidP="00DA1726">
      <w:pPr>
        <w:ind w:left="426"/>
        <w:jc w:val="both"/>
        <w:rPr>
          <w:sz w:val="28"/>
          <w:szCs w:val="28"/>
        </w:rPr>
      </w:pPr>
      <w:r w:rsidRPr="00DA1726">
        <w:rPr>
          <w:sz w:val="28"/>
          <w:szCs w:val="28"/>
        </w:rPr>
        <w:t>(</w:t>
      </w:r>
      <w:r w:rsidRPr="00DA1726">
        <w:rPr>
          <w:i/>
          <w:iCs/>
          <w:sz w:val="28"/>
          <w:szCs w:val="28"/>
        </w:rPr>
        <w:t>iv</w:t>
      </w:r>
      <w:r w:rsidRPr="00DA1726">
        <w:rPr>
          <w:sz w:val="28"/>
          <w:szCs w:val="28"/>
        </w:rPr>
        <w:t xml:space="preserve">) </w:t>
      </w:r>
      <w:r w:rsidRPr="00DA1726">
        <w:rPr>
          <w:i/>
          <w:sz w:val="28"/>
          <w:szCs w:val="28"/>
        </w:rPr>
        <w:t>Acceso sin obstáculos por pagos</w:t>
      </w:r>
      <w:r w:rsidRPr="00DA1726">
        <w:rPr>
          <w:sz w:val="28"/>
          <w:szCs w:val="28"/>
        </w:rPr>
        <w:t>. ‘Los pagos moderadores no pueden constituir barreras al acceso a los servicios de salud para las personas que no tienen la capacidad económica de soportar el pago del mismo’.</w:t>
      </w:r>
    </w:p>
    <w:p w:rsidR="00C1323C" w:rsidRPr="00DA1726" w:rsidRDefault="00C1323C" w:rsidP="00DA1726">
      <w:pPr>
        <w:ind w:left="426"/>
        <w:jc w:val="both"/>
        <w:rPr>
          <w:sz w:val="28"/>
          <w:szCs w:val="28"/>
        </w:rPr>
      </w:pPr>
    </w:p>
    <w:p w:rsidR="00C1323C" w:rsidRPr="00DA1726" w:rsidRDefault="00C1323C" w:rsidP="00DA1726">
      <w:pPr>
        <w:ind w:left="426"/>
        <w:jc w:val="both"/>
        <w:rPr>
          <w:sz w:val="28"/>
          <w:szCs w:val="28"/>
        </w:rPr>
      </w:pPr>
      <w:r w:rsidRPr="00DA1726">
        <w:rPr>
          <w:sz w:val="28"/>
          <w:szCs w:val="28"/>
        </w:rPr>
        <w:t>(</w:t>
      </w:r>
      <w:r w:rsidRPr="00DA1726">
        <w:rPr>
          <w:i/>
          <w:sz w:val="28"/>
          <w:szCs w:val="28"/>
        </w:rPr>
        <w:t>v</w:t>
      </w:r>
      <w:r w:rsidRPr="00DA1726">
        <w:rPr>
          <w:sz w:val="28"/>
          <w:szCs w:val="28"/>
        </w:rPr>
        <w:t xml:space="preserve">) </w:t>
      </w:r>
      <w:r w:rsidRPr="00DA1726">
        <w:rPr>
          <w:i/>
          <w:sz w:val="28"/>
          <w:szCs w:val="28"/>
        </w:rPr>
        <w:t>Acceso al diagnóstico</w:t>
      </w:r>
      <w:r w:rsidRPr="00DA1726">
        <w:rPr>
          <w:sz w:val="28"/>
          <w:szCs w:val="28"/>
        </w:rPr>
        <w:t>. Toda persona tiene derecho a acceder a las pruebas y exámenes diagnósticos indispensables para determinar si requiere o no un servicio de salud.</w:t>
      </w:r>
    </w:p>
    <w:p w:rsidR="00C1323C" w:rsidRPr="00DA1726" w:rsidRDefault="00C1323C" w:rsidP="00DA1726">
      <w:pPr>
        <w:ind w:left="426"/>
        <w:jc w:val="both"/>
        <w:rPr>
          <w:sz w:val="28"/>
          <w:szCs w:val="28"/>
        </w:rPr>
      </w:pPr>
    </w:p>
    <w:p w:rsidR="00C1323C" w:rsidRPr="00DA1726" w:rsidRDefault="00C1323C" w:rsidP="00DA1726">
      <w:pPr>
        <w:ind w:left="426"/>
        <w:jc w:val="both"/>
        <w:rPr>
          <w:sz w:val="28"/>
          <w:szCs w:val="28"/>
        </w:rPr>
      </w:pPr>
      <w:r w:rsidRPr="00DA1726">
        <w:rPr>
          <w:sz w:val="28"/>
          <w:szCs w:val="28"/>
        </w:rPr>
        <w:t>(</w:t>
      </w:r>
      <w:r w:rsidRPr="00DA1726">
        <w:rPr>
          <w:i/>
          <w:iCs/>
          <w:sz w:val="28"/>
          <w:szCs w:val="28"/>
        </w:rPr>
        <w:t>vi</w:t>
      </w:r>
      <w:r w:rsidRPr="00DA1726">
        <w:rPr>
          <w:sz w:val="28"/>
          <w:szCs w:val="28"/>
        </w:rPr>
        <w:t xml:space="preserve">) </w:t>
      </w:r>
      <w:r w:rsidRPr="00DA1726">
        <w:rPr>
          <w:i/>
          <w:sz w:val="28"/>
          <w:szCs w:val="28"/>
        </w:rPr>
        <w:t>Allanamiento a la mora</w:t>
      </w:r>
      <w:r w:rsidRPr="00DA1726">
        <w:rPr>
          <w:sz w:val="28"/>
          <w:szCs w:val="28"/>
        </w:rPr>
        <w:t>.  Cuando una EPS no ha hecho uso de los diferentes meca</w:t>
      </w:r>
      <w:r w:rsidRPr="00DA1726">
        <w:rPr>
          <w:sz w:val="28"/>
          <w:szCs w:val="28"/>
        </w:rPr>
        <w:softHyphen/>
        <w:t xml:space="preserve">nismos de cobro que se encuentran a su alcance para lograr el pago de los aportes atrasados, se allana a la mora y, por ende, no puede fundamentar el no reconocimiento de una incapacidad laboral en la falta de pago o en la cancelación extemporánea de las cotizaciones. </w:t>
      </w:r>
    </w:p>
    <w:p w:rsidR="00C1323C" w:rsidRPr="00DA1726" w:rsidRDefault="00C1323C" w:rsidP="00DA1726">
      <w:pPr>
        <w:ind w:left="426"/>
        <w:jc w:val="both"/>
        <w:rPr>
          <w:sz w:val="28"/>
          <w:szCs w:val="28"/>
        </w:rPr>
      </w:pPr>
    </w:p>
    <w:p w:rsidR="00C1323C" w:rsidRPr="00DA1726" w:rsidRDefault="00C1323C" w:rsidP="00DA1726">
      <w:pPr>
        <w:ind w:left="426"/>
        <w:jc w:val="both"/>
        <w:rPr>
          <w:sz w:val="28"/>
          <w:szCs w:val="28"/>
        </w:rPr>
      </w:pPr>
      <w:r w:rsidRPr="00DA1726">
        <w:rPr>
          <w:sz w:val="28"/>
          <w:szCs w:val="28"/>
        </w:rPr>
        <w:t>(</w:t>
      </w:r>
      <w:r w:rsidRPr="00DA1726">
        <w:rPr>
          <w:i/>
          <w:iCs/>
          <w:sz w:val="28"/>
          <w:szCs w:val="28"/>
        </w:rPr>
        <w:t>vii</w:t>
      </w:r>
      <w:r w:rsidRPr="00DA1726">
        <w:rPr>
          <w:sz w:val="28"/>
          <w:szCs w:val="28"/>
        </w:rPr>
        <w:t xml:space="preserve">) </w:t>
      </w:r>
      <w:r w:rsidRPr="00DA1726">
        <w:rPr>
          <w:i/>
          <w:sz w:val="28"/>
          <w:szCs w:val="28"/>
        </w:rPr>
        <w:t>Protección a las enfermedades catastróficas y de alto costo</w:t>
      </w:r>
      <w:r w:rsidRPr="00DA1726">
        <w:rPr>
          <w:sz w:val="28"/>
          <w:szCs w:val="28"/>
        </w:rPr>
        <w:t>. El acceso a los servicios de salud oportunos es especialmente garantizado cuando se trata de una persona con una enfermedad catastrófica o de alto costo; no se les puede dejar de atender ‘</w:t>
      </w:r>
      <w:r w:rsidRPr="00DA1726">
        <w:rPr>
          <w:i/>
          <w:iCs/>
          <w:sz w:val="28"/>
          <w:szCs w:val="28"/>
        </w:rPr>
        <w:t>bajo ningún pretexto</w:t>
      </w:r>
      <w:r w:rsidRPr="00DA1726">
        <w:rPr>
          <w:sz w:val="28"/>
          <w:szCs w:val="28"/>
        </w:rPr>
        <w:t>’, ni pueden cobrársele copagos.</w:t>
      </w:r>
    </w:p>
    <w:p w:rsidR="00C1323C" w:rsidRPr="00DA1726" w:rsidRDefault="00C1323C" w:rsidP="00DA1726">
      <w:pPr>
        <w:ind w:left="426"/>
        <w:jc w:val="both"/>
        <w:rPr>
          <w:sz w:val="28"/>
          <w:szCs w:val="28"/>
        </w:rPr>
      </w:pPr>
    </w:p>
    <w:p w:rsidR="00C1323C" w:rsidRPr="00DA1726" w:rsidRDefault="00C1323C" w:rsidP="00DA1726">
      <w:pPr>
        <w:ind w:left="426"/>
        <w:jc w:val="both"/>
        <w:rPr>
          <w:sz w:val="28"/>
          <w:szCs w:val="28"/>
        </w:rPr>
      </w:pPr>
      <w:r w:rsidRPr="00DA1726">
        <w:rPr>
          <w:sz w:val="28"/>
          <w:szCs w:val="28"/>
          <w:lang w:val="es-MX"/>
        </w:rPr>
        <w:t>(</w:t>
      </w:r>
      <w:r w:rsidRPr="00DA1726">
        <w:rPr>
          <w:i/>
          <w:sz w:val="28"/>
          <w:szCs w:val="28"/>
          <w:lang w:val="es-MX"/>
        </w:rPr>
        <w:t>viii</w:t>
      </w:r>
      <w:r w:rsidRPr="00DA1726">
        <w:rPr>
          <w:sz w:val="28"/>
          <w:szCs w:val="28"/>
          <w:lang w:val="es-MX"/>
        </w:rPr>
        <w:t xml:space="preserve">) </w:t>
      </w:r>
      <w:r w:rsidRPr="00DA1726">
        <w:rPr>
          <w:i/>
          <w:sz w:val="28"/>
          <w:szCs w:val="28"/>
          <w:lang w:val="es-MX"/>
        </w:rPr>
        <w:t>Acceso con continuidad a la salud</w:t>
      </w:r>
      <w:r w:rsidRPr="00DA1726">
        <w:rPr>
          <w:sz w:val="28"/>
          <w:szCs w:val="28"/>
          <w:lang w:val="es-MX"/>
        </w:rPr>
        <w:t xml:space="preserve">. </w:t>
      </w:r>
      <w:r w:rsidRPr="00DA1726">
        <w:rPr>
          <w:iCs/>
          <w:sz w:val="28"/>
          <w:szCs w:val="28"/>
        </w:rPr>
        <w:t>El acceso a un servicio de salud debe ser continuo, no puede ser interrumpido súbitamente (…)</w:t>
      </w:r>
      <w:r w:rsidRPr="00DA1726">
        <w:rPr>
          <w:sz w:val="28"/>
          <w:szCs w:val="28"/>
        </w:rPr>
        <w:t xml:space="preserve"> </w:t>
      </w:r>
    </w:p>
    <w:p w:rsidR="00C1323C" w:rsidRPr="00DA1726" w:rsidRDefault="00C1323C" w:rsidP="00DA1726">
      <w:pPr>
        <w:ind w:left="426"/>
        <w:jc w:val="both"/>
        <w:rPr>
          <w:i/>
          <w:iCs/>
          <w:sz w:val="28"/>
          <w:szCs w:val="28"/>
        </w:rPr>
      </w:pPr>
    </w:p>
    <w:p w:rsidR="00C1323C" w:rsidRPr="00DA1726" w:rsidRDefault="00C1323C" w:rsidP="00DA1726">
      <w:pPr>
        <w:ind w:left="426"/>
        <w:jc w:val="both"/>
        <w:rPr>
          <w:sz w:val="28"/>
          <w:szCs w:val="28"/>
        </w:rPr>
      </w:pPr>
      <w:r w:rsidRPr="00DA1726">
        <w:rPr>
          <w:sz w:val="28"/>
          <w:szCs w:val="28"/>
        </w:rPr>
        <w:t>(</w:t>
      </w:r>
      <w:r w:rsidRPr="00DA1726">
        <w:rPr>
          <w:i/>
          <w:sz w:val="28"/>
          <w:szCs w:val="28"/>
        </w:rPr>
        <w:t>ix</w:t>
      </w:r>
      <w:r w:rsidRPr="00DA1726">
        <w:rPr>
          <w:sz w:val="28"/>
          <w:szCs w:val="28"/>
        </w:rPr>
        <w:t xml:space="preserve">) </w:t>
      </w:r>
      <w:r w:rsidRPr="00DA1726">
        <w:rPr>
          <w:i/>
          <w:sz w:val="28"/>
          <w:szCs w:val="28"/>
        </w:rPr>
        <w:t>Información, acompañamiento y seguimiento</w:t>
      </w:r>
      <w:r w:rsidRPr="00DA1726">
        <w:rPr>
          <w:sz w:val="28"/>
          <w:szCs w:val="28"/>
        </w:rPr>
        <w:t xml:space="preserve">. Toda persona tiene derecho a que las EPS o autoridades públicas no obligadas a autorizar el servicio de salud pedido, adopten las medidas adecuadas para, por lo menos, </w:t>
      </w:r>
      <w:r w:rsidRPr="00DA1726">
        <w:rPr>
          <w:color w:val="000000"/>
          <w:sz w:val="28"/>
          <w:szCs w:val="28"/>
        </w:rPr>
        <w:t xml:space="preserve">(1) </w:t>
      </w:r>
      <w:r w:rsidRPr="00DA1726">
        <w:rPr>
          <w:sz w:val="28"/>
          <w:szCs w:val="28"/>
        </w:rPr>
        <w:t xml:space="preserve">suministrar la </w:t>
      </w:r>
      <w:r w:rsidRPr="00DA1726">
        <w:rPr>
          <w:i/>
          <w:iCs/>
          <w:sz w:val="28"/>
          <w:szCs w:val="28"/>
        </w:rPr>
        <w:t>información</w:t>
      </w:r>
      <w:r w:rsidRPr="00DA1726">
        <w:rPr>
          <w:sz w:val="28"/>
          <w:szCs w:val="28"/>
        </w:rPr>
        <w:t xml:space="preserve"> que requería para saber cómo funciona el sistema de salud y cuáles son sus derechos, (2) </w:t>
      </w:r>
      <w:r w:rsidRPr="00DA1726">
        <w:rPr>
          <w:i/>
          <w:iCs/>
          <w:sz w:val="28"/>
          <w:szCs w:val="28"/>
        </w:rPr>
        <w:t xml:space="preserve">indicar </w:t>
      </w:r>
      <w:r w:rsidRPr="00DA1726">
        <w:rPr>
          <w:sz w:val="28"/>
          <w:szCs w:val="28"/>
        </w:rPr>
        <w:t xml:space="preserve">específicamente cuál era la institución prestadora de servicios de salud que tiene la obligación de realizar las pruebas diagnósticas que </w:t>
      </w:r>
      <w:r w:rsidRPr="00DA1726">
        <w:rPr>
          <w:i/>
          <w:iCs/>
          <w:sz w:val="28"/>
          <w:szCs w:val="28"/>
        </w:rPr>
        <w:t>requiere</w:t>
      </w:r>
      <w:r w:rsidRPr="00DA1726">
        <w:rPr>
          <w:sz w:val="28"/>
          <w:szCs w:val="28"/>
        </w:rPr>
        <w:t xml:space="preserve"> y una cita con un especialista, y (3) la </w:t>
      </w:r>
      <w:r w:rsidRPr="00DA1726">
        <w:rPr>
          <w:i/>
          <w:iCs/>
          <w:sz w:val="28"/>
          <w:szCs w:val="28"/>
        </w:rPr>
        <w:t xml:space="preserve">acompañar </w:t>
      </w:r>
      <w:r w:rsidRPr="00DA1726">
        <w:rPr>
          <w:sz w:val="28"/>
          <w:szCs w:val="28"/>
        </w:rPr>
        <w:t>durante el proceso de solicitud del servicio, con el fin de asegurar el goce efectivo de sus derechos.</w:t>
      </w:r>
    </w:p>
    <w:p w:rsidR="00C1323C" w:rsidRPr="00DA1726" w:rsidRDefault="00C1323C" w:rsidP="00DA1726">
      <w:pPr>
        <w:ind w:left="426"/>
        <w:jc w:val="both"/>
        <w:rPr>
          <w:sz w:val="28"/>
          <w:szCs w:val="28"/>
        </w:rPr>
      </w:pPr>
    </w:p>
    <w:p w:rsidR="00C1323C" w:rsidRPr="00DA1726" w:rsidRDefault="00C1323C" w:rsidP="00DA1726">
      <w:pPr>
        <w:ind w:left="426"/>
        <w:jc w:val="both"/>
        <w:rPr>
          <w:sz w:val="28"/>
          <w:szCs w:val="28"/>
        </w:rPr>
      </w:pPr>
      <w:r w:rsidRPr="00DA1726">
        <w:rPr>
          <w:sz w:val="28"/>
          <w:szCs w:val="28"/>
        </w:rPr>
        <w:t>(</w:t>
      </w:r>
      <w:r w:rsidRPr="00DA1726">
        <w:rPr>
          <w:i/>
          <w:sz w:val="28"/>
          <w:szCs w:val="28"/>
        </w:rPr>
        <w:t>x</w:t>
      </w:r>
      <w:r w:rsidRPr="00DA1726">
        <w:rPr>
          <w:sz w:val="28"/>
          <w:szCs w:val="28"/>
        </w:rPr>
        <w:t xml:space="preserve">) </w:t>
      </w:r>
      <w:r w:rsidRPr="00DA1726">
        <w:rPr>
          <w:i/>
          <w:sz w:val="28"/>
          <w:szCs w:val="28"/>
        </w:rPr>
        <w:t>Prohibición de trasladarle a los usuarios cargas administrativas y burocráticas que le corresponde asumir a la EPS.</w:t>
      </w:r>
      <w:r w:rsidRPr="00DA1726">
        <w:rPr>
          <w:sz w:val="28"/>
          <w:szCs w:val="28"/>
        </w:rPr>
        <w:t xml:space="preserve"> Toda persona tiene derecho a acceder a los servicios de salud sin que las </w:t>
      </w:r>
      <w:r w:rsidRPr="00DA1726">
        <w:rPr>
          <w:iCs/>
          <w:sz w:val="28"/>
          <w:szCs w:val="28"/>
        </w:rPr>
        <w:t>EPS puedan imponer como requisito de acceso a un servicio de salud el cumplimiento de cargas administrativas propias de la entidad</w:t>
      </w:r>
      <w:r w:rsidRPr="00DA1726">
        <w:rPr>
          <w:sz w:val="28"/>
          <w:szCs w:val="28"/>
        </w:rPr>
        <w:t>. En especial, toda persona tiene derecho a que su EPS autorice y tramite internamente los servicios de salud ordenados por su médico tratante (…).</w:t>
      </w:r>
    </w:p>
    <w:p w:rsidR="00C1323C" w:rsidRPr="00DA1726" w:rsidRDefault="00C1323C" w:rsidP="00DA1726">
      <w:pPr>
        <w:ind w:left="426"/>
        <w:jc w:val="both"/>
        <w:rPr>
          <w:sz w:val="28"/>
          <w:szCs w:val="28"/>
        </w:rPr>
      </w:pPr>
    </w:p>
    <w:p w:rsidR="00C1323C" w:rsidRPr="00DA1726" w:rsidRDefault="00C1323C" w:rsidP="00DA1726">
      <w:pPr>
        <w:ind w:left="426"/>
        <w:jc w:val="both"/>
        <w:rPr>
          <w:sz w:val="28"/>
          <w:szCs w:val="28"/>
        </w:rPr>
      </w:pPr>
      <w:r w:rsidRPr="00DA1726">
        <w:rPr>
          <w:sz w:val="28"/>
          <w:szCs w:val="28"/>
        </w:rPr>
        <w:t>(</w:t>
      </w:r>
      <w:r w:rsidRPr="00DA1726">
        <w:rPr>
          <w:i/>
          <w:sz w:val="28"/>
          <w:szCs w:val="28"/>
        </w:rPr>
        <w:t>xi</w:t>
      </w:r>
      <w:r w:rsidRPr="00DA1726">
        <w:rPr>
          <w:sz w:val="28"/>
          <w:szCs w:val="28"/>
        </w:rPr>
        <w:t xml:space="preserve">) </w:t>
      </w:r>
      <w:r w:rsidRPr="00DA1726">
        <w:rPr>
          <w:i/>
          <w:sz w:val="28"/>
          <w:szCs w:val="28"/>
        </w:rPr>
        <w:t>Acceso a los servicios de acuerdo al principio de integralidad</w:t>
      </w:r>
      <w:r w:rsidRPr="00DA1726">
        <w:rPr>
          <w:sz w:val="28"/>
          <w:szCs w:val="28"/>
        </w:rPr>
        <w:t xml:space="preserve">. Toda persona tiene derecho a acceder integralmente a los servicios de salud que requiera. En tal sentido, toda persona tiene derecho, entre otras cosas, a que se remuevan las barreras y obstáculos que impidan a una persona acceder integralmente a los servicios de salud que </w:t>
      </w:r>
      <w:r w:rsidRPr="00DA1726">
        <w:rPr>
          <w:i/>
          <w:iCs/>
          <w:sz w:val="28"/>
          <w:szCs w:val="28"/>
        </w:rPr>
        <w:t>requiere con necesidad</w:t>
      </w:r>
      <w:r w:rsidRPr="00DA1726">
        <w:rPr>
          <w:sz w:val="28"/>
          <w:szCs w:val="28"/>
        </w:rPr>
        <w:t xml:space="preserve"> (…).</w:t>
      </w:r>
    </w:p>
    <w:p w:rsidR="00C1323C" w:rsidRPr="00DA1726" w:rsidRDefault="00C1323C" w:rsidP="00DA1726">
      <w:pPr>
        <w:ind w:left="426"/>
        <w:jc w:val="both"/>
        <w:rPr>
          <w:sz w:val="28"/>
          <w:szCs w:val="28"/>
        </w:rPr>
      </w:pPr>
    </w:p>
    <w:p w:rsidR="00C1323C" w:rsidRPr="00DA1726" w:rsidRDefault="00C1323C" w:rsidP="00DA1726">
      <w:pPr>
        <w:ind w:left="426"/>
        <w:jc w:val="both"/>
        <w:rPr>
          <w:color w:val="FF0000"/>
          <w:sz w:val="28"/>
          <w:szCs w:val="28"/>
        </w:rPr>
      </w:pPr>
      <w:r w:rsidRPr="00DA1726">
        <w:rPr>
          <w:sz w:val="28"/>
          <w:szCs w:val="28"/>
        </w:rPr>
        <w:t>(</w:t>
      </w:r>
      <w:r w:rsidRPr="00DA1726">
        <w:rPr>
          <w:i/>
          <w:sz w:val="28"/>
          <w:szCs w:val="28"/>
        </w:rPr>
        <w:t>xii</w:t>
      </w:r>
      <w:r w:rsidRPr="00DA1726">
        <w:rPr>
          <w:sz w:val="28"/>
          <w:szCs w:val="28"/>
        </w:rPr>
        <w:t xml:space="preserve">) </w:t>
      </w:r>
      <w:r w:rsidRPr="00DA1726">
        <w:rPr>
          <w:i/>
          <w:sz w:val="28"/>
          <w:szCs w:val="28"/>
        </w:rPr>
        <w:t>Libertad de elección de EPS</w:t>
      </w:r>
      <w:r w:rsidRPr="00DA1726">
        <w:rPr>
          <w:sz w:val="28"/>
          <w:szCs w:val="28"/>
        </w:rPr>
        <w:t>. Toda persona tiene derecho a elegir la EPS que se encargará de garantizarle la prestación de los servicios de salud, con las limitaciones razonables que imponga la regulación (…)</w:t>
      </w:r>
      <w:r w:rsidRPr="00DA1726">
        <w:rPr>
          <w:color w:val="000000"/>
          <w:sz w:val="28"/>
          <w:szCs w:val="28"/>
        </w:rPr>
        <w:t>.</w:t>
      </w:r>
    </w:p>
    <w:p w:rsidR="00C1323C" w:rsidRPr="00DA1726" w:rsidRDefault="00C1323C" w:rsidP="00DA1726">
      <w:pPr>
        <w:jc w:val="both"/>
        <w:rPr>
          <w:sz w:val="28"/>
          <w:szCs w:val="28"/>
        </w:rPr>
      </w:pPr>
    </w:p>
    <w:p w:rsidR="00C1323C" w:rsidRPr="00DA1726" w:rsidRDefault="00C1323C" w:rsidP="00DA1726">
      <w:pPr>
        <w:jc w:val="both"/>
        <w:rPr>
          <w:b/>
          <w:iCs/>
          <w:sz w:val="28"/>
          <w:szCs w:val="28"/>
        </w:rPr>
      </w:pPr>
      <w:r w:rsidRPr="00DA1726">
        <w:rPr>
          <w:sz w:val="28"/>
          <w:szCs w:val="28"/>
        </w:rPr>
        <w:t xml:space="preserve">En la evolución jurisprudencial dentro del seguimiento a la orden vigésima expidió el </w:t>
      </w:r>
      <w:r w:rsidRPr="00DA1726">
        <w:rPr>
          <w:b/>
          <w:sz w:val="28"/>
          <w:szCs w:val="28"/>
        </w:rPr>
        <w:t>Auto 044 de 2012</w:t>
      </w:r>
      <w:r w:rsidRPr="00DA1726">
        <w:rPr>
          <w:sz w:val="28"/>
          <w:szCs w:val="28"/>
        </w:rPr>
        <w:t xml:space="preserve">, en el que se señaló que los </w:t>
      </w:r>
      <w:r w:rsidRPr="00DA1726">
        <w:rPr>
          <w:iCs/>
          <w:sz w:val="28"/>
          <w:szCs w:val="28"/>
        </w:rPr>
        <w:t>indicadores</w:t>
      </w:r>
      <w:r w:rsidRPr="00DA1726">
        <w:rPr>
          <w:sz w:val="28"/>
          <w:szCs w:val="28"/>
        </w:rPr>
        <w:t xml:space="preserve"> utilizados por la Superintendencia de Salud y por el Ministerio de Salud para identificar las EPS e IPS que con mayor frecuencia incurren en </w:t>
      </w:r>
      <w:r w:rsidRPr="00DA1726">
        <w:rPr>
          <w:iCs/>
          <w:sz w:val="28"/>
          <w:szCs w:val="28"/>
        </w:rPr>
        <w:t>prácticas violatorias del derecho a la salud no habían sido eficaces, debido a que medían errónea o parcialmente dichas prácticas. En ese sentido, una vez analizada la información allegada por los grupos de seguimiento se develaron varios aspectos relevantes respecto a los indicadores utilizados:</w:t>
      </w:r>
    </w:p>
    <w:p w:rsidR="00C1323C" w:rsidRPr="00DA1726" w:rsidRDefault="00C1323C" w:rsidP="00DA1726">
      <w:pPr>
        <w:widowControl w:val="0"/>
        <w:autoSpaceDE w:val="0"/>
        <w:autoSpaceDN w:val="0"/>
        <w:adjustRightInd w:val="0"/>
        <w:jc w:val="both"/>
        <w:rPr>
          <w:sz w:val="28"/>
          <w:szCs w:val="28"/>
          <w:lang w:eastAsia="es-ES"/>
        </w:rPr>
      </w:pPr>
    </w:p>
    <w:p w:rsidR="00C1323C" w:rsidRPr="00DA1726" w:rsidRDefault="00C1323C" w:rsidP="00DA1726">
      <w:pPr>
        <w:widowControl w:val="0"/>
        <w:numPr>
          <w:ilvl w:val="1"/>
          <w:numId w:val="28"/>
        </w:numPr>
        <w:tabs>
          <w:tab w:val="num" w:pos="540"/>
        </w:tabs>
        <w:autoSpaceDE w:val="0"/>
        <w:autoSpaceDN w:val="0"/>
        <w:adjustRightInd w:val="0"/>
        <w:ind w:left="426" w:firstLine="0"/>
        <w:jc w:val="both"/>
        <w:rPr>
          <w:sz w:val="28"/>
          <w:szCs w:val="28"/>
          <w:lang w:eastAsia="es-ES"/>
        </w:rPr>
      </w:pPr>
      <w:r w:rsidRPr="00DA1726">
        <w:rPr>
          <w:sz w:val="28"/>
          <w:szCs w:val="28"/>
          <w:lang w:eastAsia="es-ES"/>
        </w:rPr>
        <w:t xml:space="preserve">Las quejas no son un indicador adecuado, puesto que, en algunos casos, obedecen a la falta de información de que adolecen los usuarios o incluso a un mero capricho de los mismos (…). </w:t>
      </w:r>
    </w:p>
    <w:p w:rsidR="00C1323C" w:rsidRPr="00DA1726" w:rsidRDefault="00C1323C" w:rsidP="00DA1726">
      <w:pPr>
        <w:widowControl w:val="0"/>
        <w:autoSpaceDE w:val="0"/>
        <w:autoSpaceDN w:val="0"/>
        <w:adjustRightInd w:val="0"/>
        <w:ind w:left="426"/>
        <w:jc w:val="both"/>
        <w:rPr>
          <w:sz w:val="28"/>
          <w:szCs w:val="28"/>
          <w:lang w:eastAsia="es-ES"/>
        </w:rPr>
      </w:pPr>
    </w:p>
    <w:p w:rsidR="00C1323C" w:rsidRPr="00DA1726" w:rsidRDefault="00C1323C" w:rsidP="00DA1726">
      <w:pPr>
        <w:widowControl w:val="0"/>
        <w:numPr>
          <w:ilvl w:val="1"/>
          <w:numId w:val="28"/>
        </w:numPr>
        <w:tabs>
          <w:tab w:val="num" w:pos="540"/>
        </w:tabs>
        <w:autoSpaceDE w:val="0"/>
        <w:autoSpaceDN w:val="0"/>
        <w:adjustRightInd w:val="0"/>
        <w:ind w:left="426" w:firstLine="0"/>
        <w:jc w:val="both"/>
        <w:rPr>
          <w:sz w:val="28"/>
          <w:szCs w:val="28"/>
          <w:lang w:eastAsia="es-ES"/>
        </w:rPr>
      </w:pPr>
      <w:r w:rsidRPr="00DA1726">
        <w:rPr>
          <w:sz w:val="28"/>
          <w:szCs w:val="28"/>
          <w:lang w:eastAsia="es-ES"/>
        </w:rPr>
        <w:t>Si bien los fallos de tutela proferidos contra una EPS o IPS son un indicador efectivo de que éstas transgredieron el derecho a la salud amparado, no es el único que debe tenerse en cuenta, ya que no toda negativa injustificada a prestar un servicio de salud finiquita en la interposición de este tipo de acciones (…).</w:t>
      </w:r>
    </w:p>
    <w:p w:rsidR="00C1323C" w:rsidRPr="00DA1726" w:rsidRDefault="00C1323C" w:rsidP="00DA1726">
      <w:pPr>
        <w:widowControl w:val="0"/>
        <w:autoSpaceDE w:val="0"/>
        <w:autoSpaceDN w:val="0"/>
        <w:adjustRightInd w:val="0"/>
        <w:ind w:left="426"/>
        <w:jc w:val="both"/>
        <w:rPr>
          <w:sz w:val="28"/>
          <w:szCs w:val="28"/>
          <w:lang w:eastAsia="es-ES"/>
        </w:rPr>
      </w:pPr>
    </w:p>
    <w:p w:rsidR="00C1323C" w:rsidRPr="00DA1726" w:rsidRDefault="00C1323C" w:rsidP="00DA1726">
      <w:pPr>
        <w:widowControl w:val="0"/>
        <w:numPr>
          <w:ilvl w:val="1"/>
          <w:numId w:val="28"/>
        </w:numPr>
        <w:tabs>
          <w:tab w:val="num" w:pos="540"/>
        </w:tabs>
        <w:autoSpaceDE w:val="0"/>
        <w:autoSpaceDN w:val="0"/>
        <w:adjustRightInd w:val="0"/>
        <w:ind w:left="426" w:firstLine="0"/>
        <w:jc w:val="both"/>
        <w:rPr>
          <w:sz w:val="28"/>
          <w:szCs w:val="28"/>
          <w:lang w:eastAsia="en-US"/>
        </w:rPr>
      </w:pPr>
      <w:r w:rsidRPr="00DA1726">
        <w:rPr>
          <w:sz w:val="28"/>
          <w:szCs w:val="28"/>
          <w:lang w:eastAsia="es-ES"/>
        </w:rPr>
        <w:t xml:space="preserve">Resulta aún más impreciso utilizar como indicador el </w:t>
      </w:r>
      <w:r w:rsidRPr="00DA1726">
        <w:rPr>
          <w:sz w:val="28"/>
          <w:szCs w:val="28"/>
        </w:rPr>
        <w:t>número de solicitudes de recobro con cargo al Fondo de Solidaridad y Garantía    -FOSYGA-, debido a que no todos los fallos de tutela en los que se amparó el derecho a la salud ordenaron recobro (…).</w:t>
      </w:r>
    </w:p>
    <w:p w:rsidR="00C1323C" w:rsidRPr="00DA1726" w:rsidRDefault="00C1323C" w:rsidP="00DA1726">
      <w:pPr>
        <w:widowControl w:val="0"/>
        <w:autoSpaceDE w:val="0"/>
        <w:autoSpaceDN w:val="0"/>
        <w:adjustRightInd w:val="0"/>
        <w:ind w:left="426"/>
        <w:jc w:val="both"/>
        <w:rPr>
          <w:sz w:val="28"/>
          <w:szCs w:val="28"/>
          <w:lang w:eastAsia="es-ES"/>
        </w:rPr>
      </w:pPr>
    </w:p>
    <w:p w:rsidR="00C1323C" w:rsidRPr="00DA1726" w:rsidRDefault="00C1323C" w:rsidP="00DA1726">
      <w:pPr>
        <w:widowControl w:val="0"/>
        <w:numPr>
          <w:ilvl w:val="1"/>
          <w:numId w:val="28"/>
        </w:numPr>
        <w:tabs>
          <w:tab w:val="num" w:pos="540"/>
        </w:tabs>
        <w:autoSpaceDE w:val="0"/>
        <w:autoSpaceDN w:val="0"/>
        <w:adjustRightInd w:val="0"/>
        <w:ind w:left="426" w:firstLine="0"/>
        <w:jc w:val="both"/>
        <w:rPr>
          <w:sz w:val="28"/>
          <w:szCs w:val="28"/>
          <w:lang w:eastAsia="en-US"/>
        </w:rPr>
      </w:pPr>
      <w:r w:rsidRPr="00DA1726">
        <w:rPr>
          <w:sz w:val="28"/>
          <w:szCs w:val="28"/>
          <w:lang w:eastAsia="es-ES"/>
        </w:rPr>
        <w:t xml:space="preserve">Las sanciones pueden contribuir a esclarecer cuáles EPS e IPS </w:t>
      </w:r>
      <w:r w:rsidRPr="00DA1726">
        <w:rPr>
          <w:sz w:val="28"/>
          <w:szCs w:val="28"/>
        </w:rPr>
        <w:t>incurren con mayor frecuencia en prácticas violatorias del derecho a la salud, siempre y cuando se individualice cada una de ellas y se especifique la práctica que da origen a la misma. (…).</w:t>
      </w:r>
    </w:p>
    <w:p w:rsidR="00C1323C" w:rsidRPr="00DA1726" w:rsidRDefault="00C1323C" w:rsidP="00DA1726">
      <w:pPr>
        <w:pStyle w:val="Sinespaciado3"/>
        <w:jc w:val="both"/>
        <w:rPr>
          <w:rFonts w:ascii="Times New Roman" w:hAnsi="Times New Roman"/>
          <w:sz w:val="28"/>
          <w:szCs w:val="28"/>
          <w:lang w:val="es-ES"/>
        </w:rPr>
      </w:pPr>
    </w:p>
    <w:p w:rsidR="00C1323C" w:rsidRPr="00DA1726" w:rsidRDefault="00C1323C" w:rsidP="00DA1726">
      <w:pPr>
        <w:pStyle w:val="Sinespaciado3"/>
        <w:tabs>
          <w:tab w:val="num" w:pos="360"/>
        </w:tabs>
        <w:jc w:val="both"/>
        <w:rPr>
          <w:rFonts w:ascii="Times New Roman" w:hAnsi="Times New Roman"/>
          <w:sz w:val="28"/>
          <w:szCs w:val="28"/>
          <w:lang w:val="es-ES"/>
        </w:rPr>
      </w:pPr>
      <w:r w:rsidRPr="00DA1726">
        <w:rPr>
          <w:rFonts w:ascii="Times New Roman" w:hAnsi="Times New Roman"/>
          <w:sz w:val="28"/>
          <w:szCs w:val="28"/>
          <w:lang w:val="es-ES"/>
        </w:rPr>
        <w:t>En este contexto, se especificó que para que las entidades responsables cumplan materialmente con lo dispuesto en la orden vigésima, deben identificar las EPS e IPS que con mayor frecuencia incurran en las 14 prácticas violatorias que fueron identificadas y que han sido utilizadas reiteradamente por las autoridades encargadas de cumplir con el mandato de la Corte</w:t>
      </w:r>
      <w:r w:rsidRPr="00DA1726">
        <w:rPr>
          <w:rFonts w:ascii="Times New Roman" w:hAnsi="Times New Roman"/>
          <w:sz w:val="28"/>
          <w:szCs w:val="28"/>
          <w:vertAlign w:val="superscript"/>
          <w:lang w:val="es-ES"/>
        </w:rPr>
        <w:footnoteReference w:id="117"/>
      </w:r>
      <w:r w:rsidRPr="00DA1726">
        <w:rPr>
          <w:rFonts w:ascii="Times New Roman" w:hAnsi="Times New Roman"/>
          <w:sz w:val="28"/>
          <w:szCs w:val="28"/>
          <w:lang w:val="es-ES"/>
        </w:rPr>
        <w:t>.</w:t>
      </w:r>
    </w:p>
    <w:p w:rsidR="005D2B48" w:rsidRPr="00DA1726" w:rsidRDefault="005D2B48" w:rsidP="00DA1726">
      <w:pPr>
        <w:jc w:val="both"/>
        <w:rPr>
          <w:sz w:val="28"/>
          <w:szCs w:val="28"/>
          <w:lang w:val="es-ES"/>
        </w:rPr>
      </w:pPr>
    </w:p>
    <w:p w:rsidR="005D2B48" w:rsidRPr="00DA1726" w:rsidRDefault="005D2B48" w:rsidP="00DA1726">
      <w:pPr>
        <w:jc w:val="both"/>
        <w:rPr>
          <w:sz w:val="28"/>
          <w:szCs w:val="28"/>
          <w:lang w:val="es-ES"/>
        </w:rPr>
      </w:pPr>
      <w:r w:rsidRPr="00DA1726">
        <w:rPr>
          <w:sz w:val="28"/>
          <w:szCs w:val="28"/>
          <w:lang w:val="es-ES"/>
        </w:rPr>
        <w:t xml:space="preserve">Posteriormente se dictó el </w:t>
      </w:r>
      <w:r w:rsidRPr="00DA1726">
        <w:rPr>
          <w:b/>
          <w:sz w:val="28"/>
          <w:szCs w:val="28"/>
          <w:lang w:val="es-ES"/>
        </w:rPr>
        <w:t xml:space="preserve">Auto 260 de 2012, </w:t>
      </w:r>
      <w:r w:rsidRPr="00DA1726">
        <w:rPr>
          <w:sz w:val="28"/>
          <w:szCs w:val="28"/>
          <w:lang w:val="es-ES"/>
        </w:rPr>
        <w:t xml:space="preserve">en el que se declaró el cumplimiento parcial de la orden vigésima y en consecuencia se ordenó al </w:t>
      </w:r>
      <w:r w:rsidRPr="00DA1726">
        <w:rPr>
          <w:sz w:val="28"/>
          <w:szCs w:val="28"/>
        </w:rPr>
        <w:t xml:space="preserve">Ministerio de Salud y Protección Social y a la Superintendencia Nacional de Salud realizar un nuevo ranking en el que </w:t>
      </w:r>
      <w:r w:rsidR="00DE5C71" w:rsidRPr="00DA1726">
        <w:rPr>
          <w:sz w:val="28"/>
          <w:szCs w:val="28"/>
        </w:rPr>
        <w:t>se evaluaran</w:t>
      </w:r>
      <w:r w:rsidRPr="00DA1726">
        <w:rPr>
          <w:sz w:val="28"/>
          <w:szCs w:val="28"/>
        </w:rPr>
        <w:t xml:space="preserve"> las prácticas violatorias del derecho a la salud</w:t>
      </w:r>
      <w:r w:rsidR="004D36B4" w:rsidRPr="00DA1726">
        <w:rPr>
          <w:sz w:val="28"/>
          <w:szCs w:val="28"/>
        </w:rPr>
        <w:t xml:space="preserve">, para así identificar </w:t>
      </w:r>
      <w:r w:rsidRPr="00DA1726">
        <w:rPr>
          <w:sz w:val="28"/>
          <w:szCs w:val="28"/>
        </w:rPr>
        <w:t>las EPS e IPS que con mayor frecuencia incurren en la vulneración de este derecho, con base en los lineamientos señalados en la sentencia T-760 de 2008</w:t>
      </w:r>
      <w:r w:rsidR="004D36B4" w:rsidRPr="00DA1726">
        <w:rPr>
          <w:sz w:val="28"/>
          <w:szCs w:val="28"/>
        </w:rPr>
        <w:t>, los cuales fueron reiterados en el Auto 044 de 2012</w:t>
      </w:r>
      <w:r w:rsidRPr="00DA1726">
        <w:rPr>
          <w:sz w:val="28"/>
          <w:szCs w:val="28"/>
        </w:rPr>
        <w:t xml:space="preserve">. </w:t>
      </w:r>
      <w:r w:rsidR="00DE5C71" w:rsidRPr="00DA1726">
        <w:rPr>
          <w:sz w:val="28"/>
          <w:szCs w:val="28"/>
        </w:rPr>
        <w:t xml:space="preserve">En esa medida se reiteraron los </w:t>
      </w:r>
      <w:r w:rsidRPr="00DA1726">
        <w:rPr>
          <w:sz w:val="28"/>
          <w:szCs w:val="28"/>
          <w:lang w:val="es-ES"/>
        </w:rPr>
        <w:t xml:space="preserve">parámetros para la elaboración del </w:t>
      </w:r>
      <w:r w:rsidR="00DE5C71" w:rsidRPr="00DA1726">
        <w:rPr>
          <w:sz w:val="28"/>
          <w:szCs w:val="28"/>
          <w:lang w:val="es-ES"/>
        </w:rPr>
        <w:t>referido escalafón</w:t>
      </w:r>
      <w:r w:rsidRPr="00DA1726">
        <w:rPr>
          <w:sz w:val="28"/>
          <w:szCs w:val="28"/>
          <w:lang w:val="es-ES"/>
        </w:rPr>
        <w:t>.</w:t>
      </w:r>
    </w:p>
    <w:p w:rsidR="005D2B48" w:rsidRPr="00DA1726" w:rsidRDefault="005D2B48" w:rsidP="00DA1726">
      <w:pPr>
        <w:jc w:val="both"/>
        <w:rPr>
          <w:sz w:val="28"/>
          <w:szCs w:val="28"/>
          <w:lang w:val="es-ES"/>
        </w:rPr>
      </w:pPr>
    </w:p>
    <w:p w:rsidR="00C1323C" w:rsidRPr="00DA1726" w:rsidRDefault="00C1323C" w:rsidP="00DA1726">
      <w:pPr>
        <w:jc w:val="both"/>
        <w:rPr>
          <w:rStyle w:val="b"/>
          <w:i/>
          <w:color w:val="000000"/>
          <w:spacing w:val="-3"/>
          <w:sz w:val="28"/>
          <w:szCs w:val="28"/>
        </w:rPr>
      </w:pPr>
      <w:r w:rsidRPr="00DA1726">
        <w:rPr>
          <w:sz w:val="28"/>
          <w:szCs w:val="28"/>
          <w:lang w:val="es-ES"/>
        </w:rPr>
        <w:t xml:space="preserve">También dentro del proceso de seguimiento se profirió el </w:t>
      </w:r>
      <w:r w:rsidRPr="00DA1726">
        <w:rPr>
          <w:b/>
          <w:sz w:val="28"/>
          <w:szCs w:val="28"/>
          <w:lang w:val="es-ES"/>
        </w:rPr>
        <w:t>Auto 249 de 2013</w:t>
      </w:r>
      <w:r w:rsidRPr="00DA1726">
        <w:rPr>
          <w:sz w:val="28"/>
          <w:szCs w:val="28"/>
          <w:lang w:val="es-ES"/>
        </w:rPr>
        <w:t xml:space="preserve">, donde se llamó la atención de las autoridades concernidas para que presentaran un acatamiento pleno del fallo estructural, el cual obedece a </w:t>
      </w:r>
      <w:r w:rsidRPr="00DA1726">
        <w:rPr>
          <w:iCs/>
          <w:sz w:val="28"/>
          <w:szCs w:val="28"/>
        </w:rPr>
        <w:t xml:space="preserve">la ordenación no solo de EPS sino también de IPS. Se ordenó a dichas entidades que </w:t>
      </w:r>
      <w:r w:rsidRPr="00DA1726">
        <w:rPr>
          <w:i/>
          <w:iCs/>
          <w:sz w:val="28"/>
          <w:szCs w:val="28"/>
        </w:rPr>
        <w:t>“el ranking debe ser una c</w:t>
      </w:r>
      <w:r w:rsidRPr="00DA1726">
        <w:rPr>
          <w:rStyle w:val="b"/>
          <w:i/>
          <w:sz w:val="28"/>
          <w:szCs w:val="28"/>
        </w:rPr>
        <w:t>lasificación por puestos: primero, segundo, tercero, etc., debiéndose ubicar en el primer lugar, por ejemplo, aquel asegurador o prestador que, a partir de la evaluación ‘sobre las prácticas violatorias del derecho a la salud’</w:t>
      </w:r>
      <w:r w:rsidRPr="00DA1726">
        <w:rPr>
          <w:i/>
          <w:sz w:val="28"/>
          <w:szCs w:val="28"/>
          <w:vertAlign w:val="superscript"/>
        </w:rPr>
        <w:footnoteReference w:id="118"/>
      </w:r>
      <w:r w:rsidRPr="00DA1726">
        <w:rPr>
          <w:rStyle w:val="b"/>
          <w:i/>
          <w:sz w:val="28"/>
          <w:szCs w:val="28"/>
        </w:rPr>
        <w:t xml:space="preserve"> y teniendo como fuente un sistema de información confiable y de calidad, sea el que menos incurra en ellas; mientras que en el último puesto ha de registrarse aquella entidad que más reportes posea. Esta relación por ubicación debe compaginarse con una clasificación porcentual, en la cual el 100% corresponde a aquella entidad que no tiene reportes sobre violaciones al derecho a la salud y el 0% aquella que cuenta con más”.</w:t>
      </w:r>
    </w:p>
    <w:p w:rsidR="00C1323C" w:rsidRPr="00DA1726" w:rsidRDefault="00C1323C" w:rsidP="00DA1726">
      <w:pPr>
        <w:jc w:val="both"/>
        <w:rPr>
          <w:sz w:val="28"/>
          <w:szCs w:val="28"/>
        </w:rPr>
      </w:pPr>
    </w:p>
    <w:p w:rsidR="00867069" w:rsidRPr="00DA1726" w:rsidRDefault="004D36B4" w:rsidP="00DA1726">
      <w:pPr>
        <w:jc w:val="both"/>
        <w:rPr>
          <w:sz w:val="28"/>
          <w:szCs w:val="28"/>
          <w:lang w:val="es-ES"/>
        </w:rPr>
      </w:pPr>
      <w:r w:rsidRPr="00DA1726">
        <w:rPr>
          <w:sz w:val="28"/>
          <w:szCs w:val="28"/>
          <w:lang w:val="es-ES"/>
        </w:rPr>
        <w:t>Por su parte</w:t>
      </w:r>
      <w:r w:rsidR="00867069" w:rsidRPr="00DA1726">
        <w:rPr>
          <w:sz w:val="28"/>
          <w:szCs w:val="28"/>
          <w:lang w:val="es-ES"/>
        </w:rPr>
        <w:t xml:space="preserve">, en la </w:t>
      </w:r>
      <w:r w:rsidR="00867069" w:rsidRPr="00DA1726">
        <w:rPr>
          <w:b/>
          <w:sz w:val="28"/>
          <w:szCs w:val="28"/>
          <w:lang w:val="es-ES"/>
        </w:rPr>
        <w:t>Sentencia C-313 de 2014</w:t>
      </w:r>
      <w:r w:rsidR="00867069" w:rsidRPr="00DA1726">
        <w:rPr>
          <w:sz w:val="28"/>
          <w:szCs w:val="28"/>
          <w:lang w:val="es-ES"/>
        </w:rPr>
        <w:t xml:space="preserve"> se analizaron las bases constitucionales de la libertad de escogencia y se reiteró su importancia dentro del funcionamiento del sistema de salud. Dentro del análisis de la constitucionalidad del artículo 6, literal h) de la Ley Estatutaria se afirmó lo siguiente:</w:t>
      </w:r>
    </w:p>
    <w:p w:rsidR="00867069" w:rsidRPr="00DA1726" w:rsidRDefault="00867069" w:rsidP="00DA1726">
      <w:pPr>
        <w:jc w:val="both"/>
        <w:rPr>
          <w:sz w:val="28"/>
          <w:szCs w:val="28"/>
          <w:lang w:val="es-ES"/>
        </w:rPr>
      </w:pPr>
    </w:p>
    <w:p w:rsidR="00867069" w:rsidRPr="00DA1726" w:rsidRDefault="00867069" w:rsidP="00DA1726">
      <w:pPr>
        <w:ind w:left="426"/>
        <w:jc w:val="both"/>
        <w:rPr>
          <w:sz w:val="28"/>
          <w:szCs w:val="28"/>
        </w:rPr>
      </w:pPr>
      <w:r w:rsidRPr="00DA1726">
        <w:rPr>
          <w:sz w:val="28"/>
          <w:szCs w:val="28"/>
        </w:rPr>
        <w:t xml:space="preserve">“El literal </w:t>
      </w:r>
      <w:r w:rsidRPr="00DA1726">
        <w:rPr>
          <w:i/>
          <w:sz w:val="28"/>
          <w:szCs w:val="28"/>
        </w:rPr>
        <w:t>h)</w:t>
      </w:r>
      <w:r w:rsidRPr="00DA1726">
        <w:rPr>
          <w:sz w:val="28"/>
          <w:szCs w:val="28"/>
        </w:rPr>
        <w:t xml:space="preserve"> de la norma estatutaria en análisis, incorpora en el catálogo de principios del derecho fundamental a la salud la libertad de elección, según la cual, las personas tienen amplitud de elegir su entidad de salud dentro de la oferta existente, acorde con las normas de habilitación. </w:t>
      </w:r>
    </w:p>
    <w:p w:rsidR="00867069" w:rsidRPr="00DA1726" w:rsidRDefault="00867069" w:rsidP="00DA1726">
      <w:pPr>
        <w:ind w:left="426"/>
        <w:jc w:val="both"/>
        <w:rPr>
          <w:sz w:val="28"/>
          <w:szCs w:val="28"/>
        </w:rPr>
      </w:pPr>
    </w:p>
    <w:p w:rsidR="00867069" w:rsidRPr="00DA1726" w:rsidRDefault="00867069" w:rsidP="00DA1726">
      <w:pPr>
        <w:ind w:left="426"/>
        <w:jc w:val="both"/>
        <w:rPr>
          <w:sz w:val="28"/>
          <w:szCs w:val="28"/>
        </w:rPr>
      </w:pPr>
      <w:r w:rsidRPr="00DA1726">
        <w:rPr>
          <w:sz w:val="28"/>
          <w:szCs w:val="28"/>
        </w:rPr>
        <w:t>En lo que atañe a este literal, cabe precisar que la Corte Constitucional ha reconocido dicho derecho como fundamental</w:t>
      </w:r>
      <w:r w:rsidRPr="00DA1726">
        <w:rPr>
          <w:sz w:val="28"/>
          <w:szCs w:val="28"/>
          <w:vertAlign w:val="superscript"/>
        </w:rPr>
        <w:footnoteReference w:id="119"/>
      </w:r>
      <w:r w:rsidRPr="00DA1726">
        <w:rPr>
          <w:sz w:val="28"/>
          <w:szCs w:val="28"/>
        </w:rPr>
        <w:t>. Igualmente el juez constitucional, a pesar de reconocer el origen legal de la figura</w:t>
      </w:r>
      <w:r w:rsidRPr="00DA1726">
        <w:rPr>
          <w:sz w:val="28"/>
          <w:szCs w:val="28"/>
          <w:vertAlign w:val="superscript"/>
        </w:rPr>
        <w:footnoteReference w:id="120"/>
      </w:r>
      <w:r w:rsidRPr="00DA1726">
        <w:rPr>
          <w:sz w:val="28"/>
          <w:szCs w:val="28"/>
        </w:rPr>
        <w:t xml:space="preserve">, ha destacado su dimensión constitucional. La Corte, en varias providencias, ha explicado que la precitada libertad de elección en el ámbito de la salud tiene soporte en el precepto que consagra la autonomía de los sujetos. En el caso particular colombiano, el artículo 16 de la Carta. Puede decirse que la libertad de elección en el ámbito de la salud es una expresión más de la autonomía en sentido general. </w:t>
      </w:r>
    </w:p>
    <w:p w:rsidR="00867069" w:rsidRPr="00DA1726" w:rsidRDefault="00867069" w:rsidP="00DA1726">
      <w:pPr>
        <w:ind w:left="426"/>
        <w:jc w:val="both"/>
        <w:rPr>
          <w:sz w:val="28"/>
          <w:szCs w:val="28"/>
        </w:rPr>
      </w:pPr>
    </w:p>
    <w:p w:rsidR="00867069" w:rsidRPr="00DA1726" w:rsidRDefault="00867069" w:rsidP="00DA1726">
      <w:pPr>
        <w:ind w:left="426"/>
        <w:jc w:val="both"/>
        <w:rPr>
          <w:sz w:val="28"/>
          <w:szCs w:val="28"/>
        </w:rPr>
      </w:pPr>
      <w:r w:rsidRPr="00DA1726">
        <w:rPr>
          <w:sz w:val="28"/>
          <w:szCs w:val="28"/>
        </w:rPr>
        <w:t>Sin embargo, el principio encuentra otros fundamentos constitucionales, uno de ellos es el de la dignidad, la cual, al estar inescindiblemente vinculada a la salud, se puede ver comprometida por la imposibilidad de poder obtener un servicio que el afectado, estima como mejor. Adicionalmente, la libertad de elección guarda directa relación con los elementos esenciales del derecho a la salud, particularmente con el acceso y la calidad del servicio. Una afectación o supresión de este principio que también tiene la dimensión de derecho puede implicar una negación del acceso a la salud y de la prestación del servicio en condiciones de calidad.</w:t>
      </w:r>
    </w:p>
    <w:p w:rsidR="00867069" w:rsidRPr="00DA1726" w:rsidRDefault="00867069" w:rsidP="00DA1726">
      <w:pPr>
        <w:ind w:left="426"/>
        <w:jc w:val="both"/>
        <w:rPr>
          <w:sz w:val="28"/>
          <w:szCs w:val="28"/>
        </w:rPr>
      </w:pPr>
      <w:r w:rsidRPr="00DA1726">
        <w:rPr>
          <w:sz w:val="28"/>
          <w:szCs w:val="28"/>
        </w:rPr>
        <w:t>(…)</w:t>
      </w:r>
    </w:p>
    <w:p w:rsidR="00867069" w:rsidRPr="00DA1726" w:rsidRDefault="00867069" w:rsidP="00DA1726">
      <w:pPr>
        <w:ind w:left="426"/>
        <w:jc w:val="both"/>
        <w:rPr>
          <w:sz w:val="28"/>
          <w:szCs w:val="28"/>
        </w:rPr>
      </w:pPr>
      <w:r w:rsidRPr="00DA1726">
        <w:rPr>
          <w:sz w:val="28"/>
          <w:szCs w:val="28"/>
        </w:rPr>
        <w:t>Para la Sala, las razones sucintamente expuestas, permiten afirmar que la inclusión del principio de libertad de elección en el Proyecto, no riñe con la Constitución con lo cual, procedería la declaración de exequibilidad correspondiente. Con todo, no sobra precisar, que una interpretación del texto legal desde la Constitución no admite una particular lectura, según la cual, el ejercicio de la libertad de elección, implica, sin más, la sujeción a las normas de habilitación. Para la Corte una interpretación de este tipo podría suponer la negación de la libertad misma, por ello, la jurisprudencia si bien ha trazado límites, también ha establecido situaciones en las cuales la libertad de elección se impone frente a normas que puedan constituirse en una negación del derecho. El fallo antes citado (T- 745 de 2013) advierte que la libertad de elección tiene lugar sin cortapisas en los casos del suministro de atención de urgencias, cuando el prestador de salud lo autorice o, cuando la EPS no esté en capacidad técnica de cubrir las necesidades en materia de salud del afiliado y que la IPS receptora garantice la prestación integral, de buena calidad y no existan afectaciones en las condiciones de salud de los usuarios.</w:t>
      </w:r>
    </w:p>
    <w:p w:rsidR="00867069" w:rsidRPr="00DA1726" w:rsidRDefault="00867069" w:rsidP="00DA1726">
      <w:pPr>
        <w:ind w:left="426"/>
        <w:jc w:val="both"/>
        <w:rPr>
          <w:sz w:val="28"/>
          <w:szCs w:val="28"/>
        </w:rPr>
      </w:pPr>
    </w:p>
    <w:p w:rsidR="00867069" w:rsidRPr="00DA1726" w:rsidRDefault="00867069" w:rsidP="00DA1726">
      <w:pPr>
        <w:ind w:left="426"/>
        <w:jc w:val="both"/>
        <w:rPr>
          <w:sz w:val="28"/>
          <w:szCs w:val="28"/>
        </w:rPr>
      </w:pPr>
      <w:r w:rsidRPr="00DA1726">
        <w:rPr>
          <w:sz w:val="28"/>
          <w:szCs w:val="28"/>
        </w:rPr>
        <w:t>La construcción jurisprudencial de la Corporación ha evidenciado que el ejercicio de la libertad, como todos los principios, no es de carácter absoluto y, consecuentemente, debe ser ponderado acorde con las peculiaridades del caso concreto. Por ello, una apreciación del mandato que restrinja el ejercicio de la libertad sin más a lo que dispongan las normas habilitantes, no opera en favor del goce efectivo del derecho. Para el Tribunal Constitucional, el enunciado legal es constitucional atendiendo que  la sujeción a las normas de habilitación no obra cuando ello suponga la negación o una afectación grave del derecho.”</w:t>
      </w:r>
    </w:p>
    <w:p w:rsidR="00867069" w:rsidRPr="00DA1726" w:rsidRDefault="00867069" w:rsidP="00DA1726">
      <w:pPr>
        <w:jc w:val="both"/>
        <w:rPr>
          <w:sz w:val="28"/>
          <w:szCs w:val="28"/>
          <w:lang w:val="es-ES"/>
        </w:rPr>
      </w:pPr>
    </w:p>
    <w:p w:rsidR="00FD2E45" w:rsidRPr="00DA1726" w:rsidRDefault="00C852DB" w:rsidP="00DA1726">
      <w:pPr>
        <w:jc w:val="both"/>
        <w:rPr>
          <w:sz w:val="28"/>
          <w:szCs w:val="28"/>
        </w:rPr>
      </w:pPr>
      <w:r w:rsidRPr="00DA1726">
        <w:rPr>
          <w:sz w:val="28"/>
          <w:szCs w:val="28"/>
        </w:rPr>
        <w:t>Ahora bien</w:t>
      </w:r>
      <w:r w:rsidR="008B6D45" w:rsidRPr="00DA1726">
        <w:rPr>
          <w:sz w:val="28"/>
          <w:szCs w:val="28"/>
        </w:rPr>
        <w:t xml:space="preserve">, para que la libertad de escogencia de las entidades de salud por parte de las personas tenga el efecto de promover las buenas entidades y desincentivar a las malas, es preciso que la información sobre las mismas exista y pueda ser conocida por las personas en el momento de </w:t>
      </w:r>
      <w:r w:rsidR="00FD2E45" w:rsidRPr="00DA1726">
        <w:rPr>
          <w:sz w:val="28"/>
          <w:szCs w:val="28"/>
        </w:rPr>
        <w:t xml:space="preserve">escoger la entidad en cuestión, la cual debe ser </w:t>
      </w:r>
      <w:r w:rsidR="00FD2E45" w:rsidRPr="00DA1726">
        <w:rPr>
          <w:bCs/>
          <w:sz w:val="28"/>
          <w:szCs w:val="28"/>
          <w:lang w:val="es-ES"/>
        </w:rPr>
        <w:t>clara</w:t>
      </w:r>
      <w:r w:rsidR="00FD2E45" w:rsidRPr="00DA1726">
        <w:rPr>
          <w:bCs/>
          <w:sz w:val="28"/>
          <w:szCs w:val="28"/>
          <w:vertAlign w:val="superscript"/>
          <w:lang w:val="es-ES"/>
        </w:rPr>
        <w:footnoteReference w:id="121"/>
      </w:r>
      <w:r w:rsidR="00FD2E45" w:rsidRPr="00DA1726">
        <w:rPr>
          <w:bCs/>
          <w:sz w:val="28"/>
          <w:szCs w:val="28"/>
          <w:lang w:val="es-ES"/>
        </w:rPr>
        <w:t>, completa</w:t>
      </w:r>
      <w:r w:rsidR="00FD2E45" w:rsidRPr="00DA1726">
        <w:rPr>
          <w:bCs/>
          <w:sz w:val="28"/>
          <w:szCs w:val="28"/>
          <w:vertAlign w:val="superscript"/>
          <w:lang w:val="es-ES"/>
        </w:rPr>
        <w:footnoteReference w:id="122"/>
      </w:r>
      <w:r w:rsidR="00FD2E45" w:rsidRPr="00DA1726">
        <w:rPr>
          <w:bCs/>
          <w:sz w:val="28"/>
          <w:szCs w:val="28"/>
          <w:lang w:val="es-ES"/>
        </w:rPr>
        <w:t>, actual</w:t>
      </w:r>
      <w:r w:rsidR="00FD2E45" w:rsidRPr="00DA1726">
        <w:rPr>
          <w:bCs/>
          <w:sz w:val="28"/>
          <w:szCs w:val="28"/>
          <w:vertAlign w:val="superscript"/>
          <w:lang w:val="es-ES"/>
        </w:rPr>
        <w:footnoteReference w:id="123"/>
      </w:r>
      <w:r w:rsidR="00FD2E45" w:rsidRPr="00DA1726">
        <w:rPr>
          <w:bCs/>
          <w:sz w:val="28"/>
          <w:szCs w:val="28"/>
          <w:lang w:val="es-ES"/>
        </w:rPr>
        <w:t xml:space="preserve"> y pública</w:t>
      </w:r>
      <w:r w:rsidR="00FD2E45" w:rsidRPr="00DA1726">
        <w:rPr>
          <w:bCs/>
          <w:sz w:val="28"/>
          <w:szCs w:val="28"/>
          <w:vertAlign w:val="superscript"/>
          <w:lang w:val="es-ES"/>
        </w:rPr>
        <w:footnoteReference w:id="124"/>
      </w:r>
      <w:r w:rsidR="00FD2E45" w:rsidRPr="00DA1726">
        <w:rPr>
          <w:bCs/>
          <w:sz w:val="28"/>
          <w:szCs w:val="28"/>
          <w:lang w:val="es-ES"/>
        </w:rPr>
        <w:t>, es decir, debe ser “</w:t>
      </w:r>
      <w:r w:rsidR="00FD2E45" w:rsidRPr="00DA1726">
        <w:rPr>
          <w:i/>
          <w:sz w:val="28"/>
          <w:szCs w:val="28"/>
        </w:rPr>
        <w:t>comprensible para todas las personas, incluso para aquellas que no tengan conocimientos técnicos sobre el sistema de salud</w:t>
      </w:r>
      <w:r w:rsidR="00FD2E45" w:rsidRPr="00DA1726">
        <w:rPr>
          <w:sz w:val="28"/>
          <w:szCs w:val="28"/>
        </w:rPr>
        <w:t>”</w:t>
      </w:r>
      <w:r w:rsidR="00FD2E45" w:rsidRPr="00DA1726">
        <w:rPr>
          <w:sz w:val="28"/>
          <w:szCs w:val="28"/>
          <w:vertAlign w:val="superscript"/>
        </w:rPr>
        <w:footnoteReference w:id="125"/>
      </w:r>
      <w:r w:rsidR="00FD2E45" w:rsidRPr="00DA1726">
        <w:rPr>
          <w:sz w:val="28"/>
          <w:szCs w:val="28"/>
        </w:rPr>
        <w:t xml:space="preserve">. </w:t>
      </w:r>
    </w:p>
    <w:p w:rsidR="00CB2827" w:rsidRPr="00DA1726" w:rsidRDefault="00CB2827" w:rsidP="00DA1726">
      <w:pPr>
        <w:jc w:val="both"/>
        <w:rPr>
          <w:sz w:val="28"/>
          <w:szCs w:val="28"/>
        </w:rPr>
      </w:pPr>
    </w:p>
    <w:p w:rsidR="004D36B4" w:rsidRPr="00DA1726" w:rsidRDefault="004D36B4" w:rsidP="00DA1726">
      <w:pPr>
        <w:jc w:val="both"/>
        <w:rPr>
          <w:rStyle w:val="FontStyle37"/>
          <w:bCs/>
          <w:sz w:val="28"/>
          <w:szCs w:val="28"/>
          <w:lang w:val="es-ES_tradnl" w:eastAsia="es-ES_tradnl"/>
        </w:rPr>
      </w:pPr>
      <w:r w:rsidRPr="00DA1726">
        <w:rPr>
          <w:sz w:val="28"/>
          <w:szCs w:val="28"/>
        </w:rPr>
        <w:t>Con posterioridad</w:t>
      </w:r>
      <w:r w:rsidR="00996B3F" w:rsidRPr="00DA1726">
        <w:rPr>
          <w:sz w:val="28"/>
          <w:szCs w:val="28"/>
        </w:rPr>
        <w:t>,</w:t>
      </w:r>
      <w:r w:rsidRPr="00DA1726">
        <w:rPr>
          <w:sz w:val="28"/>
          <w:szCs w:val="28"/>
        </w:rPr>
        <w:t xml:space="preserve"> </w:t>
      </w:r>
      <w:r w:rsidR="00996B3F" w:rsidRPr="00DA1726">
        <w:rPr>
          <w:sz w:val="28"/>
          <w:szCs w:val="28"/>
        </w:rPr>
        <w:t>la Sala Especial de Seguimiento</w:t>
      </w:r>
      <w:r w:rsidRPr="00DA1726">
        <w:rPr>
          <w:rStyle w:val="FontStyle26"/>
          <w:sz w:val="28"/>
          <w:szCs w:val="28"/>
          <w:lang w:val="es-ES_tradnl" w:eastAsia="es-ES_tradnl"/>
        </w:rPr>
        <w:t xml:space="preserve"> expidió el </w:t>
      </w:r>
      <w:r w:rsidRPr="00DA1726">
        <w:rPr>
          <w:rStyle w:val="FontStyle26"/>
          <w:b/>
          <w:sz w:val="28"/>
          <w:szCs w:val="28"/>
          <w:lang w:val="es-ES_tradnl" w:eastAsia="es-ES_tradnl"/>
        </w:rPr>
        <w:t>Auto 412 de 2015</w:t>
      </w:r>
      <w:r w:rsidRPr="00DA1726">
        <w:rPr>
          <w:rStyle w:val="FontStyle26"/>
          <w:sz w:val="28"/>
          <w:szCs w:val="28"/>
          <w:lang w:val="es-ES_tradnl" w:eastAsia="es-ES_tradnl"/>
        </w:rPr>
        <w:t>,</w:t>
      </w:r>
      <w:r w:rsidRPr="00DA1726">
        <w:rPr>
          <w:sz w:val="28"/>
          <w:szCs w:val="28"/>
        </w:rPr>
        <w:t xml:space="preserve"> a través del cual se dio respuesta a las solicitudes del </w:t>
      </w:r>
      <w:r w:rsidRPr="00DA1726">
        <w:rPr>
          <w:rStyle w:val="FontStyle26"/>
          <w:sz w:val="28"/>
          <w:szCs w:val="28"/>
          <w:lang w:val="es-ES_tradnl" w:eastAsia="es-ES_tradnl"/>
        </w:rPr>
        <w:t xml:space="preserve">Ministerio de Salud y Protección Social y la Superintendencia Nacional de Salud quienes manifestaron una serie de inquietudes relacionadas con el cumplimiento de la orden vigésima. Así mismo, solicitaron </w:t>
      </w:r>
      <w:r w:rsidR="00996B3F" w:rsidRPr="00DA1726">
        <w:rPr>
          <w:rStyle w:val="FontStyle26"/>
          <w:sz w:val="28"/>
          <w:szCs w:val="28"/>
          <w:lang w:val="es-ES_tradnl" w:eastAsia="es-ES_tradnl"/>
        </w:rPr>
        <w:t>reconsiderar</w:t>
      </w:r>
      <w:r w:rsidRPr="00DA1726">
        <w:rPr>
          <w:rStyle w:val="FontStyle26"/>
          <w:sz w:val="28"/>
          <w:szCs w:val="28"/>
          <w:lang w:val="es-ES_tradnl" w:eastAsia="es-ES_tradnl"/>
        </w:rPr>
        <w:t xml:space="preserve"> el</w:t>
      </w:r>
      <w:r w:rsidR="00996B3F" w:rsidRPr="00DA1726">
        <w:rPr>
          <w:rStyle w:val="FontStyle26"/>
          <w:sz w:val="28"/>
          <w:szCs w:val="28"/>
          <w:lang w:val="es-ES_tradnl" w:eastAsia="es-ES_tradnl"/>
        </w:rPr>
        <w:t xml:space="preserve"> numeral 6</w:t>
      </w:r>
      <w:r w:rsidR="00996B3F" w:rsidRPr="00DA1726">
        <w:rPr>
          <w:rStyle w:val="FontStyle26"/>
          <w:sz w:val="28"/>
          <w:szCs w:val="28"/>
          <w:vertAlign w:val="superscript"/>
          <w:lang w:val="es-ES_tradnl" w:eastAsia="es-ES_tradnl"/>
        </w:rPr>
        <w:footnoteReference w:id="126"/>
      </w:r>
      <w:r w:rsidR="00996B3F" w:rsidRPr="00DA1726">
        <w:rPr>
          <w:rStyle w:val="FontStyle26"/>
          <w:sz w:val="28"/>
          <w:szCs w:val="28"/>
          <w:lang w:val="es-ES_tradnl" w:eastAsia="es-ES_tradnl"/>
        </w:rPr>
        <w:t xml:space="preserve"> del</w:t>
      </w:r>
      <w:r w:rsidRPr="00DA1726">
        <w:rPr>
          <w:rStyle w:val="FontStyle26"/>
          <w:sz w:val="28"/>
          <w:szCs w:val="28"/>
          <w:lang w:val="es-ES_tradnl" w:eastAsia="es-ES_tradnl"/>
        </w:rPr>
        <w:t xml:space="preserve"> Auto 249 de 2013, debido a que “</w:t>
      </w:r>
      <w:r w:rsidRPr="00DA1726">
        <w:rPr>
          <w:rStyle w:val="FontStyle26"/>
          <w:i/>
          <w:sz w:val="28"/>
          <w:szCs w:val="28"/>
          <w:lang w:val="es-ES_tradnl" w:eastAsia="es-ES_tradnl"/>
        </w:rPr>
        <w:t>hacen materialmente inviable el cumplimiento de la orden</w:t>
      </w:r>
      <w:r w:rsidRPr="00DA1726">
        <w:rPr>
          <w:rStyle w:val="FontStyle26"/>
          <w:sz w:val="28"/>
          <w:szCs w:val="28"/>
          <w:lang w:val="es-ES_tradnl" w:eastAsia="es-ES_tradnl"/>
        </w:rPr>
        <w:t xml:space="preserve">”. Al respecto la </w:t>
      </w:r>
      <w:r w:rsidR="00996B3F" w:rsidRPr="00DA1726">
        <w:rPr>
          <w:rStyle w:val="FontStyle26"/>
          <w:sz w:val="28"/>
          <w:szCs w:val="28"/>
          <w:lang w:val="es-ES_tradnl" w:eastAsia="es-ES_tradnl"/>
        </w:rPr>
        <w:t>Corte Constitucional</w:t>
      </w:r>
      <w:r w:rsidRPr="00DA1726">
        <w:rPr>
          <w:rStyle w:val="FontStyle26"/>
          <w:sz w:val="28"/>
          <w:szCs w:val="28"/>
          <w:lang w:val="es-ES_tradnl" w:eastAsia="es-ES_tradnl"/>
        </w:rPr>
        <w:t xml:space="preserve"> indicó que no es procedente acceder a dicha solicitud debido a que las providencias dictadas a causa del seguimiento deben ser </w:t>
      </w:r>
      <w:r w:rsidR="00996B3F" w:rsidRPr="00DA1726">
        <w:rPr>
          <w:rStyle w:val="FontStyle26"/>
          <w:sz w:val="28"/>
          <w:szCs w:val="28"/>
          <w:lang w:val="es-ES_tradnl" w:eastAsia="es-ES_tradnl"/>
        </w:rPr>
        <w:t>acatadas</w:t>
      </w:r>
      <w:r w:rsidRPr="00DA1726">
        <w:rPr>
          <w:rStyle w:val="FontStyle26"/>
          <w:sz w:val="28"/>
          <w:szCs w:val="28"/>
          <w:lang w:val="es-ES_tradnl" w:eastAsia="es-ES_tradnl"/>
        </w:rPr>
        <w:t xml:space="preserve"> por las entidades a las que van dirigidas sin dilación alguna. </w:t>
      </w:r>
    </w:p>
    <w:p w:rsidR="004D36B4" w:rsidRPr="00DA1726" w:rsidRDefault="004D36B4" w:rsidP="00DA1726">
      <w:pPr>
        <w:jc w:val="both"/>
        <w:rPr>
          <w:rStyle w:val="FontStyle26"/>
          <w:sz w:val="28"/>
          <w:szCs w:val="28"/>
          <w:lang w:val="es-ES_tradnl" w:eastAsia="es-ES_tradnl"/>
        </w:rPr>
      </w:pPr>
    </w:p>
    <w:p w:rsidR="004D36B4" w:rsidRPr="00DA1726" w:rsidRDefault="004D36B4" w:rsidP="00DA1726">
      <w:pPr>
        <w:jc w:val="both"/>
        <w:rPr>
          <w:sz w:val="28"/>
          <w:szCs w:val="28"/>
          <w:lang w:val="es-ES"/>
        </w:rPr>
      </w:pPr>
      <w:r w:rsidRPr="00DA1726">
        <w:rPr>
          <w:sz w:val="28"/>
          <w:szCs w:val="28"/>
          <w:lang w:val="es-ES_tradnl"/>
        </w:rPr>
        <w:t xml:space="preserve">En concreto se advirtió que </w:t>
      </w:r>
      <w:r w:rsidRPr="00DA1726">
        <w:rPr>
          <w:i/>
          <w:sz w:val="28"/>
          <w:szCs w:val="28"/>
          <w:lang w:val="es-ES_tradnl"/>
        </w:rPr>
        <w:t>“</w:t>
      </w:r>
      <w:r w:rsidRPr="00DA1726">
        <w:rPr>
          <w:i/>
          <w:sz w:val="28"/>
          <w:szCs w:val="28"/>
          <w:lang w:val="es-ES"/>
        </w:rPr>
        <w:t>no es incompatible con el mandato vigésimo de la Sentencia T-760 de 2008 que se establezca una ordenación simple de las EPS e IPS que vulneran el derecho a la salud”</w:t>
      </w:r>
      <w:r w:rsidRPr="00DA1726">
        <w:rPr>
          <w:sz w:val="28"/>
          <w:szCs w:val="28"/>
          <w:lang w:val="es-ES"/>
        </w:rPr>
        <w:t xml:space="preserve">. Sin embargo, se aclaró que los 14 parámetros de valoración podrían ser objeto de actualización en los términos de la Ley Estatutaria 1751 de 2015 y la sentencia C-313 de 2014. Además, la Sala estimó que debido a la importancia de esta ordenación y a las constantes quejas sobre negación de los servicios que se encuentran incluidos en el POS sería </w:t>
      </w:r>
      <w:r w:rsidRPr="00DA1726">
        <w:rPr>
          <w:i/>
          <w:sz w:val="28"/>
          <w:szCs w:val="28"/>
          <w:lang w:val="es-ES"/>
        </w:rPr>
        <w:t>“deseable”</w:t>
      </w:r>
      <w:r w:rsidRPr="00DA1726">
        <w:rPr>
          <w:sz w:val="28"/>
          <w:szCs w:val="28"/>
          <w:lang w:val="es-ES"/>
        </w:rPr>
        <w:t xml:space="preserve"> que se estableciera una clasificación simple porque: (i) puede resultar más fácil de entender y de aplicar por parte de los usuarios; (ii) podría forzar una actuación más eficaz por parte de la Superintendencia Nacional de Salud y (iii) constituiría un medio de presión sobre las actuaciones irregulares que vienen presentando algunas promotoras.</w:t>
      </w:r>
    </w:p>
    <w:p w:rsidR="004D36B4" w:rsidRPr="00DA1726" w:rsidRDefault="004D36B4" w:rsidP="00DA1726">
      <w:pPr>
        <w:jc w:val="both"/>
        <w:rPr>
          <w:sz w:val="28"/>
          <w:szCs w:val="28"/>
          <w:lang w:val="es-ES"/>
        </w:rPr>
      </w:pPr>
    </w:p>
    <w:p w:rsidR="004D36B4" w:rsidRPr="00DA1726" w:rsidRDefault="004D36B4"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 xml:space="preserve">No obstante, atendiendo los argumentos expuestos por las entidades obligadas al cumplimiento, la Sala consideró que </w:t>
      </w:r>
      <w:r w:rsidRPr="00DA1726">
        <w:rPr>
          <w:rFonts w:ascii="Times New Roman" w:hAnsi="Times New Roman"/>
          <w:i/>
          <w:color w:val="000000"/>
          <w:sz w:val="28"/>
          <w:szCs w:val="28"/>
          <w:lang w:val="es-ES"/>
        </w:rPr>
        <w:t>“una ordenación de EPS e IPS por grupos con diversos niveles de calificación también puede cumplir con las metas consignadas”</w:t>
      </w:r>
      <w:r w:rsidRPr="00DA1726">
        <w:rPr>
          <w:rFonts w:ascii="Times New Roman" w:hAnsi="Times New Roman"/>
          <w:color w:val="000000"/>
          <w:sz w:val="28"/>
          <w:szCs w:val="28"/>
          <w:lang w:val="es-ES"/>
        </w:rPr>
        <w:t xml:space="preserve">. En este escenario se consideró indispensable incluir a la totalidad de las promotoras y las prestadoras, para de esta manera establecer medidas diferenciales respecto de cada conjunto de entidades, haciendo énfasis en el que se presente el mayor rango de vulneraciones del derecho. Así, se planteó la posibilidad de crear criterios de clasificación alternativos que lleven a una clasificación útil y transparente. En concreto se indicó: </w:t>
      </w:r>
    </w:p>
    <w:p w:rsidR="004D36B4" w:rsidRPr="00DA1726" w:rsidRDefault="004D36B4" w:rsidP="00DA1726">
      <w:pPr>
        <w:pStyle w:val="Sinespaciado"/>
        <w:tabs>
          <w:tab w:val="left" w:pos="851"/>
        </w:tabs>
        <w:jc w:val="both"/>
        <w:rPr>
          <w:rFonts w:ascii="Times New Roman" w:hAnsi="Times New Roman"/>
          <w:color w:val="000000"/>
          <w:sz w:val="28"/>
          <w:szCs w:val="28"/>
          <w:lang w:val="es-ES"/>
        </w:rPr>
      </w:pPr>
    </w:p>
    <w:p w:rsidR="004D36B4" w:rsidRPr="00DA1726" w:rsidRDefault="004D36B4" w:rsidP="00DA1726">
      <w:pPr>
        <w:pStyle w:val="Sinespaciado"/>
        <w:tabs>
          <w:tab w:val="left" w:pos="851"/>
        </w:tabs>
        <w:ind w:left="425"/>
        <w:jc w:val="both"/>
        <w:rPr>
          <w:rFonts w:ascii="Times New Roman" w:hAnsi="Times New Roman"/>
          <w:i/>
          <w:color w:val="000000"/>
          <w:sz w:val="28"/>
          <w:szCs w:val="28"/>
          <w:lang w:val="es-ES"/>
        </w:rPr>
      </w:pPr>
      <w:r w:rsidRPr="00DA1726">
        <w:rPr>
          <w:rFonts w:ascii="Times New Roman" w:hAnsi="Times New Roman"/>
          <w:i/>
          <w:color w:val="000000"/>
          <w:sz w:val="28"/>
          <w:szCs w:val="28"/>
          <w:lang w:val="es-ES"/>
        </w:rPr>
        <w:t>“De la misma manera que en el Auto 249 de 2013, la Sala considera obligatorio que se establezcan criterios que hagan útil y transparente la determinación de la clasificación. Una alternativa puede ser, como se estableció en esa providencia, a través de porcentajes calculados sobre el número de afiliados o la cantidad de servicios prestados y conforme a los parámetros de la orden 20. Cada grupo podría estar regido por porcentajes de vulneraciones diferentes, establecidas por el Ministerio, empezando por un rango crítico (que podría definirse, por ejemplo, en que más del 15% de los usuarios de una EPS o IPS ha sido perjudicado por una práctica violatoria del derecho a la salud dentro de determinado especio de tiempo), pasando a categorías de alarma, aceptabilidad y superioridad.”</w:t>
      </w:r>
      <w:r w:rsidRPr="00DA1726">
        <w:rPr>
          <w:rFonts w:ascii="Times New Roman" w:hAnsi="Times New Roman"/>
          <w:i/>
          <w:color w:val="000000"/>
          <w:sz w:val="28"/>
          <w:szCs w:val="28"/>
          <w:vertAlign w:val="superscript"/>
          <w:lang w:val="es-ES"/>
        </w:rPr>
        <w:footnoteReference w:id="127"/>
      </w:r>
    </w:p>
    <w:p w:rsidR="004D36B4" w:rsidRPr="00DA1726" w:rsidRDefault="004D36B4" w:rsidP="00DA1726">
      <w:pPr>
        <w:jc w:val="both"/>
        <w:rPr>
          <w:sz w:val="28"/>
          <w:szCs w:val="28"/>
          <w:lang w:val="es-ES"/>
        </w:rPr>
      </w:pPr>
    </w:p>
    <w:p w:rsidR="004D36B4" w:rsidRPr="00DA1726" w:rsidRDefault="004D36B4" w:rsidP="00DA1726">
      <w:pPr>
        <w:jc w:val="both"/>
        <w:rPr>
          <w:color w:val="000000"/>
          <w:sz w:val="28"/>
          <w:szCs w:val="28"/>
          <w:lang w:val="es-ES"/>
        </w:rPr>
      </w:pPr>
      <w:r w:rsidRPr="00DA1726">
        <w:rPr>
          <w:sz w:val="28"/>
          <w:szCs w:val="28"/>
        </w:rPr>
        <w:t xml:space="preserve">Entonces, dada la importancia del escalafón para la Sala Especial de Seguimiento es indispensable que sean calificadas </w:t>
      </w:r>
      <w:r w:rsidRPr="00DA1726">
        <w:rPr>
          <w:color w:val="000000"/>
          <w:sz w:val="28"/>
          <w:szCs w:val="28"/>
          <w:lang w:val="es-ES"/>
        </w:rPr>
        <w:t xml:space="preserve">todas las entidades para dar información útil que facilite los derechos de los usuarios, especialmente la libre escogencia y para que los órganos de control puedan ejercer sus funciones eficazmente. </w:t>
      </w:r>
    </w:p>
    <w:p w:rsidR="004D36B4" w:rsidRPr="00DA1726" w:rsidRDefault="004D36B4" w:rsidP="00DA1726">
      <w:pPr>
        <w:pStyle w:val="Sinespaciado"/>
        <w:tabs>
          <w:tab w:val="left" w:pos="851"/>
        </w:tabs>
        <w:ind w:left="851" w:hanging="851"/>
        <w:jc w:val="both"/>
        <w:rPr>
          <w:rFonts w:ascii="Times New Roman" w:hAnsi="Times New Roman"/>
          <w:color w:val="000000"/>
          <w:sz w:val="28"/>
          <w:szCs w:val="28"/>
          <w:lang w:val="es-ES"/>
        </w:rPr>
      </w:pPr>
    </w:p>
    <w:p w:rsidR="004D36B4" w:rsidRPr="00DA1726" w:rsidRDefault="004D36B4" w:rsidP="00DA1726">
      <w:pPr>
        <w:pStyle w:val="Sinespaciado"/>
        <w:tabs>
          <w:tab w:val="left" w:pos="851"/>
        </w:tabs>
        <w:jc w:val="both"/>
        <w:rPr>
          <w:rFonts w:ascii="Times New Roman" w:hAnsi="Times New Roman"/>
          <w:sz w:val="28"/>
          <w:szCs w:val="28"/>
        </w:rPr>
      </w:pPr>
      <w:r w:rsidRPr="00DA1726">
        <w:rPr>
          <w:rFonts w:ascii="Times New Roman" w:hAnsi="Times New Roman"/>
          <w:color w:val="000000"/>
          <w:sz w:val="28"/>
          <w:szCs w:val="28"/>
        </w:rPr>
        <w:t xml:space="preserve">Por otra parte, en cuanto a los parámetros para definir el escalafón de IPS en virtud del mandato vigésimo de la Sentencia T-760 de 2008, en el Auto 412 de 2015 se accedió a la solicitud elevada por el Gobierno, toda vez que existían argumentos sólidos sobre la </w:t>
      </w:r>
      <w:r w:rsidRPr="00DA1726">
        <w:rPr>
          <w:rFonts w:ascii="Times New Roman" w:hAnsi="Times New Roman"/>
          <w:sz w:val="28"/>
          <w:szCs w:val="28"/>
        </w:rPr>
        <w:t xml:space="preserve">inaplicabilidad de los 14 parámetros sobre las funciones de las prestadoras. Sin embargo, </w:t>
      </w:r>
      <w:r w:rsidRPr="00DA1726">
        <w:rPr>
          <w:rFonts w:ascii="Times New Roman" w:hAnsi="Times New Roman"/>
          <w:i/>
          <w:sz w:val="28"/>
          <w:szCs w:val="28"/>
        </w:rPr>
        <w:t>“no se efectuó una propuesta clara de los parámetros más precisos que deberían regir la ordenación de las IPS en cumplimiento del mandato vigésimo”</w:t>
      </w:r>
      <w:r w:rsidRPr="00DA1726">
        <w:rPr>
          <w:rFonts w:ascii="Times New Roman" w:hAnsi="Times New Roman"/>
          <w:sz w:val="28"/>
          <w:szCs w:val="28"/>
        </w:rPr>
        <w:t xml:space="preserve">. En esa medida, se ordenó al </w:t>
      </w:r>
      <w:r w:rsidRPr="00DA1726">
        <w:rPr>
          <w:rFonts w:ascii="Times New Roman" w:hAnsi="Times New Roman"/>
          <w:sz w:val="28"/>
          <w:szCs w:val="28"/>
          <w:lang w:val="es-ES_tradnl"/>
        </w:rPr>
        <w:t xml:space="preserve">Ministerio de Salud y Protección Social, así como a la Superintendencia Nacional de Salud </w:t>
      </w:r>
      <w:r w:rsidRPr="00DA1726">
        <w:rPr>
          <w:rFonts w:ascii="Times New Roman" w:hAnsi="Times New Roman"/>
          <w:sz w:val="28"/>
          <w:szCs w:val="28"/>
        </w:rPr>
        <w:t xml:space="preserve">la implementación de la propuesta para la elaboración del </w:t>
      </w:r>
      <w:r w:rsidRPr="00DA1726">
        <w:rPr>
          <w:rFonts w:ascii="Times New Roman" w:hAnsi="Times New Roman"/>
          <w:i/>
          <w:sz w:val="28"/>
          <w:szCs w:val="28"/>
        </w:rPr>
        <w:t>ranking</w:t>
      </w:r>
      <w:r w:rsidRPr="00DA1726">
        <w:rPr>
          <w:rFonts w:ascii="Times New Roman" w:hAnsi="Times New Roman"/>
          <w:sz w:val="28"/>
          <w:szCs w:val="28"/>
        </w:rPr>
        <w:t xml:space="preserve"> de </w:t>
      </w:r>
      <w:r w:rsidR="008B2717" w:rsidRPr="00DA1726">
        <w:rPr>
          <w:rFonts w:ascii="Times New Roman" w:hAnsi="Times New Roman"/>
          <w:sz w:val="28"/>
          <w:szCs w:val="28"/>
        </w:rPr>
        <w:t>prestadoras</w:t>
      </w:r>
      <w:r w:rsidRPr="00DA1726">
        <w:rPr>
          <w:rFonts w:ascii="Times New Roman" w:hAnsi="Times New Roman"/>
          <w:i/>
          <w:sz w:val="28"/>
          <w:szCs w:val="28"/>
        </w:rPr>
        <w:t>.</w:t>
      </w:r>
    </w:p>
    <w:p w:rsidR="004D36B4" w:rsidRPr="00DA1726" w:rsidRDefault="004D36B4" w:rsidP="00DA1726">
      <w:pPr>
        <w:jc w:val="both"/>
        <w:rPr>
          <w:sz w:val="28"/>
          <w:szCs w:val="28"/>
        </w:rPr>
      </w:pPr>
    </w:p>
    <w:p w:rsidR="004D36B4" w:rsidRPr="00DA1726" w:rsidRDefault="004D36B4" w:rsidP="00DA1726">
      <w:pPr>
        <w:jc w:val="both"/>
        <w:rPr>
          <w:sz w:val="28"/>
          <w:szCs w:val="28"/>
        </w:rPr>
      </w:pPr>
      <w:r w:rsidRPr="00DA1726">
        <w:rPr>
          <w:sz w:val="28"/>
          <w:szCs w:val="28"/>
        </w:rPr>
        <w:t xml:space="preserve">De acuerdo con los lineamientos descritos, se plantean las siguientes conclusiones de cara a los aspectos a abordar en esta providencia. </w:t>
      </w:r>
    </w:p>
    <w:p w:rsidR="004D36B4" w:rsidRPr="00DA1726" w:rsidRDefault="004D36B4" w:rsidP="00DA1726">
      <w:pPr>
        <w:jc w:val="both"/>
        <w:rPr>
          <w:sz w:val="28"/>
          <w:szCs w:val="28"/>
        </w:rPr>
      </w:pPr>
    </w:p>
    <w:p w:rsidR="004D36B4" w:rsidRPr="00DA1726" w:rsidRDefault="004725E7" w:rsidP="00DA1726">
      <w:pPr>
        <w:jc w:val="both"/>
        <w:rPr>
          <w:sz w:val="28"/>
          <w:szCs w:val="28"/>
          <w:lang w:val="es-ES"/>
        </w:rPr>
      </w:pPr>
      <w:r w:rsidRPr="00DA1726">
        <w:rPr>
          <w:sz w:val="28"/>
          <w:szCs w:val="28"/>
          <w:lang w:val="es-ES"/>
        </w:rPr>
        <w:t>i)</w:t>
      </w:r>
      <w:r w:rsidR="004D36B4" w:rsidRPr="00DA1726">
        <w:rPr>
          <w:sz w:val="28"/>
          <w:szCs w:val="28"/>
          <w:lang w:val="es-ES"/>
        </w:rPr>
        <w:t xml:space="preserve"> El artículo 153 de la Ley 100 de 1993 establece que los usuarios del servicio de salud tienen derecho a escoger la EPS a la que se quieren afiliar y, una vez decidido ello, pueden elegir cuál de las IPS ofrecidas desea que le preste atención médica.</w:t>
      </w:r>
    </w:p>
    <w:p w:rsidR="004D36B4" w:rsidRPr="00DA1726" w:rsidRDefault="004D36B4" w:rsidP="00DA1726">
      <w:pPr>
        <w:jc w:val="both"/>
        <w:rPr>
          <w:sz w:val="28"/>
          <w:szCs w:val="28"/>
          <w:lang w:val="es-ES"/>
        </w:rPr>
      </w:pPr>
    </w:p>
    <w:p w:rsidR="004D36B4" w:rsidRPr="00DA1726" w:rsidRDefault="004725E7" w:rsidP="00DA1726">
      <w:pPr>
        <w:jc w:val="both"/>
        <w:rPr>
          <w:sz w:val="28"/>
          <w:szCs w:val="28"/>
        </w:rPr>
      </w:pPr>
      <w:r w:rsidRPr="00DA1726">
        <w:rPr>
          <w:sz w:val="28"/>
          <w:szCs w:val="28"/>
          <w:lang w:val="es-ES"/>
        </w:rPr>
        <w:t>ii)</w:t>
      </w:r>
      <w:r w:rsidR="004D36B4" w:rsidRPr="00DA1726">
        <w:rPr>
          <w:sz w:val="28"/>
          <w:szCs w:val="28"/>
          <w:lang w:val="es-ES"/>
        </w:rPr>
        <w:t xml:space="preserve"> El principio de la </w:t>
      </w:r>
      <w:r w:rsidR="004D36B4" w:rsidRPr="00DA1726">
        <w:rPr>
          <w:i/>
          <w:sz w:val="28"/>
          <w:szCs w:val="28"/>
          <w:lang w:val="es-ES"/>
        </w:rPr>
        <w:t>libre escogencia</w:t>
      </w:r>
      <w:r w:rsidR="004D36B4" w:rsidRPr="00DA1726">
        <w:rPr>
          <w:sz w:val="28"/>
          <w:szCs w:val="28"/>
          <w:lang w:val="es-ES"/>
        </w:rPr>
        <w:t xml:space="preserve"> es eje fundamental del derecho a la Seguridad Social en salud, dado que </w:t>
      </w:r>
      <w:r w:rsidR="004D36B4" w:rsidRPr="00DA1726">
        <w:rPr>
          <w:sz w:val="28"/>
          <w:szCs w:val="28"/>
        </w:rPr>
        <w:t>permite a las personas desvincularse de aquellas entidades que no garantizan adecuadamente el goce efectivo de su derecho a la salud, a la vez que les permiten afiliarse a aquellas que demuestren que están prestando los servicios de salud con idoneidad, oportunidad y calidad.</w:t>
      </w:r>
    </w:p>
    <w:p w:rsidR="004D36B4" w:rsidRPr="00DA1726" w:rsidRDefault="004D36B4" w:rsidP="00DA1726">
      <w:pPr>
        <w:jc w:val="both"/>
        <w:rPr>
          <w:sz w:val="28"/>
          <w:szCs w:val="28"/>
        </w:rPr>
      </w:pPr>
    </w:p>
    <w:p w:rsidR="004D36B4" w:rsidRPr="00DA1726" w:rsidRDefault="004725E7" w:rsidP="00DA1726">
      <w:pPr>
        <w:jc w:val="both"/>
        <w:rPr>
          <w:sz w:val="28"/>
          <w:szCs w:val="28"/>
        </w:rPr>
      </w:pPr>
      <w:r w:rsidRPr="00DA1726">
        <w:rPr>
          <w:sz w:val="28"/>
          <w:szCs w:val="28"/>
        </w:rPr>
        <w:t>iii)</w:t>
      </w:r>
      <w:r w:rsidR="004D36B4" w:rsidRPr="00DA1726">
        <w:rPr>
          <w:sz w:val="28"/>
          <w:szCs w:val="28"/>
        </w:rPr>
        <w:t xml:space="preserve"> Para que la libertad de escogencia de las entidades de salud por parte de las personas tenga el efecto de promover las buenas entidades y desincentivar a las malas, es preciso que la información sobre las mismas exista y pueda ser conocida por las personas en el momento de escoger la entidad promotora y su institución prestadora. </w:t>
      </w:r>
    </w:p>
    <w:p w:rsidR="004D36B4" w:rsidRPr="00DA1726" w:rsidRDefault="004D36B4" w:rsidP="00DA1726">
      <w:pPr>
        <w:jc w:val="both"/>
        <w:rPr>
          <w:sz w:val="28"/>
          <w:szCs w:val="28"/>
        </w:rPr>
      </w:pPr>
    </w:p>
    <w:p w:rsidR="004D36B4" w:rsidRPr="00DA1726" w:rsidRDefault="004725E7" w:rsidP="00DA1726">
      <w:pPr>
        <w:jc w:val="both"/>
        <w:rPr>
          <w:sz w:val="28"/>
          <w:szCs w:val="28"/>
        </w:rPr>
      </w:pPr>
      <w:r w:rsidRPr="00DA1726">
        <w:rPr>
          <w:sz w:val="28"/>
          <w:szCs w:val="28"/>
        </w:rPr>
        <w:t>iv)</w:t>
      </w:r>
      <w:r w:rsidR="004D36B4" w:rsidRPr="00DA1726">
        <w:rPr>
          <w:sz w:val="28"/>
          <w:szCs w:val="28"/>
        </w:rPr>
        <w:t xml:space="preserve"> Para que la libertad de elección en salud tenga el efecto de incentivar la mejor atención a los usuarios del sistema, es necesario que la información alusiva al </w:t>
      </w:r>
      <w:r w:rsidR="004D36B4" w:rsidRPr="00DA1726">
        <w:rPr>
          <w:i/>
          <w:sz w:val="28"/>
          <w:szCs w:val="28"/>
        </w:rPr>
        <w:t>ranking</w:t>
      </w:r>
      <w:r w:rsidR="004D36B4" w:rsidRPr="00DA1726">
        <w:rPr>
          <w:sz w:val="28"/>
          <w:szCs w:val="28"/>
        </w:rPr>
        <w:t xml:space="preserve"> sea conocida por las personas en el momento de escoger la entidad en cuestión, la cual debe ser comprensible, incluso para aquellos que no tienen conocimientos técnicos sobre el sistema de salud. </w:t>
      </w:r>
    </w:p>
    <w:p w:rsidR="004D36B4" w:rsidRPr="00DA1726" w:rsidRDefault="004D36B4" w:rsidP="00DA1726">
      <w:pPr>
        <w:jc w:val="both"/>
        <w:rPr>
          <w:sz w:val="28"/>
          <w:szCs w:val="28"/>
        </w:rPr>
      </w:pPr>
    </w:p>
    <w:p w:rsidR="004D36B4" w:rsidRPr="00DA1726" w:rsidRDefault="004725E7" w:rsidP="00DA1726">
      <w:pPr>
        <w:jc w:val="both"/>
        <w:rPr>
          <w:sz w:val="28"/>
          <w:szCs w:val="28"/>
        </w:rPr>
      </w:pPr>
      <w:r w:rsidRPr="00DA1726">
        <w:rPr>
          <w:sz w:val="28"/>
          <w:szCs w:val="28"/>
        </w:rPr>
        <w:t>v)</w:t>
      </w:r>
      <w:r w:rsidR="004D36B4" w:rsidRPr="00DA1726">
        <w:rPr>
          <w:sz w:val="28"/>
          <w:szCs w:val="28"/>
        </w:rPr>
        <w:t xml:space="preserve"> Toda la sociedad tiene derecho a saber de manera comprensible: (i)</w:t>
      </w:r>
      <w:r w:rsidR="004D36B4" w:rsidRPr="00DA1726">
        <w:rPr>
          <w:i/>
          <w:sz w:val="28"/>
          <w:szCs w:val="28"/>
        </w:rPr>
        <w:t xml:space="preserve"> </w:t>
      </w:r>
      <w:r w:rsidR="004D36B4" w:rsidRPr="00DA1726">
        <w:rPr>
          <w:sz w:val="28"/>
          <w:szCs w:val="28"/>
        </w:rPr>
        <w:t>cuál es la EPS que no respeta el derecho de los usuarios; (ii)</w:t>
      </w:r>
      <w:r w:rsidR="004D36B4" w:rsidRPr="00DA1726">
        <w:rPr>
          <w:i/>
          <w:sz w:val="28"/>
          <w:szCs w:val="28"/>
        </w:rPr>
        <w:t xml:space="preserve"> </w:t>
      </w:r>
      <w:r w:rsidR="004D36B4" w:rsidRPr="00DA1726">
        <w:rPr>
          <w:sz w:val="28"/>
          <w:szCs w:val="28"/>
        </w:rPr>
        <w:t>qué medidas concretas y específicas han sido adoptadas por las autoridades competentes antes de la violación y con ocasión de ella; y (iii) cuáles son las acciones implementadas para que los usuarios asegurados por dicha entidad tengan garantizado su derecho a la salud.</w:t>
      </w:r>
    </w:p>
    <w:p w:rsidR="004D36B4" w:rsidRPr="00DA1726" w:rsidRDefault="004D36B4" w:rsidP="00DA1726">
      <w:pPr>
        <w:jc w:val="both"/>
        <w:rPr>
          <w:sz w:val="28"/>
          <w:szCs w:val="28"/>
        </w:rPr>
      </w:pPr>
    </w:p>
    <w:p w:rsidR="004D36B4" w:rsidRPr="00DA1726" w:rsidRDefault="004725E7" w:rsidP="00DA1726">
      <w:pPr>
        <w:jc w:val="both"/>
        <w:rPr>
          <w:sz w:val="28"/>
          <w:szCs w:val="28"/>
        </w:rPr>
      </w:pPr>
      <w:r w:rsidRPr="00DA1726">
        <w:rPr>
          <w:sz w:val="28"/>
          <w:szCs w:val="28"/>
          <w:lang w:val="es-ES_tradnl"/>
        </w:rPr>
        <w:t>vi)</w:t>
      </w:r>
      <w:r w:rsidR="004D36B4" w:rsidRPr="00DA1726">
        <w:rPr>
          <w:sz w:val="28"/>
          <w:szCs w:val="28"/>
          <w:lang w:val="es-ES_tradnl"/>
        </w:rPr>
        <w:t xml:space="preserve"> L</w:t>
      </w:r>
      <w:r w:rsidR="004D36B4" w:rsidRPr="00DA1726">
        <w:rPr>
          <w:sz w:val="28"/>
          <w:szCs w:val="28"/>
          <w:lang w:val="es-ES"/>
        </w:rPr>
        <w:t>os 14 parámetros de valoración pueden ser objeto de actualización en los términos de la Ley Estatutaria 1751 de 2015 y la sentencia C-313 de 2014</w:t>
      </w:r>
      <w:r w:rsidRPr="00DA1726">
        <w:rPr>
          <w:sz w:val="28"/>
          <w:szCs w:val="28"/>
          <w:lang w:val="es-ES"/>
        </w:rPr>
        <w:t>.</w:t>
      </w:r>
    </w:p>
    <w:p w:rsidR="004D36B4" w:rsidRPr="00DA1726" w:rsidRDefault="004D36B4" w:rsidP="00DA1726">
      <w:pPr>
        <w:jc w:val="both"/>
        <w:rPr>
          <w:sz w:val="28"/>
          <w:szCs w:val="28"/>
        </w:rPr>
      </w:pPr>
    </w:p>
    <w:p w:rsidR="004D36B4" w:rsidRPr="00DA1726" w:rsidRDefault="004725E7" w:rsidP="00DA1726">
      <w:pPr>
        <w:jc w:val="both"/>
        <w:rPr>
          <w:sz w:val="28"/>
          <w:szCs w:val="28"/>
        </w:rPr>
      </w:pPr>
      <w:r w:rsidRPr="00DA1726">
        <w:rPr>
          <w:sz w:val="28"/>
          <w:szCs w:val="28"/>
          <w:lang w:val="es-ES_tradnl"/>
        </w:rPr>
        <w:t>vii)</w:t>
      </w:r>
      <w:r w:rsidR="004D36B4" w:rsidRPr="00DA1726">
        <w:rPr>
          <w:sz w:val="28"/>
          <w:szCs w:val="28"/>
          <w:lang w:val="es-ES_tradnl"/>
        </w:rPr>
        <w:t xml:space="preserve"> Si bien </w:t>
      </w:r>
      <w:r w:rsidR="004D36B4" w:rsidRPr="00DA1726">
        <w:rPr>
          <w:sz w:val="28"/>
          <w:szCs w:val="28"/>
          <w:lang w:val="es-ES"/>
        </w:rPr>
        <w:t>no es incompatible con el mandato vigésimo de la sentencia T-760 de 2008 que se establezca una ordenación simple de las EPS e IPS que vulneran el derecho a la salud, una ordenación por grupos con diversos niveles de calificación también puede cumplir con las metas consignadas.</w:t>
      </w:r>
    </w:p>
    <w:p w:rsidR="004D36B4" w:rsidRPr="00DA1726" w:rsidRDefault="004D36B4" w:rsidP="00DA1726">
      <w:pPr>
        <w:jc w:val="both"/>
        <w:rPr>
          <w:sz w:val="28"/>
          <w:szCs w:val="28"/>
        </w:rPr>
      </w:pPr>
    </w:p>
    <w:p w:rsidR="004D36B4" w:rsidRPr="00DA1726" w:rsidRDefault="004725E7" w:rsidP="00DA1726">
      <w:pPr>
        <w:jc w:val="both"/>
        <w:rPr>
          <w:sz w:val="28"/>
          <w:szCs w:val="28"/>
          <w:lang w:val="es-ES"/>
        </w:rPr>
      </w:pPr>
      <w:r w:rsidRPr="00DA1726">
        <w:rPr>
          <w:sz w:val="28"/>
          <w:szCs w:val="28"/>
        </w:rPr>
        <w:t>viii)</w:t>
      </w:r>
      <w:r w:rsidR="004D36B4" w:rsidRPr="00DA1726">
        <w:rPr>
          <w:sz w:val="28"/>
          <w:szCs w:val="28"/>
        </w:rPr>
        <w:t xml:space="preserve"> Es indispensable que sean calificadas </w:t>
      </w:r>
      <w:r w:rsidR="004D36B4" w:rsidRPr="00DA1726">
        <w:rPr>
          <w:sz w:val="28"/>
          <w:szCs w:val="28"/>
          <w:lang w:val="es-ES"/>
        </w:rPr>
        <w:t xml:space="preserve">todas las EPS de acuerdo a los 14 criterios establecidos por la jurisprudencia constitucional, para dar información útil que facilite los derechos de los usuarios, especialmente la libre escogencia y para que los órganos de control puedan ejercer sus funciones eficazmente. </w:t>
      </w:r>
    </w:p>
    <w:p w:rsidR="004D36B4" w:rsidRPr="00DA1726" w:rsidRDefault="004D36B4" w:rsidP="00DA1726">
      <w:pPr>
        <w:jc w:val="both"/>
        <w:rPr>
          <w:sz w:val="28"/>
          <w:szCs w:val="28"/>
        </w:rPr>
      </w:pPr>
    </w:p>
    <w:p w:rsidR="004D36B4" w:rsidRPr="00DA1726" w:rsidRDefault="004725E7" w:rsidP="00DA1726">
      <w:pPr>
        <w:jc w:val="both"/>
        <w:rPr>
          <w:sz w:val="28"/>
          <w:szCs w:val="28"/>
        </w:rPr>
      </w:pPr>
      <w:r w:rsidRPr="00DA1726">
        <w:rPr>
          <w:sz w:val="28"/>
          <w:szCs w:val="28"/>
        </w:rPr>
        <w:t>ix)</w:t>
      </w:r>
      <w:r w:rsidR="004D36B4" w:rsidRPr="00DA1726">
        <w:rPr>
          <w:sz w:val="28"/>
          <w:szCs w:val="28"/>
        </w:rPr>
        <w:t xml:space="preserve"> Se reconoció que los 14 parámetros de verificación de violaciones al derecho a la salud no resulta aplicables para definir el escalafón de IPS, sin embargo se está en el proceso de construcción de una propuesta clara para cumplir con el </w:t>
      </w:r>
      <w:r w:rsidR="004D36B4" w:rsidRPr="00DA1726">
        <w:rPr>
          <w:i/>
          <w:sz w:val="28"/>
          <w:szCs w:val="28"/>
        </w:rPr>
        <w:t>ranking</w:t>
      </w:r>
      <w:r w:rsidR="004D36B4" w:rsidRPr="00DA1726">
        <w:rPr>
          <w:sz w:val="28"/>
          <w:szCs w:val="28"/>
        </w:rPr>
        <w:t xml:space="preserve"> de prestadoras.</w:t>
      </w:r>
    </w:p>
    <w:p w:rsidR="004D36B4" w:rsidRPr="00DA1726" w:rsidRDefault="004D36B4" w:rsidP="00DA1726">
      <w:pPr>
        <w:jc w:val="both"/>
        <w:rPr>
          <w:sz w:val="28"/>
          <w:szCs w:val="28"/>
        </w:rPr>
      </w:pPr>
    </w:p>
    <w:p w:rsidR="004C0EEF" w:rsidRPr="00DA1726" w:rsidRDefault="004837A3" w:rsidP="00DA1726">
      <w:pPr>
        <w:pStyle w:val="Prrafodelista"/>
        <w:numPr>
          <w:ilvl w:val="0"/>
          <w:numId w:val="26"/>
        </w:numPr>
        <w:ind w:left="0" w:firstLine="0"/>
        <w:jc w:val="both"/>
        <w:rPr>
          <w:b/>
          <w:sz w:val="28"/>
          <w:szCs w:val="28"/>
        </w:rPr>
      </w:pPr>
      <w:r w:rsidRPr="00DA1726">
        <w:rPr>
          <w:b/>
          <w:sz w:val="28"/>
          <w:szCs w:val="28"/>
        </w:rPr>
        <w:t>Evolución legal de cara a la garantía de calidad y resultados en la atención en el sistema general de seguridad social de salud – SGSSS.</w:t>
      </w:r>
    </w:p>
    <w:p w:rsidR="004837A3" w:rsidRPr="00DA1726" w:rsidRDefault="004837A3" w:rsidP="00DA1726">
      <w:pPr>
        <w:pStyle w:val="Prrafodelista"/>
        <w:ind w:left="0"/>
        <w:jc w:val="both"/>
        <w:rPr>
          <w:b/>
          <w:sz w:val="28"/>
          <w:szCs w:val="28"/>
        </w:rPr>
      </w:pPr>
    </w:p>
    <w:p w:rsidR="00382319" w:rsidRPr="00DA1726" w:rsidRDefault="003D4E9E" w:rsidP="00DA1726">
      <w:pPr>
        <w:jc w:val="both"/>
        <w:rPr>
          <w:sz w:val="28"/>
          <w:szCs w:val="28"/>
        </w:rPr>
      </w:pPr>
      <w:r w:rsidRPr="00DA1726">
        <w:rPr>
          <w:sz w:val="28"/>
          <w:szCs w:val="28"/>
        </w:rPr>
        <w:t>D</w:t>
      </w:r>
      <w:r w:rsidR="00CB2827" w:rsidRPr="00DA1726">
        <w:rPr>
          <w:sz w:val="28"/>
          <w:szCs w:val="28"/>
        </w:rPr>
        <w:t>e conformidad con lo dispuesto por l</w:t>
      </w:r>
      <w:r w:rsidR="00382319" w:rsidRPr="00DA1726">
        <w:rPr>
          <w:sz w:val="28"/>
          <w:szCs w:val="28"/>
        </w:rPr>
        <w:t xml:space="preserve">os artículos </w:t>
      </w:r>
      <w:r w:rsidR="001A0B82" w:rsidRPr="00DA1726">
        <w:rPr>
          <w:sz w:val="28"/>
          <w:szCs w:val="28"/>
        </w:rPr>
        <w:t>artículo 227</w:t>
      </w:r>
      <w:r w:rsidR="00CB2827" w:rsidRPr="00DA1726">
        <w:rPr>
          <w:sz w:val="28"/>
          <w:szCs w:val="28"/>
        </w:rPr>
        <w:t xml:space="preserve"> de la Ley 100 de 1993, </w:t>
      </w:r>
      <w:r w:rsidR="00382319" w:rsidRPr="00DA1726">
        <w:rPr>
          <w:sz w:val="28"/>
          <w:szCs w:val="28"/>
        </w:rPr>
        <w:t>corresponde al</w:t>
      </w:r>
      <w:r w:rsidR="001A0B82" w:rsidRPr="00DA1726">
        <w:rPr>
          <w:sz w:val="28"/>
          <w:szCs w:val="28"/>
        </w:rPr>
        <w:t xml:space="preserve"> Gobierno Nacional expedir las normas relativas a la organización de un sistema obligatorio de garantía de calidad de la atención de salud, incluyendo la auditoría médica, de obligatorio desarrollo en las Entidades Promotoras de Salud, con el objeto de garantizar la adecuada calidad en la prestación de los servicios</w:t>
      </w:r>
      <w:r w:rsidR="00382319" w:rsidRPr="00DA1726">
        <w:rPr>
          <w:sz w:val="28"/>
          <w:szCs w:val="28"/>
          <w:vertAlign w:val="superscript"/>
        </w:rPr>
        <w:footnoteReference w:id="128"/>
      </w:r>
      <w:r w:rsidR="001A0B82" w:rsidRPr="00DA1726">
        <w:rPr>
          <w:sz w:val="28"/>
          <w:szCs w:val="28"/>
        </w:rPr>
        <w:t xml:space="preserve">. </w:t>
      </w:r>
    </w:p>
    <w:p w:rsidR="00382319" w:rsidRPr="00DA1726" w:rsidRDefault="00382319" w:rsidP="00DA1726">
      <w:pPr>
        <w:jc w:val="both"/>
        <w:rPr>
          <w:sz w:val="28"/>
          <w:szCs w:val="28"/>
        </w:rPr>
      </w:pPr>
    </w:p>
    <w:p w:rsidR="00D37F16" w:rsidRPr="00DA1726" w:rsidRDefault="00382319" w:rsidP="00DA1726">
      <w:pPr>
        <w:jc w:val="both"/>
        <w:rPr>
          <w:sz w:val="28"/>
          <w:szCs w:val="28"/>
        </w:rPr>
      </w:pPr>
      <w:r w:rsidRPr="00DA1726">
        <w:rPr>
          <w:sz w:val="28"/>
          <w:szCs w:val="28"/>
        </w:rPr>
        <w:t xml:space="preserve">En este contexto se </w:t>
      </w:r>
      <w:r w:rsidR="00CB2827" w:rsidRPr="00DA1726">
        <w:rPr>
          <w:sz w:val="28"/>
          <w:szCs w:val="28"/>
        </w:rPr>
        <w:t xml:space="preserve">expidió el </w:t>
      </w:r>
      <w:r w:rsidR="00CB2827" w:rsidRPr="00DA1726">
        <w:rPr>
          <w:b/>
          <w:sz w:val="28"/>
          <w:szCs w:val="28"/>
        </w:rPr>
        <w:t>Decreto 1011 de 2006</w:t>
      </w:r>
      <w:r w:rsidR="00CB2827" w:rsidRPr="00DA1726">
        <w:rPr>
          <w:sz w:val="28"/>
          <w:szCs w:val="28"/>
        </w:rPr>
        <w:t>, mediante el que estableció el Sistema Obligatorio de Garantía de Calidad de la Atención de Salud del Sistema Genera</w:t>
      </w:r>
      <w:r w:rsidR="00D37F16" w:rsidRPr="00DA1726">
        <w:rPr>
          <w:sz w:val="28"/>
          <w:szCs w:val="28"/>
        </w:rPr>
        <w:t xml:space="preserve">l de Seguridad Social en Salud –SOGCS, que está orientado a </w:t>
      </w:r>
      <w:r w:rsidR="00D37F16" w:rsidRPr="00DA1726">
        <w:rPr>
          <w:bCs/>
          <w:sz w:val="28"/>
          <w:szCs w:val="28"/>
        </w:rPr>
        <w:t>mejorar</w:t>
      </w:r>
      <w:r w:rsidR="00D37F16" w:rsidRPr="00DA1726">
        <w:rPr>
          <w:sz w:val="28"/>
          <w:szCs w:val="28"/>
        </w:rPr>
        <w:t xml:space="preserve"> los resultados de la atención en salud, centrados en el usuario, que van más allá de la verificación de la existencia de estructura o de la documentación de procesos los cuales solo constituyen prerrequisito para alcanzar los mencionados resultados (art. 3). En concreto sus características son:</w:t>
      </w:r>
    </w:p>
    <w:p w:rsidR="00D37F16" w:rsidRPr="00DA1726" w:rsidRDefault="00D37F16" w:rsidP="00DA1726">
      <w:pPr>
        <w:jc w:val="both"/>
        <w:rPr>
          <w:sz w:val="28"/>
          <w:szCs w:val="28"/>
        </w:rPr>
      </w:pPr>
    </w:p>
    <w:p w:rsidR="00D37F16" w:rsidRPr="00DA1726" w:rsidRDefault="00D37F16" w:rsidP="00DA1726">
      <w:pPr>
        <w:ind w:left="426"/>
        <w:jc w:val="both"/>
        <w:rPr>
          <w:sz w:val="28"/>
          <w:szCs w:val="28"/>
        </w:rPr>
      </w:pPr>
      <w:r w:rsidRPr="00DA1726">
        <w:rPr>
          <w:sz w:val="28"/>
          <w:szCs w:val="28"/>
        </w:rPr>
        <w:t>1. </w:t>
      </w:r>
      <w:r w:rsidRPr="00DA1726">
        <w:rPr>
          <w:i/>
          <w:iCs/>
          <w:sz w:val="28"/>
          <w:szCs w:val="28"/>
        </w:rPr>
        <w:t>Accesibilidad. </w:t>
      </w:r>
      <w:r w:rsidRPr="00DA1726">
        <w:rPr>
          <w:sz w:val="28"/>
          <w:szCs w:val="28"/>
        </w:rPr>
        <w:t>Es la posibilidad que tiene el usuario de utilizar los servicios de salud que le garantiza el Sistema General de Seguridad Social en Salud.</w:t>
      </w:r>
    </w:p>
    <w:p w:rsidR="00D37F16" w:rsidRPr="00DA1726" w:rsidRDefault="00D37F16" w:rsidP="00DA1726">
      <w:pPr>
        <w:ind w:left="426"/>
        <w:jc w:val="both"/>
        <w:rPr>
          <w:sz w:val="28"/>
          <w:szCs w:val="28"/>
        </w:rPr>
      </w:pPr>
      <w:r w:rsidRPr="00DA1726">
        <w:rPr>
          <w:sz w:val="28"/>
          <w:szCs w:val="28"/>
        </w:rPr>
        <w:t>2. </w:t>
      </w:r>
      <w:r w:rsidRPr="00DA1726">
        <w:rPr>
          <w:i/>
          <w:iCs/>
          <w:sz w:val="28"/>
          <w:szCs w:val="28"/>
        </w:rPr>
        <w:t>Oportunidad. </w:t>
      </w:r>
      <w:r w:rsidRPr="00DA1726">
        <w:rPr>
          <w:sz w:val="28"/>
          <w:szCs w:val="28"/>
        </w:rPr>
        <w:t>Es la posibilidad que tiene el usuario de obtener los servicios que requiere, sin que se presenten retrasos que pongan en riesgo su vida o su salud. Esta característica se relaciona con la organización de la oferta de servicios en relación con la demanda y con el nivel de coordinación institucional para gestionar el acceso a los servicios.</w:t>
      </w:r>
    </w:p>
    <w:p w:rsidR="00D37F16" w:rsidRPr="00DA1726" w:rsidRDefault="00D37F16" w:rsidP="00DA1726">
      <w:pPr>
        <w:ind w:left="426"/>
        <w:jc w:val="both"/>
        <w:rPr>
          <w:sz w:val="28"/>
          <w:szCs w:val="28"/>
        </w:rPr>
      </w:pPr>
      <w:r w:rsidRPr="00DA1726">
        <w:rPr>
          <w:sz w:val="28"/>
          <w:szCs w:val="28"/>
        </w:rPr>
        <w:t>3. </w:t>
      </w:r>
      <w:r w:rsidRPr="00DA1726">
        <w:rPr>
          <w:i/>
          <w:iCs/>
          <w:sz w:val="28"/>
          <w:szCs w:val="28"/>
        </w:rPr>
        <w:t>Seguridad. </w:t>
      </w:r>
      <w:r w:rsidRPr="00DA1726">
        <w:rPr>
          <w:sz w:val="28"/>
          <w:szCs w:val="28"/>
        </w:rPr>
        <w:t>Es el conjunto de elementos estructurales, procesos, instrumentos y metodologías basadas en evidencias científicamente probadas que propenden por minimizar el riesgo de sufrir un evento adverso en el proceso de atención de salud o de mitigar sus consecuencias.</w:t>
      </w:r>
    </w:p>
    <w:p w:rsidR="00D37F16" w:rsidRPr="00DA1726" w:rsidRDefault="00D37F16" w:rsidP="00DA1726">
      <w:pPr>
        <w:ind w:left="426"/>
        <w:jc w:val="both"/>
        <w:rPr>
          <w:sz w:val="28"/>
          <w:szCs w:val="28"/>
        </w:rPr>
      </w:pPr>
      <w:r w:rsidRPr="00DA1726">
        <w:rPr>
          <w:sz w:val="28"/>
          <w:szCs w:val="28"/>
        </w:rPr>
        <w:t>4. </w:t>
      </w:r>
      <w:r w:rsidRPr="00DA1726">
        <w:rPr>
          <w:i/>
          <w:iCs/>
          <w:sz w:val="28"/>
          <w:szCs w:val="28"/>
        </w:rPr>
        <w:t>Pertinencia. </w:t>
      </w:r>
      <w:r w:rsidRPr="00DA1726">
        <w:rPr>
          <w:sz w:val="28"/>
          <w:szCs w:val="28"/>
        </w:rPr>
        <w:t>Es el grado en el cual los usuarios obtienen los servicios que requieren, con la mejor utilización de los recursos de acuerdo con la evidencia científica y sus efectos secundarios son menores que los beneficios potenciales.</w:t>
      </w:r>
    </w:p>
    <w:p w:rsidR="00D37F16" w:rsidRPr="00DA1726" w:rsidRDefault="00D37F16" w:rsidP="00DA1726">
      <w:pPr>
        <w:ind w:left="426"/>
        <w:jc w:val="both"/>
        <w:rPr>
          <w:sz w:val="28"/>
          <w:szCs w:val="28"/>
        </w:rPr>
      </w:pPr>
      <w:r w:rsidRPr="00DA1726">
        <w:rPr>
          <w:sz w:val="28"/>
          <w:szCs w:val="28"/>
        </w:rPr>
        <w:t>5. </w:t>
      </w:r>
      <w:r w:rsidRPr="00DA1726">
        <w:rPr>
          <w:i/>
          <w:iCs/>
          <w:sz w:val="28"/>
          <w:szCs w:val="28"/>
        </w:rPr>
        <w:t>Continuidad. </w:t>
      </w:r>
      <w:r w:rsidRPr="00DA1726">
        <w:rPr>
          <w:sz w:val="28"/>
          <w:szCs w:val="28"/>
        </w:rPr>
        <w:t>Es el grado en el cual los usuarios reciben las intervenciones requeridas, mediante una secuencia lógica y racional de actividades, basada en el conocimiento científico.</w:t>
      </w:r>
    </w:p>
    <w:p w:rsidR="00D37F16" w:rsidRPr="00DA1726" w:rsidRDefault="00D37F16" w:rsidP="00DA1726">
      <w:pPr>
        <w:jc w:val="both"/>
        <w:rPr>
          <w:bCs/>
          <w:sz w:val="28"/>
          <w:szCs w:val="28"/>
        </w:rPr>
      </w:pPr>
    </w:p>
    <w:p w:rsidR="00D37F16" w:rsidRPr="00DA1726" w:rsidRDefault="00D37F16" w:rsidP="00DA1726">
      <w:pPr>
        <w:jc w:val="both"/>
        <w:rPr>
          <w:sz w:val="28"/>
          <w:szCs w:val="28"/>
        </w:rPr>
      </w:pPr>
      <w:r w:rsidRPr="00DA1726">
        <w:rPr>
          <w:bCs/>
          <w:sz w:val="28"/>
          <w:szCs w:val="28"/>
        </w:rPr>
        <w:t>Además, se estableció el SOGCS cuenta con los siguientes componentes: (i) e</w:t>
      </w:r>
      <w:r w:rsidRPr="00DA1726">
        <w:rPr>
          <w:sz w:val="28"/>
          <w:szCs w:val="28"/>
        </w:rPr>
        <w:t>l Sistema Único de Habilitación; (ii) la Auditoría para el Mejoramiento de la Calidad de la Atención de Salud; (iii) el Sistema Único de Acreditación; y (iv) el Sistema de Información para la Calidad</w:t>
      </w:r>
      <w:r w:rsidR="00BE5F46" w:rsidRPr="00DA1726">
        <w:rPr>
          <w:sz w:val="28"/>
          <w:szCs w:val="28"/>
        </w:rPr>
        <w:t xml:space="preserve"> (art. 4 Decreto 1011 de 2006), </w:t>
      </w:r>
      <w:r w:rsidR="00CB2827" w:rsidRPr="00DA1726">
        <w:rPr>
          <w:sz w:val="28"/>
          <w:szCs w:val="28"/>
        </w:rPr>
        <w:t xml:space="preserve">los cuales se interrelacionan entre sí, en cuanto todos apuntan a la mejora de los resultados de la atención en salud, centrados en el usuario. </w:t>
      </w:r>
    </w:p>
    <w:p w:rsidR="00D37F16" w:rsidRPr="00DA1726" w:rsidRDefault="00D37F16" w:rsidP="00DA1726">
      <w:pPr>
        <w:jc w:val="both"/>
        <w:rPr>
          <w:sz w:val="28"/>
          <w:szCs w:val="28"/>
        </w:rPr>
      </w:pPr>
    </w:p>
    <w:p w:rsidR="00BE5F46" w:rsidRPr="00DA1726" w:rsidRDefault="00BE5F46" w:rsidP="00DA1726">
      <w:pPr>
        <w:jc w:val="both"/>
        <w:rPr>
          <w:sz w:val="28"/>
          <w:szCs w:val="28"/>
        </w:rPr>
      </w:pPr>
      <w:r w:rsidRPr="00DA1726">
        <w:rPr>
          <w:sz w:val="28"/>
          <w:szCs w:val="28"/>
        </w:rPr>
        <w:t xml:space="preserve">A su vez el </w:t>
      </w:r>
      <w:r w:rsidR="00CB2827" w:rsidRPr="00DA1726">
        <w:rPr>
          <w:sz w:val="28"/>
          <w:szCs w:val="28"/>
        </w:rPr>
        <w:t xml:space="preserve">artículo 45 del </w:t>
      </w:r>
      <w:r w:rsidRPr="00DA1726">
        <w:rPr>
          <w:sz w:val="28"/>
          <w:szCs w:val="28"/>
        </w:rPr>
        <w:t>mencionado decreto se dispuso que correspondía al</w:t>
      </w:r>
      <w:r w:rsidR="00CB2827" w:rsidRPr="00DA1726">
        <w:rPr>
          <w:sz w:val="28"/>
          <w:szCs w:val="28"/>
        </w:rPr>
        <w:t xml:space="preserve"> Ministerio diseñar e implementar</w:t>
      </w:r>
      <w:r w:rsidRPr="00DA1726">
        <w:rPr>
          <w:sz w:val="28"/>
          <w:szCs w:val="28"/>
        </w:rPr>
        <w:t xml:space="preserve"> un </w:t>
      </w:r>
      <w:r w:rsidRPr="00DA1726">
        <w:rPr>
          <w:i/>
          <w:sz w:val="28"/>
          <w:szCs w:val="28"/>
        </w:rPr>
        <w:t>“</w:t>
      </w:r>
      <w:r w:rsidR="00CB2827" w:rsidRPr="00DA1726">
        <w:rPr>
          <w:i/>
          <w:sz w:val="28"/>
          <w:szCs w:val="28"/>
        </w:rPr>
        <w:t>Sistema</w:t>
      </w:r>
      <w:r w:rsidRPr="00DA1726">
        <w:rPr>
          <w:i/>
          <w:sz w:val="28"/>
          <w:szCs w:val="28"/>
        </w:rPr>
        <w:t xml:space="preserve"> de Información para la Calidad”</w:t>
      </w:r>
      <w:r w:rsidR="00CB2827" w:rsidRPr="00DA1726">
        <w:rPr>
          <w:i/>
          <w:sz w:val="28"/>
          <w:szCs w:val="28"/>
        </w:rPr>
        <w:t>,</w:t>
      </w:r>
      <w:r w:rsidR="00CB2827" w:rsidRPr="00DA1726">
        <w:rPr>
          <w:sz w:val="28"/>
          <w:szCs w:val="28"/>
        </w:rPr>
        <w:t xml:space="preserve"> encaminado a estimular la competencia por calidad entre los agentes del sector, que paralelamente, permita, entre otros, orientar a los usuarios en el ejercicio de los derechos y deberes que a su favor contempla el Sistema. </w:t>
      </w:r>
    </w:p>
    <w:p w:rsidR="00BE5F46" w:rsidRPr="00DA1726" w:rsidRDefault="00BE5F46" w:rsidP="00DA1726">
      <w:pPr>
        <w:jc w:val="both"/>
        <w:rPr>
          <w:sz w:val="28"/>
          <w:szCs w:val="28"/>
        </w:rPr>
      </w:pPr>
    </w:p>
    <w:p w:rsidR="00BE5F46" w:rsidRPr="00DA1726" w:rsidRDefault="00BE5F46" w:rsidP="00DA1726">
      <w:pPr>
        <w:jc w:val="both"/>
        <w:rPr>
          <w:sz w:val="28"/>
          <w:szCs w:val="28"/>
        </w:rPr>
      </w:pPr>
      <w:r w:rsidRPr="00DA1726">
        <w:rPr>
          <w:sz w:val="28"/>
          <w:szCs w:val="28"/>
        </w:rPr>
        <w:t xml:space="preserve">A partir de dicha disposición, la referida cartera ministerial </w:t>
      </w:r>
      <w:r w:rsidR="00CB2827" w:rsidRPr="00DA1726">
        <w:rPr>
          <w:sz w:val="28"/>
          <w:szCs w:val="28"/>
        </w:rPr>
        <w:t xml:space="preserve">expidió la </w:t>
      </w:r>
      <w:r w:rsidR="00CB2827" w:rsidRPr="00DA1726">
        <w:rPr>
          <w:b/>
          <w:sz w:val="28"/>
          <w:szCs w:val="28"/>
        </w:rPr>
        <w:t>Resolución 1446 de 2006</w:t>
      </w:r>
      <w:r w:rsidR="00CB2827" w:rsidRPr="00DA1726">
        <w:rPr>
          <w:sz w:val="28"/>
          <w:szCs w:val="28"/>
        </w:rPr>
        <w:t xml:space="preserve">, </w:t>
      </w:r>
      <w:r w:rsidRPr="00DA1726">
        <w:rPr>
          <w:sz w:val="28"/>
          <w:szCs w:val="28"/>
        </w:rPr>
        <w:t>con el objeto de definir y establecer las condiciones y procedimientos para disponer de la información que permita: (i) realizar el seguimiento y evaluación de la gestión de la calidad de la atención en salud en el Sistema Obligatorio de Garantía de Calidad de la Atención en Salud; (ii) brindar información a los usuarios para elegir libremente con base a la calidad de los servicios, de manera que puedan tomar decisiones informadas en el momento de ejercer los derechos que para ellos contempla el Sistema Gener</w:t>
      </w:r>
      <w:r w:rsidR="00EC0BC1" w:rsidRPr="00DA1726">
        <w:rPr>
          <w:sz w:val="28"/>
          <w:szCs w:val="28"/>
        </w:rPr>
        <w:t>al de Seguridad Social en Salud; (iii) o</w:t>
      </w:r>
      <w:r w:rsidRPr="00DA1726">
        <w:rPr>
          <w:sz w:val="28"/>
          <w:szCs w:val="28"/>
        </w:rPr>
        <w:t>frecer insumos para la referenciación por calidad que permita materializar los incentivos de prestigio del Sistema</w:t>
      </w:r>
      <w:r w:rsidR="00EC0BC1" w:rsidRPr="00DA1726">
        <w:rPr>
          <w:sz w:val="28"/>
          <w:szCs w:val="28"/>
        </w:rPr>
        <w:t xml:space="preserve"> (art. 1)</w:t>
      </w:r>
      <w:r w:rsidRPr="00DA1726">
        <w:rPr>
          <w:sz w:val="28"/>
          <w:szCs w:val="28"/>
        </w:rPr>
        <w:t>.</w:t>
      </w:r>
    </w:p>
    <w:p w:rsidR="00BE5F46" w:rsidRPr="00DA1726" w:rsidRDefault="00BE5F46" w:rsidP="00DA1726">
      <w:pPr>
        <w:jc w:val="both"/>
        <w:rPr>
          <w:sz w:val="28"/>
          <w:szCs w:val="28"/>
        </w:rPr>
      </w:pPr>
    </w:p>
    <w:p w:rsidR="00CB2827" w:rsidRPr="00DA1726" w:rsidRDefault="00EC0BC1" w:rsidP="00DA1726">
      <w:pPr>
        <w:jc w:val="both"/>
        <w:rPr>
          <w:sz w:val="28"/>
          <w:szCs w:val="28"/>
        </w:rPr>
      </w:pPr>
      <w:r w:rsidRPr="00DA1726">
        <w:rPr>
          <w:sz w:val="28"/>
          <w:szCs w:val="28"/>
        </w:rPr>
        <w:t xml:space="preserve">Posteriormente, la </w:t>
      </w:r>
      <w:r w:rsidRPr="00DA1726">
        <w:rPr>
          <w:b/>
          <w:sz w:val="28"/>
          <w:szCs w:val="28"/>
        </w:rPr>
        <w:t>Ley 1438 de 2011</w:t>
      </w:r>
      <w:r w:rsidRPr="00DA1726">
        <w:rPr>
          <w:sz w:val="28"/>
          <w:szCs w:val="28"/>
        </w:rPr>
        <w:t xml:space="preserve"> adoptó reformas al SGSSS, específicamente en sus artículos 107 y 108 se </w:t>
      </w:r>
      <w:r w:rsidR="00CB2827" w:rsidRPr="00DA1726">
        <w:rPr>
          <w:sz w:val="28"/>
          <w:szCs w:val="28"/>
        </w:rPr>
        <w:t xml:space="preserve">estableció la necesidad de fortalecer el Sistema de Información para la Calidad, a través de indicadores que den cuenta del desempeño y resultados de los agentes del SGSSS, con el fin de que los ciudadanos puedan contar con información objetiva para garantizarles su derecho a la libre elección de los prestadores de servicios de salud y aseguradores. </w:t>
      </w:r>
      <w:r w:rsidRPr="00DA1726">
        <w:rPr>
          <w:sz w:val="28"/>
          <w:szCs w:val="28"/>
        </w:rPr>
        <w:t xml:space="preserve"> En concreto las normas en cita señalan:</w:t>
      </w:r>
    </w:p>
    <w:p w:rsidR="00EC0BC1" w:rsidRPr="00DA1726" w:rsidRDefault="00EC0BC1" w:rsidP="00DA1726">
      <w:pPr>
        <w:jc w:val="both"/>
        <w:rPr>
          <w:sz w:val="28"/>
          <w:szCs w:val="28"/>
        </w:rPr>
      </w:pPr>
    </w:p>
    <w:p w:rsidR="00EC0BC1" w:rsidRPr="00DA1726" w:rsidRDefault="00EC0BC1" w:rsidP="00DA1726">
      <w:pPr>
        <w:ind w:left="426"/>
        <w:jc w:val="both"/>
        <w:rPr>
          <w:sz w:val="28"/>
          <w:szCs w:val="28"/>
        </w:rPr>
      </w:pPr>
      <w:r w:rsidRPr="00DA1726">
        <w:rPr>
          <w:b/>
          <w:sz w:val="28"/>
          <w:szCs w:val="28"/>
        </w:rPr>
        <w:t>Artículo 107. Garantía de calidad y resultados en la atención en el sistema general de seguridad social de salud.</w:t>
      </w:r>
      <w:r w:rsidRPr="00DA1726">
        <w:rPr>
          <w:sz w:val="28"/>
          <w:szCs w:val="28"/>
        </w:rPr>
        <w:t xml:space="preserve"> En desarrollo del principio de calidad del Sistema General de Seguridad Social de Salud establecido en la presente ley, y en el marco del Sistema Obligatorio de Garantía de Calidad de la Atención de Salud, se definirá e implementará un plan nacional de mejoramiento de calidad, con clara orientación hacia la obtención de resultados que puedan ser evaluados. Dicho plan contendrá como mínimo: 107.1 La consolidación del componente de habilitación exigible a direcciones territoriales de salud, a los prestadores de servicios de salud, a Entidades Promotoras de Salud y a administradoras de riesgos profesionales, incluyendo el establecimiento de condiciones de habilitación para la conformación y operación de redes de prestación de servicios de salud; 107.2 El establecimiento de incentivos al componente de acreditación aplicable a las instituciones prestadoras de servicios de salud, Entidades Promotoras de Salud y direcciones territoriales de salud, y 107.3 El fortalecimiento del sistema de información para la calidad, a través de indicadores que den cuenta del desempeño y resultados de los prestadores de servicios de salud y Entidades Promotoras de Salud, con el fin de que los ciudadanos puedan contar con información objetiva para garantizar al usuario su derecho a la libre elección.</w:t>
      </w:r>
    </w:p>
    <w:p w:rsidR="00EC0BC1" w:rsidRPr="00DA1726" w:rsidRDefault="00EC0BC1" w:rsidP="00DA1726">
      <w:pPr>
        <w:ind w:left="426"/>
        <w:jc w:val="both"/>
        <w:rPr>
          <w:sz w:val="28"/>
          <w:szCs w:val="28"/>
        </w:rPr>
      </w:pPr>
    </w:p>
    <w:p w:rsidR="00EC0BC1" w:rsidRPr="00DA1726" w:rsidRDefault="00EC0BC1" w:rsidP="00DA1726">
      <w:pPr>
        <w:ind w:left="426"/>
        <w:jc w:val="both"/>
        <w:rPr>
          <w:sz w:val="28"/>
          <w:szCs w:val="28"/>
        </w:rPr>
      </w:pPr>
      <w:r w:rsidRPr="00DA1726">
        <w:rPr>
          <w:b/>
          <w:sz w:val="28"/>
          <w:szCs w:val="28"/>
        </w:rPr>
        <w:t>Artículo 108. Indicadores en salud.</w:t>
      </w:r>
      <w:r w:rsidRPr="00DA1726">
        <w:rPr>
          <w:sz w:val="28"/>
          <w:szCs w:val="28"/>
        </w:rPr>
        <w:t xml:space="preserve"> El Ministerio de la Protección Social deberá establecer indicadores de salud, tales como indicadores centinela y trazadores, así como indicadores administrativos que den cuenta del desempeño de las direcciones territoriales de salud, Entidades Promotoras de Salud, Administradoras de Riesgos Profesionales y de las Instituciones Prestadoras de Salud, con el fin de que los ciudadanos puedan contar con información objetiva que permita reducir las asimetrías de información y garantizar al usuario su derecho a la libre elección de los prestadores de servicios y aseguradores.</w:t>
      </w:r>
    </w:p>
    <w:p w:rsidR="00EC0BC1" w:rsidRPr="00DA1726" w:rsidRDefault="00EC0BC1" w:rsidP="00DA1726">
      <w:pPr>
        <w:jc w:val="both"/>
        <w:rPr>
          <w:sz w:val="28"/>
          <w:szCs w:val="28"/>
        </w:rPr>
      </w:pPr>
    </w:p>
    <w:p w:rsidR="00EC0BC1" w:rsidRPr="00DA1726" w:rsidRDefault="00EC0BC1" w:rsidP="00DA1726">
      <w:pPr>
        <w:jc w:val="both"/>
        <w:rPr>
          <w:sz w:val="28"/>
          <w:szCs w:val="28"/>
        </w:rPr>
      </w:pPr>
      <w:r w:rsidRPr="00DA1726">
        <w:rPr>
          <w:sz w:val="28"/>
          <w:szCs w:val="28"/>
        </w:rPr>
        <w:t>Conforme</w:t>
      </w:r>
      <w:r w:rsidR="00F014E0" w:rsidRPr="00DA1726">
        <w:rPr>
          <w:sz w:val="28"/>
          <w:szCs w:val="28"/>
        </w:rPr>
        <w:t xml:space="preserve"> con lo expuesto, </w:t>
      </w:r>
      <w:r w:rsidRPr="00DA1726">
        <w:rPr>
          <w:sz w:val="28"/>
          <w:szCs w:val="28"/>
        </w:rPr>
        <w:t xml:space="preserve">se expidió la </w:t>
      </w:r>
      <w:r w:rsidRPr="00DA1726">
        <w:rPr>
          <w:b/>
          <w:sz w:val="28"/>
          <w:szCs w:val="28"/>
        </w:rPr>
        <w:t>Resolución 256 de 2016</w:t>
      </w:r>
      <w:r w:rsidR="00FB4F7A" w:rsidRPr="00DA1726">
        <w:rPr>
          <w:sz w:val="28"/>
          <w:szCs w:val="28"/>
          <w:vertAlign w:val="superscript"/>
        </w:rPr>
        <w:footnoteReference w:id="129"/>
      </w:r>
      <w:r w:rsidRPr="00DA1726">
        <w:rPr>
          <w:sz w:val="28"/>
          <w:szCs w:val="28"/>
        </w:rPr>
        <w:t>, cuyo objeto es, entre otros, establecer los indicadores para el monitoreo de la calidad en salud, estructurados bajo el presupuesto de su interrelación entre sí y el enfoque al mejoramiento de la calidad en salud que impacte en el usuario como finalidad primordial de los diferentes componentes de dicho Sistema (art. 1).</w:t>
      </w:r>
      <w:r w:rsidR="00FB4F7A" w:rsidRPr="00DA1726">
        <w:rPr>
          <w:sz w:val="28"/>
          <w:szCs w:val="28"/>
        </w:rPr>
        <w:t xml:space="preserve"> Este monitoreo contará con un enfoque sistémico que presenta un conjunto de indicadores trazadores agrupados en los dominios de efectividad, seguridad, gestión del riesgo y experiencia de la atención (art. 4). </w:t>
      </w:r>
    </w:p>
    <w:p w:rsidR="004C0EEF" w:rsidRPr="00DA1726" w:rsidRDefault="004C0EEF" w:rsidP="00DA1726">
      <w:pPr>
        <w:jc w:val="both"/>
        <w:rPr>
          <w:sz w:val="28"/>
          <w:szCs w:val="28"/>
        </w:rPr>
      </w:pPr>
    </w:p>
    <w:p w:rsidR="00FB4F7A" w:rsidRPr="00DA1726" w:rsidRDefault="00FB4F7A" w:rsidP="00DA1726">
      <w:pPr>
        <w:jc w:val="both"/>
        <w:rPr>
          <w:sz w:val="28"/>
          <w:szCs w:val="28"/>
        </w:rPr>
      </w:pPr>
      <w:r w:rsidRPr="00DA1726">
        <w:rPr>
          <w:sz w:val="28"/>
          <w:szCs w:val="28"/>
        </w:rPr>
        <w:t>Son las Entidades Administradoras de Planes de Beneficios —EAPB, las Instituciones Prestadoras de Servicios de Salud y los Servicios de Transporte Especial de Pacientes, las obligadas a reportar la información de su competencia, a través de la Plataforma de Intercambio de Información (PISIS) del Sistema Integral de Información de la Protección Social — SISPRO del Ministerio de Salud y Protección Social (art. 5).</w:t>
      </w:r>
    </w:p>
    <w:p w:rsidR="004C0EEF" w:rsidRPr="00DA1726" w:rsidRDefault="004C0EEF" w:rsidP="00DA1726">
      <w:pPr>
        <w:jc w:val="both"/>
        <w:rPr>
          <w:sz w:val="28"/>
          <w:szCs w:val="28"/>
        </w:rPr>
      </w:pPr>
    </w:p>
    <w:p w:rsidR="003D4E9E" w:rsidRPr="00DA1726" w:rsidRDefault="00FB4F7A" w:rsidP="00DA1726">
      <w:pPr>
        <w:jc w:val="both"/>
        <w:rPr>
          <w:sz w:val="28"/>
          <w:szCs w:val="28"/>
        </w:rPr>
      </w:pPr>
      <w:r w:rsidRPr="00DA1726">
        <w:rPr>
          <w:sz w:val="28"/>
          <w:szCs w:val="28"/>
        </w:rPr>
        <w:t>En cuanto al acceso por parte de los usuarios y las partes que se desenvuelven dentro del SGSSS,</w:t>
      </w:r>
      <w:r w:rsidR="003D4E9E" w:rsidRPr="00DA1726">
        <w:rPr>
          <w:sz w:val="28"/>
          <w:szCs w:val="28"/>
        </w:rPr>
        <w:t xml:space="preserve"> el artículo 10</w:t>
      </w:r>
      <w:r w:rsidRPr="00DA1726">
        <w:rPr>
          <w:sz w:val="28"/>
          <w:szCs w:val="28"/>
        </w:rPr>
        <w:t xml:space="preserve"> dispuso que </w:t>
      </w:r>
      <w:r w:rsidR="003D4E9E" w:rsidRPr="00DA1726">
        <w:rPr>
          <w:sz w:val="28"/>
          <w:szCs w:val="28"/>
        </w:rPr>
        <w:t xml:space="preserve">el Ministerio debe brindar unos canales de acceso digitales y electrónicos, para facilitar la difusión de la información, estos son los que se enumeran a continuación: </w:t>
      </w:r>
    </w:p>
    <w:p w:rsidR="003D4E9E" w:rsidRPr="00DA1726" w:rsidRDefault="003D4E9E" w:rsidP="00DA1726">
      <w:pPr>
        <w:jc w:val="both"/>
        <w:rPr>
          <w:sz w:val="28"/>
          <w:szCs w:val="28"/>
        </w:rPr>
      </w:pPr>
    </w:p>
    <w:p w:rsidR="003D4E9E" w:rsidRPr="00DA1726" w:rsidRDefault="004837A3" w:rsidP="00DA1726">
      <w:pPr>
        <w:ind w:left="426"/>
        <w:jc w:val="both"/>
        <w:rPr>
          <w:sz w:val="28"/>
          <w:szCs w:val="28"/>
        </w:rPr>
      </w:pPr>
      <w:r w:rsidRPr="00DA1726">
        <w:rPr>
          <w:sz w:val="28"/>
          <w:szCs w:val="28"/>
        </w:rPr>
        <w:t xml:space="preserve">1. Sitio web del SISPRO: permite hacer las consultas de información más frecuentemente buscadas. </w:t>
      </w:r>
    </w:p>
    <w:p w:rsidR="003D4E9E" w:rsidRPr="00DA1726" w:rsidRDefault="004837A3" w:rsidP="00DA1726">
      <w:pPr>
        <w:ind w:left="426"/>
        <w:jc w:val="both"/>
        <w:rPr>
          <w:sz w:val="28"/>
          <w:szCs w:val="28"/>
        </w:rPr>
      </w:pPr>
      <w:r w:rsidRPr="00DA1726">
        <w:rPr>
          <w:sz w:val="28"/>
          <w:szCs w:val="28"/>
        </w:rPr>
        <w:t xml:space="preserve">2. Sitios web para consultas predefinidas: permite acceder a consultas de datos e información específica </w:t>
      </w:r>
    </w:p>
    <w:p w:rsidR="003D4E9E" w:rsidRPr="00DA1726" w:rsidRDefault="004837A3" w:rsidP="00DA1726">
      <w:pPr>
        <w:ind w:left="426"/>
        <w:jc w:val="both"/>
        <w:rPr>
          <w:sz w:val="28"/>
          <w:szCs w:val="28"/>
        </w:rPr>
      </w:pPr>
      <w:r w:rsidRPr="00DA1726">
        <w:rPr>
          <w:sz w:val="28"/>
          <w:szCs w:val="28"/>
        </w:rPr>
        <w:t xml:space="preserve">3. Sitios web temáticos: dispone de consulta de datos e información correspondiente a los Registros, Observatorios y Sistemas de Seguimiento en Salud (ROSS). </w:t>
      </w:r>
    </w:p>
    <w:p w:rsidR="003D4E9E" w:rsidRPr="00DA1726" w:rsidRDefault="004837A3" w:rsidP="00DA1726">
      <w:pPr>
        <w:ind w:left="426"/>
        <w:jc w:val="both"/>
        <w:rPr>
          <w:sz w:val="28"/>
          <w:szCs w:val="28"/>
        </w:rPr>
      </w:pPr>
      <w:r w:rsidRPr="00DA1726">
        <w:rPr>
          <w:sz w:val="28"/>
          <w:szCs w:val="28"/>
        </w:rPr>
        <w:t xml:space="preserve">4. Cubos en línea: permite hacer consultas dinámicas de datos e información integrada al Sistema de Gestión de Datos del Sistema Integral de Información de la Protección Social — SISPRO. </w:t>
      </w:r>
    </w:p>
    <w:p w:rsidR="004837A3" w:rsidRPr="00DA1726" w:rsidRDefault="004837A3" w:rsidP="00DA1726">
      <w:pPr>
        <w:ind w:left="426"/>
        <w:jc w:val="both"/>
        <w:rPr>
          <w:sz w:val="28"/>
          <w:szCs w:val="28"/>
        </w:rPr>
      </w:pPr>
      <w:r w:rsidRPr="00DA1726">
        <w:rPr>
          <w:sz w:val="28"/>
          <w:szCs w:val="28"/>
        </w:rPr>
        <w:t>5. Repositorio Institucional Digital (RID): permite acceder a la información bibliográfica y documentos electrónicos, incluyendo la documentación relacionada con las fuentes de información, bases de datos e indicadores epidemiológicos y demográficos. Parágrafo. Cuando por el volumen de la información o necesidades particulares, el usuario no encuentre en estos canales la información que requiera, podrá solicitarla al Ministerio de Salud y Protección Social, quien a través de la Oficina de Tecnología de la Información y la Comunicación — TIC, determinará el canal y medio para la atención de dicha solicitud.</w:t>
      </w:r>
    </w:p>
    <w:p w:rsidR="00CB2827" w:rsidRPr="00DA1726" w:rsidRDefault="00CB2827" w:rsidP="00DA1726">
      <w:pPr>
        <w:ind w:left="426"/>
        <w:jc w:val="both"/>
        <w:rPr>
          <w:sz w:val="28"/>
          <w:szCs w:val="28"/>
        </w:rPr>
      </w:pPr>
    </w:p>
    <w:p w:rsidR="003D4E9E" w:rsidRPr="00DA1726" w:rsidRDefault="00E36357" w:rsidP="00DA1726">
      <w:pPr>
        <w:jc w:val="both"/>
        <w:rPr>
          <w:sz w:val="28"/>
          <w:szCs w:val="28"/>
        </w:rPr>
      </w:pPr>
      <w:r w:rsidRPr="00DA1726">
        <w:rPr>
          <w:sz w:val="28"/>
          <w:szCs w:val="28"/>
        </w:rPr>
        <w:t xml:space="preserve">Por otra parte, es importante destacar que ante la necesidad de garantizar los derechos de los usuarios, de cara a una atención oportuna, </w:t>
      </w:r>
      <w:r w:rsidR="00981265" w:rsidRPr="00DA1726">
        <w:rPr>
          <w:sz w:val="28"/>
          <w:szCs w:val="28"/>
        </w:rPr>
        <w:t>eficiente y de calidad, a través del decreto ley 019 de 2012, se establecieron los lineamientos para la programación de citas médicas de consulta general, especialistas y autorizaciones en salud. Ello con el fin de atender las necesidades ciudadanas y propender por la garantía efectiva de sus derechos</w:t>
      </w:r>
      <w:r w:rsidR="00FF0F36" w:rsidRPr="00DA1726">
        <w:rPr>
          <w:sz w:val="28"/>
          <w:szCs w:val="28"/>
        </w:rPr>
        <w:t>. En concreto los artículos 123, 124 y 125 establecen:</w:t>
      </w:r>
    </w:p>
    <w:p w:rsidR="00FF0F36" w:rsidRPr="00DA1726" w:rsidRDefault="00FF0F36" w:rsidP="00DA1726">
      <w:pPr>
        <w:jc w:val="both"/>
        <w:rPr>
          <w:sz w:val="28"/>
          <w:szCs w:val="28"/>
        </w:rPr>
      </w:pPr>
    </w:p>
    <w:p w:rsidR="00FF0F36" w:rsidRPr="00DA1726" w:rsidRDefault="00FF0F36" w:rsidP="00DA1726">
      <w:pPr>
        <w:ind w:left="426"/>
        <w:jc w:val="both"/>
        <w:rPr>
          <w:sz w:val="28"/>
          <w:szCs w:val="28"/>
        </w:rPr>
      </w:pPr>
      <w:bookmarkStart w:id="1" w:name="123"/>
      <w:bookmarkEnd w:id="1"/>
      <w:r w:rsidRPr="00DA1726">
        <w:rPr>
          <w:b/>
          <w:bCs/>
          <w:sz w:val="28"/>
          <w:szCs w:val="28"/>
        </w:rPr>
        <w:t>Artículo 123. Programación de citas de consulta general.</w:t>
      </w:r>
      <w:r w:rsidRPr="00DA1726">
        <w:rPr>
          <w:sz w:val="28"/>
          <w:szCs w:val="28"/>
        </w:rPr>
        <w:t xml:space="preserve"> Las Entidades Promotoras de Salud, EPS, deberán garantizar la asignación de citas de medicina general u odontología general, sin necesidad de hacer la solicitud de forma presencial y sin exigir requisitos no previstos en la Ley. La asignación de estas citas no podrá exceder los tres (3) días hábiles contados a partir de la solicitud. De igual forma, las EPS contarán con sistemas de evaluación y seguimiento a los tiempos de otorgamiento de citas que deberán reportarse a la Superintendencia Nacional de Salud y publicarse periódicamente en medios masivos de comunicación.</w:t>
      </w:r>
    </w:p>
    <w:p w:rsidR="00FF0F36" w:rsidRPr="00DA1726" w:rsidRDefault="00FF0F36" w:rsidP="00DA1726">
      <w:pPr>
        <w:ind w:left="426"/>
        <w:jc w:val="both"/>
        <w:rPr>
          <w:sz w:val="28"/>
          <w:szCs w:val="28"/>
        </w:rPr>
      </w:pPr>
      <w:r w:rsidRPr="00DA1726">
        <w:rPr>
          <w:b/>
          <w:bCs/>
          <w:sz w:val="28"/>
          <w:szCs w:val="28"/>
        </w:rPr>
        <w:t>Parágrafo.</w:t>
      </w:r>
      <w:r w:rsidRPr="00DA1726">
        <w:rPr>
          <w:sz w:val="28"/>
          <w:szCs w:val="28"/>
        </w:rPr>
        <w:t xml:space="preserve"> El Ministerio de Salud y Protección Social podrá determinar las excepciones a lo dispuesto en este artículo para las zonas geográficas con restricción de oferta de salud y condiciones de acceso.</w:t>
      </w:r>
    </w:p>
    <w:p w:rsidR="00FF0F36" w:rsidRPr="00DA1726" w:rsidRDefault="00982FD4" w:rsidP="00DA1726">
      <w:pPr>
        <w:ind w:left="426"/>
        <w:jc w:val="both"/>
        <w:rPr>
          <w:sz w:val="28"/>
          <w:szCs w:val="28"/>
        </w:rPr>
      </w:pPr>
      <w:hyperlink r:id="rId8" w:anchor="top" w:tooltip="Ir al inicio" w:history="1"/>
    </w:p>
    <w:p w:rsidR="00FF0F36" w:rsidRPr="00DA1726" w:rsidRDefault="00FF0F36" w:rsidP="00DA1726">
      <w:pPr>
        <w:ind w:left="426"/>
        <w:jc w:val="both"/>
        <w:rPr>
          <w:sz w:val="28"/>
          <w:szCs w:val="28"/>
        </w:rPr>
      </w:pPr>
      <w:bookmarkStart w:id="2" w:name="124"/>
      <w:bookmarkEnd w:id="2"/>
      <w:r w:rsidRPr="00DA1726">
        <w:rPr>
          <w:b/>
          <w:bCs/>
          <w:sz w:val="28"/>
          <w:szCs w:val="28"/>
        </w:rPr>
        <w:t>Artículo 124. Asignación de citas médicas con especialistas.</w:t>
      </w:r>
      <w:r w:rsidRPr="00DA1726">
        <w:rPr>
          <w:sz w:val="28"/>
          <w:szCs w:val="28"/>
        </w:rPr>
        <w:t xml:space="preserve"> La asignación de citas médicas con especialistas deberá ser otorgada por las </w:t>
      </w:r>
      <w:r w:rsidR="00176A8A" w:rsidRPr="00DA1726">
        <w:rPr>
          <w:sz w:val="28"/>
          <w:szCs w:val="28"/>
        </w:rPr>
        <w:t xml:space="preserve">entidades promotoras de salud </w:t>
      </w:r>
      <w:r w:rsidRPr="00DA1726">
        <w:rPr>
          <w:sz w:val="28"/>
          <w:szCs w:val="28"/>
        </w:rPr>
        <w:t>en el término que señale el Ministerio de Salud y Protección Social, la cual será adoptada en forma gradual, atendiendo la disponibilidad de oferta por especialidades en cada región del país, la carga de la enfermedad de la población, la condición médica del paciente, los perfiles epidemiológicos y demás factores que incidan en la demanda de prestación del servicio de salud por parte de la población colombiana. Para tal efecto, el Ministerio de Salud y Protección Social expedirá en los próximos tres meses a la vigencia del presente decreto la reglamentación correspondiente.</w:t>
      </w:r>
    </w:p>
    <w:p w:rsidR="00FF0F36" w:rsidRPr="00DA1726" w:rsidRDefault="00982FD4" w:rsidP="00DA1726">
      <w:pPr>
        <w:ind w:left="426"/>
        <w:jc w:val="both"/>
        <w:rPr>
          <w:sz w:val="28"/>
          <w:szCs w:val="28"/>
        </w:rPr>
      </w:pPr>
      <w:hyperlink r:id="rId9" w:anchor="top" w:tooltip="Ir al inicio" w:history="1"/>
    </w:p>
    <w:p w:rsidR="00FF0F36" w:rsidRPr="00DA1726" w:rsidRDefault="00FF0F36" w:rsidP="00DA1726">
      <w:pPr>
        <w:ind w:left="426"/>
        <w:jc w:val="both"/>
        <w:rPr>
          <w:sz w:val="28"/>
          <w:szCs w:val="28"/>
        </w:rPr>
      </w:pPr>
      <w:bookmarkStart w:id="3" w:name="125"/>
      <w:bookmarkEnd w:id="3"/>
      <w:r w:rsidRPr="00DA1726">
        <w:rPr>
          <w:b/>
          <w:bCs/>
          <w:sz w:val="28"/>
          <w:szCs w:val="28"/>
        </w:rPr>
        <w:t>Artículo 125. Autorizaciones de servicios de salud.</w:t>
      </w:r>
      <w:r w:rsidRPr="00DA1726">
        <w:rPr>
          <w:sz w:val="28"/>
          <w:szCs w:val="28"/>
        </w:rPr>
        <w:t xml:space="preserve"> Las Entidades Promotoras de Salud, EPS, tendrán la obligación de contar con sistemas no presenciales para autorizar los servicios de salud, de tal forma que el afiliado no tenga que presentarse nuevamente para recibir la misma. En ningún caso las autorizaciones podrán exceder los cinco (5) días hábiles contados a partir de la solicitud de la autorización. De igual forma, las EPS contarán con sistemas de evaluación y seguimiento de los tiempos de autorización que deberán reportarse a la Superintendencia Nacional de Salud y publicarse periódicamente en medios masivos de comunicación.</w:t>
      </w:r>
    </w:p>
    <w:p w:rsidR="00FF0F36" w:rsidRPr="00DA1726" w:rsidRDefault="00FF0F36" w:rsidP="00DA1726">
      <w:pPr>
        <w:jc w:val="both"/>
        <w:rPr>
          <w:sz w:val="28"/>
          <w:szCs w:val="28"/>
        </w:rPr>
      </w:pPr>
    </w:p>
    <w:p w:rsidR="00FF0F36" w:rsidRPr="00DA1726" w:rsidRDefault="00FF0F36" w:rsidP="00DA1726">
      <w:pPr>
        <w:pStyle w:val="Textonotapie"/>
        <w:jc w:val="both"/>
        <w:rPr>
          <w:sz w:val="28"/>
          <w:szCs w:val="28"/>
        </w:rPr>
      </w:pPr>
      <w:r w:rsidRPr="00DA1726">
        <w:rPr>
          <w:sz w:val="28"/>
          <w:szCs w:val="28"/>
        </w:rPr>
        <w:t xml:space="preserve">Estas disposiciones normativas fueron desarrolladas por la Resolución </w:t>
      </w:r>
      <w:r w:rsidRPr="00DA1726">
        <w:rPr>
          <w:color w:val="000000"/>
          <w:sz w:val="28"/>
          <w:szCs w:val="28"/>
        </w:rPr>
        <w:t>1552 de 2013 expedida por el Ministerio de Salud y Protección Social mediante la cual se reglamenta la obligación de las EPS de garantizar la asignación de citas de medicina y odontología general, así como de especialistas, fijando los términos en que deben ser otorgadas. Además establece el sistema de evaluación y seguimiento a los tiempos de asignación, conforme a los artículos 123 y 124 del Decreto ley 019 de 2012.</w:t>
      </w:r>
    </w:p>
    <w:p w:rsidR="00FF0F36" w:rsidRPr="00DA1726" w:rsidRDefault="00FF0F36" w:rsidP="00DA1726">
      <w:pPr>
        <w:jc w:val="both"/>
        <w:rPr>
          <w:sz w:val="28"/>
          <w:szCs w:val="28"/>
        </w:rPr>
      </w:pPr>
    </w:p>
    <w:p w:rsidR="003D4E9E" w:rsidRPr="00DA1726" w:rsidRDefault="003D4E9E" w:rsidP="00DA1726">
      <w:pPr>
        <w:jc w:val="both"/>
        <w:rPr>
          <w:sz w:val="28"/>
          <w:szCs w:val="28"/>
        </w:rPr>
      </w:pPr>
      <w:r w:rsidRPr="00DA1726">
        <w:rPr>
          <w:sz w:val="28"/>
          <w:szCs w:val="28"/>
        </w:rPr>
        <w:t xml:space="preserve">En este sentido, las personas no solo tienen derecho a que exista una EPS a la cual estén aseguradas, sino a que esta no imponga barreras de acceso a las tecnologías en salud, no niegue aquellas que son POS, otorgue las citas médicas que le soliciten a la brevedad, en todo caso que se observen los plazos máximos que el ordenamiento jurídico establece. Si alguno de los aseguradores no actúa de esa manera, toda la sociedad tiene derecho a saber de manera comprensible: </w:t>
      </w:r>
      <w:r w:rsidR="009F62EE" w:rsidRPr="00DA1726">
        <w:rPr>
          <w:sz w:val="28"/>
          <w:szCs w:val="28"/>
        </w:rPr>
        <w:t>(</w:t>
      </w:r>
      <w:r w:rsidRPr="00DA1726">
        <w:rPr>
          <w:sz w:val="28"/>
          <w:szCs w:val="28"/>
        </w:rPr>
        <w:t>i)</w:t>
      </w:r>
      <w:r w:rsidRPr="00DA1726">
        <w:rPr>
          <w:i/>
          <w:sz w:val="28"/>
          <w:szCs w:val="28"/>
        </w:rPr>
        <w:t xml:space="preserve"> </w:t>
      </w:r>
      <w:r w:rsidRPr="00DA1726">
        <w:rPr>
          <w:sz w:val="28"/>
          <w:szCs w:val="28"/>
        </w:rPr>
        <w:t>cuál es la EPS que no res</w:t>
      </w:r>
      <w:r w:rsidR="009F62EE" w:rsidRPr="00DA1726">
        <w:rPr>
          <w:sz w:val="28"/>
          <w:szCs w:val="28"/>
        </w:rPr>
        <w:t>peta el derecho de los usuarios;</w:t>
      </w:r>
      <w:r w:rsidRPr="00DA1726">
        <w:rPr>
          <w:sz w:val="28"/>
          <w:szCs w:val="28"/>
        </w:rPr>
        <w:t xml:space="preserve"> </w:t>
      </w:r>
      <w:r w:rsidR="009F62EE" w:rsidRPr="00DA1726">
        <w:rPr>
          <w:sz w:val="28"/>
          <w:szCs w:val="28"/>
        </w:rPr>
        <w:t>(</w:t>
      </w:r>
      <w:r w:rsidRPr="00DA1726">
        <w:rPr>
          <w:sz w:val="28"/>
          <w:szCs w:val="28"/>
        </w:rPr>
        <w:t>ii)</w:t>
      </w:r>
      <w:r w:rsidRPr="00DA1726">
        <w:rPr>
          <w:i/>
          <w:sz w:val="28"/>
          <w:szCs w:val="28"/>
        </w:rPr>
        <w:t xml:space="preserve"> </w:t>
      </w:r>
      <w:r w:rsidRPr="00DA1726">
        <w:rPr>
          <w:sz w:val="28"/>
          <w:szCs w:val="28"/>
        </w:rPr>
        <w:t>qué medidas concretas y específicas han sido adoptadas por las autoridades competentes antes de la violación y con ocasión de ella</w:t>
      </w:r>
      <w:r w:rsidR="009F62EE" w:rsidRPr="00DA1726">
        <w:rPr>
          <w:sz w:val="28"/>
          <w:szCs w:val="28"/>
        </w:rPr>
        <w:t>; y</w:t>
      </w:r>
      <w:r w:rsidRPr="00DA1726">
        <w:rPr>
          <w:sz w:val="28"/>
          <w:szCs w:val="28"/>
        </w:rPr>
        <w:t xml:space="preserve"> </w:t>
      </w:r>
      <w:r w:rsidR="009F62EE" w:rsidRPr="00DA1726">
        <w:rPr>
          <w:sz w:val="28"/>
          <w:szCs w:val="28"/>
        </w:rPr>
        <w:t>(</w:t>
      </w:r>
      <w:r w:rsidRPr="00DA1726">
        <w:rPr>
          <w:sz w:val="28"/>
          <w:szCs w:val="28"/>
        </w:rPr>
        <w:t>iii) cuáles son las acciones implementadas para que los usuarios asegurados por dicha entidad tengan garantizado su derecho a la salud.</w:t>
      </w:r>
    </w:p>
    <w:p w:rsidR="004725E7" w:rsidRPr="00DA1726" w:rsidRDefault="004725E7" w:rsidP="00DA1726">
      <w:pPr>
        <w:jc w:val="both"/>
        <w:rPr>
          <w:sz w:val="28"/>
          <w:szCs w:val="28"/>
        </w:rPr>
      </w:pPr>
    </w:p>
    <w:p w:rsidR="00853EEA" w:rsidRPr="00DA1726" w:rsidRDefault="00853EEA" w:rsidP="00DA1726">
      <w:pPr>
        <w:pStyle w:val="Prrafodelista"/>
        <w:numPr>
          <w:ilvl w:val="0"/>
          <w:numId w:val="26"/>
        </w:numPr>
        <w:tabs>
          <w:tab w:val="left" w:pos="0"/>
        </w:tabs>
        <w:autoSpaceDN w:val="0"/>
        <w:ind w:left="0" w:firstLine="0"/>
        <w:jc w:val="both"/>
        <w:rPr>
          <w:b/>
          <w:sz w:val="28"/>
          <w:szCs w:val="28"/>
        </w:rPr>
      </w:pPr>
      <w:r w:rsidRPr="00DA1726">
        <w:rPr>
          <w:b/>
          <w:sz w:val="28"/>
          <w:szCs w:val="28"/>
        </w:rPr>
        <w:t xml:space="preserve">Verificación de cumplimiento de lo dispuesto en la orden </w:t>
      </w:r>
      <w:r w:rsidR="00516D76" w:rsidRPr="00DA1726">
        <w:rPr>
          <w:b/>
          <w:sz w:val="28"/>
          <w:szCs w:val="28"/>
        </w:rPr>
        <w:t>20</w:t>
      </w:r>
      <w:r w:rsidRPr="00DA1726">
        <w:rPr>
          <w:b/>
          <w:sz w:val="28"/>
          <w:szCs w:val="28"/>
        </w:rPr>
        <w:t xml:space="preserve"> de la </w:t>
      </w:r>
      <w:r w:rsidR="008B5047" w:rsidRPr="00DA1726">
        <w:rPr>
          <w:b/>
          <w:sz w:val="28"/>
          <w:szCs w:val="28"/>
        </w:rPr>
        <w:t>s</w:t>
      </w:r>
      <w:r w:rsidR="00083CD9" w:rsidRPr="00DA1726">
        <w:rPr>
          <w:b/>
          <w:sz w:val="28"/>
          <w:szCs w:val="28"/>
        </w:rPr>
        <w:t>entencia T-760 de 2008, a partir de lo dispuesto en el Auto 260 de 2012 y los subsiguientes autos de seguimiento.</w:t>
      </w:r>
    </w:p>
    <w:p w:rsidR="00853EEA" w:rsidRPr="00DA1726" w:rsidRDefault="00853EEA" w:rsidP="00DA1726">
      <w:pPr>
        <w:tabs>
          <w:tab w:val="left" w:pos="357"/>
          <w:tab w:val="left" w:pos="567"/>
        </w:tabs>
        <w:autoSpaceDN w:val="0"/>
        <w:jc w:val="both"/>
        <w:rPr>
          <w:b/>
          <w:sz w:val="28"/>
          <w:szCs w:val="28"/>
        </w:rPr>
      </w:pPr>
    </w:p>
    <w:p w:rsidR="00516D76" w:rsidRPr="00DA1726" w:rsidRDefault="00853EEA" w:rsidP="00DA1726">
      <w:pPr>
        <w:pStyle w:val="Prrafodelista"/>
        <w:tabs>
          <w:tab w:val="left" w:pos="567"/>
        </w:tabs>
        <w:ind w:left="0"/>
        <w:jc w:val="both"/>
        <w:rPr>
          <w:sz w:val="28"/>
          <w:szCs w:val="28"/>
        </w:rPr>
      </w:pPr>
      <w:r w:rsidRPr="00DA1726">
        <w:rPr>
          <w:sz w:val="28"/>
          <w:szCs w:val="28"/>
        </w:rPr>
        <w:t>A efectos de adelantar la valoración del asunto objeto de examen</w:t>
      </w:r>
      <w:r w:rsidR="00E56D0F" w:rsidRPr="00DA1726">
        <w:rPr>
          <w:sz w:val="28"/>
          <w:szCs w:val="28"/>
        </w:rPr>
        <w:t>,</w:t>
      </w:r>
      <w:r w:rsidRPr="00DA1726">
        <w:rPr>
          <w:sz w:val="28"/>
          <w:szCs w:val="28"/>
        </w:rPr>
        <w:t xml:space="preserve"> la Sala Especial de Seguimiento </w:t>
      </w:r>
      <w:r w:rsidR="00E56D0F" w:rsidRPr="00DA1726">
        <w:rPr>
          <w:sz w:val="28"/>
          <w:szCs w:val="28"/>
        </w:rPr>
        <w:t>atenderá</w:t>
      </w:r>
      <w:r w:rsidRPr="00DA1726">
        <w:rPr>
          <w:sz w:val="28"/>
          <w:szCs w:val="28"/>
        </w:rPr>
        <w:t xml:space="preserve"> el siguiente </w:t>
      </w:r>
      <w:r w:rsidR="008B5047" w:rsidRPr="00DA1726">
        <w:rPr>
          <w:sz w:val="28"/>
          <w:szCs w:val="28"/>
        </w:rPr>
        <w:t>esquema</w:t>
      </w:r>
      <w:r w:rsidRPr="00DA1726">
        <w:rPr>
          <w:sz w:val="28"/>
          <w:szCs w:val="28"/>
        </w:rPr>
        <w:t xml:space="preserve"> de valoración: </w:t>
      </w:r>
      <w:r w:rsidR="008B5047" w:rsidRPr="00DA1726">
        <w:rPr>
          <w:sz w:val="28"/>
          <w:szCs w:val="28"/>
        </w:rPr>
        <w:t>(i) aspectos específicos establecidos por la Corte Constitucional en la sentencia T-760 de 2008 y sus autos de seguimiento</w:t>
      </w:r>
      <w:r w:rsidR="00AE2B91" w:rsidRPr="00DA1726">
        <w:rPr>
          <w:sz w:val="28"/>
          <w:szCs w:val="28"/>
        </w:rPr>
        <w:t xml:space="preserve">, </w:t>
      </w:r>
      <w:r w:rsidR="00AE2B91" w:rsidRPr="00DA1726">
        <w:rPr>
          <w:snapToGrid w:val="0"/>
          <w:sz w:val="28"/>
          <w:szCs w:val="28"/>
        </w:rPr>
        <w:t xml:space="preserve">en lo relacionado con </w:t>
      </w:r>
      <w:r w:rsidR="00FF56A4" w:rsidRPr="00DA1726">
        <w:rPr>
          <w:snapToGrid w:val="0"/>
          <w:sz w:val="28"/>
          <w:szCs w:val="28"/>
        </w:rPr>
        <w:t>el</w:t>
      </w:r>
      <w:r w:rsidR="00AE2B91" w:rsidRPr="00DA1726">
        <w:rPr>
          <w:snapToGrid w:val="0"/>
          <w:sz w:val="28"/>
          <w:szCs w:val="28"/>
        </w:rPr>
        <w:t xml:space="preserve"> </w:t>
      </w:r>
      <w:r w:rsidR="008D66F1" w:rsidRPr="00DA1726">
        <w:rPr>
          <w:i/>
          <w:snapToGrid w:val="0"/>
          <w:sz w:val="28"/>
          <w:szCs w:val="28"/>
        </w:rPr>
        <w:t>ranking</w:t>
      </w:r>
      <w:r w:rsidR="00AE2B91" w:rsidRPr="00DA1726">
        <w:rPr>
          <w:snapToGrid w:val="0"/>
          <w:sz w:val="28"/>
          <w:szCs w:val="28"/>
        </w:rPr>
        <w:t xml:space="preserve"> de </w:t>
      </w:r>
      <w:r w:rsidR="00EA4FAC" w:rsidRPr="00DA1726">
        <w:rPr>
          <w:snapToGrid w:val="0"/>
          <w:sz w:val="28"/>
          <w:szCs w:val="28"/>
        </w:rPr>
        <w:t>EPS</w:t>
      </w:r>
      <w:r w:rsidR="00AE2B91" w:rsidRPr="00DA1726">
        <w:rPr>
          <w:snapToGrid w:val="0"/>
          <w:sz w:val="28"/>
          <w:szCs w:val="28"/>
        </w:rPr>
        <w:t xml:space="preserve"> e </w:t>
      </w:r>
      <w:r w:rsidR="00EA4FAC" w:rsidRPr="00DA1726">
        <w:rPr>
          <w:snapToGrid w:val="0"/>
          <w:sz w:val="28"/>
          <w:szCs w:val="28"/>
        </w:rPr>
        <w:t>IPS</w:t>
      </w:r>
      <w:r w:rsidR="008B5047" w:rsidRPr="00DA1726">
        <w:rPr>
          <w:sz w:val="28"/>
          <w:szCs w:val="28"/>
        </w:rPr>
        <w:t xml:space="preserve">; (ii) informes de cumplimiento del Ministerio de Salud y la Superintendencia de Salud; (iii) conceptos </w:t>
      </w:r>
      <w:r w:rsidR="005E1E14" w:rsidRPr="00DA1726">
        <w:rPr>
          <w:sz w:val="28"/>
          <w:szCs w:val="28"/>
        </w:rPr>
        <w:t>de los peritos constitucionales</w:t>
      </w:r>
      <w:r w:rsidR="0063216F" w:rsidRPr="00DA1726">
        <w:rPr>
          <w:sz w:val="28"/>
          <w:szCs w:val="28"/>
        </w:rPr>
        <w:t xml:space="preserve">; </w:t>
      </w:r>
      <w:r w:rsidR="008B5047" w:rsidRPr="00DA1726">
        <w:rPr>
          <w:sz w:val="28"/>
          <w:szCs w:val="28"/>
        </w:rPr>
        <w:t>y (</w:t>
      </w:r>
      <w:r w:rsidR="005E1E14" w:rsidRPr="00DA1726">
        <w:rPr>
          <w:sz w:val="28"/>
          <w:szCs w:val="28"/>
        </w:rPr>
        <w:t>i</w:t>
      </w:r>
      <w:r w:rsidR="008B5047" w:rsidRPr="00DA1726">
        <w:rPr>
          <w:sz w:val="28"/>
          <w:szCs w:val="28"/>
        </w:rPr>
        <w:t xml:space="preserve">v) examen de la Sala Especial de Seguimiento. </w:t>
      </w:r>
    </w:p>
    <w:p w:rsidR="00516D76" w:rsidRPr="00DA1726" w:rsidRDefault="00516D76" w:rsidP="00DA1726">
      <w:pPr>
        <w:pStyle w:val="Prrafodelista"/>
        <w:tabs>
          <w:tab w:val="left" w:pos="567"/>
        </w:tabs>
        <w:ind w:left="0"/>
        <w:jc w:val="both"/>
        <w:rPr>
          <w:sz w:val="28"/>
          <w:szCs w:val="28"/>
        </w:rPr>
      </w:pPr>
    </w:p>
    <w:p w:rsidR="00D55757" w:rsidRPr="00DA1726" w:rsidRDefault="008B5047" w:rsidP="00DA1726">
      <w:pPr>
        <w:pStyle w:val="Prrafodelista"/>
        <w:tabs>
          <w:tab w:val="left" w:pos="567"/>
        </w:tabs>
        <w:ind w:left="0"/>
        <w:jc w:val="both"/>
        <w:rPr>
          <w:snapToGrid w:val="0"/>
          <w:sz w:val="28"/>
          <w:szCs w:val="28"/>
          <w:lang w:val="es-ES_tradnl"/>
        </w:rPr>
      </w:pPr>
      <w:r w:rsidRPr="00DA1726">
        <w:rPr>
          <w:sz w:val="28"/>
          <w:szCs w:val="28"/>
        </w:rPr>
        <w:t>El estudio de esta orden se llevará a cabo a p</w:t>
      </w:r>
      <w:r w:rsidR="0063216F" w:rsidRPr="00DA1726">
        <w:rPr>
          <w:sz w:val="28"/>
          <w:szCs w:val="28"/>
        </w:rPr>
        <w:t>artir de las medidas ado</w:t>
      </w:r>
      <w:r w:rsidRPr="00DA1726">
        <w:rPr>
          <w:sz w:val="28"/>
          <w:szCs w:val="28"/>
        </w:rPr>
        <w:t xml:space="preserve">ptadas en relación con las emprestas promotoras de salud –EPS y las instituciones prestadoras de salud –IPS. En </w:t>
      </w:r>
      <w:r w:rsidR="0063216F" w:rsidRPr="00DA1726">
        <w:rPr>
          <w:sz w:val="28"/>
          <w:szCs w:val="28"/>
        </w:rPr>
        <w:t>consecuencia</w:t>
      </w:r>
      <w:r w:rsidR="00E56D0F" w:rsidRPr="00DA1726">
        <w:rPr>
          <w:sz w:val="28"/>
          <w:szCs w:val="28"/>
        </w:rPr>
        <w:t>, se abordará</w:t>
      </w:r>
      <w:r w:rsidR="0063216F" w:rsidRPr="00DA1726">
        <w:rPr>
          <w:sz w:val="28"/>
          <w:szCs w:val="28"/>
        </w:rPr>
        <w:t xml:space="preserve"> su examen</w:t>
      </w:r>
      <w:r w:rsidRPr="00DA1726">
        <w:rPr>
          <w:sz w:val="28"/>
          <w:szCs w:val="28"/>
        </w:rPr>
        <w:t xml:space="preserve"> por separado</w:t>
      </w:r>
      <w:r w:rsidR="00A75875" w:rsidRPr="00DA1726">
        <w:rPr>
          <w:sz w:val="28"/>
          <w:szCs w:val="28"/>
        </w:rPr>
        <w:t xml:space="preserve">, haciendo </w:t>
      </w:r>
      <w:r w:rsidR="00D55757" w:rsidRPr="00DA1726">
        <w:rPr>
          <w:sz w:val="28"/>
          <w:szCs w:val="28"/>
        </w:rPr>
        <w:t>énfasis en el informe de cumplimiento presentado el 29 de abril de 2016</w:t>
      </w:r>
      <w:r w:rsidR="004133FA" w:rsidRPr="00DA1726">
        <w:rPr>
          <w:sz w:val="28"/>
          <w:szCs w:val="28"/>
        </w:rPr>
        <w:t xml:space="preserve"> (vigencia 2015)</w:t>
      </w:r>
      <w:r w:rsidR="00D55757" w:rsidRPr="00DA1726">
        <w:rPr>
          <w:sz w:val="28"/>
          <w:szCs w:val="28"/>
        </w:rPr>
        <w:t xml:space="preserve">, debido a que el proceso de elaboración del </w:t>
      </w:r>
      <w:r w:rsidR="008D66F1" w:rsidRPr="00DA1726">
        <w:rPr>
          <w:i/>
          <w:sz w:val="28"/>
          <w:szCs w:val="28"/>
        </w:rPr>
        <w:t>ranking</w:t>
      </w:r>
      <w:r w:rsidR="00D55757" w:rsidRPr="00DA1726">
        <w:rPr>
          <w:sz w:val="28"/>
          <w:szCs w:val="28"/>
        </w:rPr>
        <w:t xml:space="preserve"> es un ejercicio </w:t>
      </w:r>
      <w:r w:rsidR="00D55757" w:rsidRPr="00DA1726">
        <w:rPr>
          <w:snapToGrid w:val="0"/>
          <w:sz w:val="28"/>
          <w:szCs w:val="28"/>
          <w:lang w:val="es-ES_tradnl"/>
        </w:rPr>
        <w:t>continuo y permanente.</w:t>
      </w:r>
    </w:p>
    <w:p w:rsidR="008B5047" w:rsidRPr="00DA1726" w:rsidRDefault="008B5047" w:rsidP="00DA1726">
      <w:pPr>
        <w:pStyle w:val="Prrafodelista"/>
        <w:tabs>
          <w:tab w:val="left" w:pos="567"/>
        </w:tabs>
        <w:ind w:left="0"/>
        <w:jc w:val="both"/>
        <w:rPr>
          <w:sz w:val="28"/>
          <w:szCs w:val="28"/>
        </w:rPr>
      </w:pPr>
    </w:p>
    <w:p w:rsidR="00C61A87" w:rsidRPr="00DA1726" w:rsidRDefault="001D09EE" w:rsidP="00DA1726">
      <w:pPr>
        <w:pStyle w:val="Prrafodelista"/>
        <w:tabs>
          <w:tab w:val="left" w:pos="567"/>
        </w:tabs>
        <w:ind w:left="0"/>
        <w:jc w:val="both"/>
        <w:rPr>
          <w:b/>
          <w:sz w:val="28"/>
          <w:szCs w:val="28"/>
        </w:rPr>
      </w:pPr>
      <w:r w:rsidRPr="00DA1726">
        <w:rPr>
          <w:b/>
          <w:sz w:val="28"/>
          <w:szCs w:val="28"/>
        </w:rPr>
        <w:t xml:space="preserve">5.1. </w:t>
      </w:r>
      <w:r w:rsidR="00FF56A4" w:rsidRPr="00DA1726">
        <w:rPr>
          <w:b/>
          <w:i/>
          <w:sz w:val="28"/>
          <w:szCs w:val="28"/>
        </w:rPr>
        <w:t xml:space="preserve">Ranking de las </w:t>
      </w:r>
      <w:r w:rsidR="00176A8A" w:rsidRPr="00DA1726">
        <w:rPr>
          <w:b/>
          <w:i/>
          <w:sz w:val="28"/>
          <w:szCs w:val="28"/>
        </w:rPr>
        <w:t>entidade</w:t>
      </w:r>
      <w:r w:rsidR="00C61A87" w:rsidRPr="00DA1726">
        <w:rPr>
          <w:b/>
          <w:i/>
          <w:sz w:val="28"/>
          <w:szCs w:val="28"/>
        </w:rPr>
        <w:t>s promotoras de salud.</w:t>
      </w:r>
    </w:p>
    <w:p w:rsidR="00C61A87" w:rsidRPr="00DA1726" w:rsidRDefault="00C61A87" w:rsidP="00DA1726">
      <w:pPr>
        <w:pStyle w:val="Prrafodelista"/>
        <w:tabs>
          <w:tab w:val="left" w:pos="567"/>
        </w:tabs>
        <w:ind w:left="0"/>
        <w:jc w:val="both"/>
        <w:rPr>
          <w:sz w:val="28"/>
          <w:szCs w:val="28"/>
        </w:rPr>
      </w:pPr>
    </w:p>
    <w:p w:rsidR="008B5047" w:rsidRPr="00DA1726" w:rsidRDefault="001D09EE" w:rsidP="00DA1726">
      <w:pPr>
        <w:pStyle w:val="Prrafodelista"/>
        <w:tabs>
          <w:tab w:val="left" w:pos="567"/>
        </w:tabs>
        <w:ind w:left="0"/>
        <w:jc w:val="both"/>
        <w:rPr>
          <w:i/>
          <w:sz w:val="28"/>
          <w:szCs w:val="28"/>
        </w:rPr>
      </w:pPr>
      <w:r w:rsidRPr="00DA1726">
        <w:rPr>
          <w:i/>
          <w:sz w:val="28"/>
          <w:szCs w:val="28"/>
        </w:rPr>
        <w:t>5</w:t>
      </w:r>
      <w:r w:rsidR="00B07265" w:rsidRPr="00DA1726">
        <w:rPr>
          <w:i/>
          <w:sz w:val="28"/>
          <w:szCs w:val="28"/>
        </w:rPr>
        <w:t xml:space="preserve">.1.1. </w:t>
      </w:r>
      <w:r w:rsidR="00C61A87" w:rsidRPr="00DA1726">
        <w:rPr>
          <w:i/>
          <w:sz w:val="28"/>
          <w:szCs w:val="28"/>
        </w:rPr>
        <w:t>Aspectos específicos establecidos por la Corte Constitucional en la sentencia T-760 de 2008 y sus autos de seguimiento.</w:t>
      </w:r>
    </w:p>
    <w:p w:rsidR="00C61A87" w:rsidRPr="00DA1726" w:rsidRDefault="00C61A87" w:rsidP="00DA1726">
      <w:pPr>
        <w:pStyle w:val="Prrafodelista"/>
        <w:tabs>
          <w:tab w:val="left" w:pos="567"/>
        </w:tabs>
        <w:ind w:left="0"/>
        <w:jc w:val="both"/>
        <w:rPr>
          <w:sz w:val="28"/>
          <w:szCs w:val="28"/>
        </w:rPr>
      </w:pPr>
    </w:p>
    <w:p w:rsidR="00AE2B91" w:rsidRPr="00DA1726" w:rsidRDefault="003C73B7" w:rsidP="00DA1726">
      <w:pPr>
        <w:pStyle w:val="Prrafodelista"/>
        <w:tabs>
          <w:tab w:val="left" w:pos="567"/>
        </w:tabs>
        <w:ind w:left="0"/>
        <w:jc w:val="both"/>
        <w:rPr>
          <w:iCs/>
          <w:sz w:val="28"/>
          <w:szCs w:val="28"/>
          <w:lang w:eastAsia="es-ES_tradnl"/>
        </w:rPr>
      </w:pPr>
      <w:r w:rsidRPr="00DA1726">
        <w:rPr>
          <w:sz w:val="28"/>
          <w:szCs w:val="28"/>
        </w:rPr>
        <w:t>En este punto se hará referencia exclusivamente a los apartes jurisprudenciales alusivos la clasificación de EPS. Así, se empieza por señalar que l</w:t>
      </w:r>
      <w:r w:rsidR="00AE2B91" w:rsidRPr="00DA1726">
        <w:rPr>
          <w:sz w:val="28"/>
          <w:szCs w:val="28"/>
        </w:rPr>
        <w:t>a sentencia estructural en su orden vigésima dispuso que e</w:t>
      </w:r>
      <w:r w:rsidR="00C61A87" w:rsidRPr="00DA1726">
        <w:rPr>
          <w:iCs/>
          <w:sz w:val="28"/>
          <w:szCs w:val="28"/>
          <w:lang w:eastAsia="es-ES_tradnl"/>
        </w:rPr>
        <w:t xml:space="preserve">l Ministerio </w:t>
      </w:r>
      <w:r w:rsidR="00B866B5" w:rsidRPr="00DA1726">
        <w:rPr>
          <w:iCs/>
          <w:sz w:val="28"/>
          <w:szCs w:val="28"/>
          <w:lang w:eastAsia="es-ES_tradnl"/>
        </w:rPr>
        <w:t xml:space="preserve">de </w:t>
      </w:r>
      <w:r w:rsidR="00E56D0F" w:rsidRPr="00DA1726">
        <w:rPr>
          <w:iCs/>
          <w:sz w:val="28"/>
          <w:szCs w:val="28"/>
          <w:lang w:eastAsia="es-ES_tradnl"/>
        </w:rPr>
        <w:t xml:space="preserve">Salud </w:t>
      </w:r>
      <w:r w:rsidR="00B866B5" w:rsidRPr="00DA1726">
        <w:rPr>
          <w:iCs/>
          <w:sz w:val="28"/>
          <w:szCs w:val="28"/>
          <w:lang w:eastAsia="es-ES_tradnl"/>
        </w:rPr>
        <w:t>y</w:t>
      </w:r>
      <w:r w:rsidR="00C61A87" w:rsidRPr="00DA1726">
        <w:rPr>
          <w:iCs/>
          <w:sz w:val="28"/>
          <w:szCs w:val="28"/>
          <w:lang w:eastAsia="es-ES_tradnl"/>
        </w:rPr>
        <w:t xml:space="preserve"> la Superintendencia </w:t>
      </w:r>
      <w:r w:rsidR="00AE2B91" w:rsidRPr="00DA1726">
        <w:rPr>
          <w:iCs/>
          <w:sz w:val="28"/>
          <w:szCs w:val="28"/>
          <w:lang w:eastAsia="es-ES_tradnl"/>
        </w:rPr>
        <w:t>debían adoptar</w:t>
      </w:r>
      <w:r w:rsidR="00C61A87" w:rsidRPr="00DA1726">
        <w:rPr>
          <w:iCs/>
          <w:sz w:val="28"/>
          <w:szCs w:val="28"/>
          <w:lang w:eastAsia="es-ES_tradnl"/>
        </w:rPr>
        <w:t xml:space="preserve"> las medidas para identificar las Entidades Promotoras q</w:t>
      </w:r>
      <w:r w:rsidR="00233A76" w:rsidRPr="00DA1726">
        <w:rPr>
          <w:iCs/>
          <w:sz w:val="28"/>
          <w:szCs w:val="28"/>
          <w:lang w:eastAsia="es-ES_tradnl"/>
        </w:rPr>
        <w:t>ue con mayor frecuencia se negaba</w:t>
      </w:r>
      <w:r w:rsidR="00C61A87" w:rsidRPr="00DA1726">
        <w:rPr>
          <w:iCs/>
          <w:sz w:val="28"/>
          <w:szCs w:val="28"/>
          <w:lang w:eastAsia="es-ES_tradnl"/>
        </w:rPr>
        <w:t xml:space="preserve">n a autorizar oportunamente servicios de salud incluidos en el POS o que se requieran con necesidad. </w:t>
      </w:r>
    </w:p>
    <w:p w:rsidR="00C61A87" w:rsidRPr="00DA1726" w:rsidRDefault="00C61A87" w:rsidP="00DA1726">
      <w:pPr>
        <w:pStyle w:val="Prrafodelista"/>
        <w:tabs>
          <w:tab w:val="left" w:pos="567"/>
        </w:tabs>
        <w:ind w:left="0"/>
        <w:jc w:val="both"/>
        <w:rPr>
          <w:iCs/>
          <w:sz w:val="28"/>
          <w:szCs w:val="28"/>
          <w:lang w:eastAsia="es-ES_tradnl"/>
        </w:rPr>
      </w:pPr>
    </w:p>
    <w:p w:rsidR="00AE2B91" w:rsidRPr="00DA1726" w:rsidRDefault="00AE2B91" w:rsidP="00DA1726">
      <w:pPr>
        <w:jc w:val="both"/>
        <w:rPr>
          <w:sz w:val="28"/>
          <w:szCs w:val="28"/>
        </w:rPr>
      </w:pPr>
      <w:r w:rsidRPr="00DA1726">
        <w:rPr>
          <w:sz w:val="28"/>
          <w:szCs w:val="28"/>
        </w:rPr>
        <w:t>En desarrollo de esta orden, el Auto 044 de 2012</w:t>
      </w:r>
      <w:r w:rsidRPr="00DA1726">
        <w:rPr>
          <w:b/>
          <w:sz w:val="28"/>
          <w:szCs w:val="28"/>
        </w:rPr>
        <w:t xml:space="preserve"> </w:t>
      </w:r>
      <w:r w:rsidRPr="00DA1726">
        <w:rPr>
          <w:sz w:val="28"/>
          <w:szCs w:val="28"/>
          <w:lang w:val="es-ES"/>
        </w:rPr>
        <w:t>especificó que para que l</w:t>
      </w:r>
      <w:r w:rsidR="00B626AD" w:rsidRPr="00DA1726">
        <w:rPr>
          <w:sz w:val="28"/>
          <w:szCs w:val="28"/>
          <w:lang w:val="es-ES"/>
        </w:rPr>
        <w:t>as entidades responsables cumplieran</w:t>
      </w:r>
      <w:r w:rsidRPr="00DA1726">
        <w:rPr>
          <w:sz w:val="28"/>
          <w:szCs w:val="28"/>
          <w:lang w:val="es-ES"/>
        </w:rPr>
        <w:t xml:space="preserve"> materialmente con lo dispuesto en la orden vigésima, deb</w:t>
      </w:r>
      <w:r w:rsidR="00B626AD" w:rsidRPr="00DA1726">
        <w:rPr>
          <w:sz w:val="28"/>
          <w:szCs w:val="28"/>
          <w:lang w:val="es-ES"/>
        </w:rPr>
        <w:t>ía</w:t>
      </w:r>
      <w:r w:rsidRPr="00DA1726">
        <w:rPr>
          <w:sz w:val="28"/>
          <w:szCs w:val="28"/>
          <w:lang w:val="es-ES"/>
        </w:rPr>
        <w:t xml:space="preserve">n identificar las EPS que con mayor frecuencia </w:t>
      </w:r>
      <w:r w:rsidR="00B626AD" w:rsidRPr="00DA1726">
        <w:rPr>
          <w:sz w:val="28"/>
          <w:szCs w:val="28"/>
          <w:lang w:val="es-ES"/>
        </w:rPr>
        <w:t>incurriera</w:t>
      </w:r>
      <w:r w:rsidRPr="00DA1726">
        <w:rPr>
          <w:sz w:val="28"/>
          <w:szCs w:val="28"/>
          <w:lang w:val="es-ES"/>
        </w:rPr>
        <w:t>n en las 14 prácticas violatorias identificadas</w:t>
      </w:r>
      <w:r w:rsidR="00233A76" w:rsidRPr="00DA1726">
        <w:rPr>
          <w:sz w:val="28"/>
          <w:szCs w:val="28"/>
          <w:lang w:val="es-ES"/>
        </w:rPr>
        <w:t>,</w:t>
      </w:r>
      <w:r w:rsidRPr="00DA1726">
        <w:rPr>
          <w:sz w:val="28"/>
          <w:szCs w:val="28"/>
          <w:lang w:val="es-ES"/>
        </w:rPr>
        <w:t xml:space="preserve"> a saber</w:t>
      </w:r>
      <w:r w:rsidRPr="00DA1726">
        <w:rPr>
          <w:sz w:val="28"/>
          <w:szCs w:val="28"/>
        </w:rPr>
        <w:t xml:space="preserve">: </w:t>
      </w:r>
    </w:p>
    <w:p w:rsidR="00AE2B91" w:rsidRPr="00DA1726" w:rsidRDefault="00AE2B91" w:rsidP="00DA1726">
      <w:pPr>
        <w:pStyle w:val="Sinespaciado3"/>
        <w:tabs>
          <w:tab w:val="num" w:pos="360"/>
        </w:tabs>
        <w:ind w:left="426"/>
        <w:jc w:val="both"/>
        <w:rPr>
          <w:rFonts w:ascii="Times New Roman" w:hAnsi="Times New Roman"/>
          <w:sz w:val="28"/>
          <w:szCs w:val="28"/>
        </w:rPr>
      </w:pPr>
    </w:p>
    <w:p w:rsidR="00AE2B91" w:rsidRPr="00DA1726" w:rsidRDefault="004133FA"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
        </w:rPr>
        <w:t>“</w:t>
      </w:r>
      <w:r w:rsidR="00AE2B91" w:rsidRPr="00DA1726">
        <w:rPr>
          <w:rFonts w:ascii="Times New Roman" w:hAnsi="Times New Roman"/>
          <w:i/>
          <w:sz w:val="28"/>
          <w:szCs w:val="28"/>
          <w:lang w:val="es-ES"/>
        </w:rPr>
        <w:t xml:space="preserve">1. </w:t>
      </w:r>
      <w:r w:rsidR="00AE2B91" w:rsidRPr="00DA1726">
        <w:rPr>
          <w:rFonts w:ascii="Times New Roman" w:hAnsi="Times New Roman"/>
          <w:i/>
          <w:sz w:val="28"/>
          <w:szCs w:val="28"/>
          <w:lang w:val="es-ES_tradnl"/>
        </w:rPr>
        <w:t xml:space="preserve">Se niegan a autorizar oportunamente servicios de salud incluidos en el POS; </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 xml:space="preserve">2 Se niegan a autorizar oportunamente servicios de salud excluidos del POS que se requieren con necesidad y que no pueden ser costeados por el interesado, bien sea porque su costo le resulta impagable dado su nivel de ingreso o porque le impone una carga desproporcionada; </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3. Se niegan a autorizar oportunamente servicios de salud con el argumento de que la persona no ha presentado la solicitud respectiva ante el Comité Técnico Científico -CTC;</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 xml:space="preserve">4. Se niegan a autorizar oportunamente servicios de salud con sujeción al principio de integralidad, entendido éste como el no fraccionamiento de las prestaciones que requiera la persona para recuperar su salud; </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 xml:space="preserve">5. Se niegan a autorizar oportunamente servicios de salud cuando éstos han sido ordenados por un médico que no se encuentra adscrito a la entidad encargada de garantizar la prestación, pero que es un profesional reconocido que hace parte del sistema de salud y cuyo concepto no fue desvirtuado por la entidad con base en razones científicas que consideren el caso específico del paciente; </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 xml:space="preserve">6. Se niegan a autorizar oportunamente servicios de salud cuando se requiere que la persona se desplace a vivir en un lugar distinto a aquel en el que reside; </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 xml:space="preserve">7. Se niegan a autorizar oportunamente servicios de salud de alto costo y para tratar enfermedades catastróficas, así como sus exámenes diagnósticos; </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 xml:space="preserve">8. Se niegan a autorizar oportunamente servicios de salud que requiere un menor para su adecuado desarrollo y que no pueden ser costeados por sus responsables, aun cuando dichos servicios estén excluidos del POS y la vida o la integridad del menor no dependen de su prestación; </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 xml:space="preserve">9. Se niegan a autorizar oportunamente servicios de salud que se requieren con necesidad, supeditando su prestación al pago de una cuota moderadora; </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 xml:space="preserve">10. Se niegan a autorizar incapacidades laborales derivadas del estado de salud de la persona con el argumento de que en el pasado no se cumplió con la obligación de cancelar los aportes de salud dentro del plazo establecido para ello; </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 xml:space="preserve">11. Se niegan a afiliar personas, a pesar de que éstas ya hayan cumplido el tiempo para trasladarse, por el hecho de que dentro de su grupo familiar existe una persona (su hijo, un niño) que padece una enfermedad catastrófica; </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 xml:space="preserve">12. Interrumpen el suministro de servicios de salud, porque ya transcurrió un mes luego del momento en que la persona dejó de cotizar, en razón a que ahora es desempleado, antes de que éste haya sido en efecto asumido por otro prestador; 13. Cobran copagos a personas que padecen una enfermedad catastrófica o de alto costo; y </w:t>
      </w:r>
    </w:p>
    <w:p w:rsidR="00AE2B91" w:rsidRPr="00DA1726" w:rsidRDefault="00AE2B91" w:rsidP="00DA1726">
      <w:pPr>
        <w:pStyle w:val="Sinespaciado3"/>
        <w:tabs>
          <w:tab w:val="num" w:pos="360"/>
        </w:tabs>
        <w:ind w:left="426"/>
        <w:jc w:val="both"/>
        <w:rPr>
          <w:rFonts w:ascii="Times New Roman" w:hAnsi="Times New Roman"/>
          <w:i/>
          <w:sz w:val="28"/>
          <w:szCs w:val="28"/>
          <w:lang w:val="es-ES_tradnl"/>
        </w:rPr>
      </w:pPr>
      <w:r w:rsidRPr="00DA1726">
        <w:rPr>
          <w:rFonts w:ascii="Times New Roman" w:hAnsi="Times New Roman"/>
          <w:i/>
          <w:sz w:val="28"/>
          <w:szCs w:val="28"/>
          <w:lang w:val="es-ES_tradnl"/>
        </w:rPr>
        <w:t>14. Se niegan a autorizar servicios de salud que ya han sido ordenados por fallo de tutela.</w:t>
      </w:r>
      <w:r w:rsidR="004133FA" w:rsidRPr="00DA1726">
        <w:rPr>
          <w:rFonts w:ascii="Times New Roman" w:hAnsi="Times New Roman"/>
          <w:i/>
          <w:sz w:val="28"/>
          <w:szCs w:val="28"/>
          <w:lang w:val="es-ES_tradnl"/>
        </w:rPr>
        <w:t>”</w:t>
      </w:r>
    </w:p>
    <w:p w:rsidR="00AE2B91" w:rsidRPr="00DA1726" w:rsidRDefault="00AE2B91" w:rsidP="00DA1726">
      <w:pPr>
        <w:jc w:val="both"/>
        <w:rPr>
          <w:sz w:val="28"/>
          <w:szCs w:val="28"/>
        </w:rPr>
      </w:pPr>
    </w:p>
    <w:p w:rsidR="00AE2B91" w:rsidRPr="00DA1726" w:rsidRDefault="00AE2B91" w:rsidP="00DA1726">
      <w:pPr>
        <w:jc w:val="both"/>
        <w:rPr>
          <w:rStyle w:val="b"/>
          <w:color w:val="000000"/>
          <w:spacing w:val="-3"/>
          <w:sz w:val="28"/>
          <w:szCs w:val="28"/>
        </w:rPr>
      </w:pPr>
      <w:r w:rsidRPr="00DA1726">
        <w:rPr>
          <w:sz w:val="28"/>
          <w:szCs w:val="28"/>
          <w:lang w:val="es-ES"/>
        </w:rPr>
        <w:t>E</w:t>
      </w:r>
      <w:r w:rsidR="00233A76" w:rsidRPr="00DA1726">
        <w:rPr>
          <w:sz w:val="28"/>
          <w:szCs w:val="28"/>
          <w:lang w:val="es-ES"/>
        </w:rPr>
        <w:t>n e</w:t>
      </w:r>
      <w:r w:rsidRPr="00DA1726">
        <w:rPr>
          <w:sz w:val="28"/>
          <w:szCs w:val="28"/>
          <w:lang w:val="es-ES"/>
        </w:rPr>
        <w:t xml:space="preserve">l </w:t>
      </w:r>
      <w:r w:rsidR="00B626AD" w:rsidRPr="00DA1726">
        <w:rPr>
          <w:b/>
          <w:sz w:val="28"/>
          <w:szCs w:val="28"/>
          <w:lang w:val="es-ES"/>
        </w:rPr>
        <w:t>Auto 249 de 2013</w:t>
      </w:r>
      <w:r w:rsidRPr="00DA1726">
        <w:rPr>
          <w:b/>
          <w:sz w:val="28"/>
          <w:szCs w:val="28"/>
          <w:lang w:val="es-ES"/>
        </w:rPr>
        <w:t xml:space="preserve"> </w:t>
      </w:r>
      <w:r w:rsidRPr="00DA1726">
        <w:rPr>
          <w:sz w:val="28"/>
          <w:szCs w:val="28"/>
          <w:lang w:val="es-ES"/>
        </w:rPr>
        <w:t xml:space="preserve">se llamó la atención de las autoridades concernidas para que presentaran un acatamiento del fallo estructural, a través de un </w:t>
      </w:r>
      <w:r w:rsidR="008D66F1" w:rsidRPr="00DA1726">
        <w:rPr>
          <w:i/>
          <w:sz w:val="28"/>
          <w:szCs w:val="28"/>
          <w:lang w:val="es-ES"/>
        </w:rPr>
        <w:t>ranking</w:t>
      </w:r>
      <w:r w:rsidRPr="00DA1726">
        <w:rPr>
          <w:sz w:val="28"/>
          <w:szCs w:val="28"/>
          <w:lang w:val="es-ES"/>
        </w:rPr>
        <w:t xml:space="preserve"> con una</w:t>
      </w:r>
      <w:r w:rsidRPr="00DA1726">
        <w:rPr>
          <w:i/>
          <w:iCs/>
          <w:sz w:val="28"/>
          <w:szCs w:val="28"/>
        </w:rPr>
        <w:t xml:space="preserve"> </w:t>
      </w:r>
      <w:r w:rsidRPr="00DA1726">
        <w:rPr>
          <w:iCs/>
          <w:sz w:val="28"/>
          <w:szCs w:val="28"/>
        </w:rPr>
        <w:t>c</w:t>
      </w:r>
      <w:r w:rsidRPr="00DA1726">
        <w:rPr>
          <w:rStyle w:val="b"/>
          <w:sz w:val="28"/>
          <w:szCs w:val="28"/>
        </w:rPr>
        <w:t>lasificación por puestos: primero, segundo, tercero, etc., debiéndose ubicar en el primer lugar a aquel asegurador que, a partir de la evaluación sobre las prácticas violatorias del derecho a la salud, se</w:t>
      </w:r>
      <w:r w:rsidR="00233A76" w:rsidRPr="00DA1726">
        <w:rPr>
          <w:rStyle w:val="b"/>
          <w:sz w:val="28"/>
          <w:szCs w:val="28"/>
        </w:rPr>
        <w:t>a el que menos incurra en ellas,</w:t>
      </w:r>
      <w:r w:rsidRPr="00DA1726">
        <w:rPr>
          <w:rStyle w:val="b"/>
          <w:sz w:val="28"/>
          <w:szCs w:val="28"/>
        </w:rPr>
        <w:t xml:space="preserve"> mientras que el último puesto </w:t>
      </w:r>
      <w:r w:rsidR="001B56C6" w:rsidRPr="00DA1726">
        <w:rPr>
          <w:rStyle w:val="b"/>
          <w:sz w:val="28"/>
          <w:szCs w:val="28"/>
        </w:rPr>
        <w:t xml:space="preserve">lo ubicaría </w:t>
      </w:r>
      <w:r w:rsidRPr="00DA1726">
        <w:rPr>
          <w:rStyle w:val="b"/>
          <w:sz w:val="28"/>
          <w:szCs w:val="28"/>
        </w:rPr>
        <w:t xml:space="preserve">aquella entidad que más reportes posea. </w:t>
      </w:r>
      <w:r w:rsidR="001B56C6" w:rsidRPr="00DA1726">
        <w:rPr>
          <w:rStyle w:val="b"/>
          <w:sz w:val="28"/>
          <w:szCs w:val="28"/>
        </w:rPr>
        <w:t>Se advirtió además que es</w:t>
      </w:r>
      <w:r w:rsidRPr="00DA1726">
        <w:rPr>
          <w:rStyle w:val="b"/>
          <w:sz w:val="28"/>
          <w:szCs w:val="28"/>
        </w:rPr>
        <w:t>ta relación por ubicación debe compaginarse con una clasificación porcentual, en la cual el 100% corresponde a aquella entidad que no tiene reportes sobre violaciones al derecho a la salud y el 0% aquella que cuenta con más.</w:t>
      </w:r>
    </w:p>
    <w:p w:rsidR="00AE2B91" w:rsidRPr="00DA1726" w:rsidRDefault="00AE2B91" w:rsidP="00DA1726">
      <w:pPr>
        <w:jc w:val="both"/>
        <w:rPr>
          <w:sz w:val="28"/>
          <w:szCs w:val="28"/>
        </w:rPr>
      </w:pPr>
    </w:p>
    <w:p w:rsidR="00AE2B91" w:rsidRPr="00DA1726" w:rsidRDefault="00AE2B91" w:rsidP="00DA1726">
      <w:pPr>
        <w:jc w:val="both"/>
        <w:rPr>
          <w:sz w:val="28"/>
          <w:szCs w:val="28"/>
          <w:lang w:val="es-ES"/>
        </w:rPr>
      </w:pPr>
      <w:r w:rsidRPr="00DA1726">
        <w:rPr>
          <w:rStyle w:val="FontStyle26"/>
          <w:sz w:val="28"/>
          <w:szCs w:val="28"/>
          <w:lang w:val="es-ES_tradnl" w:eastAsia="es-ES_tradnl"/>
        </w:rPr>
        <w:t>Finalmente</w:t>
      </w:r>
      <w:r w:rsidR="00B626AD" w:rsidRPr="00DA1726">
        <w:rPr>
          <w:rStyle w:val="FontStyle26"/>
          <w:sz w:val="28"/>
          <w:szCs w:val="28"/>
          <w:lang w:val="es-ES_tradnl" w:eastAsia="es-ES_tradnl"/>
        </w:rPr>
        <w:t>,</w:t>
      </w:r>
      <w:r w:rsidRPr="00DA1726">
        <w:rPr>
          <w:rStyle w:val="FontStyle26"/>
          <w:sz w:val="28"/>
          <w:szCs w:val="28"/>
          <w:lang w:val="es-ES_tradnl" w:eastAsia="es-ES_tradnl"/>
        </w:rPr>
        <w:t xml:space="preserve"> </w:t>
      </w:r>
      <w:r w:rsidR="00233A76" w:rsidRPr="00DA1726">
        <w:rPr>
          <w:rStyle w:val="FontStyle26"/>
          <w:sz w:val="28"/>
          <w:szCs w:val="28"/>
          <w:lang w:val="es-ES_tradnl" w:eastAsia="es-ES_tradnl"/>
        </w:rPr>
        <w:t xml:space="preserve">en </w:t>
      </w:r>
      <w:r w:rsidRPr="00DA1726">
        <w:rPr>
          <w:rStyle w:val="FontStyle26"/>
          <w:sz w:val="28"/>
          <w:szCs w:val="28"/>
          <w:lang w:val="es-ES_tradnl" w:eastAsia="es-ES_tradnl"/>
        </w:rPr>
        <w:t xml:space="preserve">el </w:t>
      </w:r>
      <w:r w:rsidRPr="00DA1726">
        <w:rPr>
          <w:rStyle w:val="FontStyle26"/>
          <w:b/>
          <w:sz w:val="28"/>
          <w:szCs w:val="28"/>
          <w:lang w:val="es-ES_tradnl" w:eastAsia="es-ES_tradnl"/>
        </w:rPr>
        <w:t xml:space="preserve">Auto 412 de 2015 </w:t>
      </w:r>
      <w:r w:rsidRPr="00DA1726">
        <w:rPr>
          <w:sz w:val="28"/>
          <w:szCs w:val="28"/>
          <w:lang w:val="es-ES_tradnl"/>
        </w:rPr>
        <w:t xml:space="preserve">advirtió que </w:t>
      </w:r>
      <w:r w:rsidRPr="00DA1726">
        <w:rPr>
          <w:i/>
          <w:sz w:val="28"/>
          <w:szCs w:val="28"/>
          <w:lang w:val="es-ES_tradnl"/>
        </w:rPr>
        <w:t>“</w:t>
      </w:r>
      <w:r w:rsidRPr="00DA1726">
        <w:rPr>
          <w:i/>
          <w:sz w:val="28"/>
          <w:szCs w:val="28"/>
          <w:lang w:val="es-ES"/>
        </w:rPr>
        <w:t>no es incompatible con el mandato vigésimo de la Sentencia T-760 de 2008 que se establezca una ordenación simple de las EPS e IPS que vulneran el derecho a la salud”</w:t>
      </w:r>
      <w:r w:rsidRPr="00DA1726">
        <w:rPr>
          <w:sz w:val="28"/>
          <w:szCs w:val="28"/>
          <w:lang w:val="es-ES"/>
        </w:rPr>
        <w:t>, porque: (i) puede resultar más fácil de entender y de aplicar por parte de los usuarios; (ii) podría forzar una actuación más eficaz por parte de la Superintendencia y (iii) constituiría un medio de presión sobre las actuaciones irregulares que vienen presentando algunas promotoras.</w:t>
      </w:r>
    </w:p>
    <w:p w:rsidR="00AE2B91" w:rsidRPr="00DA1726" w:rsidRDefault="00AE2B91" w:rsidP="00DA1726">
      <w:pPr>
        <w:jc w:val="both"/>
        <w:rPr>
          <w:sz w:val="28"/>
          <w:szCs w:val="28"/>
          <w:lang w:val="es-ES"/>
        </w:rPr>
      </w:pPr>
    </w:p>
    <w:p w:rsidR="00AE2B91" w:rsidRPr="00DA1726" w:rsidRDefault="00AE2B91" w:rsidP="00DA1726">
      <w:pPr>
        <w:jc w:val="both"/>
        <w:rPr>
          <w:color w:val="000000"/>
          <w:sz w:val="28"/>
          <w:szCs w:val="28"/>
          <w:lang w:val="es-ES"/>
        </w:rPr>
      </w:pPr>
      <w:r w:rsidRPr="00DA1726">
        <w:rPr>
          <w:sz w:val="28"/>
          <w:szCs w:val="28"/>
          <w:lang w:val="es-ES"/>
        </w:rPr>
        <w:t xml:space="preserve">Sin embargo, </w:t>
      </w:r>
      <w:r w:rsidRPr="00DA1726">
        <w:rPr>
          <w:color w:val="000000"/>
          <w:sz w:val="28"/>
          <w:szCs w:val="28"/>
          <w:lang w:val="es-ES"/>
        </w:rPr>
        <w:t xml:space="preserve">la Sala consideró que </w:t>
      </w:r>
      <w:r w:rsidRPr="00DA1726">
        <w:rPr>
          <w:i/>
          <w:color w:val="000000"/>
          <w:sz w:val="28"/>
          <w:szCs w:val="28"/>
          <w:lang w:val="es-ES"/>
        </w:rPr>
        <w:t>“una ordenación de EPS por grupos con diversos niveles de calificación también puede cumplir con las metas consignadas”</w:t>
      </w:r>
      <w:r w:rsidRPr="00DA1726">
        <w:rPr>
          <w:color w:val="000000"/>
          <w:sz w:val="28"/>
          <w:szCs w:val="28"/>
          <w:lang w:val="es-ES"/>
        </w:rPr>
        <w:t>.</w:t>
      </w:r>
      <w:r w:rsidR="00356DF9" w:rsidRPr="00DA1726">
        <w:rPr>
          <w:color w:val="000000"/>
          <w:sz w:val="28"/>
          <w:szCs w:val="28"/>
          <w:lang w:val="es-ES"/>
        </w:rPr>
        <w:t xml:space="preserve">  En ese contexto s</w:t>
      </w:r>
      <w:r w:rsidRPr="00DA1726">
        <w:rPr>
          <w:color w:val="000000"/>
          <w:sz w:val="28"/>
          <w:szCs w:val="28"/>
          <w:lang w:val="es-ES"/>
        </w:rPr>
        <w:t xml:space="preserve">e planteó la posibilidad de crear criterios de clasificación alternativos que lleven a una </w:t>
      </w:r>
      <w:r w:rsidR="00B626AD" w:rsidRPr="00DA1726">
        <w:rPr>
          <w:color w:val="000000"/>
          <w:sz w:val="28"/>
          <w:szCs w:val="28"/>
          <w:lang w:val="es-ES"/>
        </w:rPr>
        <w:t>ordenación</w:t>
      </w:r>
      <w:r w:rsidR="00356DF9" w:rsidRPr="00DA1726">
        <w:rPr>
          <w:color w:val="000000"/>
          <w:sz w:val="28"/>
          <w:szCs w:val="28"/>
          <w:lang w:val="es-ES"/>
        </w:rPr>
        <w:t xml:space="preserve"> útil y transparente, como sería </w:t>
      </w:r>
      <w:r w:rsidRPr="00DA1726">
        <w:rPr>
          <w:color w:val="000000"/>
          <w:sz w:val="28"/>
          <w:szCs w:val="28"/>
          <w:lang w:val="es-ES"/>
        </w:rPr>
        <w:t>a través de porcentajes calculados sobre el número de afiliados o la cantidad de servicios prestados</w:t>
      </w:r>
      <w:r w:rsidR="00987450" w:rsidRPr="00DA1726">
        <w:rPr>
          <w:color w:val="000000"/>
          <w:sz w:val="28"/>
          <w:szCs w:val="28"/>
          <w:lang w:val="es-ES"/>
        </w:rPr>
        <w:t>,</w:t>
      </w:r>
      <w:r w:rsidRPr="00DA1726">
        <w:rPr>
          <w:color w:val="000000"/>
          <w:sz w:val="28"/>
          <w:szCs w:val="28"/>
          <w:lang w:val="es-ES"/>
        </w:rPr>
        <w:t xml:space="preserve"> conforme a los parámetros de la orden 20. Cada grupo podría estar regido por porcentajes de vulneraciones diferentes, empezando por un rango crítico</w:t>
      </w:r>
      <w:r w:rsidR="00B626AD" w:rsidRPr="00DA1726">
        <w:rPr>
          <w:color w:val="000000"/>
          <w:sz w:val="28"/>
          <w:szCs w:val="28"/>
          <w:vertAlign w:val="superscript"/>
          <w:lang w:val="es-ES"/>
        </w:rPr>
        <w:footnoteReference w:id="130"/>
      </w:r>
      <w:r w:rsidRPr="00DA1726">
        <w:rPr>
          <w:color w:val="000000"/>
          <w:sz w:val="28"/>
          <w:szCs w:val="28"/>
          <w:lang w:val="es-ES"/>
        </w:rPr>
        <w:t>, pasando a categorías de alarma</w:t>
      </w:r>
      <w:r w:rsidR="00356DF9" w:rsidRPr="00DA1726">
        <w:rPr>
          <w:color w:val="000000"/>
          <w:sz w:val="28"/>
          <w:szCs w:val="28"/>
          <w:lang w:val="es-ES"/>
        </w:rPr>
        <w:t>, aceptabilidad y superioridad.</w:t>
      </w:r>
    </w:p>
    <w:p w:rsidR="00AE2B91" w:rsidRPr="00DA1726" w:rsidRDefault="00AE2B91" w:rsidP="00DA1726">
      <w:pPr>
        <w:jc w:val="both"/>
        <w:rPr>
          <w:sz w:val="28"/>
          <w:szCs w:val="28"/>
        </w:rPr>
      </w:pPr>
    </w:p>
    <w:p w:rsidR="00356DF9" w:rsidRPr="00DA1726" w:rsidRDefault="001D09EE" w:rsidP="00DA1726">
      <w:pPr>
        <w:jc w:val="both"/>
        <w:rPr>
          <w:i/>
          <w:sz w:val="28"/>
          <w:szCs w:val="28"/>
        </w:rPr>
      </w:pPr>
      <w:r w:rsidRPr="00DA1726">
        <w:rPr>
          <w:i/>
          <w:sz w:val="28"/>
          <w:szCs w:val="28"/>
        </w:rPr>
        <w:t>5</w:t>
      </w:r>
      <w:r w:rsidR="00B07265" w:rsidRPr="00DA1726">
        <w:rPr>
          <w:i/>
          <w:sz w:val="28"/>
          <w:szCs w:val="28"/>
        </w:rPr>
        <w:t>.1</w:t>
      </w:r>
      <w:r w:rsidR="00283DA6" w:rsidRPr="00DA1726">
        <w:rPr>
          <w:i/>
          <w:sz w:val="28"/>
          <w:szCs w:val="28"/>
        </w:rPr>
        <w:t>.2. Informes de cumplimiento del Ministerio de Salud y la Superintendencia de Salud.</w:t>
      </w:r>
    </w:p>
    <w:p w:rsidR="003B0D85" w:rsidRPr="00DA1726" w:rsidRDefault="003B0D85" w:rsidP="00DA1726">
      <w:pPr>
        <w:jc w:val="both"/>
        <w:rPr>
          <w:sz w:val="28"/>
          <w:szCs w:val="28"/>
        </w:rPr>
      </w:pPr>
    </w:p>
    <w:p w:rsidR="003C73B7" w:rsidRPr="00DA1726" w:rsidRDefault="00E70865" w:rsidP="00DA1726">
      <w:pPr>
        <w:jc w:val="both"/>
        <w:rPr>
          <w:sz w:val="28"/>
          <w:szCs w:val="28"/>
        </w:rPr>
      </w:pPr>
      <w:r w:rsidRPr="00DA1726">
        <w:rPr>
          <w:sz w:val="28"/>
          <w:szCs w:val="28"/>
        </w:rPr>
        <w:t xml:space="preserve">En este acápite se hará </w:t>
      </w:r>
      <w:r w:rsidR="000C5407" w:rsidRPr="00DA1726">
        <w:rPr>
          <w:sz w:val="28"/>
          <w:szCs w:val="28"/>
        </w:rPr>
        <w:t>referencia al</w:t>
      </w:r>
      <w:r w:rsidRPr="00DA1726">
        <w:rPr>
          <w:sz w:val="28"/>
          <w:szCs w:val="28"/>
        </w:rPr>
        <w:t xml:space="preserve"> último </w:t>
      </w:r>
      <w:r w:rsidR="000C5407" w:rsidRPr="00DA1726">
        <w:rPr>
          <w:sz w:val="28"/>
          <w:szCs w:val="28"/>
        </w:rPr>
        <w:t xml:space="preserve">informe </w:t>
      </w:r>
      <w:r w:rsidRPr="00DA1726">
        <w:rPr>
          <w:sz w:val="28"/>
          <w:szCs w:val="28"/>
        </w:rPr>
        <w:t xml:space="preserve">correspondiente a la vigencia 2015, debido a que es un ejercicio continuo y permanente que atiende a los ajustes particulares de cada </w:t>
      </w:r>
      <w:r w:rsidR="000C5407" w:rsidRPr="00DA1726">
        <w:rPr>
          <w:sz w:val="28"/>
          <w:szCs w:val="28"/>
        </w:rPr>
        <w:t>periodo</w:t>
      </w:r>
      <w:r w:rsidRPr="00DA1726">
        <w:rPr>
          <w:sz w:val="28"/>
          <w:szCs w:val="28"/>
        </w:rPr>
        <w:t>.</w:t>
      </w:r>
    </w:p>
    <w:p w:rsidR="003C73B7" w:rsidRPr="00DA1726" w:rsidRDefault="003C73B7" w:rsidP="00DA1726">
      <w:pPr>
        <w:jc w:val="both"/>
        <w:rPr>
          <w:sz w:val="28"/>
          <w:szCs w:val="28"/>
        </w:rPr>
      </w:pPr>
    </w:p>
    <w:p w:rsidR="00B87537" w:rsidRPr="00DA1726" w:rsidRDefault="007A4B6B" w:rsidP="00DA1726">
      <w:pPr>
        <w:jc w:val="both"/>
        <w:rPr>
          <w:i/>
          <w:sz w:val="28"/>
          <w:szCs w:val="28"/>
        </w:rPr>
      </w:pPr>
      <w:r w:rsidRPr="00DA1726">
        <w:rPr>
          <w:i/>
          <w:sz w:val="28"/>
          <w:szCs w:val="28"/>
        </w:rPr>
        <w:t>5</w:t>
      </w:r>
      <w:r w:rsidR="00B87537" w:rsidRPr="00DA1726">
        <w:rPr>
          <w:i/>
          <w:sz w:val="28"/>
          <w:szCs w:val="28"/>
        </w:rPr>
        <w:t>.</w:t>
      </w:r>
      <w:r w:rsidR="00896A2D" w:rsidRPr="00DA1726">
        <w:rPr>
          <w:i/>
          <w:sz w:val="28"/>
          <w:szCs w:val="28"/>
        </w:rPr>
        <w:t>1.</w:t>
      </w:r>
      <w:r w:rsidR="00B87537" w:rsidRPr="00DA1726">
        <w:rPr>
          <w:i/>
          <w:sz w:val="28"/>
          <w:szCs w:val="28"/>
        </w:rPr>
        <w:t>2.</w:t>
      </w:r>
      <w:r w:rsidRPr="00DA1726">
        <w:rPr>
          <w:i/>
          <w:sz w:val="28"/>
          <w:szCs w:val="28"/>
        </w:rPr>
        <w:t>1</w:t>
      </w:r>
      <w:r w:rsidR="00B87537" w:rsidRPr="00DA1726">
        <w:rPr>
          <w:i/>
          <w:sz w:val="28"/>
          <w:szCs w:val="28"/>
        </w:rPr>
        <w:t>. Informe de cumplimiento presentado el 29 de abril de 2016 (vigencia 2015).</w:t>
      </w:r>
    </w:p>
    <w:p w:rsidR="001A6226" w:rsidRPr="00DA1726" w:rsidRDefault="001A6226" w:rsidP="00DA1726">
      <w:pPr>
        <w:jc w:val="both"/>
        <w:rPr>
          <w:sz w:val="28"/>
          <w:szCs w:val="28"/>
        </w:rPr>
      </w:pPr>
    </w:p>
    <w:p w:rsidR="0071175A" w:rsidRPr="00DA1726" w:rsidRDefault="00D83237" w:rsidP="00DA1726">
      <w:pPr>
        <w:jc w:val="both"/>
        <w:rPr>
          <w:sz w:val="28"/>
          <w:szCs w:val="28"/>
          <w:lang w:val="es-ES_tradnl"/>
        </w:rPr>
      </w:pPr>
      <w:r w:rsidRPr="00DA1726">
        <w:rPr>
          <w:sz w:val="28"/>
          <w:szCs w:val="28"/>
          <w:lang w:val="es-ES_tradnl"/>
        </w:rPr>
        <w:t xml:space="preserve">Partiendo de las 14 prácticas violatorias </w:t>
      </w:r>
      <w:r w:rsidR="00B87537" w:rsidRPr="00DA1726">
        <w:rPr>
          <w:sz w:val="28"/>
          <w:szCs w:val="28"/>
          <w:lang w:val="es-ES_tradnl"/>
        </w:rPr>
        <w:t>del derecho a la salud definidas por la Corte, se realizó a través de auditorías especiales en las EPS un ajuste en el procedimiento de recolección de la información, puntualizando los seguimientos a planes de mejoramien</w:t>
      </w:r>
      <w:r w:rsidR="0082434E" w:rsidRPr="00DA1726">
        <w:rPr>
          <w:sz w:val="28"/>
          <w:szCs w:val="28"/>
          <w:lang w:val="es-ES_tradnl"/>
        </w:rPr>
        <w:t>to suscritos por las aquellas, respecto</w:t>
      </w:r>
      <w:r w:rsidR="00B87537" w:rsidRPr="00DA1726">
        <w:rPr>
          <w:sz w:val="28"/>
          <w:szCs w:val="28"/>
          <w:lang w:val="es-ES_tradnl"/>
        </w:rPr>
        <w:t xml:space="preserve"> a los hallazgos evidenciados en la vigencia</w:t>
      </w:r>
      <w:r w:rsidR="006C01EF" w:rsidRPr="00DA1726">
        <w:rPr>
          <w:sz w:val="28"/>
          <w:szCs w:val="28"/>
          <w:lang w:val="es-ES_tradnl"/>
        </w:rPr>
        <w:t>s</w:t>
      </w:r>
      <w:r w:rsidR="00B87537" w:rsidRPr="00DA1726">
        <w:rPr>
          <w:sz w:val="28"/>
          <w:szCs w:val="28"/>
          <w:lang w:val="es-ES_tradnl"/>
        </w:rPr>
        <w:t xml:space="preserve"> </w:t>
      </w:r>
      <w:r w:rsidR="0082434E" w:rsidRPr="00DA1726">
        <w:rPr>
          <w:sz w:val="28"/>
          <w:szCs w:val="28"/>
          <w:lang w:val="es-ES_tradnl"/>
        </w:rPr>
        <w:t>anteriores</w:t>
      </w:r>
      <w:r w:rsidR="00B87537" w:rsidRPr="00DA1726">
        <w:rPr>
          <w:sz w:val="28"/>
          <w:szCs w:val="28"/>
          <w:lang w:val="es-ES_tradnl"/>
        </w:rPr>
        <w:t xml:space="preserve">. </w:t>
      </w:r>
      <w:r w:rsidRPr="00DA1726">
        <w:rPr>
          <w:sz w:val="28"/>
          <w:szCs w:val="28"/>
          <w:lang w:val="es-ES_tradnl"/>
        </w:rPr>
        <w:t>Además,</w:t>
      </w:r>
      <w:r w:rsidR="00B87537" w:rsidRPr="00DA1726">
        <w:rPr>
          <w:sz w:val="28"/>
          <w:szCs w:val="28"/>
          <w:lang w:val="es-ES_tradnl"/>
        </w:rPr>
        <w:t xml:space="preserve"> se consideró técnicamente la inclusión de otros indicadores sensibles </w:t>
      </w:r>
      <w:r w:rsidR="008F61D2" w:rsidRPr="00DA1726">
        <w:rPr>
          <w:sz w:val="28"/>
          <w:szCs w:val="28"/>
          <w:lang w:val="es-ES_tradnl"/>
        </w:rPr>
        <w:t>de cara</w:t>
      </w:r>
      <w:r w:rsidR="00B87537" w:rsidRPr="00DA1726">
        <w:rPr>
          <w:sz w:val="28"/>
          <w:szCs w:val="28"/>
          <w:lang w:val="es-ES_tradnl"/>
        </w:rPr>
        <w:t xml:space="preserve"> a la garantía del </w:t>
      </w:r>
      <w:r w:rsidRPr="00DA1726">
        <w:rPr>
          <w:sz w:val="28"/>
          <w:szCs w:val="28"/>
          <w:lang w:val="es-ES_tradnl"/>
        </w:rPr>
        <w:t xml:space="preserve">derecho a la salud </w:t>
      </w:r>
      <w:r w:rsidR="00B87537" w:rsidRPr="00DA1726">
        <w:rPr>
          <w:sz w:val="28"/>
          <w:szCs w:val="28"/>
          <w:lang w:val="es-ES_tradnl"/>
        </w:rPr>
        <w:t xml:space="preserve">por parte de las </w:t>
      </w:r>
      <w:r w:rsidR="008F61D2" w:rsidRPr="00DA1726">
        <w:rPr>
          <w:sz w:val="28"/>
          <w:szCs w:val="28"/>
          <w:lang w:val="es-ES_tradnl"/>
        </w:rPr>
        <w:t>promotoras</w:t>
      </w:r>
      <w:r w:rsidR="00B87537" w:rsidRPr="00DA1726">
        <w:rPr>
          <w:sz w:val="28"/>
          <w:szCs w:val="28"/>
          <w:lang w:val="es-ES_tradnl"/>
        </w:rPr>
        <w:t>.</w:t>
      </w:r>
      <w:r w:rsidRPr="00DA1726">
        <w:rPr>
          <w:sz w:val="28"/>
          <w:szCs w:val="28"/>
          <w:lang w:val="es-ES_tradnl"/>
        </w:rPr>
        <w:t xml:space="preserve"> </w:t>
      </w:r>
    </w:p>
    <w:p w:rsidR="0071175A" w:rsidRPr="00DA1726" w:rsidRDefault="0071175A" w:rsidP="00DA1726">
      <w:pPr>
        <w:jc w:val="both"/>
        <w:rPr>
          <w:sz w:val="28"/>
          <w:szCs w:val="28"/>
          <w:lang w:val="es-ES_tradnl"/>
        </w:rPr>
      </w:pPr>
    </w:p>
    <w:p w:rsidR="0033131F" w:rsidRPr="00DA1726" w:rsidRDefault="0033131F" w:rsidP="00DA1726">
      <w:pPr>
        <w:jc w:val="both"/>
        <w:rPr>
          <w:sz w:val="28"/>
          <w:szCs w:val="28"/>
          <w:lang w:val="es-ES_tradnl"/>
        </w:rPr>
      </w:pPr>
      <w:r w:rsidRPr="00DA1726">
        <w:rPr>
          <w:sz w:val="28"/>
          <w:szCs w:val="28"/>
          <w:lang w:val="es-ES_tradnl"/>
        </w:rPr>
        <w:t xml:space="preserve">De acuerdo con lo anterior, se construyó un indicador </w:t>
      </w:r>
      <w:r w:rsidRPr="00DA1726">
        <w:rPr>
          <w:i/>
          <w:sz w:val="28"/>
          <w:szCs w:val="28"/>
          <w:lang w:val="es-ES_tradnl"/>
        </w:rPr>
        <w:t>Integral de la Garantía del Derecho a la Salud</w:t>
      </w:r>
      <w:r w:rsidRPr="00DA1726">
        <w:rPr>
          <w:sz w:val="28"/>
          <w:szCs w:val="28"/>
          <w:lang w:val="es-ES_tradnl"/>
        </w:rPr>
        <w:t xml:space="preserve">, </w:t>
      </w:r>
      <w:r w:rsidR="0071175A" w:rsidRPr="00DA1726">
        <w:rPr>
          <w:sz w:val="28"/>
          <w:szCs w:val="28"/>
          <w:lang w:val="es-ES_tradnl"/>
        </w:rPr>
        <w:t>que permite analizar de manera agregada a las EPS y facilita la comparación entre estas. El indicador incluye diferentes ámbitos de desempeño como son la calidad en la prestación del servicio d</w:t>
      </w:r>
      <w:r w:rsidR="00836D47" w:rsidRPr="00DA1726">
        <w:rPr>
          <w:sz w:val="28"/>
          <w:szCs w:val="28"/>
          <w:lang w:val="es-ES_tradnl"/>
        </w:rPr>
        <w:t>e salud, la atención al usuario</w:t>
      </w:r>
      <w:r w:rsidR="0071175A" w:rsidRPr="00DA1726">
        <w:rPr>
          <w:sz w:val="28"/>
          <w:szCs w:val="28"/>
          <w:lang w:val="es-ES_tradnl"/>
        </w:rPr>
        <w:t xml:space="preserve"> y</w:t>
      </w:r>
      <w:r w:rsidR="00836D47" w:rsidRPr="00DA1726">
        <w:rPr>
          <w:sz w:val="28"/>
          <w:szCs w:val="28"/>
          <w:lang w:val="es-ES_tradnl"/>
        </w:rPr>
        <w:t xml:space="preserve"> el</w:t>
      </w:r>
      <w:r w:rsidR="0071175A" w:rsidRPr="00DA1726">
        <w:rPr>
          <w:sz w:val="28"/>
          <w:szCs w:val="28"/>
          <w:lang w:val="es-ES_tradnl"/>
        </w:rPr>
        <w:t xml:space="preserve"> desempeño financiero. </w:t>
      </w:r>
      <w:r w:rsidR="00836D47" w:rsidRPr="00DA1726">
        <w:rPr>
          <w:sz w:val="28"/>
          <w:szCs w:val="28"/>
          <w:lang w:val="es-ES_tradnl"/>
        </w:rPr>
        <w:t>Estos ámbitos son acopiados en cuatro</w:t>
      </w:r>
      <w:r w:rsidR="0071175A" w:rsidRPr="00DA1726">
        <w:rPr>
          <w:sz w:val="28"/>
          <w:szCs w:val="28"/>
          <w:lang w:val="es-ES_tradnl"/>
        </w:rPr>
        <w:t xml:space="preserve"> indicadores, así: </w:t>
      </w:r>
    </w:p>
    <w:p w:rsidR="00B87537" w:rsidRPr="00DA1726" w:rsidRDefault="00B87537" w:rsidP="00DA1726">
      <w:pPr>
        <w:jc w:val="both"/>
        <w:rPr>
          <w:sz w:val="28"/>
          <w:szCs w:val="28"/>
        </w:rPr>
      </w:pPr>
    </w:p>
    <w:p w:rsidR="00F23FD2" w:rsidRPr="00DA1726" w:rsidRDefault="0033131F" w:rsidP="00DA1726">
      <w:pPr>
        <w:pStyle w:val="Prrafodelista"/>
        <w:numPr>
          <w:ilvl w:val="0"/>
          <w:numId w:val="39"/>
        </w:numPr>
        <w:jc w:val="both"/>
        <w:rPr>
          <w:sz w:val="28"/>
          <w:szCs w:val="28"/>
          <w:lang w:val="es-ES_tradnl"/>
        </w:rPr>
      </w:pPr>
      <w:r w:rsidRPr="00DA1726">
        <w:rPr>
          <w:b/>
          <w:bCs/>
          <w:i/>
          <w:iCs/>
          <w:sz w:val="28"/>
          <w:szCs w:val="28"/>
          <w:lang w:val="es-ES_tradnl"/>
        </w:rPr>
        <w:t>Indicadores T-760</w:t>
      </w:r>
      <w:r w:rsidR="00D83237" w:rsidRPr="00DA1726">
        <w:rPr>
          <w:b/>
          <w:bCs/>
          <w:i/>
          <w:iCs/>
          <w:sz w:val="28"/>
          <w:szCs w:val="28"/>
          <w:lang w:val="es-ES_tradnl"/>
        </w:rPr>
        <w:t xml:space="preserve"> de 2008.</w:t>
      </w:r>
      <w:r w:rsidRPr="00DA1726">
        <w:rPr>
          <w:b/>
          <w:bCs/>
          <w:i/>
          <w:iCs/>
          <w:sz w:val="28"/>
          <w:szCs w:val="28"/>
          <w:lang w:val="es-ES_tradnl"/>
        </w:rPr>
        <w:t xml:space="preserve"> </w:t>
      </w:r>
    </w:p>
    <w:p w:rsidR="00F23FD2" w:rsidRPr="00DA1726" w:rsidRDefault="00F23FD2" w:rsidP="00DA1726">
      <w:pPr>
        <w:jc w:val="both"/>
        <w:rPr>
          <w:b/>
          <w:bCs/>
          <w:i/>
          <w:iCs/>
          <w:sz w:val="28"/>
          <w:szCs w:val="28"/>
          <w:lang w:val="es-ES_tradnl"/>
        </w:rPr>
      </w:pPr>
    </w:p>
    <w:p w:rsidR="0071175A" w:rsidRPr="00DA1726" w:rsidRDefault="0033131F" w:rsidP="00DA1726">
      <w:pPr>
        <w:jc w:val="both"/>
        <w:rPr>
          <w:sz w:val="28"/>
          <w:szCs w:val="28"/>
          <w:lang w:val="es-ES_tradnl"/>
        </w:rPr>
      </w:pPr>
      <w:r w:rsidRPr="00DA1726">
        <w:rPr>
          <w:sz w:val="28"/>
          <w:szCs w:val="28"/>
          <w:lang w:val="es-ES_tradnl"/>
        </w:rPr>
        <w:t>Incluye los resultados de la auditoría realizada en la vigencia 2015, rel</w:t>
      </w:r>
      <w:r w:rsidR="00D83237" w:rsidRPr="00DA1726">
        <w:rPr>
          <w:sz w:val="28"/>
          <w:szCs w:val="28"/>
          <w:lang w:val="es-ES_tradnl"/>
        </w:rPr>
        <w:t>ativa a la verificación de las 14 prácticas violatorias</w:t>
      </w:r>
      <w:r w:rsidR="00874DA8" w:rsidRPr="00DA1726">
        <w:rPr>
          <w:sz w:val="28"/>
          <w:szCs w:val="28"/>
          <w:lang w:val="es-ES_tradnl"/>
        </w:rPr>
        <w:t xml:space="preserve"> del derecho a la salud de</w:t>
      </w:r>
      <w:r w:rsidR="0071175A" w:rsidRPr="00DA1726">
        <w:rPr>
          <w:sz w:val="28"/>
          <w:szCs w:val="28"/>
          <w:lang w:val="es-ES_tradnl"/>
        </w:rPr>
        <w:t xml:space="preserve"> las </w:t>
      </w:r>
      <w:r w:rsidR="00EA4FAC" w:rsidRPr="00DA1726">
        <w:rPr>
          <w:sz w:val="28"/>
          <w:szCs w:val="28"/>
          <w:lang w:val="es-ES_tradnl"/>
        </w:rPr>
        <w:t>EPS</w:t>
      </w:r>
      <w:r w:rsidR="0071175A" w:rsidRPr="00DA1726">
        <w:rPr>
          <w:sz w:val="28"/>
          <w:szCs w:val="28"/>
          <w:lang w:val="es-ES_tradnl"/>
        </w:rPr>
        <w:t xml:space="preserve"> de</w:t>
      </w:r>
      <w:r w:rsidR="0082434E" w:rsidRPr="00DA1726">
        <w:rPr>
          <w:sz w:val="28"/>
          <w:szCs w:val="28"/>
          <w:lang w:val="es-ES_tradnl"/>
        </w:rPr>
        <w:t>l</w:t>
      </w:r>
      <w:r w:rsidR="0071175A" w:rsidRPr="00DA1726">
        <w:rPr>
          <w:sz w:val="28"/>
          <w:szCs w:val="28"/>
          <w:lang w:val="es-ES_tradnl"/>
        </w:rPr>
        <w:t xml:space="preserve"> ré</w:t>
      </w:r>
      <w:r w:rsidR="00874DA8" w:rsidRPr="00DA1726">
        <w:rPr>
          <w:sz w:val="28"/>
          <w:szCs w:val="28"/>
          <w:lang w:val="es-ES_tradnl"/>
        </w:rPr>
        <w:t>gimen contributivo y subsidiado</w:t>
      </w:r>
      <w:r w:rsidR="008B4849" w:rsidRPr="00DA1726">
        <w:rPr>
          <w:sz w:val="28"/>
          <w:szCs w:val="28"/>
          <w:lang w:val="es-ES_tradnl"/>
        </w:rPr>
        <w:t>.</w:t>
      </w:r>
      <w:r w:rsidR="00874DA8" w:rsidRPr="00DA1726">
        <w:rPr>
          <w:sz w:val="28"/>
          <w:szCs w:val="28"/>
          <w:lang w:val="es-ES_tradnl"/>
        </w:rPr>
        <w:t xml:space="preserve"> </w:t>
      </w:r>
      <w:r w:rsidR="008B4849" w:rsidRPr="00DA1726">
        <w:rPr>
          <w:sz w:val="28"/>
          <w:szCs w:val="28"/>
          <w:lang w:val="es-ES_tradnl"/>
        </w:rPr>
        <w:t>P</w:t>
      </w:r>
      <w:r w:rsidR="00874DA8" w:rsidRPr="00DA1726">
        <w:rPr>
          <w:sz w:val="28"/>
          <w:szCs w:val="28"/>
          <w:lang w:val="es-ES_tradnl"/>
        </w:rPr>
        <w:t xml:space="preserve">ara ello construyeron </w:t>
      </w:r>
      <w:r w:rsidR="0071175A" w:rsidRPr="00DA1726">
        <w:rPr>
          <w:sz w:val="28"/>
          <w:szCs w:val="28"/>
          <w:lang w:val="es-ES_tradnl"/>
        </w:rPr>
        <w:t xml:space="preserve">once (11) estructuras de bases de datos </w:t>
      </w:r>
      <w:r w:rsidR="008B4849" w:rsidRPr="00DA1726">
        <w:rPr>
          <w:sz w:val="28"/>
          <w:szCs w:val="28"/>
          <w:lang w:val="es-ES_tradnl"/>
        </w:rPr>
        <w:t xml:space="preserve">con el fin de </w:t>
      </w:r>
      <w:r w:rsidR="0071175A" w:rsidRPr="00DA1726">
        <w:rPr>
          <w:sz w:val="28"/>
          <w:szCs w:val="28"/>
          <w:lang w:val="es-ES_tradnl"/>
        </w:rPr>
        <w:t xml:space="preserve">solicitar la información que permitiera realizar </w:t>
      </w:r>
      <w:r w:rsidR="00874DA8" w:rsidRPr="00DA1726">
        <w:rPr>
          <w:sz w:val="28"/>
          <w:szCs w:val="28"/>
          <w:lang w:val="es-ES_tradnl"/>
        </w:rPr>
        <w:t>e</w:t>
      </w:r>
      <w:r w:rsidR="0071175A" w:rsidRPr="00DA1726">
        <w:rPr>
          <w:sz w:val="28"/>
          <w:szCs w:val="28"/>
          <w:lang w:val="es-ES_tradnl"/>
        </w:rPr>
        <w:t>l seguimiento de dichas prácticas</w:t>
      </w:r>
      <w:r w:rsidR="00874DA8" w:rsidRPr="00DA1726">
        <w:rPr>
          <w:sz w:val="28"/>
          <w:szCs w:val="28"/>
          <w:lang w:val="es-ES_tradnl"/>
        </w:rPr>
        <w:t xml:space="preserve">, </w:t>
      </w:r>
      <w:r w:rsidR="0071175A" w:rsidRPr="00DA1726">
        <w:rPr>
          <w:sz w:val="28"/>
          <w:szCs w:val="28"/>
          <w:lang w:val="es-ES_tradnl"/>
        </w:rPr>
        <w:t xml:space="preserve">a saber: </w:t>
      </w:r>
      <w:r w:rsidR="00874DA8" w:rsidRPr="00DA1726">
        <w:rPr>
          <w:sz w:val="28"/>
          <w:szCs w:val="28"/>
          <w:lang w:val="es-ES_tradnl"/>
        </w:rPr>
        <w:t xml:space="preserve">(1) </w:t>
      </w:r>
      <w:r w:rsidR="0071175A" w:rsidRPr="00DA1726">
        <w:rPr>
          <w:sz w:val="28"/>
          <w:szCs w:val="28"/>
          <w:lang w:val="es-ES_tradnl"/>
        </w:rPr>
        <w:t>quejas</w:t>
      </w:r>
      <w:r w:rsidR="00874DA8" w:rsidRPr="00DA1726">
        <w:rPr>
          <w:sz w:val="28"/>
          <w:szCs w:val="28"/>
          <w:lang w:val="es-ES_tradnl"/>
        </w:rPr>
        <w:t>; (2) autorizaciones; (3) alto costo; (4)</w:t>
      </w:r>
      <w:r w:rsidR="0071175A" w:rsidRPr="00DA1726">
        <w:rPr>
          <w:sz w:val="28"/>
          <w:szCs w:val="28"/>
          <w:lang w:val="es-ES_tradnl"/>
        </w:rPr>
        <w:t xml:space="preserve"> gestantes</w:t>
      </w:r>
      <w:r w:rsidR="00836D47" w:rsidRPr="00DA1726">
        <w:rPr>
          <w:sz w:val="28"/>
          <w:szCs w:val="28"/>
          <w:lang w:val="es-ES_tradnl"/>
        </w:rPr>
        <w:t>; (5) Comité Técnico Científico</w:t>
      </w:r>
      <w:r w:rsidR="00874DA8" w:rsidRPr="00DA1726">
        <w:rPr>
          <w:sz w:val="28"/>
          <w:szCs w:val="28"/>
          <w:lang w:val="es-ES_tradnl"/>
        </w:rPr>
        <w:t>; (6) trascripciones; (7) tutelas; (8)</w:t>
      </w:r>
      <w:r w:rsidR="0071175A" w:rsidRPr="00DA1726">
        <w:rPr>
          <w:sz w:val="28"/>
          <w:szCs w:val="28"/>
          <w:lang w:val="es-ES_tradnl"/>
        </w:rPr>
        <w:t xml:space="preserve"> negación de afiliaciones y traslados</w:t>
      </w:r>
      <w:r w:rsidR="00874DA8" w:rsidRPr="00DA1726">
        <w:rPr>
          <w:sz w:val="28"/>
          <w:szCs w:val="28"/>
          <w:lang w:val="es-ES_tradnl"/>
        </w:rPr>
        <w:t>; (9) manutención y transporte; (10)</w:t>
      </w:r>
      <w:r w:rsidR="0071175A" w:rsidRPr="00DA1726">
        <w:rPr>
          <w:sz w:val="28"/>
          <w:szCs w:val="28"/>
          <w:lang w:val="es-ES_tradnl"/>
        </w:rPr>
        <w:t xml:space="preserve"> insumos o dispositivos</w:t>
      </w:r>
      <w:r w:rsidR="008B4849" w:rsidRPr="00DA1726">
        <w:rPr>
          <w:sz w:val="28"/>
          <w:szCs w:val="28"/>
          <w:lang w:val="es-ES_tradnl"/>
        </w:rPr>
        <w:t>; y</w:t>
      </w:r>
      <w:r w:rsidR="0071175A" w:rsidRPr="00DA1726">
        <w:rPr>
          <w:sz w:val="28"/>
          <w:szCs w:val="28"/>
          <w:lang w:val="es-ES_tradnl"/>
        </w:rPr>
        <w:t xml:space="preserve"> </w:t>
      </w:r>
      <w:r w:rsidR="00874DA8" w:rsidRPr="00DA1726">
        <w:rPr>
          <w:sz w:val="28"/>
          <w:szCs w:val="28"/>
          <w:lang w:val="es-ES_tradnl"/>
        </w:rPr>
        <w:t xml:space="preserve">(11) </w:t>
      </w:r>
      <w:r w:rsidR="0071175A" w:rsidRPr="00DA1726">
        <w:rPr>
          <w:sz w:val="28"/>
          <w:szCs w:val="28"/>
          <w:lang w:val="es-ES_tradnl"/>
        </w:rPr>
        <w:t>incapacidades</w:t>
      </w:r>
      <w:r w:rsidR="00AB0328" w:rsidRPr="00DA1726">
        <w:rPr>
          <w:sz w:val="28"/>
          <w:szCs w:val="28"/>
          <w:vertAlign w:val="superscript"/>
          <w:lang w:val="es-ES_tradnl"/>
        </w:rPr>
        <w:footnoteReference w:id="131"/>
      </w:r>
      <w:r w:rsidR="0071175A" w:rsidRPr="00DA1726">
        <w:rPr>
          <w:sz w:val="28"/>
          <w:szCs w:val="28"/>
          <w:lang w:val="es-ES_tradnl"/>
        </w:rPr>
        <w:t>.</w:t>
      </w:r>
    </w:p>
    <w:p w:rsidR="0071175A" w:rsidRPr="00DA1726" w:rsidRDefault="0071175A" w:rsidP="00DA1726">
      <w:pPr>
        <w:jc w:val="both"/>
        <w:rPr>
          <w:sz w:val="28"/>
          <w:szCs w:val="28"/>
        </w:rPr>
      </w:pPr>
    </w:p>
    <w:p w:rsidR="0071175A" w:rsidRPr="00DA1726" w:rsidRDefault="00A506E6" w:rsidP="00DA1726">
      <w:pPr>
        <w:jc w:val="both"/>
        <w:rPr>
          <w:sz w:val="28"/>
          <w:szCs w:val="28"/>
          <w:lang w:val="es-ES_tradnl"/>
        </w:rPr>
      </w:pPr>
      <w:r w:rsidRPr="00DA1726">
        <w:rPr>
          <w:sz w:val="28"/>
          <w:szCs w:val="28"/>
          <w:lang w:val="es-ES_tradnl"/>
        </w:rPr>
        <w:t>En</w:t>
      </w:r>
      <w:r w:rsidR="0071175A" w:rsidRPr="00DA1726">
        <w:rPr>
          <w:sz w:val="28"/>
          <w:szCs w:val="28"/>
          <w:lang w:val="es-ES_tradnl"/>
        </w:rPr>
        <w:t xml:space="preserve"> la recolección de la información dentro de la auditoría se </w:t>
      </w:r>
      <w:r w:rsidRPr="00DA1726">
        <w:rPr>
          <w:sz w:val="28"/>
          <w:szCs w:val="28"/>
          <w:lang w:val="es-ES_tradnl"/>
        </w:rPr>
        <w:t>prestó un</w:t>
      </w:r>
      <w:r w:rsidR="0071175A" w:rsidRPr="00DA1726">
        <w:rPr>
          <w:sz w:val="28"/>
          <w:szCs w:val="28"/>
          <w:lang w:val="es-ES_tradnl"/>
        </w:rPr>
        <w:t xml:space="preserve"> acompañamiento técnico a las </w:t>
      </w:r>
      <w:r w:rsidR="00EA4FAC" w:rsidRPr="00DA1726">
        <w:rPr>
          <w:sz w:val="28"/>
          <w:szCs w:val="28"/>
          <w:lang w:val="es-ES_tradnl"/>
        </w:rPr>
        <w:t>EPS</w:t>
      </w:r>
      <w:r w:rsidR="00765376" w:rsidRPr="00DA1726">
        <w:rPr>
          <w:sz w:val="28"/>
          <w:szCs w:val="28"/>
          <w:lang w:val="es-ES_tradnl"/>
        </w:rPr>
        <w:t>, procediendo</w:t>
      </w:r>
      <w:r w:rsidR="008B4849" w:rsidRPr="00DA1726">
        <w:rPr>
          <w:sz w:val="28"/>
          <w:szCs w:val="28"/>
          <w:lang w:val="es-ES_tradnl"/>
        </w:rPr>
        <w:t>,</w:t>
      </w:r>
      <w:r w:rsidR="00765376" w:rsidRPr="00DA1726">
        <w:rPr>
          <w:sz w:val="28"/>
          <w:szCs w:val="28"/>
          <w:lang w:val="es-ES_tradnl"/>
        </w:rPr>
        <w:t xml:space="preserve"> además</w:t>
      </w:r>
      <w:r w:rsidR="008B4849" w:rsidRPr="00DA1726">
        <w:rPr>
          <w:sz w:val="28"/>
          <w:szCs w:val="28"/>
          <w:lang w:val="es-ES_tradnl"/>
        </w:rPr>
        <w:t>,</w:t>
      </w:r>
      <w:r w:rsidR="00765376" w:rsidRPr="00DA1726">
        <w:rPr>
          <w:sz w:val="28"/>
          <w:szCs w:val="28"/>
          <w:lang w:val="es-ES_tradnl"/>
        </w:rPr>
        <w:t xml:space="preserve"> a la </w:t>
      </w:r>
      <w:r w:rsidR="0071175A" w:rsidRPr="00DA1726">
        <w:rPr>
          <w:sz w:val="28"/>
          <w:szCs w:val="28"/>
          <w:lang w:val="es-ES_tradnl"/>
        </w:rPr>
        <w:t xml:space="preserve">validación en campo, la cual fue registrada en una bitácora construida para tal fin, proceso que fue certificado por las </w:t>
      </w:r>
      <w:r w:rsidR="008F61D2" w:rsidRPr="00DA1726">
        <w:rPr>
          <w:sz w:val="28"/>
          <w:szCs w:val="28"/>
          <w:lang w:val="es-ES_tradnl"/>
        </w:rPr>
        <w:t xml:space="preserve">entidades promotoras, </w:t>
      </w:r>
      <w:r w:rsidR="008B4849" w:rsidRPr="00DA1726">
        <w:rPr>
          <w:sz w:val="28"/>
          <w:szCs w:val="28"/>
          <w:lang w:val="es-ES_tradnl"/>
        </w:rPr>
        <w:t>arrojando</w:t>
      </w:r>
      <w:r w:rsidR="0071175A" w:rsidRPr="00DA1726">
        <w:rPr>
          <w:sz w:val="28"/>
          <w:szCs w:val="28"/>
          <w:lang w:val="es-ES_tradnl"/>
        </w:rPr>
        <w:t xml:space="preserve"> un aproximado </w:t>
      </w:r>
      <w:r w:rsidR="008B4849" w:rsidRPr="00DA1726">
        <w:rPr>
          <w:sz w:val="28"/>
          <w:szCs w:val="28"/>
          <w:lang w:val="es-ES_tradnl"/>
        </w:rPr>
        <w:t>de</w:t>
      </w:r>
      <w:r w:rsidR="0071175A" w:rsidRPr="00DA1726">
        <w:rPr>
          <w:sz w:val="28"/>
          <w:szCs w:val="28"/>
          <w:lang w:val="es-ES_tradnl"/>
        </w:rPr>
        <w:t xml:space="preserve"> 54 millones de registros recolectados.</w:t>
      </w:r>
      <w:r w:rsidR="00765376" w:rsidRPr="00DA1726">
        <w:rPr>
          <w:sz w:val="28"/>
          <w:szCs w:val="28"/>
          <w:lang w:val="es-ES_tradnl"/>
        </w:rPr>
        <w:t xml:space="preserve"> </w:t>
      </w:r>
      <w:r w:rsidR="0071175A" w:rsidRPr="00DA1726">
        <w:rPr>
          <w:sz w:val="28"/>
          <w:szCs w:val="28"/>
          <w:lang w:val="es-ES_tradnl"/>
        </w:rPr>
        <w:t xml:space="preserve">Para realizar el análisis de cada uno de los criterios se </w:t>
      </w:r>
      <w:r w:rsidR="008F61D2" w:rsidRPr="00DA1726">
        <w:rPr>
          <w:sz w:val="28"/>
          <w:szCs w:val="28"/>
          <w:lang w:val="es-ES_tradnl"/>
        </w:rPr>
        <w:t>llevó a cabo</w:t>
      </w:r>
      <w:r w:rsidR="0071175A" w:rsidRPr="00DA1726">
        <w:rPr>
          <w:sz w:val="28"/>
          <w:szCs w:val="28"/>
          <w:lang w:val="es-ES_tradnl"/>
        </w:rPr>
        <w:t xml:space="preserve"> el cruce de información de variables</w:t>
      </w:r>
      <w:r w:rsidR="008B4849" w:rsidRPr="00DA1726">
        <w:rPr>
          <w:sz w:val="28"/>
          <w:szCs w:val="28"/>
          <w:lang w:val="es-ES_tradnl"/>
        </w:rPr>
        <w:t>. A continuación se muestra el esquema de trabajo desarrollado por el Ministerio.</w:t>
      </w:r>
    </w:p>
    <w:p w:rsidR="005021B9" w:rsidRPr="00DA1726" w:rsidRDefault="005021B9" w:rsidP="00DA1726">
      <w:pPr>
        <w:jc w:val="both"/>
        <w:rPr>
          <w:sz w:val="28"/>
          <w:szCs w:val="28"/>
        </w:rPr>
      </w:pPr>
    </w:p>
    <w:p w:rsidR="001A6A97" w:rsidRPr="00DA1726" w:rsidRDefault="001A6A97" w:rsidP="00DA1726">
      <w:pPr>
        <w:jc w:val="both"/>
        <w:rPr>
          <w:sz w:val="28"/>
          <w:szCs w:val="28"/>
        </w:rPr>
      </w:pPr>
    </w:p>
    <w:tbl>
      <w:tblPr>
        <w:tblW w:w="8741" w:type="dxa"/>
        <w:tblInd w:w="40" w:type="dxa"/>
        <w:tblLayout w:type="fixed"/>
        <w:tblCellMar>
          <w:left w:w="40" w:type="dxa"/>
          <w:right w:w="40" w:type="dxa"/>
        </w:tblCellMar>
        <w:tblLook w:val="0000" w:firstRow="0" w:lastRow="0" w:firstColumn="0" w:lastColumn="0" w:noHBand="0" w:noVBand="0"/>
      </w:tblPr>
      <w:tblGrid>
        <w:gridCol w:w="4205"/>
        <w:gridCol w:w="4536"/>
      </w:tblGrid>
      <w:tr w:rsidR="0071175A" w:rsidRPr="00DA1726" w:rsidTr="0071175A">
        <w:tc>
          <w:tcPr>
            <w:tcW w:w="4205" w:type="dxa"/>
            <w:tcBorders>
              <w:top w:val="single" w:sz="6" w:space="0" w:color="auto"/>
              <w:left w:val="single" w:sz="6" w:space="0" w:color="auto"/>
              <w:bottom w:val="single" w:sz="6" w:space="0" w:color="auto"/>
              <w:right w:val="single" w:sz="6" w:space="0" w:color="auto"/>
            </w:tcBorders>
            <w:vAlign w:val="center"/>
          </w:tcPr>
          <w:p w:rsidR="0071175A" w:rsidRPr="00DA1726" w:rsidRDefault="0071175A" w:rsidP="00DA1726">
            <w:pPr>
              <w:jc w:val="center"/>
              <w:rPr>
                <w:b/>
                <w:bCs/>
                <w:sz w:val="28"/>
                <w:szCs w:val="28"/>
                <w:lang w:val="es-ES_tradnl"/>
              </w:rPr>
            </w:pPr>
            <w:r w:rsidRPr="00DA1726">
              <w:rPr>
                <w:b/>
                <w:bCs/>
                <w:sz w:val="28"/>
                <w:szCs w:val="28"/>
                <w:lang w:val="es-ES_tradnl"/>
              </w:rPr>
              <w:t>Criterio / Práctica violatoria del derecho a la salud</w:t>
            </w:r>
          </w:p>
        </w:tc>
        <w:tc>
          <w:tcPr>
            <w:tcW w:w="4536" w:type="dxa"/>
            <w:tcBorders>
              <w:top w:val="single" w:sz="6" w:space="0" w:color="auto"/>
              <w:left w:val="single" w:sz="6" w:space="0" w:color="auto"/>
              <w:bottom w:val="single" w:sz="6" w:space="0" w:color="auto"/>
              <w:right w:val="single" w:sz="6" w:space="0" w:color="auto"/>
            </w:tcBorders>
            <w:vAlign w:val="center"/>
          </w:tcPr>
          <w:p w:rsidR="0071175A" w:rsidRPr="00DA1726" w:rsidRDefault="0071175A" w:rsidP="00DA1726">
            <w:pPr>
              <w:jc w:val="center"/>
              <w:rPr>
                <w:b/>
                <w:bCs/>
                <w:sz w:val="28"/>
                <w:szCs w:val="28"/>
                <w:lang w:val="es-ES_tradnl"/>
              </w:rPr>
            </w:pPr>
            <w:r w:rsidRPr="00DA1726">
              <w:rPr>
                <w:b/>
                <w:bCs/>
                <w:sz w:val="28"/>
                <w:szCs w:val="28"/>
                <w:lang w:val="es-ES_tradnl"/>
              </w:rPr>
              <w:t>Metodología</w:t>
            </w: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i/>
                <w:iCs/>
                <w:sz w:val="28"/>
                <w:szCs w:val="28"/>
                <w:lang w:val="es-ES_tradnl"/>
              </w:rPr>
            </w:pPr>
            <w:r w:rsidRPr="00DA1726">
              <w:rPr>
                <w:b/>
                <w:bCs/>
                <w:sz w:val="28"/>
                <w:szCs w:val="28"/>
                <w:lang w:val="es-ES_tradnl"/>
              </w:rPr>
              <w:t xml:space="preserve">Criterio 1: </w:t>
            </w:r>
            <w:r w:rsidRPr="00DA1726">
              <w:rPr>
                <w:i/>
                <w:iCs/>
                <w:sz w:val="28"/>
                <w:szCs w:val="28"/>
                <w:lang w:val="es-ES_tradnl"/>
              </w:rPr>
              <w:t>Se niegan a autorizar oportunamente servicios de salud incluidos en el POS.</w:t>
            </w:r>
          </w:p>
        </w:tc>
        <w:tc>
          <w:tcPr>
            <w:tcW w:w="4536"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sz w:val="28"/>
                <w:szCs w:val="28"/>
                <w:lang w:val="es-ES_tradnl"/>
              </w:rPr>
            </w:pPr>
            <w:r w:rsidRPr="00DA1726">
              <w:rPr>
                <w:sz w:val="28"/>
                <w:szCs w:val="28"/>
                <w:lang w:val="es-ES_tradnl"/>
              </w:rPr>
              <w:t>Para el análisis de este criterio se tomó la base de datos de autorizaciones para evaluar la oportunidad. Se realizó el cálculo entre las fechas de radicación y autorización de orden médica</w:t>
            </w:r>
            <w:r w:rsidR="008B4849" w:rsidRPr="00DA1726">
              <w:rPr>
                <w:sz w:val="28"/>
                <w:szCs w:val="28"/>
                <w:lang w:val="es-ES_tradnl"/>
              </w:rPr>
              <w:t>. De igual manera</w:t>
            </w:r>
            <w:r w:rsidRPr="00DA1726">
              <w:rPr>
                <w:sz w:val="28"/>
                <w:szCs w:val="28"/>
                <w:lang w:val="es-ES_tradnl"/>
              </w:rPr>
              <w:t xml:space="preserve"> se calculó la oportunidad entre la fecha de autorización de orden médica y</w:t>
            </w:r>
            <w:r w:rsidR="008B4849" w:rsidRPr="00DA1726">
              <w:rPr>
                <w:sz w:val="28"/>
                <w:szCs w:val="28"/>
                <w:lang w:val="es-ES_tradnl"/>
              </w:rPr>
              <w:t xml:space="preserve"> la</w:t>
            </w:r>
            <w:r w:rsidRPr="00DA1726">
              <w:rPr>
                <w:sz w:val="28"/>
                <w:szCs w:val="28"/>
                <w:lang w:val="es-ES_tradnl"/>
              </w:rPr>
              <w:t xml:space="preserve"> prestación del servicio, medido en días hábiles.</w:t>
            </w:r>
          </w:p>
        </w:tc>
      </w:tr>
      <w:tr w:rsidR="0071175A" w:rsidRPr="00DA1726" w:rsidTr="005D2145">
        <w:trPr>
          <w:trHeight w:val="1554"/>
        </w:trPr>
        <w:tc>
          <w:tcPr>
            <w:tcW w:w="4205" w:type="dxa"/>
            <w:tcBorders>
              <w:top w:val="single" w:sz="6" w:space="0" w:color="auto"/>
              <w:left w:val="single" w:sz="6" w:space="0" w:color="auto"/>
              <w:right w:val="single" w:sz="6" w:space="0" w:color="auto"/>
            </w:tcBorders>
          </w:tcPr>
          <w:p w:rsidR="0071175A" w:rsidRPr="00DA1726" w:rsidRDefault="0071175A" w:rsidP="00DA1726">
            <w:pPr>
              <w:jc w:val="both"/>
              <w:rPr>
                <w:i/>
                <w:iCs/>
                <w:sz w:val="28"/>
                <w:szCs w:val="28"/>
                <w:lang w:val="es-ES_tradnl"/>
              </w:rPr>
            </w:pPr>
            <w:r w:rsidRPr="00DA1726">
              <w:rPr>
                <w:b/>
                <w:bCs/>
                <w:sz w:val="28"/>
                <w:szCs w:val="28"/>
                <w:lang w:val="es-ES_tradnl"/>
              </w:rPr>
              <w:t xml:space="preserve">Criterio 2: </w:t>
            </w:r>
            <w:r w:rsidRPr="00DA1726">
              <w:rPr>
                <w:i/>
                <w:iCs/>
                <w:sz w:val="28"/>
                <w:szCs w:val="28"/>
                <w:lang w:val="es-ES_tradnl"/>
              </w:rPr>
              <w:t>Se niegan a autorizar oportunamente servicios de salud excluidos del POS que se requieren con necesidad y que no pueden ser costeados por el interesado, bien sea porque su costo le resulta impagable dado su nivel de ingreso o porque le impone una carga desproporcionada.</w:t>
            </w:r>
          </w:p>
        </w:tc>
        <w:tc>
          <w:tcPr>
            <w:tcW w:w="4536" w:type="dxa"/>
            <w:tcBorders>
              <w:top w:val="single" w:sz="6" w:space="0" w:color="auto"/>
              <w:left w:val="single" w:sz="6" w:space="0" w:color="auto"/>
              <w:right w:val="single" w:sz="6" w:space="0" w:color="auto"/>
            </w:tcBorders>
          </w:tcPr>
          <w:p w:rsidR="0071175A" w:rsidRPr="00DA1726" w:rsidRDefault="0071175A" w:rsidP="00DA1726">
            <w:pPr>
              <w:jc w:val="both"/>
              <w:rPr>
                <w:sz w:val="28"/>
                <w:szCs w:val="28"/>
                <w:lang w:val="es-ES_tradnl"/>
              </w:rPr>
            </w:pPr>
            <w:r w:rsidRPr="00DA1726">
              <w:rPr>
                <w:sz w:val="28"/>
                <w:szCs w:val="28"/>
                <w:lang w:val="es-ES_tradnl"/>
              </w:rPr>
              <w:t>Para el análisis de este criterio se tomó la base de datos de Comité Técnico Ci</w:t>
            </w:r>
            <w:r w:rsidR="005D2145" w:rsidRPr="00DA1726">
              <w:rPr>
                <w:sz w:val="28"/>
                <w:szCs w:val="28"/>
                <w:lang w:val="es-ES_tradnl"/>
              </w:rPr>
              <w:t>entífico</w:t>
            </w:r>
            <w:r w:rsidRPr="00DA1726">
              <w:rPr>
                <w:sz w:val="28"/>
                <w:szCs w:val="28"/>
                <w:lang w:val="es-ES_tradnl"/>
              </w:rPr>
              <w:t>. Se determinó para esta medid</w:t>
            </w:r>
            <w:r w:rsidR="004A63C1" w:rsidRPr="00DA1726">
              <w:rPr>
                <w:sz w:val="28"/>
                <w:szCs w:val="28"/>
                <w:lang w:val="es-ES_tradnl"/>
              </w:rPr>
              <w:t>a, el cálculo de la oportunidad</w:t>
            </w:r>
            <w:r w:rsidRPr="00DA1726">
              <w:rPr>
                <w:sz w:val="28"/>
                <w:szCs w:val="28"/>
                <w:lang w:val="es-ES_tradnl"/>
              </w:rPr>
              <w:t xml:space="preserve"> como la diferencia en días entre la fecha de solicitud del Comité Técnico Científico y la fecha de respuesta del mismo, en días hábiles, evaluando sólo los casos en los cuales fue aprobado el servicio de salud por parte del </w:t>
            </w:r>
            <w:r w:rsidR="007B7A85" w:rsidRPr="00DA1726">
              <w:rPr>
                <w:sz w:val="28"/>
                <w:szCs w:val="28"/>
                <w:lang w:val="es-ES_tradnl"/>
              </w:rPr>
              <w:t>CTC.</w:t>
            </w:r>
            <w:r w:rsidRPr="00DA1726">
              <w:rPr>
                <w:sz w:val="28"/>
                <w:szCs w:val="28"/>
                <w:lang w:val="es-ES_tradnl"/>
              </w:rPr>
              <w:t xml:space="preserve"> </w:t>
            </w: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i/>
                <w:iCs/>
                <w:sz w:val="28"/>
                <w:szCs w:val="28"/>
                <w:lang w:val="es-ES_tradnl"/>
              </w:rPr>
            </w:pPr>
            <w:r w:rsidRPr="00DA1726">
              <w:rPr>
                <w:b/>
                <w:bCs/>
                <w:sz w:val="28"/>
                <w:szCs w:val="28"/>
                <w:lang w:val="es-ES_tradnl"/>
              </w:rPr>
              <w:t xml:space="preserve">Criterio 3: </w:t>
            </w:r>
            <w:r w:rsidRPr="00DA1726">
              <w:rPr>
                <w:i/>
                <w:iCs/>
                <w:sz w:val="28"/>
                <w:szCs w:val="28"/>
                <w:lang w:val="es-ES_tradnl"/>
              </w:rPr>
              <w:t>Se niegan a autorizar oportunamente servicios de salud con el argumento de que la persona no ha presentado la solicitud respectiva ante el Comité Técnico Científico -CTC-.</w:t>
            </w:r>
          </w:p>
        </w:tc>
        <w:tc>
          <w:tcPr>
            <w:tcW w:w="4536"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sz w:val="28"/>
                <w:szCs w:val="28"/>
                <w:lang w:val="es-ES_tradnl"/>
              </w:rPr>
            </w:pPr>
            <w:r w:rsidRPr="00DA1726">
              <w:rPr>
                <w:sz w:val="28"/>
                <w:szCs w:val="28"/>
                <w:lang w:val="es-ES_tradnl"/>
              </w:rPr>
              <w:t xml:space="preserve">Para el análisis de este criterio, se utilizó la base de datos reportada a </w:t>
            </w:r>
            <w:r w:rsidR="005D2145" w:rsidRPr="00DA1726">
              <w:rPr>
                <w:sz w:val="28"/>
                <w:szCs w:val="28"/>
                <w:lang w:val="es-ES_tradnl"/>
              </w:rPr>
              <w:t>la</w:t>
            </w:r>
            <w:r w:rsidRPr="00DA1726">
              <w:rPr>
                <w:sz w:val="28"/>
                <w:szCs w:val="28"/>
                <w:lang w:val="es-ES_tradnl"/>
              </w:rPr>
              <w:t xml:space="preserve"> Superintendencia según el requerimiento de la Resolución 1683 de 2</w:t>
            </w:r>
            <w:r w:rsidR="005D2145" w:rsidRPr="00DA1726">
              <w:rPr>
                <w:sz w:val="28"/>
                <w:szCs w:val="28"/>
                <w:lang w:val="es-ES_tradnl"/>
              </w:rPr>
              <w:t xml:space="preserve">015 </w:t>
            </w:r>
            <w:r w:rsidR="005D2145" w:rsidRPr="00DA1726">
              <w:rPr>
                <w:i/>
                <w:sz w:val="28"/>
                <w:szCs w:val="28"/>
                <w:lang w:val="es-ES_tradnl"/>
              </w:rPr>
              <w:t>“</w:t>
            </w:r>
            <w:r w:rsidRPr="00DA1726">
              <w:rPr>
                <w:i/>
                <w:sz w:val="28"/>
                <w:szCs w:val="28"/>
                <w:lang w:val="es-ES_tradnl"/>
              </w:rPr>
              <w:t>archivo de información general de negación de servicios por parte de las EAPB</w:t>
            </w:r>
            <w:r w:rsidR="005D2145" w:rsidRPr="00DA1726">
              <w:rPr>
                <w:i/>
                <w:sz w:val="28"/>
                <w:szCs w:val="28"/>
                <w:lang w:val="es-ES_tradnl"/>
              </w:rPr>
              <w:t>”</w:t>
            </w:r>
            <w:r w:rsidRPr="00DA1726">
              <w:rPr>
                <w:sz w:val="28"/>
                <w:szCs w:val="28"/>
                <w:lang w:val="es-ES_tradnl"/>
              </w:rPr>
              <w:t>.</w:t>
            </w:r>
          </w:p>
          <w:p w:rsidR="0071175A" w:rsidRPr="00DA1726" w:rsidRDefault="0071175A" w:rsidP="00DA1726">
            <w:pPr>
              <w:jc w:val="both"/>
              <w:rPr>
                <w:sz w:val="28"/>
                <w:szCs w:val="28"/>
                <w:lang w:val="es-ES_tradnl"/>
              </w:rPr>
            </w:pPr>
            <w:r w:rsidRPr="00DA1726">
              <w:rPr>
                <w:sz w:val="28"/>
                <w:szCs w:val="28"/>
                <w:lang w:val="es-ES_tradnl"/>
              </w:rPr>
              <w:t xml:space="preserve">De este instrumento, se tomó como fuente de resultados el </w:t>
            </w:r>
            <w:r w:rsidR="005021B9" w:rsidRPr="00DA1726">
              <w:rPr>
                <w:i/>
                <w:sz w:val="28"/>
                <w:szCs w:val="28"/>
                <w:lang w:val="es-ES_tradnl"/>
              </w:rPr>
              <w:t>“</w:t>
            </w:r>
            <w:r w:rsidRPr="00DA1726">
              <w:rPr>
                <w:i/>
                <w:iCs/>
                <w:sz w:val="28"/>
                <w:szCs w:val="28"/>
                <w:lang w:val="es-ES_tradnl"/>
              </w:rPr>
              <w:t>concepto de neg</w:t>
            </w:r>
            <w:r w:rsidR="005021B9" w:rsidRPr="00DA1726">
              <w:rPr>
                <w:i/>
                <w:iCs/>
                <w:sz w:val="28"/>
                <w:szCs w:val="28"/>
                <w:lang w:val="es-ES_tradnl"/>
              </w:rPr>
              <w:t>ación del servicio o tecnología”</w:t>
            </w:r>
            <w:r w:rsidRPr="00DA1726">
              <w:rPr>
                <w:i/>
                <w:iCs/>
                <w:sz w:val="28"/>
                <w:szCs w:val="28"/>
                <w:lang w:val="es-ES_tradnl"/>
              </w:rPr>
              <w:t xml:space="preserve">, </w:t>
            </w:r>
            <w:r w:rsidRPr="00DA1726">
              <w:rPr>
                <w:sz w:val="28"/>
                <w:szCs w:val="28"/>
                <w:lang w:val="es-ES_tradnl"/>
              </w:rPr>
              <w:t xml:space="preserve">en el cual se solicita el motivo por el cual se negó el servicio, </w:t>
            </w:r>
            <w:r w:rsidR="005021B9" w:rsidRPr="00DA1726">
              <w:rPr>
                <w:sz w:val="28"/>
                <w:szCs w:val="28"/>
                <w:lang w:val="es-ES_tradnl"/>
              </w:rPr>
              <w:t>que</w:t>
            </w:r>
            <w:r w:rsidRPr="00DA1726">
              <w:rPr>
                <w:sz w:val="28"/>
                <w:szCs w:val="28"/>
                <w:lang w:val="es-ES_tradnl"/>
              </w:rPr>
              <w:t xml:space="preserve"> esta categorizado como </w:t>
            </w:r>
            <w:r w:rsidR="005021B9" w:rsidRPr="00DA1726">
              <w:rPr>
                <w:i/>
                <w:iCs/>
                <w:sz w:val="28"/>
                <w:szCs w:val="28"/>
                <w:lang w:val="es-ES_tradnl"/>
              </w:rPr>
              <w:t>“</w:t>
            </w:r>
            <w:r w:rsidRPr="00DA1726">
              <w:rPr>
                <w:i/>
                <w:iCs/>
                <w:sz w:val="28"/>
                <w:szCs w:val="28"/>
                <w:lang w:val="es-ES_tradnl"/>
              </w:rPr>
              <w:t>servicio o tecnología ordenado por el médico trat</w:t>
            </w:r>
            <w:r w:rsidR="005021B9" w:rsidRPr="00DA1726">
              <w:rPr>
                <w:i/>
                <w:iCs/>
                <w:sz w:val="28"/>
                <w:szCs w:val="28"/>
                <w:lang w:val="es-ES_tradnl"/>
              </w:rPr>
              <w:t>ante y no tramitado ante el CTC”</w:t>
            </w:r>
            <w:r w:rsidRPr="00DA1726">
              <w:rPr>
                <w:i/>
                <w:iCs/>
                <w:sz w:val="28"/>
                <w:szCs w:val="28"/>
                <w:lang w:val="es-ES_tradnl"/>
              </w:rPr>
              <w:t xml:space="preserve"> (NTR) </w:t>
            </w:r>
            <w:r w:rsidRPr="00DA1726">
              <w:rPr>
                <w:sz w:val="28"/>
                <w:szCs w:val="28"/>
                <w:lang w:val="es-ES_tradnl"/>
              </w:rPr>
              <w:t xml:space="preserve">y </w:t>
            </w:r>
            <w:r w:rsidR="005021B9" w:rsidRPr="00DA1726">
              <w:rPr>
                <w:i/>
                <w:iCs/>
                <w:sz w:val="28"/>
                <w:szCs w:val="28"/>
                <w:lang w:val="es-ES_tradnl"/>
              </w:rPr>
              <w:t>“</w:t>
            </w:r>
            <w:r w:rsidRPr="00DA1726">
              <w:rPr>
                <w:i/>
                <w:iCs/>
                <w:sz w:val="28"/>
                <w:szCs w:val="28"/>
                <w:lang w:val="es-ES_tradnl"/>
              </w:rPr>
              <w:t>servicio o tecnología ordenado por el médico tratante negado por el CTC</w:t>
            </w:r>
            <w:r w:rsidR="005021B9" w:rsidRPr="00DA1726">
              <w:rPr>
                <w:i/>
                <w:iCs/>
                <w:sz w:val="28"/>
                <w:szCs w:val="28"/>
                <w:lang w:val="es-ES_tradnl"/>
              </w:rPr>
              <w:t>”</w:t>
            </w:r>
            <w:r w:rsidR="004A63C1" w:rsidRPr="00DA1726">
              <w:rPr>
                <w:i/>
                <w:iCs/>
                <w:sz w:val="28"/>
                <w:szCs w:val="28"/>
                <w:lang w:val="es-ES_tradnl"/>
              </w:rPr>
              <w:t xml:space="preserve"> (NEG). </w:t>
            </w:r>
            <w:r w:rsidR="004A63C1" w:rsidRPr="00DA1726">
              <w:rPr>
                <w:iCs/>
                <w:sz w:val="28"/>
                <w:szCs w:val="28"/>
                <w:lang w:val="es-ES_tradnl"/>
              </w:rPr>
              <w:t>A partir de allí</w:t>
            </w:r>
            <w:r w:rsidRPr="00DA1726">
              <w:rPr>
                <w:sz w:val="28"/>
                <w:szCs w:val="28"/>
                <w:lang w:val="es-ES_tradnl"/>
              </w:rPr>
              <w:t>, se calculó la frecuencia relativa o porcentaje de casos que relacionan como motivo de negación la categoría NTR.</w:t>
            </w:r>
          </w:p>
        </w:tc>
      </w:tr>
      <w:tr w:rsidR="0071175A" w:rsidRPr="00DA1726" w:rsidTr="005021B9">
        <w:trPr>
          <w:trHeight w:val="1144"/>
        </w:trPr>
        <w:tc>
          <w:tcPr>
            <w:tcW w:w="4205" w:type="dxa"/>
            <w:tcBorders>
              <w:top w:val="single" w:sz="6" w:space="0" w:color="auto"/>
              <w:left w:val="single" w:sz="6" w:space="0" w:color="auto"/>
              <w:right w:val="single" w:sz="6" w:space="0" w:color="auto"/>
            </w:tcBorders>
          </w:tcPr>
          <w:p w:rsidR="0071175A" w:rsidRPr="00DA1726" w:rsidRDefault="0071175A" w:rsidP="00DA1726">
            <w:pPr>
              <w:jc w:val="both"/>
              <w:rPr>
                <w:i/>
                <w:iCs/>
                <w:sz w:val="28"/>
                <w:szCs w:val="28"/>
                <w:lang w:val="es-ES_tradnl"/>
              </w:rPr>
            </w:pPr>
            <w:r w:rsidRPr="00DA1726">
              <w:rPr>
                <w:b/>
                <w:bCs/>
                <w:sz w:val="28"/>
                <w:szCs w:val="28"/>
                <w:lang w:val="es-ES_tradnl"/>
              </w:rPr>
              <w:t xml:space="preserve">Criterio 4: </w:t>
            </w:r>
            <w:r w:rsidRPr="00DA1726">
              <w:rPr>
                <w:i/>
                <w:iCs/>
                <w:sz w:val="28"/>
                <w:szCs w:val="28"/>
                <w:lang w:val="es-ES_tradnl"/>
              </w:rPr>
              <w:t>Se niegan a autorizar oportunamente servicios de salud con sujeción al principio de integralidad, entendido éste como el no fraccionamiento de las prestaciones que requiera la persona para recuperar su salud.</w:t>
            </w:r>
          </w:p>
        </w:tc>
        <w:tc>
          <w:tcPr>
            <w:tcW w:w="4536" w:type="dxa"/>
            <w:tcBorders>
              <w:top w:val="single" w:sz="6" w:space="0" w:color="auto"/>
              <w:left w:val="single" w:sz="6" w:space="0" w:color="auto"/>
              <w:right w:val="single" w:sz="6" w:space="0" w:color="auto"/>
            </w:tcBorders>
          </w:tcPr>
          <w:p w:rsidR="0071175A" w:rsidRPr="00DA1726" w:rsidRDefault="0071175A" w:rsidP="00DA1726">
            <w:pPr>
              <w:jc w:val="both"/>
              <w:rPr>
                <w:sz w:val="28"/>
                <w:szCs w:val="28"/>
                <w:lang w:val="es-ES_tradnl"/>
              </w:rPr>
            </w:pPr>
            <w:r w:rsidRPr="00DA1726">
              <w:rPr>
                <w:sz w:val="28"/>
                <w:szCs w:val="28"/>
                <w:lang w:val="es-ES_tradnl"/>
              </w:rPr>
              <w:t>Para el cálculo de la oportunidad referida en este criterio, se utilizó la base de datos de insumos y dispositivos, de la cual se calculó la diferencia entre la fecha de autorización de la orden médica del procedimiento y la fecha de radicación de la misma.</w:t>
            </w: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i/>
                <w:iCs/>
                <w:sz w:val="28"/>
                <w:szCs w:val="28"/>
                <w:lang w:val="es-ES_tradnl"/>
              </w:rPr>
            </w:pPr>
            <w:r w:rsidRPr="00DA1726">
              <w:rPr>
                <w:b/>
                <w:bCs/>
                <w:sz w:val="28"/>
                <w:szCs w:val="28"/>
                <w:lang w:val="es-ES_tradnl"/>
              </w:rPr>
              <w:t xml:space="preserve">Criterio 5: </w:t>
            </w:r>
            <w:r w:rsidRPr="00DA1726">
              <w:rPr>
                <w:bCs/>
                <w:i/>
                <w:sz w:val="28"/>
                <w:szCs w:val="28"/>
                <w:lang w:val="es-ES_tradnl"/>
              </w:rPr>
              <w:t>S</w:t>
            </w:r>
            <w:r w:rsidRPr="00DA1726">
              <w:rPr>
                <w:i/>
                <w:iCs/>
                <w:sz w:val="28"/>
                <w:szCs w:val="28"/>
                <w:lang w:val="es-ES_tradnl"/>
              </w:rPr>
              <w:t>e niegan a autorizar oportunamente servicios de salud cuando éstos han sido ordenados por un médico que no se encuentra adscrito a la entidad encargada de garantizar la prestación, pero que es un profesional reconocido que hace parte del sistema de salud y cuyo concepto no fue desvirtuado por la entidad con base en razones científicas que consideren el caso específico del paciente.</w:t>
            </w:r>
          </w:p>
        </w:tc>
        <w:tc>
          <w:tcPr>
            <w:tcW w:w="4536"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sz w:val="28"/>
                <w:szCs w:val="28"/>
                <w:lang w:val="es-ES_tradnl"/>
              </w:rPr>
            </w:pPr>
            <w:r w:rsidRPr="00DA1726">
              <w:rPr>
                <w:sz w:val="28"/>
                <w:szCs w:val="28"/>
                <w:lang w:val="es-ES_tradnl"/>
              </w:rPr>
              <w:t xml:space="preserve">Para el análisis de este criterio se utilizó la base de datos denominada </w:t>
            </w:r>
            <w:r w:rsidR="004A63C1" w:rsidRPr="00DA1726">
              <w:rPr>
                <w:i/>
                <w:sz w:val="28"/>
                <w:szCs w:val="28"/>
                <w:lang w:val="es-ES_tradnl"/>
              </w:rPr>
              <w:t>“</w:t>
            </w:r>
            <w:r w:rsidR="004A63C1" w:rsidRPr="00DA1726">
              <w:rPr>
                <w:bCs/>
                <w:i/>
                <w:sz w:val="28"/>
                <w:szCs w:val="28"/>
                <w:lang w:val="es-ES_tradnl"/>
              </w:rPr>
              <w:t>S</w:t>
            </w:r>
            <w:r w:rsidRPr="00DA1726">
              <w:rPr>
                <w:bCs/>
                <w:i/>
                <w:sz w:val="28"/>
                <w:szCs w:val="28"/>
                <w:lang w:val="es-ES_tradnl"/>
              </w:rPr>
              <w:t>olicitud de médicos no adscritos</w:t>
            </w:r>
            <w:r w:rsidR="004A63C1" w:rsidRPr="00DA1726">
              <w:rPr>
                <w:bCs/>
                <w:i/>
                <w:sz w:val="28"/>
                <w:szCs w:val="28"/>
                <w:lang w:val="es-ES_tradnl"/>
              </w:rPr>
              <w:t>”</w:t>
            </w:r>
            <w:r w:rsidRPr="00DA1726">
              <w:rPr>
                <w:bCs/>
                <w:i/>
                <w:sz w:val="28"/>
                <w:szCs w:val="28"/>
                <w:lang w:val="es-ES_tradnl"/>
              </w:rPr>
              <w:t>,</w:t>
            </w:r>
            <w:r w:rsidRPr="00DA1726">
              <w:rPr>
                <w:b/>
                <w:bCs/>
                <w:sz w:val="28"/>
                <w:szCs w:val="28"/>
                <w:lang w:val="es-ES_tradnl"/>
              </w:rPr>
              <w:t xml:space="preserve"> </w:t>
            </w:r>
            <w:r w:rsidRPr="00DA1726">
              <w:rPr>
                <w:sz w:val="28"/>
                <w:szCs w:val="28"/>
                <w:lang w:val="es-ES_tradnl"/>
              </w:rPr>
              <w:t>en la cual se calculó la diferencia entre la fecha de respuesta a la solicitud de autorización del servicio (ordenado por médico no adscrito a la red de la entidad) y la fecha de solicitud de autorización de orden médica (médico no adscrito a la red).</w:t>
            </w:r>
          </w:p>
          <w:p w:rsidR="0071175A" w:rsidRPr="00DA1726" w:rsidRDefault="0071175A" w:rsidP="00DA1726">
            <w:pPr>
              <w:jc w:val="both"/>
              <w:rPr>
                <w:sz w:val="28"/>
                <w:szCs w:val="28"/>
                <w:lang w:val="es-ES_tradnl"/>
              </w:rPr>
            </w:pP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bCs/>
                <w:i/>
                <w:iCs/>
                <w:sz w:val="28"/>
                <w:szCs w:val="28"/>
                <w:lang w:val="es-ES_tradnl"/>
              </w:rPr>
            </w:pPr>
            <w:r w:rsidRPr="00DA1726">
              <w:rPr>
                <w:b/>
                <w:bCs/>
                <w:sz w:val="28"/>
                <w:szCs w:val="28"/>
                <w:lang w:val="es-ES_tradnl"/>
              </w:rPr>
              <w:t>Criterio 6:</w:t>
            </w:r>
            <w:r w:rsidRPr="00DA1726">
              <w:rPr>
                <w:bCs/>
                <w:sz w:val="28"/>
                <w:szCs w:val="28"/>
                <w:lang w:val="es-ES_tradnl"/>
              </w:rPr>
              <w:t xml:space="preserve"> </w:t>
            </w:r>
            <w:r w:rsidRPr="00DA1726">
              <w:rPr>
                <w:bCs/>
                <w:i/>
                <w:sz w:val="28"/>
                <w:szCs w:val="28"/>
                <w:lang w:val="es-ES_tradnl"/>
              </w:rPr>
              <w:t>S</w:t>
            </w:r>
            <w:r w:rsidRPr="00DA1726">
              <w:rPr>
                <w:bCs/>
                <w:sz w:val="28"/>
                <w:szCs w:val="28"/>
                <w:lang w:val="es-ES_tradnl"/>
              </w:rPr>
              <w:t xml:space="preserve">e </w:t>
            </w:r>
            <w:r w:rsidRPr="00DA1726">
              <w:rPr>
                <w:bCs/>
                <w:i/>
                <w:iCs/>
                <w:sz w:val="28"/>
                <w:szCs w:val="28"/>
                <w:lang w:val="es-ES_tradnl"/>
              </w:rPr>
              <w:t>niegan a autorizar oportunamente servicios de salud cuando se requiere que la persona se desplace a vivir en un lugar distinto a aquel en el que reside.</w:t>
            </w:r>
          </w:p>
          <w:p w:rsidR="0071175A" w:rsidRPr="00DA1726" w:rsidRDefault="0071175A" w:rsidP="00DA1726">
            <w:pPr>
              <w:jc w:val="both"/>
              <w:rPr>
                <w:b/>
                <w:bCs/>
                <w:sz w:val="28"/>
                <w:szCs w:val="28"/>
                <w:lang w:val="es-ES_tradnl"/>
              </w:rPr>
            </w:pPr>
          </w:p>
        </w:tc>
        <w:tc>
          <w:tcPr>
            <w:tcW w:w="4536"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sz w:val="28"/>
                <w:szCs w:val="28"/>
                <w:lang w:val="es-ES_tradnl"/>
              </w:rPr>
            </w:pPr>
            <w:r w:rsidRPr="00DA1726">
              <w:rPr>
                <w:sz w:val="28"/>
                <w:szCs w:val="28"/>
                <w:lang w:val="es-ES_tradnl"/>
              </w:rPr>
              <w:t>Para el análisis de este criterio se utilizó la base de datos de transporte y manutención.</w:t>
            </w:r>
            <w:r w:rsidR="004A63C1" w:rsidRPr="00DA1726">
              <w:rPr>
                <w:sz w:val="28"/>
                <w:szCs w:val="28"/>
                <w:lang w:val="es-ES_tradnl"/>
              </w:rPr>
              <w:t xml:space="preserve"> S</w:t>
            </w:r>
            <w:r w:rsidRPr="00DA1726">
              <w:rPr>
                <w:sz w:val="28"/>
                <w:szCs w:val="28"/>
                <w:lang w:val="es-ES_tradnl"/>
              </w:rPr>
              <w:t xml:space="preserve">e realizó el cálculo </w:t>
            </w:r>
            <w:r w:rsidR="004A63C1" w:rsidRPr="00DA1726">
              <w:rPr>
                <w:sz w:val="28"/>
                <w:szCs w:val="28"/>
                <w:lang w:val="es-ES_tradnl"/>
              </w:rPr>
              <w:t>entre</w:t>
            </w:r>
            <w:r w:rsidRPr="00DA1726">
              <w:rPr>
                <w:sz w:val="28"/>
                <w:szCs w:val="28"/>
                <w:lang w:val="es-ES_tradnl"/>
              </w:rPr>
              <w:t xml:space="preserve"> la oportunidad de la autorización del servicio de transporte y manutención, y la fecha de autorización del servicio.</w:t>
            </w:r>
          </w:p>
          <w:p w:rsidR="0071175A" w:rsidRPr="00DA1726" w:rsidRDefault="0071175A" w:rsidP="00DA1726">
            <w:pPr>
              <w:jc w:val="both"/>
              <w:rPr>
                <w:sz w:val="28"/>
                <w:szCs w:val="28"/>
                <w:vertAlign w:val="superscript"/>
                <w:lang w:val="es-ES_tradnl"/>
              </w:rPr>
            </w:pPr>
            <w:r w:rsidRPr="00DA1726">
              <w:rPr>
                <w:sz w:val="28"/>
                <w:szCs w:val="28"/>
                <w:lang w:val="es-ES_tradnl"/>
              </w:rPr>
              <w:t xml:space="preserve">Adicionalmente, para este criterio se analizó si la entidad contaba o no con un registro efectivo que demostrara el cumplimiento de lo establecido en amplia jurisprudencia constitucional, donde se ha advertido que en virtud del principio de accesibilidad, la efectiva prestación de un servicio se materializa e incluye la garantía de que el paciente pueda acceder efectivamente a este. </w:t>
            </w: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bCs/>
                <w:sz w:val="28"/>
                <w:szCs w:val="28"/>
                <w:lang w:val="es-ES_tradnl"/>
              </w:rPr>
            </w:pPr>
            <w:r w:rsidRPr="00DA1726">
              <w:rPr>
                <w:b/>
                <w:bCs/>
                <w:sz w:val="28"/>
                <w:szCs w:val="28"/>
                <w:lang w:val="es-ES_tradnl"/>
              </w:rPr>
              <w:t xml:space="preserve">Criterio 7: </w:t>
            </w:r>
            <w:r w:rsidRPr="00DA1726">
              <w:rPr>
                <w:bCs/>
                <w:i/>
                <w:sz w:val="28"/>
                <w:szCs w:val="28"/>
                <w:lang w:val="es-ES_tradnl"/>
              </w:rPr>
              <w:t>S</w:t>
            </w:r>
            <w:r w:rsidRPr="00DA1726">
              <w:rPr>
                <w:bCs/>
                <w:sz w:val="28"/>
                <w:szCs w:val="28"/>
                <w:lang w:val="es-ES_tradnl"/>
              </w:rPr>
              <w:t xml:space="preserve">e </w:t>
            </w:r>
            <w:r w:rsidRPr="00DA1726">
              <w:rPr>
                <w:bCs/>
                <w:i/>
                <w:iCs/>
                <w:sz w:val="28"/>
                <w:szCs w:val="28"/>
                <w:lang w:val="es-ES_tradnl"/>
              </w:rPr>
              <w:t>niegan a autorizar oportunamente servicios de salud de alto costo y para tratar enfermedades catastróficas, así como sus exámenes diagnósticos.</w:t>
            </w:r>
          </w:p>
        </w:tc>
        <w:tc>
          <w:tcPr>
            <w:tcW w:w="4536"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sz w:val="28"/>
                <w:szCs w:val="28"/>
                <w:lang w:val="es-ES_tradnl"/>
              </w:rPr>
            </w:pPr>
            <w:r w:rsidRPr="00DA1726">
              <w:rPr>
                <w:sz w:val="28"/>
                <w:szCs w:val="28"/>
                <w:lang w:val="es-ES_tradnl"/>
              </w:rPr>
              <w:t xml:space="preserve">Para el análisis de este criterio se tomó como insumo la base de alto costo, en la cual se realizó el cálculo entre las fechas de radicación y autorización de orden médica para determinar la oportunidad en la autorización. </w:t>
            </w: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bCs/>
                <w:i/>
                <w:iCs/>
                <w:sz w:val="28"/>
                <w:szCs w:val="28"/>
                <w:lang w:val="es-ES_tradnl"/>
              </w:rPr>
            </w:pPr>
            <w:r w:rsidRPr="00DA1726">
              <w:rPr>
                <w:b/>
                <w:bCs/>
                <w:sz w:val="28"/>
                <w:szCs w:val="28"/>
                <w:lang w:val="es-ES_tradnl"/>
              </w:rPr>
              <w:t>Criterio 8:</w:t>
            </w:r>
            <w:r w:rsidRPr="00DA1726">
              <w:rPr>
                <w:bCs/>
                <w:sz w:val="28"/>
                <w:szCs w:val="28"/>
                <w:lang w:val="es-ES_tradnl"/>
              </w:rPr>
              <w:t xml:space="preserve"> </w:t>
            </w:r>
            <w:r w:rsidRPr="00DA1726">
              <w:rPr>
                <w:bCs/>
                <w:i/>
                <w:iCs/>
                <w:sz w:val="28"/>
                <w:szCs w:val="28"/>
                <w:lang w:val="es-ES_tradnl"/>
              </w:rPr>
              <w:t>Se niegan a autorizar oportunamente servicios de salud que requiere un menor para su adecuado desarrollo y que no pueden ser costeados por sus responsables, aun cuando dichos servicios estén excluidos del POS y la vida o la integridad del menor no dependen de su prestación.</w:t>
            </w:r>
          </w:p>
          <w:p w:rsidR="0071175A" w:rsidRPr="00DA1726" w:rsidRDefault="0071175A" w:rsidP="00DA1726">
            <w:pPr>
              <w:jc w:val="both"/>
              <w:rPr>
                <w:b/>
                <w:bCs/>
                <w:sz w:val="28"/>
                <w:szCs w:val="28"/>
                <w:lang w:val="es-ES_tradnl"/>
              </w:rPr>
            </w:pPr>
          </w:p>
        </w:tc>
        <w:tc>
          <w:tcPr>
            <w:tcW w:w="4536"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sz w:val="28"/>
                <w:szCs w:val="28"/>
                <w:lang w:val="es-ES_tradnl"/>
              </w:rPr>
            </w:pPr>
            <w:r w:rsidRPr="00DA1726">
              <w:rPr>
                <w:sz w:val="28"/>
                <w:szCs w:val="28"/>
                <w:lang w:val="es-ES_tradnl"/>
              </w:rPr>
              <w:t>Para el análisis de este criterio se clasificaron en menores de 18 años y mayores de edad, los usuarios registrados en las bases de datos de autorizaciones, Comité Técnico Científico, alto costo y la base de datos de negación de CTC reportada bajo el requerimiento de la Resolución 1683 de 2015, con el fin de determinar la oportunidad en días en la autorización de procedimientos o en la negación de CTC para el grupo de menor</w:t>
            </w:r>
            <w:r w:rsidR="004A63C1" w:rsidRPr="00DA1726">
              <w:rPr>
                <w:sz w:val="28"/>
                <w:szCs w:val="28"/>
                <w:lang w:val="es-ES_tradnl"/>
              </w:rPr>
              <w:t>es de 18 años según sea el caso. E</w:t>
            </w:r>
            <w:r w:rsidRPr="00DA1726">
              <w:rPr>
                <w:sz w:val="28"/>
                <w:szCs w:val="28"/>
                <w:lang w:val="es-ES_tradnl"/>
              </w:rPr>
              <w:t>sta oportunidad se calculó con la diferencia en días entre la fecha de radicación y la fecha de autorización de orden médica, para el caso particular de la base de datos de negación de CTC, se calculó la diferencia entre la fecha de solicitud del CTC y la fecha de la negación del mismo.</w:t>
            </w: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bCs/>
                <w:sz w:val="28"/>
                <w:szCs w:val="28"/>
                <w:lang w:val="es-ES_tradnl"/>
              </w:rPr>
            </w:pPr>
            <w:r w:rsidRPr="00DA1726">
              <w:rPr>
                <w:b/>
                <w:bCs/>
                <w:sz w:val="28"/>
                <w:szCs w:val="28"/>
                <w:lang w:val="es-ES_tradnl"/>
              </w:rPr>
              <w:t xml:space="preserve">Criterio 9: </w:t>
            </w:r>
            <w:r w:rsidRPr="00DA1726">
              <w:rPr>
                <w:bCs/>
                <w:i/>
                <w:sz w:val="28"/>
                <w:szCs w:val="28"/>
                <w:lang w:val="es-ES_tradnl"/>
              </w:rPr>
              <w:t>S</w:t>
            </w:r>
            <w:r w:rsidRPr="00DA1726">
              <w:rPr>
                <w:bCs/>
                <w:sz w:val="28"/>
                <w:szCs w:val="28"/>
                <w:lang w:val="es-ES_tradnl"/>
              </w:rPr>
              <w:t xml:space="preserve">e </w:t>
            </w:r>
            <w:r w:rsidRPr="00DA1726">
              <w:rPr>
                <w:bCs/>
                <w:i/>
                <w:iCs/>
                <w:sz w:val="28"/>
                <w:szCs w:val="28"/>
                <w:lang w:val="es-ES_tradnl"/>
              </w:rPr>
              <w:t>niegan a autorizar oportunamente servicios de salud que se requieren con necesidad, supeditando su prestación al pago de una cuota moderadora.</w:t>
            </w:r>
          </w:p>
        </w:tc>
        <w:tc>
          <w:tcPr>
            <w:tcW w:w="4536" w:type="dxa"/>
            <w:tcBorders>
              <w:top w:val="single" w:sz="6" w:space="0" w:color="auto"/>
              <w:left w:val="single" w:sz="6" w:space="0" w:color="auto"/>
              <w:bottom w:val="single" w:sz="6" w:space="0" w:color="auto"/>
              <w:right w:val="single" w:sz="6" w:space="0" w:color="auto"/>
            </w:tcBorders>
          </w:tcPr>
          <w:p w:rsidR="005021B9" w:rsidRPr="00DA1726" w:rsidRDefault="0071175A" w:rsidP="00DA1726">
            <w:pPr>
              <w:jc w:val="both"/>
              <w:rPr>
                <w:sz w:val="28"/>
                <w:szCs w:val="28"/>
                <w:lang w:val="es-ES_tradnl"/>
              </w:rPr>
            </w:pPr>
            <w:r w:rsidRPr="00DA1726">
              <w:rPr>
                <w:sz w:val="28"/>
                <w:szCs w:val="28"/>
                <w:lang w:val="es-ES_tradnl"/>
              </w:rPr>
              <w:t xml:space="preserve">Con el fin de evaluar la negación de servicios por barreras como el pago de copagos o cuotas moderadoras, </w:t>
            </w:r>
            <w:r w:rsidR="003D7289" w:rsidRPr="00DA1726">
              <w:rPr>
                <w:sz w:val="28"/>
                <w:szCs w:val="28"/>
                <w:lang w:val="es-ES_tradnl"/>
              </w:rPr>
              <w:t>se examinó el archivo de quejas</w:t>
            </w:r>
            <w:r w:rsidRPr="00DA1726">
              <w:rPr>
                <w:sz w:val="28"/>
                <w:szCs w:val="28"/>
                <w:lang w:val="es-ES_tradnl"/>
              </w:rPr>
              <w:t xml:space="preserve"> identificando los motivos de queja relacionados con el cobro de cuota moderadora o copagos, y la prestación de servicios limitada al pago de estas. Adicionalmente</w:t>
            </w:r>
            <w:r w:rsidR="003D7289" w:rsidRPr="00DA1726">
              <w:rPr>
                <w:sz w:val="28"/>
                <w:szCs w:val="28"/>
                <w:lang w:val="es-ES_tradnl"/>
              </w:rPr>
              <w:t>, se realizó el análisis de</w:t>
            </w:r>
            <w:r w:rsidRPr="00DA1726">
              <w:rPr>
                <w:sz w:val="28"/>
                <w:szCs w:val="28"/>
                <w:lang w:val="es-ES_tradnl"/>
              </w:rPr>
              <w:t xml:space="preserve"> campo de</w:t>
            </w:r>
            <w:r w:rsidR="003D7289" w:rsidRPr="00DA1726">
              <w:rPr>
                <w:sz w:val="28"/>
                <w:szCs w:val="28"/>
                <w:lang w:val="es-ES_tradnl"/>
              </w:rPr>
              <w:t xml:space="preserve"> la</w:t>
            </w:r>
            <w:r w:rsidRPr="00DA1726">
              <w:rPr>
                <w:sz w:val="28"/>
                <w:szCs w:val="28"/>
                <w:lang w:val="es-ES_tradnl"/>
              </w:rPr>
              <w:t xml:space="preserve"> cuota moderadora o copago de la base de datos de gestantes, con el objetivo de evaluar cobros de copagos por los servicios que este conglomerado de usuarias requiere. </w:t>
            </w:r>
          </w:p>
          <w:p w:rsidR="0071175A" w:rsidRPr="00DA1726" w:rsidRDefault="005021B9" w:rsidP="00DA1726">
            <w:pPr>
              <w:jc w:val="both"/>
              <w:rPr>
                <w:sz w:val="28"/>
                <w:szCs w:val="28"/>
                <w:lang w:val="es-ES_tradnl"/>
              </w:rPr>
            </w:pPr>
            <w:r w:rsidRPr="00DA1726">
              <w:rPr>
                <w:sz w:val="28"/>
                <w:szCs w:val="28"/>
                <w:lang w:val="es-ES_tradnl"/>
              </w:rPr>
              <w:t>E</w:t>
            </w:r>
            <w:r w:rsidR="0071175A" w:rsidRPr="00DA1726">
              <w:rPr>
                <w:sz w:val="28"/>
                <w:szCs w:val="28"/>
                <w:lang w:val="es-ES_tradnl"/>
              </w:rPr>
              <w:t>sta verificación permite comprobar si las entidades están creando barreras de acceso a los servicios, basadas en el cobro de cuotas a quienes no pueden y no deben sufragarlos. Y en el caso de la población gestante, se pudo verificar la existencia o no de barreras económicas a una población que también cuenta con especial protección constitucional.</w:t>
            </w: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rStyle w:val="FontStyle84"/>
                <w:rFonts w:ascii="Times New Roman" w:hAnsi="Times New Roman" w:cs="Times New Roman"/>
                <w:b/>
                <w:bCs/>
                <w:sz w:val="28"/>
                <w:szCs w:val="28"/>
                <w:lang w:val="es-ES_tradnl"/>
              </w:rPr>
            </w:pPr>
            <w:r w:rsidRPr="00DA1726">
              <w:rPr>
                <w:rStyle w:val="FontStyle77"/>
                <w:rFonts w:ascii="Times New Roman" w:hAnsi="Times New Roman" w:cs="Times New Roman"/>
                <w:sz w:val="28"/>
                <w:szCs w:val="28"/>
                <w:lang w:val="es-ES_tradnl"/>
              </w:rPr>
              <w:t>Criterio 10:</w:t>
            </w:r>
            <w:r w:rsidRPr="00DA1726">
              <w:rPr>
                <w:rStyle w:val="FontStyle77"/>
                <w:rFonts w:ascii="Times New Roman" w:hAnsi="Times New Roman" w:cs="Times New Roman"/>
                <w:b w:val="0"/>
                <w:sz w:val="28"/>
                <w:szCs w:val="28"/>
                <w:lang w:val="es-ES_tradnl"/>
              </w:rPr>
              <w:t xml:space="preserve"> </w:t>
            </w:r>
            <w:r w:rsidRPr="00DA1726">
              <w:rPr>
                <w:rStyle w:val="FontStyle84"/>
                <w:rFonts w:ascii="Times New Roman" w:hAnsi="Times New Roman" w:cs="Times New Roman"/>
                <w:bCs/>
                <w:i/>
                <w:sz w:val="28"/>
                <w:szCs w:val="28"/>
                <w:lang w:val="es-ES_tradnl"/>
              </w:rPr>
              <w:t>Se niegan a autorizar incapacidades laborales derivadas del estado de salud de la persona con el argumento de que en el pasado no se cumplió con la obligación de cancelar los aportes de salud dentro del plazo establecido para ello.</w:t>
            </w:r>
          </w:p>
        </w:tc>
        <w:tc>
          <w:tcPr>
            <w:tcW w:w="4536"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rStyle w:val="FontStyle88"/>
                <w:rFonts w:ascii="Times New Roman" w:hAnsi="Times New Roman" w:cs="Times New Roman"/>
                <w:b w:val="0"/>
                <w:bCs w:val="0"/>
                <w:smallCaps w:val="0"/>
                <w:spacing w:val="0"/>
                <w:sz w:val="28"/>
                <w:szCs w:val="28"/>
                <w:lang w:val="es-ES_tradnl"/>
              </w:rPr>
            </w:pPr>
            <w:r w:rsidRPr="00DA1726">
              <w:rPr>
                <w:rStyle w:val="FontStyle88"/>
                <w:rFonts w:ascii="Times New Roman" w:hAnsi="Times New Roman" w:cs="Times New Roman"/>
                <w:b w:val="0"/>
                <w:bCs w:val="0"/>
                <w:smallCaps w:val="0"/>
                <w:spacing w:val="0"/>
                <w:sz w:val="28"/>
                <w:szCs w:val="28"/>
                <w:lang w:val="es-ES_tradnl"/>
              </w:rPr>
              <w:t xml:space="preserve">Para el análisis de las negaciones de incapacidades, se estudió la base de datos correspondiente al archivo de licencias, en la cual se encuentra el campo denominado </w:t>
            </w:r>
            <w:r w:rsidR="00E15D77" w:rsidRPr="00DA1726">
              <w:rPr>
                <w:rStyle w:val="FontStyle84"/>
                <w:rFonts w:ascii="Times New Roman" w:hAnsi="Times New Roman" w:cs="Times New Roman"/>
                <w:sz w:val="28"/>
                <w:szCs w:val="28"/>
                <w:lang w:val="es-ES_tradnl"/>
              </w:rPr>
              <w:t>“</w:t>
            </w:r>
            <w:r w:rsidRPr="00DA1726">
              <w:rPr>
                <w:rStyle w:val="FontStyle84"/>
                <w:rFonts w:ascii="Times New Roman" w:hAnsi="Times New Roman" w:cs="Times New Roman"/>
                <w:sz w:val="28"/>
                <w:szCs w:val="28"/>
                <w:lang w:val="es-ES_tradnl"/>
              </w:rPr>
              <w:t>motivo d</w:t>
            </w:r>
            <w:r w:rsidR="00E15D77" w:rsidRPr="00DA1726">
              <w:rPr>
                <w:rStyle w:val="FontStyle84"/>
                <w:rFonts w:ascii="Times New Roman" w:hAnsi="Times New Roman" w:cs="Times New Roman"/>
                <w:sz w:val="28"/>
                <w:szCs w:val="28"/>
                <w:lang w:val="es-ES_tradnl"/>
              </w:rPr>
              <w:t>e no autorización”</w:t>
            </w:r>
            <w:r w:rsidRPr="00DA1726">
              <w:rPr>
                <w:rStyle w:val="FontStyle84"/>
                <w:rFonts w:ascii="Times New Roman" w:hAnsi="Times New Roman" w:cs="Times New Roman"/>
                <w:sz w:val="28"/>
                <w:szCs w:val="28"/>
                <w:lang w:val="es-ES_tradnl"/>
              </w:rPr>
              <w:t xml:space="preserve">. </w:t>
            </w:r>
            <w:r w:rsidRPr="00DA1726">
              <w:rPr>
                <w:rStyle w:val="FontStyle88"/>
                <w:rFonts w:ascii="Times New Roman" w:hAnsi="Times New Roman" w:cs="Times New Roman"/>
                <w:b w:val="0"/>
                <w:bCs w:val="0"/>
                <w:smallCaps w:val="0"/>
                <w:spacing w:val="0"/>
                <w:sz w:val="28"/>
                <w:szCs w:val="28"/>
                <w:lang w:val="es-ES_tradnl"/>
              </w:rPr>
              <w:t>De este modo, se hizo un análisis de frecuencias en el que se identificaron las categorías reportadas en el campo de motivo de la no autorización, identificando así los casos relacionados al incumplimiento de las obligaciones de cancelar los aportes de salud dentro del plazo establecido para ello.</w:t>
            </w: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rStyle w:val="FontStyle77"/>
                <w:rFonts w:ascii="Times New Roman" w:hAnsi="Times New Roman" w:cs="Times New Roman"/>
                <w:b w:val="0"/>
                <w:sz w:val="28"/>
                <w:szCs w:val="28"/>
                <w:lang w:val="es-ES_tradnl"/>
              </w:rPr>
            </w:pPr>
            <w:r w:rsidRPr="00DA1726">
              <w:rPr>
                <w:rStyle w:val="FontStyle77"/>
                <w:rFonts w:ascii="Times New Roman" w:hAnsi="Times New Roman" w:cs="Times New Roman"/>
                <w:sz w:val="28"/>
                <w:szCs w:val="28"/>
                <w:lang w:val="es-ES_tradnl"/>
              </w:rPr>
              <w:t>Criterio 11:</w:t>
            </w:r>
            <w:r w:rsidRPr="00DA1726">
              <w:rPr>
                <w:rStyle w:val="FontStyle77"/>
                <w:rFonts w:ascii="Times New Roman" w:hAnsi="Times New Roman" w:cs="Times New Roman"/>
                <w:b w:val="0"/>
                <w:sz w:val="28"/>
                <w:szCs w:val="28"/>
                <w:lang w:val="es-ES_tradnl"/>
              </w:rPr>
              <w:t xml:space="preserve"> </w:t>
            </w:r>
            <w:r w:rsidRPr="00DA1726">
              <w:rPr>
                <w:rStyle w:val="FontStyle77"/>
                <w:rFonts w:ascii="Times New Roman" w:hAnsi="Times New Roman" w:cs="Times New Roman"/>
                <w:b w:val="0"/>
                <w:i/>
                <w:sz w:val="28"/>
                <w:szCs w:val="28"/>
                <w:lang w:val="es-ES_tradnl"/>
              </w:rPr>
              <w:t>Se niegan a afiliar personas, a pesar de que éstas ya hayan cumplido el tiempo para trasladarse, por el hecho de que dentro de su grupo familiar existe una persona (su hijo, un niño) que padece una enfermedad catastrófica.</w:t>
            </w:r>
          </w:p>
        </w:tc>
        <w:tc>
          <w:tcPr>
            <w:tcW w:w="4536"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rStyle w:val="FontStyle88"/>
                <w:rFonts w:ascii="Times New Roman" w:hAnsi="Times New Roman" w:cs="Times New Roman"/>
                <w:b w:val="0"/>
                <w:bCs w:val="0"/>
                <w:smallCaps w:val="0"/>
                <w:spacing w:val="0"/>
                <w:sz w:val="28"/>
                <w:szCs w:val="28"/>
                <w:lang w:val="es-ES_tradnl"/>
              </w:rPr>
            </w:pPr>
            <w:r w:rsidRPr="00DA1726">
              <w:rPr>
                <w:rStyle w:val="FontStyle88"/>
                <w:rFonts w:ascii="Times New Roman" w:hAnsi="Times New Roman" w:cs="Times New Roman"/>
                <w:b w:val="0"/>
                <w:bCs w:val="0"/>
                <w:smallCaps w:val="0"/>
                <w:spacing w:val="0"/>
                <w:sz w:val="28"/>
                <w:szCs w:val="28"/>
                <w:lang w:val="es-ES_tradnl"/>
              </w:rPr>
              <w:t>Para el análisis de este criterio se utilizó la base de datos de negación de afiliaciones y traslados, de la cual se evaluaron los motivos expuestos para la negación de afiliaciones, generando un análisis de frecuencias de lo reportado en este campo y así identificar los motivos de negación de afiliación relacionados con el hecho de tener un familiar que padezca una enfermedad catastrófica o de alto costo y sus respectivos porcentajes.</w:t>
            </w: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pStyle w:val="Style69"/>
              <w:widowControl/>
              <w:spacing w:line="240" w:lineRule="auto"/>
              <w:ind w:left="12" w:hanging="12"/>
              <w:rPr>
                <w:rStyle w:val="FontStyle84"/>
                <w:rFonts w:ascii="Times New Roman" w:hAnsi="Times New Roman" w:cs="Times New Roman"/>
                <w:sz w:val="28"/>
                <w:szCs w:val="28"/>
                <w:lang w:val="es-ES_tradnl" w:eastAsia="es-ES_tradnl"/>
              </w:rPr>
            </w:pPr>
            <w:r w:rsidRPr="00DA1726">
              <w:rPr>
                <w:rStyle w:val="FontStyle77"/>
                <w:rFonts w:ascii="Times New Roman" w:hAnsi="Times New Roman" w:cs="Times New Roman"/>
                <w:sz w:val="28"/>
                <w:szCs w:val="28"/>
                <w:lang w:val="es-ES_tradnl" w:eastAsia="es-ES_tradnl"/>
              </w:rPr>
              <w:t xml:space="preserve">Criterio 12: </w:t>
            </w:r>
            <w:r w:rsidRPr="00DA1726">
              <w:rPr>
                <w:rStyle w:val="FontStyle84"/>
                <w:rFonts w:ascii="Times New Roman" w:hAnsi="Times New Roman" w:cs="Times New Roman"/>
                <w:i/>
                <w:sz w:val="28"/>
                <w:szCs w:val="28"/>
                <w:lang w:val="es-ES_tradnl" w:eastAsia="es-ES_tradnl"/>
              </w:rPr>
              <w:t>Interrumpen el suministro de servicios de salud, porque ya transcurrió un mes luego del momento en que la persona dejó de cotizar, en razón a que ahora es desempleado, antes de que éste haya sido en efecto asumido por otro prestador.</w:t>
            </w:r>
          </w:p>
        </w:tc>
        <w:tc>
          <w:tcPr>
            <w:tcW w:w="4536"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sz w:val="28"/>
                <w:szCs w:val="28"/>
              </w:rPr>
            </w:pPr>
            <w:r w:rsidRPr="00DA1726">
              <w:rPr>
                <w:sz w:val="28"/>
                <w:szCs w:val="28"/>
              </w:rPr>
              <w:t xml:space="preserve">Para el análisis de este criterio, se utilizó la base de datos de quejas, </w:t>
            </w:r>
            <w:r w:rsidR="00E15D77" w:rsidRPr="00DA1726">
              <w:rPr>
                <w:sz w:val="28"/>
                <w:szCs w:val="28"/>
              </w:rPr>
              <w:t>relacionadas con la</w:t>
            </w:r>
            <w:r w:rsidRPr="00DA1726">
              <w:rPr>
                <w:sz w:val="28"/>
                <w:szCs w:val="28"/>
              </w:rPr>
              <w:t xml:space="preserve"> interrupción del suministro de salud por haber transcurrido un mes luego de que la persona dejo de cotizar.</w:t>
            </w: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pStyle w:val="Style69"/>
              <w:widowControl/>
              <w:spacing w:line="240" w:lineRule="auto"/>
              <w:ind w:left="2" w:hanging="2"/>
              <w:rPr>
                <w:rStyle w:val="FontStyle84"/>
                <w:rFonts w:ascii="Times New Roman" w:hAnsi="Times New Roman" w:cs="Times New Roman"/>
                <w:sz w:val="28"/>
                <w:szCs w:val="28"/>
                <w:lang w:val="es-ES_tradnl" w:eastAsia="es-ES_tradnl"/>
              </w:rPr>
            </w:pPr>
            <w:r w:rsidRPr="00DA1726">
              <w:rPr>
                <w:rStyle w:val="FontStyle77"/>
                <w:rFonts w:ascii="Times New Roman" w:hAnsi="Times New Roman" w:cs="Times New Roman"/>
                <w:sz w:val="28"/>
                <w:szCs w:val="28"/>
                <w:lang w:val="es-ES_tradnl" w:eastAsia="es-ES_tradnl"/>
              </w:rPr>
              <w:t xml:space="preserve">Criterio 13: </w:t>
            </w:r>
            <w:r w:rsidRPr="00DA1726">
              <w:rPr>
                <w:rStyle w:val="FontStyle84"/>
                <w:rFonts w:ascii="Times New Roman" w:hAnsi="Times New Roman" w:cs="Times New Roman"/>
                <w:i/>
                <w:sz w:val="28"/>
                <w:szCs w:val="28"/>
                <w:lang w:val="es-ES_tradnl" w:eastAsia="es-ES_tradnl"/>
              </w:rPr>
              <w:t>Cobran copagos a personas que padecen una enfermedad catastrófica o de alto costo.</w:t>
            </w:r>
          </w:p>
        </w:tc>
        <w:tc>
          <w:tcPr>
            <w:tcW w:w="4536"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sz w:val="28"/>
                <w:szCs w:val="28"/>
              </w:rPr>
            </w:pPr>
            <w:r w:rsidRPr="00DA1726">
              <w:rPr>
                <w:sz w:val="28"/>
                <w:szCs w:val="28"/>
              </w:rPr>
              <w:t xml:space="preserve">Para el análisis de este criterio se tomó el archivo de alto costo. El examen de este criterio estuvo basado en identificar los copagos o cuotas moderadoras cobradas a pacientes con diagnósticos de enfermedades de alto costo. </w:t>
            </w:r>
            <w:r w:rsidR="00020BE7" w:rsidRPr="00DA1726">
              <w:rPr>
                <w:sz w:val="28"/>
                <w:szCs w:val="28"/>
              </w:rPr>
              <w:t>Así</w:t>
            </w:r>
            <w:r w:rsidRPr="00DA1726">
              <w:rPr>
                <w:sz w:val="28"/>
                <w:szCs w:val="28"/>
              </w:rPr>
              <w:t xml:space="preserve"> se logró identificar aquellos casos en los cuales se efectuaron cobros por parte de pacientes que cuentan con</w:t>
            </w:r>
            <w:r w:rsidR="00020BE7" w:rsidRPr="00DA1726">
              <w:rPr>
                <w:sz w:val="28"/>
                <w:szCs w:val="28"/>
              </w:rPr>
              <w:t xml:space="preserve"> especial protección del Estado. </w:t>
            </w:r>
            <w:r w:rsidR="00A122C1" w:rsidRPr="00DA1726">
              <w:rPr>
                <w:sz w:val="28"/>
                <w:szCs w:val="28"/>
              </w:rPr>
              <w:t xml:space="preserve"> </w:t>
            </w:r>
            <w:r w:rsidR="00020BE7" w:rsidRPr="00DA1726">
              <w:rPr>
                <w:sz w:val="28"/>
                <w:szCs w:val="28"/>
              </w:rPr>
              <w:t>P</w:t>
            </w:r>
            <w:r w:rsidR="00A122C1" w:rsidRPr="00DA1726">
              <w:rPr>
                <w:sz w:val="28"/>
                <w:szCs w:val="28"/>
              </w:rPr>
              <w:t xml:space="preserve">ara ello </w:t>
            </w:r>
            <w:r w:rsidRPr="00DA1726">
              <w:rPr>
                <w:sz w:val="28"/>
                <w:szCs w:val="28"/>
              </w:rPr>
              <w:t>se tomaron como procedimientos trazadores la quimioterapia, la hemodiálisis y la diálisis.</w:t>
            </w:r>
          </w:p>
        </w:tc>
      </w:tr>
      <w:tr w:rsidR="0071175A" w:rsidRPr="00DA1726" w:rsidTr="0071175A">
        <w:tc>
          <w:tcPr>
            <w:tcW w:w="4205"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pStyle w:val="Style69"/>
              <w:widowControl/>
              <w:spacing w:line="240" w:lineRule="auto"/>
              <w:ind w:firstLine="10"/>
              <w:rPr>
                <w:rStyle w:val="FontStyle84"/>
                <w:rFonts w:ascii="Times New Roman" w:hAnsi="Times New Roman" w:cs="Times New Roman"/>
                <w:sz w:val="28"/>
                <w:szCs w:val="28"/>
                <w:lang w:val="es-ES_tradnl" w:eastAsia="es-ES_tradnl"/>
              </w:rPr>
            </w:pPr>
            <w:r w:rsidRPr="00DA1726">
              <w:rPr>
                <w:rStyle w:val="FontStyle77"/>
                <w:rFonts w:ascii="Times New Roman" w:hAnsi="Times New Roman" w:cs="Times New Roman"/>
                <w:sz w:val="28"/>
                <w:szCs w:val="28"/>
                <w:lang w:val="es-ES_tradnl" w:eastAsia="es-ES_tradnl"/>
              </w:rPr>
              <w:t xml:space="preserve">Criterio 14: </w:t>
            </w:r>
            <w:r w:rsidRPr="00DA1726">
              <w:rPr>
                <w:rStyle w:val="FontStyle84"/>
                <w:rFonts w:ascii="Times New Roman" w:hAnsi="Times New Roman" w:cs="Times New Roman"/>
                <w:i/>
                <w:sz w:val="28"/>
                <w:szCs w:val="28"/>
                <w:lang w:val="es-ES_tradnl" w:eastAsia="es-ES_tradnl"/>
              </w:rPr>
              <w:t>Se niegan a autorizar servicios de salud que ya han sido ordenados por fallo de tutela.</w:t>
            </w:r>
          </w:p>
        </w:tc>
        <w:tc>
          <w:tcPr>
            <w:tcW w:w="4536" w:type="dxa"/>
            <w:tcBorders>
              <w:top w:val="single" w:sz="6" w:space="0" w:color="auto"/>
              <w:left w:val="single" w:sz="6" w:space="0" w:color="auto"/>
              <w:bottom w:val="single" w:sz="6" w:space="0" w:color="auto"/>
              <w:right w:val="single" w:sz="6" w:space="0" w:color="auto"/>
            </w:tcBorders>
          </w:tcPr>
          <w:p w:rsidR="0071175A" w:rsidRPr="00DA1726" w:rsidRDefault="0071175A" w:rsidP="00DA1726">
            <w:pPr>
              <w:jc w:val="both"/>
              <w:rPr>
                <w:sz w:val="28"/>
                <w:szCs w:val="28"/>
              </w:rPr>
            </w:pPr>
            <w:r w:rsidRPr="00DA1726">
              <w:rPr>
                <w:sz w:val="28"/>
                <w:szCs w:val="28"/>
              </w:rPr>
              <w:t xml:space="preserve">Con el fin de analizar este criterio se utilizó la base de datos de tutelas, en la </w:t>
            </w:r>
            <w:r w:rsidR="00020BE7" w:rsidRPr="00DA1726">
              <w:rPr>
                <w:sz w:val="28"/>
                <w:szCs w:val="28"/>
              </w:rPr>
              <w:t>cual se filtraron los casos con</w:t>
            </w:r>
            <w:r w:rsidRPr="00DA1726">
              <w:rPr>
                <w:sz w:val="28"/>
                <w:szCs w:val="28"/>
              </w:rPr>
              <w:t xml:space="preserve"> fallo y han sido asumidos por la entidad</w:t>
            </w:r>
            <w:r w:rsidR="00020BE7" w:rsidRPr="00DA1726">
              <w:rPr>
                <w:sz w:val="28"/>
                <w:szCs w:val="28"/>
              </w:rPr>
              <w:t>. S</w:t>
            </w:r>
            <w:r w:rsidRPr="00DA1726">
              <w:rPr>
                <w:sz w:val="28"/>
                <w:szCs w:val="28"/>
              </w:rPr>
              <w:t>e verificó la oportunidad de la autorización</w:t>
            </w:r>
            <w:r w:rsidR="00020BE7" w:rsidRPr="00DA1726">
              <w:rPr>
                <w:sz w:val="28"/>
                <w:szCs w:val="28"/>
              </w:rPr>
              <w:t xml:space="preserve"> del servicio, comprendida esta</w:t>
            </w:r>
            <w:r w:rsidRPr="00DA1726">
              <w:rPr>
                <w:sz w:val="28"/>
                <w:szCs w:val="28"/>
              </w:rPr>
              <w:t xml:space="preserve"> como la diferencia entre la fecha de autorización del servicio posterior al fallo de tutela y la fecha de notificación del fallo de tutela. Con lo que se puede verificar si una vez determinado el fallo de tutela a favor del usuario, la entidad autorizó o no el servicio de manera oportuna.</w:t>
            </w:r>
          </w:p>
        </w:tc>
      </w:tr>
    </w:tbl>
    <w:p w:rsidR="0071175A" w:rsidRPr="00DA1726" w:rsidRDefault="0071175A" w:rsidP="00DA1726">
      <w:pPr>
        <w:jc w:val="both"/>
        <w:rPr>
          <w:b/>
          <w:bCs/>
          <w:i/>
          <w:iCs/>
          <w:sz w:val="28"/>
          <w:szCs w:val="28"/>
          <w:lang w:val="es-ES_tradnl"/>
        </w:rPr>
      </w:pPr>
    </w:p>
    <w:p w:rsidR="00CC24DF" w:rsidRPr="00DA1726" w:rsidRDefault="004E1FF6" w:rsidP="00DA1726">
      <w:pPr>
        <w:jc w:val="both"/>
        <w:rPr>
          <w:sz w:val="28"/>
          <w:szCs w:val="28"/>
          <w:lang w:val="es-ES_tradnl"/>
        </w:rPr>
      </w:pPr>
      <w:r w:rsidRPr="00DA1726">
        <w:rPr>
          <w:sz w:val="28"/>
          <w:szCs w:val="28"/>
          <w:lang w:val="es-ES_tradnl"/>
        </w:rPr>
        <w:t>El cálculo de este indicador se hizo con</w:t>
      </w:r>
      <w:r w:rsidR="00A122C1" w:rsidRPr="00DA1726">
        <w:rPr>
          <w:sz w:val="28"/>
          <w:szCs w:val="28"/>
          <w:lang w:val="es-ES_tradnl"/>
        </w:rPr>
        <w:t xml:space="preserve"> d</w:t>
      </w:r>
      <w:r w:rsidR="00CC24DF" w:rsidRPr="00DA1726">
        <w:rPr>
          <w:sz w:val="28"/>
          <w:szCs w:val="28"/>
          <w:lang w:val="es-ES_tradnl"/>
        </w:rPr>
        <w:t>iez de los catorce criterios</w:t>
      </w:r>
      <w:r w:rsidRPr="00DA1726">
        <w:rPr>
          <w:sz w:val="28"/>
          <w:szCs w:val="28"/>
          <w:lang w:val="es-ES_tradnl"/>
        </w:rPr>
        <w:t xml:space="preserve"> descritos</w:t>
      </w:r>
      <w:r w:rsidR="00CC24DF" w:rsidRPr="00DA1726">
        <w:rPr>
          <w:sz w:val="28"/>
          <w:szCs w:val="28"/>
          <w:lang w:val="es-ES_tradnl"/>
        </w:rPr>
        <w:t xml:space="preserve">, debido a que los correspondientes a los numerales </w:t>
      </w:r>
      <w:r w:rsidR="00A122C1" w:rsidRPr="00DA1726">
        <w:rPr>
          <w:sz w:val="28"/>
          <w:szCs w:val="28"/>
          <w:lang w:val="es-ES_tradnl"/>
        </w:rPr>
        <w:t>5, 10, 11 y 12</w:t>
      </w:r>
      <w:r w:rsidR="00CC24DF" w:rsidRPr="00DA1726">
        <w:rPr>
          <w:sz w:val="28"/>
          <w:szCs w:val="28"/>
          <w:lang w:val="es-ES_tradnl"/>
        </w:rPr>
        <w:t xml:space="preserve"> no fueron incluidos, como pasa a explicarse</w:t>
      </w:r>
      <w:r w:rsidR="00A122C1" w:rsidRPr="00DA1726">
        <w:rPr>
          <w:sz w:val="28"/>
          <w:szCs w:val="28"/>
          <w:lang w:val="es-ES_tradnl"/>
        </w:rPr>
        <w:t xml:space="preserve">. </w:t>
      </w:r>
    </w:p>
    <w:p w:rsidR="004E1FF6" w:rsidRPr="00DA1726" w:rsidRDefault="004E1FF6" w:rsidP="00DA1726">
      <w:pPr>
        <w:jc w:val="both"/>
        <w:rPr>
          <w:sz w:val="28"/>
          <w:szCs w:val="28"/>
          <w:lang w:val="es-ES_tradnl"/>
        </w:rPr>
      </w:pPr>
    </w:p>
    <w:p w:rsidR="00716727" w:rsidRPr="00DA1726" w:rsidRDefault="00A122C1" w:rsidP="00DA1726">
      <w:pPr>
        <w:pStyle w:val="Prrafodelista"/>
        <w:numPr>
          <w:ilvl w:val="0"/>
          <w:numId w:val="44"/>
        </w:numPr>
        <w:jc w:val="both"/>
        <w:rPr>
          <w:sz w:val="28"/>
          <w:szCs w:val="28"/>
          <w:lang w:val="es-ES_tradnl"/>
        </w:rPr>
      </w:pPr>
      <w:r w:rsidRPr="00DA1726">
        <w:rPr>
          <w:sz w:val="28"/>
          <w:szCs w:val="28"/>
          <w:lang w:val="es-ES_tradnl"/>
        </w:rPr>
        <w:t>El criterio 5</w:t>
      </w:r>
      <w:r w:rsidR="00994370" w:rsidRPr="00DA1726">
        <w:rPr>
          <w:sz w:val="28"/>
          <w:szCs w:val="28"/>
          <w:vertAlign w:val="superscript"/>
          <w:lang w:val="es-ES_tradnl"/>
        </w:rPr>
        <w:footnoteReference w:id="132"/>
      </w:r>
      <w:r w:rsidRPr="00DA1726">
        <w:rPr>
          <w:sz w:val="28"/>
          <w:szCs w:val="28"/>
          <w:lang w:val="es-ES_tradnl"/>
        </w:rPr>
        <w:t xml:space="preserve"> no fue incluido debido a que el 50% de las </w:t>
      </w:r>
      <w:r w:rsidR="00EA4FAC" w:rsidRPr="00DA1726">
        <w:rPr>
          <w:sz w:val="28"/>
          <w:szCs w:val="28"/>
          <w:lang w:val="es-ES_tradnl"/>
        </w:rPr>
        <w:t>EPS</w:t>
      </w:r>
      <w:r w:rsidR="00994370" w:rsidRPr="00DA1726">
        <w:rPr>
          <w:sz w:val="28"/>
          <w:szCs w:val="28"/>
          <w:lang w:val="es-ES_tradnl"/>
        </w:rPr>
        <w:t xml:space="preserve"> certificaron </w:t>
      </w:r>
      <w:r w:rsidRPr="00DA1726">
        <w:rPr>
          <w:sz w:val="28"/>
          <w:szCs w:val="28"/>
          <w:lang w:val="es-ES_tradnl"/>
        </w:rPr>
        <w:t xml:space="preserve">que las trascripciones por Segundo Concepto no hacen parte de sus procedimientos, o que no se contaba con información suficiente del Sistema de Salud para poder sacar conclusiones </w:t>
      </w:r>
      <w:r w:rsidR="004C3BA4" w:rsidRPr="00DA1726">
        <w:rPr>
          <w:sz w:val="28"/>
          <w:szCs w:val="28"/>
          <w:lang w:val="es-ES_tradnl"/>
        </w:rPr>
        <w:t>al respecto</w:t>
      </w:r>
      <w:r w:rsidRPr="00DA1726">
        <w:rPr>
          <w:sz w:val="28"/>
          <w:szCs w:val="28"/>
          <w:lang w:val="es-ES_tradnl"/>
        </w:rPr>
        <w:t xml:space="preserve">. </w:t>
      </w:r>
    </w:p>
    <w:p w:rsidR="00716727" w:rsidRPr="00DA1726" w:rsidRDefault="00A122C1" w:rsidP="00DA1726">
      <w:pPr>
        <w:pStyle w:val="Prrafodelista"/>
        <w:numPr>
          <w:ilvl w:val="0"/>
          <w:numId w:val="44"/>
        </w:numPr>
        <w:jc w:val="both"/>
        <w:rPr>
          <w:sz w:val="28"/>
          <w:szCs w:val="28"/>
          <w:lang w:val="es-ES_tradnl"/>
        </w:rPr>
      </w:pPr>
      <w:r w:rsidRPr="00DA1726">
        <w:rPr>
          <w:sz w:val="28"/>
          <w:szCs w:val="28"/>
          <w:lang w:val="es-ES_tradnl"/>
        </w:rPr>
        <w:t>Para el criterio 10</w:t>
      </w:r>
      <w:r w:rsidR="00994370" w:rsidRPr="00DA1726">
        <w:rPr>
          <w:sz w:val="28"/>
          <w:szCs w:val="28"/>
          <w:vertAlign w:val="superscript"/>
          <w:lang w:val="es-ES_tradnl"/>
        </w:rPr>
        <w:footnoteReference w:id="133"/>
      </w:r>
      <w:r w:rsidRPr="00DA1726">
        <w:rPr>
          <w:sz w:val="28"/>
          <w:szCs w:val="28"/>
          <w:lang w:val="es-ES_tradnl"/>
        </w:rPr>
        <w:t xml:space="preserve"> el 25% de </w:t>
      </w:r>
      <w:r w:rsidR="00EA4FAC" w:rsidRPr="00DA1726">
        <w:rPr>
          <w:sz w:val="28"/>
          <w:szCs w:val="28"/>
          <w:lang w:val="es-ES_tradnl"/>
        </w:rPr>
        <w:t>EPS</w:t>
      </w:r>
      <w:r w:rsidRPr="00DA1726">
        <w:rPr>
          <w:sz w:val="28"/>
          <w:szCs w:val="28"/>
          <w:lang w:val="es-ES_tradnl"/>
        </w:rPr>
        <w:t>, de acuerdo al régimen en salud en el cual operan, no les es</w:t>
      </w:r>
      <w:r w:rsidR="008422AE" w:rsidRPr="00DA1726">
        <w:rPr>
          <w:sz w:val="28"/>
          <w:szCs w:val="28"/>
          <w:lang w:val="es-ES_tradnl"/>
        </w:rPr>
        <w:t xml:space="preserve"> aplicable la base de datos de </w:t>
      </w:r>
      <w:r w:rsidR="008422AE" w:rsidRPr="00DA1726">
        <w:rPr>
          <w:i/>
          <w:sz w:val="28"/>
          <w:szCs w:val="28"/>
          <w:lang w:val="es-ES_tradnl"/>
        </w:rPr>
        <w:t>i</w:t>
      </w:r>
      <w:r w:rsidRPr="00DA1726">
        <w:rPr>
          <w:i/>
          <w:sz w:val="28"/>
          <w:szCs w:val="28"/>
          <w:lang w:val="es-ES_tradnl"/>
        </w:rPr>
        <w:t>ncapacidades</w:t>
      </w:r>
      <w:r w:rsidRPr="00DA1726">
        <w:rPr>
          <w:sz w:val="28"/>
          <w:szCs w:val="28"/>
          <w:lang w:val="es-ES_tradnl"/>
        </w:rPr>
        <w:t xml:space="preserve">. </w:t>
      </w:r>
    </w:p>
    <w:p w:rsidR="00716727" w:rsidRPr="00DA1726" w:rsidRDefault="00A122C1" w:rsidP="00DA1726">
      <w:pPr>
        <w:pStyle w:val="Prrafodelista"/>
        <w:numPr>
          <w:ilvl w:val="0"/>
          <w:numId w:val="44"/>
        </w:numPr>
        <w:jc w:val="both"/>
        <w:rPr>
          <w:sz w:val="28"/>
          <w:szCs w:val="28"/>
          <w:lang w:val="es-ES_tradnl"/>
        </w:rPr>
      </w:pPr>
      <w:r w:rsidRPr="00DA1726">
        <w:rPr>
          <w:sz w:val="28"/>
          <w:szCs w:val="28"/>
          <w:lang w:val="es-ES_tradnl"/>
        </w:rPr>
        <w:t>Por otra parte, el criterio 11</w:t>
      </w:r>
      <w:r w:rsidR="00994370" w:rsidRPr="00DA1726">
        <w:rPr>
          <w:sz w:val="28"/>
          <w:szCs w:val="28"/>
          <w:vertAlign w:val="superscript"/>
          <w:lang w:val="es-ES_tradnl"/>
        </w:rPr>
        <w:footnoteReference w:id="134"/>
      </w:r>
      <w:r w:rsidRPr="00DA1726">
        <w:rPr>
          <w:sz w:val="28"/>
          <w:szCs w:val="28"/>
          <w:lang w:val="es-ES_tradnl"/>
        </w:rPr>
        <w:t xml:space="preserve"> </w:t>
      </w:r>
      <w:r w:rsidR="0096485F" w:rsidRPr="00DA1726">
        <w:rPr>
          <w:sz w:val="28"/>
          <w:szCs w:val="28"/>
          <w:lang w:val="es-ES_tradnl"/>
        </w:rPr>
        <w:t>no se incluyó</w:t>
      </w:r>
      <w:r w:rsidRPr="00DA1726">
        <w:rPr>
          <w:sz w:val="28"/>
          <w:szCs w:val="28"/>
          <w:lang w:val="es-ES_tradnl"/>
        </w:rPr>
        <w:t xml:space="preserve"> considerando que la identificación de los registros muestra que ningún caso está relacionado con la negación de afiliación de personas por el hecho de que dentro de su grupo familiar exist</w:t>
      </w:r>
      <w:r w:rsidR="00A873A0" w:rsidRPr="00DA1726">
        <w:rPr>
          <w:sz w:val="28"/>
          <w:szCs w:val="28"/>
          <w:lang w:val="es-ES_tradnl"/>
        </w:rPr>
        <w:t>a</w:t>
      </w:r>
      <w:r w:rsidRPr="00DA1726">
        <w:rPr>
          <w:sz w:val="28"/>
          <w:szCs w:val="28"/>
          <w:lang w:val="es-ES_tradnl"/>
        </w:rPr>
        <w:t xml:space="preserve"> una persona que padezca una enfermedad catastrófica. </w:t>
      </w:r>
    </w:p>
    <w:p w:rsidR="00A122C1" w:rsidRPr="00DA1726" w:rsidRDefault="00A122C1" w:rsidP="00DA1726">
      <w:pPr>
        <w:pStyle w:val="Prrafodelista"/>
        <w:numPr>
          <w:ilvl w:val="0"/>
          <w:numId w:val="44"/>
        </w:numPr>
        <w:jc w:val="both"/>
        <w:rPr>
          <w:sz w:val="28"/>
          <w:szCs w:val="28"/>
          <w:lang w:val="es-ES_tradnl"/>
        </w:rPr>
      </w:pPr>
      <w:r w:rsidRPr="00DA1726">
        <w:rPr>
          <w:sz w:val="28"/>
          <w:szCs w:val="28"/>
          <w:lang w:val="es-ES_tradnl"/>
        </w:rPr>
        <w:t>El criterio 12</w:t>
      </w:r>
      <w:r w:rsidR="00C531C0" w:rsidRPr="00DA1726">
        <w:rPr>
          <w:sz w:val="28"/>
          <w:szCs w:val="28"/>
          <w:vertAlign w:val="superscript"/>
          <w:lang w:val="es-ES_tradnl"/>
        </w:rPr>
        <w:footnoteReference w:id="135"/>
      </w:r>
      <w:r w:rsidRPr="00DA1726">
        <w:rPr>
          <w:sz w:val="28"/>
          <w:szCs w:val="28"/>
          <w:lang w:val="es-ES_tradnl"/>
        </w:rPr>
        <w:t xml:space="preserve"> no se incluye dado que no aporta a la construcción del indicador.</w:t>
      </w:r>
    </w:p>
    <w:p w:rsidR="004C3BA4" w:rsidRPr="00DA1726" w:rsidRDefault="004C3BA4" w:rsidP="00DA1726">
      <w:pPr>
        <w:jc w:val="both"/>
        <w:rPr>
          <w:sz w:val="28"/>
          <w:szCs w:val="28"/>
          <w:lang w:val="es-ES_tradnl"/>
        </w:rPr>
      </w:pPr>
    </w:p>
    <w:p w:rsidR="00A122C1" w:rsidRPr="00DA1726" w:rsidRDefault="004E1FF6" w:rsidP="00DA1726">
      <w:pPr>
        <w:jc w:val="both"/>
        <w:rPr>
          <w:sz w:val="28"/>
          <w:szCs w:val="28"/>
        </w:rPr>
      </w:pPr>
      <w:r w:rsidRPr="00DA1726">
        <w:rPr>
          <w:sz w:val="28"/>
          <w:szCs w:val="28"/>
          <w:lang w:val="es-ES_tradnl"/>
        </w:rPr>
        <w:t>Entonces, p</w:t>
      </w:r>
      <w:r w:rsidR="00D23B41" w:rsidRPr="00DA1726">
        <w:rPr>
          <w:sz w:val="28"/>
          <w:szCs w:val="28"/>
          <w:lang w:val="es-ES_tradnl"/>
        </w:rPr>
        <w:t>ara obtener este indicador se procedió a sumar los</w:t>
      </w:r>
      <w:r w:rsidR="00A122C1" w:rsidRPr="00DA1726">
        <w:rPr>
          <w:sz w:val="28"/>
          <w:szCs w:val="28"/>
          <w:lang w:val="es-ES_tradnl"/>
        </w:rPr>
        <w:t xml:space="preserve"> resultados de cada criterio mencionado y</w:t>
      </w:r>
      <w:r w:rsidR="00D23B41" w:rsidRPr="00DA1726">
        <w:rPr>
          <w:sz w:val="28"/>
          <w:szCs w:val="28"/>
          <w:lang w:val="es-ES_tradnl"/>
        </w:rPr>
        <w:t xml:space="preserve"> establecer un estándar </w:t>
      </w:r>
      <w:r w:rsidR="00A122C1" w:rsidRPr="00DA1726">
        <w:rPr>
          <w:sz w:val="28"/>
          <w:szCs w:val="28"/>
          <w:lang w:val="es-ES_tradnl"/>
        </w:rPr>
        <w:t>entre 1 y 5, para poder agregarse con los otros indicadores que componen el indicador integral.</w:t>
      </w:r>
    </w:p>
    <w:p w:rsidR="00A122C1" w:rsidRPr="00DA1726" w:rsidRDefault="00A122C1" w:rsidP="00DA1726">
      <w:pPr>
        <w:jc w:val="both"/>
        <w:rPr>
          <w:b/>
          <w:bCs/>
          <w:i/>
          <w:iCs/>
          <w:sz w:val="28"/>
          <w:szCs w:val="28"/>
          <w:lang w:val="es-ES_tradnl"/>
        </w:rPr>
      </w:pPr>
    </w:p>
    <w:p w:rsidR="00F23FD2" w:rsidRPr="00DA1726" w:rsidRDefault="0033131F" w:rsidP="00DA1726">
      <w:pPr>
        <w:pStyle w:val="Prrafodelista"/>
        <w:numPr>
          <w:ilvl w:val="0"/>
          <w:numId w:val="39"/>
        </w:numPr>
        <w:jc w:val="both"/>
        <w:rPr>
          <w:b/>
          <w:bCs/>
          <w:i/>
          <w:iCs/>
          <w:sz w:val="28"/>
          <w:szCs w:val="28"/>
          <w:lang w:val="es-ES_tradnl"/>
        </w:rPr>
      </w:pPr>
      <w:r w:rsidRPr="00DA1726">
        <w:rPr>
          <w:b/>
          <w:bCs/>
          <w:i/>
          <w:iCs/>
          <w:sz w:val="28"/>
          <w:szCs w:val="28"/>
          <w:lang w:val="es-ES_tradnl"/>
        </w:rPr>
        <w:t>Indicador de calidad</w:t>
      </w:r>
      <w:r w:rsidR="006B77A9" w:rsidRPr="00DA1726">
        <w:rPr>
          <w:b/>
          <w:bCs/>
          <w:i/>
          <w:iCs/>
          <w:sz w:val="28"/>
          <w:szCs w:val="28"/>
          <w:lang w:val="es-ES_tradnl"/>
        </w:rPr>
        <w:t>.</w:t>
      </w:r>
      <w:r w:rsidRPr="00DA1726">
        <w:rPr>
          <w:b/>
          <w:bCs/>
          <w:i/>
          <w:iCs/>
          <w:sz w:val="28"/>
          <w:szCs w:val="28"/>
          <w:lang w:val="es-ES_tradnl"/>
        </w:rPr>
        <w:t xml:space="preserve"> </w:t>
      </w:r>
    </w:p>
    <w:p w:rsidR="00F23FD2" w:rsidRPr="00DA1726" w:rsidRDefault="00F23FD2" w:rsidP="00DA1726">
      <w:pPr>
        <w:jc w:val="both"/>
        <w:rPr>
          <w:b/>
          <w:bCs/>
          <w:i/>
          <w:iCs/>
          <w:sz w:val="28"/>
          <w:szCs w:val="28"/>
          <w:lang w:val="es-ES_tradnl"/>
        </w:rPr>
      </w:pPr>
    </w:p>
    <w:p w:rsidR="00CD6928" w:rsidRPr="00DA1726" w:rsidRDefault="00CD6928" w:rsidP="00DA1726">
      <w:pPr>
        <w:jc w:val="both"/>
        <w:rPr>
          <w:sz w:val="28"/>
          <w:szCs w:val="28"/>
          <w:lang w:val="es-ES_tradnl"/>
        </w:rPr>
      </w:pPr>
      <w:r w:rsidRPr="00DA1726">
        <w:rPr>
          <w:sz w:val="28"/>
          <w:szCs w:val="28"/>
          <w:lang w:val="es-ES_tradnl"/>
        </w:rPr>
        <w:t>El indicador de desempeño de calidad de las EPS permite la comparación de las entidades en términos de sus resultados en el servicio de salud, a través de 19 indicadores trazadores definidos en la Resolución 1446 de 2006</w:t>
      </w:r>
      <w:r w:rsidRPr="00DA1726">
        <w:rPr>
          <w:sz w:val="28"/>
          <w:szCs w:val="28"/>
          <w:vertAlign w:val="superscript"/>
          <w:lang w:val="es-ES_tradnl"/>
        </w:rPr>
        <w:footnoteReference w:id="136"/>
      </w:r>
      <w:r w:rsidRPr="00DA1726">
        <w:rPr>
          <w:sz w:val="28"/>
          <w:szCs w:val="28"/>
          <w:lang w:val="es-ES_tradnl"/>
        </w:rPr>
        <w:t xml:space="preserve">, que se encuentran enmarcados en cuatro dominios: </w:t>
      </w:r>
    </w:p>
    <w:p w:rsidR="00CD6928" w:rsidRPr="00DA1726" w:rsidRDefault="00CD6928" w:rsidP="00DA1726">
      <w:pPr>
        <w:jc w:val="both"/>
        <w:rPr>
          <w:sz w:val="28"/>
          <w:szCs w:val="28"/>
        </w:rPr>
      </w:pPr>
    </w:p>
    <w:p w:rsidR="00CD6928" w:rsidRPr="00DA1726" w:rsidRDefault="00CD6928" w:rsidP="00DA1726">
      <w:pPr>
        <w:jc w:val="both"/>
        <w:rPr>
          <w:sz w:val="28"/>
          <w:szCs w:val="28"/>
        </w:rPr>
      </w:pPr>
      <w:r w:rsidRPr="00DA1726">
        <w:rPr>
          <w:i/>
          <w:sz w:val="28"/>
          <w:szCs w:val="28"/>
        </w:rPr>
        <w:t xml:space="preserve">1. </w:t>
      </w:r>
      <w:r w:rsidR="00D23B41" w:rsidRPr="00DA1726">
        <w:rPr>
          <w:i/>
          <w:sz w:val="28"/>
          <w:szCs w:val="28"/>
        </w:rPr>
        <w:t>A</w:t>
      </w:r>
      <w:r w:rsidRPr="00DA1726">
        <w:rPr>
          <w:i/>
          <w:sz w:val="28"/>
          <w:szCs w:val="28"/>
        </w:rPr>
        <w:t>ccesibilidad/oportunidad</w:t>
      </w:r>
      <w:r w:rsidRPr="00DA1726">
        <w:rPr>
          <w:sz w:val="28"/>
          <w:szCs w:val="28"/>
        </w:rPr>
        <w:t>: (i) cita medicina general; (ii) citas medicina interna; (iii) citas ginecobstetricia; (iv) cita pediatría; (v) cirugía general; (vi) número de tutelas; (vii) entrega de medicamentos POS; (viii) realización de cirugía programada; (ix) citas odontología general; (x) servicios imagenología; y (xi) referencia.</w:t>
      </w:r>
    </w:p>
    <w:p w:rsidR="00CD6928" w:rsidRPr="00DA1726" w:rsidRDefault="00CD6928" w:rsidP="00DA1726">
      <w:pPr>
        <w:jc w:val="both"/>
        <w:rPr>
          <w:sz w:val="28"/>
          <w:szCs w:val="28"/>
        </w:rPr>
      </w:pPr>
    </w:p>
    <w:p w:rsidR="00CD6928" w:rsidRPr="00DA1726" w:rsidRDefault="00CD6928" w:rsidP="00DA1726">
      <w:pPr>
        <w:jc w:val="both"/>
        <w:rPr>
          <w:sz w:val="28"/>
          <w:szCs w:val="28"/>
        </w:rPr>
      </w:pPr>
      <w:r w:rsidRPr="00DA1726">
        <w:rPr>
          <w:i/>
          <w:sz w:val="28"/>
          <w:szCs w:val="28"/>
        </w:rPr>
        <w:t>2. Indicadores de calidad técnica</w:t>
      </w:r>
      <w:r w:rsidRPr="00DA1726">
        <w:rPr>
          <w:sz w:val="28"/>
          <w:szCs w:val="28"/>
        </w:rPr>
        <w:t>: (i) esquema de vacunación adecuado a niños menores de un año; y (ii) detección de cáncer de cuello uterino.</w:t>
      </w:r>
    </w:p>
    <w:p w:rsidR="00CD6928" w:rsidRPr="00DA1726" w:rsidRDefault="00CD6928" w:rsidP="00DA1726">
      <w:pPr>
        <w:jc w:val="both"/>
        <w:rPr>
          <w:sz w:val="28"/>
          <w:szCs w:val="28"/>
        </w:rPr>
      </w:pPr>
    </w:p>
    <w:p w:rsidR="00CD6928" w:rsidRPr="00DA1726" w:rsidRDefault="00CD6928" w:rsidP="00DA1726">
      <w:pPr>
        <w:jc w:val="both"/>
        <w:rPr>
          <w:sz w:val="28"/>
          <w:szCs w:val="28"/>
        </w:rPr>
      </w:pPr>
      <w:r w:rsidRPr="00DA1726">
        <w:rPr>
          <w:i/>
          <w:sz w:val="28"/>
          <w:szCs w:val="28"/>
        </w:rPr>
        <w:t>3. Indicadores de Gerencia del Riesgo</w:t>
      </w:r>
      <w:r w:rsidRPr="00DA1726">
        <w:rPr>
          <w:sz w:val="28"/>
          <w:szCs w:val="28"/>
        </w:rPr>
        <w:t>: (i) tasa de mortalidad por neumonía mayor a 65 años; (ii) tasa de mortalidad por neumonía en menores de 5 años; y (iii) razón de mortalidad materna.</w:t>
      </w:r>
    </w:p>
    <w:p w:rsidR="00CD6928" w:rsidRPr="00DA1726" w:rsidRDefault="00CD6928" w:rsidP="00DA1726">
      <w:pPr>
        <w:jc w:val="both"/>
        <w:rPr>
          <w:sz w:val="28"/>
          <w:szCs w:val="28"/>
        </w:rPr>
      </w:pPr>
    </w:p>
    <w:p w:rsidR="00CD6928" w:rsidRPr="00DA1726" w:rsidRDefault="00CD6928" w:rsidP="00DA1726">
      <w:pPr>
        <w:jc w:val="both"/>
        <w:rPr>
          <w:sz w:val="28"/>
          <w:szCs w:val="28"/>
        </w:rPr>
      </w:pPr>
      <w:r w:rsidRPr="00DA1726">
        <w:rPr>
          <w:i/>
          <w:sz w:val="28"/>
          <w:szCs w:val="28"/>
        </w:rPr>
        <w:t>4. Indicadores de satisfacción</w:t>
      </w:r>
      <w:r w:rsidRPr="00DA1726">
        <w:rPr>
          <w:sz w:val="28"/>
          <w:szCs w:val="28"/>
        </w:rPr>
        <w:t>: (i) tasa de satisfacción global; (ii) proporción de quejas resueltas antes de 15 días; y (iii) tasa de traslados.</w:t>
      </w:r>
    </w:p>
    <w:p w:rsidR="00CD6928" w:rsidRPr="00DA1726" w:rsidRDefault="00CD6928" w:rsidP="00DA1726">
      <w:pPr>
        <w:jc w:val="both"/>
        <w:rPr>
          <w:sz w:val="28"/>
          <w:szCs w:val="28"/>
        </w:rPr>
      </w:pPr>
    </w:p>
    <w:p w:rsidR="00CD6928" w:rsidRPr="00DA1726" w:rsidRDefault="00CD6928" w:rsidP="00DA1726">
      <w:pPr>
        <w:jc w:val="both"/>
        <w:rPr>
          <w:sz w:val="28"/>
          <w:szCs w:val="28"/>
          <w:lang w:val="es-ES_tradnl"/>
        </w:rPr>
      </w:pPr>
      <w:r w:rsidRPr="00DA1726">
        <w:rPr>
          <w:sz w:val="28"/>
          <w:szCs w:val="28"/>
          <w:lang w:val="es-ES_tradnl"/>
        </w:rPr>
        <w:t>El indicador de desempeño de calidad, es la agregación de los resultados de las entidades para cada dominio, que se consolidan en indicadores compuestos. Estos surgen a partir del análisis del comportamiento de los indicadores estandarizados para las entidades de cada régimen. El valor final de este ítem se estandariza entre 1 y 5, para poder agregarse con otros indicadores.</w:t>
      </w:r>
    </w:p>
    <w:p w:rsidR="00266B4A" w:rsidRPr="00DA1726" w:rsidRDefault="00266B4A" w:rsidP="00DA1726">
      <w:pPr>
        <w:jc w:val="both"/>
        <w:rPr>
          <w:b/>
          <w:bCs/>
          <w:i/>
          <w:iCs/>
          <w:sz w:val="28"/>
          <w:szCs w:val="28"/>
          <w:lang w:val="es-ES_tradnl"/>
        </w:rPr>
      </w:pPr>
    </w:p>
    <w:p w:rsidR="009E5E16" w:rsidRPr="00DA1726" w:rsidRDefault="0033131F" w:rsidP="00DA1726">
      <w:pPr>
        <w:numPr>
          <w:ilvl w:val="0"/>
          <w:numId w:val="39"/>
        </w:numPr>
        <w:jc w:val="both"/>
        <w:rPr>
          <w:b/>
          <w:bCs/>
          <w:i/>
          <w:iCs/>
          <w:sz w:val="28"/>
          <w:szCs w:val="28"/>
          <w:lang w:val="es-ES_tradnl"/>
        </w:rPr>
      </w:pPr>
      <w:r w:rsidRPr="00DA1726">
        <w:rPr>
          <w:b/>
          <w:bCs/>
          <w:i/>
          <w:iCs/>
          <w:sz w:val="28"/>
          <w:szCs w:val="28"/>
          <w:lang w:val="es-ES_tradnl"/>
        </w:rPr>
        <w:t xml:space="preserve">Indicadores de </w:t>
      </w:r>
      <w:r w:rsidR="00716522" w:rsidRPr="00DA1726">
        <w:rPr>
          <w:b/>
          <w:bCs/>
          <w:i/>
          <w:iCs/>
          <w:sz w:val="28"/>
          <w:szCs w:val="28"/>
          <w:lang w:val="es-ES_tradnl"/>
        </w:rPr>
        <w:t>desempeño peticiones, quejas y reclamos</w:t>
      </w:r>
      <w:r w:rsidR="009A366B" w:rsidRPr="00DA1726">
        <w:rPr>
          <w:b/>
          <w:bCs/>
          <w:i/>
          <w:iCs/>
          <w:sz w:val="28"/>
          <w:szCs w:val="28"/>
          <w:lang w:val="es-ES_tradnl"/>
        </w:rPr>
        <w:t xml:space="preserve"> -PQR</w:t>
      </w:r>
      <w:r w:rsidR="0071175A" w:rsidRPr="00DA1726">
        <w:rPr>
          <w:b/>
          <w:bCs/>
          <w:i/>
          <w:iCs/>
          <w:sz w:val="28"/>
          <w:szCs w:val="28"/>
          <w:lang w:val="es-ES_tradnl"/>
        </w:rPr>
        <w:t>.</w:t>
      </w:r>
      <w:r w:rsidRPr="00DA1726">
        <w:rPr>
          <w:b/>
          <w:bCs/>
          <w:i/>
          <w:iCs/>
          <w:sz w:val="28"/>
          <w:szCs w:val="28"/>
          <w:lang w:val="es-ES_tradnl"/>
        </w:rPr>
        <w:t xml:space="preserve"> </w:t>
      </w:r>
    </w:p>
    <w:p w:rsidR="009E5E16" w:rsidRPr="00DA1726" w:rsidRDefault="009E5E16" w:rsidP="00DA1726">
      <w:pPr>
        <w:jc w:val="both"/>
        <w:rPr>
          <w:sz w:val="28"/>
          <w:szCs w:val="28"/>
          <w:lang w:val="es-ES_tradnl"/>
        </w:rPr>
      </w:pPr>
    </w:p>
    <w:p w:rsidR="00161B1B" w:rsidRPr="00DA1726" w:rsidRDefault="009E5E16" w:rsidP="00DA1726">
      <w:pPr>
        <w:jc w:val="both"/>
        <w:rPr>
          <w:sz w:val="28"/>
          <w:szCs w:val="28"/>
          <w:lang w:val="es-ES_tradnl"/>
        </w:rPr>
      </w:pPr>
      <w:r w:rsidRPr="00DA1726">
        <w:rPr>
          <w:sz w:val="28"/>
          <w:szCs w:val="28"/>
          <w:lang w:val="es-ES_tradnl"/>
        </w:rPr>
        <w:t xml:space="preserve">El indicador de desempeño de las EPS mide la insatisfacción </w:t>
      </w:r>
      <w:r w:rsidR="009A366B" w:rsidRPr="00DA1726">
        <w:rPr>
          <w:sz w:val="28"/>
          <w:szCs w:val="28"/>
          <w:lang w:val="es-ES_tradnl"/>
        </w:rPr>
        <w:t xml:space="preserve">de los usuarios con </w:t>
      </w:r>
      <w:r w:rsidR="00716522" w:rsidRPr="00DA1726">
        <w:rPr>
          <w:sz w:val="28"/>
          <w:szCs w:val="28"/>
          <w:lang w:val="es-ES_tradnl"/>
        </w:rPr>
        <w:t xml:space="preserve">el </w:t>
      </w:r>
      <w:r w:rsidR="009A366B" w:rsidRPr="00DA1726">
        <w:rPr>
          <w:sz w:val="28"/>
          <w:szCs w:val="28"/>
          <w:lang w:val="es-ES_tradnl"/>
        </w:rPr>
        <w:t>servicio</w:t>
      </w:r>
      <w:r w:rsidRPr="00DA1726">
        <w:rPr>
          <w:sz w:val="28"/>
          <w:szCs w:val="28"/>
          <w:lang w:val="es-ES_tradnl"/>
        </w:rPr>
        <w:t xml:space="preserve"> y la</w:t>
      </w:r>
      <w:r w:rsidR="00930759" w:rsidRPr="00DA1726">
        <w:rPr>
          <w:sz w:val="28"/>
          <w:szCs w:val="28"/>
          <w:lang w:val="es-ES_tradnl"/>
        </w:rPr>
        <w:t xml:space="preserve"> gestión de PQR realizadas por e</w:t>
      </w:r>
      <w:r w:rsidRPr="00DA1726">
        <w:rPr>
          <w:sz w:val="28"/>
          <w:szCs w:val="28"/>
          <w:lang w:val="es-ES_tradnl"/>
        </w:rPr>
        <w:t xml:space="preserve">stas. El indicador está compuesto por tres </w:t>
      </w:r>
      <w:r w:rsidR="009A366B" w:rsidRPr="00DA1726">
        <w:rPr>
          <w:sz w:val="28"/>
          <w:szCs w:val="28"/>
          <w:lang w:val="es-ES_tradnl"/>
        </w:rPr>
        <w:t>criterios</w:t>
      </w:r>
      <w:r w:rsidRPr="00DA1726">
        <w:rPr>
          <w:sz w:val="28"/>
          <w:szCs w:val="28"/>
          <w:lang w:val="es-ES_tradnl"/>
        </w:rPr>
        <w:t>:</w:t>
      </w:r>
    </w:p>
    <w:p w:rsidR="00161B1B" w:rsidRPr="00DA1726" w:rsidRDefault="00161B1B" w:rsidP="00DA1726">
      <w:pPr>
        <w:jc w:val="both"/>
        <w:rPr>
          <w:sz w:val="28"/>
          <w:szCs w:val="28"/>
          <w:lang w:val="es-ES_tradnl"/>
        </w:rPr>
      </w:pPr>
    </w:p>
    <w:p w:rsidR="009E5E16" w:rsidRPr="00DA1726" w:rsidRDefault="00BF5DFF" w:rsidP="00DA1726">
      <w:pPr>
        <w:jc w:val="both"/>
        <w:rPr>
          <w:sz w:val="28"/>
          <w:szCs w:val="28"/>
          <w:lang w:val="es-ES_tradnl"/>
        </w:rPr>
      </w:pPr>
      <w:r w:rsidRPr="00DA1726">
        <w:rPr>
          <w:sz w:val="28"/>
          <w:szCs w:val="28"/>
          <w:lang w:val="es-ES_tradnl"/>
        </w:rPr>
        <w:t xml:space="preserve">1. </w:t>
      </w:r>
      <w:r w:rsidR="009E5E16" w:rsidRPr="00DA1726">
        <w:rPr>
          <w:sz w:val="28"/>
          <w:szCs w:val="28"/>
          <w:lang w:val="es-ES_tradnl"/>
        </w:rPr>
        <w:t xml:space="preserve">Un indicador de quejas y reclamos que permite la comparación entre </w:t>
      </w:r>
      <w:r w:rsidR="00EA4FAC" w:rsidRPr="00DA1726">
        <w:rPr>
          <w:sz w:val="28"/>
          <w:szCs w:val="28"/>
          <w:lang w:val="es-ES_tradnl"/>
        </w:rPr>
        <w:t>EPS</w:t>
      </w:r>
      <w:r w:rsidR="009E5E16" w:rsidRPr="00DA1726">
        <w:rPr>
          <w:sz w:val="28"/>
          <w:szCs w:val="28"/>
          <w:lang w:val="es-ES_tradnl"/>
        </w:rPr>
        <w:t xml:space="preserve">, según el volumen de PQR recibidas en un periodo específico por cada 10,000 afiliados, ajustado por el tipo de motivo, </w:t>
      </w:r>
      <w:r w:rsidRPr="00DA1726">
        <w:rPr>
          <w:sz w:val="28"/>
          <w:szCs w:val="28"/>
          <w:lang w:val="es-ES_tradnl"/>
        </w:rPr>
        <w:t>sus características</w:t>
      </w:r>
      <w:r w:rsidR="009E5E16" w:rsidRPr="00DA1726">
        <w:rPr>
          <w:sz w:val="28"/>
          <w:szCs w:val="28"/>
          <w:lang w:val="es-ES_tradnl"/>
        </w:rPr>
        <w:t xml:space="preserve"> y</w:t>
      </w:r>
      <w:r w:rsidRPr="00DA1726">
        <w:rPr>
          <w:sz w:val="28"/>
          <w:szCs w:val="28"/>
          <w:lang w:val="es-ES_tradnl"/>
        </w:rPr>
        <w:t xml:space="preserve"> las</w:t>
      </w:r>
      <w:r w:rsidR="009E5E16" w:rsidRPr="00DA1726">
        <w:rPr>
          <w:sz w:val="28"/>
          <w:szCs w:val="28"/>
          <w:lang w:val="es-ES_tradnl"/>
        </w:rPr>
        <w:t xml:space="preserve"> del afectado. Tienen una mayor ponderación las quejas relacionadas con riesgo de vida, enfermedades de alto costo, POS, urgencias, prevención y promoción, gestantes, niños menores de 5 años, o adultos mayores.</w:t>
      </w:r>
    </w:p>
    <w:p w:rsidR="009A366B" w:rsidRPr="00DA1726" w:rsidRDefault="009A366B" w:rsidP="00DA1726">
      <w:pPr>
        <w:jc w:val="both"/>
        <w:rPr>
          <w:sz w:val="28"/>
          <w:szCs w:val="28"/>
          <w:lang w:val="es-ES_tradnl"/>
        </w:rPr>
      </w:pPr>
    </w:p>
    <w:p w:rsidR="009E5E16" w:rsidRPr="00DA1726" w:rsidRDefault="00BF5DFF" w:rsidP="00DA1726">
      <w:pPr>
        <w:jc w:val="both"/>
        <w:rPr>
          <w:sz w:val="28"/>
          <w:szCs w:val="28"/>
          <w:lang w:val="es-ES_tradnl"/>
        </w:rPr>
      </w:pPr>
      <w:r w:rsidRPr="00DA1726">
        <w:rPr>
          <w:sz w:val="28"/>
          <w:szCs w:val="28"/>
          <w:lang w:val="es-ES_tradnl"/>
        </w:rPr>
        <w:t xml:space="preserve">2. </w:t>
      </w:r>
      <w:r w:rsidR="009E5E16" w:rsidRPr="00DA1726">
        <w:rPr>
          <w:sz w:val="28"/>
          <w:szCs w:val="28"/>
          <w:lang w:val="es-ES_tradnl"/>
        </w:rPr>
        <w:t xml:space="preserve">Un indicador de seguimiento de PQR el cual mide el nivel de respuesta y capacidad de solución por parte de la EPS. </w:t>
      </w:r>
      <w:r w:rsidRPr="00DA1726">
        <w:rPr>
          <w:sz w:val="28"/>
          <w:szCs w:val="28"/>
          <w:lang w:val="es-ES_tradnl"/>
        </w:rPr>
        <w:t>Al respecto</w:t>
      </w:r>
      <w:r w:rsidR="00716522" w:rsidRPr="00DA1726">
        <w:rPr>
          <w:sz w:val="28"/>
          <w:szCs w:val="28"/>
          <w:lang w:val="es-ES_tradnl"/>
        </w:rPr>
        <w:t>,</w:t>
      </w:r>
      <w:r w:rsidRPr="00DA1726">
        <w:rPr>
          <w:sz w:val="28"/>
          <w:szCs w:val="28"/>
          <w:lang w:val="es-ES_tradnl"/>
        </w:rPr>
        <w:t xml:space="preserve"> se manejan tres situaciones: (i)</w:t>
      </w:r>
      <w:r w:rsidR="009E5E16" w:rsidRPr="00DA1726">
        <w:rPr>
          <w:sz w:val="28"/>
          <w:szCs w:val="28"/>
          <w:lang w:val="es-ES_tradnl"/>
        </w:rPr>
        <w:t xml:space="preserve"> cuando la EPS responde y soluciona satisfactoriamente la PQR</w:t>
      </w:r>
      <w:r w:rsidRPr="00DA1726">
        <w:rPr>
          <w:sz w:val="28"/>
          <w:szCs w:val="28"/>
          <w:lang w:val="es-ES_tradnl"/>
        </w:rPr>
        <w:t>; (ii)</w:t>
      </w:r>
      <w:r w:rsidR="009E5E16" w:rsidRPr="00DA1726">
        <w:rPr>
          <w:sz w:val="28"/>
          <w:szCs w:val="28"/>
          <w:lang w:val="es-ES_tradnl"/>
        </w:rPr>
        <w:t xml:space="preserve"> la EPS responde, pero </w:t>
      </w:r>
      <w:r w:rsidRPr="00DA1726">
        <w:rPr>
          <w:sz w:val="28"/>
          <w:szCs w:val="28"/>
          <w:lang w:val="es-ES_tradnl"/>
        </w:rPr>
        <w:t>no da solución satisfactoria a e</w:t>
      </w:r>
      <w:r w:rsidR="009E5E16" w:rsidRPr="00DA1726">
        <w:rPr>
          <w:sz w:val="28"/>
          <w:szCs w:val="28"/>
          <w:lang w:val="es-ES_tradnl"/>
        </w:rPr>
        <w:t>sta</w:t>
      </w:r>
      <w:r w:rsidRPr="00DA1726">
        <w:rPr>
          <w:sz w:val="28"/>
          <w:szCs w:val="28"/>
          <w:lang w:val="es-ES_tradnl"/>
        </w:rPr>
        <w:t>;</w:t>
      </w:r>
      <w:r w:rsidR="009E5E16" w:rsidRPr="00DA1726">
        <w:rPr>
          <w:sz w:val="28"/>
          <w:szCs w:val="28"/>
          <w:lang w:val="es-ES_tradnl"/>
        </w:rPr>
        <w:t xml:space="preserve"> y</w:t>
      </w:r>
      <w:r w:rsidRPr="00DA1726">
        <w:rPr>
          <w:sz w:val="28"/>
          <w:szCs w:val="28"/>
          <w:lang w:val="es-ES_tradnl"/>
        </w:rPr>
        <w:t xml:space="preserve"> (iii) </w:t>
      </w:r>
      <w:r w:rsidR="009E5E16" w:rsidRPr="00DA1726">
        <w:rPr>
          <w:sz w:val="28"/>
          <w:szCs w:val="28"/>
          <w:lang w:val="es-ES_tradnl"/>
        </w:rPr>
        <w:t xml:space="preserve">la EPS no da respuesta a la PQR. Este último es el que recibe una mayor ponderación al ser el caso en el que </w:t>
      </w:r>
      <w:r w:rsidR="00FA1A65" w:rsidRPr="00DA1726">
        <w:rPr>
          <w:sz w:val="28"/>
          <w:szCs w:val="28"/>
          <w:lang w:val="es-ES_tradnl"/>
        </w:rPr>
        <w:t>se</w:t>
      </w:r>
      <w:r w:rsidR="009E5E16" w:rsidRPr="00DA1726">
        <w:rPr>
          <w:sz w:val="28"/>
          <w:szCs w:val="28"/>
          <w:lang w:val="es-ES_tradnl"/>
        </w:rPr>
        <w:t xml:space="preserve"> revela el menor interés por </w:t>
      </w:r>
      <w:r w:rsidRPr="00DA1726">
        <w:rPr>
          <w:sz w:val="28"/>
          <w:szCs w:val="28"/>
          <w:lang w:val="es-ES_tradnl"/>
        </w:rPr>
        <w:t>brindar una solución</w:t>
      </w:r>
      <w:r w:rsidR="009E5E16" w:rsidRPr="00DA1726">
        <w:rPr>
          <w:sz w:val="28"/>
          <w:szCs w:val="28"/>
          <w:lang w:val="es-ES_tradnl"/>
        </w:rPr>
        <w:t>.</w:t>
      </w:r>
    </w:p>
    <w:p w:rsidR="009A366B" w:rsidRPr="00DA1726" w:rsidRDefault="009A366B" w:rsidP="00DA1726">
      <w:pPr>
        <w:jc w:val="both"/>
        <w:rPr>
          <w:sz w:val="28"/>
          <w:szCs w:val="28"/>
          <w:lang w:val="es-ES_tradnl"/>
        </w:rPr>
      </w:pPr>
    </w:p>
    <w:p w:rsidR="009E5E16" w:rsidRPr="00DA1726" w:rsidRDefault="00BF5DFF" w:rsidP="00DA1726">
      <w:pPr>
        <w:jc w:val="both"/>
        <w:rPr>
          <w:sz w:val="28"/>
          <w:szCs w:val="28"/>
          <w:lang w:val="es-ES_tradnl"/>
        </w:rPr>
      </w:pPr>
      <w:r w:rsidRPr="00DA1726">
        <w:rPr>
          <w:sz w:val="28"/>
          <w:szCs w:val="28"/>
          <w:lang w:val="es-ES_tradnl"/>
        </w:rPr>
        <w:t xml:space="preserve">3. </w:t>
      </w:r>
      <w:r w:rsidR="00716522" w:rsidRPr="00DA1726">
        <w:rPr>
          <w:sz w:val="28"/>
          <w:szCs w:val="28"/>
          <w:lang w:val="es-ES_tradnl"/>
        </w:rPr>
        <w:t>Un indicador de PQR reiterados</w:t>
      </w:r>
      <w:r w:rsidR="009E5E16" w:rsidRPr="00DA1726">
        <w:rPr>
          <w:sz w:val="28"/>
          <w:szCs w:val="28"/>
          <w:lang w:val="es-ES_tradnl"/>
        </w:rPr>
        <w:t xml:space="preserve"> </w:t>
      </w:r>
      <w:r w:rsidR="00716522" w:rsidRPr="00DA1726">
        <w:rPr>
          <w:sz w:val="28"/>
          <w:szCs w:val="28"/>
          <w:lang w:val="es-ES_tradnl"/>
        </w:rPr>
        <w:t>qu</w:t>
      </w:r>
      <w:r w:rsidR="009E5E16" w:rsidRPr="00DA1726">
        <w:rPr>
          <w:sz w:val="28"/>
          <w:szCs w:val="28"/>
          <w:lang w:val="es-ES_tradnl"/>
        </w:rPr>
        <w:t>e mide la gestión a través del volumen</w:t>
      </w:r>
      <w:r w:rsidR="00FA1A65" w:rsidRPr="00DA1726">
        <w:rPr>
          <w:sz w:val="28"/>
          <w:szCs w:val="28"/>
          <w:lang w:val="es-ES_tradnl"/>
        </w:rPr>
        <w:t xml:space="preserve">, </w:t>
      </w:r>
      <w:r w:rsidR="009E5E16" w:rsidRPr="00DA1726">
        <w:rPr>
          <w:sz w:val="28"/>
          <w:szCs w:val="28"/>
          <w:lang w:val="es-ES_tradnl"/>
        </w:rPr>
        <w:t>donde el usuario vuelve a interponer una queja que ya había sido tramitada ante la ent</w:t>
      </w:r>
      <w:r w:rsidRPr="00DA1726">
        <w:rPr>
          <w:sz w:val="28"/>
          <w:szCs w:val="28"/>
          <w:lang w:val="es-ES_tradnl"/>
        </w:rPr>
        <w:t xml:space="preserve">idad por cada 10,000 afiliados </w:t>
      </w:r>
      <w:r w:rsidR="009E5E16" w:rsidRPr="00DA1726">
        <w:rPr>
          <w:sz w:val="28"/>
          <w:szCs w:val="28"/>
          <w:lang w:val="es-ES_tradnl"/>
        </w:rPr>
        <w:t>y se ajusta por el tipo de motivo. Tienen una mayor ponderación las quejas relacionadas con enfermedades de alto costo, POS, urgencias, prevención y promoción, hospitalización, insuficiencia de la red prestadora, referencia y contrareferencia y deficiencia en la prestación materno- infantil.</w:t>
      </w:r>
    </w:p>
    <w:p w:rsidR="003977D7" w:rsidRPr="00DA1726" w:rsidRDefault="003977D7" w:rsidP="00DA1726">
      <w:pPr>
        <w:jc w:val="both"/>
        <w:rPr>
          <w:sz w:val="28"/>
          <w:szCs w:val="28"/>
          <w:lang w:val="es-ES_tradnl"/>
        </w:rPr>
      </w:pPr>
    </w:p>
    <w:p w:rsidR="009E5E16" w:rsidRPr="00DA1726" w:rsidRDefault="009E5E16" w:rsidP="00DA1726">
      <w:pPr>
        <w:jc w:val="both"/>
        <w:rPr>
          <w:sz w:val="28"/>
          <w:szCs w:val="28"/>
          <w:lang w:val="es-ES_tradnl"/>
        </w:rPr>
      </w:pPr>
      <w:r w:rsidRPr="00DA1726">
        <w:rPr>
          <w:sz w:val="28"/>
          <w:szCs w:val="28"/>
          <w:lang w:val="es-ES_tradnl"/>
        </w:rPr>
        <w:t xml:space="preserve">La evaluación de desempeño de las </w:t>
      </w:r>
      <w:r w:rsidR="00EA4FAC" w:rsidRPr="00DA1726">
        <w:rPr>
          <w:sz w:val="28"/>
          <w:szCs w:val="28"/>
          <w:lang w:val="es-ES_tradnl"/>
        </w:rPr>
        <w:t>EPS</w:t>
      </w:r>
      <w:r w:rsidRPr="00DA1726">
        <w:rPr>
          <w:sz w:val="28"/>
          <w:szCs w:val="28"/>
          <w:lang w:val="es-ES_tradnl"/>
        </w:rPr>
        <w:t xml:space="preserve"> en atención al usuario se calcula de forma separada por régimen, excluyendo las </w:t>
      </w:r>
      <w:r w:rsidR="00BF5DFF" w:rsidRPr="00DA1726">
        <w:rPr>
          <w:sz w:val="28"/>
          <w:szCs w:val="28"/>
          <w:lang w:val="es-ES_tradnl"/>
        </w:rPr>
        <w:t>promotoras</w:t>
      </w:r>
      <w:r w:rsidRPr="00DA1726">
        <w:rPr>
          <w:sz w:val="28"/>
          <w:szCs w:val="28"/>
          <w:lang w:val="es-ES_tradnl"/>
        </w:rPr>
        <w:t xml:space="preserve"> indígenas, debido a las características de sus poblaciones y particularidades de cada grupo.</w:t>
      </w:r>
    </w:p>
    <w:p w:rsidR="009E5E16" w:rsidRPr="00DA1726" w:rsidRDefault="009E5E16" w:rsidP="00DA1726">
      <w:pPr>
        <w:jc w:val="both"/>
        <w:rPr>
          <w:sz w:val="28"/>
          <w:szCs w:val="28"/>
          <w:lang w:val="es-ES_tradnl"/>
        </w:rPr>
      </w:pPr>
    </w:p>
    <w:p w:rsidR="003977D7" w:rsidRPr="00DA1726" w:rsidRDefault="003977D7" w:rsidP="00DA1726">
      <w:pPr>
        <w:pStyle w:val="Prrafodelista"/>
        <w:numPr>
          <w:ilvl w:val="0"/>
          <w:numId w:val="39"/>
        </w:numPr>
        <w:jc w:val="both"/>
        <w:rPr>
          <w:b/>
          <w:bCs/>
          <w:i/>
          <w:sz w:val="28"/>
          <w:szCs w:val="28"/>
          <w:lang w:val="es-ES_tradnl"/>
        </w:rPr>
      </w:pPr>
      <w:r w:rsidRPr="00DA1726">
        <w:rPr>
          <w:b/>
          <w:bCs/>
          <w:i/>
          <w:sz w:val="28"/>
          <w:szCs w:val="28"/>
          <w:lang w:val="es-ES_tradnl"/>
        </w:rPr>
        <w:t xml:space="preserve">Indicador </w:t>
      </w:r>
      <w:r w:rsidR="00E43EAA" w:rsidRPr="00DA1726">
        <w:rPr>
          <w:b/>
          <w:bCs/>
          <w:i/>
          <w:sz w:val="28"/>
          <w:szCs w:val="28"/>
          <w:lang w:val="es-ES_tradnl"/>
        </w:rPr>
        <w:t xml:space="preserve">de </w:t>
      </w:r>
      <w:r w:rsidRPr="00DA1726">
        <w:rPr>
          <w:b/>
          <w:bCs/>
          <w:i/>
          <w:sz w:val="28"/>
          <w:szCs w:val="28"/>
          <w:lang w:val="es-ES_tradnl"/>
        </w:rPr>
        <w:t>desempeño financiero.</w:t>
      </w:r>
    </w:p>
    <w:p w:rsidR="003977D7" w:rsidRPr="00DA1726" w:rsidRDefault="003977D7" w:rsidP="00DA1726">
      <w:pPr>
        <w:jc w:val="both"/>
        <w:rPr>
          <w:sz w:val="28"/>
          <w:szCs w:val="28"/>
          <w:lang w:val="es-ES_tradnl"/>
        </w:rPr>
      </w:pPr>
    </w:p>
    <w:p w:rsidR="000C2BE7" w:rsidRPr="00DA1726" w:rsidRDefault="00E43EAA" w:rsidP="00DA1726">
      <w:pPr>
        <w:jc w:val="both"/>
        <w:rPr>
          <w:sz w:val="28"/>
          <w:szCs w:val="28"/>
          <w:lang w:val="es-ES_tradnl"/>
        </w:rPr>
      </w:pPr>
      <w:r w:rsidRPr="00DA1726">
        <w:rPr>
          <w:sz w:val="28"/>
          <w:szCs w:val="28"/>
          <w:lang w:val="es-ES_tradnl"/>
        </w:rPr>
        <w:t>Este criterio</w:t>
      </w:r>
      <w:r w:rsidR="000C2BE7" w:rsidRPr="00DA1726">
        <w:rPr>
          <w:sz w:val="28"/>
          <w:szCs w:val="28"/>
          <w:lang w:val="es-ES_tradnl"/>
        </w:rPr>
        <w:t xml:space="preserve"> surge como resultado de un modelo que incluye 15 indicadores que conjuntamente evalúan los aspectos fundamentales de la cali</w:t>
      </w:r>
      <w:r w:rsidRPr="00DA1726">
        <w:rPr>
          <w:sz w:val="28"/>
          <w:szCs w:val="28"/>
          <w:lang w:val="es-ES_tradnl"/>
        </w:rPr>
        <w:t xml:space="preserve">dad financiera de las entidades, agrupados </w:t>
      </w:r>
      <w:r w:rsidR="000C2BE7" w:rsidRPr="00DA1726">
        <w:rPr>
          <w:sz w:val="28"/>
          <w:szCs w:val="28"/>
          <w:lang w:val="es-ES_tradnl"/>
        </w:rPr>
        <w:t xml:space="preserve">en cinco componentes: </w:t>
      </w:r>
      <w:r w:rsidRPr="00DA1726">
        <w:rPr>
          <w:sz w:val="28"/>
          <w:szCs w:val="28"/>
          <w:lang w:val="es-ES_tradnl"/>
        </w:rPr>
        <w:t>(1</w:t>
      </w:r>
      <w:r w:rsidR="000C2BE7" w:rsidRPr="00DA1726">
        <w:rPr>
          <w:sz w:val="28"/>
          <w:szCs w:val="28"/>
          <w:lang w:val="es-ES_tradnl"/>
        </w:rPr>
        <w:t xml:space="preserve">) </w:t>
      </w:r>
      <w:r w:rsidR="00930759" w:rsidRPr="00DA1726">
        <w:rPr>
          <w:sz w:val="28"/>
          <w:szCs w:val="28"/>
          <w:lang w:val="es-ES_tradnl"/>
        </w:rPr>
        <w:t>calidad del capital, que permite medir la solidez financiera de una entidad, es decir, la capacidad de la empresa para enfrentar choques externos y soportar pérdidas futuras no anticipadas con el capital y reservas que posee la misma; (2) calidad del activo, medida a través del tipo de recursos económicos con los que cuenta la empresa; (3) calidad de la gerencia, que mide el desempeño de la administración por parte de los directivos a través de los gastos relativos a la utilidad e ingresos de la entidad; (4) rentabilidad, que refleja la eficiencia de la empresa y así mismo la capacidad de generar utilidades a partir de los ingresos, los activos y el patrimonio; y (5) liquidez, que mide la capacidad que tiene la entidad para manejar las disminuciones en sus recursos disponibles y el cumplimiento de los compromisos financieros de forma oportuna.</w:t>
      </w:r>
    </w:p>
    <w:p w:rsidR="003977D7" w:rsidRPr="00DA1726" w:rsidRDefault="003977D7" w:rsidP="00DA1726">
      <w:pPr>
        <w:jc w:val="both"/>
        <w:rPr>
          <w:sz w:val="28"/>
          <w:szCs w:val="28"/>
        </w:rPr>
      </w:pPr>
    </w:p>
    <w:p w:rsidR="003977D7" w:rsidRPr="00DA1726" w:rsidRDefault="0032181F" w:rsidP="00DA1726">
      <w:pPr>
        <w:jc w:val="both"/>
        <w:rPr>
          <w:sz w:val="28"/>
          <w:szCs w:val="28"/>
          <w:lang w:val="es-ES_tradnl"/>
        </w:rPr>
      </w:pPr>
      <w:r w:rsidRPr="00DA1726">
        <w:rPr>
          <w:sz w:val="28"/>
          <w:szCs w:val="28"/>
          <w:lang w:val="es-ES_tradnl"/>
        </w:rPr>
        <w:t>A su vez, e</w:t>
      </w:r>
      <w:r w:rsidR="003977D7" w:rsidRPr="00DA1726">
        <w:rPr>
          <w:sz w:val="28"/>
          <w:szCs w:val="28"/>
          <w:lang w:val="es-ES_tradnl"/>
        </w:rPr>
        <w:t>l indicador de condiciones financieras califica a las entidades considerando el cumplimiento de capital mínimo, solvencia y régimen de inversiones estipulado en el Decreto 2702 de 2014</w:t>
      </w:r>
      <w:r w:rsidR="003977D7" w:rsidRPr="00DA1726">
        <w:rPr>
          <w:sz w:val="28"/>
          <w:szCs w:val="28"/>
          <w:vertAlign w:val="superscript"/>
          <w:lang w:val="es-ES_tradnl"/>
        </w:rPr>
        <w:footnoteReference w:id="137"/>
      </w:r>
      <w:r w:rsidR="003977D7" w:rsidRPr="00DA1726">
        <w:rPr>
          <w:sz w:val="28"/>
          <w:szCs w:val="28"/>
          <w:lang w:val="es-ES_tradnl"/>
        </w:rPr>
        <w:t xml:space="preserve">. De esta manera, este indicador </w:t>
      </w:r>
      <w:r w:rsidR="00AA1F0F" w:rsidRPr="00DA1726">
        <w:rPr>
          <w:sz w:val="28"/>
          <w:szCs w:val="28"/>
          <w:lang w:val="es-ES_tradnl"/>
        </w:rPr>
        <w:t>se enfoca en</w:t>
      </w:r>
      <w:r w:rsidR="003977D7" w:rsidRPr="00DA1726">
        <w:rPr>
          <w:sz w:val="28"/>
          <w:szCs w:val="28"/>
          <w:lang w:val="es-ES_tradnl"/>
        </w:rPr>
        <w:t xml:space="preserve"> medir la brecha entre el defecto de la entidad, en caso de tenerlo, de capital mínimo y patrimonio adecuado al final de período y los requerimientos establecidos en el </w:t>
      </w:r>
      <w:r w:rsidR="00FF35D3" w:rsidRPr="00DA1726">
        <w:rPr>
          <w:sz w:val="28"/>
          <w:szCs w:val="28"/>
          <w:lang w:val="es-ES_tradnl"/>
        </w:rPr>
        <w:t>d</w:t>
      </w:r>
      <w:r w:rsidR="003977D7" w:rsidRPr="00DA1726">
        <w:rPr>
          <w:sz w:val="28"/>
          <w:szCs w:val="28"/>
          <w:lang w:val="es-ES_tradnl"/>
        </w:rPr>
        <w:t xml:space="preserve">ecreto. Las brechas se </w:t>
      </w:r>
      <w:r w:rsidR="00FF35D3" w:rsidRPr="00DA1726">
        <w:rPr>
          <w:sz w:val="28"/>
          <w:szCs w:val="28"/>
          <w:lang w:val="es-ES_tradnl"/>
        </w:rPr>
        <w:t>establecen</w:t>
      </w:r>
      <w:r w:rsidR="003977D7" w:rsidRPr="00DA1726">
        <w:rPr>
          <w:sz w:val="28"/>
          <w:szCs w:val="28"/>
          <w:lang w:val="es-ES_tradnl"/>
        </w:rPr>
        <w:t xml:space="preserve"> utilizando la fórmula de distancia, </w:t>
      </w:r>
      <w:r w:rsidR="00FF35D3" w:rsidRPr="00DA1726">
        <w:rPr>
          <w:sz w:val="28"/>
          <w:szCs w:val="28"/>
          <w:lang w:val="es-ES_tradnl"/>
        </w:rPr>
        <w:t xml:space="preserve">esto es, estableciendo la diferencia respecto </w:t>
      </w:r>
      <w:r w:rsidR="003977D7" w:rsidRPr="00DA1726">
        <w:rPr>
          <w:sz w:val="28"/>
          <w:szCs w:val="28"/>
          <w:lang w:val="es-ES_tradnl"/>
        </w:rPr>
        <w:t>al valor que debería tomar cuando las entidades cumplen con las condiciones financieras.</w:t>
      </w:r>
    </w:p>
    <w:p w:rsidR="007B7A85" w:rsidRPr="00DA1726" w:rsidRDefault="007B7A85" w:rsidP="00DA1726">
      <w:pPr>
        <w:jc w:val="both"/>
        <w:rPr>
          <w:sz w:val="28"/>
          <w:szCs w:val="28"/>
        </w:rPr>
      </w:pPr>
    </w:p>
    <w:p w:rsidR="00A42DCD" w:rsidRPr="00DA1726" w:rsidRDefault="00B45166" w:rsidP="00DA1726">
      <w:pPr>
        <w:jc w:val="both"/>
        <w:rPr>
          <w:bCs/>
          <w:i/>
          <w:sz w:val="28"/>
          <w:szCs w:val="28"/>
          <w:lang w:val="es-ES_tradnl"/>
        </w:rPr>
      </w:pPr>
      <w:r w:rsidRPr="00DA1726">
        <w:rPr>
          <w:bCs/>
          <w:i/>
          <w:sz w:val="28"/>
          <w:szCs w:val="28"/>
          <w:lang w:val="es-ES_tradnl"/>
        </w:rPr>
        <w:t>5</w:t>
      </w:r>
      <w:r w:rsidR="00F23FD2" w:rsidRPr="00DA1726">
        <w:rPr>
          <w:bCs/>
          <w:i/>
          <w:sz w:val="28"/>
          <w:szCs w:val="28"/>
          <w:lang w:val="es-ES_tradnl"/>
        </w:rPr>
        <w:t>.</w:t>
      </w:r>
      <w:r w:rsidR="00896A2D" w:rsidRPr="00DA1726">
        <w:rPr>
          <w:bCs/>
          <w:i/>
          <w:sz w:val="28"/>
          <w:szCs w:val="28"/>
          <w:lang w:val="es-ES_tradnl"/>
        </w:rPr>
        <w:t>1.</w:t>
      </w:r>
      <w:r w:rsidR="00F23FD2" w:rsidRPr="00DA1726">
        <w:rPr>
          <w:bCs/>
          <w:i/>
          <w:sz w:val="28"/>
          <w:szCs w:val="28"/>
          <w:lang w:val="es-ES_tradnl"/>
        </w:rPr>
        <w:t>2.4</w:t>
      </w:r>
      <w:r w:rsidR="00A42DCD" w:rsidRPr="00DA1726">
        <w:rPr>
          <w:bCs/>
          <w:i/>
          <w:sz w:val="28"/>
          <w:szCs w:val="28"/>
          <w:lang w:val="es-ES_tradnl"/>
        </w:rPr>
        <w:t xml:space="preserve">. </w:t>
      </w:r>
      <w:r w:rsidR="00F23FD2" w:rsidRPr="00DA1726">
        <w:rPr>
          <w:bCs/>
          <w:i/>
          <w:sz w:val="28"/>
          <w:szCs w:val="28"/>
          <w:lang w:val="es-ES_tradnl"/>
        </w:rPr>
        <w:t>Resultados.</w:t>
      </w:r>
    </w:p>
    <w:p w:rsidR="00A42DCD" w:rsidRPr="00DA1726" w:rsidRDefault="00A42DCD" w:rsidP="00DA1726">
      <w:pPr>
        <w:jc w:val="both"/>
        <w:rPr>
          <w:sz w:val="28"/>
          <w:szCs w:val="28"/>
          <w:lang w:val="es-ES"/>
        </w:rPr>
      </w:pPr>
    </w:p>
    <w:p w:rsidR="00A42DCD" w:rsidRPr="00DA1726" w:rsidRDefault="00A42DCD" w:rsidP="00DA1726">
      <w:pPr>
        <w:jc w:val="both"/>
        <w:rPr>
          <w:sz w:val="28"/>
          <w:szCs w:val="28"/>
          <w:lang w:val="es-ES_tradnl"/>
        </w:rPr>
      </w:pPr>
      <w:r w:rsidRPr="00DA1726">
        <w:rPr>
          <w:sz w:val="28"/>
          <w:szCs w:val="28"/>
          <w:lang w:val="es-ES_tradnl"/>
        </w:rPr>
        <w:t xml:space="preserve">El indicador final </w:t>
      </w:r>
      <w:r w:rsidR="002D4554" w:rsidRPr="00DA1726">
        <w:rPr>
          <w:sz w:val="28"/>
          <w:szCs w:val="28"/>
          <w:lang w:val="es-ES_tradnl"/>
        </w:rPr>
        <w:t>se calculó</w:t>
      </w:r>
      <w:r w:rsidRPr="00DA1726">
        <w:rPr>
          <w:sz w:val="28"/>
          <w:szCs w:val="28"/>
          <w:lang w:val="es-ES_tradnl"/>
        </w:rPr>
        <w:t xml:space="preserve"> co</w:t>
      </w:r>
      <w:r w:rsidR="007B7A85" w:rsidRPr="00DA1726">
        <w:rPr>
          <w:sz w:val="28"/>
          <w:szCs w:val="28"/>
          <w:lang w:val="es-ES_tradnl"/>
        </w:rPr>
        <w:t>n</w:t>
      </w:r>
      <w:r w:rsidRPr="00DA1726">
        <w:rPr>
          <w:sz w:val="28"/>
          <w:szCs w:val="28"/>
          <w:lang w:val="es-ES_tradnl"/>
        </w:rPr>
        <w:t xml:space="preserve"> el promedio de los </w:t>
      </w:r>
      <w:r w:rsidR="007B7A85" w:rsidRPr="00DA1726">
        <w:rPr>
          <w:sz w:val="28"/>
          <w:szCs w:val="28"/>
          <w:lang w:val="es-ES_tradnl"/>
        </w:rPr>
        <w:t xml:space="preserve">cinco </w:t>
      </w:r>
      <w:r w:rsidRPr="00DA1726">
        <w:rPr>
          <w:sz w:val="28"/>
          <w:szCs w:val="28"/>
          <w:lang w:val="es-ES_tradnl"/>
        </w:rPr>
        <w:t>indic</w:t>
      </w:r>
      <w:r w:rsidR="00B34790" w:rsidRPr="00DA1726">
        <w:rPr>
          <w:sz w:val="28"/>
          <w:szCs w:val="28"/>
          <w:lang w:val="es-ES_tradnl"/>
        </w:rPr>
        <w:t>adores. De acuerdo al resultado</w:t>
      </w:r>
      <w:r w:rsidRPr="00DA1726">
        <w:rPr>
          <w:sz w:val="28"/>
          <w:szCs w:val="28"/>
          <w:lang w:val="es-ES_tradnl"/>
        </w:rPr>
        <w:t xml:space="preserve"> se clasifica</w:t>
      </w:r>
      <w:r w:rsidR="002D4554" w:rsidRPr="00DA1726">
        <w:rPr>
          <w:sz w:val="28"/>
          <w:szCs w:val="28"/>
          <w:lang w:val="es-ES_tradnl"/>
        </w:rPr>
        <w:t>ro</w:t>
      </w:r>
      <w:r w:rsidRPr="00DA1726">
        <w:rPr>
          <w:sz w:val="28"/>
          <w:szCs w:val="28"/>
          <w:lang w:val="es-ES_tradnl"/>
        </w:rPr>
        <w:t>n por régimen, en tres grupos teniendo en cuenta su nivel de vulnerabilidad al incumplimiento de la garantía al derecho de salud, siendo el 1</w:t>
      </w:r>
      <w:r w:rsidR="002D4554" w:rsidRPr="00DA1726">
        <w:rPr>
          <w:sz w:val="28"/>
          <w:szCs w:val="28"/>
          <w:lang w:val="es-ES_tradnl"/>
        </w:rPr>
        <w:t>º</w:t>
      </w:r>
      <w:r w:rsidRPr="00DA1726">
        <w:rPr>
          <w:sz w:val="28"/>
          <w:szCs w:val="28"/>
          <w:lang w:val="es-ES_tradnl"/>
        </w:rPr>
        <w:t xml:space="preserve"> el de menor nivel.</w:t>
      </w:r>
      <w:r w:rsidR="00B07265" w:rsidRPr="00DA1726">
        <w:rPr>
          <w:sz w:val="28"/>
          <w:szCs w:val="28"/>
          <w:lang w:val="es-ES_tradnl"/>
        </w:rPr>
        <w:t xml:space="preserve"> En concreto se obtuvo la siguiente clasificación:</w:t>
      </w:r>
    </w:p>
    <w:p w:rsidR="00B07265" w:rsidRPr="00DA1726" w:rsidRDefault="00B07265" w:rsidP="00DA1726">
      <w:pPr>
        <w:jc w:val="both"/>
        <w:rPr>
          <w:sz w:val="28"/>
          <w:szCs w:val="28"/>
          <w:lang w:val="es-ES_tradnl"/>
        </w:rPr>
      </w:pPr>
    </w:p>
    <w:tbl>
      <w:tblPr>
        <w:tblW w:w="888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28"/>
        <w:gridCol w:w="3263"/>
        <w:gridCol w:w="2549"/>
        <w:gridCol w:w="1843"/>
      </w:tblGrid>
      <w:tr w:rsidR="00362C5F" w:rsidRPr="00DA1726" w:rsidTr="00332C06">
        <w:tc>
          <w:tcPr>
            <w:tcW w:w="1228" w:type="dxa"/>
            <w:vAlign w:val="center"/>
          </w:tcPr>
          <w:p w:rsidR="00362C5F" w:rsidRPr="00DA1726" w:rsidRDefault="00362C5F" w:rsidP="00DA1726">
            <w:pPr>
              <w:jc w:val="both"/>
              <w:rPr>
                <w:b/>
                <w:bCs/>
                <w:sz w:val="28"/>
                <w:szCs w:val="28"/>
                <w:lang w:val="es-ES_tradnl"/>
              </w:rPr>
            </w:pPr>
            <w:r w:rsidRPr="00DA1726">
              <w:rPr>
                <w:b/>
                <w:bCs/>
                <w:sz w:val="28"/>
                <w:szCs w:val="28"/>
                <w:lang w:val="es-ES_tradnl"/>
              </w:rPr>
              <w:t>Grupo</w:t>
            </w:r>
          </w:p>
        </w:tc>
        <w:tc>
          <w:tcPr>
            <w:tcW w:w="3263" w:type="dxa"/>
            <w:vAlign w:val="center"/>
          </w:tcPr>
          <w:p w:rsidR="00362C5F" w:rsidRPr="00DA1726" w:rsidRDefault="00362C5F" w:rsidP="00DA1726">
            <w:pPr>
              <w:jc w:val="both"/>
              <w:rPr>
                <w:b/>
                <w:bCs/>
                <w:sz w:val="28"/>
                <w:szCs w:val="28"/>
                <w:lang w:val="es-ES_tradnl"/>
              </w:rPr>
            </w:pPr>
            <w:r w:rsidRPr="00DA1726">
              <w:rPr>
                <w:b/>
                <w:bCs/>
                <w:sz w:val="28"/>
                <w:szCs w:val="28"/>
                <w:lang w:val="es-ES_tradnl"/>
              </w:rPr>
              <w:t>Régimen Contributivo</w:t>
            </w:r>
          </w:p>
        </w:tc>
        <w:tc>
          <w:tcPr>
            <w:tcW w:w="4392" w:type="dxa"/>
            <w:gridSpan w:val="2"/>
            <w:vAlign w:val="center"/>
          </w:tcPr>
          <w:p w:rsidR="00362C5F" w:rsidRPr="00DA1726" w:rsidRDefault="00362C5F" w:rsidP="00DA1726">
            <w:pPr>
              <w:jc w:val="both"/>
              <w:rPr>
                <w:b/>
                <w:bCs/>
                <w:sz w:val="28"/>
                <w:szCs w:val="28"/>
                <w:lang w:val="es-ES_tradnl"/>
              </w:rPr>
            </w:pPr>
            <w:r w:rsidRPr="00DA1726">
              <w:rPr>
                <w:b/>
                <w:bCs/>
                <w:sz w:val="28"/>
                <w:szCs w:val="28"/>
                <w:lang w:val="es-ES_tradnl"/>
              </w:rPr>
              <w:t>Régimen Subsidiado</w:t>
            </w:r>
          </w:p>
        </w:tc>
      </w:tr>
      <w:tr w:rsidR="00362C5F" w:rsidRPr="00DA1726" w:rsidTr="00332C06">
        <w:tc>
          <w:tcPr>
            <w:tcW w:w="1228" w:type="dxa"/>
            <w:vMerge w:val="restart"/>
            <w:vAlign w:val="center"/>
          </w:tcPr>
          <w:p w:rsidR="00362C5F" w:rsidRPr="00DA1726" w:rsidRDefault="00362C5F" w:rsidP="00DA1726">
            <w:pPr>
              <w:jc w:val="both"/>
              <w:rPr>
                <w:sz w:val="28"/>
                <w:szCs w:val="28"/>
                <w:lang w:val="es-ES"/>
              </w:rPr>
            </w:pPr>
            <w:r w:rsidRPr="00DA1726">
              <w:rPr>
                <w:sz w:val="28"/>
                <w:szCs w:val="28"/>
                <w:lang w:val="es-ES_tradnl"/>
              </w:rPr>
              <w:t>1</w:t>
            </w:r>
          </w:p>
        </w:tc>
        <w:tc>
          <w:tcPr>
            <w:tcW w:w="3263" w:type="dxa"/>
            <w:tcBorders>
              <w:bottom w:val="nil"/>
            </w:tcBorders>
          </w:tcPr>
          <w:p w:rsidR="00362C5F" w:rsidRPr="00DA1726" w:rsidRDefault="00362C5F" w:rsidP="00DA1726">
            <w:pPr>
              <w:jc w:val="both"/>
              <w:rPr>
                <w:sz w:val="28"/>
                <w:szCs w:val="28"/>
                <w:lang w:val="es-ES_tradnl"/>
              </w:rPr>
            </w:pPr>
            <w:r w:rsidRPr="00DA1726">
              <w:rPr>
                <w:sz w:val="28"/>
                <w:szCs w:val="28"/>
                <w:lang w:val="es-ES_tradnl"/>
              </w:rPr>
              <w:t>Aliansalud</w:t>
            </w:r>
          </w:p>
        </w:tc>
        <w:tc>
          <w:tcPr>
            <w:tcW w:w="2549" w:type="dxa"/>
            <w:tcBorders>
              <w:bottom w:val="nil"/>
              <w:right w:val="nil"/>
            </w:tcBorders>
          </w:tcPr>
          <w:p w:rsidR="00362C5F" w:rsidRPr="00DA1726" w:rsidRDefault="00362C5F" w:rsidP="00DA1726">
            <w:pPr>
              <w:jc w:val="both"/>
              <w:rPr>
                <w:sz w:val="28"/>
                <w:szCs w:val="28"/>
                <w:lang w:val="es-ES_tradnl"/>
              </w:rPr>
            </w:pPr>
            <w:r w:rsidRPr="00DA1726">
              <w:rPr>
                <w:sz w:val="28"/>
                <w:szCs w:val="28"/>
                <w:lang w:val="es-ES_tradnl"/>
              </w:rPr>
              <w:t>Ccf Guajira</w:t>
            </w:r>
          </w:p>
        </w:tc>
        <w:tc>
          <w:tcPr>
            <w:tcW w:w="1843" w:type="dxa"/>
            <w:tcBorders>
              <w:left w:val="nil"/>
              <w:bottom w:val="nil"/>
            </w:tcBorders>
          </w:tcPr>
          <w:p w:rsidR="00362C5F" w:rsidRPr="00DA1726" w:rsidRDefault="00362C5F" w:rsidP="00DA1726">
            <w:pPr>
              <w:jc w:val="both"/>
              <w:rPr>
                <w:sz w:val="28"/>
                <w:szCs w:val="28"/>
                <w:lang w:val="es-ES_tradnl"/>
              </w:rPr>
            </w:pPr>
            <w:r w:rsidRPr="00DA1726">
              <w:rPr>
                <w:sz w:val="28"/>
                <w:szCs w:val="28"/>
                <w:lang w:val="es-ES_tradnl"/>
              </w:rPr>
              <w:t>Comfaoriente</w:t>
            </w:r>
          </w:p>
        </w:tc>
      </w:tr>
      <w:tr w:rsidR="00362C5F" w:rsidRPr="00DA1726" w:rsidTr="00332C06">
        <w:tc>
          <w:tcPr>
            <w:tcW w:w="1228" w:type="dxa"/>
            <w:vMerge/>
            <w:vAlign w:val="center"/>
          </w:tcPr>
          <w:p w:rsidR="00362C5F" w:rsidRPr="00DA1726" w:rsidRDefault="00362C5F" w:rsidP="00DA1726">
            <w:pPr>
              <w:jc w:val="both"/>
              <w:rPr>
                <w:sz w:val="28"/>
                <w:szCs w:val="28"/>
                <w:lang w:val="es-ES_tradnl"/>
              </w:rPr>
            </w:pPr>
          </w:p>
        </w:tc>
        <w:tc>
          <w:tcPr>
            <w:tcW w:w="3263" w:type="dxa"/>
            <w:tcBorders>
              <w:top w:val="nil"/>
              <w:bottom w:val="nil"/>
            </w:tcBorders>
            <w:vAlign w:val="bottom"/>
          </w:tcPr>
          <w:p w:rsidR="00362C5F" w:rsidRPr="00DA1726" w:rsidRDefault="00362C5F" w:rsidP="00DA1726">
            <w:pPr>
              <w:jc w:val="both"/>
              <w:rPr>
                <w:sz w:val="28"/>
                <w:szCs w:val="28"/>
                <w:lang w:val="es-ES_tradnl"/>
              </w:rPr>
            </w:pPr>
            <w:r w:rsidRPr="00DA1726">
              <w:rPr>
                <w:sz w:val="28"/>
                <w:szCs w:val="28"/>
                <w:lang w:val="es-ES_tradnl"/>
              </w:rPr>
              <w:t>Famisanar</w:t>
            </w:r>
          </w:p>
        </w:tc>
        <w:tc>
          <w:tcPr>
            <w:tcW w:w="2549" w:type="dxa"/>
            <w:tcBorders>
              <w:top w:val="nil"/>
              <w:bottom w:val="nil"/>
              <w:right w:val="nil"/>
            </w:tcBorders>
            <w:vAlign w:val="bottom"/>
          </w:tcPr>
          <w:p w:rsidR="00362C5F" w:rsidRPr="00DA1726" w:rsidRDefault="00362C5F" w:rsidP="00DA1726">
            <w:pPr>
              <w:jc w:val="both"/>
              <w:rPr>
                <w:sz w:val="28"/>
                <w:szCs w:val="28"/>
                <w:lang w:val="es-ES_tradnl"/>
              </w:rPr>
            </w:pPr>
            <w:r w:rsidRPr="00DA1726">
              <w:rPr>
                <w:sz w:val="28"/>
                <w:szCs w:val="28"/>
                <w:lang w:val="es-ES_tradnl"/>
              </w:rPr>
              <w:t>Ccf Nariño</w:t>
            </w:r>
          </w:p>
        </w:tc>
        <w:tc>
          <w:tcPr>
            <w:tcW w:w="1843" w:type="dxa"/>
            <w:tcBorders>
              <w:top w:val="nil"/>
              <w:left w:val="nil"/>
              <w:bottom w:val="nil"/>
            </w:tcBorders>
            <w:vAlign w:val="bottom"/>
          </w:tcPr>
          <w:p w:rsidR="00362C5F" w:rsidRPr="00DA1726" w:rsidRDefault="00362C5F" w:rsidP="00DA1726">
            <w:pPr>
              <w:jc w:val="both"/>
              <w:rPr>
                <w:sz w:val="28"/>
                <w:szCs w:val="28"/>
                <w:lang w:val="es-ES_tradnl"/>
              </w:rPr>
            </w:pPr>
            <w:r w:rsidRPr="00DA1726">
              <w:rPr>
                <w:sz w:val="28"/>
                <w:szCs w:val="28"/>
                <w:lang w:val="es-ES_tradnl"/>
              </w:rPr>
              <w:t>Coosalud</w:t>
            </w:r>
          </w:p>
        </w:tc>
      </w:tr>
      <w:tr w:rsidR="00362C5F" w:rsidRPr="00DA1726" w:rsidTr="00332C06">
        <w:tc>
          <w:tcPr>
            <w:tcW w:w="1228" w:type="dxa"/>
            <w:vMerge/>
            <w:vAlign w:val="center"/>
          </w:tcPr>
          <w:p w:rsidR="00362C5F" w:rsidRPr="00DA1726" w:rsidRDefault="00362C5F" w:rsidP="00DA1726">
            <w:pPr>
              <w:jc w:val="both"/>
              <w:rPr>
                <w:sz w:val="28"/>
                <w:szCs w:val="28"/>
                <w:lang w:val="es-ES_tradnl"/>
              </w:rPr>
            </w:pPr>
          </w:p>
        </w:tc>
        <w:tc>
          <w:tcPr>
            <w:tcW w:w="3263" w:type="dxa"/>
            <w:tcBorders>
              <w:top w:val="nil"/>
            </w:tcBorders>
          </w:tcPr>
          <w:p w:rsidR="00362C5F" w:rsidRPr="00DA1726" w:rsidRDefault="00362C5F" w:rsidP="00DA1726">
            <w:pPr>
              <w:jc w:val="both"/>
              <w:rPr>
                <w:sz w:val="28"/>
                <w:szCs w:val="28"/>
                <w:lang w:val="es-ES_tradnl"/>
              </w:rPr>
            </w:pPr>
            <w:r w:rsidRPr="00DA1726">
              <w:rPr>
                <w:sz w:val="28"/>
                <w:szCs w:val="28"/>
                <w:lang w:val="es-ES_tradnl"/>
              </w:rPr>
              <w:t>Sanitas Sura</w:t>
            </w:r>
          </w:p>
        </w:tc>
        <w:tc>
          <w:tcPr>
            <w:tcW w:w="2549" w:type="dxa"/>
            <w:tcBorders>
              <w:top w:val="nil"/>
              <w:right w:val="nil"/>
            </w:tcBorders>
          </w:tcPr>
          <w:p w:rsidR="00362C5F" w:rsidRPr="00DA1726" w:rsidRDefault="00362C5F" w:rsidP="00DA1726">
            <w:pPr>
              <w:jc w:val="both"/>
              <w:rPr>
                <w:sz w:val="28"/>
                <w:szCs w:val="28"/>
                <w:lang w:val="es-ES_tradnl"/>
              </w:rPr>
            </w:pPr>
            <w:r w:rsidRPr="00DA1726">
              <w:rPr>
                <w:sz w:val="28"/>
                <w:szCs w:val="28"/>
                <w:lang w:val="es-ES_tradnl"/>
              </w:rPr>
              <w:t>Ccf Sucre Comfaboy</w:t>
            </w:r>
          </w:p>
        </w:tc>
        <w:tc>
          <w:tcPr>
            <w:tcW w:w="1843" w:type="dxa"/>
            <w:tcBorders>
              <w:top w:val="nil"/>
              <w:left w:val="nil"/>
            </w:tcBorders>
          </w:tcPr>
          <w:p w:rsidR="00362C5F" w:rsidRPr="00DA1726" w:rsidRDefault="00362C5F" w:rsidP="00DA1726">
            <w:pPr>
              <w:jc w:val="both"/>
              <w:rPr>
                <w:sz w:val="28"/>
                <w:szCs w:val="28"/>
                <w:lang w:val="es-ES_tradnl"/>
              </w:rPr>
            </w:pPr>
            <w:r w:rsidRPr="00DA1726">
              <w:rPr>
                <w:sz w:val="28"/>
                <w:szCs w:val="28"/>
                <w:lang w:val="es-ES_tradnl"/>
              </w:rPr>
              <w:t>Saludvida</w:t>
            </w:r>
          </w:p>
        </w:tc>
      </w:tr>
      <w:tr w:rsidR="00362C5F" w:rsidRPr="00DA1726" w:rsidTr="00332C06">
        <w:tc>
          <w:tcPr>
            <w:tcW w:w="1228" w:type="dxa"/>
            <w:vMerge w:val="restart"/>
            <w:vAlign w:val="center"/>
          </w:tcPr>
          <w:p w:rsidR="00362C5F" w:rsidRPr="00DA1726" w:rsidRDefault="00362C5F" w:rsidP="00DA1726">
            <w:pPr>
              <w:jc w:val="both"/>
              <w:rPr>
                <w:sz w:val="28"/>
                <w:szCs w:val="28"/>
                <w:lang w:val="es-ES"/>
              </w:rPr>
            </w:pPr>
            <w:r w:rsidRPr="00DA1726">
              <w:rPr>
                <w:sz w:val="28"/>
                <w:szCs w:val="28"/>
                <w:lang w:val="es-ES_tradnl"/>
              </w:rPr>
              <w:t>2</w:t>
            </w:r>
          </w:p>
        </w:tc>
        <w:tc>
          <w:tcPr>
            <w:tcW w:w="3263" w:type="dxa"/>
            <w:tcBorders>
              <w:bottom w:val="nil"/>
            </w:tcBorders>
            <w:vAlign w:val="center"/>
          </w:tcPr>
          <w:p w:rsidR="00362C5F" w:rsidRPr="00DA1726" w:rsidRDefault="00362C5F" w:rsidP="00DA1726">
            <w:pPr>
              <w:jc w:val="both"/>
              <w:rPr>
                <w:sz w:val="28"/>
                <w:szCs w:val="28"/>
                <w:lang w:val="es-ES_tradnl"/>
              </w:rPr>
            </w:pPr>
            <w:r w:rsidRPr="00DA1726">
              <w:rPr>
                <w:sz w:val="28"/>
                <w:szCs w:val="28"/>
                <w:lang w:val="es-ES_tradnl"/>
              </w:rPr>
              <w:t>Comfenalco Valle</w:t>
            </w:r>
          </w:p>
        </w:tc>
        <w:tc>
          <w:tcPr>
            <w:tcW w:w="2549" w:type="dxa"/>
            <w:tcBorders>
              <w:bottom w:val="nil"/>
              <w:right w:val="nil"/>
            </w:tcBorders>
            <w:vAlign w:val="center"/>
          </w:tcPr>
          <w:p w:rsidR="00362C5F" w:rsidRPr="00DA1726" w:rsidRDefault="00362C5F" w:rsidP="00DA1726">
            <w:pPr>
              <w:jc w:val="both"/>
              <w:rPr>
                <w:sz w:val="28"/>
                <w:szCs w:val="28"/>
                <w:lang w:val="es-ES_tradnl"/>
              </w:rPr>
            </w:pPr>
            <w:r w:rsidRPr="00DA1726">
              <w:rPr>
                <w:sz w:val="28"/>
                <w:szCs w:val="28"/>
                <w:lang w:val="es-ES_tradnl"/>
              </w:rPr>
              <w:t>Ambuq</w:t>
            </w:r>
          </w:p>
        </w:tc>
        <w:tc>
          <w:tcPr>
            <w:tcW w:w="1843" w:type="dxa"/>
            <w:tcBorders>
              <w:left w:val="nil"/>
              <w:bottom w:val="nil"/>
            </w:tcBorders>
            <w:vAlign w:val="center"/>
          </w:tcPr>
          <w:p w:rsidR="00362C5F" w:rsidRPr="00DA1726" w:rsidRDefault="00362C5F" w:rsidP="00DA1726">
            <w:pPr>
              <w:jc w:val="both"/>
              <w:rPr>
                <w:sz w:val="28"/>
                <w:szCs w:val="28"/>
                <w:lang w:val="es-ES_tradnl"/>
              </w:rPr>
            </w:pPr>
            <w:r w:rsidRPr="00DA1726">
              <w:rPr>
                <w:sz w:val="28"/>
                <w:szCs w:val="28"/>
                <w:lang w:val="es-ES_tradnl"/>
              </w:rPr>
              <w:t>Comfacor</w:t>
            </w:r>
          </w:p>
        </w:tc>
      </w:tr>
      <w:tr w:rsidR="00362C5F" w:rsidRPr="00DA1726" w:rsidTr="00332C06">
        <w:tc>
          <w:tcPr>
            <w:tcW w:w="1228" w:type="dxa"/>
            <w:vMerge/>
            <w:vAlign w:val="center"/>
          </w:tcPr>
          <w:p w:rsidR="00362C5F" w:rsidRPr="00DA1726" w:rsidRDefault="00362C5F" w:rsidP="00DA1726">
            <w:pPr>
              <w:jc w:val="both"/>
              <w:rPr>
                <w:sz w:val="28"/>
                <w:szCs w:val="28"/>
                <w:lang w:val="es-ES"/>
              </w:rPr>
            </w:pPr>
          </w:p>
        </w:tc>
        <w:tc>
          <w:tcPr>
            <w:tcW w:w="3263" w:type="dxa"/>
            <w:tcBorders>
              <w:top w:val="nil"/>
              <w:bottom w:val="nil"/>
            </w:tcBorders>
          </w:tcPr>
          <w:p w:rsidR="00362C5F" w:rsidRPr="00DA1726" w:rsidRDefault="00362C5F" w:rsidP="00DA1726">
            <w:pPr>
              <w:jc w:val="both"/>
              <w:rPr>
                <w:sz w:val="28"/>
                <w:szCs w:val="28"/>
                <w:lang w:val="es-ES_tradnl"/>
              </w:rPr>
            </w:pPr>
            <w:r w:rsidRPr="00DA1726">
              <w:rPr>
                <w:sz w:val="28"/>
                <w:szCs w:val="28"/>
                <w:lang w:val="es-ES_tradnl"/>
              </w:rPr>
              <w:t>Compensar</w:t>
            </w:r>
          </w:p>
        </w:tc>
        <w:tc>
          <w:tcPr>
            <w:tcW w:w="2549" w:type="dxa"/>
            <w:tcBorders>
              <w:top w:val="nil"/>
              <w:bottom w:val="nil"/>
              <w:right w:val="nil"/>
            </w:tcBorders>
          </w:tcPr>
          <w:p w:rsidR="00362C5F" w:rsidRPr="00DA1726" w:rsidRDefault="00362C5F" w:rsidP="00DA1726">
            <w:pPr>
              <w:jc w:val="both"/>
              <w:rPr>
                <w:sz w:val="28"/>
                <w:szCs w:val="28"/>
                <w:lang w:val="es-ES_tradnl"/>
              </w:rPr>
            </w:pPr>
            <w:r w:rsidRPr="00DA1726">
              <w:rPr>
                <w:sz w:val="28"/>
                <w:szCs w:val="28"/>
                <w:lang w:val="es-ES_tradnl"/>
              </w:rPr>
              <w:t>Asmet</w:t>
            </w:r>
          </w:p>
        </w:tc>
        <w:tc>
          <w:tcPr>
            <w:tcW w:w="1843" w:type="dxa"/>
            <w:tcBorders>
              <w:top w:val="nil"/>
              <w:left w:val="nil"/>
              <w:bottom w:val="nil"/>
            </w:tcBorders>
          </w:tcPr>
          <w:p w:rsidR="00362C5F" w:rsidRPr="00DA1726" w:rsidRDefault="00362C5F" w:rsidP="00DA1726">
            <w:pPr>
              <w:jc w:val="both"/>
              <w:rPr>
                <w:sz w:val="28"/>
                <w:szCs w:val="28"/>
                <w:lang w:val="es-ES_tradnl"/>
              </w:rPr>
            </w:pPr>
            <w:r w:rsidRPr="00DA1726">
              <w:rPr>
                <w:sz w:val="28"/>
                <w:szCs w:val="28"/>
                <w:lang w:val="es-ES_tradnl"/>
              </w:rPr>
              <w:t>Comparta</w:t>
            </w:r>
          </w:p>
        </w:tc>
      </w:tr>
      <w:tr w:rsidR="00362C5F" w:rsidRPr="00DA1726" w:rsidTr="00332C06">
        <w:tc>
          <w:tcPr>
            <w:tcW w:w="1228" w:type="dxa"/>
            <w:vMerge/>
            <w:vAlign w:val="center"/>
          </w:tcPr>
          <w:p w:rsidR="00362C5F" w:rsidRPr="00DA1726" w:rsidRDefault="00362C5F" w:rsidP="00DA1726">
            <w:pPr>
              <w:jc w:val="both"/>
              <w:rPr>
                <w:sz w:val="28"/>
                <w:szCs w:val="28"/>
                <w:lang w:val="es-ES_tradnl"/>
              </w:rPr>
            </w:pPr>
          </w:p>
        </w:tc>
        <w:tc>
          <w:tcPr>
            <w:tcW w:w="3263" w:type="dxa"/>
            <w:tcBorders>
              <w:top w:val="nil"/>
              <w:bottom w:val="nil"/>
            </w:tcBorders>
          </w:tcPr>
          <w:p w:rsidR="00362C5F" w:rsidRPr="00DA1726" w:rsidRDefault="00362C5F" w:rsidP="00DA1726">
            <w:pPr>
              <w:jc w:val="both"/>
              <w:rPr>
                <w:sz w:val="28"/>
                <w:szCs w:val="28"/>
                <w:lang w:val="es-ES_tradnl"/>
              </w:rPr>
            </w:pPr>
            <w:r w:rsidRPr="00DA1726">
              <w:rPr>
                <w:sz w:val="28"/>
                <w:szCs w:val="28"/>
                <w:lang w:val="es-ES_tradnl"/>
              </w:rPr>
              <w:t>Salud Total</w:t>
            </w:r>
          </w:p>
        </w:tc>
        <w:tc>
          <w:tcPr>
            <w:tcW w:w="2549" w:type="dxa"/>
            <w:tcBorders>
              <w:top w:val="nil"/>
              <w:bottom w:val="nil"/>
              <w:right w:val="nil"/>
            </w:tcBorders>
          </w:tcPr>
          <w:p w:rsidR="00362C5F" w:rsidRPr="00DA1726" w:rsidRDefault="00362C5F" w:rsidP="00DA1726">
            <w:pPr>
              <w:jc w:val="both"/>
              <w:rPr>
                <w:sz w:val="28"/>
                <w:szCs w:val="28"/>
                <w:lang w:val="es-ES_tradnl"/>
              </w:rPr>
            </w:pPr>
            <w:r w:rsidRPr="00DA1726">
              <w:rPr>
                <w:sz w:val="28"/>
                <w:szCs w:val="28"/>
                <w:lang w:val="es-ES_tradnl"/>
              </w:rPr>
              <w:t>Cafesalud</w:t>
            </w:r>
          </w:p>
        </w:tc>
        <w:tc>
          <w:tcPr>
            <w:tcW w:w="1843" w:type="dxa"/>
            <w:tcBorders>
              <w:top w:val="nil"/>
              <w:left w:val="nil"/>
              <w:bottom w:val="nil"/>
            </w:tcBorders>
          </w:tcPr>
          <w:p w:rsidR="00362C5F" w:rsidRPr="00DA1726" w:rsidRDefault="00362C5F" w:rsidP="00DA1726">
            <w:pPr>
              <w:jc w:val="both"/>
              <w:rPr>
                <w:sz w:val="28"/>
                <w:szCs w:val="28"/>
                <w:lang w:val="es-ES_tradnl"/>
              </w:rPr>
            </w:pPr>
            <w:r w:rsidRPr="00DA1726">
              <w:rPr>
                <w:sz w:val="28"/>
                <w:szCs w:val="28"/>
                <w:lang w:val="es-ES_tradnl"/>
              </w:rPr>
              <w:t>Ecoopsos</w:t>
            </w:r>
          </w:p>
        </w:tc>
      </w:tr>
      <w:tr w:rsidR="00362C5F" w:rsidRPr="00DA1726" w:rsidTr="00332C06">
        <w:tc>
          <w:tcPr>
            <w:tcW w:w="1228" w:type="dxa"/>
            <w:vMerge/>
            <w:vAlign w:val="center"/>
          </w:tcPr>
          <w:p w:rsidR="00362C5F" w:rsidRPr="00DA1726" w:rsidRDefault="00362C5F" w:rsidP="00DA1726">
            <w:pPr>
              <w:jc w:val="both"/>
              <w:rPr>
                <w:sz w:val="28"/>
                <w:szCs w:val="28"/>
                <w:lang w:val="es-ES"/>
              </w:rPr>
            </w:pPr>
          </w:p>
        </w:tc>
        <w:tc>
          <w:tcPr>
            <w:tcW w:w="3263" w:type="dxa"/>
            <w:tcBorders>
              <w:top w:val="nil"/>
              <w:bottom w:val="nil"/>
            </w:tcBorders>
          </w:tcPr>
          <w:p w:rsidR="00362C5F" w:rsidRPr="00DA1726" w:rsidRDefault="00362C5F" w:rsidP="00DA1726">
            <w:pPr>
              <w:jc w:val="both"/>
              <w:rPr>
                <w:sz w:val="28"/>
                <w:szCs w:val="28"/>
                <w:lang w:val="es-ES_tradnl"/>
              </w:rPr>
            </w:pPr>
            <w:r w:rsidRPr="00DA1726">
              <w:rPr>
                <w:sz w:val="28"/>
                <w:szCs w:val="28"/>
                <w:lang w:val="es-ES_tradnl"/>
              </w:rPr>
              <w:t>Salud Vida</w:t>
            </w:r>
          </w:p>
        </w:tc>
        <w:tc>
          <w:tcPr>
            <w:tcW w:w="2549" w:type="dxa"/>
            <w:tcBorders>
              <w:top w:val="nil"/>
              <w:bottom w:val="nil"/>
              <w:right w:val="nil"/>
            </w:tcBorders>
          </w:tcPr>
          <w:p w:rsidR="00362C5F" w:rsidRPr="00DA1726" w:rsidRDefault="00362C5F" w:rsidP="00DA1726">
            <w:pPr>
              <w:jc w:val="both"/>
              <w:rPr>
                <w:sz w:val="28"/>
                <w:szCs w:val="28"/>
                <w:lang w:val="es-ES_tradnl"/>
              </w:rPr>
            </w:pPr>
            <w:r w:rsidRPr="00DA1726">
              <w:rPr>
                <w:sz w:val="28"/>
                <w:szCs w:val="28"/>
                <w:lang w:val="es-ES_tradnl"/>
              </w:rPr>
              <w:t>Cajacopi</w:t>
            </w:r>
          </w:p>
        </w:tc>
        <w:tc>
          <w:tcPr>
            <w:tcW w:w="1843" w:type="dxa"/>
            <w:tcBorders>
              <w:top w:val="nil"/>
              <w:left w:val="nil"/>
              <w:bottom w:val="nil"/>
            </w:tcBorders>
          </w:tcPr>
          <w:p w:rsidR="00362C5F" w:rsidRPr="00DA1726" w:rsidRDefault="00362C5F" w:rsidP="00DA1726">
            <w:pPr>
              <w:jc w:val="both"/>
              <w:rPr>
                <w:sz w:val="28"/>
                <w:szCs w:val="28"/>
                <w:lang w:val="es-ES_tradnl"/>
              </w:rPr>
            </w:pPr>
            <w:r w:rsidRPr="00DA1726">
              <w:rPr>
                <w:sz w:val="28"/>
                <w:szCs w:val="28"/>
                <w:lang w:val="es-ES_tradnl"/>
              </w:rPr>
              <w:t>Emdisalud</w:t>
            </w:r>
          </w:p>
        </w:tc>
      </w:tr>
      <w:tr w:rsidR="00362C5F" w:rsidRPr="00DA1726" w:rsidTr="00332C06">
        <w:tc>
          <w:tcPr>
            <w:tcW w:w="1228" w:type="dxa"/>
            <w:vMerge/>
            <w:vAlign w:val="center"/>
          </w:tcPr>
          <w:p w:rsidR="00362C5F" w:rsidRPr="00DA1726" w:rsidRDefault="00362C5F" w:rsidP="00DA1726">
            <w:pPr>
              <w:jc w:val="both"/>
              <w:rPr>
                <w:sz w:val="28"/>
                <w:szCs w:val="28"/>
                <w:lang w:val="es-ES"/>
              </w:rPr>
            </w:pPr>
          </w:p>
        </w:tc>
        <w:tc>
          <w:tcPr>
            <w:tcW w:w="3263" w:type="dxa"/>
            <w:tcBorders>
              <w:top w:val="nil"/>
            </w:tcBorders>
          </w:tcPr>
          <w:p w:rsidR="00362C5F" w:rsidRPr="00DA1726" w:rsidRDefault="00362C5F" w:rsidP="00DA1726">
            <w:pPr>
              <w:jc w:val="both"/>
              <w:rPr>
                <w:sz w:val="28"/>
                <w:szCs w:val="28"/>
                <w:lang w:val="es-ES_tradnl"/>
              </w:rPr>
            </w:pPr>
            <w:r w:rsidRPr="00DA1726">
              <w:rPr>
                <w:sz w:val="28"/>
                <w:szCs w:val="28"/>
                <w:lang w:val="es-ES_tradnl"/>
              </w:rPr>
              <w:t>Sos</w:t>
            </w:r>
          </w:p>
        </w:tc>
        <w:tc>
          <w:tcPr>
            <w:tcW w:w="2549" w:type="dxa"/>
            <w:tcBorders>
              <w:top w:val="nil"/>
              <w:right w:val="nil"/>
            </w:tcBorders>
          </w:tcPr>
          <w:p w:rsidR="00362C5F" w:rsidRPr="00DA1726" w:rsidRDefault="00362C5F" w:rsidP="00DA1726">
            <w:pPr>
              <w:jc w:val="both"/>
              <w:rPr>
                <w:sz w:val="28"/>
                <w:szCs w:val="28"/>
                <w:lang w:val="es-ES_tradnl"/>
              </w:rPr>
            </w:pPr>
            <w:r w:rsidRPr="00DA1726">
              <w:rPr>
                <w:sz w:val="28"/>
                <w:szCs w:val="28"/>
                <w:lang w:val="es-ES_tradnl"/>
              </w:rPr>
              <w:t>Capresoca Ccf Huila</w:t>
            </w:r>
          </w:p>
        </w:tc>
        <w:tc>
          <w:tcPr>
            <w:tcW w:w="1843" w:type="dxa"/>
            <w:tcBorders>
              <w:top w:val="nil"/>
              <w:left w:val="nil"/>
            </w:tcBorders>
          </w:tcPr>
          <w:p w:rsidR="00362C5F" w:rsidRPr="00DA1726" w:rsidRDefault="00362C5F" w:rsidP="00DA1726">
            <w:pPr>
              <w:jc w:val="both"/>
              <w:rPr>
                <w:sz w:val="28"/>
                <w:szCs w:val="28"/>
                <w:lang w:val="es-ES_tradnl"/>
              </w:rPr>
            </w:pPr>
            <w:r w:rsidRPr="00DA1726">
              <w:rPr>
                <w:sz w:val="28"/>
                <w:szCs w:val="28"/>
                <w:lang w:val="es-ES_tradnl"/>
              </w:rPr>
              <w:t>Mutual Ser</w:t>
            </w:r>
          </w:p>
        </w:tc>
      </w:tr>
      <w:tr w:rsidR="00362C5F" w:rsidRPr="00DA1726" w:rsidTr="00332C06">
        <w:tc>
          <w:tcPr>
            <w:tcW w:w="1228" w:type="dxa"/>
            <w:vMerge w:val="restart"/>
            <w:vAlign w:val="center"/>
          </w:tcPr>
          <w:p w:rsidR="00362C5F" w:rsidRPr="00DA1726" w:rsidRDefault="00362C5F" w:rsidP="00DA1726">
            <w:pPr>
              <w:jc w:val="both"/>
              <w:rPr>
                <w:sz w:val="28"/>
                <w:szCs w:val="28"/>
                <w:lang w:val="es-ES_tradnl"/>
              </w:rPr>
            </w:pPr>
            <w:r w:rsidRPr="00DA1726">
              <w:rPr>
                <w:sz w:val="28"/>
                <w:szCs w:val="28"/>
                <w:lang w:val="es-ES_tradnl"/>
              </w:rPr>
              <w:t>3</w:t>
            </w:r>
          </w:p>
        </w:tc>
        <w:tc>
          <w:tcPr>
            <w:tcW w:w="3263" w:type="dxa"/>
            <w:tcBorders>
              <w:bottom w:val="nil"/>
            </w:tcBorders>
          </w:tcPr>
          <w:p w:rsidR="00362C5F" w:rsidRPr="00DA1726" w:rsidRDefault="00362C5F" w:rsidP="00DA1726">
            <w:pPr>
              <w:jc w:val="both"/>
              <w:rPr>
                <w:sz w:val="28"/>
                <w:szCs w:val="28"/>
                <w:lang w:val="es-ES_tradnl"/>
              </w:rPr>
            </w:pPr>
            <w:r w:rsidRPr="00DA1726">
              <w:rPr>
                <w:sz w:val="28"/>
                <w:szCs w:val="28"/>
                <w:lang w:val="es-ES_tradnl"/>
              </w:rPr>
              <w:t>Cafesalud</w:t>
            </w:r>
          </w:p>
        </w:tc>
        <w:tc>
          <w:tcPr>
            <w:tcW w:w="2549" w:type="dxa"/>
            <w:tcBorders>
              <w:bottom w:val="nil"/>
              <w:right w:val="nil"/>
            </w:tcBorders>
          </w:tcPr>
          <w:p w:rsidR="00362C5F" w:rsidRPr="00DA1726" w:rsidRDefault="00362C5F" w:rsidP="00DA1726">
            <w:pPr>
              <w:jc w:val="both"/>
              <w:rPr>
                <w:sz w:val="28"/>
                <w:szCs w:val="28"/>
                <w:lang w:val="es-ES_tradnl"/>
              </w:rPr>
            </w:pPr>
            <w:r w:rsidRPr="00DA1726">
              <w:rPr>
                <w:sz w:val="28"/>
                <w:szCs w:val="28"/>
                <w:lang w:val="es-ES_tradnl"/>
              </w:rPr>
              <w:t>Capital Salud</w:t>
            </w:r>
          </w:p>
        </w:tc>
        <w:tc>
          <w:tcPr>
            <w:tcW w:w="1843" w:type="dxa"/>
            <w:tcBorders>
              <w:left w:val="nil"/>
              <w:bottom w:val="nil"/>
            </w:tcBorders>
          </w:tcPr>
          <w:p w:rsidR="00362C5F" w:rsidRPr="00DA1726" w:rsidRDefault="00362C5F" w:rsidP="00DA1726">
            <w:pPr>
              <w:jc w:val="both"/>
              <w:rPr>
                <w:sz w:val="28"/>
                <w:szCs w:val="28"/>
                <w:lang w:val="es-ES_tradnl"/>
              </w:rPr>
            </w:pPr>
            <w:r w:rsidRPr="00DA1726">
              <w:rPr>
                <w:sz w:val="28"/>
                <w:szCs w:val="28"/>
                <w:lang w:val="es-ES_tradnl"/>
              </w:rPr>
              <w:t>Convida</w:t>
            </w:r>
          </w:p>
        </w:tc>
      </w:tr>
      <w:tr w:rsidR="00362C5F" w:rsidRPr="00DA1726" w:rsidTr="00332C06">
        <w:tc>
          <w:tcPr>
            <w:tcW w:w="1228" w:type="dxa"/>
            <w:vMerge/>
          </w:tcPr>
          <w:p w:rsidR="00362C5F" w:rsidRPr="00DA1726" w:rsidRDefault="00362C5F" w:rsidP="00DA1726">
            <w:pPr>
              <w:jc w:val="both"/>
              <w:rPr>
                <w:sz w:val="28"/>
                <w:szCs w:val="28"/>
                <w:lang w:val="es-ES_tradnl"/>
              </w:rPr>
            </w:pPr>
          </w:p>
        </w:tc>
        <w:tc>
          <w:tcPr>
            <w:tcW w:w="3263" w:type="dxa"/>
            <w:tcBorders>
              <w:top w:val="nil"/>
              <w:bottom w:val="nil"/>
            </w:tcBorders>
          </w:tcPr>
          <w:p w:rsidR="00362C5F" w:rsidRPr="00DA1726" w:rsidRDefault="00362C5F" w:rsidP="00DA1726">
            <w:pPr>
              <w:jc w:val="both"/>
              <w:rPr>
                <w:sz w:val="28"/>
                <w:szCs w:val="28"/>
                <w:lang w:val="es-ES_tradnl"/>
              </w:rPr>
            </w:pPr>
            <w:r w:rsidRPr="00DA1726">
              <w:rPr>
                <w:sz w:val="28"/>
                <w:szCs w:val="28"/>
                <w:lang w:val="es-ES_tradnl"/>
              </w:rPr>
              <w:t xml:space="preserve">Coomeva </w:t>
            </w:r>
          </w:p>
        </w:tc>
        <w:tc>
          <w:tcPr>
            <w:tcW w:w="2549" w:type="dxa"/>
            <w:tcBorders>
              <w:top w:val="nil"/>
              <w:bottom w:val="nil"/>
              <w:right w:val="nil"/>
            </w:tcBorders>
          </w:tcPr>
          <w:p w:rsidR="00362C5F" w:rsidRPr="00DA1726" w:rsidRDefault="00362C5F" w:rsidP="00DA1726">
            <w:pPr>
              <w:jc w:val="both"/>
              <w:rPr>
                <w:sz w:val="28"/>
                <w:szCs w:val="28"/>
                <w:lang w:val="es-ES_tradnl"/>
              </w:rPr>
            </w:pPr>
            <w:r w:rsidRPr="00DA1726">
              <w:rPr>
                <w:sz w:val="28"/>
                <w:szCs w:val="28"/>
                <w:lang w:val="es-ES_tradnl"/>
              </w:rPr>
              <w:t xml:space="preserve">Ccf Cartagena </w:t>
            </w:r>
          </w:p>
        </w:tc>
        <w:tc>
          <w:tcPr>
            <w:tcW w:w="1843" w:type="dxa"/>
            <w:tcBorders>
              <w:top w:val="nil"/>
              <w:left w:val="nil"/>
              <w:bottom w:val="nil"/>
            </w:tcBorders>
          </w:tcPr>
          <w:p w:rsidR="00362C5F" w:rsidRPr="00DA1726" w:rsidRDefault="00362C5F" w:rsidP="00DA1726">
            <w:pPr>
              <w:jc w:val="both"/>
              <w:rPr>
                <w:sz w:val="28"/>
                <w:szCs w:val="28"/>
                <w:lang w:val="es-ES_tradnl"/>
              </w:rPr>
            </w:pPr>
            <w:r w:rsidRPr="00DA1726">
              <w:rPr>
                <w:sz w:val="28"/>
                <w:szCs w:val="28"/>
                <w:lang w:val="es-ES_tradnl"/>
              </w:rPr>
              <w:t xml:space="preserve">Emssanar </w:t>
            </w:r>
          </w:p>
        </w:tc>
      </w:tr>
      <w:tr w:rsidR="00362C5F" w:rsidRPr="00DA1726" w:rsidTr="00332C06">
        <w:tc>
          <w:tcPr>
            <w:tcW w:w="1228" w:type="dxa"/>
            <w:vMerge/>
          </w:tcPr>
          <w:p w:rsidR="00362C5F" w:rsidRPr="00DA1726" w:rsidRDefault="00362C5F" w:rsidP="00DA1726">
            <w:pPr>
              <w:jc w:val="both"/>
              <w:rPr>
                <w:sz w:val="28"/>
                <w:szCs w:val="28"/>
                <w:lang w:val="es-ES_tradnl"/>
              </w:rPr>
            </w:pPr>
          </w:p>
        </w:tc>
        <w:tc>
          <w:tcPr>
            <w:tcW w:w="3263" w:type="dxa"/>
            <w:tcBorders>
              <w:top w:val="nil"/>
              <w:bottom w:val="nil"/>
            </w:tcBorders>
          </w:tcPr>
          <w:p w:rsidR="00362C5F" w:rsidRPr="00DA1726" w:rsidRDefault="00362C5F" w:rsidP="00DA1726">
            <w:pPr>
              <w:jc w:val="both"/>
              <w:rPr>
                <w:sz w:val="28"/>
                <w:szCs w:val="28"/>
                <w:lang w:val="es-ES_tradnl"/>
              </w:rPr>
            </w:pPr>
            <w:r w:rsidRPr="00DA1726">
              <w:rPr>
                <w:sz w:val="28"/>
                <w:szCs w:val="28"/>
                <w:lang w:val="es-ES_tradnl"/>
              </w:rPr>
              <w:t>Cruzblanca</w:t>
            </w:r>
          </w:p>
        </w:tc>
        <w:tc>
          <w:tcPr>
            <w:tcW w:w="2549" w:type="dxa"/>
            <w:tcBorders>
              <w:top w:val="nil"/>
              <w:bottom w:val="nil"/>
              <w:right w:val="nil"/>
            </w:tcBorders>
          </w:tcPr>
          <w:p w:rsidR="00362C5F" w:rsidRPr="00DA1726" w:rsidRDefault="00362C5F" w:rsidP="00DA1726">
            <w:pPr>
              <w:jc w:val="both"/>
              <w:rPr>
                <w:sz w:val="28"/>
                <w:szCs w:val="28"/>
                <w:lang w:val="es-ES_tradnl"/>
              </w:rPr>
            </w:pPr>
            <w:r w:rsidRPr="00DA1726">
              <w:rPr>
                <w:sz w:val="28"/>
                <w:szCs w:val="28"/>
                <w:lang w:val="es-ES_tradnl"/>
              </w:rPr>
              <w:t xml:space="preserve">Ccf Chocó </w:t>
            </w:r>
          </w:p>
        </w:tc>
        <w:tc>
          <w:tcPr>
            <w:tcW w:w="1843" w:type="dxa"/>
            <w:tcBorders>
              <w:top w:val="nil"/>
              <w:left w:val="nil"/>
              <w:bottom w:val="nil"/>
            </w:tcBorders>
          </w:tcPr>
          <w:p w:rsidR="00362C5F" w:rsidRPr="00DA1726" w:rsidRDefault="00362C5F" w:rsidP="00DA1726">
            <w:pPr>
              <w:jc w:val="both"/>
              <w:rPr>
                <w:sz w:val="28"/>
                <w:szCs w:val="28"/>
                <w:lang w:val="es-ES_tradnl"/>
              </w:rPr>
            </w:pPr>
            <w:r w:rsidRPr="00DA1726">
              <w:rPr>
                <w:sz w:val="28"/>
                <w:szCs w:val="28"/>
                <w:lang w:val="es-ES_tradnl"/>
              </w:rPr>
              <w:t xml:space="preserve">Savia </w:t>
            </w:r>
          </w:p>
        </w:tc>
      </w:tr>
      <w:tr w:rsidR="00362C5F" w:rsidRPr="00DA1726" w:rsidTr="00332C06">
        <w:tc>
          <w:tcPr>
            <w:tcW w:w="1228" w:type="dxa"/>
            <w:vMerge/>
          </w:tcPr>
          <w:p w:rsidR="00362C5F" w:rsidRPr="00DA1726" w:rsidRDefault="00362C5F" w:rsidP="00DA1726">
            <w:pPr>
              <w:jc w:val="both"/>
              <w:rPr>
                <w:sz w:val="28"/>
                <w:szCs w:val="28"/>
                <w:lang w:val="es-ES"/>
              </w:rPr>
            </w:pPr>
          </w:p>
        </w:tc>
        <w:tc>
          <w:tcPr>
            <w:tcW w:w="3263" w:type="dxa"/>
            <w:tcBorders>
              <w:top w:val="nil"/>
            </w:tcBorders>
          </w:tcPr>
          <w:p w:rsidR="00362C5F" w:rsidRPr="00DA1726" w:rsidRDefault="00362C5F" w:rsidP="00DA1726">
            <w:pPr>
              <w:jc w:val="both"/>
              <w:rPr>
                <w:sz w:val="28"/>
                <w:szCs w:val="28"/>
                <w:lang w:val="es-ES_tradnl"/>
              </w:rPr>
            </w:pPr>
            <w:r w:rsidRPr="00DA1726">
              <w:rPr>
                <w:sz w:val="28"/>
                <w:szCs w:val="28"/>
                <w:lang w:val="es-ES_tradnl"/>
              </w:rPr>
              <w:t>Nueva Eps</w:t>
            </w:r>
          </w:p>
        </w:tc>
        <w:tc>
          <w:tcPr>
            <w:tcW w:w="4392" w:type="dxa"/>
            <w:gridSpan w:val="2"/>
            <w:tcBorders>
              <w:top w:val="nil"/>
            </w:tcBorders>
          </w:tcPr>
          <w:p w:rsidR="00362C5F" w:rsidRPr="00DA1726" w:rsidRDefault="00362C5F" w:rsidP="00DA1726">
            <w:pPr>
              <w:jc w:val="both"/>
              <w:rPr>
                <w:sz w:val="28"/>
                <w:szCs w:val="28"/>
                <w:lang w:val="es-ES_tradnl"/>
              </w:rPr>
            </w:pPr>
            <w:r w:rsidRPr="00DA1726">
              <w:rPr>
                <w:sz w:val="28"/>
                <w:szCs w:val="28"/>
                <w:lang w:val="es-ES_tradnl"/>
              </w:rPr>
              <w:t>Comfacundi</w:t>
            </w:r>
          </w:p>
        </w:tc>
      </w:tr>
    </w:tbl>
    <w:p w:rsidR="007321DE" w:rsidRPr="00DA1726" w:rsidRDefault="007321DE" w:rsidP="00DA1726">
      <w:pPr>
        <w:jc w:val="both"/>
        <w:rPr>
          <w:sz w:val="28"/>
          <w:szCs w:val="28"/>
        </w:rPr>
      </w:pPr>
    </w:p>
    <w:p w:rsidR="00B07265" w:rsidRPr="00DA1726" w:rsidRDefault="00B45166" w:rsidP="00DA1726">
      <w:pPr>
        <w:jc w:val="both"/>
        <w:rPr>
          <w:i/>
          <w:sz w:val="28"/>
          <w:szCs w:val="28"/>
        </w:rPr>
      </w:pPr>
      <w:r w:rsidRPr="00DA1726">
        <w:rPr>
          <w:i/>
          <w:sz w:val="28"/>
          <w:szCs w:val="28"/>
        </w:rPr>
        <w:t>5</w:t>
      </w:r>
      <w:r w:rsidR="00896A2D" w:rsidRPr="00DA1726">
        <w:rPr>
          <w:i/>
          <w:sz w:val="28"/>
          <w:szCs w:val="28"/>
        </w:rPr>
        <w:t>.1.2. Conceptos de los peritos constitucionales.</w:t>
      </w:r>
    </w:p>
    <w:p w:rsidR="00B07265" w:rsidRPr="00DA1726" w:rsidRDefault="00B07265" w:rsidP="00DA1726">
      <w:pPr>
        <w:jc w:val="both"/>
        <w:rPr>
          <w:sz w:val="28"/>
          <w:szCs w:val="28"/>
        </w:rPr>
      </w:pPr>
    </w:p>
    <w:p w:rsidR="00332C06" w:rsidRPr="00DA1726" w:rsidRDefault="006148E3" w:rsidP="00DA1726">
      <w:pPr>
        <w:jc w:val="both"/>
        <w:rPr>
          <w:sz w:val="28"/>
          <w:szCs w:val="28"/>
        </w:rPr>
      </w:pPr>
      <w:r w:rsidRPr="00DA1726">
        <w:rPr>
          <w:sz w:val="28"/>
          <w:szCs w:val="28"/>
        </w:rPr>
        <w:t>A pesar de que este Tribunal a través de auto 219 de 2016 corrió traslado</w:t>
      </w:r>
      <w:r w:rsidR="00B34790" w:rsidRPr="00DA1726">
        <w:rPr>
          <w:sz w:val="28"/>
          <w:szCs w:val="28"/>
        </w:rPr>
        <w:t xml:space="preserve"> del citado informe</w:t>
      </w:r>
      <w:r w:rsidRPr="00DA1726">
        <w:rPr>
          <w:sz w:val="28"/>
          <w:szCs w:val="28"/>
        </w:rPr>
        <w:t xml:space="preserve"> a los peritos constitucionales, solo se obtuvo respuesta por parte de la CSR. No obstante, </w:t>
      </w:r>
      <w:r w:rsidR="00B34790" w:rsidRPr="00DA1726">
        <w:rPr>
          <w:sz w:val="28"/>
          <w:szCs w:val="28"/>
        </w:rPr>
        <w:t>estos se</w:t>
      </w:r>
      <w:r w:rsidR="00332C06" w:rsidRPr="00DA1726">
        <w:rPr>
          <w:sz w:val="28"/>
          <w:szCs w:val="28"/>
        </w:rPr>
        <w:t xml:space="preserve"> han pronunciado respecto</w:t>
      </w:r>
      <w:r w:rsidR="00B34790" w:rsidRPr="00DA1726">
        <w:rPr>
          <w:sz w:val="28"/>
          <w:szCs w:val="28"/>
        </w:rPr>
        <w:t xml:space="preserve"> a los anteriores informes dados por el Ministerio de Salud,</w:t>
      </w:r>
      <w:r w:rsidR="00332C06" w:rsidRPr="00DA1726">
        <w:rPr>
          <w:sz w:val="28"/>
          <w:szCs w:val="28"/>
        </w:rPr>
        <w:t xml:space="preserve"> específicamente en cuanto a </w:t>
      </w:r>
      <w:r w:rsidR="008909E4" w:rsidRPr="00DA1726">
        <w:rPr>
          <w:sz w:val="28"/>
          <w:szCs w:val="28"/>
        </w:rPr>
        <w:t xml:space="preserve">los mecanismos para la </w:t>
      </w:r>
      <w:r w:rsidR="00324431" w:rsidRPr="00DA1726">
        <w:rPr>
          <w:sz w:val="28"/>
          <w:szCs w:val="28"/>
        </w:rPr>
        <w:t>recolección</w:t>
      </w:r>
      <w:r w:rsidR="008909E4" w:rsidRPr="00DA1726">
        <w:rPr>
          <w:sz w:val="28"/>
          <w:szCs w:val="28"/>
        </w:rPr>
        <w:t xml:space="preserve"> de información, la importancia de dar claridad al ejercicio efectuado</w:t>
      </w:r>
      <w:r w:rsidR="0090606F" w:rsidRPr="00DA1726">
        <w:rPr>
          <w:sz w:val="28"/>
          <w:szCs w:val="28"/>
        </w:rPr>
        <w:t>, así como</w:t>
      </w:r>
      <w:r w:rsidR="008909E4" w:rsidRPr="00DA1726">
        <w:rPr>
          <w:sz w:val="28"/>
          <w:szCs w:val="28"/>
        </w:rPr>
        <w:t xml:space="preserve"> la valoración</w:t>
      </w:r>
      <w:r w:rsidR="0090606F" w:rsidRPr="00DA1726">
        <w:rPr>
          <w:sz w:val="28"/>
          <w:szCs w:val="28"/>
        </w:rPr>
        <w:t xml:space="preserve"> y eventual modificación</w:t>
      </w:r>
      <w:r w:rsidR="008909E4" w:rsidRPr="00DA1726">
        <w:rPr>
          <w:sz w:val="28"/>
          <w:szCs w:val="28"/>
        </w:rPr>
        <w:t xml:space="preserve"> </w:t>
      </w:r>
      <w:r w:rsidR="0090606F" w:rsidRPr="00DA1726">
        <w:rPr>
          <w:sz w:val="28"/>
          <w:szCs w:val="28"/>
        </w:rPr>
        <w:t>de los 14 criterios de vulneración</w:t>
      </w:r>
      <w:r w:rsidR="008909E4" w:rsidRPr="00DA1726">
        <w:rPr>
          <w:sz w:val="28"/>
          <w:szCs w:val="28"/>
          <w:vertAlign w:val="superscript"/>
        </w:rPr>
        <w:footnoteReference w:id="138"/>
      </w:r>
      <w:r w:rsidR="00332C06" w:rsidRPr="00DA1726">
        <w:rPr>
          <w:sz w:val="28"/>
          <w:szCs w:val="28"/>
        </w:rPr>
        <w:t>. En este sentido</w:t>
      </w:r>
      <w:r w:rsidR="00E61F15" w:rsidRPr="00DA1726">
        <w:rPr>
          <w:sz w:val="28"/>
          <w:szCs w:val="28"/>
        </w:rPr>
        <w:t>,</w:t>
      </w:r>
      <w:r w:rsidR="00332C06" w:rsidRPr="00DA1726">
        <w:rPr>
          <w:sz w:val="28"/>
          <w:szCs w:val="28"/>
        </w:rPr>
        <w:t xml:space="preserve"> se destacan las siguientes intervenciones: </w:t>
      </w:r>
    </w:p>
    <w:p w:rsidR="00654DEB" w:rsidRPr="00DA1726" w:rsidRDefault="00654DEB" w:rsidP="00DA1726">
      <w:pPr>
        <w:rPr>
          <w:sz w:val="28"/>
          <w:szCs w:val="28"/>
        </w:rPr>
      </w:pPr>
    </w:p>
    <w:p w:rsidR="00332C06" w:rsidRPr="00DA1726" w:rsidRDefault="009F1049"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CO"/>
        </w:rPr>
        <w:t>5.1.2.1.</w:t>
      </w:r>
      <w:r w:rsidR="008909E4" w:rsidRPr="00DA1726">
        <w:rPr>
          <w:rFonts w:ascii="Times New Roman" w:hAnsi="Times New Roman"/>
          <w:sz w:val="28"/>
          <w:szCs w:val="28"/>
          <w:lang w:val="es-ES_tradnl"/>
        </w:rPr>
        <w:t xml:space="preserve"> </w:t>
      </w:r>
      <w:r w:rsidR="008909E4" w:rsidRPr="00DA1726">
        <w:rPr>
          <w:rFonts w:ascii="Times New Roman" w:hAnsi="Times New Roman"/>
          <w:b/>
          <w:sz w:val="28"/>
          <w:szCs w:val="28"/>
          <w:lang w:val="es-ES_tradnl"/>
        </w:rPr>
        <w:t>E</w:t>
      </w:r>
      <w:r w:rsidR="00332C06" w:rsidRPr="00DA1726">
        <w:rPr>
          <w:rFonts w:ascii="Times New Roman" w:hAnsi="Times New Roman"/>
          <w:b/>
          <w:sz w:val="28"/>
          <w:szCs w:val="28"/>
          <w:lang w:val="es-ES_tradnl"/>
        </w:rPr>
        <w:t>l observatorio “Así Vamos en Salud”</w:t>
      </w:r>
      <w:r w:rsidR="00332C06" w:rsidRPr="00DA1726">
        <w:rPr>
          <w:rFonts w:ascii="Times New Roman" w:hAnsi="Times New Roman"/>
          <w:sz w:val="28"/>
          <w:szCs w:val="28"/>
          <w:lang w:val="es-ES_tradnl"/>
        </w:rPr>
        <w:t xml:space="preserve"> señaló que aunque se presentan avances en relación con los mecanismos para la recolección y posterior depuración y análisis de los datos recopilados, se siguen evidenciando falencias en la calidad y la obligatoriedad del reporte.</w:t>
      </w:r>
      <w:r w:rsidR="00466EB6" w:rsidRPr="00DA1726">
        <w:rPr>
          <w:rFonts w:ascii="Times New Roman" w:hAnsi="Times New Roman"/>
          <w:sz w:val="28"/>
          <w:szCs w:val="28"/>
          <w:lang w:val="es-ES_tradnl"/>
        </w:rPr>
        <w:t xml:space="preserve"> </w:t>
      </w:r>
      <w:r w:rsidR="00332C06" w:rsidRPr="00DA1726">
        <w:rPr>
          <w:rFonts w:ascii="Times New Roman" w:hAnsi="Times New Roman"/>
          <w:sz w:val="28"/>
          <w:szCs w:val="28"/>
          <w:lang w:val="es-ES_tradnl"/>
        </w:rPr>
        <w:t>Añadió que para que esta información sea de utilidad para los usuarios al momento de tomar una decisión respecto de su afiliación, debe estar en un lenguaje sencillo.</w:t>
      </w:r>
    </w:p>
    <w:p w:rsidR="00332C06" w:rsidRPr="00DA1726" w:rsidRDefault="00332C06" w:rsidP="00DA1726">
      <w:pPr>
        <w:rPr>
          <w:sz w:val="28"/>
          <w:szCs w:val="28"/>
        </w:rPr>
      </w:pPr>
    </w:p>
    <w:p w:rsidR="00332C06" w:rsidRPr="00DA1726" w:rsidRDefault="009F1049" w:rsidP="00DA1726">
      <w:pPr>
        <w:jc w:val="both"/>
        <w:rPr>
          <w:rStyle w:val="FontStyle29"/>
          <w:sz w:val="28"/>
          <w:szCs w:val="28"/>
          <w:lang w:val="es-ES_tradnl" w:eastAsia="es-ES_tradnl"/>
        </w:rPr>
      </w:pPr>
      <w:r w:rsidRPr="00DA1726">
        <w:rPr>
          <w:sz w:val="28"/>
          <w:szCs w:val="28"/>
        </w:rPr>
        <w:t>5.1.2.2.</w:t>
      </w:r>
      <w:r w:rsidR="008909E4" w:rsidRPr="00DA1726">
        <w:rPr>
          <w:sz w:val="28"/>
          <w:szCs w:val="28"/>
        </w:rPr>
        <w:t xml:space="preserve"> </w:t>
      </w:r>
      <w:r w:rsidR="008909E4" w:rsidRPr="00DA1726">
        <w:rPr>
          <w:b/>
          <w:sz w:val="28"/>
          <w:szCs w:val="28"/>
        </w:rPr>
        <w:t>Dejusticia</w:t>
      </w:r>
      <w:r w:rsidR="00DF71DA" w:rsidRPr="00DA1726">
        <w:rPr>
          <w:sz w:val="28"/>
          <w:szCs w:val="28"/>
        </w:rPr>
        <w:t xml:space="preserve"> explicó que </w:t>
      </w:r>
      <w:r w:rsidR="00332C06" w:rsidRPr="00DA1726">
        <w:rPr>
          <w:rStyle w:val="FontStyle29"/>
          <w:sz w:val="28"/>
          <w:szCs w:val="28"/>
          <w:lang w:val="es-ES_tradnl" w:eastAsia="es-ES_tradnl"/>
        </w:rPr>
        <w:t>la ordenación simple puede generar incentivos negativos en la población, debido a que existen municipios donde solo tiene presencia una EPS o IPS, la cual puede ser calificada como la entidad que con más frecuencia viola el derecho a la salud.</w:t>
      </w:r>
    </w:p>
    <w:p w:rsidR="00332C06" w:rsidRPr="00DA1726" w:rsidRDefault="00332C06" w:rsidP="00DA1726">
      <w:pPr>
        <w:jc w:val="both"/>
        <w:rPr>
          <w:rStyle w:val="FontStyle29"/>
          <w:sz w:val="28"/>
          <w:szCs w:val="28"/>
          <w:lang w:val="es-ES_tradnl" w:eastAsia="es-ES_tradnl"/>
        </w:rPr>
      </w:pPr>
    </w:p>
    <w:p w:rsidR="00332C06" w:rsidRPr="00DA1726" w:rsidRDefault="00466EB6" w:rsidP="00DA1726">
      <w:pPr>
        <w:jc w:val="both"/>
        <w:rPr>
          <w:rStyle w:val="FontStyle29"/>
          <w:sz w:val="28"/>
          <w:szCs w:val="28"/>
          <w:lang w:val="es-ES_tradnl" w:eastAsia="es-ES_tradnl"/>
        </w:rPr>
      </w:pPr>
      <w:r w:rsidRPr="00DA1726">
        <w:rPr>
          <w:rStyle w:val="FontStyle29"/>
          <w:sz w:val="28"/>
          <w:szCs w:val="28"/>
          <w:lang w:val="es-ES_tradnl" w:eastAsia="es-ES_tradnl"/>
        </w:rPr>
        <w:t>Agregó que r</w:t>
      </w:r>
      <w:r w:rsidR="00332C06" w:rsidRPr="00DA1726">
        <w:rPr>
          <w:rStyle w:val="FontStyle29"/>
          <w:sz w:val="28"/>
          <w:szCs w:val="28"/>
          <w:lang w:val="es-ES_tradnl" w:eastAsia="es-ES_tradnl"/>
        </w:rPr>
        <w:t>esulta difícil identificar cuál de los 14 componentes de violación pesa más al momento de dar una calificación unificada, lo que además puede generar una desinformación perjudicial para los usuarios, debido a que es necesario que puedan conocer específicamente respecto de cada indicador la frecuencia en que su EPS incurre en determinada práctica violatoria.</w:t>
      </w:r>
    </w:p>
    <w:p w:rsidR="00332C06" w:rsidRPr="00DA1726" w:rsidRDefault="00332C06" w:rsidP="00DA1726">
      <w:pPr>
        <w:jc w:val="both"/>
        <w:rPr>
          <w:rStyle w:val="FontStyle29"/>
          <w:sz w:val="28"/>
          <w:szCs w:val="28"/>
          <w:lang w:val="es-ES_tradnl" w:eastAsia="es-ES_tradnl"/>
        </w:rPr>
      </w:pPr>
    </w:p>
    <w:p w:rsidR="00466EB6" w:rsidRPr="00DA1726" w:rsidRDefault="00332C06" w:rsidP="00DA1726">
      <w:pPr>
        <w:pStyle w:val="Style5"/>
        <w:widowControl/>
        <w:rPr>
          <w:rStyle w:val="FontStyle29"/>
          <w:sz w:val="28"/>
          <w:szCs w:val="28"/>
          <w:lang w:val="es-ES_tradnl" w:eastAsia="es-ES_tradnl"/>
        </w:rPr>
      </w:pPr>
      <w:r w:rsidRPr="00DA1726">
        <w:rPr>
          <w:rFonts w:ascii="Times New Roman" w:hAnsi="Times New Roman"/>
          <w:sz w:val="28"/>
          <w:szCs w:val="28"/>
        </w:rPr>
        <w:t xml:space="preserve">Para evitar que la cantidad de información generada pueda llegar confundir al usuario al momento de decidir a qué </w:t>
      </w:r>
      <w:r w:rsidR="00266B4A" w:rsidRPr="00DA1726">
        <w:rPr>
          <w:rFonts w:ascii="Times New Roman" w:hAnsi="Times New Roman"/>
          <w:sz w:val="28"/>
          <w:szCs w:val="28"/>
        </w:rPr>
        <w:t>entidad</w:t>
      </w:r>
      <w:r w:rsidRPr="00DA1726">
        <w:rPr>
          <w:rFonts w:ascii="Times New Roman" w:hAnsi="Times New Roman"/>
          <w:sz w:val="28"/>
          <w:szCs w:val="28"/>
        </w:rPr>
        <w:t xml:space="preserve"> afiliarse, propuso </w:t>
      </w:r>
      <w:r w:rsidRPr="00DA1726">
        <w:rPr>
          <w:rStyle w:val="FontStyle29"/>
          <w:sz w:val="28"/>
          <w:szCs w:val="28"/>
          <w:lang w:val="es-ES_tradnl" w:eastAsia="es-ES_tradnl"/>
        </w:rPr>
        <w:t xml:space="preserve">que se haga una clasificación por grupos o rangos, en el sentido de identificar un rango critico (las aseguradoras que, teniendo en cuenta el número de afiliados, incurre en más practicas violatorias) y luego rangos de alarma, aceptabilidad y superioridad. </w:t>
      </w:r>
    </w:p>
    <w:p w:rsidR="004D2483" w:rsidRPr="00DA1726" w:rsidRDefault="004D2483" w:rsidP="00DA1726">
      <w:pPr>
        <w:pStyle w:val="Style5"/>
        <w:widowControl/>
        <w:rPr>
          <w:rFonts w:ascii="Times New Roman" w:hAnsi="Times New Roman"/>
          <w:sz w:val="28"/>
          <w:szCs w:val="28"/>
        </w:rPr>
      </w:pPr>
    </w:p>
    <w:p w:rsidR="00332C06" w:rsidRPr="00DA1726" w:rsidRDefault="00332C06" w:rsidP="00DA1726">
      <w:pPr>
        <w:pStyle w:val="Style5"/>
        <w:widowControl/>
        <w:ind w:right="41"/>
        <w:rPr>
          <w:rStyle w:val="FontStyle29"/>
          <w:sz w:val="28"/>
          <w:szCs w:val="28"/>
          <w:lang w:val="es-ES_tradnl" w:eastAsia="es-ES_tradnl"/>
        </w:rPr>
      </w:pPr>
      <w:r w:rsidRPr="00DA1726">
        <w:rPr>
          <w:rStyle w:val="FontStyle29"/>
          <w:sz w:val="28"/>
          <w:szCs w:val="28"/>
          <w:lang w:val="es-ES_tradnl" w:eastAsia="es-ES_tradnl"/>
        </w:rPr>
        <w:t xml:space="preserve">En esa medida, </w:t>
      </w:r>
      <w:r w:rsidR="00266B4A" w:rsidRPr="00DA1726">
        <w:rPr>
          <w:rStyle w:val="FontStyle29"/>
          <w:sz w:val="28"/>
          <w:szCs w:val="28"/>
          <w:lang w:val="es-ES_tradnl" w:eastAsia="es-ES_tradnl"/>
        </w:rPr>
        <w:t>planteó</w:t>
      </w:r>
      <w:r w:rsidRPr="00DA1726">
        <w:rPr>
          <w:rStyle w:val="FontStyle29"/>
          <w:sz w:val="28"/>
          <w:szCs w:val="28"/>
          <w:lang w:val="es-ES_tradnl" w:eastAsia="es-ES_tradnl"/>
        </w:rPr>
        <w:t xml:space="preserve"> que la clasificación tenga dos facetas disponibles para los usuarios: (i) un </w:t>
      </w:r>
      <w:r w:rsidR="008D66F1" w:rsidRPr="00DA1726">
        <w:rPr>
          <w:rStyle w:val="FontStyle29"/>
          <w:i/>
          <w:sz w:val="28"/>
          <w:szCs w:val="28"/>
          <w:lang w:val="es-ES_tradnl" w:eastAsia="es-ES_tradnl"/>
        </w:rPr>
        <w:t>ranking</w:t>
      </w:r>
      <w:r w:rsidRPr="00DA1726">
        <w:rPr>
          <w:rStyle w:val="FontStyle29"/>
          <w:sz w:val="28"/>
          <w:szCs w:val="28"/>
          <w:lang w:val="es-ES_tradnl" w:eastAsia="es-ES_tradnl"/>
        </w:rPr>
        <w:t xml:space="preserve"> en el que se establezcan rangos (crítico, alarma, aceptabilidad y superioridad) basado en el índice agregado de prácticas violatorias; y (ii) 14 </w:t>
      </w:r>
      <w:r w:rsidR="008D66F1" w:rsidRPr="00DA1726">
        <w:rPr>
          <w:rStyle w:val="FontStyle29"/>
          <w:i/>
          <w:sz w:val="28"/>
          <w:szCs w:val="28"/>
          <w:lang w:val="es-ES_tradnl" w:eastAsia="es-ES_tradnl"/>
        </w:rPr>
        <w:t>ranking</w:t>
      </w:r>
      <w:r w:rsidRPr="00DA1726">
        <w:rPr>
          <w:rStyle w:val="FontStyle29"/>
          <w:sz w:val="28"/>
          <w:szCs w:val="28"/>
          <w:lang w:val="es-ES_tradnl" w:eastAsia="es-ES_tradnl"/>
        </w:rPr>
        <w:t xml:space="preserve">s, también por rangos, en donde el usuario pueda mirar por componente, cuales son las EPS que más o menos incurren en determinada practica violatoria. </w:t>
      </w:r>
    </w:p>
    <w:p w:rsidR="00332C06" w:rsidRPr="00DA1726" w:rsidRDefault="00332C06" w:rsidP="00DA1726">
      <w:pPr>
        <w:jc w:val="both"/>
        <w:rPr>
          <w:sz w:val="28"/>
          <w:szCs w:val="28"/>
        </w:rPr>
      </w:pPr>
    </w:p>
    <w:p w:rsidR="00332C06" w:rsidRPr="00DA1726" w:rsidRDefault="00332C06" w:rsidP="00DA1726">
      <w:pPr>
        <w:pStyle w:val="Style5"/>
        <w:widowControl/>
        <w:rPr>
          <w:rFonts w:ascii="Times New Roman" w:hAnsi="Times New Roman"/>
          <w:sz w:val="28"/>
          <w:szCs w:val="28"/>
        </w:rPr>
      </w:pPr>
      <w:r w:rsidRPr="00DA1726">
        <w:rPr>
          <w:rStyle w:val="FontStyle29"/>
          <w:sz w:val="28"/>
          <w:szCs w:val="28"/>
          <w:lang w:val="es-ES_tradnl" w:eastAsia="es-ES_tradnl"/>
        </w:rPr>
        <w:t>Exp</w:t>
      </w:r>
      <w:r w:rsidR="00B47E30" w:rsidRPr="00DA1726">
        <w:rPr>
          <w:rStyle w:val="FontStyle29"/>
          <w:sz w:val="28"/>
          <w:szCs w:val="28"/>
          <w:lang w:val="es-ES_tradnl" w:eastAsia="es-ES_tradnl"/>
        </w:rPr>
        <w:t>licó que el cumplimiento de la o</w:t>
      </w:r>
      <w:r w:rsidRPr="00DA1726">
        <w:rPr>
          <w:rStyle w:val="FontStyle29"/>
          <w:sz w:val="28"/>
          <w:szCs w:val="28"/>
          <w:lang w:val="es-ES_tradnl" w:eastAsia="es-ES_tradnl"/>
        </w:rPr>
        <w:t xml:space="preserve">rden 20 implica identificar a la EPS que con mayor frecuencia incurren en prácticas violatorias, donde el análisis y la recolección de datos contienen serias fallas. Al respecto destacó: </w:t>
      </w:r>
    </w:p>
    <w:p w:rsidR="00332C06" w:rsidRPr="00DA1726" w:rsidRDefault="00332C06" w:rsidP="00DA1726">
      <w:pPr>
        <w:pStyle w:val="Style5"/>
        <w:widowControl/>
        <w:ind w:left="401"/>
        <w:rPr>
          <w:rStyle w:val="FontStyle29"/>
          <w:sz w:val="28"/>
          <w:szCs w:val="28"/>
          <w:u w:val="single"/>
          <w:lang w:val="es-ES_tradnl" w:eastAsia="es-ES_tradnl"/>
        </w:rPr>
      </w:pPr>
    </w:p>
    <w:p w:rsidR="00332C06" w:rsidRPr="00DA1726" w:rsidRDefault="00332C06" w:rsidP="00DA1726">
      <w:pPr>
        <w:pStyle w:val="Style22"/>
        <w:widowControl/>
        <w:tabs>
          <w:tab w:val="left" w:pos="1116"/>
        </w:tabs>
        <w:spacing w:line="240" w:lineRule="auto"/>
        <w:ind w:firstLine="0"/>
        <w:rPr>
          <w:rStyle w:val="FontStyle29"/>
          <w:sz w:val="28"/>
          <w:szCs w:val="28"/>
          <w:lang w:val="es-ES_tradnl" w:eastAsia="es-ES_tradnl"/>
        </w:rPr>
      </w:pPr>
      <w:r w:rsidRPr="00DA1726">
        <w:rPr>
          <w:rStyle w:val="FontStyle32"/>
          <w:rFonts w:ascii="Times New Roman" w:hAnsi="Times New Roman" w:cs="Times New Roman"/>
          <w:sz w:val="28"/>
          <w:szCs w:val="28"/>
          <w:lang w:val="es-ES_tradnl" w:eastAsia="es-ES_tradnl"/>
        </w:rPr>
        <w:t xml:space="preserve">(i) En varios componentes no se tienen en cuenta las violaciones, únicamente se mira la oportunidad. </w:t>
      </w:r>
      <w:r w:rsidRPr="00DA1726">
        <w:rPr>
          <w:rStyle w:val="FontStyle29"/>
          <w:sz w:val="28"/>
          <w:szCs w:val="28"/>
          <w:lang w:val="es-ES_tradnl" w:eastAsia="es-ES_tradnl"/>
        </w:rPr>
        <w:t xml:space="preserve">En 7 de los 14 componentes en donde se pide cuantificar las prácticas en las que </w:t>
      </w:r>
      <w:r w:rsidRPr="00DA1726">
        <w:rPr>
          <w:rStyle w:val="FontStyle29"/>
          <w:i/>
          <w:sz w:val="28"/>
          <w:szCs w:val="28"/>
          <w:lang w:val="es-ES_tradnl" w:eastAsia="es-ES_tradnl"/>
        </w:rPr>
        <w:t>“se niegan a autorizar oportunamente”</w:t>
      </w:r>
      <w:r w:rsidRPr="00DA1726">
        <w:rPr>
          <w:rStyle w:val="FontStyle29"/>
          <w:sz w:val="28"/>
          <w:szCs w:val="28"/>
          <w:lang w:val="es-ES_tradnl" w:eastAsia="es-ES_tradnl"/>
        </w:rPr>
        <w:t xml:space="preserve"> diferentes tipos de servicios, el informe únicamente analiza la variable de oportunidad y deja de lado valorar las negaciones de servicios.</w:t>
      </w:r>
    </w:p>
    <w:p w:rsidR="00332C06" w:rsidRPr="00DA1726" w:rsidRDefault="00332C06" w:rsidP="00DA1726">
      <w:pPr>
        <w:pStyle w:val="Style22"/>
        <w:widowControl/>
        <w:tabs>
          <w:tab w:val="left" w:pos="1116"/>
        </w:tabs>
        <w:spacing w:line="240" w:lineRule="auto"/>
        <w:ind w:firstLine="0"/>
        <w:rPr>
          <w:rStyle w:val="FontStyle29"/>
          <w:sz w:val="28"/>
          <w:szCs w:val="28"/>
          <w:lang w:val="es-ES_tradnl" w:eastAsia="es-ES_tradnl"/>
        </w:rPr>
      </w:pPr>
    </w:p>
    <w:p w:rsidR="00332C06" w:rsidRPr="00DA1726" w:rsidRDefault="00332C06" w:rsidP="00DA1726">
      <w:pPr>
        <w:pStyle w:val="Style22"/>
        <w:widowControl/>
        <w:tabs>
          <w:tab w:val="left" w:pos="1116"/>
        </w:tabs>
        <w:spacing w:line="240" w:lineRule="auto"/>
        <w:ind w:firstLine="0"/>
        <w:rPr>
          <w:rStyle w:val="FontStyle29"/>
          <w:sz w:val="28"/>
          <w:szCs w:val="28"/>
          <w:lang w:val="es-ES_tradnl" w:eastAsia="es-ES_tradnl"/>
        </w:rPr>
      </w:pPr>
      <w:r w:rsidRPr="00DA1726">
        <w:rPr>
          <w:rStyle w:val="FontStyle32"/>
          <w:rFonts w:ascii="Times New Roman" w:hAnsi="Times New Roman" w:cs="Times New Roman"/>
          <w:sz w:val="28"/>
          <w:szCs w:val="28"/>
          <w:lang w:val="es-ES_tradnl" w:eastAsia="es-ES_tradnl"/>
        </w:rPr>
        <w:t xml:space="preserve">(ii) El análisis de la oportunidad se hace con base en los tiempos promedio, dejando por fuera el análisis de prácticas violatorias individualizadas. </w:t>
      </w:r>
      <w:r w:rsidRPr="00DA1726">
        <w:rPr>
          <w:rStyle w:val="FontStyle29"/>
          <w:sz w:val="28"/>
          <w:szCs w:val="28"/>
          <w:lang w:val="es-ES_tradnl" w:eastAsia="es-ES_tradnl"/>
        </w:rPr>
        <w:t xml:space="preserve">Si bien el tiempo promedio en la prestación o autorización de un servicio puede ser un indicador relevante para los usuarios a la hora de elegir su aseguradora, no se cumple con el objetivo de identificar las prácticas violatorias. En ese sentido, se debería </w:t>
      </w:r>
      <w:r w:rsidR="001A73A9" w:rsidRPr="00DA1726">
        <w:rPr>
          <w:rStyle w:val="FontStyle29"/>
          <w:sz w:val="28"/>
          <w:szCs w:val="28"/>
          <w:lang w:val="es-ES_tradnl" w:eastAsia="es-ES_tradnl"/>
        </w:rPr>
        <w:t>establecer</w:t>
      </w:r>
      <w:r w:rsidRPr="00DA1726">
        <w:rPr>
          <w:rStyle w:val="FontStyle29"/>
          <w:sz w:val="28"/>
          <w:szCs w:val="28"/>
          <w:lang w:val="es-ES_tradnl" w:eastAsia="es-ES_tradnl"/>
        </w:rPr>
        <w:t xml:space="preserve"> el número de casos en que, para cada componente, la EPS se demoró más del plazo legal</w:t>
      </w:r>
      <w:r w:rsidR="004D2483" w:rsidRPr="00DA1726">
        <w:rPr>
          <w:rStyle w:val="FontStyle29"/>
          <w:sz w:val="28"/>
          <w:szCs w:val="28"/>
          <w:lang w:val="es-ES_tradnl" w:eastAsia="es-ES_tradnl"/>
        </w:rPr>
        <w:t xml:space="preserve"> establecido</w:t>
      </w:r>
      <w:r w:rsidRPr="00DA1726">
        <w:rPr>
          <w:rStyle w:val="FontStyle29"/>
          <w:sz w:val="28"/>
          <w:szCs w:val="28"/>
          <w:lang w:val="es-ES_tradnl" w:eastAsia="es-ES_tradnl"/>
        </w:rPr>
        <w:t xml:space="preserve">. </w:t>
      </w:r>
    </w:p>
    <w:p w:rsidR="00332C06" w:rsidRPr="00DA1726" w:rsidRDefault="00332C06" w:rsidP="00DA1726">
      <w:pPr>
        <w:jc w:val="both"/>
        <w:rPr>
          <w:rStyle w:val="FontStyle29"/>
          <w:sz w:val="28"/>
          <w:szCs w:val="28"/>
          <w:lang w:val="es-ES_tradnl" w:eastAsia="es-ES_tradnl"/>
        </w:rPr>
      </w:pPr>
    </w:p>
    <w:p w:rsidR="00332C06" w:rsidRPr="00DA1726" w:rsidRDefault="009F1049" w:rsidP="00DA1726">
      <w:pPr>
        <w:jc w:val="both"/>
        <w:rPr>
          <w:sz w:val="28"/>
          <w:szCs w:val="28"/>
          <w:lang w:val="es-ES_tradnl" w:eastAsia="es-ES_tradnl"/>
        </w:rPr>
      </w:pPr>
      <w:r w:rsidRPr="00DA1726">
        <w:rPr>
          <w:sz w:val="28"/>
          <w:szCs w:val="28"/>
        </w:rPr>
        <w:t>5.1.2.3.</w:t>
      </w:r>
      <w:r w:rsidR="00DF71DA" w:rsidRPr="00DA1726">
        <w:rPr>
          <w:sz w:val="28"/>
          <w:szCs w:val="28"/>
        </w:rPr>
        <w:t xml:space="preserve"> </w:t>
      </w:r>
      <w:r w:rsidR="00DF71DA" w:rsidRPr="00DA1726">
        <w:rPr>
          <w:b/>
          <w:sz w:val="28"/>
          <w:szCs w:val="28"/>
        </w:rPr>
        <w:t>Gestarsalud</w:t>
      </w:r>
      <w:r w:rsidR="00DF71DA" w:rsidRPr="00DA1726">
        <w:rPr>
          <w:sz w:val="28"/>
          <w:szCs w:val="28"/>
        </w:rPr>
        <w:t xml:space="preserve"> destacó</w:t>
      </w:r>
      <w:r w:rsidR="00332C06" w:rsidRPr="00DA1726">
        <w:rPr>
          <w:sz w:val="28"/>
          <w:szCs w:val="28"/>
        </w:rPr>
        <w:t xml:space="preserve"> </w:t>
      </w:r>
      <w:r w:rsidR="001A73A9" w:rsidRPr="00DA1726">
        <w:rPr>
          <w:sz w:val="28"/>
          <w:szCs w:val="28"/>
          <w:lang w:val="es-ES" w:eastAsia="es-ES_tradnl"/>
        </w:rPr>
        <w:t>la importancia de</w:t>
      </w:r>
      <w:r w:rsidR="00332C06" w:rsidRPr="00DA1726">
        <w:rPr>
          <w:sz w:val="28"/>
          <w:szCs w:val="28"/>
          <w:lang w:val="es-ES" w:eastAsia="es-ES_tradnl"/>
        </w:rPr>
        <w:t xml:space="preserve"> que l</w:t>
      </w:r>
      <w:r w:rsidR="00332C06" w:rsidRPr="00DA1726">
        <w:rPr>
          <w:sz w:val="28"/>
          <w:szCs w:val="28"/>
          <w:lang w:val="es-ES_tradnl" w:eastAsia="es-ES_tradnl"/>
        </w:rPr>
        <w:t>os análisis consideren variables como número de afiliados de las entidades aseguradoras, el nivel socio-económico de sus afiliados, su presencia regional y otros que permitan reconocer sus diferencias.</w:t>
      </w:r>
    </w:p>
    <w:p w:rsidR="00332C06" w:rsidRPr="00DA1726" w:rsidRDefault="00332C06" w:rsidP="00DA1726">
      <w:pPr>
        <w:rPr>
          <w:sz w:val="28"/>
          <w:szCs w:val="28"/>
        </w:rPr>
      </w:pPr>
    </w:p>
    <w:p w:rsidR="009B3775" w:rsidRPr="00DA1726" w:rsidRDefault="009F1049" w:rsidP="00DA1726">
      <w:pPr>
        <w:pStyle w:val="Prrafodelista"/>
        <w:ind w:left="0"/>
        <w:jc w:val="both"/>
        <w:rPr>
          <w:sz w:val="28"/>
          <w:szCs w:val="28"/>
          <w:lang w:val="es-ES_tradnl"/>
        </w:rPr>
      </w:pPr>
      <w:r w:rsidRPr="00DA1726">
        <w:rPr>
          <w:sz w:val="28"/>
          <w:szCs w:val="28"/>
        </w:rPr>
        <w:t>5.1.2.4.</w:t>
      </w:r>
      <w:r w:rsidR="009B3775" w:rsidRPr="00DA1726">
        <w:rPr>
          <w:sz w:val="28"/>
          <w:szCs w:val="28"/>
          <w:lang w:val="es-ES_tradnl"/>
        </w:rPr>
        <w:t xml:space="preserve"> La </w:t>
      </w:r>
      <w:r w:rsidR="009B3775" w:rsidRPr="00DA1726">
        <w:rPr>
          <w:b/>
          <w:sz w:val="28"/>
          <w:szCs w:val="28"/>
          <w:lang w:val="es-ES_tradnl"/>
        </w:rPr>
        <w:t>CSR</w:t>
      </w:r>
      <w:r w:rsidR="009B3775" w:rsidRPr="00DA1726">
        <w:rPr>
          <w:sz w:val="28"/>
          <w:szCs w:val="28"/>
          <w:lang w:val="es-ES_tradnl"/>
        </w:rPr>
        <w:t xml:space="preserve"> expuso que existe un problema en la interpretación del contenido de esta orden por parte del Ministerio de Salud y de la Superintendencia de Salud, consistente en mezclar la orden 20 con la 28, es decir asumir que el </w:t>
      </w:r>
      <w:r w:rsidR="008D66F1" w:rsidRPr="00DA1726">
        <w:rPr>
          <w:i/>
          <w:sz w:val="28"/>
          <w:szCs w:val="28"/>
          <w:lang w:val="es-ES_tradnl"/>
        </w:rPr>
        <w:t>ranking</w:t>
      </w:r>
      <w:r w:rsidR="009B3775" w:rsidRPr="00DA1726">
        <w:rPr>
          <w:sz w:val="28"/>
          <w:szCs w:val="28"/>
          <w:lang w:val="es-ES_tradnl"/>
        </w:rPr>
        <w:t xml:space="preserve"> solicitado en la orden 20 sobre negaciones de servicios es </w:t>
      </w:r>
      <w:r w:rsidR="00B47E30" w:rsidRPr="00DA1726">
        <w:rPr>
          <w:sz w:val="28"/>
          <w:szCs w:val="28"/>
          <w:lang w:val="es-ES_tradnl"/>
        </w:rPr>
        <w:t>uno</w:t>
      </w:r>
      <w:r w:rsidR="009B3775" w:rsidRPr="00DA1726">
        <w:rPr>
          <w:sz w:val="28"/>
          <w:szCs w:val="28"/>
          <w:lang w:val="es-ES_tradnl"/>
        </w:rPr>
        <w:t xml:space="preserve"> de desempeño de las IPS y EPS. </w:t>
      </w:r>
    </w:p>
    <w:p w:rsidR="009B3775" w:rsidRPr="00DA1726" w:rsidRDefault="009B3775" w:rsidP="00DA1726">
      <w:pPr>
        <w:pStyle w:val="Prrafodelista"/>
        <w:ind w:left="0"/>
        <w:jc w:val="both"/>
        <w:rPr>
          <w:sz w:val="28"/>
          <w:szCs w:val="28"/>
          <w:lang w:val="es-ES_tradnl"/>
        </w:rPr>
      </w:pPr>
    </w:p>
    <w:p w:rsidR="001A73A9" w:rsidRPr="00DA1726" w:rsidRDefault="009B3775" w:rsidP="00DA1726">
      <w:pPr>
        <w:pStyle w:val="Prrafodelista"/>
        <w:ind w:left="0"/>
        <w:jc w:val="both"/>
        <w:rPr>
          <w:sz w:val="28"/>
          <w:szCs w:val="28"/>
          <w:lang w:val="es-ES_tradnl"/>
        </w:rPr>
      </w:pPr>
      <w:r w:rsidRPr="00DA1726">
        <w:rPr>
          <w:sz w:val="28"/>
          <w:szCs w:val="28"/>
          <w:lang w:val="es-ES_tradnl"/>
        </w:rPr>
        <w:t xml:space="preserve">Se deja de lado el contenido esencial de la orden </w:t>
      </w:r>
      <w:r w:rsidR="00B47E30" w:rsidRPr="00DA1726">
        <w:rPr>
          <w:sz w:val="28"/>
          <w:szCs w:val="28"/>
          <w:lang w:val="es-ES_tradnl"/>
        </w:rPr>
        <w:t>vigésima</w:t>
      </w:r>
      <w:r w:rsidRPr="00DA1726">
        <w:rPr>
          <w:sz w:val="28"/>
          <w:szCs w:val="28"/>
          <w:lang w:val="es-ES_tradnl"/>
        </w:rPr>
        <w:t xml:space="preserve"> que es identificar las promotoras y prestadoras que con mayor frecuencia niegan servicios y se concentran en modificar su contenido para indagar sobre indicadores de calidad y desempeño financiero, lo que evidencia que el objetivo de la orden se ha desviado hacia med</w:t>
      </w:r>
      <w:r w:rsidR="00BB647A" w:rsidRPr="00DA1726">
        <w:rPr>
          <w:sz w:val="28"/>
          <w:szCs w:val="28"/>
          <w:lang w:val="es-ES_tradnl"/>
        </w:rPr>
        <w:t>ir la calidad y no la negación.</w:t>
      </w:r>
    </w:p>
    <w:p w:rsidR="001A73A9" w:rsidRPr="00DA1726" w:rsidRDefault="001A73A9" w:rsidP="00DA1726">
      <w:pPr>
        <w:pStyle w:val="Prrafodelista"/>
        <w:ind w:left="0"/>
        <w:jc w:val="both"/>
        <w:rPr>
          <w:sz w:val="28"/>
          <w:szCs w:val="28"/>
          <w:lang w:val="es-ES_tradnl"/>
        </w:rPr>
      </w:pPr>
    </w:p>
    <w:p w:rsidR="009B3775" w:rsidRPr="00DA1726" w:rsidRDefault="00BB647A" w:rsidP="00DA1726">
      <w:pPr>
        <w:pStyle w:val="Prrafodelista"/>
        <w:ind w:left="0"/>
        <w:jc w:val="both"/>
        <w:rPr>
          <w:sz w:val="28"/>
          <w:szCs w:val="28"/>
          <w:lang w:val="es-ES_tradnl"/>
        </w:rPr>
      </w:pPr>
      <w:r w:rsidRPr="00DA1726">
        <w:rPr>
          <w:sz w:val="28"/>
          <w:szCs w:val="28"/>
          <w:lang w:val="es-ES_tradnl"/>
        </w:rPr>
        <w:t xml:space="preserve">En esa medida, refirió que se debe retomar el sentido esencial del mandato objeto de examen, que </w:t>
      </w:r>
      <w:r w:rsidR="009B3775" w:rsidRPr="00DA1726">
        <w:rPr>
          <w:sz w:val="28"/>
          <w:szCs w:val="28"/>
          <w:lang w:val="es-ES_tradnl"/>
        </w:rPr>
        <w:t>es identificar cuá</w:t>
      </w:r>
      <w:r w:rsidR="00B47E30" w:rsidRPr="00DA1726">
        <w:rPr>
          <w:sz w:val="28"/>
          <w:szCs w:val="28"/>
          <w:lang w:val="es-ES_tradnl"/>
        </w:rPr>
        <w:t xml:space="preserve">ntos servicios fueron negados </w:t>
      </w:r>
      <w:r w:rsidR="009B3775" w:rsidRPr="00DA1726">
        <w:rPr>
          <w:sz w:val="28"/>
          <w:szCs w:val="28"/>
          <w:lang w:val="es-ES_tradnl"/>
        </w:rPr>
        <w:t xml:space="preserve">sin importar si su desempeño es alto y de buena calidad o al contrario. </w:t>
      </w:r>
      <w:r w:rsidR="00FA7D31" w:rsidRPr="00DA1726">
        <w:rPr>
          <w:sz w:val="28"/>
          <w:szCs w:val="28"/>
          <w:lang w:val="es-ES_tradnl"/>
        </w:rPr>
        <w:t>De otro modo</w:t>
      </w:r>
      <w:r w:rsidRPr="00DA1726">
        <w:rPr>
          <w:sz w:val="28"/>
          <w:szCs w:val="28"/>
          <w:lang w:val="es-ES_tradnl"/>
        </w:rPr>
        <w:t>,</w:t>
      </w:r>
      <w:r w:rsidR="00FA7D31" w:rsidRPr="00DA1726">
        <w:rPr>
          <w:sz w:val="28"/>
          <w:szCs w:val="28"/>
          <w:lang w:val="es-ES_tradnl"/>
        </w:rPr>
        <w:t xml:space="preserve"> </w:t>
      </w:r>
      <w:r w:rsidRPr="00DA1726">
        <w:rPr>
          <w:sz w:val="28"/>
          <w:szCs w:val="28"/>
          <w:lang w:val="es-ES_tradnl"/>
        </w:rPr>
        <w:t xml:space="preserve">estima que </w:t>
      </w:r>
      <w:r w:rsidR="00FA7D31" w:rsidRPr="00DA1726">
        <w:rPr>
          <w:sz w:val="28"/>
          <w:szCs w:val="28"/>
          <w:lang w:val="es-ES_tradnl"/>
        </w:rPr>
        <w:t xml:space="preserve">se podría llegar a pensar que </w:t>
      </w:r>
      <w:r w:rsidR="009B3775" w:rsidRPr="00DA1726">
        <w:rPr>
          <w:sz w:val="28"/>
          <w:szCs w:val="28"/>
          <w:lang w:val="es-ES_tradnl"/>
        </w:rPr>
        <w:t xml:space="preserve">el derecho </w:t>
      </w:r>
      <w:r w:rsidR="00FA7D31" w:rsidRPr="00DA1726">
        <w:rPr>
          <w:sz w:val="28"/>
          <w:szCs w:val="28"/>
          <w:lang w:val="es-ES_tradnl"/>
        </w:rPr>
        <w:t xml:space="preserve">a la salud </w:t>
      </w:r>
      <w:r w:rsidR="009B3775" w:rsidRPr="00DA1726">
        <w:rPr>
          <w:sz w:val="28"/>
          <w:szCs w:val="28"/>
          <w:lang w:val="es-ES_tradnl"/>
        </w:rPr>
        <w:t>de los ciudadanos está limitado a las condiciones administrativas, financieras y de infraestructura,</w:t>
      </w:r>
      <w:r w:rsidR="00F25DF3" w:rsidRPr="00DA1726">
        <w:rPr>
          <w:sz w:val="28"/>
          <w:szCs w:val="28"/>
          <w:lang w:val="es-ES_tradnl"/>
        </w:rPr>
        <w:t xml:space="preserve"> por lo tanto cuando no existan</w:t>
      </w:r>
      <w:r w:rsidR="009B3775" w:rsidRPr="00DA1726">
        <w:rPr>
          <w:sz w:val="28"/>
          <w:szCs w:val="28"/>
          <w:lang w:val="es-ES_tradnl"/>
        </w:rPr>
        <w:t xml:space="preserve"> las condiciones adecuadas se justifica</w:t>
      </w:r>
      <w:r w:rsidRPr="00DA1726">
        <w:rPr>
          <w:sz w:val="28"/>
          <w:szCs w:val="28"/>
          <w:lang w:val="es-ES_tradnl"/>
        </w:rPr>
        <w:t xml:space="preserve"> la negación</w:t>
      </w:r>
      <w:r w:rsidR="009B3775" w:rsidRPr="00DA1726">
        <w:rPr>
          <w:sz w:val="28"/>
          <w:szCs w:val="28"/>
          <w:lang w:val="es-ES_tradnl"/>
        </w:rPr>
        <w:t>.</w:t>
      </w:r>
    </w:p>
    <w:p w:rsidR="009B3775" w:rsidRPr="00DA1726" w:rsidRDefault="009B3775" w:rsidP="00DA1726">
      <w:pPr>
        <w:rPr>
          <w:sz w:val="28"/>
          <w:szCs w:val="28"/>
          <w:lang w:val="es-ES"/>
        </w:rPr>
      </w:pPr>
    </w:p>
    <w:p w:rsidR="0090606F" w:rsidRPr="00DA1726" w:rsidRDefault="00B45166" w:rsidP="00DA1726">
      <w:pPr>
        <w:pStyle w:val="Sinespaciado"/>
        <w:tabs>
          <w:tab w:val="left" w:pos="851"/>
        </w:tabs>
        <w:jc w:val="both"/>
        <w:rPr>
          <w:rFonts w:ascii="Times New Roman" w:hAnsi="Times New Roman"/>
          <w:i/>
          <w:color w:val="000000"/>
          <w:sz w:val="28"/>
          <w:szCs w:val="28"/>
        </w:rPr>
      </w:pPr>
      <w:r w:rsidRPr="00DA1726">
        <w:rPr>
          <w:rFonts w:ascii="Times New Roman" w:hAnsi="Times New Roman"/>
          <w:i/>
          <w:color w:val="000000"/>
          <w:sz w:val="28"/>
          <w:szCs w:val="28"/>
        </w:rPr>
        <w:t>5.1</w:t>
      </w:r>
      <w:r w:rsidR="0090606F" w:rsidRPr="00DA1726">
        <w:rPr>
          <w:rFonts w:ascii="Times New Roman" w:hAnsi="Times New Roman"/>
          <w:i/>
          <w:color w:val="000000"/>
          <w:sz w:val="28"/>
          <w:szCs w:val="28"/>
        </w:rPr>
        <w:t>.3. Actualización de los 14 criterios vulneradores del derecho a la salud.</w:t>
      </w:r>
    </w:p>
    <w:p w:rsidR="0090606F" w:rsidRPr="00DA1726" w:rsidRDefault="0090606F" w:rsidP="00DA1726">
      <w:pPr>
        <w:pStyle w:val="Sinespaciado"/>
        <w:tabs>
          <w:tab w:val="left" w:pos="851"/>
        </w:tabs>
        <w:jc w:val="both"/>
        <w:rPr>
          <w:rFonts w:ascii="Times New Roman" w:hAnsi="Times New Roman"/>
          <w:color w:val="000000"/>
          <w:sz w:val="28"/>
          <w:szCs w:val="28"/>
        </w:rPr>
      </w:pPr>
    </w:p>
    <w:p w:rsidR="0090606F" w:rsidRPr="00DA1726" w:rsidRDefault="0090606F"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 xml:space="preserve">En el Auto 412 de 2015 la Sala de Seguimiento evidenció que algunos de los parámetros mencionados podrían ser objeto de actualización en los términos de la Ley Estatutaria 1751 de 2015 y la sentencia C-313 de 2014. En consecuencia se solicitó a las entidades públicas que hacen parte del cumplimiento de la orden 20 y a los Peritos Constitucionales Voluntarios vinculados en el proceso de supervisión, </w:t>
      </w:r>
      <w:r w:rsidR="00B45166" w:rsidRPr="00DA1726">
        <w:rPr>
          <w:rFonts w:ascii="Times New Roman" w:hAnsi="Times New Roman"/>
          <w:color w:val="000000"/>
          <w:sz w:val="28"/>
          <w:szCs w:val="28"/>
          <w:lang w:val="es-ES"/>
        </w:rPr>
        <w:t xml:space="preserve">que </w:t>
      </w:r>
      <w:r w:rsidRPr="00DA1726">
        <w:rPr>
          <w:rFonts w:ascii="Times New Roman" w:hAnsi="Times New Roman"/>
          <w:color w:val="000000"/>
          <w:sz w:val="28"/>
          <w:szCs w:val="28"/>
          <w:lang w:val="es-ES"/>
        </w:rPr>
        <w:t>presentar</w:t>
      </w:r>
      <w:r w:rsidR="00B45166" w:rsidRPr="00DA1726">
        <w:rPr>
          <w:rFonts w:ascii="Times New Roman" w:hAnsi="Times New Roman"/>
          <w:color w:val="000000"/>
          <w:sz w:val="28"/>
          <w:szCs w:val="28"/>
          <w:lang w:val="es-ES"/>
        </w:rPr>
        <w:t>an</w:t>
      </w:r>
      <w:r w:rsidRPr="00DA1726">
        <w:rPr>
          <w:rFonts w:ascii="Times New Roman" w:hAnsi="Times New Roman"/>
          <w:color w:val="000000"/>
          <w:sz w:val="28"/>
          <w:szCs w:val="28"/>
          <w:lang w:val="es-ES"/>
        </w:rPr>
        <w:t xml:space="preserve"> sus</w:t>
      </w:r>
      <w:r w:rsidR="00B45166" w:rsidRPr="00DA1726">
        <w:rPr>
          <w:rFonts w:ascii="Times New Roman" w:hAnsi="Times New Roman"/>
          <w:color w:val="000000"/>
          <w:sz w:val="28"/>
          <w:szCs w:val="28"/>
          <w:lang w:val="es-ES"/>
        </w:rPr>
        <w:t xml:space="preserve"> conceptos y definieran</w:t>
      </w:r>
      <w:r w:rsidRPr="00DA1726">
        <w:rPr>
          <w:rFonts w:ascii="Times New Roman" w:hAnsi="Times New Roman"/>
          <w:color w:val="000000"/>
          <w:sz w:val="28"/>
          <w:szCs w:val="28"/>
          <w:lang w:val="es-ES"/>
        </w:rPr>
        <w:t xml:space="preserve"> si los 14 componentes debían modificarse dentro del proceso de seguimiento</w:t>
      </w:r>
      <w:r w:rsidR="00B45166" w:rsidRPr="00DA1726">
        <w:rPr>
          <w:rFonts w:ascii="Times New Roman" w:hAnsi="Times New Roman"/>
          <w:color w:val="000000"/>
          <w:sz w:val="28"/>
          <w:szCs w:val="28"/>
          <w:lang w:val="es-ES"/>
        </w:rPr>
        <w:t>,</w:t>
      </w:r>
      <w:r w:rsidRPr="00DA1726">
        <w:rPr>
          <w:rFonts w:ascii="Times New Roman" w:hAnsi="Times New Roman"/>
          <w:color w:val="000000"/>
          <w:sz w:val="28"/>
          <w:szCs w:val="28"/>
          <w:lang w:val="es-ES"/>
        </w:rPr>
        <w:t xml:space="preserve"> en virtud de la vigencia del nuevo ordenamiento del sistema de salud. </w:t>
      </w:r>
    </w:p>
    <w:p w:rsidR="0090606F" w:rsidRPr="00DA1726" w:rsidRDefault="0090606F" w:rsidP="00DA1726">
      <w:pPr>
        <w:pStyle w:val="Sinespaciado"/>
        <w:tabs>
          <w:tab w:val="left" w:pos="851"/>
        </w:tabs>
        <w:jc w:val="both"/>
        <w:rPr>
          <w:rFonts w:ascii="Times New Roman" w:hAnsi="Times New Roman"/>
          <w:color w:val="000000"/>
          <w:sz w:val="28"/>
          <w:szCs w:val="28"/>
          <w:lang w:val="es-ES"/>
        </w:rPr>
      </w:pPr>
    </w:p>
    <w:p w:rsidR="0090606F" w:rsidRPr="00DA1726" w:rsidRDefault="00EC7E98" w:rsidP="00DA1726">
      <w:pPr>
        <w:pStyle w:val="Style9"/>
        <w:ind w:right="51"/>
        <w:rPr>
          <w:rFonts w:ascii="Times New Roman" w:hAnsi="Times New Roman"/>
          <w:sz w:val="28"/>
          <w:szCs w:val="28"/>
          <w:lang w:val="es-ES_tradnl"/>
        </w:rPr>
      </w:pPr>
      <w:r w:rsidRPr="00DA1726">
        <w:rPr>
          <w:rFonts w:ascii="Times New Roman" w:hAnsi="Times New Roman"/>
          <w:color w:val="000000"/>
          <w:sz w:val="28"/>
          <w:szCs w:val="28"/>
        </w:rPr>
        <w:t>5.1.3.1.</w:t>
      </w:r>
      <w:r w:rsidR="0090606F" w:rsidRPr="00DA1726">
        <w:rPr>
          <w:rFonts w:ascii="Times New Roman" w:hAnsi="Times New Roman"/>
          <w:color w:val="000000"/>
          <w:sz w:val="28"/>
          <w:szCs w:val="28"/>
        </w:rPr>
        <w:t xml:space="preserve"> En relación con este ítem </w:t>
      </w:r>
      <w:r w:rsidR="0090606F" w:rsidRPr="00DA1726">
        <w:rPr>
          <w:rFonts w:ascii="Times New Roman" w:hAnsi="Times New Roman"/>
          <w:sz w:val="28"/>
          <w:szCs w:val="28"/>
        </w:rPr>
        <w:t>el Ministerio de Salud y Protección Social y la Superintendencia Nacional de Salud</w:t>
      </w:r>
      <w:r w:rsidRPr="00DA1726">
        <w:rPr>
          <w:rFonts w:ascii="Times New Roman" w:hAnsi="Times New Roman"/>
          <w:sz w:val="28"/>
          <w:szCs w:val="28"/>
          <w:lang w:val="es-ES_tradnl"/>
        </w:rPr>
        <w:t xml:space="preserve"> concluyeron</w:t>
      </w:r>
      <w:r w:rsidR="0090606F" w:rsidRPr="00DA1726">
        <w:rPr>
          <w:rFonts w:ascii="Times New Roman" w:hAnsi="Times New Roman"/>
          <w:sz w:val="28"/>
          <w:szCs w:val="28"/>
          <w:lang w:val="es-ES_tradnl"/>
        </w:rPr>
        <w:t xml:space="preserve"> que para los regímenes subsidiado y contributivo 4 de estos no aplicaban.</w:t>
      </w:r>
    </w:p>
    <w:p w:rsidR="0090606F" w:rsidRPr="00DA1726" w:rsidRDefault="0090606F" w:rsidP="00DA1726">
      <w:pPr>
        <w:pStyle w:val="Style9"/>
        <w:ind w:right="51"/>
        <w:rPr>
          <w:rFonts w:ascii="Times New Roman" w:hAnsi="Times New Roman"/>
          <w:b/>
          <w:bCs/>
          <w:sz w:val="28"/>
          <w:szCs w:val="28"/>
          <w:lang w:val="es-ES_tradnl"/>
        </w:rPr>
      </w:pPr>
    </w:p>
    <w:p w:rsidR="0090606F" w:rsidRPr="00DA1726" w:rsidRDefault="0090606F" w:rsidP="00DA1726">
      <w:pPr>
        <w:pStyle w:val="Style9"/>
        <w:ind w:right="51"/>
        <w:rPr>
          <w:rFonts w:ascii="Times New Roman" w:hAnsi="Times New Roman"/>
          <w:sz w:val="28"/>
          <w:szCs w:val="28"/>
          <w:lang w:val="es-ES_tradnl"/>
        </w:rPr>
      </w:pPr>
      <w:r w:rsidRPr="00DA1726">
        <w:rPr>
          <w:rFonts w:ascii="Times New Roman" w:hAnsi="Times New Roman"/>
          <w:b/>
          <w:bCs/>
          <w:sz w:val="28"/>
          <w:szCs w:val="28"/>
          <w:lang w:val="es-ES_tradnl"/>
        </w:rPr>
        <w:t xml:space="preserve">Criterio 6. </w:t>
      </w:r>
      <w:r w:rsidRPr="00DA1726">
        <w:rPr>
          <w:rFonts w:ascii="Times New Roman" w:hAnsi="Times New Roman"/>
          <w:bCs/>
          <w:i/>
          <w:iCs/>
          <w:sz w:val="28"/>
          <w:szCs w:val="28"/>
          <w:lang w:val="es-ES_tradnl"/>
        </w:rPr>
        <w:t>“Se niega a autorizar oportunamente servicios de salud cuando se requiere que la persona se desplace a vivir en un lugar distinto al lugar que reside”</w:t>
      </w:r>
      <w:r w:rsidRPr="00DA1726">
        <w:rPr>
          <w:rFonts w:ascii="Times New Roman" w:hAnsi="Times New Roman"/>
          <w:sz w:val="28"/>
          <w:szCs w:val="28"/>
          <w:lang w:val="es-ES_tradnl"/>
        </w:rPr>
        <w:t>.</w:t>
      </w:r>
    </w:p>
    <w:p w:rsidR="0090606F" w:rsidRPr="00DA1726" w:rsidRDefault="0090606F"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Explicaron que este criterio se enfoca en los casos en que el paciente cambia su domicilio de residencia, cuando en la práctica el desplazamiento del usuario a un lugar distinto ocurre </w:t>
      </w:r>
      <w:r w:rsidR="00631117" w:rsidRPr="00DA1726">
        <w:rPr>
          <w:rFonts w:ascii="Times New Roman" w:hAnsi="Times New Roman"/>
          <w:sz w:val="28"/>
          <w:szCs w:val="28"/>
          <w:lang w:val="es-ES_tradnl"/>
        </w:rPr>
        <w:t xml:space="preserve">exclusivamente </w:t>
      </w:r>
      <w:r w:rsidRPr="00DA1726">
        <w:rPr>
          <w:rFonts w:ascii="Times New Roman" w:hAnsi="Times New Roman"/>
          <w:sz w:val="28"/>
          <w:szCs w:val="28"/>
          <w:lang w:val="es-ES_tradnl"/>
        </w:rPr>
        <w:t xml:space="preserve">para la prestación de un servicio. </w:t>
      </w:r>
    </w:p>
    <w:p w:rsidR="0090606F" w:rsidRPr="00DA1726" w:rsidRDefault="0090606F" w:rsidP="00DA1726">
      <w:pPr>
        <w:pStyle w:val="Style9"/>
        <w:ind w:right="51"/>
        <w:rPr>
          <w:rFonts w:ascii="Times New Roman" w:hAnsi="Times New Roman"/>
          <w:sz w:val="28"/>
          <w:szCs w:val="28"/>
          <w:lang w:val="es-ES_tradnl"/>
        </w:rPr>
      </w:pPr>
    </w:p>
    <w:p w:rsidR="0090606F" w:rsidRPr="00DA1726" w:rsidRDefault="0090606F" w:rsidP="00DA1726">
      <w:pPr>
        <w:pStyle w:val="Style9"/>
        <w:ind w:right="51"/>
        <w:rPr>
          <w:rFonts w:ascii="Times New Roman" w:hAnsi="Times New Roman"/>
          <w:sz w:val="28"/>
          <w:szCs w:val="28"/>
          <w:lang w:val="es-ES_tradnl"/>
        </w:rPr>
      </w:pPr>
      <w:r w:rsidRPr="00DA1726">
        <w:rPr>
          <w:rFonts w:ascii="Times New Roman" w:hAnsi="Times New Roman"/>
          <w:b/>
          <w:bCs/>
          <w:sz w:val="28"/>
          <w:szCs w:val="28"/>
          <w:lang w:val="es-ES_tradnl"/>
        </w:rPr>
        <w:t xml:space="preserve">Criterio 9: </w:t>
      </w:r>
      <w:r w:rsidRPr="00DA1726">
        <w:rPr>
          <w:rFonts w:ascii="Times New Roman" w:hAnsi="Times New Roman"/>
          <w:bCs/>
          <w:i/>
          <w:iCs/>
          <w:sz w:val="28"/>
          <w:szCs w:val="28"/>
          <w:lang w:val="es-ES_tradnl"/>
        </w:rPr>
        <w:t xml:space="preserve">“Se niegan a autorizar oportunamente servicios de salud que se requieren con necesidad, supeditando su prestación al pago de una cuota moderadora.” </w:t>
      </w:r>
      <w:r w:rsidRPr="00DA1726">
        <w:rPr>
          <w:rFonts w:ascii="Times New Roman" w:hAnsi="Times New Roman"/>
          <w:sz w:val="28"/>
          <w:szCs w:val="28"/>
          <w:lang w:val="es-ES_tradnl"/>
        </w:rPr>
        <w:t xml:space="preserve">Este criterio no es aplicable al </w:t>
      </w:r>
      <w:r w:rsidR="00BB647A" w:rsidRPr="00DA1726">
        <w:rPr>
          <w:rFonts w:ascii="Times New Roman" w:hAnsi="Times New Roman"/>
          <w:sz w:val="28"/>
          <w:szCs w:val="28"/>
          <w:lang w:val="es-ES_tradnl"/>
        </w:rPr>
        <w:t xml:space="preserve">régimen subsidiado </w:t>
      </w:r>
      <w:r w:rsidRPr="00DA1726">
        <w:rPr>
          <w:rFonts w:ascii="Times New Roman" w:hAnsi="Times New Roman"/>
          <w:sz w:val="28"/>
          <w:szCs w:val="28"/>
          <w:lang w:val="es-ES_tradnl"/>
        </w:rPr>
        <w:t>ya que desde la normativa vigente se establece que no se exigen cobros de cuota moderadora a usuarios de ese régimen.</w:t>
      </w:r>
    </w:p>
    <w:p w:rsidR="0090606F" w:rsidRPr="00DA1726" w:rsidRDefault="0090606F" w:rsidP="00DA1726">
      <w:pPr>
        <w:pStyle w:val="Style9"/>
        <w:ind w:right="51"/>
        <w:rPr>
          <w:rFonts w:ascii="Times New Roman" w:hAnsi="Times New Roman"/>
          <w:sz w:val="28"/>
          <w:szCs w:val="28"/>
        </w:rPr>
      </w:pPr>
    </w:p>
    <w:p w:rsidR="0090606F" w:rsidRPr="00DA1726" w:rsidRDefault="0090606F" w:rsidP="00DA1726">
      <w:pPr>
        <w:pStyle w:val="Style9"/>
        <w:ind w:right="51"/>
        <w:rPr>
          <w:rFonts w:ascii="Times New Roman" w:hAnsi="Times New Roman"/>
          <w:b/>
          <w:bCs/>
          <w:i/>
          <w:iCs/>
          <w:sz w:val="28"/>
          <w:szCs w:val="28"/>
          <w:lang w:val="es-ES_tradnl"/>
        </w:rPr>
      </w:pPr>
      <w:r w:rsidRPr="00DA1726">
        <w:rPr>
          <w:rFonts w:ascii="Times New Roman" w:hAnsi="Times New Roman"/>
          <w:b/>
          <w:bCs/>
          <w:sz w:val="28"/>
          <w:szCs w:val="28"/>
          <w:lang w:val="es-ES_tradnl"/>
        </w:rPr>
        <w:t xml:space="preserve">Criterio 10: </w:t>
      </w:r>
      <w:r w:rsidRPr="00DA1726">
        <w:rPr>
          <w:rFonts w:ascii="Times New Roman" w:hAnsi="Times New Roman"/>
          <w:bCs/>
          <w:i/>
          <w:iCs/>
          <w:sz w:val="28"/>
          <w:szCs w:val="28"/>
          <w:lang w:val="es-ES_tradnl"/>
        </w:rPr>
        <w:t>“Se niegan a autorizar incapacidades laborales derivadas del estado de salud de la persona con el argumento de que en el pasado no se cumplió con la obligación de cancelar los aportes de salud dentro del plazo establecido para ello.”</w:t>
      </w:r>
    </w:p>
    <w:p w:rsidR="0090606F" w:rsidRPr="00DA1726" w:rsidRDefault="0090606F"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Este criterio no es aplicable al </w:t>
      </w:r>
      <w:r w:rsidR="00BB647A" w:rsidRPr="00DA1726">
        <w:rPr>
          <w:rFonts w:ascii="Times New Roman" w:hAnsi="Times New Roman"/>
          <w:sz w:val="28"/>
          <w:szCs w:val="28"/>
          <w:lang w:val="es-ES_tradnl"/>
        </w:rPr>
        <w:t xml:space="preserve">régimen subsidiado </w:t>
      </w:r>
      <w:r w:rsidRPr="00DA1726">
        <w:rPr>
          <w:rFonts w:ascii="Times New Roman" w:hAnsi="Times New Roman"/>
          <w:sz w:val="28"/>
          <w:szCs w:val="28"/>
          <w:lang w:val="es-ES_tradnl"/>
        </w:rPr>
        <w:t>ya que desde la concepción de este régimen se entiende que no existe una vinculación laboral.</w:t>
      </w:r>
    </w:p>
    <w:p w:rsidR="0090606F" w:rsidRPr="00DA1726" w:rsidRDefault="0090606F" w:rsidP="00DA1726">
      <w:pPr>
        <w:pStyle w:val="Style9"/>
        <w:ind w:right="51"/>
        <w:rPr>
          <w:rFonts w:ascii="Times New Roman" w:hAnsi="Times New Roman"/>
          <w:sz w:val="28"/>
          <w:szCs w:val="28"/>
          <w:lang w:val="es-ES_tradnl"/>
        </w:rPr>
      </w:pPr>
    </w:p>
    <w:p w:rsidR="0090606F" w:rsidRPr="00DA1726" w:rsidRDefault="0090606F" w:rsidP="00DA1726">
      <w:pPr>
        <w:pStyle w:val="Style9"/>
        <w:ind w:right="51"/>
        <w:rPr>
          <w:rFonts w:ascii="Times New Roman" w:hAnsi="Times New Roman"/>
          <w:bCs/>
          <w:i/>
          <w:iCs/>
          <w:sz w:val="28"/>
          <w:szCs w:val="28"/>
          <w:lang w:val="es-ES_tradnl"/>
        </w:rPr>
      </w:pPr>
      <w:r w:rsidRPr="00DA1726">
        <w:rPr>
          <w:rFonts w:ascii="Times New Roman" w:hAnsi="Times New Roman"/>
          <w:b/>
          <w:bCs/>
          <w:sz w:val="28"/>
          <w:szCs w:val="28"/>
          <w:lang w:val="es-ES_tradnl"/>
        </w:rPr>
        <w:t xml:space="preserve">Criterio 12: </w:t>
      </w:r>
      <w:r w:rsidRPr="00DA1726">
        <w:rPr>
          <w:rFonts w:ascii="Times New Roman" w:hAnsi="Times New Roman"/>
          <w:bCs/>
          <w:i/>
          <w:iCs/>
          <w:sz w:val="28"/>
          <w:szCs w:val="28"/>
          <w:lang w:val="es-ES_tradnl"/>
        </w:rPr>
        <w:t>“Interrumpen el suministro de servicios de salud, porque ya transcurrió un mes luego del momento en que la persona dejó de cotizar, en razón a que ahora es desempleado, antes de que éste haya sido en efecto asumido por otro prestador.”</w:t>
      </w:r>
    </w:p>
    <w:p w:rsidR="0090606F" w:rsidRPr="00DA1726" w:rsidRDefault="0090606F"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Este criterio no es aplicable al </w:t>
      </w:r>
      <w:r w:rsidR="00BB647A" w:rsidRPr="00DA1726">
        <w:rPr>
          <w:rFonts w:ascii="Times New Roman" w:hAnsi="Times New Roman"/>
          <w:sz w:val="28"/>
          <w:szCs w:val="28"/>
          <w:lang w:val="es-ES_tradnl"/>
        </w:rPr>
        <w:t xml:space="preserve">régimen subsidiado </w:t>
      </w:r>
      <w:r w:rsidR="00631117" w:rsidRPr="00DA1726">
        <w:rPr>
          <w:rFonts w:ascii="Times New Roman" w:hAnsi="Times New Roman"/>
          <w:sz w:val="28"/>
          <w:szCs w:val="28"/>
          <w:lang w:val="es-ES_tradnl"/>
        </w:rPr>
        <w:t xml:space="preserve">ya que desde su concepción </w:t>
      </w:r>
      <w:r w:rsidRPr="00DA1726">
        <w:rPr>
          <w:rFonts w:ascii="Times New Roman" w:hAnsi="Times New Roman"/>
          <w:sz w:val="28"/>
          <w:szCs w:val="28"/>
          <w:lang w:val="es-ES_tradnl"/>
        </w:rPr>
        <w:t xml:space="preserve">se entiende que no existe una vinculación laboral, por tanto no existe una cotización, y de existir la misma, el usuario debería encontrarse afiliado </w:t>
      </w:r>
      <w:r w:rsidR="0044456B" w:rsidRPr="00DA1726">
        <w:rPr>
          <w:rFonts w:ascii="Times New Roman" w:hAnsi="Times New Roman"/>
          <w:sz w:val="28"/>
          <w:szCs w:val="28"/>
          <w:lang w:val="es-ES_tradnl"/>
        </w:rPr>
        <w:t>al régimen contributivo</w:t>
      </w:r>
      <w:r w:rsidRPr="00DA1726">
        <w:rPr>
          <w:rFonts w:ascii="Times New Roman" w:hAnsi="Times New Roman"/>
          <w:sz w:val="28"/>
          <w:szCs w:val="28"/>
          <w:lang w:val="es-ES_tradnl"/>
        </w:rPr>
        <w:t>.</w:t>
      </w:r>
    </w:p>
    <w:p w:rsidR="0090606F" w:rsidRPr="00DA1726" w:rsidRDefault="0090606F" w:rsidP="00DA1726">
      <w:pPr>
        <w:pStyle w:val="Style9"/>
        <w:widowControl/>
        <w:ind w:right="590"/>
        <w:rPr>
          <w:rFonts w:ascii="Times New Roman" w:hAnsi="Times New Roman"/>
          <w:sz w:val="28"/>
          <w:szCs w:val="28"/>
        </w:rPr>
      </w:pPr>
    </w:p>
    <w:p w:rsidR="00FB4EBC" w:rsidRPr="00DA1726" w:rsidRDefault="00FB4EBC" w:rsidP="00DA1726">
      <w:pPr>
        <w:pStyle w:val="Style9"/>
        <w:widowControl/>
        <w:ind w:right="51"/>
        <w:rPr>
          <w:rFonts w:ascii="Times New Roman" w:hAnsi="Times New Roman"/>
          <w:sz w:val="28"/>
          <w:szCs w:val="28"/>
          <w:lang w:val="es-ES_tradnl"/>
        </w:rPr>
      </w:pPr>
      <w:r w:rsidRPr="00DA1726">
        <w:rPr>
          <w:rFonts w:ascii="Times New Roman" w:hAnsi="Times New Roman"/>
          <w:sz w:val="28"/>
          <w:szCs w:val="28"/>
        </w:rPr>
        <w:t>Incluso al momento de establecer la clasificación de EPS de acuerdo a su desempeño, advirtieron que no tendrían en cuenta 4 de los 14 criterios de valoración, debido a que resultaban inaplicables, como se explicó en el numeral</w:t>
      </w:r>
      <w:r w:rsidR="00C024E3" w:rsidRPr="00DA1726">
        <w:rPr>
          <w:rFonts w:ascii="Times New Roman" w:hAnsi="Times New Roman"/>
          <w:sz w:val="28"/>
          <w:szCs w:val="28"/>
        </w:rPr>
        <w:t xml:space="preserve"> </w:t>
      </w:r>
      <w:r w:rsidRPr="00DA1726">
        <w:rPr>
          <w:rFonts w:ascii="Times New Roman" w:hAnsi="Times New Roman"/>
          <w:i/>
          <w:sz w:val="28"/>
          <w:szCs w:val="28"/>
        </w:rPr>
        <w:t xml:space="preserve">5.1.2.1. </w:t>
      </w:r>
      <w:r w:rsidRPr="00DA1726">
        <w:rPr>
          <w:rFonts w:ascii="Times New Roman" w:hAnsi="Times New Roman"/>
          <w:sz w:val="28"/>
          <w:szCs w:val="28"/>
        </w:rPr>
        <w:t xml:space="preserve">i) </w:t>
      </w:r>
      <w:r w:rsidRPr="00DA1726">
        <w:rPr>
          <w:rFonts w:ascii="Times New Roman" w:hAnsi="Times New Roman"/>
          <w:bCs/>
          <w:iCs/>
          <w:sz w:val="28"/>
          <w:szCs w:val="28"/>
          <w:lang w:val="es-ES_tradnl"/>
        </w:rPr>
        <w:t xml:space="preserve">Indicadores T-760 de 2008. </w:t>
      </w:r>
    </w:p>
    <w:p w:rsidR="00FB4EBC" w:rsidRPr="00DA1726" w:rsidRDefault="00FB4EBC" w:rsidP="00DA1726">
      <w:pPr>
        <w:pStyle w:val="Style9"/>
        <w:widowControl/>
        <w:ind w:right="590"/>
        <w:rPr>
          <w:rFonts w:ascii="Times New Roman" w:hAnsi="Times New Roman"/>
          <w:sz w:val="28"/>
          <w:szCs w:val="28"/>
        </w:rPr>
      </w:pPr>
    </w:p>
    <w:p w:rsidR="0090606F" w:rsidRPr="00DA1726" w:rsidRDefault="0090606F"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Por otra parte, respecto a la incorporación de nuevos criterios destacaron que el artículo 5</w:t>
      </w:r>
      <w:r w:rsidRPr="00DA1726">
        <w:rPr>
          <w:rFonts w:ascii="Times New Roman" w:hAnsi="Times New Roman"/>
          <w:sz w:val="28"/>
          <w:szCs w:val="28"/>
          <w:vertAlign w:val="superscript"/>
          <w:lang w:val="es-ES_tradnl"/>
        </w:rPr>
        <w:t>o</w:t>
      </w:r>
      <w:r w:rsidRPr="00DA1726">
        <w:rPr>
          <w:rFonts w:ascii="Times New Roman" w:hAnsi="Times New Roman"/>
          <w:sz w:val="28"/>
          <w:szCs w:val="28"/>
          <w:lang w:val="es-ES_tradnl"/>
        </w:rPr>
        <w:t xml:space="preserve"> de la Ley 1751 de 2015 hace alusión a la formulación y adopción de políticas de salud que garanticen la igualdad de trato y oportunidades para toda la población, asegurando para ello la coordinación armónica de los agentes del Sistema</w:t>
      </w:r>
      <w:r w:rsidR="0044456B" w:rsidRPr="00DA1726">
        <w:rPr>
          <w:rFonts w:ascii="Times New Roman" w:hAnsi="Times New Roman"/>
          <w:sz w:val="28"/>
          <w:szCs w:val="28"/>
          <w:lang w:val="es-ES_tradnl"/>
        </w:rPr>
        <w:t>. E</w:t>
      </w:r>
      <w:r w:rsidRPr="00DA1726">
        <w:rPr>
          <w:rFonts w:ascii="Times New Roman" w:hAnsi="Times New Roman"/>
          <w:sz w:val="28"/>
          <w:szCs w:val="28"/>
          <w:lang w:val="es-ES_tradnl"/>
        </w:rPr>
        <w:t>n esa medida</w:t>
      </w:r>
      <w:r w:rsidR="0044456B" w:rsidRPr="00DA1726">
        <w:rPr>
          <w:rFonts w:ascii="Times New Roman" w:hAnsi="Times New Roman"/>
          <w:sz w:val="28"/>
          <w:szCs w:val="28"/>
          <w:lang w:val="es-ES_tradnl"/>
        </w:rPr>
        <w:t>,</w:t>
      </w:r>
      <w:r w:rsidRPr="00DA1726">
        <w:rPr>
          <w:rFonts w:ascii="Times New Roman" w:hAnsi="Times New Roman"/>
          <w:sz w:val="28"/>
          <w:szCs w:val="28"/>
          <w:lang w:val="es-ES_tradnl"/>
        </w:rPr>
        <w:t xml:space="preserve"> propusieron que estas políticas se enfoquen en la garantía del derecho a la salud desde la óptica de la prestación de los servicios y se incluyan en su seguimiento las metas previstas para cada uno de los componentes del Plan Decenal en Salud, entre las cuales destaca</w:t>
      </w:r>
      <w:r w:rsidR="0044456B" w:rsidRPr="00DA1726">
        <w:rPr>
          <w:rFonts w:ascii="Times New Roman" w:hAnsi="Times New Roman"/>
          <w:sz w:val="28"/>
          <w:szCs w:val="28"/>
          <w:lang w:val="es-ES_tradnl"/>
        </w:rPr>
        <w:t>ro</w:t>
      </w:r>
      <w:r w:rsidRPr="00DA1726">
        <w:rPr>
          <w:rFonts w:ascii="Times New Roman" w:hAnsi="Times New Roman"/>
          <w:sz w:val="28"/>
          <w:szCs w:val="28"/>
          <w:lang w:val="es-ES_tradnl"/>
        </w:rPr>
        <w:t>n:</w:t>
      </w:r>
    </w:p>
    <w:p w:rsidR="0090606F" w:rsidRPr="00DA1726" w:rsidRDefault="0090606F" w:rsidP="00DA1726">
      <w:pPr>
        <w:pStyle w:val="Style9"/>
        <w:ind w:right="590"/>
        <w:rPr>
          <w:rFonts w:ascii="Times New Roman" w:hAnsi="Times New Roman"/>
          <w:sz w:val="28"/>
          <w:szCs w:val="28"/>
        </w:rPr>
      </w:pPr>
    </w:p>
    <w:tbl>
      <w:tblPr>
        <w:tblW w:w="8851" w:type="dxa"/>
        <w:tblInd w:w="40" w:type="dxa"/>
        <w:tblLayout w:type="fixed"/>
        <w:tblCellMar>
          <w:left w:w="40" w:type="dxa"/>
          <w:right w:w="40" w:type="dxa"/>
        </w:tblCellMar>
        <w:tblLook w:val="0000" w:firstRow="0" w:lastRow="0" w:firstColumn="0" w:lastColumn="0" w:noHBand="0" w:noVBand="0"/>
      </w:tblPr>
      <w:tblGrid>
        <w:gridCol w:w="4347"/>
        <w:gridCol w:w="1842"/>
        <w:gridCol w:w="851"/>
        <w:gridCol w:w="709"/>
        <w:gridCol w:w="1102"/>
      </w:tblGrid>
      <w:tr w:rsidR="0090606F" w:rsidRPr="00DA1726" w:rsidTr="009D7A12">
        <w:tc>
          <w:tcPr>
            <w:tcW w:w="4347" w:type="dxa"/>
            <w:tcBorders>
              <w:top w:val="single" w:sz="6" w:space="0" w:color="auto"/>
              <w:left w:val="single" w:sz="6" w:space="0" w:color="auto"/>
              <w:bottom w:val="nil"/>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DIMENSIÓN TRANSVERSAL</w:t>
            </w:r>
          </w:p>
        </w:tc>
        <w:tc>
          <w:tcPr>
            <w:tcW w:w="4504" w:type="dxa"/>
            <w:gridSpan w:val="4"/>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jc w:val="center"/>
              <w:rPr>
                <w:rFonts w:ascii="Times New Roman" w:hAnsi="Times New Roman"/>
                <w:sz w:val="28"/>
                <w:szCs w:val="28"/>
                <w:lang w:val="es-ES_tradnl"/>
              </w:rPr>
            </w:pPr>
            <w:r w:rsidRPr="00DA1726">
              <w:rPr>
                <w:rFonts w:ascii="Times New Roman" w:hAnsi="Times New Roman"/>
                <w:sz w:val="28"/>
                <w:szCs w:val="28"/>
                <w:lang w:val="es-ES_tradnl"/>
              </w:rPr>
              <w:t>ACTORES</w:t>
            </w:r>
          </w:p>
        </w:tc>
      </w:tr>
      <w:tr w:rsidR="0090606F" w:rsidRPr="00DA1726" w:rsidTr="009D7A12">
        <w:tc>
          <w:tcPr>
            <w:tcW w:w="4347" w:type="dxa"/>
            <w:tcBorders>
              <w:top w:val="nil"/>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p>
          <w:p w:rsidR="0090606F" w:rsidRPr="00DA1726" w:rsidRDefault="0090606F" w:rsidP="00DA1726">
            <w:pPr>
              <w:pStyle w:val="Style9"/>
              <w:ind w:right="590"/>
              <w:rPr>
                <w:rFonts w:ascii="Times New Roman" w:hAnsi="Times New Roman"/>
                <w:sz w:val="28"/>
                <w:szCs w:val="28"/>
                <w:lang w:val="es-ES_tradnl"/>
              </w:rPr>
            </w:pPr>
          </w:p>
        </w:tc>
        <w:tc>
          <w:tcPr>
            <w:tcW w:w="184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40"/>
              <w:rPr>
                <w:rFonts w:ascii="Times New Roman" w:hAnsi="Times New Roman"/>
                <w:sz w:val="28"/>
                <w:szCs w:val="28"/>
                <w:lang w:val="es-ES_tradnl"/>
              </w:rPr>
            </w:pPr>
            <w:r w:rsidRPr="00DA1726">
              <w:rPr>
                <w:rFonts w:ascii="Times New Roman" w:hAnsi="Times New Roman"/>
                <w:sz w:val="28"/>
                <w:szCs w:val="28"/>
                <w:lang w:val="es-ES_tradnl"/>
              </w:rPr>
              <w:t>ENTIDAD TERRITORIAL</w:t>
            </w:r>
          </w:p>
        </w:tc>
        <w:tc>
          <w:tcPr>
            <w:tcW w:w="851"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182"/>
              <w:rPr>
                <w:rFonts w:ascii="Times New Roman" w:hAnsi="Times New Roman"/>
                <w:sz w:val="28"/>
                <w:szCs w:val="28"/>
                <w:lang w:val="es-ES_tradnl"/>
              </w:rPr>
            </w:pPr>
            <w:r w:rsidRPr="00DA1726">
              <w:rPr>
                <w:rFonts w:ascii="Times New Roman" w:hAnsi="Times New Roman"/>
                <w:sz w:val="28"/>
                <w:szCs w:val="28"/>
                <w:lang w:val="es-ES_tradnl"/>
              </w:rPr>
              <w:t>IPS</w:t>
            </w:r>
          </w:p>
        </w:tc>
        <w:tc>
          <w:tcPr>
            <w:tcW w:w="709"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607"/>
              <w:rPr>
                <w:rFonts w:ascii="Times New Roman" w:hAnsi="Times New Roman"/>
                <w:sz w:val="28"/>
                <w:szCs w:val="28"/>
                <w:lang w:val="es-ES_tradnl"/>
              </w:rPr>
            </w:pPr>
            <w:r w:rsidRPr="00DA1726">
              <w:rPr>
                <w:rFonts w:ascii="Times New Roman" w:hAnsi="Times New Roman"/>
                <w:sz w:val="28"/>
                <w:szCs w:val="28"/>
                <w:lang w:val="es-ES_tradnl"/>
              </w:rPr>
              <w:t>EPS</w:t>
            </w:r>
          </w:p>
        </w:tc>
        <w:tc>
          <w:tcPr>
            <w:tcW w:w="110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70"/>
              <w:rPr>
                <w:rFonts w:ascii="Times New Roman" w:hAnsi="Times New Roman"/>
                <w:sz w:val="28"/>
                <w:szCs w:val="28"/>
                <w:lang w:val="es-ES_tradnl"/>
              </w:rPr>
            </w:pPr>
            <w:r w:rsidRPr="00DA1726">
              <w:rPr>
                <w:rFonts w:ascii="Times New Roman" w:hAnsi="Times New Roman"/>
                <w:sz w:val="28"/>
                <w:szCs w:val="28"/>
                <w:lang w:val="es-ES_tradnl"/>
              </w:rPr>
              <w:t>ARL</w:t>
            </w:r>
          </w:p>
        </w:tc>
      </w:tr>
      <w:tr w:rsidR="0090606F" w:rsidRPr="00DA1726" w:rsidTr="009D7A12">
        <w:tc>
          <w:tcPr>
            <w:tcW w:w="4347"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Gestión Diferencial de poblaciones vulnerables</w:t>
            </w:r>
          </w:p>
        </w:tc>
        <w:tc>
          <w:tcPr>
            <w:tcW w:w="184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851"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709"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110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r>
      <w:tr w:rsidR="0090606F" w:rsidRPr="00DA1726" w:rsidTr="009D7A12">
        <w:tc>
          <w:tcPr>
            <w:tcW w:w="4347"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Fortalecimiento de la autoridad sanitaria para la gestión integral de la salud</w:t>
            </w:r>
          </w:p>
        </w:tc>
        <w:tc>
          <w:tcPr>
            <w:tcW w:w="184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851"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c>
          <w:tcPr>
            <w:tcW w:w="110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r>
      <w:tr w:rsidR="0090606F" w:rsidRPr="00DA1726" w:rsidTr="009D7A12">
        <w:tc>
          <w:tcPr>
            <w:tcW w:w="4347"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DIMENSIÓN PRIORITARIA</w:t>
            </w:r>
          </w:p>
        </w:tc>
        <w:tc>
          <w:tcPr>
            <w:tcW w:w="4504" w:type="dxa"/>
            <w:gridSpan w:val="4"/>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r>
      <w:tr w:rsidR="0090606F" w:rsidRPr="00DA1726" w:rsidTr="009D7A12">
        <w:tc>
          <w:tcPr>
            <w:tcW w:w="4347"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Salud ambiental</w:t>
            </w:r>
          </w:p>
        </w:tc>
        <w:tc>
          <w:tcPr>
            <w:tcW w:w="184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851"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c>
          <w:tcPr>
            <w:tcW w:w="709"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c>
          <w:tcPr>
            <w:tcW w:w="110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r>
      <w:tr w:rsidR="0090606F" w:rsidRPr="00DA1726" w:rsidTr="009D7A12">
        <w:tc>
          <w:tcPr>
            <w:tcW w:w="4347"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Vida saludable y condiciones no trasmisibles</w:t>
            </w:r>
          </w:p>
        </w:tc>
        <w:tc>
          <w:tcPr>
            <w:tcW w:w="184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851"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709"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110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r>
      <w:tr w:rsidR="0090606F" w:rsidRPr="00DA1726" w:rsidTr="009D7A12">
        <w:tc>
          <w:tcPr>
            <w:tcW w:w="4347"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Convivencia Social y salud mental</w:t>
            </w:r>
          </w:p>
        </w:tc>
        <w:tc>
          <w:tcPr>
            <w:tcW w:w="184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851"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709"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110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r>
      <w:tr w:rsidR="0090606F" w:rsidRPr="00DA1726" w:rsidTr="009D7A12">
        <w:tc>
          <w:tcPr>
            <w:tcW w:w="4347"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Seguridad alimentaria y nutricional</w:t>
            </w:r>
          </w:p>
        </w:tc>
        <w:tc>
          <w:tcPr>
            <w:tcW w:w="184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851"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709"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110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r>
      <w:tr w:rsidR="0090606F" w:rsidRPr="00DA1726" w:rsidTr="009D7A12">
        <w:tc>
          <w:tcPr>
            <w:tcW w:w="4347"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Sexualidad, derechos sexuales y reproductivos</w:t>
            </w:r>
          </w:p>
        </w:tc>
        <w:tc>
          <w:tcPr>
            <w:tcW w:w="184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851"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709"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110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r>
      <w:tr w:rsidR="0090606F" w:rsidRPr="00DA1726" w:rsidTr="009D7A12">
        <w:tc>
          <w:tcPr>
            <w:tcW w:w="4347"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Vida saludable y enfermedades trasmisibles</w:t>
            </w:r>
          </w:p>
        </w:tc>
        <w:tc>
          <w:tcPr>
            <w:tcW w:w="184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851"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709"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110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r>
      <w:tr w:rsidR="0090606F" w:rsidRPr="00DA1726" w:rsidTr="009D7A12">
        <w:tc>
          <w:tcPr>
            <w:tcW w:w="4347"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Salud publica en emergencias y desastres</w:t>
            </w:r>
          </w:p>
        </w:tc>
        <w:tc>
          <w:tcPr>
            <w:tcW w:w="184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851"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709"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110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r>
      <w:tr w:rsidR="0090606F" w:rsidRPr="00DA1726" w:rsidTr="009D7A12">
        <w:tc>
          <w:tcPr>
            <w:tcW w:w="4347"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Salud y ámbito laboral</w:t>
            </w:r>
          </w:p>
        </w:tc>
        <w:tc>
          <w:tcPr>
            <w:tcW w:w="184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rPr>
            </w:pPr>
          </w:p>
        </w:tc>
        <w:tc>
          <w:tcPr>
            <w:tcW w:w="851"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709"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c>
          <w:tcPr>
            <w:tcW w:w="1102"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pStyle w:val="Style9"/>
              <w:ind w:right="590"/>
              <w:rPr>
                <w:rFonts w:ascii="Times New Roman" w:hAnsi="Times New Roman"/>
                <w:sz w:val="28"/>
                <w:szCs w:val="28"/>
                <w:lang w:val="es-ES_tradnl"/>
              </w:rPr>
            </w:pPr>
            <w:r w:rsidRPr="00DA1726">
              <w:rPr>
                <w:rFonts w:ascii="Times New Roman" w:hAnsi="Times New Roman"/>
                <w:sz w:val="28"/>
                <w:szCs w:val="28"/>
                <w:lang w:val="es-ES_tradnl"/>
              </w:rPr>
              <w:t>X</w:t>
            </w:r>
          </w:p>
        </w:tc>
      </w:tr>
    </w:tbl>
    <w:p w:rsidR="0090606F" w:rsidRPr="00DA1726" w:rsidRDefault="0090606F" w:rsidP="00DA1726">
      <w:pPr>
        <w:pStyle w:val="Style9"/>
        <w:ind w:right="51"/>
        <w:rPr>
          <w:rStyle w:val="FontStyle20"/>
          <w:rFonts w:ascii="Times New Roman" w:hAnsi="Times New Roman" w:cs="Times New Roman"/>
          <w:b/>
          <w:sz w:val="28"/>
          <w:szCs w:val="28"/>
          <w:lang w:val="es-ES_tradnl" w:eastAsia="es-ES_tradnl"/>
        </w:rPr>
      </w:pPr>
    </w:p>
    <w:p w:rsidR="0090606F" w:rsidRPr="00DA1726" w:rsidRDefault="009F1049" w:rsidP="00DA1726">
      <w:pPr>
        <w:pStyle w:val="Style9"/>
        <w:ind w:right="51"/>
        <w:rPr>
          <w:rFonts w:ascii="Times New Roman" w:hAnsi="Times New Roman"/>
          <w:sz w:val="28"/>
          <w:szCs w:val="28"/>
          <w:lang w:val="es-ES_tradnl"/>
        </w:rPr>
      </w:pPr>
      <w:r w:rsidRPr="00DA1726">
        <w:rPr>
          <w:rFonts w:ascii="Times New Roman" w:hAnsi="Times New Roman"/>
          <w:color w:val="000000"/>
          <w:sz w:val="28"/>
          <w:szCs w:val="28"/>
        </w:rPr>
        <w:t xml:space="preserve">5.1.3.2. </w:t>
      </w:r>
      <w:r w:rsidR="0090606F" w:rsidRPr="00DA1726">
        <w:rPr>
          <w:rFonts w:ascii="Times New Roman" w:hAnsi="Times New Roman"/>
          <w:b/>
          <w:sz w:val="28"/>
          <w:szCs w:val="28"/>
          <w:lang w:val="es-ES_tradnl"/>
        </w:rPr>
        <w:t>La CSR</w:t>
      </w:r>
      <w:r w:rsidR="0090606F" w:rsidRPr="00DA1726">
        <w:rPr>
          <w:rFonts w:ascii="Times New Roman" w:hAnsi="Times New Roman"/>
          <w:sz w:val="28"/>
          <w:szCs w:val="28"/>
          <w:lang w:val="es-ES_tradnl"/>
        </w:rPr>
        <w:t xml:space="preserve"> se refirió a cada uno de los 14 parámetros contenidos en el auto 260 de 2012. Al respecto se destac</w:t>
      </w:r>
      <w:r w:rsidR="0044456B" w:rsidRPr="00DA1726">
        <w:rPr>
          <w:rFonts w:ascii="Times New Roman" w:hAnsi="Times New Roman"/>
          <w:sz w:val="28"/>
          <w:szCs w:val="28"/>
          <w:lang w:val="es-ES_tradnl"/>
        </w:rPr>
        <w:t>an</w:t>
      </w:r>
      <w:r w:rsidR="0090606F" w:rsidRPr="00DA1726">
        <w:rPr>
          <w:rFonts w:ascii="Times New Roman" w:hAnsi="Times New Roman"/>
          <w:sz w:val="28"/>
          <w:szCs w:val="28"/>
          <w:lang w:val="es-ES_tradnl"/>
        </w:rPr>
        <w:t xml:space="preserve"> aquellos sobre los cuales sugirió específicamente una modificación.</w:t>
      </w:r>
    </w:p>
    <w:p w:rsidR="0090606F" w:rsidRPr="00DA1726" w:rsidRDefault="0090606F" w:rsidP="00DA1726">
      <w:pPr>
        <w:pStyle w:val="Style9"/>
        <w:ind w:right="51"/>
        <w:rPr>
          <w:rFonts w:ascii="Times New Roman" w:hAnsi="Times New Roman"/>
          <w:sz w:val="28"/>
          <w:szCs w:val="28"/>
          <w:lang w:val="es-ES_tradnl"/>
        </w:rPr>
      </w:pPr>
    </w:p>
    <w:p w:rsidR="0090606F" w:rsidRPr="00DA1726" w:rsidRDefault="0090606F" w:rsidP="00DA1726">
      <w:pPr>
        <w:pStyle w:val="Style9"/>
        <w:ind w:right="51"/>
        <w:rPr>
          <w:rFonts w:ascii="Times New Roman" w:hAnsi="Times New Roman"/>
          <w:i/>
          <w:sz w:val="28"/>
          <w:szCs w:val="28"/>
          <w:lang w:val="es-ES_tradnl"/>
        </w:rPr>
      </w:pPr>
      <w:r w:rsidRPr="00DA1726">
        <w:rPr>
          <w:rFonts w:ascii="Times New Roman" w:hAnsi="Times New Roman"/>
          <w:b/>
          <w:sz w:val="28"/>
          <w:szCs w:val="28"/>
          <w:lang w:val="es-ES_tradnl"/>
        </w:rPr>
        <w:t>Primero</w:t>
      </w:r>
      <w:r w:rsidRPr="00DA1726">
        <w:rPr>
          <w:rFonts w:ascii="Times New Roman" w:hAnsi="Times New Roman"/>
          <w:sz w:val="28"/>
          <w:szCs w:val="28"/>
          <w:lang w:val="es-ES_tradnl"/>
        </w:rPr>
        <w:t xml:space="preserve">. Se niegan a autorizar oportunamente servicios de Salud incluido en el POS. </w:t>
      </w:r>
      <w:r w:rsidR="00A268A8" w:rsidRPr="00DA1726">
        <w:rPr>
          <w:rFonts w:ascii="Times New Roman" w:hAnsi="Times New Roman"/>
          <w:sz w:val="28"/>
          <w:szCs w:val="28"/>
          <w:lang w:val="es-ES_tradnl"/>
        </w:rPr>
        <w:t>E</w:t>
      </w:r>
      <w:r w:rsidRPr="00DA1726">
        <w:rPr>
          <w:rFonts w:ascii="Times New Roman" w:hAnsi="Times New Roman"/>
          <w:sz w:val="28"/>
          <w:szCs w:val="28"/>
          <w:lang w:val="es-ES_tradnl"/>
        </w:rPr>
        <w:t xml:space="preserve">xplicó que de acuerdo con la Ley 1751 de 2015, el Plan Obligatorio de Salud es sustituido por un régimen de exclusiones, por lo que este parámetro debería quedar así: </w:t>
      </w:r>
      <w:r w:rsidR="00A268A8" w:rsidRPr="00DA1726">
        <w:rPr>
          <w:rFonts w:ascii="Times New Roman" w:hAnsi="Times New Roman"/>
          <w:i/>
          <w:sz w:val="28"/>
          <w:szCs w:val="28"/>
          <w:lang w:val="es-ES_tradnl"/>
        </w:rPr>
        <w:t>“s</w:t>
      </w:r>
      <w:r w:rsidRPr="00DA1726">
        <w:rPr>
          <w:rFonts w:ascii="Times New Roman" w:hAnsi="Times New Roman"/>
          <w:i/>
          <w:sz w:val="28"/>
          <w:szCs w:val="28"/>
          <w:lang w:val="es-ES_tradnl"/>
        </w:rPr>
        <w:t>e niegan a autorizar oportunamente Servicios de Salud</w:t>
      </w:r>
      <w:r w:rsidR="00A268A8" w:rsidRPr="00DA1726">
        <w:rPr>
          <w:rFonts w:ascii="Times New Roman" w:hAnsi="Times New Roman"/>
          <w:i/>
          <w:sz w:val="28"/>
          <w:szCs w:val="28"/>
          <w:lang w:val="es-ES_tradnl"/>
        </w:rPr>
        <w:t>”</w:t>
      </w:r>
      <w:r w:rsidRPr="00DA1726">
        <w:rPr>
          <w:rFonts w:ascii="Times New Roman" w:hAnsi="Times New Roman"/>
          <w:i/>
          <w:sz w:val="28"/>
          <w:szCs w:val="28"/>
          <w:lang w:val="es-ES_tradnl"/>
        </w:rPr>
        <w:t>.</w:t>
      </w:r>
    </w:p>
    <w:p w:rsidR="0090606F" w:rsidRPr="00DA1726" w:rsidRDefault="0090606F" w:rsidP="00DA1726">
      <w:pPr>
        <w:pStyle w:val="Style9"/>
        <w:ind w:right="51"/>
        <w:rPr>
          <w:rFonts w:ascii="Times New Roman" w:hAnsi="Times New Roman"/>
          <w:i/>
          <w:sz w:val="28"/>
          <w:szCs w:val="28"/>
          <w:lang w:val="es-ES_tradnl"/>
        </w:rPr>
      </w:pPr>
    </w:p>
    <w:p w:rsidR="0090606F" w:rsidRPr="00DA1726" w:rsidRDefault="0090606F" w:rsidP="00DA1726">
      <w:pPr>
        <w:pStyle w:val="Style9"/>
        <w:ind w:right="51"/>
        <w:rPr>
          <w:rFonts w:ascii="Times New Roman" w:hAnsi="Times New Roman"/>
          <w:i/>
          <w:sz w:val="28"/>
          <w:szCs w:val="28"/>
          <w:lang w:val="es-ES_tradnl"/>
        </w:rPr>
      </w:pPr>
      <w:r w:rsidRPr="00DA1726">
        <w:rPr>
          <w:rFonts w:ascii="Times New Roman" w:hAnsi="Times New Roman"/>
          <w:b/>
          <w:sz w:val="28"/>
          <w:szCs w:val="28"/>
          <w:lang w:val="es-ES_tradnl"/>
        </w:rPr>
        <w:t>Segundo</w:t>
      </w:r>
      <w:r w:rsidRPr="00DA1726">
        <w:rPr>
          <w:rFonts w:ascii="Times New Roman" w:hAnsi="Times New Roman"/>
          <w:sz w:val="28"/>
          <w:szCs w:val="28"/>
          <w:lang w:val="es-ES_tradnl"/>
        </w:rPr>
        <w:t xml:space="preserve">. Se niegan a autorizar oportunamente servicios de salud excluidos del POS que se requieren con necesidad y que no pueden ser costeados por el interesado, bien sea porque su costo le resulta impagable dado su nivel de ingreso o porque le impone una carga desproporcionada.  Este parámetro pierde fuerza argumentativa al no existir un POS y un No POS, sino un sistema de exclusiones, en esa medida propuso una modificación de este parámetro en los siguientes términos: </w:t>
      </w:r>
      <w:r w:rsidR="00A268A8" w:rsidRPr="00DA1726">
        <w:rPr>
          <w:rFonts w:ascii="Times New Roman" w:hAnsi="Times New Roman"/>
          <w:i/>
          <w:sz w:val="28"/>
          <w:szCs w:val="28"/>
          <w:lang w:val="es-ES_tradnl"/>
        </w:rPr>
        <w:t>“s</w:t>
      </w:r>
      <w:r w:rsidRPr="00DA1726">
        <w:rPr>
          <w:rFonts w:ascii="Times New Roman" w:hAnsi="Times New Roman"/>
          <w:i/>
          <w:sz w:val="28"/>
          <w:szCs w:val="28"/>
          <w:lang w:val="es-ES_tradnl"/>
        </w:rPr>
        <w:t>e niegan a autorizar oportunamente servicios de salud excluidos y que se requieren con necesidad y que no pueden ser costeados por el interesado, bien sea porque su costo le resulta impagable dado su nivel de ingreso o porque le impone una carga desproporcionada.</w:t>
      </w:r>
    </w:p>
    <w:p w:rsidR="0090606F" w:rsidRPr="00DA1726" w:rsidRDefault="0090606F" w:rsidP="00DA1726">
      <w:pPr>
        <w:pStyle w:val="Style9"/>
        <w:ind w:right="51"/>
        <w:rPr>
          <w:rFonts w:ascii="Times New Roman" w:hAnsi="Times New Roman"/>
          <w:sz w:val="28"/>
          <w:szCs w:val="28"/>
          <w:lang w:val="es-ES_tradnl"/>
        </w:rPr>
      </w:pPr>
    </w:p>
    <w:p w:rsidR="0090606F" w:rsidRPr="00DA1726" w:rsidRDefault="0090606F" w:rsidP="00DA1726">
      <w:pPr>
        <w:pStyle w:val="Style9"/>
        <w:ind w:right="51"/>
        <w:rPr>
          <w:rFonts w:ascii="Times New Roman" w:hAnsi="Times New Roman"/>
          <w:sz w:val="28"/>
          <w:szCs w:val="28"/>
          <w:lang w:val="es-ES_tradnl"/>
        </w:rPr>
      </w:pPr>
      <w:r w:rsidRPr="00DA1726">
        <w:rPr>
          <w:rFonts w:ascii="Times New Roman" w:hAnsi="Times New Roman"/>
          <w:b/>
          <w:sz w:val="28"/>
          <w:szCs w:val="28"/>
          <w:lang w:val="es-ES_tradnl"/>
        </w:rPr>
        <w:t>Tercero</w:t>
      </w:r>
      <w:r w:rsidRPr="00DA1726">
        <w:rPr>
          <w:rFonts w:ascii="Times New Roman" w:hAnsi="Times New Roman"/>
          <w:sz w:val="28"/>
          <w:szCs w:val="28"/>
          <w:lang w:val="es-ES_tradnl"/>
        </w:rPr>
        <w:t>.</w:t>
      </w:r>
      <w:r w:rsidRPr="00DA1726">
        <w:rPr>
          <w:rFonts w:ascii="Times New Roman" w:hAnsi="Times New Roman"/>
          <w:b/>
          <w:sz w:val="28"/>
          <w:szCs w:val="28"/>
          <w:lang w:val="es-ES_tradnl"/>
        </w:rPr>
        <w:t xml:space="preserve"> </w:t>
      </w:r>
      <w:r w:rsidRPr="00DA1726">
        <w:rPr>
          <w:rFonts w:ascii="Times New Roman" w:hAnsi="Times New Roman"/>
          <w:sz w:val="28"/>
          <w:szCs w:val="28"/>
          <w:lang w:val="es-ES_tradnl"/>
        </w:rPr>
        <w:t xml:space="preserve">Se niegan a autorizar oportunamente servicios de salud con el argumento de que la persona no ha presentado la solicitud respectiva ante el comité técnico científico CTC. Explicó que </w:t>
      </w:r>
      <w:r w:rsidR="00A268A8" w:rsidRPr="00DA1726">
        <w:rPr>
          <w:rFonts w:ascii="Times New Roman" w:hAnsi="Times New Roman"/>
          <w:sz w:val="28"/>
          <w:szCs w:val="28"/>
          <w:lang w:val="es-ES_tradnl"/>
        </w:rPr>
        <w:t xml:space="preserve">la </w:t>
      </w:r>
      <w:r w:rsidRPr="00DA1726">
        <w:rPr>
          <w:rFonts w:ascii="Times New Roman" w:hAnsi="Times New Roman"/>
          <w:sz w:val="28"/>
          <w:szCs w:val="28"/>
          <w:lang w:val="es-ES_tradnl"/>
        </w:rPr>
        <w:t xml:space="preserve">ley estatutaria </w:t>
      </w:r>
      <w:r w:rsidR="00A268A8" w:rsidRPr="00DA1726">
        <w:rPr>
          <w:rFonts w:ascii="Times New Roman" w:hAnsi="Times New Roman"/>
          <w:sz w:val="28"/>
          <w:szCs w:val="28"/>
          <w:lang w:val="es-ES_tradnl"/>
        </w:rPr>
        <w:t>de salud en el</w:t>
      </w:r>
      <w:r w:rsidRPr="00DA1726">
        <w:rPr>
          <w:rFonts w:ascii="Times New Roman" w:hAnsi="Times New Roman"/>
          <w:sz w:val="28"/>
          <w:szCs w:val="28"/>
          <w:lang w:val="es-ES_tradnl"/>
        </w:rPr>
        <w:t xml:space="preserve"> artículo 14 prohíbe la negación de servicios por trámites administrativos</w:t>
      </w:r>
      <w:r w:rsidRPr="00DA1726">
        <w:rPr>
          <w:rFonts w:ascii="Times New Roman" w:hAnsi="Times New Roman"/>
          <w:sz w:val="28"/>
          <w:szCs w:val="28"/>
          <w:vertAlign w:val="superscript"/>
          <w:lang w:val="es-ES_tradnl"/>
        </w:rPr>
        <w:footnoteReference w:id="139"/>
      </w:r>
      <w:r w:rsidRPr="00DA1726">
        <w:rPr>
          <w:rFonts w:ascii="Times New Roman" w:hAnsi="Times New Roman"/>
          <w:sz w:val="28"/>
          <w:szCs w:val="28"/>
          <w:lang w:val="es-ES_tradnl"/>
        </w:rPr>
        <w:t xml:space="preserve">, por lo que propuso la siguiente redacción: </w:t>
      </w:r>
      <w:r w:rsidR="00A268A8" w:rsidRPr="00DA1726">
        <w:rPr>
          <w:rFonts w:ascii="Times New Roman" w:hAnsi="Times New Roman"/>
          <w:i/>
          <w:sz w:val="28"/>
          <w:szCs w:val="28"/>
          <w:lang w:val="es-ES_tradnl"/>
        </w:rPr>
        <w:t>“s</w:t>
      </w:r>
      <w:r w:rsidRPr="00DA1726">
        <w:rPr>
          <w:rFonts w:ascii="Times New Roman" w:hAnsi="Times New Roman"/>
          <w:i/>
          <w:sz w:val="28"/>
          <w:szCs w:val="28"/>
          <w:lang w:val="es-ES_tradnl"/>
        </w:rPr>
        <w:t>e niegan a autorizar oportunamente servicios de salud con el argumento de que la persona no ha presentado la solicitud respectiva ante la instancia competente para ello</w:t>
      </w:r>
      <w:r w:rsidR="00A268A8" w:rsidRPr="00DA1726">
        <w:rPr>
          <w:rFonts w:ascii="Times New Roman" w:hAnsi="Times New Roman"/>
          <w:i/>
          <w:sz w:val="28"/>
          <w:szCs w:val="28"/>
          <w:lang w:val="es-ES_tradnl"/>
        </w:rPr>
        <w:t>”</w:t>
      </w:r>
      <w:r w:rsidRPr="00DA1726">
        <w:rPr>
          <w:rFonts w:ascii="Times New Roman" w:hAnsi="Times New Roman"/>
          <w:i/>
          <w:sz w:val="28"/>
          <w:szCs w:val="28"/>
          <w:lang w:val="es-ES_tradnl"/>
        </w:rPr>
        <w:t>.</w:t>
      </w:r>
    </w:p>
    <w:p w:rsidR="0090606F" w:rsidRPr="00DA1726" w:rsidRDefault="0090606F" w:rsidP="00DA1726">
      <w:pPr>
        <w:pStyle w:val="Style9"/>
        <w:ind w:right="51"/>
        <w:rPr>
          <w:rFonts w:ascii="Times New Roman" w:hAnsi="Times New Roman"/>
          <w:sz w:val="28"/>
          <w:szCs w:val="28"/>
          <w:lang w:val="es-ES_tradnl"/>
        </w:rPr>
      </w:pPr>
    </w:p>
    <w:p w:rsidR="0090606F" w:rsidRPr="00DA1726" w:rsidRDefault="009F1049" w:rsidP="00DA1726">
      <w:pPr>
        <w:pStyle w:val="Style3"/>
        <w:widowControl/>
        <w:spacing w:line="240" w:lineRule="auto"/>
        <w:ind w:right="34"/>
        <w:rPr>
          <w:sz w:val="28"/>
          <w:szCs w:val="28"/>
          <w:lang w:val="es-ES_tradnl"/>
        </w:rPr>
      </w:pPr>
      <w:r w:rsidRPr="00DA1726">
        <w:rPr>
          <w:color w:val="000000"/>
          <w:sz w:val="28"/>
          <w:szCs w:val="28"/>
        </w:rPr>
        <w:t>5.1.3.3</w:t>
      </w:r>
      <w:r w:rsidRPr="00DA1726">
        <w:rPr>
          <w:i/>
          <w:color w:val="000000"/>
          <w:sz w:val="28"/>
          <w:szCs w:val="28"/>
        </w:rPr>
        <w:t>.</w:t>
      </w:r>
      <w:r w:rsidR="0090606F" w:rsidRPr="00DA1726">
        <w:rPr>
          <w:sz w:val="28"/>
          <w:szCs w:val="28"/>
        </w:rPr>
        <w:t xml:space="preserve"> </w:t>
      </w:r>
      <w:r w:rsidR="0090606F" w:rsidRPr="00DA1726">
        <w:rPr>
          <w:b/>
          <w:sz w:val="28"/>
          <w:szCs w:val="28"/>
        </w:rPr>
        <w:t xml:space="preserve">Dejusticia </w:t>
      </w:r>
      <w:r w:rsidR="0090606F" w:rsidRPr="00DA1726">
        <w:rPr>
          <w:sz w:val="28"/>
          <w:szCs w:val="28"/>
          <w:lang w:val="es-ES_tradnl"/>
        </w:rPr>
        <w:t>propuso los cambios que consideró necesarios ante el nuevo marco normativo (Ley 1751 de 2015) y la interpretación jurisprudencia vi</w:t>
      </w:r>
      <w:r w:rsidR="00A268A8" w:rsidRPr="00DA1726">
        <w:rPr>
          <w:sz w:val="28"/>
          <w:szCs w:val="28"/>
          <w:lang w:val="es-ES_tradnl"/>
        </w:rPr>
        <w:t>gente (sentencia C-313 de 2015). E</w:t>
      </w:r>
      <w:r w:rsidR="0090606F" w:rsidRPr="00DA1726">
        <w:rPr>
          <w:sz w:val="28"/>
          <w:szCs w:val="28"/>
          <w:lang w:val="es-ES_tradnl"/>
        </w:rPr>
        <w:t>n esa medida, presentó una propuesta con 7 ítems, que recogen las 14 prácticas violatorias actuales.</w:t>
      </w:r>
    </w:p>
    <w:p w:rsidR="0090606F" w:rsidRPr="00DA1726" w:rsidRDefault="0090606F" w:rsidP="00DA1726">
      <w:pPr>
        <w:jc w:val="both"/>
        <w:rPr>
          <w:sz w:val="28"/>
          <w:szCs w:val="28"/>
          <w:lang w:val="es-ES_tradnl"/>
        </w:rPr>
      </w:pPr>
    </w:p>
    <w:tbl>
      <w:tblPr>
        <w:tblW w:w="0" w:type="auto"/>
        <w:tblInd w:w="40" w:type="dxa"/>
        <w:tblLayout w:type="fixed"/>
        <w:tblCellMar>
          <w:left w:w="40" w:type="dxa"/>
          <w:right w:w="40" w:type="dxa"/>
        </w:tblCellMar>
        <w:tblLook w:val="0000" w:firstRow="0" w:lastRow="0" w:firstColumn="0" w:lastColumn="0" w:noHBand="0" w:noVBand="0"/>
      </w:tblPr>
      <w:tblGrid>
        <w:gridCol w:w="4488"/>
        <w:gridCol w:w="4253"/>
        <w:gridCol w:w="62"/>
      </w:tblGrid>
      <w:tr w:rsidR="0090606F" w:rsidRPr="00DA1726" w:rsidTr="009D7A12">
        <w:tc>
          <w:tcPr>
            <w:tcW w:w="4488"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b/>
                <w:bCs/>
                <w:sz w:val="28"/>
                <w:szCs w:val="28"/>
                <w:lang w:val="es-ES_tradnl"/>
              </w:rPr>
            </w:pPr>
            <w:r w:rsidRPr="00DA1726">
              <w:rPr>
                <w:b/>
                <w:bCs/>
                <w:sz w:val="28"/>
                <w:szCs w:val="28"/>
                <w:lang w:val="es-ES_tradnl"/>
              </w:rPr>
              <w:t>Componente Propuesto</w:t>
            </w:r>
          </w:p>
        </w:tc>
        <w:tc>
          <w:tcPr>
            <w:tcW w:w="4315" w:type="dxa"/>
            <w:gridSpan w:val="2"/>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b/>
                <w:bCs/>
                <w:sz w:val="28"/>
                <w:szCs w:val="28"/>
                <w:lang w:val="es-ES_tradnl"/>
              </w:rPr>
            </w:pPr>
            <w:r w:rsidRPr="00DA1726">
              <w:rPr>
                <w:b/>
                <w:bCs/>
                <w:sz w:val="28"/>
                <w:szCs w:val="28"/>
                <w:lang w:val="es-ES_tradnl"/>
              </w:rPr>
              <w:t>Prácticas que agrupa con base en los componentes actuales</w:t>
            </w:r>
          </w:p>
        </w:tc>
      </w:tr>
      <w:tr w:rsidR="0090606F" w:rsidRPr="00DA1726" w:rsidTr="009D7A12">
        <w:tc>
          <w:tcPr>
            <w:tcW w:w="4488"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1. Se niegan a autorizar de forma oportuna servicios que no se encuentran excluidos.</w:t>
            </w:r>
          </w:p>
        </w:tc>
        <w:tc>
          <w:tcPr>
            <w:tcW w:w="4315" w:type="dxa"/>
            <w:gridSpan w:val="2"/>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w:t>
            </w:r>
            <w:r w:rsidRPr="00DA1726">
              <w:rPr>
                <w:sz w:val="28"/>
                <w:szCs w:val="28"/>
                <w:lang w:val="es-ES_tradnl"/>
              </w:rPr>
              <w:tab/>
              <w:t xml:space="preserve">Componente 1. “Se niegan a autorizar oportunamente servicios de </w:t>
            </w:r>
            <w:r w:rsidRPr="00DA1726">
              <w:rPr>
                <w:b/>
                <w:bCs/>
                <w:sz w:val="28"/>
                <w:szCs w:val="28"/>
                <w:lang w:val="es-ES_tradnl"/>
              </w:rPr>
              <w:t xml:space="preserve">salud incluidos en el POS.” </w:t>
            </w:r>
            <w:r w:rsidRPr="00DA1726">
              <w:rPr>
                <w:sz w:val="28"/>
                <w:szCs w:val="28"/>
                <w:lang w:val="es-ES_tradnl"/>
              </w:rPr>
              <w:t>(lo que actualmente se entiende como servicios POS pasaría a ser servicios que no se encuentran excluidos)</w:t>
            </w:r>
          </w:p>
          <w:p w:rsidR="0090606F" w:rsidRPr="00DA1726" w:rsidRDefault="0090606F" w:rsidP="00DA1726">
            <w:pPr>
              <w:jc w:val="both"/>
              <w:rPr>
                <w:sz w:val="28"/>
                <w:szCs w:val="28"/>
                <w:lang w:val="es-ES_tradnl"/>
              </w:rPr>
            </w:pPr>
            <w:r w:rsidRPr="00DA1726">
              <w:rPr>
                <w:sz w:val="28"/>
                <w:szCs w:val="28"/>
                <w:lang w:val="es-ES_tradnl"/>
              </w:rPr>
              <w:t>•</w:t>
            </w:r>
            <w:r w:rsidRPr="00DA1726">
              <w:rPr>
                <w:sz w:val="28"/>
                <w:szCs w:val="28"/>
                <w:lang w:val="es-ES_tradnl"/>
              </w:rPr>
              <w:tab/>
              <w:t xml:space="preserve">Componente 4. “Se niegan a autorizar oportunamente servicios de salud con sujeción al </w:t>
            </w:r>
            <w:r w:rsidRPr="00DA1726">
              <w:rPr>
                <w:b/>
                <w:bCs/>
                <w:sz w:val="28"/>
                <w:szCs w:val="28"/>
                <w:lang w:val="es-ES_tradnl"/>
              </w:rPr>
              <w:t xml:space="preserve">principio de integralidad, </w:t>
            </w:r>
            <w:r w:rsidRPr="00DA1726">
              <w:rPr>
                <w:sz w:val="28"/>
                <w:szCs w:val="28"/>
                <w:lang w:val="es-ES_tradnl"/>
              </w:rPr>
              <w:t>entendido éste como el no fraccionamiento de las prestaciones que requiera la persona para recuperar su salud.”</w:t>
            </w:r>
          </w:p>
          <w:p w:rsidR="0090606F" w:rsidRPr="00DA1726" w:rsidRDefault="0090606F" w:rsidP="00DA1726">
            <w:pPr>
              <w:jc w:val="both"/>
              <w:rPr>
                <w:b/>
                <w:bCs/>
                <w:sz w:val="28"/>
                <w:szCs w:val="28"/>
                <w:lang w:val="es-ES_tradnl"/>
              </w:rPr>
            </w:pPr>
            <w:r w:rsidRPr="00DA1726">
              <w:rPr>
                <w:sz w:val="28"/>
                <w:szCs w:val="28"/>
                <w:lang w:val="es-ES_tradnl"/>
              </w:rPr>
              <w:t>•</w:t>
            </w:r>
            <w:r w:rsidRPr="00DA1726">
              <w:rPr>
                <w:sz w:val="28"/>
                <w:szCs w:val="28"/>
                <w:lang w:val="es-ES_tradnl"/>
              </w:rPr>
              <w:tab/>
              <w:t xml:space="preserve">Componente 6. “Se niegan a autorizar oportunamente servicios de salud cuando se requiere que la persona se </w:t>
            </w:r>
            <w:r w:rsidRPr="00DA1726">
              <w:rPr>
                <w:b/>
                <w:bCs/>
                <w:sz w:val="28"/>
                <w:szCs w:val="28"/>
                <w:lang w:val="es-ES_tradnl"/>
              </w:rPr>
              <w:t>desplace a vivir en un lugar distinto a aquel en el que reside.”</w:t>
            </w:r>
          </w:p>
          <w:p w:rsidR="0090606F" w:rsidRPr="00DA1726" w:rsidRDefault="0090606F" w:rsidP="00DA1726">
            <w:pPr>
              <w:jc w:val="both"/>
              <w:rPr>
                <w:sz w:val="28"/>
                <w:szCs w:val="28"/>
                <w:lang w:val="es-ES_tradnl"/>
              </w:rPr>
            </w:pPr>
            <w:r w:rsidRPr="00DA1726">
              <w:rPr>
                <w:sz w:val="28"/>
                <w:szCs w:val="28"/>
                <w:lang w:val="es-ES_tradnl"/>
              </w:rPr>
              <w:t>•</w:t>
            </w:r>
            <w:r w:rsidRPr="00DA1726">
              <w:rPr>
                <w:sz w:val="28"/>
                <w:szCs w:val="28"/>
                <w:lang w:val="es-ES_tradnl"/>
              </w:rPr>
              <w:tab/>
              <w:t xml:space="preserve">Componente 7. “Se niegan a autorizar oportunamente </w:t>
            </w:r>
            <w:r w:rsidRPr="00DA1726">
              <w:rPr>
                <w:b/>
                <w:bCs/>
                <w:sz w:val="28"/>
                <w:szCs w:val="28"/>
                <w:lang w:val="es-ES_tradnl"/>
              </w:rPr>
              <w:t xml:space="preserve">servicios de salud de alto costo </w:t>
            </w:r>
            <w:r w:rsidRPr="00DA1726">
              <w:rPr>
                <w:sz w:val="28"/>
                <w:szCs w:val="28"/>
                <w:lang w:val="es-ES_tradnl"/>
              </w:rPr>
              <w:t xml:space="preserve">y </w:t>
            </w:r>
            <w:r w:rsidRPr="00DA1726">
              <w:rPr>
                <w:b/>
                <w:bCs/>
                <w:sz w:val="28"/>
                <w:szCs w:val="28"/>
                <w:lang w:val="es-ES_tradnl"/>
              </w:rPr>
              <w:t xml:space="preserve">para tratar enfermedades catastróficas, </w:t>
            </w:r>
            <w:r w:rsidRPr="00DA1726">
              <w:rPr>
                <w:sz w:val="28"/>
                <w:szCs w:val="28"/>
                <w:lang w:val="es-ES_tradnl"/>
              </w:rPr>
              <w:t>así como sus exámenes diagnósticos.”</w:t>
            </w:r>
          </w:p>
        </w:tc>
      </w:tr>
      <w:tr w:rsidR="0090606F" w:rsidRPr="00DA1726" w:rsidTr="009D7A12">
        <w:tc>
          <w:tcPr>
            <w:tcW w:w="4488"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 xml:space="preserve">2. Se niegan a autorizar servicios que se encuentran en la lista de exclusiones </w:t>
            </w:r>
            <w:r w:rsidRPr="00DA1726">
              <w:rPr>
                <w:b/>
                <w:bCs/>
                <w:sz w:val="28"/>
                <w:szCs w:val="28"/>
                <w:lang w:val="es-ES_tradnl"/>
              </w:rPr>
              <w:t xml:space="preserve">que se requieren con necesidad </w:t>
            </w:r>
            <w:r w:rsidRPr="00DA1726">
              <w:rPr>
                <w:sz w:val="28"/>
                <w:szCs w:val="28"/>
                <w:lang w:val="es-ES_tradnl"/>
              </w:rPr>
              <w:t>y que no pueden ser costeados por el interesado, bien sea porque su costo le resulta impagable dado su nivel de ingreso o porque le impone una carga desproporcionada.</w:t>
            </w:r>
          </w:p>
        </w:tc>
        <w:tc>
          <w:tcPr>
            <w:tcW w:w="4315" w:type="dxa"/>
            <w:gridSpan w:val="2"/>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 xml:space="preserve">• Componente 2. “Se niegan a autorizar oportunamente servicios de salud </w:t>
            </w:r>
            <w:r w:rsidRPr="00DA1726">
              <w:rPr>
                <w:b/>
                <w:bCs/>
                <w:sz w:val="28"/>
                <w:szCs w:val="28"/>
                <w:lang w:val="es-ES_tradnl"/>
              </w:rPr>
              <w:t xml:space="preserve">[no POS] que se requieren con necesidad </w:t>
            </w:r>
            <w:r w:rsidRPr="00DA1726">
              <w:rPr>
                <w:sz w:val="28"/>
                <w:szCs w:val="28"/>
                <w:lang w:val="es-ES_tradnl"/>
              </w:rPr>
              <w:t>y que no pueden ser costeados por el interesado, bien sea porque su costo le resulta impagable dado su nivel de ingreso o porque le impone una carga desproporcionada.”</w:t>
            </w:r>
          </w:p>
        </w:tc>
      </w:tr>
      <w:tr w:rsidR="0090606F" w:rsidRPr="00DA1726" w:rsidTr="009D7A12">
        <w:trPr>
          <w:gridAfter w:val="1"/>
          <w:wAfter w:w="62" w:type="dxa"/>
        </w:trPr>
        <w:tc>
          <w:tcPr>
            <w:tcW w:w="4488"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3. Se niegan a autorizar oportunamente servicios de salud con el argumento de que no se ha cumplido con cargas administrativas y burocráticas</w:t>
            </w:r>
            <w:r w:rsidR="00FF71AC" w:rsidRPr="00DA1726">
              <w:rPr>
                <w:sz w:val="28"/>
                <w:szCs w:val="28"/>
                <w:lang w:val="es-ES_tradnl"/>
              </w:rPr>
              <w:t>.</w:t>
            </w:r>
          </w:p>
        </w:tc>
        <w:tc>
          <w:tcPr>
            <w:tcW w:w="4253"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b/>
                <w:bCs/>
                <w:sz w:val="28"/>
                <w:szCs w:val="28"/>
                <w:lang w:val="es-ES_tradnl"/>
              </w:rPr>
            </w:pPr>
            <w:r w:rsidRPr="00DA1726">
              <w:rPr>
                <w:sz w:val="28"/>
                <w:szCs w:val="28"/>
                <w:lang w:val="es-ES_tradnl"/>
              </w:rPr>
              <w:t>•</w:t>
            </w:r>
            <w:r w:rsidRPr="00DA1726">
              <w:rPr>
                <w:sz w:val="28"/>
                <w:szCs w:val="28"/>
                <w:lang w:val="es-ES_tradnl"/>
              </w:rPr>
              <w:tab/>
              <w:t xml:space="preserve">Componente 3. “Se niegan a autorizar oportunamente servicios de salud con el argumento de que </w:t>
            </w:r>
            <w:r w:rsidRPr="00DA1726">
              <w:rPr>
                <w:b/>
                <w:bCs/>
                <w:sz w:val="28"/>
                <w:szCs w:val="28"/>
                <w:lang w:val="es-ES_tradnl"/>
              </w:rPr>
              <w:t>la persona no ha presentado la solicitud respectiva ante el Comité Técnico Científico -CTC.”</w:t>
            </w:r>
          </w:p>
          <w:p w:rsidR="0090606F" w:rsidRPr="00DA1726" w:rsidRDefault="0090606F" w:rsidP="00DA1726">
            <w:pPr>
              <w:jc w:val="both"/>
              <w:rPr>
                <w:b/>
                <w:bCs/>
                <w:sz w:val="28"/>
                <w:szCs w:val="28"/>
                <w:lang w:val="es-ES_tradnl"/>
              </w:rPr>
            </w:pPr>
            <w:r w:rsidRPr="00DA1726">
              <w:rPr>
                <w:sz w:val="28"/>
                <w:szCs w:val="28"/>
                <w:lang w:val="es-ES_tradnl"/>
              </w:rPr>
              <w:t>•</w:t>
            </w:r>
            <w:r w:rsidRPr="00DA1726">
              <w:rPr>
                <w:sz w:val="28"/>
                <w:szCs w:val="28"/>
                <w:lang w:val="es-ES_tradnl"/>
              </w:rPr>
              <w:tab/>
              <w:t xml:space="preserve">Componente 9. “Se niegan a autorizar oportunamente servicios de salud que se requieren con necesidad, </w:t>
            </w:r>
            <w:r w:rsidRPr="00DA1726">
              <w:rPr>
                <w:b/>
                <w:bCs/>
                <w:sz w:val="28"/>
                <w:szCs w:val="28"/>
                <w:lang w:val="es-ES_tradnl"/>
              </w:rPr>
              <w:t>supeditando su prestación al pago de una cuota moderadora.”</w:t>
            </w:r>
          </w:p>
          <w:p w:rsidR="0090606F" w:rsidRPr="00DA1726" w:rsidRDefault="0090606F" w:rsidP="00DA1726">
            <w:pPr>
              <w:jc w:val="both"/>
              <w:rPr>
                <w:sz w:val="28"/>
                <w:szCs w:val="28"/>
                <w:lang w:val="es-ES_tradnl"/>
              </w:rPr>
            </w:pPr>
            <w:r w:rsidRPr="00DA1726">
              <w:rPr>
                <w:sz w:val="28"/>
                <w:szCs w:val="28"/>
                <w:lang w:val="es-ES_tradnl"/>
              </w:rPr>
              <w:t>•</w:t>
            </w:r>
            <w:r w:rsidRPr="00DA1726">
              <w:rPr>
                <w:sz w:val="28"/>
                <w:szCs w:val="28"/>
                <w:lang w:val="es-ES_tradnl"/>
              </w:rPr>
              <w:tab/>
              <w:t xml:space="preserve">Componente 10. “Se niegan </w:t>
            </w:r>
            <w:r w:rsidRPr="00DA1726">
              <w:rPr>
                <w:b/>
                <w:bCs/>
                <w:sz w:val="28"/>
                <w:szCs w:val="28"/>
                <w:lang w:val="es-ES_tradnl"/>
              </w:rPr>
              <w:t>autorizar incapacidades labórale</w:t>
            </w:r>
            <w:r w:rsidR="00FF71AC" w:rsidRPr="00DA1726">
              <w:rPr>
                <w:b/>
                <w:bCs/>
                <w:sz w:val="28"/>
                <w:szCs w:val="28"/>
                <w:lang w:val="es-ES_tradnl"/>
              </w:rPr>
              <w:t>s</w:t>
            </w:r>
            <w:r w:rsidRPr="00DA1726">
              <w:rPr>
                <w:b/>
                <w:bCs/>
                <w:sz w:val="28"/>
                <w:szCs w:val="28"/>
                <w:lang w:val="es-ES_tradnl"/>
              </w:rPr>
              <w:t xml:space="preserve"> </w:t>
            </w:r>
            <w:r w:rsidRPr="00DA1726">
              <w:rPr>
                <w:sz w:val="28"/>
                <w:szCs w:val="28"/>
                <w:lang w:val="es-ES_tradnl"/>
              </w:rPr>
              <w:t>derivadas del estado de salud de 1 persona con el argumento de que e</w:t>
            </w:r>
            <w:r w:rsidR="00FF71AC" w:rsidRPr="00DA1726">
              <w:rPr>
                <w:sz w:val="28"/>
                <w:szCs w:val="28"/>
                <w:lang w:val="es-ES_tradnl"/>
              </w:rPr>
              <w:t>n</w:t>
            </w:r>
            <w:r w:rsidRPr="00DA1726">
              <w:rPr>
                <w:sz w:val="28"/>
                <w:szCs w:val="28"/>
                <w:lang w:val="es-ES_tradnl"/>
              </w:rPr>
              <w:t xml:space="preserve"> el pasado no se cumplió con 1 obligación de cancelar los aportes d salud dentro del plazo establecida para ello.”</w:t>
            </w:r>
          </w:p>
        </w:tc>
      </w:tr>
      <w:tr w:rsidR="0090606F" w:rsidRPr="00DA1726" w:rsidTr="009D7A12">
        <w:trPr>
          <w:gridAfter w:val="1"/>
          <w:wAfter w:w="62" w:type="dxa"/>
        </w:trPr>
        <w:tc>
          <w:tcPr>
            <w:tcW w:w="4488"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4. Niegan el acceso oportuno a servicios de salud a sujetos con especial protección con base en limitaciones administrativas o económicas del usuario.</w:t>
            </w:r>
          </w:p>
        </w:tc>
        <w:tc>
          <w:tcPr>
            <w:tcW w:w="4253"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w:t>
            </w:r>
            <w:r w:rsidRPr="00DA1726">
              <w:rPr>
                <w:sz w:val="28"/>
                <w:szCs w:val="28"/>
                <w:lang w:val="es-ES_tradnl"/>
              </w:rPr>
              <w:tab/>
              <w:t xml:space="preserve">Componente 8. “Se niegan a autorizar oportunamente servicios de salud que requiere </w:t>
            </w:r>
            <w:r w:rsidRPr="00DA1726">
              <w:rPr>
                <w:b/>
                <w:bCs/>
                <w:sz w:val="28"/>
                <w:szCs w:val="28"/>
                <w:lang w:val="es-ES_tradnl"/>
              </w:rPr>
              <w:t xml:space="preserve">un menor </w:t>
            </w:r>
            <w:r w:rsidRPr="00DA1726">
              <w:rPr>
                <w:sz w:val="28"/>
                <w:szCs w:val="28"/>
                <w:lang w:val="es-ES_tradnl"/>
              </w:rPr>
              <w:t xml:space="preserve">para su adecuado desarrollo y que no pueden ser costeados por sus responsables, </w:t>
            </w:r>
            <w:r w:rsidR="00FF71AC" w:rsidRPr="00DA1726">
              <w:rPr>
                <w:sz w:val="28"/>
                <w:szCs w:val="28"/>
                <w:lang w:val="es-ES_tradnl"/>
              </w:rPr>
              <w:t>aun</w:t>
            </w:r>
            <w:r w:rsidRPr="00DA1726">
              <w:rPr>
                <w:sz w:val="28"/>
                <w:szCs w:val="28"/>
                <w:lang w:val="es-ES_tradnl"/>
              </w:rPr>
              <w:t xml:space="preserve"> cuando dichos servicios y la vida o la integridad del menor no dependen de su prestación.”</w:t>
            </w:r>
          </w:p>
          <w:p w:rsidR="0090606F" w:rsidRPr="00DA1726" w:rsidRDefault="0090606F" w:rsidP="00DA1726">
            <w:pPr>
              <w:jc w:val="both"/>
              <w:rPr>
                <w:b/>
                <w:bCs/>
                <w:sz w:val="28"/>
                <w:szCs w:val="28"/>
                <w:lang w:val="es-ES_tradnl"/>
              </w:rPr>
            </w:pPr>
            <w:r w:rsidRPr="00DA1726">
              <w:rPr>
                <w:sz w:val="28"/>
                <w:szCs w:val="28"/>
                <w:lang w:val="es-ES_tradnl"/>
              </w:rPr>
              <w:t>•</w:t>
            </w:r>
            <w:r w:rsidRPr="00DA1726">
              <w:rPr>
                <w:sz w:val="28"/>
                <w:szCs w:val="28"/>
                <w:lang w:val="es-ES_tradnl"/>
              </w:rPr>
              <w:tab/>
              <w:t xml:space="preserve">Componente 11. “Se niegan a afiliar personas, a pesar de que éstas ya hayan cumplido el tiempo para trasladarse, por el hecho de que </w:t>
            </w:r>
            <w:r w:rsidRPr="00DA1726">
              <w:rPr>
                <w:b/>
                <w:bCs/>
                <w:sz w:val="28"/>
                <w:szCs w:val="28"/>
                <w:lang w:val="es-ES_tradnl"/>
              </w:rPr>
              <w:t>dentro de su grupo familiar existe una persona (su hijo, un niño) que padece una enfermedad catastrófica.”</w:t>
            </w:r>
          </w:p>
          <w:p w:rsidR="0090606F" w:rsidRPr="00DA1726" w:rsidRDefault="0090606F" w:rsidP="00DA1726">
            <w:pPr>
              <w:jc w:val="both"/>
              <w:rPr>
                <w:sz w:val="28"/>
                <w:szCs w:val="28"/>
                <w:lang w:val="es-ES_tradnl"/>
              </w:rPr>
            </w:pPr>
            <w:r w:rsidRPr="00DA1726">
              <w:rPr>
                <w:sz w:val="28"/>
                <w:szCs w:val="28"/>
                <w:lang w:val="es-ES_tradnl"/>
              </w:rPr>
              <w:t>•</w:t>
            </w:r>
            <w:r w:rsidRPr="00DA1726">
              <w:rPr>
                <w:sz w:val="28"/>
                <w:szCs w:val="28"/>
                <w:lang w:val="es-ES_tradnl"/>
              </w:rPr>
              <w:tab/>
              <w:t xml:space="preserve">Componente 13. “Cobran </w:t>
            </w:r>
            <w:r w:rsidRPr="00DA1726">
              <w:rPr>
                <w:b/>
                <w:bCs/>
                <w:sz w:val="28"/>
                <w:szCs w:val="28"/>
                <w:lang w:val="es-ES_tradnl"/>
              </w:rPr>
              <w:t xml:space="preserve">copagos a personas que padecen una enfermedad </w:t>
            </w:r>
            <w:r w:rsidRPr="00DA1726">
              <w:rPr>
                <w:sz w:val="28"/>
                <w:szCs w:val="28"/>
                <w:lang w:val="es-ES_tradnl"/>
              </w:rPr>
              <w:t>catastrófica o de alto costo.”</w:t>
            </w:r>
          </w:p>
        </w:tc>
      </w:tr>
      <w:tr w:rsidR="0090606F" w:rsidRPr="00DA1726" w:rsidTr="009D7A12">
        <w:tc>
          <w:tcPr>
            <w:tcW w:w="4488"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5. Interrumpen el suministro de servicios de salud con base en razones administrativas o económicas del usuario.</w:t>
            </w:r>
          </w:p>
        </w:tc>
        <w:tc>
          <w:tcPr>
            <w:tcW w:w="4315" w:type="dxa"/>
            <w:gridSpan w:val="2"/>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 xml:space="preserve">• Criterio 12. “Interrumpen el suministro de servicios de salud, porque ya transcurrió un mes luego del momento en que la persona dejó de cotizar, </w:t>
            </w:r>
            <w:r w:rsidRPr="00DA1726">
              <w:rPr>
                <w:b/>
                <w:bCs/>
                <w:sz w:val="28"/>
                <w:szCs w:val="28"/>
                <w:lang w:val="es-ES_tradnl"/>
              </w:rPr>
              <w:t xml:space="preserve">en razón a que ahora es desempleado, </w:t>
            </w:r>
            <w:r w:rsidRPr="00DA1726">
              <w:rPr>
                <w:sz w:val="28"/>
                <w:szCs w:val="28"/>
                <w:lang w:val="es-ES_tradnl"/>
              </w:rPr>
              <w:t>antes de que éste haya sido en efecto asumido por otro prestador.”</w:t>
            </w:r>
          </w:p>
        </w:tc>
      </w:tr>
      <w:tr w:rsidR="0090606F" w:rsidRPr="00DA1726" w:rsidTr="009D7A12">
        <w:tc>
          <w:tcPr>
            <w:tcW w:w="4488"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6. Se niegan a autorizar servicios de salud que ya han sido ordenados por fallo de tutela.</w:t>
            </w:r>
          </w:p>
        </w:tc>
        <w:tc>
          <w:tcPr>
            <w:tcW w:w="4315" w:type="dxa"/>
            <w:gridSpan w:val="2"/>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 Componente 14. “Se niegan a autorizar de forma oportuna servicios ordenados por vía de tutela.”</w:t>
            </w:r>
          </w:p>
        </w:tc>
      </w:tr>
      <w:tr w:rsidR="0090606F" w:rsidRPr="00DA1726" w:rsidTr="009D7A12">
        <w:tc>
          <w:tcPr>
            <w:tcW w:w="4488" w:type="dxa"/>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 xml:space="preserve">7. Se niegan a autorizar oportunamente servicios de salud cuando éstos han sido ordenados por </w:t>
            </w:r>
            <w:r w:rsidRPr="00DA1726">
              <w:rPr>
                <w:b/>
                <w:bCs/>
                <w:sz w:val="28"/>
                <w:szCs w:val="28"/>
                <w:lang w:val="es-ES_tradnl"/>
              </w:rPr>
              <w:t xml:space="preserve">un médico que no se encuentra adscrito </w:t>
            </w:r>
            <w:r w:rsidRPr="00DA1726">
              <w:rPr>
                <w:sz w:val="28"/>
                <w:szCs w:val="28"/>
                <w:lang w:val="es-ES_tradnl"/>
              </w:rPr>
              <w:t>a la entidad encargada de garantizar la prestación, pero que es un profesional reconocido que hace parte del sistema de salud y cuyo concepto no fue desvirtuado por la entidad con base en razones científicas que consideren el caso específico del paciente.</w:t>
            </w:r>
          </w:p>
        </w:tc>
        <w:tc>
          <w:tcPr>
            <w:tcW w:w="4315" w:type="dxa"/>
            <w:gridSpan w:val="2"/>
            <w:tcBorders>
              <w:top w:val="single" w:sz="6" w:space="0" w:color="auto"/>
              <w:left w:val="single" w:sz="6" w:space="0" w:color="auto"/>
              <w:bottom w:val="single" w:sz="6" w:space="0" w:color="auto"/>
              <w:right w:val="single" w:sz="6" w:space="0" w:color="auto"/>
            </w:tcBorders>
          </w:tcPr>
          <w:p w:rsidR="0090606F" w:rsidRPr="00DA1726" w:rsidRDefault="0090606F" w:rsidP="00DA1726">
            <w:pPr>
              <w:jc w:val="both"/>
              <w:rPr>
                <w:sz w:val="28"/>
                <w:szCs w:val="28"/>
                <w:lang w:val="es-ES_tradnl"/>
              </w:rPr>
            </w:pPr>
            <w:r w:rsidRPr="00DA1726">
              <w:rPr>
                <w:sz w:val="28"/>
                <w:szCs w:val="28"/>
                <w:lang w:val="es-ES_tradnl"/>
              </w:rPr>
              <w:t xml:space="preserve">• Componente 5. “Se niegan a autorizar oportunamente servicios de salud cuando éstos han sido ordenados por </w:t>
            </w:r>
            <w:r w:rsidRPr="00DA1726">
              <w:rPr>
                <w:b/>
                <w:bCs/>
                <w:sz w:val="28"/>
                <w:szCs w:val="28"/>
                <w:lang w:val="es-ES_tradnl"/>
              </w:rPr>
              <w:t xml:space="preserve">un médico que no se encuentra adscrito </w:t>
            </w:r>
            <w:r w:rsidRPr="00DA1726">
              <w:rPr>
                <w:sz w:val="28"/>
                <w:szCs w:val="28"/>
                <w:lang w:val="es-ES_tradnl"/>
              </w:rPr>
              <w:t>a la entidad encargada de garantizar la prestación, pero que es un profesional reconocido que hace parte del sistema de salud y cuyo concepto no fue desvirtuado por la entidad con base en razones científicas que consideren el caso específico del paciente.”</w:t>
            </w:r>
          </w:p>
        </w:tc>
      </w:tr>
    </w:tbl>
    <w:p w:rsidR="0090606F" w:rsidRPr="00DA1726" w:rsidRDefault="0090606F" w:rsidP="00DA1726">
      <w:pPr>
        <w:pStyle w:val="Prrafodelista"/>
        <w:ind w:left="0"/>
        <w:jc w:val="both"/>
        <w:rPr>
          <w:rStyle w:val="FontStyle20"/>
          <w:rFonts w:ascii="Times New Roman" w:hAnsi="Times New Roman" w:cs="Times New Roman"/>
          <w:b/>
          <w:sz w:val="28"/>
          <w:szCs w:val="28"/>
          <w:lang w:val="es-ES_tradnl" w:eastAsia="es-ES_tradnl"/>
        </w:rPr>
      </w:pPr>
    </w:p>
    <w:p w:rsidR="0090606F" w:rsidRPr="00DA1726" w:rsidRDefault="009F1049" w:rsidP="00DA1726">
      <w:pPr>
        <w:pStyle w:val="Prrafodelista"/>
        <w:ind w:left="0"/>
        <w:jc w:val="both"/>
        <w:rPr>
          <w:sz w:val="28"/>
          <w:szCs w:val="28"/>
          <w:lang w:val="es-ES_tradnl" w:eastAsia="es-ES_tradnl"/>
        </w:rPr>
      </w:pPr>
      <w:r w:rsidRPr="00DA1726">
        <w:rPr>
          <w:color w:val="000000"/>
          <w:sz w:val="28"/>
          <w:szCs w:val="28"/>
        </w:rPr>
        <w:t>5.1.3.4</w:t>
      </w:r>
      <w:r w:rsidRPr="00DA1726">
        <w:rPr>
          <w:i/>
          <w:color w:val="000000"/>
          <w:sz w:val="28"/>
          <w:szCs w:val="28"/>
        </w:rPr>
        <w:t>.</w:t>
      </w:r>
      <w:r w:rsidR="0090606F" w:rsidRPr="00DA1726">
        <w:rPr>
          <w:rStyle w:val="FontStyle20"/>
          <w:rFonts w:ascii="Times New Roman" w:hAnsi="Times New Roman" w:cs="Times New Roman"/>
          <w:b/>
          <w:sz w:val="28"/>
          <w:szCs w:val="28"/>
          <w:lang w:val="es-ES_tradnl" w:eastAsia="es-ES_tradnl"/>
        </w:rPr>
        <w:t xml:space="preserve"> Gestarsalud</w:t>
      </w:r>
      <w:r w:rsidR="0090606F" w:rsidRPr="00DA1726">
        <w:rPr>
          <w:rStyle w:val="FontStyle20"/>
          <w:rFonts w:ascii="Times New Roman" w:hAnsi="Times New Roman" w:cs="Times New Roman"/>
          <w:sz w:val="28"/>
          <w:szCs w:val="28"/>
          <w:lang w:val="es-ES_tradnl" w:eastAsia="es-ES_tradnl"/>
        </w:rPr>
        <w:t xml:space="preserve"> </w:t>
      </w:r>
      <w:r w:rsidR="00A268A8" w:rsidRPr="00DA1726">
        <w:rPr>
          <w:rStyle w:val="FontStyle20"/>
          <w:rFonts w:ascii="Times New Roman" w:hAnsi="Times New Roman" w:cs="Times New Roman"/>
          <w:sz w:val="28"/>
          <w:szCs w:val="28"/>
          <w:lang w:val="es-ES_tradnl" w:eastAsia="es-ES_tradnl"/>
        </w:rPr>
        <w:t>se refirió a</w:t>
      </w:r>
      <w:r w:rsidR="0090606F" w:rsidRPr="00DA1726">
        <w:rPr>
          <w:sz w:val="28"/>
          <w:szCs w:val="28"/>
          <w:lang w:val="es-ES_tradnl" w:eastAsia="es-ES_tradnl"/>
        </w:rPr>
        <w:t xml:space="preserve"> las 14 prácticas violatorias del derecho que deberían modificarse en virtud de la Ley Estatutaria.</w:t>
      </w:r>
    </w:p>
    <w:p w:rsidR="0090606F" w:rsidRPr="00DA1726" w:rsidRDefault="0090606F" w:rsidP="00DA1726">
      <w:pPr>
        <w:pStyle w:val="Prrafodelista"/>
        <w:rPr>
          <w:sz w:val="28"/>
          <w:szCs w:val="28"/>
          <w:lang w:val="es-ES" w:eastAsia="es-ES_tradnl"/>
        </w:rPr>
      </w:pPr>
    </w:p>
    <w:p w:rsidR="0090606F" w:rsidRPr="00DA1726" w:rsidRDefault="0090606F" w:rsidP="00DA1726">
      <w:pPr>
        <w:jc w:val="both"/>
        <w:rPr>
          <w:sz w:val="28"/>
          <w:szCs w:val="28"/>
          <w:lang w:val="es-ES_tradnl" w:eastAsia="es-ES_tradnl"/>
        </w:rPr>
      </w:pPr>
      <w:r w:rsidRPr="00DA1726">
        <w:rPr>
          <w:b/>
          <w:iCs/>
          <w:sz w:val="28"/>
          <w:szCs w:val="28"/>
          <w:lang w:val="es-ES_tradnl" w:eastAsia="es-ES_tradnl"/>
        </w:rPr>
        <w:t>Criterio 6.</w:t>
      </w:r>
      <w:r w:rsidRPr="00DA1726">
        <w:rPr>
          <w:i/>
          <w:iCs/>
          <w:sz w:val="28"/>
          <w:szCs w:val="28"/>
          <w:lang w:val="es-ES_tradnl" w:eastAsia="es-ES_tradnl"/>
        </w:rPr>
        <w:t xml:space="preserve"> “Se niega a autorizar oportunamente servicios de salud cuando se requiere que la persona se desplace a vivir en un lugar distinto al lugar que reside”. </w:t>
      </w:r>
      <w:r w:rsidRPr="00DA1726">
        <w:rPr>
          <w:sz w:val="28"/>
          <w:szCs w:val="28"/>
          <w:lang w:val="es-ES_tradnl" w:eastAsia="es-ES_tradnl"/>
        </w:rPr>
        <w:t>Señaló que en esta práctica violatoria del derecho a la salud, también es aplicable lo que ocurre cuando una afiliado al Sistema hace uso del derecho a la portabilidad del seguro de salud definida en el Decreto 16 de 2013</w:t>
      </w:r>
      <w:r w:rsidRPr="00DA1726">
        <w:rPr>
          <w:sz w:val="28"/>
          <w:szCs w:val="28"/>
          <w:vertAlign w:val="superscript"/>
          <w:lang w:val="es-ES_tradnl" w:eastAsia="es-ES_tradnl"/>
        </w:rPr>
        <w:footnoteReference w:id="140"/>
      </w:r>
      <w:r w:rsidRPr="00DA1726">
        <w:rPr>
          <w:sz w:val="28"/>
          <w:szCs w:val="28"/>
          <w:lang w:val="es-ES_tradnl" w:eastAsia="es-ES_tradnl"/>
        </w:rPr>
        <w:t>, donde dependiendo del tiempo que el afiliado y su familia deban estar fuera del municipio de afiliación la emigración puede ser ocasional, temporal, permanente o por dispersión del núcleo familiar</w:t>
      </w:r>
      <w:r w:rsidRPr="00DA1726">
        <w:rPr>
          <w:sz w:val="28"/>
          <w:szCs w:val="28"/>
          <w:vertAlign w:val="superscript"/>
          <w:lang w:val="es-ES_tradnl" w:eastAsia="es-ES_tradnl"/>
        </w:rPr>
        <w:footnoteReference w:id="141"/>
      </w:r>
      <w:r w:rsidRPr="00DA1726">
        <w:rPr>
          <w:sz w:val="28"/>
          <w:szCs w:val="28"/>
          <w:lang w:val="es-ES_tradnl" w:eastAsia="es-ES_tradnl"/>
        </w:rPr>
        <w:t>.</w:t>
      </w:r>
    </w:p>
    <w:p w:rsidR="0090606F" w:rsidRPr="00DA1726" w:rsidRDefault="0090606F" w:rsidP="00DA1726">
      <w:pPr>
        <w:pStyle w:val="Prrafodelista"/>
        <w:ind w:left="0"/>
        <w:rPr>
          <w:sz w:val="28"/>
          <w:szCs w:val="28"/>
          <w:lang w:val="es-ES" w:eastAsia="es-ES_tradnl"/>
        </w:rPr>
      </w:pPr>
    </w:p>
    <w:p w:rsidR="0090606F" w:rsidRPr="00DA1726" w:rsidRDefault="0090606F" w:rsidP="00DA1726">
      <w:pPr>
        <w:pStyle w:val="Prrafodelista"/>
        <w:ind w:left="0"/>
        <w:jc w:val="both"/>
        <w:rPr>
          <w:sz w:val="28"/>
          <w:szCs w:val="28"/>
          <w:lang w:val="es-ES_tradnl" w:eastAsia="es-ES_tradnl"/>
        </w:rPr>
      </w:pPr>
      <w:r w:rsidRPr="00DA1726">
        <w:rPr>
          <w:b/>
          <w:iCs/>
          <w:sz w:val="28"/>
          <w:szCs w:val="28"/>
          <w:lang w:val="es-ES_tradnl" w:eastAsia="es-ES_tradnl"/>
        </w:rPr>
        <w:t>Criterio 9</w:t>
      </w:r>
      <w:r w:rsidR="00631117" w:rsidRPr="00DA1726">
        <w:rPr>
          <w:b/>
          <w:i/>
          <w:iCs/>
          <w:sz w:val="28"/>
          <w:szCs w:val="28"/>
          <w:lang w:val="es-ES_tradnl" w:eastAsia="es-ES_tradnl"/>
        </w:rPr>
        <w:t>.</w:t>
      </w:r>
      <w:r w:rsidRPr="00DA1726">
        <w:rPr>
          <w:i/>
          <w:iCs/>
          <w:sz w:val="28"/>
          <w:szCs w:val="28"/>
          <w:lang w:val="es-ES_tradnl" w:eastAsia="es-ES_tradnl"/>
        </w:rPr>
        <w:t xml:space="preserve"> “Se niegan a autorizar oportunamente servicios de salud que se requieren con necesidad, supeditando su prestación al pago de una cuota moderadora”. </w:t>
      </w:r>
      <w:r w:rsidRPr="00DA1726">
        <w:rPr>
          <w:sz w:val="28"/>
          <w:szCs w:val="28"/>
          <w:lang w:val="es-ES_tradnl" w:eastAsia="es-ES_tradnl"/>
        </w:rPr>
        <w:t>Consideró que el criterio pudiera modificarse en el sentido de adicionar el concepto de copago (aplicable al régimen subsidiado) y de esta manera monitorearlo.</w:t>
      </w:r>
    </w:p>
    <w:p w:rsidR="0090606F" w:rsidRPr="00DA1726" w:rsidRDefault="0090606F" w:rsidP="00DA1726">
      <w:pPr>
        <w:pStyle w:val="Prrafodelista"/>
        <w:ind w:left="0"/>
        <w:jc w:val="both"/>
        <w:rPr>
          <w:rStyle w:val="FontStyle20"/>
          <w:rFonts w:ascii="Times New Roman" w:hAnsi="Times New Roman" w:cs="Times New Roman"/>
          <w:sz w:val="28"/>
          <w:szCs w:val="28"/>
          <w:lang w:val="es-ES_tradnl" w:eastAsia="es-ES_tradnl"/>
        </w:rPr>
      </w:pPr>
    </w:p>
    <w:p w:rsidR="0090606F" w:rsidRPr="00DA1726" w:rsidRDefault="00631117" w:rsidP="00DA1726">
      <w:pPr>
        <w:pStyle w:val="Prrafodelista"/>
        <w:ind w:left="0"/>
        <w:jc w:val="both"/>
        <w:rPr>
          <w:sz w:val="28"/>
          <w:szCs w:val="28"/>
          <w:lang w:val="es-ES_tradnl" w:eastAsia="es-ES_tradnl"/>
        </w:rPr>
      </w:pPr>
      <w:r w:rsidRPr="00DA1726">
        <w:rPr>
          <w:b/>
          <w:iCs/>
          <w:sz w:val="28"/>
          <w:szCs w:val="28"/>
          <w:lang w:val="es-ES_tradnl" w:eastAsia="es-ES_tradnl"/>
        </w:rPr>
        <w:t>Criterio 12.</w:t>
      </w:r>
      <w:r w:rsidR="0090606F" w:rsidRPr="00DA1726">
        <w:rPr>
          <w:i/>
          <w:iCs/>
          <w:sz w:val="28"/>
          <w:szCs w:val="28"/>
          <w:lang w:val="es-ES_tradnl" w:eastAsia="es-ES_tradnl"/>
        </w:rPr>
        <w:t xml:space="preserve"> “Interrumpen el suministro de servicios de salud, porque ya transcurrió un mes luego del momento en que la persona dejó de cotizar, en razón a que es desempleado, antes de que éste haya sido en efecto asumido por otro prestador”. </w:t>
      </w:r>
      <w:r w:rsidR="0090606F" w:rsidRPr="00DA1726">
        <w:rPr>
          <w:sz w:val="28"/>
          <w:szCs w:val="28"/>
          <w:lang w:val="es-ES_tradnl" w:eastAsia="es-ES_tradnl"/>
        </w:rPr>
        <w:t>Afirmó que este criterio es aplicable incluso al régimen subsidiado, toda vez que en el proceso de movilidad entre regímenes reglamentado mediante el Decreto 3047 de 2013</w:t>
      </w:r>
      <w:r w:rsidR="0090606F" w:rsidRPr="00DA1726">
        <w:rPr>
          <w:sz w:val="28"/>
          <w:szCs w:val="28"/>
          <w:vertAlign w:val="superscript"/>
          <w:lang w:val="es-ES_tradnl" w:eastAsia="es-ES_tradnl"/>
        </w:rPr>
        <w:footnoteReference w:id="142"/>
      </w:r>
      <w:r w:rsidR="0090606F" w:rsidRPr="00DA1726">
        <w:rPr>
          <w:sz w:val="28"/>
          <w:szCs w:val="28"/>
          <w:lang w:val="es-ES_tradnl" w:eastAsia="es-ES_tradnl"/>
        </w:rPr>
        <w:t xml:space="preserve"> las EPS-S pueden continuar garantizando los servicios del POS a los afiliados que sean vinculados mediante contrato laboral o que tenga capacidad de pago para hacer aportes al Sistema junto con su grupo familiar.</w:t>
      </w:r>
    </w:p>
    <w:p w:rsidR="0090606F" w:rsidRPr="00DA1726" w:rsidRDefault="0090606F" w:rsidP="00DA1726">
      <w:pPr>
        <w:pStyle w:val="Prrafodelista"/>
        <w:ind w:left="0"/>
        <w:jc w:val="both"/>
        <w:rPr>
          <w:rStyle w:val="FontStyle20"/>
          <w:rFonts w:ascii="Times New Roman" w:hAnsi="Times New Roman" w:cs="Times New Roman"/>
          <w:sz w:val="28"/>
          <w:szCs w:val="28"/>
          <w:lang w:val="es-ES_tradnl" w:eastAsia="es-ES_tradnl"/>
        </w:rPr>
      </w:pPr>
    </w:p>
    <w:p w:rsidR="001A6A97" w:rsidRPr="00DA1726" w:rsidRDefault="0090606F" w:rsidP="00DA1726">
      <w:pPr>
        <w:pStyle w:val="Style2"/>
        <w:widowControl/>
        <w:spacing w:line="240" w:lineRule="auto"/>
        <w:rPr>
          <w:rStyle w:val="FontStyle20"/>
          <w:rFonts w:ascii="Times New Roman" w:hAnsi="Times New Roman" w:cs="Times New Roman"/>
          <w:sz w:val="28"/>
          <w:szCs w:val="28"/>
          <w:lang w:val="es-ES_tradnl" w:eastAsia="es-ES_tradnl"/>
        </w:rPr>
      </w:pPr>
      <w:r w:rsidRPr="00DA1726">
        <w:rPr>
          <w:rStyle w:val="FontStyle22"/>
          <w:rFonts w:ascii="Times New Roman" w:hAnsi="Times New Roman" w:cs="Times New Roman"/>
          <w:b w:val="0"/>
          <w:sz w:val="28"/>
          <w:szCs w:val="28"/>
          <w:lang w:val="es-ES_tradnl" w:eastAsia="es-ES_tradnl"/>
        </w:rPr>
        <w:t xml:space="preserve">En cuanto a </w:t>
      </w:r>
      <w:r w:rsidRPr="00DA1726">
        <w:rPr>
          <w:rStyle w:val="FontStyle20"/>
          <w:rFonts w:ascii="Times New Roman" w:hAnsi="Times New Roman" w:cs="Times New Roman"/>
          <w:sz w:val="28"/>
          <w:szCs w:val="28"/>
          <w:lang w:val="es-ES_tradnl" w:eastAsia="es-ES_tradnl"/>
        </w:rPr>
        <w:t xml:space="preserve">la necesidad de incorporar otros criterios en el marco de la </w:t>
      </w:r>
      <w:r w:rsidR="007D13D5" w:rsidRPr="00DA1726">
        <w:rPr>
          <w:rStyle w:val="FontStyle20"/>
          <w:rFonts w:ascii="Times New Roman" w:hAnsi="Times New Roman" w:cs="Times New Roman"/>
          <w:sz w:val="28"/>
          <w:szCs w:val="28"/>
          <w:lang w:val="es-ES_tradnl" w:eastAsia="es-ES_tradnl"/>
        </w:rPr>
        <w:t>ley estatutaria</w:t>
      </w:r>
      <w:r w:rsidRPr="00DA1726">
        <w:rPr>
          <w:rStyle w:val="FontStyle20"/>
          <w:rFonts w:ascii="Times New Roman" w:hAnsi="Times New Roman" w:cs="Times New Roman"/>
          <w:sz w:val="28"/>
          <w:szCs w:val="28"/>
          <w:lang w:val="es-ES_tradnl" w:eastAsia="es-ES_tradnl"/>
        </w:rPr>
        <w:t>, destacó que los principios del derecho fundamental a la salud señalados en el artículo 6 de la Ley 1751 de 2015</w:t>
      </w:r>
      <w:r w:rsidRPr="00DA1726">
        <w:rPr>
          <w:rFonts w:ascii="Times New Roman" w:hAnsi="Times New Roman"/>
          <w:sz w:val="28"/>
          <w:szCs w:val="28"/>
          <w:vertAlign w:val="superscript"/>
          <w:lang w:val="es-ES_tradnl" w:eastAsia="es-ES_tradnl"/>
        </w:rPr>
        <w:footnoteReference w:id="143"/>
      </w:r>
      <w:r w:rsidR="007D13D5" w:rsidRPr="00DA1726">
        <w:rPr>
          <w:rStyle w:val="FontStyle20"/>
          <w:rFonts w:ascii="Times New Roman" w:hAnsi="Times New Roman" w:cs="Times New Roman"/>
          <w:sz w:val="28"/>
          <w:szCs w:val="28"/>
          <w:lang w:val="es-ES_tradnl" w:eastAsia="es-ES_tradnl"/>
        </w:rPr>
        <w:t>, debe</w:t>
      </w:r>
      <w:r w:rsidRPr="00DA1726">
        <w:rPr>
          <w:rStyle w:val="FontStyle20"/>
          <w:rFonts w:ascii="Times New Roman" w:hAnsi="Times New Roman" w:cs="Times New Roman"/>
          <w:sz w:val="28"/>
          <w:szCs w:val="28"/>
          <w:lang w:val="es-ES_tradnl" w:eastAsia="es-ES_tradnl"/>
        </w:rPr>
        <w:t>r</w:t>
      </w:r>
      <w:r w:rsidR="007D13D5" w:rsidRPr="00DA1726">
        <w:rPr>
          <w:rStyle w:val="FontStyle20"/>
          <w:rFonts w:ascii="Times New Roman" w:hAnsi="Times New Roman" w:cs="Times New Roman"/>
          <w:sz w:val="28"/>
          <w:szCs w:val="28"/>
          <w:lang w:val="es-ES_tradnl" w:eastAsia="es-ES_tradnl"/>
        </w:rPr>
        <w:t>í</w:t>
      </w:r>
      <w:r w:rsidRPr="00DA1726">
        <w:rPr>
          <w:rStyle w:val="FontStyle20"/>
          <w:rFonts w:ascii="Times New Roman" w:hAnsi="Times New Roman" w:cs="Times New Roman"/>
          <w:sz w:val="28"/>
          <w:szCs w:val="28"/>
          <w:lang w:val="es-ES_tradnl" w:eastAsia="es-ES_tradnl"/>
        </w:rPr>
        <w:t>an ser parte del seguimiento a la orden vigésima</w:t>
      </w:r>
      <w:r w:rsidR="001A6A97" w:rsidRPr="00DA1726">
        <w:rPr>
          <w:rStyle w:val="FontStyle20"/>
          <w:rFonts w:ascii="Times New Roman" w:hAnsi="Times New Roman" w:cs="Times New Roman"/>
          <w:sz w:val="28"/>
          <w:szCs w:val="28"/>
          <w:lang w:val="es-ES_tradnl" w:eastAsia="es-ES_tradnl"/>
        </w:rPr>
        <w:t>.</w:t>
      </w:r>
    </w:p>
    <w:p w:rsidR="001A6A97" w:rsidRPr="00DA1726" w:rsidRDefault="001A6A97" w:rsidP="00DA1726">
      <w:pPr>
        <w:pStyle w:val="Style2"/>
        <w:widowControl/>
        <w:spacing w:line="240" w:lineRule="auto"/>
        <w:rPr>
          <w:rStyle w:val="FontStyle20"/>
          <w:rFonts w:ascii="Times New Roman" w:hAnsi="Times New Roman" w:cs="Times New Roman"/>
          <w:sz w:val="28"/>
          <w:szCs w:val="28"/>
          <w:lang w:val="es-ES_tradnl" w:eastAsia="es-ES_tradnl"/>
        </w:rPr>
      </w:pPr>
    </w:p>
    <w:p w:rsidR="00332C06" w:rsidRPr="00DA1726" w:rsidRDefault="00531078" w:rsidP="00DA1726">
      <w:pPr>
        <w:jc w:val="both"/>
        <w:rPr>
          <w:i/>
          <w:sz w:val="28"/>
          <w:szCs w:val="28"/>
        </w:rPr>
      </w:pPr>
      <w:r w:rsidRPr="00DA1726">
        <w:rPr>
          <w:i/>
          <w:sz w:val="28"/>
          <w:szCs w:val="28"/>
        </w:rPr>
        <w:t>5</w:t>
      </w:r>
      <w:r w:rsidR="00E32210" w:rsidRPr="00DA1726">
        <w:rPr>
          <w:i/>
          <w:sz w:val="28"/>
          <w:szCs w:val="28"/>
        </w:rPr>
        <w:t>.1.</w:t>
      </w:r>
      <w:r w:rsidRPr="00DA1726">
        <w:rPr>
          <w:i/>
          <w:sz w:val="28"/>
          <w:szCs w:val="28"/>
        </w:rPr>
        <w:t>4</w:t>
      </w:r>
      <w:r w:rsidR="00E32210" w:rsidRPr="00DA1726">
        <w:rPr>
          <w:i/>
          <w:sz w:val="28"/>
          <w:szCs w:val="28"/>
        </w:rPr>
        <w:t>. Examen de la Sala Especial de Seguimiento.</w:t>
      </w:r>
    </w:p>
    <w:p w:rsidR="00896A2D" w:rsidRPr="00DA1726" w:rsidRDefault="00896A2D" w:rsidP="00DA1726">
      <w:pPr>
        <w:jc w:val="both"/>
        <w:rPr>
          <w:sz w:val="28"/>
          <w:szCs w:val="28"/>
        </w:rPr>
      </w:pPr>
    </w:p>
    <w:p w:rsidR="00CD6928" w:rsidRPr="00DA1726" w:rsidRDefault="001B66E4" w:rsidP="00DA1726">
      <w:pPr>
        <w:jc w:val="both"/>
        <w:rPr>
          <w:sz w:val="28"/>
          <w:szCs w:val="28"/>
          <w:lang w:val="es-ES_tradnl"/>
        </w:rPr>
      </w:pPr>
      <w:r w:rsidRPr="00DA1726">
        <w:rPr>
          <w:sz w:val="28"/>
          <w:szCs w:val="28"/>
        </w:rPr>
        <w:t>De lo expuesto la Corte encuentra que e</w:t>
      </w:r>
      <w:r w:rsidR="00EC0355" w:rsidRPr="00DA1726">
        <w:rPr>
          <w:sz w:val="28"/>
          <w:szCs w:val="28"/>
        </w:rPr>
        <w:t xml:space="preserve">l Ministerio </w:t>
      </w:r>
      <w:r w:rsidR="001B2126" w:rsidRPr="00DA1726">
        <w:rPr>
          <w:sz w:val="28"/>
          <w:szCs w:val="28"/>
          <w:lang w:val="es-ES_tradnl"/>
        </w:rPr>
        <w:t xml:space="preserve">y la Superintendencia </w:t>
      </w:r>
      <w:r w:rsidR="001A6A97" w:rsidRPr="00DA1726">
        <w:rPr>
          <w:sz w:val="28"/>
          <w:szCs w:val="28"/>
        </w:rPr>
        <w:t>establecieron</w:t>
      </w:r>
      <w:r w:rsidR="00FE01C7" w:rsidRPr="00DA1726">
        <w:rPr>
          <w:sz w:val="28"/>
          <w:szCs w:val="28"/>
          <w:lang w:val="es-ES_tradnl"/>
        </w:rPr>
        <w:t xml:space="preserve"> un análisis integral de la garantía del derecho a la salud </w:t>
      </w:r>
      <w:r w:rsidR="001A6A97" w:rsidRPr="00DA1726">
        <w:rPr>
          <w:sz w:val="28"/>
          <w:szCs w:val="28"/>
          <w:lang w:val="es-ES_tradnl"/>
        </w:rPr>
        <w:t>a fin de reflejar</w:t>
      </w:r>
      <w:r w:rsidR="00FE01C7" w:rsidRPr="00DA1726">
        <w:rPr>
          <w:sz w:val="28"/>
          <w:szCs w:val="28"/>
          <w:lang w:val="es-ES_tradnl"/>
        </w:rPr>
        <w:t xml:space="preserve"> el comporta</w:t>
      </w:r>
      <w:r w:rsidR="00F41162" w:rsidRPr="00DA1726">
        <w:rPr>
          <w:sz w:val="28"/>
          <w:szCs w:val="28"/>
          <w:lang w:val="es-ES_tradnl"/>
        </w:rPr>
        <w:t xml:space="preserve">miento de las EPS. Para este fin se </w:t>
      </w:r>
      <w:r w:rsidR="009A12AA" w:rsidRPr="00DA1726">
        <w:rPr>
          <w:sz w:val="28"/>
          <w:szCs w:val="28"/>
          <w:lang w:val="es-ES_tradnl"/>
        </w:rPr>
        <w:t>creó el</w:t>
      </w:r>
      <w:r w:rsidR="00F41162" w:rsidRPr="00DA1726">
        <w:rPr>
          <w:sz w:val="28"/>
          <w:szCs w:val="28"/>
          <w:lang w:val="es-ES_tradnl"/>
        </w:rPr>
        <w:t xml:space="preserve"> </w:t>
      </w:r>
      <w:r w:rsidR="00FE01C7" w:rsidRPr="00DA1726">
        <w:rPr>
          <w:i/>
          <w:sz w:val="28"/>
          <w:szCs w:val="28"/>
          <w:lang w:val="es-ES_tradnl"/>
        </w:rPr>
        <w:t>“indicador de la garantía del derecho a la salud”</w:t>
      </w:r>
      <w:r w:rsidR="00FE01C7" w:rsidRPr="00DA1726">
        <w:rPr>
          <w:sz w:val="28"/>
          <w:szCs w:val="28"/>
          <w:lang w:val="es-ES_tradnl"/>
        </w:rPr>
        <w:t xml:space="preserve">, </w:t>
      </w:r>
      <w:r w:rsidR="00F41162" w:rsidRPr="00DA1726">
        <w:rPr>
          <w:sz w:val="28"/>
          <w:szCs w:val="28"/>
          <w:lang w:val="es-ES_tradnl"/>
        </w:rPr>
        <w:t xml:space="preserve">que además de incluir los 14 criterios vulneradores establecidos por la Corte, </w:t>
      </w:r>
      <w:r w:rsidR="009A12AA" w:rsidRPr="00DA1726">
        <w:rPr>
          <w:sz w:val="28"/>
          <w:szCs w:val="28"/>
          <w:lang w:val="es-ES_tradnl"/>
        </w:rPr>
        <w:t>diseñ</w:t>
      </w:r>
      <w:r w:rsidR="00CD6928" w:rsidRPr="00DA1726">
        <w:rPr>
          <w:sz w:val="28"/>
          <w:szCs w:val="28"/>
          <w:lang w:val="es-ES_tradnl"/>
        </w:rPr>
        <w:t>ó</w:t>
      </w:r>
      <w:r w:rsidR="00FE01C7" w:rsidRPr="00DA1726">
        <w:rPr>
          <w:sz w:val="28"/>
          <w:szCs w:val="28"/>
          <w:lang w:val="es-ES_tradnl"/>
        </w:rPr>
        <w:t xml:space="preserve"> otras dimensiones de medición (indicador fi</w:t>
      </w:r>
      <w:r w:rsidR="00F53EA6" w:rsidRPr="00DA1726">
        <w:rPr>
          <w:sz w:val="28"/>
          <w:szCs w:val="28"/>
          <w:lang w:val="es-ES_tradnl"/>
        </w:rPr>
        <w:t xml:space="preserve">nanciero, indicador de calidad e </w:t>
      </w:r>
      <w:r w:rsidR="00FE01C7" w:rsidRPr="00DA1726">
        <w:rPr>
          <w:sz w:val="28"/>
          <w:szCs w:val="28"/>
          <w:lang w:val="es-ES_tradnl"/>
        </w:rPr>
        <w:t>indicador de peticiones, quejas y reclamos</w:t>
      </w:r>
      <w:r w:rsidRPr="00DA1726">
        <w:rPr>
          <w:sz w:val="28"/>
          <w:szCs w:val="28"/>
          <w:lang w:val="es-ES_tradnl"/>
        </w:rPr>
        <w:t xml:space="preserve"> </w:t>
      </w:r>
      <w:r w:rsidR="00FE01C7" w:rsidRPr="00DA1726">
        <w:rPr>
          <w:sz w:val="28"/>
          <w:szCs w:val="28"/>
          <w:lang w:val="es-ES_tradnl"/>
        </w:rPr>
        <w:t>-PQR</w:t>
      </w:r>
      <w:r w:rsidR="00531078" w:rsidRPr="00DA1726">
        <w:rPr>
          <w:sz w:val="28"/>
          <w:szCs w:val="28"/>
          <w:lang w:val="es-ES_tradnl"/>
        </w:rPr>
        <w:t>-</w:t>
      </w:r>
      <w:r w:rsidR="00FE01C7" w:rsidRPr="00DA1726">
        <w:rPr>
          <w:sz w:val="28"/>
          <w:szCs w:val="28"/>
          <w:lang w:val="es-ES_tradnl"/>
        </w:rPr>
        <w:t>).</w:t>
      </w:r>
      <w:r w:rsidR="009A12AA" w:rsidRPr="00DA1726">
        <w:rPr>
          <w:sz w:val="28"/>
          <w:szCs w:val="28"/>
          <w:lang w:val="es-ES_tradnl"/>
        </w:rPr>
        <w:t xml:space="preserve"> </w:t>
      </w:r>
      <w:r w:rsidR="00FE01C7" w:rsidRPr="00DA1726">
        <w:rPr>
          <w:sz w:val="28"/>
          <w:szCs w:val="28"/>
          <w:lang w:val="es-ES_tradnl"/>
        </w:rPr>
        <w:t>De acuerdo al resultado, las EPS se clasific</w:t>
      </w:r>
      <w:r w:rsidR="001A6A97" w:rsidRPr="00DA1726">
        <w:rPr>
          <w:sz w:val="28"/>
          <w:szCs w:val="28"/>
          <w:lang w:val="es-ES_tradnl"/>
        </w:rPr>
        <w:t>aron</w:t>
      </w:r>
      <w:r w:rsidR="00FE01C7" w:rsidRPr="00DA1726">
        <w:rPr>
          <w:sz w:val="28"/>
          <w:szCs w:val="28"/>
          <w:lang w:val="es-ES_tradnl"/>
        </w:rPr>
        <w:t xml:space="preserve"> por</w:t>
      </w:r>
      <w:r w:rsidR="001A6A97" w:rsidRPr="00DA1726">
        <w:rPr>
          <w:sz w:val="28"/>
          <w:szCs w:val="28"/>
          <w:lang w:val="es-ES_tradnl"/>
        </w:rPr>
        <w:t xml:space="preserve"> cada</w:t>
      </w:r>
      <w:r w:rsidR="00FE01C7" w:rsidRPr="00DA1726">
        <w:rPr>
          <w:sz w:val="28"/>
          <w:szCs w:val="28"/>
          <w:lang w:val="es-ES_tradnl"/>
        </w:rPr>
        <w:t xml:space="preserve"> régimen en tres grupos.</w:t>
      </w:r>
    </w:p>
    <w:p w:rsidR="00EC0355" w:rsidRPr="00DA1726" w:rsidRDefault="00EC0355" w:rsidP="00DA1726">
      <w:pPr>
        <w:jc w:val="both"/>
        <w:rPr>
          <w:sz w:val="28"/>
          <w:szCs w:val="28"/>
          <w:lang w:val="es-ES_tradnl"/>
        </w:rPr>
      </w:pPr>
    </w:p>
    <w:p w:rsidR="005D7218" w:rsidRPr="00DA1726" w:rsidRDefault="0025438A" w:rsidP="00DA1726">
      <w:pPr>
        <w:jc w:val="both"/>
        <w:rPr>
          <w:color w:val="000000"/>
          <w:spacing w:val="-3"/>
          <w:sz w:val="28"/>
          <w:szCs w:val="28"/>
        </w:rPr>
      </w:pPr>
      <w:r w:rsidRPr="00DA1726">
        <w:rPr>
          <w:sz w:val="28"/>
          <w:szCs w:val="28"/>
          <w:lang w:val="es-ES_tradnl"/>
        </w:rPr>
        <w:t>En relación con la forma de clasificación descrita, la Corte en uno de sus pronunciamientos (</w:t>
      </w:r>
      <w:r w:rsidR="005D7218" w:rsidRPr="00DA1726">
        <w:rPr>
          <w:color w:val="000000"/>
          <w:sz w:val="28"/>
          <w:szCs w:val="28"/>
          <w:lang w:val="es-ES"/>
        </w:rPr>
        <w:t>numeral 6 del Auto 249 de 2013</w:t>
      </w:r>
      <w:r w:rsidRPr="00DA1726">
        <w:rPr>
          <w:color w:val="000000"/>
          <w:sz w:val="28"/>
          <w:szCs w:val="28"/>
          <w:lang w:val="es-ES"/>
        </w:rPr>
        <w:t xml:space="preserve">) destacó que </w:t>
      </w:r>
      <w:r w:rsidR="005D7218" w:rsidRPr="00DA1726">
        <w:rPr>
          <w:color w:val="000000"/>
          <w:sz w:val="28"/>
          <w:szCs w:val="28"/>
          <w:lang w:val="es-ES"/>
        </w:rPr>
        <w:t xml:space="preserve">sería </w:t>
      </w:r>
      <w:r w:rsidRPr="00DA1726">
        <w:rPr>
          <w:color w:val="000000"/>
          <w:sz w:val="28"/>
          <w:szCs w:val="28"/>
          <w:lang w:val="es-ES"/>
        </w:rPr>
        <w:t>“deseable”</w:t>
      </w:r>
      <w:r w:rsidR="005D7218" w:rsidRPr="00DA1726">
        <w:rPr>
          <w:color w:val="000000"/>
          <w:sz w:val="28"/>
          <w:szCs w:val="28"/>
          <w:lang w:val="es-ES"/>
        </w:rPr>
        <w:t xml:space="preserve"> que se estableciera una clasificación simple porque: (i) puede resultar más fácil de entender y de aplicar por parte de los usuarios; (ii) podría forzar una actuación más eficaz por parte de la Superintendencia de Salud</w:t>
      </w:r>
      <w:r w:rsidR="00F014E0" w:rsidRPr="00DA1726">
        <w:rPr>
          <w:color w:val="000000"/>
          <w:sz w:val="28"/>
          <w:szCs w:val="28"/>
          <w:lang w:val="es-ES"/>
        </w:rPr>
        <w:t>;</w:t>
      </w:r>
      <w:r w:rsidR="005D7218" w:rsidRPr="00DA1726">
        <w:rPr>
          <w:color w:val="000000"/>
          <w:sz w:val="28"/>
          <w:szCs w:val="28"/>
          <w:lang w:val="es-ES"/>
        </w:rPr>
        <w:t xml:space="preserve"> y (iii) constituiría un medio de presión sobre las actuaciones irregulares que vienen presentando algunas promotoras.</w:t>
      </w:r>
      <w:r w:rsidR="00D81DCC" w:rsidRPr="00DA1726">
        <w:rPr>
          <w:color w:val="000000"/>
          <w:sz w:val="28"/>
          <w:szCs w:val="28"/>
          <w:lang w:val="es-ES"/>
        </w:rPr>
        <w:t xml:space="preserve"> </w:t>
      </w:r>
      <w:r w:rsidR="005D7218" w:rsidRPr="00DA1726">
        <w:rPr>
          <w:color w:val="000000"/>
          <w:spacing w:val="-3"/>
          <w:sz w:val="28"/>
          <w:szCs w:val="28"/>
        </w:rPr>
        <w:t>En la misma medida, se consideró que con la combinación de la clasificación por puestos y porcentajes de EPS e IPS, se contribuiría a que las personas conozcan con máxima transparencia y claridad quiénes son los aseguradores y prestadores que con mayor frecuencia lesionan el derecho a la salud de los usuarios del sistema.</w:t>
      </w:r>
    </w:p>
    <w:p w:rsidR="005D7218" w:rsidRPr="00DA1726" w:rsidRDefault="005D7218" w:rsidP="00DA1726">
      <w:pPr>
        <w:pStyle w:val="Sinespaciado"/>
        <w:tabs>
          <w:tab w:val="left" w:pos="851"/>
        </w:tabs>
        <w:jc w:val="both"/>
        <w:rPr>
          <w:rFonts w:ascii="Times New Roman" w:hAnsi="Times New Roman"/>
          <w:color w:val="000000"/>
          <w:sz w:val="28"/>
          <w:szCs w:val="28"/>
          <w:lang w:val="es-ES"/>
        </w:rPr>
      </w:pPr>
    </w:p>
    <w:p w:rsidR="000A2D95" w:rsidRPr="00DA1726" w:rsidRDefault="00535903"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No obstante, en decisión posterior (Auto 412 de 2015), la Sala consideró</w:t>
      </w:r>
      <w:r w:rsidR="005D7218" w:rsidRPr="00DA1726">
        <w:rPr>
          <w:rFonts w:ascii="Times New Roman" w:hAnsi="Times New Roman"/>
          <w:color w:val="000000"/>
          <w:sz w:val="28"/>
          <w:szCs w:val="28"/>
          <w:lang w:val="es-ES"/>
        </w:rPr>
        <w:t xml:space="preserve"> que una ordenación de EPS por grupos con diversos niveles de calificación también puede cumplir con las metas </w:t>
      </w:r>
      <w:r w:rsidRPr="00DA1726">
        <w:rPr>
          <w:rFonts w:ascii="Times New Roman" w:hAnsi="Times New Roman"/>
          <w:color w:val="000000"/>
          <w:sz w:val="28"/>
          <w:szCs w:val="28"/>
          <w:lang w:val="es-ES"/>
        </w:rPr>
        <w:t>establecidas por este Tribunal Constitucional</w:t>
      </w:r>
      <w:r w:rsidR="005D7218" w:rsidRPr="00DA1726">
        <w:rPr>
          <w:rFonts w:ascii="Times New Roman" w:hAnsi="Times New Roman"/>
          <w:color w:val="000000"/>
          <w:sz w:val="28"/>
          <w:szCs w:val="28"/>
          <w:lang w:val="es-ES"/>
        </w:rPr>
        <w:t xml:space="preserve">. </w:t>
      </w:r>
    </w:p>
    <w:p w:rsidR="000A2D95" w:rsidRPr="00DA1726" w:rsidRDefault="000A2D95" w:rsidP="00DA1726">
      <w:pPr>
        <w:pStyle w:val="Sinespaciado"/>
        <w:tabs>
          <w:tab w:val="left" w:pos="851"/>
        </w:tabs>
        <w:jc w:val="both"/>
        <w:rPr>
          <w:rFonts w:ascii="Times New Roman" w:hAnsi="Times New Roman"/>
          <w:color w:val="000000"/>
          <w:sz w:val="28"/>
          <w:szCs w:val="28"/>
          <w:lang w:val="es-ES"/>
        </w:rPr>
      </w:pPr>
    </w:p>
    <w:p w:rsidR="00023474" w:rsidRPr="00DA1726" w:rsidRDefault="00D566D3"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 xml:space="preserve">En este contexto, </w:t>
      </w:r>
      <w:r w:rsidR="001B66E4" w:rsidRPr="00DA1726">
        <w:rPr>
          <w:rFonts w:ascii="Times New Roman" w:hAnsi="Times New Roman"/>
          <w:color w:val="000000"/>
          <w:sz w:val="28"/>
          <w:szCs w:val="28"/>
          <w:lang w:val="es-ES"/>
        </w:rPr>
        <w:t>la Sala Especial de S</w:t>
      </w:r>
      <w:r w:rsidR="00023474" w:rsidRPr="00DA1726">
        <w:rPr>
          <w:rFonts w:ascii="Times New Roman" w:hAnsi="Times New Roman"/>
          <w:color w:val="000000"/>
          <w:sz w:val="28"/>
          <w:szCs w:val="28"/>
          <w:lang w:val="es-ES"/>
        </w:rPr>
        <w:t xml:space="preserve">eguimiento procede a adelantar el estudio alusivo al cumplimiento de la orden vigésima desde dos aspectos fundamentales: (i) el </w:t>
      </w:r>
      <w:r w:rsidR="00023474" w:rsidRPr="00DA1726">
        <w:rPr>
          <w:rFonts w:ascii="Times New Roman" w:hAnsi="Times New Roman"/>
          <w:i/>
          <w:color w:val="000000"/>
          <w:sz w:val="28"/>
          <w:szCs w:val="28"/>
          <w:lang w:val="es-ES"/>
        </w:rPr>
        <w:t>ranking</w:t>
      </w:r>
      <w:r w:rsidR="00023474" w:rsidRPr="00DA1726">
        <w:rPr>
          <w:rFonts w:ascii="Times New Roman" w:hAnsi="Times New Roman"/>
          <w:color w:val="000000"/>
          <w:sz w:val="28"/>
          <w:szCs w:val="28"/>
          <w:lang w:val="es-ES"/>
        </w:rPr>
        <w:t xml:space="preserve"> efectuado para la vigencia 2015</w:t>
      </w:r>
      <w:r w:rsidR="001B66E4" w:rsidRPr="00DA1726">
        <w:rPr>
          <w:rFonts w:ascii="Times New Roman" w:hAnsi="Times New Roman"/>
          <w:color w:val="000000"/>
          <w:sz w:val="28"/>
          <w:szCs w:val="28"/>
          <w:lang w:val="es-ES"/>
        </w:rPr>
        <w:t>, el cual se analizará conforme con los lineamientos existentes en ese momento, esto es, los parámetros de negación de acceso al sistema</w:t>
      </w:r>
      <w:r w:rsidR="00023474" w:rsidRPr="00DA1726">
        <w:rPr>
          <w:rFonts w:ascii="Times New Roman" w:hAnsi="Times New Roman"/>
          <w:color w:val="000000"/>
          <w:sz w:val="28"/>
          <w:szCs w:val="28"/>
          <w:lang w:val="es-ES"/>
        </w:rPr>
        <w:t>; y (ii) el nuevo esquema de valoración a partir de la actualización de los 14 criterios vulneradores de cara a la ley estatutaria de salud (Ley 1751 de 2015).</w:t>
      </w:r>
    </w:p>
    <w:p w:rsidR="00023474" w:rsidRPr="00DA1726" w:rsidRDefault="00023474" w:rsidP="00DA1726">
      <w:pPr>
        <w:pStyle w:val="Sinespaciado"/>
        <w:tabs>
          <w:tab w:val="left" w:pos="851"/>
        </w:tabs>
        <w:jc w:val="both"/>
        <w:rPr>
          <w:rFonts w:ascii="Times New Roman" w:hAnsi="Times New Roman"/>
          <w:color w:val="000000"/>
          <w:sz w:val="28"/>
          <w:szCs w:val="28"/>
          <w:lang w:val="es-ES"/>
        </w:rPr>
      </w:pPr>
    </w:p>
    <w:p w:rsidR="000A2D95" w:rsidRPr="00DA1726" w:rsidRDefault="00023474"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i/>
          <w:color w:val="000000"/>
          <w:sz w:val="28"/>
          <w:szCs w:val="28"/>
          <w:lang w:val="es-ES"/>
        </w:rPr>
        <w:t xml:space="preserve">5.1.4.1. Ranking de EPS vigencia 2015. </w:t>
      </w:r>
      <w:r w:rsidRPr="00DA1726">
        <w:rPr>
          <w:rFonts w:ascii="Times New Roman" w:hAnsi="Times New Roman"/>
          <w:color w:val="000000"/>
          <w:sz w:val="28"/>
          <w:szCs w:val="28"/>
          <w:lang w:val="es-ES"/>
        </w:rPr>
        <w:t xml:space="preserve">La Corte encuentra que </w:t>
      </w:r>
      <w:r w:rsidR="00D566D3" w:rsidRPr="00DA1726">
        <w:rPr>
          <w:rFonts w:ascii="Times New Roman" w:hAnsi="Times New Roman"/>
          <w:color w:val="000000"/>
          <w:sz w:val="28"/>
          <w:szCs w:val="28"/>
          <w:lang w:val="es-ES"/>
        </w:rPr>
        <w:t>el ejercicio adelantado se desarrolló conforme a unos parámetros de clasificación amplia, en</w:t>
      </w:r>
      <w:r w:rsidRPr="00DA1726">
        <w:rPr>
          <w:rFonts w:ascii="Times New Roman" w:hAnsi="Times New Roman"/>
          <w:color w:val="000000"/>
          <w:sz w:val="28"/>
          <w:szCs w:val="28"/>
          <w:lang w:val="es-ES"/>
        </w:rPr>
        <w:t xml:space="preserve"> orden a establecer un indicador global de garantía del derecho a la salud</w:t>
      </w:r>
      <w:r w:rsidR="00D566D3" w:rsidRPr="00DA1726">
        <w:rPr>
          <w:rFonts w:ascii="Times New Roman" w:hAnsi="Times New Roman"/>
          <w:color w:val="000000"/>
          <w:sz w:val="28"/>
          <w:szCs w:val="28"/>
          <w:lang w:val="es-ES"/>
        </w:rPr>
        <w:t xml:space="preserve">. </w:t>
      </w:r>
      <w:r w:rsidRPr="00DA1726">
        <w:rPr>
          <w:rFonts w:ascii="Times New Roman" w:hAnsi="Times New Roman"/>
          <w:color w:val="000000"/>
          <w:sz w:val="28"/>
          <w:szCs w:val="28"/>
          <w:lang w:val="es-ES"/>
        </w:rPr>
        <w:t>Al respecto</w:t>
      </w:r>
      <w:r w:rsidR="006C2E84" w:rsidRPr="00DA1726">
        <w:rPr>
          <w:rFonts w:ascii="Times New Roman" w:hAnsi="Times New Roman"/>
          <w:color w:val="000000"/>
          <w:sz w:val="28"/>
          <w:szCs w:val="28"/>
          <w:lang w:val="es-ES"/>
        </w:rPr>
        <w:t xml:space="preserve">, la Sala </w:t>
      </w:r>
      <w:r w:rsidR="00C109C9" w:rsidRPr="00DA1726">
        <w:rPr>
          <w:rFonts w:ascii="Times New Roman" w:hAnsi="Times New Roman"/>
          <w:color w:val="000000"/>
          <w:sz w:val="28"/>
          <w:szCs w:val="28"/>
          <w:lang w:val="es-ES"/>
        </w:rPr>
        <w:t>entiende</w:t>
      </w:r>
      <w:r w:rsidR="006C2E84" w:rsidRPr="00DA1726">
        <w:rPr>
          <w:rFonts w:ascii="Times New Roman" w:hAnsi="Times New Roman"/>
          <w:color w:val="000000"/>
          <w:sz w:val="28"/>
          <w:szCs w:val="28"/>
          <w:lang w:val="es-ES"/>
        </w:rPr>
        <w:t xml:space="preserve"> necesario hacer las siguientes precisiones</w:t>
      </w:r>
      <w:r w:rsidRPr="00DA1726">
        <w:rPr>
          <w:rFonts w:ascii="Times New Roman" w:hAnsi="Times New Roman"/>
          <w:color w:val="000000"/>
          <w:sz w:val="28"/>
          <w:szCs w:val="28"/>
          <w:lang w:val="es-ES"/>
        </w:rPr>
        <w:t xml:space="preserve"> partiendo de lo expuesto por </w:t>
      </w:r>
      <w:r w:rsidR="00CE6427" w:rsidRPr="00DA1726">
        <w:rPr>
          <w:rFonts w:ascii="Times New Roman" w:hAnsi="Times New Roman"/>
          <w:color w:val="000000"/>
          <w:sz w:val="28"/>
          <w:szCs w:val="28"/>
          <w:lang w:val="es-ES"/>
        </w:rPr>
        <w:t>el Ministerio de Salud</w:t>
      </w:r>
      <w:r w:rsidRPr="00DA1726">
        <w:rPr>
          <w:rFonts w:ascii="Times New Roman" w:hAnsi="Times New Roman"/>
          <w:color w:val="000000"/>
          <w:sz w:val="28"/>
          <w:szCs w:val="28"/>
          <w:lang w:val="es-ES"/>
        </w:rPr>
        <w:t xml:space="preserve"> y los conceptos de los peritos constitucionales.</w:t>
      </w:r>
    </w:p>
    <w:p w:rsidR="006C2E84" w:rsidRPr="00DA1726" w:rsidRDefault="006C2E84" w:rsidP="00DA1726">
      <w:pPr>
        <w:pStyle w:val="Sinespaciado"/>
        <w:tabs>
          <w:tab w:val="left" w:pos="851"/>
        </w:tabs>
        <w:jc w:val="both"/>
        <w:rPr>
          <w:rFonts w:ascii="Times New Roman" w:hAnsi="Times New Roman"/>
          <w:color w:val="000000"/>
          <w:sz w:val="28"/>
          <w:szCs w:val="28"/>
          <w:lang w:val="es-ES"/>
        </w:rPr>
      </w:pPr>
    </w:p>
    <w:p w:rsidR="006C2E84" w:rsidRPr="00DA1726" w:rsidRDefault="006C2E84"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i) La orden objeto de examen se refiere principalmente al estudio de violaciones del derecho a la s</w:t>
      </w:r>
      <w:r w:rsidR="000B3DC2" w:rsidRPr="00DA1726">
        <w:rPr>
          <w:rFonts w:ascii="Times New Roman" w:hAnsi="Times New Roman"/>
          <w:color w:val="000000"/>
          <w:sz w:val="28"/>
          <w:szCs w:val="28"/>
          <w:lang w:val="es-ES"/>
        </w:rPr>
        <w:t>alud de los usuarios de sistema.</w:t>
      </w:r>
      <w:r w:rsidRPr="00DA1726">
        <w:rPr>
          <w:rFonts w:ascii="Times New Roman" w:hAnsi="Times New Roman"/>
          <w:color w:val="000000"/>
          <w:sz w:val="28"/>
          <w:szCs w:val="28"/>
          <w:lang w:val="es-ES"/>
        </w:rPr>
        <w:t xml:space="preserve"> </w:t>
      </w:r>
      <w:r w:rsidR="000B3DC2" w:rsidRPr="00DA1726">
        <w:rPr>
          <w:rFonts w:ascii="Times New Roman" w:hAnsi="Times New Roman"/>
          <w:color w:val="000000"/>
          <w:sz w:val="28"/>
          <w:szCs w:val="28"/>
          <w:lang w:val="es-ES"/>
        </w:rPr>
        <w:t>E</w:t>
      </w:r>
      <w:r w:rsidRPr="00DA1726">
        <w:rPr>
          <w:rFonts w:ascii="Times New Roman" w:hAnsi="Times New Roman"/>
          <w:color w:val="000000"/>
          <w:sz w:val="28"/>
          <w:szCs w:val="28"/>
          <w:lang w:val="es-ES"/>
        </w:rPr>
        <w:t xml:space="preserve">n este sentido, la Corte </w:t>
      </w:r>
      <w:r w:rsidR="009A12AA" w:rsidRPr="00DA1726">
        <w:rPr>
          <w:rFonts w:ascii="Times New Roman" w:hAnsi="Times New Roman"/>
          <w:color w:val="000000"/>
          <w:sz w:val="28"/>
          <w:szCs w:val="28"/>
          <w:lang w:val="es-ES"/>
        </w:rPr>
        <w:t>estima que es positivo</w:t>
      </w:r>
      <w:r w:rsidRPr="00DA1726">
        <w:rPr>
          <w:rFonts w:ascii="Times New Roman" w:hAnsi="Times New Roman"/>
          <w:color w:val="000000"/>
          <w:sz w:val="28"/>
          <w:szCs w:val="28"/>
          <w:lang w:val="es-ES"/>
        </w:rPr>
        <w:t xml:space="preserve"> el esfuerzo </w:t>
      </w:r>
      <w:r w:rsidR="0084296E" w:rsidRPr="00DA1726">
        <w:rPr>
          <w:rFonts w:ascii="Times New Roman" w:hAnsi="Times New Roman"/>
          <w:color w:val="000000"/>
          <w:sz w:val="28"/>
          <w:szCs w:val="28"/>
          <w:lang w:val="es-ES"/>
        </w:rPr>
        <w:t>realizado</w:t>
      </w:r>
      <w:r w:rsidRPr="00DA1726">
        <w:rPr>
          <w:rFonts w:ascii="Times New Roman" w:hAnsi="Times New Roman"/>
          <w:color w:val="000000"/>
          <w:sz w:val="28"/>
          <w:szCs w:val="28"/>
          <w:lang w:val="es-ES"/>
        </w:rPr>
        <w:t xml:space="preserve"> por incluir nuevos criterios de valoración</w:t>
      </w:r>
      <w:r w:rsidR="00715C81" w:rsidRPr="00DA1726">
        <w:rPr>
          <w:rFonts w:ascii="Times New Roman" w:hAnsi="Times New Roman"/>
          <w:color w:val="000000"/>
          <w:sz w:val="28"/>
          <w:szCs w:val="28"/>
          <w:lang w:val="es-ES"/>
        </w:rPr>
        <w:t xml:space="preserve"> (</w:t>
      </w:r>
      <w:r w:rsidR="00715C81" w:rsidRPr="00DA1726">
        <w:rPr>
          <w:rFonts w:ascii="Times New Roman" w:hAnsi="Times New Roman"/>
          <w:color w:val="000000"/>
          <w:sz w:val="28"/>
          <w:szCs w:val="28"/>
          <w:lang w:val="es-ES_tradnl"/>
        </w:rPr>
        <w:t>indicador financiero</w:t>
      </w:r>
      <w:r w:rsidR="00987F07" w:rsidRPr="00DA1726">
        <w:rPr>
          <w:rFonts w:ascii="Times New Roman" w:hAnsi="Times New Roman"/>
          <w:color w:val="000000"/>
          <w:sz w:val="28"/>
          <w:szCs w:val="28"/>
          <w:lang w:val="es-ES_tradnl"/>
        </w:rPr>
        <w:t>;</w:t>
      </w:r>
      <w:r w:rsidR="00715C81" w:rsidRPr="00DA1726">
        <w:rPr>
          <w:rFonts w:ascii="Times New Roman" w:hAnsi="Times New Roman"/>
          <w:color w:val="000000"/>
          <w:sz w:val="28"/>
          <w:szCs w:val="28"/>
          <w:lang w:val="es-ES_tradnl"/>
        </w:rPr>
        <w:t xml:space="preserve"> </w:t>
      </w:r>
      <w:r w:rsidR="00F53EA6" w:rsidRPr="00DA1726">
        <w:rPr>
          <w:rFonts w:ascii="Times New Roman" w:hAnsi="Times New Roman"/>
          <w:color w:val="000000"/>
          <w:sz w:val="28"/>
          <w:szCs w:val="28"/>
          <w:lang w:val="es-ES_tradnl"/>
        </w:rPr>
        <w:t>de calidad</w:t>
      </w:r>
      <w:r w:rsidR="00987F07" w:rsidRPr="00DA1726">
        <w:rPr>
          <w:rFonts w:ascii="Times New Roman" w:hAnsi="Times New Roman"/>
          <w:color w:val="000000"/>
          <w:sz w:val="28"/>
          <w:szCs w:val="28"/>
          <w:lang w:val="es-ES_tradnl"/>
        </w:rPr>
        <w:t>;</w:t>
      </w:r>
      <w:r w:rsidR="00F53EA6" w:rsidRPr="00DA1726">
        <w:rPr>
          <w:rFonts w:ascii="Times New Roman" w:hAnsi="Times New Roman"/>
          <w:color w:val="000000"/>
          <w:sz w:val="28"/>
          <w:szCs w:val="28"/>
          <w:lang w:val="es-ES_tradnl"/>
        </w:rPr>
        <w:t xml:space="preserve"> y </w:t>
      </w:r>
      <w:r w:rsidR="00715C81" w:rsidRPr="00DA1726">
        <w:rPr>
          <w:rFonts w:ascii="Times New Roman" w:hAnsi="Times New Roman"/>
          <w:color w:val="000000"/>
          <w:sz w:val="28"/>
          <w:szCs w:val="28"/>
          <w:lang w:val="es-ES_tradnl"/>
        </w:rPr>
        <w:t>de peticiones, quejas y reclamos</w:t>
      </w:r>
      <w:r w:rsidR="001B66E4" w:rsidRPr="00DA1726">
        <w:rPr>
          <w:rFonts w:ascii="Times New Roman" w:hAnsi="Times New Roman"/>
          <w:color w:val="000000"/>
          <w:sz w:val="28"/>
          <w:szCs w:val="28"/>
          <w:lang w:val="es-ES_tradnl"/>
        </w:rPr>
        <w:t xml:space="preserve"> </w:t>
      </w:r>
      <w:r w:rsidR="00715C81" w:rsidRPr="00DA1726">
        <w:rPr>
          <w:rFonts w:ascii="Times New Roman" w:hAnsi="Times New Roman"/>
          <w:color w:val="000000"/>
          <w:sz w:val="28"/>
          <w:szCs w:val="28"/>
          <w:lang w:val="es-ES_tradnl"/>
        </w:rPr>
        <w:t>-PQR-)</w:t>
      </w:r>
      <w:r w:rsidRPr="00DA1726">
        <w:rPr>
          <w:rFonts w:ascii="Times New Roman" w:hAnsi="Times New Roman"/>
          <w:color w:val="000000"/>
          <w:sz w:val="28"/>
          <w:szCs w:val="28"/>
          <w:lang w:val="es-ES"/>
        </w:rPr>
        <w:t xml:space="preserve">, </w:t>
      </w:r>
      <w:r w:rsidR="0084296E" w:rsidRPr="00DA1726">
        <w:rPr>
          <w:rFonts w:ascii="Times New Roman" w:hAnsi="Times New Roman"/>
          <w:color w:val="000000"/>
          <w:sz w:val="28"/>
          <w:szCs w:val="28"/>
          <w:lang w:val="es-ES"/>
        </w:rPr>
        <w:t>no obstante es importante tener en cuenta que el cumplimiento de la orden objeto de examen atiende principalmente a aquellos</w:t>
      </w:r>
      <w:r w:rsidRPr="00DA1726">
        <w:rPr>
          <w:rFonts w:ascii="Times New Roman" w:hAnsi="Times New Roman"/>
          <w:color w:val="000000"/>
          <w:sz w:val="28"/>
          <w:szCs w:val="28"/>
          <w:lang w:val="es-ES"/>
        </w:rPr>
        <w:t xml:space="preserve"> aspectos que constituyen una negación del servicio, por lo que el desarrollo de este mandato debe circunscribirse a </w:t>
      </w:r>
      <w:r w:rsidR="009A12AA" w:rsidRPr="00DA1726">
        <w:rPr>
          <w:rFonts w:ascii="Times New Roman" w:hAnsi="Times New Roman"/>
          <w:color w:val="000000"/>
          <w:sz w:val="28"/>
          <w:szCs w:val="28"/>
          <w:lang w:val="es-ES"/>
        </w:rPr>
        <w:t xml:space="preserve">esas </w:t>
      </w:r>
      <w:r w:rsidRPr="00DA1726">
        <w:rPr>
          <w:rFonts w:ascii="Times New Roman" w:hAnsi="Times New Roman"/>
          <w:color w:val="000000"/>
          <w:sz w:val="28"/>
          <w:szCs w:val="28"/>
          <w:lang w:val="es-ES"/>
        </w:rPr>
        <w:t>circunstancias específicas.</w:t>
      </w:r>
    </w:p>
    <w:p w:rsidR="006C2E84" w:rsidRPr="00DA1726" w:rsidRDefault="006C2E84" w:rsidP="00DA1726">
      <w:pPr>
        <w:pStyle w:val="Sinespaciado"/>
        <w:tabs>
          <w:tab w:val="left" w:pos="851"/>
        </w:tabs>
        <w:jc w:val="both"/>
        <w:rPr>
          <w:rFonts w:ascii="Times New Roman" w:hAnsi="Times New Roman"/>
          <w:color w:val="000000"/>
          <w:sz w:val="28"/>
          <w:szCs w:val="28"/>
          <w:lang w:val="es-ES"/>
        </w:rPr>
      </w:pPr>
    </w:p>
    <w:p w:rsidR="00D566D3" w:rsidRPr="00DA1726" w:rsidRDefault="006C2E84"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 xml:space="preserve">ii) </w:t>
      </w:r>
      <w:r w:rsidR="00B47BEA" w:rsidRPr="00DA1726">
        <w:rPr>
          <w:rFonts w:ascii="Times New Roman" w:hAnsi="Times New Roman"/>
          <w:color w:val="000000"/>
          <w:sz w:val="28"/>
          <w:szCs w:val="28"/>
          <w:lang w:val="es-ES"/>
        </w:rPr>
        <w:t>El Ministerio a</w:t>
      </w:r>
      <w:r w:rsidR="0004078F" w:rsidRPr="00DA1726">
        <w:rPr>
          <w:rFonts w:ascii="Times New Roman" w:hAnsi="Times New Roman"/>
          <w:color w:val="000000"/>
          <w:sz w:val="28"/>
          <w:szCs w:val="28"/>
          <w:lang w:val="es-ES"/>
        </w:rPr>
        <w:t xml:space="preserve">l momento de hacer la </w:t>
      </w:r>
      <w:r w:rsidR="009A12AA" w:rsidRPr="00DA1726">
        <w:rPr>
          <w:rFonts w:ascii="Times New Roman" w:hAnsi="Times New Roman"/>
          <w:color w:val="000000"/>
          <w:sz w:val="28"/>
          <w:szCs w:val="28"/>
          <w:lang w:val="es-ES"/>
        </w:rPr>
        <w:t xml:space="preserve">clasificación a partir </w:t>
      </w:r>
      <w:r w:rsidR="0004078F" w:rsidRPr="00DA1726">
        <w:rPr>
          <w:rFonts w:ascii="Times New Roman" w:hAnsi="Times New Roman"/>
          <w:color w:val="000000"/>
          <w:sz w:val="28"/>
          <w:szCs w:val="28"/>
          <w:lang w:val="es-ES"/>
        </w:rPr>
        <w:t>de los i</w:t>
      </w:r>
      <w:r w:rsidR="00FB4EBC" w:rsidRPr="00DA1726">
        <w:rPr>
          <w:rFonts w:ascii="Times New Roman" w:hAnsi="Times New Roman"/>
          <w:color w:val="000000"/>
          <w:sz w:val="28"/>
          <w:szCs w:val="28"/>
          <w:lang w:val="es-ES"/>
        </w:rPr>
        <w:t xml:space="preserve">ndicadores establecidos en la sentencia </w:t>
      </w:r>
      <w:r w:rsidR="0004078F" w:rsidRPr="00DA1726">
        <w:rPr>
          <w:rFonts w:ascii="Times New Roman" w:hAnsi="Times New Roman"/>
          <w:color w:val="000000"/>
          <w:sz w:val="28"/>
          <w:szCs w:val="28"/>
          <w:lang w:val="es-ES"/>
        </w:rPr>
        <w:t xml:space="preserve">T-760 de 2008 </w:t>
      </w:r>
      <w:r w:rsidR="00AC2801" w:rsidRPr="00DA1726">
        <w:rPr>
          <w:rFonts w:ascii="Times New Roman" w:hAnsi="Times New Roman"/>
          <w:color w:val="000000"/>
          <w:sz w:val="28"/>
          <w:szCs w:val="28"/>
          <w:lang w:val="es-ES"/>
        </w:rPr>
        <w:t>y sus autos complementario</w:t>
      </w:r>
      <w:r w:rsidR="00987F07" w:rsidRPr="00DA1726">
        <w:rPr>
          <w:rFonts w:ascii="Times New Roman" w:hAnsi="Times New Roman"/>
          <w:color w:val="000000"/>
          <w:sz w:val="28"/>
          <w:szCs w:val="28"/>
          <w:lang w:val="es-ES"/>
        </w:rPr>
        <w:t>s</w:t>
      </w:r>
      <w:r w:rsidR="00AC2801" w:rsidRPr="00DA1726">
        <w:rPr>
          <w:rFonts w:ascii="Times New Roman" w:hAnsi="Times New Roman"/>
          <w:color w:val="000000"/>
          <w:sz w:val="28"/>
          <w:szCs w:val="28"/>
          <w:lang w:val="es-ES"/>
        </w:rPr>
        <w:t xml:space="preserve">, </w:t>
      </w:r>
      <w:r w:rsidR="0004078F" w:rsidRPr="00DA1726">
        <w:rPr>
          <w:rFonts w:ascii="Times New Roman" w:hAnsi="Times New Roman"/>
          <w:color w:val="000000"/>
          <w:sz w:val="28"/>
          <w:szCs w:val="28"/>
          <w:lang w:val="es-ES"/>
        </w:rPr>
        <w:t xml:space="preserve">plantea en 7 </w:t>
      </w:r>
      <w:r w:rsidR="00987F07" w:rsidRPr="00DA1726">
        <w:rPr>
          <w:rFonts w:ascii="Times New Roman" w:hAnsi="Times New Roman"/>
          <w:color w:val="000000"/>
          <w:sz w:val="28"/>
          <w:szCs w:val="28"/>
          <w:lang w:val="es-ES"/>
        </w:rPr>
        <w:t xml:space="preserve">de ellos la necesidad de </w:t>
      </w:r>
      <w:r w:rsidR="0004078F" w:rsidRPr="00DA1726">
        <w:rPr>
          <w:rFonts w:ascii="Times New Roman" w:hAnsi="Times New Roman"/>
          <w:color w:val="000000"/>
          <w:sz w:val="28"/>
          <w:szCs w:val="28"/>
          <w:lang w:val="es-ES"/>
        </w:rPr>
        <w:t xml:space="preserve">medir la oportunidad sobre la negación del servicio. Al respecto, la Sala encuentra que </w:t>
      </w:r>
      <w:r w:rsidR="009A12AA" w:rsidRPr="00DA1726">
        <w:rPr>
          <w:rFonts w:ascii="Times New Roman" w:hAnsi="Times New Roman"/>
          <w:color w:val="000000"/>
          <w:sz w:val="28"/>
          <w:szCs w:val="28"/>
          <w:lang w:val="es-ES"/>
        </w:rPr>
        <w:t xml:space="preserve">si bien </w:t>
      </w:r>
      <w:r w:rsidR="0004078F" w:rsidRPr="00DA1726">
        <w:rPr>
          <w:rFonts w:ascii="Times New Roman" w:hAnsi="Times New Roman"/>
          <w:color w:val="000000"/>
          <w:sz w:val="28"/>
          <w:szCs w:val="28"/>
          <w:lang w:val="es-ES"/>
        </w:rPr>
        <w:t>el criterio de oportunidad es un indicador que permite medir eventuales circunstan</w:t>
      </w:r>
      <w:r w:rsidR="00AC2801" w:rsidRPr="00DA1726">
        <w:rPr>
          <w:rFonts w:ascii="Times New Roman" w:hAnsi="Times New Roman"/>
          <w:color w:val="000000"/>
          <w:sz w:val="28"/>
          <w:szCs w:val="28"/>
          <w:lang w:val="es-ES"/>
        </w:rPr>
        <w:t xml:space="preserve">cias de negación en la atención, </w:t>
      </w:r>
      <w:r w:rsidR="009A12AA" w:rsidRPr="00DA1726">
        <w:rPr>
          <w:rFonts w:ascii="Times New Roman" w:hAnsi="Times New Roman"/>
          <w:color w:val="000000"/>
          <w:sz w:val="28"/>
          <w:szCs w:val="28"/>
          <w:lang w:val="es-ES"/>
        </w:rPr>
        <w:t>es</w:t>
      </w:r>
      <w:r w:rsidR="0004078F" w:rsidRPr="00DA1726">
        <w:rPr>
          <w:rFonts w:ascii="Times New Roman" w:hAnsi="Times New Roman"/>
          <w:color w:val="000000"/>
          <w:sz w:val="28"/>
          <w:szCs w:val="28"/>
          <w:lang w:val="es-ES"/>
        </w:rPr>
        <w:t xml:space="preserve"> importante identificar los casos específicos </w:t>
      </w:r>
      <w:r w:rsidR="008A3F63" w:rsidRPr="00DA1726">
        <w:rPr>
          <w:rFonts w:ascii="Times New Roman" w:hAnsi="Times New Roman"/>
          <w:color w:val="000000"/>
          <w:sz w:val="28"/>
          <w:szCs w:val="28"/>
          <w:lang w:val="es-ES"/>
        </w:rPr>
        <w:t>de vulneración</w:t>
      </w:r>
      <w:r w:rsidR="009A12AA" w:rsidRPr="00DA1726">
        <w:rPr>
          <w:rFonts w:ascii="Times New Roman" w:hAnsi="Times New Roman"/>
          <w:color w:val="000000"/>
          <w:sz w:val="28"/>
          <w:szCs w:val="28"/>
          <w:lang w:val="es-ES"/>
        </w:rPr>
        <w:t xml:space="preserve"> al derecho a la salud, ya sea </w:t>
      </w:r>
      <w:r w:rsidR="002615C3" w:rsidRPr="00DA1726">
        <w:rPr>
          <w:rFonts w:ascii="Times New Roman" w:hAnsi="Times New Roman"/>
          <w:color w:val="000000"/>
          <w:sz w:val="28"/>
          <w:szCs w:val="28"/>
          <w:lang w:val="es-ES"/>
        </w:rPr>
        <w:t xml:space="preserve">por </w:t>
      </w:r>
      <w:r w:rsidR="00987F07" w:rsidRPr="00DA1726">
        <w:rPr>
          <w:rFonts w:ascii="Times New Roman" w:hAnsi="Times New Roman"/>
          <w:color w:val="000000"/>
          <w:sz w:val="28"/>
          <w:szCs w:val="28"/>
          <w:lang w:val="es-ES"/>
        </w:rPr>
        <w:t xml:space="preserve">falta de </w:t>
      </w:r>
      <w:r w:rsidR="002615C3" w:rsidRPr="00DA1726">
        <w:rPr>
          <w:rFonts w:ascii="Times New Roman" w:hAnsi="Times New Roman"/>
          <w:color w:val="000000"/>
          <w:sz w:val="28"/>
          <w:szCs w:val="28"/>
          <w:lang w:val="es-ES"/>
        </w:rPr>
        <w:t xml:space="preserve">autorización de servicios </w:t>
      </w:r>
      <w:r w:rsidR="009A12AA" w:rsidRPr="00DA1726">
        <w:rPr>
          <w:rFonts w:ascii="Times New Roman" w:hAnsi="Times New Roman"/>
          <w:color w:val="000000"/>
          <w:sz w:val="28"/>
          <w:szCs w:val="28"/>
          <w:lang w:val="es-ES"/>
        </w:rPr>
        <w:t xml:space="preserve">no excluidos el plan de beneficios; la negación de aquellos </w:t>
      </w:r>
      <w:r w:rsidR="002615C3" w:rsidRPr="00DA1726">
        <w:rPr>
          <w:rFonts w:ascii="Times New Roman" w:hAnsi="Times New Roman"/>
          <w:color w:val="000000"/>
          <w:sz w:val="28"/>
          <w:szCs w:val="28"/>
          <w:lang w:val="es-ES"/>
        </w:rPr>
        <w:t xml:space="preserve">que si bien están </w:t>
      </w:r>
      <w:r w:rsidR="009A12AA" w:rsidRPr="00DA1726">
        <w:rPr>
          <w:rFonts w:ascii="Times New Roman" w:hAnsi="Times New Roman"/>
          <w:color w:val="000000"/>
          <w:sz w:val="28"/>
          <w:szCs w:val="28"/>
          <w:lang w:val="es-ES"/>
        </w:rPr>
        <w:t xml:space="preserve">expresamente fuera del POS </w:t>
      </w:r>
      <w:r w:rsidR="002615C3" w:rsidRPr="00DA1726">
        <w:rPr>
          <w:rFonts w:ascii="Times New Roman" w:hAnsi="Times New Roman"/>
          <w:color w:val="000000"/>
          <w:sz w:val="28"/>
          <w:szCs w:val="28"/>
          <w:lang w:val="es-ES"/>
        </w:rPr>
        <w:t>se requiere</w:t>
      </w:r>
      <w:r w:rsidR="00987F07" w:rsidRPr="00DA1726">
        <w:rPr>
          <w:rFonts w:ascii="Times New Roman" w:hAnsi="Times New Roman"/>
          <w:color w:val="000000"/>
          <w:sz w:val="28"/>
          <w:szCs w:val="28"/>
          <w:lang w:val="es-ES"/>
        </w:rPr>
        <w:t>n</w:t>
      </w:r>
      <w:r w:rsidR="009A12AA" w:rsidRPr="00DA1726">
        <w:rPr>
          <w:rFonts w:ascii="Times New Roman" w:hAnsi="Times New Roman"/>
          <w:color w:val="000000"/>
          <w:sz w:val="28"/>
          <w:szCs w:val="28"/>
          <w:lang w:val="es-ES"/>
        </w:rPr>
        <w:t xml:space="preserve"> con necesidad;</w:t>
      </w:r>
      <w:r w:rsidR="002615C3" w:rsidRPr="00DA1726">
        <w:rPr>
          <w:rFonts w:ascii="Times New Roman" w:hAnsi="Times New Roman"/>
          <w:color w:val="000000"/>
          <w:sz w:val="28"/>
          <w:szCs w:val="28"/>
          <w:lang w:val="es-ES"/>
        </w:rPr>
        <w:t xml:space="preserve"> la imposición de cargas administrativas, burocrá</w:t>
      </w:r>
      <w:r w:rsidR="009A12AA" w:rsidRPr="00DA1726">
        <w:rPr>
          <w:rFonts w:ascii="Times New Roman" w:hAnsi="Times New Roman"/>
          <w:color w:val="000000"/>
          <w:sz w:val="28"/>
          <w:szCs w:val="28"/>
          <w:lang w:val="es-ES"/>
        </w:rPr>
        <w:t>ticas o interrupciones abruptas en la atención de los usuarios.</w:t>
      </w:r>
    </w:p>
    <w:p w:rsidR="0004078F" w:rsidRPr="00DA1726" w:rsidRDefault="0004078F" w:rsidP="00DA1726">
      <w:pPr>
        <w:pStyle w:val="Sinespaciado"/>
        <w:tabs>
          <w:tab w:val="left" w:pos="851"/>
        </w:tabs>
        <w:jc w:val="both"/>
        <w:rPr>
          <w:rFonts w:ascii="Times New Roman" w:hAnsi="Times New Roman"/>
          <w:color w:val="000000"/>
          <w:sz w:val="28"/>
          <w:szCs w:val="28"/>
          <w:lang w:val="es-ES"/>
        </w:rPr>
      </w:pPr>
    </w:p>
    <w:p w:rsidR="008A3F63" w:rsidRPr="00DA1726" w:rsidRDefault="002615C3"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 xml:space="preserve">iii) </w:t>
      </w:r>
      <w:r w:rsidR="009A12AA" w:rsidRPr="00DA1726">
        <w:rPr>
          <w:rFonts w:ascii="Times New Roman" w:hAnsi="Times New Roman"/>
          <w:color w:val="000000"/>
          <w:sz w:val="28"/>
          <w:szCs w:val="28"/>
          <w:lang w:val="es-ES"/>
        </w:rPr>
        <w:t>Para la Sala la</w:t>
      </w:r>
      <w:r w:rsidR="0091447F" w:rsidRPr="00DA1726">
        <w:rPr>
          <w:rFonts w:ascii="Times New Roman" w:hAnsi="Times New Roman"/>
          <w:color w:val="000000"/>
          <w:sz w:val="28"/>
          <w:szCs w:val="28"/>
          <w:lang w:val="es-ES"/>
        </w:rPr>
        <w:t xml:space="preserve"> clasificación por grupos </w:t>
      </w:r>
      <w:r w:rsidR="00987F07" w:rsidRPr="00DA1726">
        <w:rPr>
          <w:rFonts w:ascii="Times New Roman" w:hAnsi="Times New Roman"/>
          <w:color w:val="000000"/>
          <w:sz w:val="28"/>
          <w:szCs w:val="28"/>
          <w:lang w:val="es-ES"/>
        </w:rPr>
        <w:t>es</w:t>
      </w:r>
      <w:r w:rsidR="0091447F" w:rsidRPr="00DA1726">
        <w:rPr>
          <w:rFonts w:ascii="Times New Roman" w:hAnsi="Times New Roman"/>
          <w:color w:val="000000"/>
          <w:sz w:val="28"/>
          <w:szCs w:val="28"/>
          <w:lang w:val="es-ES"/>
        </w:rPr>
        <w:t xml:space="preserve"> aceptable, </w:t>
      </w:r>
      <w:r w:rsidR="009A12AA" w:rsidRPr="00DA1726">
        <w:rPr>
          <w:rFonts w:ascii="Times New Roman" w:hAnsi="Times New Roman"/>
          <w:color w:val="000000"/>
          <w:sz w:val="28"/>
          <w:szCs w:val="28"/>
          <w:lang w:val="es-ES"/>
        </w:rPr>
        <w:t xml:space="preserve">sin embargo, el esquema presentado por el Ministerio </w:t>
      </w:r>
      <w:r w:rsidR="00987F07" w:rsidRPr="00DA1726">
        <w:rPr>
          <w:rFonts w:ascii="Times New Roman" w:hAnsi="Times New Roman"/>
          <w:color w:val="000000"/>
          <w:sz w:val="28"/>
          <w:szCs w:val="28"/>
          <w:lang w:val="es-ES"/>
        </w:rPr>
        <w:t xml:space="preserve">no permite </w:t>
      </w:r>
      <w:r w:rsidR="0091447F" w:rsidRPr="00DA1726">
        <w:rPr>
          <w:rFonts w:ascii="Times New Roman" w:hAnsi="Times New Roman"/>
          <w:color w:val="000000"/>
          <w:sz w:val="28"/>
          <w:szCs w:val="28"/>
          <w:lang w:val="es-ES"/>
        </w:rPr>
        <w:t xml:space="preserve">determinar </w:t>
      </w:r>
      <w:r w:rsidR="008A3F63" w:rsidRPr="00DA1726">
        <w:rPr>
          <w:rFonts w:ascii="Times New Roman" w:hAnsi="Times New Roman"/>
          <w:color w:val="000000"/>
          <w:sz w:val="28"/>
          <w:szCs w:val="28"/>
          <w:lang w:val="es-ES"/>
        </w:rPr>
        <w:t>qué aseguradoras</w:t>
      </w:r>
      <w:r w:rsidR="0091447F" w:rsidRPr="00DA1726">
        <w:rPr>
          <w:rFonts w:ascii="Times New Roman" w:hAnsi="Times New Roman"/>
          <w:color w:val="000000"/>
          <w:sz w:val="28"/>
          <w:szCs w:val="28"/>
          <w:lang w:val="es-ES"/>
        </w:rPr>
        <w:t xml:space="preserve"> </w:t>
      </w:r>
      <w:r w:rsidR="008A3F63" w:rsidRPr="00DA1726">
        <w:rPr>
          <w:rFonts w:ascii="Times New Roman" w:hAnsi="Times New Roman"/>
          <w:color w:val="000000"/>
          <w:sz w:val="28"/>
          <w:szCs w:val="28"/>
          <w:lang w:val="es-ES"/>
        </w:rPr>
        <w:t>están</w:t>
      </w:r>
      <w:r w:rsidR="0091447F" w:rsidRPr="00DA1726">
        <w:rPr>
          <w:rFonts w:ascii="Times New Roman" w:hAnsi="Times New Roman"/>
          <w:color w:val="000000"/>
          <w:sz w:val="28"/>
          <w:szCs w:val="28"/>
          <w:lang w:val="es-ES"/>
        </w:rPr>
        <w:t xml:space="preserve"> en un rango crítico, así como aquellas que están en un margen de alarma, aceptabilidad y superioridad. </w:t>
      </w:r>
    </w:p>
    <w:p w:rsidR="008A3F63" w:rsidRPr="00DA1726" w:rsidRDefault="008A3F63" w:rsidP="00DA1726">
      <w:pPr>
        <w:pStyle w:val="Sinespaciado"/>
        <w:tabs>
          <w:tab w:val="left" w:pos="851"/>
        </w:tabs>
        <w:jc w:val="both"/>
        <w:rPr>
          <w:rFonts w:ascii="Times New Roman" w:hAnsi="Times New Roman"/>
          <w:color w:val="000000"/>
          <w:sz w:val="28"/>
          <w:szCs w:val="28"/>
          <w:lang w:val="es-ES"/>
        </w:rPr>
      </w:pPr>
    </w:p>
    <w:p w:rsidR="0091447F" w:rsidRPr="00DA1726" w:rsidRDefault="008A3F63"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 xml:space="preserve">iv) </w:t>
      </w:r>
      <w:r w:rsidR="00987F07" w:rsidRPr="00DA1726">
        <w:rPr>
          <w:rFonts w:ascii="Times New Roman" w:hAnsi="Times New Roman"/>
          <w:color w:val="000000"/>
          <w:sz w:val="28"/>
          <w:szCs w:val="28"/>
          <w:lang w:val="es-ES"/>
        </w:rPr>
        <w:t>E</w:t>
      </w:r>
      <w:r w:rsidR="0091447F" w:rsidRPr="00DA1726">
        <w:rPr>
          <w:rFonts w:ascii="Times New Roman" w:hAnsi="Times New Roman"/>
          <w:color w:val="000000"/>
          <w:sz w:val="28"/>
          <w:szCs w:val="28"/>
          <w:lang w:val="es-ES"/>
        </w:rPr>
        <w:t xml:space="preserve">s necesario que cada uno de los criterios de valoración establecidos por la Corte, permita su consulta </w:t>
      </w:r>
      <w:r w:rsidRPr="00DA1726">
        <w:rPr>
          <w:rFonts w:ascii="Times New Roman" w:hAnsi="Times New Roman"/>
          <w:color w:val="000000"/>
          <w:sz w:val="28"/>
          <w:szCs w:val="28"/>
          <w:lang w:val="es-ES"/>
        </w:rPr>
        <w:t xml:space="preserve">de manera </w:t>
      </w:r>
      <w:r w:rsidR="0091447F" w:rsidRPr="00DA1726">
        <w:rPr>
          <w:rFonts w:ascii="Times New Roman" w:hAnsi="Times New Roman"/>
          <w:color w:val="000000"/>
          <w:sz w:val="28"/>
          <w:szCs w:val="28"/>
          <w:lang w:val="es-ES"/>
        </w:rPr>
        <w:t>independient</w:t>
      </w:r>
      <w:r w:rsidR="00537177" w:rsidRPr="00DA1726">
        <w:rPr>
          <w:rFonts w:ascii="Times New Roman" w:hAnsi="Times New Roman"/>
          <w:color w:val="000000"/>
          <w:sz w:val="28"/>
          <w:szCs w:val="28"/>
          <w:lang w:val="es-ES"/>
        </w:rPr>
        <w:t>e, con una valoración numérica en cada caso.</w:t>
      </w:r>
    </w:p>
    <w:p w:rsidR="0091447F" w:rsidRPr="00DA1726" w:rsidRDefault="0091447F" w:rsidP="00DA1726">
      <w:pPr>
        <w:pStyle w:val="Sinespaciado"/>
        <w:tabs>
          <w:tab w:val="left" w:pos="851"/>
        </w:tabs>
        <w:jc w:val="both"/>
        <w:rPr>
          <w:rFonts w:ascii="Times New Roman" w:hAnsi="Times New Roman"/>
          <w:color w:val="000000"/>
          <w:sz w:val="28"/>
          <w:szCs w:val="28"/>
          <w:lang w:val="es-ES"/>
        </w:rPr>
      </w:pPr>
    </w:p>
    <w:p w:rsidR="00C1742A" w:rsidRPr="00DA1726" w:rsidRDefault="0091447F"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 xml:space="preserve">v) </w:t>
      </w:r>
      <w:r w:rsidR="001B66E4" w:rsidRPr="00DA1726">
        <w:rPr>
          <w:rFonts w:ascii="Times New Roman" w:hAnsi="Times New Roman"/>
          <w:color w:val="000000"/>
          <w:sz w:val="28"/>
          <w:szCs w:val="28"/>
          <w:lang w:val="es-ES"/>
        </w:rPr>
        <w:t>L</w:t>
      </w:r>
      <w:r w:rsidR="002615C3" w:rsidRPr="00DA1726">
        <w:rPr>
          <w:rFonts w:ascii="Times New Roman" w:hAnsi="Times New Roman"/>
          <w:color w:val="000000"/>
          <w:sz w:val="28"/>
          <w:szCs w:val="28"/>
          <w:lang w:val="es-ES"/>
        </w:rPr>
        <w:t>a Corte considera indispensable que los</w:t>
      </w:r>
      <w:r w:rsidR="005D7218" w:rsidRPr="00DA1726">
        <w:rPr>
          <w:rFonts w:ascii="Times New Roman" w:hAnsi="Times New Roman"/>
          <w:color w:val="000000"/>
          <w:sz w:val="28"/>
          <w:szCs w:val="28"/>
          <w:lang w:val="es-ES"/>
        </w:rPr>
        <w:t xml:space="preserve"> criterios </w:t>
      </w:r>
      <w:r w:rsidR="002615C3" w:rsidRPr="00DA1726">
        <w:rPr>
          <w:rFonts w:ascii="Times New Roman" w:hAnsi="Times New Roman"/>
          <w:color w:val="000000"/>
          <w:sz w:val="28"/>
          <w:szCs w:val="28"/>
          <w:lang w:val="es-ES"/>
        </w:rPr>
        <w:t>de valoración sean</w:t>
      </w:r>
      <w:r w:rsidR="005D7218" w:rsidRPr="00DA1726">
        <w:rPr>
          <w:rFonts w:ascii="Times New Roman" w:hAnsi="Times New Roman"/>
          <w:color w:val="000000"/>
          <w:sz w:val="28"/>
          <w:szCs w:val="28"/>
          <w:lang w:val="es-ES"/>
        </w:rPr>
        <w:t xml:space="preserve"> útil</w:t>
      </w:r>
      <w:r w:rsidR="002615C3" w:rsidRPr="00DA1726">
        <w:rPr>
          <w:rFonts w:ascii="Times New Roman" w:hAnsi="Times New Roman"/>
          <w:color w:val="000000"/>
          <w:sz w:val="28"/>
          <w:szCs w:val="28"/>
          <w:lang w:val="es-ES"/>
        </w:rPr>
        <w:t>es</w:t>
      </w:r>
      <w:r w:rsidR="005D7218" w:rsidRPr="00DA1726">
        <w:rPr>
          <w:rFonts w:ascii="Times New Roman" w:hAnsi="Times New Roman"/>
          <w:color w:val="000000"/>
          <w:sz w:val="28"/>
          <w:szCs w:val="28"/>
          <w:lang w:val="es-ES"/>
        </w:rPr>
        <w:t xml:space="preserve"> y transparente</w:t>
      </w:r>
      <w:r w:rsidR="002615C3" w:rsidRPr="00DA1726">
        <w:rPr>
          <w:rFonts w:ascii="Times New Roman" w:hAnsi="Times New Roman"/>
          <w:color w:val="000000"/>
          <w:sz w:val="28"/>
          <w:szCs w:val="28"/>
          <w:lang w:val="es-ES"/>
        </w:rPr>
        <w:t>s</w:t>
      </w:r>
      <w:r w:rsidR="00C1742A" w:rsidRPr="00DA1726">
        <w:rPr>
          <w:rFonts w:ascii="Times New Roman" w:hAnsi="Times New Roman"/>
          <w:color w:val="000000"/>
          <w:sz w:val="28"/>
          <w:szCs w:val="28"/>
          <w:lang w:val="es-ES"/>
        </w:rPr>
        <w:t xml:space="preserve">, </w:t>
      </w:r>
      <w:r w:rsidR="002615C3" w:rsidRPr="00DA1726">
        <w:rPr>
          <w:rFonts w:ascii="Times New Roman" w:hAnsi="Times New Roman"/>
          <w:color w:val="000000"/>
          <w:sz w:val="28"/>
          <w:szCs w:val="28"/>
          <w:lang w:val="es-ES"/>
        </w:rPr>
        <w:t xml:space="preserve">por lo </w:t>
      </w:r>
      <w:r w:rsidR="00CA2AE5" w:rsidRPr="00DA1726">
        <w:rPr>
          <w:rFonts w:ascii="Times New Roman" w:hAnsi="Times New Roman"/>
          <w:color w:val="000000"/>
          <w:sz w:val="28"/>
          <w:szCs w:val="28"/>
          <w:lang w:val="es-ES"/>
        </w:rPr>
        <w:t xml:space="preserve">que </w:t>
      </w:r>
      <w:r w:rsidR="00C93F04" w:rsidRPr="00DA1726">
        <w:rPr>
          <w:rFonts w:ascii="Times New Roman" w:hAnsi="Times New Roman"/>
          <w:color w:val="000000"/>
          <w:sz w:val="28"/>
          <w:szCs w:val="28"/>
          <w:lang w:val="es-ES"/>
        </w:rPr>
        <w:t>la</w:t>
      </w:r>
      <w:r w:rsidR="002615C3" w:rsidRPr="00DA1726">
        <w:rPr>
          <w:rFonts w:ascii="Times New Roman" w:hAnsi="Times New Roman"/>
          <w:color w:val="000000"/>
          <w:sz w:val="28"/>
          <w:szCs w:val="28"/>
          <w:lang w:val="es-ES"/>
        </w:rPr>
        <w:t xml:space="preserve"> clasificación </w:t>
      </w:r>
      <w:r w:rsidR="00CA2AE5" w:rsidRPr="00DA1726">
        <w:rPr>
          <w:rFonts w:ascii="Times New Roman" w:hAnsi="Times New Roman"/>
          <w:color w:val="000000"/>
          <w:sz w:val="28"/>
          <w:szCs w:val="28"/>
          <w:lang w:val="es-ES"/>
        </w:rPr>
        <w:t xml:space="preserve">debe </w:t>
      </w:r>
      <w:r w:rsidR="002615C3" w:rsidRPr="00DA1726">
        <w:rPr>
          <w:rFonts w:ascii="Times New Roman" w:hAnsi="Times New Roman"/>
          <w:color w:val="000000"/>
          <w:sz w:val="28"/>
          <w:szCs w:val="28"/>
          <w:lang w:val="es-ES"/>
        </w:rPr>
        <w:t>est</w:t>
      </w:r>
      <w:r w:rsidR="00CA2AE5" w:rsidRPr="00DA1726">
        <w:rPr>
          <w:rFonts w:ascii="Times New Roman" w:hAnsi="Times New Roman"/>
          <w:color w:val="000000"/>
          <w:sz w:val="28"/>
          <w:szCs w:val="28"/>
          <w:lang w:val="es-ES"/>
        </w:rPr>
        <w:t>ar</w:t>
      </w:r>
      <w:r w:rsidR="00C1742A" w:rsidRPr="00DA1726">
        <w:rPr>
          <w:rFonts w:ascii="Times New Roman" w:hAnsi="Times New Roman"/>
          <w:color w:val="000000"/>
          <w:sz w:val="28"/>
          <w:szCs w:val="28"/>
          <w:lang w:val="es-ES"/>
        </w:rPr>
        <w:t xml:space="preserve"> dest</w:t>
      </w:r>
      <w:r w:rsidR="00C93F04" w:rsidRPr="00DA1726">
        <w:rPr>
          <w:rFonts w:ascii="Times New Roman" w:hAnsi="Times New Roman"/>
          <w:color w:val="000000"/>
          <w:sz w:val="28"/>
          <w:szCs w:val="28"/>
          <w:lang w:val="es-ES"/>
        </w:rPr>
        <w:t>inada</w:t>
      </w:r>
      <w:r w:rsidR="00CA2AE5" w:rsidRPr="00DA1726">
        <w:rPr>
          <w:rFonts w:ascii="Times New Roman" w:hAnsi="Times New Roman"/>
          <w:color w:val="000000"/>
          <w:sz w:val="28"/>
          <w:szCs w:val="28"/>
          <w:lang w:val="es-ES"/>
        </w:rPr>
        <w:t xml:space="preserve"> a los usuarios e incluir</w:t>
      </w:r>
      <w:r w:rsidR="002615C3" w:rsidRPr="00DA1726">
        <w:rPr>
          <w:rFonts w:ascii="Times New Roman" w:hAnsi="Times New Roman"/>
          <w:color w:val="000000"/>
          <w:sz w:val="28"/>
          <w:szCs w:val="28"/>
          <w:lang w:val="es-ES"/>
        </w:rPr>
        <w:t xml:space="preserve"> </w:t>
      </w:r>
      <w:r w:rsidR="00C1742A" w:rsidRPr="00DA1726">
        <w:rPr>
          <w:rFonts w:ascii="Times New Roman" w:hAnsi="Times New Roman"/>
          <w:color w:val="000000"/>
          <w:sz w:val="28"/>
          <w:szCs w:val="28"/>
          <w:lang w:val="es-ES"/>
        </w:rPr>
        <w:t>una síntesis de los parámetros</w:t>
      </w:r>
      <w:r w:rsidR="00C93F04" w:rsidRPr="00DA1726">
        <w:rPr>
          <w:rFonts w:ascii="Times New Roman" w:hAnsi="Times New Roman"/>
          <w:color w:val="000000"/>
          <w:sz w:val="28"/>
          <w:szCs w:val="28"/>
          <w:lang w:val="es-ES"/>
        </w:rPr>
        <w:t xml:space="preserve"> de evaluación, </w:t>
      </w:r>
      <w:r w:rsidR="00CA2AE5" w:rsidRPr="00DA1726">
        <w:rPr>
          <w:rFonts w:ascii="Times New Roman" w:hAnsi="Times New Roman"/>
          <w:color w:val="000000"/>
          <w:sz w:val="28"/>
          <w:szCs w:val="28"/>
          <w:lang w:val="es-ES"/>
        </w:rPr>
        <w:t>además permitir</w:t>
      </w:r>
      <w:r w:rsidR="00C93F04" w:rsidRPr="00DA1726">
        <w:rPr>
          <w:rFonts w:ascii="Times New Roman" w:hAnsi="Times New Roman"/>
          <w:color w:val="000000"/>
          <w:sz w:val="28"/>
          <w:szCs w:val="28"/>
          <w:lang w:val="es-ES"/>
        </w:rPr>
        <w:t xml:space="preserve"> identificar a qué </w:t>
      </w:r>
      <w:r w:rsidR="00CA2AE5" w:rsidRPr="00DA1726">
        <w:rPr>
          <w:rFonts w:ascii="Times New Roman" w:hAnsi="Times New Roman"/>
          <w:color w:val="000000"/>
          <w:sz w:val="28"/>
          <w:szCs w:val="28"/>
          <w:lang w:val="es-ES"/>
        </w:rPr>
        <w:t>rango</w:t>
      </w:r>
      <w:r w:rsidR="00C93F04" w:rsidRPr="00DA1726">
        <w:rPr>
          <w:rFonts w:ascii="Times New Roman" w:hAnsi="Times New Roman"/>
          <w:color w:val="000000"/>
          <w:sz w:val="28"/>
          <w:szCs w:val="28"/>
          <w:lang w:val="es-ES"/>
        </w:rPr>
        <w:t xml:space="preserve"> pertenece</w:t>
      </w:r>
      <w:r w:rsidR="00CA2AE5" w:rsidRPr="00DA1726">
        <w:rPr>
          <w:rFonts w:ascii="Times New Roman" w:hAnsi="Times New Roman"/>
          <w:color w:val="000000"/>
          <w:sz w:val="28"/>
          <w:szCs w:val="28"/>
          <w:lang w:val="es-ES"/>
        </w:rPr>
        <w:t xml:space="preserve"> (crítico, alarma, aceptabilidad o superioridad) y sus implicaciones</w:t>
      </w:r>
      <w:r w:rsidR="00C1742A" w:rsidRPr="00DA1726">
        <w:rPr>
          <w:rFonts w:ascii="Times New Roman" w:hAnsi="Times New Roman"/>
          <w:color w:val="000000"/>
          <w:sz w:val="28"/>
          <w:szCs w:val="28"/>
          <w:lang w:val="es-ES"/>
        </w:rPr>
        <w:t xml:space="preserve">. </w:t>
      </w:r>
      <w:r w:rsidR="00435107" w:rsidRPr="00DA1726">
        <w:rPr>
          <w:rFonts w:ascii="Times New Roman" w:hAnsi="Times New Roman"/>
          <w:color w:val="000000"/>
          <w:sz w:val="28"/>
          <w:szCs w:val="28"/>
          <w:lang w:val="es-ES"/>
        </w:rPr>
        <w:t>Lo anterior, teniendo en cuenta</w:t>
      </w:r>
      <w:r w:rsidR="00C1742A" w:rsidRPr="00DA1726">
        <w:rPr>
          <w:rFonts w:ascii="Times New Roman" w:hAnsi="Times New Roman"/>
          <w:color w:val="000000"/>
          <w:sz w:val="28"/>
          <w:szCs w:val="28"/>
          <w:lang w:val="es-ES"/>
        </w:rPr>
        <w:t xml:space="preserve"> que uno de los princip</w:t>
      </w:r>
      <w:r w:rsidR="00537177" w:rsidRPr="00DA1726">
        <w:rPr>
          <w:rFonts w:ascii="Times New Roman" w:hAnsi="Times New Roman"/>
          <w:color w:val="000000"/>
          <w:sz w:val="28"/>
          <w:szCs w:val="28"/>
          <w:lang w:val="es-ES"/>
        </w:rPr>
        <w:t xml:space="preserve">ales </w:t>
      </w:r>
      <w:r w:rsidR="00435107" w:rsidRPr="00DA1726">
        <w:rPr>
          <w:rFonts w:ascii="Times New Roman" w:hAnsi="Times New Roman"/>
          <w:color w:val="000000"/>
          <w:sz w:val="28"/>
          <w:szCs w:val="28"/>
          <w:lang w:val="es-ES"/>
        </w:rPr>
        <w:t xml:space="preserve">objetivos </w:t>
      </w:r>
      <w:r w:rsidR="00537177" w:rsidRPr="00DA1726">
        <w:rPr>
          <w:rFonts w:ascii="Times New Roman" w:hAnsi="Times New Roman"/>
          <w:color w:val="000000"/>
          <w:sz w:val="28"/>
          <w:szCs w:val="28"/>
          <w:lang w:val="es-ES"/>
        </w:rPr>
        <w:t xml:space="preserve">que se </w:t>
      </w:r>
      <w:r w:rsidR="008A0E7E" w:rsidRPr="00DA1726">
        <w:rPr>
          <w:rFonts w:ascii="Times New Roman" w:hAnsi="Times New Roman"/>
          <w:color w:val="000000"/>
          <w:sz w:val="28"/>
          <w:szCs w:val="28"/>
          <w:lang w:val="es-ES"/>
        </w:rPr>
        <w:t>evalúan</w:t>
      </w:r>
      <w:r w:rsidR="00C1742A" w:rsidRPr="00DA1726">
        <w:rPr>
          <w:rFonts w:ascii="Times New Roman" w:hAnsi="Times New Roman"/>
          <w:color w:val="000000"/>
          <w:sz w:val="28"/>
          <w:szCs w:val="28"/>
          <w:lang w:val="es-ES"/>
        </w:rPr>
        <w:t xml:space="preserve"> dentro del cumplimiento de la orden 20 es la utilidad que la ordenación preste a los usuarios del sistema, por lo que su publicación debe ser ante todo sencilla, didáctica y/o ilustrativa. </w:t>
      </w:r>
    </w:p>
    <w:p w:rsidR="00C1742A" w:rsidRPr="00DA1726" w:rsidRDefault="00C1742A" w:rsidP="00DA1726">
      <w:pPr>
        <w:pStyle w:val="Sinespaciado"/>
        <w:tabs>
          <w:tab w:val="left" w:pos="851"/>
        </w:tabs>
        <w:jc w:val="both"/>
        <w:rPr>
          <w:rFonts w:ascii="Times New Roman" w:hAnsi="Times New Roman"/>
          <w:color w:val="000000"/>
          <w:sz w:val="28"/>
          <w:szCs w:val="28"/>
          <w:lang w:val="es-ES"/>
        </w:rPr>
      </w:pPr>
    </w:p>
    <w:p w:rsidR="004D3079" w:rsidRPr="00DA1726" w:rsidRDefault="009A12AA" w:rsidP="00DA1726">
      <w:pPr>
        <w:tabs>
          <w:tab w:val="left" w:pos="284"/>
          <w:tab w:val="left" w:pos="567"/>
        </w:tabs>
        <w:suppressAutoHyphens/>
        <w:jc w:val="both"/>
        <w:rPr>
          <w:bCs/>
          <w:color w:val="000000"/>
          <w:sz w:val="28"/>
          <w:szCs w:val="28"/>
        </w:rPr>
      </w:pPr>
      <w:r w:rsidRPr="00DA1726">
        <w:rPr>
          <w:color w:val="000000"/>
          <w:spacing w:val="-3"/>
          <w:sz w:val="28"/>
          <w:szCs w:val="28"/>
        </w:rPr>
        <w:t xml:space="preserve">Así, para esta Corporación es importante dejar claro que </w:t>
      </w:r>
      <w:r w:rsidR="00C1742A" w:rsidRPr="00DA1726">
        <w:rPr>
          <w:color w:val="000000"/>
          <w:spacing w:val="-3"/>
          <w:sz w:val="28"/>
          <w:szCs w:val="28"/>
        </w:rPr>
        <w:t xml:space="preserve">no se trata solamente de hacer un </w:t>
      </w:r>
      <w:r w:rsidR="008D66F1" w:rsidRPr="00DA1726">
        <w:rPr>
          <w:i/>
          <w:color w:val="000000"/>
          <w:spacing w:val="-3"/>
          <w:sz w:val="28"/>
          <w:szCs w:val="28"/>
        </w:rPr>
        <w:t>ranking</w:t>
      </w:r>
      <w:r w:rsidR="00435107" w:rsidRPr="00DA1726">
        <w:rPr>
          <w:color w:val="000000"/>
          <w:spacing w:val="-3"/>
          <w:sz w:val="28"/>
          <w:szCs w:val="28"/>
        </w:rPr>
        <w:t xml:space="preserve"> o</w:t>
      </w:r>
      <w:r w:rsidR="00C1742A" w:rsidRPr="00DA1726">
        <w:rPr>
          <w:color w:val="000000"/>
          <w:spacing w:val="-3"/>
          <w:sz w:val="28"/>
          <w:szCs w:val="28"/>
        </w:rPr>
        <w:t xml:space="preserve"> presentar un reporte, </w:t>
      </w:r>
      <w:r w:rsidR="00435107" w:rsidRPr="00DA1726">
        <w:rPr>
          <w:color w:val="000000"/>
          <w:spacing w:val="-3"/>
          <w:sz w:val="28"/>
          <w:szCs w:val="28"/>
        </w:rPr>
        <w:t xml:space="preserve">el fin último de lo dispuesto </w:t>
      </w:r>
      <w:r w:rsidRPr="00DA1726">
        <w:rPr>
          <w:color w:val="000000"/>
          <w:spacing w:val="-3"/>
          <w:sz w:val="28"/>
          <w:szCs w:val="28"/>
        </w:rPr>
        <w:t>en la sentencia estructural</w:t>
      </w:r>
      <w:r w:rsidR="00435107" w:rsidRPr="00DA1726">
        <w:rPr>
          <w:color w:val="000000"/>
          <w:spacing w:val="-3"/>
          <w:sz w:val="28"/>
          <w:szCs w:val="28"/>
        </w:rPr>
        <w:t xml:space="preserve"> es que los usuarios cuenten con información</w:t>
      </w:r>
      <w:r w:rsidR="00537177" w:rsidRPr="00DA1726">
        <w:rPr>
          <w:color w:val="000000"/>
          <w:spacing w:val="-3"/>
          <w:sz w:val="28"/>
          <w:szCs w:val="28"/>
        </w:rPr>
        <w:t>: (i)</w:t>
      </w:r>
      <w:r w:rsidR="00C1742A" w:rsidRPr="00DA1726">
        <w:rPr>
          <w:color w:val="000000"/>
          <w:spacing w:val="-3"/>
          <w:sz w:val="28"/>
          <w:szCs w:val="28"/>
        </w:rPr>
        <w:t xml:space="preserve"> </w:t>
      </w:r>
      <w:r w:rsidR="00C1742A" w:rsidRPr="00DA1726">
        <w:rPr>
          <w:bCs/>
          <w:color w:val="000000"/>
          <w:sz w:val="28"/>
          <w:szCs w:val="28"/>
        </w:rPr>
        <w:t>clara</w:t>
      </w:r>
      <w:r w:rsidR="00537177" w:rsidRPr="00DA1726">
        <w:rPr>
          <w:bCs/>
          <w:color w:val="000000"/>
          <w:sz w:val="28"/>
          <w:szCs w:val="28"/>
        </w:rPr>
        <w:t>, esto implica que sea fácilmente comprensible por los usuarios del sistema de salud, independiente a su grado de formación educativa o del régimen (contributivo o subsidiado) al que pertenezcan; (ii)</w:t>
      </w:r>
      <w:r w:rsidR="00C1742A" w:rsidRPr="00DA1726">
        <w:rPr>
          <w:bCs/>
          <w:color w:val="000000"/>
          <w:sz w:val="28"/>
          <w:szCs w:val="28"/>
        </w:rPr>
        <w:t xml:space="preserve"> completa</w:t>
      </w:r>
      <w:r w:rsidR="00537177" w:rsidRPr="00DA1726">
        <w:rPr>
          <w:bCs/>
          <w:color w:val="000000"/>
          <w:sz w:val="28"/>
          <w:szCs w:val="28"/>
        </w:rPr>
        <w:t>, es decir que incluya todos los elementos que debe tener en cuenta una persona para ejercer su derecho a la libre escogencia, de forma tal que pueda elegir trasladarse a una entidad mejor o decidir, con suficiente información, no afiliarse a una que incurra en prácticas viol</w:t>
      </w:r>
      <w:r w:rsidR="004D3079" w:rsidRPr="00DA1726">
        <w:rPr>
          <w:bCs/>
          <w:color w:val="000000"/>
          <w:sz w:val="28"/>
          <w:szCs w:val="28"/>
        </w:rPr>
        <w:t xml:space="preserve">atorias del derecho a la salud; (iii) </w:t>
      </w:r>
      <w:r w:rsidR="00C1742A" w:rsidRPr="00DA1726">
        <w:rPr>
          <w:bCs/>
          <w:color w:val="000000"/>
          <w:sz w:val="28"/>
          <w:szCs w:val="28"/>
        </w:rPr>
        <w:t>actual</w:t>
      </w:r>
      <w:r w:rsidR="004D3079" w:rsidRPr="00DA1726">
        <w:rPr>
          <w:bCs/>
          <w:color w:val="000000"/>
          <w:sz w:val="28"/>
          <w:szCs w:val="28"/>
        </w:rPr>
        <w:t xml:space="preserve">, esto es, con la información hasta la fecha de corte del </w:t>
      </w:r>
      <w:r w:rsidR="004D3079" w:rsidRPr="00DA1726">
        <w:rPr>
          <w:bCs/>
          <w:i/>
          <w:color w:val="000000"/>
          <w:sz w:val="28"/>
          <w:szCs w:val="28"/>
        </w:rPr>
        <w:t>ranking</w:t>
      </w:r>
      <w:r w:rsidR="004D3079" w:rsidRPr="00DA1726">
        <w:rPr>
          <w:bCs/>
          <w:color w:val="000000"/>
          <w:sz w:val="28"/>
          <w:szCs w:val="28"/>
        </w:rPr>
        <w:t>; y (iv) pública, lo que implica que el acceso a la información sea f</w:t>
      </w:r>
      <w:r w:rsidR="00585B1E" w:rsidRPr="00DA1726">
        <w:rPr>
          <w:bCs/>
          <w:color w:val="000000"/>
          <w:sz w:val="28"/>
          <w:szCs w:val="28"/>
        </w:rPr>
        <w:t xml:space="preserve">ácil y suficiente, de manera que </w:t>
      </w:r>
      <w:r w:rsidR="004D3079" w:rsidRPr="00DA1726">
        <w:rPr>
          <w:bCs/>
          <w:color w:val="000000"/>
          <w:sz w:val="28"/>
          <w:szCs w:val="28"/>
        </w:rPr>
        <w:t>todos los habitantes del territorio y, principalment</w:t>
      </w:r>
      <w:r w:rsidR="00585B1E" w:rsidRPr="00DA1726">
        <w:rPr>
          <w:bCs/>
          <w:color w:val="000000"/>
          <w:sz w:val="28"/>
          <w:szCs w:val="28"/>
        </w:rPr>
        <w:t>e, la población más vulnerable tenga</w:t>
      </w:r>
      <w:r w:rsidR="004D3079" w:rsidRPr="00DA1726">
        <w:rPr>
          <w:bCs/>
          <w:color w:val="000000"/>
          <w:sz w:val="28"/>
          <w:szCs w:val="28"/>
        </w:rPr>
        <w:t xml:space="preserve"> acceso a </w:t>
      </w:r>
      <w:r w:rsidR="00585B1E" w:rsidRPr="00DA1726">
        <w:rPr>
          <w:bCs/>
          <w:color w:val="000000"/>
          <w:sz w:val="28"/>
          <w:szCs w:val="28"/>
        </w:rPr>
        <w:t>ella</w:t>
      </w:r>
      <w:r w:rsidR="00C93F04" w:rsidRPr="00DA1726">
        <w:rPr>
          <w:bCs/>
          <w:color w:val="000000"/>
          <w:sz w:val="28"/>
          <w:szCs w:val="28"/>
          <w:vertAlign w:val="superscript"/>
        </w:rPr>
        <w:footnoteReference w:id="144"/>
      </w:r>
      <w:r w:rsidR="00435107" w:rsidRPr="00DA1726">
        <w:rPr>
          <w:bCs/>
          <w:color w:val="000000"/>
          <w:sz w:val="28"/>
          <w:szCs w:val="28"/>
        </w:rPr>
        <w:t>.</w:t>
      </w:r>
    </w:p>
    <w:p w:rsidR="004D3079" w:rsidRPr="00DA1726" w:rsidRDefault="004D3079" w:rsidP="00DA1726">
      <w:pPr>
        <w:tabs>
          <w:tab w:val="left" w:pos="284"/>
          <w:tab w:val="left" w:pos="567"/>
        </w:tabs>
        <w:suppressAutoHyphens/>
        <w:jc w:val="both"/>
        <w:rPr>
          <w:bCs/>
          <w:color w:val="000000"/>
          <w:sz w:val="28"/>
          <w:szCs w:val="28"/>
        </w:rPr>
      </w:pPr>
    </w:p>
    <w:p w:rsidR="00777A88" w:rsidRPr="00DA1726" w:rsidRDefault="0091447F" w:rsidP="00DA1726">
      <w:pPr>
        <w:tabs>
          <w:tab w:val="left" w:pos="284"/>
          <w:tab w:val="left" w:pos="567"/>
        </w:tabs>
        <w:suppressAutoHyphens/>
        <w:jc w:val="both"/>
        <w:rPr>
          <w:color w:val="000000"/>
          <w:spacing w:val="-3"/>
          <w:sz w:val="28"/>
          <w:szCs w:val="28"/>
        </w:rPr>
      </w:pPr>
      <w:r w:rsidRPr="00DA1726">
        <w:rPr>
          <w:color w:val="000000"/>
          <w:spacing w:val="-3"/>
          <w:sz w:val="28"/>
          <w:szCs w:val="28"/>
        </w:rPr>
        <w:t xml:space="preserve">v) </w:t>
      </w:r>
      <w:r w:rsidR="001B66E4" w:rsidRPr="00DA1726">
        <w:rPr>
          <w:color w:val="000000"/>
          <w:spacing w:val="-3"/>
          <w:sz w:val="28"/>
          <w:szCs w:val="28"/>
        </w:rPr>
        <w:t>Respecto a la publicidad de la clasificación de entidades promotoras, u</w:t>
      </w:r>
      <w:r w:rsidR="00F400C8" w:rsidRPr="00DA1726">
        <w:rPr>
          <w:color w:val="000000"/>
          <w:spacing w:val="-3"/>
          <w:sz w:val="28"/>
          <w:szCs w:val="28"/>
        </w:rPr>
        <w:t xml:space="preserve">na vez revisado el portal de </w:t>
      </w:r>
      <w:r w:rsidR="00F400C8" w:rsidRPr="00DA1726">
        <w:rPr>
          <w:i/>
          <w:color w:val="000000"/>
          <w:spacing w:val="-3"/>
          <w:sz w:val="28"/>
          <w:szCs w:val="28"/>
        </w:rPr>
        <w:t>observatorio de calidad de la atención en salud</w:t>
      </w:r>
      <w:r w:rsidR="00585B1E" w:rsidRPr="00DA1726">
        <w:rPr>
          <w:color w:val="000000"/>
          <w:spacing w:val="-3"/>
          <w:sz w:val="28"/>
          <w:szCs w:val="28"/>
        </w:rPr>
        <w:t xml:space="preserve">, que según el Ministerio es la herramienta virtual para consulta del </w:t>
      </w:r>
      <w:r w:rsidR="00585B1E" w:rsidRPr="00DA1726">
        <w:rPr>
          <w:i/>
          <w:color w:val="000000"/>
          <w:spacing w:val="-3"/>
          <w:sz w:val="28"/>
          <w:szCs w:val="28"/>
        </w:rPr>
        <w:t>ranking,</w:t>
      </w:r>
      <w:r w:rsidR="00F400C8" w:rsidRPr="00DA1726">
        <w:rPr>
          <w:color w:val="000000"/>
          <w:spacing w:val="-3"/>
          <w:sz w:val="28"/>
          <w:szCs w:val="28"/>
        </w:rPr>
        <w:t xml:space="preserve"> </w:t>
      </w:r>
      <w:r w:rsidR="00FF52F9" w:rsidRPr="00DA1726">
        <w:rPr>
          <w:color w:val="000000"/>
          <w:spacing w:val="-3"/>
          <w:sz w:val="28"/>
          <w:szCs w:val="28"/>
        </w:rPr>
        <w:t>la Corte Constitucional no encuentra</w:t>
      </w:r>
      <w:r w:rsidR="00F400C8" w:rsidRPr="00DA1726">
        <w:rPr>
          <w:color w:val="000000"/>
          <w:spacing w:val="-3"/>
          <w:sz w:val="28"/>
          <w:szCs w:val="28"/>
        </w:rPr>
        <w:t xml:space="preserve"> un mecanismo de consulta que permita a los usuarios identificar las </w:t>
      </w:r>
      <w:r w:rsidR="00EA4FAC" w:rsidRPr="00DA1726">
        <w:rPr>
          <w:color w:val="000000"/>
          <w:spacing w:val="-3"/>
          <w:sz w:val="28"/>
          <w:szCs w:val="28"/>
        </w:rPr>
        <w:t>EPS</w:t>
      </w:r>
      <w:r w:rsidR="00F400C8" w:rsidRPr="00DA1726">
        <w:rPr>
          <w:color w:val="000000"/>
          <w:spacing w:val="-3"/>
          <w:sz w:val="28"/>
          <w:szCs w:val="28"/>
        </w:rPr>
        <w:t xml:space="preserve"> que con mayor frecuencia niegan el acceso al sistema de salud, </w:t>
      </w:r>
      <w:r w:rsidR="00EA344B" w:rsidRPr="00DA1726">
        <w:rPr>
          <w:color w:val="000000"/>
          <w:spacing w:val="-3"/>
          <w:sz w:val="28"/>
          <w:szCs w:val="28"/>
        </w:rPr>
        <w:t xml:space="preserve">toda vez que allí reposa información alusiva a una </w:t>
      </w:r>
      <w:r w:rsidR="001B66E4" w:rsidRPr="00DA1726">
        <w:rPr>
          <w:i/>
          <w:color w:val="000000"/>
          <w:spacing w:val="-3"/>
          <w:sz w:val="28"/>
          <w:szCs w:val="28"/>
        </w:rPr>
        <w:t>“</w:t>
      </w:r>
      <w:r w:rsidR="00EA344B" w:rsidRPr="00DA1726">
        <w:rPr>
          <w:i/>
          <w:color w:val="000000"/>
          <w:spacing w:val="-3"/>
          <w:sz w:val="28"/>
          <w:szCs w:val="28"/>
        </w:rPr>
        <w:t>evaluación</w:t>
      </w:r>
      <w:r w:rsidR="00AF7944" w:rsidRPr="00DA1726">
        <w:rPr>
          <w:i/>
          <w:color w:val="000000"/>
          <w:spacing w:val="-3"/>
          <w:sz w:val="28"/>
          <w:szCs w:val="28"/>
        </w:rPr>
        <w:t xml:space="preserve"> de desempeño</w:t>
      </w:r>
      <w:r w:rsidR="001B66E4" w:rsidRPr="00DA1726">
        <w:rPr>
          <w:i/>
          <w:color w:val="000000"/>
          <w:spacing w:val="-3"/>
          <w:sz w:val="28"/>
          <w:szCs w:val="28"/>
        </w:rPr>
        <w:t>”</w:t>
      </w:r>
      <w:r w:rsidR="00AF7944" w:rsidRPr="00DA1726">
        <w:rPr>
          <w:color w:val="000000"/>
          <w:spacing w:val="-3"/>
          <w:sz w:val="28"/>
          <w:szCs w:val="28"/>
        </w:rPr>
        <w:t xml:space="preserve"> referentes a los años 2013, 2014, 2015 y 2016</w:t>
      </w:r>
      <w:r w:rsidR="00401BCE" w:rsidRPr="00DA1726">
        <w:rPr>
          <w:color w:val="000000"/>
          <w:spacing w:val="-3"/>
          <w:sz w:val="28"/>
          <w:szCs w:val="28"/>
          <w:vertAlign w:val="superscript"/>
        </w:rPr>
        <w:footnoteReference w:id="145"/>
      </w:r>
      <w:r w:rsidR="00AF7944" w:rsidRPr="00DA1726">
        <w:rPr>
          <w:color w:val="000000"/>
          <w:spacing w:val="-3"/>
          <w:sz w:val="28"/>
          <w:szCs w:val="28"/>
        </w:rPr>
        <w:t>.</w:t>
      </w:r>
      <w:r w:rsidR="009A12AA" w:rsidRPr="00DA1726">
        <w:rPr>
          <w:color w:val="000000"/>
          <w:spacing w:val="-3"/>
          <w:sz w:val="28"/>
          <w:szCs w:val="28"/>
        </w:rPr>
        <w:t xml:space="preserve"> Sobre el particular se hacen las siguientes precisiones:</w:t>
      </w:r>
    </w:p>
    <w:p w:rsidR="00777A88" w:rsidRPr="00DA1726" w:rsidRDefault="00777A88" w:rsidP="00DA1726">
      <w:pPr>
        <w:tabs>
          <w:tab w:val="left" w:pos="284"/>
          <w:tab w:val="left" w:pos="567"/>
        </w:tabs>
        <w:suppressAutoHyphens/>
        <w:jc w:val="both"/>
        <w:rPr>
          <w:color w:val="000000"/>
          <w:spacing w:val="-3"/>
          <w:sz w:val="28"/>
          <w:szCs w:val="28"/>
        </w:rPr>
      </w:pPr>
    </w:p>
    <w:p w:rsidR="00777A88" w:rsidRPr="00DA1726" w:rsidRDefault="00777A88" w:rsidP="00DA1726">
      <w:pPr>
        <w:pStyle w:val="Prrafodelista"/>
        <w:numPr>
          <w:ilvl w:val="0"/>
          <w:numId w:val="44"/>
        </w:numPr>
        <w:tabs>
          <w:tab w:val="left" w:pos="284"/>
          <w:tab w:val="left" w:pos="567"/>
        </w:tabs>
        <w:suppressAutoHyphens/>
        <w:ind w:left="567"/>
        <w:jc w:val="both"/>
        <w:rPr>
          <w:sz w:val="28"/>
          <w:szCs w:val="28"/>
        </w:rPr>
      </w:pPr>
      <w:r w:rsidRPr="00DA1726">
        <w:rPr>
          <w:color w:val="000000"/>
          <w:spacing w:val="-3"/>
          <w:sz w:val="28"/>
          <w:szCs w:val="28"/>
        </w:rPr>
        <w:t xml:space="preserve">Para el año 2013 se evaluaron </w:t>
      </w:r>
      <w:r w:rsidRPr="00DA1726">
        <w:rPr>
          <w:sz w:val="28"/>
          <w:szCs w:val="28"/>
        </w:rPr>
        <w:t>tres dimensiones</w:t>
      </w:r>
      <w:r w:rsidR="009A12AA" w:rsidRPr="00DA1726">
        <w:rPr>
          <w:sz w:val="28"/>
          <w:szCs w:val="28"/>
        </w:rPr>
        <w:t xml:space="preserve"> de valoración</w:t>
      </w:r>
      <w:r w:rsidRPr="00DA1726">
        <w:rPr>
          <w:sz w:val="28"/>
          <w:szCs w:val="28"/>
        </w:rPr>
        <w:t xml:space="preserve">: 1. </w:t>
      </w:r>
      <w:r w:rsidR="001B66E4" w:rsidRPr="00DA1726">
        <w:rPr>
          <w:sz w:val="28"/>
          <w:szCs w:val="28"/>
        </w:rPr>
        <w:t>respeto a los derechos</w:t>
      </w:r>
      <w:r w:rsidR="00401BCE" w:rsidRPr="00DA1726">
        <w:rPr>
          <w:sz w:val="28"/>
          <w:szCs w:val="28"/>
          <w:vertAlign w:val="superscript"/>
        </w:rPr>
        <w:footnoteReference w:id="146"/>
      </w:r>
      <w:r w:rsidR="001B66E4" w:rsidRPr="00DA1726">
        <w:rPr>
          <w:sz w:val="28"/>
          <w:szCs w:val="28"/>
        </w:rPr>
        <w:t>; 2. evaluación por parte de los usuarios</w:t>
      </w:r>
      <w:r w:rsidR="00401BCE" w:rsidRPr="00DA1726">
        <w:rPr>
          <w:sz w:val="28"/>
          <w:szCs w:val="28"/>
          <w:vertAlign w:val="superscript"/>
        </w:rPr>
        <w:footnoteReference w:id="147"/>
      </w:r>
      <w:r w:rsidR="001B66E4" w:rsidRPr="00DA1726">
        <w:rPr>
          <w:sz w:val="28"/>
          <w:szCs w:val="28"/>
        </w:rPr>
        <w:t>; y 3. proceso y resultado de la atención en salud</w:t>
      </w:r>
      <w:r w:rsidR="00401BCE" w:rsidRPr="00DA1726">
        <w:rPr>
          <w:sz w:val="28"/>
          <w:szCs w:val="28"/>
          <w:vertAlign w:val="superscript"/>
        </w:rPr>
        <w:footnoteReference w:id="148"/>
      </w:r>
      <w:r w:rsidR="001B66E4" w:rsidRPr="00DA1726">
        <w:rPr>
          <w:sz w:val="28"/>
          <w:szCs w:val="28"/>
        </w:rPr>
        <w:t>.</w:t>
      </w:r>
    </w:p>
    <w:p w:rsidR="00AF7944" w:rsidRPr="00DA1726" w:rsidRDefault="00AF7944" w:rsidP="00DA1726">
      <w:pPr>
        <w:tabs>
          <w:tab w:val="left" w:pos="284"/>
          <w:tab w:val="left" w:pos="567"/>
        </w:tabs>
        <w:suppressAutoHyphens/>
        <w:jc w:val="both"/>
        <w:rPr>
          <w:sz w:val="28"/>
          <w:szCs w:val="28"/>
        </w:rPr>
      </w:pPr>
    </w:p>
    <w:p w:rsidR="00AF7944" w:rsidRPr="00DA1726" w:rsidRDefault="00401BCE" w:rsidP="00DA1726">
      <w:pPr>
        <w:pStyle w:val="Prrafodelista"/>
        <w:numPr>
          <w:ilvl w:val="0"/>
          <w:numId w:val="44"/>
        </w:numPr>
        <w:tabs>
          <w:tab w:val="left" w:pos="284"/>
          <w:tab w:val="left" w:pos="567"/>
        </w:tabs>
        <w:suppressAutoHyphens/>
        <w:ind w:left="567" w:hanging="207"/>
        <w:jc w:val="both"/>
        <w:rPr>
          <w:color w:val="000000"/>
          <w:spacing w:val="-3"/>
          <w:sz w:val="28"/>
          <w:szCs w:val="28"/>
        </w:rPr>
      </w:pPr>
      <w:r w:rsidRPr="00DA1726">
        <w:rPr>
          <w:color w:val="000000"/>
          <w:spacing w:val="-3"/>
          <w:sz w:val="28"/>
          <w:szCs w:val="28"/>
        </w:rPr>
        <w:t xml:space="preserve">En </w:t>
      </w:r>
      <w:r w:rsidR="0071640C" w:rsidRPr="00DA1726">
        <w:rPr>
          <w:color w:val="000000"/>
          <w:spacing w:val="-3"/>
          <w:sz w:val="28"/>
          <w:szCs w:val="28"/>
        </w:rPr>
        <w:t>el</w:t>
      </w:r>
      <w:r w:rsidRPr="00DA1726">
        <w:rPr>
          <w:color w:val="000000"/>
          <w:spacing w:val="-3"/>
          <w:sz w:val="28"/>
          <w:szCs w:val="28"/>
        </w:rPr>
        <w:t xml:space="preserve"> año 2014</w:t>
      </w:r>
      <w:r w:rsidR="0071640C" w:rsidRPr="00DA1726">
        <w:rPr>
          <w:color w:val="000000"/>
          <w:spacing w:val="-3"/>
          <w:sz w:val="28"/>
          <w:szCs w:val="28"/>
        </w:rPr>
        <w:t xml:space="preserve"> </w:t>
      </w:r>
      <w:r w:rsidR="00285E53" w:rsidRPr="00DA1726">
        <w:rPr>
          <w:color w:val="000000"/>
          <w:spacing w:val="-3"/>
          <w:sz w:val="28"/>
          <w:szCs w:val="28"/>
        </w:rPr>
        <w:t>se establecieron tres dimensiones</w:t>
      </w:r>
      <w:r w:rsidR="009A12AA" w:rsidRPr="00DA1726">
        <w:rPr>
          <w:color w:val="000000"/>
          <w:spacing w:val="-3"/>
          <w:sz w:val="28"/>
          <w:szCs w:val="28"/>
        </w:rPr>
        <w:t xml:space="preserve"> de evaluación</w:t>
      </w:r>
      <w:r w:rsidR="00285E53" w:rsidRPr="00DA1726">
        <w:rPr>
          <w:color w:val="000000"/>
          <w:spacing w:val="-3"/>
          <w:sz w:val="28"/>
          <w:szCs w:val="28"/>
        </w:rPr>
        <w:t xml:space="preserve">: </w:t>
      </w:r>
      <w:r w:rsidR="001B66E4" w:rsidRPr="00DA1726">
        <w:rPr>
          <w:color w:val="000000"/>
          <w:spacing w:val="-3"/>
          <w:sz w:val="28"/>
          <w:szCs w:val="28"/>
        </w:rPr>
        <w:t>1. protección de salud del usuario y prevención de enfermedades</w:t>
      </w:r>
      <w:r w:rsidR="00285E53" w:rsidRPr="00DA1726">
        <w:rPr>
          <w:sz w:val="28"/>
          <w:szCs w:val="28"/>
          <w:vertAlign w:val="superscript"/>
        </w:rPr>
        <w:footnoteReference w:id="149"/>
      </w:r>
      <w:r w:rsidR="001B66E4" w:rsidRPr="00DA1726">
        <w:rPr>
          <w:color w:val="000000"/>
          <w:spacing w:val="-3"/>
          <w:sz w:val="28"/>
          <w:szCs w:val="28"/>
        </w:rPr>
        <w:t>; 2. acceso a los servicios de salud</w:t>
      </w:r>
      <w:r w:rsidR="00285E53" w:rsidRPr="00DA1726">
        <w:rPr>
          <w:sz w:val="28"/>
          <w:szCs w:val="28"/>
          <w:vertAlign w:val="superscript"/>
        </w:rPr>
        <w:footnoteReference w:id="150"/>
      </w:r>
      <w:r w:rsidR="001B66E4" w:rsidRPr="00DA1726">
        <w:rPr>
          <w:color w:val="000000"/>
          <w:spacing w:val="-3"/>
          <w:sz w:val="28"/>
          <w:szCs w:val="28"/>
        </w:rPr>
        <w:t>; y 3. a</w:t>
      </w:r>
      <w:r w:rsidR="001B66E4" w:rsidRPr="00DA1726">
        <w:rPr>
          <w:sz w:val="28"/>
          <w:szCs w:val="28"/>
        </w:rPr>
        <w:t>filiación, desafiliación y movimiento dentro del sistema de salud</w:t>
      </w:r>
      <w:r w:rsidR="00285E53" w:rsidRPr="00DA1726">
        <w:rPr>
          <w:sz w:val="28"/>
          <w:szCs w:val="28"/>
          <w:vertAlign w:val="superscript"/>
        </w:rPr>
        <w:footnoteReference w:id="151"/>
      </w:r>
      <w:r w:rsidR="001B66E4" w:rsidRPr="00DA1726">
        <w:rPr>
          <w:sz w:val="28"/>
          <w:szCs w:val="28"/>
        </w:rPr>
        <w:t>.</w:t>
      </w:r>
    </w:p>
    <w:p w:rsidR="00777A88" w:rsidRPr="00DA1726" w:rsidRDefault="00777A88" w:rsidP="00DA1726">
      <w:pPr>
        <w:tabs>
          <w:tab w:val="left" w:pos="284"/>
          <w:tab w:val="left" w:pos="567"/>
        </w:tabs>
        <w:suppressAutoHyphens/>
        <w:jc w:val="both"/>
        <w:rPr>
          <w:color w:val="000000"/>
          <w:spacing w:val="-3"/>
          <w:sz w:val="28"/>
          <w:szCs w:val="28"/>
        </w:rPr>
      </w:pPr>
    </w:p>
    <w:p w:rsidR="0071640C" w:rsidRPr="00DA1726" w:rsidRDefault="0071640C" w:rsidP="00DA1726">
      <w:pPr>
        <w:pStyle w:val="Prrafodelista"/>
        <w:numPr>
          <w:ilvl w:val="0"/>
          <w:numId w:val="44"/>
        </w:numPr>
        <w:tabs>
          <w:tab w:val="left" w:pos="284"/>
          <w:tab w:val="left" w:pos="567"/>
        </w:tabs>
        <w:suppressAutoHyphens/>
        <w:ind w:left="567" w:hanging="207"/>
        <w:jc w:val="both"/>
        <w:rPr>
          <w:color w:val="000000"/>
          <w:spacing w:val="-3"/>
          <w:sz w:val="28"/>
          <w:szCs w:val="28"/>
        </w:rPr>
      </w:pPr>
      <w:r w:rsidRPr="00DA1726">
        <w:rPr>
          <w:color w:val="000000"/>
          <w:spacing w:val="-3"/>
          <w:sz w:val="28"/>
          <w:szCs w:val="28"/>
        </w:rPr>
        <w:t xml:space="preserve">Al año 2015 se siguieron las dimensiones descritas en la vigencia anterior y se completó </w:t>
      </w:r>
      <w:r w:rsidR="009A12AA" w:rsidRPr="00DA1726">
        <w:rPr>
          <w:color w:val="000000"/>
          <w:spacing w:val="-3"/>
          <w:sz w:val="28"/>
          <w:szCs w:val="28"/>
        </w:rPr>
        <w:t>el examen</w:t>
      </w:r>
      <w:r w:rsidRPr="00DA1726">
        <w:rPr>
          <w:color w:val="000000"/>
          <w:spacing w:val="-3"/>
          <w:sz w:val="28"/>
          <w:szCs w:val="28"/>
        </w:rPr>
        <w:t xml:space="preserve"> de cara a</w:t>
      </w:r>
      <w:r w:rsidRPr="00DA1726">
        <w:rPr>
          <w:sz w:val="28"/>
          <w:szCs w:val="28"/>
        </w:rPr>
        <w:t xml:space="preserve"> las necesidades de atención en salud que aportan una lógica clínica subyacente basada en el curso natural de la enfermedad. Dichas necesidades abarcan desde los aspectos relacionados con el mantenimiento de la salud (servicios de promoción y prevención de la enfermedad), recuperación de la salud (cuidados de agudos), hasta el manejo continuo e integrado de la misma (cuidado crónico y del final de la vida).</w:t>
      </w:r>
    </w:p>
    <w:p w:rsidR="006F7803" w:rsidRPr="00DA1726" w:rsidRDefault="006F7803" w:rsidP="00DA1726">
      <w:pPr>
        <w:tabs>
          <w:tab w:val="left" w:pos="284"/>
          <w:tab w:val="left" w:pos="567"/>
        </w:tabs>
        <w:suppressAutoHyphens/>
        <w:jc w:val="both"/>
        <w:rPr>
          <w:color w:val="000000"/>
          <w:spacing w:val="-3"/>
          <w:sz w:val="28"/>
          <w:szCs w:val="28"/>
        </w:rPr>
      </w:pPr>
    </w:p>
    <w:p w:rsidR="00083412" w:rsidRPr="00DA1726" w:rsidRDefault="00B3237B" w:rsidP="00DA1726">
      <w:pPr>
        <w:pStyle w:val="Prrafodelista"/>
        <w:numPr>
          <w:ilvl w:val="0"/>
          <w:numId w:val="44"/>
        </w:numPr>
        <w:tabs>
          <w:tab w:val="left" w:pos="284"/>
          <w:tab w:val="left" w:pos="567"/>
        </w:tabs>
        <w:suppressAutoHyphens/>
        <w:ind w:left="567" w:hanging="207"/>
        <w:jc w:val="both"/>
        <w:rPr>
          <w:color w:val="000000"/>
          <w:spacing w:val="-3"/>
          <w:sz w:val="28"/>
          <w:szCs w:val="28"/>
        </w:rPr>
      </w:pPr>
      <w:r w:rsidRPr="00DA1726">
        <w:rPr>
          <w:color w:val="000000"/>
          <w:spacing w:val="-3"/>
          <w:sz w:val="28"/>
          <w:szCs w:val="28"/>
        </w:rPr>
        <w:t xml:space="preserve">Finalmente para la vigencia 2016 </w:t>
      </w:r>
      <w:r w:rsidRPr="00DA1726">
        <w:rPr>
          <w:sz w:val="28"/>
          <w:szCs w:val="28"/>
        </w:rPr>
        <w:t xml:space="preserve">se elaboró </w:t>
      </w:r>
      <w:r w:rsidR="00083412" w:rsidRPr="00DA1726">
        <w:rPr>
          <w:color w:val="000000"/>
          <w:spacing w:val="-3"/>
          <w:sz w:val="28"/>
          <w:szCs w:val="28"/>
        </w:rPr>
        <w:t xml:space="preserve">un </w:t>
      </w:r>
      <w:r w:rsidR="001B66E4" w:rsidRPr="00DA1726">
        <w:rPr>
          <w:i/>
          <w:color w:val="000000"/>
          <w:spacing w:val="-3"/>
          <w:sz w:val="28"/>
          <w:szCs w:val="28"/>
        </w:rPr>
        <w:t>“</w:t>
      </w:r>
      <w:r w:rsidR="00083412" w:rsidRPr="00DA1726">
        <w:rPr>
          <w:i/>
          <w:color w:val="000000"/>
          <w:spacing w:val="-3"/>
          <w:sz w:val="28"/>
          <w:szCs w:val="28"/>
        </w:rPr>
        <w:t>ranking de satisfacción de</w:t>
      </w:r>
      <w:r w:rsidRPr="00DA1726">
        <w:rPr>
          <w:i/>
          <w:color w:val="000000"/>
          <w:spacing w:val="-3"/>
          <w:sz w:val="28"/>
          <w:szCs w:val="28"/>
        </w:rPr>
        <w:t xml:space="preserve"> las EPS</w:t>
      </w:r>
      <w:r w:rsidR="001B66E4" w:rsidRPr="00DA1726">
        <w:rPr>
          <w:i/>
          <w:color w:val="000000"/>
          <w:spacing w:val="-3"/>
          <w:sz w:val="28"/>
          <w:szCs w:val="28"/>
        </w:rPr>
        <w:t>”</w:t>
      </w:r>
      <w:r w:rsidR="00083412" w:rsidRPr="00DA1726">
        <w:rPr>
          <w:color w:val="000000"/>
          <w:spacing w:val="-3"/>
          <w:sz w:val="28"/>
          <w:szCs w:val="28"/>
        </w:rPr>
        <w:t xml:space="preserve"> </w:t>
      </w:r>
      <w:r w:rsidR="009A12AA" w:rsidRPr="00DA1726">
        <w:rPr>
          <w:color w:val="000000"/>
          <w:spacing w:val="-3"/>
          <w:sz w:val="28"/>
          <w:szCs w:val="28"/>
        </w:rPr>
        <w:t>a partir</w:t>
      </w:r>
      <w:r w:rsidR="00083412" w:rsidRPr="00DA1726">
        <w:rPr>
          <w:color w:val="000000"/>
          <w:spacing w:val="-3"/>
          <w:sz w:val="28"/>
          <w:szCs w:val="28"/>
        </w:rPr>
        <w:t xml:space="preserve"> de 44 indicadores de satisfacción del usuario</w:t>
      </w:r>
      <w:r w:rsidRPr="00DA1726">
        <w:rPr>
          <w:color w:val="000000"/>
          <w:spacing w:val="-3"/>
          <w:sz w:val="28"/>
          <w:szCs w:val="28"/>
        </w:rPr>
        <w:t xml:space="preserve"> que se agruparon</w:t>
      </w:r>
      <w:r w:rsidR="00083412" w:rsidRPr="00DA1726">
        <w:rPr>
          <w:color w:val="000000"/>
          <w:spacing w:val="-3"/>
          <w:sz w:val="28"/>
          <w:szCs w:val="28"/>
        </w:rPr>
        <w:t xml:space="preserve"> en tres dimensiones: Oportunidad con 20 indicadores; Satisfacción</w:t>
      </w:r>
      <w:r w:rsidR="009A12AA" w:rsidRPr="00DA1726">
        <w:rPr>
          <w:color w:val="000000"/>
          <w:spacing w:val="-3"/>
          <w:sz w:val="28"/>
          <w:szCs w:val="28"/>
        </w:rPr>
        <w:t xml:space="preserve"> con</w:t>
      </w:r>
      <w:r w:rsidR="00083412" w:rsidRPr="00DA1726">
        <w:rPr>
          <w:color w:val="000000"/>
          <w:spacing w:val="-3"/>
          <w:sz w:val="28"/>
          <w:szCs w:val="28"/>
        </w:rPr>
        <w:t xml:space="preserve"> 16; y Acceso</w:t>
      </w:r>
      <w:r w:rsidR="009A12AA" w:rsidRPr="00DA1726">
        <w:rPr>
          <w:color w:val="000000"/>
          <w:spacing w:val="-3"/>
          <w:sz w:val="28"/>
          <w:szCs w:val="28"/>
        </w:rPr>
        <w:t xml:space="preserve"> con</w:t>
      </w:r>
      <w:r w:rsidR="00083412" w:rsidRPr="00DA1726">
        <w:rPr>
          <w:color w:val="000000"/>
          <w:spacing w:val="-3"/>
          <w:sz w:val="28"/>
          <w:szCs w:val="28"/>
        </w:rPr>
        <w:t xml:space="preserve"> 8.</w:t>
      </w:r>
    </w:p>
    <w:p w:rsidR="00083412" w:rsidRPr="00DA1726" w:rsidRDefault="00083412" w:rsidP="00DA1726">
      <w:pPr>
        <w:tabs>
          <w:tab w:val="left" w:pos="284"/>
          <w:tab w:val="left" w:pos="567"/>
        </w:tabs>
        <w:suppressAutoHyphens/>
        <w:jc w:val="both"/>
        <w:rPr>
          <w:color w:val="000000"/>
          <w:spacing w:val="-3"/>
          <w:sz w:val="28"/>
          <w:szCs w:val="28"/>
        </w:rPr>
      </w:pPr>
    </w:p>
    <w:p w:rsidR="00701282" w:rsidRPr="00DA1726" w:rsidRDefault="009A12AA" w:rsidP="00DA1726">
      <w:pPr>
        <w:tabs>
          <w:tab w:val="left" w:pos="284"/>
          <w:tab w:val="left" w:pos="567"/>
        </w:tabs>
        <w:suppressAutoHyphens/>
        <w:jc w:val="both"/>
        <w:rPr>
          <w:sz w:val="28"/>
          <w:szCs w:val="28"/>
        </w:rPr>
      </w:pPr>
      <w:r w:rsidRPr="00DA1726">
        <w:rPr>
          <w:color w:val="000000"/>
          <w:spacing w:val="-3"/>
          <w:sz w:val="28"/>
          <w:szCs w:val="28"/>
        </w:rPr>
        <w:t>E</w:t>
      </w:r>
      <w:r w:rsidR="009D6F9C" w:rsidRPr="00DA1726">
        <w:rPr>
          <w:color w:val="000000"/>
          <w:spacing w:val="-3"/>
          <w:sz w:val="28"/>
          <w:szCs w:val="28"/>
        </w:rPr>
        <w:t xml:space="preserve">l ejercicio anterior </w:t>
      </w:r>
      <w:r w:rsidRPr="00DA1726">
        <w:rPr>
          <w:color w:val="000000"/>
          <w:spacing w:val="-3"/>
          <w:sz w:val="28"/>
          <w:szCs w:val="28"/>
        </w:rPr>
        <w:t>muestra</w:t>
      </w:r>
      <w:r w:rsidR="009D6F9C" w:rsidRPr="00DA1726">
        <w:rPr>
          <w:color w:val="000000"/>
          <w:spacing w:val="-3"/>
          <w:sz w:val="28"/>
          <w:szCs w:val="28"/>
        </w:rPr>
        <w:t xml:space="preserve"> un </w:t>
      </w:r>
      <w:r w:rsidR="001B66E4" w:rsidRPr="00DA1726">
        <w:rPr>
          <w:color w:val="000000"/>
          <w:spacing w:val="-3"/>
          <w:sz w:val="28"/>
          <w:szCs w:val="28"/>
        </w:rPr>
        <w:t>clasificación</w:t>
      </w:r>
      <w:r w:rsidR="009D6F9C" w:rsidRPr="00DA1726">
        <w:rPr>
          <w:i/>
          <w:color w:val="000000"/>
          <w:spacing w:val="-3"/>
          <w:sz w:val="28"/>
          <w:szCs w:val="28"/>
        </w:rPr>
        <w:t xml:space="preserve"> </w:t>
      </w:r>
      <w:r w:rsidR="009D6F9C" w:rsidRPr="00DA1726">
        <w:rPr>
          <w:color w:val="000000"/>
          <w:spacing w:val="-3"/>
          <w:sz w:val="28"/>
          <w:szCs w:val="28"/>
        </w:rPr>
        <w:t>de satisfacción mas no de negación de servicios, por lo que en principio es aplicable para la orden vigésimo octava</w:t>
      </w:r>
      <w:r w:rsidR="000309F2" w:rsidRPr="00DA1726">
        <w:rPr>
          <w:color w:val="000000"/>
          <w:spacing w:val="-3"/>
          <w:sz w:val="28"/>
          <w:szCs w:val="28"/>
          <w:vertAlign w:val="superscript"/>
        </w:rPr>
        <w:footnoteReference w:id="152"/>
      </w:r>
      <w:r w:rsidR="009D6F9C" w:rsidRPr="00DA1726">
        <w:rPr>
          <w:color w:val="000000"/>
          <w:spacing w:val="-3"/>
          <w:sz w:val="28"/>
          <w:szCs w:val="28"/>
        </w:rPr>
        <w:t xml:space="preserve"> y no la </w:t>
      </w:r>
      <w:r w:rsidRPr="00DA1726">
        <w:rPr>
          <w:color w:val="000000"/>
          <w:spacing w:val="-3"/>
          <w:sz w:val="28"/>
          <w:szCs w:val="28"/>
        </w:rPr>
        <w:t xml:space="preserve">20 que </w:t>
      </w:r>
      <w:r w:rsidR="009D6F9C" w:rsidRPr="00DA1726">
        <w:rPr>
          <w:color w:val="000000"/>
          <w:spacing w:val="-3"/>
          <w:sz w:val="28"/>
          <w:szCs w:val="28"/>
        </w:rPr>
        <w:t>actualmente</w:t>
      </w:r>
      <w:r w:rsidRPr="00DA1726">
        <w:rPr>
          <w:color w:val="000000"/>
          <w:spacing w:val="-3"/>
          <w:sz w:val="28"/>
          <w:szCs w:val="28"/>
        </w:rPr>
        <w:t xml:space="preserve"> es</w:t>
      </w:r>
      <w:r w:rsidR="009D6F9C" w:rsidRPr="00DA1726">
        <w:rPr>
          <w:color w:val="000000"/>
          <w:spacing w:val="-3"/>
          <w:sz w:val="28"/>
          <w:szCs w:val="28"/>
        </w:rPr>
        <w:t xml:space="preserve"> objeto de estudio</w:t>
      </w:r>
      <w:r w:rsidR="001B66E4" w:rsidRPr="00DA1726">
        <w:rPr>
          <w:color w:val="000000"/>
          <w:spacing w:val="-3"/>
          <w:sz w:val="28"/>
          <w:szCs w:val="28"/>
        </w:rPr>
        <w:t xml:space="preserve"> y además difieren de la información remitida a esta Sala dentro del seguimiento </w:t>
      </w:r>
      <w:r w:rsidR="00EC5380" w:rsidRPr="00DA1726">
        <w:rPr>
          <w:color w:val="000000"/>
          <w:spacing w:val="-3"/>
          <w:sz w:val="28"/>
          <w:szCs w:val="28"/>
        </w:rPr>
        <w:t>a</w:t>
      </w:r>
      <w:r w:rsidR="001B66E4" w:rsidRPr="00DA1726">
        <w:rPr>
          <w:color w:val="000000"/>
          <w:spacing w:val="-3"/>
          <w:sz w:val="28"/>
          <w:szCs w:val="28"/>
        </w:rPr>
        <w:t xml:space="preserve"> la sentencia T-760 de 2008</w:t>
      </w:r>
      <w:r w:rsidR="009D6F9C" w:rsidRPr="00DA1726">
        <w:rPr>
          <w:color w:val="000000"/>
          <w:spacing w:val="-3"/>
          <w:sz w:val="28"/>
          <w:szCs w:val="28"/>
        </w:rPr>
        <w:t>. Así,</w:t>
      </w:r>
      <w:r w:rsidR="00EF10F8" w:rsidRPr="00DA1726">
        <w:rPr>
          <w:color w:val="000000"/>
          <w:spacing w:val="-3"/>
          <w:sz w:val="28"/>
          <w:szCs w:val="28"/>
        </w:rPr>
        <w:t xml:space="preserve"> para la </w:t>
      </w:r>
      <w:r w:rsidR="001B66E4" w:rsidRPr="00DA1726">
        <w:rPr>
          <w:color w:val="000000"/>
          <w:spacing w:val="-3"/>
          <w:sz w:val="28"/>
          <w:szCs w:val="28"/>
        </w:rPr>
        <w:t>Corte</w:t>
      </w:r>
      <w:r w:rsidR="009D6F9C" w:rsidRPr="00DA1726">
        <w:rPr>
          <w:color w:val="000000"/>
          <w:spacing w:val="-3"/>
          <w:sz w:val="28"/>
          <w:szCs w:val="28"/>
        </w:rPr>
        <w:t xml:space="preserve"> </w:t>
      </w:r>
      <w:r w:rsidR="000309F2" w:rsidRPr="00DA1726">
        <w:rPr>
          <w:color w:val="000000"/>
          <w:spacing w:val="-3"/>
          <w:sz w:val="28"/>
          <w:szCs w:val="28"/>
        </w:rPr>
        <w:t xml:space="preserve">es </w:t>
      </w:r>
      <w:r w:rsidR="00860309" w:rsidRPr="00DA1726">
        <w:rPr>
          <w:color w:val="000000"/>
          <w:spacing w:val="-3"/>
          <w:sz w:val="28"/>
          <w:szCs w:val="28"/>
          <w:lang w:val="es-ES"/>
        </w:rPr>
        <w:t xml:space="preserve">necesario que los usuarios del sistema conozcan de manera sencilla y eficiente las aseguradoras que con mayor frecuencia incurren en </w:t>
      </w:r>
      <w:r w:rsidRPr="00DA1726">
        <w:rPr>
          <w:color w:val="000000"/>
          <w:spacing w:val="-3"/>
          <w:sz w:val="28"/>
          <w:szCs w:val="28"/>
          <w:lang w:val="es-ES"/>
        </w:rPr>
        <w:t>prácticas violatorias</w:t>
      </w:r>
      <w:r w:rsidR="00EF10F8" w:rsidRPr="00DA1726">
        <w:rPr>
          <w:sz w:val="28"/>
          <w:szCs w:val="28"/>
        </w:rPr>
        <w:t>,</w:t>
      </w:r>
      <w:r w:rsidR="001B66E4" w:rsidRPr="00DA1726">
        <w:rPr>
          <w:sz w:val="28"/>
          <w:szCs w:val="28"/>
        </w:rPr>
        <w:t xml:space="preserve"> atendiendo a lo dispuesto en la orden </w:t>
      </w:r>
      <w:r w:rsidR="00EC5380" w:rsidRPr="00DA1726">
        <w:rPr>
          <w:sz w:val="28"/>
          <w:szCs w:val="28"/>
        </w:rPr>
        <w:t>vigésima</w:t>
      </w:r>
      <w:r w:rsidR="001B66E4" w:rsidRPr="00DA1726">
        <w:rPr>
          <w:sz w:val="28"/>
          <w:szCs w:val="28"/>
        </w:rPr>
        <w:t xml:space="preserve">, </w:t>
      </w:r>
      <w:r w:rsidR="00EF10F8" w:rsidRPr="00DA1726">
        <w:rPr>
          <w:sz w:val="28"/>
          <w:szCs w:val="28"/>
        </w:rPr>
        <w:t>situación que no ocurre en este caso.</w:t>
      </w:r>
      <w:r w:rsidRPr="00DA1726">
        <w:rPr>
          <w:sz w:val="28"/>
          <w:szCs w:val="28"/>
        </w:rPr>
        <w:t xml:space="preserve"> </w:t>
      </w:r>
    </w:p>
    <w:p w:rsidR="009A12AA" w:rsidRPr="00DA1726" w:rsidRDefault="009A12AA" w:rsidP="00DA1726">
      <w:pPr>
        <w:tabs>
          <w:tab w:val="left" w:pos="284"/>
          <w:tab w:val="left" w:pos="567"/>
        </w:tabs>
        <w:suppressAutoHyphens/>
        <w:jc w:val="both"/>
        <w:rPr>
          <w:sz w:val="28"/>
          <w:szCs w:val="28"/>
        </w:rPr>
      </w:pPr>
    </w:p>
    <w:p w:rsidR="00C109C9" w:rsidRPr="00DA1726" w:rsidRDefault="009A12AA" w:rsidP="00DA1726">
      <w:pPr>
        <w:tabs>
          <w:tab w:val="left" w:pos="284"/>
          <w:tab w:val="left" w:pos="567"/>
        </w:tabs>
        <w:suppressAutoHyphens/>
        <w:jc w:val="both"/>
        <w:rPr>
          <w:color w:val="000000"/>
          <w:sz w:val="28"/>
          <w:szCs w:val="28"/>
          <w:lang w:val="es-ES"/>
        </w:rPr>
      </w:pPr>
      <w:r w:rsidRPr="00DA1726">
        <w:rPr>
          <w:i/>
          <w:color w:val="000000"/>
          <w:sz w:val="28"/>
          <w:szCs w:val="28"/>
          <w:lang w:val="es-ES"/>
        </w:rPr>
        <w:t xml:space="preserve">5.1.4.2. </w:t>
      </w:r>
      <w:r w:rsidRPr="00DA1726">
        <w:rPr>
          <w:color w:val="000000"/>
          <w:sz w:val="28"/>
          <w:szCs w:val="28"/>
          <w:lang w:val="es-ES"/>
        </w:rPr>
        <w:t>E</w:t>
      </w:r>
      <w:r w:rsidR="001B66E4" w:rsidRPr="00DA1726">
        <w:rPr>
          <w:color w:val="000000"/>
          <w:sz w:val="28"/>
          <w:szCs w:val="28"/>
          <w:lang w:val="es-ES"/>
        </w:rPr>
        <w:t>n conclusión, el</w:t>
      </w:r>
      <w:r w:rsidR="00C109C9" w:rsidRPr="00DA1726">
        <w:rPr>
          <w:sz w:val="28"/>
          <w:szCs w:val="28"/>
        </w:rPr>
        <w:t xml:space="preserve"> cumplimiento de </w:t>
      </w:r>
      <w:r w:rsidR="00C109C9" w:rsidRPr="00DA1726">
        <w:rPr>
          <w:color w:val="000000"/>
          <w:sz w:val="28"/>
          <w:szCs w:val="28"/>
          <w:lang w:val="es-ES"/>
        </w:rPr>
        <w:t>este mandato debe circunscribirse a circunstancias específicas en las que se identifique las negaciones de servicios a partir de los criterios de vulneración establecidos</w:t>
      </w:r>
      <w:r w:rsidRPr="00DA1726">
        <w:rPr>
          <w:color w:val="000000"/>
          <w:sz w:val="28"/>
          <w:szCs w:val="28"/>
          <w:lang w:val="es-ES"/>
        </w:rPr>
        <w:t xml:space="preserve"> por la Corte</w:t>
      </w:r>
      <w:r w:rsidR="00C109C9" w:rsidRPr="00DA1726">
        <w:rPr>
          <w:color w:val="000000"/>
          <w:sz w:val="28"/>
          <w:szCs w:val="28"/>
          <w:lang w:val="es-ES"/>
        </w:rPr>
        <w:t xml:space="preserve">. </w:t>
      </w:r>
    </w:p>
    <w:p w:rsidR="009A12AA" w:rsidRPr="00DA1726" w:rsidRDefault="009A12AA" w:rsidP="00DA1726">
      <w:pPr>
        <w:tabs>
          <w:tab w:val="left" w:pos="284"/>
          <w:tab w:val="left" w:pos="567"/>
        </w:tabs>
        <w:suppressAutoHyphens/>
        <w:jc w:val="both"/>
        <w:rPr>
          <w:sz w:val="28"/>
          <w:szCs w:val="28"/>
        </w:rPr>
      </w:pPr>
    </w:p>
    <w:p w:rsidR="00C109C9" w:rsidRPr="00DA1726" w:rsidRDefault="00C109C9" w:rsidP="00DA1726">
      <w:pPr>
        <w:jc w:val="both"/>
        <w:rPr>
          <w:color w:val="000000"/>
          <w:sz w:val="28"/>
          <w:szCs w:val="28"/>
          <w:lang w:val="es-ES"/>
        </w:rPr>
      </w:pPr>
      <w:r w:rsidRPr="00DA1726">
        <w:rPr>
          <w:sz w:val="28"/>
          <w:szCs w:val="28"/>
        </w:rPr>
        <w:t xml:space="preserve">La Sala acepta una clasificación por grupos, sin embargo deben atender a un esquema en el que se puedan identificar escenarios críticos, de </w:t>
      </w:r>
      <w:r w:rsidRPr="00DA1726">
        <w:rPr>
          <w:color w:val="000000"/>
          <w:sz w:val="28"/>
          <w:szCs w:val="28"/>
          <w:lang w:val="es-ES"/>
        </w:rPr>
        <w:t xml:space="preserve">alarma, de aceptabilidad y de superioridad, donde se mezclen variables como número de afiliados y situaciones en las que se presentan prácticas violatorias, para de esta manera establecer límites porcentuales en cada rango. </w:t>
      </w:r>
    </w:p>
    <w:p w:rsidR="00C109C9" w:rsidRPr="00DA1726" w:rsidRDefault="00C109C9" w:rsidP="00DA1726">
      <w:pPr>
        <w:rPr>
          <w:sz w:val="28"/>
          <w:szCs w:val="28"/>
        </w:rPr>
      </w:pPr>
    </w:p>
    <w:p w:rsidR="00C109C9" w:rsidRPr="00DA1726" w:rsidRDefault="00C109C9"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 xml:space="preserve">Por otra parte, la Corte considera indispensable que los criterios de valoración sean útiles y transparentes, por lo que la clasificación debe estar destinada a los usuarios e incluir una síntesis de los parámetros de evaluación, además permitir identificar a qué rango pertenece (crítico, alarma, aceptabilidad o superioridad) y sus implicaciones, así como quiénes han incurrido con mayor frecuencia en prácticas violatorias del derecho a la salud. </w:t>
      </w:r>
    </w:p>
    <w:p w:rsidR="00C109C9" w:rsidRPr="00DA1726" w:rsidRDefault="00C109C9" w:rsidP="00DA1726">
      <w:pPr>
        <w:jc w:val="both"/>
        <w:rPr>
          <w:rStyle w:val="FontStyle40"/>
          <w:rFonts w:ascii="Times New Roman" w:hAnsi="Times New Roman" w:cs="Times New Roman"/>
          <w:sz w:val="28"/>
          <w:szCs w:val="28"/>
          <w:lang w:val="es-ES_tradnl" w:eastAsia="es-ES_tradnl"/>
        </w:rPr>
      </w:pPr>
    </w:p>
    <w:p w:rsidR="000648E0" w:rsidRPr="00DA1726" w:rsidRDefault="000648E0"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i/>
          <w:color w:val="000000"/>
          <w:sz w:val="28"/>
          <w:szCs w:val="28"/>
          <w:lang w:val="es-ES"/>
        </w:rPr>
        <w:t>5.1.4.</w:t>
      </w:r>
      <w:r w:rsidR="001B66E4" w:rsidRPr="00DA1726">
        <w:rPr>
          <w:rFonts w:ascii="Times New Roman" w:hAnsi="Times New Roman"/>
          <w:i/>
          <w:color w:val="000000"/>
          <w:sz w:val="28"/>
          <w:szCs w:val="28"/>
          <w:lang w:val="es-ES"/>
        </w:rPr>
        <w:t>3</w:t>
      </w:r>
      <w:r w:rsidRPr="00DA1726">
        <w:rPr>
          <w:rFonts w:ascii="Times New Roman" w:hAnsi="Times New Roman"/>
          <w:i/>
          <w:color w:val="000000"/>
          <w:sz w:val="28"/>
          <w:szCs w:val="28"/>
          <w:lang w:val="es-ES"/>
        </w:rPr>
        <w:t xml:space="preserve">. Valoración en concreto. </w:t>
      </w:r>
      <w:r w:rsidRPr="00DA1726">
        <w:rPr>
          <w:rFonts w:ascii="Times New Roman" w:hAnsi="Times New Roman"/>
          <w:color w:val="000000"/>
          <w:sz w:val="28"/>
          <w:szCs w:val="28"/>
          <w:lang w:val="es-ES"/>
        </w:rPr>
        <w:t>P</w:t>
      </w:r>
      <w:r w:rsidR="00FF52F9" w:rsidRPr="00DA1726">
        <w:rPr>
          <w:rFonts w:ascii="Times New Roman" w:hAnsi="Times New Roman"/>
          <w:color w:val="000000"/>
          <w:sz w:val="28"/>
          <w:szCs w:val="28"/>
          <w:lang w:val="es-ES"/>
        </w:rPr>
        <w:t xml:space="preserve">ara la Sala </w:t>
      </w:r>
      <w:r w:rsidR="00536150" w:rsidRPr="00DA1726">
        <w:rPr>
          <w:rFonts w:ascii="Times New Roman" w:hAnsi="Times New Roman"/>
          <w:color w:val="000000"/>
          <w:sz w:val="28"/>
          <w:szCs w:val="28"/>
          <w:lang w:val="es-ES"/>
        </w:rPr>
        <w:t xml:space="preserve">es importante el esfuerzo adelantado por el Ministerio de Salud y la </w:t>
      </w:r>
      <w:r w:rsidRPr="00DA1726">
        <w:rPr>
          <w:rFonts w:ascii="Times New Roman" w:hAnsi="Times New Roman"/>
          <w:color w:val="000000"/>
          <w:sz w:val="28"/>
          <w:szCs w:val="28"/>
          <w:lang w:val="es-ES"/>
        </w:rPr>
        <w:t>Superintendencia de Salud</w:t>
      </w:r>
      <w:r w:rsidR="00536150" w:rsidRPr="00DA1726">
        <w:rPr>
          <w:rFonts w:ascii="Times New Roman" w:hAnsi="Times New Roman"/>
          <w:color w:val="000000"/>
          <w:sz w:val="28"/>
          <w:szCs w:val="28"/>
          <w:lang w:val="es-ES"/>
        </w:rPr>
        <w:t xml:space="preserve">, </w:t>
      </w:r>
      <w:r w:rsidR="00F400C8" w:rsidRPr="00DA1726">
        <w:rPr>
          <w:rFonts w:ascii="Times New Roman" w:hAnsi="Times New Roman"/>
          <w:color w:val="000000"/>
          <w:sz w:val="28"/>
          <w:szCs w:val="28"/>
          <w:lang w:val="es-ES"/>
        </w:rPr>
        <w:t xml:space="preserve">sin embargo el mismo debe atender las observaciones hechas por los peritos constitucionales y </w:t>
      </w:r>
      <w:r w:rsidR="009A12AA" w:rsidRPr="00DA1726">
        <w:rPr>
          <w:rFonts w:ascii="Times New Roman" w:hAnsi="Times New Roman"/>
          <w:color w:val="000000"/>
          <w:sz w:val="28"/>
          <w:szCs w:val="28"/>
          <w:lang w:val="es-ES"/>
        </w:rPr>
        <w:t>este Tribunal Constitucional</w:t>
      </w:r>
      <w:r w:rsidR="00F400C8" w:rsidRPr="00DA1726">
        <w:rPr>
          <w:rFonts w:ascii="Times New Roman" w:hAnsi="Times New Roman"/>
          <w:color w:val="000000"/>
          <w:sz w:val="28"/>
          <w:szCs w:val="28"/>
          <w:lang w:val="es-ES"/>
        </w:rPr>
        <w:t xml:space="preserve">, </w:t>
      </w:r>
      <w:r w:rsidR="00321952" w:rsidRPr="00DA1726">
        <w:rPr>
          <w:rFonts w:ascii="Times New Roman" w:hAnsi="Times New Roman"/>
          <w:color w:val="000000"/>
          <w:sz w:val="28"/>
          <w:szCs w:val="28"/>
          <w:lang w:val="es-ES"/>
        </w:rPr>
        <w:t>e</w:t>
      </w:r>
      <w:r w:rsidR="009A12AA" w:rsidRPr="00DA1726">
        <w:rPr>
          <w:rFonts w:ascii="Times New Roman" w:hAnsi="Times New Roman"/>
          <w:color w:val="000000"/>
          <w:sz w:val="28"/>
          <w:szCs w:val="28"/>
          <w:lang w:val="es-ES"/>
        </w:rPr>
        <w:t xml:space="preserve">n orden a establecer específicamente </w:t>
      </w:r>
      <w:r w:rsidR="00321952" w:rsidRPr="00DA1726">
        <w:rPr>
          <w:rFonts w:ascii="Times New Roman" w:hAnsi="Times New Roman"/>
          <w:color w:val="000000"/>
          <w:sz w:val="28"/>
          <w:szCs w:val="28"/>
          <w:lang w:val="es-ES"/>
        </w:rPr>
        <w:t xml:space="preserve">cuáles son las </w:t>
      </w:r>
      <w:r w:rsidR="001B66E4" w:rsidRPr="00DA1726">
        <w:rPr>
          <w:rFonts w:ascii="Times New Roman" w:hAnsi="Times New Roman"/>
          <w:color w:val="000000"/>
          <w:sz w:val="28"/>
          <w:szCs w:val="28"/>
          <w:lang w:val="es-ES"/>
        </w:rPr>
        <w:t>entidades</w:t>
      </w:r>
      <w:r w:rsidR="00321952" w:rsidRPr="00DA1726">
        <w:rPr>
          <w:rFonts w:ascii="Times New Roman" w:hAnsi="Times New Roman"/>
          <w:color w:val="000000"/>
          <w:sz w:val="28"/>
          <w:szCs w:val="28"/>
          <w:lang w:val="es-ES"/>
        </w:rPr>
        <w:t xml:space="preserve"> que en mayor medida incurren en las prácticas violatorias al</w:t>
      </w:r>
      <w:r w:rsidR="0091447F" w:rsidRPr="00DA1726">
        <w:rPr>
          <w:rFonts w:ascii="Times New Roman" w:hAnsi="Times New Roman"/>
          <w:color w:val="000000"/>
          <w:sz w:val="28"/>
          <w:szCs w:val="28"/>
          <w:lang w:val="es-ES"/>
        </w:rPr>
        <w:t xml:space="preserve"> derecho fundamental a la salud.</w:t>
      </w:r>
      <w:r w:rsidR="00321952" w:rsidRPr="00DA1726">
        <w:rPr>
          <w:rFonts w:ascii="Times New Roman" w:hAnsi="Times New Roman"/>
          <w:color w:val="000000"/>
          <w:sz w:val="28"/>
          <w:szCs w:val="28"/>
          <w:lang w:val="es-ES"/>
        </w:rPr>
        <w:t xml:space="preserve"> </w:t>
      </w:r>
    </w:p>
    <w:p w:rsidR="000648E0" w:rsidRPr="00DA1726" w:rsidRDefault="000648E0" w:rsidP="00DA1726">
      <w:pPr>
        <w:pStyle w:val="Sinespaciado"/>
        <w:tabs>
          <w:tab w:val="left" w:pos="851"/>
        </w:tabs>
        <w:jc w:val="both"/>
        <w:rPr>
          <w:rFonts w:ascii="Times New Roman" w:hAnsi="Times New Roman"/>
          <w:color w:val="000000"/>
          <w:sz w:val="28"/>
          <w:szCs w:val="28"/>
          <w:lang w:val="es-ES"/>
        </w:rPr>
      </w:pPr>
    </w:p>
    <w:p w:rsidR="006F3D32" w:rsidRPr="00DA1726" w:rsidRDefault="000648E0"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Adicionalmente, e</w:t>
      </w:r>
      <w:r w:rsidR="00321952" w:rsidRPr="00DA1726">
        <w:rPr>
          <w:rFonts w:ascii="Times New Roman" w:hAnsi="Times New Roman"/>
          <w:color w:val="000000"/>
          <w:sz w:val="28"/>
          <w:szCs w:val="28"/>
          <w:lang w:val="es-ES"/>
        </w:rPr>
        <w:t xml:space="preserve">s importante </w:t>
      </w:r>
      <w:r w:rsidRPr="00DA1726">
        <w:rPr>
          <w:rFonts w:ascii="Times New Roman" w:hAnsi="Times New Roman"/>
          <w:color w:val="000000"/>
          <w:sz w:val="28"/>
          <w:szCs w:val="28"/>
          <w:lang w:val="es-ES"/>
        </w:rPr>
        <w:t>que</w:t>
      </w:r>
      <w:r w:rsidR="00321952" w:rsidRPr="00DA1726">
        <w:rPr>
          <w:rFonts w:ascii="Times New Roman" w:hAnsi="Times New Roman"/>
          <w:color w:val="000000"/>
          <w:sz w:val="28"/>
          <w:szCs w:val="28"/>
          <w:lang w:val="es-ES"/>
        </w:rPr>
        <w:t xml:space="preserve"> los usuarios</w:t>
      </w:r>
      <w:r w:rsidRPr="00DA1726">
        <w:rPr>
          <w:rFonts w:ascii="Times New Roman" w:hAnsi="Times New Roman"/>
          <w:color w:val="000000"/>
          <w:sz w:val="28"/>
          <w:szCs w:val="28"/>
          <w:lang w:val="es-ES"/>
        </w:rPr>
        <w:t xml:space="preserve"> conozcan el resultado de este ejercicio</w:t>
      </w:r>
      <w:r w:rsidR="00321952" w:rsidRPr="00DA1726">
        <w:rPr>
          <w:rFonts w:ascii="Times New Roman" w:hAnsi="Times New Roman"/>
          <w:color w:val="000000"/>
          <w:sz w:val="28"/>
          <w:szCs w:val="28"/>
          <w:lang w:val="es-ES"/>
        </w:rPr>
        <w:t xml:space="preserve">, </w:t>
      </w:r>
      <w:r w:rsidRPr="00DA1726">
        <w:rPr>
          <w:rFonts w:ascii="Times New Roman" w:hAnsi="Times New Roman"/>
          <w:color w:val="000000"/>
          <w:sz w:val="28"/>
          <w:szCs w:val="28"/>
          <w:lang w:val="es-ES"/>
        </w:rPr>
        <w:t xml:space="preserve">por ser </w:t>
      </w:r>
      <w:r w:rsidR="001B66E4" w:rsidRPr="00DA1726">
        <w:rPr>
          <w:rFonts w:ascii="Times New Roman" w:hAnsi="Times New Roman"/>
          <w:color w:val="000000"/>
          <w:sz w:val="28"/>
          <w:szCs w:val="28"/>
          <w:lang w:val="es-ES"/>
        </w:rPr>
        <w:t>sobre quienes recae lo dispuesto en la sentencia estructural</w:t>
      </w:r>
      <w:r w:rsidR="00321952" w:rsidRPr="00DA1726">
        <w:rPr>
          <w:rFonts w:ascii="Times New Roman" w:hAnsi="Times New Roman"/>
          <w:i/>
          <w:color w:val="000000"/>
          <w:sz w:val="28"/>
          <w:szCs w:val="28"/>
          <w:lang w:val="es-ES"/>
        </w:rPr>
        <w:t>.</w:t>
      </w:r>
      <w:r w:rsidR="008F2F5F" w:rsidRPr="00DA1726">
        <w:rPr>
          <w:rFonts w:ascii="Times New Roman" w:hAnsi="Times New Roman"/>
          <w:i/>
          <w:color w:val="000000"/>
          <w:sz w:val="28"/>
          <w:szCs w:val="28"/>
          <w:lang w:val="es-ES"/>
        </w:rPr>
        <w:t xml:space="preserve"> </w:t>
      </w:r>
      <w:r w:rsidR="008F2F5F" w:rsidRPr="00DA1726">
        <w:rPr>
          <w:rFonts w:ascii="Times New Roman" w:hAnsi="Times New Roman"/>
          <w:color w:val="000000"/>
          <w:sz w:val="28"/>
          <w:szCs w:val="28"/>
          <w:lang w:val="es-ES"/>
        </w:rPr>
        <w:t xml:space="preserve">Por tanto la clasificación por grupos es aceptable, pero es necesario que se pueda consultar por separado cada criterio a efectos de identificar en cada uno de ellos la clasificación interna que corresponda, </w:t>
      </w:r>
      <w:r w:rsidR="009A12AA" w:rsidRPr="00DA1726">
        <w:rPr>
          <w:rFonts w:ascii="Times New Roman" w:hAnsi="Times New Roman"/>
          <w:color w:val="000000"/>
          <w:sz w:val="28"/>
          <w:szCs w:val="28"/>
          <w:lang w:val="es-ES"/>
        </w:rPr>
        <w:t>en aras de la</w:t>
      </w:r>
      <w:r w:rsidR="008F2F5F" w:rsidRPr="00DA1726">
        <w:rPr>
          <w:rFonts w:ascii="Times New Roman" w:hAnsi="Times New Roman"/>
          <w:color w:val="000000"/>
          <w:sz w:val="28"/>
          <w:szCs w:val="28"/>
          <w:lang w:val="es-ES"/>
        </w:rPr>
        <w:t xml:space="preserve"> transparencia.</w:t>
      </w:r>
    </w:p>
    <w:p w:rsidR="000E7B18" w:rsidRPr="00DA1726" w:rsidRDefault="000E7B18" w:rsidP="00DA1726">
      <w:pPr>
        <w:pStyle w:val="Sinespaciado"/>
        <w:tabs>
          <w:tab w:val="left" w:pos="851"/>
        </w:tabs>
        <w:jc w:val="both"/>
        <w:rPr>
          <w:rFonts w:ascii="Times New Roman" w:hAnsi="Times New Roman"/>
          <w:color w:val="000000"/>
          <w:sz w:val="28"/>
          <w:szCs w:val="28"/>
          <w:lang w:val="es-ES"/>
        </w:rPr>
      </w:pPr>
    </w:p>
    <w:p w:rsidR="00EE44A7" w:rsidRPr="00DA1726" w:rsidRDefault="00321952" w:rsidP="00DA1726">
      <w:pPr>
        <w:jc w:val="both"/>
        <w:rPr>
          <w:sz w:val="28"/>
          <w:szCs w:val="28"/>
        </w:rPr>
      </w:pPr>
      <w:r w:rsidRPr="00DA1726">
        <w:rPr>
          <w:sz w:val="28"/>
          <w:szCs w:val="28"/>
        </w:rPr>
        <w:t xml:space="preserve">En consecuencia, la Sala Especial de Seguimiento encuentra que en este punto existe un </w:t>
      </w:r>
      <w:r w:rsidRPr="00DA1726">
        <w:rPr>
          <w:b/>
          <w:sz w:val="28"/>
          <w:szCs w:val="28"/>
        </w:rPr>
        <w:t>nivel de cumplimiento medio</w:t>
      </w:r>
      <w:r w:rsidRPr="00DA1726">
        <w:rPr>
          <w:sz w:val="28"/>
          <w:szCs w:val="28"/>
        </w:rPr>
        <w:t xml:space="preserve">, ya que </w:t>
      </w:r>
      <w:r w:rsidR="00B47BEA" w:rsidRPr="00DA1726">
        <w:rPr>
          <w:sz w:val="28"/>
          <w:szCs w:val="28"/>
        </w:rPr>
        <w:t>si bien</w:t>
      </w:r>
      <w:r w:rsidRPr="00DA1726">
        <w:rPr>
          <w:sz w:val="28"/>
          <w:szCs w:val="28"/>
        </w:rPr>
        <w:t xml:space="preserve"> el Ministerio de Salud y Protección Social y la Superintendencia Nacional de Salud adoptaron medidas conducentes a identificar las </w:t>
      </w:r>
      <w:r w:rsidR="00176A8A" w:rsidRPr="00DA1726">
        <w:rPr>
          <w:sz w:val="28"/>
          <w:szCs w:val="28"/>
        </w:rPr>
        <w:t>entidade</w:t>
      </w:r>
      <w:r w:rsidRPr="00DA1726">
        <w:rPr>
          <w:sz w:val="28"/>
          <w:szCs w:val="28"/>
        </w:rPr>
        <w:t>s promotoras de salud que con mayor frecuencia incurren en prácticas violatorias al mencionado derecho fundamental, siguiendo en principio, los criterios descritos por la Corte Constitucional</w:t>
      </w:r>
      <w:r w:rsidR="001B66E4" w:rsidRPr="00DA1726">
        <w:rPr>
          <w:sz w:val="28"/>
          <w:szCs w:val="28"/>
        </w:rPr>
        <w:t>. S</w:t>
      </w:r>
      <w:r w:rsidR="00B47BEA" w:rsidRPr="00DA1726">
        <w:rPr>
          <w:sz w:val="28"/>
          <w:szCs w:val="28"/>
        </w:rPr>
        <w:t>in embargo</w:t>
      </w:r>
      <w:r w:rsidRPr="00DA1726">
        <w:rPr>
          <w:sz w:val="28"/>
          <w:szCs w:val="28"/>
        </w:rPr>
        <w:t xml:space="preserve"> dichas mejoras no son </w:t>
      </w:r>
      <w:r w:rsidR="008304D0" w:rsidRPr="00DA1726">
        <w:rPr>
          <w:sz w:val="28"/>
          <w:szCs w:val="28"/>
        </w:rPr>
        <w:t>significativa</w:t>
      </w:r>
      <w:r w:rsidR="001B66E4" w:rsidRPr="00DA1726">
        <w:rPr>
          <w:sz w:val="28"/>
          <w:szCs w:val="28"/>
        </w:rPr>
        <w:t>s</w:t>
      </w:r>
      <w:r w:rsidR="0091447F" w:rsidRPr="00DA1726">
        <w:rPr>
          <w:sz w:val="28"/>
          <w:szCs w:val="28"/>
        </w:rPr>
        <w:t>,</w:t>
      </w:r>
      <w:r w:rsidR="008A0E7E" w:rsidRPr="00DA1726">
        <w:rPr>
          <w:sz w:val="28"/>
          <w:szCs w:val="28"/>
        </w:rPr>
        <w:t xml:space="preserve"> toda vez que: (i) es necesario identificar específicamente las prestadoras que </w:t>
      </w:r>
      <w:r w:rsidR="00B47BEA" w:rsidRPr="00DA1726">
        <w:rPr>
          <w:sz w:val="28"/>
          <w:szCs w:val="28"/>
          <w:lang w:val="es-ES_tradnl"/>
        </w:rPr>
        <w:t xml:space="preserve">con mayor frecuencia niegan servicios </w:t>
      </w:r>
      <w:r w:rsidR="008A0E7E" w:rsidRPr="00DA1726">
        <w:rPr>
          <w:sz w:val="28"/>
          <w:szCs w:val="28"/>
          <w:lang w:val="es-ES_tradnl"/>
        </w:rPr>
        <w:t xml:space="preserve">no solo desde la oportunidad, sino también atendiendo a criterios como </w:t>
      </w:r>
      <w:r w:rsidR="008A0E7E" w:rsidRPr="00DA1726">
        <w:rPr>
          <w:sz w:val="28"/>
          <w:szCs w:val="28"/>
          <w:lang w:val="es-ES"/>
        </w:rPr>
        <w:t xml:space="preserve">autorización de servicios contenidos en el plan de beneficios, </w:t>
      </w:r>
      <w:r w:rsidR="000648E0" w:rsidRPr="00DA1726">
        <w:rPr>
          <w:sz w:val="28"/>
          <w:szCs w:val="28"/>
          <w:lang w:val="es-ES"/>
        </w:rPr>
        <w:t>así como</w:t>
      </w:r>
      <w:r w:rsidR="008A0E7E" w:rsidRPr="00DA1726">
        <w:rPr>
          <w:sz w:val="28"/>
          <w:szCs w:val="28"/>
          <w:lang w:val="es-ES"/>
        </w:rPr>
        <w:t xml:space="preserve"> la imposición de cargas administrativas, burocráticas o interrupciones abruptas de servicios; (ii) </w:t>
      </w:r>
      <w:r w:rsidR="00EE44A7" w:rsidRPr="00DA1726">
        <w:rPr>
          <w:color w:val="000000"/>
          <w:sz w:val="28"/>
          <w:szCs w:val="28"/>
          <w:lang w:val="es-ES"/>
        </w:rPr>
        <w:t>la clasificación por grupos debe buscar determinar qué aseguradoras están en un rango crítico, así como aquellas que están en un margen de alarma, aceptabilidad y superioridad; (iii) los criterios de valoración establecidos por la Corte Constitucional y que resulten aplicables, deben poderse consultar de manera independiente, incluso con una valoración numérica en cada caso; y (iv) actualmente n</w:t>
      </w:r>
      <w:r w:rsidR="00EE44A7" w:rsidRPr="00DA1726">
        <w:rPr>
          <w:sz w:val="28"/>
          <w:szCs w:val="28"/>
        </w:rPr>
        <w:t xml:space="preserve">o existe un mecanismo claro, completo y público que ponga a disposición de los usuarios el </w:t>
      </w:r>
      <w:r w:rsidR="00EE44A7" w:rsidRPr="00DA1726">
        <w:rPr>
          <w:i/>
          <w:sz w:val="28"/>
          <w:szCs w:val="28"/>
        </w:rPr>
        <w:t xml:space="preserve">ranking </w:t>
      </w:r>
      <w:r w:rsidR="00EE44A7" w:rsidRPr="00DA1726">
        <w:rPr>
          <w:sz w:val="28"/>
          <w:szCs w:val="28"/>
        </w:rPr>
        <w:t>de EPS para que ejerzan su derecho a la libre elección.</w:t>
      </w:r>
    </w:p>
    <w:p w:rsidR="00EE44A7" w:rsidRPr="00DA1726" w:rsidRDefault="00EE44A7" w:rsidP="00DA1726">
      <w:pPr>
        <w:jc w:val="both"/>
        <w:rPr>
          <w:color w:val="000000"/>
          <w:sz w:val="28"/>
          <w:szCs w:val="28"/>
          <w:lang w:val="es-ES"/>
        </w:rPr>
      </w:pPr>
    </w:p>
    <w:p w:rsidR="00095FB6" w:rsidRPr="00DA1726" w:rsidRDefault="00095FB6" w:rsidP="00DA1726">
      <w:pPr>
        <w:jc w:val="both"/>
        <w:rPr>
          <w:color w:val="000000"/>
          <w:sz w:val="28"/>
          <w:szCs w:val="28"/>
          <w:lang w:val="es-ES"/>
        </w:rPr>
      </w:pPr>
      <w:r w:rsidRPr="00DA1726">
        <w:rPr>
          <w:i/>
          <w:color w:val="000000"/>
          <w:sz w:val="28"/>
          <w:szCs w:val="28"/>
          <w:lang w:val="es-ES"/>
        </w:rPr>
        <w:t xml:space="preserve">5.1.5. El nuevo esquema de valoración a partir de la actualización de los 14 criterios valoradores. </w:t>
      </w:r>
      <w:r w:rsidRPr="00DA1726">
        <w:rPr>
          <w:color w:val="000000"/>
          <w:sz w:val="28"/>
          <w:szCs w:val="28"/>
          <w:lang w:val="es-ES"/>
        </w:rPr>
        <w:t xml:space="preserve">Para este Tribunal es claro que el Ministerio de Salud y los peritos constitucionales consideraron importante actualizar los 14 criterios de vulneración, sin embargo, no existe una propuesta específica al respecto. En este escenario la Sala procede a precisar los aspectos, en que como mínimo, debe ceñirse este reajuste conceptual. </w:t>
      </w:r>
    </w:p>
    <w:p w:rsidR="00095FB6" w:rsidRPr="00DA1726" w:rsidRDefault="00095FB6" w:rsidP="00DA1726">
      <w:pPr>
        <w:jc w:val="both"/>
        <w:rPr>
          <w:color w:val="000000"/>
          <w:sz w:val="28"/>
          <w:szCs w:val="28"/>
          <w:lang w:val="es-ES"/>
        </w:rPr>
      </w:pPr>
    </w:p>
    <w:p w:rsidR="00095FB6" w:rsidRPr="00DA1726" w:rsidRDefault="00095FB6" w:rsidP="00DA1726">
      <w:pPr>
        <w:jc w:val="both"/>
        <w:rPr>
          <w:color w:val="000000"/>
          <w:sz w:val="28"/>
          <w:szCs w:val="28"/>
        </w:rPr>
      </w:pPr>
      <w:r w:rsidRPr="00DA1726">
        <w:rPr>
          <w:color w:val="000000"/>
          <w:sz w:val="28"/>
          <w:szCs w:val="28"/>
        </w:rPr>
        <w:t>i) Es necesario establecer previamente qué criterios aplican a cada régimen (contributivo y subsidiado), atendiendo las particularidades de cada uno de ellos.</w:t>
      </w:r>
    </w:p>
    <w:p w:rsidR="00095FB6" w:rsidRPr="00DA1726" w:rsidRDefault="00095FB6" w:rsidP="00DA1726">
      <w:pPr>
        <w:jc w:val="both"/>
        <w:rPr>
          <w:color w:val="000000"/>
          <w:sz w:val="28"/>
          <w:szCs w:val="28"/>
        </w:rPr>
      </w:pPr>
    </w:p>
    <w:p w:rsidR="00095FB6" w:rsidRPr="00DA1726" w:rsidRDefault="00095FB6" w:rsidP="00DA1726">
      <w:pPr>
        <w:jc w:val="both"/>
        <w:rPr>
          <w:color w:val="000000"/>
          <w:sz w:val="28"/>
          <w:szCs w:val="28"/>
        </w:rPr>
      </w:pPr>
      <w:r w:rsidRPr="00DA1726">
        <w:rPr>
          <w:color w:val="000000"/>
          <w:sz w:val="28"/>
          <w:szCs w:val="28"/>
        </w:rPr>
        <w:t>ii) Todos los parámetros de valoración deben ajustarse al nuevo sistema de exclusiones contemplado en el artículo 15 de la Ley 1751 de 2015.</w:t>
      </w:r>
    </w:p>
    <w:p w:rsidR="00095FB6" w:rsidRPr="00DA1726" w:rsidRDefault="00095FB6" w:rsidP="00DA1726">
      <w:pPr>
        <w:jc w:val="both"/>
        <w:rPr>
          <w:color w:val="000000"/>
          <w:sz w:val="28"/>
          <w:szCs w:val="28"/>
        </w:rPr>
      </w:pPr>
    </w:p>
    <w:p w:rsidR="00095FB6" w:rsidRPr="00DA1726" w:rsidRDefault="00095FB6" w:rsidP="00DA1726">
      <w:pPr>
        <w:jc w:val="both"/>
        <w:rPr>
          <w:color w:val="000000"/>
          <w:sz w:val="28"/>
          <w:szCs w:val="28"/>
        </w:rPr>
      </w:pPr>
      <w:r w:rsidRPr="00DA1726">
        <w:rPr>
          <w:color w:val="000000"/>
          <w:sz w:val="28"/>
          <w:szCs w:val="28"/>
        </w:rPr>
        <w:t>iii) La actualización debe atender la evolución propia del sistema de salud, así por ejemplo se debe dejar sin efectos todo aquello alusivo al Comité Técnico Científico, toda vez que ya no opera y hacer referencia al nuevo esquema contemplado en la Resolución 1328 de 2016.</w:t>
      </w:r>
    </w:p>
    <w:p w:rsidR="00095FB6" w:rsidRPr="00DA1726" w:rsidRDefault="00095FB6" w:rsidP="00DA1726">
      <w:pPr>
        <w:jc w:val="both"/>
        <w:rPr>
          <w:color w:val="000000"/>
          <w:sz w:val="28"/>
          <w:szCs w:val="28"/>
        </w:rPr>
      </w:pPr>
    </w:p>
    <w:p w:rsidR="00095FB6" w:rsidRPr="00DA1726" w:rsidRDefault="00095FB6" w:rsidP="00DA1726">
      <w:pPr>
        <w:jc w:val="both"/>
        <w:rPr>
          <w:color w:val="000000"/>
          <w:sz w:val="28"/>
          <w:szCs w:val="28"/>
        </w:rPr>
      </w:pPr>
      <w:r w:rsidRPr="00DA1726">
        <w:rPr>
          <w:color w:val="000000"/>
          <w:sz w:val="28"/>
          <w:szCs w:val="28"/>
        </w:rPr>
        <w:t>iv) Es indispensable establecer de manera conjunta entre los actores del sistema aquellos nuevos parámetros de valoración a partir de lo consagrado en la Ley 1751 de 2015 y la jurisprudencia constitucional (sentencia C-313 de 2014).</w:t>
      </w:r>
    </w:p>
    <w:p w:rsidR="00313E9F" w:rsidRPr="00DA1726" w:rsidRDefault="00313E9F" w:rsidP="00DA1726">
      <w:pPr>
        <w:jc w:val="both"/>
        <w:rPr>
          <w:color w:val="000000"/>
          <w:sz w:val="28"/>
          <w:szCs w:val="28"/>
          <w:lang w:val="es-ES"/>
        </w:rPr>
      </w:pPr>
    </w:p>
    <w:p w:rsidR="00313E9F" w:rsidRPr="00DA1726" w:rsidRDefault="00313E9F" w:rsidP="00DA1726">
      <w:pPr>
        <w:jc w:val="both"/>
        <w:rPr>
          <w:color w:val="000000"/>
          <w:sz w:val="28"/>
          <w:szCs w:val="28"/>
          <w:lang w:val="es-ES"/>
        </w:rPr>
      </w:pPr>
      <w:r w:rsidRPr="00DA1726">
        <w:rPr>
          <w:color w:val="000000"/>
          <w:sz w:val="28"/>
          <w:szCs w:val="28"/>
          <w:lang w:val="es-ES"/>
        </w:rPr>
        <w:t>En este contexto, es indispensable que los nuevos ejercicios de clasificación de las EPS se adelanten con base en la actualización de los parámetros de vulneración de acuerdo con el nuevo escenario propio de la evolución del sistema de salud. Entonces, ante la ausencia de los nuevo criterios de valoración, para la Sala es indispensable que el Ministerio adelante sesiones de trabajo que involucren a todos los actores del sistema, con el objetivo de evaluar, medir y cuantificar adecuadamente los 14 criterios definidos por la Corte y así establecer los nuevo lineamientos de evaluación, acorde con la actual normatividad y la jurisprudencia constitucional, trabajo que finalmente deberá ser puesto a disposición de la Corte Constitucional para su aprobación.</w:t>
      </w:r>
    </w:p>
    <w:p w:rsidR="00313E9F" w:rsidRPr="00DA1726" w:rsidRDefault="00313E9F" w:rsidP="00DA1726">
      <w:pPr>
        <w:jc w:val="both"/>
        <w:rPr>
          <w:color w:val="000000"/>
          <w:sz w:val="28"/>
          <w:szCs w:val="28"/>
          <w:lang w:val="es-ES"/>
        </w:rPr>
      </w:pPr>
    </w:p>
    <w:p w:rsidR="00A16CD6" w:rsidRPr="00DA1726" w:rsidRDefault="00313E9F" w:rsidP="00DA1726">
      <w:pPr>
        <w:jc w:val="both"/>
        <w:rPr>
          <w:color w:val="000000"/>
          <w:sz w:val="28"/>
          <w:szCs w:val="28"/>
          <w:lang w:val="es-ES"/>
        </w:rPr>
      </w:pPr>
      <w:r w:rsidRPr="00DA1726">
        <w:rPr>
          <w:sz w:val="28"/>
          <w:szCs w:val="28"/>
        </w:rPr>
        <w:t xml:space="preserve">Adicionalmente y con el fin de alcanzar una mejor redefinición de los criterios aludidos y a su vez auspiciar la participación directa en las diversas facetas que comporta este derecho fundamental, es necesario que el Ministerio de Salud y la Superintendencia de Salud presenten una propuesta metodológica a través de la cual se garantice a todas las personas la posibilidad de indicar cuándo una EPS incurre en una práctica violatoria del derecho a la salud, fórmula que debe superar la mera apertura de portales informáticos para expresarse, esto es, procurando la participación directa por parte de los usuarios más allá de los portales web. Lo anterior, </w:t>
      </w:r>
      <w:r w:rsidRPr="00DA1726">
        <w:rPr>
          <w:color w:val="000000"/>
          <w:sz w:val="28"/>
          <w:szCs w:val="28"/>
          <w:lang w:val="es-ES"/>
        </w:rPr>
        <w:t>teniendo</w:t>
      </w:r>
      <w:r w:rsidR="00A16CD6" w:rsidRPr="00DA1726">
        <w:rPr>
          <w:color w:val="000000"/>
          <w:sz w:val="28"/>
          <w:szCs w:val="28"/>
          <w:lang w:val="es-ES"/>
        </w:rPr>
        <w:t xml:space="preserve"> en cuenta lo dispuesto en el artículo 12 de la Ley 1751 de 2015, </w:t>
      </w:r>
      <w:r w:rsidR="00547D55" w:rsidRPr="00DA1726">
        <w:rPr>
          <w:color w:val="000000"/>
          <w:sz w:val="28"/>
          <w:szCs w:val="28"/>
          <w:lang w:val="es-ES"/>
        </w:rPr>
        <w:t xml:space="preserve">donde se </w:t>
      </w:r>
      <w:r w:rsidR="0026553A" w:rsidRPr="00DA1726">
        <w:rPr>
          <w:color w:val="000000"/>
          <w:sz w:val="28"/>
          <w:szCs w:val="28"/>
          <w:lang w:val="es-ES"/>
        </w:rPr>
        <w:t>establece q</w:t>
      </w:r>
      <w:r w:rsidR="00A16CD6" w:rsidRPr="00DA1726">
        <w:rPr>
          <w:color w:val="000000"/>
          <w:sz w:val="28"/>
          <w:szCs w:val="28"/>
          <w:lang w:val="es-ES"/>
        </w:rPr>
        <w:t>ue los agentes del sistema d</w:t>
      </w:r>
      <w:r w:rsidR="00547D55" w:rsidRPr="00DA1726">
        <w:rPr>
          <w:color w:val="000000"/>
          <w:sz w:val="28"/>
          <w:szCs w:val="28"/>
          <w:lang w:val="es-ES"/>
        </w:rPr>
        <w:t>e salud</w:t>
      </w:r>
      <w:r w:rsidR="00A16CD6" w:rsidRPr="00DA1726">
        <w:rPr>
          <w:color w:val="000000"/>
          <w:sz w:val="28"/>
          <w:szCs w:val="28"/>
          <w:lang w:val="es-ES"/>
        </w:rPr>
        <w:t xml:space="preserve"> </w:t>
      </w:r>
      <w:r w:rsidR="0026553A" w:rsidRPr="00DA1726">
        <w:rPr>
          <w:color w:val="000000"/>
          <w:sz w:val="28"/>
          <w:szCs w:val="28"/>
          <w:lang w:val="es-ES"/>
        </w:rPr>
        <w:t>tienen</w:t>
      </w:r>
      <w:r w:rsidR="00A16CD6" w:rsidRPr="00DA1726">
        <w:rPr>
          <w:color w:val="000000"/>
          <w:sz w:val="28"/>
          <w:szCs w:val="28"/>
          <w:lang w:val="es-ES"/>
        </w:rPr>
        <w:t xml:space="preserve"> derecho a participar en las decisiones que los afectan de manera </w:t>
      </w:r>
      <w:r w:rsidR="00A16CD6" w:rsidRPr="00DA1726">
        <w:rPr>
          <w:sz w:val="28"/>
          <w:szCs w:val="28"/>
        </w:rPr>
        <w:t>efectiva, continua, activa en formulación de la política de salud y en los planes p</w:t>
      </w:r>
      <w:r w:rsidRPr="00DA1726">
        <w:rPr>
          <w:sz w:val="28"/>
          <w:szCs w:val="28"/>
        </w:rPr>
        <w:t>ara su implementación.</w:t>
      </w:r>
    </w:p>
    <w:p w:rsidR="00614921" w:rsidRPr="00DA1726" w:rsidRDefault="00614921" w:rsidP="00DA1726">
      <w:pPr>
        <w:jc w:val="both"/>
        <w:rPr>
          <w:color w:val="000000"/>
          <w:sz w:val="28"/>
          <w:szCs w:val="28"/>
          <w:lang w:val="es-ES"/>
        </w:rPr>
      </w:pPr>
    </w:p>
    <w:p w:rsidR="00565DA0" w:rsidRPr="00DA1726" w:rsidRDefault="00565DA0" w:rsidP="00DA1726">
      <w:pPr>
        <w:jc w:val="both"/>
        <w:rPr>
          <w:color w:val="000000"/>
          <w:sz w:val="28"/>
          <w:szCs w:val="28"/>
        </w:rPr>
      </w:pPr>
      <w:r w:rsidRPr="00DA1726">
        <w:rPr>
          <w:color w:val="000000"/>
          <w:sz w:val="28"/>
          <w:szCs w:val="28"/>
        </w:rPr>
        <w:t>Sobre el particular es indispensable tener en cuenta que la sentencia C-313 de 2014 la Corte Constitucional estableció que la participación a la que se refiere el Art. 12 implica que los agentes del sistema en el marco del modelo democrático cuentan con el derecho a participar de manera efectiva, continua, activa, fijar prioridades, evaluar resultados, participar en las decisiones sobre exclusión de servicios y tecnologías, participar en decisiones que puedan significar una limitación o restricción en las condiciones de acceso a establecimientos de salud y, en fin, involucrarse ciertamente en los programas y estrategias propias del derecho a la salud</w:t>
      </w:r>
      <w:r w:rsidR="0051646B" w:rsidRPr="00DA1726">
        <w:rPr>
          <w:color w:val="000000"/>
          <w:sz w:val="28"/>
          <w:szCs w:val="28"/>
        </w:rPr>
        <w:t>.</w:t>
      </w:r>
    </w:p>
    <w:p w:rsidR="00565DA0" w:rsidRPr="00DA1726" w:rsidRDefault="00565DA0" w:rsidP="00DA1726">
      <w:pPr>
        <w:jc w:val="both"/>
        <w:rPr>
          <w:color w:val="000000"/>
          <w:sz w:val="28"/>
          <w:szCs w:val="28"/>
          <w:lang w:val="es-ES"/>
        </w:rPr>
      </w:pPr>
    </w:p>
    <w:p w:rsidR="00565DA0" w:rsidRPr="00DA1726" w:rsidRDefault="0051646B" w:rsidP="00DA1726">
      <w:pPr>
        <w:jc w:val="both"/>
        <w:rPr>
          <w:color w:val="000000"/>
          <w:sz w:val="28"/>
          <w:szCs w:val="28"/>
          <w:lang w:val="es-ES"/>
        </w:rPr>
      </w:pPr>
      <w:r w:rsidRPr="00DA1726">
        <w:rPr>
          <w:color w:val="000000"/>
          <w:sz w:val="28"/>
          <w:szCs w:val="28"/>
        </w:rPr>
        <w:t xml:space="preserve">Además esta garantía se debe otorgar de manera </w:t>
      </w:r>
      <w:r w:rsidR="00565DA0" w:rsidRPr="00DA1726">
        <w:rPr>
          <w:color w:val="000000"/>
          <w:sz w:val="28"/>
          <w:szCs w:val="28"/>
        </w:rPr>
        <w:t xml:space="preserve">realizable, necesaria y posible en </w:t>
      </w:r>
      <w:r w:rsidR="00565DA0" w:rsidRPr="00DA1726">
        <w:rPr>
          <w:i/>
          <w:color w:val="000000"/>
          <w:sz w:val="28"/>
          <w:szCs w:val="28"/>
        </w:rPr>
        <w:t>“los asuntos relacionados con la salud”</w:t>
      </w:r>
      <w:r w:rsidR="00565DA0" w:rsidRPr="00DA1726">
        <w:rPr>
          <w:color w:val="000000"/>
          <w:sz w:val="28"/>
          <w:szCs w:val="28"/>
        </w:rPr>
        <w:t xml:space="preserve"> (Observación 14), con lo cual, se desarrolla de mejor modo la Constitución, </w:t>
      </w:r>
      <w:r w:rsidRPr="00DA1726">
        <w:rPr>
          <w:color w:val="000000"/>
          <w:sz w:val="28"/>
          <w:szCs w:val="28"/>
        </w:rPr>
        <w:t>atendiendo la o</w:t>
      </w:r>
      <w:r w:rsidRPr="00DA1726">
        <w:rPr>
          <w:sz w:val="28"/>
          <w:szCs w:val="28"/>
        </w:rPr>
        <w:t xml:space="preserve">bservación 14, que en su párrafo 54, señala como deber gubernamental reconocer el derecho de los grupos y las personas “(…) </w:t>
      </w:r>
      <w:r w:rsidRPr="00DA1726">
        <w:rPr>
          <w:i/>
          <w:color w:val="000000"/>
          <w:sz w:val="28"/>
          <w:szCs w:val="28"/>
          <w:shd w:val="clear" w:color="auto" w:fill="FFFFFF"/>
        </w:rPr>
        <w:t>a participar en el proceso de adopción de decisiones que puedan afectar a su desarrollo (…)”</w:t>
      </w:r>
      <w:r w:rsidRPr="00DA1726">
        <w:rPr>
          <w:color w:val="000000"/>
          <w:sz w:val="28"/>
          <w:szCs w:val="28"/>
          <w:shd w:val="clear" w:color="auto" w:fill="FFFFFF"/>
        </w:rPr>
        <w:t>.</w:t>
      </w:r>
    </w:p>
    <w:p w:rsidR="00565DA0" w:rsidRPr="00DA1726" w:rsidRDefault="00565DA0" w:rsidP="00DA1726">
      <w:pPr>
        <w:jc w:val="both"/>
        <w:rPr>
          <w:color w:val="000000"/>
          <w:sz w:val="28"/>
          <w:szCs w:val="28"/>
          <w:lang w:val="es-ES"/>
        </w:rPr>
      </w:pPr>
    </w:p>
    <w:p w:rsidR="007E0D2E" w:rsidRPr="00DA1726" w:rsidRDefault="007E0D2E" w:rsidP="00DA1726">
      <w:pPr>
        <w:jc w:val="both"/>
        <w:rPr>
          <w:color w:val="000000"/>
          <w:sz w:val="28"/>
          <w:szCs w:val="28"/>
          <w:lang w:val="es-ES"/>
        </w:rPr>
      </w:pPr>
      <w:r w:rsidRPr="00DA1726">
        <w:rPr>
          <w:color w:val="000000"/>
          <w:sz w:val="28"/>
          <w:szCs w:val="28"/>
          <w:lang w:val="es-ES"/>
        </w:rPr>
        <w:t>En este contexto, se hace indispensable que el plan metodológico que se diseñe involucre todos estos aspectos en orden a garantizar la participación de los grupos y los usuarios individualmente considerados, a través de diversos canales.</w:t>
      </w:r>
    </w:p>
    <w:p w:rsidR="007E0D2E" w:rsidRPr="00DA1726" w:rsidRDefault="007E0D2E" w:rsidP="00DA1726">
      <w:pPr>
        <w:jc w:val="both"/>
        <w:rPr>
          <w:color w:val="000000"/>
          <w:sz w:val="28"/>
          <w:szCs w:val="28"/>
          <w:lang w:val="es-ES"/>
        </w:rPr>
      </w:pPr>
    </w:p>
    <w:p w:rsidR="008F2F5F" w:rsidRPr="00DA1726" w:rsidRDefault="00EE44A7" w:rsidP="00DA1726">
      <w:pPr>
        <w:pStyle w:val="Prrafodelista"/>
        <w:tabs>
          <w:tab w:val="left" w:pos="567"/>
        </w:tabs>
        <w:ind w:left="0"/>
        <w:jc w:val="both"/>
        <w:rPr>
          <w:b/>
          <w:sz w:val="28"/>
          <w:szCs w:val="28"/>
        </w:rPr>
      </w:pPr>
      <w:r w:rsidRPr="00DA1726">
        <w:rPr>
          <w:b/>
          <w:sz w:val="28"/>
          <w:szCs w:val="28"/>
        </w:rPr>
        <w:t>5</w:t>
      </w:r>
      <w:r w:rsidR="008F2F5F" w:rsidRPr="00DA1726">
        <w:rPr>
          <w:b/>
          <w:sz w:val="28"/>
          <w:szCs w:val="28"/>
        </w:rPr>
        <w:t xml:space="preserve">.2. </w:t>
      </w:r>
      <w:r w:rsidRPr="00DA1726">
        <w:rPr>
          <w:b/>
          <w:i/>
          <w:sz w:val="28"/>
          <w:szCs w:val="28"/>
        </w:rPr>
        <w:t>Rankin</w:t>
      </w:r>
      <w:r w:rsidR="001B66E4" w:rsidRPr="00DA1726">
        <w:rPr>
          <w:b/>
          <w:i/>
          <w:sz w:val="28"/>
          <w:szCs w:val="28"/>
        </w:rPr>
        <w:t>g</w:t>
      </w:r>
      <w:r w:rsidRPr="00DA1726">
        <w:rPr>
          <w:b/>
          <w:i/>
          <w:sz w:val="28"/>
          <w:szCs w:val="28"/>
        </w:rPr>
        <w:t xml:space="preserve"> de i</w:t>
      </w:r>
      <w:r w:rsidR="008F2F5F" w:rsidRPr="00DA1726">
        <w:rPr>
          <w:b/>
          <w:i/>
          <w:sz w:val="28"/>
          <w:szCs w:val="28"/>
        </w:rPr>
        <w:t>nstituciones prestadoras de salud.</w:t>
      </w:r>
    </w:p>
    <w:p w:rsidR="008F2F5F" w:rsidRPr="00DA1726" w:rsidRDefault="008F2F5F" w:rsidP="00DA1726">
      <w:pPr>
        <w:pStyle w:val="Prrafodelista"/>
        <w:tabs>
          <w:tab w:val="left" w:pos="567"/>
        </w:tabs>
        <w:ind w:left="0"/>
        <w:jc w:val="both"/>
        <w:rPr>
          <w:sz w:val="28"/>
          <w:szCs w:val="28"/>
        </w:rPr>
      </w:pPr>
    </w:p>
    <w:p w:rsidR="008F2F5F" w:rsidRPr="00DA1726" w:rsidRDefault="00EE44A7" w:rsidP="00DA1726">
      <w:pPr>
        <w:pStyle w:val="Prrafodelista"/>
        <w:tabs>
          <w:tab w:val="left" w:pos="567"/>
        </w:tabs>
        <w:ind w:left="0"/>
        <w:jc w:val="both"/>
        <w:rPr>
          <w:i/>
          <w:sz w:val="28"/>
          <w:szCs w:val="28"/>
        </w:rPr>
      </w:pPr>
      <w:r w:rsidRPr="00DA1726">
        <w:rPr>
          <w:i/>
          <w:sz w:val="28"/>
          <w:szCs w:val="28"/>
        </w:rPr>
        <w:t>5</w:t>
      </w:r>
      <w:r w:rsidR="008F2F5F" w:rsidRPr="00DA1726">
        <w:rPr>
          <w:i/>
          <w:sz w:val="28"/>
          <w:szCs w:val="28"/>
        </w:rPr>
        <w:t>.2.1. Aspectos específicos establecidos por la Corte Constitucional en la sentencia T-760 de 2008 y sus autos de seguimiento.</w:t>
      </w:r>
    </w:p>
    <w:p w:rsidR="008F2F5F" w:rsidRPr="00DA1726" w:rsidRDefault="008F2F5F" w:rsidP="00DA1726">
      <w:pPr>
        <w:pStyle w:val="Sinespaciado"/>
        <w:tabs>
          <w:tab w:val="left" w:pos="851"/>
        </w:tabs>
        <w:jc w:val="both"/>
        <w:rPr>
          <w:rFonts w:ascii="Times New Roman" w:hAnsi="Times New Roman"/>
          <w:color w:val="000000"/>
          <w:sz w:val="28"/>
          <w:szCs w:val="28"/>
        </w:rPr>
      </w:pPr>
    </w:p>
    <w:p w:rsidR="008F2F5F" w:rsidRPr="00DA1726" w:rsidRDefault="008F2F5F" w:rsidP="00DA1726">
      <w:pPr>
        <w:jc w:val="both"/>
        <w:rPr>
          <w:iCs/>
          <w:sz w:val="28"/>
          <w:szCs w:val="28"/>
        </w:rPr>
      </w:pPr>
      <w:r w:rsidRPr="00DA1726">
        <w:rPr>
          <w:sz w:val="28"/>
          <w:szCs w:val="28"/>
        </w:rPr>
        <w:t xml:space="preserve">En la sentencia </w:t>
      </w:r>
      <w:r w:rsidRPr="00DA1726">
        <w:rPr>
          <w:b/>
          <w:sz w:val="28"/>
          <w:szCs w:val="28"/>
        </w:rPr>
        <w:t>T-760 de 2008</w:t>
      </w:r>
      <w:r w:rsidRPr="00DA1726">
        <w:rPr>
          <w:sz w:val="28"/>
          <w:szCs w:val="28"/>
        </w:rPr>
        <w:t xml:space="preserve"> se ordenó a la Superintendencia Nacional de Salud y al Ministerio de Salud y Protección Social que adoptaran las medidas necesarias para identificar no solo las EPS sino también las IPS que con mayor frecuencia incurren en </w:t>
      </w:r>
      <w:r w:rsidRPr="00DA1726">
        <w:rPr>
          <w:iCs/>
          <w:sz w:val="28"/>
          <w:szCs w:val="28"/>
        </w:rPr>
        <w:t xml:space="preserve">prácticas violatorias del derecho a la salud, con el fin de que las personas cuenten con un elemento de juicio ecuánime que les permita elegir la opción que les garantice en mayor medida el goce efectivo de su derecho. </w:t>
      </w:r>
    </w:p>
    <w:p w:rsidR="008F2F5F" w:rsidRPr="00DA1726" w:rsidRDefault="008F2F5F" w:rsidP="00DA1726">
      <w:pPr>
        <w:jc w:val="both"/>
        <w:rPr>
          <w:iCs/>
          <w:sz w:val="28"/>
          <w:szCs w:val="28"/>
        </w:rPr>
      </w:pPr>
    </w:p>
    <w:p w:rsidR="008F2F5F" w:rsidRPr="00DA1726" w:rsidRDefault="008F2F5F" w:rsidP="00DA1726">
      <w:pPr>
        <w:pStyle w:val="Sinespaciado3"/>
        <w:tabs>
          <w:tab w:val="num" w:pos="360"/>
        </w:tabs>
        <w:jc w:val="both"/>
        <w:rPr>
          <w:rFonts w:ascii="Times New Roman" w:hAnsi="Times New Roman"/>
          <w:sz w:val="28"/>
          <w:szCs w:val="28"/>
          <w:lang w:val="es-ES"/>
        </w:rPr>
      </w:pPr>
      <w:r w:rsidRPr="00DA1726">
        <w:rPr>
          <w:rFonts w:ascii="Times New Roman" w:hAnsi="Times New Roman"/>
          <w:sz w:val="28"/>
          <w:szCs w:val="28"/>
        </w:rPr>
        <w:t xml:space="preserve">En el </w:t>
      </w:r>
      <w:r w:rsidRPr="00DA1726">
        <w:rPr>
          <w:rFonts w:ascii="Times New Roman" w:hAnsi="Times New Roman"/>
          <w:b/>
          <w:sz w:val="28"/>
          <w:szCs w:val="28"/>
        </w:rPr>
        <w:t>Auto 044 de 2012,</w:t>
      </w:r>
      <w:r w:rsidRPr="00DA1726">
        <w:rPr>
          <w:rFonts w:ascii="Times New Roman" w:hAnsi="Times New Roman"/>
          <w:sz w:val="28"/>
          <w:szCs w:val="28"/>
        </w:rPr>
        <w:t xml:space="preserve"> </w:t>
      </w:r>
      <w:r w:rsidRPr="00DA1726">
        <w:rPr>
          <w:rFonts w:ascii="Times New Roman" w:hAnsi="Times New Roman"/>
          <w:sz w:val="28"/>
          <w:szCs w:val="28"/>
          <w:lang w:val="es-ES"/>
        </w:rPr>
        <w:t>se especificó que para que las entidades responsables cumplan materialmente con lo dispuesto en la orden vigésima, deben identificar</w:t>
      </w:r>
      <w:r w:rsidR="006C0C2D" w:rsidRPr="00DA1726">
        <w:rPr>
          <w:rFonts w:ascii="Times New Roman" w:hAnsi="Times New Roman"/>
          <w:sz w:val="28"/>
          <w:szCs w:val="28"/>
          <w:lang w:val="es-ES"/>
        </w:rPr>
        <w:t xml:space="preserve"> las</w:t>
      </w:r>
      <w:r w:rsidRPr="00DA1726">
        <w:rPr>
          <w:rFonts w:ascii="Times New Roman" w:hAnsi="Times New Roman"/>
          <w:sz w:val="28"/>
          <w:szCs w:val="28"/>
          <w:lang w:val="es-ES"/>
        </w:rPr>
        <w:t xml:space="preserve"> IPS que con mayor frecuencia incurran en las 14 prácticas violatorias que fueron identificadas y que han sido utilizadas reiteradamente por las autoridades encargadas de cumplir con el mandato de la Corte</w:t>
      </w:r>
      <w:r w:rsidR="006C0C2D" w:rsidRPr="00DA1726">
        <w:rPr>
          <w:rFonts w:ascii="Times New Roman" w:hAnsi="Times New Roman"/>
          <w:sz w:val="28"/>
          <w:szCs w:val="28"/>
          <w:lang w:val="es-ES"/>
        </w:rPr>
        <w:t>.</w:t>
      </w:r>
    </w:p>
    <w:p w:rsidR="008F2F5F" w:rsidRPr="00DA1726" w:rsidRDefault="008F2F5F" w:rsidP="00DA1726">
      <w:pPr>
        <w:jc w:val="both"/>
        <w:rPr>
          <w:sz w:val="28"/>
          <w:szCs w:val="28"/>
          <w:lang w:val="es-ES"/>
        </w:rPr>
      </w:pPr>
    </w:p>
    <w:p w:rsidR="008F2F5F" w:rsidRPr="00DA1726" w:rsidRDefault="006C0C2D" w:rsidP="00DA1726">
      <w:pPr>
        <w:jc w:val="both"/>
        <w:rPr>
          <w:iCs/>
          <w:sz w:val="28"/>
          <w:szCs w:val="28"/>
        </w:rPr>
      </w:pPr>
      <w:r w:rsidRPr="00DA1726">
        <w:rPr>
          <w:sz w:val="28"/>
          <w:szCs w:val="28"/>
          <w:lang w:val="es-ES"/>
        </w:rPr>
        <w:t xml:space="preserve">Por su parte en el </w:t>
      </w:r>
      <w:r w:rsidR="008F2F5F" w:rsidRPr="00DA1726">
        <w:rPr>
          <w:b/>
          <w:sz w:val="28"/>
          <w:szCs w:val="28"/>
          <w:lang w:val="es-ES"/>
        </w:rPr>
        <w:t>Auto 249 de 2013</w:t>
      </w:r>
      <w:r w:rsidR="008F2F5F" w:rsidRPr="00DA1726">
        <w:rPr>
          <w:sz w:val="28"/>
          <w:szCs w:val="28"/>
          <w:lang w:val="es-ES"/>
        </w:rPr>
        <w:t xml:space="preserve">, se llamó la atención de las autoridades concernidas para que presentaran un acatamiento pleno del fallo estructural, el cual obedece a </w:t>
      </w:r>
      <w:r w:rsidR="008F2F5F" w:rsidRPr="00DA1726">
        <w:rPr>
          <w:iCs/>
          <w:sz w:val="28"/>
          <w:szCs w:val="28"/>
        </w:rPr>
        <w:t>la ordenación no solo de EPS sino también de IPS.</w:t>
      </w:r>
    </w:p>
    <w:p w:rsidR="008F2F5F" w:rsidRPr="00DA1726" w:rsidRDefault="008F2F5F" w:rsidP="00DA1726">
      <w:pPr>
        <w:jc w:val="both"/>
        <w:rPr>
          <w:iCs/>
          <w:sz w:val="28"/>
          <w:szCs w:val="28"/>
        </w:rPr>
      </w:pPr>
    </w:p>
    <w:p w:rsidR="008F2F5F" w:rsidRPr="00DA1726" w:rsidRDefault="006C0C2D" w:rsidP="00DA1726">
      <w:pPr>
        <w:pStyle w:val="Sinespaciado"/>
        <w:tabs>
          <w:tab w:val="left" w:pos="851"/>
        </w:tabs>
        <w:jc w:val="both"/>
        <w:rPr>
          <w:rFonts w:ascii="Times New Roman" w:hAnsi="Times New Roman"/>
          <w:sz w:val="28"/>
          <w:szCs w:val="28"/>
        </w:rPr>
      </w:pPr>
      <w:r w:rsidRPr="00DA1726">
        <w:rPr>
          <w:rFonts w:ascii="Times New Roman" w:hAnsi="Times New Roman"/>
          <w:color w:val="000000"/>
          <w:sz w:val="28"/>
          <w:szCs w:val="28"/>
        </w:rPr>
        <w:t xml:space="preserve">Finalmente, en el </w:t>
      </w:r>
      <w:r w:rsidRPr="00DA1726">
        <w:rPr>
          <w:rFonts w:ascii="Times New Roman" w:hAnsi="Times New Roman"/>
          <w:b/>
          <w:color w:val="000000"/>
          <w:sz w:val="28"/>
          <w:szCs w:val="28"/>
        </w:rPr>
        <w:t>Auto 412 de 2015</w:t>
      </w:r>
      <w:r w:rsidR="008F2F5F" w:rsidRPr="00DA1726">
        <w:rPr>
          <w:rFonts w:ascii="Times New Roman" w:hAnsi="Times New Roman"/>
          <w:color w:val="000000"/>
          <w:sz w:val="28"/>
          <w:szCs w:val="28"/>
        </w:rPr>
        <w:t>,</w:t>
      </w:r>
      <w:r w:rsidRPr="00DA1726">
        <w:rPr>
          <w:rFonts w:ascii="Times New Roman" w:hAnsi="Times New Roman"/>
          <w:color w:val="000000"/>
          <w:sz w:val="28"/>
          <w:szCs w:val="28"/>
        </w:rPr>
        <w:t xml:space="preserve"> se hizo alusión a </w:t>
      </w:r>
      <w:r w:rsidR="008F2F5F" w:rsidRPr="00DA1726">
        <w:rPr>
          <w:rFonts w:ascii="Times New Roman" w:hAnsi="Times New Roman"/>
          <w:color w:val="000000"/>
          <w:sz w:val="28"/>
          <w:szCs w:val="28"/>
        </w:rPr>
        <w:t>los parámetros para definir el escalafón de IPS en virtud del mandato vigésimo de l</w:t>
      </w:r>
      <w:r w:rsidRPr="00DA1726">
        <w:rPr>
          <w:rFonts w:ascii="Times New Roman" w:hAnsi="Times New Roman"/>
          <w:color w:val="000000"/>
          <w:sz w:val="28"/>
          <w:szCs w:val="28"/>
        </w:rPr>
        <w:t>a s</w:t>
      </w:r>
      <w:r w:rsidR="008F2F5F" w:rsidRPr="00DA1726">
        <w:rPr>
          <w:rFonts w:ascii="Times New Roman" w:hAnsi="Times New Roman"/>
          <w:color w:val="000000"/>
          <w:sz w:val="28"/>
          <w:szCs w:val="28"/>
        </w:rPr>
        <w:t>entencia T-760 de 2008</w:t>
      </w:r>
      <w:r w:rsidRPr="00DA1726">
        <w:rPr>
          <w:rFonts w:ascii="Times New Roman" w:hAnsi="Times New Roman"/>
          <w:color w:val="000000"/>
          <w:sz w:val="28"/>
          <w:szCs w:val="28"/>
        </w:rPr>
        <w:t>, se aceptó</w:t>
      </w:r>
      <w:r w:rsidR="008F2F5F" w:rsidRPr="00DA1726">
        <w:rPr>
          <w:rFonts w:ascii="Times New Roman" w:hAnsi="Times New Roman"/>
          <w:color w:val="000000"/>
          <w:sz w:val="28"/>
          <w:szCs w:val="28"/>
        </w:rPr>
        <w:t xml:space="preserve"> la </w:t>
      </w:r>
      <w:r w:rsidR="008F2F5F" w:rsidRPr="00DA1726">
        <w:rPr>
          <w:rFonts w:ascii="Times New Roman" w:hAnsi="Times New Roman"/>
          <w:sz w:val="28"/>
          <w:szCs w:val="28"/>
        </w:rPr>
        <w:t xml:space="preserve">inaplicabilidad de los 14 parámetros </w:t>
      </w:r>
      <w:r w:rsidRPr="00DA1726">
        <w:rPr>
          <w:rFonts w:ascii="Times New Roman" w:hAnsi="Times New Roman"/>
          <w:sz w:val="28"/>
          <w:szCs w:val="28"/>
        </w:rPr>
        <w:t xml:space="preserve">para elaborar el </w:t>
      </w:r>
      <w:r w:rsidR="008D66F1" w:rsidRPr="00DA1726">
        <w:rPr>
          <w:rFonts w:ascii="Times New Roman" w:hAnsi="Times New Roman"/>
          <w:i/>
          <w:sz w:val="28"/>
          <w:szCs w:val="28"/>
        </w:rPr>
        <w:t>ranking</w:t>
      </w:r>
      <w:r w:rsidR="008F2F5F" w:rsidRPr="00DA1726">
        <w:rPr>
          <w:rFonts w:ascii="Times New Roman" w:hAnsi="Times New Roman"/>
          <w:sz w:val="28"/>
          <w:szCs w:val="28"/>
        </w:rPr>
        <w:t xml:space="preserve"> de las prestadoras</w:t>
      </w:r>
      <w:r w:rsidRPr="00DA1726">
        <w:rPr>
          <w:rFonts w:ascii="Times New Roman" w:hAnsi="Times New Roman"/>
          <w:sz w:val="28"/>
          <w:szCs w:val="28"/>
        </w:rPr>
        <w:t xml:space="preserve"> y ante la falta de </w:t>
      </w:r>
      <w:r w:rsidR="008F2F5F" w:rsidRPr="00DA1726">
        <w:rPr>
          <w:rFonts w:ascii="Times New Roman" w:hAnsi="Times New Roman"/>
          <w:sz w:val="28"/>
          <w:szCs w:val="28"/>
        </w:rPr>
        <w:t xml:space="preserve">una propuesta clara de los parámetros más precisos que deberían regir la ordenación en cumplimiento del mandato vigésimo, se ordenó al </w:t>
      </w:r>
      <w:r w:rsidR="008F2F5F" w:rsidRPr="00DA1726">
        <w:rPr>
          <w:rFonts w:ascii="Times New Roman" w:hAnsi="Times New Roman"/>
          <w:sz w:val="28"/>
          <w:szCs w:val="28"/>
          <w:lang w:val="es-ES_tradnl"/>
        </w:rPr>
        <w:t xml:space="preserve">Ministerio de Salud y Protección Social, así como a la Superintendencia Nacional de Salud </w:t>
      </w:r>
      <w:r w:rsidR="008F2F5F" w:rsidRPr="00DA1726">
        <w:rPr>
          <w:rFonts w:ascii="Times New Roman" w:hAnsi="Times New Roman"/>
          <w:sz w:val="28"/>
          <w:szCs w:val="28"/>
        </w:rPr>
        <w:t xml:space="preserve">la implementación de la propuesta para </w:t>
      </w:r>
      <w:r w:rsidR="008D66F1" w:rsidRPr="00DA1726">
        <w:rPr>
          <w:rFonts w:ascii="Times New Roman" w:hAnsi="Times New Roman"/>
          <w:sz w:val="28"/>
          <w:szCs w:val="28"/>
        </w:rPr>
        <w:t>su elaboración</w:t>
      </w:r>
      <w:r w:rsidR="008F2F5F" w:rsidRPr="00DA1726">
        <w:rPr>
          <w:rFonts w:ascii="Times New Roman" w:hAnsi="Times New Roman"/>
          <w:i/>
          <w:sz w:val="28"/>
          <w:szCs w:val="28"/>
        </w:rPr>
        <w:t>.</w:t>
      </w:r>
    </w:p>
    <w:p w:rsidR="008F2F5F" w:rsidRPr="00DA1726" w:rsidRDefault="008F2F5F" w:rsidP="00DA1726">
      <w:pPr>
        <w:jc w:val="both"/>
        <w:rPr>
          <w:sz w:val="28"/>
          <w:szCs w:val="28"/>
        </w:rPr>
      </w:pPr>
    </w:p>
    <w:p w:rsidR="006C0C2D" w:rsidRPr="00DA1726" w:rsidRDefault="00E20D49" w:rsidP="00DA1726">
      <w:pPr>
        <w:jc w:val="both"/>
        <w:rPr>
          <w:i/>
          <w:sz w:val="28"/>
          <w:szCs w:val="28"/>
        </w:rPr>
      </w:pPr>
      <w:r w:rsidRPr="00DA1726">
        <w:rPr>
          <w:i/>
          <w:sz w:val="28"/>
          <w:szCs w:val="28"/>
        </w:rPr>
        <w:t>5</w:t>
      </w:r>
      <w:r w:rsidR="006C0C2D" w:rsidRPr="00DA1726">
        <w:rPr>
          <w:i/>
          <w:sz w:val="28"/>
          <w:szCs w:val="28"/>
        </w:rPr>
        <w:t>.2.2. Informes de cumplimiento del Ministerio de Salud y Protección Social y la Superintendencia Nacional de Salud.</w:t>
      </w:r>
    </w:p>
    <w:p w:rsidR="008F2F5F" w:rsidRPr="00DA1726" w:rsidRDefault="008F2F5F" w:rsidP="00DA1726">
      <w:pPr>
        <w:pStyle w:val="Sinespaciado"/>
        <w:tabs>
          <w:tab w:val="left" w:pos="851"/>
        </w:tabs>
        <w:jc w:val="both"/>
        <w:rPr>
          <w:rFonts w:ascii="Times New Roman" w:hAnsi="Times New Roman"/>
          <w:color w:val="000000"/>
          <w:sz w:val="28"/>
          <w:szCs w:val="28"/>
        </w:rPr>
      </w:pPr>
    </w:p>
    <w:p w:rsidR="00057C57" w:rsidRPr="00DA1726" w:rsidRDefault="00E20D49" w:rsidP="00DA1726">
      <w:pPr>
        <w:pStyle w:val="Style9"/>
        <w:widowControl/>
        <w:ind w:right="51"/>
        <w:rPr>
          <w:rFonts w:ascii="Times New Roman" w:hAnsi="Times New Roman"/>
          <w:i/>
          <w:sz w:val="28"/>
          <w:szCs w:val="28"/>
        </w:rPr>
      </w:pPr>
      <w:r w:rsidRPr="00DA1726">
        <w:rPr>
          <w:rFonts w:ascii="Times New Roman" w:hAnsi="Times New Roman"/>
          <w:i/>
          <w:sz w:val="28"/>
          <w:szCs w:val="28"/>
        </w:rPr>
        <w:t>5</w:t>
      </w:r>
      <w:r w:rsidR="00B71776" w:rsidRPr="00DA1726">
        <w:rPr>
          <w:rFonts w:ascii="Times New Roman" w:hAnsi="Times New Roman"/>
          <w:i/>
          <w:sz w:val="28"/>
          <w:szCs w:val="28"/>
        </w:rPr>
        <w:t xml:space="preserve">.2.2.1. </w:t>
      </w:r>
      <w:r w:rsidR="00057C57" w:rsidRPr="00DA1726">
        <w:rPr>
          <w:rFonts w:ascii="Times New Roman" w:hAnsi="Times New Roman"/>
          <w:i/>
          <w:sz w:val="28"/>
          <w:szCs w:val="28"/>
        </w:rPr>
        <w:t>Informe de cumplimiento presentado el 27 de octubre de 2015</w:t>
      </w:r>
      <w:r w:rsidR="00BA7C58" w:rsidRPr="00DA1726">
        <w:rPr>
          <w:rFonts w:ascii="Times New Roman" w:hAnsi="Times New Roman"/>
          <w:i/>
          <w:sz w:val="28"/>
          <w:szCs w:val="28"/>
        </w:rPr>
        <w:t xml:space="preserve"> (respuesta Auto 412 de 2015)</w:t>
      </w:r>
      <w:r w:rsidR="00057C57" w:rsidRPr="00DA1726">
        <w:rPr>
          <w:rFonts w:ascii="Times New Roman" w:hAnsi="Times New Roman"/>
          <w:i/>
          <w:sz w:val="28"/>
          <w:szCs w:val="28"/>
        </w:rPr>
        <w:t>.</w:t>
      </w:r>
    </w:p>
    <w:p w:rsidR="00057C57" w:rsidRPr="00DA1726" w:rsidRDefault="00057C57" w:rsidP="00DA1726">
      <w:pPr>
        <w:pStyle w:val="Style9"/>
        <w:widowControl/>
        <w:ind w:right="51"/>
        <w:rPr>
          <w:rFonts w:ascii="Times New Roman" w:hAnsi="Times New Roman"/>
          <w:sz w:val="28"/>
          <w:szCs w:val="28"/>
        </w:rPr>
      </w:pPr>
    </w:p>
    <w:p w:rsidR="00B71776" w:rsidRPr="00DA1726" w:rsidRDefault="00057C57" w:rsidP="00DA1726">
      <w:pPr>
        <w:jc w:val="both"/>
        <w:rPr>
          <w:i/>
          <w:sz w:val="28"/>
          <w:szCs w:val="28"/>
          <w:lang w:val="es-ES_tradnl"/>
        </w:rPr>
      </w:pPr>
      <w:r w:rsidRPr="00DA1726">
        <w:rPr>
          <w:sz w:val="28"/>
          <w:szCs w:val="28"/>
          <w:lang w:val="es-ES"/>
        </w:rPr>
        <w:t>En este documento se presentó la metodología</w:t>
      </w:r>
      <w:r w:rsidR="00B71776" w:rsidRPr="00DA1726">
        <w:rPr>
          <w:sz w:val="28"/>
          <w:szCs w:val="28"/>
          <w:lang w:val="es-ES_tradnl"/>
        </w:rPr>
        <w:t xml:space="preserve"> para recopilar elementos empíricos que permitan evaluar el grado de aceptación, entendimiento y la utilidad que la ordenación de </w:t>
      </w:r>
      <w:r w:rsidRPr="00DA1726">
        <w:rPr>
          <w:sz w:val="28"/>
          <w:szCs w:val="28"/>
          <w:lang w:val="es-ES_tradnl"/>
        </w:rPr>
        <w:t>IPS</w:t>
      </w:r>
      <w:r w:rsidR="00B71776" w:rsidRPr="00DA1726">
        <w:rPr>
          <w:sz w:val="28"/>
          <w:szCs w:val="28"/>
          <w:lang w:val="es-ES_tradnl"/>
        </w:rPr>
        <w:t xml:space="preserve"> presta a los usuarios del sistema.</w:t>
      </w:r>
    </w:p>
    <w:p w:rsidR="00B71776" w:rsidRPr="00DA1726" w:rsidRDefault="00B71776" w:rsidP="00DA1726">
      <w:pPr>
        <w:pStyle w:val="Style9"/>
        <w:widowControl/>
        <w:ind w:right="51"/>
        <w:rPr>
          <w:rFonts w:ascii="Times New Roman" w:hAnsi="Times New Roman"/>
          <w:sz w:val="28"/>
          <w:szCs w:val="28"/>
        </w:rPr>
      </w:pPr>
    </w:p>
    <w:p w:rsidR="00B71776" w:rsidRPr="00DA1726" w:rsidRDefault="00B71776" w:rsidP="00DA1726">
      <w:pPr>
        <w:pStyle w:val="Style9"/>
        <w:ind w:right="51"/>
        <w:rPr>
          <w:rStyle w:val="FontStyle81"/>
          <w:rFonts w:ascii="Times New Roman" w:hAnsi="Times New Roman" w:cs="Times New Roman"/>
          <w:sz w:val="28"/>
          <w:szCs w:val="28"/>
          <w:lang w:val="es-ES_tradnl" w:eastAsia="es-ES_tradnl"/>
        </w:rPr>
      </w:pPr>
      <w:r w:rsidRPr="00DA1726">
        <w:rPr>
          <w:rFonts w:ascii="Times New Roman" w:hAnsi="Times New Roman"/>
          <w:sz w:val="28"/>
          <w:szCs w:val="28"/>
          <w:lang w:val="es-ES_tradnl"/>
        </w:rPr>
        <w:t xml:space="preserve">Advirtieron que existen unas limitaciones </w:t>
      </w:r>
      <w:r w:rsidR="00EA4FAC" w:rsidRPr="00DA1726">
        <w:rPr>
          <w:rFonts w:ascii="Times New Roman" w:hAnsi="Times New Roman"/>
          <w:sz w:val="28"/>
          <w:szCs w:val="28"/>
          <w:lang w:val="es-ES_tradnl"/>
        </w:rPr>
        <w:t>respecto</w:t>
      </w:r>
      <w:r w:rsidRPr="00DA1726">
        <w:rPr>
          <w:rFonts w:ascii="Times New Roman" w:hAnsi="Times New Roman"/>
          <w:sz w:val="28"/>
          <w:szCs w:val="28"/>
          <w:lang w:val="es-ES_tradnl"/>
        </w:rPr>
        <w:t xml:space="preserve"> a la construcción técnica</w:t>
      </w:r>
      <w:r w:rsidR="00057C57" w:rsidRPr="00DA1726">
        <w:rPr>
          <w:rFonts w:ascii="Times New Roman" w:hAnsi="Times New Roman"/>
          <w:sz w:val="28"/>
          <w:szCs w:val="28"/>
          <w:lang w:val="es-ES_tradnl"/>
        </w:rPr>
        <w:t xml:space="preserve"> de las variables de evaluación, toda vez que </w:t>
      </w:r>
      <w:r w:rsidRPr="00DA1726">
        <w:rPr>
          <w:rStyle w:val="FontStyle81"/>
          <w:rFonts w:ascii="Times New Roman" w:hAnsi="Times New Roman" w:cs="Times New Roman"/>
          <w:sz w:val="28"/>
          <w:szCs w:val="28"/>
          <w:lang w:val="es-ES_tradnl" w:eastAsia="es-ES_tradnl"/>
        </w:rPr>
        <w:t xml:space="preserve">a marzo de 2014, existían un total de 11.253 IPS y </w:t>
      </w:r>
      <w:r w:rsidR="00057C57" w:rsidRPr="00DA1726">
        <w:rPr>
          <w:rStyle w:val="FontStyle81"/>
          <w:rFonts w:ascii="Times New Roman" w:hAnsi="Times New Roman" w:cs="Times New Roman"/>
          <w:sz w:val="28"/>
          <w:szCs w:val="28"/>
          <w:lang w:val="es-ES_tradnl" w:eastAsia="es-ES_tradnl"/>
        </w:rPr>
        <w:t>una sola prestadora</w:t>
      </w:r>
      <w:r w:rsidRPr="00DA1726">
        <w:rPr>
          <w:rStyle w:val="FontStyle81"/>
          <w:rFonts w:ascii="Times New Roman" w:hAnsi="Times New Roman" w:cs="Times New Roman"/>
          <w:sz w:val="28"/>
          <w:szCs w:val="28"/>
          <w:lang w:val="es-ES_tradnl" w:eastAsia="es-ES_tradnl"/>
        </w:rPr>
        <w:t xml:space="preserve"> puede llegar a tener 54 sedes. Lo que equivaldría a analizar </w:t>
      </w:r>
      <w:r w:rsidRPr="00DA1726">
        <w:rPr>
          <w:rStyle w:val="FontStyle89"/>
          <w:rFonts w:ascii="Times New Roman" w:hAnsi="Times New Roman" w:cs="Times New Roman"/>
          <w:sz w:val="28"/>
          <w:szCs w:val="28"/>
          <w:lang w:val="es-ES_tradnl" w:eastAsia="es-ES_tradnl"/>
        </w:rPr>
        <w:t xml:space="preserve">19.076 </w:t>
      </w:r>
      <w:r w:rsidR="00057C57" w:rsidRPr="00DA1726">
        <w:rPr>
          <w:rStyle w:val="FontStyle89"/>
          <w:rFonts w:ascii="Times New Roman" w:hAnsi="Times New Roman" w:cs="Times New Roman"/>
          <w:b w:val="0"/>
          <w:sz w:val="28"/>
          <w:szCs w:val="28"/>
          <w:lang w:val="es-ES_tradnl" w:eastAsia="es-ES_tradnl"/>
        </w:rPr>
        <w:t>instituciones</w:t>
      </w:r>
      <w:r w:rsidRPr="00DA1726">
        <w:rPr>
          <w:rStyle w:val="FontStyle81"/>
          <w:rFonts w:ascii="Times New Roman" w:hAnsi="Times New Roman" w:cs="Times New Roman"/>
          <w:sz w:val="28"/>
          <w:szCs w:val="28"/>
          <w:lang w:val="es-ES_tradnl" w:eastAsia="es-ES_tradnl"/>
        </w:rPr>
        <w:t xml:space="preserve">. </w:t>
      </w:r>
      <w:r w:rsidR="00057C57" w:rsidRPr="00DA1726">
        <w:rPr>
          <w:rStyle w:val="FontStyle81"/>
          <w:rFonts w:ascii="Times New Roman" w:hAnsi="Times New Roman" w:cs="Times New Roman"/>
          <w:sz w:val="28"/>
          <w:szCs w:val="28"/>
          <w:lang w:val="es-ES_tradnl" w:eastAsia="es-ES_tradnl"/>
        </w:rPr>
        <w:t xml:space="preserve">Adicionalmente </w:t>
      </w:r>
      <w:r w:rsidRPr="00DA1726">
        <w:rPr>
          <w:rStyle w:val="FontStyle81"/>
          <w:rFonts w:ascii="Times New Roman" w:hAnsi="Times New Roman" w:cs="Times New Roman"/>
          <w:sz w:val="28"/>
          <w:szCs w:val="28"/>
          <w:lang w:val="es-ES_tradnl" w:eastAsia="es-ES_tradnl"/>
        </w:rPr>
        <w:t>presentan una heterogeneidad que va desde la capacidad instalada, hasta la compl</w:t>
      </w:r>
      <w:r w:rsidR="00057C57" w:rsidRPr="00DA1726">
        <w:rPr>
          <w:rStyle w:val="FontStyle81"/>
          <w:rFonts w:ascii="Times New Roman" w:hAnsi="Times New Roman" w:cs="Times New Roman"/>
          <w:sz w:val="28"/>
          <w:szCs w:val="28"/>
          <w:lang w:val="es-ES_tradnl" w:eastAsia="es-ES_tradnl"/>
        </w:rPr>
        <w:t xml:space="preserve">ejidad de servicios que presta, situaciones que </w:t>
      </w:r>
      <w:r w:rsidRPr="00DA1726">
        <w:rPr>
          <w:rStyle w:val="FontStyle81"/>
          <w:rFonts w:ascii="Times New Roman" w:hAnsi="Times New Roman" w:cs="Times New Roman"/>
          <w:sz w:val="28"/>
          <w:szCs w:val="28"/>
          <w:lang w:val="es-ES_tradnl" w:eastAsia="es-ES_tradnl"/>
        </w:rPr>
        <w:t>dificulta</w:t>
      </w:r>
      <w:r w:rsidR="00057C57" w:rsidRPr="00DA1726">
        <w:rPr>
          <w:rStyle w:val="FontStyle81"/>
          <w:rFonts w:ascii="Times New Roman" w:hAnsi="Times New Roman" w:cs="Times New Roman"/>
          <w:sz w:val="28"/>
          <w:szCs w:val="28"/>
          <w:lang w:val="es-ES_tradnl" w:eastAsia="es-ES_tradnl"/>
        </w:rPr>
        <w:t>n</w:t>
      </w:r>
      <w:r w:rsidRPr="00DA1726">
        <w:rPr>
          <w:rStyle w:val="FontStyle81"/>
          <w:rFonts w:ascii="Times New Roman" w:hAnsi="Times New Roman" w:cs="Times New Roman"/>
          <w:sz w:val="28"/>
          <w:szCs w:val="28"/>
          <w:lang w:val="es-ES_tradnl" w:eastAsia="es-ES_tradnl"/>
        </w:rPr>
        <w:t xml:space="preserve"> su comparación. </w:t>
      </w:r>
    </w:p>
    <w:p w:rsidR="00B71776" w:rsidRPr="00DA1726" w:rsidRDefault="00B71776" w:rsidP="00DA1726">
      <w:pPr>
        <w:pStyle w:val="Style5"/>
        <w:widowControl/>
        <w:rPr>
          <w:rStyle w:val="FontStyle81"/>
          <w:rFonts w:ascii="Times New Roman" w:hAnsi="Times New Roman" w:cs="Times New Roman"/>
          <w:sz w:val="28"/>
          <w:szCs w:val="28"/>
          <w:lang w:val="es-ES_tradnl" w:eastAsia="es-ES_tradnl"/>
        </w:rPr>
      </w:pPr>
    </w:p>
    <w:p w:rsidR="00B71776" w:rsidRPr="00DA1726" w:rsidRDefault="00B71776"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Por otra parte, </w:t>
      </w:r>
      <w:r w:rsidR="00375724" w:rsidRPr="00DA1726">
        <w:rPr>
          <w:rFonts w:ascii="Times New Roman" w:hAnsi="Times New Roman"/>
          <w:sz w:val="28"/>
          <w:szCs w:val="28"/>
          <w:lang w:val="es-ES_tradnl"/>
        </w:rPr>
        <w:t>destacaron</w:t>
      </w:r>
      <w:r w:rsidR="00EA4FAC" w:rsidRPr="00DA1726">
        <w:rPr>
          <w:rFonts w:ascii="Times New Roman" w:hAnsi="Times New Roman"/>
          <w:sz w:val="28"/>
          <w:szCs w:val="28"/>
          <w:lang w:val="es-ES_tradnl"/>
        </w:rPr>
        <w:t xml:space="preserve"> que </w:t>
      </w:r>
      <w:r w:rsidRPr="00DA1726">
        <w:rPr>
          <w:rFonts w:ascii="Times New Roman" w:hAnsi="Times New Roman"/>
          <w:sz w:val="28"/>
          <w:szCs w:val="28"/>
          <w:lang w:val="es-ES_tradnl"/>
        </w:rPr>
        <w:t>las fuentes de información son limitadas</w:t>
      </w:r>
      <w:r w:rsidR="00EA4FAC" w:rsidRPr="00DA1726">
        <w:rPr>
          <w:rFonts w:ascii="Times New Roman" w:hAnsi="Times New Roman"/>
          <w:sz w:val="28"/>
          <w:szCs w:val="28"/>
          <w:lang w:val="es-ES_tradnl"/>
        </w:rPr>
        <w:t xml:space="preserve">, debido a que solo se cuenta con </w:t>
      </w:r>
      <w:r w:rsidRPr="00DA1726">
        <w:rPr>
          <w:rFonts w:ascii="Times New Roman" w:hAnsi="Times New Roman"/>
          <w:sz w:val="28"/>
          <w:szCs w:val="28"/>
          <w:lang w:val="es-ES_tradnl"/>
        </w:rPr>
        <w:t>los indicadores de la Resolución 1446 de 2006</w:t>
      </w:r>
      <w:r w:rsidRPr="00DA1726">
        <w:rPr>
          <w:rFonts w:ascii="Times New Roman" w:hAnsi="Times New Roman"/>
          <w:sz w:val="28"/>
          <w:szCs w:val="28"/>
          <w:vertAlign w:val="superscript"/>
          <w:lang w:val="es-ES_tradnl"/>
        </w:rPr>
        <w:footnoteReference w:id="153"/>
      </w:r>
      <w:r w:rsidRPr="00DA1726">
        <w:rPr>
          <w:rFonts w:ascii="Times New Roman" w:hAnsi="Times New Roman"/>
          <w:sz w:val="28"/>
          <w:szCs w:val="28"/>
          <w:lang w:val="es-ES_tradnl"/>
        </w:rPr>
        <w:t xml:space="preserve"> y el Registro Individual de Prestaciones de Salud </w:t>
      </w:r>
      <w:r w:rsidR="00375724" w:rsidRPr="00DA1726">
        <w:rPr>
          <w:rFonts w:ascii="Times New Roman" w:hAnsi="Times New Roman"/>
          <w:sz w:val="28"/>
          <w:szCs w:val="28"/>
          <w:lang w:val="es-ES_tradnl"/>
        </w:rPr>
        <w:t>–</w:t>
      </w:r>
      <w:r w:rsidRPr="00DA1726">
        <w:rPr>
          <w:rFonts w:ascii="Times New Roman" w:hAnsi="Times New Roman"/>
          <w:sz w:val="28"/>
          <w:szCs w:val="28"/>
          <w:lang w:val="es-ES_tradnl"/>
        </w:rPr>
        <w:t xml:space="preserve"> RIPS</w:t>
      </w:r>
      <w:r w:rsidR="00375724" w:rsidRPr="00DA1726">
        <w:rPr>
          <w:rFonts w:ascii="Times New Roman" w:hAnsi="Times New Roman"/>
          <w:sz w:val="28"/>
          <w:szCs w:val="28"/>
          <w:lang w:val="es-ES_tradnl"/>
        </w:rPr>
        <w:t>-</w:t>
      </w:r>
      <w:r w:rsidRPr="00DA1726">
        <w:rPr>
          <w:rFonts w:ascii="Times New Roman" w:hAnsi="Times New Roman"/>
          <w:sz w:val="28"/>
          <w:szCs w:val="28"/>
          <w:vertAlign w:val="superscript"/>
          <w:lang w:val="es-ES_tradnl"/>
        </w:rPr>
        <w:footnoteReference w:id="154"/>
      </w:r>
      <w:r w:rsidRPr="00DA1726">
        <w:rPr>
          <w:rFonts w:ascii="Times New Roman" w:hAnsi="Times New Roman"/>
          <w:sz w:val="28"/>
          <w:szCs w:val="28"/>
          <w:lang w:val="es-ES_tradnl"/>
        </w:rPr>
        <w:t xml:space="preserve">, los que presentan falencias relacionadas con la mala calidad de los datos y la ausencia de </w:t>
      </w:r>
      <w:r w:rsidR="001064B8" w:rsidRPr="00DA1726">
        <w:rPr>
          <w:rFonts w:ascii="Times New Roman" w:hAnsi="Times New Roman"/>
          <w:sz w:val="28"/>
          <w:szCs w:val="28"/>
          <w:lang w:val="es-ES_tradnl"/>
        </w:rPr>
        <w:t>auto</w:t>
      </w:r>
      <w:r w:rsidRPr="00DA1726">
        <w:rPr>
          <w:rFonts w:ascii="Times New Roman" w:hAnsi="Times New Roman"/>
          <w:sz w:val="28"/>
          <w:szCs w:val="28"/>
          <w:lang w:val="es-ES_tradnl"/>
        </w:rPr>
        <w:t>reporte.</w:t>
      </w:r>
    </w:p>
    <w:p w:rsidR="00B71776" w:rsidRPr="00DA1726" w:rsidRDefault="00B71776" w:rsidP="00DA1726">
      <w:pPr>
        <w:pStyle w:val="Style9"/>
        <w:ind w:right="51"/>
        <w:rPr>
          <w:rFonts w:ascii="Times New Roman" w:hAnsi="Times New Roman"/>
          <w:sz w:val="28"/>
          <w:szCs w:val="28"/>
          <w:lang w:val="es-ES_tradnl"/>
        </w:rPr>
      </w:pPr>
    </w:p>
    <w:p w:rsidR="00B71776" w:rsidRPr="00DA1726" w:rsidRDefault="00B71776"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Finalmente, respecto a los </w:t>
      </w:r>
      <w:r w:rsidRPr="00DA1726">
        <w:rPr>
          <w:rFonts w:ascii="Times New Roman" w:hAnsi="Times New Roman"/>
          <w:bCs/>
          <w:sz w:val="28"/>
          <w:szCs w:val="28"/>
          <w:lang w:val="es-ES_tradnl"/>
        </w:rPr>
        <w:t xml:space="preserve">indicadores a seleccionar, </w:t>
      </w:r>
      <w:r w:rsidR="00375724" w:rsidRPr="00DA1726">
        <w:rPr>
          <w:rFonts w:ascii="Times New Roman" w:hAnsi="Times New Roman"/>
          <w:bCs/>
          <w:sz w:val="28"/>
          <w:szCs w:val="28"/>
          <w:lang w:val="es-ES_tradnl"/>
        </w:rPr>
        <w:t xml:space="preserve">precisaron que </w:t>
      </w:r>
      <w:r w:rsidRPr="00DA1726">
        <w:rPr>
          <w:rFonts w:ascii="Times New Roman" w:hAnsi="Times New Roman"/>
          <w:bCs/>
          <w:sz w:val="28"/>
          <w:szCs w:val="28"/>
          <w:lang w:val="es-ES_tradnl"/>
        </w:rPr>
        <w:t xml:space="preserve">se buscó que estuvieran asociados a </w:t>
      </w:r>
      <w:r w:rsidRPr="00DA1726">
        <w:rPr>
          <w:rFonts w:ascii="Times New Roman" w:hAnsi="Times New Roman"/>
          <w:sz w:val="28"/>
          <w:szCs w:val="28"/>
          <w:lang w:val="es-ES_tradnl"/>
        </w:rPr>
        <w:t>los deberes y derechos de los usuarios, los que cumplieron con los requisitos de formulación</w:t>
      </w:r>
      <w:r w:rsidR="008F7A6C" w:rsidRPr="00DA1726">
        <w:rPr>
          <w:rFonts w:ascii="Times New Roman" w:hAnsi="Times New Roman"/>
          <w:sz w:val="28"/>
          <w:szCs w:val="28"/>
          <w:lang w:val="es-ES_tradnl"/>
        </w:rPr>
        <w:t>, a saber:</w:t>
      </w:r>
    </w:p>
    <w:p w:rsidR="00B71776" w:rsidRPr="00DA1726" w:rsidRDefault="00B71776" w:rsidP="00DA1726">
      <w:pPr>
        <w:pStyle w:val="Style9"/>
        <w:ind w:right="51"/>
        <w:rPr>
          <w:rFonts w:ascii="Times New Roman" w:hAnsi="Times New Roman"/>
          <w:sz w:val="28"/>
          <w:szCs w:val="28"/>
          <w:lang w:val="es-ES_tradnl"/>
        </w:rPr>
      </w:pPr>
    </w:p>
    <w:p w:rsidR="008F7A6C" w:rsidRPr="00DA1726" w:rsidRDefault="008F7A6C" w:rsidP="00DA1726">
      <w:pPr>
        <w:pStyle w:val="Style9"/>
        <w:numPr>
          <w:ilvl w:val="0"/>
          <w:numId w:val="36"/>
        </w:numPr>
        <w:ind w:right="51"/>
        <w:rPr>
          <w:rFonts w:ascii="Times New Roman" w:hAnsi="Times New Roman"/>
          <w:sz w:val="28"/>
          <w:szCs w:val="28"/>
          <w:lang w:val="es-ES_tradnl"/>
        </w:rPr>
      </w:pPr>
      <w:r w:rsidRPr="00DA1726">
        <w:rPr>
          <w:rFonts w:ascii="Times New Roman" w:hAnsi="Times New Roman"/>
          <w:b/>
          <w:bCs/>
          <w:sz w:val="28"/>
          <w:szCs w:val="28"/>
          <w:lang w:val="es-ES_tradnl"/>
        </w:rPr>
        <w:t xml:space="preserve">Claro: </w:t>
      </w:r>
      <w:r w:rsidRPr="00DA1726">
        <w:rPr>
          <w:rFonts w:ascii="Times New Roman" w:hAnsi="Times New Roman"/>
          <w:sz w:val="28"/>
          <w:szCs w:val="28"/>
          <w:lang w:val="es-ES_tradnl"/>
        </w:rPr>
        <w:t xml:space="preserve">Son fácilmente identificables tanto su numerador como denominador, cuentan con ficha técnica lo que asegura su comprensión y determina qué, cómo y cuándo se debe seguir. </w:t>
      </w:r>
    </w:p>
    <w:p w:rsidR="008F7A6C" w:rsidRPr="00DA1726" w:rsidRDefault="008F7A6C" w:rsidP="00DA1726">
      <w:pPr>
        <w:pStyle w:val="Style9"/>
        <w:numPr>
          <w:ilvl w:val="0"/>
          <w:numId w:val="36"/>
        </w:numPr>
        <w:ind w:right="51"/>
        <w:rPr>
          <w:rFonts w:ascii="Times New Roman" w:hAnsi="Times New Roman"/>
          <w:sz w:val="28"/>
          <w:szCs w:val="28"/>
          <w:lang w:val="es-ES_tradnl"/>
        </w:rPr>
      </w:pPr>
      <w:r w:rsidRPr="00DA1726">
        <w:rPr>
          <w:rFonts w:ascii="Times New Roman" w:hAnsi="Times New Roman"/>
          <w:b/>
          <w:bCs/>
          <w:sz w:val="28"/>
          <w:szCs w:val="28"/>
          <w:lang w:val="es-ES_tradnl"/>
        </w:rPr>
        <w:t xml:space="preserve">Relevante: </w:t>
      </w:r>
      <w:r w:rsidRPr="00DA1726">
        <w:rPr>
          <w:rFonts w:ascii="Times New Roman" w:hAnsi="Times New Roman"/>
          <w:sz w:val="28"/>
          <w:szCs w:val="28"/>
          <w:lang w:val="es-ES_tradnl"/>
        </w:rPr>
        <w:t xml:space="preserve">Evalúan aspectos de la calidad como oportunidad de la atención, percepción y seguridad clínica, aspectos propios de la gestión de la IPS. </w:t>
      </w:r>
    </w:p>
    <w:p w:rsidR="008F7A6C" w:rsidRPr="00DA1726" w:rsidRDefault="008F7A6C" w:rsidP="00DA1726">
      <w:pPr>
        <w:pStyle w:val="Style9"/>
        <w:numPr>
          <w:ilvl w:val="0"/>
          <w:numId w:val="36"/>
        </w:numPr>
        <w:ind w:right="51"/>
        <w:rPr>
          <w:rFonts w:ascii="Times New Roman" w:hAnsi="Times New Roman"/>
          <w:sz w:val="28"/>
          <w:szCs w:val="28"/>
          <w:lang w:val="es-ES_tradnl"/>
        </w:rPr>
      </w:pPr>
      <w:r w:rsidRPr="00DA1726">
        <w:rPr>
          <w:rFonts w:ascii="Times New Roman" w:hAnsi="Times New Roman"/>
          <w:b/>
          <w:bCs/>
          <w:sz w:val="28"/>
          <w:szCs w:val="28"/>
          <w:lang w:val="es-ES_tradnl"/>
        </w:rPr>
        <w:t xml:space="preserve">Económico: </w:t>
      </w:r>
      <w:r w:rsidRPr="00DA1726">
        <w:rPr>
          <w:rFonts w:ascii="Times New Roman" w:hAnsi="Times New Roman"/>
          <w:sz w:val="28"/>
          <w:szCs w:val="28"/>
          <w:lang w:val="es-ES_tradnl"/>
        </w:rPr>
        <w:t xml:space="preserve">Son de auto reporte, requirió en sus inicios de un desarrollo informático para el cargue de los datos. El procesamiento se realiza de manera manual. </w:t>
      </w:r>
    </w:p>
    <w:p w:rsidR="008F7A6C" w:rsidRPr="00DA1726" w:rsidRDefault="008F7A6C" w:rsidP="00DA1726">
      <w:pPr>
        <w:pStyle w:val="Style9"/>
        <w:numPr>
          <w:ilvl w:val="0"/>
          <w:numId w:val="36"/>
        </w:numPr>
        <w:ind w:right="51"/>
        <w:rPr>
          <w:rFonts w:ascii="Times New Roman" w:hAnsi="Times New Roman"/>
          <w:sz w:val="28"/>
          <w:szCs w:val="28"/>
          <w:lang w:val="es-ES_tradnl"/>
        </w:rPr>
      </w:pPr>
      <w:r w:rsidRPr="00DA1726">
        <w:rPr>
          <w:rFonts w:ascii="Times New Roman" w:hAnsi="Times New Roman"/>
          <w:b/>
          <w:bCs/>
          <w:sz w:val="28"/>
          <w:szCs w:val="28"/>
          <w:lang w:val="es-ES_tradnl"/>
        </w:rPr>
        <w:t xml:space="preserve">Monitoreable: </w:t>
      </w:r>
      <w:r w:rsidRPr="00DA1726">
        <w:rPr>
          <w:rFonts w:ascii="Times New Roman" w:hAnsi="Times New Roman"/>
          <w:sz w:val="28"/>
          <w:szCs w:val="28"/>
          <w:lang w:val="es-ES_tradnl"/>
        </w:rPr>
        <w:t xml:space="preserve">Cuenta con un sistema de información, son periódicos. </w:t>
      </w:r>
    </w:p>
    <w:p w:rsidR="008F7A6C" w:rsidRPr="00DA1726" w:rsidRDefault="008F7A6C" w:rsidP="00DA1726">
      <w:pPr>
        <w:pStyle w:val="Style9"/>
        <w:numPr>
          <w:ilvl w:val="0"/>
          <w:numId w:val="36"/>
        </w:numPr>
        <w:ind w:right="51"/>
        <w:rPr>
          <w:rFonts w:ascii="Times New Roman" w:hAnsi="Times New Roman"/>
          <w:sz w:val="28"/>
          <w:szCs w:val="28"/>
          <w:lang w:val="es-ES_tradnl"/>
        </w:rPr>
      </w:pPr>
      <w:r w:rsidRPr="00DA1726">
        <w:rPr>
          <w:rFonts w:ascii="Times New Roman" w:hAnsi="Times New Roman"/>
          <w:b/>
          <w:bCs/>
          <w:sz w:val="28"/>
          <w:szCs w:val="28"/>
          <w:lang w:val="es-ES_tradnl"/>
        </w:rPr>
        <w:t xml:space="preserve">Adecuado: </w:t>
      </w:r>
      <w:r w:rsidRPr="00DA1726">
        <w:rPr>
          <w:rFonts w:ascii="Times New Roman" w:hAnsi="Times New Roman"/>
          <w:sz w:val="28"/>
          <w:szCs w:val="28"/>
          <w:lang w:val="es-ES_tradnl"/>
        </w:rPr>
        <w:t>Ofrece una base suficiente para estimar el desempeño.</w:t>
      </w:r>
    </w:p>
    <w:p w:rsidR="008F7A6C" w:rsidRPr="00DA1726" w:rsidRDefault="008F7A6C" w:rsidP="00DA1726">
      <w:pPr>
        <w:pStyle w:val="Style9"/>
        <w:ind w:right="51"/>
        <w:rPr>
          <w:rFonts w:ascii="Times New Roman" w:hAnsi="Times New Roman"/>
          <w:sz w:val="28"/>
          <w:szCs w:val="28"/>
          <w:lang w:val="es-ES_tradnl"/>
        </w:rPr>
      </w:pPr>
    </w:p>
    <w:p w:rsidR="00B71776" w:rsidRPr="00DA1726" w:rsidRDefault="00375724"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Informaron</w:t>
      </w:r>
      <w:r w:rsidR="008F7A6C" w:rsidRPr="00DA1726">
        <w:rPr>
          <w:rFonts w:ascii="Times New Roman" w:hAnsi="Times New Roman"/>
          <w:sz w:val="28"/>
          <w:szCs w:val="28"/>
          <w:lang w:val="es-ES_tradnl"/>
        </w:rPr>
        <w:t xml:space="preserve"> que para poder comparar las IPS de acuerdo a sus características especiales, se creó </w:t>
      </w:r>
      <w:r w:rsidR="00EA4FAC" w:rsidRPr="00DA1726">
        <w:rPr>
          <w:rFonts w:ascii="Times New Roman" w:hAnsi="Times New Roman"/>
          <w:sz w:val="28"/>
          <w:szCs w:val="28"/>
          <w:lang w:val="es-ES_tradnl"/>
        </w:rPr>
        <w:t xml:space="preserve">un </w:t>
      </w:r>
      <w:r w:rsidR="008F7A6C" w:rsidRPr="00DA1726">
        <w:rPr>
          <w:rFonts w:ascii="Times New Roman" w:hAnsi="Times New Roman"/>
          <w:sz w:val="28"/>
          <w:szCs w:val="28"/>
          <w:lang w:val="es-ES_tradnl"/>
        </w:rPr>
        <w:t xml:space="preserve">visor virtual basado en los </w:t>
      </w:r>
      <w:r w:rsidR="00EA4FAC" w:rsidRPr="00DA1726">
        <w:rPr>
          <w:rFonts w:ascii="Times New Roman" w:hAnsi="Times New Roman"/>
          <w:sz w:val="28"/>
          <w:szCs w:val="28"/>
          <w:lang w:val="es-ES_tradnl"/>
        </w:rPr>
        <w:t>indicadores de calidad de la R</w:t>
      </w:r>
      <w:r w:rsidR="008F7A6C" w:rsidRPr="00DA1726">
        <w:rPr>
          <w:rFonts w:ascii="Times New Roman" w:hAnsi="Times New Roman"/>
          <w:sz w:val="28"/>
          <w:szCs w:val="28"/>
          <w:lang w:val="es-ES_tradnl"/>
        </w:rPr>
        <w:t xml:space="preserve">esolución </w:t>
      </w:r>
      <w:r w:rsidR="00B71776" w:rsidRPr="00DA1726">
        <w:rPr>
          <w:rFonts w:ascii="Times New Roman" w:hAnsi="Times New Roman"/>
          <w:sz w:val="28"/>
          <w:szCs w:val="28"/>
          <w:lang w:val="es-ES_tradnl"/>
        </w:rPr>
        <w:t>1446 de 2006</w:t>
      </w:r>
      <w:r w:rsidR="008F7A6C" w:rsidRPr="00DA1726">
        <w:rPr>
          <w:rFonts w:ascii="Times New Roman" w:hAnsi="Times New Roman"/>
          <w:sz w:val="28"/>
          <w:szCs w:val="28"/>
          <w:lang w:val="es-ES_tradnl"/>
        </w:rPr>
        <w:t>, a saber:</w:t>
      </w:r>
      <w:r w:rsidR="00B71776" w:rsidRPr="00DA1726">
        <w:rPr>
          <w:rFonts w:ascii="Times New Roman" w:hAnsi="Times New Roman"/>
          <w:sz w:val="28"/>
          <w:szCs w:val="28"/>
          <w:lang w:val="es-ES_tradnl"/>
        </w:rPr>
        <w:t xml:space="preserve"> (i) el comportamiento de un determinado servicio que presta la institución en razón a la oportunidad; (ii) seguridad del paciente; (iii) percepción del usuario; (iv) promoción y prevención de la salud </w:t>
      </w:r>
      <w:r w:rsidRPr="00DA1726">
        <w:rPr>
          <w:rFonts w:ascii="Times New Roman" w:hAnsi="Times New Roman"/>
          <w:sz w:val="28"/>
          <w:szCs w:val="28"/>
          <w:lang w:val="es-ES_tradnl"/>
        </w:rPr>
        <w:t>respecto</w:t>
      </w:r>
      <w:r w:rsidR="00B71776" w:rsidRPr="00DA1726">
        <w:rPr>
          <w:rFonts w:ascii="Times New Roman" w:hAnsi="Times New Roman"/>
          <w:sz w:val="28"/>
          <w:szCs w:val="28"/>
          <w:lang w:val="es-ES_tradnl"/>
        </w:rPr>
        <w:t xml:space="preserve"> al manejo de la hipertensión arterial; y (v) comportamiento del servicio hospitalario y quirúrgico.  En concreto se construyó la siguiente tabla de evaluación:</w:t>
      </w:r>
    </w:p>
    <w:p w:rsidR="00B71776" w:rsidRPr="00DA1726" w:rsidRDefault="00B71776" w:rsidP="00DA1726">
      <w:pPr>
        <w:pStyle w:val="Style9"/>
        <w:ind w:left="1" w:right="51"/>
        <w:rPr>
          <w:rFonts w:ascii="Times New Roman" w:hAnsi="Times New Roman"/>
          <w:sz w:val="28"/>
          <w:szCs w:val="28"/>
        </w:rPr>
      </w:pPr>
    </w:p>
    <w:tbl>
      <w:tblPr>
        <w:tblW w:w="8885" w:type="dxa"/>
        <w:tblInd w:w="40" w:type="dxa"/>
        <w:tblLayout w:type="fixed"/>
        <w:tblCellMar>
          <w:left w:w="40" w:type="dxa"/>
          <w:right w:w="40" w:type="dxa"/>
        </w:tblCellMar>
        <w:tblLook w:val="0000" w:firstRow="0" w:lastRow="0" w:firstColumn="0" w:lastColumn="0" w:noHBand="0" w:noVBand="0"/>
      </w:tblPr>
      <w:tblGrid>
        <w:gridCol w:w="378"/>
        <w:gridCol w:w="2409"/>
        <w:gridCol w:w="6098"/>
      </w:tblGrid>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p>
        </w:tc>
        <w:tc>
          <w:tcPr>
            <w:tcW w:w="2409"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Grupos</w:t>
            </w:r>
          </w:p>
        </w:tc>
        <w:tc>
          <w:tcPr>
            <w:tcW w:w="609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Indicadores</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1</w:t>
            </w:r>
          </w:p>
        </w:tc>
        <w:tc>
          <w:tcPr>
            <w:tcW w:w="2409"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Consulta médica general</w:t>
            </w:r>
          </w:p>
        </w:tc>
        <w:tc>
          <w:tcPr>
            <w:tcW w:w="6098"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Oportunidad de la asignación de citas en la consulta médica general</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2</w:t>
            </w:r>
          </w:p>
        </w:tc>
        <w:tc>
          <w:tcPr>
            <w:tcW w:w="2409"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Odontología general</w:t>
            </w:r>
          </w:p>
        </w:tc>
        <w:tc>
          <w:tcPr>
            <w:tcW w:w="6098"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Oportunidad en la atención en consulta de odontología general</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3</w:t>
            </w:r>
          </w:p>
        </w:tc>
        <w:tc>
          <w:tcPr>
            <w:tcW w:w="2409"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Imagenología</w:t>
            </w:r>
          </w:p>
        </w:tc>
        <w:tc>
          <w:tcPr>
            <w:tcW w:w="6098"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Oportunidad en la atención en servicios de imagenología</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4</w:t>
            </w:r>
          </w:p>
        </w:tc>
        <w:tc>
          <w:tcPr>
            <w:tcW w:w="2409"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Seguridad del paciente</w:t>
            </w:r>
          </w:p>
        </w:tc>
        <w:tc>
          <w:tcPr>
            <w:tcW w:w="609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Proporción de vigilancia de eventos adversos</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5</w:t>
            </w:r>
          </w:p>
        </w:tc>
        <w:tc>
          <w:tcPr>
            <w:tcW w:w="2409"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Percepción del paciente</w:t>
            </w:r>
          </w:p>
        </w:tc>
        <w:tc>
          <w:tcPr>
            <w:tcW w:w="609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Tasa de satisfacción global</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6</w:t>
            </w:r>
          </w:p>
        </w:tc>
        <w:tc>
          <w:tcPr>
            <w:tcW w:w="2409"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Urgencias</w:t>
            </w:r>
          </w:p>
        </w:tc>
        <w:tc>
          <w:tcPr>
            <w:tcW w:w="609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Oportunidad de atención en consulta de urgencias</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7</w:t>
            </w:r>
          </w:p>
        </w:tc>
        <w:tc>
          <w:tcPr>
            <w:tcW w:w="2409"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Promoción y prevención</w:t>
            </w:r>
          </w:p>
        </w:tc>
        <w:tc>
          <w:tcPr>
            <w:tcW w:w="6098"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Proporción de pacientes con hipertensión arterial controlada</w:t>
            </w:r>
          </w:p>
        </w:tc>
      </w:tr>
      <w:tr w:rsidR="00B71776" w:rsidRPr="00DA1726" w:rsidTr="001015A3">
        <w:tc>
          <w:tcPr>
            <w:tcW w:w="378" w:type="dxa"/>
            <w:tcBorders>
              <w:top w:val="single" w:sz="6" w:space="0" w:color="auto"/>
              <w:left w:val="single" w:sz="6" w:space="0" w:color="auto"/>
              <w:bottom w:val="nil"/>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8</w:t>
            </w:r>
          </w:p>
        </w:tc>
        <w:tc>
          <w:tcPr>
            <w:tcW w:w="2409" w:type="dxa"/>
            <w:vMerge w:val="restart"/>
            <w:tcBorders>
              <w:top w:val="single" w:sz="6" w:space="0" w:color="auto"/>
              <w:left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p>
          <w:p w:rsidR="00B71776" w:rsidRPr="00DA1726" w:rsidRDefault="00B71776" w:rsidP="00DA1726">
            <w:pPr>
              <w:pStyle w:val="Style9"/>
              <w:ind w:left="1" w:right="51"/>
              <w:jc w:val="left"/>
              <w:rPr>
                <w:rFonts w:ascii="Times New Roman" w:hAnsi="Times New Roman"/>
                <w:b/>
                <w:bCs/>
                <w:sz w:val="28"/>
                <w:szCs w:val="28"/>
                <w:lang w:val="es-ES_tradnl"/>
              </w:rPr>
            </w:pPr>
            <w:r w:rsidRPr="00DA1726">
              <w:rPr>
                <w:rFonts w:ascii="Times New Roman" w:hAnsi="Times New Roman"/>
                <w:b/>
                <w:sz w:val="28"/>
                <w:szCs w:val="28"/>
                <w:lang w:val="es-ES_tradnl"/>
              </w:rPr>
              <w:t>Hospitalario</w:t>
            </w:r>
          </w:p>
        </w:tc>
        <w:tc>
          <w:tcPr>
            <w:tcW w:w="609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Tasa de reingreso de pacientes hospitalizados</w:t>
            </w:r>
          </w:p>
        </w:tc>
      </w:tr>
      <w:tr w:rsidR="00B71776" w:rsidRPr="00DA1726" w:rsidTr="001015A3">
        <w:tc>
          <w:tcPr>
            <w:tcW w:w="378" w:type="dxa"/>
            <w:tcBorders>
              <w:top w:val="nil"/>
              <w:left w:val="single" w:sz="6" w:space="0" w:color="auto"/>
              <w:bottom w:val="nil"/>
              <w:right w:val="single" w:sz="6" w:space="0" w:color="auto"/>
            </w:tcBorders>
          </w:tcPr>
          <w:p w:rsidR="00B71776" w:rsidRPr="00DA1726" w:rsidRDefault="00B71776" w:rsidP="00DA1726">
            <w:pPr>
              <w:pStyle w:val="Style9"/>
              <w:ind w:left="1" w:right="51"/>
              <w:rPr>
                <w:rFonts w:ascii="Times New Roman" w:hAnsi="Times New Roman"/>
                <w:sz w:val="28"/>
                <w:szCs w:val="28"/>
                <w:lang w:val="es-ES_tradnl"/>
              </w:rPr>
            </w:pPr>
          </w:p>
        </w:tc>
        <w:tc>
          <w:tcPr>
            <w:tcW w:w="2409" w:type="dxa"/>
            <w:vMerge/>
            <w:tcBorders>
              <w:left w:val="single" w:sz="6" w:space="0" w:color="auto"/>
              <w:right w:val="single" w:sz="6" w:space="0" w:color="auto"/>
            </w:tcBorders>
          </w:tcPr>
          <w:p w:rsidR="00B71776" w:rsidRPr="00DA1726" w:rsidRDefault="00B71776" w:rsidP="00DA1726">
            <w:pPr>
              <w:pStyle w:val="Style9"/>
              <w:ind w:left="1" w:right="51"/>
              <w:jc w:val="left"/>
              <w:rPr>
                <w:rFonts w:ascii="Times New Roman" w:hAnsi="Times New Roman"/>
                <w:sz w:val="28"/>
                <w:szCs w:val="28"/>
                <w:lang w:val="es-ES_tradnl"/>
              </w:rPr>
            </w:pPr>
          </w:p>
        </w:tc>
        <w:tc>
          <w:tcPr>
            <w:tcW w:w="609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Tasa de mortalidad intrahospítalaria después de 48 horas</w:t>
            </w:r>
          </w:p>
        </w:tc>
      </w:tr>
      <w:tr w:rsidR="00B71776" w:rsidRPr="00DA1726" w:rsidTr="001015A3">
        <w:tc>
          <w:tcPr>
            <w:tcW w:w="378" w:type="dxa"/>
            <w:tcBorders>
              <w:top w:val="nil"/>
              <w:left w:val="single" w:sz="6" w:space="0" w:color="auto"/>
              <w:bottom w:val="single" w:sz="6" w:space="0" w:color="auto"/>
              <w:right w:val="single" w:sz="6" w:space="0" w:color="auto"/>
            </w:tcBorders>
          </w:tcPr>
          <w:p w:rsidR="00B71776" w:rsidRPr="00DA1726" w:rsidRDefault="00B71776" w:rsidP="00DA1726">
            <w:pPr>
              <w:pStyle w:val="Style9"/>
              <w:ind w:left="1" w:right="51"/>
              <w:jc w:val="left"/>
              <w:rPr>
                <w:rFonts w:ascii="Times New Roman" w:hAnsi="Times New Roman"/>
                <w:b/>
                <w:sz w:val="28"/>
                <w:szCs w:val="28"/>
                <w:lang w:val="es-ES_tradnl"/>
              </w:rPr>
            </w:pPr>
          </w:p>
        </w:tc>
        <w:tc>
          <w:tcPr>
            <w:tcW w:w="2409" w:type="dxa"/>
            <w:vMerge/>
            <w:tcBorders>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jc w:val="left"/>
              <w:rPr>
                <w:rFonts w:ascii="Times New Roman" w:hAnsi="Times New Roman"/>
                <w:b/>
                <w:sz w:val="28"/>
                <w:szCs w:val="28"/>
                <w:lang w:val="es-ES_tradnl"/>
              </w:rPr>
            </w:pPr>
          </w:p>
        </w:tc>
        <w:tc>
          <w:tcPr>
            <w:tcW w:w="609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Tasa de infección intrahospítalaria</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9</w:t>
            </w:r>
          </w:p>
        </w:tc>
        <w:tc>
          <w:tcPr>
            <w:tcW w:w="2409"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Ginecobstetricia</w:t>
            </w:r>
          </w:p>
        </w:tc>
        <w:tc>
          <w:tcPr>
            <w:tcW w:w="6098"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Oportunidad de la asignación de citas en la consulta de ginecobstetricia</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10</w:t>
            </w:r>
          </w:p>
        </w:tc>
        <w:tc>
          <w:tcPr>
            <w:tcW w:w="2409"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Medicina interna</w:t>
            </w:r>
          </w:p>
        </w:tc>
        <w:tc>
          <w:tcPr>
            <w:tcW w:w="6098"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Oportunidad de la asignación de citas en la consulta de medicina interna</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11</w:t>
            </w:r>
          </w:p>
        </w:tc>
        <w:tc>
          <w:tcPr>
            <w:tcW w:w="2409"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Pediatría</w:t>
            </w:r>
          </w:p>
        </w:tc>
        <w:tc>
          <w:tcPr>
            <w:tcW w:w="6098" w:type="dxa"/>
            <w:tcBorders>
              <w:top w:val="single" w:sz="6" w:space="0" w:color="auto"/>
              <w:left w:val="single" w:sz="6" w:space="0" w:color="auto"/>
              <w:bottom w:val="single" w:sz="6" w:space="0" w:color="auto"/>
              <w:right w:val="single" w:sz="6" w:space="0" w:color="auto"/>
            </w:tcBorders>
            <w:vAlign w:val="center"/>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Oportunidad de la asignación de citas en la consulta de pediatría</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12</w:t>
            </w:r>
          </w:p>
        </w:tc>
        <w:tc>
          <w:tcPr>
            <w:tcW w:w="2409"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bCs/>
                <w:sz w:val="28"/>
                <w:szCs w:val="28"/>
                <w:lang w:val="es-ES_tradnl"/>
              </w:rPr>
            </w:pPr>
            <w:r w:rsidRPr="00DA1726">
              <w:rPr>
                <w:rFonts w:ascii="Times New Roman" w:hAnsi="Times New Roman"/>
                <w:b/>
                <w:bCs/>
                <w:sz w:val="28"/>
                <w:szCs w:val="28"/>
                <w:lang w:val="es-ES_tradnl"/>
              </w:rPr>
              <w:t>Cirugía general</w:t>
            </w:r>
          </w:p>
        </w:tc>
        <w:tc>
          <w:tcPr>
            <w:tcW w:w="609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Oportunidad de la asignación de citas en la consulta de cirugía general</w:t>
            </w:r>
          </w:p>
        </w:tc>
      </w:tr>
      <w:tr w:rsidR="00B71776" w:rsidRPr="00DA1726" w:rsidTr="001015A3">
        <w:tc>
          <w:tcPr>
            <w:tcW w:w="37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sz w:val="28"/>
                <w:szCs w:val="28"/>
                <w:lang w:val="es-ES_tradnl"/>
              </w:rPr>
            </w:pPr>
            <w:r w:rsidRPr="00DA1726">
              <w:rPr>
                <w:rFonts w:ascii="Times New Roman" w:hAnsi="Times New Roman"/>
                <w:b/>
                <w:sz w:val="28"/>
                <w:szCs w:val="28"/>
                <w:lang w:val="es-ES_tradnl"/>
              </w:rPr>
              <w:t>13</w:t>
            </w:r>
          </w:p>
        </w:tc>
        <w:tc>
          <w:tcPr>
            <w:tcW w:w="2409"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b/>
                <w:sz w:val="28"/>
                <w:szCs w:val="28"/>
                <w:lang w:val="es-ES_tradnl"/>
              </w:rPr>
            </w:pPr>
            <w:r w:rsidRPr="00DA1726">
              <w:rPr>
                <w:rFonts w:ascii="Times New Roman" w:hAnsi="Times New Roman"/>
                <w:b/>
                <w:sz w:val="28"/>
                <w:szCs w:val="28"/>
                <w:lang w:val="es-ES_tradnl"/>
              </w:rPr>
              <w:t>Quirúrgico</w:t>
            </w:r>
          </w:p>
        </w:tc>
        <w:tc>
          <w:tcPr>
            <w:tcW w:w="6098" w:type="dxa"/>
            <w:tcBorders>
              <w:top w:val="single" w:sz="6" w:space="0" w:color="auto"/>
              <w:left w:val="single" w:sz="6" w:space="0" w:color="auto"/>
              <w:bottom w:val="single" w:sz="6" w:space="0" w:color="auto"/>
              <w:right w:val="single" w:sz="6" w:space="0" w:color="auto"/>
            </w:tcBorders>
          </w:tcPr>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Oportunidad en la realización de cirugía programada</w:t>
            </w:r>
          </w:p>
        </w:tc>
      </w:tr>
    </w:tbl>
    <w:p w:rsidR="00B71776" w:rsidRPr="00DA1726" w:rsidRDefault="00B71776" w:rsidP="00DA1726">
      <w:pPr>
        <w:pStyle w:val="Style9"/>
        <w:ind w:left="1" w:right="51"/>
        <w:rPr>
          <w:rFonts w:ascii="Times New Roman" w:hAnsi="Times New Roman"/>
          <w:sz w:val="28"/>
          <w:szCs w:val="28"/>
          <w:lang w:val="es-ES_tradnl"/>
        </w:rPr>
      </w:pPr>
    </w:p>
    <w:p w:rsidR="00B71776" w:rsidRPr="00DA1726" w:rsidRDefault="00F253FB"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Adicionalmente</w:t>
      </w:r>
      <w:r w:rsidR="00C97731" w:rsidRPr="00DA1726">
        <w:rPr>
          <w:rFonts w:ascii="Times New Roman" w:hAnsi="Times New Roman"/>
          <w:sz w:val="28"/>
          <w:szCs w:val="28"/>
          <w:lang w:val="es-ES_tradnl"/>
        </w:rPr>
        <w:t>,</w:t>
      </w:r>
      <w:r w:rsidRPr="00DA1726">
        <w:rPr>
          <w:rFonts w:ascii="Times New Roman" w:hAnsi="Times New Roman"/>
          <w:sz w:val="28"/>
          <w:szCs w:val="28"/>
          <w:lang w:val="es-ES_tradnl"/>
        </w:rPr>
        <w:t xml:space="preserve"> se utilizó el</w:t>
      </w:r>
      <w:r w:rsidR="00B71776" w:rsidRPr="00DA1726">
        <w:rPr>
          <w:rFonts w:ascii="Times New Roman" w:hAnsi="Times New Roman"/>
          <w:sz w:val="28"/>
          <w:szCs w:val="28"/>
          <w:lang w:val="es-ES_tradnl"/>
        </w:rPr>
        <w:t xml:space="preserve"> criterio </w:t>
      </w:r>
      <w:r w:rsidR="00EA4FAC" w:rsidRPr="00DA1726">
        <w:rPr>
          <w:rFonts w:ascii="Times New Roman" w:hAnsi="Times New Roman"/>
          <w:sz w:val="28"/>
          <w:szCs w:val="28"/>
          <w:lang w:val="es-ES_tradnl"/>
        </w:rPr>
        <w:t>validador</w:t>
      </w:r>
      <w:r w:rsidRPr="00DA1726">
        <w:rPr>
          <w:rFonts w:ascii="Times New Roman" w:hAnsi="Times New Roman"/>
          <w:sz w:val="28"/>
          <w:szCs w:val="28"/>
          <w:lang w:val="es-ES_tradnl"/>
        </w:rPr>
        <w:t xml:space="preserve"> de</w:t>
      </w:r>
      <w:r w:rsidR="00B71776" w:rsidRPr="00DA1726">
        <w:rPr>
          <w:rFonts w:ascii="Times New Roman" w:hAnsi="Times New Roman"/>
          <w:sz w:val="28"/>
          <w:szCs w:val="28"/>
          <w:lang w:val="es-ES_tradnl"/>
        </w:rPr>
        <w:t xml:space="preserve"> existencia del servicio</w:t>
      </w:r>
      <w:r w:rsidRPr="00DA1726">
        <w:rPr>
          <w:rFonts w:ascii="Times New Roman" w:hAnsi="Times New Roman"/>
          <w:sz w:val="28"/>
          <w:szCs w:val="28"/>
          <w:lang w:val="es-ES_tradnl"/>
        </w:rPr>
        <w:t xml:space="preserve"> de unidad de cuidado intensivo, para disminuir</w:t>
      </w:r>
      <w:r w:rsidR="00B71776" w:rsidRPr="00DA1726">
        <w:rPr>
          <w:rFonts w:ascii="Times New Roman" w:hAnsi="Times New Roman"/>
          <w:sz w:val="28"/>
          <w:szCs w:val="28"/>
          <w:lang w:val="es-ES_tradnl"/>
        </w:rPr>
        <w:t xml:space="preserve"> la b</w:t>
      </w:r>
      <w:r w:rsidRPr="00DA1726">
        <w:rPr>
          <w:rFonts w:ascii="Times New Roman" w:hAnsi="Times New Roman"/>
          <w:sz w:val="28"/>
          <w:szCs w:val="28"/>
          <w:lang w:val="es-ES_tradnl"/>
        </w:rPr>
        <w:t xml:space="preserve">recha en la comparación de IPS </w:t>
      </w:r>
      <w:r w:rsidR="00B71776" w:rsidRPr="00DA1726">
        <w:rPr>
          <w:rFonts w:ascii="Times New Roman" w:hAnsi="Times New Roman"/>
          <w:sz w:val="28"/>
          <w:szCs w:val="28"/>
          <w:lang w:val="es-ES_tradnl"/>
        </w:rPr>
        <w:t>entre prestadores cuya complejidad sea similar. No obstante</w:t>
      </w:r>
      <w:r w:rsidR="00EA4FAC" w:rsidRPr="00DA1726">
        <w:rPr>
          <w:rFonts w:ascii="Times New Roman" w:hAnsi="Times New Roman"/>
          <w:sz w:val="28"/>
          <w:szCs w:val="28"/>
          <w:lang w:val="es-ES_tradnl"/>
        </w:rPr>
        <w:t xml:space="preserve">, </w:t>
      </w:r>
      <w:r w:rsidRPr="00DA1726">
        <w:rPr>
          <w:rFonts w:ascii="Times New Roman" w:hAnsi="Times New Roman"/>
          <w:sz w:val="28"/>
          <w:szCs w:val="28"/>
          <w:lang w:val="es-ES_tradnl"/>
        </w:rPr>
        <w:t>refirieron</w:t>
      </w:r>
      <w:r w:rsidR="00EA4FAC" w:rsidRPr="00DA1726">
        <w:rPr>
          <w:rFonts w:ascii="Times New Roman" w:hAnsi="Times New Roman"/>
          <w:sz w:val="28"/>
          <w:szCs w:val="28"/>
          <w:lang w:val="es-ES_tradnl"/>
        </w:rPr>
        <w:t xml:space="preserve"> que esto</w:t>
      </w:r>
      <w:r w:rsidR="00B71776" w:rsidRPr="00DA1726">
        <w:rPr>
          <w:rFonts w:ascii="Times New Roman" w:hAnsi="Times New Roman"/>
          <w:sz w:val="28"/>
          <w:szCs w:val="28"/>
          <w:lang w:val="es-ES_tradnl"/>
        </w:rPr>
        <w:t xml:space="preserve"> no garantiza completamente homogenización de criterios de evaluación que permitan una categorización equitativa. </w:t>
      </w:r>
      <w:r w:rsidRPr="00DA1726">
        <w:rPr>
          <w:rFonts w:ascii="Times New Roman" w:hAnsi="Times New Roman"/>
          <w:sz w:val="28"/>
          <w:szCs w:val="28"/>
          <w:lang w:val="es-ES_tradnl"/>
        </w:rPr>
        <w:t>Por tanto, a</w:t>
      </w:r>
      <w:r w:rsidR="00B71776" w:rsidRPr="00DA1726">
        <w:rPr>
          <w:rFonts w:ascii="Times New Roman" w:hAnsi="Times New Roman"/>
          <w:sz w:val="28"/>
          <w:szCs w:val="28"/>
          <w:lang w:val="es-ES_tradnl"/>
        </w:rPr>
        <w:t xml:space="preserve"> manera de conclusión resaltaron:</w:t>
      </w:r>
    </w:p>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 xml:space="preserve">- Como resultado final se pueden observar 13 ordenamientos o </w:t>
      </w:r>
      <w:r w:rsidR="008D66F1" w:rsidRPr="00DA1726">
        <w:rPr>
          <w:rFonts w:ascii="Times New Roman" w:hAnsi="Times New Roman"/>
          <w:i/>
          <w:sz w:val="28"/>
          <w:szCs w:val="28"/>
          <w:lang w:val="es-ES_tradnl"/>
        </w:rPr>
        <w:t>ranking</w:t>
      </w:r>
      <w:r w:rsidRPr="00DA1726">
        <w:rPr>
          <w:rFonts w:ascii="Times New Roman" w:hAnsi="Times New Roman"/>
          <w:sz w:val="28"/>
          <w:szCs w:val="28"/>
          <w:lang w:val="es-ES_tradnl"/>
        </w:rPr>
        <w:t xml:space="preserve">s que agrupa en total </w:t>
      </w:r>
      <w:r w:rsidRPr="00DA1726">
        <w:rPr>
          <w:rFonts w:ascii="Times New Roman" w:hAnsi="Times New Roman"/>
          <w:bCs/>
          <w:sz w:val="28"/>
          <w:szCs w:val="28"/>
          <w:lang w:val="es-ES_tradnl"/>
        </w:rPr>
        <w:t xml:space="preserve">18.704 </w:t>
      </w:r>
      <w:r w:rsidR="00EA4FAC" w:rsidRPr="00DA1726">
        <w:rPr>
          <w:rFonts w:ascii="Times New Roman" w:hAnsi="Times New Roman"/>
          <w:bCs/>
          <w:sz w:val="28"/>
          <w:szCs w:val="28"/>
          <w:lang w:val="es-ES_tradnl"/>
        </w:rPr>
        <w:t>IPS</w:t>
      </w:r>
      <w:r w:rsidRPr="00DA1726">
        <w:rPr>
          <w:rFonts w:ascii="Times New Roman" w:hAnsi="Times New Roman"/>
          <w:b/>
          <w:bCs/>
          <w:sz w:val="28"/>
          <w:szCs w:val="28"/>
          <w:lang w:val="es-ES_tradnl"/>
        </w:rPr>
        <w:t xml:space="preserve"> </w:t>
      </w:r>
      <w:r w:rsidRPr="00DA1726">
        <w:rPr>
          <w:rFonts w:ascii="Times New Roman" w:hAnsi="Times New Roman"/>
          <w:sz w:val="28"/>
          <w:szCs w:val="28"/>
          <w:lang w:val="es-ES_tradnl"/>
        </w:rPr>
        <w:t>que son evaluadas en relación con el servicio u atributo de la calidad. Siendo las prestadoras con mejor desempeño las que ocupan el primer puesto en cada categoría.</w:t>
      </w:r>
    </w:p>
    <w:p w:rsidR="00B71776" w:rsidRPr="00DA1726" w:rsidRDefault="00B71776" w:rsidP="00DA1726">
      <w:pPr>
        <w:pStyle w:val="Style9"/>
        <w:ind w:left="1" w:right="51"/>
        <w:rPr>
          <w:rFonts w:ascii="Times New Roman" w:hAnsi="Times New Roman"/>
          <w:sz w:val="28"/>
          <w:szCs w:val="28"/>
          <w:lang w:val="es-ES_tradnl"/>
        </w:rPr>
      </w:pPr>
    </w:p>
    <w:p w:rsidR="00B71776" w:rsidRPr="00DA1726" w:rsidRDefault="00B71776"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Cada indicador también está agrupado por Departamento, por lo que de acuerdo al territorio se pueden analizar las cifras.</w:t>
      </w:r>
    </w:p>
    <w:p w:rsidR="00B71776" w:rsidRPr="00DA1726" w:rsidRDefault="00B71776" w:rsidP="00DA1726">
      <w:pPr>
        <w:pStyle w:val="Style9"/>
        <w:ind w:right="51"/>
        <w:rPr>
          <w:rFonts w:ascii="Times New Roman" w:hAnsi="Times New Roman"/>
          <w:sz w:val="28"/>
          <w:szCs w:val="28"/>
          <w:lang w:val="es-ES_tradnl"/>
        </w:rPr>
      </w:pPr>
    </w:p>
    <w:p w:rsidR="00B71776" w:rsidRPr="00DA1726" w:rsidRDefault="00B71776"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Los datos reflejan las agrupaciones, por lo que se constituyen en aproximaciones del desempeño de una determinada IPS en general y no respecto a un individuo en particular.</w:t>
      </w:r>
    </w:p>
    <w:p w:rsidR="00B71776" w:rsidRPr="00DA1726" w:rsidRDefault="00B71776" w:rsidP="00DA1726">
      <w:pPr>
        <w:pStyle w:val="Style9"/>
        <w:ind w:right="51"/>
        <w:rPr>
          <w:rFonts w:ascii="Times New Roman" w:hAnsi="Times New Roman"/>
          <w:sz w:val="28"/>
          <w:szCs w:val="28"/>
          <w:lang w:val="es-ES_tradnl"/>
        </w:rPr>
      </w:pPr>
    </w:p>
    <w:p w:rsidR="00B71776" w:rsidRPr="00DA1726" w:rsidRDefault="00B71776"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El no reporte de información tiene impacto negativo, por ende, las IPS que tenían que reportar y no lo hicieron se encuentran en los puestos más bajos del ordenamiento. Al respecto existe un número considerable de no reporte. Se pudo identificar que 10</w:t>
      </w:r>
      <w:r w:rsidR="00F253FB" w:rsidRPr="00DA1726">
        <w:rPr>
          <w:rFonts w:ascii="Times New Roman" w:hAnsi="Times New Roman"/>
          <w:sz w:val="28"/>
          <w:szCs w:val="28"/>
          <w:lang w:val="es-ES_tradnl"/>
        </w:rPr>
        <w:t>.</w:t>
      </w:r>
      <w:r w:rsidRPr="00DA1726">
        <w:rPr>
          <w:rFonts w:ascii="Times New Roman" w:hAnsi="Times New Roman"/>
          <w:sz w:val="28"/>
          <w:szCs w:val="28"/>
          <w:lang w:val="es-ES_tradnl"/>
        </w:rPr>
        <w:t>680 prestadoras que tenían que reportar no lo hicieron.</w:t>
      </w:r>
    </w:p>
    <w:p w:rsidR="00B71776" w:rsidRPr="00DA1726" w:rsidRDefault="00B71776" w:rsidP="00DA1726">
      <w:pPr>
        <w:pStyle w:val="Style9"/>
        <w:ind w:right="51"/>
        <w:rPr>
          <w:rFonts w:ascii="Times New Roman" w:hAnsi="Times New Roman"/>
          <w:sz w:val="28"/>
          <w:szCs w:val="28"/>
          <w:lang w:val="es-ES_tradnl"/>
        </w:rPr>
      </w:pPr>
    </w:p>
    <w:p w:rsidR="00B71776" w:rsidRPr="00DA1726" w:rsidRDefault="00B71776"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El autoreporte sigue siendo la fuente de información disponible para este tipo de ordenamiento, pese a las grandes debilidades que presenta (duplicados, datos inconsistentes o que pudieran no estar reflejando la realidad).</w:t>
      </w:r>
    </w:p>
    <w:p w:rsidR="00B71776" w:rsidRPr="00DA1726" w:rsidRDefault="00B71776" w:rsidP="00DA1726">
      <w:pPr>
        <w:pStyle w:val="Style9"/>
        <w:ind w:left="1" w:right="51"/>
        <w:rPr>
          <w:rFonts w:ascii="Times New Roman" w:hAnsi="Times New Roman"/>
          <w:sz w:val="28"/>
          <w:szCs w:val="28"/>
          <w:lang w:val="es-ES_tradnl"/>
        </w:rPr>
      </w:pPr>
    </w:p>
    <w:p w:rsidR="008F7A6C" w:rsidRPr="00DA1726" w:rsidRDefault="00E20D49" w:rsidP="00DA1726">
      <w:pPr>
        <w:pStyle w:val="Style9"/>
        <w:widowControl/>
        <w:ind w:right="51"/>
        <w:rPr>
          <w:rFonts w:ascii="Times New Roman" w:hAnsi="Times New Roman"/>
          <w:i/>
          <w:sz w:val="28"/>
          <w:szCs w:val="28"/>
        </w:rPr>
      </w:pPr>
      <w:r w:rsidRPr="00DA1726">
        <w:rPr>
          <w:rFonts w:ascii="Times New Roman" w:hAnsi="Times New Roman"/>
          <w:i/>
          <w:sz w:val="28"/>
          <w:szCs w:val="28"/>
        </w:rPr>
        <w:t>5</w:t>
      </w:r>
      <w:r w:rsidR="008F7A6C" w:rsidRPr="00DA1726">
        <w:rPr>
          <w:rFonts w:ascii="Times New Roman" w:hAnsi="Times New Roman"/>
          <w:i/>
          <w:sz w:val="28"/>
          <w:szCs w:val="28"/>
        </w:rPr>
        <w:t>.2.2.2. Informe de cumplimiento presentado el 29 de abril de 2016</w:t>
      </w:r>
      <w:r w:rsidR="00BA7C58" w:rsidRPr="00DA1726">
        <w:rPr>
          <w:rFonts w:ascii="Times New Roman" w:hAnsi="Times New Roman"/>
          <w:i/>
          <w:sz w:val="28"/>
          <w:szCs w:val="28"/>
        </w:rPr>
        <w:t xml:space="preserve"> (vigencia 2015)</w:t>
      </w:r>
      <w:r w:rsidR="008F7A6C" w:rsidRPr="00DA1726">
        <w:rPr>
          <w:rFonts w:ascii="Times New Roman" w:hAnsi="Times New Roman"/>
          <w:i/>
          <w:sz w:val="28"/>
          <w:szCs w:val="28"/>
        </w:rPr>
        <w:t>.</w:t>
      </w:r>
    </w:p>
    <w:p w:rsidR="008F7A6C" w:rsidRPr="00DA1726" w:rsidRDefault="008F7A6C" w:rsidP="00DA1726">
      <w:pPr>
        <w:pStyle w:val="Style9"/>
        <w:ind w:left="1" w:right="51"/>
        <w:rPr>
          <w:rFonts w:ascii="Times New Roman" w:hAnsi="Times New Roman"/>
          <w:sz w:val="28"/>
          <w:szCs w:val="28"/>
        </w:rPr>
      </w:pPr>
    </w:p>
    <w:p w:rsidR="00B71776" w:rsidRPr="00DA1726" w:rsidRDefault="00E20D49" w:rsidP="00DA1726">
      <w:pPr>
        <w:pStyle w:val="Style9"/>
        <w:ind w:left="1" w:right="51"/>
        <w:rPr>
          <w:rFonts w:ascii="Times New Roman" w:hAnsi="Times New Roman"/>
          <w:sz w:val="28"/>
          <w:szCs w:val="28"/>
          <w:lang w:val="es-ES_tradnl"/>
        </w:rPr>
      </w:pPr>
      <w:r w:rsidRPr="00DA1726">
        <w:rPr>
          <w:rFonts w:ascii="Times New Roman" w:hAnsi="Times New Roman"/>
          <w:i/>
          <w:sz w:val="28"/>
          <w:szCs w:val="28"/>
        </w:rPr>
        <w:t xml:space="preserve">5.2.2.2.1. </w:t>
      </w:r>
      <w:r w:rsidR="00A02784" w:rsidRPr="00DA1726">
        <w:rPr>
          <w:rFonts w:ascii="Times New Roman" w:hAnsi="Times New Roman"/>
          <w:i/>
          <w:sz w:val="28"/>
          <w:szCs w:val="28"/>
          <w:lang w:val="es-ES_tradnl"/>
        </w:rPr>
        <w:t>Metodología.</w:t>
      </w:r>
    </w:p>
    <w:p w:rsidR="00B71776" w:rsidRPr="00DA1726" w:rsidRDefault="00B71776" w:rsidP="00DA1726">
      <w:pPr>
        <w:pStyle w:val="Style9"/>
        <w:ind w:left="1" w:right="51"/>
        <w:rPr>
          <w:rFonts w:ascii="Times New Roman" w:hAnsi="Times New Roman"/>
          <w:sz w:val="28"/>
          <w:szCs w:val="28"/>
          <w:lang w:val="es-ES_tradnl"/>
        </w:rPr>
      </w:pPr>
    </w:p>
    <w:p w:rsidR="00B71776" w:rsidRPr="00DA1726" w:rsidRDefault="00B71776"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 xml:space="preserve">Por mandato de la Corte, se debe identificar la totalidad de instituciones prestadoras de servicios de salud que con mayor frecuencia incurren en práctica violatorias del derecho a la salud. </w:t>
      </w:r>
      <w:r w:rsidR="00EA4FAC" w:rsidRPr="00DA1726">
        <w:rPr>
          <w:rFonts w:ascii="Times New Roman" w:hAnsi="Times New Roman"/>
          <w:sz w:val="28"/>
          <w:szCs w:val="28"/>
          <w:lang w:val="es-ES_tradnl"/>
        </w:rPr>
        <w:t>Atendiendo</w:t>
      </w:r>
      <w:r w:rsidRPr="00DA1726">
        <w:rPr>
          <w:rFonts w:ascii="Times New Roman" w:hAnsi="Times New Roman"/>
          <w:sz w:val="28"/>
          <w:szCs w:val="28"/>
          <w:lang w:val="es-ES_tradnl"/>
        </w:rPr>
        <w:t xml:space="preserve"> la dificultad operativa y técnica que representa </w:t>
      </w:r>
      <w:r w:rsidR="006059D4" w:rsidRPr="00DA1726">
        <w:rPr>
          <w:rFonts w:ascii="Times New Roman" w:hAnsi="Times New Roman"/>
          <w:iCs/>
          <w:sz w:val="28"/>
          <w:szCs w:val="28"/>
          <w:lang w:val="es-ES_tradnl"/>
        </w:rPr>
        <w:t xml:space="preserve">escalafonar </w:t>
      </w:r>
      <w:r w:rsidRPr="00DA1726">
        <w:rPr>
          <w:rFonts w:ascii="Times New Roman" w:hAnsi="Times New Roman"/>
          <w:sz w:val="28"/>
          <w:szCs w:val="28"/>
          <w:lang w:val="es-ES_tradnl"/>
        </w:rPr>
        <w:t>a la totalidad de los prestadores en salud (en la actua</w:t>
      </w:r>
      <w:r w:rsidR="006059D4" w:rsidRPr="00DA1726">
        <w:rPr>
          <w:rFonts w:ascii="Times New Roman" w:hAnsi="Times New Roman"/>
          <w:sz w:val="28"/>
          <w:szCs w:val="28"/>
          <w:lang w:val="es-ES_tradnl"/>
        </w:rPr>
        <w:t xml:space="preserve">lidad asciende a más de 10.000), </w:t>
      </w:r>
      <w:r w:rsidRPr="00DA1726">
        <w:rPr>
          <w:rFonts w:ascii="Times New Roman" w:hAnsi="Times New Roman"/>
          <w:sz w:val="28"/>
          <w:szCs w:val="28"/>
          <w:lang w:val="es-ES_tradnl"/>
        </w:rPr>
        <w:t xml:space="preserve">se reformó el sistema de </w:t>
      </w:r>
      <w:r w:rsidR="00C04773" w:rsidRPr="00DA1726">
        <w:rPr>
          <w:rFonts w:ascii="Times New Roman" w:hAnsi="Times New Roman"/>
          <w:sz w:val="28"/>
          <w:szCs w:val="28"/>
          <w:lang w:val="es-ES_tradnl"/>
        </w:rPr>
        <w:t xml:space="preserve">recolección de </w:t>
      </w:r>
      <w:r w:rsidRPr="00DA1726">
        <w:rPr>
          <w:rFonts w:ascii="Times New Roman" w:hAnsi="Times New Roman"/>
          <w:sz w:val="28"/>
          <w:szCs w:val="28"/>
          <w:lang w:val="es-ES_tradnl"/>
        </w:rPr>
        <w:t xml:space="preserve">información con la expedición de la Resolución 256 de 2016, </w:t>
      </w:r>
      <w:r w:rsidR="00B31532" w:rsidRPr="00DA1726">
        <w:rPr>
          <w:rFonts w:ascii="Times New Roman" w:hAnsi="Times New Roman"/>
          <w:sz w:val="28"/>
          <w:szCs w:val="28"/>
          <w:lang w:val="es-ES_tradnl"/>
        </w:rPr>
        <w:t xml:space="preserve">donde </w:t>
      </w:r>
      <w:r w:rsidRPr="00DA1726">
        <w:rPr>
          <w:rFonts w:ascii="Times New Roman" w:hAnsi="Times New Roman"/>
          <w:sz w:val="28"/>
          <w:szCs w:val="28"/>
          <w:lang w:val="es-ES_tradnl"/>
        </w:rPr>
        <w:t xml:space="preserve">se establecieron indicadores de obligatorio reporte por parte de los prestadores </w:t>
      </w:r>
      <w:r w:rsidR="00B31532" w:rsidRPr="00DA1726">
        <w:rPr>
          <w:rFonts w:ascii="Times New Roman" w:hAnsi="Times New Roman"/>
          <w:sz w:val="28"/>
          <w:szCs w:val="28"/>
          <w:lang w:val="es-ES_tradnl"/>
        </w:rPr>
        <w:t>para</w:t>
      </w:r>
      <w:r w:rsidRPr="00DA1726">
        <w:rPr>
          <w:rFonts w:ascii="Times New Roman" w:hAnsi="Times New Roman"/>
          <w:sz w:val="28"/>
          <w:szCs w:val="28"/>
          <w:lang w:val="es-ES_tradnl"/>
        </w:rPr>
        <w:t xml:space="preserve"> valorar </w:t>
      </w:r>
      <w:r w:rsidR="00B31532" w:rsidRPr="00DA1726">
        <w:rPr>
          <w:rFonts w:ascii="Times New Roman" w:hAnsi="Times New Roman"/>
          <w:sz w:val="28"/>
          <w:szCs w:val="28"/>
          <w:lang w:val="es-ES_tradnl"/>
        </w:rPr>
        <w:t xml:space="preserve">la </w:t>
      </w:r>
      <w:r w:rsidRPr="00DA1726">
        <w:rPr>
          <w:rFonts w:ascii="Times New Roman" w:hAnsi="Times New Roman"/>
          <w:sz w:val="28"/>
          <w:szCs w:val="28"/>
          <w:lang w:val="es-ES_tradnl"/>
        </w:rPr>
        <w:t xml:space="preserve">efectividad, </w:t>
      </w:r>
      <w:r w:rsidR="00B31532" w:rsidRPr="00DA1726">
        <w:rPr>
          <w:rFonts w:ascii="Times New Roman" w:hAnsi="Times New Roman"/>
          <w:sz w:val="28"/>
          <w:szCs w:val="28"/>
          <w:lang w:val="es-ES_tradnl"/>
        </w:rPr>
        <w:t xml:space="preserve">la </w:t>
      </w:r>
      <w:r w:rsidRPr="00DA1726">
        <w:rPr>
          <w:rFonts w:ascii="Times New Roman" w:hAnsi="Times New Roman"/>
          <w:sz w:val="28"/>
          <w:szCs w:val="28"/>
          <w:lang w:val="es-ES_tradnl"/>
        </w:rPr>
        <w:t xml:space="preserve">seguridad y la experiencia de la atención en las IPS. </w:t>
      </w:r>
    </w:p>
    <w:p w:rsidR="00B71776" w:rsidRPr="00DA1726" w:rsidRDefault="00B71776" w:rsidP="00DA1726">
      <w:pPr>
        <w:pStyle w:val="Style9"/>
        <w:ind w:left="1" w:right="51"/>
        <w:rPr>
          <w:rFonts w:ascii="Times New Roman" w:hAnsi="Times New Roman"/>
          <w:sz w:val="28"/>
          <w:szCs w:val="28"/>
        </w:rPr>
      </w:pPr>
    </w:p>
    <w:p w:rsidR="00B71776" w:rsidRPr="00DA1726" w:rsidRDefault="00B31532"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A</w:t>
      </w:r>
      <w:r w:rsidR="00C21D07" w:rsidRPr="00DA1726">
        <w:rPr>
          <w:rFonts w:ascii="Times New Roman" w:hAnsi="Times New Roman"/>
          <w:sz w:val="28"/>
          <w:szCs w:val="28"/>
          <w:lang w:val="es-ES_tradnl"/>
        </w:rPr>
        <w:t xml:space="preserve">ñadieron que </w:t>
      </w:r>
      <w:r w:rsidR="00B71776" w:rsidRPr="00DA1726">
        <w:rPr>
          <w:rFonts w:ascii="Times New Roman" w:hAnsi="Times New Roman"/>
          <w:sz w:val="28"/>
          <w:szCs w:val="28"/>
          <w:lang w:val="es-ES_tradnl"/>
        </w:rPr>
        <w:t xml:space="preserve">se definieron unas variables diferenciadoras que </w:t>
      </w:r>
      <w:r w:rsidR="00B71776" w:rsidRPr="00DA1726">
        <w:rPr>
          <w:rFonts w:ascii="Times New Roman" w:hAnsi="Times New Roman"/>
          <w:iCs/>
          <w:sz w:val="28"/>
          <w:szCs w:val="28"/>
          <w:lang w:val="es-ES_tradnl"/>
        </w:rPr>
        <w:t xml:space="preserve">alertan </w:t>
      </w:r>
      <w:r w:rsidR="00B71776" w:rsidRPr="00DA1726">
        <w:rPr>
          <w:rFonts w:ascii="Times New Roman" w:hAnsi="Times New Roman"/>
          <w:sz w:val="28"/>
          <w:szCs w:val="28"/>
          <w:lang w:val="es-ES_tradnl"/>
        </w:rPr>
        <w:t xml:space="preserve">o </w:t>
      </w:r>
      <w:r w:rsidR="00C21D07" w:rsidRPr="00DA1726">
        <w:rPr>
          <w:rFonts w:ascii="Times New Roman" w:hAnsi="Times New Roman"/>
          <w:iCs/>
          <w:sz w:val="28"/>
          <w:szCs w:val="28"/>
          <w:lang w:val="es-ES_tradnl"/>
        </w:rPr>
        <w:t>i</w:t>
      </w:r>
      <w:r w:rsidR="00B71776" w:rsidRPr="00DA1726">
        <w:rPr>
          <w:rFonts w:ascii="Times New Roman" w:hAnsi="Times New Roman"/>
          <w:iCs/>
          <w:sz w:val="28"/>
          <w:szCs w:val="28"/>
          <w:lang w:val="es-ES_tradnl"/>
        </w:rPr>
        <w:t>nforman</w:t>
      </w:r>
      <w:r w:rsidR="00B71776" w:rsidRPr="00DA1726">
        <w:rPr>
          <w:rFonts w:ascii="Times New Roman" w:hAnsi="Times New Roman"/>
          <w:i/>
          <w:iCs/>
          <w:sz w:val="28"/>
          <w:szCs w:val="28"/>
          <w:lang w:val="es-ES_tradnl"/>
        </w:rPr>
        <w:t xml:space="preserve"> </w:t>
      </w:r>
      <w:r w:rsidR="00B71776" w:rsidRPr="00DA1726">
        <w:rPr>
          <w:rFonts w:ascii="Times New Roman" w:hAnsi="Times New Roman"/>
          <w:sz w:val="28"/>
          <w:szCs w:val="28"/>
          <w:lang w:val="es-ES_tradnl"/>
        </w:rPr>
        <w:t>a los usuarios sobre las condiciones de un determinado prestador, puesto que las mismas tienen profundas implicaciones en la manera que se debe interpretar la clasificación.</w:t>
      </w:r>
      <w:r w:rsidR="00C21D07" w:rsidRPr="00DA1726">
        <w:rPr>
          <w:rFonts w:ascii="Times New Roman" w:hAnsi="Times New Roman"/>
          <w:sz w:val="28"/>
          <w:szCs w:val="28"/>
          <w:lang w:val="es-ES_tradnl"/>
        </w:rPr>
        <w:t xml:space="preserve"> Estas son: </w:t>
      </w:r>
    </w:p>
    <w:p w:rsidR="00B71776" w:rsidRPr="00DA1726" w:rsidRDefault="00B71776" w:rsidP="00DA1726">
      <w:pPr>
        <w:pStyle w:val="Style9"/>
        <w:ind w:left="1" w:right="51"/>
        <w:rPr>
          <w:rFonts w:ascii="Times New Roman" w:hAnsi="Times New Roman"/>
          <w:sz w:val="28"/>
          <w:szCs w:val="28"/>
          <w:lang w:val="es-ES_tradnl"/>
        </w:rPr>
      </w:pPr>
    </w:p>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b/>
          <w:bCs/>
          <w:sz w:val="28"/>
          <w:szCs w:val="28"/>
          <w:lang w:val="es-ES_tradnl"/>
        </w:rPr>
        <w:t xml:space="preserve">Zona geográfica. </w:t>
      </w:r>
      <w:r w:rsidRPr="00DA1726">
        <w:rPr>
          <w:rFonts w:ascii="Times New Roman" w:hAnsi="Times New Roman"/>
          <w:sz w:val="28"/>
          <w:szCs w:val="28"/>
          <w:lang w:val="es-ES_tradnl"/>
        </w:rPr>
        <w:t>Las características del territorio influyen en la manera en que se prestan de servicios de salud as</w:t>
      </w:r>
      <w:r w:rsidR="004160E2" w:rsidRPr="00DA1726">
        <w:rPr>
          <w:rFonts w:ascii="Times New Roman" w:hAnsi="Times New Roman"/>
          <w:sz w:val="28"/>
          <w:szCs w:val="28"/>
          <w:lang w:val="es-ES_tradnl"/>
        </w:rPr>
        <w:t>í</w:t>
      </w:r>
      <w:r w:rsidRPr="00DA1726">
        <w:rPr>
          <w:rFonts w:ascii="Times New Roman" w:hAnsi="Times New Roman"/>
          <w:sz w:val="28"/>
          <w:szCs w:val="28"/>
          <w:lang w:val="es-ES_tradnl"/>
        </w:rPr>
        <w:t xml:space="preserve"> como en su oferta, por tanto es relevante diferenciar aquellas </w:t>
      </w:r>
      <w:r w:rsidR="00EA4FAC" w:rsidRPr="00DA1726">
        <w:rPr>
          <w:rFonts w:ascii="Times New Roman" w:hAnsi="Times New Roman"/>
          <w:sz w:val="28"/>
          <w:szCs w:val="28"/>
          <w:lang w:val="es-ES_tradnl"/>
        </w:rPr>
        <w:t>IPS</w:t>
      </w:r>
      <w:r w:rsidRPr="00DA1726">
        <w:rPr>
          <w:rFonts w:ascii="Times New Roman" w:hAnsi="Times New Roman"/>
          <w:sz w:val="28"/>
          <w:szCs w:val="28"/>
          <w:lang w:val="es-ES_tradnl"/>
        </w:rPr>
        <w:t xml:space="preserve"> que se encuentran en las zonas urbanas</w:t>
      </w:r>
      <w:r w:rsidRPr="00DA1726">
        <w:rPr>
          <w:rFonts w:ascii="Times New Roman" w:hAnsi="Times New Roman"/>
          <w:sz w:val="28"/>
          <w:szCs w:val="28"/>
          <w:vertAlign w:val="superscript"/>
          <w:lang w:val="es-ES_tradnl"/>
        </w:rPr>
        <w:footnoteReference w:id="155"/>
      </w:r>
      <w:r w:rsidRPr="00DA1726">
        <w:rPr>
          <w:rFonts w:ascii="Times New Roman" w:hAnsi="Times New Roman"/>
          <w:sz w:val="28"/>
          <w:szCs w:val="28"/>
          <w:lang w:val="es-ES_tradnl"/>
        </w:rPr>
        <w:t>, en la alta ruralidad</w:t>
      </w:r>
      <w:r w:rsidRPr="00DA1726">
        <w:rPr>
          <w:rFonts w:ascii="Times New Roman" w:hAnsi="Times New Roman"/>
          <w:sz w:val="28"/>
          <w:szCs w:val="28"/>
          <w:vertAlign w:val="superscript"/>
          <w:lang w:val="es-ES_tradnl"/>
        </w:rPr>
        <w:footnoteReference w:id="156"/>
      </w:r>
      <w:r w:rsidRPr="00DA1726">
        <w:rPr>
          <w:rFonts w:ascii="Times New Roman" w:hAnsi="Times New Roman"/>
          <w:sz w:val="28"/>
          <w:szCs w:val="28"/>
          <w:lang w:val="es-ES_tradnl"/>
        </w:rPr>
        <w:t xml:space="preserve"> y en las zonas dispersas</w:t>
      </w:r>
      <w:r w:rsidRPr="00DA1726">
        <w:rPr>
          <w:rFonts w:ascii="Times New Roman" w:hAnsi="Times New Roman"/>
          <w:sz w:val="28"/>
          <w:szCs w:val="28"/>
          <w:vertAlign w:val="superscript"/>
          <w:lang w:val="es-ES_tradnl"/>
        </w:rPr>
        <w:footnoteReference w:id="157"/>
      </w:r>
      <w:r w:rsidRPr="00DA1726">
        <w:rPr>
          <w:rFonts w:ascii="Times New Roman" w:hAnsi="Times New Roman"/>
          <w:sz w:val="28"/>
          <w:szCs w:val="28"/>
          <w:lang w:val="es-ES_tradnl"/>
        </w:rPr>
        <w:t>.</w:t>
      </w:r>
    </w:p>
    <w:p w:rsidR="00B71776" w:rsidRPr="00DA1726" w:rsidRDefault="00B71776" w:rsidP="00DA1726">
      <w:pPr>
        <w:pStyle w:val="Style9"/>
        <w:ind w:left="1" w:right="51"/>
        <w:rPr>
          <w:rFonts w:ascii="Times New Roman" w:hAnsi="Times New Roman"/>
          <w:sz w:val="28"/>
          <w:szCs w:val="28"/>
          <w:lang w:val="es-ES_tradnl"/>
        </w:rPr>
      </w:pPr>
    </w:p>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b/>
          <w:bCs/>
          <w:sz w:val="28"/>
          <w:szCs w:val="28"/>
          <w:lang w:val="es-ES_tradnl"/>
        </w:rPr>
        <w:t xml:space="preserve">Acreditación. </w:t>
      </w:r>
      <w:r w:rsidRPr="00DA1726">
        <w:rPr>
          <w:rFonts w:ascii="Times New Roman" w:hAnsi="Times New Roman"/>
          <w:sz w:val="28"/>
          <w:szCs w:val="28"/>
          <w:lang w:val="es-ES_tradnl"/>
        </w:rPr>
        <w:t>Es un proceso voluntario y periódico de autoevaluación interna y revisión externa de los procesos y resultados, que garantizan y mejoran la calidad de la atención del cliente en una organización de salud, a través de una serie de estándares óptimos y factibles de alcanzar, previamente conocidos por las entidades evaluadas</w:t>
      </w:r>
      <w:r w:rsidRPr="00DA1726">
        <w:rPr>
          <w:rFonts w:ascii="Times New Roman" w:hAnsi="Times New Roman"/>
          <w:sz w:val="28"/>
          <w:szCs w:val="28"/>
          <w:vertAlign w:val="superscript"/>
          <w:lang w:val="es-ES_tradnl"/>
        </w:rPr>
        <w:footnoteReference w:id="158"/>
      </w:r>
      <w:r w:rsidRPr="00DA1726">
        <w:rPr>
          <w:rFonts w:ascii="Times New Roman" w:hAnsi="Times New Roman"/>
          <w:sz w:val="28"/>
          <w:szCs w:val="28"/>
          <w:lang w:val="es-ES_tradnl"/>
        </w:rPr>
        <w:t xml:space="preserve">. </w:t>
      </w:r>
    </w:p>
    <w:p w:rsidR="00B71776" w:rsidRPr="00DA1726" w:rsidRDefault="00B71776" w:rsidP="00DA1726">
      <w:pPr>
        <w:pStyle w:val="Style9"/>
        <w:ind w:left="1" w:right="51"/>
        <w:rPr>
          <w:rFonts w:ascii="Times New Roman" w:hAnsi="Times New Roman"/>
          <w:sz w:val="28"/>
          <w:szCs w:val="28"/>
          <w:lang w:val="es-ES_tradnl"/>
        </w:rPr>
      </w:pPr>
    </w:p>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b/>
          <w:bCs/>
          <w:sz w:val="28"/>
          <w:szCs w:val="28"/>
          <w:lang w:val="es-ES_tradnl"/>
        </w:rPr>
        <w:t>Complejidad.</w:t>
      </w:r>
      <w:r w:rsidRPr="00DA1726">
        <w:rPr>
          <w:rFonts w:ascii="Times New Roman" w:hAnsi="Times New Roman"/>
          <w:sz w:val="28"/>
          <w:szCs w:val="28"/>
          <w:lang w:val="es-ES_tradnl"/>
        </w:rPr>
        <w:t xml:space="preserve"> Se busca diferenciar las IPS de complejidad I o II de las III y IV. Ya que las IPS de mayor complejidad gozan de mayor infraestructura, talento humano especializado, por lo general se encuentran en zona urbanas y no presentan mayores barreras en la distancia entre los servicios y la población.</w:t>
      </w:r>
    </w:p>
    <w:p w:rsidR="00B71776" w:rsidRPr="00DA1726" w:rsidRDefault="00B71776" w:rsidP="00DA1726">
      <w:pPr>
        <w:pStyle w:val="Style9"/>
        <w:ind w:left="1" w:right="51"/>
        <w:rPr>
          <w:rFonts w:ascii="Times New Roman" w:hAnsi="Times New Roman"/>
          <w:b/>
          <w:bCs/>
          <w:sz w:val="28"/>
          <w:szCs w:val="28"/>
          <w:lang w:val="es-ES_tradnl"/>
        </w:rPr>
      </w:pPr>
    </w:p>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b/>
          <w:bCs/>
          <w:sz w:val="28"/>
          <w:szCs w:val="28"/>
          <w:lang w:val="es-ES_tradnl"/>
        </w:rPr>
        <w:t xml:space="preserve">Naturaleza jurídica de las Instituciones prestadoras de servicios de salud. </w:t>
      </w:r>
      <w:r w:rsidRPr="00DA1726">
        <w:rPr>
          <w:rFonts w:ascii="Times New Roman" w:hAnsi="Times New Roman"/>
          <w:sz w:val="28"/>
          <w:szCs w:val="28"/>
          <w:lang w:val="es-ES_tradnl"/>
        </w:rPr>
        <w:t>Existen tres clases de IPS: Públicas, Privadas y Mixtas.</w:t>
      </w:r>
    </w:p>
    <w:p w:rsidR="00B71776" w:rsidRPr="00DA1726" w:rsidRDefault="00B71776" w:rsidP="00DA1726">
      <w:pPr>
        <w:pStyle w:val="Style9"/>
        <w:ind w:left="1" w:right="51"/>
        <w:rPr>
          <w:rFonts w:ascii="Times New Roman" w:hAnsi="Times New Roman"/>
          <w:sz w:val="28"/>
          <w:szCs w:val="28"/>
          <w:lang w:val="es-ES_tradnl"/>
        </w:rPr>
      </w:pPr>
    </w:p>
    <w:p w:rsidR="00B71776" w:rsidRPr="00DA1726" w:rsidRDefault="00B71776" w:rsidP="00DA1726">
      <w:pPr>
        <w:pStyle w:val="Style9"/>
        <w:ind w:left="1" w:right="51"/>
        <w:rPr>
          <w:rFonts w:ascii="Times New Roman" w:hAnsi="Times New Roman"/>
          <w:sz w:val="28"/>
          <w:szCs w:val="28"/>
          <w:lang w:val="es-ES_tradnl"/>
        </w:rPr>
      </w:pPr>
      <w:r w:rsidRPr="00DA1726">
        <w:rPr>
          <w:rFonts w:ascii="Times New Roman" w:hAnsi="Times New Roman"/>
          <w:bCs/>
          <w:sz w:val="28"/>
          <w:szCs w:val="28"/>
          <w:lang w:val="es-ES_tradnl"/>
        </w:rPr>
        <w:t xml:space="preserve">En este contexto, se elaboró un </w:t>
      </w:r>
      <w:r w:rsidR="008D66F1" w:rsidRPr="00DA1726">
        <w:rPr>
          <w:rFonts w:ascii="Times New Roman" w:hAnsi="Times New Roman"/>
          <w:bCs/>
          <w:i/>
          <w:sz w:val="28"/>
          <w:szCs w:val="28"/>
          <w:lang w:val="es-ES_tradnl"/>
        </w:rPr>
        <w:t>ranking</w:t>
      </w:r>
      <w:r w:rsidRPr="00DA1726">
        <w:rPr>
          <w:rFonts w:ascii="Times New Roman" w:hAnsi="Times New Roman"/>
          <w:bCs/>
          <w:sz w:val="28"/>
          <w:szCs w:val="28"/>
          <w:lang w:val="es-ES_tradnl"/>
        </w:rPr>
        <w:t xml:space="preserve"> de </w:t>
      </w:r>
      <w:r w:rsidR="00EA4FAC" w:rsidRPr="00DA1726">
        <w:rPr>
          <w:rFonts w:ascii="Times New Roman" w:hAnsi="Times New Roman"/>
          <w:bCs/>
          <w:sz w:val="28"/>
          <w:szCs w:val="28"/>
          <w:lang w:val="es-ES_tradnl"/>
        </w:rPr>
        <w:t>IPS</w:t>
      </w:r>
      <w:r w:rsidRPr="00DA1726">
        <w:rPr>
          <w:rFonts w:ascii="Times New Roman" w:hAnsi="Times New Roman"/>
          <w:bCs/>
          <w:sz w:val="28"/>
          <w:szCs w:val="28"/>
          <w:lang w:val="es-ES_tradnl"/>
        </w:rPr>
        <w:t xml:space="preserve">-2016 </w:t>
      </w:r>
      <w:r w:rsidRPr="00DA1726">
        <w:rPr>
          <w:rFonts w:ascii="Times New Roman" w:hAnsi="Times New Roman"/>
          <w:sz w:val="28"/>
          <w:szCs w:val="28"/>
          <w:lang w:val="es-ES_tradnl"/>
        </w:rPr>
        <w:t xml:space="preserve">que contiene dos clasificaciones: (i) </w:t>
      </w:r>
      <w:r w:rsidRPr="00DA1726">
        <w:rPr>
          <w:rFonts w:ascii="Times New Roman" w:hAnsi="Times New Roman"/>
          <w:bCs/>
          <w:sz w:val="28"/>
          <w:szCs w:val="28"/>
          <w:lang w:val="es-ES_tradnl"/>
        </w:rPr>
        <w:t>de servicio y percepción del paciente; y (ii) ámbito y percepción del paciente.</w:t>
      </w:r>
      <w:r w:rsidRPr="00DA1726">
        <w:rPr>
          <w:rFonts w:ascii="Times New Roman" w:hAnsi="Times New Roman"/>
          <w:b/>
          <w:bCs/>
          <w:sz w:val="28"/>
          <w:szCs w:val="28"/>
          <w:lang w:val="es-ES_tradnl"/>
        </w:rPr>
        <w:t xml:space="preserve"> </w:t>
      </w:r>
      <w:r w:rsidRPr="00DA1726">
        <w:rPr>
          <w:rFonts w:ascii="Times New Roman" w:hAnsi="Times New Roman"/>
          <w:sz w:val="28"/>
          <w:szCs w:val="28"/>
          <w:lang w:val="es-ES_tradnl"/>
        </w:rPr>
        <w:t xml:space="preserve">Adicionalmente al ordenamiento cuantitativo se adicionó una variable denominada </w:t>
      </w:r>
      <w:r w:rsidRPr="00DA1726">
        <w:rPr>
          <w:rFonts w:ascii="Times New Roman" w:hAnsi="Times New Roman"/>
          <w:bCs/>
          <w:i/>
          <w:iCs/>
          <w:sz w:val="28"/>
          <w:szCs w:val="28"/>
          <w:lang w:val="es-ES_tradnl"/>
        </w:rPr>
        <w:t>estimativo de desempeño,</w:t>
      </w:r>
      <w:r w:rsidRPr="00DA1726">
        <w:rPr>
          <w:rFonts w:ascii="Times New Roman" w:hAnsi="Times New Roman"/>
          <w:b/>
          <w:bCs/>
          <w:i/>
          <w:iCs/>
          <w:sz w:val="28"/>
          <w:szCs w:val="28"/>
          <w:lang w:val="es-ES_tradnl"/>
        </w:rPr>
        <w:t xml:space="preserve"> </w:t>
      </w:r>
      <w:r w:rsidRPr="00DA1726">
        <w:rPr>
          <w:rFonts w:ascii="Times New Roman" w:hAnsi="Times New Roman"/>
          <w:sz w:val="28"/>
          <w:szCs w:val="28"/>
          <w:lang w:val="es-ES_tradnl"/>
        </w:rPr>
        <w:t xml:space="preserve">la cual asigna una valoración cualitativa a la ponderación de los </w:t>
      </w:r>
      <w:r w:rsidR="008D66F1" w:rsidRPr="00DA1726">
        <w:rPr>
          <w:rFonts w:ascii="Times New Roman" w:hAnsi="Times New Roman"/>
          <w:i/>
          <w:sz w:val="28"/>
          <w:szCs w:val="28"/>
          <w:lang w:val="es-ES_tradnl"/>
        </w:rPr>
        <w:t>ranking</w:t>
      </w:r>
      <w:r w:rsidRPr="00DA1726">
        <w:rPr>
          <w:rFonts w:ascii="Times New Roman" w:hAnsi="Times New Roman"/>
          <w:sz w:val="28"/>
          <w:szCs w:val="28"/>
          <w:lang w:val="es-ES_tradnl"/>
        </w:rPr>
        <w:t xml:space="preserve">s, que se hizo con dos intenciones: (i) para el usuario es más comprensible una clasificación por nombres, que por números; (ii) las categorías </w:t>
      </w:r>
      <w:r w:rsidRPr="00DA1726">
        <w:rPr>
          <w:rFonts w:ascii="Times New Roman" w:hAnsi="Times New Roman"/>
          <w:i/>
          <w:sz w:val="28"/>
          <w:szCs w:val="28"/>
          <w:lang w:val="es-ES_tradnl"/>
        </w:rPr>
        <w:t>(a)</w:t>
      </w:r>
      <w:r w:rsidRPr="00DA1726">
        <w:rPr>
          <w:rFonts w:ascii="Times New Roman" w:hAnsi="Times New Roman"/>
          <w:sz w:val="28"/>
          <w:szCs w:val="28"/>
          <w:lang w:val="es-ES_tradnl"/>
        </w:rPr>
        <w:t xml:space="preserve"> </w:t>
      </w:r>
      <w:r w:rsidRPr="00DA1726">
        <w:rPr>
          <w:rFonts w:ascii="Times New Roman" w:hAnsi="Times New Roman"/>
          <w:i/>
          <w:iCs/>
          <w:sz w:val="28"/>
          <w:szCs w:val="28"/>
          <w:lang w:val="es-ES_tradnl"/>
        </w:rPr>
        <w:t>mejor que el promedio</w:t>
      </w:r>
      <w:r w:rsidRPr="00DA1726">
        <w:rPr>
          <w:rFonts w:ascii="Times New Roman" w:hAnsi="Times New Roman"/>
          <w:i/>
          <w:iCs/>
          <w:sz w:val="28"/>
          <w:szCs w:val="28"/>
          <w:vertAlign w:val="superscript"/>
          <w:lang w:val="es-ES_tradnl"/>
        </w:rPr>
        <w:footnoteReference w:id="159"/>
      </w:r>
      <w:r w:rsidRPr="00DA1726">
        <w:rPr>
          <w:rFonts w:ascii="Times New Roman" w:hAnsi="Times New Roman"/>
          <w:i/>
          <w:iCs/>
          <w:sz w:val="28"/>
          <w:szCs w:val="28"/>
          <w:lang w:val="es-ES_tradnl"/>
        </w:rPr>
        <w:t>, (b) en el promedio</w:t>
      </w:r>
      <w:r w:rsidRPr="00DA1726">
        <w:rPr>
          <w:rFonts w:ascii="Times New Roman" w:hAnsi="Times New Roman"/>
          <w:i/>
          <w:iCs/>
          <w:sz w:val="28"/>
          <w:szCs w:val="28"/>
          <w:vertAlign w:val="superscript"/>
          <w:lang w:val="es-ES_tradnl"/>
        </w:rPr>
        <w:footnoteReference w:id="160"/>
      </w:r>
      <w:r w:rsidRPr="00DA1726">
        <w:rPr>
          <w:rFonts w:ascii="Times New Roman" w:hAnsi="Times New Roman"/>
          <w:i/>
          <w:iCs/>
          <w:sz w:val="28"/>
          <w:szCs w:val="28"/>
          <w:lang w:val="es-ES_tradnl"/>
        </w:rPr>
        <w:t xml:space="preserve"> y (c) el resto</w:t>
      </w:r>
      <w:r w:rsidRPr="00DA1726">
        <w:rPr>
          <w:rFonts w:ascii="Times New Roman" w:hAnsi="Times New Roman"/>
          <w:i/>
          <w:iCs/>
          <w:sz w:val="28"/>
          <w:szCs w:val="28"/>
          <w:vertAlign w:val="superscript"/>
          <w:lang w:val="es-ES_tradnl"/>
        </w:rPr>
        <w:footnoteReference w:id="161"/>
      </w:r>
      <w:r w:rsidRPr="00DA1726">
        <w:rPr>
          <w:rFonts w:ascii="Times New Roman" w:hAnsi="Times New Roman"/>
          <w:i/>
          <w:iCs/>
          <w:sz w:val="28"/>
          <w:szCs w:val="28"/>
          <w:lang w:val="es-ES_tradnl"/>
        </w:rPr>
        <w:t xml:space="preserve">, </w:t>
      </w:r>
      <w:r w:rsidRPr="00DA1726">
        <w:rPr>
          <w:rFonts w:ascii="Times New Roman" w:hAnsi="Times New Roman"/>
          <w:sz w:val="28"/>
          <w:szCs w:val="28"/>
          <w:lang w:val="es-ES_tradnl"/>
        </w:rPr>
        <w:t>generan mayor impacto en los evaluados y en los usuarios ya que visibilizan y agrupan en grandes categorías IPS con desempeño similar.</w:t>
      </w:r>
    </w:p>
    <w:p w:rsidR="00B71776" w:rsidRPr="00DA1726" w:rsidRDefault="00B71776" w:rsidP="00DA1726">
      <w:pPr>
        <w:pStyle w:val="Style9"/>
        <w:ind w:left="1" w:right="51"/>
        <w:rPr>
          <w:rFonts w:ascii="Times New Roman" w:hAnsi="Times New Roman"/>
          <w:sz w:val="28"/>
          <w:szCs w:val="28"/>
          <w:lang w:val="es-ES_tradnl"/>
        </w:rPr>
      </w:pPr>
    </w:p>
    <w:p w:rsidR="00B71776" w:rsidRPr="00DA1726" w:rsidRDefault="00B71776" w:rsidP="00DA1726">
      <w:pPr>
        <w:pStyle w:val="Style9"/>
        <w:ind w:left="1" w:right="51"/>
        <w:rPr>
          <w:rFonts w:ascii="Times New Roman" w:hAnsi="Times New Roman"/>
          <w:bCs/>
          <w:iCs/>
          <w:sz w:val="28"/>
          <w:szCs w:val="28"/>
          <w:lang w:val="es-ES_tradnl"/>
        </w:rPr>
      </w:pPr>
      <w:r w:rsidRPr="00DA1726">
        <w:rPr>
          <w:rFonts w:ascii="Times New Roman" w:hAnsi="Times New Roman"/>
          <w:sz w:val="28"/>
          <w:szCs w:val="28"/>
          <w:lang w:val="es-ES_tradnl"/>
        </w:rPr>
        <w:t>También se dispuso de un visor por mapa</w:t>
      </w:r>
      <w:r w:rsidRPr="00DA1726">
        <w:rPr>
          <w:rFonts w:ascii="Times New Roman" w:hAnsi="Times New Roman"/>
          <w:sz w:val="28"/>
          <w:szCs w:val="28"/>
          <w:vertAlign w:val="superscript"/>
          <w:lang w:val="es-ES_tradnl"/>
        </w:rPr>
        <w:footnoteReference w:id="162"/>
      </w:r>
      <w:r w:rsidRPr="00DA1726">
        <w:rPr>
          <w:rFonts w:ascii="Times New Roman" w:hAnsi="Times New Roman"/>
          <w:sz w:val="28"/>
          <w:szCs w:val="28"/>
          <w:lang w:val="es-ES_tradnl"/>
        </w:rPr>
        <w:t xml:space="preserve"> en el cual el usuario puede observar tres tipos de clasificaciones: (i) </w:t>
      </w:r>
      <w:r w:rsidRPr="00DA1726">
        <w:rPr>
          <w:rFonts w:ascii="Times New Roman" w:hAnsi="Times New Roman"/>
          <w:bCs/>
          <w:iCs/>
          <w:sz w:val="28"/>
          <w:szCs w:val="28"/>
          <w:lang w:val="es-ES_tradnl"/>
        </w:rPr>
        <w:t>servicios hospitalarios</w:t>
      </w:r>
      <w:r w:rsidRPr="00DA1726">
        <w:rPr>
          <w:rFonts w:ascii="Times New Roman" w:hAnsi="Times New Roman"/>
          <w:bCs/>
          <w:iCs/>
          <w:sz w:val="28"/>
          <w:szCs w:val="28"/>
          <w:vertAlign w:val="superscript"/>
          <w:lang w:val="es-ES_tradnl"/>
        </w:rPr>
        <w:footnoteReference w:id="163"/>
      </w:r>
      <w:r w:rsidRPr="00DA1726">
        <w:rPr>
          <w:rFonts w:ascii="Times New Roman" w:hAnsi="Times New Roman"/>
          <w:bCs/>
          <w:iCs/>
          <w:sz w:val="28"/>
          <w:szCs w:val="28"/>
          <w:lang w:val="es-ES_tradnl"/>
        </w:rPr>
        <w:t>; (ii) percepción del paciente</w:t>
      </w:r>
      <w:r w:rsidRPr="00DA1726">
        <w:rPr>
          <w:rFonts w:ascii="Times New Roman" w:hAnsi="Times New Roman"/>
          <w:bCs/>
          <w:iCs/>
          <w:sz w:val="28"/>
          <w:szCs w:val="28"/>
          <w:vertAlign w:val="superscript"/>
          <w:lang w:val="es-ES_tradnl"/>
        </w:rPr>
        <w:footnoteReference w:id="164"/>
      </w:r>
      <w:r w:rsidRPr="00DA1726">
        <w:rPr>
          <w:rFonts w:ascii="Times New Roman" w:hAnsi="Times New Roman"/>
          <w:bCs/>
          <w:iCs/>
          <w:sz w:val="28"/>
          <w:szCs w:val="28"/>
          <w:lang w:val="es-ES_tradnl"/>
        </w:rPr>
        <w:t>; y (iii) consulta médica general</w:t>
      </w:r>
      <w:r w:rsidRPr="00DA1726">
        <w:rPr>
          <w:rFonts w:ascii="Times New Roman" w:hAnsi="Times New Roman"/>
          <w:bCs/>
          <w:iCs/>
          <w:sz w:val="28"/>
          <w:szCs w:val="28"/>
          <w:vertAlign w:val="superscript"/>
          <w:lang w:val="es-ES_tradnl"/>
        </w:rPr>
        <w:footnoteReference w:id="165"/>
      </w:r>
      <w:r w:rsidRPr="00DA1726">
        <w:rPr>
          <w:rFonts w:ascii="Times New Roman" w:hAnsi="Times New Roman"/>
          <w:bCs/>
          <w:iCs/>
          <w:sz w:val="28"/>
          <w:szCs w:val="28"/>
          <w:lang w:val="es-ES_tradnl"/>
        </w:rPr>
        <w:t>.</w:t>
      </w:r>
    </w:p>
    <w:p w:rsidR="00B71776" w:rsidRPr="00DA1726" w:rsidRDefault="00B71776" w:rsidP="00DA1726">
      <w:pPr>
        <w:pStyle w:val="Style9"/>
        <w:ind w:left="1" w:right="51"/>
        <w:rPr>
          <w:rFonts w:ascii="Times New Roman" w:hAnsi="Times New Roman"/>
          <w:sz w:val="28"/>
          <w:szCs w:val="28"/>
          <w:lang w:val="es-ES_tradnl"/>
        </w:rPr>
      </w:pPr>
    </w:p>
    <w:p w:rsidR="00982F91" w:rsidRPr="00DA1726" w:rsidRDefault="00A02784" w:rsidP="00DA1726">
      <w:pPr>
        <w:pStyle w:val="Style9"/>
        <w:ind w:left="1" w:right="51"/>
        <w:rPr>
          <w:rFonts w:ascii="Times New Roman" w:hAnsi="Times New Roman"/>
          <w:i/>
          <w:sz w:val="28"/>
          <w:szCs w:val="28"/>
          <w:lang w:val="es-ES_tradnl"/>
        </w:rPr>
      </w:pPr>
      <w:r w:rsidRPr="00DA1726">
        <w:rPr>
          <w:rFonts w:ascii="Times New Roman" w:hAnsi="Times New Roman"/>
          <w:i/>
          <w:sz w:val="28"/>
          <w:szCs w:val="28"/>
        </w:rPr>
        <w:t xml:space="preserve">5.2.2.2.2. </w:t>
      </w:r>
      <w:r w:rsidR="00982F91" w:rsidRPr="00DA1726">
        <w:rPr>
          <w:rFonts w:ascii="Times New Roman" w:hAnsi="Times New Roman"/>
          <w:i/>
          <w:sz w:val="28"/>
          <w:szCs w:val="28"/>
          <w:lang w:val="es-ES_tradnl"/>
        </w:rPr>
        <w:t>Resultados.</w:t>
      </w:r>
    </w:p>
    <w:p w:rsidR="00982F91" w:rsidRPr="00DA1726" w:rsidRDefault="00982F91" w:rsidP="00DA1726">
      <w:pPr>
        <w:pStyle w:val="Style9"/>
        <w:ind w:left="1" w:right="51"/>
        <w:rPr>
          <w:rFonts w:ascii="Times New Roman" w:hAnsi="Times New Roman"/>
          <w:i/>
          <w:sz w:val="28"/>
          <w:szCs w:val="28"/>
          <w:lang w:val="es-ES_tradnl"/>
        </w:rPr>
      </w:pPr>
    </w:p>
    <w:p w:rsidR="00994FD5" w:rsidRPr="00DA1726" w:rsidRDefault="00982F91"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 xml:space="preserve">Como resultado de este ejercicio </w:t>
      </w:r>
      <w:r w:rsidR="00B31532" w:rsidRPr="00DA1726">
        <w:rPr>
          <w:rFonts w:ascii="Times New Roman" w:hAnsi="Times New Roman"/>
          <w:sz w:val="28"/>
          <w:szCs w:val="28"/>
          <w:lang w:val="es-ES_tradnl"/>
        </w:rPr>
        <w:t xml:space="preserve">se </w:t>
      </w:r>
      <w:r w:rsidRPr="00DA1726">
        <w:rPr>
          <w:rFonts w:ascii="Times New Roman" w:hAnsi="Times New Roman"/>
          <w:sz w:val="28"/>
          <w:szCs w:val="28"/>
          <w:lang w:val="es-ES_tradnl"/>
        </w:rPr>
        <w:t>anexó un documento en tablas Excel a través del cual se pude verificar los ítems previamente descritos, alusivos a la zona geográfica, acreditación, complejidad y naturaleza jurídica de las instituciones prestadoras de salud</w:t>
      </w:r>
      <w:r w:rsidR="0072265F" w:rsidRPr="00DA1726">
        <w:rPr>
          <w:rFonts w:ascii="Times New Roman" w:hAnsi="Times New Roman"/>
          <w:sz w:val="28"/>
          <w:szCs w:val="28"/>
          <w:lang w:val="es-ES_tradnl"/>
        </w:rPr>
        <w:t>.</w:t>
      </w:r>
      <w:r w:rsidR="00303F0E" w:rsidRPr="00DA1726">
        <w:rPr>
          <w:rFonts w:ascii="Times New Roman" w:hAnsi="Times New Roman"/>
          <w:sz w:val="28"/>
          <w:szCs w:val="28"/>
          <w:lang w:val="es-ES_tradnl"/>
        </w:rPr>
        <w:t xml:space="preserve"> </w:t>
      </w:r>
      <w:r w:rsidR="00994FD5" w:rsidRPr="00DA1726">
        <w:rPr>
          <w:rFonts w:ascii="Times New Roman" w:hAnsi="Times New Roman"/>
          <w:sz w:val="28"/>
          <w:szCs w:val="28"/>
          <w:lang w:val="es-ES_tradnl"/>
        </w:rPr>
        <w:t>Dentro de las instrucciones de consulta se especifican dos aspectos primordiales:</w:t>
      </w:r>
    </w:p>
    <w:p w:rsidR="00303F0E" w:rsidRPr="00DA1726" w:rsidRDefault="00303F0E" w:rsidP="00DA1726">
      <w:pPr>
        <w:pStyle w:val="Style9"/>
        <w:ind w:left="1" w:right="51"/>
        <w:rPr>
          <w:rFonts w:ascii="Times New Roman" w:hAnsi="Times New Roman"/>
          <w:sz w:val="28"/>
          <w:szCs w:val="28"/>
          <w:lang w:val="es-ES_tradnl"/>
        </w:rPr>
      </w:pPr>
    </w:p>
    <w:p w:rsidR="00994FD5" w:rsidRPr="00DA1726" w:rsidRDefault="00994FD5"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CO"/>
        </w:rPr>
        <w:t>i)</w:t>
      </w:r>
      <w:r w:rsidR="00EB4C62" w:rsidRPr="00DA1726">
        <w:rPr>
          <w:rFonts w:ascii="Times New Roman" w:hAnsi="Times New Roman"/>
          <w:sz w:val="28"/>
          <w:szCs w:val="28"/>
          <w:lang w:val="es-CO"/>
        </w:rPr>
        <w:t xml:space="preserve"> </w:t>
      </w:r>
      <w:r w:rsidRPr="00DA1726">
        <w:rPr>
          <w:rFonts w:ascii="Times New Roman" w:hAnsi="Times New Roman"/>
          <w:sz w:val="28"/>
          <w:szCs w:val="28"/>
          <w:lang w:val="es-CO"/>
        </w:rPr>
        <w:t>El Ordenamiento de las sedes de prestadores se hizo considerando la complejidad de los mismos a través de los se</w:t>
      </w:r>
      <w:r w:rsidR="000E12CE" w:rsidRPr="00DA1726">
        <w:rPr>
          <w:rFonts w:ascii="Times New Roman" w:hAnsi="Times New Roman"/>
          <w:sz w:val="28"/>
          <w:szCs w:val="28"/>
          <w:lang w:val="es-CO"/>
        </w:rPr>
        <w:t>rvicios de cuidados intensivos –UCI,</w:t>
      </w:r>
      <w:r w:rsidRPr="00DA1726">
        <w:rPr>
          <w:rFonts w:ascii="Times New Roman" w:hAnsi="Times New Roman"/>
          <w:sz w:val="28"/>
          <w:szCs w:val="28"/>
          <w:lang w:val="es-CO"/>
        </w:rPr>
        <w:t xml:space="preserve"> por lo tanto por cada </w:t>
      </w:r>
      <w:r w:rsidR="000E12CE" w:rsidRPr="00DA1726">
        <w:rPr>
          <w:rFonts w:ascii="Times New Roman" w:hAnsi="Times New Roman"/>
          <w:sz w:val="28"/>
          <w:szCs w:val="28"/>
          <w:lang w:val="es-CO"/>
        </w:rPr>
        <w:t>categoría hay dos Ordenamientos:</w:t>
      </w:r>
      <w:r w:rsidRPr="00DA1726">
        <w:rPr>
          <w:rFonts w:ascii="Times New Roman" w:hAnsi="Times New Roman"/>
          <w:sz w:val="28"/>
          <w:szCs w:val="28"/>
          <w:lang w:val="es-CO"/>
        </w:rPr>
        <w:t xml:space="preserve"> para prestadores con servi</w:t>
      </w:r>
      <w:r w:rsidR="000E12CE" w:rsidRPr="00DA1726">
        <w:rPr>
          <w:rFonts w:ascii="Times New Roman" w:hAnsi="Times New Roman"/>
          <w:sz w:val="28"/>
          <w:szCs w:val="28"/>
          <w:lang w:val="es-CO"/>
        </w:rPr>
        <w:t>cios de cuidado intensivo</w:t>
      </w:r>
      <w:r w:rsidRPr="00DA1726">
        <w:rPr>
          <w:rFonts w:ascii="Times New Roman" w:hAnsi="Times New Roman"/>
          <w:sz w:val="28"/>
          <w:szCs w:val="28"/>
          <w:lang w:val="es-CO"/>
        </w:rPr>
        <w:t xml:space="preserve"> y para prestadores sin servicios de cuidado intensivo. Por lo anterior la variable </w:t>
      </w:r>
      <w:r w:rsidRPr="00DA1726">
        <w:rPr>
          <w:rFonts w:ascii="Times New Roman" w:hAnsi="Times New Roman"/>
          <w:i/>
          <w:sz w:val="28"/>
          <w:szCs w:val="28"/>
          <w:lang w:val="es-CO"/>
        </w:rPr>
        <w:t>“</w:t>
      </w:r>
      <w:r w:rsidRPr="00DA1726">
        <w:rPr>
          <w:rFonts w:ascii="Times New Roman" w:hAnsi="Times New Roman"/>
          <w:bCs/>
          <w:i/>
          <w:sz w:val="28"/>
          <w:szCs w:val="28"/>
          <w:lang w:val="es-CO"/>
        </w:rPr>
        <w:t>complejidad”</w:t>
      </w:r>
      <w:r w:rsidRPr="00DA1726">
        <w:rPr>
          <w:rFonts w:ascii="Times New Roman" w:hAnsi="Times New Roman"/>
          <w:bCs/>
          <w:sz w:val="28"/>
          <w:szCs w:val="28"/>
          <w:lang w:val="es-CO"/>
        </w:rPr>
        <w:t xml:space="preserve"> junto con la variable </w:t>
      </w:r>
      <w:r w:rsidRPr="00DA1726">
        <w:rPr>
          <w:rFonts w:ascii="Times New Roman" w:hAnsi="Times New Roman"/>
          <w:bCs/>
          <w:i/>
          <w:sz w:val="28"/>
          <w:szCs w:val="28"/>
          <w:lang w:val="es-CO"/>
        </w:rPr>
        <w:t>“servicio (ámbito) y percepción del paciente”</w:t>
      </w:r>
      <w:r w:rsidRPr="00DA1726">
        <w:rPr>
          <w:rFonts w:ascii="Times New Roman" w:hAnsi="Times New Roman"/>
          <w:bCs/>
          <w:sz w:val="28"/>
          <w:szCs w:val="28"/>
          <w:lang w:val="es-CO"/>
        </w:rPr>
        <w:t xml:space="preserve"> deben ser filtradas</w:t>
      </w:r>
      <w:r w:rsidRPr="00DA1726">
        <w:rPr>
          <w:rFonts w:ascii="Times New Roman" w:hAnsi="Times New Roman"/>
          <w:b/>
          <w:bCs/>
          <w:sz w:val="28"/>
          <w:szCs w:val="28"/>
          <w:lang w:val="es-CO"/>
        </w:rPr>
        <w:t xml:space="preserve"> </w:t>
      </w:r>
      <w:r w:rsidRPr="00DA1726">
        <w:rPr>
          <w:rFonts w:ascii="Times New Roman" w:hAnsi="Times New Roman"/>
          <w:sz w:val="28"/>
          <w:szCs w:val="28"/>
          <w:lang w:val="es-CO"/>
        </w:rPr>
        <w:t>a la hora de consulta.</w:t>
      </w:r>
    </w:p>
    <w:p w:rsidR="00303F0E" w:rsidRPr="00DA1726" w:rsidRDefault="00303F0E" w:rsidP="00DA1726">
      <w:pPr>
        <w:pStyle w:val="Style9"/>
        <w:rPr>
          <w:rFonts w:ascii="Times New Roman" w:hAnsi="Times New Roman"/>
          <w:sz w:val="28"/>
          <w:szCs w:val="28"/>
          <w:lang w:val="es-CO"/>
        </w:rPr>
      </w:pPr>
    </w:p>
    <w:p w:rsidR="00994FD5" w:rsidRPr="00DA1726" w:rsidRDefault="00EB4C62" w:rsidP="00DA1726">
      <w:pPr>
        <w:pStyle w:val="Style9"/>
        <w:rPr>
          <w:rFonts w:ascii="Times New Roman" w:hAnsi="Times New Roman"/>
          <w:sz w:val="28"/>
          <w:szCs w:val="28"/>
          <w:lang w:val="es-CO"/>
        </w:rPr>
      </w:pPr>
      <w:r w:rsidRPr="00DA1726">
        <w:rPr>
          <w:rFonts w:ascii="Times New Roman" w:hAnsi="Times New Roman"/>
          <w:sz w:val="28"/>
          <w:szCs w:val="28"/>
          <w:lang w:val="es-CO"/>
        </w:rPr>
        <w:t>ii)</w:t>
      </w:r>
      <w:r w:rsidR="00994FD5" w:rsidRPr="00DA1726">
        <w:rPr>
          <w:rFonts w:ascii="Times New Roman" w:hAnsi="Times New Roman"/>
          <w:sz w:val="28"/>
          <w:szCs w:val="28"/>
          <w:lang w:val="es-CO"/>
        </w:rPr>
        <w:t xml:space="preserve"> Las categorías restantes son filtros opcionales que el usuario de la información puede considerar para tener información detallada sobre la geografía del prestador o su naturaleza jurídica. Se incluye como filtro la Zonificación MIAS que indica a qué categoría de la territorialización del Modelo Integral de Atención en Salud pertenece el prestador.</w:t>
      </w:r>
    </w:p>
    <w:p w:rsidR="00994FD5" w:rsidRPr="00DA1726" w:rsidRDefault="00994FD5" w:rsidP="00DA1726">
      <w:pPr>
        <w:pStyle w:val="Style9"/>
        <w:ind w:left="1" w:right="51"/>
        <w:rPr>
          <w:rFonts w:ascii="Times New Roman" w:hAnsi="Times New Roman"/>
          <w:sz w:val="28"/>
          <w:szCs w:val="28"/>
          <w:lang w:val="es-ES_tradnl"/>
        </w:rPr>
      </w:pPr>
    </w:p>
    <w:p w:rsidR="00EB4C62" w:rsidRPr="00DA1726" w:rsidRDefault="00EB4C62"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Adicionalmente, en la herramienta dispuesta en la página del Observatorio de Calidad del Ministerio</w:t>
      </w:r>
      <w:r w:rsidRPr="00DA1726">
        <w:rPr>
          <w:rFonts w:ascii="Times New Roman" w:hAnsi="Times New Roman"/>
          <w:sz w:val="28"/>
          <w:szCs w:val="28"/>
        </w:rPr>
        <w:t xml:space="preserve"> </w:t>
      </w:r>
      <w:r w:rsidRPr="00DA1726">
        <w:rPr>
          <w:rFonts w:ascii="Times New Roman" w:hAnsi="Times New Roman"/>
          <w:sz w:val="28"/>
          <w:szCs w:val="28"/>
          <w:lang w:val="es-ES_tradnl"/>
        </w:rPr>
        <w:t xml:space="preserve">en la pestaña </w:t>
      </w:r>
      <w:r w:rsidRPr="00DA1726">
        <w:rPr>
          <w:rFonts w:ascii="Times New Roman" w:hAnsi="Times New Roman"/>
          <w:i/>
          <w:sz w:val="28"/>
          <w:szCs w:val="28"/>
          <w:lang w:val="es-ES_tradnl"/>
        </w:rPr>
        <w:t>“indicadores de calidad - comparación de IPS”</w:t>
      </w:r>
      <w:r w:rsidR="00303F0E" w:rsidRPr="00DA1726">
        <w:rPr>
          <w:rFonts w:ascii="Times New Roman" w:hAnsi="Times New Roman"/>
          <w:sz w:val="28"/>
          <w:szCs w:val="28"/>
          <w:vertAlign w:val="superscript"/>
          <w:lang w:val="es-ES_tradnl"/>
        </w:rPr>
        <w:t xml:space="preserve"> </w:t>
      </w:r>
      <w:r w:rsidR="00303F0E" w:rsidRPr="00DA1726">
        <w:rPr>
          <w:rFonts w:ascii="Times New Roman" w:hAnsi="Times New Roman"/>
          <w:sz w:val="28"/>
          <w:szCs w:val="28"/>
          <w:vertAlign w:val="superscript"/>
          <w:lang w:val="es-ES_tradnl"/>
        </w:rPr>
        <w:footnoteReference w:id="166"/>
      </w:r>
      <w:r w:rsidR="00EF477B" w:rsidRPr="00DA1726">
        <w:rPr>
          <w:rFonts w:ascii="Times New Roman" w:hAnsi="Times New Roman"/>
          <w:sz w:val="28"/>
          <w:szCs w:val="28"/>
          <w:lang w:val="es-ES_tradnl"/>
        </w:rPr>
        <w:t xml:space="preserve">, se plantea un ejercicio comparativo entre prestadoras que a partir de una lista taxativa de </w:t>
      </w:r>
      <w:r w:rsidR="00F9552F" w:rsidRPr="00DA1726">
        <w:rPr>
          <w:rFonts w:ascii="Times New Roman" w:hAnsi="Times New Roman"/>
          <w:sz w:val="28"/>
          <w:szCs w:val="28"/>
          <w:lang w:val="es-ES_tradnl"/>
        </w:rPr>
        <w:t xml:space="preserve">diez </w:t>
      </w:r>
      <w:r w:rsidR="00EF477B" w:rsidRPr="00DA1726">
        <w:rPr>
          <w:rFonts w:ascii="Times New Roman" w:hAnsi="Times New Roman"/>
          <w:sz w:val="28"/>
          <w:szCs w:val="28"/>
          <w:lang w:val="es-ES_tradnl"/>
        </w:rPr>
        <w:t>servicios</w:t>
      </w:r>
      <w:r w:rsidR="00EF477B" w:rsidRPr="00DA1726">
        <w:rPr>
          <w:rFonts w:ascii="Times New Roman" w:hAnsi="Times New Roman"/>
          <w:sz w:val="28"/>
          <w:szCs w:val="28"/>
          <w:vertAlign w:val="superscript"/>
          <w:lang w:val="es-ES_tradnl"/>
        </w:rPr>
        <w:footnoteReference w:id="167"/>
      </w:r>
      <w:r w:rsidR="00F9552F" w:rsidRPr="00DA1726">
        <w:rPr>
          <w:rFonts w:ascii="Times New Roman" w:hAnsi="Times New Roman"/>
          <w:sz w:val="28"/>
          <w:szCs w:val="28"/>
          <w:lang w:val="es-ES_tradnl"/>
        </w:rPr>
        <w:t>, posteriormente se filtra por departamento, luego por municipio y finalmente por IPS, la cual no resulta comparable con otra en todos los casos.</w:t>
      </w:r>
    </w:p>
    <w:p w:rsidR="001015A3" w:rsidRPr="00DA1726" w:rsidRDefault="001015A3" w:rsidP="00DA1726">
      <w:pPr>
        <w:pStyle w:val="Style9"/>
        <w:ind w:left="1" w:right="51"/>
        <w:rPr>
          <w:rFonts w:ascii="Times New Roman" w:hAnsi="Times New Roman"/>
          <w:sz w:val="28"/>
          <w:szCs w:val="28"/>
          <w:lang w:val="es-ES_tradnl"/>
        </w:rPr>
      </w:pPr>
    </w:p>
    <w:p w:rsidR="004160E2" w:rsidRPr="00DA1726" w:rsidRDefault="00A02784" w:rsidP="00DA1726">
      <w:pPr>
        <w:pStyle w:val="Style9"/>
        <w:widowControl/>
        <w:ind w:right="51"/>
        <w:rPr>
          <w:rFonts w:ascii="Times New Roman" w:hAnsi="Times New Roman"/>
          <w:i/>
          <w:sz w:val="28"/>
          <w:szCs w:val="28"/>
        </w:rPr>
      </w:pPr>
      <w:r w:rsidRPr="00DA1726">
        <w:rPr>
          <w:rFonts w:ascii="Times New Roman" w:hAnsi="Times New Roman"/>
          <w:i/>
          <w:sz w:val="28"/>
          <w:szCs w:val="28"/>
        </w:rPr>
        <w:t>5</w:t>
      </w:r>
      <w:r w:rsidR="004160E2" w:rsidRPr="00DA1726">
        <w:rPr>
          <w:rFonts w:ascii="Times New Roman" w:hAnsi="Times New Roman"/>
          <w:i/>
          <w:sz w:val="28"/>
          <w:szCs w:val="28"/>
        </w:rPr>
        <w:t>.2.2.3. Documento presentado el 12 de agosto de 2016 (informe sesión técnica).</w:t>
      </w:r>
    </w:p>
    <w:p w:rsidR="004160E2" w:rsidRPr="00DA1726" w:rsidRDefault="004160E2" w:rsidP="00DA1726">
      <w:pPr>
        <w:pStyle w:val="Style9"/>
        <w:ind w:right="51"/>
        <w:rPr>
          <w:rFonts w:ascii="Times New Roman" w:hAnsi="Times New Roman"/>
          <w:sz w:val="28"/>
          <w:szCs w:val="28"/>
        </w:rPr>
      </w:pPr>
    </w:p>
    <w:p w:rsidR="004160E2" w:rsidRPr="00DA1726" w:rsidRDefault="00303F0E" w:rsidP="00DA1726">
      <w:pPr>
        <w:pStyle w:val="Style9"/>
        <w:ind w:left="1" w:right="51"/>
        <w:rPr>
          <w:rFonts w:ascii="Times New Roman" w:hAnsi="Times New Roman"/>
          <w:sz w:val="28"/>
          <w:szCs w:val="28"/>
        </w:rPr>
      </w:pPr>
      <w:r w:rsidRPr="00DA1726">
        <w:rPr>
          <w:rFonts w:ascii="Times New Roman" w:hAnsi="Times New Roman"/>
          <w:sz w:val="28"/>
          <w:szCs w:val="28"/>
        </w:rPr>
        <w:t xml:space="preserve">El Ministerio </w:t>
      </w:r>
      <w:r w:rsidR="00C97731" w:rsidRPr="00DA1726">
        <w:rPr>
          <w:rFonts w:ascii="Times New Roman" w:hAnsi="Times New Roman"/>
          <w:sz w:val="28"/>
          <w:szCs w:val="28"/>
        </w:rPr>
        <w:t xml:space="preserve">de Salud </w:t>
      </w:r>
      <w:r w:rsidRPr="00DA1726">
        <w:rPr>
          <w:rFonts w:ascii="Times New Roman" w:hAnsi="Times New Roman"/>
          <w:sz w:val="28"/>
          <w:szCs w:val="28"/>
        </w:rPr>
        <w:t>indicó q</w:t>
      </w:r>
      <w:r w:rsidR="008665C6" w:rsidRPr="00DA1726">
        <w:rPr>
          <w:rFonts w:ascii="Times New Roman" w:hAnsi="Times New Roman"/>
          <w:sz w:val="28"/>
          <w:szCs w:val="28"/>
        </w:rPr>
        <w:t xml:space="preserve">ue las partes integrantes del sistema consideran que las prácticas violatorias de negación de servicios, no son el criterio principal al momento de elaborar un </w:t>
      </w:r>
      <w:r w:rsidR="008D66F1" w:rsidRPr="00DA1726">
        <w:rPr>
          <w:rFonts w:ascii="Times New Roman" w:hAnsi="Times New Roman"/>
          <w:i/>
          <w:sz w:val="28"/>
          <w:szCs w:val="28"/>
        </w:rPr>
        <w:t>ranking</w:t>
      </w:r>
      <w:r w:rsidR="008665C6" w:rsidRPr="00DA1726">
        <w:rPr>
          <w:rFonts w:ascii="Times New Roman" w:hAnsi="Times New Roman"/>
          <w:sz w:val="28"/>
          <w:szCs w:val="28"/>
        </w:rPr>
        <w:t xml:space="preserve"> de </w:t>
      </w:r>
      <w:r w:rsidR="00EA4FAC" w:rsidRPr="00DA1726">
        <w:rPr>
          <w:rFonts w:ascii="Times New Roman" w:hAnsi="Times New Roman"/>
          <w:sz w:val="28"/>
          <w:szCs w:val="28"/>
        </w:rPr>
        <w:t>IPS</w:t>
      </w:r>
      <w:r w:rsidR="008665C6" w:rsidRPr="00DA1726">
        <w:rPr>
          <w:rFonts w:ascii="Times New Roman" w:hAnsi="Times New Roman"/>
          <w:sz w:val="28"/>
          <w:szCs w:val="28"/>
        </w:rPr>
        <w:t>, toda vez que existen otros ámbitos como la</w:t>
      </w:r>
      <w:r w:rsidR="004160E2" w:rsidRPr="00DA1726">
        <w:rPr>
          <w:rFonts w:ascii="Times New Roman" w:hAnsi="Times New Roman"/>
          <w:sz w:val="28"/>
          <w:szCs w:val="28"/>
        </w:rPr>
        <w:t xml:space="preserve"> oportunidad en la atención o seguridad de</w:t>
      </w:r>
      <w:r w:rsidR="000E12CE" w:rsidRPr="00DA1726">
        <w:rPr>
          <w:rFonts w:ascii="Times New Roman" w:hAnsi="Times New Roman"/>
          <w:sz w:val="28"/>
          <w:szCs w:val="28"/>
        </w:rPr>
        <w:t>l</w:t>
      </w:r>
      <w:r w:rsidR="004160E2" w:rsidRPr="00DA1726">
        <w:rPr>
          <w:rFonts w:ascii="Times New Roman" w:hAnsi="Times New Roman"/>
          <w:sz w:val="28"/>
          <w:szCs w:val="28"/>
        </w:rPr>
        <w:t xml:space="preserve"> pacie</w:t>
      </w:r>
      <w:r w:rsidR="008665C6" w:rsidRPr="00DA1726">
        <w:rPr>
          <w:rFonts w:ascii="Times New Roman" w:hAnsi="Times New Roman"/>
          <w:sz w:val="28"/>
          <w:szCs w:val="28"/>
        </w:rPr>
        <w:t>nte. Adicionalmente</w:t>
      </w:r>
      <w:r w:rsidR="00C97731" w:rsidRPr="00DA1726">
        <w:rPr>
          <w:rFonts w:ascii="Times New Roman" w:hAnsi="Times New Roman"/>
          <w:sz w:val="28"/>
          <w:szCs w:val="28"/>
        </w:rPr>
        <w:t>,</w:t>
      </w:r>
      <w:r w:rsidR="008665C6" w:rsidRPr="00DA1726">
        <w:rPr>
          <w:rFonts w:ascii="Times New Roman" w:hAnsi="Times New Roman"/>
          <w:sz w:val="28"/>
          <w:szCs w:val="28"/>
        </w:rPr>
        <w:t xml:space="preserve"> </w:t>
      </w:r>
      <w:r w:rsidR="004160E2" w:rsidRPr="00DA1726">
        <w:rPr>
          <w:rFonts w:ascii="Times New Roman" w:hAnsi="Times New Roman"/>
          <w:sz w:val="28"/>
          <w:szCs w:val="28"/>
        </w:rPr>
        <w:t xml:space="preserve">pueden existir vulneraciones al derecho a la salud en una clínica u hospital, </w:t>
      </w:r>
      <w:r w:rsidR="00FB79E7" w:rsidRPr="00DA1726">
        <w:rPr>
          <w:rFonts w:ascii="Times New Roman" w:hAnsi="Times New Roman"/>
          <w:sz w:val="28"/>
          <w:szCs w:val="28"/>
        </w:rPr>
        <w:t>a pesar de no están relacionadas con la</w:t>
      </w:r>
      <w:r w:rsidR="004160E2" w:rsidRPr="00DA1726">
        <w:rPr>
          <w:rFonts w:ascii="Times New Roman" w:hAnsi="Times New Roman"/>
          <w:sz w:val="28"/>
          <w:szCs w:val="28"/>
        </w:rPr>
        <w:t xml:space="preserve"> seguridad del paciente, humanización, trámites administrativos como demora en la entrega de registros clínicos, entre otros, que si bien pueden influir en el estado de salud de una persona, la situación no representa un riesgo grave e inminente para su vida.</w:t>
      </w:r>
    </w:p>
    <w:p w:rsidR="004160E2" w:rsidRPr="00DA1726" w:rsidRDefault="004160E2" w:rsidP="00DA1726">
      <w:pPr>
        <w:pStyle w:val="Style9"/>
        <w:ind w:left="1" w:right="51"/>
        <w:rPr>
          <w:rFonts w:ascii="Times New Roman" w:hAnsi="Times New Roman"/>
          <w:sz w:val="28"/>
          <w:szCs w:val="28"/>
        </w:rPr>
      </w:pPr>
    </w:p>
    <w:p w:rsidR="004160E2" w:rsidRPr="00DA1726" w:rsidRDefault="004160E2" w:rsidP="00DA1726">
      <w:pPr>
        <w:pStyle w:val="Style9"/>
        <w:ind w:left="1" w:right="51"/>
        <w:rPr>
          <w:rFonts w:ascii="Times New Roman" w:hAnsi="Times New Roman"/>
          <w:sz w:val="28"/>
          <w:szCs w:val="28"/>
        </w:rPr>
      </w:pPr>
      <w:r w:rsidRPr="00DA1726">
        <w:rPr>
          <w:rFonts w:ascii="Times New Roman" w:hAnsi="Times New Roman"/>
          <w:sz w:val="28"/>
          <w:szCs w:val="28"/>
        </w:rPr>
        <w:t>Resaltó la necesidad de implementar un consenso entre todos los interesados, en procura de alcanzar un espacio de reflexión y deliberación técnica para la formulación de indicadores que evalúen la garantía y goce efectivo del derecho a la salud, más allá de la negación de servicios, que garanticen la comparabilidad entre prestadores, con herramientas accesibles y amigables que disminuyan la desigualdad en la información, una metodología estanda</w:t>
      </w:r>
      <w:r w:rsidR="00303F0E" w:rsidRPr="00DA1726">
        <w:rPr>
          <w:rFonts w:ascii="Times New Roman" w:hAnsi="Times New Roman"/>
          <w:sz w:val="28"/>
          <w:szCs w:val="28"/>
        </w:rPr>
        <w:t>rizada y legítimamente validada y</w:t>
      </w:r>
      <w:r w:rsidRPr="00DA1726">
        <w:rPr>
          <w:rFonts w:ascii="Times New Roman" w:hAnsi="Times New Roman"/>
          <w:sz w:val="28"/>
          <w:szCs w:val="28"/>
        </w:rPr>
        <w:t xml:space="preserve"> un marco normativo que asegure la exigibilidad del reporte.</w:t>
      </w:r>
    </w:p>
    <w:p w:rsidR="004160E2" w:rsidRPr="00DA1726" w:rsidRDefault="004160E2" w:rsidP="00DA1726">
      <w:pPr>
        <w:pStyle w:val="Style9"/>
        <w:ind w:left="1" w:right="51"/>
        <w:rPr>
          <w:rFonts w:ascii="Times New Roman" w:hAnsi="Times New Roman"/>
          <w:sz w:val="28"/>
          <w:szCs w:val="28"/>
        </w:rPr>
      </w:pPr>
    </w:p>
    <w:p w:rsidR="004160E2" w:rsidRPr="00DA1726" w:rsidRDefault="004160E2" w:rsidP="00DA1726">
      <w:pPr>
        <w:pStyle w:val="Style9"/>
        <w:ind w:left="1" w:right="51"/>
        <w:rPr>
          <w:rFonts w:ascii="Times New Roman" w:hAnsi="Times New Roman"/>
          <w:sz w:val="28"/>
          <w:szCs w:val="28"/>
        </w:rPr>
      </w:pPr>
      <w:r w:rsidRPr="00DA1726">
        <w:rPr>
          <w:rFonts w:ascii="Times New Roman" w:hAnsi="Times New Roman"/>
          <w:sz w:val="28"/>
          <w:szCs w:val="28"/>
        </w:rPr>
        <w:t xml:space="preserve">En este orden de ideas sugirió: (a) replantear un </w:t>
      </w:r>
      <w:r w:rsidR="008D66F1" w:rsidRPr="00DA1726">
        <w:rPr>
          <w:rFonts w:ascii="Times New Roman" w:hAnsi="Times New Roman"/>
          <w:i/>
          <w:sz w:val="28"/>
          <w:szCs w:val="28"/>
        </w:rPr>
        <w:t>ranking</w:t>
      </w:r>
      <w:r w:rsidRPr="00DA1726">
        <w:rPr>
          <w:rFonts w:ascii="Times New Roman" w:hAnsi="Times New Roman"/>
          <w:sz w:val="28"/>
          <w:szCs w:val="28"/>
        </w:rPr>
        <w:t xml:space="preserve"> basado en la negación de servicios; (b) concretar los ejes de medición de una IPS; (c) definir de manera conjunta los indicadores a evaluar; y (d) delimitar el número de prestadores y definir bajo</w:t>
      </w:r>
      <w:r w:rsidR="00982F91" w:rsidRPr="00DA1726">
        <w:rPr>
          <w:rFonts w:ascii="Times New Roman" w:hAnsi="Times New Roman"/>
          <w:sz w:val="28"/>
          <w:szCs w:val="28"/>
        </w:rPr>
        <w:t xml:space="preserve"> qué</w:t>
      </w:r>
      <w:r w:rsidRPr="00DA1726">
        <w:rPr>
          <w:rFonts w:ascii="Times New Roman" w:hAnsi="Times New Roman"/>
          <w:sz w:val="28"/>
          <w:szCs w:val="28"/>
        </w:rPr>
        <w:t xml:space="preserve"> parámetros serán evaluados.</w:t>
      </w:r>
    </w:p>
    <w:p w:rsidR="004160E2" w:rsidRPr="00DA1726" w:rsidRDefault="004160E2" w:rsidP="00DA1726">
      <w:pPr>
        <w:pStyle w:val="Style9"/>
        <w:ind w:left="1" w:right="51"/>
        <w:rPr>
          <w:rFonts w:ascii="Times New Roman" w:hAnsi="Times New Roman"/>
          <w:sz w:val="28"/>
          <w:szCs w:val="28"/>
        </w:rPr>
      </w:pPr>
    </w:p>
    <w:p w:rsidR="008665C6" w:rsidRPr="00DA1726" w:rsidRDefault="00A02784" w:rsidP="00DA1726">
      <w:pPr>
        <w:pStyle w:val="Style9"/>
        <w:widowControl/>
        <w:ind w:right="51"/>
        <w:rPr>
          <w:rFonts w:ascii="Times New Roman" w:hAnsi="Times New Roman"/>
          <w:i/>
          <w:sz w:val="28"/>
          <w:szCs w:val="28"/>
        </w:rPr>
      </w:pPr>
      <w:r w:rsidRPr="00DA1726">
        <w:rPr>
          <w:rFonts w:ascii="Times New Roman" w:hAnsi="Times New Roman"/>
          <w:i/>
          <w:sz w:val="28"/>
          <w:szCs w:val="28"/>
        </w:rPr>
        <w:t>5</w:t>
      </w:r>
      <w:r w:rsidR="008665C6" w:rsidRPr="00DA1726">
        <w:rPr>
          <w:rFonts w:ascii="Times New Roman" w:hAnsi="Times New Roman"/>
          <w:i/>
          <w:sz w:val="28"/>
          <w:szCs w:val="28"/>
        </w:rPr>
        <w:t>.2.2.4. Intervención en la sesión técnica celebrada el 2 de septiembre de 2016.</w:t>
      </w:r>
    </w:p>
    <w:p w:rsidR="008665C6" w:rsidRPr="00DA1726" w:rsidRDefault="008665C6" w:rsidP="00DA1726">
      <w:pPr>
        <w:pStyle w:val="Style9"/>
        <w:ind w:right="51"/>
        <w:rPr>
          <w:rFonts w:ascii="Times New Roman" w:hAnsi="Times New Roman"/>
          <w:sz w:val="28"/>
          <w:szCs w:val="28"/>
        </w:rPr>
      </w:pPr>
    </w:p>
    <w:p w:rsidR="004160E2" w:rsidRPr="00DA1726" w:rsidRDefault="00982F91" w:rsidP="00DA1726">
      <w:pPr>
        <w:pStyle w:val="Style9"/>
        <w:ind w:left="1" w:right="51"/>
        <w:rPr>
          <w:rFonts w:ascii="Times New Roman" w:hAnsi="Times New Roman"/>
          <w:sz w:val="28"/>
          <w:szCs w:val="28"/>
        </w:rPr>
      </w:pPr>
      <w:r w:rsidRPr="00DA1726">
        <w:rPr>
          <w:rFonts w:ascii="Times New Roman" w:hAnsi="Times New Roman"/>
          <w:sz w:val="28"/>
          <w:szCs w:val="28"/>
        </w:rPr>
        <w:t xml:space="preserve">Adicional a lo expuesto, el Ministerio indicó que </w:t>
      </w:r>
      <w:r w:rsidR="004160E2" w:rsidRPr="00DA1726">
        <w:rPr>
          <w:rFonts w:ascii="Times New Roman" w:hAnsi="Times New Roman"/>
          <w:sz w:val="28"/>
          <w:szCs w:val="28"/>
        </w:rPr>
        <w:t>el proceso de auditorías</w:t>
      </w:r>
      <w:r w:rsidRPr="00DA1726">
        <w:rPr>
          <w:rFonts w:ascii="Times New Roman" w:hAnsi="Times New Roman"/>
          <w:sz w:val="28"/>
          <w:szCs w:val="28"/>
        </w:rPr>
        <w:t xml:space="preserve"> para </w:t>
      </w:r>
      <w:r w:rsidR="00EA4FAC" w:rsidRPr="00DA1726">
        <w:rPr>
          <w:rFonts w:ascii="Times New Roman" w:hAnsi="Times New Roman"/>
          <w:sz w:val="28"/>
          <w:szCs w:val="28"/>
        </w:rPr>
        <w:t>IPS</w:t>
      </w:r>
      <w:r w:rsidR="000E12CE" w:rsidRPr="00DA1726">
        <w:rPr>
          <w:rFonts w:ascii="Times New Roman" w:hAnsi="Times New Roman"/>
          <w:sz w:val="28"/>
          <w:szCs w:val="28"/>
        </w:rPr>
        <w:t xml:space="preserve"> en materia de contratos</w:t>
      </w:r>
      <w:r w:rsidR="004160E2" w:rsidRPr="00DA1726">
        <w:rPr>
          <w:rFonts w:ascii="Times New Roman" w:hAnsi="Times New Roman"/>
          <w:sz w:val="28"/>
          <w:szCs w:val="28"/>
        </w:rPr>
        <w:t xml:space="preserve"> no resulta viable dado el costo que ello representa, debido a la multiplicidad de </w:t>
      </w:r>
      <w:r w:rsidR="00EA4FAC" w:rsidRPr="00DA1726">
        <w:rPr>
          <w:rFonts w:ascii="Times New Roman" w:hAnsi="Times New Roman"/>
          <w:sz w:val="28"/>
          <w:szCs w:val="28"/>
        </w:rPr>
        <w:t>IPS</w:t>
      </w:r>
      <w:r w:rsidR="004160E2" w:rsidRPr="00DA1726">
        <w:rPr>
          <w:rFonts w:ascii="Times New Roman" w:hAnsi="Times New Roman"/>
          <w:sz w:val="28"/>
          <w:szCs w:val="28"/>
        </w:rPr>
        <w:t xml:space="preserve"> que existen en el país.</w:t>
      </w:r>
      <w:r w:rsidRPr="00DA1726">
        <w:rPr>
          <w:rFonts w:ascii="Times New Roman" w:hAnsi="Times New Roman"/>
          <w:sz w:val="28"/>
          <w:szCs w:val="28"/>
        </w:rPr>
        <w:t xml:space="preserve"> Por lo que propuso que replantear el </w:t>
      </w:r>
      <w:r w:rsidR="008D66F1" w:rsidRPr="00DA1726">
        <w:rPr>
          <w:rFonts w:ascii="Times New Roman" w:hAnsi="Times New Roman"/>
          <w:i/>
          <w:sz w:val="28"/>
          <w:szCs w:val="28"/>
        </w:rPr>
        <w:t>ranking</w:t>
      </w:r>
      <w:r w:rsidRPr="00DA1726">
        <w:rPr>
          <w:rFonts w:ascii="Times New Roman" w:hAnsi="Times New Roman"/>
          <w:sz w:val="28"/>
          <w:szCs w:val="28"/>
        </w:rPr>
        <w:t xml:space="preserve"> desde un punto de vista diferente a la negación de servicios, por no ser la principal fuente de violación del derecho a la salud, como sí lo puede ser </w:t>
      </w:r>
      <w:r w:rsidR="004160E2" w:rsidRPr="00DA1726">
        <w:rPr>
          <w:rFonts w:ascii="Times New Roman" w:hAnsi="Times New Roman"/>
          <w:sz w:val="28"/>
          <w:szCs w:val="28"/>
        </w:rPr>
        <w:t xml:space="preserve">la atención oportuna de consulta de urgencias; la humanización; la seguridad del paciente a través del seguimiento de protocolos, guías de práctica clínica, control y gestión de infecciones, entre otras. </w:t>
      </w:r>
    </w:p>
    <w:p w:rsidR="004160E2" w:rsidRPr="00DA1726" w:rsidRDefault="004160E2" w:rsidP="00DA1726">
      <w:pPr>
        <w:pStyle w:val="Style9"/>
        <w:ind w:left="1" w:right="51"/>
        <w:rPr>
          <w:rFonts w:ascii="Times New Roman" w:hAnsi="Times New Roman"/>
          <w:sz w:val="28"/>
          <w:szCs w:val="28"/>
        </w:rPr>
      </w:pPr>
    </w:p>
    <w:p w:rsidR="00982F91" w:rsidRPr="00DA1726" w:rsidRDefault="00A02784" w:rsidP="00DA1726">
      <w:pPr>
        <w:jc w:val="both"/>
        <w:rPr>
          <w:i/>
          <w:sz w:val="28"/>
          <w:szCs w:val="28"/>
        </w:rPr>
      </w:pPr>
      <w:r w:rsidRPr="00DA1726">
        <w:rPr>
          <w:i/>
          <w:sz w:val="28"/>
          <w:szCs w:val="28"/>
        </w:rPr>
        <w:t>5</w:t>
      </w:r>
      <w:r w:rsidR="00982F91" w:rsidRPr="00DA1726">
        <w:rPr>
          <w:i/>
          <w:sz w:val="28"/>
          <w:szCs w:val="28"/>
        </w:rPr>
        <w:t>.2.3. Conceptos de los peritos constitucionales.</w:t>
      </w:r>
    </w:p>
    <w:p w:rsidR="00B71776" w:rsidRPr="00DA1726" w:rsidRDefault="00B71776" w:rsidP="00DA1726">
      <w:pPr>
        <w:pStyle w:val="Sinespaciado"/>
        <w:tabs>
          <w:tab w:val="left" w:pos="851"/>
        </w:tabs>
        <w:jc w:val="both"/>
        <w:rPr>
          <w:rFonts w:ascii="Times New Roman" w:hAnsi="Times New Roman"/>
          <w:color w:val="000000"/>
          <w:sz w:val="28"/>
          <w:szCs w:val="28"/>
        </w:rPr>
      </w:pPr>
    </w:p>
    <w:p w:rsidR="002D769C" w:rsidRPr="00DA1726" w:rsidRDefault="00A02784" w:rsidP="00DA1726">
      <w:pPr>
        <w:pStyle w:val="Style9"/>
        <w:ind w:right="51"/>
        <w:rPr>
          <w:rFonts w:ascii="Times New Roman" w:hAnsi="Times New Roman"/>
          <w:sz w:val="28"/>
          <w:szCs w:val="28"/>
          <w:lang w:val="es-ES_tradnl"/>
        </w:rPr>
      </w:pPr>
      <w:r w:rsidRPr="00DA1726">
        <w:rPr>
          <w:rFonts w:ascii="Times New Roman" w:hAnsi="Times New Roman"/>
          <w:i/>
          <w:sz w:val="28"/>
          <w:szCs w:val="28"/>
          <w:lang w:val="es-CO"/>
        </w:rPr>
        <w:t>5.2.3.1.</w:t>
      </w:r>
      <w:r w:rsidR="002D769C" w:rsidRPr="00DA1726">
        <w:rPr>
          <w:rFonts w:ascii="Times New Roman" w:hAnsi="Times New Roman"/>
          <w:sz w:val="28"/>
          <w:szCs w:val="28"/>
          <w:lang w:val="es-ES_tradnl"/>
        </w:rPr>
        <w:t xml:space="preserve"> </w:t>
      </w:r>
      <w:r w:rsidR="002D769C" w:rsidRPr="00DA1726">
        <w:rPr>
          <w:rFonts w:ascii="Times New Roman" w:hAnsi="Times New Roman"/>
          <w:b/>
          <w:sz w:val="28"/>
          <w:szCs w:val="28"/>
          <w:lang w:val="es-ES_tradnl"/>
        </w:rPr>
        <w:t xml:space="preserve">La Asociación Colombiana de Empresas de Medicina Integral </w:t>
      </w:r>
      <w:r w:rsidR="002D769C" w:rsidRPr="00DA1726">
        <w:rPr>
          <w:rFonts w:ascii="Times New Roman" w:hAnsi="Times New Roman"/>
          <w:bCs/>
          <w:sz w:val="28"/>
          <w:szCs w:val="28"/>
          <w:lang w:val="es-ES_tradnl"/>
        </w:rPr>
        <w:t>afirmó que e</w:t>
      </w:r>
      <w:r w:rsidR="002D769C" w:rsidRPr="00DA1726">
        <w:rPr>
          <w:rFonts w:ascii="Times New Roman" w:hAnsi="Times New Roman"/>
          <w:sz w:val="28"/>
          <w:szCs w:val="28"/>
          <w:lang w:val="es-ES_tradnl"/>
        </w:rPr>
        <w:t>s fundamental para garantizar una información clara en el sistema que estas entidades sean evaluadas y que los resultados de dicha evaluación estén disponibles para los afiliados, lo que permite estimular su mejoramiento y genera un mayor control social. Para tal fin advirtió que es importante definir un instrumento con indicadores específicos que puedan medir su gestión e identificar las prácticas violatorias del derecho que puedan darse en este nivel.</w:t>
      </w:r>
    </w:p>
    <w:p w:rsidR="002D769C" w:rsidRPr="00DA1726" w:rsidRDefault="002D769C" w:rsidP="00DA1726">
      <w:pPr>
        <w:rPr>
          <w:sz w:val="28"/>
          <w:szCs w:val="28"/>
          <w:lang w:val="es-ES_tradnl"/>
        </w:rPr>
      </w:pPr>
    </w:p>
    <w:p w:rsidR="002D769C" w:rsidRPr="00DA1726" w:rsidRDefault="00A02784" w:rsidP="00DA1726">
      <w:pPr>
        <w:jc w:val="both"/>
        <w:rPr>
          <w:sz w:val="28"/>
          <w:szCs w:val="28"/>
          <w:lang w:val="es-ES_tradnl"/>
        </w:rPr>
      </w:pPr>
      <w:r w:rsidRPr="00DA1726">
        <w:rPr>
          <w:i/>
          <w:sz w:val="28"/>
          <w:szCs w:val="28"/>
        </w:rPr>
        <w:t>5.2.3.2.</w:t>
      </w:r>
      <w:r w:rsidRPr="00DA1726">
        <w:rPr>
          <w:sz w:val="28"/>
          <w:szCs w:val="28"/>
          <w:lang w:val="es-ES_tradnl"/>
        </w:rPr>
        <w:t xml:space="preserve"> </w:t>
      </w:r>
      <w:r w:rsidR="002D769C" w:rsidRPr="00DA1726">
        <w:rPr>
          <w:b/>
          <w:sz w:val="28"/>
          <w:szCs w:val="28"/>
          <w:lang w:val="es-ES_tradnl"/>
        </w:rPr>
        <w:t>El observatorio “Así Vamos en Salud”</w:t>
      </w:r>
      <w:r w:rsidR="002D769C" w:rsidRPr="00DA1726">
        <w:rPr>
          <w:sz w:val="28"/>
          <w:szCs w:val="28"/>
          <w:lang w:val="es-ES_tradnl"/>
        </w:rPr>
        <w:t xml:space="preserve"> indicó que en el aplicativo web y en el informe 2015 no hay claridad frente al número total de instituciones incluidas en ambos reportes, respecto al total de habilitadas y cuya información se encuentra en el Registro Especial de Prestadores de Servicios de Salud REPS.</w:t>
      </w:r>
    </w:p>
    <w:p w:rsidR="002D769C" w:rsidRPr="00DA1726" w:rsidRDefault="002D769C" w:rsidP="00DA1726">
      <w:pPr>
        <w:pStyle w:val="Style9"/>
        <w:ind w:right="51"/>
        <w:rPr>
          <w:rFonts w:ascii="Times New Roman" w:hAnsi="Times New Roman"/>
          <w:sz w:val="28"/>
          <w:szCs w:val="28"/>
          <w:lang w:val="es-ES_tradnl"/>
        </w:rPr>
      </w:pPr>
    </w:p>
    <w:p w:rsidR="002D769C" w:rsidRPr="00DA1726" w:rsidRDefault="00C639C4" w:rsidP="00DA1726">
      <w:pPr>
        <w:pStyle w:val="Style9"/>
        <w:ind w:right="51"/>
        <w:rPr>
          <w:rFonts w:ascii="Times New Roman" w:hAnsi="Times New Roman"/>
          <w:sz w:val="28"/>
          <w:szCs w:val="28"/>
          <w:lang w:val="es-ES_tradnl"/>
        </w:rPr>
      </w:pPr>
      <w:r w:rsidRPr="00DA1726">
        <w:rPr>
          <w:rFonts w:ascii="Times New Roman" w:hAnsi="Times New Roman"/>
          <w:sz w:val="28"/>
          <w:szCs w:val="28"/>
          <w:lang w:val="es-ES_tradnl"/>
        </w:rPr>
        <w:t>Destacó que</w:t>
      </w:r>
      <w:r w:rsidR="002D769C" w:rsidRPr="00DA1726">
        <w:rPr>
          <w:rFonts w:ascii="Times New Roman" w:hAnsi="Times New Roman"/>
          <w:sz w:val="28"/>
          <w:szCs w:val="28"/>
          <w:lang w:val="es-ES_tradnl"/>
        </w:rPr>
        <w:t xml:space="preserve"> es necesario replantear el </w:t>
      </w:r>
      <w:r w:rsidR="008D66F1" w:rsidRPr="00DA1726">
        <w:rPr>
          <w:rFonts w:ascii="Times New Roman" w:hAnsi="Times New Roman"/>
          <w:i/>
          <w:sz w:val="28"/>
          <w:szCs w:val="28"/>
          <w:lang w:val="es-ES_tradnl"/>
        </w:rPr>
        <w:t>ranking</w:t>
      </w:r>
      <w:r w:rsidR="002D769C" w:rsidRPr="00DA1726">
        <w:rPr>
          <w:rFonts w:ascii="Times New Roman" w:hAnsi="Times New Roman"/>
          <w:sz w:val="28"/>
          <w:szCs w:val="28"/>
          <w:lang w:val="es-ES_tradnl"/>
        </w:rPr>
        <w:t xml:space="preserve"> generando incentivos para el reporte, exaltando a quienes procuran el respeto por el derecho a la salud y de esta forma se estaría generando estímulos hacia la competencia por calidad y prestigio.</w:t>
      </w:r>
    </w:p>
    <w:p w:rsidR="00C639C4" w:rsidRPr="00DA1726" w:rsidRDefault="00C639C4" w:rsidP="00DA1726">
      <w:pPr>
        <w:pStyle w:val="Style9"/>
        <w:ind w:right="51"/>
        <w:rPr>
          <w:rFonts w:ascii="Times New Roman" w:hAnsi="Times New Roman"/>
          <w:sz w:val="28"/>
          <w:szCs w:val="28"/>
          <w:lang w:val="es-ES_tradnl"/>
        </w:rPr>
      </w:pPr>
    </w:p>
    <w:p w:rsidR="002D769C" w:rsidRPr="00DA1726" w:rsidRDefault="00A02784" w:rsidP="00DA1726">
      <w:pPr>
        <w:pStyle w:val="Style9"/>
        <w:ind w:right="51"/>
        <w:rPr>
          <w:rFonts w:ascii="Times New Roman" w:hAnsi="Times New Roman"/>
          <w:sz w:val="28"/>
          <w:szCs w:val="28"/>
        </w:rPr>
      </w:pPr>
      <w:r w:rsidRPr="00DA1726">
        <w:rPr>
          <w:rFonts w:ascii="Times New Roman" w:hAnsi="Times New Roman"/>
          <w:i/>
          <w:sz w:val="28"/>
          <w:szCs w:val="28"/>
          <w:lang w:val="es-CO"/>
        </w:rPr>
        <w:t>5.2.3.3.</w:t>
      </w:r>
      <w:r w:rsidRPr="00DA1726">
        <w:rPr>
          <w:rFonts w:ascii="Times New Roman" w:hAnsi="Times New Roman"/>
          <w:b/>
          <w:sz w:val="28"/>
          <w:szCs w:val="28"/>
          <w:lang w:val="es-ES_tradnl"/>
        </w:rPr>
        <w:t xml:space="preserve"> </w:t>
      </w:r>
      <w:r w:rsidR="002D769C" w:rsidRPr="00DA1726">
        <w:rPr>
          <w:rFonts w:ascii="Times New Roman" w:hAnsi="Times New Roman"/>
          <w:b/>
          <w:sz w:val="28"/>
          <w:szCs w:val="28"/>
        </w:rPr>
        <w:t xml:space="preserve">Así vamos en salud </w:t>
      </w:r>
      <w:r w:rsidR="002D769C" w:rsidRPr="00DA1726">
        <w:rPr>
          <w:rFonts w:ascii="Times New Roman" w:hAnsi="Times New Roman"/>
          <w:sz w:val="28"/>
          <w:szCs w:val="28"/>
        </w:rPr>
        <w:t xml:space="preserve">afirmó que el </w:t>
      </w:r>
      <w:r w:rsidR="008D66F1" w:rsidRPr="00DA1726">
        <w:rPr>
          <w:rFonts w:ascii="Times New Roman" w:hAnsi="Times New Roman"/>
          <w:i/>
          <w:sz w:val="28"/>
          <w:szCs w:val="28"/>
        </w:rPr>
        <w:t>ranking</w:t>
      </w:r>
      <w:r w:rsidR="002D769C" w:rsidRPr="00DA1726">
        <w:rPr>
          <w:rFonts w:ascii="Times New Roman" w:hAnsi="Times New Roman"/>
          <w:sz w:val="28"/>
          <w:szCs w:val="28"/>
        </w:rPr>
        <w:t xml:space="preserve"> debe ser cualitativo y cuantitativo, a partir de la percepción de ciudadanos. Aseveró que aún no se ha definido qué es lo que se quiere en materia de vigilancia y control, ya que no solo puede atender a un aspecto punitivo, sino además estar enfocada hacia generar incentivos para una mejor prestación de servicios (sistema de acreditación), para de esta manera alcanzar un acceso real y efectivo por parte de los usuarios. </w:t>
      </w:r>
    </w:p>
    <w:p w:rsidR="002D769C" w:rsidRPr="00DA1726" w:rsidRDefault="002D769C" w:rsidP="00DA1726">
      <w:pPr>
        <w:pStyle w:val="Style9"/>
        <w:ind w:right="51"/>
        <w:rPr>
          <w:rFonts w:ascii="Times New Roman" w:hAnsi="Times New Roman"/>
          <w:sz w:val="28"/>
          <w:szCs w:val="28"/>
        </w:rPr>
      </w:pPr>
    </w:p>
    <w:p w:rsidR="002D769C" w:rsidRPr="00DA1726" w:rsidRDefault="00A02784" w:rsidP="00DA1726">
      <w:pPr>
        <w:jc w:val="both"/>
        <w:rPr>
          <w:rStyle w:val="FontStyle26"/>
          <w:sz w:val="28"/>
          <w:szCs w:val="28"/>
          <w:lang w:val="es-ES_tradnl" w:eastAsia="es-ES_tradnl"/>
        </w:rPr>
      </w:pPr>
      <w:r w:rsidRPr="00DA1726">
        <w:rPr>
          <w:i/>
          <w:sz w:val="28"/>
          <w:szCs w:val="28"/>
        </w:rPr>
        <w:t>5.2.3.4.</w:t>
      </w:r>
      <w:r w:rsidRPr="00DA1726">
        <w:rPr>
          <w:b/>
          <w:sz w:val="28"/>
          <w:szCs w:val="28"/>
          <w:lang w:val="es-ES_tradnl"/>
        </w:rPr>
        <w:t xml:space="preserve"> </w:t>
      </w:r>
      <w:r w:rsidR="00C639C4" w:rsidRPr="00DA1726">
        <w:rPr>
          <w:b/>
          <w:sz w:val="28"/>
          <w:szCs w:val="28"/>
          <w:lang w:val="es-ES_tradnl"/>
        </w:rPr>
        <w:t xml:space="preserve">CSR </w:t>
      </w:r>
      <w:r w:rsidR="00C639C4" w:rsidRPr="00DA1726">
        <w:rPr>
          <w:rFonts w:eastAsiaTheme="minorEastAsia"/>
          <w:sz w:val="28"/>
          <w:szCs w:val="28"/>
          <w:lang w:val="es-ES_tradnl" w:eastAsia="es-ES"/>
        </w:rPr>
        <w:t xml:space="preserve">indicó que </w:t>
      </w:r>
      <w:r w:rsidR="002D769C" w:rsidRPr="00DA1726">
        <w:rPr>
          <w:sz w:val="28"/>
          <w:szCs w:val="28"/>
          <w:lang w:val="es-ES_tradnl"/>
        </w:rPr>
        <w:t xml:space="preserve">los 14 puntos establecidos por la Corte Constitucional en materia de </w:t>
      </w:r>
      <w:r w:rsidR="008D66F1" w:rsidRPr="00DA1726">
        <w:rPr>
          <w:i/>
          <w:sz w:val="28"/>
          <w:szCs w:val="28"/>
          <w:lang w:val="es-ES_tradnl"/>
        </w:rPr>
        <w:t>ranking</w:t>
      </w:r>
      <w:r w:rsidR="002D769C" w:rsidRPr="00DA1726">
        <w:rPr>
          <w:sz w:val="28"/>
          <w:szCs w:val="28"/>
          <w:lang w:val="es-ES_tradnl"/>
        </w:rPr>
        <w:t xml:space="preserve"> de EPS e IPS, aplican a ambas por igual, ya que los procesos de calidad, si bien tienen rutas específicas en cada entidad, obedecen al logro de un objetivo común, la prestación de servicios médicos para la atención de calidad, que repercuten en la garantía del derecho fundamental a la salud. En este punto aclara que es viable l</w:t>
      </w:r>
      <w:r w:rsidR="002D769C" w:rsidRPr="00DA1726">
        <w:rPr>
          <w:rStyle w:val="FontStyle26"/>
          <w:sz w:val="28"/>
          <w:szCs w:val="28"/>
          <w:lang w:val="es-ES_tradnl" w:eastAsia="es-ES_tradnl"/>
        </w:rPr>
        <w:t xml:space="preserve">a aplicación de los parámetros a las IPS, salvo en la autorización de pago de incapacidades (criterio 10) y de la afiliación (criterio 11). </w:t>
      </w:r>
    </w:p>
    <w:p w:rsidR="002D769C" w:rsidRPr="00DA1726" w:rsidRDefault="002D769C" w:rsidP="00DA1726">
      <w:pPr>
        <w:pStyle w:val="Style9"/>
        <w:ind w:right="51"/>
        <w:rPr>
          <w:rStyle w:val="FontStyle26"/>
          <w:sz w:val="28"/>
          <w:szCs w:val="28"/>
          <w:lang w:val="es-ES_tradnl" w:eastAsia="es-ES_tradnl"/>
        </w:rPr>
      </w:pPr>
    </w:p>
    <w:p w:rsidR="002D769C" w:rsidRPr="00DA1726" w:rsidRDefault="00C639C4" w:rsidP="00DA1726">
      <w:pPr>
        <w:pStyle w:val="Style9"/>
        <w:ind w:right="51"/>
        <w:rPr>
          <w:rFonts w:ascii="Times New Roman" w:hAnsi="Times New Roman"/>
          <w:sz w:val="28"/>
          <w:szCs w:val="28"/>
          <w:lang w:eastAsia="es-ES_tradnl"/>
        </w:rPr>
      </w:pPr>
      <w:r w:rsidRPr="00DA1726">
        <w:rPr>
          <w:rFonts w:ascii="Times New Roman" w:hAnsi="Times New Roman"/>
          <w:sz w:val="28"/>
          <w:szCs w:val="28"/>
          <w:lang w:eastAsia="es-ES_tradnl"/>
        </w:rPr>
        <w:t xml:space="preserve">En posterior oportunidad agregó que </w:t>
      </w:r>
      <w:r w:rsidR="002D769C" w:rsidRPr="00DA1726">
        <w:rPr>
          <w:rFonts w:ascii="Times New Roman" w:hAnsi="Times New Roman"/>
          <w:sz w:val="28"/>
          <w:szCs w:val="28"/>
          <w:lang w:eastAsia="es-ES_tradnl"/>
        </w:rPr>
        <w:t>la negación de servicios se debe valorar desde un criterio básico: se atendió o no a un paciente, para posteriormente establecer las causas de esa negación.</w:t>
      </w:r>
    </w:p>
    <w:p w:rsidR="002D769C" w:rsidRPr="00DA1726" w:rsidRDefault="002D769C" w:rsidP="00DA1726">
      <w:pPr>
        <w:pStyle w:val="Style9"/>
        <w:ind w:right="51"/>
        <w:rPr>
          <w:rStyle w:val="FontStyle26"/>
          <w:sz w:val="28"/>
          <w:szCs w:val="28"/>
          <w:lang w:val="es-ES_tradnl" w:eastAsia="es-ES_tradnl"/>
        </w:rPr>
      </w:pPr>
    </w:p>
    <w:p w:rsidR="002D769C" w:rsidRPr="00DA1726" w:rsidRDefault="00A02784" w:rsidP="00DA1726">
      <w:pPr>
        <w:pStyle w:val="Style9"/>
        <w:ind w:right="51"/>
        <w:rPr>
          <w:rFonts w:ascii="Times New Roman" w:hAnsi="Times New Roman"/>
          <w:sz w:val="28"/>
          <w:szCs w:val="28"/>
          <w:lang w:val="es-ES_tradnl"/>
        </w:rPr>
      </w:pPr>
      <w:r w:rsidRPr="00DA1726">
        <w:rPr>
          <w:rFonts w:ascii="Times New Roman" w:hAnsi="Times New Roman"/>
          <w:i/>
          <w:sz w:val="28"/>
          <w:szCs w:val="28"/>
          <w:lang w:val="es-CO"/>
        </w:rPr>
        <w:t>5.2.3.5.</w:t>
      </w:r>
      <w:r w:rsidRPr="00DA1726">
        <w:rPr>
          <w:rFonts w:ascii="Times New Roman" w:hAnsi="Times New Roman"/>
          <w:b/>
          <w:sz w:val="28"/>
          <w:szCs w:val="28"/>
          <w:lang w:val="es-ES_tradnl"/>
        </w:rPr>
        <w:t xml:space="preserve"> </w:t>
      </w:r>
      <w:r w:rsidR="002D769C" w:rsidRPr="00DA1726">
        <w:rPr>
          <w:rStyle w:val="FontStyle20"/>
          <w:rFonts w:ascii="Times New Roman" w:hAnsi="Times New Roman" w:cs="Times New Roman"/>
          <w:b/>
          <w:sz w:val="28"/>
          <w:szCs w:val="28"/>
          <w:lang w:val="es-ES_tradnl" w:eastAsia="es-ES_tradnl"/>
        </w:rPr>
        <w:t>Gestarsalud</w:t>
      </w:r>
      <w:r w:rsidR="00C639C4" w:rsidRPr="00DA1726">
        <w:rPr>
          <w:rStyle w:val="FontStyle20"/>
          <w:rFonts w:ascii="Times New Roman" w:hAnsi="Times New Roman" w:cs="Times New Roman"/>
          <w:b/>
          <w:sz w:val="28"/>
          <w:szCs w:val="28"/>
          <w:lang w:val="es-ES_tradnl" w:eastAsia="es-ES_tradnl"/>
        </w:rPr>
        <w:t xml:space="preserve"> </w:t>
      </w:r>
      <w:r w:rsidR="00C639C4" w:rsidRPr="00DA1726">
        <w:rPr>
          <w:rStyle w:val="FontStyle20"/>
          <w:rFonts w:ascii="Times New Roman" w:hAnsi="Times New Roman" w:cs="Times New Roman"/>
          <w:sz w:val="28"/>
          <w:szCs w:val="28"/>
          <w:lang w:val="es-ES_tradnl" w:eastAsia="es-ES_tradnl"/>
        </w:rPr>
        <w:t xml:space="preserve">valoró el esfuerzo adelantado, pero advirtió que </w:t>
      </w:r>
      <w:r w:rsidR="002D769C" w:rsidRPr="00DA1726">
        <w:rPr>
          <w:rFonts w:ascii="Times New Roman" w:hAnsi="Times New Roman"/>
          <w:sz w:val="28"/>
          <w:szCs w:val="28"/>
          <w:lang w:val="es-ES_tradnl"/>
        </w:rPr>
        <w:t>progresivamente se deben valorar prácticas violatorias del derecho a la salud en proveedores como droguerías que dispensan medicamentos a los afiliados del régimen subsidiado en municipios apartados y que no hacen parte del REPS, así como otros proveedores.</w:t>
      </w:r>
    </w:p>
    <w:p w:rsidR="002D769C" w:rsidRPr="00DA1726" w:rsidRDefault="002D769C" w:rsidP="00DA1726">
      <w:pPr>
        <w:rPr>
          <w:sz w:val="28"/>
          <w:szCs w:val="28"/>
          <w:lang w:val="es-ES"/>
        </w:rPr>
      </w:pPr>
    </w:p>
    <w:p w:rsidR="002D769C" w:rsidRPr="00DA1726" w:rsidRDefault="00C639C4" w:rsidP="00DA1726">
      <w:pPr>
        <w:pStyle w:val="Style4"/>
        <w:widowControl/>
        <w:spacing w:line="240" w:lineRule="auto"/>
        <w:rPr>
          <w:rStyle w:val="FontStyle20"/>
          <w:rFonts w:ascii="Times New Roman" w:hAnsi="Times New Roman" w:cs="Times New Roman"/>
          <w:sz w:val="28"/>
          <w:szCs w:val="28"/>
          <w:lang w:val="es-ES_tradnl" w:eastAsia="es-ES_tradnl"/>
        </w:rPr>
      </w:pPr>
      <w:r w:rsidRPr="00DA1726">
        <w:rPr>
          <w:rStyle w:val="FontStyle20"/>
          <w:rFonts w:ascii="Times New Roman" w:hAnsi="Times New Roman" w:cs="Times New Roman"/>
          <w:sz w:val="28"/>
          <w:szCs w:val="28"/>
          <w:lang w:val="es-ES_tradnl" w:eastAsia="es-ES_tradnl"/>
        </w:rPr>
        <w:t>Expuso</w:t>
      </w:r>
      <w:r w:rsidR="002D769C" w:rsidRPr="00DA1726">
        <w:rPr>
          <w:rStyle w:val="FontStyle20"/>
          <w:rFonts w:ascii="Times New Roman" w:hAnsi="Times New Roman" w:cs="Times New Roman"/>
          <w:sz w:val="28"/>
          <w:szCs w:val="28"/>
          <w:lang w:val="es-ES_tradnl" w:eastAsia="es-ES_tradnl"/>
        </w:rPr>
        <w:t xml:space="preserve"> la necesidad de continuar con la auditoria a las IPS que permita la verificación en terreno de la información, a través de </w:t>
      </w:r>
      <w:r w:rsidR="002D769C" w:rsidRPr="00DA1726">
        <w:rPr>
          <w:rStyle w:val="FontStyle20"/>
          <w:rFonts w:ascii="Times New Roman" w:hAnsi="Times New Roman" w:cs="Times New Roman"/>
          <w:i/>
          <w:sz w:val="28"/>
          <w:szCs w:val="28"/>
          <w:lang w:val="es-ES_tradnl" w:eastAsia="es-ES_tradnl"/>
        </w:rPr>
        <w:t>“cliente oculto”</w:t>
      </w:r>
      <w:r w:rsidR="002D769C" w:rsidRPr="00DA1726">
        <w:rPr>
          <w:rStyle w:val="FontStyle20"/>
          <w:rFonts w:ascii="Times New Roman" w:hAnsi="Times New Roman" w:cs="Times New Roman"/>
          <w:sz w:val="28"/>
          <w:szCs w:val="28"/>
          <w:lang w:val="es-ES_tradnl" w:eastAsia="es-ES_tradnl"/>
        </w:rPr>
        <w:t xml:space="preserve"> u otro mecanismo de validación. </w:t>
      </w:r>
    </w:p>
    <w:p w:rsidR="002D769C" w:rsidRPr="00DA1726" w:rsidRDefault="002D769C" w:rsidP="00DA1726">
      <w:pPr>
        <w:pStyle w:val="Style9"/>
        <w:ind w:right="51"/>
        <w:rPr>
          <w:rStyle w:val="FontStyle26"/>
          <w:sz w:val="28"/>
          <w:szCs w:val="28"/>
          <w:lang w:val="es-ES_tradnl"/>
        </w:rPr>
      </w:pPr>
    </w:p>
    <w:p w:rsidR="002D769C" w:rsidRPr="00DA1726" w:rsidRDefault="00A02784" w:rsidP="00DA1726">
      <w:pPr>
        <w:pStyle w:val="Style9"/>
        <w:ind w:right="51"/>
        <w:rPr>
          <w:rFonts w:ascii="Times New Roman" w:hAnsi="Times New Roman"/>
          <w:sz w:val="28"/>
          <w:szCs w:val="28"/>
        </w:rPr>
      </w:pPr>
      <w:r w:rsidRPr="00DA1726">
        <w:rPr>
          <w:rFonts w:ascii="Times New Roman" w:hAnsi="Times New Roman"/>
          <w:i/>
          <w:sz w:val="28"/>
          <w:szCs w:val="28"/>
          <w:lang w:val="es-CO"/>
        </w:rPr>
        <w:t>5.2.3.6.</w:t>
      </w:r>
      <w:r w:rsidR="00C639C4" w:rsidRPr="00DA1726">
        <w:rPr>
          <w:rFonts w:ascii="Times New Roman" w:hAnsi="Times New Roman"/>
          <w:b/>
          <w:sz w:val="28"/>
          <w:szCs w:val="28"/>
        </w:rPr>
        <w:t xml:space="preserve"> </w:t>
      </w:r>
      <w:r w:rsidR="002D769C" w:rsidRPr="00DA1726">
        <w:rPr>
          <w:rFonts w:ascii="Times New Roman" w:hAnsi="Times New Roman"/>
          <w:b/>
          <w:sz w:val="28"/>
          <w:szCs w:val="28"/>
        </w:rPr>
        <w:t xml:space="preserve">La asociación </w:t>
      </w:r>
      <w:r w:rsidR="00D843F0" w:rsidRPr="00DA1726">
        <w:rPr>
          <w:rFonts w:ascii="Times New Roman" w:hAnsi="Times New Roman"/>
          <w:b/>
          <w:sz w:val="28"/>
          <w:szCs w:val="28"/>
        </w:rPr>
        <w:t xml:space="preserve">colombiana </w:t>
      </w:r>
      <w:r w:rsidR="002D769C" w:rsidRPr="00DA1726">
        <w:rPr>
          <w:rFonts w:ascii="Times New Roman" w:hAnsi="Times New Roman"/>
          <w:b/>
          <w:sz w:val="28"/>
          <w:szCs w:val="28"/>
        </w:rPr>
        <w:t xml:space="preserve">de hospitales y clínicas </w:t>
      </w:r>
      <w:r w:rsidR="002D769C" w:rsidRPr="00DA1726">
        <w:rPr>
          <w:rFonts w:ascii="Times New Roman" w:hAnsi="Times New Roman"/>
          <w:sz w:val="28"/>
          <w:szCs w:val="28"/>
        </w:rPr>
        <w:t xml:space="preserve">expuso que la evaluación de la negación debe atender a demanda satisfecha y demanda insatisfecha. Agregó que se debe avanzar en la construcción de un </w:t>
      </w:r>
      <w:r w:rsidR="008D66F1" w:rsidRPr="00DA1726">
        <w:rPr>
          <w:rFonts w:ascii="Times New Roman" w:hAnsi="Times New Roman"/>
          <w:i/>
          <w:sz w:val="28"/>
          <w:szCs w:val="28"/>
        </w:rPr>
        <w:t>ranking</w:t>
      </w:r>
      <w:r w:rsidR="002D769C" w:rsidRPr="00DA1726">
        <w:rPr>
          <w:rFonts w:ascii="Times New Roman" w:hAnsi="Times New Roman"/>
          <w:sz w:val="28"/>
          <w:szCs w:val="28"/>
        </w:rPr>
        <w:t xml:space="preserve"> en donde el usuario pueda identificar qué prestadora es buena, regular y mala</w:t>
      </w:r>
      <w:r w:rsidR="009D2E12" w:rsidRPr="00DA1726">
        <w:rPr>
          <w:rFonts w:ascii="Times New Roman" w:hAnsi="Times New Roman"/>
          <w:sz w:val="28"/>
          <w:szCs w:val="28"/>
        </w:rPr>
        <w:t>.</w:t>
      </w:r>
    </w:p>
    <w:p w:rsidR="00B71776" w:rsidRPr="00DA1726" w:rsidRDefault="00B71776" w:rsidP="00DA1726">
      <w:pPr>
        <w:pStyle w:val="Sinespaciado"/>
        <w:tabs>
          <w:tab w:val="left" w:pos="851"/>
        </w:tabs>
        <w:jc w:val="both"/>
        <w:rPr>
          <w:rFonts w:ascii="Times New Roman" w:hAnsi="Times New Roman"/>
          <w:color w:val="000000"/>
          <w:sz w:val="28"/>
          <w:szCs w:val="28"/>
          <w:lang w:val="es-ES"/>
        </w:rPr>
      </w:pPr>
    </w:p>
    <w:p w:rsidR="009D2E12" w:rsidRPr="00DA1726" w:rsidRDefault="00A02784" w:rsidP="00DA1726">
      <w:pPr>
        <w:jc w:val="both"/>
        <w:rPr>
          <w:i/>
          <w:sz w:val="28"/>
          <w:szCs w:val="28"/>
        </w:rPr>
      </w:pPr>
      <w:r w:rsidRPr="00DA1726">
        <w:rPr>
          <w:i/>
          <w:sz w:val="28"/>
          <w:szCs w:val="28"/>
        </w:rPr>
        <w:t>5</w:t>
      </w:r>
      <w:r w:rsidR="009D2E12" w:rsidRPr="00DA1726">
        <w:rPr>
          <w:i/>
          <w:sz w:val="28"/>
          <w:szCs w:val="28"/>
        </w:rPr>
        <w:t>.2.4. Examen de la Corte Constitucional.</w:t>
      </w:r>
    </w:p>
    <w:p w:rsidR="009D2E12" w:rsidRPr="00DA1726" w:rsidRDefault="009D2E12" w:rsidP="00DA1726">
      <w:pPr>
        <w:pStyle w:val="Sinespaciado"/>
        <w:tabs>
          <w:tab w:val="left" w:pos="851"/>
        </w:tabs>
        <w:jc w:val="both"/>
        <w:rPr>
          <w:rFonts w:ascii="Times New Roman" w:hAnsi="Times New Roman"/>
          <w:color w:val="000000"/>
          <w:sz w:val="28"/>
          <w:szCs w:val="28"/>
        </w:rPr>
      </w:pPr>
    </w:p>
    <w:p w:rsidR="00155155" w:rsidRPr="00DA1726" w:rsidRDefault="009D2E12" w:rsidP="00DA1726">
      <w:pPr>
        <w:jc w:val="both"/>
        <w:rPr>
          <w:sz w:val="28"/>
          <w:szCs w:val="28"/>
          <w:lang w:val="es-ES_tradnl"/>
        </w:rPr>
      </w:pPr>
      <w:r w:rsidRPr="00DA1726">
        <w:rPr>
          <w:sz w:val="28"/>
          <w:szCs w:val="28"/>
        </w:rPr>
        <w:t xml:space="preserve">La Corte evidencia del acervo probatorio que el Ministerio de Salud y Protección Social </w:t>
      </w:r>
      <w:r w:rsidRPr="00DA1726">
        <w:rPr>
          <w:sz w:val="28"/>
          <w:szCs w:val="28"/>
          <w:lang w:val="es-ES_tradnl"/>
        </w:rPr>
        <w:t>y la Superintendencia Nacional de Salud</w:t>
      </w:r>
      <w:r w:rsidRPr="00DA1726">
        <w:rPr>
          <w:sz w:val="28"/>
          <w:szCs w:val="28"/>
        </w:rPr>
        <w:t xml:space="preserve"> </w:t>
      </w:r>
      <w:r w:rsidR="0090541D" w:rsidRPr="00DA1726">
        <w:rPr>
          <w:sz w:val="28"/>
          <w:szCs w:val="28"/>
        </w:rPr>
        <w:t>construyeron</w:t>
      </w:r>
      <w:r w:rsidR="009D3EDC" w:rsidRPr="00DA1726">
        <w:rPr>
          <w:sz w:val="28"/>
          <w:szCs w:val="28"/>
        </w:rPr>
        <w:t xml:space="preserve"> una metodología para elaborar el </w:t>
      </w:r>
      <w:r w:rsidR="008D66F1" w:rsidRPr="00DA1726">
        <w:rPr>
          <w:i/>
          <w:sz w:val="28"/>
          <w:szCs w:val="28"/>
        </w:rPr>
        <w:t>ranking</w:t>
      </w:r>
      <w:r w:rsidR="009D3EDC" w:rsidRPr="00DA1726">
        <w:rPr>
          <w:sz w:val="28"/>
          <w:szCs w:val="28"/>
        </w:rPr>
        <w:t xml:space="preserve"> de </w:t>
      </w:r>
      <w:r w:rsidR="00EA4FAC" w:rsidRPr="00DA1726">
        <w:rPr>
          <w:sz w:val="28"/>
          <w:szCs w:val="28"/>
        </w:rPr>
        <w:t>IPS</w:t>
      </w:r>
      <w:r w:rsidR="00B632B1" w:rsidRPr="00DA1726">
        <w:rPr>
          <w:sz w:val="28"/>
          <w:szCs w:val="28"/>
        </w:rPr>
        <w:t xml:space="preserve">, </w:t>
      </w:r>
      <w:r w:rsidR="0090541D" w:rsidRPr="00DA1726">
        <w:rPr>
          <w:sz w:val="28"/>
          <w:szCs w:val="28"/>
        </w:rPr>
        <w:t>basada en</w:t>
      </w:r>
      <w:r w:rsidR="00155155" w:rsidRPr="00DA1726">
        <w:rPr>
          <w:sz w:val="28"/>
          <w:szCs w:val="28"/>
        </w:rPr>
        <w:t xml:space="preserve"> las fuentes de información </w:t>
      </w:r>
      <w:r w:rsidR="00155155" w:rsidRPr="00DA1726">
        <w:rPr>
          <w:sz w:val="28"/>
          <w:szCs w:val="28"/>
          <w:lang w:val="es-ES_tradnl"/>
        </w:rPr>
        <w:t>disponibles en los indicadores de la Resolución 1446 de 2006</w:t>
      </w:r>
      <w:r w:rsidR="00155155" w:rsidRPr="00DA1726">
        <w:rPr>
          <w:sz w:val="28"/>
          <w:szCs w:val="28"/>
          <w:vertAlign w:val="superscript"/>
          <w:lang w:val="es-ES_tradnl"/>
        </w:rPr>
        <w:footnoteReference w:id="168"/>
      </w:r>
      <w:r w:rsidR="00155155" w:rsidRPr="00DA1726">
        <w:rPr>
          <w:sz w:val="28"/>
          <w:szCs w:val="28"/>
          <w:lang w:val="es-ES_tradnl"/>
        </w:rPr>
        <w:t xml:space="preserve"> y el Registro Individual de Prestaciones de Salud </w:t>
      </w:r>
      <w:r w:rsidR="0090541D" w:rsidRPr="00DA1726">
        <w:rPr>
          <w:sz w:val="28"/>
          <w:szCs w:val="28"/>
          <w:lang w:val="es-ES_tradnl"/>
        </w:rPr>
        <w:t>–</w:t>
      </w:r>
      <w:r w:rsidR="00155155" w:rsidRPr="00DA1726">
        <w:rPr>
          <w:sz w:val="28"/>
          <w:szCs w:val="28"/>
          <w:lang w:val="es-ES_tradnl"/>
        </w:rPr>
        <w:t xml:space="preserve"> RIPS</w:t>
      </w:r>
      <w:r w:rsidR="0090541D" w:rsidRPr="00DA1726">
        <w:rPr>
          <w:sz w:val="28"/>
          <w:szCs w:val="28"/>
          <w:lang w:val="es-ES_tradnl"/>
        </w:rPr>
        <w:t>-</w:t>
      </w:r>
      <w:r w:rsidR="00155155" w:rsidRPr="00DA1726">
        <w:rPr>
          <w:sz w:val="28"/>
          <w:szCs w:val="28"/>
          <w:vertAlign w:val="superscript"/>
          <w:lang w:val="es-ES_tradnl"/>
        </w:rPr>
        <w:footnoteReference w:id="169"/>
      </w:r>
      <w:r w:rsidR="0090541D" w:rsidRPr="00DA1726">
        <w:rPr>
          <w:sz w:val="28"/>
          <w:szCs w:val="28"/>
          <w:lang w:val="es-ES_tradnl"/>
        </w:rPr>
        <w:t>. En concreto</w:t>
      </w:r>
      <w:r w:rsidR="00155155" w:rsidRPr="00DA1726">
        <w:rPr>
          <w:sz w:val="28"/>
          <w:szCs w:val="28"/>
          <w:lang w:val="es-ES_tradnl"/>
        </w:rPr>
        <w:t xml:space="preserve"> se buscó establecer como criterios indicadores para la clasificación de las </w:t>
      </w:r>
      <w:r w:rsidR="00EA4FAC" w:rsidRPr="00DA1726">
        <w:rPr>
          <w:sz w:val="28"/>
          <w:szCs w:val="28"/>
          <w:lang w:val="es-ES_tradnl"/>
        </w:rPr>
        <w:t>IPS</w:t>
      </w:r>
      <w:r w:rsidR="0090541D" w:rsidRPr="00DA1726">
        <w:rPr>
          <w:sz w:val="28"/>
          <w:szCs w:val="28"/>
          <w:lang w:val="es-ES_tradnl"/>
        </w:rPr>
        <w:t xml:space="preserve"> los siguientes</w:t>
      </w:r>
      <w:r w:rsidR="00155155" w:rsidRPr="00DA1726">
        <w:rPr>
          <w:sz w:val="28"/>
          <w:szCs w:val="28"/>
          <w:lang w:val="es-ES_tradnl"/>
        </w:rPr>
        <w:t xml:space="preserve">: (i) el comportamiento de un determinado servicio que presta la institución en razón a la oportunidad; (ii) seguridad del paciente; (iii) percepción del usuario; (iv) promoción y prevención de la salud frente al manejo de la hipertensión arterial; y (v) comportamiento del servicio hospitalario y quirúrgico.  </w:t>
      </w:r>
    </w:p>
    <w:p w:rsidR="00155155" w:rsidRPr="00DA1726" w:rsidRDefault="00155155" w:rsidP="00DA1726">
      <w:pPr>
        <w:jc w:val="both"/>
        <w:rPr>
          <w:sz w:val="28"/>
          <w:szCs w:val="28"/>
          <w:lang w:val="es-ES_tradnl"/>
        </w:rPr>
      </w:pPr>
    </w:p>
    <w:p w:rsidR="00155155" w:rsidRPr="00DA1726" w:rsidRDefault="00155155" w:rsidP="00DA1726">
      <w:pPr>
        <w:jc w:val="both"/>
        <w:rPr>
          <w:sz w:val="28"/>
          <w:szCs w:val="28"/>
          <w:lang w:val="es-ES_tradnl"/>
        </w:rPr>
      </w:pPr>
      <w:r w:rsidRPr="00DA1726">
        <w:rPr>
          <w:sz w:val="28"/>
          <w:szCs w:val="28"/>
          <w:lang w:val="es-ES_tradnl"/>
        </w:rPr>
        <w:t xml:space="preserve">Según lo expuesto por el Ministerio se adelantaron 13 ordenamientos o </w:t>
      </w:r>
      <w:r w:rsidR="008D66F1" w:rsidRPr="00DA1726">
        <w:rPr>
          <w:i/>
          <w:sz w:val="28"/>
          <w:szCs w:val="28"/>
          <w:lang w:val="es-ES_tradnl"/>
        </w:rPr>
        <w:t>ranking</w:t>
      </w:r>
      <w:r w:rsidRPr="00DA1726">
        <w:rPr>
          <w:sz w:val="28"/>
          <w:szCs w:val="28"/>
          <w:lang w:val="es-ES_tradnl"/>
        </w:rPr>
        <w:t xml:space="preserve">s que agrupa en total </w:t>
      </w:r>
      <w:r w:rsidRPr="00DA1726">
        <w:rPr>
          <w:bCs/>
          <w:sz w:val="28"/>
          <w:szCs w:val="28"/>
          <w:lang w:val="es-ES_tradnl"/>
        </w:rPr>
        <w:t xml:space="preserve">18.704 </w:t>
      </w:r>
      <w:r w:rsidR="00EA4FAC" w:rsidRPr="00DA1726">
        <w:rPr>
          <w:bCs/>
          <w:sz w:val="28"/>
          <w:szCs w:val="28"/>
          <w:lang w:val="es-ES_tradnl"/>
        </w:rPr>
        <w:t>IPS</w:t>
      </w:r>
      <w:r w:rsidRPr="00DA1726">
        <w:rPr>
          <w:b/>
          <w:bCs/>
          <w:sz w:val="28"/>
          <w:szCs w:val="28"/>
          <w:lang w:val="es-ES_tradnl"/>
        </w:rPr>
        <w:t xml:space="preserve"> </w:t>
      </w:r>
      <w:r w:rsidRPr="00DA1726">
        <w:rPr>
          <w:sz w:val="28"/>
          <w:szCs w:val="28"/>
          <w:lang w:val="es-ES_tradnl"/>
        </w:rPr>
        <w:t xml:space="preserve">que son evaluadas en relación con el servicio u atributo de la calidad. </w:t>
      </w:r>
    </w:p>
    <w:p w:rsidR="00155155" w:rsidRPr="00DA1726" w:rsidRDefault="00155155" w:rsidP="00DA1726">
      <w:pPr>
        <w:jc w:val="both"/>
        <w:rPr>
          <w:sz w:val="28"/>
          <w:szCs w:val="28"/>
        </w:rPr>
      </w:pPr>
    </w:p>
    <w:p w:rsidR="00360550" w:rsidRPr="00DA1726" w:rsidRDefault="00155155"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Como resultado de este ejercicio anexó un documento en tablas Excel</w:t>
      </w:r>
      <w:r w:rsidR="00D73A13" w:rsidRPr="00DA1726">
        <w:rPr>
          <w:rFonts w:ascii="Times New Roman" w:hAnsi="Times New Roman"/>
          <w:sz w:val="28"/>
          <w:szCs w:val="28"/>
          <w:lang w:val="es-ES_tradnl"/>
        </w:rPr>
        <w:t>, el cual no está disponible al público, donde</w:t>
      </w:r>
      <w:r w:rsidRPr="00DA1726">
        <w:rPr>
          <w:rFonts w:ascii="Times New Roman" w:hAnsi="Times New Roman"/>
          <w:sz w:val="28"/>
          <w:szCs w:val="28"/>
          <w:lang w:val="es-ES_tradnl"/>
        </w:rPr>
        <w:t xml:space="preserve"> se pu</w:t>
      </w:r>
      <w:r w:rsidR="00D73A13" w:rsidRPr="00DA1726">
        <w:rPr>
          <w:rFonts w:ascii="Times New Roman" w:hAnsi="Times New Roman"/>
          <w:sz w:val="28"/>
          <w:szCs w:val="28"/>
          <w:lang w:val="es-ES_tradnl"/>
        </w:rPr>
        <w:t>e</w:t>
      </w:r>
      <w:r w:rsidRPr="00DA1726">
        <w:rPr>
          <w:rFonts w:ascii="Times New Roman" w:hAnsi="Times New Roman"/>
          <w:sz w:val="28"/>
          <w:szCs w:val="28"/>
          <w:lang w:val="es-ES_tradnl"/>
        </w:rPr>
        <w:t>de</w:t>
      </w:r>
      <w:r w:rsidR="00D73A13" w:rsidRPr="00DA1726">
        <w:rPr>
          <w:rFonts w:ascii="Times New Roman" w:hAnsi="Times New Roman"/>
          <w:sz w:val="28"/>
          <w:szCs w:val="28"/>
          <w:lang w:val="es-ES_tradnl"/>
        </w:rPr>
        <w:t>n</w:t>
      </w:r>
      <w:r w:rsidRPr="00DA1726">
        <w:rPr>
          <w:rFonts w:ascii="Times New Roman" w:hAnsi="Times New Roman"/>
          <w:sz w:val="28"/>
          <w:szCs w:val="28"/>
          <w:lang w:val="es-ES_tradnl"/>
        </w:rPr>
        <w:t xml:space="preserve"> verificar los ítems alusivos a la zona geográfica, acreditación, complejidad y naturaleza jurídica de las instituciones prestadoras de salud, el cual incluye tres hojas de trabajo: (i) servicio y percepción del paciente; (ii) ámbito y percepción del paciente; </w:t>
      </w:r>
      <w:r w:rsidR="00360550" w:rsidRPr="00DA1726">
        <w:rPr>
          <w:rFonts w:ascii="Times New Roman" w:hAnsi="Times New Roman"/>
          <w:sz w:val="28"/>
          <w:szCs w:val="28"/>
          <w:lang w:val="es-ES_tradnl"/>
        </w:rPr>
        <w:t xml:space="preserve">y </w:t>
      </w:r>
      <w:r w:rsidRPr="00DA1726">
        <w:rPr>
          <w:rFonts w:ascii="Times New Roman" w:hAnsi="Times New Roman"/>
          <w:sz w:val="28"/>
          <w:szCs w:val="28"/>
          <w:lang w:val="es-ES_tradnl"/>
        </w:rPr>
        <w:t>(iii) indicadores: en la cual se muestran los microdatos de los diferentes emparejamiento entre la información del Registro Especial de Prestadores de Servicios de Salud y los indicadores de calidad de IPS públicos que consolida la Superintendencia Nacional de Sal</w:t>
      </w:r>
      <w:r w:rsidR="00360550" w:rsidRPr="00DA1726">
        <w:rPr>
          <w:rFonts w:ascii="Times New Roman" w:hAnsi="Times New Roman"/>
          <w:sz w:val="28"/>
          <w:szCs w:val="28"/>
          <w:lang w:val="es-ES_tradnl"/>
        </w:rPr>
        <w:t>ud.</w:t>
      </w:r>
    </w:p>
    <w:p w:rsidR="00360550" w:rsidRPr="00DA1726" w:rsidRDefault="00360550" w:rsidP="00DA1726">
      <w:pPr>
        <w:pStyle w:val="Style9"/>
        <w:ind w:left="1" w:right="51"/>
        <w:rPr>
          <w:rFonts w:ascii="Times New Roman" w:hAnsi="Times New Roman"/>
          <w:sz w:val="28"/>
          <w:szCs w:val="28"/>
          <w:lang w:val="es-ES_tradnl"/>
        </w:rPr>
      </w:pPr>
    </w:p>
    <w:p w:rsidR="00155155" w:rsidRPr="00DA1726" w:rsidRDefault="00F70CBC" w:rsidP="00DA1726">
      <w:pPr>
        <w:pStyle w:val="Style9"/>
        <w:ind w:left="1" w:right="51"/>
        <w:rPr>
          <w:rFonts w:ascii="Times New Roman" w:hAnsi="Times New Roman"/>
          <w:sz w:val="28"/>
          <w:szCs w:val="28"/>
          <w:lang w:val="es-ES_tradnl"/>
        </w:rPr>
      </w:pPr>
      <w:r w:rsidRPr="00DA1726">
        <w:rPr>
          <w:rFonts w:ascii="Times New Roman" w:hAnsi="Times New Roman"/>
          <w:sz w:val="28"/>
          <w:szCs w:val="28"/>
          <w:lang w:val="es-ES_tradnl"/>
        </w:rPr>
        <w:t>Como</w:t>
      </w:r>
      <w:r w:rsidR="00155155" w:rsidRPr="00DA1726">
        <w:rPr>
          <w:rFonts w:ascii="Times New Roman" w:hAnsi="Times New Roman"/>
          <w:sz w:val="28"/>
          <w:szCs w:val="28"/>
          <w:lang w:val="es-ES_tradnl"/>
        </w:rPr>
        <w:t xml:space="preserve"> herramienta </w:t>
      </w:r>
      <w:r w:rsidRPr="00DA1726">
        <w:rPr>
          <w:rFonts w:ascii="Times New Roman" w:hAnsi="Times New Roman"/>
          <w:sz w:val="28"/>
          <w:szCs w:val="28"/>
          <w:lang w:val="es-ES_tradnl"/>
        </w:rPr>
        <w:t xml:space="preserve">de consulta se dispuso un aplicativo en </w:t>
      </w:r>
      <w:r w:rsidR="00155155" w:rsidRPr="00DA1726">
        <w:rPr>
          <w:rFonts w:ascii="Times New Roman" w:hAnsi="Times New Roman"/>
          <w:sz w:val="28"/>
          <w:szCs w:val="28"/>
          <w:lang w:val="es-ES_tradnl"/>
        </w:rPr>
        <w:t>la página del Observatorio de Calidad del Ministerio</w:t>
      </w:r>
      <w:r w:rsidR="00155155" w:rsidRPr="00DA1726">
        <w:rPr>
          <w:rFonts w:ascii="Times New Roman" w:hAnsi="Times New Roman"/>
          <w:sz w:val="28"/>
          <w:szCs w:val="28"/>
        </w:rPr>
        <w:t xml:space="preserve"> (</w:t>
      </w:r>
      <w:hyperlink r:id="rId10" w:history="1">
        <w:r w:rsidR="00155155" w:rsidRPr="00DA1726">
          <w:rPr>
            <w:rStyle w:val="Hipervnculo"/>
            <w:rFonts w:ascii="Times New Roman" w:hAnsi="Times New Roman"/>
            <w:sz w:val="28"/>
            <w:szCs w:val="28"/>
          </w:rPr>
          <w:t>http://calidadensalud.minsalud.gov.co/</w:t>
        </w:r>
      </w:hyperlink>
      <w:r w:rsidR="00155155" w:rsidRPr="00DA1726">
        <w:rPr>
          <w:rFonts w:ascii="Times New Roman" w:hAnsi="Times New Roman"/>
          <w:sz w:val="28"/>
          <w:szCs w:val="28"/>
        </w:rPr>
        <w:t xml:space="preserve">) </w:t>
      </w:r>
      <w:r w:rsidR="00155155" w:rsidRPr="00DA1726">
        <w:rPr>
          <w:rFonts w:ascii="Times New Roman" w:hAnsi="Times New Roman"/>
          <w:sz w:val="28"/>
          <w:szCs w:val="28"/>
          <w:lang w:val="es-ES_tradnl"/>
        </w:rPr>
        <w:t xml:space="preserve">en la pestaña </w:t>
      </w:r>
      <w:r w:rsidR="00155155" w:rsidRPr="00DA1726">
        <w:rPr>
          <w:rFonts w:ascii="Times New Roman" w:hAnsi="Times New Roman"/>
          <w:i/>
          <w:sz w:val="28"/>
          <w:szCs w:val="28"/>
          <w:lang w:val="es-ES_tradnl"/>
        </w:rPr>
        <w:t>“indicadores de calidad - comparación de IPS”</w:t>
      </w:r>
      <w:r w:rsidR="00155155" w:rsidRPr="00DA1726">
        <w:rPr>
          <w:rFonts w:ascii="Times New Roman" w:hAnsi="Times New Roman"/>
          <w:sz w:val="28"/>
          <w:szCs w:val="28"/>
          <w:lang w:val="es-ES_tradnl"/>
        </w:rPr>
        <w:t xml:space="preserve">, </w:t>
      </w:r>
      <w:r w:rsidRPr="00DA1726">
        <w:rPr>
          <w:rFonts w:ascii="Times New Roman" w:hAnsi="Times New Roman"/>
          <w:sz w:val="28"/>
          <w:szCs w:val="28"/>
          <w:lang w:val="es-ES_tradnl"/>
        </w:rPr>
        <w:t>el que contiene</w:t>
      </w:r>
      <w:r w:rsidR="00155155" w:rsidRPr="00DA1726">
        <w:rPr>
          <w:rFonts w:ascii="Times New Roman" w:hAnsi="Times New Roman"/>
          <w:sz w:val="28"/>
          <w:szCs w:val="28"/>
          <w:lang w:val="es-ES_tradnl"/>
        </w:rPr>
        <w:t xml:space="preserve"> un ejercicio comparativo entre prestadoras que a partir de una lista taxativa de diez servicios</w:t>
      </w:r>
      <w:r w:rsidR="00155155" w:rsidRPr="00DA1726">
        <w:rPr>
          <w:rFonts w:ascii="Times New Roman" w:hAnsi="Times New Roman"/>
          <w:sz w:val="28"/>
          <w:szCs w:val="28"/>
          <w:vertAlign w:val="superscript"/>
          <w:lang w:val="es-ES_tradnl"/>
        </w:rPr>
        <w:footnoteReference w:id="170"/>
      </w:r>
      <w:r w:rsidR="00155155" w:rsidRPr="00DA1726">
        <w:rPr>
          <w:rFonts w:ascii="Times New Roman" w:hAnsi="Times New Roman"/>
          <w:sz w:val="28"/>
          <w:szCs w:val="28"/>
          <w:lang w:val="es-ES_tradnl"/>
        </w:rPr>
        <w:t xml:space="preserve">, posteriormente se filtra por departamento, luego por </w:t>
      </w:r>
      <w:r w:rsidRPr="00DA1726">
        <w:rPr>
          <w:rFonts w:ascii="Times New Roman" w:hAnsi="Times New Roman"/>
          <w:sz w:val="28"/>
          <w:szCs w:val="28"/>
          <w:lang w:val="es-ES_tradnl"/>
        </w:rPr>
        <w:t xml:space="preserve">municipio y finalmente por IPS. No obstante, las prestadoras </w:t>
      </w:r>
      <w:r w:rsidR="00155155" w:rsidRPr="00DA1726">
        <w:rPr>
          <w:rFonts w:ascii="Times New Roman" w:hAnsi="Times New Roman"/>
          <w:sz w:val="28"/>
          <w:szCs w:val="28"/>
          <w:lang w:val="es-ES_tradnl"/>
        </w:rPr>
        <w:t>no resulta</w:t>
      </w:r>
      <w:r w:rsidRPr="00DA1726">
        <w:rPr>
          <w:rFonts w:ascii="Times New Roman" w:hAnsi="Times New Roman"/>
          <w:sz w:val="28"/>
          <w:szCs w:val="28"/>
          <w:lang w:val="es-ES_tradnl"/>
        </w:rPr>
        <w:t>n</w:t>
      </w:r>
      <w:r w:rsidR="00155155" w:rsidRPr="00DA1726">
        <w:rPr>
          <w:rFonts w:ascii="Times New Roman" w:hAnsi="Times New Roman"/>
          <w:sz w:val="28"/>
          <w:szCs w:val="28"/>
          <w:lang w:val="es-ES_tradnl"/>
        </w:rPr>
        <w:t xml:space="preserve"> comparable</w:t>
      </w:r>
      <w:r w:rsidRPr="00DA1726">
        <w:rPr>
          <w:rFonts w:ascii="Times New Roman" w:hAnsi="Times New Roman"/>
          <w:sz w:val="28"/>
          <w:szCs w:val="28"/>
          <w:lang w:val="es-ES_tradnl"/>
        </w:rPr>
        <w:t>s</w:t>
      </w:r>
      <w:r w:rsidR="00155155" w:rsidRPr="00DA1726">
        <w:rPr>
          <w:rFonts w:ascii="Times New Roman" w:hAnsi="Times New Roman"/>
          <w:sz w:val="28"/>
          <w:szCs w:val="28"/>
          <w:lang w:val="es-ES_tradnl"/>
        </w:rPr>
        <w:t xml:space="preserve"> en todos los casos</w:t>
      </w:r>
      <w:r w:rsidR="00CE2BEA" w:rsidRPr="00DA1726">
        <w:rPr>
          <w:rFonts w:ascii="Times New Roman" w:hAnsi="Times New Roman"/>
          <w:sz w:val="28"/>
          <w:szCs w:val="28"/>
          <w:lang w:val="es-ES_tradnl"/>
        </w:rPr>
        <w:t xml:space="preserve">, toda vez que </w:t>
      </w:r>
      <w:r w:rsidR="00D13D1C" w:rsidRPr="00DA1726">
        <w:rPr>
          <w:rFonts w:ascii="Times New Roman" w:hAnsi="Times New Roman"/>
          <w:sz w:val="28"/>
          <w:szCs w:val="28"/>
          <w:lang w:val="es-ES_tradnl"/>
        </w:rPr>
        <w:t>no cubren los mismos ítems, en esa medida no existe una forma de verificar su puesto en el escalafón, además</w:t>
      </w:r>
      <w:r w:rsidRPr="00DA1726">
        <w:rPr>
          <w:rFonts w:ascii="Times New Roman" w:hAnsi="Times New Roman"/>
          <w:sz w:val="28"/>
          <w:szCs w:val="28"/>
          <w:lang w:val="es-ES_tradnl"/>
        </w:rPr>
        <w:t xml:space="preserve"> no se cuenta con una guía o instructivo para su utilización</w:t>
      </w:r>
      <w:r w:rsidR="00155155" w:rsidRPr="00DA1726">
        <w:rPr>
          <w:rFonts w:ascii="Times New Roman" w:hAnsi="Times New Roman"/>
          <w:sz w:val="28"/>
          <w:szCs w:val="28"/>
          <w:lang w:val="es-ES_tradnl"/>
        </w:rPr>
        <w:t>.</w:t>
      </w:r>
    </w:p>
    <w:p w:rsidR="00155155" w:rsidRPr="00DA1726" w:rsidRDefault="00155155" w:rsidP="00DA1726">
      <w:pPr>
        <w:jc w:val="both"/>
        <w:rPr>
          <w:sz w:val="28"/>
          <w:szCs w:val="28"/>
        </w:rPr>
      </w:pPr>
    </w:p>
    <w:p w:rsidR="001B7A49" w:rsidRPr="00DA1726" w:rsidRDefault="00F833A2" w:rsidP="00DA1726">
      <w:pPr>
        <w:jc w:val="both"/>
        <w:rPr>
          <w:sz w:val="28"/>
          <w:szCs w:val="28"/>
          <w:lang w:val="es-ES"/>
        </w:rPr>
      </w:pPr>
      <w:r w:rsidRPr="00DA1726">
        <w:rPr>
          <w:sz w:val="28"/>
          <w:szCs w:val="28"/>
          <w:lang w:val="es-ES"/>
        </w:rPr>
        <w:t>Por otra parte, las herramientas propuestas no resulta</w:t>
      </w:r>
      <w:r w:rsidR="001750C2" w:rsidRPr="00DA1726">
        <w:rPr>
          <w:sz w:val="28"/>
          <w:szCs w:val="28"/>
          <w:lang w:val="es-ES"/>
        </w:rPr>
        <w:t>n</w:t>
      </w:r>
      <w:r w:rsidRPr="00DA1726">
        <w:rPr>
          <w:sz w:val="28"/>
          <w:szCs w:val="28"/>
          <w:lang w:val="es-ES"/>
        </w:rPr>
        <w:t xml:space="preserve"> de fácil consulta y no permiten el acceso a toda la población que necesita conocer con claridad cuál IPS </w:t>
      </w:r>
      <w:r w:rsidR="001750C2" w:rsidRPr="00DA1726">
        <w:rPr>
          <w:sz w:val="28"/>
          <w:szCs w:val="28"/>
          <w:lang w:val="es-ES"/>
        </w:rPr>
        <w:t>es</w:t>
      </w:r>
      <w:r w:rsidRPr="00DA1726">
        <w:rPr>
          <w:sz w:val="28"/>
          <w:szCs w:val="28"/>
          <w:lang w:val="es-ES"/>
        </w:rPr>
        <w:t xml:space="preserve"> la que mejor se adapta a sus requerimientos. Al respecto </w:t>
      </w:r>
      <w:r w:rsidR="00D13D1C" w:rsidRPr="00DA1726">
        <w:rPr>
          <w:iCs/>
          <w:color w:val="000000"/>
          <w:sz w:val="28"/>
          <w:szCs w:val="28"/>
          <w:bdr w:val="none" w:sz="0" w:space="0" w:color="auto" w:frame="1"/>
        </w:rPr>
        <w:t>la Corte</w:t>
      </w:r>
      <w:r w:rsidRPr="00DA1726">
        <w:rPr>
          <w:iCs/>
          <w:color w:val="000000"/>
          <w:sz w:val="28"/>
          <w:szCs w:val="28"/>
          <w:bdr w:val="none" w:sz="0" w:space="0" w:color="auto" w:frame="1"/>
        </w:rPr>
        <w:t xml:space="preserve"> recuerda que la posibilidad de escoger una</w:t>
      </w:r>
      <w:r w:rsidR="001B7A49" w:rsidRPr="00DA1726">
        <w:rPr>
          <w:iCs/>
          <w:color w:val="000000"/>
          <w:sz w:val="28"/>
          <w:szCs w:val="28"/>
          <w:bdr w:val="none" w:sz="0" w:space="0" w:color="auto" w:frame="1"/>
        </w:rPr>
        <w:t xml:space="preserve"> </w:t>
      </w:r>
      <w:r w:rsidR="00D13D1C" w:rsidRPr="00DA1726">
        <w:rPr>
          <w:iCs/>
          <w:color w:val="000000"/>
          <w:sz w:val="28"/>
          <w:szCs w:val="28"/>
          <w:bdr w:val="none" w:sz="0" w:space="0" w:color="auto" w:frame="1"/>
        </w:rPr>
        <w:t xml:space="preserve">institución prestadora de servicios </w:t>
      </w:r>
      <w:r w:rsidR="001B7A49" w:rsidRPr="00DA1726">
        <w:rPr>
          <w:iCs/>
          <w:color w:val="000000"/>
          <w:sz w:val="28"/>
          <w:szCs w:val="28"/>
          <w:bdr w:val="none" w:sz="0" w:space="0" w:color="auto" w:frame="1"/>
        </w:rPr>
        <w:t xml:space="preserve">puede catalogarse como principio del sistema de salud, un derecho del afiliado y una característica del sistema de la seguridad social en salud, que consiste en la facultad que tienen todos los </w:t>
      </w:r>
      <w:r w:rsidR="00F70CBC" w:rsidRPr="00DA1726">
        <w:rPr>
          <w:iCs/>
          <w:color w:val="000000"/>
          <w:sz w:val="28"/>
          <w:szCs w:val="28"/>
          <w:bdr w:val="none" w:sz="0" w:space="0" w:color="auto" w:frame="1"/>
        </w:rPr>
        <w:t>usuarios</w:t>
      </w:r>
      <w:r w:rsidR="001B7A49" w:rsidRPr="00DA1726">
        <w:rPr>
          <w:iCs/>
          <w:color w:val="000000"/>
          <w:sz w:val="28"/>
          <w:szCs w:val="28"/>
          <w:bdr w:val="none" w:sz="0" w:space="0" w:color="auto" w:frame="1"/>
        </w:rPr>
        <w:t xml:space="preserve"> (tanto los del régimen contributivo como los del régimen subsidiado) a escoger, entre las diferentes alternativas de servicios ofrecidos, la entidad que administrará y la que prestará los servicios </w:t>
      </w:r>
      <w:r w:rsidRPr="00DA1726">
        <w:rPr>
          <w:iCs/>
          <w:color w:val="000000"/>
          <w:sz w:val="28"/>
          <w:szCs w:val="28"/>
          <w:bdr w:val="none" w:sz="0" w:space="0" w:color="auto" w:frame="1"/>
        </w:rPr>
        <w:t>cubiertos dentro del</w:t>
      </w:r>
      <w:r w:rsidR="001B7A49" w:rsidRPr="00DA1726">
        <w:rPr>
          <w:iCs/>
          <w:color w:val="000000"/>
          <w:sz w:val="28"/>
          <w:szCs w:val="28"/>
          <w:bdr w:val="none" w:sz="0" w:space="0" w:color="auto" w:frame="1"/>
        </w:rPr>
        <w:t xml:space="preserve"> </w:t>
      </w:r>
      <w:r w:rsidRPr="00DA1726">
        <w:rPr>
          <w:iCs/>
          <w:color w:val="000000"/>
          <w:sz w:val="28"/>
          <w:szCs w:val="28"/>
          <w:bdr w:val="none" w:sz="0" w:space="0" w:color="auto" w:frame="1"/>
        </w:rPr>
        <w:t>sistema</w:t>
      </w:r>
      <w:r w:rsidR="001B7A49" w:rsidRPr="00DA1726">
        <w:rPr>
          <w:iCs/>
          <w:color w:val="000000"/>
          <w:sz w:val="28"/>
          <w:szCs w:val="28"/>
          <w:bdr w:val="none" w:sz="0" w:space="0" w:color="auto" w:frame="1"/>
        </w:rPr>
        <w:t>.</w:t>
      </w:r>
    </w:p>
    <w:p w:rsidR="001B7A49" w:rsidRPr="00DA1726" w:rsidRDefault="001B7A49" w:rsidP="00DA1726">
      <w:pPr>
        <w:jc w:val="both"/>
        <w:rPr>
          <w:sz w:val="28"/>
          <w:szCs w:val="28"/>
          <w:lang w:val="es-ES"/>
        </w:rPr>
      </w:pPr>
    </w:p>
    <w:p w:rsidR="00D13D1C" w:rsidRPr="00DA1726" w:rsidRDefault="00D13D1C" w:rsidP="00DA1726">
      <w:pPr>
        <w:jc w:val="both"/>
        <w:rPr>
          <w:sz w:val="28"/>
          <w:szCs w:val="28"/>
          <w:lang w:val="es-ES_tradnl"/>
        </w:rPr>
      </w:pPr>
      <w:r w:rsidRPr="00DA1726">
        <w:rPr>
          <w:sz w:val="28"/>
          <w:szCs w:val="28"/>
          <w:lang w:val="es-ES_tradnl"/>
        </w:rPr>
        <w:t xml:space="preserve">A su vez, no hay certeza sobre el número total de instituciones incluidas en los reportes, respecto al total de habilitadas, lo que permitiría determinar si efectivamente este ejercicio está brindando adecuadas herramientas a los usuarios </w:t>
      </w:r>
      <w:r w:rsidR="00EC0161" w:rsidRPr="00DA1726">
        <w:rPr>
          <w:sz w:val="28"/>
          <w:szCs w:val="28"/>
          <w:lang w:val="es-ES_tradnl"/>
        </w:rPr>
        <w:t>de cara a</w:t>
      </w:r>
      <w:r w:rsidRPr="00DA1726">
        <w:rPr>
          <w:sz w:val="28"/>
          <w:szCs w:val="28"/>
          <w:lang w:val="es-ES_tradnl"/>
        </w:rPr>
        <w:t xml:space="preserve"> su derecho a la libre elección</w:t>
      </w:r>
      <w:r w:rsidR="00EC0161" w:rsidRPr="00DA1726">
        <w:rPr>
          <w:sz w:val="28"/>
          <w:szCs w:val="28"/>
          <w:lang w:val="es-ES_tradnl"/>
        </w:rPr>
        <w:t xml:space="preserve">, lo que además permite que los órganos de control puedan ejercer sus funciones de manera adecuada. Entonces, esta clasificación de IPS debe advertir sobre el número de prestadoras sometidas al ranking y aquellas que quedaron por fuera, así como las circunstancias que llevaron a tomar esa decisión. </w:t>
      </w:r>
    </w:p>
    <w:p w:rsidR="00D13D1C" w:rsidRPr="00DA1726" w:rsidRDefault="00D13D1C" w:rsidP="00DA1726">
      <w:pPr>
        <w:jc w:val="both"/>
        <w:rPr>
          <w:sz w:val="28"/>
          <w:szCs w:val="28"/>
          <w:lang w:val="es-ES"/>
        </w:rPr>
      </w:pPr>
    </w:p>
    <w:p w:rsidR="002E5BB5" w:rsidRPr="00DA1726" w:rsidRDefault="008A377E" w:rsidP="00DA1726">
      <w:pPr>
        <w:pStyle w:val="Style9"/>
        <w:ind w:right="51"/>
        <w:rPr>
          <w:rFonts w:ascii="Times New Roman" w:hAnsi="Times New Roman"/>
          <w:color w:val="000000"/>
          <w:sz w:val="28"/>
          <w:szCs w:val="28"/>
          <w:lang w:val="es-ES_tradnl"/>
        </w:rPr>
      </w:pPr>
      <w:r w:rsidRPr="00DA1726">
        <w:rPr>
          <w:rFonts w:ascii="Times New Roman" w:hAnsi="Times New Roman"/>
          <w:sz w:val="28"/>
          <w:szCs w:val="28"/>
        </w:rPr>
        <w:t xml:space="preserve">De acuerdo a lo expuesto por el Ministerio en la sesión técnica adelantada el 2 de septiembre de 2016, no existe un esquema unificado para el desarrollo de </w:t>
      </w:r>
      <w:r w:rsidRPr="00DA1726">
        <w:rPr>
          <w:rFonts w:ascii="Times New Roman" w:hAnsi="Times New Roman"/>
          <w:i/>
          <w:sz w:val="28"/>
          <w:szCs w:val="28"/>
        </w:rPr>
        <w:t xml:space="preserve">ranking, </w:t>
      </w:r>
      <w:r w:rsidRPr="00DA1726">
        <w:rPr>
          <w:rFonts w:ascii="Times New Roman" w:hAnsi="Times New Roman"/>
          <w:sz w:val="28"/>
          <w:szCs w:val="28"/>
        </w:rPr>
        <w:t xml:space="preserve">debido a que se pretende partir de un esquema al margen de la negación de servicios y sin adelantar auditorías a las instituciones prestadoras de salud, aspecto que actualmente es objeto de discusión y que efectivamente </w:t>
      </w:r>
      <w:r w:rsidR="002E5BB5" w:rsidRPr="00DA1726">
        <w:rPr>
          <w:rFonts w:ascii="Times New Roman" w:hAnsi="Times New Roman"/>
          <w:sz w:val="28"/>
          <w:szCs w:val="28"/>
        </w:rPr>
        <w:t xml:space="preserve">ha sido criticado por los peritos constitucionales, </w:t>
      </w:r>
      <w:r w:rsidR="00631E09" w:rsidRPr="00DA1726">
        <w:rPr>
          <w:rFonts w:ascii="Times New Roman" w:hAnsi="Times New Roman"/>
          <w:sz w:val="28"/>
          <w:szCs w:val="28"/>
        </w:rPr>
        <w:t xml:space="preserve">al punto que han advertido la importancia de </w:t>
      </w:r>
      <w:r w:rsidR="002E5BB5" w:rsidRPr="00DA1726">
        <w:rPr>
          <w:rFonts w:ascii="Times New Roman" w:hAnsi="Times New Roman"/>
          <w:color w:val="000000"/>
          <w:sz w:val="28"/>
          <w:szCs w:val="28"/>
          <w:lang w:val="es-ES_tradnl"/>
        </w:rPr>
        <w:t>definir un instrumento con indicadores específicos que puedan medir su gestión e identificar las prácticas violatorias del derecho que pue</w:t>
      </w:r>
      <w:r w:rsidR="00631E09" w:rsidRPr="00DA1726">
        <w:rPr>
          <w:rFonts w:ascii="Times New Roman" w:hAnsi="Times New Roman"/>
          <w:color w:val="000000"/>
          <w:sz w:val="28"/>
          <w:szCs w:val="28"/>
          <w:lang w:val="es-ES_tradnl"/>
        </w:rPr>
        <w:t xml:space="preserve">dan darse en este nivel, así como la necesidad de </w:t>
      </w:r>
      <w:r w:rsidR="00631E09" w:rsidRPr="00DA1726">
        <w:rPr>
          <w:rFonts w:ascii="Times New Roman" w:hAnsi="Times New Roman"/>
          <w:color w:val="000000"/>
          <w:sz w:val="28"/>
          <w:szCs w:val="28"/>
        </w:rPr>
        <w:t>contar</w:t>
      </w:r>
      <w:r w:rsidR="00631E09" w:rsidRPr="00DA1726">
        <w:rPr>
          <w:rFonts w:ascii="Times New Roman" w:hAnsi="Times New Roman"/>
          <w:color w:val="000000"/>
          <w:sz w:val="28"/>
          <w:szCs w:val="28"/>
          <w:lang w:val="es-ES_tradnl"/>
        </w:rPr>
        <w:t xml:space="preserve"> con auditorías a las IPS que permitan la verificación en terreno de la información, a través de diversos mecanismos de validación.</w:t>
      </w:r>
    </w:p>
    <w:p w:rsidR="002E5BB5" w:rsidRPr="00DA1726" w:rsidRDefault="002E5BB5" w:rsidP="00DA1726">
      <w:pPr>
        <w:pStyle w:val="Sinespaciado"/>
        <w:tabs>
          <w:tab w:val="left" w:pos="851"/>
        </w:tabs>
        <w:jc w:val="both"/>
        <w:rPr>
          <w:rFonts w:ascii="Times New Roman" w:hAnsi="Times New Roman"/>
          <w:color w:val="000000"/>
          <w:sz w:val="28"/>
          <w:szCs w:val="28"/>
          <w:lang w:val="es-ES_tradnl"/>
        </w:rPr>
      </w:pPr>
    </w:p>
    <w:p w:rsidR="001C24C1" w:rsidRPr="00DA1726" w:rsidRDefault="00631E09" w:rsidP="00DA1726">
      <w:pPr>
        <w:pStyle w:val="Style9"/>
        <w:ind w:right="51"/>
        <w:rPr>
          <w:rFonts w:ascii="Times New Roman" w:hAnsi="Times New Roman"/>
          <w:bCs/>
          <w:sz w:val="28"/>
          <w:szCs w:val="28"/>
          <w:lang w:val="es-ES_tradnl"/>
        </w:rPr>
      </w:pPr>
      <w:r w:rsidRPr="00DA1726">
        <w:rPr>
          <w:rFonts w:ascii="Times New Roman" w:hAnsi="Times New Roman"/>
          <w:sz w:val="28"/>
          <w:szCs w:val="28"/>
        </w:rPr>
        <w:t xml:space="preserve">En este punto, para la Corte el actual sistema de clasificación de IPS </w:t>
      </w:r>
      <w:r w:rsidR="001C24C1" w:rsidRPr="00DA1726">
        <w:rPr>
          <w:rFonts w:ascii="Times New Roman" w:hAnsi="Times New Roman"/>
          <w:sz w:val="28"/>
          <w:szCs w:val="28"/>
        </w:rPr>
        <w:t>se refiere a: (</w:t>
      </w:r>
      <w:r w:rsidR="001C24C1" w:rsidRPr="00DA1726">
        <w:rPr>
          <w:rFonts w:ascii="Times New Roman" w:hAnsi="Times New Roman"/>
          <w:sz w:val="28"/>
          <w:szCs w:val="28"/>
          <w:lang w:val="es-ES_tradnl"/>
        </w:rPr>
        <w:t xml:space="preserve">i) </w:t>
      </w:r>
      <w:r w:rsidR="001C24C1" w:rsidRPr="00DA1726">
        <w:rPr>
          <w:rFonts w:ascii="Times New Roman" w:hAnsi="Times New Roman"/>
          <w:bCs/>
          <w:sz w:val="28"/>
          <w:szCs w:val="28"/>
          <w:lang w:val="es-ES_tradnl"/>
        </w:rPr>
        <w:t>el servicio y percepción del paciente; y (ii) ámbito y percepción del paciente</w:t>
      </w:r>
      <w:r w:rsidRPr="00DA1726">
        <w:rPr>
          <w:rFonts w:ascii="Times New Roman" w:hAnsi="Times New Roman"/>
          <w:bCs/>
          <w:sz w:val="28"/>
          <w:szCs w:val="28"/>
          <w:lang w:val="es-ES_tradnl"/>
        </w:rPr>
        <w:t xml:space="preserve">; </w:t>
      </w:r>
      <w:r w:rsidR="001C24C1" w:rsidRPr="00DA1726">
        <w:rPr>
          <w:rFonts w:ascii="Times New Roman" w:hAnsi="Times New Roman"/>
          <w:bCs/>
          <w:sz w:val="28"/>
          <w:szCs w:val="28"/>
          <w:lang w:val="es-ES_tradnl"/>
        </w:rPr>
        <w:t xml:space="preserve">esquema </w:t>
      </w:r>
      <w:r w:rsidRPr="00DA1726">
        <w:rPr>
          <w:rFonts w:ascii="Times New Roman" w:hAnsi="Times New Roman"/>
          <w:bCs/>
          <w:sz w:val="28"/>
          <w:szCs w:val="28"/>
          <w:lang w:val="es-ES_tradnl"/>
        </w:rPr>
        <w:t>que no especifica cuá</w:t>
      </w:r>
      <w:r w:rsidR="001C24C1" w:rsidRPr="00DA1726">
        <w:rPr>
          <w:rFonts w:ascii="Times New Roman" w:hAnsi="Times New Roman"/>
          <w:bCs/>
          <w:sz w:val="28"/>
          <w:szCs w:val="28"/>
          <w:lang w:val="es-ES_tradnl"/>
        </w:rPr>
        <w:t>ntas y qué tipo de violaciones al derecho a la salud se están presentando, que en últimas es el sentido de la orden 20.</w:t>
      </w:r>
    </w:p>
    <w:p w:rsidR="001C24C1" w:rsidRPr="00DA1726" w:rsidRDefault="001C24C1" w:rsidP="00DA1726">
      <w:pPr>
        <w:pStyle w:val="Style9"/>
        <w:ind w:right="51"/>
        <w:rPr>
          <w:rFonts w:ascii="Times New Roman" w:hAnsi="Times New Roman"/>
          <w:sz w:val="28"/>
          <w:szCs w:val="28"/>
        </w:rPr>
      </w:pPr>
    </w:p>
    <w:p w:rsidR="001750C2" w:rsidRPr="00DA1726" w:rsidRDefault="001B66E4" w:rsidP="00DA1726">
      <w:pPr>
        <w:pStyle w:val="Style9"/>
        <w:ind w:right="51"/>
        <w:rPr>
          <w:rFonts w:ascii="Times New Roman" w:hAnsi="Times New Roman"/>
          <w:sz w:val="28"/>
          <w:szCs w:val="28"/>
        </w:rPr>
      </w:pPr>
      <w:r w:rsidRPr="00DA1726">
        <w:rPr>
          <w:rFonts w:ascii="Times New Roman" w:hAnsi="Times New Roman"/>
          <w:sz w:val="28"/>
          <w:szCs w:val="28"/>
        </w:rPr>
        <w:t>Por tanto,</w:t>
      </w:r>
      <w:r w:rsidR="001C24C1" w:rsidRPr="00DA1726">
        <w:rPr>
          <w:rFonts w:ascii="Times New Roman" w:hAnsi="Times New Roman"/>
          <w:sz w:val="28"/>
          <w:szCs w:val="28"/>
        </w:rPr>
        <w:t xml:space="preserve"> la Sala advierte que e</w:t>
      </w:r>
      <w:r w:rsidR="009438CB" w:rsidRPr="00DA1726">
        <w:rPr>
          <w:rFonts w:ascii="Times New Roman" w:hAnsi="Times New Roman"/>
          <w:sz w:val="28"/>
          <w:szCs w:val="28"/>
        </w:rPr>
        <w:t xml:space="preserve">l esquema de configuración de los criterios de evaluación es una </w:t>
      </w:r>
      <w:r w:rsidR="001750C2" w:rsidRPr="00DA1726">
        <w:rPr>
          <w:rFonts w:ascii="Times New Roman" w:hAnsi="Times New Roman"/>
          <w:sz w:val="28"/>
          <w:szCs w:val="28"/>
        </w:rPr>
        <w:t>condición</w:t>
      </w:r>
      <w:r w:rsidR="009438CB" w:rsidRPr="00DA1726">
        <w:rPr>
          <w:rFonts w:ascii="Times New Roman" w:hAnsi="Times New Roman"/>
          <w:sz w:val="28"/>
          <w:szCs w:val="28"/>
        </w:rPr>
        <w:t xml:space="preserve"> que</w:t>
      </w:r>
      <w:r w:rsidR="001750C2" w:rsidRPr="00DA1726">
        <w:rPr>
          <w:rFonts w:ascii="Times New Roman" w:hAnsi="Times New Roman"/>
          <w:sz w:val="28"/>
          <w:szCs w:val="28"/>
        </w:rPr>
        <w:t xml:space="preserve"> no p</w:t>
      </w:r>
      <w:r w:rsidR="009438CB" w:rsidRPr="00DA1726">
        <w:rPr>
          <w:rFonts w:ascii="Times New Roman" w:hAnsi="Times New Roman"/>
          <w:sz w:val="28"/>
          <w:szCs w:val="28"/>
        </w:rPr>
        <w:t xml:space="preserve">uede ser exclusiva del </w:t>
      </w:r>
      <w:r w:rsidR="009A12AA" w:rsidRPr="00DA1726">
        <w:rPr>
          <w:rFonts w:ascii="Times New Roman" w:hAnsi="Times New Roman"/>
          <w:sz w:val="28"/>
          <w:szCs w:val="28"/>
        </w:rPr>
        <w:t>Gobierno</w:t>
      </w:r>
      <w:r w:rsidR="009438CB" w:rsidRPr="00DA1726">
        <w:rPr>
          <w:rFonts w:ascii="Times New Roman" w:hAnsi="Times New Roman"/>
          <w:sz w:val="28"/>
          <w:szCs w:val="28"/>
        </w:rPr>
        <w:t xml:space="preserve">, </w:t>
      </w:r>
      <w:r w:rsidR="009A12AA" w:rsidRPr="00DA1726">
        <w:rPr>
          <w:rFonts w:ascii="Times New Roman" w:hAnsi="Times New Roman"/>
          <w:sz w:val="28"/>
          <w:szCs w:val="28"/>
        </w:rPr>
        <w:t>por lo que</w:t>
      </w:r>
      <w:r w:rsidR="009438CB" w:rsidRPr="00DA1726">
        <w:rPr>
          <w:rFonts w:ascii="Times New Roman" w:hAnsi="Times New Roman"/>
          <w:sz w:val="28"/>
          <w:szCs w:val="28"/>
        </w:rPr>
        <w:t xml:space="preserve"> debe surgir de un trabajo mancomunado entre todas las partes a partir de sesiones </w:t>
      </w:r>
      <w:r w:rsidR="00631E09" w:rsidRPr="00DA1726">
        <w:rPr>
          <w:rFonts w:ascii="Times New Roman" w:hAnsi="Times New Roman"/>
          <w:sz w:val="28"/>
          <w:szCs w:val="28"/>
        </w:rPr>
        <w:t>trabajo</w:t>
      </w:r>
      <w:r w:rsidR="005928CA" w:rsidRPr="00DA1726">
        <w:rPr>
          <w:rFonts w:ascii="Times New Roman" w:hAnsi="Times New Roman"/>
          <w:sz w:val="28"/>
          <w:szCs w:val="28"/>
        </w:rPr>
        <w:t xml:space="preserve"> que terminen en la construcción de los indicadores para la elaboración del escalafón de las prestadoras.</w:t>
      </w:r>
    </w:p>
    <w:p w:rsidR="009E5FDF" w:rsidRPr="00DA1726" w:rsidRDefault="009E5FDF" w:rsidP="00DA1726">
      <w:pPr>
        <w:pStyle w:val="Style9"/>
        <w:ind w:right="51"/>
        <w:rPr>
          <w:rFonts w:ascii="Times New Roman" w:hAnsi="Times New Roman"/>
          <w:bCs/>
          <w:sz w:val="28"/>
          <w:szCs w:val="28"/>
          <w:lang w:val="es-ES_tradnl"/>
        </w:rPr>
      </w:pPr>
    </w:p>
    <w:p w:rsidR="009D2E12" w:rsidRPr="00DA1726" w:rsidRDefault="00F70CBC" w:rsidP="00DA1726">
      <w:pPr>
        <w:tabs>
          <w:tab w:val="left" w:pos="284"/>
          <w:tab w:val="left" w:pos="567"/>
        </w:tabs>
        <w:suppressAutoHyphens/>
        <w:jc w:val="both"/>
        <w:rPr>
          <w:sz w:val="28"/>
          <w:szCs w:val="28"/>
        </w:rPr>
      </w:pPr>
      <w:r w:rsidRPr="00DA1726">
        <w:rPr>
          <w:color w:val="000000"/>
          <w:spacing w:val="-3"/>
          <w:sz w:val="28"/>
          <w:szCs w:val="28"/>
        </w:rPr>
        <w:t xml:space="preserve">En </w:t>
      </w:r>
      <w:r w:rsidR="003C6837" w:rsidRPr="00DA1726">
        <w:rPr>
          <w:color w:val="000000"/>
          <w:spacing w:val="-3"/>
          <w:sz w:val="28"/>
          <w:szCs w:val="28"/>
        </w:rPr>
        <w:t xml:space="preserve">conclusión, no existe una efectiva herramienta o mecanismo que permita a los usuarios hacer uso y goce de su derecho a la libre escogencia, en la medida que la actual herramienta virtual no resulta de fácil acceso, además no permite establecer las </w:t>
      </w:r>
      <w:r w:rsidR="00EA4FAC" w:rsidRPr="00DA1726">
        <w:rPr>
          <w:color w:val="000000"/>
          <w:spacing w:val="-3"/>
          <w:sz w:val="28"/>
          <w:szCs w:val="28"/>
        </w:rPr>
        <w:t>IPS</w:t>
      </w:r>
      <w:r w:rsidR="003C6837" w:rsidRPr="00DA1726">
        <w:rPr>
          <w:color w:val="000000"/>
          <w:spacing w:val="-3"/>
          <w:sz w:val="28"/>
          <w:szCs w:val="28"/>
        </w:rPr>
        <w:t xml:space="preserve"> que incurren en mayores negaciones de servicios, así como tampoco permite la consulta de un </w:t>
      </w:r>
      <w:r w:rsidR="008D66F1" w:rsidRPr="00DA1726">
        <w:rPr>
          <w:i/>
          <w:color w:val="000000"/>
          <w:spacing w:val="-3"/>
          <w:sz w:val="28"/>
          <w:szCs w:val="28"/>
        </w:rPr>
        <w:t>ranking</w:t>
      </w:r>
      <w:r w:rsidR="003C6837" w:rsidRPr="00DA1726">
        <w:rPr>
          <w:color w:val="000000"/>
          <w:spacing w:val="-3"/>
          <w:sz w:val="28"/>
          <w:szCs w:val="28"/>
        </w:rPr>
        <w:t xml:space="preserve"> de desempeño</w:t>
      </w:r>
      <w:r w:rsidR="001C24C1" w:rsidRPr="00DA1726">
        <w:rPr>
          <w:color w:val="000000"/>
          <w:spacing w:val="-3"/>
          <w:sz w:val="28"/>
          <w:szCs w:val="28"/>
        </w:rPr>
        <w:t>, toda vez que es eminentemente comparativo</w:t>
      </w:r>
      <w:r w:rsidR="009D2E12" w:rsidRPr="00DA1726">
        <w:rPr>
          <w:sz w:val="28"/>
          <w:szCs w:val="28"/>
        </w:rPr>
        <w:t>.</w:t>
      </w:r>
    </w:p>
    <w:p w:rsidR="009D2E12" w:rsidRPr="00DA1726" w:rsidRDefault="009D2E12" w:rsidP="00DA1726">
      <w:pPr>
        <w:ind w:left="426"/>
        <w:jc w:val="both"/>
        <w:rPr>
          <w:sz w:val="28"/>
          <w:szCs w:val="28"/>
        </w:rPr>
      </w:pPr>
    </w:p>
    <w:p w:rsidR="00631E09" w:rsidRPr="00DA1726" w:rsidRDefault="009D2E12" w:rsidP="00DA1726">
      <w:pPr>
        <w:jc w:val="both"/>
        <w:rPr>
          <w:sz w:val="28"/>
          <w:szCs w:val="28"/>
        </w:rPr>
      </w:pPr>
      <w:r w:rsidRPr="00DA1726">
        <w:rPr>
          <w:sz w:val="28"/>
          <w:szCs w:val="28"/>
        </w:rPr>
        <w:t xml:space="preserve">En consecuencia, la Sala Especial de Seguimiento encuentra que en este punto existe un </w:t>
      </w:r>
      <w:r w:rsidRPr="00DA1726">
        <w:rPr>
          <w:b/>
          <w:sz w:val="28"/>
          <w:szCs w:val="28"/>
        </w:rPr>
        <w:t xml:space="preserve">nivel de cumplimiento </w:t>
      </w:r>
      <w:r w:rsidR="00631E09" w:rsidRPr="00DA1726">
        <w:rPr>
          <w:b/>
          <w:sz w:val="28"/>
          <w:szCs w:val="28"/>
        </w:rPr>
        <w:t>bajo</w:t>
      </w:r>
      <w:r w:rsidRPr="00DA1726">
        <w:rPr>
          <w:sz w:val="28"/>
          <w:szCs w:val="28"/>
        </w:rPr>
        <w:t xml:space="preserve">, ya que pese a que el Ministerio de Salud y Protección Social y la Superintendencia Nacional de Salud adoptaron medidas </w:t>
      </w:r>
      <w:r w:rsidR="003C6837" w:rsidRPr="00DA1726">
        <w:rPr>
          <w:sz w:val="28"/>
          <w:szCs w:val="28"/>
        </w:rPr>
        <w:t>que en principio par</w:t>
      </w:r>
      <w:r w:rsidRPr="00DA1726">
        <w:rPr>
          <w:sz w:val="28"/>
          <w:szCs w:val="28"/>
        </w:rPr>
        <w:t xml:space="preserve">a identificar las </w:t>
      </w:r>
      <w:r w:rsidR="003C6837" w:rsidRPr="00DA1726">
        <w:rPr>
          <w:sz w:val="28"/>
          <w:szCs w:val="28"/>
        </w:rPr>
        <w:t>prestadoras de servicios de salud</w:t>
      </w:r>
      <w:r w:rsidRPr="00DA1726">
        <w:rPr>
          <w:sz w:val="28"/>
          <w:szCs w:val="28"/>
        </w:rPr>
        <w:t xml:space="preserve"> que con mayor frecuencia incurren en prácticas violatorias al</w:t>
      </w:r>
      <w:r w:rsidR="003C6837" w:rsidRPr="00DA1726">
        <w:rPr>
          <w:sz w:val="28"/>
          <w:szCs w:val="28"/>
        </w:rPr>
        <w:t xml:space="preserve"> mencionado derecho fundamental</w:t>
      </w:r>
      <w:r w:rsidRPr="00DA1726">
        <w:rPr>
          <w:sz w:val="28"/>
          <w:szCs w:val="28"/>
        </w:rPr>
        <w:t xml:space="preserve"> </w:t>
      </w:r>
      <w:r w:rsidR="003C6837" w:rsidRPr="00DA1726">
        <w:rPr>
          <w:sz w:val="28"/>
          <w:szCs w:val="28"/>
        </w:rPr>
        <w:t>y r</w:t>
      </w:r>
      <w:r w:rsidRPr="00DA1726">
        <w:rPr>
          <w:sz w:val="28"/>
          <w:szCs w:val="28"/>
        </w:rPr>
        <w:t xml:space="preserve">eportó los resultados a esta Corporación, </w:t>
      </w:r>
      <w:r w:rsidR="00F70CBC" w:rsidRPr="00DA1726">
        <w:rPr>
          <w:sz w:val="28"/>
          <w:szCs w:val="28"/>
        </w:rPr>
        <w:t>la</w:t>
      </w:r>
      <w:r w:rsidRPr="00DA1726">
        <w:rPr>
          <w:sz w:val="28"/>
          <w:szCs w:val="28"/>
        </w:rPr>
        <w:t>s</w:t>
      </w:r>
      <w:r w:rsidR="00631E09" w:rsidRPr="00DA1726">
        <w:rPr>
          <w:sz w:val="28"/>
          <w:szCs w:val="28"/>
        </w:rPr>
        <w:t xml:space="preserve"> mismas no son conducentes, dado que no es posible conocer las mejores o peores IPS del país. Incluso de acuerdo a los estándares señalados por el propio Ministerio, es decir, se puede ubicar una zona geográfica, e incluso el nivel de complejidad determinado, pero no existe un verdadero ranking al interior de estos ítems, todo se circunscribe a un ejercicio de comparación, el cual resulta complejo para la verificación por parte de los usuarios.</w:t>
      </w:r>
    </w:p>
    <w:p w:rsidR="00631E09" w:rsidRPr="00DA1726" w:rsidRDefault="00631E09" w:rsidP="00DA1726">
      <w:pPr>
        <w:jc w:val="both"/>
        <w:rPr>
          <w:sz w:val="28"/>
          <w:szCs w:val="28"/>
        </w:rPr>
      </w:pPr>
    </w:p>
    <w:p w:rsidR="00774E7F" w:rsidRPr="00DA1726" w:rsidRDefault="00774E7F" w:rsidP="00DA1726">
      <w:pPr>
        <w:pStyle w:val="Prrafodelista"/>
        <w:numPr>
          <w:ilvl w:val="0"/>
          <w:numId w:val="26"/>
        </w:numPr>
        <w:tabs>
          <w:tab w:val="left" w:pos="567"/>
        </w:tabs>
        <w:jc w:val="both"/>
        <w:rPr>
          <w:b/>
          <w:sz w:val="28"/>
          <w:szCs w:val="28"/>
        </w:rPr>
      </w:pPr>
      <w:r w:rsidRPr="00DA1726">
        <w:rPr>
          <w:b/>
          <w:sz w:val="28"/>
          <w:szCs w:val="28"/>
        </w:rPr>
        <w:t>Medidas a adoptar.</w:t>
      </w:r>
    </w:p>
    <w:p w:rsidR="00774E7F" w:rsidRPr="00DA1726" w:rsidRDefault="00774E7F" w:rsidP="00DA1726">
      <w:pPr>
        <w:tabs>
          <w:tab w:val="left" w:pos="567"/>
        </w:tabs>
        <w:jc w:val="both"/>
        <w:rPr>
          <w:sz w:val="28"/>
          <w:szCs w:val="28"/>
        </w:rPr>
      </w:pPr>
    </w:p>
    <w:p w:rsidR="002139AC" w:rsidRPr="00DA1726" w:rsidRDefault="00176A8A" w:rsidP="00DA1726">
      <w:pPr>
        <w:tabs>
          <w:tab w:val="left" w:pos="567"/>
        </w:tabs>
        <w:jc w:val="both"/>
        <w:rPr>
          <w:sz w:val="28"/>
          <w:szCs w:val="28"/>
        </w:rPr>
      </w:pPr>
      <w:r w:rsidRPr="00DA1726">
        <w:rPr>
          <w:sz w:val="28"/>
          <w:szCs w:val="28"/>
        </w:rPr>
        <w:t xml:space="preserve">De acuerdo a lo expuesto, la Corte Constitucional considera importante dar unas órdenes en procura de alcanzar una mayor protección del derecho a la salud, específicamente de cara a la elaboración del </w:t>
      </w:r>
      <w:r w:rsidRPr="00DA1726">
        <w:rPr>
          <w:i/>
          <w:sz w:val="28"/>
          <w:szCs w:val="28"/>
        </w:rPr>
        <w:t xml:space="preserve">ranking </w:t>
      </w:r>
      <w:r w:rsidRPr="00DA1726">
        <w:rPr>
          <w:sz w:val="28"/>
          <w:szCs w:val="28"/>
        </w:rPr>
        <w:t>de EPS e IPS</w:t>
      </w:r>
      <w:r w:rsidR="009A12AA" w:rsidRPr="00DA1726">
        <w:rPr>
          <w:sz w:val="28"/>
          <w:szCs w:val="28"/>
        </w:rPr>
        <w:t>, a partir de la negación de servicios</w:t>
      </w:r>
      <w:r w:rsidRPr="00DA1726">
        <w:rPr>
          <w:sz w:val="28"/>
          <w:szCs w:val="28"/>
        </w:rPr>
        <w:t>, que trascienden a la garantía del derecho a la libre escogencia. A efectos de mantener el desarrollo esquemático de este auto, las medidas dadas por la Sala Especial de seguimiento estarán clasificadas entre entidades promotoras e instituciones prestadoras.</w:t>
      </w:r>
    </w:p>
    <w:p w:rsidR="002139AC" w:rsidRPr="00DA1726" w:rsidRDefault="002139AC" w:rsidP="00DA1726">
      <w:pPr>
        <w:tabs>
          <w:tab w:val="left" w:pos="567"/>
        </w:tabs>
        <w:jc w:val="both"/>
        <w:rPr>
          <w:sz w:val="28"/>
          <w:szCs w:val="28"/>
        </w:rPr>
      </w:pPr>
    </w:p>
    <w:p w:rsidR="00DF2BA4" w:rsidRPr="00DA1726" w:rsidRDefault="00176A8A" w:rsidP="00DA1726">
      <w:pPr>
        <w:tabs>
          <w:tab w:val="left" w:pos="567"/>
        </w:tabs>
        <w:jc w:val="both"/>
        <w:rPr>
          <w:i/>
          <w:sz w:val="28"/>
          <w:szCs w:val="28"/>
        </w:rPr>
      </w:pPr>
      <w:r w:rsidRPr="00DA1726">
        <w:rPr>
          <w:i/>
          <w:sz w:val="28"/>
          <w:szCs w:val="28"/>
        </w:rPr>
        <w:t xml:space="preserve">6.1. Ranking de entidades </w:t>
      </w:r>
      <w:r w:rsidR="004A3125" w:rsidRPr="00DA1726">
        <w:rPr>
          <w:i/>
          <w:sz w:val="28"/>
          <w:szCs w:val="28"/>
        </w:rPr>
        <w:t>promotoras de salud</w:t>
      </w:r>
      <w:r w:rsidR="00E84A60" w:rsidRPr="00DA1726">
        <w:rPr>
          <w:i/>
          <w:sz w:val="28"/>
          <w:szCs w:val="28"/>
        </w:rPr>
        <w:t>.</w:t>
      </w:r>
    </w:p>
    <w:p w:rsidR="00DF2BA4" w:rsidRPr="00DA1726" w:rsidRDefault="00DF2BA4" w:rsidP="00DA1726">
      <w:pPr>
        <w:tabs>
          <w:tab w:val="left" w:pos="567"/>
        </w:tabs>
        <w:jc w:val="both"/>
        <w:rPr>
          <w:i/>
          <w:sz w:val="28"/>
          <w:szCs w:val="28"/>
        </w:rPr>
      </w:pPr>
    </w:p>
    <w:p w:rsidR="00E84A60" w:rsidRPr="00DA1726" w:rsidRDefault="00E84A60" w:rsidP="00DA1726">
      <w:pPr>
        <w:pStyle w:val="Sinespaciado"/>
        <w:tabs>
          <w:tab w:val="left" w:pos="851"/>
        </w:tabs>
        <w:jc w:val="both"/>
        <w:rPr>
          <w:rFonts w:ascii="Times New Roman" w:hAnsi="Times New Roman"/>
          <w:color w:val="000000"/>
          <w:sz w:val="28"/>
          <w:szCs w:val="28"/>
        </w:rPr>
      </w:pPr>
      <w:r w:rsidRPr="00DA1726">
        <w:rPr>
          <w:rFonts w:ascii="Times New Roman" w:hAnsi="Times New Roman"/>
          <w:color w:val="000000"/>
          <w:sz w:val="28"/>
          <w:szCs w:val="28"/>
        </w:rPr>
        <w:t xml:space="preserve">Se ordenará al Ministerio de Salud y Protección Social que junto con la Superintendencia Nacional de Salud adelante las sesiones </w:t>
      </w:r>
      <w:r w:rsidRPr="00DA1726">
        <w:rPr>
          <w:rFonts w:ascii="Times New Roman" w:hAnsi="Times New Roman"/>
          <w:sz w:val="28"/>
          <w:szCs w:val="28"/>
          <w:lang w:val="es-ES_tradnl"/>
        </w:rPr>
        <w:t>técnicas que involucren todos los actores del sistema, con el objetivo de evaluar, medir y cuantificar adecuadamente los 14 c</w:t>
      </w:r>
      <w:r w:rsidR="004D1971" w:rsidRPr="00DA1726">
        <w:rPr>
          <w:rFonts w:ascii="Times New Roman" w:hAnsi="Times New Roman"/>
          <w:sz w:val="28"/>
          <w:szCs w:val="28"/>
          <w:lang w:val="es-ES_tradnl"/>
        </w:rPr>
        <w:t>riterios definidos por la Corte, para de esta manera</w:t>
      </w:r>
      <w:r w:rsidRPr="00DA1726">
        <w:rPr>
          <w:rFonts w:ascii="Times New Roman" w:hAnsi="Times New Roman"/>
          <w:sz w:val="28"/>
          <w:szCs w:val="28"/>
          <w:lang w:val="es-ES_tradnl"/>
        </w:rPr>
        <w:t xml:space="preserve"> </w:t>
      </w:r>
      <w:r w:rsidRPr="00DA1726">
        <w:rPr>
          <w:rFonts w:ascii="Times New Roman" w:hAnsi="Times New Roman"/>
          <w:color w:val="000000"/>
          <w:sz w:val="28"/>
          <w:szCs w:val="28"/>
        </w:rPr>
        <w:t>establecer los nuevos lineamientos de valoración acorde con la actual normatividad y jurisprudencia constitucional, trabajo que finalmente deberá ser puesto a disposición de la Corte Constitucional para su aprobación</w:t>
      </w:r>
      <w:r w:rsidR="004D1971" w:rsidRPr="00DA1726">
        <w:rPr>
          <w:rFonts w:ascii="Times New Roman" w:hAnsi="Times New Roman"/>
          <w:color w:val="000000"/>
          <w:sz w:val="28"/>
          <w:szCs w:val="28"/>
        </w:rPr>
        <w:t>, donde se observará principalmente que las variables adoptadas en esta metodología correspondan con las prácticas violatorias del derecho a la salud atendiendo al nuevo esquema de aseguramiento</w:t>
      </w:r>
      <w:r w:rsidRPr="00DA1726">
        <w:rPr>
          <w:rFonts w:ascii="Times New Roman" w:hAnsi="Times New Roman"/>
          <w:color w:val="000000"/>
          <w:sz w:val="28"/>
          <w:szCs w:val="28"/>
        </w:rPr>
        <w:t xml:space="preserve">. </w:t>
      </w:r>
    </w:p>
    <w:p w:rsidR="00E84A60" w:rsidRPr="00DA1726" w:rsidRDefault="00E84A60" w:rsidP="00DA1726">
      <w:pPr>
        <w:pStyle w:val="Sinespaciado"/>
        <w:tabs>
          <w:tab w:val="left" w:pos="851"/>
        </w:tabs>
        <w:jc w:val="both"/>
        <w:rPr>
          <w:rFonts w:ascii="Times New Roman" w:hAnsi="Times New Roman"/>
          <w:color w:val="000000"/>
          <w:sz w:val="28"/>
          <w:szCs w:val="28"/>
          <w:lang w:val="es-ES"/>
        </w:rPr>
      </w:pPr>
    </w:p>
    <w:p w:rsidR="009A12AA" w:rsidRPr="00DA1726" w:rsidRDefault="009A12AA"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 xml:space="preserve">Igualmente, las autoridades mencionadas deberán al momento de establecer el </w:t>
      </w:r>
      <w:r w:rsidRPr="00DA1726">
        <w:rPr>
          <w:rFonts w:ascii="Times New Roman" w:hAnsi="Times New Roman"/>
          <w:i/>
          <w:color w:val="000000"/>
          <w:sz w:val="28"/>
          <w:szCs w:val="28"/>
          <w:lang w:val="es-ES"/>
        </w:rPr>
        <w:t>ranking</w:t>
      </w:r>
      <w:r w:rsidRPr="00DA1726">
        <w:rPr>
          <w:rFonts w:ascii="Times New Roman" w:hAnsi="Times New Roman"/>
          <w:color w:val="000000"/>
          <w:sz w:val="28"/>
          <w:szCs w:val="28"/>
          <w:lang w:val="es-ES"/>
        </w:rPr>
        <w:t xml:space="preserve"> de EPS determinar específica y numéricamente cuáles son las instituciones que en mayor medida incurren en las prácticas violatorias al derecho fundamental a la salud. Además, ante la existencia de una clasificación por grupos, se debe determinar de manera específica los rangos críticos, de alarma, aceptabilidad y superioridad, </w:t>
      </w:r>
      <w:r w:rsidR="00C54B48" w:rsidRPr="00DA1726">
        <w:rPr>
          <w:rFonts w:ascii="Times New Roman" w:hAnsi="Times New Roman"/>
          <w:color w:val="000000"/>
          <w:sz w:val="28"/>
          <w:szCs w:val="28"/>
          <w:lang w:val="es-ES"/>
        </w:rPr>
        <w:t>estableciendo</w:t>
      </w:r>
      <w:r w:rsidRPr="00DA1726">
        <w:rPr>
          <w:rFonts w:ascii="Times New Roman" w:hAnsi="Times New Roman"/>
          <w:color w:val="000000"/>
          <w:sz w:val="28"/>
          <w:szCs w:val="28"/>
          <w:lang w:val="es-ES"/>
        </w:rPr>
        <w:t xml:space="preserve"> límites porcentuales en cada </w:t>
      </w:r>
      <w:r w:rsidR="001B66E4" w:rsidRPr="00DA1726">
        <w:rPr>
          <w:rFonts w:ascii="Times New Roman" w:hAnsi="Times New Roman"/>
          <w:color w:val="000000"/>
          <w:sz w:val="28"/>
          <w:szCs w:val="28"/>
          <w:lang w:val="es-ES"/>
        </w:rPr>
        <w:t>uno</w:t>
      </w:r>
      <w:r w:rsidRPr="00DA1726">
        <w:rPr>
          <w:rFonts w:ascii="Times New Roman" w:hAnsi="Times New Roman"/>
          <w:color w:val="000000"/>
          <w:sz w:val="28"/>
          <w:szCs w:val="28"/>
          <w:lang w:val="es-ES"/>
        </w:rPr>
        <w:t>.</w:t>
      </w:r>
    </w:p>
    <w:p w:rsidR="009A12AA" w:rsidRPr="00DA1726" w:rsidRDefault="009A12AA" w:rsidP="00DA1726">
      <w:pPr>
        <w:pStyle w:val="Sinespaciado"/>
        <w:tabs>
          <w:tab w:val="left" w:pos="851"/>
        </w:tabs>
        <w:jc w:val="both"/>
        <w:rPr>
          <w:rFonts w:ascii="Times New Roman" w:hAnsi="Times New Roman"/>
          <w:color w:val="000000"/>
          <w:sz w:val="28"/>
          <w:szCs w:val="28"/>
          <w:lang w:val="es-ES"/>
        </w:rPr>
      </w:pPr>
    </w:p>
    <w:p w:rsidR="009A12AA" w:rsidRPr="00DA1726" w:rsidRDefault="00C54B48" w:rsidP="00DA1726">
      <w:pPr>
        <w:tabs>
          <w:tab w:val="left" w:pos="567"/>
        </w:tabs>
        <w:jc w:val="both"/>
        <w:rPr>
          <w:color w:val="000000"/>
          <w:sz w:val="28"/>
          <w:szCs w:val="28"/>
          <w:lang w:val="es-ES"/>
        </w:rPr>
      </w:pPr>
      <w:r w:rsidRPr="00DA1726">
        <w:rPr>
          <w:sz w:val="28"/>
          <w:szCs w:val="28"/>
        </w:rPr>
        <w:t>Se dispondrá que</w:t>
      </w:r>
      <w:r w:rsidR="009A12AA" w:rsidRPr="00DA1726">
        <w:rPr>
          <w:sz w:val="28"/>
          <w:szCs w:val="28"/>
        </w:rPr>
        <w:t xml:space="preserve"> Ministerio de Salud y Protección Social y a la Superintendencia Nacional de Salud </w:t>
      </w:r>
      <w:r w:rsidRPr="00DA1726">
        <w:rPr>
          <w:sz w:val="28"/>
          <w:szCs w:val="28"/>
        </w:rPr>
        <w:t>c</w:t>
      </w:r>
      <w:r w:rsidR="009A12AA" w:rsidRPr="00DA1726">
        <w:rPr>
          <w:sz w:val="28"/>
          <w:szCs w:val="28"/>
        </w:rPr>
        <w:t xml:space="preserve">onstruyan una herramienta adecuada, didáctica y con fines pedagógicos que permitan a los usuarios de manera sencilla y clara consultar el </w:t>
      </w:r>
      <w:r w:rsidR="009A12AA" w:rsidRPr="00DA1726">
        <w:rPr>
          <w:i/>
          <w:sz w:val="28"/>
          <w:szCs w:val="28"/>
        </w:rPr>
        <w:t>ranking</w:t>
      </w:r>
      <w:r w:rsidR="009A12AA" w:rsidRPr="00DA1726">
        <w:rPr>
          <w:sz w:val="28"/>
          <w:szCs w:val="28"/>
        </w:rPr>
        <w:t xml:space="preserve"> de las EPS, en materia de negación de servicios, el cual debe estar publicado en el sitio web del Ministerio, la Superintendencia y de las promotoras de salud, de acuerdo con el escalafón correspondiente, toda vez que el actual sistema no permite el fácil acceso y entendimiento a todas las personas. </w:t>
      </w:r>
      <w:r w:rsidR="009A12AA" w:rsidRPr="00DA1726">
        <w:rPr>
          <w:color w:val="000000"/>
          <w:sz w:val="28"/>
          <w:szCs w:val="28"/>
          <w:lang w:val="es-ES"/>
        </w:rPr>
        <w:t xml:space="preserve">Es indispensable que los criterios de valoración sean útiles y transparentes, por lo que la clasificación debe incluir una síntesis de los parámetros de evaluación, además permitir identificar a qué rango pertenece (crítico, alarma, aceptabilidad o superioridad) y sus implicaciones, así como quiénes han incurrido con mayor frecuencia en prácticas violatorias del derecho a la salud. </w:t>
      </w:r>
      <w:r w:rsidR="004D1971" w:rsidRPr="00DA1726">
        <w:rPr>
          <w:color w:val="000000"/>
          <w:sz w:val="28"/>
          <w:szCs w:val="28"/>
          <w:lang w:val="es-ES"/>
        </w:rPr>
        <w:t xml:space="preserve">En este punto, corresponderá a la Corte en el próximo ejercicio de valoración determinar si se cumplió con un verdadero plan de accesibilidad al </w:t>
      </w:r>
      <w:r w:rsidR="004D1971" w:rsidRPr="00DA1726">
        <w:rPr>
          <w:i/>
          <w:color w:val="000000"/>
          <w:sz w:val="28"/>
          <w:szCs w:val="28"/>
          <w:lang w:val="es-ES"/>
        </w:rPr>
        <w:t>ranking</w:t>
      </w:r>
      <w:r w:rsidR="004D1971" w:rsidRPr="00DA1726">
        <w:rPr>
          <w:color w:val="000000"/>
          <w:sz w:val="28"/>
          <w:szCs w:val="28"/>
          <w:lang w:val="es-ES"/>
        </w:rPr>
        <w:t xml:space="preserve">. </w:t>
      </w:r>
    </w:p>
    <w:p w:rsidR="009A12AA" w:rsidRPr="00DA1726" w:rsidRDefault="009A12AA" w:rsidP="00DA1726">
      <w:pPr>
        <w:pStyle w:val="Sinespaciado"/>
        <w:tabs>
          <w:tab w:val="left" w:pos="851"/>
        </w:tabs>
        <w:jc w:val="both"/>
        <w:rPr>
          <w:rFonts w:ascii="Times New Roman" w:hAnsi="Times New Roman"/>
          <w:color w:val="000000"/>
          <w:sz w:val="28"/>
          <w:szCs w:val="28"/>
          <w:lang w:val="es-ES"/>
        </w:rPr>
      </w:pPr>
    </w:p>
    <w:p w:rsidR="001B66E4" w:rsidRPr="00DA1726" w:rsidRDefault="001B66E4"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Finalmente se ordenará al Ministerio de Salud y de la Protección Social que junto con la Superi</w:t>
      </w:r>
      <w:r w:rsidR="004D1971" w:rsidRPr="00DA1726">
        <w:rPr>
          <w:rFonts w:ascii="Times New Roman" w:hAnsi="Times New Roman"/>
          <w:color w:val="000000"/>
          <w:sz w:val="28"/>
          <w:szCs w:val="28"/>
          <w:lang w:val="es-ES"/>
        </w:rPr>
        <w:t>ntendencia Nacional de Salud,</w:t>
      </w:r>
      <w:r w:rsidRPr="00DA1726">
        <w:rPr>
          <w:rFonts w:ascii="Times New Roman" w:hAnsi="Times New Roman"/>
          <w:color w:val="000000"/>
          <w:sz w:val="28"/>
          <w:szCs w:val="28"/>
          <w:lang w:val="es-ES"/>
        </w:rPr>
        <w:t xml:space="preserve"> adelante las sesiones técnicas donde se involucren a todos los actores del sistema </w:t>
      </w:r>
      <w:r w:rsidR="00095FB6" w:rsidRPr="00DA1726">
        <w:rPr>
          <w:rFonts w:ascii="Times New Roman" w:hAnsi="Times New Roman"/>
          <w:color w:val="000000"/>
          <w:sz w:val="28"/>
          <w:szCs w:val="28"/>
          <w:lang w:val="es-ES"/>
        </w:rPr>
        <w:t>con el objetivo de evaluar, medir y cuantificar adecuadamente los 14 criterios definidos por la Corte Constitucional con el fin de establecer los nuevos lineamientos de valoración acorde con la Ley 1751 de 2015, la sentencia C-313 de 2014 y la demás normatividad expedida con ocasión de la evolución y actualización del sistema de salud.</w:t>
      </w:r>
    </w:p>
    <w:p w:rsidR="001B66E4" w:rsidRPr="00DA1726" w:rsidRDefault="001B66E4" w:rsidP="00DA1726">
      <w:pPr>
        <w:pStyle w:val="Sinespaciado"/>
        <w:tabs>
          <w:tab w:val="left" w:pos="851"/>
        </w:tabs>
        <w:jc w:val="both"/>
        <w:rPr>
          <w:rFonts w:ascii="Times New Roman" w:hAnsi="Times New Roman"/>
          <w:color w:val="000000"/>
          <w:sz w:val="28"/>
          <w:szCs w:val="28"/>
          <w:lang w:val="es-ES"/>
        </w:rPr>
      </w:pPr>
    </w:p>
    <w:p w:rsidR="0026553A" w:rsidRPr="00DA1726" w:rsidRDefault="0026553A" w:rsidP="00DA1726">
      <w:pPr>
        <w:jc w:val="both"/>
        <w:rPr>
          <w:sz w:val="28"/>
          <w:szCs w:val="28"/>
        </w:rPr>
      </w:pPr>
      <w:r w:rsidRPr="00DA1726">
        <w:rPr>
          <w:color w:val="000000"/>
          <w:sz w:val="28"/>
          <w:szCs w:val="28"/>
          <w:lang w:val="es-ES"/>
        </w:rPr>
        <w:t xml:space="preserve">Teniendo en cuenta lo dispuesto en el artículo 12 de la Ley 1751 de 2015, </w:t>
      </w:r>
      <w:r w:rsidR="00D2272B" w:rsidRPr="00DA1726">
        <w:rPr>
          <w:color w:val="000000"/>
          <w:sz w:val="28"/>
          <w:szCs w:val="28"/>
          <w:lang w:val="es-ES"/>
        </w:rPr>
        <w:t>se ordenará a</w:t>
      </w:r>
      <w:r w:rsidRPr="00DA1726">
        <w:rPr>
          <w:sz w:val="28"/>
          <w:szCs w:val="28"/>
        </w:rPr>
        <w:t>l Ministerio de Salud y la Superintendencia</w:t>
      </w:r>
      <w:r w:rsidR="00D2272B" w:rsidRPr="00DA1726">
        <w:rPr>
          <w:sz w:val="28"/>
          <w:szCs w:val="28"/>
        </w:rPr>
        <w:t xml:space="preserve"> Nacional</w:t>
      </w:r>
      <w:r w:rsidRPr="00DA1726">
        <w:rPr>
          <w:sz w:val="28"/>
          <w:szCs w:val="28"/>
        </w:rPr>
        <w:t xml:space="preserve"> de Salud </w:t>
      </w:r>
      <w:r w:rsidR="00D2272B" w:rsidRPr="00DA1726">
        <w:rPr>
          <w:sz w:val="28"/>
          <w:szCs w:val="28"/>
        </w:rPr>
        <w:t xml:space="preserve">que </w:t>
      </w:r>
      <w:r w:rsidRPr="00DA1726">
        <w:rPr>
          <w:sz w:val="28"/>
          <w:szCs w:val="28"/>
        </w:rPr>
        <w:t xml:space="preserve">presenten una propuesta metodológica a través de la cual se garantice a todas las personas </w:t>
      </w:r>
      <w:r w:rsidR="00D2272B" w:rsidRPr="00DA1726">
        <w:rPr>
          <w:sz w:val="28"/>
          <w:szCs w:val="28"/>
        </w:rPr>
        <w:t xml:space="preserve">de forma fácil, sencilla y oportuna, la posibilidad de </w:t>
      </w:r>
      <w:r w:rsidRPr="00DA1726">
        <w:rPr>
          <w:sz w:val="28"/>
          <w:szCs w:val="28"/>
        </w:rPr>
        <w:t>indicar cuándo una EPS incurre en una práctica violatorias del derecho a la salud</w:t>
      </w:r>
      <w:r w:rsidR="00D2272B" w:rsidRPr="00DA1726">
        <w:rPr>
          <w:sz w:val="28"/>
          <w:szCs w:val="28"/>
        </w:rPr>
        <w:t xml:space="preserve">. Esta propuesta deberá superar </w:t>
      </w:r>
      <w:r w:rsidRPr="00DA1726">
        <w:rPr>
          <w:sz w:val="28"/>
          <w:szCs w:val="28"/>
        </w:rPr>
        <w:t xml:space="preserve">la mera apertura de portales informáticos para expresarse, esto es, </w:t>
      </w:r>
      <w:r w:rsidR="00D2272B" w:rsidRPr="00DA1726">
        <w:rPr>
          <w:sz w:val="28"/>
          <w:szCs w:val="28"/>
        </w:rPr>
        <w:t>permitiendo las</w:t>
      </w:r>
      <w:r w:rsidRPr="00DA1726">
        <w:rPr>
          <w:sz w:val="28"/>
          <w:szCs w:val="28"/>
        </w:rPr>
        <w:t xml:space="preserve"> actuaciones directas por parte de los usuarios</w:t>
      </w:r>
      <w:r w:rsidR="00547D55" w:rsidRPr="00DA1726">
        <w:rPr>
          <w:sz w:val="28"/>
          <w:szCs w:val="28"/>
        </w:rPr>
        <w:t xml:space="preserve"> más allá de los portales web</w:t>
      </w:r>
      <w:r w:rsidRPr="00DA1726">
        <w:rPr>
          <w:sz w:val="28"/>
          <w:szCs w:val="28"/>
        </w:rPr>
        <w:t xml:space="preserve">. </w:t>
      </w:r>
    </w:p>
    <w:p w:rsidR="007A1AC5" w:rsidRPr="00DA1726" w:rsidRDefault="007A1AC5" w:rsidP="00DA1726">
      <w:pPr>
        <w:pStyle w:val="Sinespaciado"/>
        <w:tabs>
          <w:tab w:val="left" w:pos="851"/>
        </w:tabs>
        <w:jc w:val="both"/>
        <w:rPr>
          <w:rFonts w:ascii="Times New Roman" w:hAnsi="Times New Roman"/>
          <w:color w:val="000000"/>
          <w:sz w:val="28"/>
          <w:szCs w:val="28"/>
          <w:lang w:val="es-ES"/>
        </w:rPr>
      </w:pPr>
    </w:p>
    <w:p w:rsidR="00DF2BA4" w:rsidRPr="00DA1726" w:rsidRDefault="00E84A60" w:rsidP="00DA1726">
      <w:pPr>
        <w:rPr>
          <w:i/>
          <w:sz w:val="28"/>
          <w:szCs w:val="28"/>
        </w:rPr>
      </w:pPr>
      <w:r w:rsidRPr="00DA1726">
        <w:rPr>
          <w:i/>
          <w:sz w:val="28"/>
          <w:szCs w:val="28"/>
        </w:rPr>
        <w:t>6.2.</w:t>
      </w:r>
      <w:r w:rsidR="009955E8" w:rsidRPr="00DA1726">
        <w:rPr>
          <w:i/>
          <w:sz w:val="28"/>
          <w:szCs w:val="28"/>
        </w:rPr>
        <w:t xml:space="preserve"> </w:t>
      </w:r>
      <w:r w:rsidRPr="00DA1726">
        <w:rPr>
          <w:i/>
          <w:sz w:val="28"/>
          <w:szCs w:val="28"/>
        </w:rPr>
        <w:t>Ranking de i</w:t>
      </w:r>
      <w:r w:rsidR="009955E8" w:rsidRPr="00DA1726">
        <w:rPr>
          <w:i/>
          <w:sz w:val="28"/>
          <w:szCs w:val="28"/>
        </w:rPr>
        <w:t>nstituciones Prestadoras de Servicios</w:t>
      </w:r>
      <w:r w:rsidRPr="00DA1726">
        <w:rPr>
          <w:i/>
          <w:sz w:val="28"/>
          <w:szCs w:val="28"/>
        </w:rPr>
        <w:t>.</w:t>
      </w:r>
    </w:p>
    <w:p w:rsidR="00DF2BA4" w:rsidRPr="00DA1726" w:rsidRDefault="00DF2BA4" w:rsidP="00DA1726">
      <w:pPr>
        <w:rPr>
          <w:sz w:val="28"/>
          <w:szCs w:val="28"/>
        </w:rPr>
      </w:pPr>
    </w:p>
    <w:p w:rsidR="009955E8" w:rsidRPr="00DA1726" w:rsidRDefault="009955E8" w:rsidP="00DA1726">
      <w:pPr>
        <w:jc w:val="both"/>
        <w:rPr>
          <w:sz w:val="28"/>
          <w:szCs w:val="28"/>
        </w:rPr>
      </w:pPr>
      <w:r w:rsidRPr="00DA1726">
        <w:rPr>
          <w:sz w:val="28"/>
          <w:szCs w:val="28"/>
        </w:rPr>
        <w:t xml:space="preserve">Se ordenará al Ministerio de Salud y de la Protección Social que diseñe una </w:t>
      </w:r>
      <w:r w:rsidR="00AB248C" w:rsidRPr="00DA1726">
        <w:rPr>
          <w:sz w:val="28"/>
          <w:szCs w:val="28"/>
        </w:rPr>
        <w:t xml:space="preserve">herramienta virtual </w:t>
      </w:r>
      <w:r w:rsidR="00292E95" w:rsidRPr="00DA1726">
        <w:rPr>
          <w:sz w:val="28"/>
          <w:szCs w:val="28"/>
        </w:rPr>
        <w:t xml:space="preserve">diferente a la actualmente existente o que implique ajustes adecuados, </w:t>
      </w:r>
      <w:r w:rsidR="00AB248C" w:rsidRPr="00DA1726">
        <w:rPr>
          <w:sz w:val="28"/>
          <w:szCs w:val="28"/>
        </w:rPr>
        <w:t xml:space="preserve">que </w:t>
      </w:r>
      <w:r w:rsidR="00292E95" w:rsidRPr="00DA1726">
        <w:rPr>
          <w:sz w:val="28"/>
          <w:szCs w:val="28"/>
        </w:rPr>
        <w:t xml:space="preserve">en todo caso </w:t>
      </w:r>
      <w:r w:rsidR="00AB248C" w:rsidRPr="00DA1726">
        <w:rPr>
          <w:sz w:val="28"/>
          <w:szCs w:val="28"/>
        </w:rPr>
        <w:t xml:space="preserve">permita a los usuarios consultar de manera sencilla, comprensible y adecuada de acuerdo a su EPS la institución prestadora que mejor posición cuenta en el </w:t>
      </w:r>
      <w:r w:rsidR="008D66F1" w:rsidRPr="00DA1726">
        <w:rPr>
          <w:i/>
          <w:sz w:val="28"/>
          <w:szCs w:val="28"/>
        </w:rPr>
        <w:t>ranking</w:t>
      </w:r>
      <w:r w:rsidR="00AB248C" w:rsidRPr="00DA1726">
        <w:rPr>
          <w:sz w:val="28"/>
          <w:szCs w:val="28"/>
        </w:rPr>
        <w:t xml:space="preserve"> de acuerdo con su necesidad.</w:t>
      </w:r>
    </w:p>
    <w:p w:rsidR="00AB248C" w:rsidRPr="00DA1726" w:rsidRDefault="00AB248C" w:rsidP="00DA1726">
      <w:pPr>
        <w:jc w:val="both"/>
        <w:rPr>
          <w:sz w:val="28"/>
          <w:szCs w:val="28"/>
        </w:rPr>
      </w:pPr>
    </w:p>
    <w:p w:rsidR="0010003A" w:rsidRPr="00DA1726" w:rsidRDefault="00CC6871" w:rsidP="00DA1726">
      <w:pPr>
        <w:jc w:val="both"/>
        <w:rPr>
          <w:sz w:val="28"/>
          <w:szCs w:val="28"/>
        </w:rPr>
      </w:pPr>
      <w:r w:rsidRPr="00DA1726">
        <w:rPr>
          <w:sz w:val="28"/>
          <w:szCs w:val="28"/>
        </w:rPr>
        <w:t xml:space="preserve">Teniendo en cuenta que los indicadores en esta área aún se están construyendo, </w:t>
      </w:r>
      <w:r w:rsidR="0010003A" w:rsidRPr="00DA1726">
        <w:rPr>
          <w:sz w:val="28"/>
          <w:szCs w:val="28"/>
        </w:rPr>
        <w:t xml:space="preserve">es indispensable que los actores generen espacios para establecer el plan de trabajo a fin de estructurar el </w:t>
      </w:r>
      <w:r w:rsidR="008D66F1" w:rsidRPr="00DA1726">
        <w:rPr>
          <w:i/>
          <w:sz w:val="28"/>
          <w:szCs w:val="28"/>
        </w:rPr>
        <w:t>ranking</w:t>
      </w:r>
      <w:r w:rsidR="0010003A" w:rsidRPr="00DA1726">
        <w:rPr>
          <w:sz w:val="28"/>
          <w:szCs w:val="28"/>
        </w:rPr>
        <w:t xml:space="preserve"> de las </w:t>
      </w:r>
      <w:r w:rsidR="00EA4FAC" w:rsidRPr="00DA1726">
        <w:rPr>
          <w:sz w:val="28"/>
          <w:szCs w:val="28"/>
        </w:rPr>
        <w:t>IPS</w:t>
      </w:r>
      <w:r w:rsidR="0010003A" w:rsidRPr="00DA1726">
        <w:rPr>
          <w:sz w:val="28"/>
          <w:szCs w:val="28"/>
        </w:rPr>
        <w:t xml:space="preserve">. </w:t>
      </w:r>
    </w:p>
    <w:p w:rsidR="0010003A" w:rsidRPr="00DA1726" w:rsidRDefault="0010003A" w:rsidP="00DA1726">
      <w:pPr>
        <w:pStyle w:val="Style9"/>
        <w:ind w:right="51"/>
        <w:rPr>
          <w:rFonts w:ascii="Times New Roman" w:hAnsi="Times New Roman"/>
          <w:sz w:val="28"/>
          <w:szCs w:val="28"/>
        </w:rPr>
      </w:pPr>
    </w:p>
    <w:p w:rsidR="00DF2BA4" w:rsidRPr="00DA1726" w:rsidRDefault="00DF2BA4" w:rsidP="00DA1726">
      <w:pPr>
        <w:tabs>
          <w:tab w:val="left" w:pos="567"/>
        </w:tabs>
        <w:jc w:val="both"/>
        <w:rPr>
          <w:sz w:val="28"/>
          <w:szCs w:val="28"/>
        </w:rPr>
      </w:pPr>
      <w:r w:rsidRPr="00DA1726">
        <w:rPr>
          <w:sz w:val="28"/>
          <w:szCs w:val="28"/>
        </w:rPr>
        <w:t>En mérito de lo expuesto</w:t>
      </w:r>
      <w:r w:rsidR="00E84A60" w:rsidRPr="00DA1726">
        <w:rPr>
          <w:sz w:val="28"/>
          <w:szCs w:val="28"/>
        </w:rPr>
        <w:t>,</w:t>
      </w:r>
      <w:r w:rsidRPr="00DA1726">
        <w:rPr>
          <w:sz w:val="28"/>
          <w:szCs w:val="28"/>
        </w:rPr>
        <w:t xml:space="preserve"> la Sala Especial de Seguimiento</w:t>
      </w:r>
    </w:p>
    <w:p w:rsidR="00DF2BA4" w:rsidRPr="00DA1726" w:rsidRDefault="00DF2BA4" w:rsidP="00DA1726">
      <w:pPr>
        <w:tabs>
          <w:tab w:val="left" w:pos="567"/>
        </w:tabs>
        <w:jc w:val="both"/>
        <w:rPr>
          <w:sz w:val="28"/>
          <w:szCs w:val="28"/>
        </w:rPr>
      </w:pPr>
    </w:p>
    <w:p w:rsidR="002C0714" w:rsidRPr="00DA1726" w:rsidRDefault="002C0714" w:rsidP="00DA1726">
      <w:pPr>
        <w:tabs>
          <w:tab w:val="left" w:pos="567"/>
        </w:tabs>
        <w:jc w:val="both"/>
        <w:rPr>
          <w:sz w:val="28"/>
          <w:szCs w:val="28"/>
        </w:rPr>
      </w:pPr>
    </w:p>
    <w:p w:rsidR="00DF2BA4" w:rsidRPr="00DA1726" w:rsidRDefault="00E84A60" w:rsidP="00DA1726">
      <w:pPr>
        <w:tabs>
          <w:tab w:val="left" w:pos="567"/>
        </w:tabs>
        <w:jc w:val="center"/>
        <w:rPr>
          <w:b/>
          <w:sz w:val="28"/>
          <w:szCs w:val="28"/>
        </w:rPr>
      </w:pPr>
      <w:r w:rsidRPr="00DA1726">
        <w:rPr>
          <w:b/>
          <w:sz w:val="28"/>
          <w:szCs w:val="28"/>
        </w:rPr>
        <w:t>III</w:t>
      </w:r>
      <w:r w:rsidR="00095FB6" w:rsidRPr="00DA1726">
        <w:rPr>
          <w:b/>
          <w:sz w:val="28"/>
          <w:szCs w:val="28"/>
        </w:rPr>
        <w:t>.</w:t>
      </w:r>
      <w:r w:rsidRPr="00DA1726">
        <w:rPr>
          <w:b/>
          <w:sz w:val="28"/>
          <w:szCs w:val="28"/>
        </w:rPr>
        <w:t xml:space="preserve"> </w:t>
      </w:r>
      <w:r w:rsidR="00DF2BA4" w:rsidRPr="00DA1726">
        <w:rPr>
          <w:b/>
          <w:sz w:val="28"/>
          <w:szCs w:val="28"/>
        </w:rPr>
        <w:t>RESUELVE</w:t>
      </w:r>
      <w:r w:rsidR="00270123" w:rsidRPr="00DA1726">
        <w:rPr>
          <w:b/>
          <w:sz w:val="28"/>
          <w:szCs w:val="28"/>
        </w:rPr>
        <w:t>:</w:t>
      </w:r>
    </w:p>
    <w:p w:rsidR="003D6E53" w:rsidRPr="00DA1726" w:rsidRDefault="003D6E53" w:rsidP="00DA1726">
      <w:pPr>
        <w:tabs>
          <w:tab w:val="left" w:pos="567"/>
        </w:tabs>
        <w:ind w:left="360"/>
        <w:rPr>
          <w:b/>
          <w:sz w:val="28"/>
          <w:szCs w:val="28"/>
        </w:rPr>
      </w:pPr>
    </w:p>
    <w:p w:rsidR="00DF2BA4" w:rsidRPr="00DA1726" w:rsidRDefault="00DF2BA4" w:rsidP="00DA1726">
      <w:pPr>
        <w:jc w:val="both"/>
        <w:rPr>
          <w:snapToGrid w:val="0"/>
          <w:sz w:val="28"/>
          <w:szCs w:val="28"/>
        </w:rPr>
      </w:pPr>
      <w:r w:rsidRPr="00DA1726">
        <w:rPr>
          <w:b/>
          <w:sz w:val="28"/>
          <w:szCs w:val="28"/>
        </w:rPr>
        <w:t xml:space="preserve">Primero. </w:t>
      </w:r>
      <w:r w:rsidRPr="00DA1726">
        <w:rPr>
          <w:snapToGrid w:val="0"/>
          <w:sz w:val="28"/>
          <w:szCs w:val="28"/>
        </w:rPr>
        <w:t xml:space="preserve">Declarar el nivel de cumplimiento medio de la orden </w:t>
      </w:r>
      <w:r w:rsidR="00270123" w:rsidRPr="00DA1726">
        <w:rPr>
          <w:snapToGrid w:val="0"/>
          <w:sz w:val="28"/>
          <w:szCs w:val="28"/>
        </w:rPr>
        <w:t>vigésima</w:t>
      </w:r>
      <w:r w:rsidRPr="00DA1726">
        <w:rPr>
          <w:snapToGrid w:val="0"/>
          <w:sz w:val="28"/>
          <w:szCs w:val="28"/>
        </w:rPr>
        <w:t xml:space="preserve"> de la sentencia T-760 de 2008, </w:t>
      </w:r>
      <w:r w:rsidR="00E84A60" w:rsidRPr="00DA1726">
        <w:rPr>
          <w:snapToGrid w:val="0"/>
          <w:sz w:val="28"/>
          <w:szCs w:val="28"/>
        </w:rPr>
        <w:t xml:space="preserve">en cuanto al </w:t>
      </w:r>
      <w:r w:rsidR="00E84A60" w:rsidRPr="00DA1726">
        <w:rPr>
          <w:i/>
          <w:snapToGrid w:val="0"/>
          <w:sz w:val="28"/>
          <w:szCs w:val="28"/>
        </w:rPr>
        <w:t xml:space="preserve">ranking </w:t>
      </w:r>
      <w:r w:rsidR="00E84A60" w:rsidRPr="00DA1726">
        <w:rPr>
          <w:snapToGrid w:val="0"/>
          <w:sz w:val="28"/>
          <w:szCs w:val="28"/>
        </w:rPr>
        <w:t xml:space="preserve">de EPS, </w:t>
      </w:r>
      <w:r w:rsidRPr="00DA1726">
        <w:rPr>
          <w:snapToGrid w:val="0"/>
          <w:sz w:val="28"/>
          <w:szCs w:val="28"/>
        </w:rPr>
        <w:t>conforme a lo expuesto en la parte motiva de esta providencia.</w:t>
      </w:r>
    </w:p>
    <w:p w:rsidR="00DF2BA4" w:rsidRPr="00DA1726" w:rsidRDefault="00DF2BA4" w:rsidP="00DA1726">
      <w:pPr>
        <w:tabs>
          <w:tab w:val="left" w:pos="567"/>
        </w:tabs>
        <w:jc w:val="both"/>
        <w:rPr>
          <w:sz w:val="28"/>
          <w:szCs w:val="28"/>
        </w:rPr>
      </w:pPr>
    </w:p>
    <w:p w:rsidR="001E499B" w:rsidRPr="00DA1726" w:rsidRDefault="001E499B" w:rsidP="00DA1726">
      <w:pPr>
        <w:jc w:val="both"/>
        <w:rPr>
          <w:snapToGrid w:val="0"/>
          <w:sz w:val="28"/>
          <w:szCs w:val="28"/>
        </w:rPr>
      </w:pPr>
      <w:r w:rsidRPr="00DA1726">
        <w:rPr>
          <w:b/>
          <w:sz w:val="28"/>
          <w:szCs w:val="28"/>
        </w:rPr>
        <w:t xml:space="preserve">Segundo. </w:t>
      </w:r>
      <w:r w:rsidRPr="00DA1726">
        <w:rPr>
          <w:snapToGrid w:val="0"/>
          <w:sz w:val="28"/>
          <w:szCs w:val="28"/>
        </w:rPr>
        <w:t xml:space="preserve">Declarar el nivel de cumplimiento bajo de la orden vigésima de la sentencia T-760 de 2008, en cuanto al </w:t>
      </w:r>
      <w:r w:rsidRPr="00DA1726">
        <w:rPr>
          <w:i/>
          <w:snapToGrid w:val="0"/>
          <w:sz w:val="28"/>
          <w:szCs w:val="28"/>
        </w:rPr>
        <w:t xml:space="preserve">ranking </w:t>
      </w:r>
      <w:r w:rsidRPr="00DA1726">
        <w:rPr>
          <w:snapToGrid w:val="0"/>
          <w:sz w:val="28"/>
          <w:szCs w:val="28"/>
        </w:rPr>
        <w:t>de IPS, conforme a lo expuesto en la parte motiva de esta providencia.</w:t>
      </w:r>
    </w:p>
    <w:p w:rsidR="001E499B" w:rsidRPr="00DA1726" w:rsidRDefault="001E499B" w:rsidP="00DA1726">
      <w:pPr>
        <w:tabs>
          <w:tab w:val="left" w:pos="567"/>
        </w:tabs>
        <w:jc w:val="both"/>
        <w:rPr>
          <w:sz w:val="28"/>
          <w:szCs w:val="28"/>
        </w:rPr>
      </w:pPr>
    </w:p>
    <w:p w:rsidR="009A12AA" w:rsidRPr="00DA1726" w:rsidRDefault="001E499B" w:rsidP="00DA1726">
      <w:pPr>
        <w:tabs>
          <w:tab w:val="left" w:pos="567"/>
        </w:tabs>
        <w:jc w:val="both"/>
        <w:rPr>
          <w:bCs/>
          <w:sz w:val="28"/>
          <w:szCs w:val="28"/>
        </w:rPr>
      </w:pPr>
      <w:r w:rsidRPr="00DA1726">
        <w:rPr>
          <w:b/>
          <w:snapToGrid w:val="0"/>
          <w:sz w:val="28"/>
          <w:szCs w:val="28"/>
        </w:rPr>
        <w:t>Tercero</w:t>
      </w:r>
      <w:r w:rsidR="00DF2BA4" w:rsidRPr="00DA1726">
        <w:rPr>
          <w:b/>
          <w:bCs/>
          <w:sz w:val="28"/>
          <w:szCs w:val="28"/>
        </w:rPr>
        <w:t xml:space="preserve">. </w:t>
      </w:r>
      <w:r w:rsidR="009A12AA" w:rsidRPr="00DA1726">
        <w:rPr>
          <w:b/>
          <w:bCs/>
          <w:sz w:val="28"/>
          <w:szCs w:val="28"/>
        </w:rPr>
        <w:t xml:space="preserve">Ordenar </w:t>
      </w:r>
      <w:r w:rsidR="009A12AA" w:rsidRPr="00DA1726">
        <w:rPr>
          <w:color w:val="000000"/>
          <w:sz w:val="28"/>
          <w:szCs w:val="28"/>
        </w:rPr>
        <w:t xml:space="preserve">al Ministerio de Salud y Protección Social </w:t>
      </w:r>
      <w:r w:rsidR="007A1AC5" w:rsidRPr="00DA1726">
        <w:rPr>
          <w:color w:val="000000"/>
          <w:sz w:val="28"/>
          <w:szCs w:val="28"/>
        </w:rPr>
        <w:t>y a</w:t>
      </w:r>
      <w:r w:rsidR="009A12AA" w:rsidRPr="00DA1726">
        <w:rPr>
          <w:color w:val="000000"/>
          <w:sz w:val="28"/>
          <w:szCs w:val="28"/>
        </w:rPr>
        <w:t xml:space="preserve"> la Superintendencia Nacional de Salud</w:t>
      </w:r>
      <w:r w:rsidR="007A1AC5" w:rsidRPr="00DA1726">
        <w:rPr>
          <w:color w:val="000000"/>
          <w:sz w:val="28"/>
          <w:szCs w:val="28"/>
          <w:lang w:val="es-ES"/>
        </w:rPr>
        <w:t xml:space="preserve"> que en el término de dos (02) meses contados a partir de la notificación de esta decisión,</w:t>
      </w:r>
      <w:r w:rsidR="009A12AA" w:rsidRPr="00DA1726">
        <w:rPr>
          <w:color w:val="000000"/>
          <w:sz w:val="28"/>
          <w:szCs w:val="28"/>
        </w:rPr>
        <w:t xml:space="preserve"> adelante las sesiones </w:t>
      </w:r>
      <w:r w:rsidR="009A12AA" w:rsidRPr="00DA1726">
        <w:rPr>
          <w:sz w:val="28"/>
          <w:szCs w:val="28"/>
          <w:lang w:val="es-ES_tradnl"/>
        </w:rPr>
        <w:t xml:space="preserve">técnicas que involucren todos los actores del sistema, con el objetivo de evaluar, medir y cuantificar adecuadamente los 14 criterios definidos por la Corte, así como </w:t>
      </w:r>
      <w:r w:rsidR="009A12AA" w:rsidRPr="00DA1726">
        <w:rPr>
          <w:color w:val="000000"/>
          <w:sz w:val="28"/>
          <w:szCs w:val="28"/>
        </w:rPr>
        <w:t>establecer los nuevos lineamientos de valoración, acorde con la actual normatividad y jurisprudencia constitucional, trabajo que finalmente deberá ser puesto a disposición de la Corte Constitucional para su aprobación.</w:t>
      </w:r>
    </w:p>
    <w:p w:rsidR="009A12AA" w:rsidRPr="00DA1726" w:rsidRDefault="009A12AA" w:rsidP="00DA1726">
      <w:pPr>
        <w:tabs>
          <w:tab w:val="left" w:pos="567"/>
        </w:tabs>
        <w:jc w:val="both"/>
        <w:rPr>
          <w:b/>
          <w:bCs/>
          <w:sz w:val="28"/>
          <w:szCs w:val="28"/>
        </w:rPr>
      </w:pPr>
    </w:p>
    <w:p w:rsidR="007A1AC5" w:rsidRPr="00DA1726" w:rsidRDefault="007A1AC5" w:rsidP="00DA1726">
      <w:pPr>
        <w:pStyle w:val="Sinespaciado"/>
        <w:tabs>
          <w:tab w:val="left" w:pos="851"/>
        </w:tabs>
        <w:jc w:val="both"/>
        <w:rPr>
          <w:rFonts w:ascii="Times New Roman" w:hAnsi="Times New Roman"/>
          <w:color w:val="000000"/>
          <w:sz w:val="28"/>
          <w:szCs w:val="28"/>
          <w:lang w:val="es-ES"/>
        </w:rPr>
      </w:pPr>
      <w:r w:rsidRPr="00DA1726">
        <w:rPr>
          <w:rFonts w:ascii="Times New Roman" w:hAnsi="Times New Roman"/>
          <w:color w:val="000000"/>
          <w:sz w:val="28"/>
          <w:szCs w:val="28"/>
          <w:lang w:val="es-ES"/>
        </w:rPr>
        <w:t>Estas sesiones de trabajo no podrá exceder el límite de cuatro (04) meses y los resultados deberán ser puestos a disposición de la Corte Constitucional para su aprobación.</w:t>
      </w:r>
    </w:p>
    <w:p w:rsidR="007A1AC5" w:rsidRPr="00DA1726" w:rsidRDefault="007A1AC5" w:rsidP="00DA1726">
      <w:pPr>
        <w:tabs>
          <w:tab w:val="left" w:pos="567"/>
        </w:tabs>
        <w:jc w:val="both"/>
        <w:rPr>
          <w:b/>
          <w:bCs/>
          <w:sz w:val="28"/>
          <w:szCs w:val="28"/>
        </w:rPr>
      </w:pPr>
    </w:p>
    <w:p w:rsidR="00D2272B" w:rsidRPr="00DA1726" w:rsidRDefault="009A12AA" w:rsidP="00DA1726">
      <w:pPr>
        <w:tabs>
          <w:tab w:val="left" w:pos="567"/>
        </w:tabs>
        <w:jc w:val="both"/>
        <w:rPr>
          <w:sz w:val="28"/>
          <w:szCs w:val="28"/>
        </w:rPr>
      </w:pPr>
      <w:r w:rsidRPr="00DA1726">
        <w:rPr>
          <w:b/>
          <w:bCs/>
          <w:sz w:val="28"/>
          <w:szCs w:val="28"/>
        </w:rPr>
        <w:t xml:space="preserve">Cuarto. </w:t>
      </w:r>
      <w:r w:rsidR="00D2272B" w:rsidRPr="00DA1726">
        <w:rPr>
          <w:b/>
          <w:bCs/>
          <w:sz w:val="28"/>
          <w:szCs w:val="28"/>
        </w:rPr>
        <w:t xml:space="preserve">Ordenar </w:t>
      </w:r>
      <w:r w:rsidR="00D2272B" w:rsidRPr="00DA1726">
        <w:rPr>
          <w:color w:val="000000"/>
          <w:sz w:val="28"/>
          <w:szCs w:val="28"/>
          <w:lang w:val="es-ES"/>
        </w:rPr>
        <w:t>a</w:t>
      </w:r>
      <w:r w:rsidR="00D2272B" w:rsidRPr="00DA1726">
        <w:rPr>
          <w:sz w:val="28"/>
          <w:szCs w:val="28"/>
        </w:rPr>
        <w:t xml:space="preserve">l Ministerio de Salud y la Superintendencia Nacional de Salud, que </w:t>
      </w:r>
      <w:r w:rsidR="00D2272B" w:rsidRPr="00DA1726">
        <w:rPr>
          <w:color w:val="000000"/>
          <w:sz w:val="28"/>
          <w:szCs w:val="28"/>
          <w:lang w:val="es-ES"/>
        </w:rPr>
        <w:t xml:space="preserve">a partir de lo dispuesto en el artículo 12 de la Ley 1751 de 2015, </w:t>
      </w:r>
      <w:r w:rsidR="00D2272B" w:rsidRPr="00DA1726">
        <w:rPr>
          <w:sz w:val="28"/>
          <w:szCs w:val="28"/>
        </w:rPr>
        <w:t>presenten una propuesta metodológica a través de la cual se garantice a todas las personas de forma fácil, sencilla y oportuna, la posibilidad de indicar cuándo una EPS incurre en una práctica violatorias del derecho a la salud. Esta propuesta deberá superar la mera apertura de portales informáticos para expresarse, esto es, permitiendo las actuaciones directas por parte de los usuarios</w:t>
      </w:r>
      <w:r w:rsidR="00547D55" w:rsidRPr="00DA1726">
        <w:rPr>
          <w:sz w:val="28"/>
          <w:szCs w:val="28"/>
        </w:rPr>
        <w:t xml:space="preserve"> más allá de los portales web</w:t>
      </w:r>
      <w:r w:rsidR="00D2272B" w:rsidRPr="00DA1726">
        <w:rPr>
          <w:sz w:val="28"/>
          <w:szCs w:val="28"/>
        </w:rPr>
        <w:t xml:space="preserve">. </w:t>
      </w:r>
    </w:p>
    <w:p w:rsidR="007A1AC5" w:rsidRPr="00DA1726" w:rsidRDefault="007A1AC5" w:rsidP="00DA1726">
      <w:pPr>
        <w:jc w:val="both"/>
        <w:rPr>
          <w:color w:val="000000"/>
          <w:sz w:val="28"/>
          <w:szCs w:val="28"/>
          <w:lang w:val="es-ES"/>
        </w:rPr>
      </w:pPr>
    </w:p>
    <w:p w:rsidR="00DF2BA4" w:rsidRPr="00DA1726" w:rsidRDefault="00313E9F" w:rsidP="00DA1726">
      <w:pPr>
        <w:tabs>
          <w:tab w:val="left" w:pos="567"/>
        </w:tabs>
        <w:jc w:val="both"/>
        <w:rPr>
          <w:sz w:val="28"/>
          <w:szCs w:val="28"/>
        </w:rPr>
      </w:pPr>
      <w:r w:rsidRPr="00DA1726">
        <w:rPr>
          <w:b/>
          <w:sz w:val="28"/>
          <w:szCs w:val="28"/>
        </w:rPr>
        <w:t xml:space="preserve">Quinto </w:t>
      </w:r>
      <w:r w:rsidR="00DF2BA4" w:rsidRPr="00DA1726">
        <w:rPr>
          <w:b/>
          <w:sz w:val="28"/>
          <w:szCs w:val="28"/>
        </w:rPr>
        <w:t xml:space="preserve">Ordenar </w:t>
      </w:r>
      <w:r w:rsidR="00DF2BA4" w:rsidRPr="00DA1726">
        <w:rPr>
          <w:sz w:val="28"/>
          <w:szCs w:val="28"/>
        </w:rPr>
        <w:t xml:space="preserve">al </w:t>
      </w:r>
      <w:r w:rsidR="00270123" w:rsidRPr="00DA1726">
        <w:rPr>
          <w:sz w:val="28"/>
          <w:szCs w:val="28"/>
        </w:rPr>
        <w:t xml:space="preserve">Ministerio de Salud y Protección Social y a la Superintendencia Nacional de Salud que </w:t>
      </w:r>
      <w:r w:rsidR="00292E95" w:rsidRPr="00DA1726">
        <w:rPr>
          <w:sz w:val="28"/>
          <w:szCs w:val="28"/>
        </w:rPr>
        <w:t xml:space="preserve">en el término de dos (2) meses contados a partir de la notificación de esta providencia, </w:t>
      </w:r>
      <w:r w:rsidR="00270123" w:rsidRPr="00DA1726">
        <w:rPr>
          <w:sz w:val="28"/>
          <w:szCs w:val="28"/>
        </w:rPr>
        <w:t xml:space="preserve">construyan una herramienta adecuada, didáctica y con fines pedagógicos que permitan a los usuarios de manera sencilla consultar el </w:t>
      </w:r>
      <w:r w:rsidR="008D66F1" w:rsidRPr="00DA1726">
        <w:rPr>
          <w:i/>
          <w:sz w:val="28"/>
          <w:szCs w:val="28"/>
        </w:rPr>
        <w:t>ranking</w:t>
      </w:r>
      <w:r w:rsidR="00270123" w:rsidRPr="00DA1726">
        <w:rPr>
          <w:sz w:val="28"/>
          <w:szCs w:val="28"/>
        </w:rPr>
        <w:t xml:space="preserve"> de las </w:t>
      </w:r>
      <w:r w:rsidR="00EA4FAC" w:rsidRPr="00DA1726">
        <w:rPr>
          <w:sz w:val="28"/>
          <w:szCs w:val="28"/>
        </w:rPr>
        <w:t>EPS</w:t>
      </w:r>
      <w:r w:rsidR="009A12AA" w:rsidRPr="00DA1726">
        <w:rPr>
          <w:sz w:val="28"/>
          <w:szCs w:val="28"/>
        </w:rPr>
        <w:t xml:space="preserve"> de cara las negaciones del derecho a la salud</w:t>
      </w:r>
      <w:r w:rsidR="00270123" w:rsidRPr="00DA1726">
        <w:rPr>
          <w:sz w:val="28"/>
          <w:szCs w:val="28"/>
        </w:rPr>
        <w:t xml:space="preserve">, el cual debe estar publicado en el sitio web del </w:t>
      </w:r>
      <w:r w:rsidR="009A12AA" w:rsidRPr="00DA1726">
        <w:rPr>
          <w:sz w:val="28"/>
          <w:szCs w:val="28"/>
        </w:rPr>
        <w:t>Ministerio, la Superintendencia y</w:t>
      </w:r>
      <w:r w:rsidR="00270123" w:rsidRPr="00DA1726">
        <w:rPr>
          <w:sz w:val="28"/>
          <w:szCs w:val="28"/>
        </w:rPr>
        <w:t xml:space="preserve"> las promotoras de salud, de acuerdo con el escalafón correspondiente.</w:t>
      </w:r>
    </w:p>
    <w:p w:rsidR="00DF2BA4" w:rsidRPr="00DA1726" w:rsidRDefault="00DF2BA4" w:rsidP="00DA1726">
      <w:pPr>
        <w:pStyle w:val="Prrafodelista"/>
        <w:tabs>
          <w:tab w:val="left" w:pos="567"/>
        </w:tabs>
        <w:ind w:left="0"/>
        <w:jc w:val="both"/>
        <w:rPr>
          <w:sz w:val="28"/>
          <w:szCs w:val="28"/>
        </w:rPr>
      </w:pPr>
    </w:p>
    <w:p w:rsidR="00760BAB" w:rsidRPr="00DA1726" w:rsidRDefault="00313E9F" w:rsidP="00DA1726">
      <w:pPr>
        <w:pStyle w:val="Prrafodelista"/>
        <w:tabs>
          <w:tab w:val="left" w:pos="567"/>
        </w:tabs>
        <w:ind w:left="0"/>
        <w:jc w:val="both"/>
        <w:rPr>
          <w:color w:val="000000"/>
          <w:sz w:val="28"/>
          <w:szCs w:val="28"/>
          <w:lang w:val="es-ES"/>
        </w:rPr>
      </w:pPr>
      <w:r w:rsidRPr="00DA1726">
        <w:rPr>
          <w:b/>
          <w:sz w:val="28"/>
          <w:szCs w:val="28"/>
        </w:rPr>
        <w:t>Sex</w:t>
      </w:r>
      <w:r w:rsidR="009A12AA" w:rsidRPr="00DA1726">
        <w:rPr>
          <w:b/>
          <w:sz w:val="28"/>
          <w:szCs w:val="28"/>
        </w:rPr>
        <w:t>to</w:t>
      </w:r>
      <w:r w:rsidR="00DF2BA4" w:rsidRPr="00DA1726">
        <w:rPr>
          <w:b/>
          <w:sz w:val="28"/>
          <w:szCs w:val="28"/>
        </w:rPr>
        <w:t xml:space="preserve">. </w:t>
      </w:r>
      <w:r w:rsidR="009A12AA" w:rsidRPr="00DA1726">
        <w:rPr>
          <w:b/>
          <w:sz w:val="28"/>
          <w:szCs w:val="28"/>
        </w:rPr>
        <w:t>Advertir</w:t>
      </w:r>
      <w:r w:rsidR="00DF2BA4" w:rsidRPr="00DA1726">
        <w:rPr>
          <w:b/>
          <w:sz w:val="28"/>
          <w:szCs w:val="28"/>
        </w:rPr>
        <w:t xml:space="preserve"> </w:t>
      </w:r>
      <w:r w:rsidR="00DF2BA4" w:rsidRPr="00DA1726">
        <w:rPr>
          <w:sz w:val="28"/>
          <w:szCs w:val="28"/>
        </w:rPr>
        <w:t xml:space="preserve">al Ministerio de Salud y de la Protección Social </w:t>
      </w:r>
      <w:r w:rsidR="00292E95" w:rsidRPr="00DA1726">
        <w:rPr>
          <w:sz w:val="28"/>
          <w:szCs w:val="28"/>
        </w:rPr>
        <w:t xml:space="preserve">y la Superintendencia Nacional </w:t>
      </w:r>
      <w:r w:rsidR="009A12AA" w:rsidRPr="00DA1726">
        <w:rPr>
          <w:sz w:val="28"/>
          <w:szCs w:val="28"/>
        </w:rPr>
        <w:t xml:space="preserve">que </w:t>
      </w:r>
      <w:r w:rsidR="00760BAB" w:rsidRPr="00DA1726">
        <w:rPr>
          <w:color w:val="000000"/>
          <w:sz w:val="28"/>
          <w:szCs w:val="28"/>
          <w:lang w:val="es-ES"/>
        </w:rPr>
        <w:t>ante la existencia de una clasificación por grupos, se debe determinar de manera específica los rangos críticos, de alarma, aceptabilidad y superioridad</w:t>
      </w:r>
      <w:r w:rsidR="009A12AA" w:rsidRPr="00DA1726">
        <w:rPr>
          <w:color w:val="000000"/>
          <w:sz w:val="28"/>
          <w:szCs w:val="28"/>
          <w:lang w:val="es-ES"/>
        </w:rPr>
        <w:t>, estableciendo límites porcentuales en cada rango.</w:t>
      </w:r>
    </w:p>
    <w:p w:rsidR="00760BAB" w:rsidRPr="00DA1726" w:rsidRDefault="00760BAB" w:rsidP="00DA1726">
      <w:pPr>
        <w:pStyle w:val="Prrafodelista"/>
        <w:tabs>
          <w:tab w:val="left" w:pos="567"/>
        </w:tabs>
        <w:ind w:left="0"/>
        <w:jc w:val="both"/>
        <w:rPr>
          <w:sz w:val="28"/>
          <w:szCs w:val="28"/>
        </w:rPr>
      </w:pPr>
    </w:p>
    <w:p w:rsidR="00292E95" w:rsidRPr="00DA1726" w:rsidRDefault="00313E9F" w:rsidP="00DA1726">
      <w:pPr>
        <w:pStyle w:val="Sinespaciado"/>
        <w:tabs>
          <w:tab w:val="left" w:pos="851"/>
        </w:tabs>
        <w:jc w:val="both"/>
        <w:rPr>
          <w:rFonts w:ascii="Times New Roman" w:hAnsi="Times New Roman"/>
          <w:sz w:val="28"/>
          <w:szCs w:val="28"/>
        </w:rPr>
      </w:pPr>
      <w:r w:rsidRPr="00DA1726">
        <w:rPr>
          <w:rFonts w:ascii="Times New Roman" w:hAnsi="Times New Roman"/>
          <w:b/>
          <w:color w:val="000000"/>
          <w:sz w:val="28"/>
          <w:szCs w:val="28"/>
          <w:lang w:val="es-ES"/>
        </w:rPr>
        <w:t>Séptimo</w:t>
      </w:r>
      <w:r w:rsidR="00095FB6" w:rsidRPr="00DA1726">
        <w:rPr>
          <w:rFonts w:ascii="Times New Roman" w:hAnsi="Times New Roman"/>
          <w:b/>
          <w:color w:val="000000"/>
          <w:sz w:val="28"/>
          <w:szCs w:val="28"/>
          <w:lang w:val="es-ES"/>
        </w:rPr>
        <w:t xml:space="preserve">. </w:t>
      </w:r>
      <w:r w:rsidR="00FC0FE2" w:rsidRPr="00DA1726">
        <w:rPr>
          <w:rFonts w:ascii="Times New Roman" w:hAnsi="Times New Roman"/>
          <w:b/>
          <w:sz w:val="28"/>
          <w:szCs w:val="28"/>
        </w:rPr>
        <w:t>Ordenar</w:t>
      </w:r>
      <w:r w:rsidR="008A25F6" w:rsidRPr="00DA1726">
        <w:rPr>
          <w:rFonts w:ascii="Times New Roman" w:hAnsi="Times New Roman"/>
          <w:b/>
          <w:sz w:val="28"/>
          <w:szCs w:val="28"/>
        </w:rPr>
        <w:t xml:space="preserve"> </w:t>
      </w:r>
      <w:r w:rsidR="008A25F6" w:rsidRPr="00DA1726">
        <w:rPr>
          <w:rFonts w:ascii="Times New Roman" w:hAnsi="Times New Roman"/>
          <w:sz w:val="28"/>
          <w:szCs w:val="28"/>
        </w:rPr>
        <w:t xml:space="preserve">al Ministerio de Salud y Protección Social </w:t>
      </w:r>
      <w:r w:rsidR="00FC0FE2" w:rsidRPr="00DA1726">
        <w:rPr>
          <w:rFonts w:ascii="Times New Roman" w:hAnsi="Times New Roman"/>
          <w:sz w:val="28"/>
          <w:szCs w:val="28"/>
        </w:rPr>
        <w:t xml:space="preserve">que genere espacios de trabajo con los actores de sistema para que se adelante el proceso de construcción de los indicadores para </w:t>
      </w:r>
      <w:r w:rsidR="00292E95" w:rsidRPr="00DA1726">
        <w:rPr>
          <w:rFonts w:ascii="Times New Roman" w:hAnsi="Times New Roman"/>
          <w:sz w:val="28"/>
          <w:szCs w:val="28"/>
        </w:rPr>
        <w:t xml:space="preserve">estructurar el </w:t>
      </w:r>
      <w:r w:rsidR="008D66F1" w:rsidRPr="00DA1726">
        <w:rPr>
          <w:rFonts w:ascii="Times New Roman" w:hAnsi="Times New Roman"/>
          <w:i/>
          <w:sz w:val="28"/>
          <w:szCs w:val="28"/>
        </w:rPr>
        <w:t>ranking</w:t>
      </w:r>
      <w:r w:rsidR="00292E95" w:rsidRPr="00DA1726">
        <w:rPr>
          <w:rFonts w:ascii="Times New Roman" w:hAnsi="Times New Roman"/>
          <w:sz w:val="28"/>
          <w:szCs w:val="28"/>
        </w:rPr>
        <w:t xml:space="preserve"> de las </w:t>
      </w:r>
      <w:r w:rsidR="00EA4FAC" w:rsidRPr="00DA1726">
        <w:rPr>
          <w:rFonts w:ascii="Times New Roman" w:hAnsi="Times New Roman"/>
          <w:sz w:val="28"/>
          <w:szCs w:val="28"/>
        </w:rPr>
        <w:t>IPS</w:t>
      </w:r>
      <w:r w:rsidR="00292E95" w:rsidRPr="00DA1726">
        <w:rPr>
          <w:rFonts w:ascii="Times New Roman" w:hAnsi="Times New Roman"/>
          <w:sz w:val="28"/>
          <w:szCs w:val="28"/>
        </w:rPr>
        <w:t xml:space="preserve">. </w:t>
      </w:r>
    </w:p>
    <w:p w:rsidR="00292E95" w:rsidRPr="00DA1726" w:rsidRDefault="00292E95" w:rsidP="00DA1726">
      <w:pPr>
        <w:jc w:val="both"/>
        <w:rPr>
          <w:sz w:val="28"/>
          <w:szCs w:val="28"/>
          <w:lang w:val="es-ES"/>
        </w:rPr>
      </w:pPr>
    </w:p>
    <w:p w:rsidR="009A12AA" w:rsidRPr="00DA1726" w:rsidRDefault="00313E9F" w:rsidP="00DA1726">
      <w:pPr>
        <w:tabs>
          <w:tab w:val="left" w:pos="567"/>
        </w:tabs>
        <w:jc w:val="both"/>
        <w:rPr>
          <w:sz w:val="28"/>
          <w:szCs w:val="28"/>
        </w:rPr>
      </w:pPr>
      <w:r w:rsidRPr="00DA1726">
        <w:rPr>
          <w:b/>
          <w:sz w:val="28"/>
          <w:szCs w:val="28"/>
        </w:rPr>
        <w:t>Octavo</w:t>
      </w:r>
      <w:r w:rsidR="00DF2BA4" w:rsidRPr="00DA1726">
        <w:rPr>
          <w:b/>
          <w:sz w:val="28"/>
          <w:szCs w:val="28"/>
        </w:rPr>
        <w:t xml:space="preserve">. Ordenar </w:t>
      </w:r>
      <w:r w:rsidR="00DF2BA4" w:rsidRPr="00DA1726">
        <w:rPr>
          <w:sz w:val="28"/>
          <w:szCs w:val="28"/>
        </w:rPr>
        <w:t xml:space="preserve">al Ministerio de Salud y de la Protección Social que </w:t>
      </w:r>
      <w:r w:rsidR="009A12AA" w:rsidRPr="00DA1726">
        <w:rPr>
          <w:sz w:val="28"/>
          <w:szCs w:val="28"/>
        </w:rPr>
        <w:t xml:space="preserve">diseñe una herramienta virtual diferente a la actualmente existente o que implique ajustes adecuados, que en todo caso permita a los usuarios consultar de manera sencilla, comprensible y adecuada de acuerdo a su EPS la institución prestadora que mejor posición cuenta en el </w:t>
      </w:r>
      <w:r w:rsidR="009A12AA" w:rsidRPr="00DA1726">
        <w:rPr>
          <w:i/>
          <w:sz w:val="28"/>
          <w:szCs w:val="28"/>
        </w:rPr>
        <w:t>ranking</w:t>
      </w:r>
      <w:r w:rsidR="009A12AA" w:rsidRPr="00DA1726">
        <w:rPr>
          <w:sz w:val="28"/>
          <w:szCs w:val="28"/>
        </w:rPr>
        <w:t xml:space="preserve"> de acuerdo con su necesidad.</w:t>
      </w:r>
    </w:p>
    <w:p w:rsidR="009A12AA" w:rsidRPr="00DA1726" w:rsidRDefault="009A12AA" w:rsidP="00DA1726">
      <w:pPr>
        <w:tabs>
          <w:tab w:val="left" w:pos="567"/>
        </w:tabs>
        <w:jc w:val="both"/>
        <w:rPr>
          <w:sz w:val="28"/>
          <w:szCs w:val="28"/>
        </w:rPr>
      </w:pPr>
    </w:p>
    <w:p w:rsidR="00FC0FE2" w:rsidRPr="00DA1726" w:rsidRDefault="00FC0FE2" w:rsidP="00DA1726">
      <w:pPr>
        <w:autoSpaceDE w:val="0"/>
        <w:autoSpaceDN w:val="0"/>
        <w:ind w:right="-40"/>
        <w:rPr>
          <w:sz w:val="28"/>
          <w:szCs w:val="28"/>
        </w:rPr>
      </w:pPr>
      <w:r w:rsidRPr="00DA1726">
        <w:rPr>
          <w:sz w:val="28"/>
          <w:szCs w:val="28"/>
        </w:rPr>
        <w:t>Notifíquese, comuníquese y cúmplase.</w:t>
      </w:r>
    </w:p>
    <w:p w:rsidR="002E7E0B" w:rsidRPr="00DA1726" w:rsidRDefault="002E7E0B" w:rsidP="00DA1726">
      <w:pPr>
        <w:jc w:val="center"/>
        <w:rPr>
          <w:sz w:val="28"/>
          <w:szCs w:val="28"/>
          <w:lang w:eastAsia="es-ES"/>
        </w:rPr>
      </w:pPr>
    </w:p>
    <w:p w:rsidR="002E7E0B" w:rsidRPr="00DA1726" w:rsidRDefault="002E7E0B" w:rsidP="00DA1726">
      <w:pPr>
        <w:jc w:val="center"/>
        <w:rPr>
          <w:sz w:val="28"/>
          <w:szCs w:val="28"/>
          <w:lang w:eastAsia="es-ES"/>
        </w:rPr>
      </w:pPr>
    </w:p>
    <w:p w:rsidR="002E7E0B" w:rsidRPr="00DA1726" w:rsidRDefault="002E7E0B" w:rsidP="00DA1726">
      <w:pPr>
        <w:jc w:val="center"/>
        <w:rPr>
          <w:sz w:val="28"/>
          <w:szCs w:val="28"/>
          <w:lang w:eastAsia="es-ES"/>
        </w:rPr>
      </w:pPr>
    </w:p>
    <w:p w:rsidR="002E7E0B" w:rsidRPr="00DA1726" w:rsidRDefault="002E7E0B" w:rsidP="00DA1726">
      <w:pPr>
        <w:jc w:val="center"/>
        <w:rPr>
          <w:sz w:val="28"/>
          <w:szCs w:val="28"/>
          <w:lang w:eastAsia="es-ES"/>
        </w:rPr>
      </w:pPr>
      <w:r w:rsidRPr="00DA1726">
        <w:rPr>
          <w:sz w:val="28"/>
          <w:szCs w:val="28"/>
          <w:lang w:eastAsia="es-ES"/>
        </w:rPr>
        <w:t>JORGE IVÁN PALACIO PALACIO</w:t>
      </w:r>
    </w:p>
    <w:p w:rsidR="002E7E0B" w:rsidRPr="00DA1726" w:rsidRDefault="002E7E0B" w:rsidP="00DA1726">
      <w:pPr>
        <w:jc w:val="center"/>
        <w:rPr>
          <w:sz w:val="28"/>
          <w:szCs w:val="28"/>
          <w:lang w:eastAsia="es-ES"/>
        </w:rPr>
      </w:pPr>
      <w:r w:rsidRPr="00DA1726">
        <w:rPr>
          <w:sz w:val="28"/>
          <w:szCs w:val="28"/>
          <w:lang w:eastAsia="es-ES"/>
        </w:rPr>
        <w:t>Magistrado</w:t>
      </w:r>
    </w:p>
    <w:p w:rsidR="002E7E0B" w:rsidRPr="00DA1726" w:rsidRDefault="002E7E0B" w:rsidP="00DA1726">
      <w:pPr>
        <w:jc w:val="center"/>
        <w:rPr>
          <w:sz w:val="28"/>
          <w:szCs w:val="28"/>
          <w:lang w:eastAsia="es-ES"/>
        </w:rPr>
      </w:pPr>
    </w:p>
    <w:p w:rsidR="002E7E0B" w:rsidRPr="00DA1726" w:rsidRDefault="002E7E0B" w:rsidP="00DA1726">
      <w:pPr>
        <w:jc w:val="center"/>
        <w:rPr>
          <w:sz w:val="28"/>
          <w:szCs w:val="28"/>
          <w:lang w:eastAsia="es-ES"/>
        </w:rPr>
      </w:pPr>
    </w:p>
    <w:p w:rsidR="002E7E0B" w:rsidRPr="00DA1726" w:rsidRDefault="002E7E0B" w:rsidP="00DA1726">
      <w:pPr>
        <w:jc w:val="center"/>
        <w:rPr>
          <w:sz w:val="28"/>
          <w:szCs w:val="28"/>
          <w:lang w:eastAsia="es-ES"/>
        </w:rPr>
      </w:pPr>
    </w:p>
    <w:p w:rsidR="002E7E0B" w:rsidRPr="00DA1726" w:rsidRDefault="002E7E0B" w:rsidP="00DA1726">
      <w:pPr>
        <w:jc w:val="center"/>
        <w:rPr>
          <w:snapToGrid w:val="0"/>
          <w:sz w:val="28"/>
          <w:szCs w:val="28"/>
          <w:lang w:eastAsia="es-ES"/>
        </w:rPr>
      </w:pPr>
      <w:r w:rsidRPr="00DA1726">
        <w:rPr>
          <w:snapToGrid w:val="0"/>
          <w:sz w:val="28"/>
          <w:szCs w:val="28"/>
          <w:lang w:eastAsia="es-ES"/>
        </w:rPr>
        <w:t>ALEJANDRO LINARES CANTILLO</w:t>
      </w:r>
    </w:p>
    <w:p w:rsidR="002E7E0B" w:rsidRPr="00DA1726" w:rsidRDefault="002E7E0B" w:rsidP="00DA1726">
      <w:pPr>
        <w:jc w:val="center"/>
        <w:rPr>
          <w:snapToGrid w:val="0"/>
          <w:sz w:val="28"/>
          <w:szCs w:val="28"/>
          <w:lang w:eastAsia="es-ES"/>
        </w:rPr>
      </w:pPr>
      <w:r w:rsidRPr="00DA1726">
        <w:rPr>
          <w:snapToGrid w:val="0"/>
          <w:sz w:val="28"/>
          <w:szCs w:val="28"/>
          <w:lang w:eastAsia="es-ES"/>
        </w:rPr>
        <w:t>Magistrado</w:t>
      </w:r>
    </w:p>
    <w:p w:rsidR="002E7E0B" w:rsidRPr="00DA1726" w:rsidRDefault="002E7E0B" w:rsidP="00DA1726">
      <w:pPr>
        <w:jc w:val="center"/>
        <w:rPr>
          <w:snapToGrid w:val="0"/>
          <w:sz w:val="28"/>
          <w:szCs w:val="28"/>
          <w:lang w:eastAsia="es-ES"/>
        </w:rPr>
      </w:pPr>
    </w:p>
    <w:p w:rsidR="002E7E0B" w:rsidRPr="00DA1726" w:rsidRDefault="002E7E0B" w:rsidP="00DA1726">
      <w:pPr>
        <w:jc w:val="center"/>
        <w:rPr>
          <w:snapToGrid w:val="0"/>
          <w:sz w:val="28"/>
          <w:szCs w:val="28"/>
          <w:lang w:eastAsia="es-ES"/>
        </w:rPr>
      </w:pPr>
    </w:p>
    <w:p w:rsidR="002E7E0B" w:rsidRPr="00DA1726" w:rsidRDefault="002E7E0B" w:rsidP="00DA1726">
      <w:pPr>
        <w:jc w:val="center"/>
        <w:rPr>
          <w:snapToGrid w:val="0"/>
          <w:sz w:val="28"/>
          <w:szCs w:val="28"/>
          <w:lang w:eastAsia="es-ES"/>
        </w:rPr>
      </w:pPr>
    </w:p>
    <w:p w:rsidR="002E7E0B" w:rsidRPr="00DA1726" w:rsidRDefault="002E7E0B" w:rsidP="00DA1726">
      <w:pPr>
        <w:jc w:val="center"/>
        <w:rPr>
          <w:sz w:val="28"/>
          <w:szCs w:val="28"/>
          <w:lang w:eastAsia="es-ES"/>
        </w:rPr>
      </w:pPr>
      <w:r w:rsidRPr="00DA1726">
        <w:rPr>
          <w:snapToGrid w:val="0"/>
          <w:sz w:val="28"/>
          <w:szCs w:val="28"/>
          <w:lang w:eastAsia="es-ES"/>
        </w:rPr>
        <w:t>GABRIEL EDUARDO MENDOZA MARTELO</w:t>
      </w:r>
    </w:p>
    <w:p w:rsidR="002E7E0B" w:rsidRPr="00DA1726" w:rsidRDefault="002E7E0B" w:rsidP="00DA1726">
      <w:pPr>
        <w:jc w:val="center"/>
        <w:rPr>
          <w:sz w:val="28"/>
          <w:szCs w:val="28"/>
          <w:lang w:eastAsia="es-ES"/>
        </w:rPr>
      </w:pPr>
      <w:r w:rsidRPr="00DA1726">
        <w:rPr>
          <w:sz w:val="28"/>
          <w:szCs w:val="28"/>
          <w:lang w:eastAsia="es-ES"/>
        </w:rPr>
        <w:t>Magistrado</w:t>
      </w:r>
    </w:p>
    <w:p w:rsidR="002E7E0B" w:rsidRPr="00DA1726" w:rsidRDefault="002E7E0B" w:rsidP="00DA1726">
      <w:pPr>
        <w:jc w:val="center"/>
        <w:rPr>
          <w:sz w:val="28"/>
          <w:szCs w:val="28"/>
          <w:lang w:eastAsia="es-ES"/>
        </w:rPr>
      </w:pPr>
    </w:p>
    <w:p w:rsidR="002E7E0B" w:rsidRPr="00DA1726" w:rsidRDefault="002E7E0B" w:rsidP="00DA1726">
      <w:pPr>
        <w:jc w:val="center"/>
        <w:rPr>
          <w:sz w:val="28"/>
          <w:szCs w:val="28"/>
          <w:lang w:eastAsia="es-ES"/>
        </w:rPr>
      </w:pPr>
    </w:p>
    <w:p w:rsidR="002E7E0B" w:rsidRPr="00DA1726" w:rsidRDefault="002E7E0B" w:rsidP="00DA1726">
      <w:pPr>
        <w:jc w:val="center"/>
        <w:rPr>
          <w:sz w:val="28"/>
          <w:szCs w:val="28"/>
          <w:lang w:eastAsia="es-ES"/>
        </w:rPr>
      </w:pPr>
    </w:p>
    <w:p w:rsidR="002E7E0B" w:rsidRPr="00DA1726" w:rsidRDefault="002E7E0B" w:rsidP="00DA1726">
      <w:pPr>
        <w:jc w:val="center"/>
        <w:rPr>
          <w:sz w:val="28"/>
          <w:szCs w:val="28"/>
          <w:lang w:eastAsia="es-ES"/>
        </w:rPr>
      </w:pPr>
      <w:r w:rsidRPr="00DA1726">
        <w:rPr>
          <w:sz w:val="28"/>
          <w:szCs w:val="28"/>
          <w:lang w:eastAsia="es-ES"/>
        </w:rPr>
        <w:t>MARTHA VICTORIA SÁCHICA MÉNDEZ</w:t>
      </w:r>
    </w:p>
    <w:p w:rsidR="00FC0FE2" w:rsidRDefault="002E7E0B" w:rsidP="00DA1726">
      <w:pPr>
        <w:ind w:right="-232"/>
        <w:jc w:val="center"/>
        <w:rPr>
          <w:sz w:val="28"/>
          <w:szCs w:val="28"/>
          <w:lang w:eastAsia="es-ES"/>
        </w:rPr>
      </w:pPr>
      <w:r w:rsidRPr="00DA1726">
        <w:rPr>
          <w:sz w:val="28"/>
          <w:szCs w:val="28"/>
          <w:lang w:eastAsia="es-ES"/>
        </w:rPr>
        <w:t>Secretaria General</w:t>
      </w:r>
    </w:p>
    <w:p w:rsidR="000B4AC1" w:rsidRDefault="000B4AC1" w:rsidP="00DA1726">
      <w:pPr>
        <w:ind w:right="-232"/>
        <w:jc w:val="center"/>
        <w:rPr>
          <w:sz w:val="28"/>
          <w:szCs w:val="28"/>
          <w:lang w:eastAsia="es-ES"/>
        </w:rPr>
      </w:pPr>
    </w:p>
    <w:p w:rsidR="000B4AC1" w:rsidRPr="00DA1726" w:rsidRDefault="000B4AC1" w:rsidP="00DA1726">
      <w:pPr>
        <w:ind w:right="-232"/>
        <w:jc w:val="center"/>
        <w:rPr>
          <w:sz w:val="28"/>
          <w:szCs w:val="28"/>
          <w:lang w:eastAsia="es-ES"/>
        </w:rPr>
      </w:pPr>
    </w:p>
    <w:sectPr w:rsidR="000B4AC1" w:rsidRPr="00DA1726" w:rsidSect="00554056">
      <w:headerReference w:type="default" r:id="rId11"/>
      <w:pgSz w:w="12242" w:h="18722" w:code="14"/>
      <w:pgMar w:top="1417" w:right="1701" w:bottom="1417" w:left="1701" w:header="624"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44C6" w:rsidRDefault="00DF44C6" w:rsidP="00EB1F45">
      <w:r>
        <w:separator/>
      </w:r>
    </w:p>
  </w:endnote>
  <w:endnote w:type="continuationSeparator" w:id="0">
    <w:p w:rsidR="00DF44C6" w:rsidRDefault="00DF44C6" w:rsidP="00E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Mincho">
    <w:altName w:val="‚l‚r –¾’©"/>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44C6" w:rsidRDefault="00DF44C6" w:rsidP="00EB1F45">
      <w:r>
        <w:separator/>
      </w:r>
    </w:p>
  </w:footnote>
  <w:footnote w:type="continuationSeparator" w:id="0">
    <w:p w:rsidR="00DF44C6" w:rsidRDefault="00DF44C6" w:rsidP="00EB1F45">
      <w:r>
        <w:continuationSeparator/>
      </w:r>
    </w:p>
  </w:footnote>
  <w:footnote w:id="1">
    <w:p w:rsidR="00000000" w:rsidRDefault="00DA1726" w:rsidP="007F3F14">
      <w:pPr>
        <w:jc w:val="both"/>
      </w:pPr>
      <w:r w:rsidRPr="00D576B9">
        <w:rPr>
          <w:sz w:val="20"/>
          <w:szCs w:val="20"/>
          <w:vertAlign w:val="superscript"/>
        </w:rPr>
        <w:footnoteRef/>
      </w:r>
      <w:r w:rsidRPr="00D576B9">
        <w:rPr>
          <w:sz w:val="20"/>
          <w:szCs w:val="20"/>
        </w:rPr>
        <w:t xml:space="preserve"> El desarrollo de este acápite se hará a partir de los de los informes presentados por las entidades obligadas, peritos y demás organizaciones allegados con posterioridad a la expedición del auto 260 del 16 de noviembre de 2012, toda vez que en esta providencia se hizo un ejercicio de valoración de la orden objeto de estudio.</w:t>
      </w:r>
    </w:p>
  </w:footnote>
  <w:footnote w:id="2">
    <w:p w:rsidR="00000000" w:rsidRDefault="00DA1726" w:rsidP="00B332C8">
      <w:pPr>
        <w:pStyle w:val="Textonotapie"/>
        <w:jc w:val="both"/>
      </w:pPr>
      <w:r w:rsidRPr="008B052B">
        <w:rPr>
          <w:sz w:val="20"/>
          <w:szCs w:val="20"/>
          <w:vertAlign w:val="superscript"/>
        </w:rPr>
        <w:footnoteRef/>
      </w:r>
      <w:r w:rsidRPr="008B052B">
        <w:rPr>
          <w:sz w:val="20"/>
          <w:szCs w:val="20"/>
        </w:rPr>
        <w:t xml:space="preserve"> </w:t>
      </w:r>
      <w:r>
        <w:rPr>
          <w:sz w:val="20"/>
          <w:szCs w:val="20"/>
        </w:rPr>
        <w:t>Estos criterios fueron definidos inicialmente en la sentencia T-760 de 2008 y desarrollados con posterioridad en el auto 044 de 2012, siendo finalmente reiterados en el Auto 260 de 2012.</w:t>
      </w:r>
    </w:p>
  </w:footnote>
  <w:footnote w:id="3">
    <w:p w:rsidR="00000000" w:rsidRDefault="00DA1726" w:rsidP="007713E0">
      <w:pPr>
        <w:pStyle w:val="Textonotapie"/>
        <w:jc w:val="both"/>
      </w:pPr>
      <w:r w:rsidRPr="00955401">
        <w:rPr>
          <w:sz w:val="20"/>
          <w:szCs w:val="20"/>
          <w:vertAlign w:val="superscript"/>
        </w:rPr>
        <w:footnoteRef/>
      </w:r>
      <w:r w:rsidRPr="00955401">
        <w:rPr>
          <w:sz w:val="20"/>
          <w:szCs w:val="20"/>
        </w:rPr>
        <w:t xml:space="preserve"> </w:t>
      </w:r>
      <w:r w:rsidRPr="008B052B">
        <w:rPr>
          <w:i/>
          <w:sz w:val="20"/>
          <w:szCs w:val="20"/>
        </w:rPr>
        <w:t>Cfr.</w:t>
      </w:r>
      <w:r>
        <w:rPr>
          <w:sz w:val="20"/>
          <w:szCs w:val="20"/>
        </w:rPr>
        <w:t xml:space="preserve"> AZ</w:t>
      </w:r>
      <w:r w:rsidRPr="00955401">
        <w:rPr>
          <w:sz w:val="20"/>
          <w:szCs w:val="20"/>
        </w:rPr>
        <w:t xml:space="preserve"> Orden XX- D, folios 1395 a 1440.</w:t>
      </w:r>
    </w:p>
  </w:footnote>
  <w:footnote w:id="4">
    <w:p w:rsidR="00000000" w:rsidRDefault="00DA1726" w:rsidP="009A4567">
      <w:pPr>
        <w:pStyle w:val="Style21"/>
        <w:widowControl/>
        <w:spacing w:line="240" w:lineRule="auto"/>
      </w:pPr>
      <w:r w:rsidRPr="009A4567">
        <w:rPr>
          <w:rStyle w:val="FontStyle60"/>
          <w:rFonts w:ascii="Times New Roman" w:hAnsi="Times New Roman" w:cs="Times New Roman"/>
          <w:vertAlign w:val="superscript"/>
          <w:lang w:val="es-ES_tradnl" w:eastAsia="es-ES_tradnl"/>
        </w:rPr>
        <w:footnoteRef/>
      </w:r>
      <w:r w:rsidRPr="009A4567">
        <w:rPr>
          <w:rStyle w:val="FontStyle60"/>
          <w:rFonts w:ascii="Times New Roman" w:hAnsi="Times New Roman" w:cs="Times New Roman"/>
          <w:lang w:val="es-ES_tradnl" w:eastAsia="es-ES_tradnl"/>
        </w:rPr>
        <w:t xml:space="preserve"> El grupo se encuentra compuesto por profesionales en medicina, odontología, derecho, sociología y economía.</w:t>
      </w:r>
    </w:p>
  </w:footnote>
  <w:footnote w:id="5">
    <w:p w:rsidR="00000000" w:rsidRDefault="00DA1726" w:rsidP="00955401">
      <w:pPr>
        <w:pStyle w:val="Textonotapie"/>
        <w:jc w:val="both"/>
      </w:pPr>
      <w:r w:rsidRPr="00955401">
        <w:rPr>
          <w:sz w:val="20"/>
          <w:szCs w:val="20"/>
          <w:vertAlign w:val="superscript"/>
        </w:rPr>
        <w:footnoteRef/>
      </w:r>
      <w:r w:rsidRPr="00955401">
        <w:rPr>
          <w:sz w:val="20"/>
          <w:szCs w:val="20"/>
        </w:rPr>
        <w:t xml:space="preserve"> </w:t>
      </w:r>
      <w:r>
        <w:rPr>
          <w:i/>
          <w:sz w:val="20"/>
          <w:szCs w:val="20"/>
        </w:rPr>
        <w:t xml:space="preserve">Cfr. </w:t>
      </w:r>
      <w:r>
        <w:rPr>
          <w:sz w:val="20"/>
          <w:szCs w:val="20"/>
        </w:rPr>
        <w:t>AZ Orden XX-</w:t>
      </w:r>
      <w:r w:rsidRPr="00955401">
        <w:rPr>
          <w:sz w:val="20"/>
          <w:szCs w:val="20"/>
        </w:rPr>
        <w:t>D, folios 1441 a 1448.</w:t>
      </w:r>
    </w:p>
  </w:footnote>
  <w:footnote w:id="6">
    <w:p w:rsidR="00000000" w:rsidRDefault="00DA1726" w:rsidP="002B57F7">
      <w:pPr>
        <w:pStyle w:val="Textonotapie"/>
        <w:jc w:val="both"/>
      </w:pPr>
      <w:r w:rsidRPr="00955401">
        <w:rPr>
          <w:sz w:val="20"/>
          <w:szCs w:val="20"/>
          <w:vertAlign w:val="superscript"/>
        </w:rPr>
        <w:footnoteRef/>
      </w:r>
      <w:r w:rsidRPr="00955401">
        <w:rPr>
          <w:sz w:val="20"/>
          <w:szCs w:val="20"/>
        </w:rPr>
        <w:t xml:space="preserve"> </w:t>
      </w:r>
      <w:r>
        <w:rPr>
          <w:i/>
          <w:sz w:val="20"/>
          <w:szCs w:val="20"/>
        </w:rPr>
        <w:t xml:space="preserve">Cfr. </w:t>
      </w:r>
      <w:r>
        <w:rPr>
          <w:sz w:val="20"/>
          <w:szCs w:val="20"/>
        </w:rPr>
        <w:t>AZ Orden XX-</w:t>
      </w:r>
      <w:r w:rsidRPr="00955401">
        <w:rPr>
          <w:sz w:val="20"/>
          <w:szCs w:val="20"/>
        </w:rPr>
        <w:t>D, folios 1449 a 1487.</w:t>
      </w:r>
    </w:p>
  </w:footnote>
  <w:footnote w:id="7">
    <w:p w:rsidR="00000000" w:rsidRDefault="00DA1726" w:rsidP="00A706E4">
      <w:pPr>
        <w:pStyle w:val="Textonotapie"/>
        <w:jc w:val="both"/>
      </w:pPr>
      <w:r>
        <w:rPr>
          <w:vertAlign w:val="superscript"/>
        </w:rPr>
        <w:footnoteRef/>
      </w:r>
      <w:r>
        <w:t xml:space="preserve"> </w:t>
      </w:r>
      <w:r w:rsidRPr="00955401">
        <w:rPr>
          <w:sz w:val="20"/>
          <w:szCs w:val="20"/>
        </w:rPr>
        <w:t>Az - Orden XX- D, folios 1</w:t>
      </w:r>
      <w:r>
        <w:rPr>
          <w:sz w:val="20"/>
          <w:szCs w:val="20"/>
        </w:rPr>
        <w:t>493</w:t>
      </w:r>
      <w:r w:rsidRPr="00955401">
        <w:rPr>
          <w:sz w:val="20"/>
          <w:szCs w:val="20"/>
        </w:rPr>
        <w:t xml:space="preserve"> a </w:t>
      </w:r>
      <w:r>
        <w:rPr>
          <w:sz w:val="20"/>
          <w:szCs w:val="20"/>
        </w:rPr>
        <w:t>1530</w:t>
      </w:r>
      <w:r w:rsidRPr="00955401">
        <w:rPr>
          <w:sz w:val="20"/>
          <w:szCs w:val="20"/>
        </w:rPr>
        <w:t>.</w:t>
      </w:r>
    </w:p>
  </w:footnote>
  <w:footnote w:id="8">
    <w:p w:rsidR="00000000" w:rsidRDefault="00DA1726" w:rsidP="00B23568">
      <w:pPr>
        <w:jc w:val="both"/>
      </w:pPr>
      <w:r w:rsidRPr="009916EB">
        <w:rPr>
          <w:sz w:val="20"/>
          <w:szCs w:val="20"/>
          <w:vertAlign w:val="superscript"/>
        </w:rPr>
        <w:footnoteRef/>
      </w:r>
      <w:r w:rsidRPr="009916EB">
        <w:rPr>
          <w:sz w:val="20"/>
          <w:szCs w:val="20"/>
        </w:rPr>
        <w:t xml:space="preserve"> Los grupos de seguimiento vinculados fueron: (i) El grupo que preside la Asociación Colombiana de Empresas de Medicina Integral -ACEMI; (ii) </w:t>
      </w:r>
      <w:r w:rsidRPr="009916EB">
        <w:rPr>
          <w:bCs/>
          <w:sz w:val="20"/>
          <w:szCs w:val="20"/>
        </w:rPr>
        <w:t xml:space="preserve">El proyecto </w:t>
      </w:r>
      <w:r w:rsidRPr="009916EB">
        <w:rPr>
          <w:bCs/>
          <w:i/>
          <w:sz w:val="20"/>
          <w:szCs w:val="20"/>
        </w:rPr>
        <w:t>“Así Vamos en Salud: seguimiento al sector salud en Colombia”</w:t>
      </w:r>
      <w:r w:rsidRPr="009916EB">
        <w:rPr>
          <w:bCs/>
          <w:sz w:val="20"/>
          <w:szCs w:val="20"/>
        </w:rPr>
        <w:t>; (</w:t>
      </w:r>
      <w:r w:rsidRPr="009916EB">
        <w:rPr>
          <w:sz w:val="20"/>
          <w:szCs w:val="20"/>
        </w:rPr>
        <w:t xml:space="preserve">iii) </w:t>
      </w:r>
      <w:r w:rsidRPr="009916EB">
        <w:rPr>
          <w:bCs/>
          <w:sz w:val="20"/>
          <w:szCs w:val="20"/>
        </w:rPr>
        <w:t>La Confederación Colombiana de Consumidores; (</w:t>
      </w:r>
      <w:r w:rsidRPr="009916EB">
        <w:rPr>
          <w:sz w:val="20"/>
          <w:szCs w:val="20"/>
        </w:rPr>
        <w:t xml:space="preserve">iv) </w:t>
      </w:r>
      <w:r w:rsidRPr="009916EB">
        <w:rPr>
          <w:bCs/>
          <w:sz w:val="20"/>
          <w:szCs w:val="20"/>
        </w:rPr>
        <w:t>El Movimiento Nacional por la Salud y la Seguridad Social; (</w:t>
      </w:r>
      <w:r w:rsidRPr="009916EB">
        <w:rPr>
          <w:sz w:val="20"/>
          <w:szCs w:val="20"/>
        </w:rPr>
        <w:t xml:space="preserve">v) </w:t>
      </w:r>
      <w:r w:rsidRPr="009916EB">
        <w:rPr>
          <w:bCs/>
          <w:sz w:val="20"/>
          <w:szCs w:val="20"/>
        </w:rPr>
        <w:t>La Asociación Colombiana de Facultades de Medicina (ASCOFAME); (</w:t>
      </w:r>
      <w:r w:rsidRPr="009916EB">
        <w:rPr>
          <w:sz w:val="20"/>
          <w:szCs w:val="20"/>
        </w:rPr>
        <w:t xml:space="preserve">vi) </w:t>
      </w:r>
      <w:r w:rsidRPr="009916EB">
        <w:rPr>
          <w:bCs/>
          <w:sz w:val="20"/>
          <w:szCs w:val="20"/>
        </w:rPr>
        <w:t>El Centro de Estudios de Derecho, Justicia y Sociedad (Dejusticia); (</w:t>
      </w:r>
      <w:r>
        <w:rPr>
          <w:sz w:val="20"/>
          <w:szCs w:val="20"/>
        </w:rPr>
        <w:t xml:space="preserve">vii) </w:t>
      </w:r>
      <w:r w:rsidRPr="009916EB">
        <w:rPr>
          <w:bCs/>
          <w:sz w:val="20"/>
          <w:szCs w:val="20"/>
        </w:rPr>
        <w:t>La Asociación Médica Sindical (ASMEDAS Nacional); (</w:t>
      </w:r>
      <w:r w:rsidRPr="009916EB">
        <w:rPr>
          <w:sz w:val="20"/>
          <w:szCs w:val="20"/>
        </w:rPr>
        <w:t xml:space="preserve">viii) </w:t>
      </w:r>
      <w:r w:rsidRPr="009916EB">
        <w:rPr>
          <w:bCs/>
          <w:sz w:val="20"/>
          <w:szCs w:val="20"/>
        </w:rPr>
        <w:t>La Mesa por la Vida y la Salud de las Mujeres; (</w:t>
      </w:r>
      <w:r w:rsidRPr="009916EB">
        <w:rPr>
          <w:sz w:val="20"/>
          <w:szCs w:val="20"/>
        </w:rPr>
        <w:t xml:space="preserve">ix) </w:t>
      </w:r>
      <w:r w:rsidRPr="009916EB">
        <w:rPr>
          <w:bCs/>
          <w:sz w:val="20"/>
          <w:szCs w:val="20"/>
        </w:rPr>
        <w:t>La Comisión de Seguimiento de la Sentencia T-760/08 y de Reforma Estructural del Sistema de Salud y Seguridad Social –CSR–; y (</w:t>
      </w:r>
      <w:r w:rsidRPr="009916EB">
        <w:rPr>
          <w:sz w:val="20"/>
          <w:szCs w:val="20"/>
        </w:rPr>
        <w:t xml:space="preserve">x) </w:t>
      </w:r>
      <w:r>
        <w:rPr>
          <w:bCs/>
          <w:sz w:val="20"/>
          <w:szCs w:val="20"/>
        </w:rPr>
        <w:t>Movimiento S</w:t>
      </w:r>
      <w:r w:rsidRPr="009916EB">
        <w:rPr>
          <w:bCs/>
          <w:sz w:val="20"/>
          <w:szCs w:val="20"/>
        </w:rPr>
        <w:t>ocial Pacientes Colombia.</w:t>
      </w:r>
    </w:p>
  </w:footnote>
  <w:footnote w:id="9">
    <w:p w:rsidR="00000000" w:rsidRDefault="00DA1726" w:rsidP="009916EB">
      <w:pPr>
        <w:tabs>
          <w:tab w:val="left" w:pos="851"/>
        </w:tabs>
        <w:jc w:val="both"/>
      </w:pPr>
      <w:r w:rsidRPr="009916EB">
        <w:rPr>
          <w:sz w:val="20"/>
          <w:szCs w:val="20"/>
          <w:vertAlign w:val="superscript"/>
        </w:rPr>
        <w:footnoteRef/>
      </w:r>
      <w:r w:rsidRPr="009916EB">
        <w:rPr>
          <w:sz w:val="20"/>
          <w:szCs w:val="20"/>
        </w:rPr>
        <w:t xml:space="preserve"> </w:t>
      </w:r>
      <w:r w:rsidRPr="009916EB">
        <w:rPr>
          <w:bCs/>
          <w:color w:val="000000"/>
          <w:sz w:val="20"/>
          <w:szCs w:val="20"/>
        </w:rPr>
        <w:t>(i) ¿Puede concluirse que</w:t>
      </w:r>
      <w:r w:rsidRPr="009916EB">
        <w:rPr>
          <w:bCs/>
          <w:i/>
          <w:color w:val="000000"/>
          <w:sz w:val="20"/>
          <w:szCs w:val="20"/>
        </w:rPr>
        <w:t xml:space="preserve"> </w:t>
      </w:r>
      <w:r w:rsidRPr="009916EB">
        <w:rPr>
          <w:bCs/>
          <w:color w:val="000000"/>
          <w:sz w:val="20"/>
          <w:szCs w:val="20"/>
        </w:rPr>
        <w:t xml:space="preserve">el </w:t>
      </w:r>
      <w:r w:rsidRPr="009916EB">
        <w:rPr>
          <w:bCs/>
          <w:i/>
          <w:color w:val="000000"/>
          <w:sz w:val="20"/>
          <w:szCs w:val="20"/>
        </w:rPr>
        <w:t>ranking</w:t>
      </w:r>
      <w:r w:rsidRPr="009916EB">
        <w:rPr>
          <w:bCs/>
          <w:color w:val="000000"/>
          <w:sz w:val="20"/>
          <w:szCs w:val="20"/>
        </w:rPr>
        <w:t xml:space="preserve"> tiene como fuente un sistema de información estructurado que permita recopilar y validar los datos necesarios para conocer, individualizar e identificar tanto las EPS como IPS que, con mayor frecuencia, incurren en las catorce prácticas violatorias del derecho a la salud, enlistadas por la Corte en los autos 044 y 260 de 2012, a partir de lo establecido en los capítulos 4° y 8° de la Sentencia T-760 de 2008?: (ii) ¿El mecanismo para la captura de la información utilizado en la elaboración del </w:t>
      </w:r>
      <w:r w:rsidRPr="009916EB">
        <w:rPr>
          <w:bCs/>
          <w:i/>
          <w:color w:val="000000"/>
          <w:sz w:val="20"/>
          <w:szCs w:val="20"/>
        </w:rPr>
        <w:t>ranking</w:t>
      </w:r>
      <w:r w:rsidRPr="009916EB">
        <w:rPr>
          <w:bCs/>
          <w:color w:val="000000"/>
          <w:sz w:val="20"/>
          <w:szCs w:val="20"/>
        </w:rPr>
        <w:t xml:space="preserve"> fue el apropiado en pro de garantizar el derecho a la información de los usuarios del sistema de salud?; (iii) ¿En la ordenación se tuvo en cuenta el número de usuarios con los que cuenta cada EPS e IPS?; (iii) ¿Los indicadores utilizados están dirigidos a individualizar e identificar las EPS e IPS que, con mayor frecuencia, vulneran el derecho a la salud de los usuarios del sistema?; (iv) ¿Permite conocer las medidas concretas y específicas que las autoridades han adoptado y las que se están aplicando a las entidades que incurren en las catorce prácticas violatorias del derecho a la salud?; (v) ¿Facilita la comprensión de las medidas concretas y específicas que se han tomado, por parte de los organismos gubernamentales, para garantizar el goce efectivo del derecho a la salud de las personas afiliadas o que reciben servicios de salud de las entidades relacionadas en los puestos más bajos del </w:t>
      </w:r>
      <w:r w:rsidRPr="009916EB">
        <w:rPr>
          <w:bCs/>
          <w:i/>
          <w:color w:val="000000"/>
          <w:sz w:val="20"/>
          <w:szCs w:val="20"/>
        </w:rPr>
        <w:t>ranking</w:t>
      </w:r>
      <w:r w:rsidRPr="009916EB">
        <w:rPr>
          <w:bCs/>
          <w:color w:val="000000"/>
          <w:sz w:val="20"/>
          <w:szCs w:val="20"/>
        </w:rPr>
        <w:t xml:space="preserve">?; (vi) ¿La información contenida en el </w:t>
      </w:r>
      <w:r w:rsidRPr="009916EB">
        <w:rPr>
          <w:bCs/>
          <w:i/>
          <w:color w:val="000000"/>
          <w:sz w:val="20"/>
          <w:szCs w:val="20"/>
        </w:rPr>
        <w:t xml:space="preserve">ranking </w:t>
      </w:r>
      <w:r w:rsidRPr="009916EB">
        <w:rPr>
          <w:bCs/>
          <w:color w:val="000000"/>
          <w:sz w:val="20"/>
          <w:szCs w:val="20"/>
        </w:rPr>
        <w:t xml:space="preserve">es clara, completa, actual y pública?; (vii) ¿Cuáles deberían ser las medidas a adoptar para garantizar que cualquier persona comprenda el </w:t>
      </w:r>
      <w:r w:rsidRPr="009916EB">
        <w:rPr>
          <w:bCs/>
          <w:i/>
          <w:color w:val="000000"/>
          <w:sz w:val="20"/>
          <w:szCs w:val="20"/>
        </w:rPr>
        <w:t>ranking</w:t>
      </w:r>
      <w:r w:rsidRPr="009916EB">
        <w:rPr>
          <w:bCs/>
          <w:color w:val="000000"/>
          <w:sz w:val="20"/>
          <w:szCs w:val="20"/>
        </w:rPr>
        <w:t xml:space="preserve">, que éste contenga toda la información indispensable para elegir la mejor EPS o IPS e incluya todos los datos actualizados?; (viii) ¿Cuáles son las acciones que, a su juicio, deben ejecutarse para que dicha ordenación sea conocida por todos los usuarios del sistema de salud, sin perjuicio de su inclusión en la carta de desempeño, ya ordenada en el mandato vigésimo octavo de la Sentencia T-760 de 2008?; (ix) ¿Cuáles son las repercusiones tiene la omisión de que en el </w:t>
      </w:r>
      <w:r w:rsidRPr="009916EB">
        <w:rPr>
          <w:bCs/>
          <w:i/>
          <w:color w:val="000000"/>
          <w:sz w:val="20"/>
          <w:szCs w:val="20"/>
        </w:rPr>
        <w:t>ranking</w:t>
      </w:r>
      <w:r w:rsidRPr="009916EB">
        <w:rPr>
          <w:bCs/>
          <w:color w:val="000000"/>
          <w:sz w:val="20"/>
          <w:szCs w:val="20"/>
        </w:rPr>
        <w:t xml:space="preserve"> no se haya incluido a las Instituciones Prestadoras de Servicios de Salud, para el goce efectivo en el derecho a la información y a la libre elección de los usuarios?</w:t>
      </w:r>
    </w:p>
  </w:footnote>
  <w:footnote w:id="10">
    <w:p w:rsidR="00000000" w:rsidRDefault="00DA1726" w:rsidP="00E63043">
      <w:pPr>
        <w:pStyle w:val="Textonotapie"/>
        <w:jc w:val="both"/>
      </w:pPr>
      <w:r>
        <w:rPr>
          <w:vertAlign w:val="superscript"/>
        </w:rPr>
        <w:footnoteRef/>
      </w:r>
      <w:r>
        <w:t xml:space="preserve"> </w:t>
      </w:r>
      <w:r w:rsidRPr="00955401">
        <w:rPr>
          <w:sz w:val="20"/>
          <w:szCs w:val="20"/>
        </w:rPr>
        <w:t>Az - Orden XX- D, folios 1</w:t>
      </w:r>
      <w:r>
        <w:rPr>
          <w:sz w:val="20"/>
          <w:szCs w:val="20"/>
        </w:rPr>
        <w:t>547 a 1614.</w:t>
      </w:r>
    </w:p>
  </w:footnote>
  <w:footnote w:id="11">
    <w:p w:rsidR="00000000" w:rsidRDefault="00DA1726" w:rsidP="00AC277C">
      <w:pPr>
        <w:pStyle w:val="Textonotapie"/>
        <w:jc w:val="both"/>
      </w:pPr>
      <w:r w:rsidRPr="008A14B2">
        <w:rPr>
          <w:sz w:val="20"/>
          <w:szCs w:val="20"/>
          <w:vertAlign w:val="superscript"/>
        </w:rPr>
        <w:footnoteRef/>
      </w:r>
      <w:r w:rsidRPr="008A14B2">
        <w:rPr>
          <w:sz w:val="20"/>
          <w:szCs w:val="20"/>
        </w:rPr>
        <w:t xml:space="preserve"> </w:t>
      </w:r>
      <w:r>
        <w:rPr>
          <w:i/>
          <w:sz w:val="20"/>
          <w:szCs w:val="20"/>
        </w:rPr>
        <w:t xml:space="preserve">Cfr. </w:t>
      </w:r>
      <w:r w:rsidRPr="008A14B2">
        <w:rPr>
          <w:sz w:val="20"/>
          <w:szCs w:val="20"/>
        </w:rPr>
        <w:t>AZ</w:t>
      </w:r>
      <w:r>
        <w:rPr>
          <w:sz w:val="20"/>
          <w:szCs w:val="20"/>
        </w:rPr>
        <w:t xml:space="preserve"> </w:t>
      </w:r>
      <w:r w:rsidRPr="008A14B2">
        <w:rPr>
          <w:sz w:val="20"/>
          <w:szCs w:val="20"/>
        </w:rPr>
        <w:t xml:space="preserve">orden XX-D, folios </w:t>
      </w:r>
      <w:smartTag w:uri="urn:schemas-microsoft-com:office:smarttags" w:element="metricconverter">
        <w:smartTagPr>
          <w:attr w:name="ProductID" w:val="1610 a"/>
        </w:smartTagPr>
        <w:r w:rsidRPr="008A14B2">
          <w:rPr>
            <w:sz w:val="20"/>
            <w:szCs w:val="20"/>
          </w:rPr>
          <w:t>1610 a</w:t>
        </w:r>
      </w:smartTag>
      <w:r w:rsidRPr="008A14B2">
        <w:rPr>
          <w:sz w:val="20"/>
          <w:szCs w:val="20"/>
        </w:rPr>
        <w:t xml:space="preserve"> 1615. </w:t>
      </w:r>
    </w:p>
  </w:footnote>
  <w:footnote w:id="12">
    <w:p w:rsidR="00000000" w:rsidRDefault="00DA1726" w:rsidP="00AC277C">
      <w:pPr>
        <w:pStyle w:val="Textonotapie"/>
        <w:jc w:val="both"/>
      </w:pPr>
      <w:r w:rsidRPr="008A14B2">
        <w:rPr>
          <w:sz w:val="20"/>
          <w:szCs w:val="20"/>
          <w:vertAlign w:val="superscript"/>
        </w:rPr>
        <w:footnoteRef/>
      </w:r>
      <w:r w:rsidRPr="008A14B2">
        <w:rPr>
          <w:sz w:val="20"/>
          <w:szCs w:val="20"/>
        </w:rPr>
        <w:t xml:space="preserve"> </w:t>
      </w:r>
      <w:r>
        <w:rPr>
          <w:i/>
          <w:sz w:val="20"/>
          <w:szCs w:val="20"/>
        </w:rPr>
        <w:t xml:space="preserve">Cfr. </w:t>
      </w:r>
      <w:r>
        <w:rPr>
          <w:sz w:val="20"/>
          <w:szCs w:val="20"/>
        </w:rPr>
        <w:t xml:space="preserve">AZ </w:t>
      </w:r>
      <w:r w:rsidRPr="008A14B2">
        <w:rPr>
          <w:sz w:val="20"/>
          <w:szCs w:val="20"/>
        </w:rPr>
        <w:t xml:space="preserve">orden XX-D, folios </w:t>
      </w:r>
      <w:smartTag w:uri="urn:schemas-microsoft-com:office:smarttags" w:element="metricconverter">
        <w:smartTagPr>
          <w:attr w:name="ProductID" w:val="1617 a"/>
        </w:smartTagPr>
        <w:r w:rsidRPr="008A14B2">
          <w:rPr>
            <w:sz w:val="20"/>
            <w:szCs w:val="20"/>
          </w:rPr>
          <w:t>1617 a</w:t>
        </w:r>
      </w:smartTag>
      <w:r w:rsidRPr="008A14B2">
        <w:rPr>
          <w:sz w:val="20"/>
          <w:szCs w:val="20"/>
        </w:rPr>
        <w:t xml:space="preserve"> 1630.</w:t>
      </w:r>
    </w:p>
  </w:footnote>
  <w:footnote w:id="13">
    <w:p w:rsidR="00000000" w:rsidRDefault="00DA1726" w:rsidP="00AC277C">
      <w:pPr>
        <w:pStyle w:val="Textonotapie"/>
        <w:jc w:val="both"/>
      </w:pPr>
      <w:r w:rsidRPr="008A14B2">
        <w:rPr>
          <w:sz w:val="20"/>
          <w:szCs w:val="20"/>
          <w:vertAlign w:val="superscript"/>
        </w:rPr>
        <w:footnoteRef/>
      </w:r>
      <w:r w:rsidRPr="008A14B2">
        <w:rPr>
          <w:sz w:val="20"/>
          <w:szCs w:val="20"/>
        </w:rPr>
        <w:t xml:space="preserve"> </w:t>
      </w:r>
      <w:r>
        <w:rPr>
          <w:i/>
          <w:sz w:val="20"/>
          <w:szCs w:val="20"/>
        </w:rPr>
        <w:t xml:space="preserve">Cfr. </w:t>
      </w:r>
      <w:r>
        <w:rPr>
          <w:sz w:val="20"/>
          <w:szCs w:val="20"/>
        </w:rPr>
        <w:t xml:space="preserve">AZ </w:t>
      </w:r>
      <w:r w:rsidRPr="008A14B2">
        <w:rPr>
          <w:sz w:val="20"/>
          <w:szCs w:val="20"/>
        </w:rPr>
        <w:t xml:space="preserve">orden XX-D, folios </w:t>
      </w:r>
      <w:smartTag w:uri="urn:schemas-microsoft-com:office:smarttags" w:element="metricconverter">
        <w:smartTagPr>
          <w:attr w:name="ProductID" w:val="1631 a"/>
        </w:smartTagPr>
        <w:r w:rsidRPr="008A14B2">
          <w:rPr>
            <w:sz w:val="20"/>
            <w:szCs w:val="20"/>
          </w:rPr>
          <w:t>1631 a</w:t>
        </w:r>
      </w:smartTag>
      <w:r w:rsidRPr="008A14B2">
        <w:rPr>
          <w:sz w:val="20"/>
          <w:szCs w:val="20"/>
        </w:rPr>
        <w:t xml:space="preserve"> 1662. </w:t>
      </w:r>
    </w:p>
  </w:footnote>
  <w:footnote w:id="14">
    <w:p w:rsidR="00000000" w:rsidRDefault="00DA1726" w:rsidP="00AC277C">
      <w:pPr>
        <w:pStyle w:val="Textonotapie"/>
        <w:jc w:val="both"/>
      </w:pPr>
      <w:r w:rsidRPr="008A14B2">
        <w:rPr>
          <w:sz w:val="20"/>
          <w:szCs w:val="20"/>
          <w:vertAlign w:val="superscript"/>
        </w:rPr>
        <w:footnoteRef/>
      </w:r>
      <w:r w:rsidRPr="008A14B2">
        <w:rPr>
          <w:sz w:val="20"/>
          <w:szCs w:val="20"/>
        </w:rPr>
        <w:t xml:space="preserve"> </w:t>
      </w:r>
      <w:r>
        <w:rPr>
          <w:i/>
          <w:sz w:val="20"/>
          <w:szCs w:val="20"/>
        </w:rPr>
        <w:t xml:space="preserve">Cfr. </w:t>
      </w:r>
      <w:r>
        <w:rPr>
          <w:sz w:val="20"/>
          <w:szCs w:val="20"/>
        </w:rPr>
        <w:t xml:space="preserve">AZ </w:t>
      </w:r>
      <w:r w:rsidRPr="008A14B2">
        <w:rPr>
          <w:sz w:val="20"/>
          <w:szCs w:val="20"/>
        </w:rPr>
        <w:t xml:space="preserve">orden XX-D, folios </w:t>
      </w:r>
      <w:smartTag w:uri="urn:schemas-microsoft-com:office:smarttags" w:element="metricconverter">
        <w:smartTagPr>
          <w:attr w:name="ProductID" w:val="1664 a"/>
        </w:smartTagPr>
        <w:r w:rsidRPr="008A14B2">
          <w:rPr>
            <w:sz w:val="20"/>
            <w:szCs w:val="20"/>
          </w:rPr>
          <w:t>1664 a</w:t>
        </w:r>
      </w:smartTag>
      <w:r w:rsidRPr="008A14B2">
        <w:rPr>
          <w:sz w:val="20"/>
          <w:szCs w:val="20"/>
        </w:rPr>
        <w:t xml:space="preserve"> 1675. </w:t>
      </w:r>
    </w:p>
  </w:footnote>
  <w:footnote w:id="15">
    <w:p w:rsidR="00000000" w:rsidRDefault="00DA1726" w:rsidP="00722374">
      <w:pPr>
        <w:pStyle w:val="Textonotapie"/>
        <w:jc w:val="both"/>
      </w:pPr>
      <w:r w:rsidRPr="00FC711B">
        <w:rPr>
          <w:sz w:val="20"/>
          <w:szCs w:val="20"/>
          <w:vertAlign w:val="superscript"/>
        </w:rPr>
        <w:footnoteRef/>
      </w:r>
      <w:r w:rsidRPr="00FC711B">
        <w:rPr>
          <w:sz w:val="20"/>
          <w:szCs w:val="20"/>
        </w:rPr>
        <w:t xml:space="preserve"> Estas prácticas se encuentran en </w:t>
      </w:r>
      <w:smartTag w:uri="urn:schemas-microsoft-com:office:smarttags" w:element="PersonName">
        <w:smartTagPr>
          <w:attr w:name="ProductID" w:val="la Sentencia T-760"/>
        </w:smartTagPr>
        <w:r w:rsidRPr="00FC711B">
          <w:rPr>
            <w:sz w:val="20"/>
            <w:szCs w:val="20"/>
          </w:rPr>
          <w:t>la Sentencia T-760</w:t>
        </w:r>
      </w:smartTag>
      <w:r w:rsidRPr="00FC711B">
        <w:rPr>
          <w:sz w:val="20"/>
          <w:szCs w:val="20"/>
        </w:rPr>
        <w:t xml:space="preserve"> de 2008 y fueron sintetizadas en el Auto 044 de 2012.</w:t>
      </w:r>
    </w:p>
  </w:footnote>
  <w:footnote w:id="16">
    <w:p w:rsidR="00000000" w:rsidRDefault="00DA1726">
      <w:pPr>
        <w:pStyle w:val="Textonotapie"/>
      </w:pPr>
      <w:r>
        <w:rPr>
          <w:vertAlign w:val="superscript"/>
        </w:rPr>
        <w:footnoteRef/>
      </w:r>
      <w:r>
        <w:t xml:space="preserve"> </w:t>
      </w:r>
      <w:r w:rsidRPr="008A14B2">
        <w:rPr>
          <w:sz w:val="20"/>
          <w:szCs w:val="20"/>
        </w:rPr>
        <w:t xml:space="preserve">Az-orden XX-D, folios </w:t>
      </w:r>
      <w:r>
        <w:rPr>
          <w:sz w:val="20"/>
          <w:szCs w:val="20"/>
        </w:rPr>
        <w:t>1695 a 1730</w:t>
      </w:r>
      <w:r w:rsidRPr="008A14B2">
        <w:rPr>
          <w:sz w:val="20"/>
          <w:szCs w:val="20"/>
        </w:rPr>
        <w:t>.</w:t>
      </w:r>
    </w:p>
  </w:footnote>
  <w:footnote w:id="17">
    <w:p w:rsidR="00000000" w:rsidRDefault="00DA1726" w:rsidP="00BD2927">
      <w:r w:rsidRPr="00FC711B">
        <w:rPr>
          <w:sz w:val="20"/>
          <w:szCs w:val="20"/>
          <w:vertAlign w:val="superscript"/>
          <w:lang w:val="es-ES_tradnl" w:eastAsia="es-ES_tradnl"/>
        </w:rPr>
        <w:footnoteRef/>
      </w:r>
      <w:r w:rsidRPr="007A1073">
        <w:rPr>
          <w:sz w:val="20"/>
          <w:szCs w:val="20"/>
          <w:lang w:eastAsia="es-ES_tradnl"/>
        </w:rPr>
        <w:t xml:space="preserve"> </w:t>
      </w:r>
      <w:r>
        <w:rPr>
          <w:sz w:val="20"/>
          <w:szCs w:val="20"/>
          <w:lang w:eastAsia="es-ES_tradnl"/>
        </w:rPr>
        <w:t xml:space="preserve">Para ello indicaron que estaba a disposción el sitio web: </w:t>
      </w:r>
      <w:hyperlink r:id="rId1" w:history="1">
        <w:r w:rsidRPr="007A1073">
          <w:rPr>
            <w:rStyle w:val="Hipervnculo"/>
            <w:rFonts w:cs="Arial Narrow"/>
            <w:color w:val="auto"/>
            <w:sz w:val="20"/>
            <w:szCs w:val="20"/>
            <w:lang w:eastAsia="es-ES_tradnl"/>
          </w:rPr>
          <w:t>http://www.minsalud.gov.co/Documentos%20y%20Publicaciones/Conozco%20mis%20derechos</w:t>
        </w:r>
      </w:hyperlink>
    </w:p>
  </w:footnote>
  <w:footnote w:id="18">
    <w:p w:rsidR="00000000" w:rsidRDefault="00DA1726" w:rsidP="00273604">
      <w:pPr>
        <w:pStyle w:val="Textonotapie"/>
        <w:jc w:val="both"/>
      </w:pPr>
      <w:r w:rsidRPr="00273604">
        <w:rPr>
          <w:sz w:val="20"/>
          <w:szCs w:val="20"/>
          <w:vertAlign w:val="superscript"/>
        </w:rPr>
        <w:footnoteRef/>
      </w:r>
      <w:r w:rsidRPr="00273604">
        <w:rPr>
          <w:sz w:val="20"/>
          <w:szCs w:val="20"/>
        </w:rPr>
        <w:t xml:space="preserve"> Por medio de la cual se unifica la regulación respecto de los lineamientos de la Carta de Derechos y Deberes del Afiliado y del Paciente en el Sistema General de Seguridad Social en Salud y de la Carta de Desempeño de las entidades promotoras de salud de los regímenes contributivo y subsidiado y se dictan otras disposiciones.</w:t>
      </w:r>
    </w:p>
  </w:footnote>
  <w:footnote w:id="19">
    <w:p w:rsidR="00000000" w:rsidRDefault="00DA1726" w:rsidP="00B75C0C">
      <w:pPr>
        <w:pStyle w:val="Textonotapie"/>
        <w:jc w:val="both"/>
      </w:pPr>
      <w:r w:rsidRPr="00556DC7">
        <w:rPr>
          <w:color w:val="000000"/>
          <w:sz w:val="20"/>
          <w:szCs w:val="20"/>
          <w:vertAlign w:val="superscript"/>
        </w:rPr>
        <w:footnoteRef/>
      </w:r>
      <w:r w:rsidRPr="00556DC7">
        <w:rPr>
          <w:color w:val="000000"/>
          <w:sz w:val="20"/>
          <w:szCs w:val="20"/>
        </w:rPr>
        <w:t xml:space="preserve"> </w:t>
      </w:r>
      <w:r w:rsidRPr="00556DC7">
        <w:rPr>
          <w:i/>
          <w:color w:val="000000"/>
          <w:sz w:val="20"/>
          <w:szCs w:val="20"/>
        </w:rPr>
        <w:t>Cfr</w:t>
      </w:r>
      <w:r w:rsidRPr="00556DC7">
        <w:rPr>
          <w:color w:val="000000"/>
          <w:sz w:val="20"/>
          <w:szCs w:val="20"/>
        </w:rPr>
        <w:t>. AZ</w:t>
      </w:r>
      <w:r>
        <w:rPr>
          <w:color w:val="000000"/>
          <w:sz w:val="20"/>
          <w:szCs w:val="20"/>
        </w:rPr>
        <w:t xml:space="preserve"> </w:t>
      </w:r>
      <w:r w:rsidRPr="00556DC7">
        <w:rPr>
          <w:color w:val="000000"/>
          <w:sz w:val="20"/>
          <w:szCs w:val="20"/>
        </w:rPr>
        <w:t>Orden XX-B, folio 1714.</w:t>
      </w:r>
    </w:p>
  </w:footnote>
  <w:footnote w:id="20">
    <w:p w:rsidR="00000000" w:rsidRDefault="00DA1726" w:rsidP="00B75C0C">
      <w:pPr>
        <w:pStyle w:val="Textonotapie"/>
        <w:jc w:val="both"/>
      </w:pPr>
      <w:r w:rsidRPr="00556DC7">
        <w:rPr>
          <w:color w:val="000000"/>
          <w:sz w:val="20"/>
          <w:szCs w:val="20"/>
          <w:vertAlign w:val="superscript"/>
        </w:rPr>
        <w:footnoteRef/>
      </w:r>
      <w:r w:rsidRPr="00556DC7">
        <w:rPr>
          <w:color w:val="000000"/>
          <w:sz w:val="20"/>
          <w:szCs w:val="20"/>
        </w:rPr>
        <w:t xml:space="preserve"> En el Auto 249 de 2013 se dictaron medidas preventivas para evitar que en el </w:t>
      </w:r>
      <w:r w:rsidRPr="00556DC7">
        <w:rPr>
          <w:i/>
          <w:color w:val="000000"/>
          <w:sz w:val="20"/>
          <w:szCs w:val="20"/>
        </w:rPr>
        <w:t>Ranking 2014</w:t>
      </w:r>
      <w:r w:rsidRPr="00556DC7">
        <w:rPr>
          <w:color w:val="000000"/>
          <w:sz w:val="20"/>
          <w:szCs w:val="20"/>
        </w:rPr>
        <w:t xml:space="preserve"> se presentaran las mismas deficiencias que fueron expuestas por los Grupos de Seguimiento y que fueran aceptadas por las autoridades concernidas. Así en el numeral 6 de la citada providencia se estableció: </w:t>
      </w:r>
      <w:r w:rsidRPr="00556DC7">
        <w:rPr>
          <w:i/>
          <w:color w:val="000000"/>
          <w:sz w:val="20"/>
          <w:szCs w:val="20"/>
        </w:rPr>
        <w:t>“6. En este sentido, el ranking debe ser una clasificación por puestos: primero, segundo, tercero, etc., debiéndose ubicar en el primer lugar, por ejemplo, aquel asegurador o prestador que, a partir de la evaluación “sobre las prácticas violatorias del derecho a la salud” y teniendo como fuente un sistema de información confiable y de calidad, sea el que menos incurra en ellas; mientras que en el último puesto ha de registrarse aquella entidad que más reportes posea. Esta relación por ubicación debe compaginarse con una clasificación porcentual, en la cual el 100% corresponde a aquella entidad que no tiene reportes sobre violaciones al derecho a la salud y el 0% aquella que cuenta con más.”</w:t>
      </w:r>
    </w:p>
  </w:footnote>
  <w:footnote w:id="21">
    <w:p w:rsidR="00000000" w:rsidRDefault="00DA1726" w:rsidP="00B75C0C">
      <w:pPr>
        <w:pStyle w:val="Textonotapie"/>
        <w:jc w:val="both"/>
      </w:pPr>
      <w:r w:rsidRPr="00556DC7">
        <w:rPr>
          <w:color w:val="000000"/>
          <w:sz w:val="20"/>
          <w:szCs w:val="20"/>
          <w:vertAlign w:val="superscript"/>
        </w:rPr>
        <w:footnoteRef/>
      </w:r>
      <w:r w:rsidRPr="00556DC7">
        <w:rPr>
          <w:color w:val="000000"/>
          <w:sz w:val="20"/>
          <w:szCs w:val="20"/>
        </w:rPr>
        <w:t xml:space="preserve"> </w:t>
      </w:r>
      <w:r w:rsidRPr="00556DC7">
        <w:rPr>
          <w:i/>
          <w:color w:val="000000"/>
          <w:sz w:val="20"/>
          <w:szCs w:val="20"/>
        </w:rPr>
        <w:t>Cfr</w:t>
      </w:r>
      <w:r w:rsidRPr="00556DC7">
        <w:rPr>
          <w:color w:val="000000"/>
          <w:sz w:val="20"/>
          <w:szCs w:val="20"/>
        </w:rPr>
        <w:t>. AZ</w:t>
      </w:r>
      <w:r>
        <w:rPr>
          <w:color w:val="000000"/>
          <w:sz w:val="20"/>
          <w:szCs w:val="20"/>
        </w:rPr>
        <w:t xml:space="preserve"> </w:t>
      </w:r>
      <w:r w:rsidRPr="00556DC7">
        <w:rPr>
          <w:color w:val="000000"/>
          <w:sz w:val="20"/>
          <w:szCs w:val="20"/>
        </w:rPr>
        <w:t>Orden XX-B, folio 1716.</w:t>
      </w:r>
    </w:p>
  </w:footnote>
  <w:footnote w:id="22">
    <w:p w:rsidR="00000000" w:rsidRDefault="00DA1726" w:rsidP="00F705E7">
      <w:pPr>
        <w:pStyle w:val="Textonotapie"/>
        <w:jc w:val="both"/>
      </w:pPr>
      <w:r w:rsidRPr="00A01365">
        <w:rPr>
          <w:color w:val="000000"/>
          <w:sz w:val="20"/>
          <w:szCs w:val="20"/>
          <w:vertAlign w:val="superscript"/>
        </w:rPr>
        <w:footnoteRef/>
      </w:r>
      <w:r w:rsidRPr="00A01365">
        <w:rPr>
          <w:color w:val="000000"/>
          <w:sz w:val="20"/>
          <w:szCs w:val="20"/>
        </w:rPr>
        <w:t xml:space="preserve"> </w:t>
      </w:r>
      <w:r w:rsidRPr="00A01365">
        <w:rPr>
          <w:i/>
          <w:color w:val="000000"/>
          <w:sz w:val="20"/>
          <w:szCs w:val="20"/>
        </w:rPr>
        <w:t>Cfr</w:t>
      </w:r>
      <w:r>
        <w:rPr>
          <w:color w:val="000000"/>
          <w:sz w:val="20"/>
          <w:szCs w:val="20"/>
        </w:rPr>
        <w:t xml:space="preserve">. AZ </w:t>
      </w:r>
      <w:r w:rsidRPr="00A01365">
        <w:rPr>
          <w:color w:val="000000"/>
          <w:sz w:val="20"/>
          <w:szCs w:val="20"/>
        </w:rPr>
        <w:t>Orden XX-B, folio 1719.</w:t>
      </w:r>
    </w:p>
  </w:footnote>
  <w:footnote w:id="23">
    <w:p w:rsidR="00000000" w:rsidRDefault="00DA1726" w:rsidP="005F2465">
      <w:pPr>
        <w:autoSpaceDE w:val="0"/>
        <w:autoSpaceDN w:val="0"/>
        <w:adjustRightInd w:val="0"/>
        <w:jc w:val="both"/>
      </w:pPr>
      <w:r w:rsidRPr="00A01365">
        <w:rPr>
          <w:color w:val="000000"/>
          <w:sz w:val="20"/>
          <w:szCs w:val="20"/>
          <w:vertAlign w:val="superscript"/>
        </w:rPr>
        <w:footnoteRef/>
      </w:r>
      <w:r w:rsidRPr="00A01365">
        <w:rPr>
          <w:color w:val="000000"/>
          <w:sz w:val="20"/>
          <w:szCs w:val="20"/>
        </w:rPr>
        <w:t xml:space="preserve"> </w:t>
      </w:r>
      <w:r w:rsidRPr="0064037E">
        <w:rPr>
          <w:color w:val="000000"/>
          <w:sz w:val="20"/>
          <w:szCs w:val="20"/>
        </w:rPr>
        <w:t>“Por la cual se define el Sistema de Información para la Calidad y se adoptan los indicadores de monitoria del Sistema Obligatorio de Garantía de Calidad de la Atención en Salud”.</w:t>
      </w:r>
    </w:p>
  </w:footnote>
  <w:footnote w:id="24">
    <w:p w:rsidR="00000000" w:rsidRDefault="00DA1726" w:rsidP="005F2465">
      <w:pPr>
        <w:pStyle w:val="Default"/>
        <w:jc w:val="both"/>
      </w:pPr>
      <w:r w:rsidRPr="00A01365">
        <w:rPr>
          <w:rFonts w:ascii="Times New Roman" w:hAnsi="Times New Roman" w:cs="Times New Roman"/>
          <w:sz w:val="20"/>
          <w:szCs w:val="20"/>
          <w:vertAlign w:val="superscript"/>
        </w:rPr>
        <w:footnoteRef/>
      </w:r>
      <w:r w:rsidRPr="00A01365">
        <w:rPr>
          <w:rFonts w:ascii="Times New Roman" w:hAnsi="Times New Roman" w:cs="Times New Roman"/>
          <w:sz w:val="20"/>
          <w:szCs w:val="20"/>
        </w:rPr>
        <w:t xml:space="preserve"> </w:t>
      </w:r>
      <w:r w:rsidRPr="0064037E">
        <w:rPr>
          <w:rFonts w:ascii="Times New Roman" w:hAnsi="Times New Roman" w:cs="Times New Roman"/>
          <w:sz w:val="20"/>
          <w:szCs w:val="20"/>
        </w:rPr>
        <w:t>“Por la cual se establece el reporte relacionado con el registro de las actividades de Protección Específica, Detección Temprana y la aplicación de las Guías de Atención Integral para las enfermedades de interés en salud pública de obligatorio cumplimiento”.</w:t>
      </w:r>
    </w:p>
  </w:footnote>
  <w:footnote w:id="25">
    <w:p w:rsidR="00000000" w:rsidRDefault="00DA1726">
      <w:pPr>
        <w:pStyle w:val="Textonotapie"/>
      </w:pPr>
      <w:r w:rsidRPr="0064037E">
        <w:rPr>
          <w:sz w:val="20"/>
          <w:szCs w:val="20"/>
          <w:vertAlign w:val="superscript"/>
        </w:rPr>
        <w:footnoteRef/>
      </w:r>
      <w:r w:rsidRPr="0064037E">
        <w:rPr>
          <w:sz w:val="20"/>
          <w:szCs w:val="20"/>
        </w:rPr>
        <w:t xml:space="preserve"> </w:t>
      </w:r>
      <w:r w:rsidRPr="0064037E">
        <w:rPr>
          <w:i/>
          <w:sz w:val="20"/>
          <w:szCs w:val="20"/>
        </w:rPr>
        <w:t xml:space="preserve">Cfr. </w:t>
      </w:r>
      <w:r w:rsidRPr="0064037E">
        <w:rPr>
          <w:sz w:val="20"/>
          <w:szCs w:val="20"/>
        </w:rPr>
        <w:t>AZ Orden XX-E, folios 1838 a 1952.</w:t>
      </w:r>
    </w:p>
  </w:footnote>
  <w:footnote w:id="26">
    <w:p w:rsidR="00000000" w:rsidRDefault="00DA1726" w:rsidP="0062135A">
      <w:pPr>
        <w:pStyle w:val="Textonotapie"/>
        <w:jc w:val="both"/>
      </w:pPr>
      <w:r w:rsidRPr="00A01365">
        <w:rPr>
          <w:sz w:val="20"/>
          <w:szCs w:val="20"/>
          <w:vertAlign w:val="superscript"/>
        </w:rPr>
        <w:footnoteRef/>
      </w:r>
      <w:r w:rsidRPr="00A01365">
        <w:rPr>
          <w:sz w:val="20"/>
          <w:szCs w:val="20"/>
        </w:rPr>
        <w:t xml:space="preserve"> </w:t>
      </w:r>
      <w:r>
        <w:rPr>
          <w:i/>
          <w:sz w:val="20"/>
          <w:szCs w:val="20"/>
        </w:rPr>
        <w:t xml:space="preserve">Cfr. </w:t>
      </w:r>
      <w:r>
        <w:rPr>
          <w:color w:val="000000"/>
          <w:sz w:val="20"/>
          <w:szCs w:val="20"/>
        </w:rPr>
        <w:t xml:space="preserve">AZ </w:t>
      </w:r>
      <w:r w:rsidRPr="00A01365">
        <w:rPr>
          <w:color w:val="000000"/>
          <w:sz w:val="20"/>
          <w:szCs w:val="20"/>
        </w:rPr>
        <w:t>Orden XX-F, folio</w:t>
      </w:r>
      <w:r>
        <w:rPr>
          <w:color w:val="000000"/>
          <w:sz w:val="20"/>
          <w:szCs w:val="20"/>
        </w:rPr>
        <w:t>s</w:t>
      </w:r>
      <w:r w:rsidRPr="00A01365">
        <w:rPr>
          <w:color w:val="000000"/>
          <w:sz w:val="20"/>
          <w:szCs w:val="20"/>
        </w:rPr>
        <w:t xml:space="preserve"> 2454 a 2508.</w:t>
      </w:r>
    </w:p>
  </w:footnote>
  <w:footnote w:id="27">
    <w:p w:rsidR="00000000" w:rsidRDefault="00DA1726" w:rsidP="00952F1A">
      <w:pPr>
        <w:pStyle w:val="Textonotapie"/>
        <w:jc w:val="both"/>
      </w:pPr>
      <w:r w:rsidRPr="00D7751B">
        <w:rPr>
          <w:sz w:val="20"/>
          <w:szCs w:val="20"/>
          <w:vertAlign w:val="superscript"/>
        </w:rPr>
        <w:footnoteRef/>
      </w:r>
      <w:r w:rsidRPr="00D7751B">
        <w:rPr>
          <w:sz w:val="20"/>
          <w:szCs w:val="20"/>
        </w:rPr>
        <w:t xml:space="preserve"> Este término es usado para las ordenaciones de tipo numérico, de acuerdo a una calificación específica.</w:t>
      </w:r>
    </w:p>
  </w:footnote>
  <w:footnote w:id="28">
    <w:p w:rsidR="00000000" w:rsidRDefault="00DA1726" w:rsidP="00B75C0C">
      <w:pPr>
        <w:pStyle w:val="Textonotapie"/>
        <w:jc w:val="both"/>
      </w:pPr>
      <w:r w:rsidRPr="00D7751B">
        <w:rPr>
          <w:sz w:val="20"/>
          <w:szCs w:val="20"/>
          <w:vertAlign w:val="superscript"/>
        </w:rPr>
        <w:footnoteRef/>
      </w:r>
      <w:r w:rsidRPr="00D7751B">
        <w:rPr>
          <w:sz w:val="20"/>
          <w:szCs w:val="20"/>
        </w:rPr>
        <w:t xml:space="preserve"> En esta providencia, que decretó medidas preventivas para la elaboración del </w:t>
      </w:r>
      <w:r w:rsidRPr="00D7751B">
        <w:rPr>
          <w:i/>
          <w:sz w:val="20"/>
          <w:szCs w:val="20"/>
        </w:rPr>
        <w:t>ranking</w:t>
      </w:r>
      <w:r w:rsidRPr="00D7751B">
        <w:rPr>
          <w:sz w:val="20"/>
          <w:szCs w:val="20"/>
        </w:rPr>
        <w:t xml:space="preserve"> 2014 se ordenó que </w:t>
      </w:r>
      <w:r w:rsidRPr="00D7751B">
        <w:rPr>
          <w:rStyle w:val="b"/>
          <w:color w:val="000000"/>
          <w:spacing w:val="-3"/>
          <w:sz w:val="20"/>
          <w:szCs w:val="20"/>
        </w:rPr>
        <w:t xml:space="preserve">la Defensoría del Pueblo presentara al Ministerio de Salud y Protección Social y a la Superintendencia Nacional de Salud las recomendaciones que considera pertinentes durante el proceso de elaboración del </w:t>
      </w:r>
      <w:r w:rsidRPr="00D7751B">
        <w:rPr>
          <w:rStyle w:val="b"/>
          <w:i/>
          <w:color w:val="000000"/>
          <w:spacing w:val="-3"/>
          <w:sz w:val="20"/>
          <w:szCs w:val="20"/>
        </w:rPr>
        <w:t>ranking</w:t>
      </w:r>
      <w:r w:rsidRPr="00D7751B">
        <w:rPr>
          <w:rStyle w:val="b"/>
          <w:color w:val="000000"/>
          <w:spacing w:val="-3"/>
          <w:sz w:val="20"/>
          <w:szCs w:val="20"/>
        </w:rPr>
        <w:t xml:space="preserve"> 2014, debiendo informar el resultado de su gestión el dos (2) de mayo de dicho año.</w:t>
      </w:r>
    </w:p>
  </w:footnote>
  <w:footnote w:id="29">
    <w:p w:rsidR="00000000" w:rsidRDefault="00DA1726" w:rsidP="00B75C0C">
      <w:pPr>
        <w:pStyle w:val="Textonotapie"/>
      </w:pPr>
      <w:r w:rsidRPr="00D7751B">
        <w:rPr>
          <w:sz w:val="20"/>
          <w:szCs w:val="20"/>
          <w:vertAlign w:val="superscript"/>
        </w:rPr>
        <w:footnoteRef/>
      </w:r>
      <w:r w:rsidRPr="00D7751B">
        <w:rPr>
          <w:sz w:val="20"/>
          <w:szCs w:val="20"/>
        </w:rPr>
        <w:t xml:space="preserve"> </w:t>
      </w:r>
      <w:r w:rsidRPr="00D7751B">
        <w:rPr>
          <w:i/>
          <w:color w:val="000000"/>
          <w:sz w:val="20"/>
          <w:szCs w:val="20"/>
        </w:rPr>
        <w:t>Cfr</w:t>
      </w:r>
      <w:r>
        <w:rPr>
          <w:color w:val="000000"/>
          <w:sz w:val="20"/>
          <w:szCs w:val="20"/>
        </w:rPr>
        <w:t xml:space="preserve">. AZ </w:t>
      </w:r>
      <w:r w:rsidRPr="00D7751B">
        <w:rPr>
          <w:color w:val="000000"/>
          <w:sz w:val="20"/>
          <w:szCs w:val="20"/>
        </w:rPr>
        <w:t>Orden XXII-E, folio 1967.</w:t>
      </w:r>
    </w:p>
  </w:footnote>
  <w:footnote w:id="30">
    <w:p w:rsidR="00000000" w:rsidRDefault="00DA1726" w:rsidP="00A01365">
      <w:pPr>
        <w:pStyle w:val="Textonotapie"/>
        <w:jc w:val="both"/>
      </w:pPr>
      <w:r w:rsidRPr="00A01365">
        <w:rPr>
          <w:color w:val="000000"/>
          <w:sz w:val="20"/>
          <w:szCs w:val="20"/>
          <w:vertAlign w:val="superscript"/>
        </w:rPr>
        <w:footnoteRef/>
      </w:r>
      <w:r w:rsidRPr="00A01365">
        <w:rPr>
          <w:color w:val="000000"/>
          <w:sz w:val="20"/>
          <w:szCs w:val="20"/>
        </w:rPr>
        <w:t xml:space="preserve"> </w:t>
      </w:r>
      <w:r w:rsidRPr="00A01365">
        <w:rPr>
          <w:i/>
          <w:color w:val="000000"/>
          <w:sz w:val="20"/>
          <w:szCs w:val="20"/>
        </w:rPr>
        <w:t>Cfr</w:t>
      </w:r>
      <w:r>
        <w:rPr>
          <w:color w:val="000000"/>
          <w:sz w:val="20"/>
          <w:szCs w:val="20"/>
        </w:rPr>
        <w:t xml:space="preserve">. AZ </w:t>
      </w:r>
      <w:r w:rsidRPr="00A01365">
        <w:rPr>
          <w:color w:val="000000"/>
          <w:sz w:val="20"/>
          <w:szCs w:val="20"/>
        </w:rPr>
        <w:t>Orden XXII-E, folio</w:t>
      </w:r>
      <w:r>
        <w:rPr>
          <w:color w:val="000000"/>
          <w:sz w:val="20"/>
          <w:szCs w:val="20"/>
        </w:rPr>
        <w:t>s</w:t>
      </w:r>
      <w:r w:rsidRPr="00A01365">
        <w:rPr>
          <w:color w:val="000000"/>
          <w:sz w:val="20"/>
          <w:szCs w:val="20"/>
        </w:rPr>
        <w:t xml:space="preserve"> </w:t>
      </w:r>
      <w:smartTag w:uri="urn:schemas-microsoft-com:office:smarttags" w:element="metricconverter">
        <w:smartTagPr>
          <w:attr w:name="ProductID" w:val="1808 a"/>
        </w:smartTagPr>
        <w:r w:rsidRPr="00A01365">
          <w:rPr>
            <w:color w:val="000000"/>
            <w:sz w:val="20"/>
            <w:szCs w:val="20"/>
          </w:rPr>
          <w:t>1808 a</w:t>
        </w:r>
      </w:smartTag>
      <w:r w:rsidRPr="00A01365">
        <w:rPr>
          <w:color w:val="000000"/>
          <w:sz w:val="20"/>
          <w:szCs w:val="20"/>
        </w:rPr>
        <w:t xml:space="preserve"> 1921.</w:t>
      </w:r>
    </w:p>
  </w:footnote>
  <w:footnote w:id="31">
    <w:p w:rsidR="00000000" w:rsidRDefault="00DA1726" w:rsidP="00FC19DD">
      <w:pPr>
        <w:pStyle w:val="Textonotapie"/>
        <w:jc w:val="both"/>
      </w:pPr>
      <w:r w:rsidRPr="00FC19DD">
        <w:rPr>
          <w:sz w:val="20"/>
          <w:szCs w:val="20"/>
          <w:vertAlign w:val="superscript"/>
        </w:rPr>
        <w:footnoteRef/>
      </w:r>
      <w:r w:rsidRPr="00FC19DD">
        <w:rPr>
          <w:sz w:val="20"/>
          <w:szCs w:val="20"/>
        </w:rPr>
        <w:t xml:space="preserve"> R</w:t>
      </w:r>
      <w:r w:rsidRPr="00FC19DD">
        <w:rPr>
          <w:sz w:val="20"/>
          <w:szCs w:val="20"/>
          <w:lang w:val="es-ES_tradnl"/>
        </w:rPr>
        <w:t>emitido a la Corte Constitucional el 20 de diciembre de 2012 y posterior actualización del mismo el 29 de abril de 2013.</w:t>
      </w:r>
    </w:p>
  </w:footnote>
  <w:footnote w:id="32">
    <w:p w:rsidR="00000000" w:rsidRDefault="00DA1726" w:rsidP="00A01365">
      <w:pPr>
        <w:pStyle w:val="Textonotapie"/>
        <w:jc w:val="both"/>
      </w:pPr>
      <w:r w:rsidRPr="00A01365">
        <w:rPr>
          <w:sz w:val="20"/>
          <w:szCs w:val="20"/>
          <w:vertAlign w:val="superscript"/>
        </w:rPr>
        <w:footnoteRef/>
      </w:r>
      <w:r w:rsidRPr="00A01365">
        <w:rPr>
          <w:sz w:val="20"/>
          <w:szCs w:val="20"/>
        </w:rPr>
        <w:t xml:space="preserve"> </w:t>
      </w:r>
      <w:r>
        <w:rPr>
          <w:sz w:val="20"/>
          <w:szCs w:val="20"/>
        </w:rPr>
        <w:t xml:space="preserve">Los mencionados criterios específicamente se refieren a: </w:t>
      </w:r>
      <w:r w:rsidRPr="00247EE4">
        <w:rPr>
          <w:sz w:val="20"/>
          <w:szCs w:val="20"/>
        </w:rPr>
        <w:t>10.</w:t>
      </w:r>
      <w:r w:rsidRPr="00A01365">
        <w:rPr>
          <w:sz w:val="20"/>
          <w:szCs w:val="20"/>
        </w:rPr>
        <w:t xml:space="preserve"> Se niegan a autorizar incapacidades laborales derivadas del estado de salud de la persona con el argumento de que en el pasado no se cumplió con la obligación de cancelar los aportes de salud dentro </w:t>
      </w:r>
      <w:r>
        <w:rPr>
          <w:sz w:val="20"/>
          <w:szCs w:val="20"/>
        </w:rPr>
        <w:t>del plazo establecido para ello;</w:t>
      </w:r>
      <w:r w:rsidRPr="00A01365">
        <w:rPr>
          <w:sz w:val="20"/>
          <w:szCs w:val="20"/>
        </w:rPr>
        <w:t xml:space="preserve"> </w:t>
      </w:r>
      <w:r w:rsidRPr="00247EE4">
        <w:rPr>
          <w:sz w:val="20"/>
          <w:szCs w:val="20"/>
        </w:rPr>
        <w:t>12</w:t>
      </w:r>
      <w:r w:rsidRPr="00A01365">
        <w:rPr>
          <w:sz w:val="20"/>
          <w:szCs w:val="20"/>
        </w:rPr>
        <w:t xml:space="preserve"> Interrumpen el suministro de servicios de salud, porque ya transcurrió un mes luego del momento en que la persona dejó de cotizar, en razón a que ahora es desempleado, antes de que éste haya sido en efecto asumido por otro prestador.</w:t>
      </w:r>
    </w:p>
  </w:footnote>
  <w:footnote w:id="33">
    <w:p w:rsidR="00000000" w:rsidRDefault="00DA1726">
      <w:pPr>
        <w:pStyle w:val="Textonotapie"/>
      </w:pPr>
      <w:r w:rsidRPr="002D22FE">
        <w:rPr>
          <w:sz w:val="20"/>
          <w:szCs w:val="20"/>
          <w:vertAlign w:val="superscript"/>
        </w:rPr>
        <w:footnoteRef/>
      </w:r>
      <w:r w:rsidRPr="002D22FE">
        <w:rPr>
          <w:sz w:val="20"/>
          <w:szCs w:val="20"/>
        </w:rPr>
        <w:t xml:space="preserve"> </w:t>
      </w:r>
      <w:r>
        <w:rPr>
          <w:i/>
          <w:sz w:val="20"/>
          <w:szCs w:val="20"/>
        </w:rPr>
        <w:t xml:space="preserve">Cfr. </w:t>
      </w:r>
      <w:r>
        <w:rPr>
          <w:sz w:val="20"/>
          <w:szCs w:val="20"/>
        </w:rPr>
        <w:t xml:space="preserve">AZ </w:t>
      </w:r>
      <w:r w:rsidRPr="002D22FE">
        <w:rPr>
          <w:sz w:val="20"/>
          <w:szCs w:val="20"/>
        </w:rPr>
        <w:t>Orden XX-G</w:t>
      </w:r>
      <w:r>
        <w:rPr>
          <w:sz w:val="20"/>
          <w:szCs w:val="20"/>
        </w:rPr>
        <w:t>,</w:t>
      </w:r>
      <w:r w:rsidRPr="002D22FE">
        <w:rPr>
          <w:sz w:val="20"/>
          <w:szCs w:val="20"/>
        </w:rPr>
        <w:t xml:space="preserve"> folios 2594 a 2723.</w:t>
      </w:r>
    </w:p>
  </w:footnote>
  <w:footnote w:id="34">
    <w:p w:rsidR="00000000" w:rsidRDefault="00DA1726" w:rsidP="00355FB9">
      <w:pPr>
        <w:tabs>
          <w:tab w:val="left" w:pos="284"/>
          <w:tab w:val="left" w:pos="426"/>
          <w:tab w:val="left" w:pos="851"/>
        </w:tabs>
        <w:suppressAutoHyphens/>
        <w:jc w:val="both"/>
      </w:pPr>
      <w:r w:rsidRPr="00355FB9">
        <w:rPr>
          <w:sz w:val="20"/>
          <w:szCs w:val="20"/>
          <w:vertAlign w:val="superscript"/>
        </w:rPr>
        <w:footnoteRef/>
      </w:r>
      <w:r w:rsidRPr="00355FB9">
        <w:rPr>
          <w:sz w:val="20"/>
          <w:szCs w:val="20"/>
        </w:rPr>
        <w:t xml:space="preserve"> </w:t>
      </w:r>
      <w:r>
        <w:rPr>
          <w:sz w:val="20"/>
          <w:szCs w:val="20"/>
        </w:rPr>
        <w:t>Según lo expuesto por el Ministerio de Salud y la Supersalud, d</w:t>
      </w:r>
      <w:r w:rsidRPr="00355FB9">
        <w:rPr>
          <w:color w:val="000000"/>
          <w:spacing w:val="-3"/>
          <w:sz w:val="20"/>
          <w:szCs w:val="20"/>
          <w:lang w:val="es-ES_tradnl"/>
        </w:rPr>
        <w:t xml:space="preserve">icho visor fue </w:t>
      </w:r>
      <w:r>
        <w:rPr>
          <w:color w:val="000000"/>
          <w:spacing w:val="-3"/>
          <w:sz w:val="20"/>
          <w:szCs w:val="20"/>
          <w:lang w:val="es-ES_tradnl"/>
        </w:rPr>
        <w:t>puesto a disposición</w:t>
      </w:r>
      <w:r w:rsidRPr="00355FB9">
        <w:rPr>
          <w:color w:val="000000"/>
          <w:spacing w:val="-3"/>
          <w:sz w:val="20"/>
          <w:szCs w:val="20"/>
          <w:lang w:val="es-ES_tradnl"/>
        </w:rPr>
        <w:t xml:space="preserve"> en la página del Observatorio de Calidad del Ministerio </w:t>
      </w:r>
      <w:r w:rsidRPr="007A1073">
        <w:rPr>
          <w:color w:val="000000"/>
          <w:spacing w:val="-3"/>
          <w:sz w:val="20"/>
          <w:szCs w:val="20"/>
        </w:rPr>
        <w:t>(</w:t>
      </w:r>
      <w:hyperlink r:id="rId2" w:history="1">
        <w:r w:rsidRPr="007A1073">
          <w:rPr>
            <w:rStyle w:val="Hipervnculo"/>
            <w:spacing w:val="-3"/>
            <w:sz w:val="20"/>
            <w:szCs w:val="20"/>
          </w:rPr>
          <w:t>http://calidadensalud.minsalud.gov.co/</w:t>
        </w:r>
      </w:hyperlink>
      <w:r w:rsidRPr="007A1073">
        <w:rPr>
          <w:color w:val="000000"/>
          <w:spacing w:val="-3"/>
          <w:sz w:val="20"/>
          <w:szCs w:val="20"/>
        </w:rPr>
        <w:t>)</w:t>
      </w:r>
      <w:r w:rsidRPr="00355FB9">
        <w:rPr>
          <w:color w:val="000000"/>
          <w:spacing w:val="-3"/>
          <w:sz w:val="20"/>
          <w:szCs w:val="20"/>
          <w:lang w:val="es-ES_tradnl"/>
        </w:rPr>
        <w:t xml:space="preserve"> en la pestaña </w:t>
      </w:r>
      <w:r w:rsidRPr="00094A53">
        <w:rPr>
          <w:i/>
          <w:color w:val="000000"/>
          <w:spacing w:val="-3"/>
          <w:sz w:val="20"/>
          <w:szCs w:val="20"/>
          <w:lang w:val="es-ES_tradnl"/>
        </w:rPr>
        <w:t>“indicadores de calidad - comparación de IPS”.</w:t>
      </w:r>
    </w:p>
  </w:footnote>
  <w:footnote w:id="35">
    <w:p w:rsidR="00DA1726" w:rsidRPr="006202AD" w:rsidRDefault="00DA1726" w:rsidP="004731BD">
      <w:pPr>
        <w:jc w:val="both"/>
        <w:rPr>
          <w:sz w:val="20"/>
          <w:szCs w:val="20"/>
        </w:rPr>
      </w:pPr>
      <w:r w:rsidRPr="006202AD">
        <w:rPr>
          <w:sz w:val="20"/>
          <w:szCs w:val="20"/>
          <w:vertAlign w:val="superscript"/>
        </w:rPr>
        <w:footnoteRef/>
      </w:r>
      <w:r w:rsidRPr="006202AD">
        <w:rPr>
          <w:sz w:val="20"/>
          <w:szCs w:val="20"/>
        </w:rPr>
        <w:t xml:space="preserve"> </w:t>
      </w:r>
      <w:r w:rsidRPr="006202AD">
        <w:rPr>
          <w:bCs/>
          <w:sz w:val="20"/>
          <w:szCs w:val="20"/>
        </w:rPr>
        <w:t>Artículo 111. </w:t>
      </w:r>
      <w:r w:rsidRPr="006202AD">
        <w:rPr>
          <w:bCs/>
          <w:i/>
          <w:iCs/>
          <w:sz w:val="20"/>
          <w:szCs w:val="20"/>
        </w:rPr>
        <w:t>Sistema de evaluación y calificación de direcciones territoriales de salud, Entidades Promotoras de Salud e Instituciones Prestadoras de Salud</w:t>
      </w:r>
      <w:r w:rsidRPr="006202AD">
        <w:rPr>
          <w:i/>
          <w:iCs/>
          <w:sz w:val="20"/>
          <w:szCs w:val="20"/>
        </w:rPr>
        <w:t>. </w:t>
      </w:r>
      <w:r w:rsidRPr="006202AD">
        <w:rPr>
          <w:sz w:val="20"/>
          <w:szCs w:val="20"/>
        </w:rPr>
        <w:t>Como resultado de la aplicación de los indicadores, el Ministerio de la Protección Social desarrollará un sistema de evaluación y calificación de las direcciones territoriales de salud, de Entidades Promotoras de Salud e Instituciones Prestadoras de Salud que permita conocer públicamente a más tardar el primero (1°) de marzo de cada año, como mínimo: número de quejas, gestión de riesgo, programas de prevención y control de enfermedades implementados, resultados en la atención de la enfermedad, prevalencia de enfermedades de interés en salud pública, listas de espera; administración y flujo de recursos.</w:t>
      </w:r>
    </w:p>
    <w:p w:rsidR="00DA1726" w:rsidRPr="006202AD" w:rsidRDefault="00DA1726" w:rsidP="004731BD">
      <w:pPr>
        <w:jc w:val="both"/>
        <w:rPr>
          <w:sz w:val="20"/>
          <w:szCs w:val="20"/>
        </w:rPr>
      </w:pPr>
      <w:r w:rsidRPr="006202AD">
        <w:rPr>
          <w:sz w:val="20"/>
          <w:szCs w:val="20"/>
        </w:rPr>
        <w:t>Deberá también alimentarse de las metas de los planes de desarrollo nacional, y territoriales.</w:t>
      </w:r>
    </w:p>
    <w:p w:rsidR="00DA1726" w:rsidRPr="006202AD" w:rsidRDefault="00DA1726" w:rsidP="004731BD">
      <w:pPr>
        <w:jc w:val="both"/>
        <w:rPr>
          <w:sz w:val="20"/>
          <w:szCs w:val="20"/>
        </w:rPr>
      </w:pPr>
      <w:r w:rsidRPr="006202AD">
        <w:rPr>
          <w:sz w:val="20"/>
          <w:szCs w:val="20"/>
        </w:rPr>
        <w:t>Se definirán igualmente indicadores de calidad en la atención, de calidad técnica y de satisfacción del usuario.</w:t>
      </w:r>
    </w:p>
    <w:p w:rsidR="00000000" w:rsidRDefault="00DA1726" w:rsidP="006202AD">
      <w:pPr>
        <w:jc w:val="both"/>
      </w:pPr>
      <w:r w:rsidRPr="006202AD">
        <w:rPr>
          <w:sz w:val="20"/>
          <w:szCs w:val="20"/>
        </w:rPr>
        <w:t>El incumplimiento de las condiciones mínimas de calidad dará lugar a la descertificación en el proceso de habilitación. En el caso de los entes territoriales se notificará a la SNS para que obre de acuerdo a su competencia.</w:t>
      </w:r>
    </w:p>
  </w:footnote>
  <w:footnote w:id="36">
    <w:p w:rsidR="00000000" w:rsidRDefault="00DA1726" w:rsidP="001C406E">
      <w:pPr>
        <w:jc w:val="both"/>
      </w:pPr>
      <w:r w:rsidRPr="001C406E">
        <w:rPr>
          <w:sz w:val="20"/>
          <w:szCs w:val="20"/>
          <w:vertAlign w:val="superscript"/>
          <w:lang w:val="es-ES_tradnl" w:eastAsia="es-ES_tradnl"/>
        </w:rPr>
        <w:footnoteRef/>
      </w:r>
      <w:r w:rsidRPr="001C406E">
        <w:rPr>
          <w:sz w:val="20"/>
          <w:szCs w:val="20"/>
          <w:lang w:val="es-ES_tradnl" w:eastAsia="es-ES_tradnl"/>
        </w:rPr>
        <w:t xml:space="preserve"> Acararon que los datos presentados en este aparte corresponden al año 2013 toda vez que a la fecha de creación del informe del Sistema de Evaluación de Actores no se encontraba disponible el consolidado del reporte de la Resolución 1446 para el año 2014</w:t>
      </w:r>
      <w:r>
        <w:rPr>
          <w:sz w:val="20"/>
          <w:szCs w:val="20"/>
          <w:lang w:val="es-ES_tradnl" w:eastAsia="es-ES_tradnl"/>
        </w:rPr>
        <w:t xml:space="preserve"> </w:t>
      </w:r>
      <w:r>
        <w:rPr>
          <w:i/>
          <w:sz w:val="20"/>
          <w:szCs w:val="20"/>
          <w:lang w:val="es-ES_tradnl" w:eastAsia="es-ES_tradnl"/>
        </w:rPr>
        <w:t>“</w:t>
      </w:r>
      <w:r w:rsidRPr="00094A53">
        <w:rPr>
          <w:i/>
          <w:sz w:val="20"/>
          <w:szCs w:val="20"/>
          <w:lang w:val="es-ES_tradnl" w:eastAsia="es-ES_tradnl"/>
        </w:rPr>
        <w:t>P</w:t>
      </w:r>
      <w:r w:rsidRPr="00094A53">
        <w:rPr>
          <w:bCs/>
          <w:i/>
          <w:sz w:val="20"/>
          <w:szCs w:val="20"/>
          <w:lang w:eastAsia="es-ES_tradnl"/>
        </w:rPr>
        <w:t>or la cual se define el Sistema de Información para la Calidad y se adoptan los indicadores de monitoría del Sistema Obligatorio de Garantía de Calidad de la Atención en Salud</w:t>
      </w:r>
      <w:r>
        <w:rPr>
          <w:bCs/>
          <w:i/>
          <w:sz w:val="20"/>
          <w:szCs w:val="20"/>
          <w:lang w:eastAsia="es-ES_tradnl"/>
        </w:rPr>
        <w:t>”</w:t>
      </w:r>
      <w:r w:rsidRPr="00094A53">
        <w:rPr>
          <w:i/>
          <w:sz w:val="20"/>
          <w:szCs w:val="20"/>
          <w:lang w:val="es-ES_tradnl" w:eastAsia="es-ES_tradnl"/>
        </w:rPr>
        <w:t>.</w:t>
      </w:r>
    </w:p>
  </w:footnote>
  <w:footnote w:id="37">
    <w:p w:rsidR="00000000" w:rsidRDefault="00DA1726" w:rsidP="009650FE">
      <w:pPr>
        <w:jc w:val="both"/>
      </w:pPr>
      <w:r w:rsidRPr="008A0727">
        <w:rPr>
          <w:sz w:val="20"/>
          <w:szCs w:val="20"/>
          <w:vertAlign w:val="superscript"/>
          <w:lang w:val="es-ES_tradnl" w:eastAsia="es-ES_tradnl"/>
        </w:rPr>
        <w:footnoteRef/>
      </w:r>
      <w:r w:rsidRPr="008A0727">
        <w:rPr>
          <w:sz w:val="20"/>
          <w:szCs w:val="20"/>
          <w:lang w:val="es-ES_tradnl" w:eastAsia="es-ES_tradnl"/>
        </w:rPr>
        <w:t xml:space="preserve"> En el Auto 249 de 2013 se dictaron medidas preventivas para evitar que en el </w:t>
      </w:r>
      <w:r>
        <w:rPr>
          <w:sz w:val="20"/>
          <w:szCs w:val="20"/>
          <w:lang w:val="es-ES_tradnl" w:eastAsia="es-ES_tradnl"/>
        </w:rPr>
        <w:t>r</w:t>
      </w:r>
      <w:r w:rsidRPr="008A0727">
        <w:rPr>
          <w:sz w:val="20"/>
          <w:szCs w:val="20"/>
          <w:lang w:val="es-ES_tradnl" w:eastAsia="es-ES_tradnl"/>
        </w:rPr>
        <w:t>anking 2014 se presentaran las mismas deficiencias que fueron expuestas por los Grupos de Seguimiento y que fueran aceptadas por las autoridades concernidas. Así en el numeral 6</w:t>
      </w:r>
      <w:r>
        <w:rPr>
          <w:sz w:val="20"/>
          <w:szCs w:val="20"/>
          <w:lang w:val="es-ES_tradnl" w:eastAsia="es-ES_tradnl"/>
        </w:rPr>
        <w:t>º</w:t>
      </w:r>
      <w:r w:rsidRPr="008A0727">
        <w:rPr>
          <w:sz w:val="20"/>
          <w:szCs w:val="20"/>
          <w:lang w:val="es-ES_tradnl" w:eastAsia="es-ES_tradnl"/>
        </w:rPr>
        <w:t xml:space="preserve"> de la citada providencia se estableció: </w:t>
      </w:r>
      <w:r w:rsidRPr="009650FE">
        <w:rPr>
          <w:i/>
          <w:sz w:val="20"/>
          <w:szCs w:val="20"/>
          <w:lang w:val="es-ES_tradnl" w:eastAsia="es-ES_tradnl"/>
        </w:rPr>
        <w:t>“En este sentido, el ranking debe ser una clasificación por puestos: primero, segundo, tercero, etc., debiéndose ubicar en el primer lugar, por ejemplo, aquel asegurador o prestador que, a partir de la evaluación ‘sobre las prácticas violatorias del derecho a la salud’ y teniendo como fuente un sistema de información confiable y de calidad, sea el que menos incurra en ellas; mientras que en el último puesto ha de registrarse aquella entidad que más reportes posea. Esta relación por ubicación debe compaginarse con una clasificación porcentual, en la cual el 100% corresponde a aquella entidad que no tiene reportes sobre violaciones al derecho a la salud y el 0% aquella que cuenta con más.”</w:t>
      </w:r>
    </w:p>
  </w:footnote>
  <w:footnote w:id="38">
    <w:p w:rsidR="00000000" w:rsidRDefault="00DA1726">
      <w:pPr>
        <w:pStyle w:val="Textonotapie"/>
      </w:pPr>
      <w:r w:rsidRPr="006202AD">
        <w:rPr>
          <w:sz w:val="20"/>
          <w:szCs w:val="20"/>
          <w:vertAlign w:val="superscript"/>
        </w:rPr>
        <w:footnoteRef/>
      </w:r>
      <w:r w:rsidRPr="006202AD">
        <w:rPr>
          <w:sz w:val="20"/>
          <w:szCs w:val="20"/>
        </w:rPr>
        <w:t xml:space="preserve"> </w:t>
      </w:r>
      <w:r>
        <w:rPr>
          <w:i/>
          <w:sz w:val="20"/>
          <w:szCs w:val="20"/>
        </w:rPr>
        <w:t xml:space="preserve">Cfr. </w:t>
      </w:r>
      <w:r>
        <w:rPr>
          <w:sz w:val="20"/>
          <w:szCs w:val="20"/>
        </w:rPr>
        <w:t xml:space="preserve">AZ </w:t>
      </w:r>
      <w:r w:rsidRPr="006202AD">
        <w:rPr>
          <w:sz w:val="20"/>
          <w:szCs w:val="20"/>
        </w:rPr>
        <w:t>Orden XX-G, folios 2899 a 2945.</w:t>
      </w:r>
    </w:p>
  </w:footnote>
  <w:footnote w:id="39">
    <w:p w:rsidR="00000000" w:rsidRDefault="00DA1726" w:rsidP="008C646D">
      <w:pPr>
        <w:pStyle w:val="Textonotapie"/>
        <w:jc w:val="both"/>
      </w:pPr>
      <w:r w:rsidRPr="000C6CC4">
        <w:rPr>
          <w:sz w:val="20"/>
          <w:szCs w:val="20"/>
          <w:vertAlign w:val="superscript"/>
        </w:rPr>
        <w:footnoteRef/>
      </w:r>
      <w:r w:rsidRPr="000C6CC4">
        <w:rPr>
          <w:sz w:val="20"/>
          <w:szCs w:val="20"/>
        </w:rPr>
        <w:t xml:space="preserve"> </w:t>
      </w:r>
      <w:r w:rsidRPr="000C6CC4">
        <w:rPr>
          <w:rStyle w:val="FontStyle84"/>
          <w:rFonts w:ascii="Times New Roman" w:hAnsi="Times New Roman" w:cs="Times New Roman"/>
          <w:sz w:val="20"/>
          <w:szCs w:val="20"/>
          <w:lang w:val="es-ES_tradnl" w:eastAsia="es-ES_tradnl"/>
        </w:rPr>
        <w:t xml:space="preserve">Por la cual se define el Sistema de Información para la Calidad y se adoptan los indicadores de monitoria del Sistema Obligatorio de Garantía de Calidad de la Atención en Salud. En esta resolución </w:t>
      </w:r>
      <w:r w:rsidRPr="000C6CC4">
        <w:rPr>
          <w:sz w:val="20"/>
          <w:szCs w:val="20"/>
          <w:lang w:val="es-ES_tradnl" w:eastAsia="es-ES_tradnl"/>
        </w:rPr>
        <w:t>se establecieron indicadores de obligatorio reporte por parte de las entidades aseguradoras y de las IPS, con la finalidad de realizar el seguimiento y evaluación de la gestión de la calidad de la atención en salud, brindar información a los usuarios para elegir libremente con base a la calidad de los servicios, de manera que puedan tomar decisiones y ofrecer insumos para la referenciación por calidad.</w:t>
      </w:r>
    </w:p>
  </w:footnote>
  <w:footnote w:id="40">
    <w:p w:rsidR="00000000" w:rsidRDefault="00DA1726" w:rsidP="00B534C8">
      <w:pPr>
        <w:pStyle w:val="Style9"/>
        <w:widowControl/>
        <w:ind w:right="51"/>
      </w:pPr>
      <w:r w:rsidRPr="000C6CC4">
        <w:rPr>
          <w:rFonts w:ascii="Times New Roman" w:hAnsi="Times New Roman"/>
          <w:sz w:val="20"/>
          <w:szCs w:val="20"/>
          <w:vertAlign w:val="superscript"/>
        </w:rPr>
        <w:footnoteRef/>
      </w:r>
      <w:r w:rsidRPr="000C6CC4">
        <w:rPr>
          <w:rFonts w:ascii="Times New Roman" w:hAnsi="Times New Roman"/>
          <w:sz w:val="20"/>
          <w:szCs w:val="20"/>
        </w:rPr>
        <w:t xml:space="preserve"> </w:t>
      </w:r>
      <w:r w:rsidRPr="000C6CC4">
        <w:rPr>
          <w:rFonts w:ascii="Times New Roman" w:hAnsi="Times New Roman"/>
          <w:sz w:val="20"/>
          <w:szCs w:val="20"/>
          <w:lang w:val="es-ES_tradnl"/>
        </w:rPr>
        <w:t>El registro individual de las prestaciones en salud - RIPS-, absorve la información individual de las prestaciones dadas a una persona con el propósito de facilitar la relación entre prestadores y pagadores en materia de información y de soportes de los servicios efectivamente prestados a la población protegida en cualesquiera de los regímenes definidos por la Ley.</w:t>
      </w:r>
    </w:p>
  </w:footnote>
  <w:footnote w:id="41">
    <w:p w:rsidR="00000000" w:rsidRDefault="00DA1726" w:rsidP="00D742F2">
      <w:pPr>
        <w:pStyle w:val="Style9"/>
        <w:ind w:right="51"/>
      </w:pPr>
      <w:r w:rsidRPr="000C6CC4">
        <w:rPr>
          <w:rFonts w:ascii="Times New Roman" w:hAnsi="Times New Roman"/>
          <w:sz w:val="20"/>
          <w:szCs w:val="20"/>
          <w:vertAlign w:val="superscript"/>
        </w:rPr>
        <w:footnoteRef/>
      </w:r>
      <w:r w:rsidRPr="000C6CC4">
        <w:rPr>
          <w:rFonts w:ascii="Times New Roman" w:hAnsi="Times New Roman"/>
          <w:sz w:val="20"/>
          <w:szCs w:val="20"/>
        </w:rPr>
        <w:t xml:space="preserve"> </w:t>
      </w:r>
      <w:r w:rsidRPr="000C6CC4">
        <w:rPr>
          <w:rFonts w:ascii="Times New Roman" w:hAnsi="Times New Roman"/>
          <w:bCs/>
          <w:sz w:val="20"/>
          <w:szCs w:val="20"/>
          <w:lang w:val="es-ES_tradnl"/>
        </w:rPr>
        <w:t>(i)</w:t>
      </w:r>
      <w:r w:rsidRPr="000C6CC4">
        <w:rPr>
          <w:rFonts w:ascii="Times New Roman" w:hAnsi="Times New Roman"/>
          <w:b/>
          <w:bCs/>
          <w:sz w:val="20"/>
          <w:szCs w:val="20"/>
          <w:lang w:val="es-ES_tradnl"/>
        </w:rPr>
        <w:t xml:space="preserve"> Claro: </w:t>
      </w:r>
      <w:r w:rsidRPr="000C6CC4">
        <w:rPr>
          <w:rFonts w:ascii="Times New Roman" w:hAnsi="Times New Roman"/>
          <w:sz w:val="20"/>
          <w:szCs w:val="20"/>
          <w:lang w:val="es-ES_tradnl"/>
        </w:rPr>
        <w:t xml:space="preserve">Son fácilmente identificables tanto su numerador como denominador, cuentan con ficha técnica lo que asegura su comprensión y determina qué, cómo y cuándo se debe seguir. (ii) </w:t>
      </w:r>
      <w:r w:rsidRPr="000C6CC4">
        <w:rPr>
          <w:rFonts w:ascii="Times New Roman" w:hAnsi="Times New Roman"/>
          <w:b/>
          <w:bCs/>
          <w:sz w:val="20"/>
          <w:szCs w:val="20"/>
          <w:lang w:val="es-ES_tradnl"/>
        </w:rPr>
        <w:t xml:space="preserve">Relevante: </w:t>
      </w:r>
      <w:r w:rsidRPr="000C6CC4">
        <w:rPr>
          <w:rFonts w:ascii="Times New Roman" w:hAnsi="Times New Roman"/>
          <w:sz w:val="20"/>
          <w:szCs w:val="20"/>
          <w:lang w:val="es-ES_tradnl"/>
        </w:rPr>
        <w:t xml:space="preserve">Evalúan aspectos de la calidad como oportunidad de la atención, percepción y seguridad clínica, aspectos propios de la gestión de la IPS. (iii) </w:t>
      </w:r>
      <w:r w:rsidRPr="000C6CC4">
        <w:rPr>
          <w:rFonts w:ascii="Times New Roman" w:hAnsi="Times New Roman"/>
          <w:b/>
          <w:bCs/>
          <w:sz w:val="20"/>
          <w:szCs w:val="20"/>
          <w:lang w:val="es-ES_tradnl"/>
        </w:rPr>
        <w:t xml:space="preserve">Económico: </w:t>
      </w:r>
      <w:r w:rsidRPr="000C6CC4">
        <w:rPr>
          <w:rFonts w:ascii="Times New Roman" w:hAnsi="Times New Roman"/>
          <w:sz w:val="20"/>
          <w:szCs w:val="20"/>
          <w:lang w:val="es-ES_tradnl"/>
        </w:rPr>
        <w:t xml:space="preserve">Son de auto reporte, requirió en sus inicios de un desarrollo informático para el cargue de los datos. El procesamiento se realiza de manera manual. (iv) </w:t>
      </w:r>
      <w:r w:rsidRPr="000C6CC4">
        <w:rPr>
          <w:rFonts w:ascii="Times New Roman" w:hAnsi="Times New Roman"/>
          <w:b/>
          <w:bCs/>
          <w:sz w:val="20"/>
          <w:szCs w:val="20"/>
          <w:lang w:val="es-ES_tradnl"/>
        </w:rPr>
        <w:t xml:space="preserve">Monitoreable: </w:t>
      </w:r>
      <w:r w:rsidRPr="000C6CC4">
        <w:rPr>
          <w:rFonts w:ascii="Times New Roman" w:hAnsi="Times New Roman"/>
          <w:sz w:val="20"/>
          <w:szCs w:val="20"/>
          <w:lang w:val="es-ES_tradnl"/>
        </w:rPr>
        <w:t xml:space="preserve">Cuenta con un sistema de información, son periódicos. (v) </w:t>
      </w:r>
      <w:r w:rsidRPr="000C6CC4">
        <w:rPr>
          <w:rFonts w:ascii="Times New Roman" w:hAnsi="Times New Roman"/>
          <w:b/>
          <w:bCs/>
          <w:sz w:val="20"/>
          <w:szCs w:val="20"/>
          <w:lang w:val="es-ES_tradnl"/>
        </w:rPr>
        <w:t xml:space="preserve">Adecuado: </w:t>
      </w:r>
      <w:r w:rsidRPr="000C6CC4">
        <w:rPr>
          <w:rFonts w:ascii="Times New Roman" w:hAnsi="Times New Roman"/>
          <w:sz w:val="20"/>
          <w:szCs w:val="20"/>
          <w:lang w:val="es-ES_tradnl"/>
        </w:rPr>
        <w:t>Ofrece una base suficiente para estimar el desempeño.</w:t>
      </w:r>
    </w:p>
  </w:footnote>
  <w:footnote w:id="42">
    <w:p w:rsidR="00000000" w:rsidRDefault="00DA1726" w:rsidP="00D742F2">
      <w:pPr>
        <w:pStyle w:val="Textonotapie"/>
        <w:jc w:val="both"/>
      </w:pPr>
      <w:r w:rsidRPr="000C6CC4">
        <w:rPr>
          <w:sz w:val="20"/>
          <w:szCs w:val="20"/>
          <w:vertAlign w:val="superscript"/>
        </w:rPr>
        <w:footnoteRef/>
      </w:r>
      <w:r w:rsidRPr="000C6CC4">
        <w:rPr>
          <w:sz w:val="20"/>
          <w:szCs w:val="20"/>
        </w:rPr>
        <w:t xml:space="preserve"> </w:t>
      </w:r>
      <w:r w:rsidRPr="000C6CC4">
        <w:rPr>
          <w:sz w:val="20"/>
          <w:szCs w:val="20"/>
          <w:lang w:val="es-ES_tradnl"/>
        </w:rPr>
        <w:t>Esta herramienta está dispuesta en la página del Observatorio de Calidad del Ministerio</w:t>
      </w:r>
      <w:r w:rsidRPr="000C6CC4">
        <w:rPr>
          <w:sz w:val="20"/>
          <w:szCs w:val="20"/>
        </w:rPr>
        <w:t xml:space="preserve"> (</w:t>
      </w:r>
      <w:hyperlink r:id="rId3" w:history="1">
        <w:r w:rsidRPr="000C6CC4">
          <w:rPr>
            <w:rStyle w:val="Hipervnculo"/>
            <w:sz w:val="20"/>
            <w:szCs w:val="20"/>
          </w:rPr>
          <w:t>http://calidadensalud.minsalud.gov.co/</w:t>
        </w:r>
      </w:hyperlink>
      <w:r w:rsidRPr="000C6CC4">
        <w:rPr>
          <w:sz w:val="20"/>
          <w:szCs w:val="20"/>
        </w:rPr>
        <w:t xml:space="preserve">) </w:t>
      </w:r>
      <w:r w:rsidRPr="000C6CC4">
        <w:rPr>
          <w:sz w:val="20"/>
          <w:szCs w:val="20"/>
          <w:lang w:val="es-ES_tradnl"/>
        </w:rPr>
        <w:t xml:space="preserve">en la pestaña </w:t>
      </w:r>
      <w:r w:rsidRPr="000C6CC4">
        <w:rPr>
          <w:i/>
          <w:sz w:val="20"/>
          <w:szCs w:val="20"/>
          <w:lang w:val="es-ES_tradnl"/>
        </w:rPr>
        <w:t>“indicadores de calidad - comparación de IPS”</w:t>
      </w:r>
      <w:r w:rsidRPr="000C6CC4">
        <w:rPr>
          <w:sz w:val="20"/>
          <w:szCs w:val="20"/>
          <w:lang w:val="es-ES_tradnl"/>
        </w:rPr>
        <w:t>.</w:t>
      </w:r>
    </w:p>
  </w:footnote>
  <w:footnote w:id="43">
    <w:p w:rsidR="00000000" w:rsidRDefault="00DA1726">
      <w:pPr>
        <w:pStyle w:val="Textonotapie"/>
      </w:pPr>
      <w:r w:rsidRPr="007E67AA">
        <w:rPr>
          <w:sz w:val="20"/>
          <w:szCs w:val="20"/>
          <w:vertAlign w:val="superscript"/>
        </w:rPr>
        <w:footnoteRef/>
      </w:r>
      <w:r w:rsidRPr="007E67AA">
        <w:rPr>
          <w:sz w:val="20"/>
          <w:szCs w:val="20"/>
        </w:rPr>
        <w:t xml:space="preserve"> </w:t>
      </w:r>
      <w:r>
        <w:rPr>
          <w:i/>
          <w:sz w:val="20"/>
          <w:szCs w:val="20"/>
        </w:rPr>
        <w:t xml:space="preserve">Cfr. </w:t>
      </w:r>
      <w:r>
        <w:rPr>
          <w:sz w:val="20"/>
          <w:szCs w:val="20"/>
        </w:rPr>
        <w:t xml:space="preserve">AZ </w:t>
      </w:r>
      <w:r w:rsidRPr="007E67AA">
        <w:rPr>
          <w:sz w:val="20"/>
          <w:szCs w:val="20"/>
        </w:rPr>
        <w:t>Orden XX-G, folios 2946 a 2957.</w:t>
      </w:r>
    </w:p>
  </w:footnote>
  <w:footnote w:id="44">
    <w:p w:rsidR="00000000" w:rsidRDefault="00DA1726" w:rsidP="00F26C6D">
      <w:pPr>
        <w:pStyle w:val="Textonotapie"/>
        <w:jc w:val="both"/>
      </w:pPr>
      <w:r w:rsidRPr="00F26C6D">
        <w:rPr>
          <w:sz w:val="20"/>
          <w:szCs w:val="20"/>
          <w:vertAlign w:val="superscript"/>
        </w:rPr>
        <w:footnoteRef/>
      </w:r>
      <w:r w:rsidRPr="00F26C6D">
        <w:rPr>
          <w:sz w:val="20"/>
          <w:szCs w:val="20"/>
        </w:rPr>
        <w:t xml:space="preserve"> </w:t>
      </w:r>
      <w:r w:rsidRPr="00F26C6D">
        <w:rPr>
          <w:sz w:val="20"/>
          <w:szCs w:val="20"/>
          <w:lang w:val="es-ES"/>
        </w:rPr>
        <w:t>A manera de ejemplo expuso: (i) Responsabilidad del Estado. Como garante del acceso a los servicios de salud debe proveer aquellos servicios complementarios como transporte, viáticos, pañales entre otros; (ii) Responsabilidad del prestador (IPS). Deben responder por oportunidad cuando ya ha sido autorizado el servicio por parte de la EPS o incluso en aquellos casos en los cuales se han eliminado el requisito de autorizaciones previas; y (iii) Responsabilidad del CTC. La responsabilidad de autorizar servicios NO POS, es competencia es exclusiva del CTC quien obra con plena autonomía frente a la EPS para la toma de decisiones.</w:t>
      </w:r>
    </w:p>
  </w:footnote>
  <w:footnote w:id="45">
    <w:p w:rsidR="00000000" w:rsidRDefault="00DA1726">
      <w:pPr>
        <w:pStyle w:val="Textonotapie"/>
      </w:pPr>
      <w:r w:rsidRPr="007E67AA">
        <w:rPr>
          <w:sz w:val="20"/>
          <w:szCs w:val="20"/>
          <w:vertAlign w:val="superscript"/>
        </w:rPr>
        <w:footnoteRef/>
      </w:r>
      <w:r w:rsidRPr="007E67AA">
        <w:rPr>
          <w:sz w:val="20"/>
          <w:szCs w:val="20"/>
        </w:rPr>
        <w:t xml:space="preserve"> </w:t>
      </w:r>
      <w:r>
        <w:rPr>
          <w:i/>
          <w:sz w:val="20"/>
          <w:szCs w:val="20"/>
        </w:rPr>
        <w:t xml:space="preserve">Cfr. </w:t>
      </w:r>
      <w:r>
        <w:rPr>
          <w:sz w:val="20"/>
          <w:szCs w:val="20"/>
        </w:rPr>
        <w:t xml:space="preserve">AZ </w:t>
      </w:r>
      <w:r w:rsidRPr="007E67AA">
        <w:rPr>
          <w:sz w:val="20"/>
          <w:szCs w:val="20"/>
        </w:rPr>
        <w:t>Orden XX-G, folios 2958 a 2969.</w:t>
      </w:r>
    </w:p>
  </w:footnote>
  <w:footnote w:id="46">
    <w:p w:rsidR="00000000" w:rsidRDefault="00DA1726">
      <w:pPr>
        <w:pStyle w:val="Textonotapie"/>
      </w:pPr>
      <w:r w:rsidRPr="007E67AA">
        <w:rPr>
          <w:sz w:val="20"/>
          <w:szCs w:val="20"/>
          <w:vertAlign w:val="superscript"/>
        </w:rPr>
        <w:footnoteRef/>
      </w:r>
      <w:r>
        <w:rPr>
          <w:sz w:val="20"/>
          <w:szCs w:val="20"/>
        </w:rPr>
        <w:t xml:space="preserve"> </w:t>
      </w:r>
      <w:r>
        <w:rPr>
          <w:i/>
          <w:sz w:val="20"/>
          <w:szCs w:val="20"/>
        </w:rPr>
        <w:t xml:space="preserve">Cfr. </w:t>
      </w:r>
      <w:r>
        <w:rPr>
          <w:sz w:val="20"/>
          <w:szCs w:val="20"/>
        </w:rPr>
        <w:t xml:space="preserve">AZ </w:t>
      </w:r>
      <w:r w:rsidRPr="007E67AA">
        <w:rPr>
          <w:sz w:val="20"/>
          <w:szCs w:val="20"/>
        </w:rPr>
        <w:t>Orden XX-G, folios 2970 a 2972.</w:t>
      </w:r>
    </w:p>
  </w:footnote>
  <w:footnote w:id="47">
    <w:p w:rsidR="00000000" w:rsidRDefault="00DA1726">
      <w:pPr>
        <w:pStyle w:val="Textonotapie"/>
      </w:pPr>
      <w:r w:rsidRPr="007E67AA">
        <w:rPr>
          <w:sz w:val="20"/>
          <w:szCs w:val="20"/>
          <w:vertAlign w:val="superscript"/>
        </w:rPr>
        <w:footnoteRef/>
      </w:r>
      <w:r>
        <w:rPr>
          <w:sz w:val="20"/>
          <w:szCs w:val="20"/>
        </w:rPr>
        <w:t xml:space="preserve"> </w:t>
      </w:r>
      <w:r>
        <w:rPr>
          <w:i/>
          <w:sz w:val="20"/>
          <w:szCs w:val="20"/>
        </w:rPr>
        <w:t xml:space="preserve">Cfr. </w:t>
      </w:r>
      <w:r>
        <w:rPr>
          <w:sz w:val="20"/>
          <w:szCs w:val="20"/>
        </w:rPr>
        <w:t xml:space="preserve">AZ </w:t>
      </w:r>
      <w:r w:rsidRPr="007E67AA">
        <w:rPr>
          <w:sz w:val="20"/>
          <w:szCs w:val="20"/>
        </w:rPr>
        <w:t>Orden XX-G, folios 2973 a 2996.</w:t>
      </w:r>
    </w:p>
  </w:footnote>
  <w:footnote w:id="48">
    <w:p w:rsidR="00000000" w:rsidRDefault="00DA1726" w:rsidP="00CC159D">
      <w:pPr>
        <w:pStyle w:val="Textonotapie"/>
        <w:jc w:val="both"/>
      </w:pPr>
      <w:r w:rsidRPr="00DB6618">
        <w:rPr>
          <w:sz w:val="20"/>
          <w:szCs w:val="20"/>
          <w:vertAlign w:val="superscript"/>
        </w:rPr>
        <w:footnoteRef/>
      </w:r>
      <w:r w:rsidRPr="00DB6618">
        <w:rPr>
          <w:sz w:val="20"/>
          <w:szCs w:val="20"/>
        </w:rPr>
        <w:t xml:space="preserve"> </w:t>
      </w:r>
      <w:r w:rsidRPr="00DB6618">
        <w:rPr>
          <w:sz w:val="20"/>
          <w:szCs w:val="20"/>
          <w:lang w:val="es-ES_tradnl"/>
        </w:rPr>
        <w:t xml:space="preserve">Ley 1751 de 2015, artículo 14: </w:t>
      </w:r>
      <w:r w:rsidRPr="00DB6618">
        <w:rPr>
          <w:i/>
          <w:sz w:val="20"/>
          <w:szCs w:val="20"/>
          <w:lang w:val="es-ES_tradnl"/>
        </w:rPr>
        <w:t>“Para acceder a servicios y tecnologías de salud no se requerirá ningún tipo de autorización administrativa entre el prestador de servicios y la entidad que cumpla la función de gestión de servicios de salud cuando se trate de atención inicial de urgencia y en aquellas circunstancias que determine el Ministerio</w:t>
      </w:r>
      <w:r>
        <w:rPr>
          <w:i/>
          <w:sz w:val="20"/>
          <w:szCs w:val="20"/>
          <w:lang w:val="es-ES_tradnl"/>
        </w:rPr>
        <w:t xml:space="preserve"> de Salud y Protección Social</w:t>
      </w:r>
      <w:r w:rsidRPr="00DB6618">
        <w:rPr>
          <w:i/>
          <w:sz w:val="20"/>
          <w:szCs w:val="20"/>
          <w:lang w:val="es-ES_tradnl"/>
        </w:rPr>
        <w:t>”</w:t>
      </w:r>
      <w:r>
        <w:rPr>
          <w:i/>
          <w:sz w:val="20"/>
          <w:szCs w:val="20"/>
          <w:lang w:val="es-ES_tradnl"/>
        </w:rPr>
        <w:t>.</w:t>
      </w:r>
    </w:p>
  </w:footnote>
  <w:footnote w:id="49">
    <w:p w:rsidR="00000000" w:rsidRDefault="00DA1726" w:rsidP="001D64B2">
      <w:pPr>
        <w:pStyle w:val="Style9"/>
        <w:ind w:right="51"/>
      </w:pPr>
      <w:r w:rsidRPr="001D64B2">
        <w:rPr>
          <w:rFonts w:ascii="Times New Roman" w:hAnsi="Times New Roman"/>
          <w:sz w:val="20"/>
          <w:szCs w:val="20"/>
          <w:vertAlign w:val="superscript"/>
        </w:rPr>
        <w:footnoteRef/>
      </w:r>
      <w:r w:rsidRPr="001D64B2">
        <w:rPr>
          <w:rFonts w:ascii="Times New Roman" w:hAnsi="Times New Roman"/>
          <w:sz w:val="20"/>
          <w:szCs w:val="20"/>
        </w:rPr>
        <w:t xml:space="preserve"> </w:t>
      </w:r>
      <w:r w:rsidRPr="001D64B2">
        <w:rPr>
          <w:rFonts w:ascii="Times New Roman" w:hAnsi="Times New Roman"/>
          <w:sz w:val="20"/>
          <w:szCs w:val="20"/>
          <w:lang w:val="es-ES_tradnl"/>
        </w:rPr>
        <w:t>Este decreto en su artículo 1º determina que sus disposiciones se aplican a los Prestadores de Servicios de Salud (IPS), las Entidades Promotoras de Salud (EPS), las Administradoras del Régimen Subsidiado (ARS), las Entidades Adaptadas, las Empresas de Medicina Prepagada y a las Entidades Departamentales, Distritales y Municipales de Salud. A su vez, El artículo 3º de la mencionada disposición establece que p</w:t>
      </w:r>
      <w:r w:rsidRPr="001D64B2">
        <w:rPr>
          <w:rStyle w:val="FontStyle26"/>
          <w:sz w:val="20"/>
          <w:szCs w:val="20"/>
          <w:lang w:val="es-ES_tradnl" w:eastAsia="es-ES_tradnl"/>
        </w:rPr>
        <w:t>ara efectos de evaluar y mejorar la Calidad de la Atención de Salud, el Sistema Obligatorio de Garantía de Calidad de Atención en Salud del Sistema General de Seguridad Social en Salud -SOGCS deberá cumplir con las siguientes características: 1. Accesibilidad: es la posibilidad que tiene el usuario de utilizar los servicios de salud que le garantiza el Sistema General de Seguridad Social en Salud; 2. Oportunidad: es la posibilidad que tiene el usuario de obtener los servicios que requiere, sin que se presenten retrasos que pongan en riesgo su vida o su salud. Esta característica se relaciona con la organización de la oferta de servicios en relación con la demanda y con el nivel de coordinación institucional para gestionar el acceso a los servicios; 3. Seguridad: es el conjunto de elementos estructurales, procesos, instrumentos y metodologías basadas en evidencias científicamente probadas que propenden por minimizar el riesgo de sufrir un evento adverso en el proceso de atención de salud o de mitigar sus consecuencias; 4. Pertinencia: es el grado en el cual los usuarios obtienen los servicios que requieren, con la mejor utilización de los recursos de acuerdo con la evidencia científica y sus efectos secundarios son menores que los beneficios potenciales; 5. Continuidad: Es el grado en el cual los usuarios reciben las intervenciones requeridas, mediante una secuencia lógica y racional de actividades, basada en el conocimiento científico.</w:t>
      </w:r>
    </w:p>
  </w:footnote>
  <w:footnote w:id="50">
    <w:p w:rsidR="00000000" w:rsidRDefault="00DA1726">
      <w:pPr>
        <w:pStyle w:val="Textonotapie"/>
      </w:pPr>
      <w:r w:rsidRPr="007E67AA">
        <w:rPr>
          <w:sz w:val="20"/>
          <w:szCs w:val="20"/>
          <w:vertAlign w:val="superscript"/>
        </w:rPr>
        <w:footnoteRef/>
      </w:r>
      <w:r>
        <w:rPr>
          <w:sz w:val="20"/>
          <w:szCs w:val="20"/>
        </w:rPr>
        <w:t xml:space="preserve"> </w:t>
      </w:r>
      <w:r>
        <w:rPr>
          <w:i/>
          <w:sz w:val="20"/>
          <w:szCs w:val="20"/>
        </w:rPr>
        <w:t xml:space="preserve">Cfr. </w:t>
      </w:r>
      <w:r>
        <w:rPr>
          <w:sz w:val="20"/>
          <w:szCs w:val="20"/>
        </w:rPr>
        <w:t xml:space="preserve">AZ </w:t>
      </w:r>
      <w:r w:rsidRPr="007E67AA">
        <w:rPr>
          <w:sz w:val="20"/>
          <w:szCs w:val="20"/>
        </w:rPr>
        <w:t>Orden XX-G, folios 2997 a 3007.</w:t>
      </w:r>
    </w:p>
  </w:footnote>
  <w:footnote w:id="51">
    <w:p w:rsidR="00000000" w:rsidRDefault="00DA1726" w:rsidP="00EE02E9">
      <w:pPr>
        <w:pStyle w:val="Textonotapie"/>
        <w:jc w:val="both"/>
      </w:pPr>
      <w:r w:rsidRPr="00EE02E9">
        <w:rPr>
          <w:sz w:val="20"/>
          <w:szCs w:val="20"/>
          <w:vertAlign w:val="superscript"/>
        </w:rPr>
        <w:footnoteRef/>
      </w:r>
      <w:r w:rsidRPr="00EE02E9">
        <w:rPr>
          <w:sz w:val="20"/>
          <w:szCs w:val="20"/>
        </w:rPr>
        <w:t xml:space="preserve"> Este criterio específicamente señala: </w:t>
      </w:r>
      <w:r w:rsidRPr="00EE02E9">
        <w:rPr>
          <w:i/>
          <w:sz w:val="20"/>
          <w:szCs w:val="20"/>
        </w:rPr>
        <w:t>“</w:t>
      </w:r>
      <w:r w:rsidRPr="00EE02E9">
        <w:rPr>
          <w:b/>
          <w:i/>
          <w:sz w:val="20"/>
          <w:szCs w:val="20"/>
          <w:lang w:val="es-ES_tradnl"/>
        </w:rPr>
        <w:t xml:space="preserve">Primero. </w:t>
      </w:r>
      <w:r w:rsidRPr="00EE02E9">
        <w:rPr>
          <w:i/>
          <w:sz w:val="20"/>
          <w:szCs w:val="20"/>
          <w:lang w:val="es-ES_tradnl"/>
        </w:rPr>
        <w:t>Se niegan a autorizar oportunamente servicios de salud incluidos en el POS”.</w:t>
      </w:r>
    </w:p>
  </w:footnote>
  <w:footnote w:id="52">
    <w:p w:rsidR="00000000" w:rsidRDefault="00DA1726" w:rsidP="00EE02E9">
      <w:pPr>
        <w:pStyle w:val="Style3"/>
        <w:widowControl/>
        <w:spacing w:line="240" w:lineRule="auto"/>
        <w:ind w:right="34"/>
      </w:pPr>
      <w:r w:rsidRPr="00EE02E9">
        <w:rPr>
          <w:sz w:val="20"/>
          <w:szCs w:val="20"/>
          <w:vertAlign w:val="superscript"/>
        </w:rPr>
        <w:footnoteRef/>
      </w:r>
      <w:r w:rsidRPr="00EE02E9">
        <w:rPr>
          <w:sz w:val="20"/>
          <w:szCs w:val="20"/>
        </w:rPr>
        <w:t xml:space="preserve"> </w:t>
      </w:r>
      <w:r>
        <w:rPr>
          <w:sz w:val="20"/>
          <w:szCs w:val="20"/>
        </w:rPr>
        <w:t xml:space="preserve">Este criterio en concreto señala: </w:t>
      </w:r>
      <w:r w:rsidRPr="00CF693E">
        <w:rPr>
          <w:i/>
          <w:sz w:val="20"/>
          <w:szCs w:val="20"/>
        </w:rPr>
        <w:t>“Segundo: s</w:t>
      </w:r>
      <w:r w:rsidRPr="00CF693E">
        <w:rPr>
          <w:i/>
          <w:sz w:val="20"/>
          <w:szCs w:val="20"/>
          <w:lang w:val="es-ES_tradnl"/>
        </w:rPr>
        <w:t>e niegan a autorizar oportunamente servicios de salud no POS que se requieren con necesidad y que no pueden ser costeados por el interesado, bien sea porque su costo le resulta impagable dado su nivel de ingreso o porque le impone una carga desproporcionada”.</w:t>
      </w:r>
    </w:p>
  </w:footnote>
  <w:footnote w:id="53">
    <w:p w:rsidR="00000000" w:rsidRDefault="00DA1726" w:rsidP="00CF693E">
      <w:pPr>
        <w:pStyle w:val="Textonotapie"/>
        <w:jc w:val="both"/>
      </w:pPr>
      <w:r w:rsidRPr="00CF693E">
        <w:rPr>
          <w:sz w:val="20"/>
          <w:szCs w:val="20"/>
          <w:vertAlign w:val="superscript"/>
        </w:rPr>
        <w:footnoteRef/>
      </w:r>
      <w:r w:rsidRPr="00CF693E">
        <w:rPr>
          <w:sz w:val="20"/>
          <w:szCs w:val="20"/>
        </w:rPr>
        <w:t xml:space="preserve"> Este criterio reza: </w:t>
      </w:r>
      <w:r w:rsidRPr="00CF693E">
        <w:rPr>
          <w:i/>
          <w:sz w:val="20"/>
          <w:szCs w:val="20"/>
        </w:rPr>
        <w:t xml:space="preserve">“Tercero: </w:t>
      </w:r>
      <w:r w:rsidRPr="00CF693E">
        <w:rPr>
          <w:i/>
          <w:sz w:val="20"/>
          <w:szCs w:val="20"/>
          <w:lang w:val="es-ES_tradnl"/>
        </w:rPr>
        <w:t>Se niegan a autorizar oportunamente servicios de salud con el argumento de que la persona no ha presentado la solicitud respectiva ante el</w:t>
      </w:r>
      <w:r>
        <w:rPr>
          <w:i/>
          <w:sz w:val="20"/>
          <w:szCs w:val="20"/>
          <w:lang w:val="es-ES_tradnl"/>
        </w:rPr>
        <w:t xml:space="preserve"> Comité Técnico Científico –CTC”</w:t>
      </w:r>
      <w:r w:rsidRPr="00CF693E">
        <w:rPr>
          <w:i/>
          <w:sz w:val="20"/>
          <w:szCs w:val="20"/>
          <w:lang w:val="es-ES_tradnl"/>
        </w:rPr>
        <w:t>.</w:t>
      </w:r>
    </w:p>
  </w:footnote>
  <w:footnote w:id="54">
    <w:p w:rsidR="00000000" w:rsidRDefault="00DA1726" w:rsidP="001D64B2">
      <w:pPr>
        <w:pStyle w:val="Style18"/>
        <w:widowControl/>
        <w:spacing w:line="240" w:lineRule="auto"/>
        <w:ind w:right="12"/>
      </w:pPr>
      <w:r w:rsidRPr="00571AF0">
        <w:rPr>
          <w:sz w:val="20"/>
          <w:szCs w:val="20"/>
          <w:vertAlign w:val="superscript"/>
        </w:rPr>
        <w:footnoteRef/>
      </w:r>
      <w:r w:rsidRPr="00571AF0">
        <w:rPr>
          <w:sz w:val="20"/>
          <w:szCs w:val="20"/>
        </w:rPr>
        <w:t xml:space="preserve"> La Ley 1751 de 2015</w:t>
      </w:r>
      <w:r w:rsidRPr="00571AF0">
        <w:rPr>
          <w:rStyle w:val="FontStyle29"/>
          <w:sz w:val="20"/>
          <w:szCs w:val="20"/>
          <w:lang w:val="es-ES_tradnl" w:eastAsia="es-ES_tradnl"/>
        </w:rPr>
        <w:t xml:space="preserve"> en su artículo 16, establece que </w:t>
      </w:r>
      <w:r>
        <w:rPr>
          <w:rStyle w:val="FontStyle32"/>
          <w:rFonts w:ascii="Times New Roman" w:hAnsi="Times New Roman" w:cs="Times New Roman"/>
          <w:sz w:val="20"/>
          <w:szCs w:val="20"/>
          <w:lang w:val="es-ES_tradnl" w:eastAsia="es-ES_tradnl"/>
        </w:rPr>
        <w:t>“</w:t>
      </w:r>
      <w:r w:rsidRPr="00571AF0">
        <w:rPr>
          <w:rStyle w:val="FontStyle32"/>
          <w:rFonts w:ascii="Times New Roman" w:hAnsi="Times New Roman" w:cs="Times New Roman"/>
          <w:sz w:val="20"/>
          <w:szCs w:val="20"/>
          <w:lang w:val="es-ES_tradnl" w:eastAsia="es-ES_tradnl"/>
        </w:rPr>
        <w:t>Los conflictos o discrepancias en diagnósticos y/o alternativas terapéuticas generadas a partir de la atención, serán dirimidos por las juntas médicas de los prestadores de servicios de salud o por las juntas médicas de la red de prestadores de servicios salud, utilizando criterios de razonabilidad científica, de acuerdo con el procedimiento que determine la ley</w:t>
      </w:r>
      <w:r>
        <w:rPr>
          <w:rStyle w:val="FontStyle32"/>
          <w:rFonts w:ascii="Times New Roman" w:hAnsi="Times New Roman" w:cs="Times New Roman"/>
          <w:sz w:val="20"/>
          <w:szCs w:val="20"/>
          <w:lang w:val="es-ES_tradnl" w:eastAsia="es-ES_tradnl"/>
        </w:rPr>
        <w:t>”</w:t>
      </w:r>
      <w:r w:rsidRPr="00571AF0">
        <w:rPr>
          <w:rStyle w:val="FontStyle32"/>
          <w:rFonts w:ascii="Times New Roman" w:hAnsi="Times New Roman" w:cs="Times New Roman"/>
          <w:sz w:val="20"/>
          <w:szCs w:val="20"/>
          <w:lang w:val="es-ES_tradnl" w:eastAsia="es-ES_tradnl"/>
        </w:rPr>
        <w:t xml:space="preserve">. </w:t>
      </w:r>
      <w:r w:rsidRPr="00571AF0">
        <w:rPr>
          <w:rStyle w:val="FontStyle29"/>
          <w:sz w:val="20"/>
          <w:szCs w:val="20"/>
          <w:lang w:val="es-ES_tradnl" w:eastAsia="es-ES_tradnl"/>
        </w:rPr>
        <w:t>Por ello, es posible que no haya lugar a seguir hablando de CTC.</w:t>
      </w:r>
    </w:p>
  </w:footnote>
  <w:footnote w:id="55">
    <w:p w:rsidR="00000000" w:rsidRDefault="00DA1726" w:rsidP="001D64B2">
      <w:pPr>
        <w:pStyle w:val="Textonotapie"/>
        <w:jc w:val="both"/>
      </w:pPr>
      <w:r w:rsidRPr="00571AF0">
        <w:rPr>
          <w:sz w:val="20"/>
          <w:szCs w:val="20"/>
          <w:vertAlign w:val="superscript"/>
        </w:rPr>
        <w:footnoteRef/>
      </w:r>
      <w:r w:rsidRPr="00571AF0">
        <w:rPr>
          <w:sz w:val="20"/>
          <w:szCs w:val="20"/>
        </w:rPr>
        <w:t xml:space="preserve"> </w:t>
      </w:r>
      <w:r w:rsidRPr="00571AF0">
        <w:rPr>
          <w:rStyle w:val="FontStyle29"/>
          <w:sz w:val="20"/>
          <w:szCs w:val="20"/>
          <w:lang w:val="es-ES_tradnl" w:eastAsia="es-ES_tradnl"/>
        </w:rPr>
        <w:t xml:space="preserve">La Ley 1752 de 2015 en su artículo 10 literal (p) indica que uno de los derechos de los usuarios es </w:t>
      </w:r>
      <w:r w:rsidRPr="00571AF0">
        <w:rPr>
          <w:rStyle w:val="FontStyle29"/>
          <w:i/>
          <w:sz w:val="20"/>
          <w:szCs w:val="20"/>
          <w:lang w:val="es-ES_tradnl" w:eastAsia="es-ES_tradnl"/>
        </w:rPr>
        <w:t>“que no se le trasladen las cargas administrativas y burocráticas que le corresponde asumir a los encargados o intervinientes en la prestación del servicio.”</w:t>
      </w:r>
    </w:p>
  </w:footnote>
  <w:footnote w:id="56">
    <w:p w:rsidR="00000000" w:rsidRDefault="00DA1726" w:rsidP="00374781">
      <w:pPr>
        <w:pStyle w:val="Textonotapie"/>
        <w:jc w:val="both"/>
      </w:pPr>
      <w:r w:rsidRPr="00374781">
        <w:rPr>
          <w:sz w:val="20"/>
          <w:szCs w:val="20"/>
          <w:vertAlign w:val="superscript"/>
        </w:rPr>
        <w:footnoteRef/>
      </w:r>
      <w:r w:rsidRPr="00374781">
        <w:rPr>
          <w:sz w:val="20"/>
          <w:szCs w:val="20"/>
        </w:rPr>
        <w:t xml:space="preserve"> </w:t>
      </w:r>
      <w:r>
        <w:rPr>
          <w:sz w:val="20"/>
          <w:szCs w:val="20"/>
        </w:rPr>
        <w:t xml:space="preserve">Este criterio indica: </w:t>
      </w:r>
      <w:r w:rsidRPr="00374781">
        <w:rPr>
          <w:i/>
          <w:sz w:val="20"/>
          <w:szCs w:val="20"/>
        </w:rPr>
        <w:t>“</w:t>
      </w:r>
      <w:r w:rsidRPr="00374781">
        <w:rPr>
          <w:i/>
          <w:sz w:val="20"/>
          <w:szCs w:val="20"/>
          <w:lang w:val="es-ES_tradnl"/>
        </w:rPr>
        <w:t>Se niegan a autorizar oportunamente servicios de salud que requiere un menor para su adecuado desarrollo y que no pueden ser costeados por sus responsables, aun cuando dichos servicios y la vida o la integridad del menor no dependen de su prestación.”</w:t>
      </w:r>
    </w:p>
  </w:footnote>
  <w:footnote w:id="57">
    <w:p w:rsidR="00000000" w:rsidRDefault="00DA1726" w:rsidP="00BF17B9">
      <w:pPr>
        <w:pStyle w:val="Textonotapie"/>
        <w:jc w:val="both"/>
      </w:pPr>
      <w:r w:rsidRPr="00BF17B9">
        <w:rPr>
          <w:sz w:val="20"/>
          <w:szCs w:val="20"/>
          <w:vertAlign w:val="superscript"/>
        </w:rPr>
        <w:footnoteRef/>
      </w:r>
      <w:r w:rsidRPr="00BF17B9">
        <w:rPr>
          <w:sz w:val="20"/>
          <w:szCs w:val="20"/>
        </w:rPr>
        <w:t xml:space="preserve"> Este criterio refiere: </w:t>
      </w:r>
      <w:r>
        <w:rPr>
          <w:i/>
          <w:sz w:val="20"/>
          <w:szCs w:val="20"/>
        </w:rPr>
        <w:t>“</w:t>
      </w:r>
      <w:r w:rsidRPr="00BF17B9">
        <w:rPr>
          <w:i/>
          <w:sz w:val="20"/>
          <w:szCs w:val="20"/>
          <w:lang w:val="es-ES_tradnl"/>
        </w:rPr>
        <w:t xml:space="preserve">Se niegan a </w:t>
      </w:r>
      <w:r w:rsidRPr="00BF17B9">
        <w:rPr>
          <w:bCs/>
          <w:i/>
          <w:sz w:val="20"/>
          <w:szCs w:val="20"/>
          <w:lang w:val="es-ES_tradnl"/>
        </w:rPr>
        <w:t xml:space="preserve">autorizar incapacidades laborales </w:t>
      </w:r>
      <w:r w:rsidRPr="00BF17B9">
        <w:rPr>
          <w:i/>
          <w:sz w:val="20"/>
          <w:szCs w:val="20"/>
          <w:lang w:val="es-ES_tradnl"/>
        </w:rPr>
        <w:t>derivadas del estado de salud de la persona con el argumento de que en el pasado no se cumplió con la obligación de cancelar los aportes de salud dentro del plazo establecido para ello</w:t>
      </w:r>
      <w:r>
        <w:rPr>
          <w:i/>
          <w:sz w:val="20"/>
          <w:szCs w:val="20"/>
          <w:lang w:val="es-ES_tradnl"/>
        </w:rPr>
        <w:t>.”</w:t>
      </w:r>
    </w:p>
  </w:footnote>
  <w:footnote w:id="58">
    <w:p w:rsidR="00000000" w:rsidRDefault="00DA1726" w:rsidP="00BF17B9">
      <w:pPr>
        <w:pStyle w:val="Textonotapie"/>
        <w:jc w:val="both"/>
      </w:pPr>
      <w:r w:rsidRPr="00BF17B9">
        <w:rPr>
          <w:sz w:val="20"/>
          <w:szCs w:val="20"/>
          <w:vertAlign w:val="superscript"/>
        </w:rPr>
        <w:footnoteRef/>
      </w:r>
      <w:r w:rsidRPr="00BF17B9">
        <w:rPr>
          <w:sz w:val="20"/>
          <w:szCs w:val="20"/>
        </w:rPr>
        <w:t xml:space="preserve"> Este ítem en indica: </w:t>
      </w:r>
      <w:r w:rsidRPr="00BF17B9">
        <w:rPr>
          <w:i/>
          <w:sz w:val="20"/>
          <w:szCs w:val="20"/>
        </w:rPr>
        <w:t>“</w:t>
      </w:r>
      <w:r w:rsidRPr="00BF17B9">
        <w:rPr>
          <w:i/>
          <w:sz w:val="20"/>
          <w:szCs w:val="20"/>
          <w:lang w:val="es-ES_tradnl"/>
        </w:rPr>
        <w:t>S</w:t>
      </w:r>
      <w:r w:rsidRPr="00BF17B9">
        <w:rPr>
          <w:rStyle w:val="FontStyle29"/>
          <w:i/>
          <w:sz w:val="20"/>
          <w:szCs w:val="20"/>
          <w:lang w:val="es-ES_tradnl" w:eastAsia="es-ES_tradnl"/>
        </w:rPr>
        <w:t xml:space="preserve">e niegan a afiliar personas, a pesar de que éstas ya hayan cumplido el tiempo para trasladarse, por el hecho de que </w:t>
      </w:r>
      <w:r w:rsidRPr="00BF17B9">
        <w:rPr>
          <w:rStyle w:val="FontStyle30"/>
          <w:rFonts w:ascii="Times New Roman" w:hAnsi="Times New Roman" w:cs="Times New Roman"/>
          <w:i/>
          <w:sz w:val="20"/>
          <w:szCs w:val="20"/>
          <w:lang w:val="es-ES_tradnl" w:eastAsia="es-ES_tradnl"/>
        </w:rPr>
        <w:t>dentro de su grupo familiar existe una persona (su hijo, un niño) que padece una enfermedad catastrófica.”</w:t>
      </w:r>
    </w:p>
  </w:footnote>
  <w:footnote w:id="59">
    <w:p w:rsidR="00000000" w:rsidRDefault="00DA1726" w:rsidP="00BF17B9">
      <w:pPr>
        <w:pStyle w:val="Textonotapie"/>
        <w:jc w:val="both"/>
      </w:pPr>
      <w:r w:rsidRPr="00BF17B9">
        <w:rPr>
          <w:sz w:val="20"/>
          <w:szCs w:val="20"/>
          <w:vertAlign w:val="superscript"/>
        </w:rPr>
        <w:footnoteRef/>
      </w:r>
      <w:r w:rsidRPr="00BF17B9">
        <w:rPr>
          <w:sz w:val="20"/>
          <w:szCs w:val="20"/>
        </w:rPr>
        <w:t xml:space="preserve"> Este criterio específicamente establece: </w:t>
      </w:r>
      <w:r w:rsidRPr="00BF17B9">
        <w:rPr>
          <w:i/>
          <w:sz w:val="20"/>
          <w:szCs w:val="20"/>
        </w:rPr>
        <w:t>“</w:t>
      </w:r>
      <w:r w:rsidRPr="00BF17B9">
        <w:rPr>
          <w:i/>
          <w:sz w:val="20"/>
          <w:szCs w:val="20"/>
          <w:lang w:val="es-ES_tradnl"/>
        </w:rPr>
        <w:t>Se niegan a autorizar oportunamente servicios de salud que se requieren con necesidad, supeditando su prestación al pago de una cuota moderadora.”</w:t>
      </w:r>
    </w:p>
  </w:footnote>
  <w:footnote w:id="60">
    <w:p w:rsidR="00000000" w:rsidRDefault="00DA1726" w:rsidP="001D64B2">
      <w:pPr>
        <w:pStyle w:val="Textonotapie"/>
        <w:jc w:val="both"/>
      </w:pPr>
      <w:r w:rsidRPr="001D64B2">
        <w:rPr>
          <w:sz w:val="20"/>
          <w:szCs w:val="20"/>
          <w:vertAlign w:val="superscript"/>
        </w:rPr>
        <w:footnoteRef/>
      </w:r>
      <w:r w:rsidRPr="001D64B2">
        <w:rPr>
          <w:sz w:val="20"/>
          <w:szCs w:val="20"/>
        </w:rPr>
        <w:t xml:space="preserve"> </w:t>
      </w:r>
      <w:r w:rsidRPr="001D64B2">
        <w:rPr>
          <w:bCs/>
          <w:sz w:val="20"/>
          <w:szCs w:val="20"/>
        </w:rPr>
        <w:t>Artículo 10.</w:t>
      </w:r>
      <w:r>
        <w:rPr>
          <w:bCs/>
          <w:sz w:val="20"/>
          <w:szCs w:val="20"/>
        </w:rPr>
        <w:t xml:space="preserve"> </w:t>
      </w:r>
      <w:r w:rsidRPr="001D64B2">
        <w:rPr>
          <w:bCs/>
          <w:i/>
          <w:iCs/>
          <w:sz w:val="20"/>
          <w:szCs w:val="20"/>
        </w:rPr>
        <w:t>Uso de los recursos de promoción y prevención</w:t>
      </w:r>
      <w:r w:rsidRPr="001D64B2">
        <w:rPr>
          <w:bCs/>
          <w:sz w:val="20"/>
          <w:szCs w:val="20"/>
        </w:rPr>
        <w:t>.</w:t>
      </w:r>
      <w:r>
        <w:rPr>
          <w:bCs/>
          <w:sz w:val="20"/>
          <w:szCs w:val="20"/>
        </w:rPr>
        <w:t xml:space="preserve"> </w:t>
      </w:r>
      <w:r w:rsidRPr="001D64B2">
        <w:rPr>
          <w:sz w:val="20"/>
          <w:szCs w:val="20"/>
        </w:rPr>
        <w:t xml:space="preserve">El Gobierno Nacional será de responsable de la política de salud pública y de garantizar la ejecución y resultados de las acciones de promoción de la salud y la prevención de la enfermedad como pilares de la estrategia de Atención Primaria en Salud, para lo cual determinará la prioridad en el uso de los recursos que para este fin administren las entidades territoriales y las Entidades Promotoras de Salud. El Ministerio de la Protección Social y las entidades territoriales establecerán objetivos, metas, indicadores de seguimiento sobre resultados e impactos en la salud pública de las actividades de promoción de salud y la prevención de la enfermedad. </w:t>
      </w:r>
      <w:r w:rsidRPr="001D64B2">
        <w:rPr>
          <w:bCs/>
          <w:sz w:val="20"/>
          <w:szCs w:val="20"/>
        </w:rPr>
        <w:t>Parágrafo.</w:t>
      </w:r>
      <w:r>
        <w:rPr>
          <w:bCs/>
          <w:sz w:val="20"/>
          <w:szCs w:val="20"/>
        </w:rPr>
        <w:t xml:space="preserve"> </w:t>
      </w:r>
      <w:r w:rsidRPr="001D64B2">
        <w:rPr>
          <w:sz w:val="20"/>
          <w:szCs w:val="20"/>
        </w:rPr>
        <w:t>Lo anterior no excluye la corresponsabilidad de las Entidades Promotoras de Salud, soportadas por el perfil epidemiológico y desviación del costo.</w:t>
      </w:r>
    </w:p>
  </w:footnote>
  <w:footnote w:id="61">
    <w:p w:rsidR="00000000" w:rsidRDefault="00DA1726" w:rsidP="001E56BD">
      <w:pPr>
        <w:pStyle w:val="Textonotapie"/>
        <w:jc w:val="both"/>
      </w:pPr>
      <w:r w:rsidRPr="001E56BD">
        <w:rPr>
          <w:sz w:val="20"/>
          <w:szCs w:val="20"/>
          <w:vertAlign w:val="superscript"/>
        </w:rPr>
        <w:footnoteRef/>
      </w:r>
      <w:r w:rsidRPr="001E56BD">
        <w:rPr>
          <w:sz w:val="20"/>
          <w:szCs w:val="20"/>
        </w:rPr>
        <w:t xml:space="preserve"> Este criterio hace alusión al cobro de </w:t>
      </w:r>
      <w:r w:rsidRPr="001E56BD">
        <w:rPr>
          <w:sz w:val="20"/>
          <w:szCs w:val="20"/>
          <w:lang w:val="es-ES_tradnl"/>
        </w:rPr>
        <w:t>copagos a personas que padecen una enfermedad catastrófica o de alto costo.</w:t>
      </w:r>
    </w:p>
  </w:footnote>
  <w:footnote w:id="62">
    <w:p w:rsidR="00000000" w:rsidRDefault="00DA1726">
      <w:pPr>
        <w:pStyle w:val="Textonotapie"/>
      </w:pPr>
      <w:r w:rsidRPr="007E67AA">
        <w:rPr>
          <w:sz w:val="20"/>
          <w:szCs w:val="20"/>
          <w:vertAlign w:val="superscript"/>
        </w:rPr>
        <w:footnoteRef/>
      </w:r>
      <w:r w:rsidRPr="007E67AA">
        <w:rPr>
          <w:sz w:val="20"/>
          <w:szCs w:val="20"/>
        </w:rPr>
        <w:t xml:space="preserve"> </w:t>
      </w:r>
      <w:r>
        <w:rPr>
          <w:i/>
          <w:sz w:val="20"/>
          <w:szCs w:val="20"/>
        </w:rPr>
        <w:t xml:space="preserve">Cfr. </w:t>
      </w:r>
      <w:r>
        <w:rPr>
          <w:sz w:val="20"/>
          <w:szCs w:val="20"/>
        </w:rPr>
        <w:t xml:space="preserve">AZ </w:t>
      </w:r>
      <w:r w:rsidRPr="007E67AA">
        <w:rPr>
          <w:sz w:val="20"/>
          <w:szCs w:val="20"/>
        </w:rPr>
        <w:t>Orden XX-G, folios 3014 a 3040.</w:t>
      </w:r>
    </w:p>
  </w:footnote>
  <w:footnote w:id="63">
    <w:p w:rsidR="00000000" w:rsidRDefault="00DA1726">
      <w:pPr>
        <w:pStyle w:val="Textonotapie"/>
      </w:pPr>
      <w:r w:rsidRPr="007E67AA">
        <w:rPr>
          <w:sz w:val="20"/>
          <w:szCs w:val="20"/>
          <w:vertAlign w:val="superscript"/>
        </w:rPr>
        <w:footnoteRef/>
      </w:r>
      <w:r w:rsidRPr="007E67AA">
        <w:rPr>
          <w:sz w:val="20"/>
          <w:szCs w:val="20"/>
        </w:rPr>
        <w:t xml:space="preserve"> </w:t>
      </w:r>
      <w:r>
        <w:rPr>
          <w:i/>
          <w:sz w:val="20"/>
          <w:szCs w:val="20"/>
        </w:rPr>
        <w:t xml:space="preserve">Cfr. </w:t>
      </w:r>
      <w:r>
        <w:rPr>
          <w:sz w:val="20"/>
          <w:szCs w:val="20"/>
        </w:rPr>
        <w:t xml:space="preserve">AZ </w:t>
      </w:r>
      <w:r w:rsidRPr="007E67AA">
        <w:rPr>
          <w:sz w:val="20"/>
          <w:szCs w:val="20"/>
        </w:rPr>
        <w:t>Orden XX-G, folios 3047 a 3071.</w:t>
      </w:r>
    </w:p>
  </w:footnote>
  <w:footnote w:id="64">
    <w:p w:rsidR="00000000" w:rsidRDefault="00DA1726" w:rsidP="001D64B2">
      <w:pPr>
        <w:pStyle w:val="Textonotapie"/>
        <w:jc w:val="both"/>
      </w:pPr>
      <w:r w:rsidRPr="001D64B2">
        <w:rPr>
          <w:sz w:val="20"/>
          <w:szCs w:val="20"/>
          <w:vertAlign w:val="superscript"/>
        </w:rPr>
        <w:footnoteRef/>
      </w:r>
      <w:r w:rsidRPr="001D64B2">
        <w:rPr>
          <w:sz w:val="20"/>
          <w:szCs w:val="20"/>
        </w:rPr>
        <w:t xml:space="preserve">Decreto proferido por el Alcalde Mayor de Bogotá, a través del cual </w:t>
      </w:r>
      <w:r w:rsidRPr="001D64B2">
        <w:rPr>
          <w:i/>
          <w:sz w:val="20"/>
          <w:szCs w:val="20"/>
        </w:rPr>
        <w:t>“se adopta la estructura interna de la Secretaría Distrital de Planeación y se dictan otras disposiciones”</w:t>
      </w:r>
      <w:r w:rsidRPr="001D64B2">
        <w:rPr>
          <w:sz w:val="20"/>
          <w:szCs w:val="20"/>
        </w:rPr>
        <w:t>.</w:t>
      </w:r>
    </w:p>
  </w:footnote>
  <w:footnote w:id="65">
    <w:p w:rsidR="00000000" w:rsidRDefault="00DA1726" w:rsidP="004003AF">
      <w:pPr>
        <w:pStyle w:val="Prrafodelista"/>
        <w:ind w:left="0"/>
        <w:jc w:val="both"/>
      </w:pPr>
      <w:r w:rsidRPr="004003AF">
        <w:rPr>
          <w:sz w:val="20"/>
          <w:szCs w:val="20"/>
          <w:vertAlign w:val="superscript"/>
        </w:rPr>
        <w:footnoteRef/>
      </w:r>
      <w:r w:rsidRPr="004003AF">
        <w:rPr>
          <w:sz w:val="20"/>
          <w:szCs w:val="20"/>
        </w:rPr>
        <w:t xml:space="preserve"> </w:t>
      </w:r>
      <w:r w:rsidRPr="004003AF">
        <w:rPr>
          <w:sz w:val="20"/>
          <w:szCs w:val="20"/>
          <w:lang w:val="es-ES_tradnl" w:eastAsia="es-ES_tradnl"/>
        </w:rPr>
        <w:t>Como soporte de esta afirmación explicó que en las estadísticas aportadas por el Convenio de Cooperación Interinstitucional para garantizar la Portabilidad Nacional del Seguro de Salud de los Afiliados al SGSSS suscrito entre las EPS Emssanar, Asmet Salud, Salud Vida, Coosalud, Ecoopsos, Comparta y Ambuq, EPS del régimen subsidiado asociadas a Gestarsalud, se muestra una tendencia creciente del uso de la portabilidad del seguro de salud por parte de los afiliados que inicio su implementación en el mes de noviembre de 2013, con un total de 128 solicitudes y al corte abril de 2015 se tienen 61.030 solicitudes tramitadas a través de las EPS que hacen parte del Convenio.</w:t>
      </w:r>
    </w:p>
  </w:footnote>
  <w:footnote w:id="66">
    <w:p w:rsidR="00000000" w:rsidRDefault="00DA1726">
      <w:pPr>
        <w:pStyle w:val="Textonotapie"/>
      </w:pPr>
      <w:r w:rsidRPr="007571CC">
        <w:rPr>
          <w:sz w:val="20"/>
          <w:szCs w:val="20"/>
          <w:vertAlign w:val="superscript"/>
        </w:rPr>
        <w:footnoteRef/>
      </w:r>
      <w:r w:rsidRPr="007571CC">
        <w:rPr>
          <w:sz w:val="20"/>
          <w:szCs w:val="20"/>
        </w:rPr>
        <w:t xml:space="preserve"> Por el cual se establecen reglas sobre movilidad entre regímenes para afiliados focalizados en los niveles I y II del Sisbén.</w:t>
      </w:r>
    </w:p>
  </w:footnote>
  <w:footnote w:id="67">
    <w:p w:rsidR="00000000" w:rsidRDefault="00DA1726" w:rsidP="004A726C">
      <w:pPr>
        <w:pStyle w:val="Textonotapie"/>
        <w:jc w:val="both"/>
      </w:pPr>
      <w:r w:rsidRPr="006F3EAA">
        <w:rPr>
          <w:sz w:val="20"/>
          <w:szCs w:val="20"/>
          <w:vertAlign w:val="superscript"/>
        </w:rPr>
        <w:footnoteRef/>
      </w:r>
      <w:r w:rsidRPr="006F3EAA">
        <w:rPr>
          <w:sz w:val="20"/>
          <w:szCs w:val="20"/>
        </w:rPr>
        <w:t xml:space="preserve"> El artículo 6 de la Ley 1751 de 2015 señala que el derecho fundamental a la salud incluye los siguientes elementos esenciales e interrelacionados: universalidad, </w:t>
      </w:r>
      <w:r w:rsidRPr="006F3EAA">
        <w:rPr>
          <w:i/>
          <w:sz w:val="20"/>
          <w:szCs w:val="20"/>
        </w:rPr>
        <w:t>pro homine</w:t>
      </w:r>
      <w:r w:rsidRPr="006F3EAA">
        <w:rPr>
          <w:sz w:val="20"/>
          <w:szCs w:val="20"/>
        </w:rPr>
        <w:t>, equidad, continuidad, oportunidad, prevalencia de derechos, progresividad del derecho, libre elección, sostenibilidad solidaridad, eficiencia, interculturalidad, protección a los pueblos indígenas, y protección a los pueblos y comunidades indígenas, ROM y negras, afrocolombianas, raizales y palanqueros.</w:t>
      </w:r>
    </w:p>
  </w:footnote>
  <w:footnote w:id="68">
    <w:p w:rsidR="00000000" w:rsidRDefault="00DA1726" w:rsidP="00B34AE2">
      <w:pPr>
        <w:jc w:val="both"/>
      </w:pPr>
      <w:r w:rsidRPr="00B34AE2">
        <w:rPr>
          <w:sz w:val="20"/>
          <w:szCs w:val="20"/>
          <w:vertAlign w:val="superscript"/>
        </w:rPr>
        <w:footnoteRef/>
      </w:r>
      <w:r w:rsidRPr="00B34AE2">
        <w:rPr>
          <w:sz w:val="20"/>
          <w:szCs w:val="20"/>
        </w:rPr>
        <w:t xml:space="preserve"> El derecho fundamental a la salud incluye los siguientes elementos esenciales e interrelacionados: a) </w:t>
      </w:r>
      <w:r w:rsidRPr="00B34AE2">
        <w:rPr>
          <w:bCs/>
          <w:sz w:val="20"/>
          <w:szCs w:val="20"/>
        </w:rPr>
        <w:t>Disponibilidad;</w:t>
      </w:r>
      <w:r w:rsidRPr="00B34AE2">
        <w:rPr>
          <w:sz w:val="20"/>
          <w:szCs w:val="20"/>
        </w:rPr>
        <w:t xml:space="preserve"> b) </w:t>
      </w:r>
      <w:r w:rsidRPr="00B34AE2">
        <w:rPr>
          <w:bCs/>
          <w:sz w:val="20"/>
          <w:szCs w:val="20"/>
        </w:rPr>
        <w:t>Aceptabilidad</w:t>
      </w:r>
      <w:r w:rsidRPr="00B34AE2">
        <w:rPr>
          <w:sz w:val="20"/>
          <w:szCs w:val="20"/>
        </w:rPr>
        <w:t>; c) </w:t>
      </w:r>
      <w:r w:rsidRPr="00B34AE2">
        <w:rPr>
          <w:bCs/>
          <w:sz w:val="20"/>
          <w:szCs w:val="20"/>
        </w:rPr>
        <w:t>Accesibilidad</w:t>
      </w:r>
      <w:r w:rsidRPr="00B34AE2">
        <w:rPr>
          <w:sz w:val="20"/>
          <w:szCs w:val="20"/>
        </w:rPr>
        <w:t>; d) </w:t>
      </w:r>
      <w:r w:rsidRPr="00B34AE2">
        <w:rPr>
          <w:bCs/>
          <w:sz w:val="20"/>
          <w:szCs w:val="20"/>
        </w:rPr>
        <w:t xml:space="preserve">Calidad e idoneidad profesional.  Así mismo, el derecho fundamental a la salud comporta los siguientes principios: </w:t>
      </w:r>
      <w:r w:rsidRPr="00B34AE2">
        <w:rPr>
          <w:sz w:val="20"/>
          <w:szCs w:val="20"/>
        </w:rPr>
        <w:t>a) </w:t>
      </w:r>
      <w:r w:rsidRPr="00B34AE2">
        <w:rPr>
          <w:bCs/>
          <w:sz w:val="20"/>
          <w:szCs w:val="20"/>
        </w:rPr>
        <w:t>Universalidad</w:t>
      </w:r>
      <w:r w:rsidRPr="00B34AE2">
        <w:rPr>
          <w:sz w:val="20"/>
          <w:szCs w:val="20"/>
        </w:rPr>
        <w:t>; b) </w:t>
      </w:r>
      <w:r w:rsidRPr="00B34AE2">
        <w:rPr>
          <w:bCs/>
          <w:sz w:val="20"/>
          <w:szCs w:val="20"/>
        </w:rPr>
        <w:t>Pro homine</w:t>
      </w:r>
      <w:r w:rsidRPr="00B34AE2">
        <w:rPr>
          <w:sz w:val="20"/>
          <w:szCs w:val="20"/>
        </w:rPr>
        <w:t>; c) </w:t>
      </w:r>
      <w:r w:rsidRPr="00B34AE2">
        <w:rPr>
          <w:bCs/>
          <w:sz w:val="20"/>
          <w:szCs w:val="20"/>
        </w:rPr>
        <w:t>Equidad</w:t>
      </w:r>
      <w:r w:rsidRPr="00B34AE2">
        <w:rPr>
          <w:sz w:val="20"/>
          <w:szCs w:val="20"/>
        </w:rPr>
        <w:t>; d) </w:t>
      </w:r>
      <w:r w:rsidRPr="00B34AE2">
        <w:rPr>
          <w:bCs/>
          <w:sz w:val="20"/>
          <w:szCs w:val="20"/>
        </w:rPr>
        <w:t>Continuidad</w:t>
      </w:r>
      <w:r w:rsidRPr="00B34AE2">
        <w:rPr>
          <w:sz w:val="20"/>
          <w:szCs w:val="20"/>
        </w:rPr>
        <w:t>; e) </w:t>
      </w:r>
      <w:r w:rsidRPr="00B34AE2">
        <w:rPr>
          <w:bCs/>
          <w:sz w:val="20"/>
          <w:szCs w:val="20"/>
        </w:rPr>
        <w:t>Oportunidad</w:t>
      </w:r>
      <w:r w:rsidRPr="00B34AE2">
        <w:rPr>
          <w:sz w:val="20"/>
          <w:szCs w:val="20"/>
        </w:rPr>
        <w:t>; f) </w:t>
      </w:r>
      <w:r w:rsidRPr="00B34AE2">
        <w:rPr>
          <w:bCs/>
          <w:sz w:val="20"/>
          <w:szCs w:val="20"/>
        </w:rPr>
        <w:t>Prevalencia de derechos</w:t>
      </w:r>
      <w:r w:rsidRPr="00B34AE2">
        <w:rPr>
          <w:sz w:val="20"/>
          <w:szCs w:val="20"/>
        </w:rPr>
        <w:t>; g) </w:t>
      </w:r>
      <w:r w:rsidRPr="00B34AE2">
        <w:rPr>
          <w:bCs/>
          <w:sz w:val="20"/>
          <w:szCs w:val="20"/>
        </w:rPr>
        <w:t>Progresividad del derecho</w:t>
      </w:r>
      <w:r w:rsidRPr="00B34AE2">
        <w:rPr>
          <w:sz w:val="20"/>
          <w:szCs w:val="20"/>
        </w:rPr>
        <w:t>; h) </w:t>
      </w:r>
      <w:r w:rsidRPr="00B34AE2">
        <w:rPr>
          <w:bCs/>
          <w:sz w:val="20"/>
          <w:szCs w:val="20"/>
        </w:rPr>
        <w:t>Libre elección</w:t>
      </w:r>
      <w:r w:rsidRPr="00B34AE2">
        <w:rPr>
          <w:sz w:val="20"/>
          <w:szCs w:val="20"/>
        </w:rPr>
        <w:t>; l) </w:t>
      </w:r>
      <w:r w:rsidRPr="00B34AE2">
        <w:rPr>
          <w:bCs/>
          <w:sz w:val="20"/>
          <w:szCs w:val="20"/>
        </w:rPr>
        <w:t>Interculturalidad</w:t>
      </w:r>
      <w:r w:rsidRPr="00B34AE2">
        <w:rPr>
          <w:sz w:val="20"/>
          <w:szCs w:val="20"/>
        </w:rPr>
        <w:t>; m) </w:t>
      </w:r>
      <w:r w:rsidRPr="00B34AE2">
        <w:rPr>
          <w:bCs/>
          <w:sz w:val="20"/>
          <w:szCs w:val="20"/>
        </w:rPr>
        <w:t>Protección a los pueblos indígenas</w:t>
      </w:r>
      <w:r w:rsidRPr="00B34AE2">
        <w:rPr>
          <w:sz w:val="20"/>
          <w:szCs w:val="20"/>
        </w:rPr>
        <w:t>; n) </w:t>
      </w:r>
      <w:r w:rsidRPr="00B34AE2">
        <w:rPr>
          <w:bCs/>
          <w:sz w:val="20"/>
          <w:szCs w:val="20"/>
        </w:rPr>
        <w:t>Protección pueblos y comunidades indígenas,</w:t>
      </w:r>
      <w:r w:rsidRPr="00322D5E">
        <w:rPr>
          <w:bCs/>
          <w:sz w:val="20"/>
          <w:szCs w:val="20"/>
        </w:rPr>
        <w:t xml:space="preserve"> ROM y negras, afrocolombianas, raizales y palenqueras.</w:t>
      </w:r>
    </w:p>
  </w:footnote>
  <w:footnote w:id="69">
    <w:p w:rsidR="00000000" w:rsidRDefault="00DA1726" w:rsidP="006F3EAA">
      <w:pPr>
        <w:pStyle w:val="Textonotapie"/>
        <w:jc w:val="both"/>
      </w:pPr>
      <w:r w:rsidRPr="006F3EAA">
        <w:rPr>
          <w:sz w:val="20"/>
          <w:szCs w:val="20"/>
          <w:vertAlign w:val="superscript"/>
        </w:rPr>
        <w:footnoteRef/>
      </w:r>
      <w:r w:rsidRPr="006F3EAA">
        <w:rPr>
          <w:sz w:val="20"/>
          <w:szCs w:val="20"/>
        </w:rPr>
        <w:t xml:space="preserve"> Establece el procedimiento para el cobro y pago de servicios y tecnologías sin cobertura en el POS suministrados por parte de las Entidades Territoriales, departamentales y distritales a los afiliados del Régimen Subsidiado.</w:t>
      </w:r>
    </w:p>
  </w:footnote>
  <w:footnote w:id="70">
    <w:p w:rsidR="00000000" w:rsidRDefault="00DA1726" w:rsidP="007E67AA">
      <w:pPr>
        <w:pStyle w:val="Textonotapie"/>
      </w:pPr>
      <w:r w:rsidRPr="007E67AA">
        <w:rPr>
          <w:sz w:val="20"/>
          <w:szCs w:val="20"/>
          <w:vertAlign w:val="superscript"/>
        </w:rPr>
        <w:footnoteRef/>
      </w:r>
      <w:r w:rsidRPr="007E67AA">
        <w:rPr>
          <w:sz w:val="20"/>
          <w:szCs w:val="20"/>
        </w:rPr>
        <w:t xml:space="preserve"> </w:t>
      </w:r>
      <w:r>
        <w:rPr>
          <w:i/>
          <w:sz w:val="20"/>
          <w:szCs w:val="20"/>
        </w:rPr>
        <w:t xml:space="preserve">Cfr. </w:t>
      </w:r>
      <w:r>
        <w:rPr>
          <w:sz w:val="20"/>
          <w:szCs w:val="20"/>
        </w:rPr>
        <w:t xml:space="preserve">AZ </w:t>
      </w:r>
      <w:r w:rsidRPr="007E67AA">
        <w:rPr>
          <w:sz w:val="20"/>
          <w:szCs w:val="20"/>
        </w:rPr>
        <w:t>Orden XX-G, folios 3072 a 3086.</w:t>
      </w:r>
    </w:p>
  </w:footnote>
  <w:footnote w:id="71">
    <w:p w:rsidR="00000000" w:rsidRDefault="00DA1726">
      <w:pPr>
        <w:pStyle w:val="Textonotapie"/>
      </w:pPr>
      <w:r w:rsidRPr="007E67AA">
        <w:rPr>
          <w:sz w:val="20"/>
          <w:szCs w:val="20"/>
          <w:vertAlign w:val="superscript"/>
        </w:rPr>
        <w:footnoteRef/>
      </w:r>
      <w:r w:rsidRPr="007E67AA">
        <w:rPr>
          <w:sz w:val="20"/>
          <w:szCs w:val="20"/>
        </w:rPr>
        <w:t xml:space="preserve"> </w:t>
      </w:r>
      <w:r>
        <w:rPr>
          <w:i/>
          <w:sz w:val="20"/>
          <w:szCs w:val="20"/>
        </w:rPr>
        <w:t xml:space="preserve">Cfr. </w:t>
      </w:r>
      <w:r w:rsidRPr="007E67AA">
        <w:rPr>
          <w:sz w:val="20"/>
          <w:szCs w:val="20"/>
        </w:rPr>
        <w:t>AZ</w:t>
      </w:r>
      <w:r>
        <w:rPr>
          <w:sz w:val="20"/>
          <w:szCs w:val="20"/>
        </w:rPr>
        <w:t xml:space="preserve"> </w:t>
      </w:r>
      <w:r w:rsidRPr="007E67AA">
        <w:rPr>
          <w:sz w:val="20"/>
          <w:szCs w:val="20"/>
        </w:rPr>
        <w:t>Orden XX-G, folios 3101 a 3111.</w:t>
      </w:r>
    </w:p>
  </w:footnote>
  <w:footnote w:id="72">
    <w:p w:rsidR="00000000" w:rsidRDefault="00DA1726" w:rsidP="008B5047">
      <w:pPr>
        <w:pStyle w:val="Textonotapie"/>
        <w:jc w:val="both"/>
      </w:pPr>
      <w:r w:rsidRPr="008B5047">
        <w:rPr>
          <w:sz w:val="20"/>
          <w:szCs w:val="20"/>
          <w:vertAlign w:val="superscript"/>
        </w:rPr>
        <w:footnoteRef/>
      </w:r>
      <w:r w:rsidRPr="008B5047">
        <w:rPr>
          <w:sz w:val="20"/>
          <w:szCs w:val="20"/>
        </w:rPr>
        <w:t xml:space="preserve"> </w:t>
      </w:r>
      <w:r>
        <w:rPr>
          <w:i/>
          <w:sz w:val="20"/>
          <w:szCs w:val="20"/>
        </w:rPr>
        <w:t xml:space="preserve">Cfr. </w:t>
      </w:r>
      <w:r>
        <w:rPr>
          <w:sz w:val="20"/>
          <w:szCs w:val="20"/>
        </w:rPr>
        <w:t xml:space="preserve">AZ </w:t>
      </w:r>
      <w:r w:rsidRPr="007E67AA">
        <w:rPr>
          <w:sz w:val="20"/>
          <w:szCs w:val="20"/>
        </w:rPr>
        <w:t xml:space="preserve">Orden XX-G, folios </w:t>
      </w:r>
      <w:r>
        <w:rPr>
          <w:sz w:val="20"/>
          <w:szCs w:val="20"/>
        </w:rPr>
        <w:t>3112</w:t>
      </w:r>
      <w:r w:rsidRPr="007E67AA">
        <w:rPr>
          <w:sz w:val="20"/>
          <w:szCs w:val="20"/>
        </w:rPr>
        <w:t xml:space="preserve"> a </w:t>
      </w:r>
      <w:r>
        <w:rPr>
          <w:sz w:val="20"/>
          <w:szCs w:val="20"/>
        </w:rPr>
        <w:t>3119</w:t>
      </w:r>
      <w:r w:rsidRPr="007E67AA">
        <w:rPr>
          <w:sz w:val="20"/>
          <w:szCs w:val="20"/>
        </w:rPr>
        <w:t>.</w:t>
      </w:r>
      <w:r>
        <w:rPr>
          <w:sz w:val="20"/>
          <w:szCs w:val="20"/>
        </w:rPr>
        <w:t xml:space="preserve"> </w:t>
      </w:r>
      <w:r w:rsidRPr="008B5047">
        <w:rPr>
          <w:sz w:val="20"/>
          <w:szCs w:val="20"/>
        </w:rPr>
        <w:t>Este documento será abordado y estudiado a profundidad en el acápite correspondiente al análisis sobre el cumplimiento en concreto.</w:t>
      </w:r>
    </w:p>
  </w:footnote>
  <w:footnote w:id="73">
    <w:p w:rsidR="00000000" w:rsidRDefault="00DA1726" w:rsidP="008E70CB">
      <w:pPr>
        <w:pStyle w:val="Textonotapie"/>
        <w:jc w:val="both"/>
      </w:pPr>
      <w:r w:rsidRPr="008E70CB">
        <w:rPr>
          <w:sz w:val="20"/>
          <w:szCs w:val="20"/>
          <w:vertAlign w:val="superscript"/>
        </w:rPr>
        <w:footnoteRef/>
      </w:r>
      <w:r w:rsidRPr="008E70CB">
        <w:rPr>
          <w:sz w:val="20"/>
          <w:szCs w:val="20"/>
        </w:rPr>
        <w:t xml:space="preserve"> </w:t>
      </w:r>
      <w:r w:rsidRPr="008E70CB">
        <w:rPr>
          <w:i/>
          <w:sz w:val="20"/>
          <w:szCs w:val="20"/>
        </w:rPr>
        <w:t>“Por la cual se define el Sistema de Información para la Calidad y se adoptan los indicadores de monitoría del Sistema Obligatorio de Garantía de Calidad de la Atención en Salud”</w:t>
      </w:r>
      <w:r>
        <w:rPr>
          <w:i/>
          <w:sz w:val="20"/>
          <w:szCs w:val="20"/>
        </w:rPr>
        <w:t>.</w:t>
      </w:r>
    </w:p>
  </w:footnote>
  <w:footnote w:id="74">
    <w:p w:rsidR="00000000" w:rsidRDefault="00DA1726" w:rsidP="008E70CB">
      <w:pPr>
        <w:pStyle w:val="Textonotapie"/>
        <w:jc w:val="both"/>
      </w:pPr>
      <w:r w:rsidRPr="008E70CB">
        <w:rPr>
          <w:sz w:val="20"/>
          <w:szCs w:val="20"/>
          <w:vertAlign w:val="superscript"/>
        </w:rPr>
        <w:footnoteRef/>
      </w:r>
      <w:r w:rsidRPr="008E70CB">
        <w:rPr>
          <w:sz w:val="20"/>
          <w:szCs w:val="20"/>
        </w:rPr>
        <w:t xml:space="preserve"> </w:t>
      </w:r>
      <w:r w:rsidRPr="008E70CB">
        <w:rPr>
          <w:sz w:val="20"/>
          <w:szCs w:val="20"/>
          <w:lang w:val="es-ES_tradnl"/>
        </w:rPr>
        <w:t xml:space="preserve">El visor está disponible en la página del Observatorio de Calidad en la Atención en Salud (OCAS) </w:t>
      </w:r>
      <w:hyperlink r:id="rId4" w:history="1">
        <w:r w:rsidRPr="007A1073">
          <w:rPr>
            <w:rStyle w:val="Hipervnculo"/>
            <w:b/>
            <w:bCs/>
            <w:i/>
            <w:iCs/>
            <w:sz w:val="20"/>
            <w:szCs w:val="20"/>
          </w:rPr>
          <w:t>http://calidadensalud.minsalud.gov.co/</w:t>
        </w:r>
      </w:hyperlink>
      <w:r w:rsidRPr="008E70CB">
        <w:rPr>
          <w:b/>
          <w:bCs/>
          <w:i/>
          <w:iCs/>
          <w:sz w:val="20"/>
          <w:szCs w:val="20"/>
          <w:lang w:val="es-ES_tradnl"/>
        </w:rPr>
        <w:t>IndicadoresdeCalidad/Resultados/Comparación de Indicadores de IPS.</w:t>
      </w:r>
    </w:p>
  </w:footnote>
  <w:footnote w:id="75">
    <w:p w:rsidR="00000000" w:rsidRDefault="00DA1726" w:rsidP="00E90DCA">
      <w:pPr>
        <w:pStyle w:val="Textonotapie"/>
        <w:jc w:val="both"/>
      </w:pPr>
      <w:r w:rsidRPr="00E90DCA">
        <w:rPr>
          <w:sz w:val="20"/>
          <w:szCs w:val="20"/>
          <w:vertAlign w:val="superscript"/>
        </w:rPr>
        <w:footnoteRef/>
      </w:r>
      <w:r w:rsidRPr="00E90DCA">
        <w:rPr>
          <w:sz w:val="20"/>
          <w:szCs w:val="20"/>
        </w:rPr>
        <w:t xml:space="preserve"> </w:t>
      </w:r>
      <w:r w:rsidRPr="00E90DCA">
        <w:rPr>
          <w:sz w:val="20"/>
          <w:szCs w:val="20"/>
          <w:lang w:val="es-ES_tradnl"/>
        </w:rPr>
        <w:t>Son aquellos donde existe alta agregación de población en condiciones de densidad y accesibilidad geográficas a los servicios de salud.</w:t>
      </w:r>
    </w:p>
  </w:footnote>
  <w:footnote w:id="76">
    <w:p w:rsidR="00000000" w:rsidRDefault="00DA1726" w:rsidP="00E90DCA">
      <w:pPr>
        <w:pStyle w:val="Textonotapie"/>
        <w:jc w:val="both"/>
      </w:pPr>
      <w:r w:rsidRPr="00E90DCA">
        <w:rPr>
          <w:sz w:val="20"/>
          <w:szCs w:val="20"/>
          <w:vertAlign w:val="superscript"/>
        </w:rPr>
        <w:footnoteRef/>
      </w:r>
      <w:r w:rsidRPr="00E90DCA">
        <w:rPr>
          <w:sz w:val="20"/>
          <w:szCs w:val="20"/>
        </w:rPr>
        <w:t xml:space="preserve"> C</w:t>
      </w:r>
      <w:r w:rsidRPr="00E90DCA">
        <w:rPr>
          <w:sz w:val="20"/>
          <w:szCs w:val="20"/>
          <w:lang w:val="es-ES_tradnl"/>
        </w:rPr>
        <w:t>orresponden a la mayor parte de municipios del país donde la oferta de servicios tiende a ser monopólica y en la mayoría de los casos de naturaleza pública, con prevalencia de servicios de baja complejidad y poca capacidad de resolución.</w:t>
      </w:r>
    </w:p>
  </w:footnote>
  <w:footnote w:id="77">
    <w:p w:rsidR="00000000" w:rsidRDefault="00DA1726" w:rsidP="00E90DCA">
      <w:pPr>
        <w:pStyle w:val="Textonotapie"/>
        <w:jc w:val="both"/>
      </w:pPr>
      <w:r w:rsidRPr="00E90DCA">
        <w:rPr>
          <w:sz w:val="20"/>
          <w:szCs w:val="20"/>
          <w:vertAlign w:val="superscript"/>
        </w:rPr>
        <w:footnoteRef/>
      </w:r>
      <w:r w:rsidRPr="00E90DCA">
        <w:rPr>
          <w:sz w:val="20"/>
          <w:szCs w:val="20"/>
        </w:rPr>
        <w:t xml:space="preserve"> </w:t>
      </w:r>
      <w:r w:rsidRPr="00E90DCA">
        <w:rPr>
          <w:sz w:val="20"/>
          <w:szCs w:val="20"/>
          <w:lang w:val="es-ES_tradnl"/>
        </w:rPr>
        <w:t>En estos municipios la densidad poblacional es muy baja, la disponibilidad y accesibilidad a los servicios es muy limitada por la baja densidad poblacional, limitaciones en la oferta de servicios y de recurso humano especializado, carencia de vías de acceso, barreras geográficas o condiciones culturales.</w:t>
      </w:r>
    </w:p>
  </w:footnote>
  <w:footnote w:id="78">
    <w:p w:rsidR="00000000" w:rsidRDefault="00DA1726" w:rsidP="00556749">
      <w:pPr>
        <w:pStyle w:val="Textonotapie"/>
        <w:jc w:val="both"/>
      </w:pPr>
      <w:r w:rsidRPr="00556749">
        <w:rPr>
          <w:sz w:val="20"/>
          <w:szCs w:val="20"/>
          <w:vertAlign w:val="superscript"/>
        </w:rPr>
        <w:footnoteRef/>
      </w:r>
      <w:r w:rsidRPr="00556749">
        <w:rPr>
          <w:sz w:val="20"/>
          <w:szCs w:val="20"/>
        </w:rPr>
        <w:t xml:space="preserve"> </w:t>
      </w:r>
      <w:r w:rsidRPr="00556749">
        <w:rPr>
          <w:sz w:val="20"/>
          <w:szCs w:val="20"/>
          <w:lang w:val="es-ES_tradnl"/>
        </w:rPr>
        <w:t>Se realiza por personal idóneo y entrenado para tal fin, y su resultado es avalado por una entidad acreditadora - en la actualidad la única entidad acreditadora es el ICONTEC-.</w:t>
      </w:r>
    </w:p>
  </w:footnote>
  <w:footnote w:id="79">
    <w:p w:rsidR="00000000" w:rsidRDefault="00DA1726" w:rsidP="004C3CED">
      <w:pPr>
        <w:jc w:val="both"/>
      </w:pPr>
      <w:r w:rsidRPr="004C3CED">
        <w:rPr>
          <w:sz w:val="20"/>
          <w:szCs w:val="20"/>
          <w:vertAlign w:val="superscript"/>
        </w:rPr>
        <w:footnoteRef/>
      </w:r>
      <w:r w:rsidRPr="004C3CED">
        <w:rPr>
          <w:sz w:val="20"/>
          <w:szCs w:val="20"/>
        </w:rPr>
        <w:t xml:space="preserve"> </w:t>
      </w:r>
      <w:r w:rsidRPr="004C3CED">
        <w:rPr>
          <w:sz w:val="20"/>
          <w:szCs w:val="20"/>
          <w:lang w:val="es-ES_tradnl"/>
        </w:rPr>
        <w:t>IPS que en su categoría evidenciaron el mejor comportamiento en los datos reportados respecto a las demás.</w:t>
      </w:r>
    </w:p>
  </w:footnote>
  <w:footnote w:id="80">
    <w:p w:rsidR="00000000" w:rsidRDefault="00DA1726" w:rsidP="004C3CED">
      <w:pPr>
        <w:jc w:val="both"/>
      </w:pPr>
      <w:r w:rsidRPr="004C3CED">
        <w:rPr>
          <w:sz w:val="20"/>
          <w:szCs w:val="20"/>
          <w:vertAlign w:val="superscript"/>
        </w:rPr>
        <w:footnoteRef/>
      </w:r>
      <w:r w:rsidRPr="004C3CED">
        <w:rPr>
          <w:sz w:val="20"/>
          <w:szCs w:val="20"/>
        </w:rPr>
        <w:t xml:space="preserve"> </w:t>
      </w:r>
      <w:r w:rsidRPr="004C3CED">
        <w:rPr>
          <w:sz w:val="20"/>
          <w:szCs w:val="20"/>
          <w:lang w:val="es-ES_tradnl"/>
        </w:rPr>
        <w:t>IPS que se encuentran en el rango medio en las respectivas categorías.</w:t>
      </w:r>
    </w:p>
  </w:footnote>
  <w:footnote w:id="81">
    <w:p w:rsidR="00000000" w:rsidRDefault="00DA1726" w:rsidP="004C3CED">
      <w:pPr>
        <w:jc w:val="both"/>
      </w:pPr>
      <w:r w:rsidRPr="004C3CED">
        <w:rPr>
          <w:sz w:val="20"/>
          <w:szCs w:val="20"/>
          <w:vertAlign w:val="superscript"/>
        </w:rPr>
        <w:footnoteRef/>
      </w:r>
      <w:r w:rsidRPr="004C3CED">
        <w:rPr>
          <w:sz w:val="20"/>
          <w:szCs w:val="20"/>
        </w:rPr>
        <w:t xml:space="preserve"> </w:t>
      </w:r>
      <w:r w:rsidRPr="004C3CED">
        <w:rPr>
          <w:sz w:val="20"/>
          <w:szCs w:val="20"/>
          <w:lang w:val="es-ES_tradnl"/>
        </w:rPr>
        <w:t>IPS que presentan un comportamiento bajo en los indicadores, la mayoría de ellos está relacionado con el no reporte.</w:t>
      </w:r>
    </w:p>
  </w:footnote>
  <w:footnote w:id="82">
    <w:p w:rsidR="00000000" w:rsidRDefault="00DA1726" w:rsidP="009A3AC8">
      <w:pPr>
        <w:pStyle w:val="Textonotapie"/>
      </w:pPr>
      <w:r w:rsidRPr="009A3AC8">
        <w:rPr>
          <w:sz w:val="20"/>
          <w:szCs w:val="20"/>
          <w:vertAlign w:val="superscript"/>
        </w:rPr>
        <w:footnoteRef/>
      </w:r>
      <w:r w:rsidRPr="009A3AC8">
        <w:rPr>
          <w:sz w:val="20"/>
          <w:szCs w:val="20"/>
        </w:rPr>
        <w:t xml:space="preserve"> </w:t>
      </w:r>
      <w:r>
        <w:rPr>
          <w:sz w:val="20"/>
          <w:szCs w:val="20"/>
        </w:rPr>
        <w:t xml:space="preserve">Sitio web </w:t>
      </w:r>
      <w:r w:rsidRPr="009A3AC8">
        <w:rPr>
          <w:sz w:val="20"/>
          <w:szCs w:val="20"/>
        </w:rPr>
        <w:t>htpp://calidadensalud.minsalud.gov.co/IndicadoresdeCalidad/ListadodeIndicadores/ListadeIndicadores/Resultados/IndicadoresIPS.aspx</w:t>
      </w:r>
    </w:p>
  </w:footnote>
  <w:footnote w:id="83">
    <w:p w:rsidR="00000000" w:rsidRDefault="00DA1726" w:rsidP="009A3AC8">
      <w:pPr>
        <w:jc w:val="both"/>
      </w:pPr>
      <w:r w:rsidRPr="009A3AC8">
        <w:rPr>
          <w:sz w:val="20"/>
          <w:szCs w:val="20"/>
          <w:vertAlign w:val="superscript"/>
        </w:rPr>
        <w:footnoteRef/>
      </w:r>
      <w:r w:rsidRPr="009A3AC8">
        <w:rPr>
          <w:sz w:val="20"/>
          <w:szCs w:val="20"/>
        </w:rPr>
        <w:t xml:space="preserve"> </w:t>
      </w:r>
      <w:r>
        <w:rPr>
          <w:sz w:val="20"/>
          <w:szCs w:val="20"/>
          <w:lang w:val="es-ES_tradnl"/>
        </w:rPr>
        <w:t>M</w:t>
      </w:r>
      <w:r w:rsidRPr="009A3AC8">
        <w:rPr>
          <w:sz w:val="20"/>
          <w:szCs w:val="20"/>
          <w:lang w:val="es-ES_tradnl"/>
        </w:rPr>
        <w:t>uestra la posición de la IPS, en Servicios Hospitalarios y estima su desempeño con base en indicadores de calidad que evalúan aspectos de la gestión clínica en este ámbito. En el mapa se evidencia un índice de gestión clínica respecto a las tasas de reingreso de pacientes hospitalizados, mortalidad intrahospitalaria después de 48 horas e infección intrahospitalaria. Adicionalmente se describe si el prestador cuenta con unidad de cuidado intensivo, lo que refleja la complejidad del prestador (fuente de datos: Resolución 1446 de 2006).</w:t>
      </w:r>
    </w:p>
  </w:footnote>
  <w:footnote w:id="84">
    <w:p w:rsidR="00000000" w:rsidRDefault="00DA1726" w:rsidP="002817F2">
      <w:pPr>
        <w:pStyle w:val="Textonotapie"/>
        <w:jc w:val="both"/>
      </w:pPr>
      <w:r w:rsidRPr="002817F2">
        <w:rPr>
          <w:sz w:val="20"/>
          <w:szCs w:val="20"/>
          <w:vertAlign w:val="superscript"/>
        </w:rPr>
        <w:footnoteRef/>
      </w:r>
      <w:r w:rsidRPr="002817F2">
        <w:rPr>
          <w:sz w:val="20"/>
          <w:szCs w:val="20"/>
        </w:rPr>
        <w:t xml:space="preserve"> </w:t>
      </w:r>
      <w:r>
        <w:rPr>
          <w:sz w:val="20"/>
          <w:szCs w:val="20"/>
        </w:rPr>
        <w:t>M</w:t>
      </w:r>
      <w:r w:rsidRPr="002817F2">
        <w:rPr>
          <w:sz w:val="20"/>
          <w:szCs w:val="20"/>
          <w:lang w:val="es-ES_tradnl"/>
        </w:rPr>
        <w:t>uestra la posición de la IPS con base en indicadores de calidad que evalúan la satisfacción del usuario. En el mapa se evidencia la tasa de satisfacción global del prestador. Adicionalmente se describe si el prestador cuenta con unidad de cuidado intensivo, lo que refleja la complejidad del prestador (fuente de datos: Resolución 1446 de 2006 Corte de datos: Primer semestre de 2015).</w:t>
      </w:r>
    </w:p>
  </w:footnote>
  <w:footnote w:id="85">
    <w:p w:rsidR="00000000" w:rsidRDefault="00DA1726" w:rsidP="002817F2">
      <w:pPr>
        <w:pStyle w:val="Textonotapie"/>
        <w:jc w:val="both"/>
      </w:pPr>
      <w:r w:rsidRPr="002817F2">
        <w:rPr>
          <w:sz w:val="20"/>
          <w:szCs w:val="20"/>
          <w:vertAlign w:val="superscript"/>
        </w:rPr>
        <w:footnoteRef/>
      </w:r>
      <w:r w:rsidRPr="002817F2">
        <w:rPr>
          <w:sz w:val="20"/>
          <w:szCs w:val="20"/>
        </w:rPr>
        <w:t xml:space="preserve"> </w:t>
      </w:r>
      <w:r>
        <w:rPr>
          <w:sz w:val="20"/>
          <w:szCs w:val="20"/>
        </w:rPr>
        <w:t>M</w:t>
      </w:r>
      <w:r w:rsidRPr="002817F2">
        <w:rPr>
          <w:sz w:val="20"/>
          <w:szCs w:val="20"/>
          <w:lang w:val="es-ES_tradnl"/>
        </w:rPr>
        <w:t>uestra la posición de la IPS con base en indicadores de calidad que evalúan la oportunidad en la asignación de citas en la consulta por médico general del usuario. En el mapa se evidencia los días en los cuáles es asignada una cita por médico general en la IPS. Adicionalmente se describe si el prestador cuenta con unidad de cuidado intensivo, lo que refleja la complejidad del prestador (fuente de datos: Resolución 1446 de 2006 Corte de datos: Primer semestre de 2015).</w:t>
      </w:r>
    </w:p>
  </w:footnote>
  <w:footnote w:id="86">
    <w:p w:rsidR="00000000" w:rsidRDefault="00DA1726">
      <w:pPr>
        <w:pStyle w:val="Textonotapie"/>
      </w:pPr>
      <w:r w:rsidRPr="007E67AA">
        <w:rPr>
          <w:sz w:val="20"/>
          <w:szCs w:val="20"/>
          <w:vertAlign w:val="superscript"/>
        </w:rPr>
        <w:footnoteRef/>
      </w:r>
      <w:r w:rsidRPr="007E67AA">
        <w:rPr>
          <w:sz w:val="20"/>
          <w:szCs w:val="20"/>
        </w:rPr>
        <w:t xml:space="preserve"> AZ-Orden XX-H, folios 3192 a 3194.</w:t>
      </w:r>
    </w:p>
  </w:footnote>
  <w:footnote w:id="87">
    <w:p w:rsidR="00000000" w:rsidRDefault="00DA1726" w:rsidP="00CF78D3">
      <w:pPr>
        <w:pStyle w:val="Textonotapie"/>
        <w:jc w:val="both"/>
      </w:pPr>
      <w:r w:rsidRPr="00CF78D3">
        <w:rPr>
          <w:sz w:val="20"/>
          <w:szCs w:val="20"/>
          <w:vertAlign w:val="superscript"/>
        </w:rPr>
        <w:footnoteRef/>
      </w:r>
      <w:r w:rsidRPr="00CF78D3">
        <w:rPr>
          <w:sz w:val="20"/>
          <w:szCs w:val="20"/>
        </w:rPr>
        <w:t xml:space="preserve"> Con corte a 11 de agosto de 2016, el Registro Especial de Prestadores de Servicios de Salud – REPS reportó que las instituciones prestadoras de servicios de salud (IPS) habilitadas para operar en Colombia ascienden a </w:t>
      </w:r>
      <w:r w:rsidRPr="00CF78D3">
        <w:rPr>
          <w:b/>
          <w:sz w:val="20"/>
          <w:szCs w:val="20"/>
        </w:rPr>
        <w:t>10.277,</w:t>
      </w:r>
      <w:r w:rsidRPr="00CF78D3">
        <w:rPr>
          <w:sz w:val="20"/>
          <w:szCs w:val="20"/>
        </w:rPr>
        <w:t xml:space="preserve"> de las cuales el 90,15% corresponden IPS privadas o mixtas y 9,85% a aquellas de naturaleza pública. Al considerar el número de sedes o puntos de atención de las IPS, se tiene que estos ascienden a </w:t>
      </w:r>
      <w:r w:rsidRPr="00CF78D3">
        <w:rPr>
          <w:b/>
          <w:sz w:val="20"/>
          <w:szCs w:val="20"/>
        </w:rPr>
        <w:t>18.084</w:t>
      </w:r>
      <w:r w:rsidRPr="00CF78D3">
        <w:rPr>
          <w:sz w:val="20"/>
          <w:szCs w:val="20"/>
        </w:rPr>
        <w:t xml:space="preserve"> discriminados por naturaleza y departamento o distrito capital, por tipo de IPS ambulatoria (las que tienen habilitadas 5 camas o menos) u Hospitalaria (las que tienen habilitadas 6 o más camas), </w:t>
      </w:r>
      <w:r w:rsidRPr="00CF78D3">
        <w:rPr>
          <w:bCs/>
          <w:sz w:val="20"/>
          <w:szCs w:val="20"/>
        </w:rPr>
        <w:t>16.462 corresponden al primer grupo y 1.622 al segundo.</w:t>
      </w:r>
    </w:p>
  </w:footnote>
  <w:footnote w:id="88">
    <w:p w:rsidR="00000000" w:rsidRDefault="00DA1726" w:rsidP="00F676AB">
      <w:pPr>
        <w:pStyle w:val="Textonotapie"/>
        <w:jc w:val="both"/>
      </w:pPr>
      <w:r w:rsidRPr="00F676AB">
        <w:rPr>
          <w:sz w:val="20"/>
          <w:szCs w:val="20"/>
          <w:vertAlign w:val="superscript"/>
        </w:rPr>
        <w:footnoteRef/>
      </w:r>
      <w:r w:rsidRPr="00F676AB">
        <w:rPr>
          <w:sz w:val="20"/>
          <w:szCs w:val="20"/>
        </w:rPr>
        <w:t xml:space="preserve"> La Resolución 256 de 2016 dicta las disposiciones del sistema de información para la calidad y se establecen los indicadores para el monitoreo de la calidad en salud.</w:t>
      </w:r>
    </w:p>
  </w:footnote>
  <w:footnote w:id="89">
    <w:p w:rsidR="00000000" w:rsidRDefault="00DA1726" w:rsidP="001A1D76">
      <w:pPr>
        <w:pStyle w:val="Textonotapie"/>
        <w:jc w:val="both"/>
      </w:pPr>
      <w:r w:rsidRPr="008A3B10">
        <w:rPr>
          <w:sz w:val="20"/>
          <w:szCs w:val="20"/>
          <w:vertAlign w:val="superscript"/>
        </w:rPr>
        <w:footnoteRef/>
      </w:r>
      <w:r w:rsidRPr="008A3B10">
        <w:rPr>
          <w:sz w:val="20"/>
          <w:szCs w:val="20"/>
        </w:rPr>
        <w:t xml:space="preserve"> </w:t>
      </w:r>
      <w:r w:rsidRPr="008A3B10">
        <w:rPr>
          <w:i/>
          <w:sz w:val="20"/>
          <w:szCs w:val="20"/>
        </w:rPr>
        <w:t>“Artículo 25. Protección Judicial: (…) 2. Los Estados Partes se comprometen: (…) c) a garantizar el cumplimiento, por las autoridades competentes, de toda decisión en que se haya estimado procedente el recurso”</w:t>
      </w:r>
      <w:r w:rsidRPr="008A3B10">
        <w:rPr>
          <w:sz w:val="20"/>
          <w:szCs w:val="20"/>
        </w:rPr>
        <w:t>.</w:t>
      </w:r>
    </w:p>
  </w:footnote>
  <w:footnote w:id="90">
    <w:p w:rsidR="00000000" w:rsidRDefault="00DA1726" w:rsidP="001A1D76">
      <w:pPr>
        <w:pStyle w:val="Textonotapie"/>
        <w:jc w:val="both"/>
      </w:pPr>
      <w:r w:rsidRPr="008A3B10">
        <w:rPr>
          <w:sz w:val="20"/>
          <w:szCs w:val="20"/>
          <w:vertAlign w:val="superscript"/>
        </w:rPr>
        <w:footnoteRef/>
      </w:r>
      <w:r w:rsidRPr="008A3B10">
        <w:rPr>
          <w:sz w:val="20"/>
          <w:szCs w:val="20"/>
        </w:rPr>
        <w:t xml:space="preserve"> Aprobada por la Ley 16 de 1972.</w:t>
      </w:r>
    </w:p>
  </w:footnote>
  <w:footnote w:id="91">
    <w:p w:rsidR="00000000" w:rsidRDefault="00DA1726" w:rsidP="001A1D76">
      <w:pPr>
        <w:pStyle w:val="Textonotapie"/>
        <w:jc w:val="both"/>
      </w:pPr>
      <w:r w:rsidRPr="0095332D">
        <w:rPr>
          <w:sz w:val="20"/>
          <w:szCs w:val="20"/>
          <w:vertAlign w:val="superscript"/>
        </w:rPr>
        <w:footnoteRef/>
      </w:r>
      <w:r w:rsidRPr="0095332D">
        <w:rPr>
          <w:sz w:val="20"/>
          <w:szCs w:val="20"/>
        </w:rPr>
        <w:t xml:space="preserve"> Sentencia C-351 de 2013. </w:t>
      </w:r>
    </w:p>
  </w:footnote>
  <w:footnote w:id="92">
    <w:p w:rsidR="00000000" w:rsidRDefault="00DA1726" w:rsidP="001A1D76">
      <w:pPr>
        <w:pStyle w:val="Textonotapie"/>
        <w:jc w:val="both"/>
      </w:pPr>
      <w:r w:rsidRPr="0095332D">
        <w:rPr>
          <w:sz w:val="20"/>
          <w:szCs w:val="20"/>
          <w:vertAlign w:val="superscript"/>
        </w:rPr>
        <w:footnoteRef/>
      </w:r>
      <w:r w:rsidRPr="0095332D">
        <w:rPr>
          <w:sz w:val="20"/>
          <w:szCs w:val="20"/>
        </w:rPr>
        <w:t xml:space="preserve"> Sentencia C-646 de 2001.</w:t>
      </w:r>
    </w:p>
  </w:footnote>
  <w:footnote w:id="93">
    <w:p w:rsidR="00000000" w:rsidRDefault="00DA1726" w:rsidP="001A1D76">
      <w:pPr>
        <w:pStyle w:val="Textonotapie"/>
        <w:jc w:val="both"/>
      </w:pPr>
      <w:r w:rsidRPr="0095332D">
        <w:rPr>
          <w:sz w:val="20"/>
          <w:szCs w:val="20"/>
          <w:vertAlign w:val="superscript"/>
        </w:rPr>
        <w:footnoteRef/>
      </w:r>
      <w:r w:rsidRPr="0095332D">
        <w:rPr>
          <w:sz w:val="20"/>
          <w:szCs w:val="20"/>
        </w:rPr>
        <w:t xml:space="preserve"> El control judicial de las políticas públicas como instrumento de inclusión de los derechos humanos. Manuel Fernando Quinche Ramírez y Juan Camilo Rivera Rugeles. 2010.</w:t>
      </w:r>
    </w:p>
  </w:footnote>
  <w:footnote w:id="94">
    <w:p w:rsidR="00000000" w:rsidRDefault="00DA1726" w:rsidP="001A1D76">
      <w:pPr>
        <w:pStyle w:val="Textonotapie"/>
        <w:jc w:val="both"/>
      </w:pPr>
      <w:r w:rsidRPr="0095332D">
        <w:rPr>
          <w:sz w:val="20"/>
          <w:szCs w:val="20"/>
          <w:vertAlign w:val="superscript"/>
        </w:rPr>
        <w:footnoteRef/>
      </w:r>
      <w:r w:rsidRPr="0095332D">
        <w:rPr>
          <w:sz w:val="20"/>
          <w:szCs w:val="20"/>
        </w:rPr>
        <w:t xml:space="preserve"> Auto 385 de 2010.</w:t>
      </w:r>
    </w:p>
  </w:footnote>
  <w:footnote w:id="95">
    <w:p w:rsidR="00000000" w:rsidRDefault="00DA1726" w:rsidP="001A1D76">
      <w:pPr>
        <w:pStyle w:val="Textonotapie"/>
        <w:jc w:val="both"/>
      </w:pPr>
      <w:r w:rsidRPr="0095332D">
        <w:rPr>
          <w:sz w:val="20"/>
          <w:szCs w:val="20"/>
          <w:vertAlign w:val="superscript"/>
        </w:rPr>
        <w:footnoteRef/>
      </w:r>
      <w:r w:rsidRPr="0095332D">
        <w:rPr>
          <w:sz w:val="20"/>
          <w:szCs w:val="20"/>
        </w:rPr>
        <w:t xml:space="preserve"> La </w:t>
      </w:r>
      <w:r>
        <w:rPr>
          <w:sz w:val="20"/>
          <w:szCs w:val="20"/>
        </w:rPr>
        <w:t>Sentencia T-760</w:t>
      </w:r>
      <w:r w:rsidRPr="0095332D">
        <w:rPr>
          <w:sz w:val="20"/>
          <w:szCs w:val="20"/>
        </w:rPr>
        <w:t xml:space="preserve"> fue proferida el 31 de julio de 2008.</w:t>
      </w:r>
    </w:p>
  </w:footnote>
  <w:footnote w:id="96">
    <w:p w:rsidR="00000000" w:rsidRDefault="00DA1726" w:rsidP="001A1D76">
      <w:pPr>
        <w:pStyle w:val="Textonotapie"/>
        <w:jc w:val="both"/>
      </w:pPr>
      <w:r w:rsidRPr="0095332D">
        <w:rPr>
          <w:sz w:val="20"/>
          <w:szCs w:val="20"/>
          <w:vertAlign w:val="superscript"/>
        </w:rPr>
        <w:footnoteRef/>
      </w:r>
      <w:r w:rsidRPr="0095332D">
        <w:rPr>
          <w:sz w:val="20"/>
          <w:szCs w:val="20"/>
        </w:rPr>
        <w:t xml:space="preserve"> </w:t>
      </w:r>
      <w:r w:rsidRPr="0095332D">
        <w:rPr>
          <w:i/>
          <w:sz w:val="20"/>
          <w:szCs w:val="20"/>
        </w:rPr>
        <w:t>Cfr.</w:t>
      </w:r>
      <w:r w:rsidRPr="0095332D">
        <w:rPr>
          <w:sz w:val="20"/>
          <w:szCs w:val="20"/>
        </w:rPr>
        <w:t xml:space="preserve"> Auto 263 de 2012.</w:t>
      </w:r>
    </w:p>
  </w:footnote>
  <w:footnote w:id="97">
    <w:p w:rsidR="00000000" w:rsidRDefault="00DA1726" w:rsidP="001A1D76">
      <w:pPr>
        <w:pStyle w:val="Textonotapie"/>
        <w:jc w:val="both"/>
      </w:pPr>
      <w:r w:rsidRPr="0095332D">
        <w:rPr>
          <w:sz w:val="20"/>
          <w:szCs w:val="20"/>
          <w:vertAlign w:val="superscript"/>
        </w:rPr>
        <w:footnoteRef/>
      </w:r>
      <w:r w:rsidRPr="0095332D">
        <w:rPr>
          <w:sz w:val="20"/>
          <w:szCs w:val="20"/>
        </w:rPr>
        <w:t xml:space="preserve"> </w:t>
      </w:r>
      <w:r w:rsidRPr="0095332D">
        <w:rPr>
          <w:i/>
          <w:sz w:val="20"/>
          <w:szCs w:val="20"/>
        </w:rPr>
        <w:t>Cfr.</w:t>
      </w:r>
      <w:r w:rsidRPr="0095332D">
        <w:rPr>
          <w:sz w:val="20"/>
          <w:szCs w:val="20"/>
        </w:rPr>
        <w:t xml:space="preserve"> Autos 342A de 2009, 262 de 2012 y 263 de 2012.</w:t>
      </w:r>
    </w:p>
  </w:footnote>
  <w:footnote w:id="98">
    <w:p w:rsidR="00000000" w:rsidRDefault="00DA1726" w:rsidP="001A1D76">
      <w:pPr>
        <w:pStyle w:val="Textonotapie"/>
        <w:jc w:val="both"/>
      </w:pPr>
      <w:r w:rsidRPr="0095332D">
        <w:rPr>
          <w:sz w:val="20"/>
          <w:szCs w:val="20"/>
          <w:vertAlign w:val="superscript"/>
        </w:rPr>
        <w:footnoteRef/>
      </w:r>
      <w:r w:rsidRPr="0095332D">
        <w:rPr>
          <w:sz w:val="20"/>
          <w:szCs w:val="20"/>
        </w:rPr>
        <w:t xml:space="preserve"> </w:t>
      </w:r>
      <w:r w:rsidRPr="0095332D">
        <w:rPr>
          <w:i/>
          <w:sz w:val="20"/>
          <w:szCs w:val="20"/>
        </w:rPr>
        <w:t>Cfr.</w:t>
      </w:r>
      <w:r w:rsidRPr="0095332D">
        <w:rPr>
          <w:sz w:val="20"/>
          <w:szCs w:val="20"/>
        </w:rPr>
        <w:t xml:space="preserve"> Autos 260, 261 y 264 de 2012.</w:t>
      </w:r>
    </w:p>
  </w:footnote>
  <w:footnote w:id="99">
    <w:p w:rsidR="00000000" w:rsidRDefault="00DA1726" w:rsidP="001A1D76">
      <w:pPr>
        <w:pStyle w:val="Textonotapie"/>
        <w:jc w:val="both"/>
      </w:pPr>
      <w:r w:rsidRPr="0095332D">
        <w:rPr>
          <w:sz w:val="20"/>
          <w:szCs w:val="20"/>
          <w:vertAlign w:val="superscript"/>
        </w:rPr>
        <w:footnoteRef/>
      </w:r>
      <w:r w:rsidRPr="0095332D">
        <w:rPr>
          <w:sz w:val="20"/>
          <w:szCs w:val="20"/>
        </w:rPr>
        <w:t xml:space="preserve"> </w:t>
      </w:r>
      <w:r w:rsidRPr="0095332D">
        <w:rPr>
          <w:i/>
          <w:sz w:val="20"/>
          <w:szCs w:val="20"/>
        </w:rPr>
        <w:t>Cfr.</w:t>
      </w:r>
      <w:r w:rsidRPr="0095332D">
        <w:rPr>
          <w:sz w:val="20"/>
          <w:szCs w:val="20"/>
        </w:rPr>
        <w:t xml:space="preserve"> Auto 144 de 2011.</w:t>
      </w:r>
    </w:p>
  </w:footnote>
  <w:footnote w:id="100">
    <w:p w:rsidR="00000000" w:rsidRDefault="00DA1726" w:rsidP="001A1D76">
      <w:pPr>
        <w:pStyle w:val="Textonotapie"/>
        <w:jc w:val="both"/>
      </w:pPr>
      <w:r w:rsidRPr="0095332D">
        <w:rPr>
          <w:sz w:val="20"/>
          <w:szCs w:val="20"/>
          <w:vertAlign w:val="superscript"/>
        </w:rPr>
        <w:footnoteRef/>
      </w:r>
      <w:r w:rsidRPr="0095332D">
        <w:rPr>
          <w:sz w:val="20"/>
          <w:szCs w:val="20"/>
        </w:rPr>
        <w:t xml:space="preserve"> </w:t>
      </w:r>
      <w:r w:rsidRPr="0095332D">
        <w:rPr>
          <w:i/>
          <w:sz w:val="20"/>
          <w:szCs w:val="20"/>
        </w:rPr>
        <w:t>Cfr</w:t>
      </w:r>
      <w:r w:rsidRPr="0095332D">
        <w:rPr>
          <w:sz w:val="20"/>
          <w:szCs w:val="20"/>
        </w:rPr>
        <w:t>. Considerandos núm. 2 y 3.</w:t>
      </w:r>
    </w:p>
  </w:footnote>
  <w:footnote w:id="101">
    <w:p w:rsidR="00000000" w:rsidRDefault="00DA1726" w:rsidP="001A1D76">
      <w:pPr>
        <w:pStyle w:val="Textonotapie"/>
        <w:jc w:val="both"/>
      </w:pPr>
      <w:r w:rsidRPr="001F2D4E">
        <w:rPr>
          <w:sz w:val="20"/>
          <w:szCs w:val="20"/>
          <w:vertAlign w:val="superscript"/>
        </w:rPr>
        <w:footnoteRef/>
      </w:r>
      <w:r w:rsidRPr="001F2D4E">
        <w:rPr>
          <w:sz w:val="20"/>
          <w:szCs w:val="20"/>
        </w:rPr>
        <w:t xml:space="preserve"> En la citada providencia se indicó que </w:t>
      </w:r>
      <w:r w:rsidRPr="001F2D4E">
        <w:rPr>
          <w:i/>
          <w:sz w:val="20"/>
          <w:szCs w:val="20"/>
        </w:rPr>
        <w:t>“</w:t>
      </w:r>
      <w:r w:rsidRPr="001F2D4E">
        <w:rPr>
          <w:i/>
          <w:sz w:val="20"/>
          <w:szCs w:val="20"/>
          <w:lang w:val="es-ES_tradnl"/>
        </w:rPr>
        <w:t>Por parámetros de estructura se hará referencia a instrumentos formales, presentados dentro de plazos fijados por la Ley y/o por la jurisprudencia constitucional, en los que el Gobierno Nacional o la entidad regulatoria definen, a partir de una metodología unificada, objetivos, un marco normativo, una estrategia, un plan de acción concreto, un cronograma y unos indicadores de desempeño, con el fin de superar los obstáculos que enfrente la materialización de los logros”.</w:t>
      </w:r>
    </w:p>
  </w:footnote>
  <w:footnote w:id="102">
    <w:p w:rsidR="00000000" w:rsidRDefault="00DA1726" w:rsidP="001A1D76">
      <w:pPr>
        <w:pStyle w:val="Textonotapie"/>
        <w:jc w:val="both"/>
      </w:pPr>
      <w:r w:rsidRPr="001F2D4E">
        <w:rPr>
          <w:sz w:val="20"/>
          <w:szCs w:val="20"/>
          <w:vertAlign w:val="superscript"/>
        </w:rPr>
        <w:footnoteRef/>
      </w:r>
      <w:r w:rsidRPr="001F2D4E">
        <w:rPr>
          <w:sz w:val="20"/>
          <w:szCs w:val="20"/>
        </w:rPr>
        <w:t xml:space="preserve"> De conformidad con lo señalado en el Auto 226 de 2011, </w:t>
      </w:r>
      <w:r w:rsidRPr="001F2D4E">
        <w:rPr>
          <w:i/>
          <w:sz w:val="20"/>
          <w:szCs w:val="20"/>
        </w:rPr>
        <w:t>“Los parámetros de proceso se refieren ya no a un documento o instrumento formal, sino a las acciones concretas realizadas a partir de dicho instrumento por la entidad gubernamental o regulatoria con miras a lograr la actualización integral del plan de beneficios”</w:t>
      </w:r>
      <w:r w:rsidRPr="001F2D4E">
        <w:rPr>
          <w:sz w:val="20"/>
          <w:szCs w:val="20"/>
        </w:rPr>
        <w:t>.</w:t>
      </w:r>
    </w:p>
  </w:footnote>
  <w:footnote w:id="103">
    <w:p w:rsidR="00000000" w:rsidRDefault="00DA1726" w:rsidP="001A1D76">
      <w:pPr>
        <w:pStyle w:val="Textonotapie"/>
        <w:jc w:val="both"/>
      </w:pPr>
      <w:r w:rsidRPr="00E90CF2">
        <w:rPr>
          <w:sz w:val="20"/>
          <w:szCs w:val="20"/>
          <w:vertAlign w:val="superscript"/>
        </w:rPr>
        <w:footnoteRef/>
      </w:r>
      <w:r w:rsidRPr="00E90CF2">
        <w:rPr>
          <w:sz w:val="20"/>
          <w:szCs w:val="20"/>
        </w:rPr>
        <w:t xml:space="preserve"> Se afirmó en el citado Auto 226 que </w:t>
      </w:r>
      <w:r w:rsidRPr="00E90CF2">
        <w:rPr>
          <w:i/>
          <w:sz w:val="20"/>
          <w:szCs w:val="20"/>
        </w:rPr>
        <w:t>“los parámetros de resultado reflejan un grado de realización de la actualización integral del plan de beneficios, la cual hace parte de la realización del derecho fundamental a la salud”</w:t>
      </w:r>
      <w:r w:rsidRPr="00E90CF2">
        <w:rPr>
          <w:sz w:val="20"/>
          <w:szCs w:val="20"/>
        </w:rPr>
        <w:t>.</w:t>
      </w:r>
    </w:p>
  </w:footnote>
  <w:footnote w:id="104">
    <w:p w:rsidR="00000000" w:rsidRDefault="00DA1726" w:rsidP="001A1D76">
      <w:pPr>
        <w:pStyle w:val="Textonotapie"/>
      </w:pPr>
      <w:r w:rsidRPr="00E90CF2">
        <w:rPr>
          <w:sz w:val="20"/>
          <w:szCs w:val="20"/>
          <w:vertAlign w:val="superscript"/>
        </w:rPr>
        <w:footnoteRef/>
      </w:r>
      <w:r w:rsidRPr="00E90CF2">
        <w:rPr>
          <w:sz w:val="20"/>
          <w:szCs w:val="20"/>
        </w:rPr>
        <w:t xml:space="preserve"> </w:t>
      </w:r>
      <w:r w:rsidRPr="00E90CF2">
        <w:rPr>
          <w:i/>
          <w:sz w:val="20"/>
          <w:szCs w:val="20"/>
        </w:rPr>
        <w:t>Cfr</w:t>
      </w:r>
      <w:r w:rsidRPr="00E90CF2">
        <w:rPr>
          <w:sz w:val="20"/>
          <w:szCs w:val="20"/>
        </w:rPr>
        <w:t>. Considerandos núm. 2 y 3.</w:t>
      </w:r>
    </w:p>
  </w:footnote>
  <w:footnote w:id="105">
    <w:p w:rsidR="00000000" w:rsidRDefault="00DA1726" w:rsidP="001A1D76">
      <w:pPr>
        <w:pStyle w:val="Textonotapie"/>
      </w:pPr>
      <w:r w:rsidRPr="00E90CF2">
        <w:rPr>
          <w:sz w:val="20"/>
          <w:szCs w:val="20"/>
          <w:vertAlign w:val="superscript"/>
        </w:rPr>
        <w:footnoteRef/>
      </w:r>
      <w:r w:rsidRPr="00E90CF2">
        <w:rPr>
          <w:sz w:val="20"/>
          <w:szCs w:val="20"/>
        </w:rPr>
        <w:t xml:space="preserve"> </w:t>
      </w:r>
      <w:r w:rsidRPr="00E90CF2">
        <w:rPr>
          <w:i/>
          <w:sz w:val="20"/>
          <w:szCs w:val="20"/>
        </w:rPr>
        <w:t>Cfr.</w:t>
      </w:r>
      <w:r w:rsidRPr="00E90CF2">
        <w:rPr>
          <w:sz w:val="20"/>
          <w:szCs w:val="20"/>
        </w:rPr>
        <w:t xml:space="preserve"> Sentencia C-351 de 2013.</w:t>
      </w:r>
    </w:p>
  </w:footnote>
  <w:footnote w:id="106">
    <w:p w:rsidR="00000000" w:rsidRDefault="00DA1726" w:rsidP="001A1D76">
      <w:pPr>
        <w:pStyle w:val="Textonotapie"/>
        <w:jc w:val="both"/>
      </w:pPr>
      <w:r w:rsidRPr="00E90CF2">
        <w:rPr>
          <w:sz w:val="20"/>
          <w:szCs w:val="20"/>
          <w:vertAlign w:val="superscript"/>
        </w:rPr>
        <w:footnoteRef/>
      </w:r>
      <w:r w:rsidRPr="00E90CF2">
        <w:rPr>
          <w:sz w:val="20"/>
          <w:szCs w:val="20"/>
        </w:rPr>
        <w:t xml:space="preserve"> Entiéndase por </w:t>
      </w:r>
      <w:r w:rsidRPr="00E90CF2">
        <w:rPr>
          <w:b/>
          <w:sz w:val="20"/>
          <w:szCs w:val="20"/>
        </w:rPr>
        <w:t>resultado</w:t>
      </w:r>
      <w:r w:rsidRPr="00E90CF2">
        <w:rPr>
          <w:sz w:val="20"/>
          <w:szCs w:val="20"/>
        </w:rPr>
        <w:t>, la materialización de las medidas formales adoptadas por la autoridad obligada en el ámbito de acatamiento de la orden examinada.</w:t>
      </w:r>
    </w:p>
  </w:footnote>
  <w:footnote w:id="107">
    <w:p w:rsidR="00000000" w:rsidRDefault="00DA1726" w:rsidP="001A1D76">
      <w:pPr>
        <w:pStyle w:val="Textonotapie"/>
        <w:jc w:val="both"/>
      </w:pPr>
      <w:r w:rsidRPr="00E90CF2">
        <w:rPr>
          <w:sz w:val="20"/>
          <w:szCs w:val="20"/>
          <w:vertAlign w:val="superscript"/>
        </w:rPr>
        <w:footnoteRef/>
      </w:r>
      <w:r w:rsidRPr="00E90CF2">
        <w:rPr>
          <w:sz w:val="20"/>
          <w:szCs w:val="20"/>
        </w:rPr>
        <w:t xml:space="preserve"> Entiéndase por </w:t>
      </w:r>
      <w:r w:rsidRPr="00E90CF2">
        <w:rPr>
          <w:b/>
          <w:sz w:val="20"/>
          <w:szCs w:val="20"/>
        </w:rPr>
        <w:t>avance</w:t>
      </w:r>
      <w:r w:rsidRPr="00E90CF2">
        <w:rPr>
          <w:sz w:val="20"/>
          <w:szCs w:val="20"/>
        </w:rPr>
        <w:t>, el efecto medible a partir de indicadores cuantitativos, que permitan comparar, en un periodo de tiempo determinado, la situación existente antes de la adopción de las medidas acreditadas y después de su implementación, siempre que reflejen cambios favorables en la superación de la falla estructural en el sistema de salud.</w:t>
      </w:r>
    </w:p>
  </w:footnote>
  <w:footnote w:id="108">
    <w:p w:rsidR="00000000" w:rsidRDefault="00DA1726" w:rsidP="001A1D76">
      <w:pPr>
        <w:pStyle w:val="Textonotapie"/>
      </w:pPr>
      <w:r w:rsidRPr="00E90CF2">
        <w:rPr>
          <w:sz w:val="20"/>
          <w:szCs w:val="20"/>
          <w:vertAlign w:val="superscript"/>
        </w:rPr>
        <w:footnoteRef/>
      </w:r>
      <w:r w:rsidRPr="00E90CF2">
        <w:rPr>
          <w:sz w:val="20"/>
          <w:szCs w:val="20"/>
        </w:rPr>
        <w:t xml:space="preserve"> De conformidad con el artículo 277.1 de la Constitución Política corresponde al Procurador General de la Nación vigilar el cumplimiento de las decisiones judiciales</w:t>
      </w:r>
      <w:r>
        <w:rPr>
          <w:sz w:val="20"/>
          <w:szCs w:val="20"/>
        </w:rPr>
        <w:t>.</w:t>
      </w:r>
    </w:p>
  </w:footnote>
  <w:footnote w:id="109">
    <w:p w:rsidR="00000000" w:rsidRDefault="00DA1726" w:rsidP="001A1D76">
      <w:pPr>
        <w:pStyle w:val="Textonotapie"/>
        <w:jc w:val="both"/>
      </w:pPr>
      <w:r w:rsidRPr="00F13500">
        <w:rPr>
          <w:sz w:val="20"/>
          <w:szCs w:val="20"/>
          <w:vertAlign w:val="superscript"/>
        </w:rPr>
        <w:footnoteRef/>
      </w:r>
      <w:r w:rsidRPr="00F13500">
        <w:rPr>
          <w:sz w:val="20"/>
          <w:szCs w:val="20"/>
        </w:rPr>
        <w:t xml:space="preserve"> </w:t>
      </w:r>
      <w:r w:rsidRPr="00F13500">
        <w:rPr>
          <w:i/>
          <w:sz w:val="20"/>
          <w:szCs w:val="20"/>
        </w:rPr>
        <w:t xml:space="preserve">Cfr. </w:t>
      </w:r>
      <w:r w:rsidRPr="00F13500">
        <w:rPr>
          <w:sz w:val="20"/>
          <w:szCs w:val="20"/>
        </w:rPr>
        <w:t xml:space="preserve">Constitución Política art. 277.1: </w:t>
      </w:r>
      <w:r w:rsidRPr="00F13500">
        <w:rPr>
          <w:i/>
          <w:sz w:val="20"/>
          <w:szCs w:val="20"/>
        </w:rPr>
        <w:t>“El Procurador General de la Nación, por sí o por medio de sus delegados y agentes, tendrá las siguientes funciones: 1. Vigilar el cumplimiento de la Constitución, las leyes, las decisiones judiciales y los actos administrativos”</w:t>
      </w:r>
      <w:r w:rsidRPr="00F13500">
        <w:rPr>
          <w:sz w:val="20"/>
          <w:szCs w:val="20"/>
        </w:rPr>
        <w:t xml:space="preserve">. || Decreto Ley 262 de 2000 art. 24.1: </w:t>
      </w:r>
      <w:r w:rsidRPr="00F13500">
        <w:rPr>
          <w:i/>
          <w:sz w:val="20"/>
          <w:szCs w:val="20"/>
        </w:rPr>
        <w:t>“FUNCIONES PREVENTIVAS Y DE CONTROL DE GESTIÓN. Sin perjuicio de lo dispuesto en la ley, las procuradurías delegadas tienen las siguientes funciones de vigilancia superior, con fines preventivos y de control de gestión: 1. Velar por el cumplimiento de las disposiciones constitucionales y legales, así como de las decisiones judiciales y administrativas”.</w:t>
      </w:r>
      <w:r w:rsidRPr="00F13500">
        <w:rPr>
          <w:sz w:val="20"/>
          <w:szCs w:val="20"/>
        </w:rPr>
        <w:t xml:space="preserve"> || </w:t>
      </w:r>
      <w:r w:rsidRPr="00F13500">
        <w:rPr>
          <w:bCs/>
          <w:sz w:val="20"/>
          <w:szCs w:val="20"/>
        </w:rPr>
        <w:t>Resolución 490 de 2008, p</w:t>
      </w:r>
      <w:r w:rsidRPr="00F13500">
        <w:rPr>
          <w:bCs/>
          <w:iCs/>
          <w:sz w:val="20"/>
          <w:szCs w:val="20"/>
        </w:rPr>
        <w:t xml:space="preserve">or medio de la cual </w:t>
      </w:r>
      <w:r w:rsidRPr="00F13500">
        <w:rPr>
          <w:bCs/>
          <w:sz w:val="20"/>
          <w:szCs w:val="20"/>
        </w:rPr>
        <w:t xml:space="preserve">se </w:t>
      </w:r>
      <w:r w:rsidRPr="00F13500">
        <w:rPr>
          <w:bCs/>
          <w:iCs/>
          <w:sz w:val="20"/>
          <w:szCs w:val="20"/>
        </w:rPr>
        <w:t xml:space="preserve">crea el Sistema Integral de Prevención </w:t>
      </w:r>
      <w:r w:rsidRPr="00F13500">
        <w:rPr>
          <w:bCs/>
          <w:sz w:val="20"/>
          <w:szCs w:val="20"/>
        </w:rPr>
        <w:t xml:space="preserve">y se </w:t>
      </w:r>
      <w:r w:rsidRPr="00F13500">
        <w:rPr>
          <w:bCs/>
          <w:iCs/>
          <w:sz w:val="20"/>
          <w:szCs w:val="20"/>
        </w:rPr>
        <w:t xml:space="preserve">establecen los principios </w:t>
      </w:r>
      <w:r w:rsidRPr="00F13500">
        <w:rPr>
          <w:bCs/>
          <w:sz w:val="20"/>
          <w:szCs w:val="20"/>
        </w:rPr>
        <w:t xml:space="preserve">y </w:t>
      </w:r>
      <w:r w:rsidRPr="00F13500">
        <w:rPr>
          <w:bCs/>
          <w:iCs/>
          <w:sz w:val="20"/>
          <w:szCs w:val="20"/>
        </w:rPr>
        <w:t xml:space="preserve">criterios correspondientes al ejercicio de la función preventiva a cargo de la Procuraduría General de la Nación </w:t>
      </w:r>
      <w:r w:rsidRPr="00F13500">
        <w:rPr>
          <w:bCs/>
          <w:sz w:val="20"/>
          <w:szCs w:val="20"/>
        </w:rPr>
        <w:t xml:space="preserve">y se </w:t>
      </w:r>
      <w:r w:rsidRPr="00F13500">
        <w:rPr>
          <w:bCs/>
          <w:iCs/>
          <w:sz w:val="20"/>
          <w:szCs w:val="20"/>
        </w:rPr>
        <w:t>dictan otras disposiciones.</w:t>
      </w:r>
    </w:p>
  </w:footnote>
  <w:footnote w:id="110">
    <w:p w:rsidR="00000000" w:rsidRDefault="00DA1726" w:rsidP="001A1D76">
      <w:pPr>
        <w:pStyle w:val="Textonotapie"/>
        <w:jc w:val="both"/>
      </w:pPr>
      <w:r w:rsidRPr="00F13500">
        <w:rPr>
          <w:sz w:val="20"/>
          <w:szCs w:val="20"/>
          <w:vertAlign w:val="superscript"/>
        </w:rPr>
        <w:footnoteRef/>
      </w:r>
      <w:r w:rsidRPr="00F13500">
        <w:rPr>
          <w:sz w:val="20"/>
          <w:szCs w:val="20"/>
        </w:rPr>
        <w:t xml:space="preserve"> En virtud del artículo 277.6 Superior, corresponde al Procurador General de la Nación ejercer la vigilancia superior de la conducta oficial de quienes desempeñen funciones públicas.</w:t>
      </w:r>
    </w:p>
  </w:footnote>
  <w:footnote w:id="111">
    <w:p w:rsidR="00000000" w:rsidRDefault="00DA1726">
      <w:pPr>
        <w:pStyle w:val="Textonotapie"/>
      </w:pPr>
      <w:r w:rsidRPr="009B4BAC">
        <w:rPr>
          <w:sz w:val="20"/>
          <w:szCs w:val="20"/>
          <w:vertAlign w:val="superscript"/>
        </w:rPr>
        <w:footnoteRef/>
      </w:r>
      <w:r w:rsidRPr="009B4BAC">
        <w:rPr>
          <w:sz w:val="20"/>
          <w:szCs w:val="20"/>
        </w:rPr>
        <w:t xml:space="preserve"> Sentencia T-760 de 2008, </w:t>
      </w:r>
      <w:r>
        <w:rPr>
          <w:sz w:val="20"/>
          <w:szCs w:val="20"/>
        </w:rPr>
        <w:t>aparatado</w:t>
      </w:r>
      <w:r w:rsidRPr="009B4BAC">
        <w:rPr>
          <w:sz w:val="20"/>
          <w:szCs w:val="20"/>
        </w:rPr>
        <w:t xml:space="preserve"> 4.13.</w:t>
      </w:r>
    </w:p>
  </w:footnote>
  <w:footnote w:id="112">
    <w:p w:rsidR="00000000" w:rsidRDefault="00DA1726" w:rsidP="00B417A3">
      <w:pPr>
        <w:pStyle w:val="Textonotapie"/>
      </w:pPr>
      <w:r w:rsidRPr="009B4BAC">
        <w:rPr>
          <w:sz w:val="20"/>
          <w:szCs w:val="20"/>
          <w:vertAlign w:val="superscript"/>
        </w:rPr>
        <w:footnoteRef/>
      </w:r>
      <w:r w:rsidRPr="009B4BAC">
        <w:rPr>
          <w:sz w:val="20"/>
          <w:szCs w:val="20"/>
        </w:rPr>
        <w:t xml:space="preserve"> </w:t>
      </w:r>
      <w:r w:rsidRPr="009B4BAC">
        <w:rPr>
          <w:sz w:val="20"/>
          <w:szCs w:val="20"/>
          <w:lang w:val="es-ES"/>
        </w:rPr>
        <w:t xml:space="preserve">Artículos 153 y 156. </w:t>
      </w:r>
    </w:p>
  </w:footnote>
  <w:footnote w:id="113">
    <w:p w:rsidR="00000000" w:rsidRDefault="00DA1726" w:rsidP="001A319A">
      <w:pPr>
        <w:pStyle w:val="Textonotapie"/>
      </w:pPr>
      <w:r w:rsidRPr="009B4BAC">
        <w:rPr>
          <w:sz w:val="20"/>
          <w:szCs w:val="20"/>
          <w:vertAlign w:val="superscript"/>
        </w:rPr>
        <w:footnoteRef/>
      </w:r>
      <w:r w:rsidRPr="009B4BAC">
        <w:rPr>
          <w:sz w:val="20"/>
          <w:szCs w:val="20"/>
        </w:rPr>
        <w:t xml:space="preserve">Ley 100 de 1993 Articulo 156 literal e. </w:t>
      </w:r>
    </w:p>
  </w:footnote>
  <w:footnote w:id="114">
    <w:p w:rsidR="00000000" w:rsidRDefault="00DA1726">
      <w:pPr>
        <w:pStyle w:val="Textonotapie"/>
      </w:pPr>
      <w:r>
        <w:rPr>
          <w:vertAlign w:val="superscript"/>
        </w:rPr>
        <w:footnoteRef/>
      </w:r>
      <w:r>
        <w:t xml:space="preserve"> </w:t>
      </w:r>
      <w:r w:rsidRPr="009B4BAC">
        <w:rPr>
          <w:sz w:val="20"/>
          <w:szCs w:val="20"/>
        </w:rPr>
        <w:t xml:space="preserve">Sentencia T-760 de 2008, </w:t>
      </w:r>
      <w:r>
        <w:rPr>
          <w:sz w:val="20"/>
          <w:szCs w:val="20"/>
        </w:rPr>
        <w:t>aparatado</w:t>
      </w:r>
      <w:r w:rsidRPr="009B4BAC">
        <w:rPr>
          <w:sz w:val="20"/>
          <w:szCs w:val="20"/>
        </w:rPr>
        <w:t xml:space="preserve"> 4.</w:t>
      </w:r>
      <w:r>
        <w:rPr>
          <w:sz w:val="20"/>
          <w:szCs w:val="20"/>
        </w:rPr>
        <w:t>2.6.</w:t>
      </w:r>
    </w:p>
  </w:footnote>
  <w:footnote w:id="115">
    <w:p w:rsidR="00000000" w:rsidRDefault="00DA1726" w:rsidP="00F33575">
      <w:pPr>
        <w:pStyle w:val="Textonotapie"/>
        <w:jc w:val="both"/>
      </w:pPr>
      <w:r w:rsidRPr="00F33575">
        <w:rPr>
          <w:sz w:val="20"/>
          <w:szCs w:val="20"/>
          <w:vertAlign w:val="superscript"/>
        </w:rPr>
        <w:footnoteRef/>
      </w:r>
      <w:r w:rsidRPr="00F33575">
        <w:rPr>
          <w:sz w:val="20"/>
          <w:szCs w:val="20"/>
        </w:rPr>
        <w:t xml:space="preserve"> Ley 100 de 1993, artículo </w:t>
      </w:r>
      <w:r w:rsidRPr="00F33575">
        <w:rPr>
          <w:sz w:val="20"/>
          <w:szCs w:val="20"/>
          <w:lang w:val="es-ES_tradnl"/>
        </w:rPr>
        <w:t xml:space="preserve">199. </w:t>
      </w:r>
      <w:r w:rsidRPr="00F33575">
        <w:rPr>
          <w:i/>
          <w:sz w:val="20"/>
          <w:szCs w:val="20"/>
          <w:lang w:val="es-ES_tradnl"/>
        </w:rPr>
        <w:t>Información de los Usuarios</w:t>
      </w:r>
      <w:r w:rsidRPr="00F33575">
        <w:rPr>
          <w:sz w:val="20"/>
          <w:szCs w:val="20"/>
          <w:lang w:val="es-ES_tradnl"/>
        </w:rPr>
        <w:t>. El Ministerio de Salud definirá normas de calidad y satisfacción del usuario, pudiendo establecer medidas como tiempos máximos de espera por servicios y métodos de registro en listas de espera, de acuerdo con la patología y necesidades de atención del paciente. || Parágrafo. El Ministerio de Salud solicitará la información que estime necesaria con el objeto de establecer sistemas homogéneos de registro y análisis que permitan periódicamente la evaluación de la calidad del servicio y la sa</w:t>
      </w:r>
      <w:r>
        <w:rPr>
          <w:sz w:val="20"/>
          <w:szCs w:val="20"/>
          <w:lang w:val="es-ES_tradnl"/>
        </w:rPr>
        <w:t>tisfacción del usuario.</w:t>
      </w:r>
    </w:p>
  </w:footnote>
  <w:footnote w:id="116">
    <w:p w:rsidR="00000000" w:rsidRDefault="00DA1726" w:rsidP="00C1323C">
      <w:pPr>
        <w:pStyle w:val="Textonotapie"/>
      </w:pPr>
      <w:r w:rsidRPr="00DE5C71">
        <w:rPr>
          <w:sz w:val="20"/>
          <w:szCs w:val="20"/>
          <w:vertAlign w:val="superscript"/>
        </w:rPr>
        <w:footnoteRef/>
      </w:r>
      <w:r w:rsidRPr="00DE5C71">
        <w:rPr>
          <w:sz w:val="20"/>
          <w:szCs w:val="20"/>
        </w:rPr>
        <w:t xml:space="preserve"> En el actual régimen legal, las entidades encargadas de garantizar la prestación de los servicio de salud </w:t>
      </w:r>
      <w:r>
        <w:rPr>
          <w:sz w:val="20"/>
          <w:szCs w:val="20"/>
        </w:rPr>
        <w:t>a las personas son denominadas “Entidades Promotoras de Salud”-</w:t>
      </w:r>
      <w:r w:rsidRPr="00DE5C71">
        <w:rPr>
          <w:sz w:val="20"/>
          <w:szCs w:val="20"/>
        </w:rPr>
        <w:t xml:space="preserve"> EPS.</w:t>
      </w:r>
    </w:p>
  </w:footnote>
  <w:footnote w:id="117">
    <w:p w:rsidR="00000000" w:rsidRDefault="00DA1726" w:rsidP="00C1323C">
      <w:pPr>
        <w:jc w:val="both"/>
      </w:pPr>
      <w:r w:rsidRPr="00FD4002">
        <w:rPr>
          <w:sz w:val="20"/>
          <w:szCs w:val="20"/>
          <w:vertAlign w:val="superscript"/>
        </w:rPr>
        <w:footnoteRef/>
      </w:r>
      <w:r w:rsidRPr="00FD4002">
        <w:rPr>
          <w:sz w:val="20"/>
          <w:szCs w:val="20"/>
        </w:rPr>
        <w:t xml:space="preserve"> </w:t>
      </w:r>
      <w:r>
        <w:rPr>
          <w:sz w:val="20"/>
          <w:szCs w:val="20"/>
        </w:rPr>
        <w:t xml:space="preserve">Estas prácticas son: </w:t>
      </w:r>
      <w:r w:rsidRPr="00FD4002">
        <w:rPr>
          <w:sz w:val="20"/>
          <w:szCs w:val="20"/>
          <w:lang w:val="es-ES"/>
        </w:rPr>
        <w:t xml:space="preserve">1. </w:t>
      </w:r>
      <w:r w:rsidRPr="00FD4002">
        <w:rPr>
          <w:sz w:val="20"/>
          <w:szCs w:val="20"/>
          <w:lang w:val="es-ES_tradnl"/>
        </w:rPr>
        <w:t>Se niegan a autorizar oportunamente servicios de salud incluidos en el POS.; 2 Se niegan a autorizar oportunamente servicios de salud excluidos del POS que se requieren con necesidad y que no pueden ser costeados por el interesado, bien sea porque su costo le resulta impagable dado su nivel de ingreso o porque le impone una carga desproporcionada; 3. Se niegan a autorizar oportunamente servicios de salud con el argumento de que la persona no ha presentado la solicitud respectiva ante el Comité Técnico Científico -CTC-; 4. Se niegan a autorizar oportunamente servicios de salud con sujeción al principio de integralidad, entendido éste como el no fraccionamiento de las prestaciones que requiera la persona para recuperar su salud; 5. Se niegan a autorizar oportunamente servicios de salud cuando éstos han sido ordenados por un médico que no se encuentra adscrito a la entidad encargada de garantizar la prestación, pero que es un profesional reconocido que hace parte del sistema de salud y cuyo concepto no fue desvirtuado por la entidad con base en razones científicas que consideren el caso específico del paciente; 6. Se niegan a autorizar oportunamente servicios de salud cuando se requiere que la persona se desplace a vivir en un lugar distinto a aquel en el que reside; 7. Se niegan a autorizar oportunamente servicios de salud de alto costo y para tratar enfermedades catastróficas, así como sus exámenes diagnósticos; 8. Se niegan a autorizar oportunamente servicios de salud que requiere un menor para su adecuado desarrollo y que no pueden ser costeados por sus responsables, aun cuando dichos servicios estén excluidos del POS y la vida o la integridad del menor no dependen de su prestación; 9. Se niegan a autorizar oportunamente servicios de salud que se requieren con necesidad, supeditando su prestación al pago de una cuota moderadora; 10. Se niegan a autorizar incapacidades laborales derivadas del estado de salud de la persona con el argumento de que en el pasado no se cumplió con la obligación de cancelar los aportes de salud dentro del plazo establecido para ello; 11. Se niegan a afiliar personas, a pesar de que éstas ya hayan cumplido el tiempo para trasladarse, por el hecho de que dentro de su grupo familiar existe una persona (su hijo, un niño) que padece una enfermedad catastrófica; 12. Interrumpen el suministro de servicios de salud, porque ya transcurrió un mes luego del momento en que la persona dejó de cotizar, en razón a que ahora es desempleado, antes de que éste haya sido en efecto asumido por otro prestador; 13. Cobran copagos a personas que padecen una enfermedad catastrófica o de alto costo; y 14. Se niegan a autorizar servicios de salud que ya han sido ordenados por fallo de tutela.</w:t>
      </w:r>
    </w:p>
  </w:footnote>
  <w:footnote w:id="118">
    <w:p w:rsidR="00000000" w:rsidRDefault="00DA1726" w:rsidP="00C1323C">
      <w:pPr>
        <w:pStyle w:val="Textonotapie"/>
        <w:jc w:val="both"/>
      </w:pPr>
      <w:r w:rsidRPr="00C61A87">
        <w:rPr>
          <w:sz w:val="20"/>
          <w:szCs w:val="20"/>
          <w:vertAlign w:val="superscript"/>
        </w:rPr>
        <w:footnoteRef/>
      </w:r>
      <w:r w:rsidRPr="00C61A87">
        <w:rPr>
          <w:sz w:val="20"/>
          <w:szCs w:val="20"/>
        </w:rPr>
        <w:t xml:space="preserve"> Estas prácticas se encuentran en la Sentencia T-760 de 2008 y fueron sintetizadas en el Auto 044 de 2012.</w:t>
      </w:r>
    </w:p>
  </w:footnote>
  <w:footnote w:id="119">
    <w:p w:rsidR="00000000" w:rsidRDefault="00DA1726" w:rsidP="00867069">
      <w:pPr>
        <w:pStyle w:val="Textonotapie"/>
        <w:jc w:val="both"/>
      </w:pPr>
      <w:r w:rsidRPr="00867069">
        <w:rPr>
          <w:sz w:val="20"/>
          <w:szCs w:val="20"/>
          <w:vertAlign w:val="superscript"/>
        </w:rPr>
        <w:footnoteRef/>
      </w:r>
      <w:r w:rsidRPr="00867069">
        <w:rPr>
          <w:sz w:val="20"/>
          <w:szCs w:val="20"/>
        </w:rPr>
        <w:t xml:space="preserve"> A propósito de la libertad de elección, ver sentencias C-869 de 2010, T-745 de 2013, T-713 de 201 y T-770 de 2011.</w:t>
      </w:r>
    </w:p>
  </w:footnote>
  <w:footnote w:id="120">
    <w:p w:rsidR="00000000" w:rsidRDefault="00DA1726" w:rsidP="00867069">
      <w:pPr>
        <w:pStyle w:val="Textonotapie"/>
      </w:pPr>
      <w:r w:rsidRPr="00867069">
        <w:rPr>
          <w:sz w:val="20"/>
          <w:szCs w:val="20"/>
          <w:vertAlign w:val="superscript"/>
        </w:rPr>
        <w:footnoteRef/>
      </w:r>
      <w:r w:rsidRPr="00867069">
        <w:rPr>
          <w:sz w:val="20"/>
          <w:szCs w:val="20"/>
        </w:rPr>
        <w:t xml:space="preserve"> Corte Constitucional. Sentencia T-920 de 2011.</w:t>
      </w:r>
    </w:p>
  </w:footnote>
  <w:footnote w:id="121">
    <w:p w:rsidR="00000000" w:rsidRDefault="00DA1726" w:rsidP="00FD2E45">
      <w:pPr>
        <w:pStyle w:val="Textonotapie"/>
        <w:jc w:val="both"/>
      </w:pPr>
      <w:r w:rsidRPr="00CB2827">
        <w:rPr>
          <w:color w:val="000000"/>
          <w:sz w:val="20"/>
          <w:szCs w:val="20"/>
          <w:vertAlign w:val="superscript"/>
        </w:rPr>
        <w:footnoteRef/>
      </w:r>
      <w:r w:rsidRPr="00CB2827">
        <w:rPr>
          <w:color w:val="000000"/>
          <w:sz w:val="20"/>
          <w:szCs w:val="20"/>
        </w:rPr>
        <w:t xml:space="preserve"> Es fácilmente comprensible por los usuarios del sistema de salud, independiente a su grado de formación educativa o del régimen (contributivo o subsidiado) al que pertenezcan.</w:t>
      </w:r>
    </w:p>
  </w:footnote>
  <w:footnote w:id="122">
    <w:p w:rsidR="00000000" w:rsidRDefault="00DA1726" w:rsidP="00FD2E45">
      <w:pPr>
        <w:pStyle w:val="Textonotapie"/>
        <w:jc w:val="both"/>
      </w:pPr>
      <w:r w:rsidRPr="00CB2827">
        <w:rPr>
          <w:color w:val="000000"/>
          <w:sz w:val="20"/>
          <w:szCs w:val="20"/>
          <w:vertAlign w:val="superscript"/>
        </w:rPr>
        <w:footnoteRef/>
      </w:r>
      <w:r w:rsidRPr="00CB2827">
        <w:rPr>
          <w:color w:val="000000"/>
          <w:sz w:val="20"/>
          <w:szCs w:val="20"/>
        </w:rPr>
        <w:t xml:space="preserve"> Incluye todos los elementos que debe tener en cuenta una persona para ejercer su derecho a la libre escogencia de EPS e IPS, de forma tal que pueda elegir trasladarse a una entidad mejor o decidir, con suficiente información, no afiliarse a una que incurra en prácticas violatorias del derecho a la salud. </w:t>
      </w:r>
    </w:p>
  </w:footnote>
  <w:footnote w:id="123">
    <w:p w:rsidR="00000000" w:rsidRDefault="00DA1726" w:rsidP="00FD2E45">
      <w:pPr>
        <w:pStyle w:val="Textonotapie"/>
        <w:jc w:val="both"/>
      </w:pPr>
      <w:r w:rsidRPr="00CB2827">
        <w:rPr>
          <w:color w:val="000000"/>
          <w:sz w:val="20"/>
          <w:szCs w:val="20"/>
          <w:vertAlign w:val="superscript"/>
        </w:rPr>
        <w:footnoteRef/>
      </w:r>
      <w:r w:rsidRPr="00CB2827">
        <w:rPr>
          <w:color w:val="000000"/>
          <w:sz w:val="20"/>
          <w:szCs w:val="20"/>
        </w:rPr>
        <w:t xml:space="preserve"> Contiene la información hasta la fecha de corte del </w:t>
      </w:r>
      <w:r w:rsidRPr="00CB2827">
        <w:rPr>
          <w:i/>
          <w:color w:val="000000"/>
          <w:sz w:val="20"/>
          <w:szCs w:val="20"/>
        </w:rPr>
        <w:t>ranking</w:t>
      </w:r>
      <w:r w:rsidRPr="00CB2827">
        <w:rPr>
          <w:color w:val="000000"/>
          <w:sz w:val="20"/>
          <w:szCs w:val="20"/>
        </w:rPr>
        <w:t>.</w:t>
      </w:r>
    </w:p>
  </w:footnote>
  <w:footnote w:id="124">
    <w:p w:rsidR="00000000" w:rsidRDefault="00DA1726" w:rsidP="00FD2E45">
      <w:pPr>
        <w:pStyle w:val="Textonotapie"/>
        <w:jc w:val="both"/>
      </w:pPr>
      <w:r w:rsidRPr="00CB2827">
        <w:rPr>
          <w:color w:val="000000"/>
          <w:sz w:val="20"/>
          <w:szCs w:val="20"/>
          <w:vertAlign w:val="superscript"/>
        </w:rPr>
        <w:footnoteRef/>
      </w:r>
      <w:r w:rsidRPr="00CB2827">
        <w:rPr>
          <w:color w:val="000000"/>
          <w:sz w:val="20"/>
          <w:szCs w:val="20"/>
        </w:rPr>
        <w:t xml:space="preserve"> El acceso a la información contenida en el </w:t>
      </w:r>
      <w:r w:rsidRPr="00CB2827">
        <w:rPr>
          <w:i/>
          <w:color w:val="000000"/>
          <w:sz w:val="20"/>
          <w:szCs w:val="20"/>
        </w:rPr>
        <w:t>ranking</w:t>
      </w:r>
      <w:r w:rsidRPr="00CB2827">
        <w:rPr>
          <w:color w:val="000000"/>
          <w:sz w:val="20"/>
          <w:szCs w:val="20"/>
        </w:rPr>
        <w:t xml:space="preserve"> es de fácil acceso y este es generado a instancia de los entes gubernamentales. En tal sentido, puede constatarse que los datos sobre ordenación de EPS 2013 han sido publicitados de forma suficiente, de manera que todos los habitantes del territorio y, principalmente, la población más vulnerable tiene acceso a ese reporte. </w:t>
      </w:r>
    </w:p>
  </w:footnote>
  <w:footnote w:id="125">
    <w:p w:rsidR="00000000" w:rsidRDefault="00DA1726" w:rsidP="00FD2E45">
      <w:pPr>
        <w:pStyle w:val="Textonotapie"/>
        <w:jc w:val="both"/>
      </w:pPr>
      <w:r w:rsidRPr="00CB2827">
        <w:rPr>
          <w:sz w:val="20"/>
          <w:szCs w:val="20"/>
          <w:vertAlign w:val="superscript"/>
        </w:rPr>
        <w:footnoteRef/>
      </w:r>
      <w:r w:rsidRPr="00CB2827">
        <w:rPr>
          <w:sz w:val="20"/>
          <w:szCs w:val="20"/>
        </w:rPr>
        <w:t xml:space="preserve"> </w:t>
      </w:r>
      <w:r w:rsidRPr="00CB2827">
        <w:rPr>
          <w:i/>
          <w:sz w:val="20"/>
          <w:szCs w:val="20"/>
        </w:rPr>
        <w:t>Cfr</w:t>
      </w:r>
      <w:r w:rsidRPr="00CB2827">
        <w:rPr>
          <w:sz w:val="20"/>
          <w:szCs w:val="20"/>
        </w:rPr>
        <w:t xml:space="preserve">. Auto 044 de 2012, consideración jurídica núm. 8. </w:t>
      </w:r>
    </w:p>
  </w:footnote>
  <w:footnote w:id="126">
    <w:p w:rsidR="00000000" w:rsidRDefault="00DA1726" w:rsidP="00996B3F">
      <w:pPr>
        <w:pStyle w:val="Style10"/>
        <w:widowControl/>
        <w:spacing w:line="240" w:lineRule="auto"/>
        <w:jc w:val="both"/>
      </w:pPr>
      <w:r w:rsidRPr="00C61A87">
        <w:rPr>
          <w:rStyle w:val="FontStyle27"/>
          <w:b w:val="0"/>
          <w:sz w:val="20"/>
          <w:szCs w:val="20"/>
          <w:vertAlign w:val="superscript"/>
          <w:lang w:val="es-ES_tradnl" w:eastAsia="es-ES_tradnl"/>
        </w:rPr>
        <w:footnoteRef/>
      </w:r>
      <w:r w:rsidRPr="00C61A87">
        <w:rPr>
          <w:rStyle w:val="FontStyle27"/>
          <w:b w:val="0"/>
          <w:sz w:val="20"/>
          <w:szCs w:val="20"/>
          <w:lang w:val="es-ES_tradnl" w:eastAsia="es-ES_tradnl"/>
        </w:rPr>
        <w:t xml:space="preserve"> </w:t>
      </w:r>
      <w:r w:rsidRPr="00F27B0A">
        <w:rPr>
          <w:rStyle w:val="FontStyle27"/>
          <w:rFonts w:ascii="Times New Roman" w:hAnsi="Times New Roman" w:cs="Times New Roman"/>
          <w:b w:val="0"/>
          <w:sz w:val="20"/>
          <w:szCs w:val="20"/>
          <w:lang w:val="es-ES_tradnl" w:eastAsia="es-ES_tradnl"/>
        </w:rPr>
        <w:t xml:space="preserve">En el Auto 249 de 2013 se dictaron medidas preventivas para evitar que en el </w:t>
      </w:r>
      <w:r w:rsidRPr="00C61A87">
        <w:rPr>
          <w:rStyle w:val="FontStyle28"/>
          <w:iCs/>
          <w:sz w:val="20"/>
          <w:szCs w:val="20"/>
          <w:lang w:val="es-ES_tradnl" w:eastAsia="es-ES_tradnl"/>
        </w:rPr>
        <w:t>Ranking 2014</w:t>
      </w:r>
      <w:r w:rsidRPr="00F27B0A">
        <w:rPr>
          <w:rStyle w:val="FontStyle28"/>
          <w:b/>
          <w:iCs/>
          <w:sz w:val="20"/>
          <w:szCs w:val="20"/>
          <w:lang w:val="es-ES_tradnl" w:eastAsia="es-ES_tradnl"/>
        </w:rPr>
        <w:t xml:space="preserve"> </w:t>
      </w:r>
      <w:r w:rsidRPr="00F27B0A">
        <w:rPr>
          <w:rStyle w:val="FontStyle27"/>
          <w:rFonts w:ascii="Times New Roman" w:hAnsi="Times New Roman" w:cs="Times New Roman"/>
          <w:b w:val="0"/>
          <w:sz w:val="20"/>
          <w:szCs w:val="20"/>
          <w:lang w:val="es-ES_tradnl" w:eastAsia="es-ES_tradnl"/>
        </w:rPr>
        <w:t>se presentaran las mismas deficiencias que fueron expuestas por los Grupos de Seguimiento y que fueran aceptadas por las autoridades concernidas. Así en el numeral 6 de la citada providencia se estableció:</w:t>
      </w:r>
      <w:r w:rsidRPr="008A0727">
        <w:rPr>
          <w:rStyle w:val="FontStyle27"/>
          <w:sz w:val="20"/>
          <w:szCs w:val="20"/>
          <w:lang w:val="es-ES_tradnl" w:eastAsia="es-ES_tradnl"/>
        </w:rPr>
        <w:t xml:space="preserve"> </w:t>
      </w:r>
      <w:r w:rsidRPr="00C61A87">
        <w:rPr>
          <w:rStyle w:val="FontStyle27"/>
          <w:b w:val="0"/>
          <w:sz w:val="20"/>
          <w:szCs w:val="20"/>
          <w:lang w:val="es-ES_tradnl" w:eastAsia="es-ES_tradnl"/>
        </w:rPr>
        <w:t>“</w:t>
      </w:r>
      <w:r w:rsidRPr="008A0727">
        <w:rPr>
          <w:rStyle w:val="FontStyle28"/>
          <w:iCs/>
          <w:sz w:val="20"/>
          <w:szCs w:val="20"/>
          <w:lang w:val="es-ES_tradnl" w:eastAsia="es-ES_tradnl"/>
        </w:rPr>
        <w:t xml:space="preserve">En este sentido, el ranking debe ser una clasificación por puestos: primero, segundo, tercero, etc., debiéndose ubicar en el primer lugar, por ejemplo, aquel asegurador o prestador </w:t>
      </w:r>
      <w:r>
        <w:rPr>
          <w:rStyle w:val="FontStyle28"/>
          <w:iCs/>
          <w:sz w:val="20"/>
          <w:szCs w:val="20"/>
          <w:lang w:val="es-ES_tradnl" w:eastAsia="es-ES_tradnl"/>
        </w:rPr>
        <w:t>que, a partir de la evaluación ‘</w:t>
      </w:r>
      <w:r w:rsidRPr="008A0727">
        <w:rPr>
          <w:rStyle w:val="FontStyle28"/>
          <w:iCs/>
          <w:sz w:val="20"/>
          <w:szCs w:val="20"/>
          <w:lang w:val="es-ES_tradnl" w:eastAsia="es-ES_tradnl"/>
        </w:rPr>
        <w:t>sobre las prácticas violatorias del derecho a la salud</w:t>
      </w:r>
      <w:r>
        <w:rPr>
          <w:rStyle w:val="FontStyle28"/>
          <w:iCs/>
          <w:sz w:val="20"/>
          <w:szCs w:val="20"/>
          <w:lang w:val="es-ES_tradnl" w:eastAsia="es-ES_tradnl"/>
        </w:rPr>
        <w:t>’</w:t>
      </w:r>
      <w:r w:rsidRPr="008A0727">
        <w:rPr>
          <w:rStyle w:val="FontStyle28"/>
          <w:iCs/>
          <w:sz w:val="20"/>
          <w:szCs w:val="20"/>
          <w:lang w:val="es-ES_tradnl" w:eastAsia="es-ES_tradnl"/>
        </w:rPr>
        <w:t xml:space="preserve"> y teniendo como fuente un sistema de información confiable y de calidad, sea el que menos incurra en ellas; mientras que en el último puesto ha de registrarse aquella entidad que más reportes posea. Esta relación por ubicación debe compaginarse con una clasificación porcentual, en la cual el 100% corresponde a aquella entidad que no tiene reportes sobre violaciones al derecho a la salud y el </w:t>
      </w:r>
      <w:r>
        <w:rPr>
          <w:rStyle w:val="FontStyle28"/>
          <w:iCs/>
          <w:sz w:val="20"/>
          <w:szCs w:val="20"/>
          <w:lang w:val="es-ES_tradnl" w:eastAsia="es-ES_tradnl"/>
        </w:rPr>
        <w:t>0% aquella que cuenta con más.”</w:t>
      </w:r>
    </w:p>
  </w:footnote>
  <w:footnote w:id="127">
    <w:p w:rsidR="00000000" w:rsidRDefault="00DA1726" w:rsidP="004D36B4">
      <w:pPr>
        <w:pStyle w:val="Textonotapie"/>
      </w:pPr>
      <w:r w:rsidRPr="008F7B0C">
        <w:rPr>
          <w:sz w:val="20"/>
          <w:szCs w:val="20"/>
          <w:vertAlign w:val="superscript"/>
        </w:rPr>
        <w:footnoteRef/>
      </w:r>
      <w:r w:rsidRPr="008F7B0C">
        <w:rPr>
          <w:sz w:val="20"/>
          <w:szCs w:val="20"/>
        </w:rPr>
        <w:t xml:space="preserve"> Auto 412 de 2015, fundamento jurídico 5.2.6.</w:t>
      </w:r>
    </w:p>
  </w:footnote>
  <w:footnote w:id="128">
    <w:p w:rsidR="00000000" w:rsidRDefault="00DA1726" w:rsidP="00382319">
      <w:pPr>
        <w:pStyle w:val="Textonotapie"/>
        <w:jc w:val="both"/>
      </w:pPr>
      <w:r w:rsidRPr="00382319">
        <w:rPr>
          <w:sz w:val="20"/>
          <w:szCs w:val="20"/>
          <w:vertAlign w:val="superscript"/>
        </w:rPr>
        <w:footnoteRef/>
      </w:r>
      <w:r w:rsidRPr="00382319">
        <w:rPr>
          <w:sz w:val="20"/>
          <w:szCs w:val="20"/>
        </w:rPr>
        <w:t xml:space="preserve"> Esta artículo es aplicable a las Instituciones Prestadoras de Salud, de acuerdo a lo consagrado en el artículo 232 de la Ley 100 de 1993, que al respecto reza: </w:t>
      </w:r>
      <w:r w:rsidRPr="00382319">
        <w:rPr>
          <w:i/>
          <w:sz w:val="20"/>
          <w:szCs w:val="20"/>
        </w:rPr>
        <w:t>“A las Instituciones prestadoras de servicios de Salud se les aplicarán las disposiciones contenidas en los artículos 225, 227 y 228 de que trata la presente Ley, de acuerdo con la reglamentación que se expida para el efecto”.</w:t>
      </w:r>
    </w:p>
  </w:footnote>
  <w:footnote w:id="129">
    <w:p w:rsidR="00000000" w:rsidRDefault="00DA1726" w:rsidP="00FB4F7A">
      <w:pPr>
        <w:pStyle w:val="Textonotapie"/>
        <w:jc w:val="both"/>
      </w:pPr>
      <w:r w:rsidRPr="00FB4F7A">
        <w:rPr>
          <w:sz w:val="20"/>
          <w:szCs w:val="20"/>
          <w:vertAlign w:val="superscript"/>
        </w:rPr>
        <w:footnoteRef/>
      </w:r>
      <w:r w:rsidRPr="00FB4F7A">
        <w:rPr>
          <w:sz w:val="20"/>
          <w:szCs w:val="20"/>
        </w:rPr>
        <w:t xml:space="preserve"> Este acto administrativo tiene efectos a partir de la vigencia 2016, así el primer reporte se realizó de conformidad con las disposiciones de la presente resolución y dentro de los plazos establecidos en ella (art. 15).</w:t>
      </w:r>
    </w:p>
  </w:footnote>
  <w:footnote w:id="130">
    <w:p w:rsidR="00000000" w:rsidRDefault="00DA1726" w:rsidP="00B626AD">
      <w:pPr>
        <w:pStyle w:val="Textonotapie"/>
        <w:jc w:val="both"/>
      </w:pPr>
      <w:r w:rsidRPr="00B626AD">
        <w:rPr>
          <w:sz w:val="20"/>
          <w:szCs w:val="20"/>
          <w:vertAlign w:val="superscript"/>
        </w:rPr>
        <w:footnoteRef/>
      </w:r>
      <w:r w:rsidRPr="00B626AD">
        <w:rPr>
          <w:sz w:val="20"/>
          <w:szCs w:val="20"/>
        </w:rPr>
        <w:t xml:space="preserve"> </w:t>
      </w:r>
      <w:r w:rsidRPr="00B626AD">
        <w:rPr>
          <w:color w:val="000000"/>
          <w:sz w:val="20"/>
          <w:szCs w:val="20"/>
          <w:lang w:val="es-ES"/>
        </w:rPr>
        <w:t>De acuerdo a lo establecido en el Auto 412 de 2015, este rango podría definirse, por ejemplo, en que más del 15% de los usuarios de una EPS ha</w:t>
      </w:r>
      <w:r>
        <w:rPr>
          <w:color w:val="000000"/>
          <w:sz w:val="20"/>
          <w:szCs w:val="20"/>
          <w:lang w:val="es-ES"/>
        </w:rPr>
        <w:t>n</w:t>
      </w:r>
      <w:r w:rsidRPr="00B626AD">
        <w:rPr>
          <w:color w:val="000000"/>
          <w:sz w:val="20"/>
          <w:szCs w:val="20"/>
          <w:lang w:val="es-ES"/>
        </w:rPr>
        <w:t xml:space="preserve"> sido perjudicado</w:t>
      </w:r>
      <w:r>
        <w:rPr>
          <w:color w:val="000000"/>
          <w:sz w:val="20"/>
          <w:szCs w:val="20"/>
          <w:lang w:val="es-ES"/>
        </w:rPr>
        <w:t>s</w:t>
      </w:r>
      <w:r w:rsidRPr="00B626AD">
        <w:rPr>
          <w:color w:val="000000"/>
          <w:sz w:val="20"/>
          <w:szCs w:val="20"/>
          <w:lang w:val="es-ES"/>
        </w:rPr>
        <w:t xml:space="preserve"> por una práctica violatoria del derecho a la salud dentro d</w:t>
      </w:r>
      <w:r>
        <w:rPr>
          <w:color w:val="000000"/>
          <w:sz w:val="20"/>
          <w:szCs w:val="20"/>
          <w:lang w:val="es-ES"/>
        </w:rPr>
        <w:t>e determinado espa</w:t>
      </w:r>
      <w:r w:rsidRPr="00B626AD">
        <w:rPr>
          <w:color w:val="000000"/>
          <w:sz w:val="20"/>
          <w:szCs w:val="20"/>
          <w:lang w:val="es-ES"/>
        </w:rPr>
        <w:t>cio de tiempo</w:t>
      </w:r>
      <w:r>
        <w:rPr>
          <w:color w:val="000000"/>
          <w:sz w:val="20"/>
          <w:szCs w:val="20"/>
          <w:lang w:val="es-ES"/>
        </w:rPr>
        <w:t>.</w:t>
      </w:r>
    </w:p>
  </w:footnote>
  <w:footnote w:id="131">
    <w:p w:rsidR="00000000" w:rsidRDefault="00DA1726" w:rsidP="00AB0328">
      <w:pPr>
        <w:pStyle w:val="Textonotapie"/>
        <w:jc w:val="both"/>
      </w:pPr>
      <w:r w:rsidRPr="00737CEC">
        <w:rPr>
          <w:sz w:val="20"/>
          <w:szCs w:val="20"/>
          <w:vertAlign w:val="superscript"/>
        </w:rPr>
        <w:footnoteRef/>
      </w:r>
      <w:r w:rsidRPr="00737CEC">
        <w:rPr>
          <w:sz w:val="20"/>
          <w:szCs w:val="20"/>
        </w:rPr>
        <w:t xml:space="preserve"> De acuerdo a lo expuesto por el Ministerio y la Superintendencia, e</w:t>
      </w:r>
      <w:r w:rsidRPr="00737CEC">
        <w:rPr>
          <w:sz w:val="20"/>
          <w:szCs w:val="20"/>
          <w:lang w:val="es-ES_tradnl"/>
        </w:rPr>
        <w:t>l contenido de estas estructuras fue</w:t>
      </w:r>
      <w:r>
        <w:rPr>
          <w:sz w:val="20"/>
          <w:szCs w:val="20"/>
          <w:lang w:val="es-ES_tradnl"/>
        </w:rPr>
        <w:t>ron</w:t>
      </w:r>
      <w:r w:rsidRPr="00737CEC">
        <w:rPr>
          <w:sz w:val="20"/>
          <w:szCs w:val="20"/>
          <w:lang w:val="es-ES_tradnl"/>
        </w:rPr>
        <w:t xml:space="preserve"> definido</w:t>
      </w:r>
      <w:r>
        <w:rPr>
          <w:sz w:val="20"/>
          <w:szCs w:val="20"/>
          <w:lang w:val="es-ES_tradnl"/>
        </w:rPr>
        <w:t>s</w:t>
      </w:r>
      <w:r w:rsidRPr="00737CEC">
        <w:rPr>
          <w:sz w:val="20"/>
          <w:szCs w:val="20"/>
          <w:lang w:val="es-ES_tradnl"/>
        </w:rPr>
        <w:t xml:space="preserve"> a través de variables seleccionadas teniendo en cuenta los procesos propios del aseguramiento y garantía de la prestación de los servicios de salud, que desde la concepción del SGSSS se encuentran como de obligatorio cumplimiento para las </w:t>
      </w:r>
      <w:r w:rsidRPr="00EA4FAC">
        <w:rPr>
          <w:sz w:val="20"/>
          <w:szCs w:val="20"/>
          <w:lang w:val="es-ES_tradnl"/>
        </w:rPr>
        <w:t>EPS</w:t>
      </w:r>
      <w:r w:rsidRPr="00737CEC">
        <w:rPr>
          <w:sz w:val="20"/>
          <w:szCs w:val="20"/>
          <w:lang w:val="es-ES_tradnl"/>
        </w:rPr>
        <w:t xml:space="preserve"> de régimen contributivo y subsidiado</w:t>
      </w:r>
      <w:r w:rsidRPr="00737CEC">
        <w:rPr>
          <w:sz w:val="20"/>
          <w:szCs w:val="20"/>
        </w:rPr>
        <w:t>.</w:t>
      </w:r>
    </w:p>
  </w:footnote>
  <w:footnote w:id="132">
    <w:p w:rsidR="00000000" w:rsidRDefault="00DA1726" w:rsidP="00994370">
      <w:pPr>
        <w:pStyle w:val="Textonotapie"/>
        <w:jc w:val="both"/>
      </w:pPr>
      <w:r w:rsidRPr="00994370">
        <w:rPr>
          <w:sz w:val="20"/>
          <w:szCs w:val="20"/>
          <w:vertAlign w:val="superscript"/>
        </w:rPr>
        <w:footnoteRef/>
      </w:r>
      <w:r w:rsidRPr="00994370">
        <w:rPr>
          <w:sz w:val="20"/>
          <w:szCs w:val="20"/>
        </w:rPr>
        <w:t xml:space="preserve"> </w:t>
      </w:r>
      <w:r w:rsidRPr="00994370">
        <w:rPr>
          <w:b/>
          <w:bCs/>
          <w:sz w:val="20"/>
          <w:szCs w:val="20"/>
          <w:lang w:val="es-ES_tradnl"/>
        </w:rPr>
        <w:t xml:space="preserve">Criterio 5: </w:t>
      </w:r>
      <w:r w:rsidRPr="00994370">
        <w:rPr>
          <w:bCs/>
          <w:sz w:val="20"/>
          <w:szCs w:val="20"/>
          <w:lang w:val="es-ES_tradnl"/>
        </w:rPr>
        <w:t>S</w:t>
      </w:r>
      <w:r w:rsidRPr="00994370">
        <w:rPr>
          <w:iCs/>
          <w:sz w:val="20"/>
          <w:szCs w:val="20"/>
          <w:lang w:val="es-ES_tradnl"/>
        </w:rPr>
        <w:t>e niegan a autorizar oportunamente servicios de salud cuando éstos han sido ordenados por un médico que no se encuentra adscrito a la entidad encargada de garantizar la prestación, pero que es un profesional reconocido que hace parte del sistema de salud y cuyo concepto no fue desvirtuado por la entidad con base en razones científicas que consideren el caso específico del paciente.</w:t>
      </w:r>
    </w:p>
  </w:footnote>
  <w:footnote w:id="133">
    <w:p w:rsidR="00000000" w:rsidRDefault="00DA1726" w:rsidP="00994370">
      <w:pPr>
        <w:pStyle w:val="Textonotapie"/>
        <w:jc w:val="both"/>
      </w:pPr>
      <w:r w:rsidRPr="00CC24DF">
        <w:rPr>
          <w:sz w:val="20"/>
          <w:szCs w:val="20"/>
          <w:vertAlign w:val="superscript"/>
        </w:rPr>
        <w:footnoteRef/>
      </w:r>
      <w:r w:rsidRPr="00CC24DF">
        <w:rPr>
          <w:sz w:val="20"/>
          <w:szCs w:val="20"/>
        </w:rPr>
        <w:t xml:space="preserve"> </w:t>
      </w:r>
      <w:r w:rsidRPr="00994370">
        <w:rPr>
          <w:b/>
          <w:bCs/>
          <w:sz w:val="20"/>
          <w:szCs w:val="20"/>
          <w:lang w:val="es-ES_tradnl"/>
        </w:rPr>
        <w:t>Criterio 10:</w:t>
      </w:r>
      <w:r w:rsidRPr="00994370">
        <w:rPr>
          <w:bCs/>
          <w:sz w:val="20"/>
          <w:szCs w:val="20"/>
          <w:lang w:val="es-ES_tradnl"/>
        </w:rPr>
        <w:t xml:space="preserve"> Se niegan a autorizar incapacidades laborales derivadas del estado de salud de la persona con el argumento de que en el pasado no se cumplió con la obligación de cancelar los aportes de salud dentro del plazo establecido para ello.</w:t>
      </w:r>
    </w:p>
  </w:footnote>
  <w:footnote w:id="134">
    <w:p w:rsidR="00000000" w:rsidRDefault="00DA1726" w:rsidP="00994370">
      <w:pPr>
        <w:pStyle w:val="Textonotapie"/>
        <w:jc w:val="both"/>
      </w:pPr>
      <w:r w:rsidRPr="00994370">
        <w:rPr>
          <w:sz w:val="20"/>
          <w:szCs w:val="20"/>
          <w:vertAlign w:val="superscript"/>
        </w:rPr>
        <w:footnoteRef/>
      </w:r>
      <w:r w:rsidRPr="00994370">
        <w:rPr>
          <w:sz w:val="20"/>
          <w:szCs w:val="20"/>
        </w:rPr>
        <w:t xml:space="preserve"> </w:t>
      </w:r>
      <w:r w:rsidRPr="00994370">
        <w:rPr>
          <w:b/>
          <w:bCs/>
          <w:sz w:val="20"/>
          <w:szCs w:val="20"/>
          <w:lang w:val="es-ES_tradnl"/>
        </w:rPr>
        <w:t>Criterio 11:</w:t>
      </w:r>
      <w:r w:rsidRPr="00994370">
        <w:rPr>
          <w:bCs/>
          <w:sz w:val="20"/>
          <w:szCs w:val="20"/>
          <w:lang w:val="es-ES_tradnl"/>
        </w:rPr>
        <w:t xml:space="preserve"> Se niegan a afiliar personas, a pesar de que éstas ya hayan cumplido el tiempo para trasladarse, por el hecho de que dentro de su grupo familiar existe una persona (su hijo, un niño) que padece una enfermedad catastrófica</w:t>
      </w:r>
      <w:r>
        <w:rPr>
          <w:bCs/>
          <w:sz w:val="20"/>
          <w:szCs w:val="20"/>
          <w:lang w:val="es-ES_tradnl"/>
        </w:rPr>
        <w:t>.</w:t>
      </w:r>
    </w:p>
  </w:footnote>
  <w:footnote w:id="135">
    <w:p w:rsidR="00000000" w:rsidRDefault="00DA1726" w:rsidP="00C531C0">
      <w:pPr>
        <w:pStyle w:val="Textonotapie"/>
        <w:jc w:val="both"/>
      </w:pPr>
      <w:r w:rsidRPr="00C531C0">
        <w:rPr>
          <w:sz w:val="20"/>
          <w:szCs w:val="20"/>
          <w:vertAlign w:val="superscript"/>
        </w:rPr>
        <w:footnoteRef/>
      </w:r>
      <w:r w:rsidRPr="00C531C0">
        <w:rPr>
          <w:sz w:val="20"/>
          <w:szCs w:val="20"/>
        </w:rPr>
        <w:t xml:space="preserve"> </w:t>
      </w:r>
      <w:r w:rsidRPr="00C531C0">
        <w:rPr>
          <w:b/>
          <w:bCs/>
          <w:sz w:val="20"/>
          <w:szCs w:val="20"/>
          <w:lang w:val="es-ES_tradnl"/>
        </w:rPr>
        <w:t xml:space="preserve">Criterio 12: </w:t>
      </w:r>
      <w:r w:rsidRPr="00C531C0">
        <w:rPr>
          <w:sz w:val="20"/>
          <w:szCs w:val="20"/>
          <w:lang w:val="es-ES_tradnl"/>
        </w:rPr>
        <w:t>Interrumpen el suministro de servicios de salud, porque ya transcurrió un mes luego del momento en que la persona dejó de cotizar, en razón a que ahora es desempleado, antes de que éste haya sido en efecto asumido por otro prestador.</w:t>
      </w:r>
    </w:p>
  </w:footnote>
  <w:footnote w:id="136">
    <w:p w:rsidR="00000000" w:rsidRDefault="00DA1726" w:rsidP="00CD6928">
      <w:pPr>
        <w:pStyle w:val="Textonotapie"/>
        <w:jc w:val="both"/>
      </w:pPr>
      <w:r w:rsidRPr="00E43EAA">
        <w:rPr>
          <w:sz w:val="20"/>
          <w:szCs w:val="20"/>
          <w:vertAlign w:val="superscript"/>
        </w:rPr>
        <w:footnoteRef/>
      </w:r>
      <w:r w:rsidRPr="00E43EAA">
        <w:rPr>
          <w:sz w:val="20"/>
          <w:szCs w:val="20"/>
        </w:rPr>
        <w:t xml:space="preserve"> P</w:t>
      </w:r>
      <w:r w:rsidRPr="00E43EAA">
        <w:rPr>
          <w:bCs/>
          <w:sz w:val="20"/>
          <w:szCs w:val="20"/>
        </w:rPr>
        <w:t xml:space="preserve">or la cual se define el Sistema de Información para la Calidad y se adoptan los indicadores de monitoría del Sistema Obligatorio de Garantía de Calidad de la Atención en Salud. </w:t>
      </w:r>
      <w:r>
        <w:rPr>
          <w:bCs/>
          <w:sz w:val="20"/>
          <w:szCs w:val="20"/>
        </w:rPr>
        <w:t>Tiene por objeto</w:t>
      </w:r>
      <w:r w:rsidRPr="00E43EAA">
        <w:rPr>
          <w:bCs/>
          <w:sz w:val="20"/>
          <w:szCs w:val="20"/>
        </w:rPr>
        <w:t xml:space="preserve"> </w:t>
      </w:r>
      <w:r>
        <w:rPr>
          <w:bCs/>
          <w:i/>
          <w:sz w:val="20"/>
          <w:szCs w:val="20"/>
        </w:rPr>
        <w:t>“</w:t>
      </w:r>
      <w:r w:rsidRPr="00930759">
        <w:rPr>
          <w:bCs/>
          <w:i/>
          <w:sz w:val="20"/>
          <w:szCs w:val="20"/>
        </w:rPr>
        <w:t>definir y establecer las condiciones y procedimientos para disponer de la información que permita: 1. Realizar el seguimiento y evaluación de la gestión de la calidad de la atención en salud en el Sistema Obligatorio de Garantía de Calidad de la Atención en Salud. 2. Brindar información a los usuarios para elegir libremente con base a la calidad de los servicios, de manera que puedan tomar decisiones informadas en el momento de ejercer los derechos que para ellos contempla el Sistema General de Seguridad Social en Salud. 3. Ofrecer insumos para la referenciación por calidad que permita materializar los incentivos de prestigio del Sistema</w:t>
      </w:r>
      <w:r>
        <w:rPr>
          <w:bCs/>
          <w:i/>
          <w:sz w:val="20"/>
          <w:szCs w:val="20"/>
        </w:rPr>
        <w:t>”</w:t>
      </w:r>
      <w:r w:rsidRPr="00E43EAA">
        <w:rPr>
          <w:bCs/>
          <w:sz w:val="20"/>
          <w:szCs w:val="20"/>
        </w:rPr>
        <w:t>.</w:t>
      </w:r>
    </w:p>
  </w:footnote>
  <w:footnote w:id="137">
    <w:p w:rsidR="00000000" w:rsidRDefault="00DA1726" w:rsidP="003977D7">
      <w:pPr>
        <w:pStyle w:val="Textonotapie"/>
        <w:jc w:val="both"/>
      </w:pPr>
      <w:r w:rsidRPr="00B07265">
        <w:rPr>
          <w:sz w:val="20"/>
          <w:szCs w:val="20"/>
          <w:vertAlign w:val="superscript"/>
        </w:rPr>
        <w:footnoteRef/>
      </w:r>
      <w:r w:rsidRPr="00B07265">
        <w:rPr>
          <w:sz w:val="20"/>
          <w:szCs w:val="20"/>
        </w:rPr>
        <w:t xml:space="preserve"> El presente decreto tiene como objeto actualizar y unificar las condiciones financieras y de solvencia de las Entidades Promotoras de Salud (EPS) autorizadas para operar el aseguramiento en salud, así como los criterios generales para que la información financiera reúna las condiciones de veracidad, consistencia y confiabilidad necesarias para la adecuada y eficaz inspección, vigilancia y control. Las condiciones de que trata el presente decreto serán exigibles para la habilitación y para la permanencia de las EPS.</w:t>
      </w:r>
    </w:p>
  </w:footnote>
  <w:footnote w:id="138">
    <w:p w:rsidR="00000000" w:rsidRDefault="00DA1726" w:rsidP="008909E4">
      <w:pPr>
        <w:pStyle w:val="Textonotapie"/>
        <w:jc w:val="both"/>
      </w:pPr>
      <w:r w:rsidRPr="008909E4">
        <w:rPr>
          <w:sz w:val="20"/>
          <w:szCs w:val="20"/>
          <w:vertAlign w:val="superscript"/>
        </w:rPr>
        <w:footnoteRef/>
      </w:r>
      <w:r w:rsidRPr="008909E4">
        <w:rPr>
          <w:sz w:val="20"/>
          <w:szCs w:val="20"/>
        </w:rPr>
        <w:t xml:space="preserve"> En este punto se citan las intervenciones de los peritos constitucionales que específicamente se refirieron a</w:t>
      </w:r>
      <w:r>
        <w:rPr>
          <w:sz w:val="20"/>
          <w:szCs w:val="20"/>
        </w:rPr>
        <w:t xml:space="preserve">l </w:t>
      </w:r>
      <w:r>
        <w:rPr>
          <w:i/>
          <w:sz w:val="20"/>
          <w:szCs w:val="20"/>
        </w:rPr>
        <w:t xml:space="preserve">ranking </w:t>
      </w:r>
      <w:r>
        <w:rPr>
          <w:sz w:val="20"/>
          <w:szCs w:val="20"/>
        </w:rPr>
        <w:t>de EPS</w:t>
      </w:r>
      <w:r w:rsidRPr="008909E4">
        <w:rPr>
          <w:sz w:val="20"/>
          <w:szCs w:val="20"/>
        </w:rPr>
        <w:t>, en los apartes correspondientes.</w:t>
      </w:r>
    </w:p>
  </w:footnote>
  <w:footnote w:id="139">
    <w:p w:rsidR="00000000" w:rsidRDefault="00DA1726" w:rsidP="0090606F">
      <w:pPr>
        <w:pStyle w:val="Textonotapie"/>
        <w:jc w:val="both"/>
      </w:pPr>
      <w:r w:rsidRPr="00DB6618">
        <w:rPr>
          <w:sz w:val="20"/>
          <w:szCs w:val="20"/>
          <w:vertAlign w:val="superscript"/>
        </w:rPr>
        <w:footnoteRef/>
      </w:r>
      <w:r w:rsidRPr="00DB6618">
        <w:rPr>
          <w:sz w:val="20"/>
          <w:szCs w:val="20"/>
        </w:rPr>
        <w:t xml:space="preserve"> </w:t>
      </w:r>
      <w:r w:rsidRPr="00DB6618">
        <w:rPr>
          <w:i/>
          <w:sz w:val="20"/>
          <w:szCs w:val="20"/>
          <w:lang w:val="es-ES_tradnl"/>
        </w:rPr>
        <w:t>“Para acceder a servicios y tecnologías de salud no se requerirá ningún tipo de autorización administrativa entre el prestador de servicios y la entidad que cumpla la función de gestión de servicios de salud cuando se trate de atención inicial de urgencia y en aquellas circunstancias que determine el Ministerio</w:t>
      </w:r>
      <w:r>
        <w:rPr>
          <w:i/>
          <w:sz w:val="20"/>
          <w:szCs w:val="20"/>
          <w:lang w:val="es-ES_tradnl"/>
        </w:rPr>
        <w:t xml:space="preserve"> de Salud y Protección Social</w:t>
      </w:r>
      <w:r w:rsidRPr="00DB6618">
        <w:rPr>
          <w:i/>
          <w:sz w:val="20"/>
          <w:szCs w:val="20"/>
          <w:lang w:val="es-ES_tradnl"/>
        </w:rPr>
        <w:t>”</w:t>
      </w:r>
      <w:r>
        <w:rPr>
          <w:i/>
          <w:sz w:val="20"/>
          <w:szCs w:val="20"/>
          <w:lang w:val="es-ES_tradnl"/>
        </w:rPr>
        <w:t>.</w:t>
      </w:r>
    </w:p>
  </w:footnote>
  <w:footnote w:id="140">
    <w:p w:rsidR="00000000" w:rsidRDefault="00DA1726" w:rsidP="0090606F">
      <w:pPr>
        <w:pStyle w:val="Textonotapie"/>
        <w:jc w:val="both"/>
      </w:pPr>
      <w:r w:rsidRPr="001D64B2">
        <w:rPr>
          <w:sz w:val="20"/>
          <w:szCs w:val="20"/>
          <w:vertAlign w:val="superscript"/>
        </w:rPr>
        <w:footnoteRef/>
      </w:r>
      <w:r w:rsidRPr="001D64B2">
        <w:rPr>
          <w:sz w:val="20"/>
          <w:szCs w:val="20"/>
        </w:rPr>
        <w:t xml:space="preserve">Decreto proferido por el Alcalde Mayor de Bogotá, a través del cual </w:t>
      </w:r>
      <w:r w:rsidRPr="001D64B2">
        <w:rPr>
          <w:i/>
          <w:sz w:val="20"/>
          <w:szCs w:val="20"/>
        </w:rPr>
        <w:t>“se adopta la estructura interna de la Secretaría Distrital de Planeación y se dictan otras disposiciones”</w:t>
      </w:r>
      <w:r w:rsidRPr="001D64B2">
        <w:rPr>
          <w:sz w:val="20"/>
          <w:szCs w:val="20"/>
        </w:rPr>
        <w:t>.</w:t>
      </w:r>
    </w:p>
  </w:footnote>
  <w:footnote w:id="141">
    <w:p w:rsidR="00000000" w:rsidRDefault="00DA1726" w:rsidP="0090606F">
      <w:pPr>
        <w:pStyle w:val="Prrafodelista"/>
        <w:ind w:left="0"/>
        <w:jc w:val="both"/>
      </w:pPr>
      <w:r w:rsidRPr="004003AF">
        <w:rPr>
          <w:sz w:val="20"/>
          <w:szCs w:val="20"/>
          <w:vertAlign w:val="superscript"/>
        </w:rPr>
        <w:footnoteRef/>
      </w:r>
      <w:r w:rsidRPr="004003AF">
        <w:rPr>
          <w:sz w:val="20"/>
          <w:szCs w:val="20"/>
        </w:rPr>
        <w:t xml:space="preserve"> </w:t>
      </w:r>
      <w:r w:rsidRPr="004003AF">
        <w:rPr>
          <w:sz w:val="20"/>
          <w:szCs w:val="20"/>
          <w:lang w:val="es-ES_tradnl" w:eastAsia="es-ES_tradnl"/>
        </w:rPr>
        <w:t>Como soporte de esta afirmación explicó que en las estadísticas aportadas por el Convenio de Cooperación Interinstitucional para garantizar la Portabilidad Nacional del Seguro de Salud de los Afiliados al SGSSS suscrito entre las EPS Emssanar, Asmet Salud, Salud Vida, Coosalud, Ecoopsos, Comparta y Ambuq, EPS del régimen subsidiado asociadas a Gestarsalud, se muestra una tendencia creciente del uso de la portabilidad del seguro de salud por parte de los afiliados que inicio su implementación en el mes de noviembre de 2013, con un total de 128 solicitudes y al corte abril de 2015 se tienen 61.030 solicitudes tramitadas a través de las EPS que hacen parte del Convenio.</w:t>
      </w:r>
    </w:p>
  </w:footnote>
  <w:footnote w:id="142">
    <w:p w:rsidR="00000000" w:rsidRDefault="00DA1726" w:rsidP="0090606F">
      <w:pPr>
        <w:pStyle w:val="Textonotapie"/>
      </w:pPr>
      <w:r w:rsidRPr="007571CC">
        <w:rPr>
          <w:sz w:val="20"/>
          <w:szCs w:val="20"/>
          <w:vertAlign w:val="superscript"/>
        </w:rPr>
        <w:footnoteRef/>
      </w:r>
      <w:r w:rsidRPr="007571CC">
        <w:rPr>
          <w:sz w:val="20"/>
          <w:szCs w:val="20"/>
        </w:rPr>
        <w:t xml:space="preserve"> Por el cual se establecen reglas sobre movilidad entre regímenes para afiliados focalizados en los niveles I y II del Sisbén.</w:t>
      </w:r>
    </w:p>
  </w:footnote>
  <w:footnote w:id="143">
    <w:p w:rsidR="00000000" w:rsidRDefault="00DA1726" w:rsidP="0090606F">
      <w:pPr>
        <w:pStyle w:val="Textonotapie"/>
        <w:jc w:val="both"/>
      </w:pPr>
      <w:r w:rsidRPr="006F3EAA">
        <w:rPr>
          <w:sz w:val="20"/>
          <w:szCs w:val="20"/>
          <w:vertAlign w:val="superscript"/>
        </w:rPr>
        <w:footnoteRef/>
      </w:r>
      <w:r w:rsidRPr="006F3EAA">
        <w:rPr>
          <w:sz w:val="20"/>
          <w:szCs w:val="20"/>
        </w:rPr>
        <w:t xml:space="preserve"> El artículo 6 de la Ley 1751 de 2015 señala que el derecho fundamental a la salud incluye los siguientes elementos esenciales e interrelacionados: universalidad, </w:t>
      </w:r>
      <w:r w:rsidRPr="006F3EAA">
        <w:rPr>
          <w:i/>
          <w:sz w:val="20"/>
          <w:szCs w:val="20"/>
        </w:rPr>
        <w:t>pro homine</w:t>
      </w:r>
      <w:r w:rsidRPr="006F3EAA">
        <w:rPr>
          <w:sz w:val="20"/>
          <w:szCs w:val="20"/>
        </w:rPr>
        <w:t>, equidad, continuidad, oportunidad, prevalencia de derechos, progresividad del derecho, libre elección, sostenibilidad solidaridad, eficiencia, interculturalidad, protección a los pueblos indígenas, y protección a los pueblos y comunidades indígenas, ROM y negras, afrocolombianas, raizales y palanqueros.</w:t>
      </w:r>
    </w:p>
  </w:footnote>
  <w:footnote w:id="144">
    <w:p w:rsidR="00000000" w:rsidRDefault="00DA1726">
      <w:pPr>
        <w:pStyle w:val="Textonotapie"/>
      </w:pPr>
      <w:r w:rsidRPr="00C93F04">
        <w:rPr>
          <w:sz w:val="20"/>
          <w:szCs w:val="20"/>
          <w:vertAlign w:val="superscript"/>
        </w:rPr>
        <w:footnoteRef/>
      </w:r>
      <w:r w:rsidRPr="00C93F04">
        <w:rPr>
          <w:sz w:val="20"/>
          <w:szCs w:val="20"/>
        </w:rPr>
        <w:t xml:space="preserve"> </w:t>
      </w:r>
      <w:r w:rsidRPr="00C93F04">
        <w:rPr>
          <w:i/>
          <w:sz w:val="20"/>
          <w:szCs w:val="20"/>
        </w:rPr>
        <w:t xml:space="preserve">Cfr. </w:t>
      </w:r>
      <w:r w:rsidRPr="00C93F04">
        <w:rPr>
          <w:sz w:val="20"/>
          <w:szCs w:val="20"/>
        </w:rPr>
        <w:t>Auto 150 de 2014.</w:t>
      </w:r>
    </w:p>
  </w:footnote>
  <w:footnote w:id="145">
    <w:p w:rsidR="00000000" w:rsidRDefault="00DA1726">
      <w:pPr>
        <w:pStyle w:val="Textonotapie"/>
      </w:pPr>
      <w:r w:rsidRPr="006F7803">
        <w:rPr>
          <w:sz w:val="20"/>
          <w:szCs w:val="20"/>
          <w:vertAlign w:val="superscript"/>
        </w:rPr>
        <w:footnoteRef/>
      </w:r>
      <w:r w:rsidRPr="006F7803">
        <w:rPr>
          <w:sz w:val="20"/>
          <w:szCs w:val="20"/>
        </w:rPr>
        <w:t xml:space="preserve"> Consultado de la página web </w:t>
      </w:r>
      <w:hyperlink r:id="rId5" w:history="1">
        <w:r w:rsidRPr="006F7803">
          <w:rPr>
            <w:rStyle w:val="Hipervnculo"/>
            <w:sz w:val="20"/>
            <w:szCs w:val="20"/>
          </w:rPr>
          <w:t>http://calidadensalud.minsalud.gov.co/Observatorio/InformesdeCalidad/OrdenamientodeEPS.aspx</w:t>
        </w:r>
      </w:hyperlink>
      <w:r w:rsidRPr="006F7803">
        <w:rPr>
          <w:sz w:val="20"/>
          <w:szCs w:val="20"/>
        </w:rPr>
        <w:t>, el 30 de noviembre de 2016.</w:t>
      </w:r>
    </w:p>
  </w:footnote>
  <w:footnote w:id="146">
    <w:p w:rsidR="00000000" w:rsidRDefault="00DA1726" w:rsidP="00401BCE">
      <w:pPr>
        <w:pStyle w:val="Textonotapie"/>
        <w:jc w:val="both"/>
      </w:pPr>
      <w:r w:rsidRPr="00401BCE">
        <w:rPr>
          <w:sz w:val="20"/>
          <w:szCs w:val="20"/>
          <w:vertAlign w:val="superscript"/>
        </w:rPr>
        <w:footnoteRef/>
      </w:r>
      <w:r w:rsidRPr="00401BCE">
        <w:rPr>
          <w:sz w:val="20"/>
          <w:szCs w:val="20"/>
        </w:rPr>
        <w:t xml:space="preserve"> Esta dimensión del ordenamiento se calcula con base en los criterios definidos por la Corte Con</w:t>
      </w:r>
      <w:r>
        <w:rPr>
          <w:sz w:val="20"/>
          <w:szCs w:val="20"/>
        </w:rPr>
        <w:t>stitucional en la sentencia T-760 de 2008, sin embargo, no fue posible consultar el documento anexo de soporte.</w:t>
      </w:r>
    </w:p>
  </w:footnote>
  <w:footnote w:id="147">
    <w:p w:rsidR="00000000" w:rsidRDefault="00DA1726" w:rsidP="00401BCE">
      <w:pPr>
        <w:pStyle w:val="Textonotapie"/>
        <w:jc w:val="both"/>
      </w:pPr>
      <w:r w:rsidRPr="00401BCE">
        <w:rPr>
          <w:sz w:val="20"/>
          <w:szCs w:val="20"/>
          <w:vertAlign w:val="superscript"/>
        </w:rPr>
        <w:footnoteRef/>
      </w:r>
      <w:r w:rsidRPr="00401BCE">
        <w:rPr>
          <w:sz w:val="20"/>
          <w:szCs w:val="20"/>
        </w:rPr>
        <w:t xml:space="preserve"> Los resultados en esta dimensión corresponden a la calificación que los usuarios dan a la EPS a la cual se encuentra afiliados (Encuesta de Calificación de los Servicios de las EPS publicada en Noviembre 2012, anexo de soporte).</w:t>
      </w:r>
    </w:p>
  </w:footnote>
  <w:footnote w:id="148">
    <w:p w:rsidR="00000000" w:rsidRDefault="00DA1726" w:rsidP="00401BCE">
      <w:pPr>
        <w:pStyle w:val="Textonotapie"/>
        <w:jc w:val="both"/>
      </w:pPr>
      <w:r w:rsidRPr="00401BCE">
        <w:rPr>
          <w:sz w:val="20"/>
          <w:szCs w:val="20"/>
          <w:vertAlign w:val="superscript"/>
        </w:rPr>
        <w:footnoteRef/>
      </w:r>
      <w:r w:rsidRPr="00401BCE">
        <w:rPr>
          <w:sz w:val="20"/>
          <w:szCs w:val="20"/>
        </w:rPr>
        <w:t xml:space="preserve"> Esta dimensión tiene en </w:t>
      </w:r>
      <w:r>
        <w:rPr>
          <w:sz w:val="20"/>
          <w:szCs w:val="20"/>
        </w:rPr>
        <w:t xml:space="preserve">cuenta </w:t>
      </w:r>
      <w:r w:rsidRPr="00401BCE">
        <w:rPr>
          <w:sz w:val="20"/>
          <w:szCs w:val="20"/>
        </w:rPr>
        <w:t>cuatro aspectos: (i) calidad de la atención; (ii) enfermedad transmisible; (iii) salud materno infantil; y (iv) enfermedad crónica no transmisible</w:t>
      </w:r>
      <w:r>
        <w:rPr>
          <w:sz w:val="20"/>
          <w:szCs w:val="20"/>
        </w:rPr>
        <w:t>.</w:t>
      </w:r>
    </w:p>
  </w:footnote>
  <w:footnote w:id="149">
    <w:p w:rsidR="00000000" w:rsidRDefault="00DA1726" w:rsidP="00285E53">
      <w:pPr>
        <w:pStyle w:val="Textonotapie"/>
        <w:jc w:val="both"/>
      </w:pPr>
      <w:r w:rsidRPr="000A207B">
        <w:rPr>
          <w:sz w:val="20"/>
          <w:szCs w:val="20"/>
          <w:vertAlign w:val="superscript"/>
        </w:rPr>
        <w:footnoteRef/>
      </w:r>
      <w:r w:rsidRPr="000A207B">
        <w:rPr>
          <w:sz w:val="20"/>
          <w:szCs w:val="20"/>
        </w:rPr>
        <w:t xml:space="preserve"> Se refiere a las actividades de gestión integral del riesgo en salud que todo asegurador debe realizar con su población afiliada, incluidas aquellas de coordinación con otros sectores para el manejo de los determinantes sociales en la materia. </w:t>
      </w:r>
    </w:p>
  </w:footnote>
  <w:footnote w:id="150">
    <w:p w:rsidR="00000000" w:rsidRDefault="00DA1726" w:rsidP="00285E53">
      <w:pPr>
        <w:pStyle w:val="Textonotapie"/>
        <w:jc w:val="both"/>
      </w:pPr>
      <w:r w:rsidRPr="000A207B">
        <w:rPr>
          <w:sz w:val="20"/>
          <w:szCs w:val="20"/>
          <w:vertAlign w:val="superscript"/>
        </w:rPr>
        <w:footnoteRef/>
      </w:r>
      <w:r w:rsidRPr="000A207B">
        <w:rPr>
          <w:sz w:val="20"/>
          <w:szCs w:val="20"/>
        </w:rPr>
        <w:t xml:space="preserve"> Se refiere a la disponibilidad y operatividad de una red de prestación de </w:t>
      </w:r>
      <w:r>
        <w:rPr>
          <w:sz w:val="20"/>
          <w:szCs w:val="20"/>
        </w:rPr>
        <w:t>servicios suficiente e integral</w:t>
      </w:r>
      <w:r w:rsidRPr="000A207B">
        <w:rPr>
          <w:sz w:val="20"/>
          <w:szCs w:val="20"/>
        </w:rPr>
        <w:t xml:space="preserve"> y de un sistema de información de apoyo a través del cual </w:t>
      </w:r>
      <w:r>
        <w:rPr>
          <w:sz w:val="20"/>
          <w:szCs w:val="20"/>
        </w:rPr>
        <w:t xml:space="preserve">el afiliado </w:t>
      </w:r>
      <w:r w:rsidRPr="000A207B">
        <w:rPr>
          <w:sz w:val="20"/>
          <w:szCs w:val="20"/>
        </w:rPr>
        <w:t>pueda saber cuál es, d</w:t>
      </w:r>
      <w:r>
        <w:rPr>
          <w:sz w:val="20"/>
          <w:szCs w:val="20"/>
        </w:rPr>
        <w:t>ó</w:t>
      </w:r>
      <w:r w:rsidRPr="000A207B">
        <w:rPr>
          <w:sz w:val="20"/>
          <w:szCs w:val="20"/>
        </w:rPr>
        <w:t>nde está ubicada, qu</w:t>
      </w:r>
      <w:r>
        <w:rPr>
          <w:sz w:val="20"/>
          <w:szCs w:val="20"/>
        </w:rPr>
        <w:t>é</w:t>
      </w:r>
      <w:r w:rsidRPr="000A207B">
        <w:rPr>
          <w:sz w:val="20"/>
          <w:szCs w:val="20"/>
        </w:rPr>
        <w:t xml:space="preserve"> servicios ofrece y en qu</w:t>
      </w:r>
      <w:r>
        <w:rPr>
          <w:sz w:val="20"/>
          <w:szCs w:val="20"/>
        </w:rPr>
        <w:t>é</w:t>
      </w:r>
      <w:r w:rsidRPr="000A207B">
        <w:rPr>
          <w:sz w:val="20"/>
          <w:szCs w:val="20"/>
        </w:rPr>
        <w:t xml:space="preserve"> horarios.</w:t>
      </w:r>
    </w:p>
  </w:footnote>
  <w:footnote w:id="151">
    <w:p w:rsidR="00000000" w:rsidRDefault="00DA1726" w:rsidP="00285E53">
      <w:pPr>
        <w:pStyle w:val="Textonotapie"/>
        <w:jc w:val="both"/>
      </w:pPr>
      <w:r w:rsidRPr="00285E53">
        <w:rPr>
          <w:sz w:val="20"/>
          <w:szCs w:val="20"/>
          <w:vertAlign w:val="superscript"/>
        </w:rPr>
        <w:footnoteRef/>
      </w:r>
      <w:r w:rsidRPr="00285E53">
        <w:rPr>
          <w:sz w:val="20"/>
          <w:szCs w:val="20"/>
        </w:rPr>
        <w:t xml:space="preserve"> Se refiere a la disponibilidad y operatividad de la infraestructura técnica, humana y de comunicaciones necesaria para que el usuario pueda realizar los trámites de afiliación, movilidad, y registro de novedades en el sistema de salud.</w:t>
      </w:r>
    </w:p>
  </w:footnote>
  <w:footnote w:id="152">
    <w:p w:rsidR="00000000" w:rsidRDefault="00DA1726" w:rsidP="000309F2">
      <w:pPr>
        <w:pStyle w:val="Textonotapie"/>
        <w:jc w:val="both"/>
      </w:pPr>
      <w:r w:rsidRPr="000309F2">
        <w:rPr>
          <w:sz w:val="20"/>
          <w:szCs w:val="20"/>
          <w:vertAlign w:val="superscript"/>
        </w:rPr>
        <w:footnoteRef/>
      </w:r>
      <w:r w:rsidRPr="000309F2">
        <w:rPr>
          <w:sz w:val="20"/>
          <w:szCs w:val="20"/>
        </w:rPr>
        <w:t xml:space="preserve"> </w:t>
      </w:r>
      <w:r w:rsidRPr="000309F2">
        <w:rPr>
          <w:bCs/>
          <w:sz w:val="20"/>
          <w:szCs w:val="20"/>
        </w:rPr>
        <w:t>Vigésimo octavo.- Ordenar</w:t>
      </w:r>
      <w:r w:rsidRPr="000309F2">
        <w:rPr>
          <w:sz w:val="20"/>
          <w:szCs w:val="20"/>
        </w:rPr>
        <w:t xml:space="preserve"> al Ministerio de la Protección Social que, si aún no lo han hecho, adopte las medidas necesarias para asegurar que al momento de afiliarse a una EPS, contributiva o subsidiada, le entreguen a toda persona, en términos sencillos y accesibles, la siguiente información, (…)</w:t>
      </w:r>
      <w:r>
        <w:rPr>
          <w:sz w:val="20"/>
          <w:szCs w:val="20"/>
        </w:rPr>
        <w:t xml:space="preserve"> </w:t>
      </w:r>
      <w:r w:rsidRPr="000309F2">
        <w:rPr>
          <w:sz w:val="20"/>
          <w:szCs w:val="20"/>
        </w:rPr>
        <w:t xml:space="preserve">(ii) </w:t>
      </w:r>
      <w:r w:rsidRPr="000309F2">
        <w:rPr>
          <w:i/>
          <w:iCs/>
          <w:sz w:val="20"/>
          <w:szCs w:val="20"/>
        </w:rPr>
        <w:t>Una carta de desempeño</w:t>
      </w:r>
      <w:r w:rsidRPr="000309F2">
        <w:rPr>
          <w:sz w:val="20"/>
          <w:szCs w:val="20"/>
        </w:rPr>
        <w:t xml:space="preserve">. Este documento deberá contener información básica acerca del desempeño y calidad de las diferentes EPS a las que se puede afiliar en el respectivo régimen, así como también acerca de las IPS que pertenecen a la red de cada EPS. El documento deberá contemplar la información necesaria para poder ejercer adecuadamente la libertad de escogencia. </w:t>
      </w:r>
    </w:p>
  </w:footnote>
  <w:footnote w:id="153">
    <w:p w:rsidR="00000000" w:rsidRDefault="00DA1726" w:rsidP="00B71776">
      <w:pPr>
        <w:pStyle w:val="Textonotapie"/>
        <w:jc w:val="both"/>
      </w:pPr>
      <w:r w:rsidRPr="000C6CC4">
        <w:rPr>
          <w:sz w:val="20"/>
          <w:szCs w:val="20"/>
          <w:vertAlign w:val="superscript"/>
        </w:rPr>
        <w:footnoteRef/>
      </w:r>
      <w:r w:rsidRPr="000C6CC4">
        <w:rPr>
          <w:sz w:val="20"/>
          <w:szCs w:val="20"/>
        </w:rPr>
        <w:t xml:space="preserve"> </w:t>
      </w:r>
      <w:r w:rsidRPr="000C6CC4">
        <w:rPr>
          <w:rStyle w:val="FontStyle84"/>
          <w:rFonts w:ascii="Times New Roman" w:hAnsi="Times New Roman" w:cs="Times New Roman"/>
          <w:sz w:val="20"/>
          <w:szCs w:val="20"/>
          <w:lang w:val="es-ES_tradnl" w:eastAsia="es-ES_tradnl"/>
        </w:rPr>
        <w:t xml:space="preserve">Por la cual se define el Sistema de Información para la Calidad y se adoptan los indicadores de monitoria del Sistema Obligatorio de Garantía de Calidad de la Atención en Salud. En esta resolución </w:t>
      </w:r>
      <w:r w:rsidRPr="000C6CC4">
        <w:rPr>
          <w:sz w:val="20"/>
          <w:szCs w:val="20"/>
          <w:lang w:val="es-ES_tradnl" w:eastAsia="es-ES_tradnl"/>
        </w:rPr>
        <w:t>se establecieron indicadores de obligatorio reporte por parte de las entidades aseguradoras y de las IPS, con la finalidad de realizar el seguimiento y evaluación de la gestión de la calidad de la atención en salud, brindar información a los usuarios para elegir libremente con base a la calidad de los servicios, de manera que puedan tomar decisiones y ofrecer insumos para la referenciación por calidad.</w:t>
      </w:r>
    </w:p>
  </w:footnote>
  <w:footnote w:id="154">
    <w:p w:rsidR="00000000" w:rsidRDefault="00DA1726" w:rsidP="00B71776">
      <w:pPr>
        <w:pStyle w:val="Style9"/>
        <w:widowControl/>
        <w:ind w:right="51"/>
      </w:pPr>
      <w:r w:rsidRPr="000C6CC4">
        <w:rPr>
          <w:rFonts w:ascii="Times New Roman" w:hAnsi="Times New Roman"/>
          <w:sz w:val="20"/>
          <w:szCs w:val="20"/>
          <w:vertAlign w:val="superscript"/>
        </w:rPr>
        <w:footnoteRef/>
      </w:r>
      <w:r w:rsidRPr="000C6CC4">
        <w:rPr>
          <w:rFonts w:ascii="Times New Roman" w:hAnsi="Times New Roman"/>
          <w:sz w:val="20"/>
          <w:szCs w:val="20"/>
        </w:rPr>
        <w:t xml:space="preserve"> </w:t>
      </w:r>
      <w:r w:rsidRPr="000C6CC4">
        <w:rPr>
          <w:rFonts w:ascii="Times New Roman" w:hAnsi="Times New Roman"/>
          <w:sz w:val="20"/>
          <w:szCs w:val="20"/>
          <w:lang w:val="es-ES_tradnl"/>
        </w:rPr>
        <w:t>El registro individual de las prestaciones en salud - RIPS-, absorve la información individual de las prestaciones dadas a una persona con el propósito de facilitar la relación entre prestadores y pagadores en materia de información y de soportes de los servicios efectivamente prestados a la población protegida en cualesquiera de los regímenes definidos por la Ley.</w:t>
      </w:r>
    </w:p>
  </w:footnote>
  <w:footnote w:id="155">
    <w:p w:rsidR="00000000" w:rsidRDefault="00DA1726" w:rsidP="00B71776">
      <w:pPr>
        <w:pStyle w:val="Textonotapie"/>
        <w:jc w:val="both"/>
      </w:pPr>
      <w:r w:rsidRPr="00E90DCA">
        <w:rPr>
          <w:sz w:val="20"/>
          <w:szCs w:val="20"/>
          <w:vertAlign w:val="superscript"/>
        </w:rPr>
        <w:footnoteRef/>
      </w:r>
      <w:r w:rsidRPr="00E90DCA">
        <w:rPr>
          <w:sz w:val="20"/>
          <w:szCs w:val="20"/>
        </w:rPr>
        <w:t xml:space="preserve"> </w:t>
      </w:r>
      <w:r w:rsidRPr="00E90DCA">
        <w:rPr>
          <w:sz w:val="20"/>
          <w:szCs w:val="20"/>
          <w:lang w:val="es-ES_tradnl"/>
        </w:rPr>
        <w:t>Son aquellos donde existe alta agregación de población en condiciones de densidad y accesibilidad geográficas a los servicios de salud.</w:t>
      </w:r>
    </w:p>
  </w:footnote>
  <w:footnote w:id="156">
    <w:p w:rsidR="00000000" w:rsidRDefault="00DA1726" w:rsidP="00B71776">
      <w:pPr>
        <w:pStyle w:val="Textonotapie"/>
        <w:jc w:val="both"/>
      </w:pPr>
      <w:r w:rsidRPr="00E90DCA">
        <w:rPr>
          <w:sz w:val="20"/>
          <w:szCs w:val="20"/>
          <w:vertAlign w:val="superscript"/>
        </w:rPr>
        <w:footnoteRef/>
      </w:r>
      <w:r w:rsidRPr="00E90DCA">
        <w:rPr>
          <w:sz w:val="20"/>
          <w:szCs w:val="20"/>
        </w:rPr>
        <w:t xml:space="preserve"> C</w:t>
      </w:r>
      <w:r w:rsidRPr="00E90DCA">
        <w:rPr>
          <w:sz w:val="20"/>
          <w:szCs w:val="20"/>
          <w:lang w:val="es-ES_tradnl"/>
        </w:rPr>
        <w:t>orresponden a la mayor parte de municipios del país donde la oferta de servicios tiende a ser monopólica y en la mayoría de los casos de naturaleza pública, con prevalencia de servicios de baja complejidad y poca capacidad de resolución.</w:t>
      </w:r>
    </w:p>
  </w:footnote>
  <w:footnote w:id="157">
    <w:p w:rsidR="00000000" w:rsidRDefault="00DA1726" w:rsidP="00B71776">
      <w:pPr>
        <w:pStyle w:val="Textonotapie"/>
        <w:jc w:val="both"/>
      </w:pPr>
      <w:r w:rsidRPr="00E90DCA">
        <w:rPr>
          <w:sz w:val="20"/>
          <w:szCs w:val="20"/>
          <w:vertAlign w:val="superscript"/>
        </w:rPr>
        <w:footnoteRef/>
      </w:r>
      <w:r w:rsidRPr="00E90DCA">
        <w:rPr>
          <w:sz w:val="20"/>
          <w:szCs w:val="20"/>
        </w:rPr>
        <w:t xml:space="preserve"> </w:t>
      </w:r>
      <w:r w:rsidRPr="00E90DCA">
        <w:rPr>
          <w:sz w:val="20"/>
          <w:szCs w:val="20"/>
          <w:lang w:val="es-ES_tradnl"/>
        </w:rPr>
        <w:t>En estos municipios la densidad poblacional es muy baja, la disponibilidad y accesibilidad a los servicios es muy limitada por la baja densidad poblacional, limitaciones en la oferta de servicios y de recurso humano especializado, carencia de vías de acceso, barreras geográficas o condiciones culturales.</w:t>
      </w:r>
    </w:p>
  </w:footnote>
  <w:footnote w:id="158">
    <w:p w:rsidR="00000000" w:rsidRDefault="00DA1726" w:rsidP="00B71776">
      <w:pPr>
        <w:pStyle w:val="Textonotapie"/>
        <w:jc w:val="both"/>
      </w:pPr>
      <w:r w:rsidRPr="00556749">
        <w:rPr>
          <w:sz w:val="20"/>
          <w:szCs w:val="20"/>
          <w:vertAlign w:val="superscript"/>
        </w:rPr>
        <w:footnoteRef/>
      </w:r>
      <w:r w:rsidRPr="00556749">
        <w:rPr>
          <w:sz w:val="20"/>
          <w:szCs w:val="20"/>
        </w:rPr>
        <w:t xml:space="preserve"> </w:t>
      </w:r>
      <w:r w:rsidRPr="00556749">
        <w:rPr>
          <w:sz w:val="20"/>
          <w:szCs w:val="20"/>
          <w:lang w:val="es-ES_tradnl"/>
        </w:rPr>
        <w:t>Se realiza por personal idóneo y entrenado para tal fin, y su resultado es avalado por una entidad acreditadora - en la actualidad la única entidad acreditadora es el ICONTEC-.</w:t>
      </w:r>
    </w:p>
  </w:footnote>
  <w:footnote w:id="159">
    <w:p w:rsidR="00000000" w:rsidRDefault="00DA1726" w:rsidP="00B71776">
      <w:pPr>
        <w:jc w:val="both"/>
      </w:pPr>
      <w:r w:rsidRPr="004C3CED">
        <w:rPr>
          <w:sz w:val="20"/>
          <w:szCs w:val="20"/>
          <w:vertAlign w:val="superscript"/>
        </w:rPr>
        <w:footnoteRef/>
      </w:r>
      <w:r w:rsidRPr="004C3CED">
        <w:rPr>
          <w:sz w:val="20"/>
          <w:szCs w:val="20"/>
        </w:rPr>
        <w:t xml:space="preserve"> </w:t>
      </w:r>
      <w:r w:rsidRPr="004C3CED">
        <w:rPr>
          <w:sz w:val="20"/>
          <w:szCs w:val="20"/>
          <w:lang w:val="es-ES_tradnl"/>
        </w:rPr>
        <w:t>IPS que en su categoría evidenciaron el mejor comportamiento en los datos reportados respecto a las demás.</w:t>
      </w:r>
    </w:p>
  </w:footnote>
  <w:footnote w:id="160">
    <w:p w:rsidR="00000000" w:rsidRDefault="00DA1726" w:rsidP="00B71776">
      <w:pPr>
        <w:jc w:val="both"/>
      </w:pPr>
      <w:r w:rsidRPr="004C3CED">
        <w:rPr>
          <w:sz w:val="20"/>
          <w:szCs w:val="20"/>
          <w:vertAlign w:val="superscript"/>
        </w:rPr>
        <w:footnoteRef/>
      </w:r>
      <w:r w:rsidRPr="004C3CED">
        <w:rPr>
          <w:sz w:val="20"/>
          <w:szCs w:val="20"/>
        </w:rPr>
        <w:t xml:space="preserve"> </w:t>
      </w:r>
      <w:r w:rsidRPr="004C3CED">
        <w:rPr>
          <w:sz w:val="20"/>
          <w:szCs w:val="20"/>
          <w:lang w:val="es-ES_tradnl"/>
        </w:rPr>
        <w:t>IPS que se encuentran en el rango medio en las respectivas categorías.</w:t>
      </w:r>
    </w:p>
  </w:footnote>
  <w:footnote w:id="161">
    <w:p w:rsidR="00000000" w:rsidRDefault="00DA1726" w:rsidP="00B71776">
      <w:pPr>
        <w:jc w:val="both"/>
      </w:pPr>
      <w:r w:rsidRPr="004C3CED">
        <w:rPr>
          <w:sz w:val="20"/>
          <w:szCs w:val="20"/>
          <w:vertAlign w:val="superscript"/>
        </w:rPr>
        <w:footnoteRef/>
      </w:r>
      <w:r w:rsidRPr="004C3CED">
        <w:rPr>
          <w:sz w:val="20"/>
          <w:szCs w:val="20"/>
        </w:rPr>
        <w:t xml:space="preserve"> </w:t>
      </w:r>
      <w:r w:rsidRPr="004C3CED">
        <w:rPr>
          <w:sz w:val="20"/>
          <w:szCs w:val="20"/>
          <w:lang w:val="es-ES_tradnl"/>
        </w:rPr>
        <w:t>IPS que presentan un comportamiento bajo en los indicadores, la mayoría de ellos está relacionado con el no reporte.</w:t>
      </w:r>
    </w:p>
  </w:footnote>
  <w:footnote w:id="162">
    <w:p w:rsidR="00000000" w:rsidRDefault="00DA1726" w:rsidP="00B71776">
      <w:pPr>
        <w:pStyle w:val="Textonotapie"/>
      </w:pPr>
      <w:r w:rsidRPr="009A3AC8">
        <w:rPr>
          <w:sz w:val="20"/>
          <w:szCs w:val="20"/>
          <w:vertAlign w:val="superscript"/>
        </w:rPr>
        <w:footnoteRef/>
      </w:r>
      <w:r w:rsidRPr="009A3AC8">
        <w:rPr>
          <w:sz w:val="20"/>
          <w:szCs w:val="20"/>
        </w:rPr>
        <w:t xml:space="preserve"> </w:t>
      </w:r>
      <w:r>
        <w:rPr>
          <w:sz w:val="20"/>
          <w:szCs w:val="20"/>
        </w:rPr>
        <w:t xml:space="preserve">Sitio web </w:t>
      </w:r>
      <w:r w:rsidRPr="009A3AC8">
        <w:rPr>
          <w:sz w:val="20"/>
          <w:szCs w:val="20"/>
        </w:rPr>
        <w:t>htpp://calidadensalud.minsalud.gov.co/IndicadoresdeCalidad/ListadodeIndicadores/ListadeIndicadores/Resultados/IndicadoresIPS.aspx</w:t>
      </w:r>
    </w:p>
  </w:footnote>
  <w:footnote w:id="163">
    <w:p w:rsidR="00000000" w:rsidRDefault="00DA1726" w:rsidP="00B71776">
      <w:pPr>
        <w:jc w:val="both"/>
      </w:pPr>
      <w:r w:rsidRPr="009A3AC8">
        <w:rPr>
          <w:sz w:val="20"/>
          <w:szCs w:val="20"/>
          <w:vertAlign w:val="superscript"/>
        </w:rPr>
        <w:footnoteRef/>
      </w:r>
      <w:r w:rsidRPr="009A3AC8">
        <w:rPr>
          <w:sz w:val="20"/>
          <w:szCs w:val="20"/>
        </w:rPr>
        <w:t xml:space="preserve"> </w:t>
      </w:r>
      <w:r>
        <w:rPr>
          <w:sz w:val="20"/>
          <w:szCs w:val="20"/>
          <w:lang w:val="es-ES_tradnl"/>
        </w:rPr>
        <w:t>M</w:t>
      </w:r>
      <w:r w:rsidRPr="009A3AC8">
        <w:rPr>
          <w:sz w:val="20"/>
          <w:szCs w:val="20"/>
          <w:lang w:val="es-ES_tradnl"/>
        </w:rPr>
        <w:t>uestra la posición de la IPS, en Servicios Hospitalarios y estima su desempeño con base en indicadores de calidad que evalúan aspectos de la gestión clínica en este ámbito. En el mapa se evidencia un índice de gestión clínica respecto a las tasas de reingreso de pacientes hospitalizados, mortalidad intrahospitalaria después de 48 horas e infección intrahospitalaria. Adicionalmente se describe si el prestador cuenta con unidad de cuidado intensivo, lo que refleja la complejidad del prestador (fuente de datos: Resolución 1446 de 2006).</w:t>
      </w:r>
    </w:p>
  </w:footnote>
  <w:footnote w:id="164">
    <w:p w:rsidR="00000000" w:rsidRDefault="00DA1726" w:rsidP="00B71776">
      <w:pPr>
        <w:pStyle w:val="Textonotapie"/>
        <w:jc w:val="both"/>
      </w:pPr>
      <w:r w:rsidRPr="002817F2">
        <w:rPr>
          <w:sz w:val="20"/>
          <w:szCs w:val="20"/>
          <w:vertAlign w:val="superscript"/>
        </w:rPr>
        <w:footnoteRef/>
      </w:r>
      <w:r w:rsidRPr="002817F2">
        <w:rPr>
          <w:sz w:val="20"/>
          <w:szCs w:val="20"/>
        </w:rPr>
        <w:t xml:space="preserve"> </w:t>
      </w:r>
      <w:r>
        <w:rPr>
          <w:sz w:val="20"/>
          <w:szCs w:val="20"/>
        </w:rPr>
        <w:t>M</w:t>
      </w:r>
      <w:r w:rsidRPr="002817F2">
        <w:rPr>
          <w:sz w:val="20"/>
          <w:szCs w:val="20"/>
          <w:lang w:val="es-ES_tradnl"/>
        </w:rPr>
        <w:t>uestra la posición de la IPS con base en indicadores de calidad que evalúan la satisfacción del usuario. En el mapa se evidencia la tasa de satisfacción global del prestador. Adicionalmente se describe si el prestador cuenta con unidad de cuidado intensivo, lo que refleja la complejidad del prestador (fuente de datos: Resolución 1446 de 2006 Corte de datos: Primer semestre de 2015).</w:t>
      </w:r>
    </w:p>
  </w:footnote>
  <w:footnote w:id="165">
    <w:p w:rsidR="00000000" w:rsidRDefault="00DA1726" w:rsidP="00B71776">
      <w:pPr>
        <w:pStyle w:val="Textonotapie"/>
        <w:jc w:val="both"/>
      </w:pPr>
      <w:r w:rsidRPr="002817F2">
        <w:rPr>
          <w:sz w:val="20"/>
          <w:szCs w:val="20"/>
          <w:vertAlign w:val="superscript"/>
        </w:rPr>
        <w:footnoteRef/>
      </w:r>
      <w:r w:rsidRPr="002817F2">
        <w:rPr>
          <w:sz w:val="20"/>
          <w:szCs w:val="20"/>
        </w:rPr>
        <w:t xml:space="preserve"> </w:t>
      </w:r>
      <w:r>
        <w:rPr>
          <w:sz w:val="20"/>
          <w:szCs w:val="20"/>
        </w:rPr>
        <w:t>M</w:t>
      </w:r>
      <w:r w:rsidRPr="002817F2">
        <w:rPr>
          <w:sz w:val="20"/>
          <w:szCs w:val="20"/>
          <w:lang w:val="es-ES_tradnl"/>
        </w:rPr>
        <w:t>uestra la posición de la IPS con base en indicadores de calidad que evalúan la oportunidad en la asignación de citas en la consulta por médico general del usuario. En el mapa se evidencia los días en los cuáles es asignada una cita por médico general en la IPS. Adicionalmente se describe si el prestador cuenta con unidad de cuidado intensivo, lo que refleja la complejidad del prestador (fuente de datos: Resolución 1446 de 2006 Corte de datos: Primer semestre de 2015).</w:t>
      </w:r>
    </w:p>
  </w:footnote>
  <w:footnote w:id="166">
    <w:p w:rsidR="00000000" w:rsidRDefault="00DA1726" w:rsidP="00303F0E">
      <w:pPr>
        <w:pStyle w:val="Textonotapie"/>
      </w:pPr>
      <w:r w:rsidRPr="00303F0E">
        <w:rPr>
          <w:color w:val="000000" w:themeColor="text1"/>
          <w:sz w:val="20"/>
          <w:szCs w:val="20"/>
          <w:vertAlign w:val="superscript"/>
        </w:rPr>
        <w:footnoteRef/>
      </w:r>
      <w:r w:rsidRPr="00303F0E">
        <w:rPr>
          <w:color w:val="000000" w:themeColor="text1"/>
          <w:sz w:val="20"/>
          <w:szCs w:val="20"/>
        </w:rPr>
        <w:t xml:space="preserve"> </w:t>
      </w:r>
      <w:hyperlink r:id="rId6" w:history="1">
        <w:r w:rsidRPr="00303F0E">
          <w:rPr>
            <w:rStyle w:val="Hipervnculo"/>
            <w:color w:val="000000" w:themeColor="text1"/>
            <w:sz w:val="20"/>
            <w:szCs w:val="20"/>
            <w:u w:val="none"/>
          </w:rPr>
          <w:t>http://calidadensalud.minsalud.gov.co/</w:t>
        </w:r>
      </w:hyperlink>
    </w:p>
  </w:footnote>
  <w:footnote w:id="167">
    <w:p w:rsidR="00000000" w:rsidRDefault="00DA1726" w:rsidP="00F9552F">
      <w:pPr>
        <w:pStyle w:val="Textonotapie"/>
        <w:jc w:val="both"/>
      </w:pPr>
      <w:r w:rsidRPr="00F9552F">
        <w:rPr>
          <w:sz w:val="20"/>
          <w:szCs w:val="20"/>
          <w:vertAlign w:val="superscript"/>
        </w:rPr>
        <w:footnoteRef/>
      </w:r>
      <w:r w:rsidRPr="00F9552F">
        <w:rPr>
          <w:sz w:val="20"/>
          <w:szCs w:val="20"/>
        </w:rPr>
        <w:t xml:space="preserve"> Estos servicios corresponden a: 1) cirugía programada; 2) consulta de cirugía general; 3) consulta ginecobstetricia; 4) consulta de medicina general; 5) consulta de medicina interna; 6) consulta de odontología general; 7) consulta de pediatría; 8) hospitalización; 9) imágenes diagnósticas; y 10) urgencias.</w:t>
      </w:r>
    </w:p>
  </w:footnote>
  <w:footnote w:id="168">
    <w:p w:rsidR="00000000" w:rsidRDefault="00DA1726" w:rsidP="00155155">
      <w:pPr>
        <w:pStyle w:val="Textonotapie"/>
        <w:jc w:val="both"/>
      </w:pPr>
      <w:r w:rsidRPr="000C6CC4">
        <w:rPr>
          <w:sz w:val="20"/>
          <w:szCs w:val="20"/>
          <w:vertAlign w:val="superscript"/>
        </w:rPr>
        <w:footnoteRef/>
      </w:r>
      <w:r w:rsidRPr="000C6CC4">
        <w:rPr>
          <w:sz w:val="20"/>
          <w:szCs w:val="20"/>
        </w:rPr>
        <w:t xml:space="preserve"> </w:t>
      </w:r>
      <w:r w:rsidRPr="000C6CC4">
        <w:rPr>
          <w:rStyle w:val="FontStyle84"/>
          <w:rFonts w:ascii="Times New Roman" w:hAnsi="Times New Roman" w:cs="Times New Roman"/>
          <w:sz w:val="20"/>
          <w:szCs w:val="20"/>
          <w:lang w:val="es-ES_tradnl" w:eastAsia="es-ES_tradnl"/>
        </w:rPr>
        <w:t xml:space="preserve">Por la cual se define el Sistema de Información para la Calidad y se adoptan los indicadores de monitoria del Sistema Obligatorio de Garantía de Calidad de la Atención en Salud. En esta resolución </w:t>
      </w:r>
      <w:r w:rsidRPr="000C6CC4">
        <w:rPr>
          <w:sz w:val="20"/>
          <w:szCs w:val="20"/>
          <w:lang w:val="es-ES_tradnl" w:eastAsia="es-ES_tradnl"/>
        </w:rPr>
        <w:t>se establecieron indicadores de obligatorio reporte por parte de las entidades aseguradoras y de las IPS, con la finalidad de realizar el seguimiento y evaluación de la gestión de la calidad de la atención en salud, brindar información a los usuarios para elegir libremente con base a la calidad de los servicios, de manera que puedan tomar decisiones y ofrecer insumos para la referenciación por calidad.</w:t>
      </w:r>
    </w:p>
  </w:footnote>
  <w:footnote w:id="169">
    <w:p w:rsidR="00000000" w:rsidRDefault="00DA1726" w:rsidP="00155155">
      <w:pPr>
        <w:pStyle w:val="Style9"/>
        <w:widowControl/>
        <w:ind w:right="51"/>
      </w:pPr>
      <w:r w:rsidRPr="000C6CC4">
        <w:rPr>
          <w:rFonts w:ascii="Times New Roman" w:hAnsi="Times New Roman"/>
          <w:sz w:val="20"/>
          <w:szCs w:val="20"/>
          <w:vertAlign w:val="superscript"/>
        </w:rPr>
        <w:footnoteRef/>
      </w:r>
      <w:r w:rsidRPr="000C6CC4">
        <w:rPr>
          <w:rFonts w:ascii="Times New Roman" w:hAnsi="Times New Roman"/>
          <w:sz w:val="20"/>
          <w:szCs w:val="20"/>
        </w:rPr>
        <w:t xml:space="preserve"> </w:t>
      </w:r>
      <w:r w:rsidRPr="000C6CC4">
        <w:rPr>
          <w:rFonts w:ascii="Times New Roman" w:hAnsi="Times New Roman"/>
          <w:sz w:val="20"/>
          <w:szCs w:val="20"/>
          <w:lang w:val="es-ES_tradnl"/>
        </w:rPr>
        <w:t>El registro individual de las prestaciones en salud - RIPS-, absorve la información individual de las prestaciones dadas a una persona con el propósito de facilitar la relación entre prestadores y pagadores en materia de información y de soportes de los servicios efectivamente prestados a la población protegida en cualesquiera de los regímenes definidos por la Ley.</w:t>
      </w:r>
    </w:p>
  </w:footnote>
  <w:footnote w:id="170">
    <w:p w:rsidR="00000000" w:rsidRDefault="00DA1726" w:rsidP="00155155">
      <w:pPr>
        <w:pStyle w:val="Textonotapie"/>
        <w:jc w:val="both"/>
      </w:pPr>
      <w:r w:rsidRPr="00F9552F">
        <w:rPr>
          <w:sz w:val="20"/>
          <w:szCs w:val="20"/>
          <w:vertAlign w:val="superscript"/>
        </w:rPr>
        <w:footnoteRef/>
      </w:r>
      <w:r w:rsidRPr="00F9552F">
        <w:rPr>
          <w:sz w:val="20"/>
          <w:szCs w:val="20"/>
        </w:rPr>
        <w:t xml:space="preserve"> Estos servicios corresponden a: 1) cirugía programada; 2) consulta de cirugía general; 3) consulta ginecobstetricia; 4) consulta de medicina general; 5) consulta de medicina interna; 6) consulta de odontología general; 7) consulta de pediatría; 8) hospitalización; 9) imágenes diagnósticas; y 10) urgencias.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1726" w:rsidRDefault="00DA1726">
    <w:pPr>
      <w:pStyle w:val="Encabezado"/>
      <w:jc w:val="right"/>
    </w:pPr>
    <w:r w:rsidRPr="00554056">
      <w:rPr>
        <w:sz w:val="20"/>
        <w:szCs w:val="20"/>
      </w:rPr>
      <w:fldChar w:fldCharType="begin"/>
    </w:r>
    <w:r w:rsidRPr="00554056">
      <w:rPr>
        <w:sz w:val="20"/>
        <w:szCs w:val="20"/>
      </w:rPr>
      <w:instrText>PAGE   \* MERGEFORMAT</w:instrText>
    </w:r>
    <w:r w:rsidRPr="00554056">
      <w:rPr>
        <w:sz w:val="20"/>
        <w:szCs w:val="20"/>
      </w:rPr>
      <w:fldChar w:fldCharType="separate"/>
    </w:r>
    <w:r w:rsidR="00E81CE4" w:rsidRPr="00E81CE4">
      <w:rPr>
        <w:noProof/>
        <w:sz w:val="20"/>
        <w:szCs w:val="20"/>
        <w:lang w:val="es-ES"/>
      </w:rPr>
      <w:t>21</w:t>
    </w:r>
    <w:r w:rsidRPr="00554056">
      <w:rPr>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414FBDE"/>
    <w:lvl w:ilvl="0">
      <w:numFmt w:val="bullet"/>
      <w:lvlText w:val="*"/>
      <w:lvlJc w:val="left"/>
    </w:lvl>
  </w:abstractNum>
  <w:abstractNum w:abstractNumId="1">
    <w:nsid w:val="04A73A58"/>
    <w:multiLevelType w:val="multilevel"/>
    <w:tmpl w:val="3CBC50E0"/>
    <w:lvl w:ilvl="0">
      <w:start w:val="1"/>
      <w:numFmt w:val="decimal"/>
      <w:lvlText w:val="%1."/>
      <w:lvlJc w:val="left"/>
      <w:pPr>
        <w:ind w:left="3763" w:hanging="360"/>
      </w:pPr>
      <w:rPr>
        <w:rFonts w:cs="Times New Roman" w:hint="default"/>
        <w:b w:val="0"/>
      </w:rPr>
    </w:lvl>
    <w:lvl w:ilvl="1">
      <w:start w:val="1"/>
      <w:numFmt w:val="decimal"/>
      <w:isLgl/>
      <w:lvlText w:val="%1.%2."/>
      <w:lvlJc w:val="left"/>
      <w:pPr>
        <w:ind w:left="4123" w:hanging="720"/>
      </w:pPr>
      <w:rPr>
        <w:rFonts w:cs="Times New Roman" w:hint="default"/>
      </w:rPr>
    </w:lvl>
    <w:lvl w:ilvl="2">
      <w:start w:val="1"/>
      <w:numFmt w:val="decimal"/>
      <w:isLgl/>
      <w:lvlText w:val="%1.%2.%3."/>
      <w:lvlJc w:val="left"/>
      <w:pPr>
        <w:ind w:left="4123" w:hanging="720"/>
      </w:pPr>
      <w:rPr>
        <w:rFonts w:cs="Times New Roman" w:hint="default"/>
      </w:rPr>
    </w:lvl>
    <w:lvl w:ilvl="3">
      <w:start w:val="1"/>
      <w:numFmt w:val="decimal"/>
      <w:isLgl/>
      <w:lvlText w:val="%1.%2.%3.%4."/>
      <w:lvlJc w:val="left"/>
      <w:pPr>
        <w:ind w:left="4483" w:hanging="1080"/>
      </w:pPr>
      <w:rPr>
        <w:rFonts w:cs="Times New Roman" w:hint="default"/>
      </w:rPr>
    </w:lvl>
    <w:lvl w:ilvl="4">
      <w:start w:val="1"/>
      <w:numFmt w:val="decimal"/>
      <w:isLgl/>
      <w:lvlText w:val="%1.%2.%3.%4.%5."/>
      <w:lvlJc w:val="left"/>
      <w:pPr>
        <w:ind w:left="4483" w:hanging="1080"/>
      </w:pPr>
      <w:rPr>
        <w:rFonts w:cs="Times New Roman" w:hint="default"/>
      </w:rPr>
    </w:lvl>
    <w:lvl w:ilvl="5">
      <w:start w:val="1"/>
      <w:numFmt w:val="decimal"/>
      <w:isLgl/>
      <w:lvlText w:val="%1.%2.%3.%4.%5.%6."/>
      <w:lvlJc w:val="left"/>
      <w:pPr>
        <w:ind w:left="4843" w:hanging="1440"/>
      </w:pPr>
      <w:rPr>
        <w:rFonts w:cs="Times New Roman" w:hint="default"/>
      </w:rPr>
    </w:lvl>
    <w:lvl w:ilvl="6">
      <w:start w:val="1"/>
      <w:numFmt w:val="decimal"/>
      <w:isLgl/>
      <w:lvlText w:val="%1.%2.%3.%4.%5.%6.%7."/>
      <w:lvlJc w:val="left"/>
      <w:pPr>
        <w:ind w:left="5203" w:hanging="1800"/>
      </w:pPr>
      <w:rPr>
        <w:rFonts w:cs="Times New Roman" w:hint="default"/>
      </w:rPr>
    </w:lvl>
    <w:lvl w:ilvl="7">
      <w:start w:val="1"/>
      <w:numFmt w:val="decimal"/>
      <w:isLgl/>
      <w:lvlText w:val="%1.%2.%3.%4.%5.%6.%7.%8."/>
      <w:lvlJc w:val="left"/>
      <w:pPr>
        <w:ind w:left="5203" w:hanging="1800"/>
      </w:pPr>
      <w:rPr>
        <w:rFonts w:cs="Times New Roman" w:hint="default"/>
      </w:rPr>
    </w:lvl>
    <w:lvl w:ilvl="8">
      <w:start w:val="1"/>
      <w:numFmt w:val="decimal"/>
      <w:isLgl/>
      <w:lvlText w:val="%1.%2.%3.%4.%5.%6.%7.%8.%9."/>
      <w:lvlJc w:val="left"/>
      <w:pPr>
        <w:ind w:left="5563" w:hanging="2160"/>
      </w:pPr>
      <w:rPr>
        <w:rFonts w:cs="Times New Roman" w:hint="default"/>
      </w:rPr>
    </w:lvl>
  </w:abstractNum>
  <w:abstractNum w:abstractNumId="2">
    <w:nsid w:val="05B533A0"/>
    <w:multiLevelType w:val="multilevel"/>
    <w:tmpl w:val="5A2264B0"/>
    <w:lvl w:ilvl="0">
      <w:start w:val="2"/>
      <w:numFmt w:val="decimal"/>
      <w:lvlText w:val="%1."/>
      <w:lvlJc w:val="left"/>
      <w:pPr>
        <w:tabs>
          <w:tab w:val="num" w:pos="420"/>
        </w:tabs>
        <w:ind w:left="420" w:hanging="4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3">
    <w:nsid w:val="0B392A9F"/>
    <w:multiLevelType w:val="hybridMultilevel"/>
    <w:tmpl w:val="FD6A7D2C"/>
    <w:lvl w:ilvl="0" w:tplc="0C0A000F">
      <w:start w:val="5"/>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nsid w:val="0C664AF8"/>
    <w:multiLevelType w:val="hybridMultilevel"/>
    <w:tmpl w:val="94C02C0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EC4336E"/>
    <w:multiLevelType w:val="hybridMultilevel"/>
    <w:tmpl w:val="9B66211A"/>
    <w:lvl w:ilvl="0" w:tplc="6220ED74">
      <w:start w:val="1"/>
      <w:numFmt w:val="lowerRoman"/>
      <w:lvlText w:val="(%1)"/>
      <w:lvlJc w:val="left"/>
      <w:pPr>
        <w:ind w:left="1080" w:hanging="720"/>
      </w:pPr>
      <w:rPr>
        <w:rFonts w:cs="Times New Roman" w:hint="default"/>
        <w:i/>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109E23B9"/>
    <w:multiLevelType w:val="hybridMultilevel"/>
    <w:tmpl w:val="C20CB758"/>
    <w:lvl w:ilvl="0" w:tplc="240A000F">
      <w:start w:val="1"/>
      <w:numFmt w:val="decimal"/>
      <w:lvlText w:val="%1."/>
      <w:lvlJc w:val="left"/>
      <w:pPr>
        <w:ind w:left="720" w:hanging="360"/>
      </w:pPr>
      <w:rPr>
        <w:rFonts w:cs="Times New Roman" w:hint="default"/>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7">
    <w:nsid w:val="10D20C63"/>
    <w:multiLevelType w:val="multilevel"/>
    <w:tmpl w:val="CB005220"/>
    <w:lvl w:ilvl="0">
      <w:start w:val="2"/>
      <w:numFmt w:val="decimal"/>
      <w:lvlText w:val="%1."/>
      <w:lvlJc w:val="left"/>
      <w:pPr>
        <w:ind w:left="576" w:hanging="576"/>
      </w:pPr>
      <w:rPr>
        <w:rFonts w:cs="Times New Roman" w:hint="default"/>
      </w:rPr>
    </w:lvl>
    <w:lvl w:ilvl="1">
      <w:start w:val="13"/>
      <w:numFmt w:val="decimal"/>
      <w:lvlText w:val="%1.%2."/>
      <w:lvlJc w:val="left"/>
      <w:pPr>
        <w:ind w:left="720" w:hanging="720"/>
      </w:pPr>
      <w:rPr>
        <w:rFonts w:cs="Times New Roman" w:hint="default"/>
        <w:b w:val="0"/>
        <w:i w:val="0"/>
      </w:rPr>
    </w:lvl>
    <w:lvl w:ilvl="2">
      <w:start w:val="1"/>
      <w:numFmt w:val="decimal"/>
      <w:lvlText w:val="%1.%2.%3."/>
      <w:lvlJc w:val="left"/>
      <w:pPr>
        <w:ind w:left="720" w:hanging="720"/>
      </w:pPr>
      <w:rPr>
        <w:rFonts w:cs="Times New Roman" w:hint="default"/>
        <w:b w:val="0"/>
        <w:i w:val="0"/>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8">
    <w:nsid w:val="13863C12"/>
    <w:multiLevelType w:val="hybridMultilevel"/>
    <w:tmpl w:val="74C2925C"/>
    <w:lvl w:ilvl="0" w:tplc="240A000F">
      <w:start w:val="1"/>
      <w:numFmt w:val="decimal"/>
      <w:lvlText w:val="%1."/>
      <w:lvlJc w:val="left"/>
      <w:pPr>
        <w:ind w:left="720" w:hanging="360"/>
      </w:pPr>
      <w:rPr>
        <w:rFonts w:cs="Times New Roman"/>
      </w:rPr>
    </w:lvl>
    <w:lvl w:ilvl="1" w:tplc="240A0019">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9">
    <w:nsid w:val="142A4CB9"/>
    <w:multiLevelType w:val="hybridMultilevel"/>
    <w:tmpl w:val="30407C8C"/>
    <w:lvl w:ilvl="0" w:tplc="90F0B46C">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145F36C2"/>
    <w:multiLevelType w:val="singleLevel"/>
    <w:tmpl w:val="C6AE7D48"/>
    <w:lvl w:ilvl="0">
      <w:start w:val="3"/>
      <w:numFmt w:val="decimal"/>
      <w:lvlText w:val="4.2.%1"/>
      <w:legacy w:legacy="1" w:legacySpace="0" w:legacyIndent="727"/>
      <w:lvlJc w:val="left"/>
      <w:rPr>
        <w:rFonts w:ascii="Arial Narrow" w:hAnsi="Arial Narrow" w:cs="Times New Roman" w:hint="default"/>
      </w:rPr>
    </w:lvl>
  </w:abstractNum>
  <w:abstractNum w:abstractNumId="11">
    <w:nsid w:val="18731ACC"/>
    <w:multiLevelType w:val="hybridMultilevel"/>
    <w:tmpl w:val="19F428E8"/>
    <w:lvl w:ilvl="0" w:tplc="C9705C3A">
      <w:start w:val="1"/>
      <w:numFmt w:val="upperRoman"/>
      <w:lvlText w:val="%1."/>
      <w:lvlJc w:val="left"/>
      <w:pPr>
        <w:ind w:left="1080" w:hanging="720"/>
      </w:pPr>
      <w:rPr>
        <w:rFonts w:cs="Times New Roman" w:hint="default"/>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8EC6BC8C">
      <w:start w:val="1"/>
      <w:numFmt w:val="decimal"/>
      <w:lvlText w:val="%4."/>
      <w:lvlJc w:val="left"/>
      <w:pPr>
        <w:ind w:left="2880" w:hanging="360"/>
      </w:pPr>
      <w:rPr>
        <w:rFonts w:cs="Times New Roman"/>
        <w:b/>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12">
    <w:nsid w:val="19A9264E"/>
    <w:multiLevelType w:val="multilevel"/>
    <w:tmpl w:val="51D4ABC6"/>
    <w:lvl w:ilvl="0">
      <w:start w:val="2"/>
      <w:numFmt w:val="decimal"/>
      <w:lvlText w:val="%1"/>
      <w:lvlJc w:val="left"/>
      <w:pPr>
        <w:ind w:left="504" w:hanging="504"/>
      </w:pPr>
      <w:rPr>
        <w:rFonts w:cs="Times New Roman" w:hint="default"/>
      </w:rPr>
    </w:lvl>
    <w:lvl w:ilvl="1">
      <w:start w:val="12"/>
      <w:numFmt w:val="decimal"/>
      <w:lvlText w:val="%1.%2"/>
      <w:lvlJc w:val="left"/>
      <w:pPr>
        <w:ind w:left="504" w:hanging="504"/>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9CD7142"/>
    <w:multiLevelType w:val="multilevel"/>
    <w:tmpl w:val="85021DD8"/>
    <w:lvl w:ilvl="0">
      <w:start w:val="1"/>
      <w:numFmt w:val="decimal"/>
      <w:lvlText w:val="%1."/>
      <w:lvlJc w:val="left"/>
      <w:pPr>
        <w:ind w:left="786"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4">
    <w:nsid w:val="1B2A57C8"/>
    <w:multiLevelType w:val="hybridMultilevel"/>
    <w:tmpl w:val="D28E19B2"/>
    <w:lvl w:ilvl="0" w:tplc="240A000F">
      <w:start w:val="1"/>
      <w:numFmt w:val="decimal"/>
      <w:lvlText w:val="%1."/>
      <w:lvlJc w:val="left"/>
      <w:pPr>
        <w:ind w:left="1146" w:hanging="360"/>
      </w:pPr>
      <w:rPr>
        <w:rFonts w:cs="Times New Roman"/>
      </w:rPr>
    </w:lvl>
    <w:lvl w:ilvl="1" w:tplc="240A0019" w:tentative="1">
      <w:start w:val="1"/>
      <w:numFmt w:val="lowerLetter"/>
      <w:lvlText w:val="%2."/>
      <w:lvlJc w:val="left"/>
      <w:pPr>
        <w:ind w:left="1866" w:hanging="360"/>
      </w:pPr>
      <w:rPr>
        <w:rFonts w:cs="Times New Roman"/>
      </w:rPr>
    </w:lvl>
    <w:lvl w:ilvl="2" w:tplc="240A001B" w:tentative="1">
      <w:start w:val="1"/>
      <w:numFmt w:val="lowerRoman"/>
      <w:lvlText w:val="%3."/>
      <w:lvlJc w:val="right"/>
      <w:pPr>
        <w:ind w:left="2586" w:hanging="180"/>
      </w:pPr>
      <w:rPr>
        <w:rFonts w:cs="Times New Roman"/>
      </w:rPr>
    </w:lvl>
    <w:lvl w:ilvl="3" w:tplc="240A000F" w:tentative="1">
      <w:start w:val="1"/>
      <w:numFmt w:val="decimal"/>
      <w:lvlText w:val="%4."/>
      <w:lvlJc w:val="left"/>
      <w:pPr>
        <w:ind w:left="3306" w:hanging="360"/>
      </w:pPr>
      <w:rPr>
        <w:rFonts w:cs="Times New Roman"/>
      </w:rPr>
    </w:lvl>
    <w:lvl w:ilvl="4" w:tplc="240A0019" w:tentative="1">
      <w:start w:val="1"/>
      <w:numFmt w:val="lowerLetter"/>
      <w:lvlText w:val="%5."/>
      <w:lvlJc w:val="left"/>
      <w:pPr>
        <w:ind w:left="4026" w:hanging="360"/>
      </w:pPr>
      <w:rPr>
        <w:rFonts w:cs="Times New Roman"/>
      </w:rPr>
    </w:lvl>
    <w:lvl w:ilvl="5" w:tplc="240A001B" w:tentative="1">
      <w:start w:val="1"/>
      <w:numFmt w:val="lowerRoman"/>
      <w:lvlText w:val="%6."/>
      <w:lvlJc w:val="right"/>
      <w:pPr>
        <w:ind w:left="4746" w:hanging="180"/>
      </w:pPr>
      <w:rPr>
        <w:rFonts w:cs="Times New Roman"/>
      </w:rPr>
    </w:lvl>
    <w:lvl w:ilvl="6" w:tplc="240A000F" w:tentative="1">
      <w:start w:val="1"/>
      <w:numFmt w:val="decimal"/>
      <w:lvlText w:val="%7."/>
      <w:lvlJc w:val="left"/>
      <w:pPr>
        <w:ind w:left="5466" w:hanging="360"/>
      </w:pPr>
      <w:rPr>
        <w:rFonts w:cs="Times New Roman"/>
      </w:rPr>
    </w:lvl>
    <w:lvl w:ilvl="7" w:tplc="240A0019" w:tentative="1">
      <w:start w:val="1"/>
      <w:numFmt w:val="lowerLetter"/>
      <w:lvlText w:val="%8."/>
      <w:lvlJc w:val="left"/>
      <w:pPr>
        <w:ind w:left="6186" w:hanging="360"/>
      </w:pPr>
      <w:rPr>
        <w:rFonts w:cs="Times New Roman"/>
      </w:rPr>
    </w:lvl>
    <w:lvl w:ilvl="8" w:tplc="240A001B" w:tentative="1">
      <w:start w:val="1"/>
      <w:numFmt w:val="lowerRoman"/>
      <w:lvlText w:val="%9."/>
      <w:lvlJc w:val="right"/>
      <w:pPr>
        <w:ind w:left="6906" w:hanging="180"/>
      </w:pPr>
      <w:rPr>
        <w:rFonts w:cs="Times New Roman"/>
      </w:rPr>
    </w:lvl>
  </w:abstractNum>
  <w:abstractNum w:abstractNumId="15">
    <w:nsid w:val="1B583D23"/>
    <w:multiLevelType w:val="hybridMultilevel"/>
    <w:tmpl w:val="6CA2E216"/>
    <w:lvl w:ilvl="0" w:tplc="4668693A">
      <w:start w:val="1"/>
      <w:numFmt w:val="bullet"/>
      <w:lvlText w:val="-"/>
      <w:lvlJc w:val="left"/>
      <w:pPr>
        <w:ind w:left="720" w:hanging="360"/>
      </w:pPr>
      <w:rPr>
        <w:rFonts w:ascii="Times New Roman" w:eastAsiaTheme="minorEastAsia"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nsid w:val="1F1E72A3"/>
    <w:multiLevelType w:val="hybridMultilevel"/>
    <w:tmpl w:val="75B291AA"/>
    <w:lvl w:ilvl="0" w:tplc="9508CD42">
      <w:start w:val="1"/>
      <w:numFmt w:val="decimal"/>
      <w:lvlText w:val="%1."/>
      <w:lvlJc w:val="left"/>
      <w:pPr>
        <w:tabs>
          <w:tab w:val="num" w:pos="720"/>
        </w:tabs>
        <w:ind w:left="720" w:hanging="360"/>
      </w:pPr>
      <w:rPr>
        <w:rFonts w:cs="Times New Roman"/>
        <w:b w:val="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7">
    <w:nsid w:val="23326568"/>
    <w:multiLevelType w:val="hybridMultilevel"/>
    <w:tmpl w:val="96D4CF52"/>
    <w:lvl w:ilvl="0" w:tplc="8CA66218">
      <w:start w:val="14"/>
      <w:numFmt w:val="bullet"/>
      <w:lvlText w:val="-"/>
      <w:lvlJc w:val="left"/>
      <w:pPr>
        <w:ind w:left="720" w:hanging="360"/>
      </w:pPr>
      <w:rPr>
        <w:rFonts w:ascii="Times New Roman" w:eastAsia="Times New Roman" w:hAnsi="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258E7793"/>
    <w:multiLevelType w:val="multilevel"/>
    <w:tmpl w:val="408EE028"/>
    <w:lvl w:ilvl="0">
      <w:start w:val="2"/>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nsid w:val="2CAA40A6"/>
    <w:multiLevelType w:val="hybridMultilevel"/>
    <w:tmpl w:val="C9F8D3F4"/>
    <w:lvl w:ilvl="0" w:tplc="07F6C3DE">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0">
    <w:nsid w:val="345E4641"/>
    <w:multiLevelType w:val="hybridMultilevel"/>
    <w:tmpl w:val="D3284A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34FB316A"/>
    <w:multiLevelType w:val="hybridMultilevel"/>
    <w:tmpl w:val="F70AF6FA"/>
    <w:lvl w:ilvl="0" w:tplc="240A0011">
      <w:start w:val="1"/>
      <w:numFmt w:val="decimal"/>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2">
    <w:nsid w:val="37C54F84"/>
    <w:multiLevelType w:val="hybridMultilevel"/>
    <w:tmpl w:val="77A699DC"/>
    <w:lvl w:ilvl="0" w:tplc="240A0017">
      <w:start w:val="1"/>
      <w:numFmt w:val="lowerLetter"/>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23">
    <w:nsid w:val="3F777A5E"/>
    <w:multiLevelType w:val="singleLevel"/>
    <w:tmpl w:val="634A712C"/>
    <w:lvl w:ilvl="0">
      <w:start w:val="2"/>
      <w:numFmt w:val="decimal"/>
      <w:lvlText w:val="4.2.%1"/>
      <w:legacy w:legacy="1" w:legacySpace="0" w:legacyIndent="727"/>
      <w:lvlJc w:val="left"/>
      <w:rPr>
        <w:rFonts w:ascii="Arial Narrow" w:hAnsi="Arial Narrow" w:cs="Times New Roman" w:hint="default"/>
      </w:rPr>
    </w:lvl>
  </w:abstractNum>
  <w:abstractNum w:abstractNumId="24">
    <w:nsid w:val="3FEA24C3"/>
    <w:multiLevelType w:val="multilevel"/>
    <w:tmpl w:val="EDC09498"/>
    <w:lvl w:ilvl="0">
      <w:start w:val="1"/>
      <w:numFmt w:val="decimal"/>
      <w:lvlText w:val="%1."/>
      <w:lvlJc w:val="left"/>
      <w:pPr>
        <w:tabs>
          <w:tab w:val="num" w:pos="482"/>
        </w:tabs>
      </w:pPr>
      <w:rPr>
        <w:rFonts w:cs="Times New Roman" w:hint="default"/>
        <w:b/>
        <w:i w:val="0"/>
        <w:color w:val="auto"/>
      </w:rPr>
    </w:lvl>
    <w:lvl w:ilvl="1">
      <w:start w:val="1"/>
      <w:numFmt w:val="decimal"/>
      <w:isLgl/>
      <w:lvlText w:val="%1.%2."/>
      <w:lvlJc w:val="left"/>
      <w:pPr>
        <w:tabs>
          <w:tab w:val="num" w:pos="720"/>
        </w:tabs>
        <w:ind w:left="720" w:hanging="720"/>
      </w:pPr>
      <w:rPr>
        <w:rFonts w:ascii="Times New Roman" w:hAnsi="Times New Roman" w:cs="Times New Roman" w:hint="default"/>
        <w:b w:val="0"/>
        <w:i w:val="0"/>
        <w:color w:val="auto"/>
        <w:sz w:val="28"/>
        <w:szCs w:val="28"/>
      </w:rPr>
    </w:lvl>
    <w:lvl w:ilvl="2">
      <w:start w:val="1"/>
      <w:numFmt w:val="decimal"/>
      <w:isLgl/>
      <w:lvlText w:val="%1.%2.%3."/>
      <w:lvlJc w:val="left"/>
      <w:pPr>
        <w:tabs>
          <w:tab w:val="num" w:pos="862"/>
        </w:tabs>
        <w:ind w:left="862" w:hanging="720"/>
      </w:pPr>
      <w:rPr>
        <w:rFonts w:cs="Times New Roman" w:hint="default"/>
        <w:i w:val="0"/>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nsid w:val="423C470F"/>
    <w:multiLevelType w:val="multilevel"/>
    <w:tmpl w:val="B74439F2"/>
    <w:lvl w:ilvl="0">
      <w:start w:val="2010"/>
      <w:numFmt w:val="decimal"/>
      <w:lvlText w:val="%1."/>
      <w:lvlJc w:val="left"/>
      <w:pPr>
        <w:ind w:left="804" w:hanging="804"/>
      </w:pPr>
      <w:rPr>
        <w:rFonts w:cs="Times New Roman" w:hint="default"/>
      </w:rPr>
    </w:lvl>
    <w:lvl w:ilvl="1">
      <w:start w:val="4"/>
      <w:numFmt w:val="decimal"/>
      <w:lvlText w:val="%1.%2."/>
      <w:lvlJc w:val="left"/>
      <w:pPr>
        <w:ind w:left="804" w:hanging="804"/>
      </w:pPr>
      <w:rPr>
        <w:rFonts w:cs="Times New Roman" w:hint="default"/>
      </w:rPr>
    </w:lvl>
    <w:lvl w:ilvl="2">
      <w:start w:val="1"/>
      <w:numFmt w:val="decimal"/>
      <w:lvlText w:val="%1.%2.%3."/>
      <w:lvlJc w:val="left"/>
      <w:pPr>
        <w:ind w:left="804" w:hanging="804"/>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nsid w:val="4DDC3033"/>
    <w:multiLevelType w:val="hybridMultilevel"/>
    <w:tmpl w:val="6A1E79AC"/>
    <w:lvl w:ilvl="0" w:tplc="07F6C3DE">
      <w:start w:val="1"/>
      <w:numFmt w:val="lowerRoman"/>
      <w:lvlText w:val="%1)"/>
      <w:lvlJc w:val="left"/>
      <w:pPr>
        <w:ind w:left="720" w:hanging="360"/>
      </w:pPr>
      <w:rPr>
        <w:rFonts w:cs="Times New Roman" w:hint="default"/>
      </w:rPr>
    </w:lvl>
    <w:lvl w:ilvl="1" w:tplc="240A0003" w:tentative="1">
      <w:start w:val="1"/>
      <w:numFmt w:val="bullet"/>
      <w:lvlText w:val="o"/>
      <w:lvlJc w:val="left"/>
      <w:pPr>
        <w:ind w:left="1440" w:hanging="360"/>
      </w:pPr>
      <w:rPr>
        <w:rFonts w:ascii="Courier New" w:hAnsi="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50841A1C"/>
    <w:multiLevelType w:val="multilevel"/>
    <w:tmpl w:val="91A62C40"/>
    <w:lvl w:ilvl="0">
      <w:start w:val="10"/>
      <w:numFmt w:val="decimal"/>
      <w:lvlText w:val="%1."/>
      <w:lvlJc w:val="left"/>
      <w:pPr>
        <w:ind w:left="540" w:hanging="54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53B87D05"/>
    <w:multiLevelType w:val="multilevel"/>
    <w:tmpl w:val="3AFEA0FC"/>
    <w:lvl w:ilvl="0">
      <w:start w:val="3"/>
      <w:numFmt w:val="decimal"/>
      <w:lvlText w:val="%1."/>
      <w:lvlJc w:val="left"/>
      <w:pPr>
        <w:ind w:left="450" w:hanging="450"/>
      </w:pPr>
      <w:rPr>
        <w:rFonts w:cs="Times New Roman" w:hint="default"/>
      </w:rPr>
    </w:lvl>
    <w:lvl w:ilvl="1">
      <w:start w:val="5"/>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9">
    <w:nsid w:val="571A4496"/>
    <w:multiLevelType w:val="singleLevel"/>
    <w:tmpl w:val="E7C060B6"/>
    <w:lvl w:ilvl="0">
      <w:start w:val="1"/>
      <w:numFmt w:val="decimal"/>
      <w:lvlText w:val="%1."/>
      <w:legacy w:legacy="1" w:legacySpace="0" w:legacyIndent="356"/>
      <w:lvlJc w:val="left"/>
      <w:rPr>
        <w:rFonts w:ascii="Arial Narrow" w:hAnsi="Arial Narrow" w:cs="Times New Roman" w:hint="default"/>
      </w:rPr>
    </w:lvl>
  </w:abstractNum>
  <w:abstractNum w:abstractNumId="30">
    <w:nsid w:val="5B336A8F"/>
    <w:multiLevelType w:val="hybridMultilevel"/>
    <w:tmpl w:val="A5AAF884"/>
    <w:lvl w:ilvl="0" w:tplc="C9705C3A">
      <w:start w:val="1"/>
      <w:numFmt w:val="upperRoman"/>
      <w:lvlText w:val="%1."/>
      <w:lvlJc w:val="left"/>
      <w:pPr>
        <w:ind w:left="1080" w:hanging="720"/>
      </w:pPr>
      <w:rPr>
        <w:rFonts w:cs="Times New Roman" w:hint="default"/>
        <w:b/>
      </w:rPr>
    </w:lvl>
    <w:lvl w:ilvl="1" w:tplc="240A0019">
      <w:start w:val="1"/>
      <w:numFmt w:val="lowerLetter"/>
      <w:lvlText w:val="%2."/>
      <w:lvlJc w:val="left"/>
      <w:pPr>
        <w:ind w:left="1440" w:hanging="360"/>
      </w:pPr>
      <w:rPr>
        <w:rFonts w:cs="Times New Roman"/>
      </w:rPr>
    </w:lvl>
    <w:lvl w:ilvl="2" w:tplc="240A001B">
      <w:start w:val="1"/>
      <w:numFmt w:val="lowerRoman"/>
      <w:lvlText w:val="%3."/>
      <w:lvlJc w:val="right"/>
      <w:pPr>
        <w:ind w:left="2160" w:hanging="180"/>
      </w:pPr>
      <w:rPr>
        <w:rFonts w:cs="Times New Roman"/>
      </w:rPr>
    </w:lvl>
    <w:lvl w:ilvl="3" w:tplc="75C0E99A">
      <w:start w:val="1"/>
      <w:numFmt w:val="decimal"/>
      <w:lvlText w:val="%4."/>
      <w:lvlJc w:val="left"/>
      <w:pPr>
        <w:ind w:left="2880" w:hanging="360"/>
      </w:pPr>
      <w:rPr>
        <w:rFonts w:cs="Times New Roman"/>
        <w:b/>
      </w:rPr>
    </w:lvl>
    <w:lvl w:ilvl="4" w:tplc="240A0019">
      <w:start w:val="1"/>
      <w:numFmt w:val="lowerLetter"/>
      <w:lvlText w:val="%5."/>
      <w:lvlJc w:val="left"/>
      <w:pPr>
        <w:ind w:left="3600" w:hanging="360"/>
      </w:pPr>
      <w:rPr>
        <w:rFonts w:cs="Times New Roman"/>
      </w:rPr>
    </w:lvl>
    <w:lvl w:ilvl="5" w:tplc="240A001B">
      <w:start w:val="1"/>
      <w:numFmt w:val="lowerRoman"/>
      <w:lvlText w:val="%6."/>
      <w:lvlJc w:val="right"/>
      <w:pPr>
        <w:ind w:left="4320" w:hanging="180"/>
      </w:pPr>
      <w:rPr>
        <w:rFonts w:cs="Times New Roman"/>
      </w:rPr>
    </w:lvl>
    <w:lvl w:ilvl="6" w:tplc="240A000F">
      <w:start w:val="1"/>
      <w:numFmt w:val="decimal"/>
      <w:lvlText w:val="%7."/>
      <w:lvlJc w:val="left"/>
      <w:pPr>
        <w:ind w:left="5040" w:hanging="360"/>
      </w:pPr>
      <w:rPr>
        <w:rFonts w:cs="Times New Roman"/>
      </w:rPr>
    </w:lvl>
    <w:lvl w:ilvl="7" w:tplc="240A0019">
      <w:start w:val="1"/>
      <w:numFmt w:val="lowerLetter"/>
      <w:lvlText w:val="%8."/>
      <w:lvlJc w:val="left"/>
      <w:pPr>
        <w:ind w:left="5760" w:hanging="360"/>
      </w:pPr>
      <w:rPr>
        <w:rFonts w:cs="Times New Roman"/>
      </w:rPr>
    </w:lvl>
    <w:lvl w:ilvl="8" w:tplc="240A001B">
      <w:start w:val="1"/>
      <w:numFmt w:val="lowerRoman"/>
      <w:lvlText w:val="%9."/>
      <w:lvlJc w:val="right"/>
      <w:pPr>
        <w:ind w:left="6480" w:hanging="180"/>
      </w:pPr>
      <w:rPr>
        <w:rFonts w:cs="Times New Roman"/>
      </w:rPr>
    </w:lvl>
  </w:abstractNum>
  <w:abstractNum w:abstractNumId="31">
    <w:nsid w:val="5C527D0B"/>
    <w:multiLevelType w:val="singleLevel"/>
    <w:tmpl w:val="B0D68784"/>
    <w:lvl w:ilvl="0">
      <w:start w:val="1"/>
      <w:numFmt w:val="decimal"/>
      <w:lvlText w:val="%1."/>
      <w:legacy w:legacy="1" w:legacySpace="0" w:legacyIndent="370"/>
      <w:lvlJc w:val="left"/>
      <w:rPr>
        <w:rFonts w:ascii="Arial" w:hAnsi="Arial" w:cs="Arial" w:hint="default"/>
      </w:rPr>
    </w:lvl>
  </w:abstractNum>
  <w:abstractNum w:abstractNumId="32">
    <w:nsid w:val="5CD9305F"/>
    <w:multiLevelType w:val="hybridMultilevel"/>
    <w:tmpl w:val="A0F8C8F0"/>
    <w:lvl w:ilvl="0" w:tplc="51C8D110">
      <w:start w:val="1"/>
      <w:numFmt w:val="lowerLetter"/>
      <w:lvlText w:val="%1)"/>
      <w:lvlJc w:val="left"/>
      <w:pPr>
        <w:ind w:left="720" w:hanging="360"/>
      </w:pPr>
      <w:rPr>
        <w:rFonts w:cs="Times New Roman" w:hint="default"/>
        <w:b/>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3">
    <w:nsid w:val="5EA40210"/>
    <w:multiLevelType w:val="hybridMultilevel"/>
    <w:tmpl w:val="F4FC052E"/>
    <w:lvl w:ilvl="0" w:tplc="BC64DA9A">
      <w:start w:val="1"/>
      <w:numFmt w:val="lowerRoman"/>
      <w:lvlText w:val="(%1)"/>
      <w:lvlJc w:val="left"/>
      <w:pPr>
        <w:ind w:left="1080" w:hanging="72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4">
    <w:nsid w:val="608933DC"/>
    <w:multiLevelType w:val="singleLevel"/>
    <w:tmpl w:val="766EE436"/>
    <w:lvl w:ilvl="0">
      <w:start w:val="1"/>
      <w:numFmt w:val="decimal"/>
      <w:lvlText w:val="%1)"/>
      <w:legacy w:legacy="1" w:legacySpace="0" w:legacyIndent="281"/>
      <w:lvlJc w:val="left"/>
      <w:rPr>
        <w:rFonts w:ascii="Arial" w:hAnsi="Arial" w:cs="Arial" w:hint="default"/>
      </w:rPr>
    </w:lvl>
  </w:abstractNum>
  <w:abstractNum w:abstractNumId="35">
    <w:nsid w:val="612052E7"/>
    <w:multiLevelType w:val="multilevel"/>
    <w:tmpl w:val="141E28D8"/>
    <w:lvl w:ilvl="0">
      <w:start w:val="2"/>
      <w:numFmt w:val="decimal"/>
      <w:lvlText w:val="%1."/>
      <w:lvlJc w:val="left"/>
      <w:pPr>
        <w:ind w:left="408" w:hanging="408"/>
      </w:pPr>
      <w:rPr>
        <w:rFonts w:cs="Times New Roman" w:hint="default"/>
        <w:b/>
        <w:sz w:val="26"/>
        <w:szCs w:val="26"/>
      </w:rPr>
    </w:lvl>
    <w:lvl w:ilvl="1">
      <w:start w:val="4"/>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nsid w:val="65E837B2"/>
    <w:multiLevelType w:val="singleLevel"/>
    <w:tmpl w:val="B9BE53D6"/>
    <w:lvl w:ilvl="0">
      <w:start w:val="2"/>
      <w:numFmt w:val="decimal"/>
      <w:lvlText w:val="%1."/>
      <w:legacy w:legacy="1" w:legacySpace="0" w:legacyIndent="356"/>
      <w:lvlJc w:val="left"/>
      <w:rPr>
        <w:rFonts w:ascii="Arial Narrow" w:hAnsi="Arial Narrow" w:cs="Times New Roman" w:hint="default"/>
      </w:rPr>
    </w:lvl>
  </w:abstractNum>
  <w:abstractNum w:abstractNumId="37">
    <w:nsid w:val="73205D5C"/>
    <w:multiLevelType w:val="hybridMultilevel"/>
    <w:tmpl w:val="A426EE52"/>
    <w:lvl w:ilvl="0" w:tplc="07F6C3DE">
      <w:start w:val="1"/>
      <w:numFmt w:val="lowerRoman"/>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8">
    <w:nsid w:val="77DB66FC"/>
    <w:multiLevelType w:val="hybridMultilevel"/>
    <w:tmpl w:val="5434A576"/>
    <w:lvl w:ilvl="0" w:tplc="07F6C3DE">
      <w:start w:val="1"/>
      <w:numFmt w:val="lowerRoman"/>
      <w:lvlText w:val="%1)"/>
      <w:lvlJc w:val="left"/>
      <w:pPr>
        <w:ind w:left="720" w:hanging="360"/>
      </w:pPr>
      <w:rPr>
        <w:rFonts w:cs="Times New Roman" w:hint="default"/>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9">
    <w:nsid w:val="7E9D2F6B"/>
    <w:multiLevelType w:val="hybridMultilevel"/>
    <w:tmpl w:val="EBB62560"/>
    <w:lvl w:ilvl="0" w:tplc="CDD62AD0">
      <w:start w:val="1"/>
      <w:numFmt w:val="lowerRoman"/>
      <w:lvlText w:val="%1)"/>
      <w:lvlJc w:val="left"/>
      <w:pPr>
        <w:ind w:left="1080" w:hanging="720"/>
      </w:pPr>
      <w:rPr>
        <w:rFonts w:cs="Times New Roman" w:hint="default"/>
        <w:b/>
        <w:i/>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num w:numId="1">
    <w:abstractNumId w:val="30"/>
  </w:num>
  <w:num w:numId="2">
    <w:abstractNumId w:val="24"/>
  </w:num>
  <w:num w:numId="3">
    <w:abstractNumId w:val="14"/>
  </w:num>
  <w:num w:numId="4">
    <w:abstractNumId w:val="22"/>
  </w:num>
  <w:num w:numId="5">
    <w:abstractNumId w:val="15"/>
  </w:num>
  <w:num w:numId="6">
    <w:abstractNumId w:val="12"/>
  </w:num>
  <w:num w:numId="7">
    <w:abstractNumId w:val="7"/>
  </w:num>
  <w:num w:numId="8">
    <w:abstractNumId w:val="19"/>
  </w:num>
  <w:num w:numId="9">
    <w:abstractNumId w:val="26"/>
  </w:num>
  <w:num w:numId="10">
    <w:abstractNumId w:val="0"/>
    <w:lvlOverride w:ilvl="0">
      <w:lvl w:ilvl="0">
        <w:numFmt w:val="bullet"/>
        <w:lvlText w:val="•"/>
        <w:legacy w:legacy="1" w:legacySpace="0" w:legacyIndent="346"/>
        <w:lvlJc w:val="left"/>
        <w:rPr>
          <w:rFonts w:ascii="Arial" w:hAnsi="Arial" w:hint="default"/>
        </w:rPr>
      </w:lvl>
    </w:lvlOverride>
  </w:num>
  <w:num w:numId="11">
    <w:abstractNumId w:val="0"/>
    <w:lvlOverride w:ilvl="0">
      <w:lvl w:ilvl="0">
        <w:numFmt w:val="bullet"/>
        <w:lvlText w:val="•"/>
        <w:legacy w:legacy="1" w:legacySpace="0" w:legacyIndent="278"/>
        <w:lvlJc w:val="left"/>
        <w:rPr>
          <w:rFonts w:ascii="Arial" w:hAnsi="Arial" w:hint="default"/>
        </w:rPr>
      </w:lvl>
    </w:lvlOverride>
  </w:num>
  <w:num w:numId="12">
    <w:abstractNumId w:val="0"/>
    <w:lvlOverride w:ilvl="0">
      <w:lvl w:ilvl="0">
        <w:numFmt w:val="bullet"/>
        <w:lvlText w:val="•"/>
        <w:legacy w:legacy="1" w:legacySpace="0" w:legacyIndent="271"/>
        <w:lvlJc w:val="left"/>
        <w:rPr>
          <w:rFonts w:ascii="Arial" w:hAnsi="Arial" w:hint="default"/>
        </w:rPr>
      </w:lvl>
    </w:lvlOverride>
  </w:num>
  <w:num w:numId="13">
    <w:abstractNumId w:val="32"/>
  </w:num>
  <w:num w:numId="14">
    <w:abstractNumId w:val="23"/>
  </w:num>
  <w:num w:numId="15">
    <w:abstractNumId w:val="10"/>
  </w:num>
  <w:num w:numId="16">
    <w:abstractNumId w:val="29"/>
  </w:num>
  <w:num w:numId="17">
    <w:abstractNumId w:val="0"/>
    <w:lvlOverride w:ilvl="0">
      <w:lvl w:ilvl="0">
        <w:numFmt w:val="bullet"/>
        <w:lvlText w:val="•"/>
        <w:legacy w:legacy="1" w:legacySpace="0" w:legacyIndent="360"/>
        <w:lvlJc w:val="left"/>
        <w:rPr>
          <w:rFonts w:ascii="Arial Narrow" w:hAnsi="Arial Narrow" w:hint="default"/>
        </w:rPr>
      </w:lvl>
    </w:lvlOverride>
  </w:num>
  <w:num w:numId="18">
    <w:abstractNumId w:val="36"/>
  </w:num>
  <w:num w:numId="19">
    <w:abstractNumId w:val="36"/>
    <w:lvlOverride w:ilvl="0">
      <w:lvl w:ilvl="0">
        <w:start w:val="2"/>
        <w:numFmt w:val="decimal"/>
        <w:lvlText w:val="%1."/>
        <w:legacy w:legacy="1" w:legacySpace="0" w:legacyIndent="206"/>
        <w:lvlJc w:val="left"/>
        <w:rPr>
          <w:rFonts w:ascii="Arial Narrow" w:hAnsi="Arial Narrow" w:cs="Times New Roman" w:hint="default"/>
        </w:rPr>
      </w:lvl>
    </w:lvlOverride>
  </w:num>
  <w:num w:numId="20">
    <w:abstractNumId w:val="13"/>
  </w:num>
  <w:num w:numId="21">
    <w:abstractNumId w:val="9"/>
  </w:num>
  <w:num w:numId="22">
    <w:abstractNumId w:val="1"/>
  </w:num>
  <w:num w:numId="23">
    <w:abstractNumId w:val="8"/>
  </w:num>
  <w:num w:numId="24">
    <w:abstractNumId w:val="4"/>
  </w:num>
  <w:num w:numId="25">
    <w:abstractNumId w:val="5"/>
  </w:num>
  <w:num w:numId="26">
    <w:abstractNumId w:val="35"/>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8"/>
  </w:num>
  <w:num w:numId="31">
    <w:abstractNumId w:val="6"/>
  </w:num>
  <w:num w:numId="32">
    <w:abstractNumId w:val="31"/>
  </w:num>
  <w:num w:numId="33">
    <w:abstractNumId w:val="34"/>
  </w:num>
  <w:num w:numId="34">
    <w:abstractNumId w:val="21"/>
  </w:num>
  <w:num w:numId="35">
    <w:abstractNumId w:val="20"/>
  </w:num>
  <w:num w:numId="36">
    <w:abstractNumId w:val="33"/>
  </w:num>
  <w:num w:numId="37">
    <w:abstractNumId w:val="27"/>
  </w:num>
  <w:num w:numId="38">
    <w:abstractNumId w:val="11"/>
  </w:num>
  <w:num w:numId="39">
    <w:abstractNumId w:val="39"/>
  </w:num>
  <w:num w:numId="40">
    <w:abstractNumId w:val="18"/>
  </w:num>
  <w:num w:numId="41">
    <w:abstractNumId w:val="25"/>
  </w:num>
  <w:num w:numId="42">
    <w:abstractNumId w:val="37"/>
  </w:num>
  <w:num w:numId="43">
    <w:abstractNumId w:val="38"/>
  </w:num>
  <w:num w:numId="4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efaultTabStop w:val="284"/>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F45"/>
    <w:rsid w:val="00003A5B"/>
    <w:rsid w:val="000061C7"/>
    <w:rsid w:val="000145E8"/>
    <w:rsid w:val="000155E7"/>
    <w:rsid w:val="0001676E"/>
    <w:rsid w:val="00020BE7"/>
    <w:rsid w:val="000229CD"/>
    <w:rsid w:val="00023474"/>
    <w:rsid w:val="000244D9"/>
    <w:rsid w:val="00026415"/>
    <w:rsid w:val="000309F2"/>
    <w:rsid w:val="0004045E"/>
    <w:rsid w:val="0004078F"/>
    <w:rsid w:val="000538E3"/>
    <w:rsid w:val="0005554F"/>
    <w:rsid w:val="00056CC2"/>
    <w:rsid w:val="00057C57"/>
    <w:rsid w:val="00057EA1"/>
    <w:rsid w:val="000648E0"/>
    <w:rsid w:val="0006742D"/>
    <w:rsid w:val="00072486"/>
    <w:rsid w:val="00074354"/>
    <w:rsid w:val="0007486E"/>
    <w:rsid w:val="00076A8B"/>
    <w:rsid w:val="00083412"/>
    <w:rsid w:val="00083CD9"/>
    <w:rsid w:val="000875F3"/>
    <w:rsid w:val="00094A53"/>
    <w:rsid w:val="00095FB6"/>
    <w:rsid w:val="00097CF3"/>
    <w:rsid w:val="000A0D8C"/>
    <w:rsid w:val="000A207B"/>
    <w:rsid w:val="000A2D95"/>
    <w:rsid w:val="000A57E2"/>
    <w:rsid w:val="000B3DC2"/>
    <w:rsid w:val="000B4AC1"/>
    <w:rsid w:val="000B6F4A"/>
    <w:rsid w:val="000C0BC4"/>
    <w:rsid w:val="000C1801"/>
    <w:rsid w:val="000C2BE7"/>
    <w:rsid w:val="000C5407"/>
    <w:rsid w:val="000C5E17"/>
    <w:rsid w:val="000C6CC4"/>
    <w:rsid w:val="000D09E5"/>
    <w:rsid w:val="000D2479"/>
    <w:rsid w:val="000E12CE"/>
    <w:rsid w:val="000E35E4"/>
    <w:rsid w:val="000E7B18"/>
    <w:rsid w:val="000F053C"/>
    <w:rsid w:val="000F0CBF"/>
    <w:rsid w:val="000F0D27"/>
    <w:rsid w:val="000F2B60"/>
    <w:rsid w:val="000F594B"/>
    <w:rsid w:val="0010003A"/>
    <w:rsid w:val="001015A3"/>
    <w:rsid w:val="00104903"/>
    <w:rsid w:val="00106483"/>
    <w:rsid w:val="001064B8"/>
    <w:rsid w:val="00112FE5"/>
    <w:rsid w:val="001141C1"/>
    <w:rsid w:val="00116F6B"/>
    <w:rsid w:val="00123569"/>
    <w:rsid w:val="00135AAC"/>
    <w:rsid w:val="0014236A"/>
    <w:rsid w:val="00155155"/>
    <w:rsid w:val="00156334"/>
    <w:rsid w:val="001574DA"/>
    <w:rsid w:val="00160B3D"/>
    <w:rsid w:val="00161B1B"/>
    <w:rsid w:val="00162483"/>
    <w:rsid w:val="00162DEA"/>
    <w:rsid w:val="00164BD7"/>
    <w:rsid w:val="0017096D"/>
    <w:rsid w:val="00170B7C"/>
    <w:rsid w:val="00170C23"/>
    <w:rsid w:val="00170D1E"/>
    <w:rsid w:val="00171AF5"/>
    <w:rsid w:val="00172993"/>
    <w:rsid w:val="001750C2"/>
    <w:rsid w:val="0017590B"/>
    <w:rsid w:val="00176A8A"/>
    <w:rsid w:val="001A0B82"/>
    <w:rsid w:val="001A1D76"/>
    <w:rsid w:val="001A319A"/>
    <w:rsid w:val="001A42A5"/>
    <w:rsid w:val="001A438D"/>
    <w:rsid w:val="001A46DA"/>
    <w:rsid w:val="001A4ECD"/>
    <w:rsid w:val="001A6226"/>
    <w:rsid w:val="001A6652"/>
    <w:rsid w:val="001A6A2E"/>
    <w:rsid w:val="001A6A97"/>
    <w:rsid w:val="001A73A9"/>
    <w:rsid w:val="001B0731"/>
    <w:rsid w:val="001B2126"/>
    <w:rsid w:val="001B4CBE"/>
    <w:rsid w:val="001B56C6"/>
    <w:rsid w:val="001B5EB2"/>
    <w:rsid w:val="001B66E4"/>
    <w:rsid w:val="001B7A49"/>
    <w:rsid w:val="001C24C1"/>
    <w:rsid w:val="001C406E"/>
    <w:rsid w:val="001C4D84"/>
    <w:rsid w:val="001C4F67"/>
    <w:rsid w:val="001C622C"/>
    <w:rsid w:val="001D09EE"/>
    <w:rsid w:val="001D64B2"/>
    <w:rsid w:val="001D68F5"/>
    <w:rsid w:val="001D742E"/>
    <w:rsid w:val="001E499B"/>
    <w:rsid w:val="001E56BD"/>
    <w:rsid w:val="001E6B5C"/>
    <w:rsid w:val="001E7183"/>
    <w:rsid w:val="001F2D4E"/>
    <w:rsid w:val="001F44EB"/>
    <w:rsid w:val="001F51C8"/>
    <w:rsid w:val="00204C36"/>
    <w:rsid w:val="00205032"/>
    <w:rsid w:val="00210D6C"/>
    <w:rsid w:val="002139AC"/>
    <w:rsid w:val="00213AF6"/>
    <w:rsid w:val="0022062B"/>
    <w:rsid w:val="00222295"/>
    <w:rsid w:val="00231298"/>
    <w:rsid w:val="00233A76"/>
    <w:rsid w:val="0023406C"/>
    <w:rsid w:val="00243888"/>
    <w:rsid w:val="00247EE4"/>
    <w:rsid w:val="0025438A"/>
    <w:rsid w:val="00254A1F"/>
    <w:rsid w:val="00257DC4"/>
    <w:rsid w:val="00260104"/>
    <w:rsid w:val="002615C3"/>
    <w:rsid w:val="0026553A"/>
    <w:rsid w:val="00265741"/>
    <w:rsid w:val="00266B4A"/>
    <w:rsid w:val="00270123"/>
    <w:rsid w:val="002725C6"/>
    <w:rsid w:val="00273604"/>
    <w:rsid w:val="00273971"/>
    <w:rsid w:val="002817F2"/>
    <w:rsid w:val="00283DA6"/>
    <w:rsid w:val="002844B5"/>
    <w:rsid w:val="00284A55"/>
    <w:rsid w:val="00285E53"/>
    <w:rsid w:val="00290B24"/>
    <w:rsid w:val="002912F4"/>
    <w:rsid w:val="00292E95"/>
    <w:rsid w:val="00294293"/>
    <w:rsid w:val="00296220"/>
    <w:rsid w:val="002A38E2"/>
    <w:rsid w:val="002A5654"/>
    <w:rsid w:val="002B0A20"/>
    <w:rsid w:val="002B2260"/>
    <w:rsid w:val="002B57F7"/>
    <w:rsid w:val="002B5F0C"/>
    <w:rsid w:val="002C0714"/>
    <w:rsid w:val="002C3DA1"/>
    <w:rsid w:val="002D22FE"/>
    <w:rsid w:val="002D4554"/>
    <w:rsid w:val="002D5B71"/>
    <w:rsid w:val="002D769C"/>
    <w:rsid w:val="002E1653"/>
    <w:rsid w:val="002E26E3"/>
    <w:rsid w:val="002E5BB5"/>
    <w:rsid w:val="002E7E0B"/>
    <w:rsid w:val="002F47AB"/>
    <w:rsid w:val="002F4D8A"/>
    <w:rsid w:val="002F7E7C"/>
    <w:rsid w:val="00303F0E"/>
    <w:rsid w:val="00305362"/>
    <w:rsid w:val="003068B1"/>
    <w:rsid w:val="003074E9"/>
    <w:rsid w:val="0031298B"/>
    <w:rsid w:val="00312E43"/>
    <w:rsid w:val="0031348D"/>
    <w:rsid w:val="00313E9F"/>
    <w:rsid w:val="00314E9E"/>
    <w:rsid w:val="0032181F"/>
    <w:rsid w:val="00321952"/>
    <w:rsid w:val="00322D5E"/>
    <w:rsid w:val="00324431"/>
    <w:rsid w:val="00327CCB"/>
    <w:rsid w:val="0033131F"/>
    <w:rsid w:val="00331D7C"/>
    <w:rsid w:val="00332C06"/>
    <w:rsid w:val="003534D2"/>
    <w:rsid w:val="00355FB9"/>
    <w:rsid w:val="00356DF9"/>
    <w:rsid w:val="00357CF8"/>
    <w:rsid w:val="00360550"/>
    <w:rsid w:val="00362C5F"/>
    <w:rsid w:val="00363BA5"/>
    <w:rsid w:val="00363C9D"/>
    <w:rsid w:val="00371323"/>
    <w:rsid w:val="0037459E"/>
    <w:rsid w:val="00374781"/>
    <w:rsid w:val="00375724"/>
    <w:rsid w:val="00381212"/>
    <w:rsid w:val="00381B89"/>
    <w:rsid w:val="00381BB4"/>
    <w:rsid w:val="00382319"/>
    <w:rsid w:val="003827EF"/>
    <w:rsid w:val="00384B46"/>
    <w:rsid w:val="00387D80"/>
    <w:rsid w:val="00392120"/>
    <w:rsid w:val="00392A40"/>
    <w:rsid w:val="003977D7"/>
    <w:rsid w:val="00397D95"/>
    <w:rsid w:val="003A2C5F"/>
    <w:rsid w:val="003A7B88"/>
    <w:rsid w:val="003B0D85"/>
    <w:rsid w:val="003B1306"/>
    <w:rsid w:val="003B5B88"/>
    <w:rsid w:val="003B77D3"/>
    <w:rsid w:val="003C355A"/>
    <w:rsid w:val="003C6837"/>
    <w:rsid w:val="003C73B7"/>
    <w:rsid w:val="003D42D9"/>
    <w:rsid w:val="003D4933"/>
    <w:rsid w:val="003D4E9E"/>
    <w:rsid w:val="003D4F27"/>
    <w:rsid w:val="003D66E9"/>
    <w:rsid w:val="003D6E53"/>
    <w:rsid w:val="003D7289"/>
    <w:rsid w:val="003F255D"/>
    <w:rsid w:val="003F3C6B"/>
    <w:rsid w:val="004003AF"/>
    <w:rsid w:val="00401BCE"/>
    <w:rsid w:val="004049B5"/>
    <w:rsid w:val="0040512A"/>
    <w:rsid w:val="00407E3C"/>
    <w:rsid w:val="0041083D"/>
    <w:rsid w:val="00412140"/>
    <w:rsid w:val="004133FA"/>
    <w:rsid w:val="004160E2"/>
    <w:rsid w:val="0042278B"/>
    <w:rsid w:val="00423EF5"/>
    <w:rsid w:val="00425ABB"/>
    <w:rsid w:val="00433259"/>
    <w:rsid w:val="00433AEE"/>
    <w:rsid w:val="00434C5C"/>
    <w:rsid w:val="00435107"/>
    <w:rsid w:val="00435138"/>
    <w:rsid w:val="00441DFB"/>
    <w:rsid w:val="004444D2"/>
    <w:rsid w:val="0044456B"/>
    <w:rsid w:val="004478E0"/>
    <w:rsid w:val="00451A02"/>
    <w:rsid w:val="004562EE"/>
    <w:rsid w:val="00462380"/>
    <w:rsid w:val="00466DE5"/>
    <w:rsid w:val="00466EB6"/>
    <w:rsid w:val="004725E7"/>
    <w:rsid w:val="004731BD"/>
    <w:rsid w:val="00473820"/>
    <w:rsid w:val="00474D0E"/>
    <w:rsid w:val="004837A3"/>
    <w:rsid w:val="00486CF5"/>
    <w:rsid w:val="00493528"/>
    <w:rsid w:val="00493FE1"/>
    <w:rsid w:val="004A3125"/>
    <w:rsid w:val="004A63C1"/>
    <w:rsid w:val="004A66B2"/>
    <w:rsid w:val="004A6D71"/>
    <w:rsid w:val="004A726C"/>
    <w:rsid w:val="004B42BD"/>
    <w:rsid w:val="004B4682"/>
    <w:rsid w:val="004B7ADE"/>
    <w:rsid w:val="004C0EEF"/>
    <w:rsid w:val="004C1F5C"/>
    <w:rsid w:val="004C3BA4"/>
    <w:rsid w:val="004C3CED"/>
    <w:rsid w:val="004D1971"/>
    <w:rsid w:val="004D2483"/>
    <w:rsid w:val="004D2B9E"/>
    <w:rsid w:val="004D2BC6"/>
    <w:rsid w:val="004D3079"/>
    <w:rsid w:val="004D368D"/>
    <w:rsid w:val="004D36B4"/>
    <w:rsid w:val="004D4D8A"/>
    <w:rsid w:val="004D5C2F"/>
    <w:rsid w:val="004E08A4"/>
    <w:rsid w:val="004E1FF6"/>
    <w:rsid w:val="004E3396"/>
    <w:rsid w:val="004E70F6"/>
    <w:rsid w:val="004E7A5B"/>
    <w:rsid w:val="004F00A6"/>
    <w:rsid w:val="00501934"/>
    <w:rsid w:val="005021B9"/>
    <w:rsid w:val="0051054F"/>
    <w:rsid w:val="0051646B"/>
    <w:rsid w:val="00516D76"/>
    <w:rsid w:val="00522ABB"/>
    <w:rsid w:val="00524DEB"/>
    <w:rsid w:val="00526F00"/>
    <w:rsid w:val="00531078"/>
    <w:rsid w:val="005315B6"/>
    <w:rsid w:val="00531F92"/>
    <w:rsid w:val="0053462C"/>
    <w:rsid w:val="00535903"/>
    <w:rsid w:val="00536150"/>
    <w:rsid w:val="00537177"/>
    <w:rsid w:val="005371E3"/>
    <w:rsid w:val="00537B7F"/>
    <w:rsid w:val="00547D55"/>
    <w:rsid w:val="00551C93"/>
    <w:rsid w:val="00554056"/>
    <w:rsid w:val="00556339"/>
    <w:rsid w:val="00556749"/>
    <w:rsid w:val="00556DC7"/>
    <w:rsid w:val="00561FBE"/>
    <w:rsid w:val="00563056"/>
    <w:rsid w:val="00565DA0"/>
    <w:rsid w:val="00570AB1"/>
    <w:rsid w:val="00571AF0"/>
    <w:rsid w:val="00575D66"/>
    <w:rsid w:val="0057759C"/>
    <w:rsid w:val="005839FE"/>
    <w:rsid w:val="00585B1E"/>
    <w:rsid w:val="00592029"/>
    <w:rsid w:val="005928CA"/>
    <w:rsid w:val="00592B3D"/>
    <w:rsid w:val="00596A69"/>
    <w:rsid w:val="005A1F80"/>
    <w:rsid w:val="005A4AFA"/>
    <w:rsid w:val="005A6BBD"/>
    <w:rsid w:val="005A7EA2"/>
    <w:rsid w:val="005B2D39"/>
    <w:rsid w:val="005B617F"/>
    <w:rsid w:val="005B61A5"/>
    <w:rsid w:val="005C2EC7"/>
    <w:rsid w:val="005C54E3"/>
    <w:rsid w:val="005C6E52"/>
    <w:rsid w:val="005C7941"/>
    <w:rsid w:val="005D2145"/>
    <w:rsid w:val="005D2B48"/>
    <w:rsid w:val="005D3CA5"/>
    <w:rsid w:val="005D6C54"/>
    <w:rsid w:val="005D7218"/>
    <w:rsid w:val="005D752E"/>
    <w:rsid w:val="005E0786"/>
    <w:rsid w:val="005E0BB5"/>
    <w:rsid w:val="005E1E14"/>
    <w:rsid w:val="005E4D9C"/>
    <w:rsid w:val="005F1DD9"/>
    <w:rsid w:val="005F2465"/>
    <w:rsid w:val="005F36EB"/>
    <w:rsid w:val="005F5D39"/>
    <w:rsid w:val="00600310"/>
    <w:rsid w:val="006033A1"/>
    <w:rsid w:val="00603948"/>
    <w:rsid w:val="006041F5"/>
    <w:rsid w:val="006043FC"/>
    <w:rsid w:val="006059D4"/>
    <w:rsid w:val="00610F87"/>
    <w:rsid w:val="006148E3"/>
    <w:rsid w:val="00614921"/>
    <w:rsid w:val="00615559"/>
    <w:rsid w:val="006202AD"/>
    <w:rsid w:val="0062135A"/>
    <w:rsid w:val="0062641C"/>
    <w:rsid w:val="00626DFA"/>
    <w:rsid w:val="00631117"/>
    <w:rsid w:val="00631286"/>
    <w:rsid w:val="00631E09"/>
    <w:rsid w:val="0063216F"/>
    <w:rsid w:val="00635565"/>
    <w:rsid w:val="0064037E"/>
    <w:rsid w:val="00650751"/>
    <w:rsid w:val="00654DEB"/>
    <w:rsid w:val="006601B0"/>
    <w:rsid w:val="0066083B"/>
    <w:rsid w:val="00664AA5"/>
    <w:rsid w:val="00672DED"/>
    <w:rsid w:val="00674795"/>
    <w:rsid w:val="00675EBE"/>
    <w:rsid w:val="00682B9B"/>
    <w:rsid w:val="00683C2F"/>
    <w:rsid w:val="00687041"/>
    <w:rsid w:val="00691B52"/>
    <w:rsid w:val="00692D62"/>
    <w:rsid w:val="0069453F"/>
    <w:rsid w:val="006948CF"/>
    <w:rsid w:val="00695A9B"/>
    <w:rsid w:val="006A2BFE"/>
    <w:rsid w:val="006A3CC7"/>
    <w:rsid w:val="006A65F4"/>
    <w:rsid w:val="006A7167"/>
    <w:rsid w:val="006B4FB8"/>
    <w:rsid w:val="006B56D7"/>
    <w:rsid w:val="006B77A9"/>
    <w:rsid w:val="006C01EF"/>
    <w:rsid w:val="006C0C2D"/>
    <w:rsid w:val="006C1C99"/>
    <w:rsid w:val="006C2E84"/>
    <w:rsid w:val="006C4E1A"/>
    <w:rsid w:val="006C7843"/>
    <w:rsid w:val="006D19B3"/>
    <w:rsid w:val="006D4A7B"/>
    <w:rsid w:val="006D71B6"/>
    <w:rsid w:val="006D7ACF"/>
    <w:rsid w:val="006E0B04"/>
    <w:rsid w:val="006E24B9"/>
    <w:rsid w:val="006E2885"/>
    <w:rsid w:val="006E4912"/>
    <w:rsid w:val="006E6D08"/>
    <w:rsid w:val="006E71C3"/>
    <w:rsid w:val="006F3D32"/>
    <w:rsid w:val="006F3EAA"/>
    <w:rsid w:val="006F44C2"/>
    <w:rsid w:val="006F7803"/>
    <w:rsid w:val="006F7CDC"/>
    <w:rsid w:val="00701282"/>
    <w:rsid w:val="0070535D"/>
    <w:rsid w:val="007056D1"/>
    <w:rsid w:val="007111BB"/>
    <w:rsid w:val="0071175A"/>
    <w:rsid w:val="00711C31"/>
    <w:rsid w:val="00714CAB"/>
    <w:rsid w:val="00715C81"/>
    <w:rsid w:val="0071640C"/>
    <w:rsid w:val="00716522"/>
    <w:rsid w:val="00716727"/>
    <w:rsid w:val="00717000"/>
    <w:rsid w:val="007206E2"/>
    <w:rsid w:val="00720B79"/>
    <w:rsid w:val="00721D98"/>
    <w:rsid w:val="00722374"/>
    <w:rsid w:val="0072265F"/>
    <w:rsid w:val="007269BF"/>
    <w:rsid w:val="00731B39"/>
    <w:rsid w:val="007321DE"/>
    <w:rsid w:val="00733A41"/>
    <w:rsid w:val="00733B8A"/>
    <w:rsid w:val="00733DFB"/>
    <w:rsid w:val="00734871"/>
    <w:rsid w:val="00735B01"/>
    <w:rsid w:val="0073748D"/>
    <w:rsid w:val="00737CEC"/>
    <w:rsid w:val="0074054F"/>
    <w:rsid w:val="00745F8F"/>
    <w:rsid w:val="00747EDC"/>
    <w:rsid w:val="0075625E"/>
    <w:rsid w:val="007571CC"/>
    <w:rsid w:val="0076024F"/>
    <w:rsid w:val="00760AEA"/>
    <w:rsid w:val="00760BAB"/>
    <w:rsid w:val="007618B2"/>
    <w:rsid w:val="00765376"/>
    <w:rsid w:val="00766A0F"/>
    <w:rsid w:val="007713E0"/>
    <w:rsid w:val="00774E7F"/>
    <w:rsid w:val="00777A88"/>
    <w:rsid w:val="00780C0A"/>
    <w:rsid w:val="00781606"/>
    <w:rsid w:val="00786AB2"/>
    <w:rsid w:val="00794C31"/>
    <w:rsid w:val="00795EFF"/>
    <w:rsid w:val="007A1073"/>
    <w:rsid w:val="007A1AC5"/>
    <w:rsid w:val="007A4B6B"/>
    <w:rsid w:val="007A7FBC"/>
    <w:rsid w:val="007B5B72"/>
    <w:rsid w:val="007B6860"/>
    <w:rsid w:val="007B7A85"/>
    <w:rsid w:val="007C2599"/>
    <w:rsid w:val="007C3846"/>
    <w:rsid w:val="007D13D5"/>
    <w:rsid w:val="007D4F80"/>
    <w:rsid w:val="007E0D2E"/>
    <w:rsid w:val="007E324B"/>
    <w:rsid w:val="007E67AA"/>
    <w:rsid w:val="007E74EF"/>
    <w:rsid w:val="007E76AE"/>
    <w:rsid w:val="007E7F70"/>
    <w:rsid w:val="007F09DE"/>
    <w:rsid w:val="007F203F"/>
    <w:rsid w:val="007F3F14"/>
    <w:rsid w:val="00800BD5"/>
    <w:rsid w:val="00801919"/>
    <w:rsid w:val="0080591F"/>
    <w:rsid w:val="00811B5E"/>
    <w:rsid w:val="0082059D"/>
    <w:rsid w:val="0082434E"/>
    <w:rsid w:val="008303DA"/>
    <w:rsid w:val="008304D0"/>
    <w:rsid w:val="008357EE"/>
    <w:rsid w:val="008363EB"/>
    <w:rsid w:val="00836D47"/>
    <w:rsid w:val="0083713A"/>
    <w:rsid w:val="00837711"/>
    <w:rsid w:val="00840257"/>
    <w:rsid w:val="008422AE"/>
    <w:rsid w:val="0084296E"/>
    <w:rsid w:val="00844733"/>
    <w:rsid w:val="00847CF9"/>
    <w:rsid w:val="008512EE"/>
    <w:rsid w:val="00851CF9"/>
    <w:rsid w:val="008535C4"/>
    <w:rsid w:val="00853EEA"/>
    <w:rsid w:val="00860309"/>
    <w:rsid w:val="00861107"/>
    <w:rsid w:val="008639CB"/>
    <w:rsid w:val="00865D14"/>
    <w:rsid w:val="008665C6"/>
    <w:rsid w:val="00867069"/>
    <w:rsid w:val="008678DF"/>
    <w:rsid w:val="008679D7"/>
    <w:rsid w:val="00867D8D"/>
    <w:rsid w:val="00871F6E"/>
    <w:rsid w:val="00874DA8"/>
    <w:rsid w:val="00881386"/>
    <w:rsid w:val="00881506"/>
    <w:rsid w:val="008909E4"/>
    <w:rsid w:val="0089508F"/>
    <w:rsid w:val="008952CA"/>
    <w:rsid w:val="00895AA8"/>
    <w:rsid w:val="00896A2D"/>
    <w:rsid w:val="00897F55"/>
    <w:rsid w:val="008A0727"/>
    <w:rsid w:val="008A0B2B"/>
    <w:rsid w:val="008A0E7E"/>
    <w:rsid w:val="008A14B2"/>
    <w:rsid w:val="008A25F6"/>
    <w:rsid w:val="008A2D81"/>
    <w:rsid w:val="008A34B4"/>
    <w:rsid w:val="008A377E"/>
    <w:rsid w:val="008A3B10"/>
    <w:rsid w:val="008A3F63"/>
    <w:rsid w:val="008A6366"/>
    <w:rsid w:val="008A7410"/>
    <w:rsid w:val="008B052B"/>
    <w:rsid w:val="008B2717"/>
    <w:rsid w:val="008B3167"/>
    <w:rsid w:val="008B4849"/>
    <w:rsid w:val="008B4974"/>
    <w:rsid w:val="008B5047"/>
    <w:rsid w:val="008B5AEF"/>
    <w:rsid w:val="008B6CC2"/>
    <w:rsid w:val="008B6D45"/>
    <w:rsid w:val="008C5A72"/>
    <w:rsid w:val="008C646D"/>
    <w:rsid w:val="008D64F6"/>
    <w:rsid w:val="008D66F1"/>
    <w:rsid w:val="008E361E"/>
    <w:rsid w:val="008E4714"/>
    <w:rsid w:val="008E6E05"/>
    <w:rsid w:val="008E70CB"/>
    <w:rsid w:val="008F1477"/>
    <w:rsid w:val="008F25AE"/>
    <w:rsid w:val="008F2F5F"/>
    <w:rsid w:val="008F438D"/>
    <w:rsid w:val="008F4ED1"/>
    <w:rsid w:val="008F61D2"/>
    <w:rsid w:val="008F6632"/>
    <w:rsid w:val="008F74A7"/>
    <w:rsid w:val="008F7A6C"/>
    <w:rsid w:val="008F7B0C"/>
    <w:rsid w:val="0090541D"/>
    <w:rsid w:val="00905457"/>
    <w:rsid w:val="0090606F"/>
    <w:rsid w:val="009123F0"/>
    <w:rsid w:val="0091447F"/>
    <w:rsid w:val="00914933"/>
    <w:rsid w:val="00915826"/>
    <w:rsid w:val="00915F17"/>
    <w:rsid w:val="00920C4D"/>
    <w:rsid w:val="00921263"/>
    <w:rsid w:val="00923D31"/>
    <w:rsid w:val="00930759"/>
    <w:rsid w:val="0094081A"/>
    <w:rsid w:val="00942699"/>
    <w:rsid w:val="009438CB"/>
    <w:rsid w:val="00943E51"/>
    <w:rsid w:val="00947FA5"/>
    <w:rsid w:val="00951D18"/>
    <w:rsid w:val="00952F1A"/>
    <w:rsid w:val="0095332D"/>
    <w:rsid w:val="00955401"/>
    <w:rsid w:val="00963A95"/>
    <w:rsid w:val="0096437D"/>
    <w:rsid w:val="0096485F"/>
    <w:rsid w:val="009650FE"/>
    <w:rsid w:val="00971925"/>
    <w:rsid w:val="00972D50"/>
    <w:rsid w:val="00974A16"/>
    <w:rsid w:val="00975D82"/>
    <w:rsid w:val="00981265"/>
    <w:rsid w:val="009822DE"/>
    <w:rsid w:val="00982F91"/>
    <w:rsid w:val="00982FD4"/>
    <w:rsid w:val="0098372B"/>
    <w:rsid w:val="00983BBB"/>
    <w:rsid w:val="0098585A"/>
    <w:rsid w:val="0098634F"/>
    <w:rsid w:val="00987450"/>
    <w:rsid w:val="00987F07"/>
    <w:rsid w:val="009916EB"/>
    <w:rsid w:val="00991B07"/>
    <w:rsid w:val="00991B7C"/>
    <w:rsid w:val="00993A30"/>
    <w:rsid w:val="00994370"/>
    <w:rsid w:val="00994FD5"/>
    <w:rsid w:val="009955E8"/>
    <w:rsid w:val="00996B3F"/>
    <w:rsid w:val="009A12AA"/>
    <w:rsid w:val="009A366B"/>
    <w:rsid w:val="009A3AC8"/>
    <w:rsid w:val="009A4567"/>
    <w:rsid w:val="009A4EC8"/>
    <w:rsid w:val="009B0D89"/>
    <w:rsid w:val="009B3775"/>
    <w:rsid w:val="009B40C4"/>
    <w:rsid w:val="009B4BAC"/>
    <w:rsid w:val="009B618D"/>
    <w:rsid w:val="009B6D50"/>
    <w:rsid w:val="009B6FB9"/>
    <w:rsid w:val="009D2E12"/>
    <w:rsid w:val="009D3EDC"/>
    <w:rsid w:val="009D63EB"/>
    <w:rsid w:val="009D6F9C"/>
    <w:rsid w:val="009D7A12"/>
    <w:rsid w:val="009E4CB0"/>
    <w:rsid w:val="009E5E16"/>
    <w:rsid w:val="009E5FDF"/>
    <w:rsid w:val="009E6DF3"/>
    <w:rsid w:val="009E754A"/>
    <w:rsid w:val="009F0F01"/>
    <w:rsid w:val="009F1049"/>
    <w:rsid w:val="009F1436"/>
    <w:rsid w:val="009F5018"/>
    <w:rsid w:val="009F56A7"/>
    <w:rsid w:val="009F62EE"/>
    <w:rsid w:val="009F6663"/>
    <w:rsid w:val="00A0123A"/>
    <w:rsid w:val="00A01365"/>
    <w:rsid w:val="00A0249C"/>
    <w:rsid w:val="00A02784"/>
    <w:rsid w:val="00A0375F"/>
    <w:rsid w:val="00A1112C"/>
    <w:rsid w:val="00A122C1"/>
    <w:rsid w:val="00A16CD6"/>
    <w:rsid w:val="00A24CB2"/>
    <w:rsid w:val="00A24DD6"/>
    <w:rsid w:val="00A25468"/>
    <w:rsid w:val="00A25CBE"/>
    <w:rsid w:val="00A268A8"/>
    <w:rsid w:val="00A2696F"/>
    <w:rsid w:val="00A31337"/>
    <w:rsid w:val="00A34494"/>
    <w:rsid w:val="00A36368"/>
    <w:rsid w:val="00A40435"/>
    <w:rsid w:val="00A4283A"/>
    <w:rsid w:val="00A42C87"/>
    <w:rsid w:val="00A42DCD"/>
    <w:rsid w:val="00A444E0"/>
    <w:rsid w:val="00A47C90"/>
    <w:rsid w:val="00A506E6"/>
    <w:rsid w:val="00A559F6"/>
    <w:rsid w:val="00A5723A"/>
    <w:rsid w:val="00A706E4"/>
    <w:rsid w:val="00A731F6"/>
    <w:rsid w:val="00A73A81"/>
    <w:rsid w:val="00A75875"/>
    <w:rsid w:val="00A85E09"/>
    <w:rsid w:val="00A86858"/>
    <w:rsid w:val="00A873A0"/>
    <w:rsid w:val="00A944BF"/>
    <w:rsid w:val="00A9499B"/>
    <w:rsid w:val="00A97071"/>
    <w:rsid w:val="00AA1F0F"/>
    <w:rsid w:val="00AA60C4"/>
    <w:rsid w:val="00AB0328"/>
    <w:rsid w:val="00AB248C"/>
    <w:rsid w:val="00AB2D74"/>
    <w:rsid w:val="00AB54A6"/>
    <w:rsid w:val="00AC277C"/>
    <w:rsid w:val="00AC2801"/>
    <w:rsid w:val="00AE2B91"/>
    <w:rsid w:val="00AE60F5"/>
    <w:rsid w:val="00AE7F75"/>
    <w:rsid w:val="00AF21EF"/>
    <w:rsid w:val="00AF47AF"/>
    <w:rsid w:val="00AF7336"/>
    <w:rsid w:val="00AF75F5"/>
    <w:rsid w:val="00AF7944"/>
    <w:rsid w:val="00B035C0"/>
    <w:rsid w:val="00B07265"/>
    <w:rsid w:val="00B23568"/>
    <w:rsid w:val="00B277B6"/>
    <w:rsid w:val="00B31532"/>
    <w:rsid w:val="00B31BFB"/>
    <w:rsid w:val="00B321A0"/>
    <w:rsid w:val="00B3237B"/>
    <w:rsid w:val="00B32449"/>
    <w:rsid w:val="00B332C8"/>
    <w:rsid w:val="00B334F3"/>
    <w:rsid w:val="00B34790"/>
    <w:rsid w:val="00B34AE2"/>
    <w:rsid w:val="00B37E7B"/>
    <w:rsid w:val="00B417A3"/>
    <w:rsid w:val="00B45166"/>
    <w:rsid w:val="00B45A55"/>
    <w:rsid w:val="00B468AC"/>
    <w:rsid w:val="00B47BEA"/>
    <w:rsid w:val="00B47E30"/>
    <w:rsid w:val="00B519F4"/>
    <w:rsid w:val="00B52F7C"/>
    <w:rsid w:val="00B534C8"/>
    <w:rsid w:val="00B5467A"/>
    <w:rsid w:val="00B6191F"/>
    <w:rsid w:val="00B626AD"/>
    <w:rsid w:val="00B632B1"/>
    <w:rsid w:val="00B65738"/>
    <w:rsid w:val="00B66851"/>
    <w:rsid w:val="00B67B27"/>
    <w:rsid w:val="00B7061B"/>
    <w:rsid w:val="00B715E6"/>
    <w:rsid w:val="00B71776"/>
    <w:rsid w:val="00B71C0E"/>
    <w:rsid w:val="00B75C0C"/>
    <w:rsid w:val="00B773BB"/>
    <w:rsid w:val="00B814BD"/>
    <w:rsid w:val="00B866B5"/>
    <w:rsid w:val="00B87537"/>
    <w:rsid w:val="00B92009"/>
    <w:rsid w:val="00B93B2C"/>
    <w:rsid w:val="00BA7C58"/>
    <w:rsid w:val="00BB529A"/>
    <w:rsid w:val="00BB647A"/>
    <w:rsid w:val="00BB67EC"/>
    <w:rsid w:val="00BC4E68"/>
    <w:rsid w:val="00BD0683"/>
    <w:rsid w:val="00BD2927"/>
    <w:rsid w:val="00BD4BA0"/>
    <w:rsid w:val="00BD65A7"/>
    <w:rsid w:val="00BD6A6E"/>
    <w:rsid w:val="00BD7FCE"/>
    <w:rsid w:val="00BE1573"/>
    <w:rsid w:val="00BE4487"/>
    <w:rsid w:val="00BE4527"/>
    <w:rsid w:val="00BE4C2B"/>
    <w:rsid w:val="00BE5933"/>
    <w:rsid w:val="00BE5F46"/>
    <w:rsid w:val="00BF0D27"/>
    <w:rsid w:val="00BF17B9"/>
    <w:rsid w:val="00BF4DCE"/>
    <w:rsid w:val="00BF5072"/>
    <w:rsid w:val="00BF57D6"/>
    <w:rsid w:val="00BF5DFF"/>
    <w:rsid w:val="00C024E3"/>
    <w:rsid w:val="00C04773"/>
    <w:rsid w:val="00C07848"/>
    <w:rsid w:val="00C109C9"/>
    <w:rsid w:val="00C1206B"/>
    <w:rsid w:val="00C1323C"/>
    <w:rsid w:val="00C1742A"/>
    <w:rsid w:val="00C214B4"/>
    <w:rsid w:val="00C21D07"/>
    <w:rsid w:val="00C30064"/>
    <w:rsid w:val="00C302E1"/>
    <w:rsid w:val="00C31604"/>
    <w:rsid w:val="00C35EF1"/>
    <w:rsid w:val="00C36C12"/>
    <w:rsid w:val="00C463C9"/>
    <w:rsid w:val="00C4692D"/>
    <w:rsid w:val="00C531C0"/>
    <w:rsid w:val="00C54B48"/>
    <w:rsid w:val="00C57A3D"/>
    <w:rsid w:val="00C6019B"/>
    <w:rsid w:val="00C60E3C"/>
    <w:rsid w:val="00C61A87"/>
    <w:rsid w:val="00C63264"/>
    <w:rsid w:val="00C639C4"/>
    <w:rsid w:val="00C6427A"/>
    <w:rsid w:val="00C71AD8"/>
    <w:rsid w:val="00C77EFC"/>
    <w:rsid w:val="00C8134D"/>
    <w:rsid w:val="00C852DB"/>
    <w:rsid w:val="00C853E9"/>
    <w:rsid w:val="00C90446"/>
    <w:rsid w:val="00C90C42"/>
    <w:rsid w:val="00C93C7A"/>
    <w:rsid w:val="00C93F04"/>
    <w:rsid w:val="00C97731"/>
    <w:rsid w:val="00CA0D4C"/>
    <w:rsid w:val="00CA2AE5"/>
    <w:rsid w:val="00CA5A76"/>
    <w:rsid w:val="00CA5C87"/>
    <w:rsid w:val="00CA70CB"/>
    <w:rsid w:val="00CA7ECD"/>
    <w:rsid w:val="00CB2827"/>
    <w:rsid w:val="00CB41DD"/>
    <w:rsid w:val="00CB551C"/>
    <w:rsid w:val="00CC159D"/>
    <w:rsid w:val="00CC24DF"/>
    <w:rsid w:val="00CC4B3B"/>
    <w:rsid w:val="00CC65F4"/>
    <w:rsid w:val="00CC67B2"/>
    <w:rsid w:val="00CC6871"/>
    <w:rsid w:val="00CD52CF"/>
    <w:rsid w:val="00CD6928"/>
    <w:rsid w:val="00CE2BEA"/>
    <w:rsid w:val="00CE6427"/>
    <w:rsid w:val="00CE6CB0"/>
    <w:rsid w:val="00CF0554"/>
    <w:rsid w:val="00CF3A32"/>
    <w:rsid w:val="00CF5DC7"/>
    <w:rsid w:val="00CF62D0"/>
    <w:rsid w:val="00CF693E"/>
    <w:rsid w:val="00CF78D3"/>
    <w:rsid w:val="00D02C5A"/>
    <w:rsid w:val="00D03234"/>
    <w:rsid w:val="00D060B9"/>
    <w:rsid w:val="00D07578"/>
    <w:rsid w:val="00D11F73"/>
    <w:rsid w:val="00D1246E"/>
    <w:rsid w:val="00D13D1C"/>
    <w:rsid w:val="00D154B5"/>
    <w:rsid w:val="00D17629"/>
    <w:rsid w:val="00D20408"/>
    <w:rsid w:val="00D2272B"/>
    <w:rsid w:val="00D23B41"/>
    <w:rsid w:val="00D25110"/>
    <w:rsid w:val="00D32BD4"/>
    <w:rsid w:val="00D34F1B"/>
    <w:rsid w:val="00D377CC"/>
    <w:rsid w:val="00D37CB8"/>
    <w:rsid w:val="00D37F16"/>
    <w:rsid w:val="00D42CFA"/>
    <w:rsid w:val="00D43DFC"/>
    <w:rsid w:val="00D479EB"/>
    <w:rsid w:val="00D51F48"/>
    <w:rsid w:val="00D53035"/>
    <w:rsid w:val="00D55757"/>
    <w:rsid w:val="00D566D3"/>
    <w:rsid w:val="00D576B9"/>
    <w:rsid w:val="00D636EE"/>
    <w:rsid w:val="00D657A7"/>
    <w:rsid w:val="00D66FB9"/>
    <w:rsid w:val="00D66FE4"/>
    <w:rsid w:val="00D73A13"/>
    <w:rsid w:val="00D742F2"/>
    <w:rsid w:val="00D75F6F"/>
    <w:rsid w:val="00D7751B"/>
    <w:rsid w:val="00D802C4"/>
    <w:rsid w:val="00D81DCC"/>
    <w:rsid w:val="00D83237"/>
    <w:rsid w:val="00D83DCA"/>
    <w:rsid w:val="00D843F0"/>
    <w:rsid w:val="00D926FC"/>
    <w:rsid w:val="00D93070"/>
    <w:rsid w:val="00D945B5"/>
    <w:rsid w:val="00DA1726"/>
    <w:rsid w:val="00DA415E"/>
    <w:rsid w:val="00DA42B8"/>
    <w:rsid w:val="00DA49EA"/>
    <w:rsid w:val="00DA524C"/>
    <w:rsid w:val="00DA5C4D"/>
    <w:rsid w:val="00DA5C8E"/>
    <w:rsid w:val="00DB0EF4"/>
    <w:rsid w:val="00DB6618"/>
    <w:rsid w:val="00DC3497"/>
    <w:rsid w:val="00DC3620"/>
    <w:rsid w:val="00DC3979"/>
    <w:rsid w:val="00DC5120"/>
    <w:rsid w:val="00DC6A9B"/>
    <w:rsid w:val="00DC7ECE"/>
    <w:rsid w:val="00DD33F3"/>
    <w:rsid w:val="00DD39B8"/>
    <w:rsid w:val="00DD69C6"/>
    <w:rsid w:val="00DE5C71"/>
    <w:rsid w:val="00DF27D7"/>
    <w:rsid w:val="00DF2BA4"/>
    <w:rsid w:val="00DF2F4B"/>
    <w:rsid w:val="00DF39CE"/>
    <w:rsid w:val="00DF44C6"/>
    <w:rsid w:val="00DF551D"/>
    <w:rsid w:val="00DF71DA"/>
    <w:rsid w:val="00E025B1"/>
    <w:rsid w:val="00E034B4"/>
    <w:rsid w:val="00E07A54"/>
    <w:rsid w:val="00E13D90"/>
    <w:rsid w:val="00E15D77"/>
    <w:rsid w:val="00E20D49"/>
    <w:rsid w:val="00E262EB"/>
    <w:rsid w:val="00E32210"/>
    <w:rsid w:val="00E36357"/>
    <w:rsid w:val="00E376E6"/>
    <w:rsid w:val="00E41621"/>
    <w:rsid w:val="00E43EAA"/>
    <w:rsid w:val="00E46059"/>
    <w:rsid w:val="00E478FE"/>
    <w:rsid w:val="00E56D0F"/>
    <w:rsid w:val="00E57884"/>
    <w:rsid w:val="00E61F15"/>
    <w:rsid w:val="00E622FF"/>
    <w:rsid w:val="00E63043"/>
    <w:rsid w:val="00E645A7"/>
    <w:rsid w:val="00E65CDA"/>
    <w:rsid w:val="00E66AB8"/>
    <w:rsid w:val="00E7034B"/>
    <w:rsid w:val="00E70865"/>
    <w:rsid w:val="00E72CEF"/>
    <w:rsid w:val="00E75883"/>
    <w:rsid w:val="00E812FB"/>
    <w:rsid w:val="00E81CE4"/>
    <w:rsid w:val="00E821E2"/>
    <w:rsid w:val="00E84A60"/>
    <w:rsid w:val="00E90CF2"/>
    <w:rsid w:val="00E90DCA"/>
    <w:rsid w:val="00E91D74"/>
    <w:rsid w:val="00E931FE"/>
    <w:rsid w:val="00E93563"/>
    <w:rsid w:val="00EA0D60"/>
    <w:rsid w:val="00EA344B"/>
    <w:rsid w:val="00EA45D2"/>
    <w:rsid w:val="00EA4FAC"/>
    <w:rsid w:val="00EA5CBE"/>
    <w:rsid w:val="00EA628F"/>
    <w:rsid w:val="00EB0238"/>
    <w:rsid w:val="00EB1F45"/>
    <w:rsid w:val="00EB3CD1"/>
    <w:rsid w:val="00EB4C62"/>
    <w:rsid w:val="00EB5430"/>
    <w:rsid w:val="00EB5D2D"/>
    <w:rsid w:val="00EB6298"/>
    <w:rsid w:val="00EB68D7"/>
    <w:rsid w:val="00EC0161"/>
    <w:rsid w:val="00EC0355"/>
    <w:rsid w:val="00EC078D"/>
    <w:rsid w:val="00EC0BC1"/>
    <w:rsid w:val="00EC32D5"/>
    <w:rsid w:val="00EC4265"/>
    <w:rsid w:val="00EC5380"/>
    <w:rsid w:val="00EC7CE5"/>
    <w:rsid w:val="00EC7E98"/>
    <w:rsid w:val="00EC7EFA"/>
    <w:rsid w:val="00EC7FEF"/>
    <w:rsid w:val="00ED025C"/>
    <w:rsid w:val="00ED34D6"/>
    <w:rsid w:val="00ED62F1"/>
    <w:rsid w:val="00EE02E9"/>
    <w:rsid w:val="00EE044C"/>
    <w:rsid w:val="00EE078B"/>
    <w:rsid w:val="00EE44A7"/>
    <w:rsid w:val="00EE4D35"/>
    <w:rsid w:val="00EE7D78"/>
    <w:rsid w:val="00EE7E49"/>
    <w:rsid w:val="00EF10F8"/>
    <w:rsid w:val="00EF19FE"/>
    <w:rsid w:val="00EF435D"/>
    <w:rsid w:val="00EF477B"/>
    <w:rsid w:val="00EF48CA"/>
    <w:rsid w:val="00F01149"/>
    <w:rsid w:val="00F014E0"/>
    <w:rsid w:val="00F01DEA"/>
    <w:rsid w:val="00F031F4"/>
    <w:rsid w:val="00F07164"/>
    <w:rsid w:val="00F075F3"/>
    <w:rsid w:val="00F12419"/>
    <w:rsid w:val="00F13500"/>
    <w:rsid w:val="00F13A20"/>
    <w:rsid w:val="00F1711A"/>
    <w:rsid w:val="00F1738B"/>
    <w:rsid w:val="00F203B4"/>
    <w:rsid w:val="00F21EC6"/>
    <w:rsid w:val="00F23FD2"/>
    <w:rsid w:val="00F253FB"/>
    <w:rsid w:val="00F25DF3"/>
    <w:rsid w:val="00F26C6D"/>
    <w:rsid w:val="00F27B0A"/>
    <w:rsid w:val="00F33575"/>
    <w:rsid w:val="00F34B54"/>
    <w:rsid w:val="00F400C8"/>
    <w:rsid w:val="00F40D92"/>
    <w:rsid w:val="00F41162"/>
    <w:rsid w:val="00F45AFD"/>
    <w:rsid w:val="00F4674A"/>
    <w:rsid w:val="00F53C62"/>
    <w:rsid w:val="00F53EA6"/>
    <w:rsid w:val="00F5650F"/>
    <w:rsid w:val="00F566C0"/>
    <w:rsid w:val="00F56883"/>
    <w:rsid w:val="00F649E3"/>
    <w:rsid w:val="00F676AB"/>
    <w:rsid w:val="00F705E7"/>
    <w:rsid w:val="00F70CBC"/>
    <w:rsid w:val="00F71B5A"/>
    <w:rsid w:val="00F75822"/>
    <w:rsid w:val="00F77103"/>
    <w:rsid w:val="00F77899"/>
    <w:rsid w:val="00F83308"/>
    <w:rsid w:val="00F833A2"/>
    <w:rsid w:val="00F8553C"/>
    <w:rsid w:val="00F943D3"/>
    <w:rsid w:val="00F947EA"/>
    <w:rsid w:val="00F9552F"/>
    <w:rsid w:val="00F958F7"/>
    <w:rsid w:val="00FA1A65"/>
    <w:rsid w:val="00FA504C"/>
    <w:rsid w:val="00FA5D69"/>
    <w:rsid w:val="00FA7D31"/>
    <w:rsid w:val="00FB20CB"/>
    <w:rsid w:val="00FB4EBC"/>
    <w:rsid w:val="00FB4F7A"/>
    <w:rsid w:val="00FB79CC"/>
    <w:rsid w:val="00FB79E7"/>
    <w:rsid w:val="00FC00E5"/>
    <w:rsid w:val="00FC0FE2"/>
    <w:rsid w:val="00FC19DD"/>
    <w:rsid w:val="00FC1FBC"/>
    <w:rsid w:val="00FC2635"/>
    <w:rsid w:val="00FC3D5C"/>
    <w:rsid w:val="00FC711B"/>
    <w:rsid w:val="00FD1BD3"/>
    <w:rsid w:val="00FD1C7D"/>
    <w:rsid w:val="00FD2611"/>
    <w:rsid w:val="00FD2E45"/>
    <w:rsid w:val="00FD4002"/>
    <w:rsid w:val="00FD4C63"/>
    <w:rsid w:val="00FE01C7"/>
    <w:rsid w:val="00FE1E8C"/>
    <w:rsid w:val="00FE4566"/>
    <w:rsid w:val="00FF0F36"/>
    <w:rsid w:val="00FF35D3"/>
    <w:rsid w:val="00FF41FF"/>
    <w:rsid w:val="00FF52F9"/>
    <w:rsid w:val="00FF56A4"/>
    <w:rsid w:val="00FF71A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7744F99E-E7FC-474A-8FAB-A7515F15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8"/>
        <w:szCs w:val="28"/>
        <w:lang w:val="es-CO"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0B82"/>
    <w:rPr>
      <w:sz w:val="24"/>
      <w:szCs w:val="24"/>
      <w:lang w:eastAsia="es-CO"/>
    </w:rPr>
  </w:style>
  <w:style w:type="paragraph" w:styleId="Ttulo1">
    <w:name w:val="heading 1"/>
    <w:basedOn w:val="Normal"/>
    <w:next w:val="Normal"/>
    <w:link w:val="Ttulo1Car"/>
    <w:uiPriority w:val="9"/>
    <w:qFormat/>
    <w:rsid w:val="00EB1F45"/>
    <w:pPr>
      <w:keepNext/>
      <w:overflowPunct w:val="0"/>
      <w:autoSpaceDE w:val="0"/>
      <w:autoSpaceDN w:val="0"/>
      <w:adjustRightInd w:val="0"/>
      <w:spacing w:before="120" w:after="120" w:line="360" w:lineRule="auto"/>
      <w:textAlignment w:val="baseline"/>
      <w:outlineLvl w:val="0"/>
    </w:pPr>
    <w:rPr>
      <w:b/>
      <w:bCs/>
      <w:color w:val="0000FF"/>
      <w:spacing w:val="8"/>
      <w:kern w:val="28"/>
      <w:sz w:val="32"/>
      <w:szCs w:val="32"/>
      <w:lang w:val="es-ES_tradnl" w:eastAsia="es-ES"/>
    </w:rPr>
  </w:style>
  <w:style w:type="paragraph" w:styleId="Ttulo3">
    <w:name w:val="heading 3"/>
    <w:basedOn w:val="Normal"/>
    <w:next w:val="Normal"/>
    <w:link w:val="Ttulo3Car"/>
    <w:uiPriority w:val="9"/>
    <w:qFormat/>
    <w:rsid w:val="00EB1F45"/>
    <w:pPr>
      <w:keepNext/>
      <w:spacing w:line="340" w:lineRule="atLeast"/>
      <w:ind w:hanging="567"/>
      <w:jc w:val="center"/>
      <w:outlineLvl w:val="2"/>
    </w:pPr>
    <w:rPr>
      <w:b/>
      <w:sz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sid w:val="00EB1F45"/>
    <w:rPr>
      <w:rFonts w:eastAsia="Times New Roman" w:cs="Times New Roman"/>
      <w:b/>
      <w:bCs/>
      <w:color w:val="0000FF"/>
      <w:spacing w:val="8"/>
      <w:kern w:val="28"/>
      <w:sz w:val="32"/>
      <w:szCs w:val="32"/>
      <w:lang w:val="es-ES_tradnl" w:eastAsia="es-ES"/>
    </w:rPr>
  </w:style>
  <w:style w:type="character" w:customStyle="1" w:styleId="Ttulo3Car">
    <w:name w:val="Título 3 Car"/>
    <w:basedOn w:val="Fuentedeprrafopredeter"/>
    <w:link w:val="Ttulo3"/>
    <w:uiPriority w:val="9"/>
    <w:locked/>
    <w:rsid w:val="00EB1F45"/>
    <w:rPr>
      <w:rFonts w:eastAsia="Times New Roman" w:cs="Times New Roman"/>
      <w:b/>
      <w:sz w:val="24"/>
      <w:szCs w:val="24"/>
      <w:lang w:val="x-none" w:eastAsia="es-ES"/>
    </w:rPr>
  </w:style>
  <w:style w:type="paragraph" w:styleId="Textonotapie">
    <w:name w:val="footnote text"/>
    <w:aliases w:val="Ref. de nota al pie1,Texto de nota al pie,referencia nota al pie,Nota de pie,Texto nota al pie,Appel note de bas de page,Footnotes refss,Texto nota pie Car2,texto de nota al pi Car1,Footnote number,BVI fnr,f,Ref. de nota al pie 2"/>
    <w:basedOn w:val="Normal"/>
    <w:link w:val="TextonotapieCar"/>
    <w:uiPriority w:val="99"/>
    <w:qFormat/>
    <w:rsid w:val="00EB1F45"/>
  </w:style>
  <w:style w:type="paragraph" w:styleId="Prrafodelista">
    <w:name w:val="List Paragraph"/>
    <w:basedOn w:val="Normal"/>
    <w:uiPriority w:val="34"/>
    <w:qFormat/>
    <w:rsid w:val="00EB1F45"/>
    <w:pPr>
      <w:ind w:left="708"/>
    </w:pPr>
  </w:style>
  <w:style w:type="character" w:customStyle="1" w:styleId="TextonotapieCar">
    <w:name w:val="Texto nota pie Car"/>
    <w:aliases w:val="Ref. de nota al pie1 Car,Texto de nota al pie Car,referencia nota al pie Car,Nota de pie Car,Texto nota al pie Car,Appel note de bas de page Car,Footnotes refss Car,Texto nota pie Car2 Car,texto de nota al pi Car1 Car,BVI fnr Car"/>
    <w:basedOn w:val="Fuentedeprrafopredeter"/>
    <w:link w:val="Textonotapie"/>
    <w:uiPriority w:val="99"/>
    <w:locked/>
    <w:rsid w:val="00EB1F45"/>
    <w:rPr>
      <w:rFonts w:eastAsia="Times New Roman" w:cs="Times New Roman"/>
      <w:sz w:val="24"/>
      <w:szCs w:val="24"/>
      <w:lang w:val="x-none" w:eastAsia="es-CO"/>
    </w:rPr>
  </w:style>
  <w:style w:type="paragraph" w:styleId="Sangradetextonormal">
    <w:name w:val="Body Text Indent"/>
    <w:basedOn w:val="Normal"/>
    <w:link w:val="SangradetextonormalCar"/>
    <w:uiPriority w:val="99"/>
    <w:rsid w:val="00EB1F45"/>
    <w:pPr>
      <w:overflowPunct w:val="0"/>
      <w:autoSpaceDE w:val="0"/>
      <w:autoSpaceDN w:val="0"/>
      <w:adjustRightInd w:val="0"/>
      <w:ind w:left="3969"/>
      <w:textAlignment w:val="baseline"/>
    </w:pPr>
    <w:rPr>
      <w:sz w:val="28"/>
      <w:szCs w:val="28"/>
      <w:lang w:val="es-ES_tradnl" w:eastAsia="es-ES"/>
    </w:rPr>
  </w:style>
  <w:style w:type="character" w:customStyle="1" w:styleId="SangradetextonormalCar">
    <w:name w:val="Sangría de texto normal Car"/>
    <w:basedOn w:val="Fuentedeprrafopredeter"/>
    <w:link w:val="Sangradetextonormal"/>
    <w:uiPriority w:val="99"/>
    <w:locked/>
    <w:rsid w:val="00EB1F45"/>
    <w:rPr>
      <w:rFonts w:eastAsia="Times New Roman" w:cs="Times New Roman"/>
      <w:sz w:val="28"/>
      <w:szCs w:val="28"/>
      <w:lang w:val="es-ES_tradnl" w:eastAsia="es-ES"/>
    </w:rPr>
  </w:style>
  <w:style w:type="paragraph" w:styleId="Descripcin">
    <w:name w:val="caption"/>
    <w:basedOn w:val="Normal"/>
    <w:next w:val="Normal"/>
    <w:uiPriority w:val="35"/>
    <w:qFormat/>
    <w:rsid w:val="00EB1F45"/>
    <w:pPr>
      <w:spacing w:line="360" w:lineRule="atLeast"/>
      <w:jc w:val="center"/>
    </w:pPr>
    <w:rPr>
      <w:b/>
      <w:sz w:val="28"/>
      <w:lang w:val="es-ES_tradnl" w:eastAsia="es-ES"/>
    </w:rPr>
  </w:style>
  <w:style w:type="paragraph" w:customStyle="1" w:styleId="Sinespaciado2">
    <w:name w:val="Sin espaciado2"/>
    <w:basedOn w:val="Normal"/>
    <w:rsid w:val="00B93B2C"/>
    <w:rPr>
      <w:lang w:val="es-ES" w:eastAsia="es-ES"/>
    </w:rPr>
  </w:style>
  <w:style w:type="paragraph" w:styleId="Sinespaciado">
    <w:name w:val="No Spacing"/>
    <w:uiPriority w:val="1"/>
    <w:qFormat/>
    <w:rsid w:val="00915F17"/>
    <w:rPr>
      <w:rFonts w:ascii="Calibri" w:hAnsi="Calibri"/>
      <w:sz w:val="22"/>
      <w:szCs w:val="22"/>
    </w:rPr>
  </w:style>
  <w:style w:type="paragraph" w:styleId="Encabezado">
    <w:name w:val="header"/>
    <w:basedOn w:val="Normal"/>
    <w:link w:val="EncabezadoCar"/>
    <w:uiPriority w:val="99"/>
    <w:unhideWhenUsed/>
    <w:rsid w:val="00554056"/>
    <w:pPr>
      <w:tabs>
        <w:tab w:val="center" w:pos="4419"/>
        <w:tab w:val="right" w:pos="8838"/>
      </w:tabs>
    </w:pPr>
  </w:style>
  <w:style w:type="character" w:customStyle="1" w:styleId="EncabezadoCar">
    <w:name w:val="Encabezado Car"/>
    <w:basedOn w:val="Fuentedeprrafopredeter"/>
    <w:link w:val="Encabezado"/>
    <w:uiPriority w:val="99"/>
    <w:locked/>
    <w:rsid w:val="00554056"/>
    <w:rPr>
      <w:rFonts w:eastAsia="Times New Roman" w:cs="Times New Roman"/>
      <w:sz w:val="24"/>
      <w:szCs w:val="24"/>
      <w:lang w:val="x-none" w:eastAsia="es-CO"/>
    </w:rPr>
  </w:style>
  <w:style w:type="paragraph" w:styleId="Piedepgina">
    <w:name w:val="footer"/>
    <w:basedOn w:val="Normal"/>
    <w:link w:val="PiedepginaCar"/>
    <w:uiPriority w:val="99"/>
    <w:unhideWhenUsed/>
    <w:rsid w:val="00554056"/>
    <w:pPr>
      <w:tabs>
        <w:tab w:val="center" w:pos="4419"/>
        <w:tab w:val="right" w:pos="8838"/>
      </w:tabs>
    </w:pPr>
  </w:style>
  <w:style w:type="character" w:customStyle="1" w:styleId="PiedepginaCar">
    <w:name w:val="Pie de página Car"/>
    <w:basedOn w:val="Fuentedeprrafopredeter"/>
    <w:link w:val="Piedepgina"/>
    <w:uiPriority w:val="99"/>
    <w:locked/>
    <w:rsid w:val="00554056"/>
    <w:rPr>
      <w:rFonts w:eastAsia="Times New Roman" w:cs="Times New Roman"/>
      <w:sz w:val="24"/>
      <w:szCs w:val="24"/>
      <w:lang w:val="x-none" w:eastAsia="es-CO"/>
    </w:rPr>
  </w:style>
  <w:style w:type="paragraph" w:customStyle="1" w:styleId="Style26">
    <w:name w:val="Style26"/>
    <w:basedOn w:val="Normal"/>
    <w:uiPriority w:val="99"/>
    <w:rsid w:val="00112FE5"/>
    <w:pPr>
      <w:widowControl w:val="0"/>
      <w:autoSpaceDE w:val="0"/>
      <w:autoSpaceDN w:val="0"/>
      <w:adjustRightInd w:val="0"/>
      <w:spacing w:line="245" w:lineRule="exact"/>
    </w:pPr>
    <w:rPr>
      <w:rFonts w:ascii="Calibri" w:eastAsiaTheme="minorEastAsia" w:hAnsi="Calibri"/>
      <w:lang w:val="es-ES" w:eastAsia="es-ES"/>
    </w:rPr>
  </w:style>
  <w:style w:type="paragraph" w:customStyle="1" w:styleId="Style27">
    <w:name w:val="Style27"/>
    <w:basedOn w:val="Normal"/>
    <w:uiPriority w:val="99"/>
    <w:rsid w:val="00112FE5"/>
    <w:pPr>
      <w:widowControl w:val="0"/>
      <w:autoSpaceDE w:val="0"/>
      <w:autoSpaceDN w:val="0"/>
      <w:adjustRightInd w:val="0"/>
      <w:spacing w:line="242" w:lineRule="exact"/>
    </w:pPr>
    <w:rPr>
      <w:rFonts w:ascii="Calibri" w:eastAsiaTheme="minorEastAsia" w:hAnsi="Calibri"/>
      <w:lang w:val="es-ES" w:eastAsia="es-ES"/>
    </w:rPr>
  </w:style>
  <w:style w:type="character" w:customStyle="1" w:styleId="FontStyle64">
    <w:name w:val="Font Style64"/>
    <w:basedOn w:val="Fuentedeprrafopredeter"/>
    <w:uiPriority w:val="99"/>
    <w:rsid w:val="00112FE5"/>
    <w:rPr>
      <w:rFonts w:ascii="Calibri" w:hAnsi="Calibri" w:cs="Calibri"/>
      <w:sz w:val="20"/>
      <w:szCs w:val="20"/>
    </w:rPr>
  </w:style>
  <w:style w:type="character" w:customStyle="1" w:styleId="FontStyle68">
    <w:name w:val="Font Style68"/>
    <w:basedOn w:val="Fuentedeprrafopredeter"/>
    <w:uiPriority w:val="99"/>
    <w:rsid w:val="00112FE5"/>
    <w:rPr>
      <w:rFonts w:ascii="Calibri" w:hAnsi="Calibri" w:cs="Calibri"/>
      <w:b/>
      <w:bCs/>
      <w:sz w:val="20"/>
      <w:szCs w:val="20"/>
    </w:rPr>
  </w:style>
  <w:style w:type="paragraph" w:customStyle="1" w:styleId="Style15">
    <w:name w:val="Style15"/>
    <w:basedOn w:val="Normal"/>
    <w:uiPriority w:val="99"/>
    <w:rsid w:val="00F8553C"/>
    <w:pPr>
      <w:widowControl w:val="0"/>
      <w:autoSpaceDE w:val="0"/>
      <w:autoSpaceDN w:val="0"/>
      <w:adjustRightInd w:val="0"/>
      <w:spacing w:line="247" w:lineRule="exact"/>
    </w:pPr>
    <w:rPr>
      <w:rFonts w:ascii="Calibri" w:eastAsiaTheme="minorEastAsia" w:hAnsi="Calibri"/>
      <w:lang w:val="es-ES" w:eastAsia="es-ES"/>
    </w:rPr>
  </w:style>
  <w:style w:type="character" w:customStyle="1" w:styleId="FontStyle25">
    <w:name w:val="Font Style25"/>
    <w:basedOn w:val="Fuentedeprrafopredeter"/>
    <w:uiPriority w:val="99"/>
    <w:rsid w:val="00F8553C"/>
    <w:rPr>
      <w:rFonts w:ascii="Calibri" w:hAnsi="Calibri" w:cs="Calibri"/>
      <w:sz w:val="20"/>
      <w:szCs w:val="20"/>
    </w:rPr>
  </w:style>
  <w:style w:type="paragraph" w:customStyle="1" w:styleId="Style5">
    <w:name w:val="Style5"/>
    <w:basedOn w:val="Normal"/>
    <w:uiPriority w:val="99"/>
    <w:rsid w:val="00CE6CB0"/>
    <w:pPr>
      <w:widowControl w:val="0"/>
      <w:autoSpaceDE w:val="0"/>
      <w:autoSpaceDN w:val="0"/>
      <w:adjustRightInd w:val="0"/>
      <w:jc w:val="both"/>
    </w:pPr>
    <w:rPr>
      <w:rFonts w:ascii="Calibri" w:eastAsiaTheme="minorEastAsia" w:hAnsi="Calibri"/>
      <w:lang w:val="es-ES" w:eastAsia="es-ES"/>
    </w:rPr>
  </w:style>
  <w:style w:type="character" w:customStyle="1" w:styleId="FontStyle60">
    <w:name w:val="Font Style60"/>
    <w:basedOn w:val="Fuentedeprrafopredeter"/>
    <w:uiPriority w:val="99"/>
    <w:rsid w:val="00CE6CB0"/>
    <w:rPr>
      <w:rFonts w:ascii="Calibri" w:hAnsi="Calibri" w:cs="Calibri"/>
      <w:sz w:val="20"/>
      <w:szCs w:val="20"/>
    </w:rPr>
  </w:style>
  <w:style w:type="character" w:customStyle="1" w:styleId="FontStyle65">
    <w:name w:val="Font Style65"/>
    <w:basedOn w:val="Fuentedeprrafopredeter"/>
    <w:uiPriority w:val="99"/>
    <w:rsid w:val="00CE6CB0"/>
    <w:rPr>
      <w:rFonts w:ascii="Calibri" w:hAnsi="Calibri" w:cs="Calibri"/>
      <w:sz w:val="22"/>
      <w:szCs w:val="22"/>
    </w:rPr>
  </w:style>
  <w:style w:type="paragraph" w:customStyle="1" w:styleId="Style8">
    <w:name w:val="Style8"/>
    <w:basedOn w:val="Normal"/>
    <w:uiPriority w:val="99"/>
    <w:rsid w:val="00C8134D"/>
    <w:pPr>
      <w:widowControl w:val="0"/>
      <w:autoSpaceDE w:val="0"/>
      <w:autoSpaceDN w:val="0"/>
      <w:adjustRightInd w:val="0"/>
      <w:spacing w:line="295" w:lineRule="exact"/>
      <w:jc w:val="both"/>
    </w:pPr>
    <w:rPr>
      <w:rFonts w:ascii="Calibri" w:eastAsiaTheme="minorEastAsia" w:hAnsi="Calibri"/>
      <w:lang w:val="es-ES" w:eastAsia="es-ES"/>
    </w:rPr>
  </w:style>
  <w:style w:type="paragraph" w:customStyle="1" w:styleId="Style21">
    <w:name w:val="Style21"/>
    <w:basedOn w:val="Normal"/>
    <w:uiPriority w:val="99"/>
    <w:rsid w:val="00C8134D"/>
    <w:pPr>
      <w:widowControl w:val="0"/>
      <w:autoSpaceDE w:val="0"/>
      <w:autoSpaceDN w:val="0"/>
      <w:adjustRightInd w:val="0"/>
      <w:spacing w:line="250" w:lineRule="exact"/>
      <w:jc w:val="both"/>
    </w:pPr>
    <w:rPr>
      <w:rFonts w:ascii="Calibri" w:eastAsiaTheme="minorEastAsia" w:hAnsi="Calibri"/>
      <w:lang w:val="es-ES" w:eastAsia="es-ES"/>
    </w:rPr>
  </w:style>
  <w:style w:type="paragraph" w:customStyle="1" w:styleId="Style9">
    <w:name w:val="Style9"/>
    <w:basedOn w:val="Normal"/>
    <w:uiPriority w:val="99"/>
    <w:rsid w:val="00FD2611"/>
    <w:pPr>
      <w:widowControl w:val="0"/>
      <w:autoSpaceDE w:val="0"/>
      <w:autoSpaceDN w:val="0"/>
      <w:adjustRightInd w:val="0"/>
      <w:jc w:val="both"/>
    </w:pPr>
    <w:rPr>
      <w:rFonts w:ascii="Calibri" w:eastAsiaTheme="minorEastAsia" w:hAnsi="Calibri"/>
      <w:lang w:val="es-ES" w:eastAsia="es-ES"/>
    </w:rPr>
  </w:style>
  <w:style w:type="paragraph" w:customStyle="1" w:styleId="Style10">
    <w:name w:val="Style10"/>
    <w:basedOn w:val="Normal"/>
    <w:uiPriority w:val="99"/>
    <w:rsid w:val="00FD2611"/>
    <w:pPr>
      <w:widowControl w:val="0"/>
      <w:autoSpaceDE w:val="0"/>
      <w:autoSpaceDN w:val="0"/>
      <w:adjustRightInd w:val="0"/>
      <w:spacing w:line="244" w:lineRule="exact"/>
    </w:pPr>
    <w:rPr>
      <w:rFonts w:ascii="Calibri" w:eastAsiaTheme="minorEastAsia" w:hAnsi="Calibri"/>
      <w:lang w:val="es-ES" w:eastAsia="es-ES"/>
    </w:rPr>
  </w:style>
  <w:style w:type="paragraph" w:customStyle="1" w:styleId="Style31">
    <w:name w:val="Style31"/>
    <w:basedOn w:val="Normal"/>
    <w:uiPriority w:val="99"/>
    <w:rsid w:val="00FD2611"/>
    <w:pPr>
      <w:widowControl w:val="0"/>
      <w:autoSpaceDE w:val="0"/>
      <w:autoSpaceDN w:val="0"/>
      <w:adjustRightInd w:val="0"/>
    </w:pPr>
    <w:rPr>
      <w:rFonts w:ascii="Calibri" w:eastAsiaTheme="minorEastAsia" w:hAnsi="Calibri"/>
      <w:lang w:val="es-ES" w:eastAsia="es-ES"/>
    </w:rPr>
  </w:style>
  <w:style w:type="paragraph" w:customStyle="1" w:styleId="Style32">
    <w:name w:val="Style32"/>
    <w:basedOn w:val="Normal"/>
    <w:uiPriority w:val="99"/>
    <w:rsid w:val="00FD2611"/>
    <w:pPr>
      <w:widowControl w:val="0"/>
      <w:autoSpaceDE w:val="0"/>
      <w:autoSpaceDN w:val="0"/>
      <w:adjustRightInd w:val="0"/>
      <w:spacing w:line="242" w:lineRule="exact"/>
      <w:jc w:val="center"/>
    </w:pPr>
    <w:rPr>
      <w:rFonts w:ascii="Calibri" w:eastAsiaTheme="minorEastAsia" w:hAnsi="Calibri"/>
      <w:lang w:val="es-ES" w:eastAsia="es-ES"/>
    </w:rPr>
  </w:style>
  <w:style w:type="character" w:customStyle="1" w:styleId="FontStyle59">
    <w:name w:val="Font Style59"/>
    <w:basedOn w:val="Fuentedeprrafopredeter"/>
    <w:uiPriority w:val="99"/>
    <w:rsid w:val="00FD2611"/>
    <w:rPr>
      <w:rFonts w:ascii="Calibri" w:hAnsi="Calibri" w:cs="Calibri"/>
      <w:b/>
      <w:bCs/>
      <w:sz w:val="20"/>
      <w:szCs w:val="20"/>
    </w:rPr>
  </w:style>
  <w:style w:type="character" w:customStyle="1" w:styleId="FontStyle61">
    <w:name w:val="Font Style61"/>
    <w:basedOn w:val="Fuentedeprrafopredeter"/>
    <w:uiPriority w:val="99"/>
    <w:rsid w:val="00FD2611"/>
    <w:rPr>
      <w:rFonts w:ascii="Cambria" w:hAnsi="Cambria" w:cs="Cambria"/>
      <w:b/>
      <w:bCs/>
      <w:sz w:val="22"/>
      <w:szCs w:val="22"/>
    </w:rPr>
  </w:style>
  <w:style w:type="character" w:customStyle="1" w:styleId="FontStyle75">
    <w:name w:val="Font Style75"/>
    <w:basedOn w:val="Fuentedeprrafopredeter"/>
    <w:uiPriority w:val="99"/>
    <w:rsid w:val="00FD2611"/>
    <w:rPr>
      <w:rFonts w:ascii="Calibri" w:hAnsi="Calibri" w:cs="Calibri"/>
      <w:spacing w:val="-10"/>
      <w:sz w:val="52"/>
      <w:szCs w:val="52"/>
    </w:rPr>
  </w:style>
  <w:style w:type="table" w:styleId="Tablaconcuadrcula">
    <w:name w:val="Table Grid"/>
    <w:basedOn w:val="Tablanormal"/>
    <w:uiPriority w:val="39"/>
    <w:rsid w:val="00FD2611"/>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0">
    <w:name w:val="Style20"/>
    <w:basedOn w:val="Normal"/>
    <w:uiPriority w:val="99"/>
    <w:rsid w:val="00C90446"/>
    <w:pPr>
      <w:widowControl w:val="0"/>
      <w:autoSpaceDE w:val="0"/>
      <w:autoSpaceDN w:val="0"/>
      <w:adjustRightInd w:val="0"/>
      <w:jc w:val="center"/>
    </w:pPr>
    <w:rPr>
      <w:rFonts w:ascii="Calibri" w:eastAsiaTheme="minorEastAsia" w:hAnsi="Calibri"/>
      <w:lang w:val="es-ES" w:eastAsia="es-ES"/>
    </w:rPr>
  </w:style>
  <w:style w:type="paragraph" w:customStyle="1" w:styleId="Style37">
    <w:name w:val="Style37"/>
    <w:basedOn w:val="Normal"/>
    <w:uiPriority w:val="99"/>
    <w:rsid w:val="00C90446"/>
    <w:pPr>
      <w:widowControl w:val="0"/>
      <w:autoSpaceDE w:val="0"/>
      <w:autoSpaceDN w:val="0"/>
      <w:adjustRightInd w:val="0"/>
    </w:pPr>
    <w:rPr>
      <w:rFonts w:ascii="Calibri" w:eastAsiaTheme="minorEastAsia" w:hAnsi="Calibri"/>
      <w:lang w:val="es-ES" w:eastAsia="es-ES"/>
    </w:rPr>
  </w:style>
  <w:style w:type="paragraph" w:customStyle="1" w:styleId="Style39">
    <w:name w:val="Style39"/>
    <w:basedOn w:val="Normal"/>
    <w:uiPriority w:val="99"/>
    <w:rsid w:val="00C90446"/>
    <w:pPr>
      <w:widowControl w:val="0"/>
      <w:autoSpaceDE w:val="0"/>
      <w:autoSpaceDN w:val="0"/>
      <w:adjustRightInd w:val="0"/>
    </w:pPr>
    <w:rPr>
      <w:rFonts w:ascii="Calibri" w:eastAsiaTheme="minorEastAsia" w:hAnsi="Calibri"/>
      <w:lang w:val="es-ES" w:eastAsia="es-ES"/>
    </w:rPr>
  </w:style>
  <w:style w:type="paragraph" w:customStyle="1" w:styleId="Style40">
    <w:name w:val="Style40"/>
    <w:basedOn w:val="Normal"/>
    <w:uiPriority w:val="99"/>
    <w:rsid w:val="00C90446"/>
    <w:pPr>
      <w:widowControl w:val="0"/>
      <w:autoSpaceDE w:val="0"/>
      <w:autoSpaceDN w:val="0"/>
      <w:adjustRightInd w:val="0"/>
    </w:pPr>
    <w:rPr>
      <w:rFonts w:ascii="Calibri" w:eastAsiaTheme="minorEastAsia" w:hAnsi="Calibri"/>
      <w:lang w:val="es-ES" w:eastAsia="es-ES"/>
    </w:rPr>
  </w:style>
  <w:style w:type="paragraph" w:customStyle="1" w:styleId="Style42">
    <w:name w:val="Style42"/>
    <w:basedOn w:val="Normal"/>
    <w:uiPriority w:val="99"/>
    <w:rsid w:val="00C90446"/>
    <w:pPr>
      <w:widowControl w:val="0"/>
      <w:autoSpaceDE w:val="0"/>
      <w:autoSpaceDN w:val="0"/>
      <w:adjustRightInd w:val="0"/>
    </w:pPr>
    <w:rPr>
      <w:rFonts w:ascii="Calibri" w:eastAsiaTheme="minorEastAsia" w:hAnsi="Calibri"/>
      <w:lang w:val="es-ES" w:eastAsia="es-ES"/>
    </w:rPr>
  </w:style>
  <w:style w:type="paragraph" w:customStyle="1" w:styleId="Style44">
    <w:name w:val="Style44"/>
    <w:basedOn w:val="Normal"/>
    <w:uiPriority w:val="99"/>
    <w:rsid w:val="00C90446"/>
    <w:pPr>
      <w:widowControl w:val="0"/>
      <w:autoSpaceDE w:val="0"/>
      <w:autoSpaceDN w:val="0"/>
      <w:adjustRightInd w:val="0"/>
    </w:pPr>
    <w:rPr>
      <w:rFonts w:ascii="Calibri" w:eastAsiaTheme="minorEastAsia" w:hAnsi="Calibri"/>
      <w:lang w:val="es-ES" w:eastAsia="es-ES"/>
    </w:rPr>
  </w:style>
  <w:style w:type="character" w:customStyle="1" w:styleId="FontStyle67">
    <w:name w:val="Font Style67"/>
    <w:basedOn w:val="Fuentedeprrafopredeter"/>
    <w:uiPriority w:val="99"/>
    <w:rsid w:val="00C90446"/>
    <w:rPr>
      <w:rFonts w:ascii="Bookman Old Style" w:hAnsi="Bookman Old Style" w:cs="Bookman Old Style"/>
      <w:spacing w:val="-40"/>
      <w:sz w:val="40"/>
      <w:szCs w:val="40"/>
    </w:rPr>
  </w:style>
  <w:style w:type="character" w:customStyle="1" w:styleId="FontStyle73">
    <w:name w:val="Font Style73"/>
    <w:basedOn w:val="Fuentedeprrafopredeter"/>
    <w:uiPriority w:val="99"/>
    <w:rsid w:val="00C90446"/>
    <w:rPr>
      <w:rFonts w:ascii="Calibri" w:hAnsi="Calibri" w:cs="Calibri"/>
      <w:b/>
      <w:bCs/>
      <w:smallCaps/>
      <w:spacing w:val="-30"/>
      <w:sz w:val="48"/>
      <w:szCs w:val="48"/>
    </w:rPr>
  </w:style>
  <w:style w:type="character" w:customStyle="1" w:styleId="FontStyle88">
    <w:name w:val="Font Style88"/>
    <w:basedOn w:val="Fuentedeprrafopredeter"/>
    <w:uiPriority w:val="99"/>
    <w:rsid w:val="00C90446"/>
    <w:rPr>
      <w:rFonts w:ascii="Book Antiqua" w:hAnsi="Book Antiqua" w:cs="Book Antiqua"/>
      <w:b/>
      <w:bCs/>
      <w:smallCaps/>
      <w:spacing w:val="-30"/>
      <w:sz w:val="48"/>
      <w:szCs w:val="48"/>
    </w:rPr>
  </w:style>
  <w:style w:type="paragraph" w:customStyle="1" w:styleId="Style6">
    <w:name w:val="Style6"/>
    <w:basedOn w:val="Normal"/>
    <w:uiPriority w:val="99"/>
    <w:rsid w:val="00E025B1"/>
    <w:pPr>
      <w:widowControl w:val="0"/>
      <w:autoSpaceDE w:val="0"/>
      <w:autoSpaceDN w:val="0"/>
      <w:adjustRightInd w:val="0"/>
      <w:spacing w:line="250" w:lineRule="exact"/>
    </w:pPr>
    <w:rPr>
      <w:rFonts w:ascii="Calibri" w:eastAsiaTheme="minorEastAsia" w:hAnsi="Calibri"/>
      <w:lang w:val="es-ES" w:eastAsia="es-ES"/>
    </w:rPr>
  </w:style>
  <w:style w:type="paragraph" w:customStyle="1" w:styleId="Style12">
    <w:name w:val="Style12"/>
    <w:basedOn w:val="Normal"/>
    <w:uiPriority w:val="99"/>
    <w:rsid w:val="001D742E"/>
    <w:pPr>
      <w:widowControl w:val="0"/>
      <w:autoSpaceDE w:val="0"/>
      <w:autoSpaceDN w:val="0"/>
      <w:adjustRightInd w:val="0"/>
      <w:spacing w:line="329" w:lineRule="exact"/>
      <w:ind w:hanging="350"/>
      <w:jc w:val="both"/>
    </w:pPr>
    <w:rPr>
      <w:rFonts w:ascii="MS Mincho" w:eastAsia="MS Mincho" w:hAnsiTheme="minorHAnsi"/>
      <w:lang w:val="es-ES" w:eastAsia="es-ES"/>
    </w:rPr>
  </w:style>
  <w:style w:type="paragraph" w:customStyle="1" w:styleId="Style14">
    <w:name w:val="Style14"/>
    <w:basedOn w:val="Normal"/>
    <w:uiPriority w:val="99"/>
    <w:rsid w:val="001D742E"/>
    <w:pPr>
      <w:widowControl w:val="0"/>
      <w:autoSpaceDE w:val="0"/>
      <w:autoSpaceDN w:val="0"/>
      <w:adjustRightInd w:val="0"/>
      <w:spacing w:line="324" w:lineRule="exact"/>
      <w:jc w:val="both"/>
    </w:pPr>
    <w:rPr>
      <w:rFonts w:ascii="MS Mincho" w:eastAsia="MS Mincho" w:hAnsiTheme="minorHAnsi"/>
      <w:lang w:val="es-ES" w:eastAsia="es-ES"/>
    </w:rPr>
  </w:style>
  <w:style w:type="character" w:customStyle="1" w:styleId="FontStyle27">
    <w:name w:val="Font Style27"/>
    <w:basedOn w:val="Fuentedeprrafopredeter"/>
    <w:uiPriority w:val="99"/>
    <w:rsid w:val="001D742E"/>
    <w:rPr>
      <w:rFonts w:ascii="Cambria" w:hAnsi="Cambria" w:cs="Cambria"/>
      <w:b/>
      <w:bCs/>
      <w:sz w:val="22"/>
      <w:szCs w:val="22"/>
    </w:rPr>
  </w:style>
  <w:style w:type="character" w:customStyle="1" w:styleId="FontStyle30">
    <w:name w:val="Font Style30"/>
    <w:basedOn w:val="Fuentedeprrafopredeter"/>
    <w:uiPriority w:val="99"/>
    <w:rsid w:val="001D742E"/>
    <w:rPr>
      <w:rFonts w:ascii="Cambria" w:hAnsi="Cambria" w:cs="Cambria"/>
      <w:sz w:val="22"/>
      <w:szCs w:val="22"/>
    </w:rPr>
  </w:style>
  <w:style w:type="paragraph" w:customStyle="1" w:styleId="Style22">
    <w:name w:val="Style22"/>
    <w:basedOn w:val="Normal"/>
    <w:uiPriority w:val="99"/>
    <w:rsid w:val="00123569"/>
    <w:pPr>
      <w:widowControl w:val="0"/>
      <w:autoSpaceDE w:val="0"/>
      <w:autoSpaceDN w:val="0"/>
      <w:adjustRightInd w:val="0"/>
      <w:spacing w:line="329" w:lineRule="exact"/>
      <w:ind w:hanging="353"/>
      <w:jc w:val="both"/>
    </w:pPr>
    <w:rPr>
      <w:rFonts w:ascii="MS Mincho" w:eastAsia="MS Mincho" w:hAnsiTheme="minorHAnsi"/>
      <w:lang w:val="es-ES" w:eastAsia="es-ES"/>
    </w:rPr>
  </w:style>
  <w:style w:type="paragraph" w:customStyle="1" w:styleId="Style2">
    <w:name w:val="Style2"/>
    <w:basedOn w:val="Normal"/>
    <w:uiPriority w:val="99"/>
    <w:rsid w:val="00123569"/>
    <w:pPr>
      <w:widowControl w:val="0"/>
      <w:autoSpaceDE w:val="0"/>
      <w:autoSpaceDN w:val="0"/>
      <w:adjustRightInd w:val="0"/>
      <w:spacing w:line="142" w:lineRule="exact"/>
      <w:jc w:val="both"/>
    </w:pPr>
    <w:rPr>
      <w:rFonts w:ascii="MS Mincho" w:eastAsia="MS Mincho" w:hAnsiTheme="minorHAnsi"/>
      <w:lang w:val="es-ES" w:eastAsia="es-ES"/>
    </w:rPr>
  </w:style>
  <w:style w:type="paragraph" w:customStyle="1" w:styleId="Style16">
    <w:name w:val="Style16"/>
    <w:basedOn w:val="Normal"/>
    <w:uiPriority w:val="99"/>
    <w:rsid w:val="00123569"/>
    <w:pPr>
      <w:widowControl w:val="0"/>
      <w:autoSpaceDE w:val="0"/>
      <w:autoSpaceDN w:val="0"/>
      <w:adjustRightInd w:val="0"/>
      <w:spacing w:line="324" w:lineRule="exact"/>
      <w:ind w:hanging="355"/>
      <w:jc w:val="both"/>
    </w:pPr>
    <w:rPr>
      <w:rFonts w:ascii="MS Mincho" w:eastAsia="MS Mincho" w:hAnsiTheme="minorHAnsi"/>
      <w:lang w:val="es-ES" w:eastAsia="es-ES"/>
    </w:rPr>
  </w:style>
  <w:style w:type="character" w:customStyle="1" w:styleId="FontStyle42">
    <w:name w:val="Font Style42"/>
    <w:basedOn w:val="Fuentedeprrafopredeter"/>
    <w:uiPriority w:val="99"/>
    <w:rsid w:val="00123569"/>
    <w:rPr>
      <w:rFonts w:ascii="Times New Roman" w:hAnsi="Times New Roman" w:cs="Times New Roman"/>
      <w:sz w:val="12"/>
      <w:szCs w:val="12"/>
    </w:rPr>
  </w:style>
  <w:style w:type="character" w:customStyle="1" w:styleId="FontStyle43">
    <w:name w:val="Font Style43"/>
    <w:basedOn w:val="Fuentedeprrafopredeter"/>
    <w:uiPriority w:val="99"/>
    <w:rsid w:val="00123569"/>
    <w:rPr>
      <w:rFonts w:ascii="MS Mincho" w:eastAsia="MS Mincho" w:cs="MS Mincho"/>
      <w:b/>
      <w:bCs/>
      <w:i/>
      <w:iCs/>
      <w:sz w:val="10"/>
      <w:szCs w:val="10"/>
    </w:rPr>
  </w:style>
  <w:style w:type="character" w:customStyle="1" w:styleId="FontStyle44">
    <w:name w:val="Font Style44"/>
    <w:basedOn w:val="Fuentedeprrafopredeter"/>
    <w:uiPriority w:val="99"/>
    <w:rsid w:val="00123569"/>
    <w:rPr>
      <w:rFonts w:ascii="Cambria" w:hAnsi="Cambria" w:cs="Cambria"/>
      <w:sz w:val="16"/>
      <w:szCs w:val="16"/>
    </w:rPr>
  </w:style>
  <w:style w:type="character" w:customStyle="1" w:styleId="FontStyle32">
    <w:name w:val="Font Style32"/>
    <w:basedOn w:val="Fuentedeprrafopredeter"/>
    <w:uiPriority w:val="99"/>
    <w:rsid w:val="00C853E9"/>
    <w:rPr>
      <w:rFonts w:ascii="Calibri" w:hAnsi="Calibri" w:cs="Calibri"/>
      <w:sz w:val="22"/>
      <w:szCs w:val="22"/>
    </w:rPr>
  </w:style>
  <w:style w:type="paragraph" w:customStyle="1" w:styleId="Style7">
    <w:name w:val="Style7"/>
    <w:basedOn w:val="Normal"/>
    <w:uiPriority w:val="99"/>
    <w:rsid w:val="007111BB"/>
    <w:pPr>
      <w:widowControl w:val="0"/>
      <w:autoSpaceDE w:val="0"/>
      <w:autoSpaceDN w:val="0"/>
      <w:adjustRightInd w:val="0"/>
    </w:pPr>
    <w:rPr>
      <w:rFonts w:ascii="Calibri" w:eastAsiaTheme="minorEastAsia" w:hAnsi="Calibri"/>
      <w:lang w:val="es-ES" w:eastAsia="es-ES"/>
    </w:rPr>
  </w:style>
  <w:style w:type="paragraph" w:customStyle="1" w:styleId="Style19">
    <w:name w:val="Style19"/>
    <w:basedOn w:val="Normal"/>
    <w:uiPriority w:val="99"/>
    <w:rsid w:val="007111BB"/>
    <w:pPr>
      <w:widowControl w:val="0"/>
      <w:autoSpaceDE w:val="0"/>
      <w:autoSpaceDN w:val="0"/>
      <w:adjustRightInd w:val="0"/>
    </w:pPr>
    <w:rPr>
      <w:rFonts w:ascii="Calibri" w:eastAsiaTheme="minorEastAsia" w:hAnsi="Calibri"/>
      <w:lang w:val="es-ES" w:eastAsia="es-ES"/>
    </w:rPr>
  </w:style>
  <w:style w:type="character" w:customStyle="1" w:styleId="FontStyle51">
    <w:name w:val="Font Style51"/>
    <w:basedOn w:val="Fuentedeprrafopredeter"/>
    <w:uiPriority w:val="99"/>
    <w:rsid w:val="007111BB"/>
    <w:rPr>
      <w:rFonts w:ascii="Calibri" w:hAnsi="Calibri" w:cs="Calibri"/>
      <w:sz w:val="18"/>
      <w:szCs w:val="18"/>
    </w:rPr>
  </w:style>
  <w:style w:type="character" w:customStyle="1" w:styleId="FontStyle54">
    <w:name w:val="Font Style54"/>
    <w:basedOn w:val="Fuentedeprrafopredeter"/>
    <w:uiPriority w:val="99"/>
    <w:rsid w:val="007111BB"/>
    <w:rPr>
      <w:rFonts w:ascii="Calibri" w:hAnsi="Calibri" w:cs="Calibri"/>
      <w:i/>
      <w:iCs/>
      <w:sz w:val="14"/>
      <w:szCs w:val="14"/>
    </w:rPr>
  </w:style>
  <w:style w:type="paragraph" w:customStyle="1" w:styleId="Style1">
    <w:name w:val="Style1"/>
    <w:basedOn w:val="Normal"/>
    <w:uiPriority w:val="99"/>
    <w:rsid w:val="008357EE"/>
    <w:pPr>
      <w:widowControl w:val="0"/>
      <w:autoSpaceDE w:val="0"/>
      <w:autoSpaceDN w:val="0"/>
      <w:adjustRightInd w:val="0"/>
      <w:spacing w:line="341" w:lineRule="exact"/>
      <w:jc w:val="both"/>
    </w:pPr>
    <w:rPr>
      <w:rFonts w:ascii="Book Antiqua" w:eastAsiaTheme="minorEastAsia" w:hAnsi="Book Antiqua"/>
      <w:lang w:val="es-ES" w:eastAsia="es-ES"/>
    </w:rPr>
  </w:style>
  <w:style w:type="character" w:customStyle="1" w:styleId="FontStyle14">
    <w:name w:val="Font Style14"/>
    <w:basedOn w:val="Fuentedeprrafopredeter"/>
    <w:uiPriority w:val="99"/>
    <w:rsid w:val="008357EE"/>
    <w:rPr>
      <w:rFonts w:ascii="Book Antiqua" w:hAnsi="Book Antiqua" w:cs="Book Antiqua"/>
      <w:sz w:val="22"/>
      <w:szCs w:val="22"/>
    </w:rPr>
  </w:style>
  <w:style w:type="character" w:customStyle="1" w:styleId="FontStyle40">
    <w:name w:val="Font Style40"/>
    <w:basedOn w:val="Fuentedeprrafopredeter"/>
    <w:uiPriority w:val="99"/>
    <w:rsid w:val="00312E43"/>
    <w:rPr>
      <w:rFonts w:ascii="Arial Narrow" w:hAnsi="Arial Narrow" w:cs="Arial Narrow"/>
      <w:sz w:val="22"/>
      <w:szCs w:val="22"/>
    </w:rPr>
  </w:style>
  <w:style w:type="character" w:styleId="Hipervnculo">
    <w:name w:val="Hyperlink"/>
    <w:basedOn w:val="Fuentedeprrafopredeter"/>
    <w:uiPriority w:val="99"/>
    <w:rsid w:val="00BD2927"/>
    <w:rPr>
      <w:rFonts w:cs="Times New Roman"/>
      <w:color w:val="0066CC"/>
      <w:u w:val="single"/>
    </w:rPr>
  </w:style>
  <w:style w:type="paragraph" w:customStyle="1" w:styleId="Style23">
    <w:name w:val="Style23"/>
    <w:basedOn w:val="Normal"/>
    <w:uiPriority w:val="99"/>
    <w:rsid w:val="003F3C6B"/>
    <w:pPr>
      <w:widowControl w:val="0"/>
      <w:autoSpaceDE w:val="0"/>
      <w:autoSpaceDN w:val="0"/>
      <w:adjustRightInd w:val="0"/>
    </w:pPr>
    <w:rPr>
      <w:rFonts w:ascii="Arial Narrow" w:eastAsiaTheme="minorEastAsia" w:hAnsi="Arial Narrow"/>
      <w:lang w:val="es-ES" w:eastAsia="es-ES"/>
    </w:rPr>
  </w:style>
  <w:style w:type="character" w:customStyle="1" w:styleId="FontStyle45">
    <w:name w:val="Font Style45"/>
    <w:basedOn w:val="Fuentedeprrafopredeter"/>
    <w:uiPriority w:val="99"/>
    <w:rsid w:val="004B42BD"/>
    <w:rPr>
      <w:rFonts w:ascii="Arial Narrow" w:hAnsi="Arial Narrow" w:cs="Arial Narrow"/>
      <w:b/>
      <w:bCs/>
      <w:sz w:val="12"/>
      <w:szCs w:val="12"/>
    </w:rPr>
  </w:style>
  <w:style w:type="character" w:customStyle="1" w:styleId="FontStyle62">
    <w:name w:val="Font Style62"/>
    <w:basedOn w:val="Fuentedeprrafopredeter"/>
    <w:uiPriority w:val="99"/>
    <w:rsid w:val="004B42BD"/>
    <w:rPr>
      <w:rFonts w:ascii="Arial Narrow" w:hAnsi="Arial Narrow" w:cs="Arial Narrow"/>
      <w:b/>
      <w:bCs/>
      <w:i/>
      <w:iCs/>
      <w:spacing w:val="-10"/>
      <w:sz w:val="12"/>
      <w:szCs w:val="12"/>
    </w:rPr>
  </w:style>
  <w:style w:type="character" w:customStyle="1" w:styleId="FontStyle66">
    <w:name w:val="Font Style66"/>
    <w:basedOn w:val="Fuentedeprrafopredeter"/>
    <w:uiPriority w:val="99"/>
    <w:rsid w:val="004B42BD"/>
    <w:rPr>
      <w:rFonts w:ascii="Arial Narrow" w:hAnsi="Arial Narrow" w:cs="Arial Narrow"/>
      <w:b/>
      <w:bCs/>
      <w:sz w:val="12"/>
      <w:szCs w:val="12"/>
    </w:rPr>
  </w:style>
  <w:style w:type="character" w:customStyle="1" w:styleId="FontStyle36">
    <w:name w:val="Font Style36"/>
    <w:basedOn w:val="Fuentedeprrafopredeter"/>
    <w:uiPriority w:val="99"/>
    <w:rsid w:val="007B5B72"/>
    <w:rPr>
      <w:rFonts w:ascii="Arial Narrow" w:hAnsi="Arial Narrow" w:cs="Arial Narrow"/>
      <w:b/>
      <w:bCs/>
      <w:sz w:val="22"/>
      <w:szCs w:val="22"/>
    </w:rPr>
  </w:style>
  <w:style w:type="paragraph" w:customStyle="1" w:styleId="Style28">
    <w:name w:val="Style28"/>
    <w:basedOn w:val="Normal"/>
    <w:uiPriority w:val="99"/>
    <w:rsid w:val="00733DFB"/>
    <w:pPr>
      <w:widowControl w:val="0"/>
      <w:autoSpaceDE w:val="0"/>
      <w:autoSpaceDN w:val="0"/>
      <w:adjustRightInd w:val="0"/>
      <w:spacing w:line="209" w:lineRule="exact"/>
      <w:jc w:val="both"/>
    </w:pPr>
    <w:rPr>
      <w:rFonts w:ascii="Arial Narrow" w:eastAsiaTheme="minorEastAsia" w:hAnsi="Arial Narrow"/>
      <w:lang w:val="es-ES" w:eastAsia="es-ES"/>
    </w:rPr>
  </w:style>
  <w:style w:type="paragraph" w:customStyle="1" w:styleId="Style29">
    <w:name w:val="Style29"/>
    <w:basedOn w:val="Normal"/>
    <w:uiPriority w:val="99"/>
    <w:rsid w:val="008535C4"/>
    <w:pPr>
      <w:widowControl w:val="0"/>
      <w:autoSpaceDE w:val="0"/>
      <w:autoSpaceDN w:val="0"/>
      <w:adjustRightInd w:val="0"/>
      <w:spacing w:line="139" w:lineRule="exact"/>
      <w:jc w:val="both"/>
    </w:pPr>
    <w:rPr>
      <w:rFonts w:ascii="Arial Narrow" w:eastAsiaTheme="minorEastAsia" w:hAnsi="Arial Narrow"/>
      <w:lang w:val="es-ES" w:eastAsia="es-ES"/>
    </w:rPr>
  </w:style>
  <w:style w:type="paragraph" w:customStyle="1" w:styleId="Style24">
    <w:name w:val="Style24"/>
    <w:basedOn w:val="Normal"/>
    <w:uiPriority w:val="99"/>
    <w:rsid w:val="00F01149"/>
    <w:pPr>
      <w:widowControl w:val="0"/>
      <w:autoSpaceDE w:val="0"/>
      <w:autoSpaceDN w:val="0"/>
      <w:adjustRightInd w:val="0"/>
      <w:spacing w:line="275" w:lineRule="exact"/>
    </w:pPr>
    <w:rPr>
      <w:rFonts w:ascii="Arial Narrow" w:eastAsiaTheme="minorEastAsia" w:hAnsi="Arial Narrow"/>
      <w:lang w:val="es-ES" w:eastAsia="es-ES"/>
    </w:rPr>
  </w:style>
  <w:style w:type="paragraph" w:customStyle="1" w:styleId="Default">
    <w:name w:val="Default"/>
    <w:rsid w:val="00B75C0C"/>
    <w:pPr>
      <w:autoSpaceDE w:val="0"/>
      <w:autoSpaceDN w:val="0"/>
      <w:adjustRightInd w:val="0"/>
    </w:pPr>
    <w:rPr>
      <w:rFonts w:ascii="Arial" w:hAnsi="Arial" w:cs="Arial"/>
      <w:color w:val="000000"/>
      <w:sz w:val="24"/>
      <w:szCs w:val="24"/>
      <w:lang w:eastAsia="es-CO"/>
    </w:rPr>
  </w:style>
  <w:style w:type="character" w:customStyle="1" w:styleId="b">
    <w:name w:val="b"/>
    <w:rsid w:val="00B75C0C"/>
  </w:style>
  <w:style w:type="character" w:customStyle="1" w:styleId="FontStyle26">
    <w:name w:val="Font Style26"/>
    <w:uiPriority w:val="99"/>
    <w:rsid w:val="008303DA"/>
    <w:rPr>
      <w:rFonts w:ascii="Times New Roman" w:hAnsi="Times New Roman"/>
      <w:sz w:val="26"/>
    </w:rPr>
  </w:style>
  <w:style w:type="character" w:customStyle="1" w:styleId="FontStyle37">
    <w:name w:val="Font Style37"/>
    <w:uiPriority w:val="99"/>
    <w:rsid w:val="008303DA"/>
    <w:rPr>
      <w:rFonts w:ascii="Times New Roman" w:hAnsi="Times New Roman"/>
      <w:b/>
      <w:sz w:val="26"/>
    </w:rPr>
  </w:style>
  <w:style w:type="paragraph" w:customStyle="1" w:styleId="Style3">
    <w:name w:val="Style3"/>
    <w:basedOn w:val="Normal"/>
    <w:uiPriority w:val="99"/>
    <w:rsid w:val="006A3CC7"/>
    <w:pPr>
      <w:widowControl w:val="0"/>
      <w:autoSpaceDE w:val="0"/>
      <w:autoSpaceDN w:val="0"/>
      <w:adjustRightInd w:val="0"/>
      <w:spacing w:line="307" w:lineRule="exact"/>
      <w:jc w:val="both"/>
    </w:pPr>
    <w:rPr>
      <w:lang w:val="es-ES" w:eastAsia="es-ES"/>
    </w:rPr>
  </w:style>
  <w:style w:type="character" w:customStyle="1" w:styleId="FontStyle81">
    <w:name w:val="Font Style81"/>
    <w:basedOn w:val="Fuentedeprrafopredeter"/>
    <w:uiPriority w:val="99"/>
    <w:rsid w:val="00C31604"/>
    <w:rPr>
      <w:rFonts w:ascii="Arial Narrow" w:hAnsi="Arial Narrow" w:cs="Arial Narrow"/>
      <w:sz w:val="20"/>
      <w:szCs w:val="20"/>
    </w:rPr>
  </w:style>
  <w:style w:type="character" w:customStyle="1" w:styleId="FontStyle89">
    <w:name w:val="Font Style89"/>
    <w:basedOn w:val="Fuentedeprrafopredeter"/>
    <w:uiPriority w:val="99"/>
    <w:rsid w:val="00C31604"/>
    <w:rPr>
      <w:rFonts w:ascii="Arial Narrow" w:hAnsi="Arial Narrow" w:cs="Arial Narrow"/>
      <w:b/>
      <w:bCs/>
      <w:sz w:val="20"/>
      <w:szCs w:val="20"/>
    </w:rPr>
  </w:style>
  <w:style w:type="character" w:customStyle="1" w:styleId="FontStyle90">
    <w:name w:val="Font Style90"/>
    <w:basedOn w:val="Fuentedeprrafopredeter"/>
    <w:uiPriority w:val="99"/>
    <w:rsid w:val="00C31604"/>
    <w:rPr>
      <w:rFonts w:ascii="Arial Narrow" w:hAnsi="Arial Narrow" w:cs="Arial Narrow"/>
      <w:i/>
      <w:iCs/>
      <w:sz w:val="20"/>
      <w:szCs w:val="20"/>
    </w:rPr>
  </w:style>
  <w:style w:type="character" w:customStyle="1" w:styleId="FontStyle84">
    <w:name w:val="Font Style84"/>
    <w:basedOn w:val="Fuentedeprrafopredeter"/>
    <w:uiPriority w:val="99"/>
    <w:rsid w:val="008C646D"/>
    <w:rPr>
      <w:rFonts w:ascii="Arial Narrow" w:hAnsi="Arial Narrow" w:cs="Arial Narrow"/>
      <w:sz w:val="16"/>
      <w:szCs w:val="16"/>
    </w:rPr>
  </w:style>
  <w:style w:type="character" w:customStyle="1" w:styleId="FontStyle18">
    <w:name w:val="Font Style18"/>
    <w:basedOn w:val="Fuentedeprrafopredeter"/>
    <w:uiPriority w:val="99"/>
    <w:rsid w:val="00BD4BA0"/>
    <w:rPr>
      <w:rFonts w:ascii="Arial" w:hAnsi="Arial" w:cs="Arial"/>
      <w:sz w:val="22"/>
      <w:szCs w:val="22"/>
    </w:rPr>
  </w:style>
  <w:style w:type="character" w:customStyle="1" w:styleId="FontStyle29">
    <w:name w:val="Font Style29"/>
    <w:basedOn w:val="Fuentedeprrafopredeter"/>
    <w:uiPriority w:val="99"/>
    <w:rsid w:val="00AB2D74"/>
    <w:rPr>
      <w:rFonts w:ascii="Times New Roman" w:hAnsi="Times New Roman" w:cs="Times New Roman"/>
      <w:sz w:val="22"/>
      <w:szCs w:val="22"/>
    </w:rPr>
  </w:style>
  <w:style w:type="paragraph" w:customStyle="1" w:styleId="Style11">
    <w:name w:val="Style11"/>
    <w:basedOn w:val="Normal"/>
    <w:uiPriority w:val="99"/>
    <w:rsid w:val="00AB2D74"/>
    <w:pPr>
      <w:widowControl w:val="0"/>
      <w:autoSpaceDE w:val="0"/>
      <w:autoSpaceDN w:val="0"/>
      <w:adjustRightInd w:val="0"/>
      <w:spacing w:line="184" w:lineRule="exact"/>
      <w:jc w:val="both"/>
    </w:pPr>
    <w:rPr>
      <w:rFonts w:eastAsiaTheme="minorEastAsia"/>
      <w:lang w:val="es-ES" w:eastAsia="es-ES"/>
    </w:rPr>
  </w:style>
  <w:style w:type="character" w:customStyle="1" w:styleId="FontStyle31">
    <w:name w:val="Font Style31"/>
    <w:basedOn w:val="Fuentedeprrafopredeter"/>
    <w:uiPriority w:val="99"/>
    <w:rsid w:val="00AB2D74"/>
    <w:rPr>
      <w:rFonts w:ascii="Times New Roman" w:hAnsi="Times New Roman" w:cs="Times New Roman"/>
      <w:sz w:val="14"/>
      <w:szCs w:val="14"/>
    </w:rPr>
  </w:style>
  <w:style w:type="character" w:customStyle="1" w:styleId="FontStyle33">
    <w:name w:val="Font Style33"/>
    <w:basedOn w:val="Fuentedeprrafopredeter"/>
    <w:uiPriority w:val="99"/>
    <w:rsid w:val="00AB2D74"/>
    <w:rPr>
      <w:rFonts w:ascii="Times New Roman" w:hAnsi="Times New Roman" w:cs="Times New Roman"/>
      <w:i/>
      <w:iCs/>
      <w:sz w:val="14"/>
      <w:szCs w:val="14"/>
    </w:rPr>
  </w:style>
  <w:style w:type="paragraph" w:customStyle="1" w:styleId="Style18">
    <w:name w:val="Style18"/>
    <w:basedOn w:val="Normal"/>
    <w:uiPriority w:val="99"/>
    <w:rsid w:val="00381BB4"/>
    <w:pPr>
      <w:widowControl w:val="0"/>
      <w:autoSpaceDE w:val="0"/>
      <w:autoSpaceDN w:val="0"/>
      <w:adjustRightInd w:val="0"/>
      <w:spacing w:line="275" w:lineRule="exact"/>
      <w:jc w:val="both"/>
    </w:pPr>
    <w:rPr>
      <w:rFonts w:eastAsiaTheme="minorEastAsia"/>
      <w:lang w:val="es-ES" w:eastAsia="es-ES"/>
    </w:rPr>
  </w:style>
  <w:style w:type="paragraph" w:customStyle="1" w:styleId="Style4">
    <w:name w:val="Style4"/>
    <w:basedOn w:val="Normal"/>
    <w:uiPriority w:val="99"/>
    <w:rsid w:val="00D42CFA"/>
    <w:pPr>
      <w:widowControl w:val="0"/>
      <w:autoSpaceDE w:val="0"/>
      <w:autoSpaceDN w:val="0"/>
      <w:adjustRightInd w:val="0"/>
      <w:spacing w:line="403" w:lineRule="exact"/>
      <w:jc w:val="both"/>
    </w:pPr>
    <w:rPr>
      <w:rFonts w:ascii="Arial" w:eastAsiaTheme="minorEastAsia" w:hAnsi="Arial" w:cs="Arial"/>
      <w:lang w:val="es-ES" w:eastAsia="es-ES"/>
    </w:rPr>
  </w:style>
  <w:style w:type="character" w:customStyle="1" w:styleId="FontStyle20">
    <w:name w:val="Font Style20"/>
    <w:basedOn w:val="Fuentedeprrafopredeter"/>
    <w:uiPriority w:val="99"/>
    <w:rsid w:val="00D42CFA"/>
    <w:rPr>
      <w:rFonts w:ascii="Arial" w:hAnsi="Arial" w:cs="Arial"/>
      <w:sz w:val="22"/>
      <w:szCs w:val="22"/>
    </w:rPr>
  </w:style>
  <w:style w:type="character" w:customStyle="1" w:styleId="FontStyle22">
    <w:name w:val="Font Style22"/>
    <w:basedOn w:val="Fuentedeprrafopredeter"/>
    <w:uiPriority w:val="99"/>
    <w:rsid w:val="004A726C"/>
    <w:rPr>
      <w:rFonts w:ascii="Arial" w:hAnsi="Arial" w:cs="Arial"/>
      <w:b/>
      <w:bCs/>
      <w:sz w:val="22"/>
      <w:szCs w:val="22"/>
    </w:rPr>
  </w:style>
  <w:style w:type="paragraph" w:customStyle="1" w:styleId="Style17">
    <w:name w:val="Style17"/>
    <w:basedOn w:val="Normal"/>
    <w:uiPriority w:val="99"/>
    <w:rsid w:val="001A6652"/>
    <w:pPr>
      <w:widowControl w:val="0"/>
      <w:autoSpaceDE w:val="0"/>
      <w:autoSpaceDN w:val="0"/>
      <w:adjustRightInd w:val="0"/>
      <w:spacing w:line="406" w:lineRule="exact"/>
      <w:ind w:hanging="346"/>
      <w:jc w:val="both"/>
    </w:pPr>
    <w:rPr>
      <w:rFonts w:ascii="Arial" w:eastAsiaTheme="minorEastAsia" w:hAnsi="Arial" w:cs="Arial"/>
      <w:lang w:val="es-ES" w:eastAsia="es-ES"/>
    </w:rPr>
  </w:style>
  <w:style w:type="character" w:customStyle="1" w:styleId="FontStyle50">
    <w:name w:val="Font Style50"/>
    <w:basedOn w:val="Fuentedeprrafopredeter"/>
    <w:uiPriority w:val="99"/>
    <w:rsid w:val="00E7034B"/>
    <w:rPr>
      <w:rFonts w:ascii="Arial" w:hAnsi="Arial" w:cs="Arial"/>
      <w:b/>
      <w:bCs/>
      <w:sz w:val="20"/>
      <w:szCs w:val="20"/>
    </w:rPr>
  </w:style>
  <w:style w:type="paragraph" w:customStyle="1" w:styleId="Prrafodelista1">
    <w:name w:val="Párrafo de lista1"/>
    <w:basedOn w:val="Normal"/>
    <w:qFormat/>
    <w:rsid w:val="008A2D81"/>
    <w:pPr>
      <w:ind w:left="720"/>
      <w:contextualSpacing/>
    </w:pPr>
    <w:rPr>
      <w:sz w:val="28"/>
      <w:szCs w:val="20"/>
      <w:lang w:val="es-ES" w:eastAsia="es-ES"/>
    </w:rPr>
  </w:style>
  <w:style w:type="paragraph" w:customStyle="1" w:styleId="Sinespaciado1">
    <w:name w:val="Sin espaciado1"/>
    <w:rsid w:val="006D71B6"/>
    <w:rPr>
      <w:rFonts w:ascii="Calibri" w:hAnsi="Calibri"/>
      <w:sz w:val="22"/>
      <w:szCs w:val="22"/>
    </w:rPr>
  </w:style>
  <w:style w:type="paragraph" w:customStyle="1" w:styleId="Car">
    <w:name w:val="Car"/>
    <w:basedOn w:val="Normal"/>
    <w:rsid w:val="00840257"/>
    <w:pPr>
      <w:spacing w:after="160" w:line="240" w:lineRule="exact"/>
    </w:pPr>
    <w:rPr>
      <w:noProof/>
      <w:color w:val="000000"/>
      <w:sz w:val="20"/>
      <w:szCs w:val="20"/>
    </w:rPr>
  </w:style>
  <w:style w:type="paragraph" w:styleId="Textodeglobo">
    <w:name w:val="Balloon Text"/>
    <w:basedOn w:val="Normal"/>
    <w:link w:val="TextodegloboCar"/>
    <w:uiPriority w:val="99"/>
    <w:semiHidden/>
    <w:unhideWhenUsed/>
    <w:rsid w:val="00FC00E5"/>
    <w:rPr>
      <w:rFonts w:ascii="Segoe UI" w:hAnsi="Segoe UI" w:cs="Segoe UI"/>
      <w:sz w:val="18"/>
      <w:szCs w:val="18"/>
    </w:rPr>
  </w:style>
  <w:style w:type="character" w:customStyle="1" w:styleId="TextodegloboCar">
    <w:name w:val="Texto de globo Car"/>
    <w:basedOn w:val="Fuentedeprrafopredeter"/>
    <w:link w:val="Textodeglobo"/>
    <w:uiPriority w:val="99"/>
    <w:semiHidden/>
    <w:locked/>
    <w:rsid w:val="00FC00E5"/>
    <w:rPr>
      <w:rFonts w:ascii="Segoe UI" w:hAnsi="Segoe UI" w:cs="Segoe UI"/>
      <w:sz w:val="18"/>
      <w:szCs w:val="18"/>
      <w:lang w:val="x-none" w:eastAsia="es-CO"/>
    </w:rPr>
  </w:style>
  <w:style w:type="paragraph" w:customStyle="1" w:styleId="Sinespaciado3">
    <w:name w:val="Sin espaciado3"/>
    <w:rsid w:val="007A1073"/>
    <w:rPr>
      <w:rFonts w:ascii="Calibri" w:hAnsi="Calibri"/>
      <w:sz w:val="22"/>
      <w:szCs w:val="22"/>
    </w:rPr>
  </w:style>
  <w:style w:type="paragraph" w:customStyle="1" w:styleId="Sinespacio">
    <w:name w:val="Sin espacio"/>
    <w:basedOn w:val="Ttulo1"/>
    <w:rsid w:val="00423EF5"/>
    <w:pPr>
      <w:tabs>
        <w:tab w:val="num" w:pos="1800"/>
      </w:tabs>
      <w:spacing w:before="0" w:after="0" w:line="240" w:lineRule="auto"/>
      <w:jc w:val="center"/>
      <w:textAlignment w:val="auto"/>
    </w:pPr>
    <w:rPr>
      <w:color w:val="auto"/>
      <w:spacing w:val="0"/>
      <w:sz w:val="28"/>
      <w:szCs w:val="28"/>
    </w:rPr>
  </w:style>
  <w:style w:type="character" w:customStyle="1" w:styleId="FontStyle28">
    <w:name w:val="Font Style28"/>
    <w:uiPriority w:val="99"/>
    <w:rsid w:val="00D93070"/>
    <w:rPr>
      <w:rFonts w:ascii="Times New Roman" w:hAnsi="Times New Roman"/>
      <w:i/>
      <w:sz w:val="18"/>
    </w:rPr>
  </w:style>
  <w:style w:type="character" w:customStyle="1" w:styleId="apple-converted-space">
    <w:name w:val="apple-converted-space"/>
    <w:basedOn w:val="Fuentedeprrafopredeter"/>
    <w:rsid w:val="00F83308"/>
    <w:rPr>
      <w:rFonts w:cs="Times New Roman"/>
    </w:rPr>
  </w:style>
  <w:style w:type="paragraph" w:styleId="NormalWeb">
    <w:name w:val="Normal (Web)"/>
    <w:basedOn w:val="Normal"/>
    <w:uiPriority w:val="99"/>
    <w:semiHidden/>
    <w:unhideWhenUsed/>
    <w:rsid w:val="001D64B2"/>
  </w:style>
  <w:style w:type="paragraph" w:customStyle="1" w:styleId="Style35">
    <w:name w:val="Style35"/>
    <w:basedOn w:val="Normal"/>
    <w:uiPriority w:val="99"/>
    <w:rsid w:val="002F47AB"/>
    <w:pPr>
      <w:widowControl w:val="0"/>
      <w:autoSpaceDE w:val="0"/>
      <w:autoSpaceDN w:val="0"/>
      <w:adjustRightInd w:val="0"/>
      <w:spacing w:line="278" w:lineRule="exact"/>
      <w:jc w:val="both"/>
    </w:pPr>
    <w:rPr>
      <w:rFonts w:ascii="Arial" w:eastAsiaTheme="minorEastAsia" w:hAnsi="Arial" w:cs="Arial"/>
      <w:lang w:val="es-ES" w:eastAsia="es-ES"/>
    </w:rPr>
  </w:style>
  <w:style w:type="paragraph" w:customStyle="1" w:styleId="Style69">
    <w:name w:val="Style69"/>
    <w:basedOn w:val="Normal"/>
    <w:uiPriority w:val="99"/>
    <w:rsid w:val="002F47AB"/>
    <w:pPr>
      <w:widowControl w:val="0"/>
      <w:autoSpaceDE w:val="0"/>
      <w:autoSpaceDN w:val="0"/>
      <w:adjustRightInd w:val="0"/>
      <w:spacing w:line="281" w:lineRule="exact"/>
      <w:jc w:val="both"/>
    </w:pPr>
    <w:rPr>
      <w:rFonts w:ascii="Arial" w:eastAsiaTheme="minorEastAsia" w:hAnsi="Arial" w:cs="Arial"/>
      <w:lang w:val="es-ES" w:eastAsia="es-ES"/>
    </w:rPr>
  </w:style>
  <w:style w:type="character" w:customStyle="1" w:styleId="FontStyle77">
    <w:name w:val="Font Style77"/>
    <w:basedOn w:val="Fuentedeprrafopredeter"/>
    <w:uiPriority w:val="99"/>
    <w:rsid w:val="002F47AB"/>
    <w:rPr>
      <w:rFonts w:ascii="Arial" w:hAnsi="Arial" w:cs="Arial"/>
      <w:b/>
      <w:bCs/>
      <w:sz w:val="18"/>
      <w:szCs w:val="18"/>
    </w:rPr>
  </w:style>
  <w:style w:type="paragraph" w:styleId="Textodebloque">
    <w:name w:val="Block Text"/>
    <w:basedOn w:val="Normal"/>
    <w:uiPriority w:val="99"/>
    <w:semiHidden/>
    <w:unhideWhenUsed/>
    <w:rsid w:val="006043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0332780">
      <w:marLeft w:val="0"/>
      <w:marRight w:val="0"/>
      <w:marTop w:val="0"/>
      <w:marBottom w:val="0"/>
      <w:divBdr>
        <w:top w:val="none" w:sz="0" w:space="0" w:color="auto"/>
        <w:left w:val="none" w:sz="0" w:space="0" w:color="auto"/>
        <w:bottom w:val="none" w:sz="0" w:space="0" w:color="auto"/>
        <w:right w:val="none" w:sz="0" w:space="0" w:color="auto"/>
      </w:divBdr>
    </w:div>
    <w:div w:id="1940332781">
      <w:marLeft w:val="0"/>
      <w:marRight w:val="0"/>
      <w:marTop w:val="0"/>
      <w:marBottom w:val="0"/>
      <w:divBdr>
        <w:top w:val="none" w:sz="0" w:space="0" w:color="auto"/>
        <w:left w:val="none" w:sz="0" w:space="0" w:color="auto"/>
        <w:bottom w:val="none" w:sz="0" w:space="0" w:color="auto"/>
        <w:right w:val="none" w:sz="0" w:space="0" w:color="auto"/>
      </w:divBdr>
    </w:div>
    <w:div w:id="1940332782">
      <w:marLeft w:val="0"/>
      <w:marRight w:val="0"/>
      <w:marTop w:val="0"/>
      <w:marBottom w:val="0"/>
      <w:divBdr>
        <w:top w:val="none" w:sz="0" w:space="0" w:color="auto"/>
        <w:left w:val="none" w:sz="0" w:space="0" w:color="auto"/>
        <w:bottom w:val="none" w:sz="0" w:space="0" w:color="auto"/>
        <w:right w:val="none" w:sz="0" w:space="0" w:color="auto"/>
      </w:divBdr>
    </w:div>
    <w:div w:id="1940332783">
      <w:marLeft w:val="0"/>
      <w:marRight w:val="0"/>
      <w:marTop w:val="0"/>
      <w:marBottom w:val="0"/>
      <w:divBdr>
        <w:top w:val="none" w:sz="0" w:space="0" w:color="auto"/>
        <w:left w:val="none" w:sz="0" w:space="0" w:color="auto"/>
        <w:bottom w:val="none" w:sz="0" w:space="0" w:color="auto"/>
        <w:right w:val="none" w:sz="0" w:space="0" w:color="auto"/>
      </w:divBdr>
    </w:div>
    <w:div w:id="1940332784">
      <w:marLeft w:val="0"/>
      <w:marRight w:val="0"/>
      <w:marTop w:val="0"/>
      <w:marBottom w:val="0"/>
      <w:divBdr>
        <w:top w:val="none" w:sz="0" w:space="0" w:color="auto"/>
        <w:left w:val="none" w:sz="0" w:space="0" w:color="auto"/>
        <w:bottom w:val="none" w:sz="0" w:space="0" w:color="auto"/>
        <w:right w:val="none" w:sz="0" w:space="0" w:color="auto"/>
      </w:divBdr>
    </w:div>
    <w:div w:id="1940332785">
      <w:marLeft w:val="0"/>
      <w:marRight w:val="0"/>
      <w:marTop w:val="0"/>
      <w:marBottom w:val="0"/>
      <w:divBdr>
        <w:top w:val="none" w:sz="0" w:space="0" w:color="auto"/>
        <w:left w:val="none" w:sz="0" w:space="0" w:color="auto"/>
        <w:bottom w:val="none" w:sz="0" w:space="0" w:color="auto"/>
        <w:right w:val="none" w:sz="0" w:space="0" w:color="auto"/>
      </w:divBdr>
    </w:div>
    <w:div w:id="1940332786">
      <w:marLeft w:val="0"/>
      <w:marRight w:val="0"/>
      <w:marTop w:val="0"/>
      <w:marBottom w:val="0"/>
      <w:divBdr>
        <w:top w:val="none" w:sz="0" w:space="0" w:color="auto"/>
        <w:left w:val="none" w:sz="0" w:space="0" w:color="auto"/>
        <w:bottom w:val="none" w:sz="0" w:space="0" w:color="auto"/>
        <w:right w:val="none" w:sz="0" w:space="0" w:color="auto"/>
      </w:divBdr>
    </w:div>
    <w:div w:id="1940332787">
      <w:marLeft w:val="0"/>
      <w:marRight w:val="0"/>
      <w:marTop w:val="0"/>
      <w:marBottom w:val="0"/>
      <w:divBdr>
        <w:top w:val="none" w:sz="0" w:space="0" w:color="auto"/>
        <w:left w:val="none" w:sz="0" w:space="0" w:color="auto"/>
        <w:bottom w:val="none" w:sz="0" w:space="0" w:color="auto"/>
        <w:right w:val="none" w:sz="0" w:space="0" w:color="auto"/>
      </w:divBdr>
    </w:div>
    <w:div w:id="1940332788">
      <w:marLeft w:val="0"/>
      <w:marRight w:val="0"/>
      <w:marTop w:val="0"/>
      <w:marBottom w:val="0"/>
      <w:divBdr>
        <w:top w:val="none" w:sz="0" w:space="0" w:color="auto"/>
        <w:left w:val="none" w:sz="0" w:space="0" w:color="auto"/>
        <w:bottom w:val="none" w:sz="0" w:space="0" w:color="auto"/>
        <w:right w:val="none" w:sz="0" w:space="0" w:color="auto"/>
      </w:divBdr>
    </w:div>
    <w:div w:id="1940332789">
      <w:marLeft w:val="0"/>
      <w:marRight w:val="0"/>
      <w:marTop w:val="0"/>
      <w:marBottom w:val="0"/>
      <w:divBdr>
        <w:top w:val="none" w:sz="0" w:space="0" w:color="auto"/>
        <w:left w:val="none" w:sz="0" w:space="0" w:color="auto"/>
        <w:bottom w:val="none" w:sz="0" w:space="0" w:color="auto"/>
        <w:right w:val="none" w:sz="0" w:space="0" w:color="auto"/>
      </w:divBdr>
    </w:div>
    <w:div w:id="1940332790">
      <w:marLeft w:val="0"/>
      <w:marRight w:val="0"/>
      <w:marTop w:val="0"/>
      <w:marBottom w:val="0"/>
      <w:divBdr>
        <w:top w:val="none" w:sz="0" w:space="0" w:color="auto"/>
        <w:left w:val="none" w:sz="0" w:space="0" w:color="auto"/>
        <w:bottom w:val="none" w:sz="0" w:space="0" w:color="auto"/>
        <w:right w:val="none" w:sz="0" w:space="0" w:color="auto"/>
      </w:divBdr>
    </w:div>
    <w:div w:id="1940332791">
      <w:marLeft w:val="0"/>
      <w:marRight w:val="0"/>
      <w:marTop w:val="0"/>
      <w:marBottom w:val="0"/>
      <w:divBdr>
        <w:top w:val="none" w:sz="0" w:space="0" w:color="auto"/>
        <w:left w:val="none" w:sz="0" w:space="0" w:color="auto"/>
        <w:bottom w:val="none" w:sz="0" w:space="0" w:color="auto"/>
        <w:right w:val="none" w:sz="0" w:space="0" w:color="auto"/>
      </w:divBdr>
    </w:div>
    <w:div w:id="1940332792">
      <w:marLeft w:val="0"/>
      <w:marRight w:val="0"/>
      <w:marTop w:val="0"/>
      <w:marBottom w:val="0"/>
      <w:divBdr>
        <w:top w:val="none" w:sz="0" w:space="0" w:color="auto"/>
        <w:left w:val="none" w:sz="0" w:space="0" w:color="auto"/>
        <w:bottom w:val="none" w:sz="0" w:space="0" w:color="auto"/>
        <w:right w:val="none" w:sz="0" w:space="0" w:color="auto"/>
      </w:divBdr>
    </w:div>
    <w:div w:id="1940332793">
      <w:marLeft w:val="0"/>
      <w:marRight w:val="0"/>
      <w:marTop w:val="0"/>
      <w:marBottom w:val="0"/>
      <w:divBdr>
        <w:top w:val="none" w:sz="0" w:space="0" w:color="auto"/>
        <w:left w:val="none" w:sz="0" w:space="0" w:color="auto"/>
        <w:bottom w:val="none" w:sz="0" w:space="0" w:color="auto"/>
        <w:right w:val="none" w:sz="0" w:space="0" w:color="auto"/>
      </w:divBdr>
    </w:div>
    <w:div w:id="1940332794">
      <w:marLeft w:val="0"/>
      <w:marRight w:val="0"/>
      <w:marTop w:val="0"/>
      <w:marBottom w:val="0"/>
      <w:divBdr>
        <w:top w:val="none" w:sz="0" w:space="0" w:color="auto"/>
        <w:left w:val="none" w:sz="0" w:space="0" w:color="auto"/>
        <w:bottom w:val="none" w:sz="0" w:space="0" w:color="auto"/>
        <w:right w:val="none" w:sz="0" w:space="0" w:color="auto"/>
      </w:divBdr>
    </w:div>
    <w:div w:id="1940332795">
      <w:marLeft w:val="0"/>
      <w:marRight w:val="0"/>
      <w:marTop w:val="0"/>
      <w:marBottom w:val="0"/>
      <w:divBdr>
        <w:top w:val="none" w:sz="0" w:space="0" w:color="auto"/>
        <w:left w:val="none" w:sz="0" w:space="0" w:color="auto"/>
        <w:bottom w:val="none" w:sz="0" w:space="0" w:color="auto"/>
        <w:right w:val="none" w:sz="0" w:space="0" w:color="auto"/>
      </w:divBdr>
    </w:div>
    <w:div w:id="1940332796">
      <w:marLeft w:val="0"/>
      <w:marRight w:val="0"/>
      <w:marTop w:val="0"/>
      <w:marBottom w:val="0"/>
      <w:divBdr>
        <w:top w:val="none" w:sz="0" w:space="0" w:color="auto"/>
        <w:left w:val="none" w:sz="0" w:space="0" w:color="auto"/>
        <w:bottom w:val="none" w:sz="0" w:space="0" w:color="auto"/>
        <w:right w:val="none" w:sz="0" w:space="0" w:color="auto"/>
      </w:divBdr>
    </w:div>
    <w:div w:id="1940332797">
      <w:marLeft w:val="0"/>
      <w:marRight w:val="0"/>
      <w:marTop w:val="0"/>
      <w:marBottom w:val="0"/>
      <w:divBdr>
        <w:top w:val="none" w:sz="0" w:space="0" w:color="auto"/>
        <w:left w:val="none" w:sz="0" w:space="0" w:color="auto"/>
        <w:bottom w:val="none" w:sz="0" w:space="0" w:color="auto"/>
        <w:right w:val="none" w:sz="0" w:space="0" w:color="auto"/>
      </w:divBdr>
    </w:div>
    <w:div w:id="19403327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decreto_0019_2012_pr002.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alidadensalud.minsalud.gov.co/" TargetMode="External"/><Relationship Id="rId4" Type="http://schemas.openxmlformats.org/officeDocument/2006/relationships/settings" Target="settings.xml"/><Relationship Id="rId9" Type="http://schemas.openxmlformats.org/officeDocument/2006/relationships/hyperlink" Target="http://www.secretariasenado.gov.co/senado/basedoc/decreto_0019_2012_pr002.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calidadensalud.minsalud.gov.co/" TargetMode="External"/><Relationship Id="rId2" Type="http://schemas.openxmlformats.org/officeDocument/2006/relationships/hyperlink" Target="http://calidadensalud.minsalud.gov.co/" TargetMode="External"/><Relationship Id="rId1" Type="http://schemas.openxmlformats.org/officeDocument/2006/relationships/hyperlink" Target="http://www.minsalud.gov.co/Documentos%20y%20Publicaciones/Conozco%20mis%20derechos" TargetMode="External"/><Relationship Id="rId6" Type="http://schemas.openxmlformats.org/officeDocument/2006/relationships/hyperlink" Target="http://calidadensalud.minsalud.gov.co/" TargetMode="External"/><Relationship Id="rId5" Type="http://schemas.openxmlformats.org/officeDocument/2006/relationships/hyperlink" Target="http://calidadensalud.minsalud.gov.co/Observatorio/InformesdeCalidad/OrdenamientodeEPS.aspx" TargetMode="External"/><Relationship Id="rId4" Type="http://schemas.openxmlformats.org/officeDocument/2006/relationships/hyperlink" Target="http://calidadensalud.minsalud.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0AE78-135C-408E-BEC6-5298C9A1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39413</Words>
  <Characters>216776</Characters>
  <Application>Microsoft Office Word</Application>
  <DocSecurity>0</DocSecurity>
  <Lines>1806</Lines>
  <Paragraphs>511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Arguello Góngora</dc:creator>
  <cp:keywords/>
  <dc:description/>
  <cp:lastModifiedBy>Isaac Saenz Cruz</cp:lastModifiedBy>
  <cp:revision>2</cp:revision>
  <cp:lastPrinted>2017-01-18T16:56:00Z</cp:lastPrinted>
  <dcterms:created xsi:type="dcterms:W3CDTF">2017-07-07T21:33:00Z</dcterms:created>
  <dcterms:modified xsi:type="dcterms:W3CDTF">2017-07-07T21:33:00Z</dcterms:modified>
</cp:coreProperties>
</file>