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0947" w14:textId="04FFCACB" w:rsidR="006A6097" w:rsidRPr="00932B6C" w:rsidRDefault="006A6097" w:rsidP="006A6097">
      <w:pPr>
        <w:pStyle w:val="Textoindependiente"/>
        <w:spacing w:line="243" w:lineRule="exact"/>
        <w:ind w:left="102"/>
        <w:jc w:val="both"/>
        <w:rPr>
          <w:sz w:val="18"/>
          <w:szCs w:val="18"/>
        </w:rPr>
      </w:pPr>
      <w:r w:rsidRPr="00932B6C">
        <w:rPr>
          <w:sz w:val="18"/>
          <w:szCs w:val="18"/>
        </w:rPr>
        <w:t>CONSTANCIA SECRETARIAL: Se deja en el sentido que el día 10 de diciembre del año inmediatamente anterior se presentaran los herederos indeterminados del causante JORGE ELIECER GALVIS y no lo hicieron. De igual forma se deja en el sentido que el presente proyecto de auto se le había enviado inicialmente al oficial mayor y posterior a otro personal de apoyo, quienes no lo hicieron, po</w:t>
      </w:r>
      <w:r w:rsidR="00932B6C">
        <w:rPr>
          <w:sz w:val="18"/>
          <w:szCs w:val="18"/>
        </w:rPr>
        <w:t>r</w:t>
      </w:r>
      <w:r w:rsidRPr="00932B6C">
        <w:rPr>
          <w:sz w:val="18"/>
          <w:szCs w:val="18"/>
        </w:rPr>
        <w:t xml:space="preserve"> lo que pasa a resolver.  </w:t>
      </w:r>
    </w:p>
    <w:p w14:paraId="6DA90853" w14:textId="08B14268" w:rsidR="006A6097" w:rsidRPr="00932B6C" w:rsidRDefault="006A6097" w:rsidP="006A6097">
      <w:pPr>
        <w:pStyle w:val="Textoindependiente"/>
        <w:spacing w:line="243" w:lineRule="exact"/>
        <w:ind w:left="102"/>
        <w:jc w:val="both"/>
        <w:rPr>
          <w:sz w:val="18"/>
          <w:szCs w:val="18"/>
        </w:rPr>
      </w:pPr>
    </w:p>
    <w:p w14:paraId="134D4103" w14:textId="4679F182" w:rsidR="006A6097" w:rsidRPr="00932B6C" w:rsidRDefault="006A6097" w:rsidP="006A6097">
      <w:pPr>
        <w:pStyle w:val="Textoindependiente"/>
        <w:spacing w:line="243" w:lineRule="exact"/>
        <w:ind w:left="102"/>
        <w:jc w:val="both"/>
        <w:rPr>
          <w:sz w:val="18"/>
          <w:szCs w:val="18"/>
        </w:rPr>
      </w:pPr>
      <w:r w:rsidRPr="00932B6C">
        <w:rPr>
          <w:sz w:val="18"/>
          <w:szCs w:val="18"/>
        </w:rPr>
        <w:t>OLGA MILENA TABORDA VARGAS</w:t>
      </w:r>
    </w:p>
    <w:p w14:paraId="4F32F0D4" w14:textId="704EE851" w:rsidR="006A6097" w:rsidRPr="00932B6C" w:rsidRDefault="006A6097" w:rsidP="006A6097">
      <w:pPr>
        <w:pStyle w:val="Textoindependiente"/>
        <w:spacing w:line="243" w:lineRule="exact"/>
        <w:ind w:left="102"/>
        <w:jc w:val="both"/>
        <w:rPr>
          <w:sz w:val="18"/>
          <w:szCs w:val="18"/>
        </w:rPr>
      </w:pPr>
      <w:r w:rsidRPr="00932B6C">
        <w:rPr>
          <w:sz w:val="18"/>
          <w:szCs w:val="18"/>
        </w:rPr>
        <w:t>SECRETARIA</w:t>
      </w:r>
    </w:p>
    <w:p w14:paraId="59DDF4FB" w14:textId="77777777" w:rsidR="006A6097" w:rsidRPr="00932B6C" w:rsidRDefault="006A6097" w:rsidP="006A6097">
      <w:pPr>
        <w:pStyle w:val="Textoindependiente"/>
        <w:spacing w:line="243" w:lineRule="exact"/>
        <w:ind w:left="102"/>
        <w:jc w:val="both"/>
        <w:rPr>
          <w:sz w:val="18"/>
          <w:szCs w:val="18"/>
        </w:rPr>
      </w:pPr>
    </w:p>
    <w:p w14:paraId="4DB8C90F" w14:textId="3181C136" w:rsidR="006A6097" w:rsidRPr="00932B6C" w:rsidRDefault="006A6097" w:rsidP="006A6097">
      <w:pPr>
        <w:pStyle w:val="Textoindependiente"/>
        <w:spacing w:line="243" w:lineRule="exact"/>
        <w:ind w:left="102"/>
        <w:jc w:val="both"/>
        <w:rPr>
          <w:sz w:val="18"/>
          <w:szCs w:val="18"/>
        </w:rPr>
      </w:pPr>
      <w:r w:rsidRPr="00932B6C">
        <w:rPr>
          <w:sz w:val="18"/>
          <w:szCs w:val="18"/>
        </w:rPr>
        <w:t>INTERLOCUTORIO</w:t>
      </w:r>
    </w:p>
    <w:p w14:paraId="45061453" w14:textId="77777777" w:rsidR="006A6097" w:rsidRPr="00932B6C" w:rsidRDefault="006A6097" w:rsidP="006A6097">
      <w:pPr>
        <w:pStyle w:val="Textoindependiente"/>
        <w:tabs>
          <w:tab w:val="left" w:pos="1517"/>
          <w:tab w:val="left" w:pos="2225"/>
        </w:tabs>
        <w:ind w:left="102" w:right="4753"/>
        <w:rPr>
          <w:sz w:val="18"/>
          <w:szCs w:val="18"/>
        </w:rPr>
      </w:pPr>
      <w:r w:rsidRPr="00932B6C">
        <w:rPr>
          <w:sz w:val="18"/>
          <w:szCs w:val="18"/>
        </w:rPr>
        <w:t>PROCESO: INVESTIGACIÓN DE PATERNIDAD</w:t>
      </w:r>
    </w:p>
    <w:p w14:paraId="15467FC2" w14:textId="6D08F68F" w:rsidR="006A6097" w:rsidRPr="00932B6C" w:rsidRDefault="006A6097" w:rsidP="006A6097">
      <w:pPr>
        <w:pStyle w:val="Textoindependiente"/>
        <w:tabs>
          <w:tab w:val="left" w:pos="1517"/>
          <w:tab w:val="left" w:pos="2225"/>
        </w:tabs>
        <w:ind w:left="102" w:right="4753"/>
        <w:rPr>
          <w:sz w:val="18"/>
          <w:szCs w:val="18"/>
        </w:rPr>
      </w:pPr>
      <w:r w:rsidRPr="00932B6C">
        <w:rPr>
          <w:sz w:val="18"/>
          <w:szCs w:val="18"/>
        </w:rPr>
        <w:t>RDO:2020-119-00</w:t>
      </w:r>
    </w:p>
    <w:p w14:paraId="4C9FF384" w14:textId="77777777" w:rsidR="006A6097" w:rsidRPr="00932B6C" w:rsidRDefault="006A6097" w:rsidP="006A6097">
      <w:pPr>
        <w:pStyle w:val="Textoindependiente"/>
        <w:tabs>
          <w:tab w:val="left" w:pos="1517"/>
          <w:tab w:val="left" w:pos="2225"/>
        </w:tabs>
        <w:ind w:left="102" w:right="4753"/>
        <w:rPr>
          <w:sz w:val="18"/>
          <w:szCs w:val="18"/>
        </w:rPr>
      </w:pPr>
      <w:r w:rsidRPr="00932B6C">
        <w:rPr>
          <w:sz w:val="18"/>
          <w:szCs w:val="18"/>
        </w:rPr>
        <w:t>OMTV</w:t>
      </w:r>
    </w:p>
    <w:p w14:paraId="2F4DF814" w14:textId="77777777" w:rsidR="006A6097" w:rsidRPr="00932B6C" w:rsidRDefault="006A6097" w:rsidP="006A6097">
      <w:pPr>
        <w:pStyle w:val="Textoindependiente"/>
        <w:spacing w:before="12"/>
        <w:rPr>
          <w:sz w:val="18"/>
          <w:szCs w:val="18"/>
        </w:rPr>
      </w:pPr>
    </w:p>
    <w:p w14:paraId="5D32EB09" w14:textId="77777777" w:rsidR="006A6097" w:rsidRPr="00052FC1" w:rsidRDefault="006A6097" w:rsidP="006A6097">
      <w:pPr>
        <w:pStyle w:val="Ttulo1"/>
        <w:ind w:left="1866" w:right="1892"/>
        <w:rPr>
          <w:sz w:val="22"/>
          <w:szCs w:val="22"/>
        </w:rPr>
      </w:pPr>
      <w:r w:rsidRPr="00052FC1">
        <w:rPr>
          <w:sz w:val="22"/>
          <w:szCs w:val="22"/>
        </w:rPr>
        <w:t>JUZGADO PRIMERO DE FAMILIA EN ORALIDAD ARMENIA QUINDÍO</w:t>
      </w:r>
    </w:p>
    <w:p w14:paraId="056F94F6" w14:textId="77777777" w:rsidR="006A6097" w:rsidRPr="00052FC1" w:rsidRDefault="006A6097" w:rsidP="006A6097">
      <w:pPr>
        <w:pStyle w:val="Textoindependiente"/>
        <w:rPr>
          <w:b/>
          <w:sz w:val="22"/>
          <w:szCs w:val="22"/>
        </w:rPr>
      </w:pPr>
    </w:p>
    <w:p w14:paraId="66A4A8B4" w14:textId="21668767" w:rsidR="006A6097" w:rsidRPr="00052FC1" w:rsidRDefault="006A6097" w:rsidP="00932B6C">
      <w:pPr>
        <w:pStyle w:val="Textoindependiente"/>
        <w:jc w:val="both"/>
        <w:rPr>
          <w:sz w:val="22"/>
          <w:szCs w:val="22"/>
        </w:rPr>
      </w:pPr>
      <w:r>
        <w:rPr>
          <w:sz w:val="22"/>
          <w:szCs w:val="22"/>
        </w:rPr>
        <w:t xml:space="preserve">Dieciséis </w:t>
      </w:r>
      <w:r w:rsidRPr="00052FC1">
        <w:rPr>
          <w:sz w:val="22"/>
          <w:szCs w:val="22"/>
        </w:rPr>
        <w:t>(</w:t>
      </w:r>
      <w:r>
        <w:rPr>
          <w:sz w:val="22"/>
          <w:szCs w:val="22"/>
        </w:rPr>
        <w:t>16</w:t>
      </w:r>
      <w:r w:rsidRPr="00052FC1">
        <w:rPr>
          <w:sz w:val="22"/>
          <w:szCs w:val="22"/>
        </w:rPr>
        <w:t>) de</w:t>
      </w:r>
      <w:r>
        <w:rPr>
          <w:sz w:val="22"/>
          <w:szCs w:val="22"/>
        </w:rPr>
        <w:t xml:space="preserve"> julio de</w:t>
      </w:r>
      <w:r w:rsidRPr="00052FC1">
        <w:rPr>
          <w:sz w:val="22"/>
          <w:szCs w:val="22"/>
        </w:rPr>
        <w:t xml:space="preserve"> dos mil veintiuno (2021).</w:t>
      </w:r>
    </w:p>
    <w:p w14:paraId="091EB41F" w14:textId="77777777" w:rsidR="006A6097" w:rsidRDefault="006A6097" w:rsidP="006A6097">
      <w:pPr>
        <w:jc w:val="both"/>
        <w:rPr>
          <w:rFonts w:eastAsia="Times New Roman" w:cs="Arial"/>
        </w:rPr>
      </w:pPr>
    </w:p>
    <w:p w14:paraId="379ED431" w14:textId="77777777" w:rsidR="00134411" w:rsidRDefault="006A6097" w:rsidP="006A6097">
      <w:pPr>
        <w:jc w:val="both"/>
        <w:rPr>
          <w:rFonts w:eastAsia="Times New Roman" w:cs="Arial"/>
        </w:rPr>
      </w:pPr>
      <w:r>
        <w:rPr>
          <w:rFonts w:eastAsia="Times New Roman" w:cs="Arial"/>
        </w:rPr>
        <w:t xml:space="preserve">Vista la constancia secretarial que antecede se procede a nombrar como CURADOR AD LITEM que represente a los herederos indeterminados del causante JORGE ELIECER GALVIS al abogado CÉSAR AUGUSTO GIRALDO GARCÍA, quien se ubica en la dirección de correo electrónico: </w:t>
      </w:r>
      <w:hyperlink r:id="rId4" w:history="1">
        <w:r w:rsidRPr="00C774CA">
          <w:rPr>
            <w:rStyle w:val="Hipervnculo"/>
            <w:rFonts w:eastAsia="Times New Roman" w:cs="Arial"/>
          </w:rPr>
          <w:t>abogadoce@hotmail.com</w:t>
        </w:r>
      </w:hyperlink>
      <w:r w:rsidR="00134411">
        <w:rPr>
          <w:rFonts w:eastAsia="Times New Roman" w:cs="Arial"/>
        </w:rPr>
        <w:t xml:space="preserve">.  Por Secretaría entéresele de lo aquí dispuesto, informando que el cargo es de forzoso desempeño, por lo que una vez aceptado el mismo, se procederá a notificarse y correrle traslado de la demanda por el término de veinte (20) días, compartiendo el link del expediente respectivo.  </w:t>
      </w:r>
    </w:p>
    <w:p w14:paraId="08870272" w14:textId="570CAF25" w:rsidR="00134411" w:rsidRDefault="00134411" w:rsidP="006A6097">
      <w:pPr>
        <w:jc w:val="both"/>
        <w:rPr>
          <w:rFonts w:eastAsia="Times New Roman" w:cs="Arial"/>
        </w:rPr>
      </w:pPr>
    </w:p>
    <w:p w14:paraId="3F811B9A" w14:textId="432C1D98" w:rsidR="00134411" w:rsidRDefault="00134411" w:rsidP="00134411">
      <w:pPr>
        <w:jc w:val="both"/>
        <w:rPr>
          <w:rFonts w:eastAsia="Times New Roman" w:cs="Arial"/>
        </w:rPr>
      </w:pPr>
      <w:r>
        <w:rPr>
          <w:rFonts w:eastAsia="Times New Roman" w:cs="Arial"/>
        </w:rPr>
        <w:t xml:space="preserve">De otro lado, se le requiere al Centro de Servicios en el sentido que se de estricto cumplimiento a lo ordenado en el auto admisorio en cuanto a oficiar a la </w:t>
      </w:r>
      <w:proofErr w:type="gramStart"/>
      <w:r>
        <w:rPr>
          <w:rFonts w:eastAsia="Times New Roman" w:cs="Arial"/>
        </w:rPr>
        <w:t>Fiscalía General</w:t>
      </w:r>
      <w:proofErr w:type="gramEnd"/>
      <w:r>
        <w:rPr>
          <w:rFonts w:eastAsia="Times New Roman" w:cs="Arial"/>
        </w:rPr>
        <w:t xml:space="preserve"> de la Nación, quienes deberán poner a disposición del Instituto de Medicina Legal bajo la cadena de custodia correspondiente, la muestra de sangre del causante dentro del asunto, con el fin de programar la toma de muestras respectivas. </w:t>
      </w:r>
    </w:p>
    <w:p w14:paraId="67DDA3BC" w14:textId="3CDF4454" w:rsidR="00134411" w:rsidRDefault="00134411" w:rsidP="00134411">
      <w:pPr>
        <w:jc w:val="both"/>
        <w:rPr>
          <w:rFonts w:eastAsia="Times New Roman" w:cs="Arial"/>
        </w:rPr>
      </w:pPr>
    </w:p>
    <w:p w14:paraId="5C4D2CF8" w14:textId="260BAC23" w:rsidR="00134411" w:rsidRPr="00134411" w:rsidRDefault="00932B6C" w:rsidP="00134411">
      <w:pPr>
        <w:jc w:val="both"/>
        <w:rPr>
          <w:rFonts w:eastAsia="Times New Roman" w:cs="Arial"/>
        </w:rPr>
      </w:pPr>
      <w:r>
        <w:rPr>
          <w:rFonts w:ascii="Arial" w:hAnsi="Arial" w:cs="Arial"/>
          <w:noProof/>
          <w:sz w:val="26"/>
          <w:szCs w:val="26"/>
          <w:shd w:val="clear" w:color="auto" w:fill="FAF9F8"/>
          <w:lang w:eastAsia="es-CO"/>
        </w:rPr>
        <w:drawing>
          <wp:anchor distT="0" distB="0" distL="114300" distR="114300" simplePos="0" relativeHeight="251659264" behindDoc="1" locked="0" layoutInCell="1" allowOverlap="1" wp14:anchorId="4ADDD40B" wp14:editId="389F3111">
            <wp:simplePos x="0" y="0"/>
            <wp:positionH relativeFrom="column">
              <wp:posOffset>933450</wp:posOffset>
            </wp:positionH>
            <wp:positionV relativeFrom="paragraph">
              <wp:posOffset>12065</wp:posOffset>
            </wp:positionV>
            <wp:extent cx="4523740" cy="26854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3740" cy="2685415"/>
                    </a:xfrm>
                    <a:prstGeom prst="rect">
                      <a:avLst/>
                    </a:prstGeom>
                    <a:noFill/>
                  </pic:spPr>
                </pic:pic>
              </a:graphicData>
            </a:graphic>
            <wp14:sizeRelH relativeFrom="page">
              <wp14:pctWidth>0</wp14:pctWidth>
            </wp14:sizeRelH>
            <wp14:sizeRelV relativeFrom="page">
              <wp14:pctHeight>0</wp14:pctHeight>
            </wp14:sizeRelV>
          </wp:anchor>
        </w:drawing>
      </w:r>
    </w:p>
    <w:p w14:paraId="4A064439" w14:textId="77777777" w:rsidR="006A6097" w:rsidRDefault="006A6097" w:rsidP="006A6097">
      <w:pPr>
        <w:pStyle w:val="Textoindependiente"/>
        <w:ind w:left="102" w:right="120"/>
        <w:jc w:val="both"/>
        <w:rPr>
          <w:sz w:val="22"/>
          <w:szCs w:val="22"/>
        </w:rPr>
      </w:pPr>
      <w:r>
        <w:rPr>
          <w:sz w:val="22"/>
          <w:szCs w:val="22"/>
        </w:rPr>
        <w:t>NOTIFIQUESE,</w:t>
      </w:r>
    </w:p>
    <w:p w14:paraId="6D74104D" w14:textId="24B3F005" w:rsidR="006A6097" w:rsidRPr="00621EED" w:rsidRDefault="006A6097" w:rsidP="006A6097">
      <w:pPr>
        <w:tabs>
          <w:tab w:val="left" w:pos="0"/>
        </w:tabs>
        <w:suppressAutoHyphens/>
        <w:jc w:val="center"/>
        <w:rPr>
          <w:rFonts w:cs="Tahoma"/>
          <w:iCs/>
          <w:spacing w:val="-3"/>
          <w:lang w:val="es-ES_tradnl"/>
        </w:rPr>
      </w:pPr>
    </w:p>
    <w:p w14:paraId="18A252C3" w14:textId="77777777" w:rsidR="006A6097" w:rsidRDefault="006A6097" w:rsidP="006A6097">
      <w:pPr>
        <w:pStyle w:val="Textoindependiente"/>
        <w:ind w:left="102" w:right="120"/>
        <w:jc w:val="both"/>
        <w:rPr>
          <w:sz w:val="22"/>
          <w:szCs w:val="22"/>
        </w:rPr>
      </w:pPr>
    </w:p>
    <w:p w14:paraId="264DAED3" w14:textId="77777777" w:rsidR="006A6097" w:rsidRDefault="006A6097" w:rsidP="006A6097">
      <w:pPr>
        <w:pStyle w:val="Textoindependiente"/>
        <w:ind w:left="102" w:right="120"/>
        <w:jc w:val="center"/>
        <w:rPr>
          <w:sz w:val="22"/>
          <w:szCs w:val="22"/>
        </w:rPr>
      </w:pPr>
    </w:p>
    <w:p w14:paraId="0D38A009" w14:textId="77777777" w:rsidR="006A6097" w:rsidRDefault="006A6097" w:rsidP="006A6097">
      <w:pPr>
        <w:pStyle w:val="Textoindependiente"/>
        <w:ind w:left="102" w:right="120"/>
        <w:jc w:val="center"/>
        <w:rPr>
          <w:sz w:val="22"/>
          <w:szCs w:val="22"/>
        </w:rPr>
      </w:pPr>
    </w:p>
    <w:p w14:paraId="50602268" w14:textId="77777777" w:rsidR="006A6097" w:rsidRDefault="006A6097" w:rsidP="006A6097">
      <w:pPr>
        <w:tabs>
          <w:tab w:val="left" w:pos="0"/>
        </w:tabs>
        <w:suppressAutoHyphens/>
        <w:jc w:val="center"/>
        <w:rPr>
          <w:rFonts w:cs="Tahoma"/>
          <w:iCs/>
          <w:spacing w:val="-3"/>
          <w:lang w:val="fr-FR"/>
        </w:rPr>
      </w:pPr>
    </w:p>
    <w:p w14:paraId="3D8596B6" w14:textId="77777777" w:rsidR="006A6097" w:rsidRDefault="006A6097" w:rsidP="00932B6C">
      <w:pPr>
        <w:tabs>
          <w:tab w:val="left" w:pos="0"/>
        </w:tabs>
        <w:suppressAutoHyphens/>
        <w:rPr>
          <w:rFonts w:cs="Tahoma"/>
          <w:iCs/>
          <w:spacing w:val="-3"/>
          <w:lang w:val="fr-FR"/>
        </w:rPr>
      </w:pPr>
    </w:p>
    <w:p w14:paraId="6545322C" w14:textId="77777777" w:rsidR="006A6097" w:rsidRDefault="006A6097" w:rsidP="006A6097">
      <w:pPr>
        <w:tabs>
          <w:tab w:val="left" w:pos="0"/>
        </w:tabs>
        <w:suppressAutoHyphens/>
        <w:jc w:val="center"/>
        <w:rPr>
          <w:rFonts w:cs="Tahoma"/>
          <w:iCs/>
          <w:spacing w:val="-3"/>
          <w:lang w:val="fr-FR"/>
        </w:rPr>
      </w:pPr>
    </w:p>
    <w:p w14:paraId="2AA2A7F7" w14:textId="77777777" w:rsidR="006A6097" w:rsidRDefault="006A6097" w:rsidP="006A6097">
      <w:pPr>
        <w:tabs>
          <w:tab w:val="left" w:pos="0"/>
        </w:tabs>
        <w:suppressAutoHyphens/>
        <w:jc w:val="center"/>
        <w:rPr>
          <w:rFonts w:cs="Tahoma"/>
          <w:iCs/>
          <w:spacing w:val="-3"/>
          <w:lang w:val="fr-FR"/>
        </w:rPr>
      </w:pPr>
      <w:r>
        <w:rPr>
          <w:rFonts w:cs="Tahoma"/>
          <w:iCs/>
          <w:spacing w:val="-3"/>
          <w:lang w:val="fr-FR"/>
        </w:rPr>
        <w:t>GLORIA JACQUELINE MARIN SALAZAR</w:t>
      </w:r>
    </w:p>
    <w:p w14:paraId="3D126A60" w14:textId="77777777" w:rsidR="006A6097" w:rsidRDefault="006A6097" w:rsidP="006A6097">
      <w:pPr>
        <w:tabs>
          <w:tab w:val="left" w:pos="0"/>
        </w:tabs>
        <w:suppressAutoHyphens/>
        <w:jc w:val="center"/>
        <w:rPr>
          <w:rFonts w:cs="Tahoma"/>
          <w:iCs/>
          <w:spacing w:val="-3"/>
          <w:lang w:val="fr-FR"/>
        </w:rPr>
      </w:pPr>
      <w:r>
        <w:rPr>
          <w:rFonts w:cs="Tahoma"/>
          <w:iCs/>
          <w:spacing w:val="-3"/>
          <w:lang w:val="fr-FR"/>
        </w:rPr>
        <w:t xml:space="preserve">JUEZA </w:t>
      </w:r>
    </w:p>
    <w:p w14:paraId="0687AED5" w14:textId="77777777" w:rsidR="006A6097" w:rsidRPr="00621EED" w:rsidRDefault="006A6097" w:rsidP="006A6097">
      <w:pPr>
        <w:tabs>
          <w:tab w:val="left" w:pos="0"/>
        </w:tabs>
        <w:suppressAutoHyphens/>
        <w:jc w:val="center"/>
        <w:rPr>
          <w:rFonts w:cs="Tahoma"/>
          <w:iCs/>
          <w:spacing w:val="-3"/>
          <w:lang w:val="fr-FR"/>
        </w:rPr>
      </w:pPr>
    </w:p>
    <w:tbl>
      <w:tblPr>
        <w:tblpPr w:leftFromText="141" w:rightFromText="141" w:vertAnchor="text" w:horzAnchor="margin" w:tblpXSpec="center" w:tblpY="142"/>
        <w:tblW w:w="3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7"/>
      </w:tblGrid>
      <w:tr w:rsidR="006A6097" w:rsidRPr="00EF589B" w14:paraId="094583CC" w14:textId="77777777" w:rsidTr="0029500C">
        <w:trPr>
          <w:trHeight w:val="1701"/>
        </w:trPr>
        <w:tc>
          <w:tcPr>
            <w:tcW w:w="5000" w:type="pct"/>
          </w:tcPr>
          <w:p w14:paraId="1E4ADF92" w14:textId="77777777" w:rsidR="006A6097" w:rsidRPr="00073C68" w:rsidRDefault="006A6097" w:rsidP="0029500C">
            <w:pPr>
              <w:jc w:val="center"/>
              <w:rPr>
                <w:rFonts w:ascii="Calibri" w:hAnsi="Calibri" w:cs="Tahoma"/>
              </w:rPr>
            </w:pPr>
          </w:p>
          <w:p w14:paraId="396FB4BD" w14:textId="77777777" w:rsidR="006A6097" w:rsidRPr="008A1A49" w:rsidRDefault="006A6097" w:rsidP="0029500C">
            <w:pPr>
              <w:jc w:val="center"/>
              <w:rPr>
                <w:rFonts w:ascii="Calibri" w:hAnsi="Calibri" w:cs="Tahoma"/>
                <w:sz w:val="16"/>
                <w:szCs w:val="16"/>
              </w:rPr>
            </w:pPr>
            <w:r w:rsidRPr="008A1A49">
              <w:rPr>
                <w:rFonts w:ascii="Calibri" w:hAnsi="Calibri" w:cs="Tahoma"/>
                <w:sz w:val="16"/>
                <w:szCs w:val="16"/>
              </w:rPr>
              <w:t>RAMA JUDICIAL DEL PODER PÚBLICO</w:t>
            </w:r>
          </w:p>
          <w:p w14:paraId="0D758231" w14:textId="77777777" w:rsidR="006A6097" w:rsidRPr="008A1A49" w:rsidRDefault="006A6097" w:rsidP="0029500C">
            <w:pPr>
              <w:jc w:val="center"/>
              <w:rPr>
                <w:rFonts w:ascii="Calibri" w:hAnsi="Calibri" w:cs="Tahoma"/>
                <w:sz w:val="16"/>
                <w:szCs w:val="16"/>
              </w:rPr>
            </w:pPr>
            <w:r w:rsidRPr="008A1A49">
              <w:rPr>
                <w:rFonts w:ascii="Calibri" w:hAnsi="Calibri" w:cs="Tahoma"/>
                <w:sz w:val="16"/>
                <w:szCs w:val="16"/>
              </w:rPr>
              <w:t>JUZGADO PRIMERO DE FAMILIA</w:t>
            </w:r>
          </w:p>
          <w:p w14:paraId="701048DF" w14:textId="77777777" w:rsidR="006A6097" w:rsidRPr="008A1A49" w:rsidRDefault="006A6097" w:rsidP="0029500C">
            <w:pPr>
              <w:jc w:val="center"/>
              <w:rPr>
                <w:rFonts w:ascii="Calibri" w:hAnsi="Calibri" w:cs="Tahoma"/>
                <w:sz w:val="16"/>
                <w:szCs w:val="16"/>
              </w:rPr>
            </w:pPr>
            <w:r w:rsidRPr="008A1A49">
              <w:rPr>
                <w:rFonts w:ascii="Calibri" w:hAnsi="Calibri" w:cs="Tahoma"/>
                <w:sz w:val="16"/>
                <w:szCs w:val="16"/>
              </w:rPr>
              <w:t>ARMENIA QUINDÍO</w:t>
            </w:r>
          </w:p>
          <w:p w14:paraId="3BC88042" w14:textId="77777777" w:rsidR="006A6097" w:rsidRPr="008A1A49" w:rsidRDefault="006A6097" w:rsidP="0029500C">
            <w:pPr>
              <w:jc w:val="center"/>
              <w:rPr>
                <w:rFonts w:ascii="Calibri" w:hAnsi="Calibri" w:cs="Tahoma"/>
                <w:sz w:val="16"/>
                <w:szCs w:val="16"/>
              </w:rPr>
            </w:pPr>
          </w:p>
          <w:p w14:paraId="15ED3786" w14:textId="77777777" w:rsidR="006A6097" w:rsidRPr="008A1A49" w:rsidRDefault="006A6097" w:rsidP="0029500C">
            <w:pPr>
              <w:jc w:val="center"/>
              <w:rPr>
                <w:rFonts w:ascii="Calibri" w:hAnsi="Calibri" w:cs="Tahoma"/>
                <w:sz w:val="16"/>
                <w:szCs w:val="16"/>
              </w:rPr>
            </w:pPr>
            <w:r w:rsidRPr="008A1A49">
              <w:rPr>
                <w:rFonts w:ascii="Calibri" w:hAnsi="Calibri" w:cs="Tahoma"/>
                <w:sz w:val="16"/>
                <w:szCs w:val="16"/>
              </w:rPr>
              <w:t>CERTIFICO:</w:t>
            </w:r>
          </w:p>
          <w:p w14:paraId="4877D776" w14:textId="77777777" w:rsidR="006A6097" w:rsidRPr="008A1A49" w:rsidRDefault="006A6097" w:rsidP="0029500C">
            <w:pPr>
              <w:jc w:val="center"/>
              <w:rPr>
                <w:rFonts w:ascii="Calibri" w:hAnsi="Calibri" w:cs="Tahoma"/>
                <w:sz w:val="16"/>
                <w:szCs w:val="16"/>
              </w:rPr>
            </w:pPr>
          </w:p>
          <w:p w14:paraId="3891A428" w14:textId="77777777" w:rsidR="006A6097" w:rsidRPr="008A1A49" w:rsidRDefault="006A6097" w:rsidP="0029500C">
            <w:pPr>
              <w:jc w:val="both"/>
              <w:rPr>
                <w:rFonts w:ascii="Calibri" w:hAnsi="Calibri" w:cs="Tahoma"/>
                <w:sz w:val="16"/>
                <w:szCs w:val="16"/>
              </w:rPr>
            </w:pPr>
            <w:proofErr w:type="gramStart"/>
            <w:r w:rsidRPr="008A1A49">
              <w:rPr>
                <w:rFonts w:ascii="Calibri" w:hAnsi="Calibri" w:cs="Tahoma"/>
                <w:sz w:val="16"/>
                <w:szCs w:val="16"/>
              </w:rPr>
              <w:t>Que  el</w:t>
            </w:r>
            <w:proofErr w:type="gramEnd"/>
            <w:r w:rsidRPr="008A1A49">
              <w:rPr>
                <w:rFonts w:ascii="Calibri" w:hAnsi="Calibri" w:cs="Tahoma"/>
                <w:sz w:val="16"/>
                <w:szCs w:val="16"/>
              </w:rPr>
              <w:t xml:space="preserve"> auto anterior fue notificado a las partes por ESTADO en Armenia </w:t>
            </w:r>
          </w:p>
          <w:p w14:paraId="465367A6" w14:textId="6F7CC6B8" w:rsidR="006A6097" w:rsidRPr="008A1A49" w:rsidRDefault="006A6097" w:rsidP="0029500C">
            <w:pPr>
              <w:jc w:val="both"/>
              <w:rPr>
                <w:rFonts w:ascii="Calibri" w:hAnsi="Calibri" w:cs="Tahoma"/>
                <w:sz w:val="16"/>
                <w:szCs w:val="16"/>
              </w:rPr>
            </w:pPr>
            <w:r w:rsidRPr="008A1A49">
              <w:rPr>
                <w:rFonts w:ascii="Calibri" w:hAnsi="Calibri" w:cs="Tahoma"/>
                <w:sz w:val="16"/>
                <w:szCs w:val="16"/>
              </w:rPr>
              <w:t>Quindío hoy</w:t>
            </w:r>
            <w:r>
              <w:rPr>
                <w:rFonts w:ascii="Calibri" w:hAnsi="Calibri" w:cs="Tahoma"/>
                <w:sz w:val="16"/>
                <w:szCs w:val="16"/>
              </w:rPr>
              <w:t xml:space="preserve"> </w:t>
            </w:r>
            <w:r w:rsidR="00134411">
              <w:rPr>
                <w:rFonts w:ascii="Calibri" w:hAnsi="Calibri" w:cs="Tahoma"/>
                <w:sz w:val="16"/>
                <w:szCs w:val="16"/>
              </w:rPr>
              <w:t>19</w:t>
            </w:r>
            <w:r>
              <w:rPr>
                <w:rFonts w:ascii="Calibri" w:hAnsi="Calibri" w:cs="Tahoma"/>
                <w:sz w:val="16"/>
                <w:szCs w:val="16"/>
              </w:rPr>
              <w:t>-07-2021</w:t>
            </w:r>
          </w:p>
          <w:p w14:paraId="08BC3256" w14:textId="77777777" w:rsidR="006A6097" w:rsidRPr="008A1A49" w:rsidRDefault="006A6097" w:rsidP="0029500C">
            <w:pPr>
              <w:jc w:val="center"/>
              <w:rPr>
                <w:rFonts w:ascii="Calibri" w:hAnsi="Calibri" w:cs="Tahoma"/>
                <w:sz w:val="16"/>
                <w:szCs w:val="16"/>
              </w:rPr>
            </w:pPr>
          </w:p>
          <w:p w14:paraId="36E3B75A" w14:textId="77777777" w:rsidR="006A6097" w:rsidRPr="008A1A49" w:rsidRDefault="006A6097" w:rsidP="0029500C">
            <w:pPr>
              <w:jc w:val="center"/>
              <w:rPr>
                <w:rFonts w:ascii="Calibri" w:hAnsi="Calibri" w:cs="Tahoma"/>
                <w:sz w:val="16"/>
                <w:szCs w:val="16"/>
              </w:rPr>
            </w:pPr>
          </w:p>
          <w:p w14:paraId="58FDD4AE" w14:textId="77777777" w:rsidR="006A6097" w:rsidRPr="008A1A49" w:rsidRDefault="006A6097" w:rsidP="0029500C">
            <w:pPr>
              <w:jc w:val="center"/>
              <w:rPr>
                <w:rFonts w:ascii="Calibri" w:hAnsi="Calibri" w:cs="Tahoma"/>
                <w:sz w:val="16"/>
                <w:szCs w:val="16"/>
              </w:rPr>
            </w:pPr>
            <w:r>
              <w:rPr>
                <w:rFonts w:ascii="Calibri" w:hAnsi="Calibri" w:cs="Tahoma"/>
                <w:sz w:val="16"/>
                <w:szCs w:val="16"/>
              </w:rPr>
              <w:t>OLGA MILENA TABORDA VARGAS</w:t>
            </w:r>
          </w:p>
          <w:p w14:paraId="1CD50103" w14:textId="77777777" w:rsidR="006A6097" w:rsidRPr="008A1A49" w:rsidRDefault="006A6097" w:rsidP="0029500C">
            <w:pPr>
              <w:jc w:val="center"/>
              <w:rPr>
                <w:rFonts w:ascii="Calibri" w:hAnsi="Calibri" w:cs="Tahoma"/>
                <w:sz w:val="16"/>
                <w:szCs w:val="16"/>
              </w:rPr>
            </w:pPr>
            <w:r w:rsidRPr="008A1A49">
              <w:rPr>
                <w:rFonts w:ascii="Calibri" w:hAnsi="Calibri" w:cs="Tahoma"/>
                <w:sz w:val="16"/>
                <w:szCs w:val="16"/>
              </w:rPr>
              <w:t>SECRETARI</w:t>
            </w:r>
            <w:r>
              <w:rPr>
                <w:rFonts w:ascii="Calibri" w:hAnsi="Calibri" w:cs="Tahoma"/>
                <w:sz w:val="16"/>
                <w:szCs w:val="16"/>
              </w:rPr>
              <w:t>A</w:t>
            </w:r>
            <w:r w:rsidRPr="008A1A49">
              <w:rPr>
                <w:rFonts w:ascii="Calibri" w:hAnsi="Calibri" w:cs="Tahoma"/>
                <w:sz w:val="16"/>
                <w:szCs w:val="16"/>
              </w:rPr>
              <w:t xml:space="preserve">                        </w:t>
            </w:r>
          </w:p>
          <w:p w14:paraId="329495D9" w14:textId="77777777" w:rsidR="006A6097" w:rsidRPr="00073C68" w:rsidRDefault="006A6097" w:rsidP="0029500C">
            <w:pPr>
              <w:rPr>
                <w:rFonts w:ascii="Calibri" w:hAnsi="Calibri" w:cs="Tahoma"/>
              </w:rPr>
            </w:pPr>
          </w:p>
        </w:tc>
      </w:tr>
    </w:tbl>
    <w:p w14:paraId="01C95BD7" w14:textId="77777777" w:rsidR="004C1DAA" w:rsidRDefault="00932B6C"/>
    <w:sectPr w:rsidR="004C1DAA" w:rsidSect="00932B6C">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97"/>
    <w:rsid w:val="00134411"/>
    <w:rsid w:val="00677BE4"/>
    <w:rsid w:val="006A6097"/>
    <w:rsid w:val="00932B6C"/>
    <w:rsid w:val="00A05E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EB56"/>
  <w15:chartTrackingRefBased/>
  <w15:docId w15:val="{6EC65BCD-DCBE-4568-B4DE-1D9F948C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97"/>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9"/>
    <w:qFormat/>
    <w:rsid w:val="006A6097"/>
    <w:pPr>
      <w:ind w:right="23"/>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6097"/>
    <w:rPr>
      <w:rFonts w:ascii="Verdana" w:eastAsia="Verdana" w:hAnsi="Verdana" w:cs="Verdana"/>
      <w:b/>
      <w:bCs/>
      <w:sz w:val="20"/>
      <w:szCs w:val="20"/>
      <w:lang w:val="es-ES" w:eastAsia="es-ES" w:bidi="es-ES"/>
    </w:rPr>
  </w:style>
  <w:style w:type="paragraph" w:styleId="Textoindependiente">
    <w:name w:val="Body Text"/>
    <w:basedOn w:val="Normal"/>
    <w:link w:val="TextoindependienteCar"/>
    <w:uiPriority w:val="1"/>
    <w:qFormat/>
    <w:rsid w:val="006A6097"/>
    <w:rPr>
      <w:sz w:val="20"/>
      <w:szCs w:val="20"/>
    </w:rPr>
  </w:style>
  <w:style w:type="character" w:customStyle="1" w:styleId="TextoindependienteCar">
    <w:name w:val="Texto independiente Car"/>
    <w:basedOn w:val="Fuentedeprrafopredeter"/>
    <w:link w:val="Textoindependiente"/>
    <w:uiPriority w:val="1"/>
    <w:rsid w:val="006A6097"/>
    <w:rPr>
      <w:rFonts w:ascii="Verdana" w:eastAsia="Verdana" w:hAnsi="Verdana" w:cs="Verdana"/>
      <w:sz w:val="20"/>
      <w:szCs w:val="20"/>
      <w:lang w:val="es-ES" w:eastAsia="es-ES" w:bidi="es-ES"/>
    </w:rPr>
  </w:style>
  <w:style w:type="character" w:styleId="Hipervnculo">
    <w:name w:val="Hyperlink"/>
    <w:basedOn w:val="Fuentedeprrafopredeter"/>
    <w:uiPriority w:val="99"/>
    <w:unhideWhenUsed/>
    <w:rsid w:val="006A6097"/>
    <w:rPr>
      <w:color w:val="0563C1" w:themeColor="hyperlink"/>
      <w:u w:val="single"/>
    </w:rPr>
  </w:style>
  <w:style w:type="character" w:styleId="Mencinsinresolver">
    <w:name w:val="Unresolved Mention"/>
    <w:basedOn w:val="Fuentedeprrafopredeter"/>
    <w:uiPriority w:val="99"/>
    <w:semiHidden/>
    <w:unhideWhenUsed/>
    <w:rsid w:val="006A6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abogadoce@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Milena Taborda Vargas</dc:creator>
  <cp:keywords/>
  <dc:description/>
  <cp:lastModifiedBy>LEONOR</cp:lastModifiedBy>
  <cp:revision>2</cp:revision>
  <dcterms:created xsi:type="dcterms:W3CDTF">2021-07-18T22:54:00Z</dcterms:created>
  <dcterms:modified xsi:type="dcterms:W3CDTF">2021-07-18T22:54:00Z</dcterms:modified>
</cp:coreProperties>
</file>