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0A" w:rsidRPr="00FA176C" w:rsidRDefault="00FA176C" w:rsidP="0040540A">
      <w:pPr>
        <w:pStyle w:val="Prrafodelista"/>
        <w:ind w:left="0"/>
        <w:jc w:val="center"/>
        <w:rPr>
          <w:rStyle w:val="Textoennegrita"/>
          <w:rFonts w:ascii="Times New Roman" w:hAnsi="Times New Roman" w:cs="Times New Roman"/>
          <w:b w:val="0"/>
          <w:sz w:val="28"/>
          <w:szCs w:val="28"/>
        </w:rPr>
      </w:pPr>
      <w:r>
        <w:rPr>
          <w:rStyle w:val="Textoennegrita"/>
          <w:rFonts w:ascii="Times New Roman" w:hAnsi="Times New Roman" w:cs="Times New Roman"/>
        </w:rPr>
        <w:t xml:space="preserve">              </w:t>
      </w:r>
      <w:r w:rsidR="0040540A" w:rsidRPr="00FA176C">
        <w:rPr>
          <w:rStyle w:val="Textoennegrita"/>
          <w:rFonts w:ascii="Times New Roman" w:hAnsi="Times New Roman" w:cs="Times New Roman"/>
          <w:sz w:val="28"/>
          <w:szCs w:val="28"/>
        </w:rPr>
        <w:t>República de Colombia</w:t>
      </w:r>
    </w:p>
    <w:p w:rsidR="0040540A" w:rsidRPr="00FA176C" w:rsidRDefault="0040540A" w:rsidP="0040540A">
      <w:pPr>
        <w:pStyle w:val="Prrafodelista"/>
        <w:jc w:val="center"/>
        <w:rPr>
          <w:rStyle w:val="Textoennegrita"/>
          <w:rFonts w:ascii="Times New Roman" w:hAnsi="Times New Roman" w:cs="Times New Roman"/>
          <w:b w:val="0"/>
          <w:sz w:val="28"/>
          <w:szCs w:val="28"/>
        </w:rPr>
      </w:pPr>
      <w:r w:rsidRPr="00FA176C">
        <w:rPr>
          <w:rStyle w:val="Textoennegrita"/>
          <w:rFonts w:ascii="Times New Roman" w:hAnsi="Times New Roman" w:cs="Times New Roman"/>
          <w:sz w:val="28"/>
          <w:szCs w:val="28"/>
        </w:rPr>
        <w:t>Rama Judicial</w:t>
      </w:r>
    </w:p>
    <w:p w:rsidR="0040540A" w:rsidRPr="00FA176C" w:rsidRDefault="0040540A" w:rsidP="0040540A">
      <w:pPr>
        <w:pStyle w:val="Prrafodelista"/>
        <w:jc w:val="center"/>
        <w:rPr>
          <w:rStyle w:val="Textoennegrita"/>
          <w:rFonts w:ascii="Times New Roman" w:hAnsi="Times New Roman" w:cs="Times New Roman"/>
          <w:b w:val="0"/>
          <w:sz w:val="28"/>
          <w:szCs w:val="28"/>
        </w:rPr>
      </w:pPr>
      <w:r w:rsidRPr="00FA176C">
        <w:rPr>
          <w:rFonts w:ascii="Times New Roman" w:hAnsi="Times New Roman" w:cs="Times New Roman"/>
          <w:bCs/>
          <w:noProof/>
          <w:sz w:val="28"/>
          <w:szCs w:val="28"/>
          <w:lang w:eastAsia="es-CO"/>
        </w:rPr>
        <w:drawing>
          <wp:inline distT="0" distB="0" distL="0" distR="0" wp14:anchorId="714706BD" wp14:editId="4CDA6883">
            <wp:extent cx="571500" cy="628650"/>
            <wp:effectExtent l="0" t="0" r="0" b="0"/>
            <wp:docPr id="2" name="Imagen 2" descr="Descripción: Descripción: 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p w:rsidR="0040540A" w:rsidRPr="00FA176C" w:rsidRDefault="0040540A" w:rsidP="0040540A">
      <w:pPr>
        <w:pStyle w:val="Prrafodelista"/>
        <w:jc w:val="center"/>
        <w:rPr>
          <w:rStyle w:val="Textoennegrita"/>
          <w:rFonts w:ascii="Times New Roman" w:hAnsi="Times New Roman" w:cs="Times New Roman"/>
          <w:b w:val="0"/>
          <w:sz w:val="28"/>
          <w:szCs w:val="28"/>
        </w:rPr>
      </w:pPr>
      <w:r w:rsidRPr="00FA176C">
        <w:rPr>
          <w:rStyle w:val="Textoennegrita"/>
          <w:rFonts w:ascii="Times New Roman" w:hAnsi="Times New Roman" w:cs="Times New Roman"/>
          <w:sz w:val="28"/>
          <w:szCs w:val="28"/>
        </w:rPr>
        <w:t>JUZGADO OCTAVO CIVIL DEL CIRCUITO DE BOGOTÁ</w:t>
      </w:r>
    </w:p>
    <w:p w:rsidR="0040540A" w:rsidRPr="00FA176C" w:rsidRDefault="0040540A" w:rsidP="0040540A">
      <w:pPr>
        <w:pStyle w:val="Prrafodelista"/>
        <w:jc w:val="center"/>
        <w:rPr>
          <w:rStyle w:val="Textoennegrita"/>
          <w:rFonts w:ascii="Times New Roman" w:hAnsi="Times New Roman" w:cs="Times New Roman"/>
          <w:b w:val="0"/>
          <w:sz w:val="28"/>
          <w:szCs w:val="28"/>
        </w:rPr>
      </w:pPr>
      <w:r w:rsidRPr="00FA176C">
        <w:rPr>
          <w:rStyle w:val="Textoennegrita"/>
          <w:rFonts w:ascii="Times New Roman" w:hAnsi="Times New Roman" w:cs="Times New Roman"/>
          <w:sz w:val="28"/>
          <w:szCs w:val="28"/>
        </w:rPr>
        <w:t>CARRERA 9 No. 11-45 PISO 4</w:t>
      </w:r>
    </w:p>
    <w:p w:rsidR="0040540A" w:rsidRPr="00FA176C" w:rsidRDefault="0040540A" w:rsidP="0040540A">
      <w:pPr>
        <w:pStyle w:val="Prrafodelista"/>
        <w:jc w:val="center"/>
        <w:rPr>
          <w:rStyle w:val="Textoennegrita"/>
          <w:rFonts w:ascii="Times New Roman" w:hAnsi="Times New Roman" w:cs="Times New Roman"/>
          <w:b w:val="0"/>
          <w:sz w:val="28"/>
          <w:szCs w:val="28"/>
        </w:rPr>
      </w:pPr>
      <w:hyperlink r:id="rId6" w:history="1">
        <w:r w:rsidRPr="00FA176C">
          <w:rPr>
            <w:rStyle w:val="Textoennegrita"/>
            <w:rFonts w:ascii="Times New Roman" w:hAnsi="Times New Roman" w:cs="Times New Roman"/>
            <w:sz w:val="28"/>
            <w:szCs w:val="28"/>
          </w:rPr>
          <w:t>ccto08bt@cendoj.ramajudicial.gov.co</w:t>
        </w:r>
      </w:hyperlink>
    </w:p>
    <w:p w:rsidR="0040540A" w:rsidRPr="00FA176C" w:rsidRDefault="0040540A" w:rsidP="0040540A">
      <w:pPr>
        <w:pStyle w:val="Textoindependiente2"/>
        <w:jc w:val="center"/>
        <w:rPr>
          <w:rStyle w:val="Textoennegrita"/>
          <w:i w:val="0"/>
          <w:sz w:val="28"/>
          <w:szCs w:val="28"/>
        </w:rPr>
      </w:pPr>
    </w:p>
    <w:p w:rsidR="0040540A" w:rsidRPr="00FA176C" w:rsidRDefault="0040540A" w:rsidP="0040540A">
      <w:pPr>
        <w:pStyle w:val="Textoindependiente2"/>
        <w:jc w:val="center"/>
        <w:rPr>
          <w:rStyle w:val="Textoennegrita"/>
          <w:b/>
          <w:i w:val="0"/>
          <w:sz w:val="28"/>
          <w:szCs w:val="28"/>
        </w:rPr>
      </w:pPr>
      <w:r w:rsidRPr="00FA176C">
        <w:rPr>
          <w:rStyle w:val="Textoennegrita"/>
          <w:b/>
          <w:i w:val="0"/>
          <w:sz w:val="28"/>
          <w:szCs w:val="28"/>
        </w:rPr>
        <w:t>AVISA</w:t>
      </w:r>
    </w:p>
    <w:p w:rsidR="0040540A" w:rsidRPr="00FA176C" w:rsidRDefault="0040540A" w:rsidP="0040540A">
      <w:pPr>
        <w:pStyle w:val="Textoindependiente2"/>
        <w:jc w:val="center"/>
        <w:rPr>
          <w:rStyle w:val="Textoennegrita"/>
          <w:i w:val="0"/>
        </w:rPr>
      </w:pPr>
    </w:p>
    <w:p w:rsidR="0040540A" w:rsidRPr="00FA176C" w:rsidRDefault="0040540A" w:rsidP="0040540A">
      <w:pPr>
        <w:spacing w:after="0"/>
        <w:ind w:right="-91"/>
        <w:jc w:val="both"/>
        <w:rPr>
          <w:rFonts w:ascii="Times New Roman" w:hAnsi="Times New Roman" w:cs="Times New Roman"/>
          <w:sz w:val="28"/>
          <w:szCs w:val="28"/>
          <w:u w:val="single"/>
        </w:rPr>
      </w:pPr>
      <w:r w:rsidRPr="00FA176C">
        <w:rPr>
          <w:rFonts w:ascii="Times New Roman" w:hAnsi="Times New Roman" w:cs="Times New Roman"/>
          <w:bCs/>
          <w:sz w:val="28"/>
          <w:szCs w:val="28"/>
        </w:rPr>
        <w:t xml:space="preserve">Que en atención a lo señalado en los </w:t>
      </w:r>
      <w:r w:rsidRPr="00FA176C">
        <w:rPr>
          <w:rFonts w:ascii="Times New Roman" w:hAnsi="Times New Roman" w:cs="Times New Roman"/>
          <w:sz w:val="28"/>
          <w:szCs w:val="28"/>
        </w:rPr>
        <w:t>ACUERDO</w:t>
      </w:r>
      <w:r w:rsidRPr="00FA176C">
        <w:rPr>
          <w:rFonts w:ascii="Times New Roman" w:hAnsi="Times New Roman" w:cs="Times New Roman"/>
          <w:sz w:val="28"/>
          <w:szCs w:val="28"/>
        </w:rPr>
        <w:t>S</w:t>
      </w:r>
      <w:r w:rsidRPr="00FA176C">
        <w:rPr>
          <w:rFonts w:ascii="Times New Roman" w:hAnsi="Times New Roman" w:cs="Times New Roman"/>
          <w:sz w:val="28"/>
          <w:szCs w:val="28"/>
        </w:rPr>
        <w:t xml:space="preserve"> PCSJA20-1156</w:t>
      </w:r>
      <w:r w:rsidRPr="00FA176C">
        <w:rPr>
          <w:rFonts w:ascii="Times New Roman" w:hAnsi="Times New Roman" w:cs="Times New Roman"/>
          <w:sz w:val="28"/>
          <w:szCs w:val="28"/>
        </w:rPr>
        <w:t>7</w:t>
      </w:r>
      <w:r w:rsidRPr="00FA176C">
        <w:rPr>
          <w:rFonts w:ascii="Times New Roman" w:hAnsi="Times New Roman" w:cs="Times New Roman"/>
          <w:sz w:val="28"/>
          <w:szCs w:val="28"/>
        </w:rPr>
        <w:t xml:space="preserve"> </w:t>
      </w:r>
      <w:r w:rsidRPr="00FA176C">
        <w:rPr>
          <w:rFonts w:ascii="Times New Roman" w:hAnsi="Times New Roman" w:cs="Times New Roman"/>
          <w:sz w:val="28"/>
          <w:szCs w:val="28"/>
        </w:rPr>
        <w:t xml:space="preserve">y </w:t>
      </w:r>
      <w:r w:rsidRPr="00FA176C">
        <w:rPr>
          <w:rFonts w:ascii="Times New Roman" w:hAnsi="Times New Roman" w:cs="Times New Roman"/>
          <w:sz w:val="28"/>
          <w:szCs w:val="28"/>
        </w:rPr>
        <w:t xml:space="preserve">PCSJA20-11567 de 2020 </w:t>
      </w:r>
      <w:r w:rsidRPr="00FA176C">
        <w:rPr>
          <w:rFonts w:ascii="Times New Roman" w:hAnsi="Times New Roman" w:cs="Times New Roman"/>
          <w:bCs/>
          <w:sz w:val="28"/>
          <w:szCs w:val="28"/>
        </w:rPr>
        <w:t xml:space="preserve"> </w:t>
      </w:r>
      <w:r w:rsidR="00A074B8" w:rsidRPr="00FA176C">
        <w:rPr>
          <w:rFonts w:ascii="Times New Roman" w:hAnsi="Times New Roman" w:cs="Times New Roman"/>
          <w:bCs/>
          <w:sz w:val="28"/>
          <w:szCs w:val="28"/>
        </w:rPr>
        <w:t xml:space="preserve">del </w:t>
      </w:r>
      <w:r w:rsidRPr="00FA176C">
        <w:rPr>
          <w:rFonts w:ascii="Times New Roman" w:hAnsi="Times New Roman" w:cs="Times New Roman"/>
          <w:bCs/>
          <w:sz w:val="28"/>
          <w:szCs w:val="28"/>
        </w:rPr>
        <w:t xml:space="preserve">Consejo Superior de la Judicatura, </w:t>
      </w:r>
      <w:r w:rsidR="00A074B8" w:rsidRPr="00FA176C">
        <w:rPr>
          <w:rFonts w:ascii="Times New Roman" w:hAnsi="Times New Roman" w:cs="Times New Roman"/>
          <w:bCs/>
          <w:sz w:val="28"/>
          <w:szCs w:val="28"/>
        </w:rPr>
        <w:t xml:space="preserve">a partir del día primero (1º.)  </w:t>
      </w:r>
      <w:r w:rsidR="000124F1" w:rsidRPr="00FA176C">
        <w:rPr>
          <w:rFonts w:ascii="Times New Roman" w:hAnsi="Times New Roman" w:cs="Times New Roman"/>
          <w:bCs/>
          <w:sz w:val="28"/>
          <w:szCs w:val="28"/>
        </w:rPr>
        <w:t>Julio</w:t>
      </w:r>
      <w:r w:rsidR="00A074B8" w:rsidRPr="00FA176C">
        <w:rPr>
          <w:rFonts w:ascii="Times New Roman" w:hAnsi="Times New Roman" w:cs="Times New Roman"/>
          <w:bCs/>
          <w:sz w:val="28"/>
          <w:szCs w:val="28"/>
        </w:rPr>
        <w:t xml:space="preserve"> del año dos mil veinte</w:t>
      </w:r>
      <w:r w:rsidR="00FA176C">
        <w:rPr>
          <w:rFonts w:ascii="Times New Roman" w:hAnsi="Times New Roman" w:cs="Times New Roman"/>
          <w:bCs/>
          <w:sz w:val="28"/>
          <w:szCs w:val="28"/>
        </w:rPr>
        <w:t xml:space="preserve"> (2020) </w:t>
      </w:r>
      <w:r w:rsidR="00A074B8" w:rsidRPr="00FA176C">
        <w:rPr>
          <w:rFonts w:ascii="Times New Roman" w:hAnsi="Times New Roman" w:cs="Times New Roman"/>
          <w:bCs/>
          <w:sz w:val="28"/>
          <w:szCs w:val="28"/>
        </w:rPr>
        <w:t xml:space="preserve"> este juzgado reanudará</w:t>
      </w:r>
      <w:r w:rsidRPr="00FA176C">
        <w:rPr>
          <w:rFonts w:ascii="Times New Roman" w:hAnsi="Times New Roman" w:cs="Times New Roman"/>
          <w:bCs/>
          <w:sz w:val="28"/>
          <w:szCs w:val="28"/>
        </w:rPr>
        <w:t xml:space="preserve"> </w:t>
      </w:r>
      <w:r w:rsidR="00A074B8" w:rsidRPr="00FA176C">
        <w:rPr>
          <w:rFonts w:ascii="Times New Roman" w:hAnsi="Times New Roman" w:cs="Times New Roman"/>
          <w:bCs/>
          <w:sz w:val="28"/>
          <w:szCs w:val="28"/>
        </w:rPr>
        <w:t xml:space="preserve">los </w:t>
      </w:r>
      <w:r w:rsidRPr="00FA176C">
        <w:rPr>
          <w:rFonts w:ascii="Times New Roman" w:hAnsi="Times New Roman" w:cs="Times New Roman"/>
          <w:bCs/>
          <w:sz w:val="28"/>
          <w:szCs w:val="28"/>
        </w:rPr>
        <w:t xml:space="preserve"> términos judiciales</w:t>
      </w:r>
      <w:r w:rsidR="00A074B8" w:rsidRPr="00FA176C">
        <w:rPr>
          <w:rFonts w:ascii="Times New Roman" w:hAnsi="Times New Roman" w:cs="Times New Roman"/>
          <w:bCs/>
          <w:sz w:val="28"/>
          <w:szCs w:val="28"/>
        </w:rPr>
        <w:t xml:space="preserve"> en los procesos de jurisdicción civil.-</w:t>
      </w:r>
    </w:p>
    <w:p w:rsidR="00FA176C" w:rsidRDefault="00FA176C" w:rsidP="00FA176C">
      <w:pPr>
        <w:pStyle w:val="NormalWeb"/>
        <w:jc w:val="both"/>
        <w:rPr>
          <w:color w:val="000000"/>
          <w:sz w:val="27"/>
          <w:szCs w:val="27"/>
        </w:rPr>
      </w:pPr>
      <w:r>
        <w:rPr>
          <w:color w:val="000000"/>
          <w:sz w:val="27"/>
          <w:szCs w:val="27"/>
        </w:rPr>
        <w:t xml:space="preserve">Con la presente, </w:t>
      </w:r>
      <w:r w:rsidR="000124F1">
        <w:rPr>
          <w:color w:val="000000"/>
          <w:sz w:val="27"/>
          <w:szCs w:val="27"/>
        </w:rPr>
        <w:t>la</w:t>
      </w:r>
      <w:r>
        <w:rPr>
          <w:color w:val="000000"/>
          <w:sz w:val="27"/>
          <w:szCs w:val="27"/>
        </w:rPr>
        <w:t xml:space="preserve"> suscrit</w:t>
      </w:r>
      <w:r w:rsidR="000124F1">
        <w:rPr>
          <w:color w:val="000000"/>
          <w:sz w:val="27"/>
          <w:szCs w:val="27"/>
        </w:rPr>
        <w:t>a</w:t>
      </w:r>
      <w:r>
        <w:rPr>
          <w:color w:val="000000"/>
          <w:sz w:val="27"/>
          <w:szCs w:val="27"/>
        </w:rPr>
        <w:t xml:space="preserve"> Secretari</w:t>
      </w:r>
      <w:r w:rsidR="000124F1">
        <w:rPr>
          <w:color w:val="000000"/>
          <w:sz w:val="27"/>
          <w:szCs w:val="27"/>
        </w:rPr>
        <w:t>a</w:t>
      </w:r>
      <w:r>
        <w:rPr>
          <w:color w:val="000000"/>
          <w:sz w:val="27"/>
          <w:szCs w:val="27"/>
        </w:rPr>
        <w:t xml:space="preserve"> informa a la comunidad en general, que la </w:t>
      </w:r>
      <w:r>
        <w:rPr>
          <w:color w:val="000000"/>
          <w:sz w:val="27"/>
          <w:szCs w:val="27"/>
        </w:rPr>
        <w:t xml:space="preserve">atención </w:t>
      </w:r>
      <w:r w:rsidR="000124F1" w:rsidRPr="00FA176C">
        <w:rPr>
          <w:sz w:val="28"/>
          <w:szCs w:val="28"/>
          <w:shd w:val="clear" w:color="auto" w:fill="FFFFFF"/>
        </w:rPr>
        <w:t xml:space="preserve">a usuarios y sus apoderados serán estrictamente virtual </w:t>
      </w:r>
      <w:r>
        <w:rPr>
          <w:color w:val="000000"/>
          <w:sz w:val="27"/>
          <w:szCs w:val="27"/>
        </w:rPr>
        <w:t xml:space="preserve">y  </w:t>
      </w:r>
      <w:r>
        <w:rPr>
          <w:color w:val="000000"/>
          <w:sz w:val="27"/>
          <w:szCs w:val="27"/>
        </w:rPr>
        <w:t xml:space="preserve">radicación de memoriales para todo tipo de procesos se puede realizar a través del correo electrónico institucional </w:t>
      </w:r>
      <w:r w:rsidRPr="00FA176C">
        <w:rPr>
          <w:b/>
          <w:color w:val="000000"/>
          <w:sz w:val="27"/>
          <w:szCs w:val="27"/>
          <w:u w:val="single"/>
        </w:rPr>
        <w:t>ccto</w:t>
      </w:r>
      <w:r w:rsidRPr="00FA176C">
        <w:rPr>
          <w:b/>
          <w:color w:val="000000"/>
          <w:sz w:val="27"/>
          <w:szCs w:val="27"/>
          <w:u w:val="single"/>
        </w:rPr>
        <w:t>8</w:t>
      </w:r>
      <w:r w:rsidRPr="00FA176C">
        <w:rPr>
          <w:b/>
          <w:color w:val="000000"/>
          <w:sz w:val="27"/>
          <w:szCs w:val="27"/>
          <w:u w:val="single"/>
        </w:rPr>
        <w:t>bt@cendoj.ramajudicial.gov.co</w:t>
      </w:r>
      <w:r>
        <w:rPr>
          <w:color w:val="000000"/>
          <w:sz w:val="27"/>
          <w:szCs w:val="27"/>
        </w:rPr>
        <w:t>. Para lo cual, es necesario que se identifique, tanto en el asunto, el cuerpo del correo y el memorial, el número completo del expediente, las partes del proceso y la calidad en la que actúa quien radica. Los memoriales se deben enviar en formato PDF, debidamente suscritos por su remitente y, en caso de que se alleguen anexos, los mismos deben ir debidamente identificados y en el orden dispuesto en el escrito mediante el cual se allegan, conforme lo estipula el artículo 13 del Acuerdo PCSJA20-11549 de siete de mayo de 2020</w:t>
      </w:r>
    </w:p>
    <w:p w:rsidR="00FA176C" w:rsidRPr="00FA176C" w:rsidRDefault="00FA176C" w:rsidP="00FA176C">
      <w:pPr>
        <w:pStyle w:val="NormalWeb"/>
        <w:jc w:val="both"/>
        <w:rPr>
          <w:i/>
          <w:color w:val="000000"/>
          <w:sz w:val="27"/>
          <w:szCs w:val="27"/>
        </w:rPr>
      </w:pPr>
      <w:r w:rsidRPr="00FA176C">
        <w:rPr>
          <w:i/>
          <w:color w:val="000000"/>
          <w:sz w:val="27"/>
          <w:szCs w:val="27"/>
        </w:rPr>
        <w:t>“Los memoriales y demás comunicaciones podrán ser enviados o recibidos por correo electrónico evitando presentaciones o autenticaciones personales o adicionales de algún tipo. En la medida de lo posible se usará el formato PDF para los documentos escritos enviados o recibidos por medios electrónicos.”</w:t>
      </w:r>
    </w:p>
    <w:p w:rsidR="00FA176C" w:rsidRDefault="00FA176C" w:rsidP="00FA176C">
      <w:pPr>
        <w:pStyle w:val="NormalWeb"/>
        <w:jc w:val="both"/>
        <w:rPr>
          <w:color w:val="000000"/>
          <w:sz w:val="27"/>
          <w:szCs w:val="27"/>
        </w:rPr>
      </w:pPr>
      <w:r>
        <w:rPr>
          <w:color w:val="000000"/>
          <w:sz w:val="27"/>
          <w:szCs w:val="27"/>
        </w:rPr>
        <w:t>Adicionalmente se exhorta a los profesionales del derecho que den estricto cumplimiento a lo ordenado en el numeral 17 del artículo 78 del Código General del Proceso, esto es, enviar a las demás partes del proceso después de notificadas, cuando hubieren suministrado una dirección de correo electrónico o un medio</w:t>
      </w:r>
      <w:r w:rsidR="00E448B0">
        <w:rPr>
          <w:color w:val="000000"/>
          <w:sz w:val="27"/>
          <w:szCs w:val="27"/>
        </w:rPr>
        <w:t xml:space="preserve"> </w:t>
      </w:r>
      <w:bookmarkStart w:id="0" w:name="_GoBack"/>
      <w:bookmarkEnd w:id="0"/>
      <w:r>
        <w:rPr>
          <w:color w:val="000000"/>
          <w:sz w:val="27"/>
          <w:szCs w:val="27"/>
        </w:rPr>
        <w:t xml:space="preserve">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w:t>
      </w:r>
      <w:proofErr w:type="spellStart"/>
      <w:r>
        <w:rPr>
          <w:color w:val="000000"/>
          <w:sz w:val="27"/>
          <w:szCs w:val="27"/>
        </w:rPr>
        <w:t>smlmv</w:t>
      </w:r>
      <w:proofErr w:type="spellEnd"/>
      <w:r>
        <w:rPr>
          <w:color w:val="000000"/>
          <w:sz w:val="27"/>
          <w:szCs w:val="27"/>
        </w:rPr>
        <w:t>) por cada infracción.</w:t>
      </w:r>
    </w:p>
    <w:p w:rsidR="00FA176C" w:rsidRDefault="00FA176C" w:rsidP="00FA176C">
      <w:pPr>
        <w:pStyle w:val="NormalWeb"/>
        <w:jc w:val="both"/>
        <w:rPr>
          <w:color w:val="000000"/>
          <w:sz w:val="27"/>
          <w:szCs w:val="27"/>
        </w:rPr>
      </w:pPr>
      <w:r>
        <w:rPr>
          <w:color w:val="000000"/>
          <w:sz w:val="27"/>
          <w:szCs w:val="27"/>
        </w:rPr>
        <w:t xml:space="preserve">Finalmente, en virtud de lo preceptuado por el artículo 103 del Código General del Proceso y no obstante lo dispuesto en la Ley 527 de 1999, se presumen auténticos los memoriales y demás comunicaciones cruzadas entre las </w:t>
      </w:r>
      <w:r>
        <w:rPr>
          <w:color w:val="000000"/>
          <w:sz w:val="27"/>
          <w:szCs w:val="27"/>
        </w:rPr>
        <w:lastRenderedPageBreak/>
        <w:t>autoridades judiciales y las partes o sus abogados, cuando sean originadas desde el correo electrónico suministrado en la demanda o en cualquier acto del proceso.</w:t>
      </w:r>
    </w:p>
    <w:p w:rsidR="00FA176C" w:rsidRPr="00FA176C" w:rsidRDefault="00FA176C" w:rsidP="00FA176C">
      <w:pPr>
        <w:pStyle w:val="NormalWeb"/>
        <w:jc w:val="both"/>
        <w:rPr>
          <w:i/>
          <w:color w:val="000000"/>
          <w:sz w:val="27"/>
          <w:szCs w:val="27"/>
        </w:rPr>
      </w:pPr>
      <w:r w:rsidRPr="00FA176C">
        <w:rPr>
          <w:i/>
          <w:color w:val="000000"/>
          <w:sz w:val="27"/>
          <w:szCs w:val="27"/>
        </w:rPr>
        <w:t>“Las partes, abogados, terceros e intervinientes en los procesos judiciales o administrativos deberán suministrar la dirección de correo electrónico para recibir comunicaciones y notificaciones. Los abogados litigantes inscritos en el Registro Nacional de Abogados del Consejo Superior de la Judicatura deberán registrar y/o actualizar su cuenta de correo electrónico, de conformidad con las directrices que emita el Consejo Superior a través de la Unidad de Registro Nacional de Abogados.”</w:t>
      </w:r>
    </w:p>
    <w:p w:rsidR="00FA176C" w:rsidRDefault="00FA176C" w:rsidP="00FA176C">
      <w:pPr>
        <w:pStyle w:val="NormalWeb"/>
        <w:jc w:val="both"/>
        <w:rPr>
          <w:color w:val="000000"/>
          <w:sz w:val="27"/>
          <w:szCs w:val="27"/>
        </w:rPr>
      </w:pPr>
      <w:r>
        <w:rPr>
          <w:color w:val="000000"/>
          <w:sz w:val="27"/>
          <w:szCs w:val="27"/>
        </w:rPr>
        <w:t>Así las cosas y en atención a lo regulado en los citados acuerdos, el Código General del Proceso y el Decreto 806 de 2020, se requiere a las partes, a los profesionales del derecho y a los terceros intervinientes o interesados, que la radicación de memoriales y documentos</w:t>
      </w:r>
      <w:r w:rsidR="000124F1">
        <w:rPr>
          <w:color w:val="000000"/>
          <w:sz w:val="27"/>
          <w:szCs w:val="27"/>
        </w:rPr>
        <w:t xml:space="preserve"> se haga únicamente a través del </w:t>
      </w:r>
      <w:r>
        <w:rPr>
          <w:color w:val="000000"/>
          <w:sz w:val="27"/>
          <w:szCs w:val="27"/>
        </w:rPr>
        <w:t>correo electrónico</w:t>
      </w:r>
      <w:r w:rsidR="000124F1">
        <w:rPr>
          <w:color w:val="000000"/>
          <w:sz w:val="27"/>
          <w:szCs w:val="27"/>
        </w:rPr>
        <w:t>s</w:t>
      </w:r>
      <w:r>
        <w:rPr>
          <w:color w:val="000000"/>
          <w:sz w:val="27"/>
          <w:szCs w:val="27"/>
        </w:rPr>
        <w:t xml:space="preserve"> informados y registrados al interior de cada uno de los expedientes o, si es del caso, hagan una actualización de los mismos explicando las razones del cambio.</w:t>
      </w:r>
    </w:p>
    <w:p w:rsidR="00515E37" w:rsidRPr="00FA176C" w:rsidRDefault="00515E37" w:rsidP="00FA176C">
      <w:pPr>
        <w:pStyle w:val="Sinespaciado"/>
        <w:jc w:val="both"/>
        <w:rPr>
          <w:rStyle w:val="Textoennegrita"/>
          <w:rFonts w:ascii="Arial" w:hAnsi="Arial" w:cs="Arial"/>
          <w:sz w:val="28"/>
          <w:szCs w:val="28"/>
        </w:rPr>
      </w:pPr>
    </w:p>
    <w:p w:rsidR="0040540A" w:rsidRPr="00FA176C" w:rsidRDefault="0040540A" w:rsidP="00FA176C">
      <w:pPr>
        <w:pStyle w:val="Sinespaciado"/>
        <w:jc w:val="center"/>
        <w:rPr>
          <w:rStyle w:val="Textoennegrita"/>
          <w:rFonts w:ascii="Arial" w:hAnsi="Arial" w:cs="Arial"/>
          <w:i/>
          <w:sz w:val="28"/>
          <w:szCs w:val="28"/>
        </w:rPr>
      </w:pPr>
      <w:r w:rsidRPr="00FA176C">
        <w:rPr>
          <w:rStyle w:val="Textoennegrita"/>
          <w:rFonts w:ascii="Arial" w:hAnsi="Arial" w:cs="Arial"/>
          <w:sz w:val="28"/>
          <w:szCs w:val="28"/>
        </w:rPr>
        <w:t>SANDRA MARLEN RINCON CARO</w:t>
      </w:r>
    </w:p>
    <w:p w:rsidR="0040540A" w:rsidRPr="00FA176C" w:rsidRDefault="0040540A" w:rsidP="00FA176C">
      <w:pPr>
        <w:pStyle w:val="Sinespaciado"/>
        <w:jc w:val="center"/>
        <w:rPr>
          <w:rStyle w:val="Textoennegrita"/>
          <w:rFonts w:ascii="Arial" w:hAnsi="Arial" w:cs="Arial"/>
          <w:i/>
          <w:sz w:val="28"/>
          <w:szCs w:val="28"/>
        </w:rPr>
      </w:pPr>
      <w:r w:rsidRPr="00FA176C">
        <w:rPr>
          <w:rStyle w:val="Textoennegrita"/>
          <w:rFonts w:ascii="Arial" w:hAnsi="Arial" w:cs="Arial"/>
          <w:sz w:val="28"/>
          <w:szCs w:val="28"/>
        </w:rPr>
        <w:t>SECRETARIA</w:t>
      </w:r>
    </w:p>
    <w:p w:rsidR="0040540A" w:rsidRPr="00FA176C" w:rsidRDefault="0040540A" w:rsidP="00FA176C">
      <w:pPr>
        <w:pStyle w:val="Textoindependiente2"/>
        <w:jc w:val="center"/>
        <w:rPr>
          <w:rStyle w:val="Textoennegrita"/>
          <w:rFonts w:ascii="Arial" w:hAnsi="Arial" w:cs="Arial"/>
          <w:i w:val="0"/>
          <w:sz w:val="28"/>
          <w:szCs w:val="28"/>
        </w:rPr>
      </w:pPr>
    </w:p>
    <w:p w:rsidR="0040540A" w:rsidRPr="00FA176C" w:rsidRDefault="0040540A" w:rsidP="00FA176C">
      <w:pPr>
        <w:pStyle w:val="Textoindependiente2"/>
        <w:rPr>
          <w:rStyle w:val="Textoennegrita"/>
          <w:rFonts w:ascii="Arial" w:hAnsi="Arial" w:cs="Arial"/>
          <w:i w:val="0"/>
          <w:sz w:val="28"/>
          <w:szCs w:val="28"/>
        </w:rPr>
      </w:pPr>
    </w:p>
    <w:p w:rsidR="0040540A" w:rsidRPr="00FA176C" w:rsidRDefault="0040540A" w:rsidP="00FA176C">
      <w:pPr>
        <w:jc w:val="both"/>
        <w:rPr>
          <w:rFonts w:ascii="Arial" w:hAnsi="Arial" w:cs="Arial"/>
          <w:sz w:val="28"/>
          <w:szCs w:val="28"/>
        </w:rPr>
      </w:pPr>
    </w:p>
    <w:p w:rsidR="00800ABD" w:rsidRPr="00FA176C" w:rsidRDefault="00800ABD" w:rsidP="00FA176C">
      <w:pPr>
        <w:jc w:val="both"/>
        <w:rPr>
          <w:rFonts w:ascii="Arial" w:hAnsi="Arial" w:cs="Arial"/>
          <w:sz w:val="28"/>
          <w:szCs w:val="28"/>
        </w:rPr>
      </w:pPr>
    </w:p>
    <w:sectPr w:rsidR="00800ABD" w:rsidRPr="00FA176C" w:rsidSect="00331187">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0A"/>
    <w:rsid w:val="000124F1"/>
    <w:rsid w:val="001738F6"/>
    <w:rsid w:val="0023059F"/>
    <w:rsid w:val="00331187"/>
    <w:rsid w:val="0040540A"/>
    <w:rsid w:val="00475B1F"/>
    <w:rsid w:val="00515E37"/>
    <w:rsid w:val="006967EC"/>
    <w:rsid w:val="00772A39"/>
    <w:rsid w:val="00800ABD"/>
    <w:rsid w:val="00A074B8"/>
    <w:rsid w:val="00C43C1D"/>
    <w:rsid w:val="00E448B0"/>
    <w:rsid w:val="00EB115B"/>
    <w:rsid w:val="00F458B3"/>
    <w:rsid w:val="00FA17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40A"/>
    <w:pPr>
      <w:ind w:left="720"/>
      <w:contextualSpacing/>
    </w:pPr>
    <w:rPr>
      <w:rFonts w:ascii="Calibri" w:eastAsia="Calibri" w:hAnsi="Calibri" w:cs="Calibri"/>
    </w:rPr>
  </w:style>
  <w:style w:type="paragraph" w:styleId="Textoindependiente2">
    <w:name w:val="Body Text 2"/>
    <w:basedOn w:val="Normal"/>
    <w:link w:val="Textoindependiente2Car"/>
    <w:semiHidden/>
    <w:rsid w:val="0040540A"/>
    <w:pPr>
      <w:spacing w:after="0" w:line="360" w:lineRule="auto"/>
      <w:jc w:val="both"/>
    </w:pPr>
    <w:rPr>
      <w:rFonts w:ascii="Times New Roman" w:eastAsia="Times New Roman" w:hAnsi="Times New Roman" w:cs="Times New Roman"/>
      <w:b/>
      <w:bCs/>
      <w:i/>
      <w:iCs/>
      <w:sz w:val="20"/>
      <w:szCs w:val="20"/>
      <w:lang w:val="es-ES" w:eastAsia="es-ES"/>
    </w:rPr>
  </w:style>
  <w:style w:type="character" w:customStyle="1" w:styleId="Textoindependiente2Car">
    <w:name w:val="Texto independiente 2 Car"/>
    <w:basedOn w:val="Fuentedeprrafopredeter"/>
    <w:link w:val="Textoindependiente2"/>
    <w:semiHidden/>
    <w:rsid w:val="0040540A"/>
    <w:rPr>
      <w:rFonts w:ascii="Times New Roman" w:eastAsia="Times New Roman" w:hAnsi="Times New Roman" w:cs="Times New Roman"/>
      <w:b/>
      <w:bCs/>
      <w:i/>
      <w:iCs/>
      <w:sz w:val="20"/>
      <w:szCs w:val="20"/>
      <w:lang w:val="es-ES" w:eastAsia="es-ES"/>
    </w:rPr>
  </w:style>
  <w:style w:type="character" w:styleId="Textoennegrita">
    <w:name w:val="Strong"/>
    <w:uiPriority w:val="22"/>
    <w:qFormat/>
    <w:rsid w:val="0040540A"/>
    <w:rPr>
      <w:b/>
      <w:bCs/>
    </w:rPr>
  </w:style>
  <w:style w:type="paragraph" w:styleId="Textodeglobo">
    <w:name w:val="Balloon Text"/>
    <w:basedOn w:val="Normal"/>
    <w:link w:val="TextodegloboCar"/>
    <w:uiPriority w:val="99"/>
    <w:semiHidden/>
    <w:unhideWhenUsed/>
    <w:rsid w:val="004054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40A"/>
    <w:rPr>
      <w:rFonts w:ascii="Tahoma" w:hAnsi="Tahoma" w:cs="Tahoma"/>
      <w:sz w:val="16"/>
      <w:szCs w:val="16"/>
    </w:rPr>
  </w:style>
  <w:style w:type="paragraph" w:styleId="Sinespaciado">
    <w:name w:val="No Spacing"/>
    <w:uiPriority w:val="1"/>
    <w:qFormat/>
    <w:rsid w:val="00A074B8"/>
    <w:pPr>
      <w:spacing w:after="0" w:line="240" w:lineRule="auto"/>
    </w:pPr>
  </w:style>
  <w:style w:type="paragraph" w:styleId="NormalWeb">
    <w:name w:val="Normal (Web)"/>
    <w:basedOn w:val="Normal"/>
    <w:uiPriority w:val="99"/>
    <w:semiHidden/>
    <w:unhideWhenUsed/>
    <w:rsid w:val="00FA17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40A"/>
    <w:pPr>
      <w:ind w:left="720"/>
      <w:contextualSpacing/>
    </w:pPr>
    <w:rPr>
      <w:rFonts w:ascii="Calibri" w:eastAsia="Calibri" w:hAnsi="Calibri" w:cs="Calibri"/>
    </w:rPr>
  </w:style>
  <w:style w:type="paragraph" w:styleId="Textoindependiente2">
    <w:name w:val="Body Text 2"/>
    <w:basedOn w:val="Normal"/>
    <w:link w:val="Textoindependiente2Car"/>
    <w:semiHidden/>
    <w:rsid w:val="0040540A"/>
    <w:pPr>
      <w:spacing w:after="0" w:line="360" w:lineRule="auto"/>
      <w:jc w:val="both"/>
    </w:pPr>
    <w:rPr>
      <w:rFonts w:ascii="Times New Roman" w:eastAsia="Times New Roman" w:hAnsi="Times New Roman" w:cs="Times New Roman"/>
      <w:b/>
      <w:bCs/>
      <w:i/>
      <w:iCs/>
      <w:sz w:val="20"/>
      <w:szCs w:val="20"/>
      <w:lang w:val="es-ES" w:eastAsia="es-ES"/>
    </w:rPr>
  </w:style>
  <w:style w:type="character" w:customStyle="1" w:styleId="Textoindependiente2Car">
    <w:name w:val="Texto independiente 2 Car"/>
    <w:basedOn w:val="Fuentedeprrafopredeter"/>
    <w:link w:val="Textoindependiente2"/>
    <w:semiHidden/>
    <w:rsid w:val="0040540A"/>
    <w:rPr>
      <w:rFonts w:ascii="Times New Roman" w:eastAsia="Times New Roman" w:hAnsi="Times New Roman" w:cs="Times New Roman"/>
      <w:b/>
      <w:bCs/>
      <w:i/>
      <w:iCs/>
      <w:sz w:val="20"/>
      <w:szCs w:val="20"/>
      <w:lang w:val="es-ES" w:eastAsia="es-ES"/>
    </w:rPr>
  </w:style>
  <w:style w:type="character" w:styleId="Textoennegrita">
    <w:name w:val="Strong"/>
    <w:uiPriority w:val="22"/>
    <w:qFormat/>
    <w:rsid w:val="0040540A"/>
    <w:rPr>
      <w:b/>
      <w:bCs/>
    </w:rPr>
  </w:style>
  <w:style w:type="paragraph" w:styleId="Textodeglobo">
    <w:name w:val="Balloon Text"/>
    <w:basedOn w:val="Normal"/>
    <w:link w:val="TextodegloboCar"/>
    <w:uiPriority w:val="99"/>
    <w:semiHidden/>
    <w:unhideWhenUsed/>
    <w:rsid w:val="004054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40A"/>
    <w:rPr>
      <w:rFonts w:ascii="Tahoma" w:hAnsi="Tahoma" w:cs="Tahoma"/>
      <w:sz w:val="16"/>
      <w:szCs w:val="16"/>
    </w:rPr>
  </w:style>
  <w:style w:type="paragraph" w:styleId="Sinespaciado">
    <w:name w:val="No Spacing"/>
    <w:uiPriority w:val="1"/>
    <w:qFormat/>
    <w:rsid w:val="00A074B8"/>
    <w:pPr>
      <w:spacing w:after="0" w:line="240" w:lineRule="auto"/>
    </w:pPr>
  </w:style>
  <w:style w:type="paragraph" w:styleId="NormalWeb">
    <w:name w:val="Normal (Web)"/>
    <w:basedOn w:val="Normal"/>
    <w:uiPriority w:val="99"/>
    <w:semiHidden/>
    <w:unhideWhenUsed/>
    <w:rsid w:val="00FA17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1993">
      <w:bodyDiv w:val="1"/>
      <w:marLeft w:val="0"/>
      <w:marRight w:val="0"/>
      <w:marTop w:val="0"/>
      <w:marBottom w:val="0"/>
      <w:divBdr>
        <w:top w:val="none" w:sz="0" w:space="0" w:color="auto"/>
        <w:left w:val="none" w:sz="0" w:space="0" w:color="auto"/>
        <w:bottom w:val="none" w:sz="0" w:space="0" w:color="auto"/>
        <w:right w:val="none" w:sz="0" w:space="0" w:color="auto"/>
      </w:divBdr>
    </w:div>
    <w:div w:id="10346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cto08bt@cendoj.ramajudicial.gov.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rincon c</dc:creator>
  <cp:lastModifiedBy>sandra rincon c</cp:lastModifiedBy>
  <cp:revision>2</cp:revision>
  <dcterms:created xsi:type="dcterms:W3CDTF">2020-06-30T21:13:00Z</dcterms:created>
  <dcterms:modified xsi:type="dcterms:W3CDTF">2020-06-30T22:31:00Z</dcterms:modified>
</cp:coreProperties>
</file>