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41F" w:rsidRPr="00147BC1" w:rsidRDefault="0067241F" w:rsidP="0067241F">
      <w:pPr>
        <w:tabs>
          <w:tab w:val="left" w:pos="3960"/>
        </w:tabs>
        <w:spacing w:after="0" w:line="240" w:lineRule="auto"/>
        <w:ind w:left="708" w:hanging="708"/>
        <w:jc w:val="center"/>
        <w:rPr>
          <w:rFonts w:ascii="Book Antiqua" w:hAnsi="Book Antiqua" w:cs="Tahoma"/>
          <w:bCs/>
          <w:spacing w:val="-7"/>
          <w:sz w:val="24"/>
          <w:szCs w:val="26"/>
        </w:rPr>
      </w:pPr>
      <w:r w:rsidRPr="00147BC1">
        <w:rPr>
          <w:rFonts w:ascii="Book Antiqua" w:hAnsi="Book Antiqua" w:cs="Arial"/>
          <w:noProof/>
          <w:sz w:val="24"/>
          <w:szCs w:val="26"/>
          <w:lang w:eastAsia="es-CO"/>
        </w:rPr>
        <w:drawing>
          <wp:inline distT="0" distB="0" distL="0" distR="0" wp14:anchorId="75F53306" wp14:editId="5AB36C55">
            <wp:extent cx="2664183" cy="865707"/>
            <wp:effectExtent l="0" t="0" r="317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e_logo.png"/>
                    <pic:cNvPicPr/>
                  </pic:nvPicPr>
                  <pic:blipFill>
                    <a:blip r:embed="rId4">
                      <a:extLst>
                        <a:ext uri="{28A0092B-C50C-407E-A947-70E740481C1C}">
                          <a14:useLocalDpi xmlns:a14="http://schemas.microsoft.com/office/drawing/2010/main" val="0"/>
                        </a:ext>
                      </a:extLst>
                    </a:blip>
                    <a:stretch>
                      <a:fillRect/>
                    </a:stretch>
                  </pic:blipFill>
                  <pic:spPr>
                    <a:xfrm>
                      <a:off x="0" y="0"/>
                      <a:ext cx="2664183" cy="865707"/>
                    </a:xfrm>
                    <a:prstGeom prst="rect">
                      <a:avLst/>
                    </a:prstGeom>
                  </pic:spPr>
                </pic:pic>
              </a:graphicData>
            </a:graphic>
          </wp:inline>
        </w:drawing>
      </w:r>
    </w:p>
    <w:p w:rsidR="0067241F" w:rsidRPr="00147BC1" w:rsidRDefault="0067241F" w:rsidP="0067241F">
      <w:pPr>
        <w:tabs>
          <w:tab w:val="left" w:pos="3960"/>
        </w:tabs>
        <w:spacing w:after="0" w:line="276" w:lineRule="auto"/>
        <w:ind w:left="708" w:hanging="708"/>
        <w:jc w:val="center"/>
        <w:rPr>
          <w:rFonts w:ascii="Book Antiqua" w:hAnsi="Book Antiqua" w:cs="Tahoma"/>
          <w:bCs/>
          <w:spacing w:val="-7"/>
          <w:sz w:val="24"/>
          <w:szCs w:val="26"/>
        </w:rPr>
      </w:pPr>
      <w:r w:rsidRPr="00147BC1">
        <w:rPr>
          <w:rFonts w:ascii="Book Antiqua" w:hAnsi="Book Antiqua" w:cs="Tahoma"/>
          <w:bCs/>
          <w:spacing w:val="-7"/>
          <w:sz w:val="24"/>
          <w:szCs w:val="26"/>
        </w:rPr>
        <w:t>JUZGADO VEINTICUATRO (24) CIVIL DE PEQUEÑAS CAUSAS Y COMPETENCIA MÚLTIPLE DE BOGOTÁ, D. C.</w:t>
      </w:r>
    </w:p>
    <w:p w:rsidR="0067241F" w:rsidRPr="00147BC1" w:rsidRDefault="0067241F" w:rsidP="0067241F">
      <w:pPr>
        <w:tabs>
          <w:tab w:val="left" w:pos="-1440"/>
          <w:tab w:val="left" w:pos="-720"/>
        </w:tabs>
        <w:suppressAutoHyphens/>
        <w:spacing w:after="0" w:line="276" w:lineRule="auto"/>
        <w:jc w:val="right"/>
        <w:rPr>
          <w:rFonts w:ascii="Book Antiqua" w:hAnsi="Book Antiqua" w:cs="Tahoma"/>
          <w:spacing w:val="-7"/>
          <w:sz w:val="24"/>
          <w:szCs w:val="26"/>
        </w:rPr>
      </w:pPr>
    </w:p>
    <w:p w:rsidR="0067241F" w:rsidRPr="00147BC1" w:rsidRDefault="0067241F" w:rsidP="0067241F">
      <w:pPr>
        <w:pStyle w:val="Sangra2detindependiente"/>
        <w:spacing w:after="0" w:line="276" w:lineRule="auto"/>
        <w:jc w:val="center"/>
        <w:rPr>
          <w:rFonts w:ascii="Book Antiqua" w:hAnsi="Book Antiqua" w:cs="Tahoma"/>
          <w:spacing w:val="-7"/>
          <w:sz w:val="24"/>
          <w:szCs w:val="26"/>
        </w:rPr>
      </w:pPr>
      <w:r w:rsidRPr="00147BC1">
        <w:rPr>
          <w:rFonts w:ascii="Book Antiqua" w:hAnsi="Book Antiqua" w:cs="Tahoma"/>
          <w:spacing w:val="-7"/>
          <w:sz w:val="24"/>
          <w:szCs w:val="26"/>
        </w:rPr>
        <w:t xml:space="preserve">Bogotá, D. C., </w:t>
      </w:r>
      <w:r>
        <w:rPr>
          <w:rFonts w:ascii="Book Antiqua" w:hAnsi="Book Antiqua" w:cs="Tahoma"/>
          <w:spacing w:val="-7"/>
          <w:sz w:val="24"/>
          <w:szCs w:val="26"/>
        </w:rPr>
        <w:t>once (11) de junio de dos mil veinte (2020).</w:t>
      </w:r>
    </w:p>
    <w:p w:rsidR="0067241F" w:rsidRPr="00147BC1" w:rsidRDefault="0067241F" w:rsidP="0067241F">
      <w:pPr>
        <w:pStyle w:val="Sangra2detindependiente"/>
        <w:spacing w:after="0" w:line="276" w:lineRule="auto"/>
        <w:jc w:val="right"/>
        <w:rPr>
          <w:rFonts w:ascii="Book Antiqua" w:hAnsi="Book Antiqua" w:cs="Tahoma"/>
          <w:bCs/>
          <w:spacing w:val="-7"/>
          <w:sz w:val="24"/>
          <w:szCs w:val="26"/>
        </w:rPr>
      </w:pPr>
      <w:r>
        <w:rPr>
          <w:rFonts w:ascii="Book Antiqua" w:hAnsi="Book Antiqua" w:cs="Tahoma"/>
          <w:bCs/>
          <w:spacing w:val="-7"/>
          <w:sz w:val="24"/>
          <w:szCs w:val="26"/>
        </w:rPr>
        <w:t>Incidente de Desacato N</w:t>
      </w:r>
      <w:r w:rsidRPr="00147BC1">
        <w:rPr>
          <w:rFonts w:ascii="Book Antiqua" w:hAnsi="Book Antiqua" w:cs="Tahoma"/>
          <w:bCs/>
          <w:spacing w:val="-7"/>
          <w:sz w:val="24"/>
          <w:szCs w:val="26"/>
        </w:rPr>
        <w:t>.° 20</w:t>
      </w:r>
      <w:r>
        <w:rPr>
          <w:rFonts w:ascii="Book Antiqua" w:hAnsi="Book Antiqua" w:cs="Tahoma"/>
          <w:bCs/>
          <w:spacing w:val="-7"/>
          <w:sz w:val="24"/>
          <w:szCs w:val="26"/>
        </w:rPr>
        <w:t>20</w:t>
      </w:r>
      <w:r w:rsidRPr="00147BC1">
        <w:rPr>
          <w:rFonts w:ascii="Book Antiqua" w:hAnsi="Book Antiqua" w:cs="Tahoma"/>
          <w:bCs/>
          <w:spacing w:val="-7"/>
          <w:sz w:val="24"/>
          <w:szCs w:val="26"/>
        </w:rPr>
        <w:t>-0</w:t>
      </w:r>
      <w:r>
        <w:rPr>
          <w:rFonts w:ascii="Book Antiqua" w:hAnsi="Book Antiqua" w:cs="Tahoma"/>
          <w:bCs/>
          <w:spacing w:val="-7"/>
          <w:sz w:val="24"/>
          <w:szCs w:val="26"/>
        </w:rPr>
        <w:t>0366</w:t>
      </w:r>
    </w:p>
    <w:p w:rsidR="0067241F" w:rsidRPr="00147BC1" w:rsidRDefault="0067241F" w:rsidP="0067241F">
      <w:pPr>
        <w:pStyle w:val="Sangra2detindependiente"/>
        <w:spacing w:after="0" w:line="276" w:lineRule="auto"/>
        <w:jc w:val="right"/>
        <w:rPr>
          <w:rFonts w:ascii="Book Antiqua" w:hAnsi="Book Antiqua" w:cs="Tahoma"/>
          <w:b/>
          <w:bCs/>
          <w:spacing w:val="-7"/>
          <w:sz w:val="24"/>
          <w:szCs w:val="26"/>
        </w:rPr>
      </w:pPr>
    </w:p>
    <w:p w:rsidR="0067241F" w:rsidRDefault="0067241F" w:rsidP="0067241F">
      <w:pPr>
        <w:pStyle w:val="Sangra2detindependiente"/>
        <w:spacing w:after="0" w:line="276" w:lineRule="auto"/>
        <w:jc w:val="both"/>
        <w:rPr>
          <w:rFonts w:ascii="Book Antiqua" w:hAnsi="Book Antiqua" w:cs="Tahoma"/>
          <w:b/>
          <w:bCs/>
          <w:spacing w:val="-7"/>
          <w:sz w:val="24"/>
          <w:szCs w:val="26"/>
        </w:rPr>
      </w:pPr>
      <w:r>
        <w:rPr>
          <w:rFonts w:ascii="Book Antiqua" w:hAnsi="Book Antiqua" w:cs="Tahoma"/>
          <w:b/>
          <w:bCs/>
          <w:spacing w:val="-7"/>
          <w:sz w:val="24"/>
          <w:szCs w:val="26"/>
        </w:rPr>
        <w:tab/>
      </w:r>
    </w:p>
    <w:p w:rsidR="0067241F" w:rsidRDefault="0067241F" w:rsidP="0067241F">
      <w:pPr>
        <w:pStyle w:val="Sangra2detindependiente"/>
        <w:spacing w:after="0" w:line="276" w:lineRule="auto"/>
        <w:jc w:val="both"/>
        <w:rPr>
          <w:rFonts w:ascii="Book Antiqua" w:hAnsi="Book Antiqua" w:cs="Tahoma"/>
          <w:bCs/>
          <w:spacing w:val="-7"/>
          <w:sz w:val="24"/>
          <w:szCs w:val="26"/>
        </w:rPr>
      </w:pPr>
      <w:r>
        <w:rPr>
          <w:rFonts w:ascii="Book Antiqua" w:hAnsi="Book Antiqua" w:cs="Tahoma"/>
          <w:b/>
          <w:bCs/>
          <w:spacing w:val="-7"/>
          <w:sz w:val="24"/>
          <w:szCs w:val="26"/>
        </w:rPr>
        <w:tab/>
      </w:r>
      <w:r>
        <w:rPr>
          <w:rFonts w:ascii="Book Antiqua" w:hAnsi="Book Antiqua" w:cs="Tahoma"/>
          <w:bCs/>
          <w:spacing w:val="-7"/>
          <w:sz w:val="24"/>
          <w:szCs w:val="26"/>
        </w:rPr>
        <w:t xml:space="preserve">Atendiendo a la respuesta emitida por el ente </w:t>
      </w:r>
      <w:proofErr w:type="spellStart"/>
      <w:r>
        <w:rPr>
          <w:rFonts w:ascii="Book Antiqua" w:hAnsi="Book Antiqua" w:cs="Tahoma"/>
          <w:bCs/>
          <w:spacing w:val="-7"/>
          <w:sz w:val="24"/>
          <w:szCs w:val="26"/>
        </w:rPr>
        <w:t>incidentante</w:t>
      </w:r>
      <w:proofErr w:type="spellEnd"/>
      <w:r>
        <w:rPr>
          <w:rFonts w:ascii="Book Antiqua" w:hAnsi="Book Antiqua" w:cs="Tahoma"/>
          <w:bCs/>
          <w:spacing w:val="-7"/>
          <w:sz w:val="24"/>
          <w:szCs w:val="26"/>
        </w:rPr>
        <w:t xml:space="preserve"> respecto al requerimiento ordenado mediante auto de fecha 4 de junio de 2020, y revisada con detenimiento la respuesta otorgada por PORVENIR S.A., se advierte que la misma hizo referencia al aporte del señor ANDRÉS MAURICIO FAJARDO CHISCO, del mes de febrero de 2013, mientras que en la petición objeto de tutela se solicitó el aporte correspondiente al mes de </w:t>
      </w:r>
      <w:r>
        <w:rPr>
          <w:rFonts w:ascii="Book Antiqua" w:hAnsi="Book Antiqua" w:cs="Tahoma"/>
          <w:b/>
          <w:bCs/>
          <w:spacing w:val="-7"/>
          <w:sz w:val="24"/>
          <w:szCs w:val="26"/>
          <w:u w:val="single"/>
        </w:rPr>
        <w:t>enero de 2013</w:t>
      </w:r>
      <w:r>
        <w:rPr>
          <w:rFonts w:ascii="Book Antiqua" w:hAnsi="Book Antiqua" w:cs="Tahoma"/>
          <w:bCs/>
          <w:spacing w:val="-7"/>
          <w:sz w:val="24"/>
          <w:szCs w:val="26"/>
        </w:rPr>
        <w:t>.</w:t>
      </w:r>
    </w:p>
    <w:p w:rsidR="0067241F" w:rsidRDefault="0067241F" w:rsidP="0067241F">
      <w:pPr>
        <w:pStyle w:val="Sangra2detindependiente"/>
        <w:spacing w:after="0" w:line="276" w:lineRule="auto"/>
        <w:jc w:val="both"/>
        <w:rPr>
          <w:rFonts w:ascii="Book Antiqua" w:hAnsi="Book Antiqua" w:cs="Tahoma"/>
          <w:bCs/>
          <w:spacing w:val="-7"/>
          <w:sz w:val="24"/>
          <w:szCs w:val="26"/>
        </w:rPr>
      </w:pPr>
    </w:p>
    <w:p w:rsidR="0067241F" w:rsidRPr="0067241F" w:rsidRDefault="0067241F" w:rsidP="0067241F">
      <w:pPr>
        <w:pStyle w:val="Sangra2detindependiente"/>
        <w:spacing w:after="0" w:line="276" w:lineRule="auto"/>
        <w:jc w:val="both"/>
        <w:rPr>
          <w:rFonts w:ascii="Book Antiqua" w:hAnsi="Book Antiqua" w:cs="Tahoma"/>
          <w:bCs/>
          <w:spacing w:val="-7"/>
          <w:sz w:val="24"/>
          <w:szCs w:val="26"/>
        </w:rPr>
      </w:pPr>
      <w:r>
        <w:rPr>
          <w:rFonts w:ascii="Book Antiqua" w:hAnsi="Book Antiqua" w:cs="Tahoma"/>
          <w:bCs/>
          <w:spacing w:val="-7"/>
          <w:sz w:val="24"/>
          <w:szCs w:val="26"/>
        </w:rPr>
        <w:tab/>
        <w:t xml:space="preserve">De igual manera, de la relación de aportes visible a folios 23 y 24 de este cuaderno, no se vislumbra el correspondiente al mes de enero de 2013, lo que conlleva a requerir al ente </w:t>
      </w:r>
      <w:proofErr w:type="spellStart"/>
      <w:r>
        <w:rPr>
          <w:rFonts w:ascii="Book Antiqua" w:hAnsi="Book Antiqua" w:cs="Tahoma"/>
          <w:bCs/>
          <w:spacing w:val="-7"/>
          <w:sz w:val="24"/>
          <w:szCs w:val="26"/>
        </w:rPr>
        <w:t>incidentado</w:t>
      </w:r>
      <w:proofErr w:type="spellEnd"/>
      <w:r>
        <w:rPr>
          <w:rFonts w:ascii="Book Antiqua" w:hAnsi="Book Antiqua" w:cs="Tahoma"/>
          <w:bCs/>
          <w:spacing w:val="-7"/>
          <w:sz w:val="24"/>
          <w:szCs w:val="26"/>
        </w:rPr>
        <w:t xml:space="preserve"> PORVENIR S.A., para que en el término de dos (2) días, indique a esta Judicatura las resultas del aporte del señor ANDRÉS MAURICIO FAJARDO CHISCO, identificado con la cédula de ciudadanía Nº 80.065.510, correspondiente al mes de </w:t>
      </w:r>
      <w:r w:rsidRPr="0067241F">
        <w:rPr>
          <w:rFonts w:ascii="Book Antiqua" w:hAnsi="Book Antiqua" w:cs="Tahoma"/>
          <w:b/>
          <w:bCs/>
          <w:spacing w:val="-7"/>
          <w:sz w:val="24"/>
          <w:szCs w:val="26"/>
          <w:u w:val="single"/>
        </w:rPr>
        <w:t>enero de 2013</w:t>
      </w:r>
      <w:r>
        <w:rPr>
          <w:rFonts w:ascii="Book Antiqua" w:hAnsi="Book Antiqua" w:cs="Tahoma"/>
          <w:b/>
          <w:bCs/>
          <w:spacing w:val="-7"/>
          <w:sz w:val="24"/>
          <w:szCs w:val="26"/>
          <w:u w:val="single"/>
        </w:rPr>
        <w:t xml:space="preserve">, </w:t>
      </w:r>
      <w:r>
        <w:rPr>
          <w:rFonts w:ascii="Book Antiqua" w:hAnsi="Book Antiqua" w:cs="Tahoma"/>
          <w:bCs/>
          <w:spacing w:val="-7"/>
          <w:sz w:val="24"/>
          <w:szCs w:val="26"/>
        </w:rPr>
        <w:t>atendiendo a las manifestaciones realizadas por MEDPLUS MEDICINA PREPAGADA S.A., en el escrito remitido por correo electrónico el pasado 3 de junio de 2020.</w:t>
      </w:r>
    </w:p>
    <w:p w:rsidR="0067241F" w:rsidRDefault="0067241F" w:rsidP="0067241F">
      <w:pPr>
        <w:pStyle w:val="Sangra2detindependiente"/>
        <w:spacing w:after="0" w:line="276" w:lineRule="auto"/>
        <w:jc w:val="both"/>
        <w:rPr>
          <w:rFonts w:ascii="Book Antiqua" w:hAnsi="Book Antiqua" w:cs="Tahoma"/>
          <w:bCs/>
          <w:spacing w:val="-7"/>
          <w:sz w:val="24"/>
          <w:szCs w:val="26"/>
        </w:rPr>
      </w:pPr>
    </w:p>
    <w:p w:rsidR="0067241F" w:rsidRDefault="0067241F" w:rsidP="0067241F">
      <w:pPr>
        <w:pStyle w:val="Sangra2detindependiente"/>
        <w:spacing w:after="0" w:line="276" w:lineRule="auto"/>
        <w:jc w:val="both"/>
        <w:rPr>
          <w:rFonts w:ascii="Book Antiqua" w:hAnsi="Book Antiqua" w:cs="Tahoma"/>
          <w:bCs/>
          <w:spacing w:val="-7"/>
          <w:sz w:val="24"/>
          <w:szCs w:val="26"/>
        </w:rPr>
      </w:pPr>
      <w:r>
        <w:rPr>
          <w:rFonts w:ascii="Book Antiqua" w:hAnsi="Book Antiqua" w:cs="Tahoma"/>
          <w:bCs/>
          <w:spacing w:val="-7"/>
          <w:sz w:val="24"/>
          <w:szCs w:val="26"/>
        </w:rPr>
        <w:tab/>
        <w:t xml:space="preserve">En mérito de lo brevemente expuesto, el Juzgado, </w:t>
      </w:r>
    </w:p>
    <w:p w:rsidR="0067241F" w:rsidRDefault="0067241F" w:rsidP="0067241F">
      <w:pPr>
        <w:pStyle w:val="Sangra2detindependiente"/>
        <w:spacing w:after="0" w:line="276" w:lineRule="auto"/>
        <w:ind w:left="0" w:firstLine="709"/>
        <w:jc w:val="both"/>
        <w:rPr>
          <w:rFonts w:ascii="Book Antiqua" w:hAnsi="Book Antiqua" w:cs="Tahoma"/>
          <w:bCs/>
          <w:spacing w:val="-7"/>
          <w:sz w:val="24"/>
          <w:szCs w:val="26"/>
        </w:rPr>
      </w:pPr>
    </w:p>
    <w:p w:rsidR="0067241F" w:rsidRDefault="0067241F" w:rsidP="0067241F">
      <w:pPr>
        <w:pStyle w:val="Sangra2detindependiente"/>
        <w:spacing w:after="0" w:line="276" w:lineRule="auto"/>
        <w:ind w:left="0" w:firstLine="709"/>
        <w:jc w:val="center"/>
        <w:rPr>
          <w:rFonts w:ascii="Book Antiqua" w:hAnsi="Book Antiqua" w:cs="Tahoma"/>
          <w:b/>
          <w:bCs/>
          <w:spacing w:val="-7"/>
          <w:sz w:val="24"/>
          <w:szCs w:val="26"/>
        </w:rPr>
      </w:pPr>
      <w:r>
        <w:rPr>
          <w:rFonts w:ascii="Book Antiqua" w:hAnsi="Book Antiqua" w:cs="Tahoma"/>
          <w:b/>
          <w:bCs/>
          <w:spacing w:val="-7"/>
          <w:sz w:val="24"/>
          <w:szCs w:val="26"/>
        </w:rPr>
        <w:t>RESUELVE:</w:t>
      </w:r>
    </w:p>
    <w:p w:rsidR="0067241F" w:rsidRDefault="0067241F" w:rsidP="0067241F">
      <w:pPr>
        <w:pStyle w:val="Sangra2detindependiente"/>
        <w:spacing w:after="0" w:line="276" w:lineRule="auto"/>
        <w:ind w:left="0" w:firstLine="709"/>
        <w:jc w:val="center"/>
        <w:rPr>
          <w:rFonts w:ascii="Book Antiqua" w:hAnsi="Book Antiqua" w:cs="Tahoma"/>
          <w:b/>
          <w:bCs/>
          <w:spacing w:val="-7"/>
          <w:sz w:val="24"/>
          <w:szCs w:val="26"/>
        </w:rPr>
      </w:pPr>
    </w:p>
    <w:p w:rsidR="0067241F" w:rsidRPr="0067241F" w:rsidRDefault="0067241F" w:rsidP="0067241F">
      <w:pPr>
        <w:pStyle w:val="Sangra2detindependiente"/>
        <w:spacing w:after="0" w:line="276" w:lineRule="auto"/>
        <w:ind w:left="0" w:firstLine="709"/>
        <w:jc w:val="both"/>
        <w:rPr>
          <w:rFonts w:ascii="Book Antiqua" w:hAnsi="Book Antiqua" w:cs="Tahoma"/>
          <w:bCs/>
          <w:spacing w:val="-7"/>
          <w:sz w:val="24"/>
          <w:szCs w:val="26"/>
        </w:rPr>
      </w:pPr>
      <w:r>
        <w:rPr>
          <w:rFonts w:ascii="Book Antiqua" w:hAnsi="Book Antiqua" w:cs="Tahoma"/>
          <w:b/>
          <w:bCs/>
          <w:spacing w:val="-7"/>
          <w:sz w:val="24"/>
          <w:szCs w:val="26"/>
        </w:rPr>
        <w:t xml:space="preserve">PRIMERO: REQUERIR </w:t>
      </w:r>
      <w:r>
        <w:rPr>
          <w:rFonts w:ascii="Book Antiqua" w:hAnsi="Book Antiqua" w:cs="Tahoma"/>
          <w:bCs/>
          <w:spacing w:val="-7"/>
          <w:sz w:val="24"/>
          <w:szCs w:val="26"/>
        </w:rPr>
        <w:t xml:space="preserve">a la </w:t>
      </w:r>
      <w:proofErr w:type="spellStart"/>
      <w:r>
        <w:rPr>
          <w:rFonts w:ascii="Book Antiqua" w:hAnsi="Book Antiqua" w:cs="Tahoma"/>
          <w:bCs/>
          <w:spacing w:val="-7"/>
          <w:sz w:val="24"/>
          <w:szCs w:val="26"/>
        </w:rPr>
        <w:t>incidentada</w:t>
      </w:r>
      <w:proofErr w:type="spellEnd"/>
      <w:r>
        <w:rPr>
          <w:rFonts w:ascii="Book Antiqua" w:hAnsi="Book Antiqua" w:cs="Tahoma"/>
          <w:bCs/>
          <w:spacing w:val="-7"/>
          <w:sz w:val="24"/>
          <w:szCs w:val="26"/>
        </w:rPr>
        <w:t xml:space="preserve"> FONDO DE PENSIONES Y CESANTÍAS PORVENIR S.A., para que en el término de dos (2) días, indique a esta Judicatura las resultas del aporte del señor ANDRÉS MAURICIO FAJARDO CHISCO, identificado con la cédula de ciudadanía Nº 80.065.510, correspondiente al mes de </w:t>
      </w:r>
      <w:r w:rsidRPr="0067241F">
        <w:rPr>
          <w:rFonts w:ascii="Book Antiqua" w:hAnsi="Book Antiqua" w:cs="Tahoma"/>
          <w:b/>
          <w:bCs/>
          <w:spacing w:val="-7"/>
          <w:sz w:val="24"/>
          <w:szCs w:val="26"/>
          <w:u w:val="single"/>
        </w:rPr>
        <w:t>enero de 2013</w:t>
      </w:r>
      <w:r>
        <w:rPr>
          <w:rFonts w:ascii="Book Antiqua" w:hAnsi="Book Antiqua" w:cs="Tahoma"/>
          <w:b/>
          <w:bCs/>
          <w:spacing w:val="-7"/>
          <w:sz w:val="24"/>
          <w:szCs w:val="26"/>
          <w:u w:val="single"/>
        </w:rPr>
        <w:t xml:space="preserve">, </w:t>
      </w:r>
      <w:r>
        <w:rPr>
          <w:rFonts w:ascii="Book Antiqua" w:hAnsi="Book Antiqua" w:cs="Tahoma"/>
          <w:bCs/>
          <w:spacing w:val="-7"/>
          <w:sz w:val="24"/>
          <w:szCs w:val="26"/>
        </w:rPr>
        <w:t>atendiendo a las manifestaciones realizadas por MEDPLUS MEDICINA PREPAGADA S.A., en el escrito remitido po</w:t>
      </w:r>
      <w:r w:rsidR="00012ACE">
        <w:rPr>
          <w:rFonts w:ascii="Book Antiqua" w:hAnsi="Book Antiqua" w:cs="Tahoma"/>
          <w:bCs/>
          <w:spacing w:val="-7"/>
          <w:sz w:val="24"/>
          <w:szCs w:val="26"/>
        </w:rPr>
        <w:t>r correo electrónico el pasado 9</w:t>
      </w:r>
      <w:r>
        <w:rPr>
          <w:rFonts w:ascii="Book Antiqua" w:hAnsi="Book Antiqua" w:cs="Tahoma"/>
          <w:bCs/>
          <w:spacing w:val="-7"/>
          <w:sz w:val="24"/>
          <w:szCs w:val="26"/>
        </w:rPr>
        <w:t xml:space="preserve"> de junio de 2020.</w:t>
      </w:r>
      <w:bookmarkStart w:id="0" w:name="_GoBack"/>
      <w:bookmarkEnd w:id="0"/>
    </w:p>
    <w:p w:rsidR="0067241F" w:rsidRDefault="0067241F" w:rsidP="0067241F">
      <w:pPr>
        <w:pStyle w:val="Sangra2detindependiente"/>
        <w:spacing w:after="0" w:line="276" w:lineRule="auto"/>
        <w:ind w:left="0" w:firstLine="709"/>
        <w:jc w:val="both"/>
        <w:rPr>
          <w:rFonts w:ascii="Book Antiqua" w:hAnsi="Book Antiqua" w:cs="Tahoma"/>
          <w:b/>
          <w:bCs/>
          <w:spacing w:val="-7"/>
          <w:sz w:val="24"/>
          <w:szCs w:val="26"/>
        </w:rPr>
      </w:pPr>
    </w:p>
    <w:p w:rsidR="0067241F" w:rsidRPr="00CB7BC9" w:rsidRDefault="00EA68D3" w:rsidP="0067241F">
      <w:pPr>
        <w:pStyle w:val="Sangra2detindependiente"/>
        <w:spacing w:after="0" w:line="276" w:lineRule="auto"/>
        <w:ind w:left="0" w:firstLine="709"/>
        <w:jc w:val="both"/>
        <w:rPr>
          <w:rFonts w:ascii="Book Antiqua" w:hAnsi="Book Antiqua" w:cs="Tahoma"/>
          <w:bCs/>
          <w:spacing w:val="-7"/>
          <w:sz w:val="24"/>
          <w:szCs w:val="26"/>
        </w:rPr>
      </w:pPr>
      <w:r>
        <w:rPr>
          <w:noProof/>
          <w:lang w:eastAsia="es-CO"/>
        </w:rPr>
        <w:drawing>
          <wp:anchor distT="0" distB="0" distL="114300" distR="114300" simplePos="0" relativeHeight="251658240" behindDoc="1" locked="0" layoutInCell="1" allowOverlap="1" wp14:anchorId="1E41C1DB" wp14:editId="5BB6A448">
            <wp:simplePos x="0" y="0"/>
            <wp:positionH relativeFrom="column">
              <wp:posOffset>1863090</wp:posOffset>
            </wp:positionH>
            <wp:positionV relativeFrom="paragraph">
              <wp:posOffset>240665</wp:posOffset>
            </wp:positionV>
            <wp:extent cx="2876550" cy="37542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3217" t="12259" r="32320" b="7771"/>
                    <a:stretch/>
                  </pic:blipFill>
                  <pic:spPr bwMode="auto">
                    <a:xfrm>
                      <a:off x="0" y="0"/>
                      <a:ext cx="2876550" cy="3754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241F">
        <w:rPr>
          <w:rFonts w:ascii="Book Antiqua" w:hAnsi="Book Antiqua" w:cs="Tahoma"/>
          <w:b/>
          <w:bCs/>
          <w:spacing w:val="-7"/>
          <w:sz w:val="24"/>
          <w:szCs w:val="26"/>
        </w:rPr>
        <w:t xml:space="preserve">SEGUNDO: NOTIFICAR </w:t>
      </w:r>
      <w:r w:rsidR="0067241F">
        <w:rPr>
          <w:rFonts w:ascii="Book Antiqua" w:hAnsi="Book Antiqua" w:cs="Tahoma"/>
          <w:bCs/>
          <w:spacing w:val="-7"/>
          <w:sz w:val="24"/>
          <w:szCs w:val="26"/>
        </w:rPr>
        <w:t>a las partes intervinientes, por el medio más expedito. Por secretaría adjuntar a la notificación del ente accionado copia de los documento</w:t>
      </w:r>
      <w:r w:rsidR="00012ACE">
        <w:rPr>
          <w:rFonts w:ascii="Book Antiqua" w:hAnsi="Book Antiqua" w:cs="Tahoma"/>
          <w:bCs/>
          <w:spacing w:val="-7"/>
          <w:sz w:val="24"/>
          <w:szCs w:val="26"/>
        </w:rPr>
        <w:t>s anexos en el correo de fecha 9</w:t>
      </w:r>
      <w:r w:rsidR="0067241F">
        <w:rPr>
          <w:rFonts w:ascii="Book Antiqua" w:hAnsi="Book Antiqua" w:cs="Tahoma"/>
          <w:bCs/>
          <w:spacing w:val="-7"/>
          <w:sz w:val="24"/>
          <w:szCs w:val="26"/>
        </w:rPr>
        <w:t xml:space="preserve"> de junio de 2020 allegado por MEDPLUS MEDICINA PREPAGADA S.A.</w:t>
      </w:r>
    </w:p>
    <w:p w:rsidR="0067241F" w:rsidRDefault="0067241F" w:rsidP="0067241F">
      <w:pPr>
        <w:pStyle w:val="Sangra2detindependiente"/>
        <w:spacing w:after="0" w:line="276" w:lineRule="auto"/>
        <w:ind w:left="0" w:firstLine="709"/>
        <w:jc w:val="both"/>
        <w:rPr>
          <w:rFonts w:ascii="Book Antiqua" w:hAnsi="Book Antiqua" w:cs="Tahoma"/>
          <w:bCs/>
          <w:spacing w:val="-7"/>
          <w:sz w:val="24"/>
          <w:szCs w:val="26"/>
        </w:rPr>
      </w:pPr>
    </w:p>
    <w:p w:rsidR="0067241F" w:rsidRPr="00147BC1" w:rsidRDefault="0067241F" w:rsidP="0067241F">
      <w:pPr>
        <w:spacing w:after="0" w:line="276" w:lineRule="auto"/>
        <w:ind w:firstLine="709"/>
        <w:jc w:val="both"/>
        <w:rPr>
          <w:rFonts w:ascii="Book Antiqua" w:hAnsi="Book Antiqua"/>
          <w:sz w:val="24"/>
          <w:szCs w:val="26"/>
          <w:lang w:val="es-ES_tradnl"/>
        </w:rPr>
      </w:pPr>
    </w:p>
    <w:p w:rsidR="0067241F" w:rsidRPr="00147BC1" w:rsidRDefault="0067241F" w:rsidP="0067241F">
      <w:pPr>
        <w:spacing w:after="0" w:line="276" w:lineRule="auto"/>
        <w:ind w:firstLine="708"/>
        <w:jc w:val="both"/>
        <w:rPr>
          <w:rFonts w:ascii="Book Antiqua" w:hAnsi="Book Antiqua"/>
          <w:b/>
          <w:bCs/>
          <w:sz w:val="24"/>
          <w:szCs w:val="26"/>
        </w:rPr>
      </w:pPr>
      <w:r w:rsidRPr="00147BC1">
        <w:rPr>
          <w:rFonts w:ascii="Book Antiqua" w:hAnsi="Book Antiqua" w:cs="Arial"/>
          <w:bCs/>
          <w:sz w:val="24"/>
          <w:szCs w:val="26"/>
        </w:rPr>
        <w:t>Notifíquese</w:t>
      </w:r>
      <w:r>
        <w:rPr>
          <w:rFonts w:ascii="Book Antiqua" w:hAnsi="Book Antiqua" w:cs="Arial"/>
          <w:bCs/>
          <w:sz w:val="24"/>
          <w:szCs w:val="26"/>
        </w:rPr>
        <w:t xml:space="preserve"> y Cúmplase</w:t>
      </w:r>
      <w:r w:rsidRPr="00147BC1">
        <w:rPr>
          <w:rFonts w:ascii="Book Antiqua" w:hAnsi="Book Antiqua" w:cs="Arial"/>
          <w:bCs/>
          <w:sz w:val="24"/>
          <w:szCs w:val="26"/>
        </w:rPr>
        <w:t>,</w:t>
      </w:r>
    </w:p>
    <w:p w:rsidR="0067241F" w:rsidRPr="00147BC1" w:rsidRDefault="0067241F" w:rsidP="0067241F">
      <w:pPr>
        <w:spacing w:after="0" w:line="276" w:lineRule="auto"/>
        <w:rPr>
          <w:rFonts w:ascii="Book Antiqua" w:hAnsi="Book Antiqua"/>
          <w:b/>
          <w:bCs/>
          <w:sz w:val="24"/>
          <w:szCs w:val="26"/>
        </w:rPr>
      </w:pPr>
      <w:r w:rsidRPr="00E22F43">
        <w:rPr>
          <w:rFonts w:ascii="Book Antiqua" w:hAnsi="Book Antiqua"/>
          <w:b/>
          <w:bCs/>
          <w:sz w:val="24"/>
          <w:szCs w:val="26"/>
        </w:rPr>
        <w:tab/>
      </w:r>
    </w:p>
    <w:p w:rsidR="0067241F" w:rsidRDefault="0067241F" w:rsidP="0067241F">
      <w:pPr>
        <w:spacing w:after="0" w:line="276" w:lineRule="auto"/>
        <w:rPr>
          <w:rFonts w:ascii="Book Antiqua" w:hAnsi="Book Antiqua"/>
          <w:b/>
          <w:bCs/>
          <w:sz w:val="24"/>
          <w:szCs w:val="26"/>
        </w:rPr>
      </w:pPr>
    </w:p>
    <w:p w:rsidR="0067241F" w:rsidRDefault="0067241F" w:rsidP="0067241F">
      <w:pPr>
        <w:spacing w:after="0" w:line="276" w:lineRule="auto"/>
        <w:rPr>
          <w:rFonts w:ascii="Book Antiqua" w:hAnsi="Book Antiqua"/>
          <w:b/>
          <w:bCs/>
          <w:sz w:val="24"/>
          <w:szCs w:val="26"/>
        </w:rPr>
      </w:pPr>
    </w:p>
    <w:p w:rsidR="0067241F" w:rsidRPr="00147BC1" w:rsidRDefault="0067241F" w:rsidP="0067241F">
      <w:pPr>
        <w:spacing w:after="0" w:line="276" w:lineRule="auto"/>
        <w:rPr>
          <w:rFonts w:ascii="Book Antiqua" w:hAnsi="Book Antiqua"/>
          <w:b/>
          <w:bCs/>
          <w:sz w:val="24"/>
          <w:szCs w:val="26"/>
        </w:rPr>
      </w:pPr>
    </w:p>
    <w:p w:rsidR="0067241F" w:rsidRPr="00147BC1" w:rsidRDefault="0067241F" w:rsidP="0067241F">
      <w:pPr>
        <w:spacing w:after="0" w:line="276" w:lineRule="auto"/>
        <w:jc w:val="center"/>
        <w:rPr>
          <w:rFonts w:ascii="Book Antiqua" w:hAnsi="Book Antiqua"/>
          <w:b/>
          <w:bCs/>
          <w:sz w:val="24"/>
          <w:szCs w:val="26"/>
        </w:rPr>
      </w:pPr>
      <w:r w:rsidRPr="00147BC1">
        <w:rPr>
          <w:rFonts w:ascii="Book Antiqua" w:hAnsi="Book Antiqua"/>
          <w:b/>
          <w:bCs/>
          <w:sz w:val="24"/>
          <w:szCs w:val="26"/>
        </w:rPr>
        <w:t>DIANA GARCÍA MOSQUERA</w:t>
      </w:r>
    </w:p>
    <w:p w:rsidR="0067241F" w:rsidRDefault="0067241F" w:rsidP="0067241F">
      <w:pPr>
        <w:spacing w:after="0" w:line="276" w:lineRule="auto"/>
        <w:jc w:val="center"/>
        <w:rPr>
          <w:rFonts w:ascii="Book Antiqua" w:hAnsi="Book Antiqua"/>
          <w:b/>
          <w:bCs/>
          <w:sz w:val="24"/>
          <w:szCs w:val="26"/>
        </w:rPr>
      </w:pPr>
      <w:r w:rsidRPr="00147BC1">
        <w:rPr>
          <w:rFonts w:ascii="Book Antiqua" w:hAnsi="Book Antiqua"/>
          <w:b/>
          <w:bCs/>
          <w:sz w:val="24"/>
          <w:szCs w:val="26"/>
        </w:rPr>
        <w:t xml:space="preserve"> Juez </w:t>
      </w:r>
    </w:p>
    <w:p w:rsidR="0067241F" w:rsidRDefault="0067241F" w:rsidP="0067241F">
      <w:pPr>
        <w:spacing w:after="0" w:line="240" w:lineRule="auto"/>
        <w:jc w:val="center"/>
        <w:rPr>
          <w:rFonts w:ascii="Book Antiqua" w:hAnsi="Book Antiqua"/>
          <w:b/>
          <w:bCs/>
          <w:sz w:val="24"/>
          <w:szCs w:val="26"/>
        </w:rPr>
      </w:pPr>
    </w:p>
    <w:p w:rsidR="0067241F" w:rsidRPr="00B01474" w:rsidRDefault="0067241F" w:rsidP="0067241F">
      <w:pPr>
        <w:spacing w:after="0" w:line="240" w:lineRule="auto"/>
        <w:jc w:val="both"/>
        <w:rPr>
          <w:rFonts w:ascii="Book Antiqua" w:hAnsi="Book Antiqua"/>
          <w:bCs/>
          <w:i/>
          <w:sz w:val="16"/>
          <w:szCs w:val="16"/>
        </w:rPr>
      </w:pPr>
      <w:proofErr w:type="spellStart"/>
      <w:r w:rsidRPr="00B01474">
        <w:rPr>
          <w:rFonts w:ascii="Book Antiqua" w:hAnsi="Book Antiqua"/>
          <w:bCs/>
          <w:i/>
          <w:sz w:val="16"/>
          <w:szCs w:val="16"/>
        </w:rPr>
        <w:t>z.k</w:t>
      </w:r>
      <w:proofErr w:type="spellEnd"/>
      <w:r w:rsidRPr="00B01474">
        <w:rPr>
          <w:rFonts w:ascii="Book Antiqua" w:hAnsi="Book Antiqua"/>
          <w:bCs/>
          <w:i/>
          <w:sz w:val="16"/>
          <w:szCs w:val="16"/>
        </w:rPr>
        <w:t>.</w:t>
      </w:r>
    </w:p>
    <w:p w:rsidR="0067241F" w:rsidRPr="00B01474" w:rsidRDefault="0067241F" w:rsidP="0067241F">
      <w:pPr>
        <w:spacing w:after="0" w:line="240" w:lineRule="auto"/>
        <w:jc w:val="both"/>
        <w:rPr>
          <w:rFonts w:ascii="Book Antiqua" w:hAnsi="Book Antiqua"/>
          <w:bCs/>
          <w:i/>
          <w:sz w:val="16"/>
          <w:szCs w:val="16"/>
        </w:rPr>
      </w:pPr>
    </w:p>
    <w:p w:rsidR="00500757" w:rsidRDefault="00500757"/>
    <w:sectPr w:rsidR="005007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41F"/>
    <w:rsid w:val="00012ACE"/>
    <w:rsid w:val="00100006"/>
    <w:rsid w:val="001C3C16"/>
    <w:rsid w:val="00275B02"/>
    <w:rsid w:val="002B4425"/>
    <w:rsid w:val="00500757"/>
    <w:rsid w:val="0067241F"/>
    <w:rsid w:val="009E5FEE"/>
    <w:rsid w:val="00EA68D3"/>
    <w:rsid w:val="00EF05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3BCD61-D946-4D82-A9F4-D307DA9D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before="120"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41F"/>
    <w:pPr>
      <w:spacing w:before="0"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uiPriority w:val="99"/>
    <w:unhideWhenUsed/>
    <w:rsid w:val="0067241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7241F"/>
  </w:style>
  <w:style w:type="character" w:styleId="Hipervnculo">
    <w:name w:val="Hyperlink"/>
    <w:basedOn w:val="Fuentedeprrafopredeter"/>
    <w:uiPriority w:val="99"/>
    <w:unhideWhenUsed/>
    <w:rsid w:val="0067241F"/>
    <w:rPr>
      <w:color w:val="0000FF" w:themeColor="hyperlink"/>
      <w:u w:val="single"/>
    </w:rPr>
  </w:style>
  <w:style w:type="paragraph" w:styleId="Textodeglobo">
    <w:name w:val="Balloon Text"/>
    <w:basedOn w:val="Normal"/>
    <w:link w:val="TextodegloboCar"/>
    <w:uiPriority w:val="99"/>
    <w:semiHidden/>
    <w:unhideWhenUsed/>
    <w:rsid w:val="006724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320</Words>
  <Characters>1760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Margarita Miranda Palencia</dc:creator>
  <cp:lastModifiedBy>Jävier Vergärä</cp:lastModifiedBy>
  <cp:revision>3</cp:revision>
  <dcterms:created xsi:type="dcterms:W3CDTF">2020-06-11T19:00:00Z</dcterms:created>
  <dcterms:modified xsi:type="dcterms:W3CDTF">2020-06-12T19:40:00Z</dcterms:modified>
</cp:coreProperties>
</file>