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A995" w14:textId="77777777" w:rsidR="003F3B4C" w:rsidRPr="003F3B4C" w:rsidRDefault="003F3B4C" w:rsidP="003F3B4C">
      <w:pPr>
        <w:jc w:val="center"/>
        <w:rPr>
          <w:rFonts w:ascii="Monotype Corsiva" w:hAnsi="Monotype Corsiva" w:cs="Arial"/>
          <w:noProof/>
          <w:sz w:val="22"/>
          <w:szCs w:val="22"/>
        </w:rPr>
      </w:pPr>
      <w:bookmarkStart w:id="0" w:name="_GoBack"/>
      <w:bookmarkEnd w:id="0"/>
      <w:r w:rsidRPr="003F3B4C">
        <w:rPr>
          <w:rFonts w:ascii="Monotype Corsiva" w:hAnsi="Monotype Corsiva" w:cs="Arial"/>
          <w:noProof/>
          <w:sz w:val="22"/>
          <w:szCs w:val="22"/>
          <w:lang w:val="es-CO" w:eastAsia="es-CO"/>
        </w:rPr>
        <w:drawing>
          <wp:inline distT="0" distB="0" distL="0" distR="0" wp14:anchorId="0E072761" wp14:editId="437E6B50">
            <wp:extent cx="1039305" cy="1056068"/>
            <wp:effectExtent l="0" t="0" r="8890" b="0"/>
            <wp:docPr id="6505" name="Imagen 6505" descr="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2" descr="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69" cy="10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C7825" w14:textId="77777777" w:rsidR="003F3B4C" w:rsidRPr="003F3B4C" w:rsidRDefault="003F3B4C" w:rsidP="003F3B4C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3F3B4C">
        <w:rPr>
          <w:rFonts w:ascii="Arial" w:hAnsi="Arial" w:cs="Arial"/>
          <w:b/>
          <w:i/>
          <w:sz w:val="24"/>
          <w:szCs w:val="24"/>
        </w:rPr>
        <w:t>REPÚBLICA DE COLOMBIA</w:t>
      </w:r>
    </w:p>
    <w:p w14:paraId="48D9F410" w14:textId="77777777" w:rsidR="003F3B4C" w:rsidRPr="003F3B4C" w:rsidRDefault="003F3B4C" w:rsidP="003F3B4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F3B4C">
        <w:rPr>
          <w:rFonts w:ascii="Arial" w:hAnsi="Arial" w:cs="Arial"/>
          <w:b/>
          <w:i/>
          <w:sz w:val="24"/>
          <w:szCs w:val="24"/>
        </w:rPr>
        <w:t>RAMA JUDICIAL DEL PODER PÚBLICO</w:t>
      </w:r>
    </w:p>
    <w:p w14:paraId="6C74F4BC" w14:textId="361AE8EF" w:rsidR="003F3B4C" w:rsidRPr="003F3B4C" w:rsidRDefault="003F3B4C" w:rsidP="003F3B4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F3B4C">
        <w:rPr>
          <w:rFonts w:ascii="Arial" w:hAnsi="Arial" w:cs="Arial"/>
          <w:b/>
          <w:i/>
          <w:sz w:val="24"/>
          <w:szCs w:val="24"/>
        </w:rPr>
        <w:t>JUZGADO TREINTA Y UNO CIVIL DEL CIRCUITO</w:t>
      </w:r>
    </w:p>
    <w:p w14:paraId="5DDDB1DA" w14:textId="349C3412" w:rsidR="003F3B4C" w:rsidRPr="003F3B4C" w:rsidRDefault="003F3B4C" w:rsidP="00961949">
      <w:pPr>
        <w:pStyle w:val="epgrafe"/>
        <w:jc w:val="center"/>
        <w:rPr>
          <w:rFonts w:ascii="Arial" w:hAnsi="Arial" w:cs="Arial"/>
          <w:b/>
          <w:i/>
        </w:rPr>
      </w:pPr>
      <w:r w:rsidRPr="003F3B4C">
        <w:rPr>
          <w:rFonts w:ascii="Arial" w:hAnsi="Arial" w:cs="Arial"/>
          <w:b/>
          <w:i/>
        </w:rPr>
        <w:t>Bogotá,</w:t>
      </w:r>
      <w:r w:rsidR="002E1865">
        <w:rPr>
          <w:rFonts w:ascii="Arial" w:hAnsi="Arial" w:cs="Arial"/>
          <w:b/>
          <w:i/>
        </w:rPr>
        <w:t xml:space="preserve"> 11</w:t>
      </w:r>
      <w:r w:rsidR="00961949">
        <w:rPr>
          <w:rFonts w:ascii="Arial" w:hAnsi="Arial" w:cs="Arial"/>
          <w:b/>
          <w:i/>
        </w:rPr>
        <w:t xml:space="preserve"> de junio de 2020</w:t>
      </w:r>
    </w:p>
    <w:p w14:paraId="1CFCE538" w14:textId="77777777" w:rsidR="003F3B4C" w:rsidRPr="003F3B4C" w:rsidRDefault="003F3B4C" w:rsidP="003F3B4C">
      <w:pPr>
        <w:pStyle w:val="epgrafe"/>
        <w:ind w:firstLine="708"/>
        <w:rPr>
          <w:rFonts w:ascii="Times New Roman" w:eastAsia="Batang" w:hAnsi="Times New Roman" w:cs="Times New Roman"/>
          <w:b/>
          <w:bCs/>
          <w:iCs/>
          <w:color w:val="C00000"/>
          <w:sz w:val="40"/>
        </w:rPr>
      </w:pPr>
    </w:p>
    <w:p w14:paraId="2CF253D6" w14:textId="77777777" w:rsidR="003F3B4C" w:rsidRPr="003F3B4C" w:rsidRDefault="003F3B4C" w:rsidP="003F3B4C">
      <w:pPr>
        <w:pStyle w:val="epgrafe"/>
        <w:spacing w:line="360" w:lineRule="auto"/>
        <w:ind w:firstLine="709"/>
        <w:rPr>
          <w:rFonts w:ascii="Times New Roman" w:eastAsia="Batang" w:hAnsi="Times New Roman" w:cs="Times New Roman"/>
          <w:b/>
          <w:bCs/>
          <w:iCs/>
        </w:rPr>
      </w:pPr>
    </w:p>
    <w:p w14:paraId="6786FEF3" w14:textId="77777777" w:rsidR="003F3B4C" w:rsidRPr="003F3B4C" w:rsidRDefault="003F3B4C" w:rsidP="003F3B4C">
      <w:pPr>
        <w:spacing w:line="360" w:lineRule="auto"/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</w:pPr>
      <w:r w:rsidRPr="003F3B4C"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  <w:t>Ref.  Ejecutivo 110013103031201900841-00</w:t>
      </w:r>
    </w:p>
    <w:p w14:paraId="40EF91AF" w14:textId="77777777" w:rsidR="003F3B4C" w:rsidRPr="003F3B4C" w:rsidRDefault="003F3B4C" w:rsidP="003F3B4C">
      <w:pPr>
        <w:spacing w:line="360" w:lineRule="auto"/>
        <w:rPr>
          <w:rFonts w:ascii="Arial" w:eastAsia="Batang" w:hAnsi="Arial" w:cs="Arial"/>
          <w:b/>
          <w:bCs/>
          <w:iCs/>
          <w:color w:val="C00000"/>
          <w:szCs w:val="24"/>
          <w:lang w:val="es-ES_tradnl"/>
        </w:rPr>
      </w:pPr>
    </w:p>
    <w:p w14:paraId="41B4C582" w14:textId="77777777" w:rsidR="003F3B4C" w:rsidRDefault="00A21B39" w:rsidP="003F3B4C">
      <w:pPr>
        <w:spacing w:line="360" w:lineRule="auto"/>
        <w:rPr>
          <w:rFonts w:ascii="Arial" w:hAnsi="Arial" w:cs="Arial"/>
          <w:sz w:val="24"/>
          <w:szCs w:val="24"/>
          <w:lang w:eastAsia="es-CO"/>
        </w:rPr>
      </w:pPr>
      <w:r w:rsidRPr="003F3B4C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SE NIEGA </w:t>
      </w:r>
      <w:r w:rsidR="003F3B4C" w:rsidRPr="003F3B4C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la solicitud de </w:t>
      </w:r>
      <w:r w:rsidR="003F3B4C" w:rsidRPr="003F3B4C">
        <w:rPr>
          <w:rFonts w:ascii="Arial" w:eastAsia="Batang" w:hAnsi="Arial" w:cs="Arial"/>
          <w:bCs/>
          <w:i/>
          <w:iCs/>
          <w:sz w:val="24"/>
          <w:szCs w:val="24"/>
          <w:lang w:val="es-ES_tradnl"/>
        </w:rPr>
        <w:t>“</w:t>
      </w:r>
      <w:r w:rsidR="003F3B4C" w:rsidRPr="003F3B4C">
        <w:rPr>
          <w:rFonts w:ascii="Arial" w:hAnsi="Arial" w:cs="Arial"/>
          <w:i/>
          <w:sz w:val="24"/>
          <w:szCs w:val="24"/>
          <w:lang w:eastAsia="es-CO"/>
        </w:rPr>
        <w:t>terminación de este proceso por pago total, exclusivamente en cuanto tiene que ver con las obligaciones garantizadas en el pagaré 5303710079259690</w:t>
      </w:r>
      <w:r w:rsidR="003F3B4C" w:rsidRPr="006475D6">
        <w:rPr>
          <w:rFonts w:ascii="Arial" w:hAnsi="Arial" w:cs="Arial"/>
          <w:i/>
          <w:sz w:val="24"/>
          <w:szCs w:val="24"/>
          <w:lang w:eastAsia="es-CO"/>
        </w:rPr>
        <w:t xml:space="preserve">” </w:t>
      </w:r>
      <w:r w:rsidR="003F3B4C" w:rsidRPr="006475D6">
        <w:rPr>
          <w:rFonts w:ascii="Arial" w:hAnsi="Arial" w:cs="Arial"/>
          <w:sz w:val="24"/>
          <w:szCs w:val="24"/>
          <w:lang w:eastAsia="es-CO"/>
        </w:rPr>
        <w:t>y la continuidad del proceso para el cobro de las obligaciones contenidas en el pagaré 90000034321</w:t>
      </w:r>
      <w:r w:rsidR="006475D6">
        <w:rPr>
          <w:rFonts w:ascii="Arial" w:hAnsi="Arial" w:cs="Arial"/>
          <w:sz w:val="24"/>
          <w:szCs w:val="24"/>
          <w:lang w:eastAsia="es-CO"/>
        </w:rPr>
        <w:t>, por las siguientes razones</w:t>
      </w:r>
      <w:r w:rsidR="003F3B4C" w:rsidRPr="006475D6">
        <w:rPr>
          <w:rFonts w:ascii="Arial" w:hAnsi="Arial" w:cs="Arial"/>
          <w:sz w:val="24"/>
          <w:szCs w:val="24"/>
          <w:lang w:eastAsia="es-CO"/>
        </w:rPr>
        <w:t>.</w:t>
      </w:r>
    </w:p>
    <w:p w14:paraId="4F09EB63" w14:textId="77777777" w:rsidR="006475D6" w:rsidRPr="006475D6" w:rsidRDefault="006475D6" w:rsidP="003F3B4C">
      <w:pPr>
        <w:spacing w:line="360" w:lineRule="auto"/>
        <w:rPr>
          <w:rFonts w:ascii="Arial" w:hAnsi="Arial" w:cs="Arial"/>
          <w:sz w:val="22"/>
          <w:szCs w:val="24"/>
          <w:lang w:eastAsia="es-CO"/>
        </w:rPr>
      </w:pPr>
    </w:p>
    <w:p w14:paraId="4A9802AA" w14:textId="67865E18" w:rsidR="006475D6" w:rsidRPr="006475D6" w:rsidRDefault="006475D6" w:rsidP="003F3B4C">
      <w:pPr>
        <w:spacing w:line="360" w:lineRule="auto"/>
        <w:rPr>
          <w:rFonts w:ascii="Arial" w:hAnsi="Arial" w:cs="Arial"/>
          <w:sz w:val="24"/>
          <w:szCs w:val="24"/>
          <w:lang w:eastAsia="es-CO"/>
        </w:rPr>
      </w:pPr>
      <w:r w:rsidRPr="006475D6">
        <w:rPr>
          <w:rFonts w:ascii="Arial" w:hAnsi="Arial" w:cs="Arial"/>
          <w:sz w:val="24"/>
          <w:szCs w:val="24"/>
          <w:lang w:eastAsia="es-CO"/>
        </w:rPr>
        <w:t xml:space="preserve">La </w:t>
      </w:r>
      <w:r>
        <w:rPr>
          <w:rFonts w:ascii="Arial" w:hAnsi="Arial" w:cs="Arial"/>
          <w:sz w:val="24"/>
          <w:szCs w:val="24"/>
          <w:lang w:eastAsia="es-CO"/>
        </w:rPr>
        <w:t xml:space="preserve">solicitud de terminación del proceso se </w:t>
      </w:r>
      <w:r w:rsidR="0067456F">
        <w:rPr>
          <w:rFonts w:ascii="Arial" w:hAnsi="Arial" w:cs="Arial"/>
          <w:sz w:val="24"/>
          <w:szCs w:val="24"/>
          <w:lang w:eastAsia="es-CO"/>
        </w:rPr>
        <w:t>fundamenta</w:t>
      </w:r>
      <w:r>
        <w:rPr>
          <w:rFonts w:ascii="Arial" w:hAnsi="Arial" w:cs="Arial"/>
          <w:sz w:val="24"/>
          <w:szCs w:val="24"/>
          <w:lang w:eastAsia="es-CO"/>
        </w:rPr>
        <w:t xml:space="preserve"> en el pago hecho </w:t>
      </w:r>
      <w:r w:rsidR="00F45EE0">
        <w:rPr>
          <w:rFonts w:ascii="Arial" w:hAnsi="Arial" w:cs="Arial"/>
          <w:sz w:val="24"/>
          <w:szCs w:val="24"/>
          <w:lang w:eastAsia="es-CO"/>
        </w:rPr>
        <w:t>de</w:t>
      </w:r>
      <w:r>
        <w:rPr>
          <w:rFonts w:ascii="Arial" w:hAnsi="Arial" w:cs="Arial"/>
          <w:sz w:val="24"/>
          <w:szCs w:val="24"/>
          <w:lang w:eastAsia="es-CO"/>
        </w:rPr>
        <w:t xml:space="preserve"> una </w:t>
      </w:r>
      <w:proofErr w:type="gramStart"/>
      <w:r>
        <w:rPr>
          <w:rFonts w:ascii="Arial" w:hAnsi="Arial" w:cs="Arial"/>
          <w:sz w:val="24"/>
          <w:szCs w:val="24"/>
          <w:lang w:eastAsia="es-CO"/>
        </w:rPr>
        <w:t>de</w:t>
      </w:r>
      <w:proofErr w:type="gramEnd"/>
      <w:r>
        <w:rPr>
          <w:rFonts w:ascii="Arial" w:hAnsi="Arial" w:cs="Arial"/>
          <w:sz w:val="24"/>
          <w:szCs w:val="24"/>
          <w:lang w:eastAsia="es-CO"/>
        </w:rPr>
        <w:t xml:space="preserve"> las obligaciones, más no de todas las que al parecer fueron demandadas. Al respecto, debe decirse que es improcedente decretar la terminación del proceso</w:t>
      </w:r>
      <w:r w:rsidR="002B32FB">
        <w:rPr>
          <w:rFonts w:ascii="Arial" w:hAnsi="Arial" w:cs="Arial"/>
          <w:sz w:val="24"/>
          <w:szCs w:val="24"/>
          <w:lang w:eastAsia="es-CO"/>
        </w:rPr>
        <w:t xml:space="preserve"> así pedida</w:t>
      </w:r>
      <w:r>
        <w:rPr>
          <w:rFonts w:ascii="Arial" w:hAnsi="Arial" w:cs="Arial"/>
          <w:sz w:val="24"/>
          <w:szCs w:val="24"/>
          <w:lang w:eastAsia="es-CO"/>
        </w:rPr>
        <w:t xml:space="preserve">, ya que si lo que se produjo </w:t>
      </w:r>
      <w:r w:rsidR="0067456F">
        <w:rPr>
          <w:rFonts w:ascii="Arial" w:hAnsi="Arial" w:cs="Arial"/>
          <w:sz w:val="24"/>
          <w:szCs w:val="24"/>
          <w:lang w:eastAsia="es-CO"/>
        </w:rPr>
        <w:t>fue un pago parcial, éste deberá</w:t>
      </w:r>
      <w:r w:rsidR="00E50B6E">
        <w:rPr>
          <w:rFonts w:ascii="Arial" w:hAnsi="Arial" w:cs="Arial"/>
          <w:sz w:val="24"/>
          <w:szCs w:val="24"/>
          <w:lang w:eastAsia="es-CO"/>
        </w:rPr>
        <w:t xml:space="preserve"> ser tenido en cuenta</w:t>
      </w:r>
      <w:r w:rsidR="0067456F">
        <w:rPr>
          <w:rFonts w:ascii="Arial" w:hAnsi="Arial" w:cs="Arial"/>
          <w:sz w:val="24"/>
          <w:szCs w:val="24"/>
          <w:lang w:eastAsia="es-CO"/>
        </w:rPr>
        <w:t xml:space="preserve"> </w:t>
      </w:r>
      <w:r w:rsidR="00E50B6E">
        <w:rPr>
          <w:rFonts w:ascii="Arial" w:hAnsi="Arial" w:cs="Arial"/>
          <w:sz w:val="24"/>
          <w:szCs w:val="24"/>
          <w:lang w:eastAsia="es-CO"/>
        </w:rPr>
        <w:t xml:space="preserve">en </w:t>
      </w:r>
      <w:r w:rsidR="0067456F">
        <w:rPr>
          <w:rFonts w:ascii="Arial" w:hAnsi="Arial" w:cs="Arial"/>
          <w:sz w:val="24"/>
          <w:szCs w:val="24"/>
          <w:lang w:eastAsia="es-CO"/>
        </w:rPr>
        <w:t>el momento procesal oportuno</w:t>
      </w:r>
      <w:r w:rsidR="00E50B6E">
        <w:rPr>
          <w:rFonts w:ascii="Arial" w:hAnsi="Arial" w:cs="Arial"/>
          <w:sz w:val="24"/>
          <w:szCs w:val="24"/>
          <w:lang w:eastAsia="es-CO"/>
        </w:rPr>
        <w:t>,</w:t>
      </w:r>
      <w:r w:rsidR="0067456F">
        <w:rPr>
          <w:rFonts w:ascii="Arial" w:hAnsi="Arial" w:cs="Arial"/>
          <w:sz w:val="24"/>
          <w:szCs w:val="24"/>
          <w:lang w:eastAsia="es-CO"/>
        </w:rPr>
        <w:t xml:space="preserve"> que se da </w:t>
      </w:r>
      <w:r w:rsidR="00006D7F">
        <w:rPr>
          <w:rFonts w:ascii="Arial" w:hAnsi="Arial" w:cs="Arial"/>
          <w:sz w:val="24"/>
          <w:szCs w:val="24"/>
          <w:lang w:eastAsia="es-CO"/>
        </w:rPr>
        <w:t>cuando se elabora</w:t>
      </w:r>
      <w:r w:rsidR="0067456F">
        <w:rPr>
          <w:rFonts w:ascii="Arial" w:hAnsi="Arial" w:cs="Arial"/>
          <w:sz w:val="24"/>
          <w:szCs w:val="24"/>
          <w:lang w:eastAsia="es-CO"/>
        </w:rPr>
        <w:t xml:space="preserve"> la </w:t>
      </w:r>
      <w:r w:rsidR="002C05FF">
        <w:rPr>
          <w:rFonts w:ascii="Arial" w:hAnsi="Arial" w:cs="Arial"/>
          <w:sz w:val="24"/>
          <w:szCs w:val="24"/>
          <w:lang w:eastAsia="es-CO"/>
        </w:rPr>
        <w:t xml:space="preserve">respectiva </w:t>
      </w:r>
      <w:r w:rsidR="0067456F">
        <w:rPr>
          <w:rFonts w:ascii="Arial" w:hAnsi="Arial" w:cs="Arial"/>
          <w:sz w:val="24"/>
          <w:szCs w:val="24"/>
          <w:lang w:eastAsia="es-CO"/>
        </w:rPr>
        <w:t xml:space="preserve">liquidación del crédito. Más tal situación no puede conducir al equívoco de terminar el proceso por un capital determinado, cuando apenas se satisfizo parte de él. </w:t>
      </w:r>
    </w:p>
    <w:p w14:paraId="44AB1B75" w14:textId="77777777" w:rsidR="006475D6" w:rsidRPr="0067456F" w:rsidRDefault="006475D6" w:rsidP="003F3B4C">
      <w:pPr>
        <w:spacing w:line="360" w:lineRule="auto"/>
        <w:rPr>
          <w:rFonts w:ascii="Arial" w:hAnsi="Arial" w:cs="Arial"/>
          <w:szCs w:val="24"/>
          <w:lang w:eastAsia="es-CO"/>
        </w:rPr>
      </w:pPr>
    </w:p>
    <w:p w14:paraId="73494053" w14:textId="28D4AA78" w:rsidR="006475D6" w:rsidRDefault="00593643" w:rsidP="003F3B4C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En todo caso, </w:t>
      </w:r>
      <w:r w:rsidR="00293598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de ser procedente la solicitud, </w:t>
      </w:r>
      <w:r w:rsidR="003F3B4C" w:rsidRPr="006475D6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en este momento no es posible acceder al expediente debido al confinamiento obligatorio decretado por el Gobierno Nacional con ocasión a la emergencia sanitaria causada por el Covid19, </w:t>
      </w:r>
      <w:r w:rsidR="0067456F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a fin de verificar si el memorialista </w:t>
      </w:r>
      <w:r w:rsidR="006B7BB0">
        <w:rPr>
          <w:rFonts w:ascii="Arial" w:eastAsia="Batang" w:hAnsi="Arial" w:cs="Arial"/>
          <w:bCs/>
          <w:iCs/>
          <w:sz w:val="24"/>
          <w:szCs w:val="24"/>
          <w:lang w:val="es-ES_tradnl"/>
        </w:rPr>
        <w:t>ya fue reconocido como apoderado de la parte demandante y si tiene la facultad para recibir, tal y como lo exige el artículo 461 del Código General del Proceso.</w:t>
      </w:r>
    </w:p>
    <w:p w14:paraId="5C35B4C6" w14:textId="77777777" w:rsidR="00250983" w:rsidRPr="00293598" w:rsidRDefault="00250983" w:rsidP="003F3B4C">
      <w:pPr>
        <w:spacing w:line="360" w:lineRule="auto"/>
        <w:rPr>
          <w:rFonts w:ascii="Arial" w:eastAsia="Batang" w:hAnsi="Arial" w:cs="Arial"/>
          <w:bCs/>
          <w:iCs/>
          <w:sz w:val="22"/>
          <w:szCs w:val="24"/>
          <w:lang w:val="es-ES_tradnl"/>
        </w:rPr>
      </w:pPr>
    </w:p>
    <w:p w14:paraId="1364FD41" w14:textId="6ACFC404" w:rsidR="00293598" w:rsidRPr="00DA65DA" w:rsidRDefault="00250983" w:rsidP="003F3B4C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Debe además tenerse en cuenta que al decretarse </w:t>
      </w:r>
      <w:r w:rsidR="00720474">
        <w:rPr>
          <w:rFonts w:ascii="Arial" w:eastAsia="Batang" w:hAnsi="Arial" w:cs="Arial"/>
          <w:bCs/>
          <w:iCs/>
          <w:sz w:val="24"/>
          <w:szCs w:val="24"/>
          <w:lang w:val="es-ES_tradnl"/>
        </w:rPr>
        <w:t>l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>a terminación del proceso</w:t>
      </w:r>
      <w:r w:rsidR="00720474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por el pago total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, una de las consecuencias de esa decisión de acuerdo con el mismo artículo 461 del Código General del Proceso, es la de </w:t>
      </w:r>
      <w:r w:rsidR="007917DE">
        <w:rPr>
          <w:rFonts w:ascii="Arial" w:eastAsia="Batang" w:hAnsi="Arial" w:cs="Arial"/>
          <w:bCs/>
          <w:iCs/>
          <w:sz w:val="24"/>
          <w:szCs w:val="24"/>
          <w:lang w:val="es-ES_tradnl"/>
        </w:rPr>
        <w:t>disponer</w:t>
      </w:r>
      <w:r w:rsidR="00720474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el levantamiento de las medidas cautelares, cuando no estuviere embargado el </w:t>
      </w:r>
      <w:r w:rsidR="00DA65DA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lastRenderedPageBreak/>
        <w:t xml:space="preserve">remanente. No obstante, </w:t>
      </w:r>
      <w:r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por la misma </w:t>
      </w:r>
      <w:r w:rsidR="00293598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imposibilidad de </w:t>
      </w:r>
      <w:r w:rsidR="00593643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acceder al expediente, tampoco sería </w:t>
      </w:r>
      <w:r w:rsidR="00293598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posible verificar si la </w:t>
      </w:r>
      <w:r w:rsidR="00DA65DA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>Dirección de Impuestos y Aduanas Nacionales</w:t>
      </w:r>
      <w:r w:rsidR="003F3B4C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</w:t>
      </w:r>
      <w:r w:rsid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>–</w:t>
      </w:r>
      <w:r w:rsidR="003F3B4C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DIAN</w:t>
      </w:r>
      <w:r w:rsid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>,</w:t>
      </w:r>
      <w:r w:rsidR="003F3B4C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</w:t>
      </w:r>
      <w:r w:rsidR="00293598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>u otro Juzgado o autoridad administrativa, solicitaron en este asunto el embargo de los remanentes</w:t>
      </w:r>
      <w:r w:rsidR="007108B8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, </w:t>
      </w:r>
      <w:r w:rsidR="00E1763F">
        <w:rPr>
          <w:rFonts w:ascii="Arial" w:eastAsia="Batang" w:hAnsi="Arial" w:cs="Arial"/>
          <w:bCs/>
          <w:iCs/>
          <w:sz w:val="24"/>
          <w:szCs w:val="24"/>
          <w:lang w:val="es-ES_tradnl"/>
        </w:rPr>
        <w:t>a fin de</w:t>
      </w:r>
      <w:r w:rsidR="007108B8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poder definir </w:t>
      </w:r>
      <w:r w:rsidR="006740D3">
        <w:rPr>
          <w:rFonts w:ascii="Arial" w:eastAsia="Batang" w:hAnsi="Arial" w:cs="Arial"/>
          <w:bCs/>
          <w:iCs/>
          <w:sz w:val="24"/>
          <w:szCs w:val="24"/>
          <w:lang w:val="es-ES_tradnl"/>
        </w:rPr>
        <w:t>la procedencia de los desembargos</w:t>
      </w:r>
      <w:r w:rsidR="00293598" w:rsidRPr="00DA65DA">
        <w:rPr>
          <w:rFonts w:ascii="Arial" w:eastAsia="Batang" w:hAnsi="Arial" w:cs="Arial"/>
          <w:bCs/>
          <w:iCs/>
          <w:sz w:val="24"/>
          <w:szCs w:val="24"/>
          <w:lang w:val="es-ES_tradnl"/>
        </w:rPr>
        <w:t>.</w:t>
      </w:r>
    </w:p>
    <w:p w14:paraId="24545A9E" w14:textId="77777777" w:rsidR="00293598" w:rsidRPr="00B96A3F" w:rsidRDefault="00293598" w:rsidP="003F3B4C">
      <w:pPr>
        <w:spacing w:line="360" w:lineRule="auto"/>
        <w:rPr>
          <w:rFonts w:ascii="Arial" w:eastAsia="Batang" w:hAnsi="Arial" w:cs="Arial"/>
          <w:bCs/>
          <w:iCs/>
          <w:szCs w:val="24"/>
          <w:lang w:val="es-ES_tradnl"/>
        </w:rPr>
      </w:pPr>
    </w:p>
    <w:p w14:paraId="5325151F" w14:textId="77777777" w:rsidR="003F3B4C" w:rsidRPr="00190405" w:rsidRDefault="003F3B4C" w:rsidP="003F3B4C">
      <w:pPr>
        <w:spacing w:line="360" w:lineRule="auto"/>
        <w:rPr>
          <w:rFonts w:ascii="Arial" w:hAnsi="Arial" w:cs="Arial"/>
          <w:b/>
          <w:iCs/>
          <w:sz w:val="24"/>
          <w:szCs w:val="24"/>
          <w:lang w:val="es-ES_tradnl"/>
        </w:rPr>
      </w:pPr>
      <w:r w:rsidRPr="00B96A3F">
        <w:rPr>
          <w:rFonts w:ascii="Arial" w:hAnsi="Arial" w:cs="Arial"/>
          <w:iCs/>
          <w:sz w:val="24"/>
          <w:szCs w:val="24"/>
          <w:lang w:val="es-ES_tradnl"/>
        </w:rPr>
        <w:t xml:space="preserve">Teniendo en cuenta que en este momento todos los despachos judiciales se encuentran cerrados debido a la emergencia sanitaria ocasionada por la propagación del corona virus, cualquier memorial, documento o comunicación debe ser enviado a la dirección de correo electrónico: </w:t>
      </w:r>
      <w:hyperlink r:id="rId5" w:history="1">
        <w:r w:rsidRPr="00190405">
          <w:rPr>
            <w:rStyle w:val="Hipervnculo"/>
            <w:rFonts w:ascii="Arial" w:hAnsi="Arial" w:cs="Arial"/>
            <w:b/>
            <w:iCs/>
            <w:color w:val="auto"/>
            <w:sz w:val="24"/>
            <w:szCs w:val="24"/>
            <w:u w:val="none"/>
            <w:lang w:val="es-ES_tradnl"/>
          </w:rPr>
          <w:t>ccto31bt@cendoj.ramajudicial.gov.co</w:t>
        </w:r>
      </w:hyperlink>
      <w:r w:rsidRPr="00190405">
        <w:rPr>
          <w:rFonts w:ascii="Arial" w:hAnsi="Arial" w:cs="Arial"/>
          <w:b/>
          <w:iCs/>
          <w:sz w:val="24"/>
          <w:szCs w:val="24"/>
          <w:lang w:val="es-ES_tradnl"/>
        </w:rPr>
        <w:t xml:space="preserve">.  </w:t>
      </w:r>
    </w:p>
    <w:p w14:paraId="50A8292B" w14:textId="77777777" w:rsidR="003F3B4C" w:rsidRPr="00190405" w:rsidRDefault="003F3B4C" w:rsidP="003F3B4C">
      <w:pPr>
        <w:spacing w:line="360" w:lineRule="auto"/>
        <w:rPr>
          <w:rFonts w:ascii="Arial" w:eastAsia="Batang" w:hAnsi="Arial" w:cs="Arial"/>
          <w:b/>
          <w:bCs/>
          <w:iCs/>
          <w:sz w:val="28"/>
          <w:szCs w:val="24"/>
          <w:lang w:val="es-ES_tradnl"/>
        </w:rPr>
      </w:pPr>
    </w:p>
    <w:p w14:paraId="5E402778" w14:textId="77777777" w:rsidR="003F3B4C" w:rsidRPr="00B96A3F" w:rsidRDefault="003F3B4C" w:rsidP="003F3B4C">
      <w:pPr>
        <w:spacing w:line="360" w:lineRule="auto"/>
        <w:rPr>
          <w:rFonts w:ascii="Arial" w:hAnsi="Arial" w:cs="Arial"/>
          <w:bCs/>
          <w:sz w:val="4"/>
          <w:szCs w:val="24"/>
          <w:lang w:val="es-ES_tradnl"/>
        </w:rPr>
      </w:pPr>
    </w:p>
    <w:p w14:paraId="5E37000E" w14:textId="77777777" w:rsidR="003F3B4C" w:rsidRPr="00B96A3F" w:rsidRDefault="003F3B4C" w:rsidP="003F3B4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6A3F">
        <w:rPr>
          <w:rFonts w:ascii="Arial" w:hAnsi="Arial" w:cs="Arial"/>
          <w:b/>
          <w:sz w:val="24"/>
          <w:szCs w:val="24"/>
        </w:rPr>
        <w:t>NOTIFÍQUESE,</w:t>
      </w:r>
    </w:p>
    <w:p w14:paraId="7F0A14A4" w14:textId="70CF813F" w:rsidR="003F3B4C" w:rsidRPr="00190405" w:rsidRDefault="002E1865" w:rsidP="003F3B4C">
      <w:pPr>
        <w:spacing w:line="480" w:lineRule="auto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noProof/>
          <w:sz w:val="48"/>
          <w:szCs w:val="24"/>
          <w:lang w:val="es-CO" w:eastAsia="es-CO"/>
        </w:rPr>
        <w:drawing>
          <wp:inline distT="0" distB="0" distL="0" distR="0" wp14:anchorId="639E37FC" wp14:editId="16C4EB01">
            <wp:extent cx="5400675" cy="3037840"/>
            <wp:effectExtent l="0" t="0" r="9525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913D" w14:textId="77777777" w:rsidR="003F3B4C" w:rsidRPr="00B96A3F" w:rsidRDefault="003F3B4C" w:rsidP="003F3B4C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A3F">
        <w:rPr>
          <w:rFonts w:ascii="Arial" w:hAnsi="Arial" w:cs="Arial"/>
          <w:b/>
          <w:sz w:val="24"/>
          <w:szCs w:val="24"/>
        </w:rPr>
        <w:t>BERNARDO FLÓREZ RUIZ</w:t>
      </w:r>
    </w:p>
    <w:p w14:paraId="55CF8250" w14:textId="77777777" w:rsidR="003F3B4C" w:rsidRPr="00B96A3F" w:rsidRDefault="003F3B4C" w:rsidP="003F3B4C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A3F">
        <w:rPr>
          <w:rFonts w:ascii="Arial" w:hAnsi="Arial" w:cs="Arial"/>
          <w:b/>
          <w:sz w:val="24"/>
          <w:szCs w:val="24"/>
        </w:rPr>
        <w:t>JUEZ</w:t>
      </w:r>
    </w:p>
    <w:p w14:paraId="0D831856" w14:textId="77777777" w:rsidR="003F3B4C" w:rsidRPr="00B96A3F" w:rsidRDefault="003F3B4C" w:rsidP="003F3B4C">
      <w:pPr>
        <w:pStyle w:val="Textoindependiente"/>
        <w:tabs>
          <w:tab w:val="left" w:pos="2100"/>
        </w:tabs>
        <w:spacing w:after="0"/>
        <w:ind w:left="708" w:hanging="708"/>
        <w:rPr>
          <w:rFonts w:ascii="Arial" w:hAnsi="Arial" w:cs="Arial"/>
          <w:b/>
          <w:sz w:val="24"/>
          <w:szCs w:val="24"/>
        </w:rPr>
      </w:pPr>
      <w:r w:rsidRPr="00B96A3F">
        <w:rPr>
          <w:sz w:val="16"/>
          <w:szCs w:val="16"/>
        </w:rPr>
        <w:t>AVB (</w:t>
      </w:r>
      <w:r w:rsidR="00B96A3F">
        <w:rPr>
          <w:sz w:val="16"/>
          <w:szCs w:val="16"/>
        </w:rPr>
        <w:t>04-06</w:t>
      </w:r>
      <w:r w:rsidRPr="00B96A3F">
        <w:rPr>
          <w:sz w:val="16"/>
          <w:szCs w:val="16"/>
        </w:rPr>
        <w:t>-2020)</w:t>
      </w:r>
    </w:p>
    <w:p w14:paraId="794959CE" w14:textId="77777777" w:rsidR="00A47017" w:rsidRPr="00B96A3F" w:rsidRDefault="001204EC"/>
    <w:sectPr w:rsidR="00A47017" w:rsidRPr="00B96A3F" w:rsidSect="0087182F">
      <w:pgSz w:w="11907" w:h="18144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C"/>
    <w:rsid w:val="00006D7F"/>
    <w:rsid w:val="001204EC"/>
    <w:rsid w:val="00150901"/>
    <w:rsid w:val="001825AF"/>
    <w:rsid w:val="00190405"/>
    <w:rsid w:val="00192976"/>
    <w:rsid w:val="001A5BD0"/>
    <w:rsid w:val="001D4C12"/>
    <w:rsid w:val="00250983"/>
    <w:rsid w:val="002808CC"/>
    <w:rsid w:val="00293598"/>
    <w:rsid w:val="002B32FB"/>
    <w:rsid w:val="002C05FF"/>
    <w:rsid w:val="002E1865"/>
    <w:rsid w:val="00304CF9"/>
    <w:rsid w:val="003678B8"/>
    <w:rsid w:val="003F3B4C"/>
    <w:rsid w:val="004D487E"/>
    <w:rsid w:val="004F45FB"/>
    <w:rsid w:val="00593643"/>
    <w:rsid w:val="005C343E"/>
    <w:rsid w:val="005E0048"/>
    <w:rsid w:val="006475D6"/>
    <w:rsid w:val="006740D3"/>
    <w:rsid w:val="0067456F"/>
    <w:rsid w:val="006B7BB0"/>
    <w:rsid w:val="00703D06"/>
    <w:rsid w:val="007108B8"/>
    <w:rsid w:val="00715420"/>
    <w:rsid w:val="00720474"/>
    <w:rsid w:val="007245D9"/>
    <w:rsid w:val="007917DE"/>
    <w:rsid w:val="007A006A"/>
    <w:rsid w:val="00851AB0"/>
    <w:rsid w:val="008F284C"/>
    <w:rsid w:val="00961949"/>
    <w:rsid w:val="009D0826"/>
    <w:rsid w:val="00A21B39"/>
    <w:rsid w:val="00B40187"/>
    <w:rsid w:val="00B96A3F"/>
    <w:rsid w:val="00DA65DA"/>
    <w:rsid w:val="00E1763F"/>
    <w:rsid w:val="00E4607E"/>
    <w:rsid w:val="00E50B6E"/>
    <w:rsid w:val="00F45EE0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2F14F"/>
  <w15:chartTrackingRefBased/>
  <w15:docId w15:val="{B7DA757D-F3AD-4AD8-A02D-F48FA7B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3B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F3B4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3F3B4C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3F3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aNaLu SeGuRa</cp:lastModifiedBy>
  <cp:revision>2</cp:revision>
  <dcterms:created xsi:type="dcterms:W3CDTF">2020-06-11T21:36:00Z</dcterms:created>
  <dcterms:modified xsi:type="dcterms:W3CDTF">2020-06-11T21:36:00Z</dcterms:modified>
</cp:coreProperties>
</file>