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29A0F" w14:textId="7B9E3533" w:rsidR="00942DE6" w:rsidRPr="0030030B" w:rsidRDefault="003A1F50" w:rsidP="00942DE6">
      <w:pPr>
        <w:keepNext/>
        <w:widowControl w:val="0"/>
        <w:autoSpaceDE w:val="0"/>
        <w:autoSpaceDN w:val="0"/>
        <w:adjustRightInd w:val="0"/>
        <w:jc w:val="center"/>
        <w:rPr>
          <w:rFonts w:cs="Arial"/>
          <w:bCs/>
        </w:rPr>
      </w:pPr>
      <w:bookmarkStart w:id="0" w:name="_GoBack"/>
      <w:bookmarkEnd w:id="0"/>
      <w:r>
        <w:rPr>
          <w:rFonts w:cs="Arial"/>
          <w:bCs/>
        </w:rPr>
        <w:t xml:space="preserve">Ocho de julio </w:t>
      </w:r>
      <w:r w:rsidR="00721EFB">
        <w:rPr>
          <w:rFonts w:cs="Arial"/>
          <w:bCs/>
        </w:rPr>
        <w:t>de dos mil veinte</w:t>
      </w:r>
    </w:p>
    <w:p w14:paraId="6ECD028F" w14:textId="77777777" w:rsidR="00942DE6" w:rsidRPr="0030030B" w:rsidRDefault="00942DE6" w:rsidP="00942DE6">
      <w:pPr>
        <w:spacing w:line="269" w:lineRule="auto"/>
        <w:ind w:left="706" w:firstLine="1454"/>
        <w:rPr>
          <w:rFonts w:cs="Arial"/>
          <w:bCs/>
        </w:rPr>
      </w:pPr>
    </w:p>
    <w:tbl>
      <w:tblPr>
        <w:tblW w:w="0" w:type="auto"/>
        <w:jc w:val="center"/>
        <w:tblLayout w:type="fixed"/>
        <w:tblCellMar>
          <w:left w:w="70" w:type="dxa"/>
          <w:right w:w="70" w:type="dxa"/>
        </w:tblCellMar>
        <w:tblLook w:val="0000" w:firstRow="0" w:lastRow="0" w:firstColumn="0" w:lastColumn="0" w:noHBand="0" w:noVBand="0"/>
      </w:tblPr>
      <w:tblGrid>
        <w:gridCol w:w="1710"/>
        <w:gridCol w:w="5165"/>
      </w:tblGrid>
      <w:tr w:rsidR="00942DE6" w:rsidRPr="0030030B" w14:paraId="53FC0136" w14:textId="77777777" w:rsidTr="00960CF2">
        <w:trPr>
          <w:trHeight w:val="230"/>
          <w:jc w:val="center"/>
        </w:trPr>
        <w:tc>
          <w:tcPr>
            <w:tcW w:w="1710" w:type="dxa"/>
            <w:tcBorders>
              <w:top w:val="single" w:sz="6" w:space="0" w:color="auto"/>
              <w:left w:val="single" w:sz="6" w:space="0" w:color="auto"/>
              <w:bottom w:val="single" w:sz="6" w:space="0" w:color="auto"/>
              <w:right w:val="single" w:sz="6" w:space="0" w:color="auto"/>
            </w:tcBorders>
          </w:tcPr>
          <w:p w14:paraId="49E8144C" w14:textId="77777777" w:rsidR="00942DE6" w:rsidRPr="0030030B" w:rsidRDefault="00942DE6" w:rsidP="00960CF2">
            <w:pPr>
              <w:keepNext/>
              <w:widowControl w:val="0"/>
              <w:autoSpaceDE w:val="0"/>
              <w:autoSpaceDN w:val="0"/>
              <w:adjustRightInd w:val="0"/>
              <w:spacing w:line="276" w:lineRule="auto"/>
              <w:jc w:val="center"/>
              <w:rPr>
                <w:rFonts w:cs="Arial"/>
              </w:rPr>
            </w:pPr>
            <w:r w:rsidRPr="0030030B">
              <w:rPr>
                <w:rFonts w:cs="Arial"/>
              </w:rPr>
              <w:t>Proceso</w:t>
            </w:r>
          </w:p>
        </w:tc>
        <w:tc>
          <w:tcPr>
            <w:tcW w:w="5165" w:type="dxa"/>
            <w:tcBorders>
              <w:top w:val="single" w:sz="6" w:space="0" w:color="auto"/>
              <w:left w:val="single" w:sz="6" w:space="0" w:color="auto"/>
              <w:bottom w:val="single" w:sz="6" w:space="0" w:color="auto"/>
              <w:right w:val="single" w:sz="6" w:space="0" w:color="auto"/>
            </w:tcBorders>
          </w:tcPr>
          <w:p w14:paraId="675F7442" w14:textId="77777777" w:rsidR="00942DE6" w:rsidRPr="0030030B" w:rsidRDefault="0042133E" w:rsidP="00960CF2">
            <w:pPr>
              <w:keepNext/>
              <w:widowControl w:val="0"/>
              <w:autoSpaceDE w:val="0"/>
              <w:autoSpaceDN w:val="0"/>
              <w:adjustRightInd w:val="0"/>
              <w:spacing w:line="276" w:lineRule="auto"/>
              <w:jc w:val="center"/>
              <w:rPr>
                <w:rFonts w:cs="Arial"/>
              </w:rPr>
            </w:pPr>
            <w:r>
              <w:rPr>
                <w:rFonts w:cs="Arial"/>
              </w:rPr>
              <w:t>Ejecutivo con Título Hipotecario</w:t>
            </w:r>
            <w:r w:rsidR="00A73953">
              <w:rPr>
                <w:rFonts w:cs="Arial"/>
              </w:rPr>
              <w:t xml:space="preserve"> Nro. 0015</w:t>
            </w:r>
          </w:p>
        </w:tc>
      </w:tr>
      <w:tr w:rsidR="00942DE6" w:rsidRPr="0030030B" w14:paraId="13AE31A5" w14:textId="77777777" w:rsidTr="00960CF2">
        <w:trPr>
          <w:trHeight w:val="214"/>
          <w:jc w:val="center"/>
        </w:trPr>
        <w:tc>
          <w:tcPr>
            <w:tcW w:w="1710" w:type="dxa"/>
            <w:tcBorders>
              <w:top w:val="single" w:sz="6" w:space="0" w:color="auto"/>
              <w:left w:val="single" w:sz="6" w:space="0" w:color="auto"/>
              <w:bottom w:val="single" w:sz="6" w:space="0" w:color="auto"/>
              <w:right w:val="single" w:sz="6" w:space="0" w:color="auto"/>
            </w:tcBorders>
          </w:tcPr>
          <w:p w14:paraId="05C74A6A" w14:textId="77777777" w:rsidR="00942DE6" w:rsidRPr="0030030B" w:rsidRDefault="00942DE6" w:rsidP="00960CF2">
            <w:pPr>
              <w:keepNext/>
              <w:widowControl w:val="0"/>
              <w:autoSpaceDE w:val="0"/>
              <w:autoSpaceDN w:val="0"/>
              <w:adjustRightInd w:val="0"/>
              <w:spacing w:line="276" w:lineRule="auto"/>
              <w:jc w:val="center"/>
              <w:rPr>
                <w:rFonts w:cs="Arial"/>
              </w:rPr>
            </w:pPr>
            <w:r w:rsidRPr="0030030B">
              <w:rPr>
                <w:rFonts w:cs="Arial"/>
              </w:rPr>
              <w:t>Demandante</w:t>
            </w:r>
          </w:p>
        </w:tc>
        <w:tc>
          <w:tcPr>
            <w:tcW w:w="5165" w:type="dxa"/>
            <w:tcBorders>
              <w:top w:val="single" w:sz="6" w:space="0" w:color="auto"/>
              <w:left w:val="single" w:sz="6" w:space="0" w:color="auto"/>
              <w:bottom w:val="single" w:sz="6" w:space="0" w:color="auto"/>
              <w:right w:val="single" w:sz="6" w:space="0" w:color="auto"/>
            </w:tcBorders>
          </w:tcPr>
          <w:p w14:paraId="497E7729" w14:textId="77777777" w:rsidR="00942DE6" w:rsidRPr="0030030B" w:rsidRDefault="00721EFB" w:rsidP="00960CF2">
            <w:pPr>
              <w:keepNext/>
              <w:widowControl w:val="0"/>
              <w:autoSpaceDE w:val="0"/>
              <w:autoSpaceDN w:val="0"/>
              <w:adjustRightInd w:val="0"/>
              <w:spacing w:line="276" w:lineRule="auto"/>
              <w:jc w:val="center"/>
              <w:rPr>
                <w:rFonts w:cs="Arial"/>
              </w:rPr>
            </w:pPr>
            <w:r>
              <w:rPr>
                <w:rFonts w:cs="Arial"/>
              </w:rPr>
              <w:t>Nestle de Colombia S.A.</w:t>
            </w:r>
          </w:p>
        </w:tc>
      </w:tr>
      <w:tr w:rsidR="00942DE6" w:rsidRPr="0030030B" w14:paraId="5771665F" w14:textId="77777777" w:rsidTr="00960CF2">
        <w:trPr>
          <w:trHeight w:val="247"/>
          <w:jc w:val="center"/>
        </w:trPr>
        <w:tc>
          <w:tcPr>
            <w:tcW w:w="1710" w:type="dxa"/>
            <w:tcBorders>
              <w:top w:val="single" w:sz="6" w:space="0" w:color="auto"/>
              <w:left w:val="single" w:sz="6" w:space="0" w:color="auto"/>
              <w:bottom w:val="single" w:sz="6" w:space="0" w:color="auto"/>
              <w:right w:val="single" w:sz="6" w:space="0" w:color="auto"/>
            </w:tcBorders>
          </w:tcPr>
          <w:p w14:paraId="1CB340F0" w14:textId="77777777" w:rsidR="00942DE6" w:rsidRPr="0030030B" w:rsidRDefault="00942DE6" w:rsidP="00960CF2">
            <w:pPr>
              <w:keepNext/>
              <w:widowControl w:val="0"/>
              <w:autoSpaceDE w:val="0"/>
              <w:autoSpaceDN w:val="0"/>
              <w:adjustRightInd w:val="0"/>
              <w:spacing w:line="276" w:lineRule="auto"/>
              <w:jc w:val="center"/>
              <w:rPr>
                <w:rFonts w:cs="Arial"/>
              </w:rPr>
            </w:pPr>
            <w:r w:rsidRPr="0030030B">
              <w:rPr>
                <w:rFonts w:cs="Arial"/>
              </w:rPr>
              <w:t>Demandado</w:t>
            </w:r>
          </w:p>
        </w:tc>
        <w:tc>
          <w:tcPr>
            <w:tcW w:w="5165" w:type="dxa"/>
            <w:tcBorders>
              <w:top w:val="single" w:sz="6" w:space="0" w:color="auto"/>
              <w:left w:val="single" w:sz="6" w:space="0" w:color="auto"/>
              <w:bottom w:val="single" w:sz="6" w:space="0" w:color="auto"/>
              <w:right w:val="single" w:sz="6" w:space="0" w:color="auto"/>
            </w:tcBorders>
          </w:tcPr>
          <w:p w14:paraId="23CF014B" w14:textId="77777777" w:rsidR="00942DE6" w:rsidRPr="0030030B" w:rsidRDefault="00721EFB" w:rsidP="00960CF2">
            <w:pPr>
              <w:keepNext/>
              <w:widowControl w:val="0"/>
              <w:autoSpaceDE w:val="0"/>
              <w:autoSpaceDN w:val="0"/>
              <w:adjustRightInd w:val="0"/>
              <w:spacing w:line="276" w:lineRule="auto"/>
              <w:jc w:val="center"/>
              <w:rPr>
                <w:rFonts w:cs="Arial"/>
              </w:rPr>
            </w:pPr>
            <w:r>
              <w:rPr>
                <w:rFonts w:cs="Arial"/>
              </w:rPr>
              <w:t>Claudia Patricia Granda Ibarra y otro</w:t>
            </w:r>
          </w:p>
        </w:tc>
      </w:tr>
      <w:tr w:rsidR="00942DE6" w:rsidRPr="0030030B" w14:paraId="08AA5AED" w14:textId="77777777" w:rsidTr="00960CF2">
        <w:trPr>
          <w:trHeight w:val="230"/>
          <w:jc w:val="center"/>
        </w:trPr>
        <w:tc>
          <w:tcPr>
            <w:tcW w:w="1710" w:type="dxa"/>
            <w:tcBorders>
              <w:top w:val="single" w:sz="6" w:space="0" w:color="auto"/>
              <w:left w:val="single" w:sz="6" w:space="0" w:color="auto"/>
              <w:bottom w:val="single" w:sz="6" w:space="0" w:color="auto"/>
              <w:right w:val="single" w:sz="6" w:space="0" w:color="auto"/>
            </w:tcBorders>
          </w:tcPr>
          <w:p w14:paraId="34713955" w14:textId="77777777" w:rsidR="00942DE6" w:rsidRPr="0030030B" w:rsidRDefault="00942DE6" w:rsidP="00960CF2">
            <w:pPr>
              <w:keepNext/>
              <w:widowControl w:val="0"/>
              <w:autoSpaceDE w:val="0"/>
              <w:autoSpaceDN w:val="0"/>
              <w:adjustRightInd w:val="0"/>
              <w:spacing w:line="276" w:lineRule="auto"/>
              <w:jc w:val="center"/>
              <w:rPr>
                <w:rFonts w:cs="Arial"/>
              </w:rPr>
            </w:pPr>
            <w:r w:rsidRPr="0030030B">
              <w:rPr>
                <w:rFonts w:cs="Arial"/>
              </w:rPr>
              <w:t>Radicado</w:t>
            </w:r>
          </w:p>
        </w:tc>
        <w:tc>
          <w:tcPr>
            <w:tcW w:w="5165" w:type="dxa"/>
            <w:tcBorders>
              <w:top w:val="single" w:sz="6" w:space="0" w:color="auto"/>
              <w:left w:val="single" w:sz="6" w:space="0" w:color="auto"/>
              <w:bottom w:val="single" w:sz="6" w:space="0" w:color="auto"/>
              <w:right w:val="single" w:sz="6" w:space="0" w:color="auto"/>
            </w:tcBorders>
          </w:tcPr>
          <w:p w14:paraId="76B13E27" w14:textId="77777777" w:rsidR="00942DE6" w:rsidRPr="0030030B" w:rsidRDefault="00942DE6" w:rsidP="00721EFB">
            <w:pPr>
              <w:keepNext/>
              <w:widowControl w:val="0"/>
              <w:autoSpaceDE w:val="0"/>
              <w:autoSpaceDN w:val="0"/>
              <w:adjustRightInd w:val="0"/>
              <w:spacing w:line="276" w:lineRule="auto"/>
              <w:jc w:val="center"/>
              <w:rPr>
                <w:rFonts w:cs="Arial"/>
              </w:rPr>
            </w:pPr>
            <w:r w:rsidRPr="0030030B">
              <w:rPr>
                <w:rFonts w:cs="Arial"/>
              </w:rPr>
              <w:t xml:space="preserve">05001 40 03 017 </w:t>
            </w:r>
            <w:r w:rsidR="002035EE">
              <w:rPr>
                <w:rFonts w:cs="Arial"/>
              </w:rPr>
              <w:t>2018 0</w:t>
            </w:r>
            <w:r w:rsidR="00721EFB">
              <w:rPr>
                <w:rFonts w:cs="Arial"/>
              </w:rPr>
              <w:t>1256</w:t>
            </w:r>
            <w:r w:rsidR="00A57F3C" w:rsidRPr="0030030B">
              <w:rPr>
                <w:rFonts w:cs="Arial"/>
              </w:rPr>
              <w:t xml:space="preserve"> 00</w:t>
            </w:r>
          </w:p>
        </w:tc>
      </w:tr>
      <w:tr w:rsidR="00A73953" w:rsidRPr="0030030B" w14:paraId="2E184C05" w14:textId="77777777" w:rsidTr="00960CF2">
        <w:trPr>
          <w:trHeight w:val="230"/>
          <w:jc w:val="center"/>
        </w:trPr>
        <w:tc>
          <w:tcPr>
            <w:tcW w:w="1710" w:type="dxa"/>
            <w:tcBorders>
              <w:top w:val="single" w:sz="6" w:space="0" w:color="auto"/>
              <w:left w:val="single" w:sz="6" w:space="0" w:color="auto"/>
              <w:bottom w:val="single" w:sz="6" w:space="0" w:color="auto"/>
              <w:right w:val="single" w:sz="6" w:space="0" w:color="auto"/>
            </w:tcBorders>
          </w:tcPr>
          <w:p w14:paraId="0A6EFA36" w14:textId="77777777" w:rsidR="00A73953" w:rsidRPr="0030030B" w:rsidRDefault="00A73953" w:rsidP="00960CF2">
            <w:pPr>
              <w:keepNext/>
              <w:widowControl w:val="0"/>
              <w:autoSpaceDE w:val="0"/>
              <w:autoSpaceDN w:val="0"/>
              <w:adjustRightInd w:val="0"/>
              <w:spacing w:line="276" w:lineRule="auto"/>
              <w:jc w:val="center"/>
              <w:rPr>
                <w:rFonts w:cs="Arial"/>
              </w:rPr>
            </w:pPr>
            <w:r>
              <w:rPr>
                <w:rFonts w:cs="Arial"/>
              </w:rPr>
              <w:t>Sentencia</w:t>
            </w:r>
          </w:p>
        </w:tc>
        <w:tc>
          <w:tcPr>
            <w:tcW w:w="5165" w:type="dxa"/>
            <w:tcBorders>
              <w:top w:val="single" w:sz="6" w:space="0" w:color="auto"/>
              <w:left w:val="single" w:sz="6" w:space="0" w:color="auto"/>
              <w:bottom w:val="single" w:sz="6" w:space="0" w:color="auto"/>
              <w:right w:val="single" w:sz="6" w:space="0" w:color="auto"/>
            </w:tcBorders>
          </w:tcPr>
          <w:p w14:paraId="5E81A15D" w14:textId="77777777" w:rsidR="00A73953" w:rsidRPr="0030030B" w:rsidRDefault="00A73953" w:rsidP="00721EFB">
            <w:pPr>
              <w:keepNext/>
              <w:widowControl w:val="0"/>
              <w:autoSpaceDE w:val="0"/>
              <w:autoSpaceDN w:val="0"/>
              <w:adjustRightInd w:val="0"/>
              <w:spacing w:line="276" w:lineRule="auto"/>
              <w:jc w:val="center"/>
              <w:rPr>
                <w:rFonts w:cs="Arial"/>
              </w:rPr>
            </w:pPr>
            <w:r>
              <w:rPr>
                <w:rFonts w:cs="Arial"/>
              </w:rPr>
              <w:t>Nro. 0023</w:t>
            </w:r>
          </w:p>
        </w:tc>
      </w:tr>
      <w:tr w:rsidR="00942DE6" w:rsidRPr="0030030B" w14:paraId="572A2B66" w14:textId="77777777" w:rsidTr="00960CF2">
        <w:trPr>
          <w:trHeight w:val="230"/>
          <w:jc w:val="center"/>
        </w:trPr>
        <w:tc>
          <w:tcPr>
            <w:tcW w:w="1710" w:type="dxa"/>
            <w:tcBorders>
              <w:top w:val="single" w:sz="6" w:space="0" w:color="auto"/>
              <w:left w:val="single" w:sz="6" w:space="0" w:color="auto"/>
              <w:bottom w:val="single" w:sz="6" w:space="0" w:color="auto"/>
              <w:right w:val="single" w:sz="6" w:space="0" w:color="auto"/>
            </w:tcBorders>
          </w:tcPr>
          <w:p w14:paraId="7529307C" w14:textId="77777777" w:rsidR="00942DE6" w:rsidRPr="0030030B" w:rsidRDefault="00942DE6" w:rsidP="00960CF2">
            <w:pPr>
              <w:keepNext/>
              <w:widowControl w:val="0"/>
              <w:autoSpaceDE w:val="0"/>
              <w:autoSpaceDN w:val="0"/>
              <w:adjustRightInd w:val="0"/>
              <w:spacing w:line="276" w:lineRule="auto"/>
              <w:jc w:val="center"/>
              <w:rPr>
                <w:rFonts w:cs="Arial"/>
              </w:rPr>
            </w:pPr>
            <w:r w:rsidRPr="0030030B">
              <w:rPr>
                <w:rFonts w:cs="Arial"/>
              </w:rPr>
              <w:t>Síntesis</w:t>
            </w:r>
          </w:p>
        </w:tc>
        <w:tc>
          <w:tcPr>
            <w:tcW w:w="5165" w:type="dxa"/>
            <w:tcBorders>
              <w:top w:val="single" w:sz="6" w:space="0" w:color="auto"/>
              <w:left w:val="single" w:sz="6" w:space="0" w:color="auto"/>
              <w:bottom w:val="single" w:sz="6" w:space="0" w:color="auto"/>
              <w:right w:val="single" w:sz="6" w:space="0" w:color="auto"/>
            </w:tcBorders>
          </w:tcPr>
          <w:p w14:paraId="4835E8A0" w14:textId="77777777" w:rsidR="00942DE6" w:rsidRPr="0030030B" w:rsidRDefault="00E25DFC" w:rsidP="00942DE6">
            <w:pPr>
              <w:keepNext/>
              <w:widowControl w:val="0"/>
              <w:autoSpaceDE w:val="0"/>
              <w:autoSpaceDN w:val="0"/>
              <w:adjustRightInd w:val="0"/>
              <w:spacing w:line="276" w:lineRule="auto"/>
              <w:rPr>
                <w:rFonts w:cs="Arial"/>
              </w:rPr>
            </w:pPr>
            <w:r>
              <w:rPr>
                <w:rFonts w:cs="Arial"/>
              </w:rPr>
              <w:t xml:space="preserve">Los pagos realizados con posterioridad a la presentación de la demanda, se tienen en cuentan como abonos. </w:t>
            </w:r>
          </w:p>
        </w:tc>
      </w:tr>
    </w:tbl>
    <w:p w14:paraId="07CFC9C4" w14:textId="77777777" w:rsidR="00942DE6" w:rsidRPr="0030030B" w:rsidRDefault="00942DE6" w:rsidP="00942DE6">
      <w:pPr>
        <w:pStyle w:val="Sangradetextonormal"/>
        <w:spacing w:after="0" w:line="360" w:lineRule="auto"/>
        <w:ind w:left="0"/>
        <w:rPr>
          <w:rFonts w:ascii="Arial" w:hAnsi="Arial" w:cs="Arial"/>
        </w:rPr>
      </w:pPr>
    </w:p>
    <w:p w14:paraId="497C1249" w14:textId="77777777" w:rsidR="00942DE6" w:rsidRPr="0030030B" w:rsidRDefault="00942DE6" w:rsidP="00942DE6">
      <w:pPr>
        <w:pStyle w:val="Prrafodelista"/>
        <w:widowControl w:val="0"/>
        <w:numPr>
          <w:ilvl w:val="0"/>
          <w:numId w:val="1"/>
        </w:numPr>
        <w:autoSpaceDE w:val="0"/>
        <w:autoSpaceDN w:val="0"/>
        <w:adjustRightInd w:val="0"/>
        <w:spacing w:line="360" w:lineRule="auto"/>
        <w:jc w:val="center"/>
        <w:rPr>
          <w:rFonts w:ascii="Arial" w:hAnsi="Arial" w:cs="Arial"/>
          <w:bCs/>
        </w:rPr>
      </w:pPr>
      <w:r w:rsidRPr="0030030B">
        <w:rPr>
          <w:rFonts w:ascii="Arial" w:hAnsi="Arial" w:cs="Arial"/>
          <w:bCs/>
        </w:rPr>
        <w:t>OBJETO</w:t>
      </w:r>
    </w:p>
    <w:p w14:paraId="37D64932" w14:textId="77777777" w:rsidR="00942DE6" w:rsidRPr="0030030B" w:rsidRDefault="00942DE6" w:rsidP="00942DE6">
      <w:pPr>
        <w:widowControl w:val="0"/>
        <w:autoSpaceDE w:val="0"/>
        <w:autoSpaceDN w:val="0"/>
        <w:adjustRightInd w:val="0"/>
        <w:spacing w:line="360" w:lineRule="auto"/>
        <w:rPr>
          <w:rFonts w:cs="Arial"/>
        </w:rPr>
      </w:pPr>
    </w:p>
    <w:p w14:paraId="32C2D25D" w14:textId="77777777" w:rsidR="004E03FE" w:rsidRDefault="00942DE6" w:rsidP="0043467D">
      <w:pPr>
        <w:spacing w:line="360" w:lineRule="auto"/>
        <w:rPr>
          <w:rFonts w:cs="Arial"/>
        </w:rPr>
      </w:pPr>
      <w:r w:rsidRPr="0030030B">
        <w:rPr>
          <w:rFonts w:cs="Arial"/>
        </w:rPr>
        <w:t xml:space="preserve">Procede el Despacho a desatar la litis en la acción </w:t>
      </w:r>
      <w:r w:rsidR="00E25DFC" w:rsidRPr="0030030B">
        <w:rPr>
          <w:rFonts w:cs="Arial"/>
        </w:rPr>
        <w:t>EJECUTIVA</w:t>
      </w:r>
      <w:r w:rsidR="00E25DFC">
        <w:rPr>
          <w:rFonts w:cs="Arial"/>
        </w:rPr>
        <w:t xml:space="preserve"> CON TITULO HIPOTECARIO</w:t>
      </w:r>
      <w:r w:rsidR="00E25DFC" w:rsidRPr="0030030B">
        <w:rPr>
          <w:rFonts w:cs="Arial"/>
        </w:rPr>
        <w:t xml:space="preserve"> </w:t>
      </w:r>
      <w:r w:rsidRPr="0030030B">
        <w:rPr>
          <w:rFonts w:cs="Arial"/>
        </w:rPr>
        <w:t xml:space="preserve">interpuesta por </w:t>
      </w:r>
      <w:r w:rsidR="00E25DFC">
        <w:rPr>
          <w:rFonts w:cs="Arial"/>
        </w:rPr>
        <w:t xml:space="preserve">NESTLÉ DE COLOMBIA S.A., </w:t>
      </w:r>
      <w:r w:rsidRPr="0030030B">
        <w:rPr>
          <w:rFonts w:cs="Arial"/>
        </w:rPr>
        <w:t xml:space="preserve">en contra de </w:t>
      </w:r>
      <w:r w:rsidR="00E25DFC">
        <w:rPr>
          <w:rFonts w:cs="Arial"/>
        </w:rPr>
        <w:t>CLAUDIA PATRICIA GRANDA IBARRA Y WILSON DE JESÚS MEJÍA IBARRA.</w:t>
      </w:r>
    </w:p>
    <w:p w14:paraId="770D1365" w14:textId="77777777" w:rsidR="0042133E" w:rsidRPr="0030030B" w:rsidRDefault="0042133E" w:rsidP="0043467D">
      <w:pPr>
        <w:spacing w:line="360" w:lineRule="auto"/>
        <w:rPr>
          <w:rFonts w:cs="Arial"/>
        </w:rPr>
      </w:pPr>
    </w:p>
    <w:p w14:paraId="4BAE132F" w14:textId="77777777" w:rsidR="00942DE6" w:rsidRPr="00E25DFC" w:rsidRDefault="00942DE6" w:rsidP="00942DE6">
      <w:pPr>
        <w:pStyle w:val="Prrafodelista"/>
        <w:widowControl w:val="0"/>
        <w:numPr>
          <w:ilvl w:val="0"/>
          <w:numId w:val="1"/>
        </w:numPr>
        <w:autoSpaceDE w:val="0"/>
        <w:autoSpaceDN w:val="0"/>
        <w:adjustRightInd w:val="0"/>
        <w:spacing w:line="360" w:lineRule="auto"/>
        <w:jc w:val="center"/>
        <w:rPr>
          <w:rFonts w:ascii="Arial" w:hAnsi="Arial" w:cs="Arial"/>
          <w:b/>
        </w:rPr>
      </w:pPr>
      <w:r w:rsidRPr="00E25DFC">
        <w:rPr>
          <w:rFonts w:ascii="Arial" w:hAnsi="Arial" w:cs="Arial"/>
          <w:b/>
          <w:bCs/>
        </w:rPr>
        <w:t>ANTECEDENTES</w:t>
      </w:r>
    </w:p>
    <w:p w14:paraId="7022D7E6" w14:textId="77777777" w:rsidR="00942DE6" w:rsidRPr="0030030B" w:rsidRDefault="00942DE6" w:rsidP="00942DE6">
      <w:pPr>
        <w:widowControl w:val="0"/>
        <w:autoSpaceDE w:val="0"/>
        <w:autoSpaceDN w:val="0"/>
        <w:adjustRightInd w:val="0"/>
        <w:spacing w:line="360" w:lineRule="auto"/>
        <w:ind w:firstLine="708"/>
        <w:rPr>
          <w:rFonts w:cs="Arial"/>
        </w:rPr>
      </w:pPr>
    </w:p>
    <w:p w14:paraId="03C18CFE" w14:textId="77777777" w:rsidR="00DC180F" w:rsidRDefault="00942DE6" w:rsidP="00DC180F">
      <w:pPr>
        <w:spacing w:line="360" w:lineRule="auto"/>
        <w:rPr>
          <w:rFonts w:cs="Arial"/>
        </w:rPr>
      </w:pPr>
      <w:r w:rsidRPr="0030030B">
        <w:rPr>
          <w:rFonts w:cs="Arial"/>
        </w:rPr>
        <w:t>2.1.</w:t>
      </w:r>
      <w:r w:rsidRPr="00DC180F">
        <w:rPr>
          <w:rFonts w:cs="Arial"/>
          <w:b/>
        </w:rPr>
        <w:t xml:space="preserve"> De la pretensión</w:t>
      </w:r>
      <w:r w:rsidRPr="0030030B">
        <w:rPr>
          <w:rFonts w:cs="Arial"/>
        </w:rPr>
        <w:t xml:space="preserve">: </w:t>
      </w:r>
      <w:r w:rsidR="00DC180F">
        <w:rPr>
          <w:rFonts w:cs="Arial"/>
        </w:rPr>
        <w:t xml:space="preserve"> </w:t>
      </w:r>
    </w:p>
    <w:p w14:paraId="334A9842" w14:textId="77777777" w:rsidR="00DC180F" w:rsidRDefault="00DC180F" w:rsidP="00DC180F">
      <w:pPr>
        <w:spacing w:line="360" w:lineRule="auto"/>
        <w:rPr>
          <w:rFonts w:cs="Arial"/>
        </w:rPr>
      </w:pPr>
    </w:p>
    <w:p w14:paraId="4FBFE75B" w14:textId="77777777" w:rsidR="0042133E" w:rsidRPr="0030030B" w:rsidRDefault="00DC180F" w:rsidP="00DC180F">
      <w:pPr>
        <w:spacing w:line="360" w:lineRule="auto"/>
        <w:rPr>
          <w:rFonts w:cs="Arial"/>
        </w:rPr>
      </w:pPr>
      <w:r>
        <w:rPr>
          <w:rFonts w:cs="Arial"/>
        </w:rPr>
        <w:t xml:space="preserve">Nestlé de Colombia S.A </w:t>
      </w:r>
      <w:r w:rsidR="00942DE6" w:rsidRPr="0030030B">
        <w:rPr>
          <w:rFonts w:cs="Arial"/>
        </w:rPr>
        <w:t xml:space="preserve"> presentó demanda solicitando al Juzgado librar mandamiento ejecutivo a su </w:t>
      </w:r>
      <w:r w:rsidR="00A57F3C" w:rsidRPr="0030030B">
        <w:rPr>
          <w:rFonts w:cs="Arial"/>
        </w:rPr>
        <w:t xml:space="preserve">favor y en contra </w:t>
      </w:r>
      <w:r w:rsidR="002E09B5">
        <w:rPr>
          <w:rFonts w:cs="Arial"/>
        </w:rPr>
        <w:t>de</w:t>
      </w:r>
      <w:r>
        <w:rPr>
          <w:rFonts w:cs="Arial"/>
        </w:rPr>
        <w:t xml:space="preserve"> </w:t>
      </w:r>
      <w:r w:rsidR="002E09B5">
        <w:rPr>
          <w:rFonts w:cs="Arial"/>
        </w:rPr>
        <w:t>l</w:t>
      </w:r>
      <w:r>
        <w:rPr>
          <w:rFonts w:cs="Arial"/>
        </w:rPr>
        <w:t>os</w:t>
      </w:r>
      <w:r w:rsidR="002E09B5">
        <w:rPr>
          <w:rFonts w:cs="Arial"/>
        </w:rPr>
        <w:t xml:space="preserve"> ejecutado</w:t>
      </w:r>
      <w:r>
        <w:rPr>
          <w:rFonts w:cs="Arial"/>
        </w:rPr>
        <w:t xml:space="preserve">s Claudia Patricia Granda Ibarra y Wilson de Jesús Mejía Ibarra </w:t>
      </w:r>
      <w:r w:rsidR="00942DE6" w:rsidRPr="0030030B">
        <w:rPr>
          <w:rFonts w:cs="Arial"/>
        </w:rPr>
        <w:t xml:space="preserve">por </w:t>
      </w:r>
      <w:r w:rsidR="0042133E">
        <w:rPr>
          <w:rFonts w:cs="Arial"/>
        </w:rPr>
        <w:t xml:space="preserve">la suma de </w:t>
      </w:r>
      <w:r w:rsidR="00671038">
        <w:rPr>
          <w:rFonts w:cs="Arial"/>
        </w:rPr>
        <w:t>$56.500.000</w:t>
      </w:r>
      <w:r w:rsidR="004E03FE">
        <w:rPr>
          <w:rFonts w:cs="Arial"/>
        </w:rPr>
        <w:t>,</w:t>
      </w:r>
      <w:r w:rsidR="00942DE6" w:rsidRPr="0030030B">
        <w:rPr>
          <w:rFonts w:cs="Arial"/>
        </w:rPr>
        <w:t xml:space="preserve"> el cual corresponde al saldo pe</w:t>
      </w:r>
      <w:r w:rsidR="00A57F3C" w:rsidRPr="0030030B">
        <w:rPr>
          <w:rFonts w:cs="Arial"/>
        </w:rPr>
        <w:t>ndiente p</w:t>
      </w:r>
      <w:r w:rsidR="00C872D7" w:rsidRPr="0030030B">
        <w:rPr>
          <w:rFonts w:cs="Arial"/>
        </w:rPr>
        <w:t xml:space="preserve">or cancelar respecto </w:t>
      </w:r>
      <w:r w:rsidR="00671038">
        <w:rPr>
          <w:rFonts w:cs="Arial"/>
        </w:rPr>
        <w:t>a la obligación contenida en el acta de concil</w:t>
      </w:r>
      <w:r>
        <w:rPr>
          <w:rFonts w:cs="Arial"/>
        </w:rPr>
        <w:t>iación obrante a folios 6 al 15 y respaldada</w:t>
      </w:r>
      <w:r w:rsidR="0042133E">
        <w:rPr>
          <w:rFonts w:cs="Arial"/>
        </w:rPr>
        <w:t xml:space="preserve"> a través de garantía hipotecaria constituida a través de escritura pública No. </w:t>
      </w:r>
      <w:r w:rsidR="00671038">
        <w:rPr>
          <w:rFonts w:cs="Arial"/>
        </w:rPr>
        <w:t>116 del 26 de enero de 2010</w:t>
      </w:r>
      <w:r w:rsidR="0042133E">
        <w:rPr>
          <w:rFonts w:cs="Arial"/>
        </w:rPr>
        <w:t xml:space="preserve"> de la Notaria</w:t>
      </w:r>
      <w:r w:rsidR="002958DF">
        <w:rPr>
          <w:rFonts w:cs="Arial"/>
        </w:rPr>
        <w:t xml:space="preserve"> </w:t>
      </w:r>
      <w:r w:rsidR="00671038">
        <w:rPr>
          <w:rFonts w:cs="Arial"/>
        </w:rPr>
        <w:t>22</w:t>
      </w:r>
      <w:r w:rsidR="0042133E">
        <w:rPr>
          <w:rFonts w:cs="Arial"/>
        </w:rPr>
        <w:t xml:space="preserve"> del Círculo de Medellín.</w:t>
      </w:r>
    </w:p>
    <w:p w14:paraId="101B5D90" w14:textId="77777777" w:rsidR="00942DE6" w:rsidRPr="0030030B" w:rsidRDefault="00942DE6" w:rsidP="00942DE6">
      <w:pPr>
        <w:autoSpaceDE w:val="0"/>
        <w:autoSpaceDN w:val="0"/>
        <w:adjustRightInd w:val="0"/>
        <w:spacing w:before="5" w:line="360" w:lineRule="auto"/>
        <w:rPr>
          <w:rFonts w:cs="Arial"/>
        </w:rPr>
      </w:pPr>
    </w:p>
    <w:p w14:paraId="04E10614" w14:textId="77777777" w:rsidR="00DC180F" w:rsidRDefault="00942DE6" w:rsidP="00942DE6">
      <w:pPr>
        <w:widowControl w:val="0"/>
        <w:autoSpaceDE w:val="0"/>
        <w:autoSpaceDN w:val="0"/>
        <w:adjustRightInd w:val="0"/>
        <w:spacing w:line="360" w:lineRule="auto"/>
        <w:rPr>
          <w:rFonts w:cs="Arial"/>
        </w:rPr>
      </w:pPr>
      <w:r w:rsidRPr="0030030B">
        <w:rPr>
          <w:rFonts w:cs="Arial"/>
        </w:rPr>
        <w:t xml:space="preserve">2.2. La causa </w:t>
      </w:r>
      <w:r w:rsidRPr="0030030B">
        <w:rPr>
          <w:rFonts w:cs="Arial"/>
          <w:i/>
        </w:rPr>
        <w:t xml:space="preserve">petendi </w:t>
      </w:r>
      <w:r w:rsidRPr="0030030B">
        <w:rPr>
          <w:rFonts w:cs="Arial"/>
        </w:rPr>
        <w:t xml:space="preserve">se sustenta de la siguiente manera: </w:t>
      </w:r>
    </w:p>
    <w:p w14:paraId="47B2D98C" w14:textId="77777777" w:rsidR="00DC180F" w:rsidRDefault="00DC180F" w:rsidP="00942DE6">
      <w:pPr>
        <w:widowControl w:val="0"/>
        <w:autoSpaceDE w:val="0"/>
        <w:autoSpaceDN w:val="0"/>
        <w:adjustRightInd w:val="0"/>
        <w:spacing w:line="360" w:lineRule="auto"/>
        <w:rPr>
          <w:rFonts w:cs="Arial"/>
        </w:rPr>
      </w:pPr>
    </w:p>
    <w:p w14:paraId="3350B71D" w14:textId="77777777" w:rsidR="00DC180F" w:rsidRDefault="00DC180F" w:rsidP="00942DE6">
      <w:pPr>
        <w:widowControl w:val="0"/>
        <w:autoSpaceDE w:val="0"/>
        <w:autoSpaceDN w:val="0"/>
        <w:adjustRightInd w:val="0"/>
        <w:spacing w:line="360" w:lineRule="auto"/>
        <w:rPr>
          <w:rFonts w:cs="Arial"/>
        </w:rPr>
      </w:pPr>
      <w:r>
        <w:rPr>
          <w:rFonts w:cs="Arial"/>
        </w:rPr>
        <w:t>El 26 de octubre de 2015 se realizó una audiencia de conciliación donde la sociedad INVERSIONES AGRICOLAS EL DARIEN SAS</w:t>
      </w:r>
      <w:r w:rsidR="00E25DFC">
        <w:rPr>
          <w:rFonts w:cs="Arial"/>
        </w:rPr>
        <w:t>,</w:t>
      </w:r>
      <w:r>
        <w:rPr>
          <w:rFonts w:cs="Arial"/>
        </w:rPr>
        <w:t xml:space="preserve"> acordó pagar la suma de $72.000.0000 como pago total de una deuda a favor de NESTLÉ DE COLOMBIA, a la cual le ha realizado abonos rebajando el capital a la suma de $56.700.000.</w:t>
      </w:r>
    </w:p>
    <w:p w14:paraId="3A8D928D" w14:textId="77777777" w:rsidR="00E25DFC" w:rsidRDefault="00E25DFC" w:rsidP="00942DE6">
      <w:pPr>
        <w:widowControl w:val="0"/>
        <w:autoSpaceDE w:val="0"/>
        <w:autoSpaceDN w:val="0"/>
        <w:adjustRightInd w:val="0"/>
        <w:spacing w:line="360" w:lineRule="auto"/>
        <w:rPr>
          <w:rFonts w:cs="Arial"/>
        </w:rPr>
      </w:pPr>
    </w:p>
    <w:p w14:paraId="643BFBD8" w14:textId="77777777" w:rsidR="00DC180F" w:rsidRDefault="00DC180F" w:rsidP="00942DE6">
      <w:pPr>
        <w:widowControl w:val="0"/>
        <w:autoSpaceDE w:val="0"/>
        <w:autoSpaceDN w:val="0"/>
        <w:adjustRightInd w:val="0"/>
        <w:spacing w:line="360" w:lineRule="auto"/>
        <w:rPr>
          <w:rFonts w:cs="Arial"/>
        </w:rPr>
      </w:pPr>
      <w:r>
        <w:rPr>
          <w:rFonts w:cs="Arial"/>
        </w:rPr>
        <w:t>Mediante escritura pública 116 de 26 de enero de 2010</w:t>
      </w:r>
      <w:r w:rsidR="00E25DFC">
        <w:rPr>
          <w:rFonts w:cs="Arial"/>
        </w:rPr>
        <w:t>,</w:t>
      </w:r>
      <w:r>
        <w:rPr>
          <w:rFonts w:cs="Arial"/>
        </w:rPr>
        <w:t xml:space="preserve"> los</w:t>
      </w:r>
      <w:r w:rsidR="00435287">
        <w:rPr>
          <w:rFonts w:cs="Arial"/>
        </w:rPr>
        <w:t xml:space="preserve"> demandados </w:t>
      </w:r>
      <w:r w:rsidR="00435287">
        <w:rPr>
          <w:rFonts w:cs="Arial"/>
        </w:rPr>
        <w:lastRenderedPageBreak/>
        <w:t xml:space="preserve">constituyeron hipoteca sobre los </w:t>
      </w:r>
      <w:r w:rsidR="00E25DFC">
        <w:rPr>
          <w:rFonts w:cs="Arial"/>
        </w:rPr>
        <w:t>inmuebles</w:t>
      </w:r>
      <w:r w:rsidR="00435287">
        <w:rPr>
          <w:rFonts w:cs="Arial"/>
        </w:rPr>
        <w:t xml:space="preserve"> </w:t>
      </w:r>
      <w:r w:rsidR="00E25DFC">
        <w:rPr>
          <w:rFonts w:cs="Arial"/>
        </w:rPr>
        <w:t>identificados</w:t>
      </w:r>
      <w:r w:rsidR="00435287">
        <w:rPr>
          <w:rFonts w:cs="Arial"/>
        </w:rPr>
        <w:t xml:space="preserve"> con </w:t>
      </w:r>
      <w:r w:rsidR="00E25DFC">
        <w:rPr>
          <w:rFonts w:cs="Arial"/>
        </w:rPr>
        <w:t>matrículas</w:t>
      </w:r>
      <w:r w:rsidR="00435287">
        <w:rPr>
          <w:rFonts w:cs="Arial"/>
        </w:rPr>
        <w:t xml:space="preserve"> inmobiliarias nros. 001-0589725 y 001-0589711 y en la </w:t>
      </w:r>
      <w:r w:rsidR="00E25DFC">
        <w:rPr>
          <w:rFonts w:cs="Arial"/>
        </w:rPr>
        <w:t>cláusula</w:t>
      </w:r>
      <w:r w:rsidR="00435287">
        <w:rPr>
          <w:rFonts w:cs="Arial"/>
        </w:rPr>
        <w:t xml:space="preserve"> cuarta, garantizan el cumplimiento de sus obligaciones y las de la </w:t>
      </w:r>
      <w:r w:rsidR="00E25DFC">
        <w:rPr>
          <w:rFonts w:cs="Arial"/>
        </w:rPr>
        <w:t>sociedad</w:t>
      </w:r>
      <w:r w:rsidR="00435287">
        <w:rPr>
          <w:rFonts w:cs="Arial"/>
        </w:rPr>
        <w:t xml:space="preserve"> INV</w:t>
      </w:r>
      <w:r w:rsidR="00E25DFC">
        <w:rPr>
          <w:rFonts w:cs="Arial"/>
        </w:rPr>
        <w:t xml:space="preserve">ERSIOONES AGRICOLAS EL DARIEN  </w:t>
      </w:r>
      <w:r w:rsidR="00435287">
        <w:rPr>
          <w:rFonts w:cs="Arial"/>
        </w:rPr>
        <w:t>hasta por la suma de $141.000.000</w:t>
      </w:r>
      <w:r w:rsidR="00E25DFC">
        <w:rPr>
          <w:rFonts w:cs="Arial"/>
        </w:rPr>
        <w:t>.</w:t>
      </w:r>
    </w:p>
    <w:p w14:paraId="6C397864" w14:textId="77777777" w:rsidR="00DC180F" w:rsidRDefault="00DC180F" w:rsidP="00942DE6">
      <w:pPr>
        <w:widowControl w:val="0"/>
        <w:autoSpaceDE w:val="0"/>
        <w:autoSpaceDN w:val="0"/>
        <w:adjustRightInd w:val="0"/>
        <w:spacing w:line="360" w:lineRule="auto"/>
        <w:rPr>
          <w:rFonts w:cs="Arial"/>
        </w:rPr>
      </w:pPr>
    </w:p>
    <w:p w14:paraId="73CC75E2" w14:textId="77777777" w:rsidR="00942DE6" w:rsidRPr="0030030B" w:rsidRDefault="00435287" w:rsidP="00942DE6">
      <w:pPr>
        <w:widowControl w:val="0"/>
        <w:autoSpaceDE w:val="0"/>
        <w:autoSpaceDN w:val="0"/>
        <w:adjustRightInd w:val="0"/>
        <w:spacing w:line="360" w:lineRule="auto"/>
        <w:rPr>
          <w:rFonts w:cs="Arial"/>
        </w:rPr>
      </w:pPr>
      <w:r>
        <w:rPr>
          <w:rFonts w:cs="Arial"/>
        </w:rPr>
        <w:t xml:space="preserve"> El acta de conciliación arrimada </w:t>
      </w:r>
      <w:r w:rsidR="00F66FA5">
        <w:rPr>
          <w:rFonts w:cs="Arial"/>
        </w:rPr>
        <w:t>al proceso</w:t>
      </w:r>
      <w:r w:rsidR="00A57F3C" w:rsidRPr="0030030B">
        <w:rPr>
          <w:rFonts w:cs="Arial"/>
        </w:rPr>
        <w:t xml:space="preserve"> </w:t>
      </w:r>
      <w:r w:rsidR="00716E7B">
        <w:rPr>
          <w:rFonts w:cs="Arial"/>
        </w:rPr>
        <w:t xml:space="preserve">contiene </w:t>
      </w:r>
      <w:r w:rsidR="00942DE6" w:rsidRPr="0030030B">
        <w:rPr>
          <w:rFonts w:cs="Arial"/>
        </w:rPr>
        <w:t xml:space="preserve">una obligación clara, expresa y exigible. </w:t>
      </w:r>
    </w:p>
    <w:p w14:paraId="05D34C20" w14:textId="77777777" w:rsidR="00942DE6" w:rsidRPr="0030030B" w:rsidRDefault="00942DE6" w:rsidP="00942DE6">
      <w:pPr>
        <w:widowControl w:val="0"/>
        <w:autoSpaceDE w:val="0"/>
        <w:autoSpaceDN w:val="0"/>
        <w:adjustRightInd w:val="0"/>
        <w:spacing w:line="360" w:lineRule="auto"/>
        <w:rPr>
          <w:rFonts w:cs="Arial"/>
        </w:rPr>
      </w:pPr>
    </w:p>
    <w:p w14:paraId="161C2631" w14:textId="77777777" w:rsidR="00942DE6" w:rsidRPr="00E25DFC" w:rsidRDefault="00942DE6" w:rsidP="00942DE6">
      <w:pPr>
        <w:spacing w:line="360" w:lineRule="auto"/>
        <w:rPr>
          <w:rFonts w:cs="Arial"/>
          <w:i/>
        </w:rPr>
      </w:pPr>
      <w:r w:rsidRPr="0030030B">
        <w:rPr>
          <w:rFonts w:cs="Arial"/>
        </w:rPr>
        <w:t xml:space="preserve">2.3. </w:t>
      </w:r>
      <w:r w:rsidRPr="00E25DFC">
        <w:rPr>
          <w:rFonts w:cs="Arial"/>
          <w:b/>
        </w:rPr>
        <w:t>Trámite y resistencia.</w:t>
      </w:r>
      <w:r w:rsidRPr="0030030B">
        <w:rPr>
          <w:rFonts w:cs="Arial"/>
        </w:rPr>
        <w:t xml:space="preserve"> La demanda correspondió por reparto a este Despacho, quien libró mandamiento de pago </w:t>
      </w:r>
      <w:r w:rsidR="00435287">
        <w:rPr>
          <w:rFonts w:cs="Arial"/>
        </w:rPr>
        <w:t xml:space="preserve"> mediante auto del 16 de enero de 2019 </w:t>
      </w:r>
      <w:r w:rsidRPr="0030030B">
        <w:rPr>
          <w:rFonts w:cs="Arial"/>
        </w:rPr>
        <w:t xml:space="preserve">en la forma pedida. </w:t>
      </w:r>
      <w:r w:rsidR="00716E7B">
        <w:rPr>
          <w:rFonts w:cs="Arial"/>
        </w:rPr>
        <w:t>Los demandados</w:t>
      </w:r>
      <w:r w:rsidR="00F66FA5">
        <w:rPr>
          <w:rFonts w:cs="Arial"/>
        </w:rPr>
        <w:t xml:space="preserve"> se notific</w:t>
      </w:r>
      <w:r w:rsidR="00716E7B">
        <w:rPr>
          <w:rFonts w:cs="Arial"/>
        </w:rPr>
        <w:t>aron</w:t>
      </w:r>
      <w:r w:rsidR="00F66FA5">
        <w:rPr>
          <w:rFonts w:cs="Arial"/>
        </w:rPr>
        <w:t xml:space="preserve"> </w:t>
      </w:r>
      <w:r w:rsidR="00716E7B">
        <w:rPr>
          <w:rFonts w:cs="Arial"/>
        </w:rPr>
        <w:t>personalmente</w:t>
      </w:r>
      <w:r w:rsidR="00435287">
        <w:rPr>
          <w:rFonts w:cs="Arial"/>
        </w:rPr>
        <w:t xml:space="preserve"> el día 22 de julio de 2019</w:t>
      </w:r>
      <w:r w:rsidR="00716E7B">
        <w:rPr>
          <w:rFonts w:cs="Arial"/>
        </w:rPr>
        <w:t xml:space="preserve"> y contestaron </w:t>
      </w:r>
      <w:r w:rsidRPr="0030030B">
        <w:rPr>
          <w:rFonts w:cs="Arial"/>
        </w:rPr>
        <w:t xml:space="preserve">la demanda presentando oposición a las pretensiones. </w:t>
      </w:r>
      <w:r w:rsidRPr="0030030B">
        <w:rPr>
          <w:rFonts w:cs="Arial"/>
          <w:iCs/>
        </w:rPr>
        <w:t xml:space="preserve">En la resistencia planteada </w:t>
      </w:r>
      <w:r w:rsidR="00EA6189" w:rsidRPr="0030030B">
        <w:rPr>
          <w:rFonts w:cs="Arial"/>
          <w:iCs/>
        </w:rPr>
        <w:t xml:space="preserve">se expone </w:t>
      </w:r>
      <w:r w:rsidR="00A320B0">
        <w:rPr>
          <w:rFonts w:cs="Arial"/>
          <w:iCs/>
        </w:rPr>
        <w:t>un presunto</w:t>
      </w:r>
      <w:r w:rsidR="00F66FA5">
        <w:rPr>
          <w:rFonts w:cs="Arial"/>
          <w:iCs/>
        </w:rPr>
        <w:t xml:space="preserve"> </w:t>
      </w:r>
      <w:r w:rsidR="00A320B0">
        <w:rPr>
          <w:rFonts w:cs="Arial"/>
          <w:iCs/>
        </w:rPr>
        <w:t xml:space="preserve">pago </w:t>
      </w:r>
      <w:r w:rsidR="005F0D6F">
        <w:rPr>
          <w:rFonts w:cs="Arial"/>
          <w:iCs/>
        </w:rPr>
        <w:t>parcial</w:t>
      </w:r>
      <w:r w:rsidR="00A320B0">
        <w:rPr>
          <w:rFonts w:cs="Arial"/>
          <w:iCs/>
        </w:rPr>
        <w:t xml:space="preserve"> de la obligación</w:t>
      </w:r>
      <w:r w:rsidR="002958DF">
        <w:rPr>
          <w:rFonts w:cs="Arial"/>
          <w:iCs/>
        </w:rPr>
        <w:t>, lo que conllevaría a una inexistencia de la obligación</w:t>
      </w:r>
      <w:r w:rsidR="00671038">
        <w:rPr>
          <w:rFonts w:cs="Arial"/>
          <w:iCs/>
        </w:rPr>
        <w:t>. Igualmente, expone</w:t>
      </w:r>
      <w:r w:rsidR="00435287">
        <w:rPr>
          <w:rFonts w:cs="Arial"/>
          <w:iCs/>
        </w:rPr>
        <w:t>n</w:t>
      </w:r>
      <w:r w:rsidR="00671038">
        <w:rPr>
          <w:rFonts w:cs="Arial"/>
          <w:iCs/>
        </w:rPr>
        <w:t xml:space="preserve"> como excepciones</w:t>
      </w:r>
      <w:r w:rsidR="004B0D8E">
        <w:rPr>
          <w:rFonts w:cs="Arial"/>
          <w:iCs/>
        </w:rPr>
        <w:t xml:space="preserve"> de mérito</w:t>
      </w:r>
      <w:r w:rsidR="00435287">
        <w:rPr>
          <w:rFonts w:cs="Arial"/>
          <w:iCs/>
        </w:rPr>
        <w:t>:</w:t>
      </w:r>
      <w:r w:rsidR="004B0D8E">
        <w:rPr>
          <w:rFonts w:cs="Arial"/>
          <w:iCs/>
        </w:rPr>
        <w:t xml:space="preserve"> </w:t>
      </w:r>
      <w:r w:rsidR="00671038" w:rsidRPr="00E25DFC">
        <w:rPr>
          <w:rFonts w:cs="Arial"/>
          <w:i/>
          <w:iCs/>
        </w:rPr>
        <w:t>“contrato no cumplido”, “ejercicio arbitrario de las atribuciones contractuales”, “ejecución de los contratos de buena fe”, “imposibilidad de ejecutar la garantía real”</w:t>
      </w:r>
      <w:r w:rsidR="00E25DFC">
        <w:rPr>
          <w:rFonts w:cs="Arial"/>
          <w:i/>
          <w:iCs/>
        </w:rPr>
        <w:t>.</w:t>
      </w:r>
    </w:p>
    <w:p w14:paraId="50F1F2FA" w14:textId="77777777" w:rsidR="00942DE6" w:rsidRPr="0030030B" w:rsidRDefault="00942DE6" w:rsidP="00942DE6">
      <w:pPr>
        <w:spacing w:line="360" w:lineRule="auto"/>
        <w:rPr>
          <w:rFonts w:cs="Arial"/>
        </w:rPr>
      </w:pPr>
    </w:p>
    <w:p w14:paraId="6D033E1B" w14:textId="77777777" w:rsidR="00942DE6" w:rsidRDefault="00942DE6" w:rsidP="00942DE6">
      <w:pPr>
        <w:spacing w:line="360" w:lineRule="auto"/>
        <w:rPr>
          <w:rFonts w:cs="Arial"/>
          <w:iCs/>
        </w:rPr>
      </w:pPr>
      <w:r w:rsidRPr="0030030B">
        <w:rPr>
          <w:rFonts w:cs="Arial"/>
          <w:iCs/>
        </w:rPr>
        <w:t>2.4.  Fr</w:t>
      </w:r>
      <w:r w:rsidR="00435287">
        <w:rPr>
          <w:rFonts w:cs="Arial"/>
          <w:iCs/>
        </w:rPr>
        <w:t>ente a la oposición planteada por la</w:t>
      </w:r>
      <w:r w:rsidRPr="0030030B">
        <w:rPr>
          <w:rFonts w:cs="Arial"/>
          <w:iCs/>
        </w:rPr>
        <w:t xml:space="preserve"> parte </w:t>
      </w:r>
      <w:r w:rsidR="00F66FA5">
        <w:rPr>
          <w:rFonts w:cs="Arial"/>
          <w:iCs/>
        </w:rPr>
        <w:t>ejecutada</w:t>
      </w:r>
      <w:r w:rsidRPr="0030030B">
        <w:rPr>
          <w:rFonts w:cs="Arial"/>
          <w:iCs/>
        </w:rPr>
        <w:t xml:space="preserve"> </w:t>
      </w:r>
      <w:r w:rsidR="00A142CF" w:rsidRPr="0030030B">
        <w:rPr>
          <w:rFonts w:cs="Arial"/>
          <w:iCs/>
        </w:rPr>
        <w:t>se corrió traslado a la parte demandante</w:t>
      </w:r>
      <w:r w:rsidR="00435287">
        <w:rPr>
          <w:rFonts w:cs="Arial"/>
          <w:iCs/>
        </w:rPr>
        <w:t>,</w:t>
      </w:r>
      <w:r w:rsidR="00A142CF" w:rsidRPr="0030030B">
        <w:rPr>
          <w:rFonts w:cs="Arial"/>
          <w:iCs/>
        </w:rPr>
        <w:t xml:space="preserve"> quien </w:t>
      </w:r>
      <w:r w:rsidR="006D1238" w:rsidRPr="0030030B">
        <w:rPr>
          <w:rFonts w:cs="Arial"/>
          <w:iCs/>
        </w:rPr>
        <w:t xml:space="preserve">dentro de la oportunidad legal </w:t>
      </w:r>
      <w:r w:rsidR="002958DF">
        <w:rPr>
          <w:rFonts w:cs="Arial"/>
          <w:iCs/>
        </w:rPr>
        <w:t>indicó que</w:t>
      </w:r>
      <w:r w:rsidR="0068683C">
        <w:rPr>
          <w:rFonts w:cs="Arial"/>
          <w:iCs/>
        </w:rPr>
        <w:t xml:space="preserve"> dos </w:t>
      </w:r>
      <w:r w:rsidR="00435287">
        <w:rPr>
          <w:rFonts w:cs="Arial"/>
          <w:iCs/>
        </w:rPr>
        <w:t>de</w:t>
      </w:r>
      <w:r w:rsidR="002958DF">
        <w:rPr>
          <w:rFonts w:cs="Arial"/>
          <w:iCs/>
        </w:rPr>
        <w:t xml:space="preserve"> los pagos efectuados por la parte demandada</w:t>
      </w:r>
      <w:r w:rsidR="00435287">
        <w:rPr>
          <w:rFonts w:cs="Arial"/>
          <w:iCs/>
        </w:rPr>
        <w:t>,</w:t>
      </w:r>
      <w:r w:rsidR="002958DF">
        <w:rPr>
          <w:rFonts w:cs="Arial"/>
          <w:iCs/>
        </w:rPr>
        <w:t xml:space="preserve"> fueron con posterioridad </w:t>
      </w:r>
      <w:r w:rsidR="00671038">
        <w:rPr>
          <w:rFonts w:cs="Arial"/>
          <w:iCs/>
        </w:rPr>
        <w:t>al vencimiento de la obligación</w:t>
      </w:r>
      <w:r w:rsidR="002958DF">
        <w:rPr>
          <w:rFonts w:cs="Arial"/>
          <w:iCs/>
        </w:rPr>
        <w:t xml:space="preserve"> y los mismos </w:t>
      </w:r>
      <w:r w:rsidR="00671038">
        <w:rPr>
          <w:rFonts w:cs="Arial"/>
          <w:iCs/>
        </w:rPr>
        <w:t>serán tenidos en cuenta como abono a la obligación</w:t>
      </w:r>
      <w:r w:rsidR="002958DF">
        <w:rPr>
          <w:rFonts w:cs="Arial"/>
          <w:iCs/>
        </w:rPr>
        <w:t>.</w:t>
      </w:r>
    </w:p>
    <w:p w14:paraId="3072711E" w14:textId="77777777" w:rsidR="0068683C" w:rsidRDefault="0068683C" w:rsidP="00942DE6">
      <w:pPr>
        <w:spacing w:line="360" w:lineRule="auto"/>
        <w:rPr>
          <w:rFonts w:cs="Arial"/>
          <w:iCs/>
        </w:rPr>
      </w:pPr>
    </w:p>
    <w:p w14:paraId="316A6789" w14:textId="77777777" w:rsidR="0068683C" w:rsidRPr="0030030B" w:rsidRDefault="0068683C" w:rsidP="00942DE6">
      <w:pPr>
        <w:spacing w:line="360" w:lineRule="auto"/>
        <w:rPr>
          <w:rFonts w:cs="Arial"/>
          <w:iCs/>
        </w:rPr>
      </w:pPr>
      <w:r>
        <w:rPr>
          <w:rFonts w:cs="Arial"/>
          <w:iCs/>
        </w:rPr>
        <w:t>Siendo este el momento para decidir, a ello se procede previa las siguientes,</w:t>
      </w:r>
    </w:p>
    <w:p w14:paraId="5A12D23A" w14:textId="77777777" w:rsidR="00942DE6" w:rsidRPr="0030030B" w:rsidRDefault="00942DE6" w:rsidP="00942DE6">
      <w:pPr>
        <w:spacing w:line="360" w:lineRule="auto"/>
        <w:rPr>
          <w:rFonts w:cs="Arial"/>
          <w:iCs/>
        </w:rPr>
      </w:pPr>
    </w:p>
    <w:p w14:paraId="1F17E4A6" w14:textId="77777777" w:rsidR="00942DE6" w:rsidRPr="0068683C" w:rsidRDefault="00942DE6" w:rsidP="0068683C">
      <w:pPr>
        <w:pStyle w:val="Prrafodelista"/>
        <w:widowControl w:val="0"/>
        <w:numPr>
          <w:ilvl w:val="0"/>
          <w:numId w:val="1"/>
        </w:numPr>
        <w:autoSpaceDE w:val="0"/>
        <w:autoSpaceDN w:val="0"/>
        <w:adjustRightInd w:val="0"/>
        <w:spacing w:line="360" w:lineRule="auto"/>
        <w:jc w:val="center"/>
        <w:rPr>
          <w:rFonts w:cs="Arial"/>
          <w:b/>
          <w:bCs/>
          <w:lang w:val="es-ES_tradnl"/>
        </w:rPr>
      </w:pPr>
      <w:r w:rsidRPr="0068683C">
        <w:rPr>
          <w:rFonts w:cs="Arial"/>
          <w:b/>
          <w:bCs/>
          <w:lang w:val="es-ES_tradnl"/>
        </w:rPr>
        <w:t>CONSIDERACIONES</w:t>
      </w:r>
    </w:p>
    <w:p w14:paraId="72AB6528" w14:textId="77777777" w:rsidR="0068683C" w:rsidRPr="0068683C" w:rsidRDefault="0068683C" w:rsidP="0068683C">
      <w:pPr>
        <w:pStyle w:val="Prrafodelista"/>
        <w:widowControl w:val="0"/>
        <w:numPr>
          <w:ilvl w:val="0"/>
          <w:numId w:val="1"/>
        </w:numPr>
        <w:autoSpaceDE w:val="0"/>
        <w:autoSpaceDN w:val="0"/>
        <w:adjustRightInd w:val="0"/>
        <w:spacing w:line="360" w:lineRule="auto"/>
        <w:jc w:val="center"/>
        <w:rPr>
          <w:rFonts w:cs="Arial"/>
          <w:b/>
          <w:bCs/>
          <w:lang w:val="es-ES_tradnl"/>
        </w:rPr>
      </w:pPr>
    </w:p>
    <w:p w14:paraId="345499DB" w14:textId="77777777" w:rsidR="00942DE6" w:rsidRPr="0030030B" w:rsidRDefault="00942DE6" w:rsidP="00942DE6">
      <w:pPr>
        <w:widowControl w:val="0"/>
        <w:autoSpaceDE w:val="0"/>
        <w:autoSpaceDN w:val="0"/>
        <w:adjustRightInd w:val="0"/>
        <w:spacing w:line="360" w:lineRule="auto"/>
        <w:ind w:firstLine="1134"/>
        <w:rPr>
          <w:rFonts w:cs="Arial"/>
          <w:bCs/>
        </w:rPr>
      </w:pPr>
    </w:p>
    <w:p w14:paraId="2C9F36CF" w14:textId="77777777" w:rsidR="00EA6189" w:rsidRPr="00EA6189" w:rsidRDefault="00EA6189" w:rsidP="00EA6189">
      <w:pPr>
        <w:spacing w:line="360" w:lineRule="auto"/>
        <w:rPr>
          <w:rFonts w:cs="Arial"/>
          <w:bCs/>
          <w:lang w:val="es-ES_tradnl"/>
        </w:rPr>
      </w:pPr>
      <w:r w:rsidRPr="00EA6189">
        <w:rPr>
          <w:rFonts w:cs="Arial"/>
          <w:bCs/>
          <w:color w:val="000000"/>
        </w:rPr>
        <w:t xml:space="preserve">3.1. </w:t>
      </w:r>
      <w:r w:rsidRPr="00435287">
        <w:rPr>
          <w:rFonts w:cs="Arial"/>
          <w:b/>
          <w:bCs/>
          <w:color w:val="000000"/>
        </w:rPr>
        <w:t>De los requisitos formales del proceso y la sentencia anticipada.</w:t>
      </w:r>
      <w:r w:rsidRPr="00EA6189">
        <w:rPr>
          <w:rFonts w:cs="Arial"/>
          <w:bCs/>
          <w:color w:val="000000"/>
        </w:rPr>
        <w:t xml:space="preserve"> </w:t>
      </w:r>
      <w:r w:rsidRPr="00EA6189">
        <w:rPr>
          <w:rFonts w:cs="Arial"/>
          <w:color w:val="000000"/>
        </w:rPr>
        <w:t xml:space="preserve">El trámite adelantado se ha desarrollado con sujeción a los requisitos formales requeridos para proveer de fondo sobre lo pretendido, dejándose claro que no se observa causal alguna de nulidad procesal que invalide la actuación surtida, </w:t>
      </w:r>
      <w:r w:rsidRPr="00EA6189">
        <w:rPr>
          <w:rFonts w:cs="Arial"/>
          <w:bCs/>
        </w:rPr>
        <w:t>no se pretermitieron términos, no existen recursos ni incidentes pendientes de resolver, por lo que se allana el camino para proferir sentencia de primera instancia.</w:t>
      </w:r>
    </w:p>
    <w:p w14:paraId="73066B47" w14:textId="77777777" w:rsidR="00EA6189" w:rsidRPr="00EA6189" w:rsidRDefault="00EA6189" w:rsidP="00EA6189">
      <w:pPr>
        <w:spacing w:line="360" w:lineRule="auto"/>
        <w:rPr>
          <w:rFonts w:cs="Arial"/>
          <w:bCs/>
          <w:lang w:val="es-ES_tradnl"/>
        </w:rPr>
      </w:pPr>
    </w:p>
    <w:p w14:paraId="584E78F4" w14:textId="77777777" w:rsidR="00EA6189" w:rsidRPr="00EA6189" w:rsidRDefault="00EA6189" w:rsidP="00EA6189">
      <w:pPr>
        <w:spacing w:line="360" w:lineRule="auto"/>
        <w:rPr>
          <w:rFonts w:cs="Arial"/>
          <w:bCs/>
          <w:lang w:val="es-ES_tradnl"/>
        </w:rPr>
      </w:pPr>
      <w:r w:rsidRPr="00EA6189">
        <w:rPr>
          <w:rFonts w:cs="Arial"/>
          <w:color w:val="000000"/>
        </w:rPr>
        <w:lastRenderedPageBreak/>
        <w:t>Ahora, atendiendo a lo expuesto en el auto que precede, se debe señalar que el Nuevo CGP, en su art. 278, establece la posibilidad de la sentencia anticipada en unos eventos específicos</w:t>
      </w:r>
      <w:r w:rsidRPr="0030030B">
        <w:rPr>
          <w:rFonts w:ascii="Courier" w:hAnsi="Courier" w:cs="Arial"/>
          <w:color w:val="000000"/>
          <w:position w:val="6"/>
          <w:sz w:val="16"/>
          <w:szCs w:val="16"/>
          <w:vertAlign w:val="superscript"/>
        </w:rPr>
        <w:footnoteReference w:id="1"/>
      </w:r>
      <w:r w:rsidRPr="00EA6189">
        <w:rPr>
          <w:rFonts w:cs="Arial"/>
          <w:color w:val="000000"/>
        </w:rPr>
        <w:t>, siendo uno de ellos el evento en el que</w:t>
      </w:r>
      <w:r w:rsidR="00716E7B">
        <w:rPr>
          <w:rFonts w:cs="Arial"/>
          <w:color w:val="000000"/>
        </w:rPr>
        <w:t xml:space="preserve"> no</w:t>
      </w:r>
      <w:r w:rsidRPr="00EA6189">
        <w:rPr>
          <w:rFonts w:cs="Arial"/>
          <w:color w:val="000000"/>
        </w:rPr>
        <w:t xml:space="preserve"> hayan más pruebas para practicar</w:t>
      </w:r>
      <w:r w:rsidRPr="0030030B">
        <w:rPr>
          <w:rFonts w:ascii="Courier" w:hAnsi="Courier" w:cs="Arial"/>
          <w:color w:val="000000"/>
          <w:position w:val="6"/>
          <w:sz w:val="16"/>
          <w:szCs w:val="16"/>
          <w:vertAlign w:val="superscript"/>
          <w:lang w:val="es-CO" w:eastAsia="es-CO"/>
        </w:rPr>
        <w:footnoteReference w:id="2"/>
      </w:r>
      <w:r w:rsidRPr="00EA6189">
        <w:rPr>
          <w:rFonts w:cs="Arial"/>
          <w:color w:val="000000"/>
          <w:lang w:val="es-CO" w:eastAsia="es-CO"/>
        </w:rPr>
        <w:t>.</w:t>
      </w:r>
    </w:p>
    <w:p w14:paraId="558313B6" w14:textId="77777777" w:rsidR="00EA6189" w:rsidRPr="00EA6189" w:rsidRDefault="00EA6189" w:rsidP="00EA6189">
      <w:pPr>
        <w:spacing w:line="360" w:lineRule="auto"/>
        <w:rPr>
          <w:rFonts w:cs="Arial"/>
          <w:color w:val="000000"/>
        </w:rPr>
      </w:pPr>
    </w:p>
    <w:p w14:paraId="20981C9D" w14:textId="77777777" w:rsidR="00EA6189" w:rsidRPr="00EA6189" w:rsidRDefault="00EA6189" w:rsidP="00EA6189">
      <w:pPr>
        <w:spacing w:line="360" w:lineRule="auto"/>
        <w:rPr>
          <w:rFonts w:cs="Arial"/>
          <w:color w:val="000000"/>
        </w:rPr>
      </w:pPr>
      <w:r w:rsidRPr="00EA6189">
        <w:rPr>
          <w:rFonts w:cs="Arial"/>
          <w:color w:val="000000"/>
        </w:rPr>
        <w:t>De esta forma, de resultar demostrada alguna de las figuras aludidas en la norma, luce innecesario agotar las demás etapas del proceso y en su lugar, lo que debe hacerse es pronunciar de inmediato sentencia anticipada</w:t>
      </w:r>
      <w:r w:rsidRPr="0030030B">
        <w:rPr>
          <w:rFonts w:ascii="Courier" w:hAnsi="Courier" w:cs="Arial"/>
          <w:color w:val="000000"/>
          <w:position w:val="6"/>
          <w:sz w:val="16"/>
          <w:szCs w:val="16"/>
          <w:vertAlign w:val="superscript"/>
        </w:rPr>
        <w:footnoteReference w:id="3"/>
      </w:r>
      <w:r w:rsidRPr="00EA6189">
        <w:rPr>
          <w:rFonts w:cs="Arial"/>
          <w:color w:val="000000"/>
        </w:rPr>
        <w:t>.</w:t>
      </w:r>
    </w:p>
    <w:p w14:paraId="068E714E" w14:textId="77777777" w:rsidR="00EA6189" w:rsidRPr="00EA6189" w:rsidRDefault="00EA6189" w:rsidP="00EA6189">
      <w:pPr>
        <w:spacing w:line="360" w:lineRule="auto"/>
        <w:rPr>
          <w:rFonts w:cs="Arial"/>
          <w:color w:val="000000"/>
        </w:rPr>
      </w:pPr>
    </w:p>
    <w:p w14:paraId="219D6EA4" w14:textId="77777777" w:rsidR="00EA6189" w:rsidRPr="00EA6189" w:rsidRDefault="00EA6189" w:rsidP="00EA6189">
      <w:pPr>
        <w:spacing w:line="360" w:lineRule="auto"/>
        <w:rPr>
          <w:rFonts w:cs="Arial"/>
        </w:rPr>
      </w:pPr>
      <w:r w:rsidRPr="00EA6189">
        <w:rPr>
          <w:rFonts w:cs="Arial"/>
        </w:rPr>
        <w:t>Sobre la viabilidad de la sentencia anticipada, el tratadista Octavio Augusto Tejeiro Duque expone que de cara a lo establecido por el artículo 278 del Código General del Proceso, procede la sentencia por escrito y no por audiencia, en tanto que este último comportamiento “</w:t>
      </w:r>
      <w:r w:rsidRPr="00EA6189">
        <w:rPr>
          <w:rFonts w:cs="Arial"/>
          <w:i/>
        </w:rPr>
        <w:t>resulta más dilatado y de menor eficiencia, por lo menos en la mayoría de los casos, pues implica convocar a la sesión y en ella realizar los pasos previos, mientras si se decide sentenciar por escrito basta la confección y firma del respectivo acto, junto con su notificación</w:t>
      </w:r>
      <w:r w:rsidRPr="00EA6189">
        <w:rPr>
          <w:rFonts w:cs="Arial"/>
        </w:rPr>
        <w:t>”</w:t>
      </w:r>
      <w:r w:rsidRPr="0030030B">
        <w:rPr>
          <w:rFonts w:ascii="Courier" w:hAnsi="Courier" w:cs="Arial"/>
          <w:position w:val="6"/>
          <w:sz w:val="16"/>
          <w:szCs w:val="16"/>
          <w:vertAlign w:val="superscript"/>
        </w:rPr>
        <w:footnoteReference w:id="4"/>
      </w:r>
    </w:p>
    <w:p w14:paraId="2FAA50FC" w14:textId="77777777" w:rsidR="00EA6189" w:rsidRPr="00EA6189" w:rsidRDefault="00EA6189" w:rsidP="00EA6189">
      <w:pPr>
        <w:spacing w:line="360" w:lineRule="auto"/>
        <w:rPr>
          <w:rFonts w:cs="Arial"/>
          <w:color w:val="000000"/>
        </w:rPr>
      </w:pPr>
    </w:p>
    <w:p w14:paraId="33F1B15C" w14:textId="77777777" w:rsidR="00EA6189" w:rsidRPr="00EA6189" w:rsidRDefault="00EA6189" w:rsidP="00EA6189">
      <w:pPr>
        <w:keepNext/>
        <w:widowControl w:val="0"/>
        <w:autoSpaceDE w:val="0"/>
        <w:autoSpaceDN w:val="0"/>
        <w:adjustRightInd w:val="0"/>
        <w:spacing w:line="360" w:lineRule="auto"/>
        <w:rPr>
          <w:rFonts w:cs="Arial"/>
          <w:bCs/>
        </w:rPr>
      </w:pPr>
      <w:r w:rsidRPr="00EA6189">
        <w:rPr>
          <w:rFonts w:cs="Arial"/>
          <w:color w:val="000000"/>
        </w:rPr>
        <w:t>3.</w:t>
      </w:r>
      <w:r w:rsidRPr="00EA6189">
        <w:rPr>
          <w:rFonts w:cs="Arial"/>
          <w:bCs/>
          <w:color w:val="000000"/>
        </w:rPr>
        <w:t xml:space="preserve">2. </w:t>
      </w:r>
      <w:r w:rsidRPr="00960CF2">
        <w:rPr>
          <w:rFonts w:cs="Arial"/>
          <w:b/>
          <w:bCs/>
          <w:color w:val="000000"/>
        </w:rPr>
        <w:t>Problema jurídico a resolver.</w:t>
      </w:r>
      <w:r w:rsidRPr="00EA6189">
        <w:rPr>
          <w:rFonts w:cs="Arial"/>
          <w:bCs/>
          <w:color w:val="000000"/>
        </w:rPr>
        <w:t xml:space="preserve"> En este evento, corresponde verificar si se cumplen con los presupuestos axiológicos de la pretensión ejecutiva, para posteriormente, analizar el mérito de la oposición formulada por la parte demandada. </w:t>
      </w:r>
    </w:p>
    <w:p w14:paraId="5A2DD9C8" w14:textId="77777777" w:rsidR="002035EE" w:rsidRPr="00EA6189" w:rsidRDefault="002035EE" w:rsidP="002035EE">
      <w:pPr>
        <w:spacing w:line="360" w:lineRule="auto"/>
        <w:rPr>
          <w:rFonts w:cs="Arial"/>
          <w:bCs/>
          <w:color w:val="000000"/>
        </w:rPr>
      </w:pPr>
    </w:p>
    <w:p w14:paraId="2C08B2D0" w14:textId="77777777" w:rsidR="002035EE" w:rsidRPr="0014142B" w:rsidRDefault="002035EE" w:rsidP="002035EE">
      <w:pPr>
        <w:spacing w:line="360" w:lineRule="auto"/>
        <w:rPr>
          <w:rFonts w:cs="Arial"/>
          <w:bCs/>
          <w:color w:val="000000"/>
        </w:rPr>
      </w:pPr>
      <w:r w:rsidRPr="0014142B">
        <w:rPr>
          <w:rFonts w:cs="Arial"/>
          <w:b/>
          <w:bCs/>
          <w:color w:val="000000"/>
        </w:rPr>
        <w:t xml:space="preserve">3.3. Estimaciones vinculadas al caso </w:t>
      </w:r>
      <w:r w:rsidRPr="0014142B">
        <w:rPr>
          <w:rFonts w:cs="Arial"/>
          <w:b/>
          <w:bCs/>
          <w:i/>
          <w:color w:val="000000"/>
        </w:rPr>
        <w:t>sub examine</w:t>
      </w:r>
      <w:r w:rsidRPr="0014142B">
        <w:rPr>
          <w:rFonts w:cs="Arial"/>
          <w:bCs/>
          <w:color w:val="000000"/>
        </w:rPr>
        <w:t>.</w:t>
      </w:r>
    </w:p>
    <w:p w14:paraId="64C09147" w14:textId="77777777" w:rsidR="002035EE" w:rsidRPr="0014142B" w:rsidRDefault="002035EE" w:rsidP="002035EE">
      <w:pPr>
        <w:spacing w:line="360" w:lineRule="auto"/>
        <w:rPr>
          <w:rFonts w:cs="Arial"/>
          <w:bCs/>
          <w:color w:val="000000"/>
        </w:rPr>
      </w:pPr>
    </w:p>
    <w:p w14:paraId="4A924814" w14:textId="77777777" w:rsidR="002035EE" w:rsidRPr="0014142B" w:rsidRDefault="002035EE" w:rsidP="002035EE">
      <w:pPr>
        <w:spacing w:line="360" w:lineRule="auto"/>
        <w:rPr>
          <w:rFonts w:cs="Arial"/>
          <w:bCs/>
          <w:color w:val="000000"/>
        </w:rPr>
      </w:pPr>
      <w:r w:rsidRPr="0014142B">
        <w:rPr>
          <w:rFonts w:cs="Arial"/>
          <w:b/>
          <w:bCs/>
          <w:color w:val="000000"/>
        </w:rPr>
        <w:t>3.3.1. Del Título Ejecutivo.</w:t>
      </w:r>
      <w:r w:rsidRPr="005A7660">
        <w:rPr>
          <w:rFonts w:cs="Arial"/>
        </w:rPr>
        <w:t xml:space="preserve"> </w:t>
      </w:r>
      <w:r w:rsidRPr="005A7660">
        <w:rPr>
          <w:rFonts w:cs="Arial"/>
          <w:bCs/>
          <w:color w:val="000000"/>
        </w:rPr>
        <w:t xml:space="preserve">De conformidad con lo dispuesto el Art. 430 del C.G.P., el título ejecutivo es un presupuesto de procedibilidad de la acción y, en consecuencia, para proferir mandamiento de pago debe obrar en el expediente el documento que preste mérito para la ejecución, esto es, que arroje plena certeza sobre la existencia de una obligación clara, expresa y exigible, a cargo </w:t>
      </w:r>
      <w:r w:rsidRPr="005A7660">
        <w:rPr>
          <w:rFonts w:cs="Arial"/>
          <w:bCs/>
          <w:color w:val="000000"/>
        </w:rPr>
        <w:lastRenderedPageBreak/>
        <w:t>del deudor y a favor del acreedor, en los términos en que así lo establece el art. 422 C.G.P.</w:t>
      </w:r>
      <w:r w:rsidRPr="005A7660">
        <w:rPr>
          <w:rFonts w:cs="Arial"/>
          <w:bCs/>
          <w:color w:val="000000"/>
          <w:vertAlign w:val="superscript"/>
        </w:rPr>
        <w:footnoteReference w:id="5"/>
      </w:r>
      <w:r w:rsidRPr="0014142B">
        <w:rPr>
          <w:rFonts w:cs="Arial"/>
          <w:bCs/>
          <w:color w:val="000000"/>
        </w:rPr>
        <w:t xml:space="preserve"> </w:t>
      </w:r>
    </w:p>
    <w:p w14:paraId="68E407B2" w14:textId="77777777" w:rsidR="002035EE" w:rsidRPr="0014142B" w:rsidRDefault="002035EE" w:rsidP="002035EE">
      <w:pPr>
        <w:spacing w:line="360" w:lineRule="auto"/>
        <w:rPr>
          <w:rFonts w:cs="Arial"/>
          <w:bCs/>
          <w:color w:val="000000"/>
        </w:rPr>
      </w:pPr>
    </w:p>
    <w:p w14:paraId="0F082F1A" w14:textId="77777777" w:rsidR="002035EE" w:rsidRPr="0014142B" w:rsidRDefault="002035EE" w:rsidP="002035EE">
      <w:pPr>
        <w:spacing w:line="360" w:lineRule="auto"/>
        <w:rPr>
          <w:rFonts w:cs="Arial"/>
          <w:bCs/>
          <w:color w:val="000000"/>
          <w:lang w:val="es-CO"/>
        </w:rPr>
      </w:pPr>
      <w:r w:rsidRPr="0014142B">
        <w:rPr>
          <w:rFonts w:cs="Arial"/>
          <w:bCs/>
          <w:color w:val="000000"/>
        </w:rPr>
        <w:t xml:space="preserve">Del contenido del referido artículo, ha colegido lo jurisprudencia que </w:t>
      </w:r>
      <w:r w:rsidRPr="0014142B">
        <w:rPr>
          <w:rFonts w:cs="Arial"/>
          <w:bCs/>
          <w:color w:val="000000"/>
          <w:lang w:val="es-CO"/>
        </w:rPr>
        <w:t xml:space="preserve">los títulos ejecutivos deben gozar de dos tipos de condiciones: </w:t>
      </w:r>
      <w:r w:rsidRPr="004B0D8E">
        <w:rPr>
          <w:rFonts w:cs="Arial"/>
          <w:b/>
          <w:bCs/>
          <w:color w:val="000000"/>
          <w:lang w:val="es-CO"/>
        </w:rPr>
        <w:t>formales y sustanciales</w:t>
      </w:r>
      <w:r w:rsidRPr="0014142B">
        <w:rPr>
          <w:rFonts w:cs="Arial"/>
          <w:bCs/>
          <w:color w:val="000000"/>
          <w:lang w:val="es-CO"/>
        </w:rPr>
        <w:t>. </w:t>
      </w:r>
    </w:p>
    <w:p w14:paraId="4803C074" w14:textId="77777777" w:rsidR="002035EE" w:rsidRPr="0014142B" w:rsidRDefault="002035EE" w:rsidP="002035EE">
      <w:pPr>
        <w:spacing w:line="360" w:lineRule="auto"/>
        <w:rPr>
          <w:rFonts w:cs="Arial"/>
          <w:bCs/>
          <w:color w:val="000000"/>
          <w:lang w:val="es-CO"/>
        </w:rPr>
      </w:pPr>
    </w:p>
    <w:p w14:paraId="52FAEAF8" w14:textId="77777777" w:rsidR="002035EE" w:rsidRPr="0014142B" w:rsidRDefault="002035EE" w:rsidP="002035EE">
      <w:pPr>
        <w:spacing w:line="360" w:lineRule="auto"/>
        <w:rPr>
          <w:rFonts w:cs="Arial"/>
          <w:bCs/>
          <w:color w:val="000000"/>
          <w:lang w:val="es-CO"/>
        </w:rPr>
      </w:pPr>
      <w:r w:rsidRPr="00CB7DA6">
        <w:rPr>
          <w:rFonts w:cs="Arial"/>
          <w:b/>
          <w:bCs/>
          <w:color w:val="000000"/>
          <w:lang w:val="es-CO"/>
        </w:rPr>
        <w:t>Las primeras</w:t>
      </w:r>
      <w:r w:rsidRPr="0014142B">
        <w:rPr>
          <w:rFonts w:cs="Arial"/>
          <w:bCs/>
          <w:color w:val="000000"/>
          <w:lang w:val="es-CO"/>
        </w:rPr>
        <w:t xml:space="preserve"> exigen que el documento o conjunto de documentos que dan cuenta de la existencia de la obligación </w:t>
      </w:r>
      <w:r w:rsidRPr="0014142B">
        <w:rPr>
          <w:rFonts w:cs="Arial"/>
          <w:bCs/>
          <w:i/>
          <w:iCs/>
          <w:color w:val="000000"/>
          <w:lang w:val="es-CO"/>
        </w:rPr>
        <w:t>“(i) sean auténticos y (ii)</w:t>
      </w:r>
      <w:r w:rsidRPr="0014142B">
        <w:rPr>
          <w:rFonts w:cs="Arial"/>
          <w:bCs/>
          <w:color w:val="000000"/>
          <w:lang w:val="es-CO"/>
        </w:rPr>
        <w:t> </w:t>
      </w:r>
      <w:r w:rsidRPr="0014142B">
        <w:rPr>
          <w:rFonts w:cs="Arial"/>
          <w:bCs/>
          <w:i/>
          <w:iCs/>
          <w:color w:val="000000"/>
          <w:lang w:val="es-CO"/>
        </w:rPr>
        <w:t>emanen del deudor o de su causante, de una sentencia de condena proferida por el juez o tribunal de cualquier jurisdicción, o de otra providencia judicial que tenga fuerza ejecutiva conforme a la ley (…)”</w:t>
      </w:r>
      <w:r w:rsidRPr="0014142B">
        <w:rPr>
          <w:rFonts w:cs="Arial"/>
          <w:bCs/>
          <w:i/>
          <w:iCs/>
          <w:color w:val="000000"/>
          <w:vertAlign w:val="superscript"/>
          <w:lang w:val="es-CO"/>
        </w:rPr>
        <w:footnoteReference w:id="6"/>
      </w:r>
      <w:r w:rsidRPr="0014142B">
        <w:rPr>
          <w:rFonts w:cs="Arial"/>
          <w:bCs/>
          <w:color w:val="000000"/>
          <w:lang w:val="es-CO"/>
        </w:rPr>
        <w:t>.</w:t>
      </w:r>
    </w:p>
    <w:p w14:paraId="7F151B35" w14:textId="77777777" w:rsidR="002035EE" w:rsidRPr="0014142B" w:rsidRDefault="002035EE" w:rsidP="002035EE">
      <w:pPr>
        <w:spacing w:line="360" w:lineRule="auto"/>
        <w:rPr>
          <w:rFonts w:cs="Arial"/>
          <w:bCs/>
          <w:color w:val="000000"/>
          <w:lang w:val="es-CO"/>
        </w:rPr>
      </w:pPr>
    </w:p>
    <w:p w14:paraId="67C1CEC4" w14:textId="77777777" w:rsidR="002035EE" w:rsidRPr="0014142B" w:rsidRDefault="002035EE" w:rsidP="002035EE">
      <w:pPr>
        <w:spacing w:line="360" w:lineRule="auto"/>
        <w:rPr>
          <w:rFonts w:cs="Arial"/>
          <w:bCs/>
          <w:color w:val="000000"/>
          <w:lang w:val="es-CO"/>
        </w:rPr>
      </w:pPr>
      <w:r w:rsidRPr="00CB7DA6">
        <w:rPr>
          <w:rFonts w:cs="Arial"/>
          <w:b/>
          <w:bCs/>
          <w:color w:val="000000"/>
          <w:lang w:val="es-CO"/>
        </w:rPr>
        <w:t>Las segundas</w:t>
      </w:r>
      <w:r w:rsidRPr="0014142B">
        <w:rPr>
          <w:rFonts w:cs="Arial"/>
          <w:bCs/>
          <w:color w:val="000000"/>
          <w:lang w:val="es-CO"/>
        </w:rPr>
        <w:t xml:space="preserve">, esto es, las condiciones sustanciales, exigen que el título ejecutivo contenga una prestación en beneficio de una persona. Es decir, que establezca que el obligado debe observar a favor de su acreedor una conducta de hacer, de dar, o de no hacer, </w:t>
      </w:r>
      <w:r w:rsidRPr="0014142B">
        <w:rPr>
          <w:rFonts w:cs="Arial"/>
          <w:b/>
          <w:bCs/>
          <w:color w:val="000000"/>
          <w:lang w:val="es-CO"/>
        </w:rPr>
        <w:t>que debe ser clara, expresa y exigible. </w:t>
      </w:r>
    </w:p>
    <w:p w14:paraId="112621A1" w14:textId="77777777" w:rsidR="008F6790" w:rsidRDefault="008F6790" w:rsidP="002035EE">
      <w:pPr>
        <w:spacing w:line="360" w:lineRule="auto"/>
        <w:rPr>
          <w:rFonts w:cs="Arial"/>
          <w:b/>
          <w:bCs/>
          <w:color w:val="000000"/>
        </w:rPr>
      </w:pPr>
    </w:p>
    <w:p w14:paraId="7EE4CA97" w14:textId="77777777" w:rsidR="002035EE" w:rsidRPr="0014142B" w:rsidRDefault="002035EE" w:rsidP="002035EE">
      <w:pPr>
        <w:spacing w:line="360" w:lineRule="auto"/>
        <w:rPr>
          <w:rFonts w:cs="Arial"/>
          <w:bCs/>
          <w:i/>
          <w:color w:val="000000"/>
          <w:lang w:val="es-CO"/>
        </w:rPr>
      </w:pPr>
      <w:r w:rsidRPr="0014142B">
        <w:rPr>
          <w:rFonts w:cs="Arial"/>
          <w:b/>
          <w:bCs/>
          <w:color w:val="000000"/>
        </w:rPr>
        <w:t>3.3.2</w:t>
      </w:r>
      <w:r>
        <w:rPr>
          <w:rFonts w:cs="Arial"/>
          <w:b/>
          <w:bCs/>
          <w:color w:val="000000"/>
        </w:rPr>
        <w:t>.</w:t>
      </w:r>
      <w:r w:rsidRPr="0014142B">
        <w:rPr>
          <w:rFonts w:cs="Arial"/>
          <w:b/>
          <w:bCs/>
          <w:color w:val="000000"/>
          <w:lang w:val="es-CO"/>
        </w:rPr>
        <w:t xml:space="preserve"> Ejecución con garantía hipotecaria.</w:t>
      </w:r>
      <w:r w:rsidRPr="0014142B">
        <w:rPr>
          <w:rFonts w:cs="Arial"/>
          <w:bCs/>
          <w:color w:val="000000"/>
          <w:lang w:val="es-CO"/>
        </w:rPr>
        <w:t xml:space="preserve"> </w:t>
      </w:r>
      <w:r w:rsidRPr="0014142B">
        <w:rPr>
          <w:rFonts w:cs="Arial"/>
          <w:bCs/>
          <w:color w:val="000000"/>
        </w:rPr>
        <w:t xml:space="preserve">El Derecho real de hipoteca se encuentra regulado en el Código Civil, donde se define en su artículo 2432 como </w:t>
      </w:r>
      <w:r w:rsidRPr="0014142B">
        <w:rPr>
          <w:rFonts w:cs="Arial"/>
          <w:bCs/>
          <w:color w:val="000000"/>
          <w:lang w:val="es-CO"/>
        </w:rPr>
        <w:t>un derecho de prenda constituido sobre bienes inmuebles, que no deja por eso de permanecer en poder del deudor, y que se caracteriza, según lo contempla el artículo 2433 por su indivisibilidad.</w:t>
      </w:r>
    </w:p>
    <w:p w14:paraId="2A3D1066" w14:textId="77777777" w:rsidR="002035EE" w:rsidRPr="0014142B" w:rsidRDefault="002035EE" w:rsidP="002035EE">
      <w:pPr>
        <w:spacing w:line="360" w:lineRule="auto"/>
        <w:rPr>
          <w:rFonts w:cs="Arial"/>
          <w:bCs/>
          <w:color w:val="000000"/>
        </w:rPr>
      </w:pPr>
    </w:p>
    <w:p w14:paraId="03AAD12E" w14:textId="77777777" w:rsidR="002035EE" w:rsidRPr="0014142B" w:rsidRDefault="002035EE" w:rsidP="002035EE">
      <w:pPr>
        <w:spacing w:line="360" w:lineRule="auto"/>
        <w:rPr>
          <w:rFonts w:cs="Arial"/>
          <w:bCs/>
          <w:color w:val="000000"/>
        </w:rPr>
      </w:pPr>
      <w:r w:rsidRPr="0014142B">
        <w:rPr>
          <w:rFonts w:cs="Arial"/>
          <w:bCs/>
          <w:color w:val="000000"/>
        </w:rPr>
        <w:t>Acorde con lo anterior, la hipoteca es un derecho real, accesorio e indivisible, constituido en forma solemne, sobre un inmueble que se posee en propiedad o usufructo, en garantía del cumplimiento de obligaciones propias o ajenas, y que le otorga al acreedor la acción real de perseguir la cosa hipotecada en cabeza de quien la posea, mediante un proceso ejecutivo que propende por la venta de la cosa, para el pago preferente de su crédito.</w:t>
      </w:r>
    </w:p>
    <w:p w14:paraId="4B27870F" w14:textId="77777777" w:rsidR="002035EE" w:rsidRPr="0014142B" w:rsidRDefault="002035EE" w:rsidP="002035EE">
      <w:pPr>
        <w:spacing w:line="360" w:lineRule="auto"/>
        <w:rPr>
          <w:rFonts w:cs="Arial"/>
          <w:bCs/>
          <w:color w:val="000000"/>
        </w:rPr>
      </w:pPr>
    </w:p>
    <w:p w14:paraId="467530E0" w14:textId="77777777" w:rsidR="002035EE" w:rsidRPr="0068683C" w:rsidRDefault="002035EE" w:rsidP="002035EE">
      <w:pPr>
        <w:spacing w:line="360" w:lineRule="auto"/>
        <w:rPr>
          <w:rFonts w:cs="Arial"/>
          <w:bCs/>
          <w:i/>
          <w:color w:val="000000"/>
          <w:sz w:val="20"/>
          <w:szCs w:val="20"/>
        </w:rPr>
      </w:pPr>
      <w:r w:rsidRPr="0014142B">
        <w:rPr>
          <w:rFonts w:cs="Arial"/>
          <w:bCs/>
          <w:color w:val="000000"/>
        </w:rPr>
        <w:t xml:space="preserve">En lo que respecta al gravamen hipotecario sobre bienes raíces, el artículo 2443 del Código Civil señala que: </w:t>
      </w:r>
      <w:r w:rsidRPr="0068683C">
        <w:rPr>
          <w:rFonts w:cs="Arial"/>
          <w:bCs/>
          <w:i/>
          <w:color w:val="000000"/>
          <w:sz w:val="20"/>
          <w:szCs w:val="20"/>
        </w:rPr>
        <w:t>“La hipoteca no podrá tener lugar sino sobre bienes raíces que se posean en propiedad usufructo o sobre naves”.</w:t>
      </w:r>
      <w:r w:rsidRPr="0014142B">
        <w:rPr>
          <w:rFonts w:cs="Arial"/>
          <w:bCs/>
          <w:color w:val="000000"/>
        </w:rPr>
        <w:t xml:space="preserve"> Así las cosas, la hipoteca permite al acreedor promover las acciones judiciales tendientes a obtener el cumplimiento </w:t>
      </w:r>
      <w:r w:rsidRPr="0014142B">
        <w:rPr>
          <w:rFonts w:cs="Arial"/>
          <w:bCs/>
          <w:color w:val="000000"/>
        </w:rPr>
        <w:lastRenderedPageBreak/>
        <w:t xml:space="preserve">de las obligaciones que se encuentran garantizadas con el gravamen, sin importar de la titularidad actual del bien, y </w:t>
      </w:r>
      <w:r w:rsidRPr="0068683C">
        <w:rPr>
          <w:rFonts w:cs="Arial"/>
          <w:bCs/>
          <w:i/>
          <w:color w:val="000000"/>
          <w:sz w:val="20"/>
          <w:szCs w:val="20"/>
        </w:rPr>
        <w:t>“Para que sea procedente esta ejecución se requiere cumplimiento de las siguientes condiciones: a) El título ejecutivo (la obligación) debe estar garantizado con hipoteca o prenda. b) Mediante los trámites de este proceso sólo es exigible el pago de obligaciones en dinero. c) Sólo son susceptibles de perseguir exclusivamente los bienes gravados con hipoteca o con prenda. Pues, necesariamente debe hacerlo por la llamada acción mixta (C. de P. C., art. 554 inc. 5º). d) Debe pedirse la venta en pública subasta del bien hipotecado o dado en prensa (excepción, art. 516 del C. de P. C.)”</w:t>
      </w:r>
      <w:r w:rsidRPr="0068683C">
        <w:rPr>
          <w:rFonts w:cs="Arial"/>
          <w:bCs/>
          <w:i/>
          <w:color w:val="000000"/>
          <w:sz w:val="20"/>
          <w:szCs w:val="20"/>
          <w:vertAlign w:val="superscript"/>
        </w:rPr>
        <w:footnoteReference w:id="7"/>
      </w:r>
      <w:r w:rsidRPr="0068683C">
        <w:rPr>
          <w:rFonts w:cs="Arial"/>
          <w:bCs/>
          <w:i/>
          <w:color w:val="000000"/>
          <w:sz w:val="20"/>
          <w:szCs w:val="20"/>
        </w:rPr>
        <w:t>.</w:t>
      </w:r>
    </w:p>
    <w:p w14:paraId="18E0E6D5" w14:textId="77777777" w:rsidR="002035EE" w:rsidRPr="0014142B" w:rsidRDefault="002035EE" w:rsidP="002035EE">
      <w:pPr>
        <w:spacing w:line="360" w:lineRule="auto"/>
        <w:rPr>
          <w:rFonts w:cs="Arial"/>
          <w:bCs/>
          <w:color w:val="000000"/>
        </w:rPr>
      </w:pPr>
    </w:p>
    <w:p w14:paraId="07042A9C" w14:textId="77777777" w:rsidR="002035EE" w:rsidRPr="0068683C" w:rsidRDefault="002035EE" w:rsidP="002035EE">
      <w:pPr>
        <w:spacing w:line="360" w:lineRule="auto"/>
        <w:rPr>
          <w:rFonts w:cs="Arial"/>
          <w:bCs/>
          <w:i/>
          <w:color w:val="000000"/>
          <w:sz w:val="20"/>
          <w:szCs w:val="20"/>
        </w:rPr>
      </w:pPr>
      <w:r w:rsidRPr="0068683C">
        <w:rPr>
          <w:rFonts w:cs="Arial"/>
          <w:bCs/>
          <w:i/>
          <w:color w:val="000000"/>
          <w:sz w:val="20"/>
          <w:szCs w:val="20"/>
        </w:rPr>
        <w:t>Como derecho real que es, la hipoteca concede al titular los atributos persecución y preferencia, caracteres que han sido reconocidos por la Corte, con apoyo en los artículos 2452 y 2448 del Código Civil, como la facultad del acreedor para “embargar y hacer vender ese bien, al vencimiento del término, sea quien fuere el poseedor, para hacerse pagar con el precio, de preferencia a los otros acreedores” (G.J. T. XLIV, Pág. 542). En otras palabras, la hipoteca permite al acreedor promover las acciones judiciales tendientes a la satisfacción de las obligaciones garantizadas, con abstracción de quién sea el dueño o poseedor actual del bien gravado y asistido aquel acreedor del derecho de preferencia respecto de los demás acreedores de menor derecho</w:t>
      </w:r>
      <w:r w:rsidRPr="0068683C">
        <w:rPr>
          <w:rFonts w:cs="Arial"/>
          <w:bCs/>
          <w:i/>
          <w:color w:val="000000"/>
          <w:sz w:val="20"/>
          <w:szCs w:val="20"/>
          <w:vertAlign w:val="superscript"/>
        </w:rPr>
        <w:footnoteReference w:id="8"/>
      </w:r>
      <w:r w:rsidRPr="0068683C">
        <w:rPr>
          <w:rFonts w:cs="Arial"/>
          <w:bCs/>
          <w:i/>
          <w:color w:val="000000"/>
          <w:sz w:val="20"/>
          <w:szCs w:val="20"/>
        </w:rPr>
        <w:t xml:space="preserve">.  </w:t>
      </w:r>
    </w:p>
    <w:p w14:paraId="45E3631C" w14:textId="77777777" w:rsidR="002035EE" w:rsidRPr="0014142B" w:rsidRDefault="002035EE" w:rsidP="002035EE">
      <w:pPr>
        <w:spacing w:line="360" w:lineRule="auto"/>
        <w:rPr>
          <w:rFonts w:cs="Arial"/>
          <w:bCs/>
          <w:color w:val="000000"/>
        </w:rPr>
      </w:pPr>
    </w:p>
    <w:p w14:paraId="3F5E0B1B" w14:textId="77777777" w:rsidR="002035EE" w:rsidRPr="00373BB2" w:rsidRDefault="002035EE" w:rsidP="002035EE">
      <w:pPr>
        <w:spacing w:line="360" w:lineRule="auto"/>
        <w:rPr>
          <w:rFonts w:cs="Arial"/>
          <w:bCs/>
          <w:color w:val="000000"/>
        </w:rPr>
      </w:pPr>
      <w:r w:rsidRPr="0014142B">
        <w:rPr>
          <w:rFonts w:cs="Arial"/>
          <w:bCs/>
          <w:color w:val="000000"/>
        </w:rPr>
        <w:t xml:space="preserve">Para que un juicio ejecutivo pueda adelantarse con base en un el título hipotecario, el mismo debe aportarse al proceso en primera copia, con la constancia notarial de que presta mérito ejecutivo, al tenor de lo dispuesto en </w:t>
      </w:r>
      <w:r w:rsidRPr="00373BB2">
        <w:rPr>
          <w:rFonts w:cs="Arial"/>
          <w:bCs/>
          <w:color w:val="000000"/>
        </w:rPr>
        <w:t xml:space="preserve">el art. 80 el decreto 960 de 1970, </w:t>
      </w:r>
      <w:r w:rsidRPr="00373BB2">
        <w:rPr>
          <w:rFonts w:cs="Arial"/>
          <w:bCs/>
          <w:color w:val="000000"/>
          <w:lang w:val="es-CO"/>
        </w:rPr>
        <w:t xml:space="preserve">modificado por el art. 42 del Decreto 2163 de 1970. </w:t>
      </w:r>
    </w:p>
    <w:p w14:paraId="15DCCDCC" w14:textId="77777777" w:rsidR="002035EE" w:rsidRPr="00A320B0" w:rsidRDefault="002035EE" w:rsidP="002035EE">
      <w:pPr>
        <w:spacing w:line="360" w:lineRule="auto"/>
        <w:rPr>
          <w:rFonts w:cs="Arial"/>
        </w:rPr>
      </w:pPr>
    </w:p>
    <w:p w14:paraId="52CFCD6C" w14:textId="77777777" w:rsidR="00CB7DA6" w:rsidRPr="0068683C" w:rsidRDefault="0068683C" w:rsidP="0068683C">
      <w:pPr>
        <w:spacing w:line="360" w:lineRule="auto"/>
        <w:jc w:val="center"/>
        <w:rPr>
          <w:rFonts w:cs="Arial"/>
          <w:b/>
        </w:rPr>
      </w:pPr>
      <w:r w:rsidRPr="0068683C">
        <w:rPr>
          <w:rFonts w:cs="Arial"/>
          <w:b/>
        </w:rPr>
        <w:t>3.4. CASO CONCRETO.</w:t>
      </w:r>
    </w:p>
    <w:p w14:paraId="09087890" w14:textId="77777777" w:rsidR="00CB7DA6" w:rsidRDefault="00CB7DA6" w:rsidP="008F6790">
      <w:pPr>
        <w:spacing w:line="360" w:lineRule="auto"/>
        <w:rPr>
          <w:rFonts w:cs="Arial"/>
        </w:rPr>
      </w:pPr>
    </w:p>
    <w:p w14:paraId="2505D500" w14:textId="77777777" w:rsidR="00CB7DA6" w:rsidRDefault="00CB7DA6" w:rsidP="008F6790">
      <w:pPr>
        <w:spacing w:line="360" w:lineRule="auto"/>
        <w:rPr>
          <w:rFonts w:cs="Arial"/>
        </w:rPr>
      </w:pPr>
    </w:p>
    <w:p w14:paraId="6BC92CAD" w14:textId="77777777" w:rsidR="008F6790" w:rsidRDefault="002035EE" w:rsidP="008F6790">
      <w:pPr>
        <w:spacing w:line="360" w:lineRule="auto"/>
        <w:rPr>
          <w:rFonts w:cs="Arial"/>
          <w:bCs/>
          <w:iCs/>
          <w:lang w:val="es-ES_tradnl"/>
        </w:rPr>
      </w:pPr>
      <w:r w:rsidRPr="00A320B0">
        <w:rPr>
          <w:rFonts w:cs="Arial"/>
        </w:rPr>
        <w:t xml:space="preserve">En el </w:t>
      </w:r>
      <w:r w:rsidRPr="00A320B0">
        <w:rPr>
          <w:rFonts w:cs="Arial"/>
          <w:i/>
        </w:rPr>
        <w:t xml:space="preserve">sub lite </w:t>
      </w:r>
      <w:r w:rsidRPr="00A320B0">
        <w:rPr>
          <w:rFonts w:cs="Arial"/>
        </w:rPr>
        <w:t xml:space="preserve">se observa que </w:t>
      </w:r>
      <w:r w:rsidR="008F6790">
        <w:rPr>
          <w:rFonts w:cs="Arial"/>
        </w:rPr>
        <w:t>el título ejecutivo</w:t>
      </w:r>
      <w:r w:rsidRPr="00A320B0">
        <w:rPr>
          <w:rFonts w:cs="Arial"/>
        </w:rPr>
        <w:t xml:space="preserve"> presentado para su cobro</w:t>
      </w:r>
      <w:r w:rsidR="0068683C">
        <w:rPr>
          <w:rFonts w:cs="Arial"/>
        </w:rPr>
        <w:t>,</w:t>
      </w:r>
      <w:r w:rsidRPr="00A320B0">
        <w:rPr>
          <w:rFonts w:cs="Arial"/>
        </w:rPr>
        <w:t xml:space="preserve"> cumple con los requisitos necesarios para ser catalogados como </w:t>
      </w:r>
      <w:r w:rsidR="008F6790">
        <w:rPr>
          <w:rFonts w:cs="Arial"/>
        </w:rPr>
        <w:t>tal,</w:t>
      </w:r>
      <w:r w:rsidRPr="00A320B0">
        <w:rPr>
          <w:rFonts w:cs="Arial"/>
        </w:rPr>
        <w:t xml:space="preserve"> de conformidad con las normas que lo regulan. Al respecto se observa que los documentos adosados,</w:t>
      </w:r>
      <w:r w:rsidR="008F6790">
        <w:rPr>
          <w:rFonts w:cs="Arial"/>
        </w:rPr>
        <w:t xml:space="preserve"> contienen una obligación (i)</w:t>
      </w:r>
      <w:r w:rsidRPr="00A320B0">
        <w:rPr>
          <w:rFonts w:cs="Arial"/>
        </w:rPr>
        <w:t xml:space="preserve"> </w:t>
      </w:r>
      <w:r w:rsidR="008F6790" w:rsidRPr="008F6790">
        <w:rPr>
          <w:rFonts w:cs="Arial"/>
          <w:b/>
          <w:bCs/>
        </w:rPr>
        <w:t xml:space="preserve">clara </w:t>
      </w:r>
      <w:r w:rsidR="008F6790">
        <w:rPr>
          <w:rFonts w:cs="Arial"/>
          <w:bCs/>
        </w:rPr>
        <w:t>pues</w:t>
      </w:r>
      <w:r w:rsidR="008F6790">
        <w:rPr>
          <w:rFonts w:cs="Arial"/>
          <w:bCs/>
          <w:iCs/>
        </w:rPr>
        <w:t xml:space="preserve"> sus elementos aparecen</w:t>
      </w:r>
      <w:r w:rsidR="008F6790" w:rsidRPr="008F6790">
        <w:rPr>
          <w:rFonts w:cs="Arial"/>
          <w:bCs/>
          <w:iCs/>
        </w:rPr>
        <w:t xml:space="preserve"> inequívocamente señalados; tanto su objeto (obligación real o personal), como sus sujetos (acreedor y deudor), además de la descripción de la manera como se ha</w:t>
      </w:r>
      <w:r w:rsidR="008F6790">
        <w:rPr>
          <w:rFonts w:cs="Arial"/>
          <w:bCs/>
          <w:iCs/>
        </w:rPr>
        <w:t xml:space="preserve"> de llevar a cabo la prestación; (ii) </w:t>
      </w:r>
      <w:r w:rsidR="008F6790" w:rsidRPr="008F6790">
        <w:rPr>
          <w:rFonts w:cs="Arial"/>
          <w:b/>
          <w:bCs/>
          <w:iCs/>
        </w:rPr>
        <w:t>expresa</w:t>
      </w:r>
      <w:r w:rsidR="008F6790" w:rsidRPr="008F6790">
        <w:rPr>
          <w:rFonts w:cs="Arial"/>
          <w:bCs/>
          <w:iCs/>
        </w:rPr>
        <w:t xml:space="preserve">, </w:t>
      </w:r>
      <w:r w:rsidR="008F6790">
        <w:rPr>
          <w:rFonts w:cs="Arial"/>
          <w:bCs/>
          <w:iCs/>
        </w:rPr>
        <w:t>pues la misma está</w:t>
      </w:r>
      <w:r w:rsidR="008F6790" w:rsidRPr="008F6790">
        <w:rPr>
          <w:rFonts w:cs="Arial"/>
          <w:bCs/>
          <w:iCs/>
        </w:rPr>
        <w:t xml:space="preserve"> </w:t>
      </w:r>
      <w:r w:rsidR="008F6790" w:rsidRPr="008F6790">
        <w:rPr>
          <w:rFonts w:cs="Arial"/>
          <w:bCs/>
          <w:iCs/>
        </w:rPr>
        <w:lastRenderedPageBreak/>
        <w:t>debidamente determinada, especificada y pate</w:t>
      </w:r>
      <w:r w:rsidR="008F6790">
        <w:rPr>
          <w:rFonts w:cs="Arial"/>
          <w:bCs/>
          <w:iCs/>
        </w:rPr>
        <w:t>ntada en el documento ejecutivo; y</w:t>
      </w:r>
      <w:r w:rsidR="008F6790" w:rsidRPr="008F6790">
        <w:rPr>
          <w:rFonts w:cs="Arial"/>
          <w:bCs/>
        </w:rPr>
        <w:t xml:space="preserve"> </w:t>
      </w:r>
      <w:r w:rsidR="008F6790">
        <w:rPr>
          <w:rFonts w:cs="Arial"/>
          <w:bCs/>
        </w:rPr>
        <w:t>f</w:t>
      </w:r>
      <w:r w:rsidR="008F6790" w:rsidRPr="008F6790">
        <w:rPr>
          <w:rFonts w:cs="Arial"/>
          <w:bCs/>
        </w:rPr>
        <w:t>inalmente,</w:t>
      </w:r>
      <w:r w:rsidR="008F6790">
        <w:rPr>
          <w:rFonts w:cs="Arial"/>
          <w:bCs/>
        </w:rPr>
        <w:t xml:space="preserve"> se trata de una obligación (iii) </w:t>
      </w:r>
      <w:r w:rsidR="008F6790">
        <w:rPr>
          <w:rFonts w:cs="Arial"/>
          <w:b/>
          <w:bCs/>
        </w:rPr>
        <w:t xml:space="preserve">exigible </w:t>
      </w:r>
      <w:r w:rsidR="008F6790">
        <w:rPr>
          <w:rFonts w:cs="Arial"/>
          <w:bCs/>
        </w:rPr>
        <w:t>por cuanto</w:t>
      </w:r>
      <w:r w:rsidR="008F6790">
        <w:rPr>
          <w:rFonts w:cs="Arial"/>
          <w:bCs/>
          <w:iCs/>
        </w:rPr>
        <w:t xml:space="preserve"> está</w:t>
      </w:r>
      <w:r w:rsidR="008F6790" w:rsidRPr="008F6790">
        <w:rPr>
          <w:rFonts w:cs="Arial"/>
          <w:bCs/>
          <w:iCs/>
        </w:rPr>
        <w:t xml:space="preserve"> sometida a</w:t>
      </w:r>
      <w:r w:rsidR="008F6790">
        <w:rPr>
          <w:rFonts w:cs="Arial"/>
          <w:bCs/>
          <w:iCs/>
        </w:rPr>
        <w:t xml:space="preserve"> un</w:t>
      </w:r>
      <w:r w:rsidR="008F6790" w:rsidRPr="008F6790">
        <w:rPr>
          <w:rFonts w:cs="Arial"/>
          <w:bCs/>
          <w:iCs/>
        </w:rPr>
        <w:t xml:space="preserve"> plazo </w:t>
      </w:r>
      <w:r w:rsidR="008F6790">
        <w:rPr>
          <w:rFonts w:cs="Arial"/>
          <w:bCs/>
          <w:iCs/>
        </w:rPr>
        <w:t xml:space="preserve">debidamente determinado. </w:t>
      </w:r>
    </w:p>
    <w:p w14:paraId="1FC3D439" w14:textId="77777777" w:rsidR="002035EE" w:rsidRPr="00A320B0" w:rsidRDefault="002035EE" w:rsidP="002035EE">
      <w:pPr>
        <w:spacing w:line="360" w:lineRule="auto"/>
        <w:rPr>
          <w:rFonts w:cs="Arial"/>
        </w:rPr>
      </w:pPr>
    </w:p>
    <w:p w14:paraId="36B14D6C" w14:textId="77777777" w:rsidR="002035EE" w:rsidRPr="00A320B0" w:rsidRDefault="001B421A" w:rsidP="002035EE">
      <w:pPr>
        <w:spacing w:line="360" w:lineRule="auto"/>
        <w:rPr>
          <w:rFonts w:cs="Arial"/>
        </w:rPr>
      </w:pPr>
      <w:r>
        <w:rPr>
          <w:rFonts w:cs="Arial"/>
        </w:rPr>
        <w:t xml:space="preserve">Dado </w:t>
      </w:r>
      <w:r w:rsidR="002035EE" w:rsidRPr="00A320B0">
        <w:rPr>
          <w:rFonts w:cs="Arial"/>
        </w:rPr>
        <w:t>a que el documento presentado con la demanda principal cumple los req</w:t>
      </w:r>
      <w:r w:rsidR="004B0D8E">
        <w:rPr>
          <w:rFonts w:cs="Arial"/>
        </w:rPr>
        <w:t>uisitos formales y sustanciales</w:t>
      </w:r>
      <w:r w:rsidR="002035EE" w:rsidRPr="00A320B0">
        <w:rPr>
          <w:rFonts w:cs="Arial"/>
        </w:rPr>
        <w:t xml:space="preserve"> </w:t>
      </w:r>
      <w:r w:rsidR="004B0D8E">
        <w:rPr>
          <w:rFonts w:cs="Arial"/>
        </w:rPr>
        <w:t>y</w:t>
      </w:r>
      <w:r w:rsidR="002035EE" w:rsidRPr="00A320B0">
        <w:rPr>
          <w:rFonts w:cs="Arial"/>
        </w:rPr>
        <w:t xml:space="preserve"> por ende, se encuentran reunidos los requisitos axiológicos de la pretensión, procede el despacho a resolver sobre la oposición formulada por la parte demandada. </w:t>
      </w:r>
    </w:p>
    <w:p w14:paraId="4AF40359" w14:textId="77777777" w:rsidR="002035EE" w:rsidRPr="001B421A" w:rsidRDefault="002035EE" w:rsidP="002035EE">
      <w:pPr>
        <w:spacing w:line="360" w:lineRule="auto"/>
        <w:rPr>
          <w:rFonts w:cs="Arial"/>
        </w:rPr>
      </w:pPr>
    </w:p>
    <w:p w14:paraId="0E314261" w14:textId="77777777" w:rsidR="002035EE" w:rsidRPr="00A320B0" w:rsidRDefault="002035EE" w:rsidP="002035EE">
      <w:pPr>
        <w:spacing w:line="360" w:lineRule="auto"/>
        <w:rPr>
          <w:rFonts w:cs="Arial"/>
        </w:rPr>
      </w:pPr>
      <w:r w:rsidRPr="00A320B0">
        <w:rPr>
          <w:rFonts w:cs="Arial"/>
          <w:lang w:val="es-CO"/>
        </w:rPr>
        <w:t>3.4.1. De la oposición presentada por el demandado.</w:t>
      </w:r>
    </w:p>
    <w:p w14:paraId="12CC3CF0" w14:textId="77777777" w:rsidR="002035EE" w:rsidRPr="0030030B" w:rsidRDefault="002035EE" w:rsidP="002035EE">
      <w:pPr>
        <w:widowControl w:val="0"/>
        <w:autoSpaceDE w:val="0"/>
        <w:autoSpaceDN w:val="0"/>
        <w:adjustRightInd w:val="0"/>
        <w:spacing w:line="360" w:lineRule="auto"/>
        <w:rPr>
          <w:rFonts w:cs="Arial"/>
        </w:rPr>
      </w:pPr>
    </w:p>
    <w:p w14:paraId="404A716B" w14:textId="77777777" w:rsidR="002035EE" w:rsidRDefault="002035EE" w:rsidP="002035EE">
      <w:pPr>
        <w:widowControl w:val="0"/>
        <w:autoSpaceDE w:val="0"/>
        <w:autoSpaceDN w:val="0"/>
        <w:adjustRightInd w:val="0"/>
        <w:spacing w:line="360" w:lineRule="auto"/>
        <w:rPr>
          <w:rFonts w:cs="Arial"/>
          <w:bCs/>
          <w:lang w:val="es-ES_tradnl"/>
        </w:rPr>
      </w:pPr>
      <w:r w:rsidRPr="0030030B">
        <w:rPr>
          <w:rFonts w:cs="Arial"/>
          <w:lang w:val="es-CO" w:eastAsia="es-CO"/>
        </w:rPr>
        <w:t xml:space="preserve">3.4.1.1. </w:t>
      </w:r>
      <w:r w:rsidRPr="0030030B">
        <w:rPr>
          <w:rFonts w:cs="Arial"/>
          <w:iCs/>
        </w:rPr>
        <w:t xml:space="preserve">Como se dijo con antelación, en la resistencia planteada se indica </w:t>
      </w:r>
      <w:r w:rsidR="00821137">
        <w:rPr>
          <w:rFonts w:cs="Arial"/>
          <w:iCs/>
        </w:rPr>
        <w:t>que</w:t>
      </w:r>
      <w:r w:rsidRPr="0030030B">
        <w:rPr>
          <w:rFonts w:cs="Arial"/>
          <w:iCs/>
        </w:rPr>
        <w:t xml:space="preserve"> </w:t>
      </w:r>
      <w:r>
        <w:rPr>
          <w:rFonts w:cs="Arial"/>
          <w:iCs/>
        </w:rPr>
        <w:t>el demanda</w:t>
      </w:r>
      <w:r w:rsidR="00821137">
        <w:rPr>
          <w:rFonts w:cs="Arial"/>
          <w:iCs/>
        </w:rPr>
        <w:t>do</w:t>
      </w:r>
      <w:r>
        <w:rPr>
          <w:rFonts w:cs="Arial"/>
          <w:iCs/>
        </w:rPr>
        <w:t xml:space="preserve"> canceló</w:t>
      </w:r>
      <w:r w:rsidR="00821137">
        <w:rPr>
          <w:rFonts w:cs="Arial"/>
          <w:iCs/>
        </w:rPr>
        <w:t xml:space="preserve"> parcialmente</w:t>
      </w:r>
      <w:r>
        <w:rPr>
          <w:rFonts w:cs="Arial"/>
          <w:iCs/>
        </w:rPr>
        <w:t xml:space="preserve"> la obligación</w:t>
      </w:r>
      <w:r w:rsidR="001B421A">
        <w:rPr>
          <w:rFonts w:cs="Arial"/>
          <w:iCs/>
        </w:rPr>
        <w:t xml:space="preserve">, igualmente, se argumentó una </w:t>
      </w:r>
      <w:r w:rsidR="001B421A" w:rsidRPr="0068683C">
        <w:rPr>
          <w:rFonts w:cs="Arial"/>
          <w:i/>
          <w:iCs/>
        </w:rPr>
        <w:t xml:space="preserve">“inexistencia parcial de la obligación </w:t>
      </w:r>
      <w:r w:rsidR="0043533A" w:rsidRPr="0068683C">
        <w:rPr>
          <w:rFonts w:cs="Arial"/>
          <w:i/>
          <w:iCs/>
        </w:rPr>
        <w:t>consecuencial de intereses moratorios”, “contrato no cumplido”, “ejercicio arbitrario de las atribuciones contractuales de cobro”, “ejecución de los contratos de buena fe por ambas partes” e “imposibilidad de ejecutar la garantía real”</w:t>
      </w:r>
      <w:r w:rsidRPr="0068683C">
        <w:rPr>
          <w:rFonts w:cs="Arial"/>
          <w:i/>
          <w:iCs/>
        </w:rPr>
        <w:t>.</w:t>
      </w:r>
      <w:r w:rsidRPr="0030030B">
        <w:rPr>
          <w:rFonts w:cs="Arial"/>
          <w:iCs/>
        </w:rPr>
        <w:t xml:space="preserve"> </w:t>
      </w:r>
      <w:r w:rsidRPr="0030030B">
        <w:rPr>
          <w:rFonts w:cs="Arial"/>
          <w:bCs/>
          <w:lang w:val="es-ES_tradnl"/>
        </w:rPr>
        <w:t xml:space="preserve">Frente a la citada resistencia, el Juzgado encuentra de forma diáfana su </w:t>
      </w:r>
      <w:r w:rsidR="0043533A">
        <w:rPr>
          <w:rFonts w:cs="Arial"/>
          <w:bCs/>
          <w:lang w:val="es-ES_tradnl"/>
        </w:rPr>
        <w:t>im</w:t>
      </w:r>
      <w:r w:rsidRPr="0030030B">
        <w:rPr>
          <w:rFonts w:cs="Arial"/>
          <w:bCs/>
          <w:lang w:val="es-ES_tradnl"/>
        </w:rPr>
        <w:t>procedencia, como pasa a exponerse.</w:t>
      </w:r>
    </w:p>
    <w:p w14:paraId="02EDF27D" w14:textId="77777777" w:rsidR="002D1B32" w:rsidRDefault="002D1B32" w:rsidP="002035EE">
      <w:pPr>
        <w:widowControl w:val="0"/>
        <w:autoSpaceDE w:val="0"/>
        <w:autoSpaceDN w:val="0"/>
        <w:adjustRightInd w:val="0"/>
        <w:spacing w:line="360" w:lineRule="auto"/>
        <w:rPr>
          <w:rFonts w:cs="Arial"/>
          <w:bCs/>
          <w:lang w:val="es-ES_tradnl"/>
        </w:rPr>
      </w:pPr>
    </w:p>
    <w:p w14:paraId="7D7C4600" w14:textId="77777777" w:rsidR="002D1B32" w:rsidRDefault="002D1B32" w:rsidP="002D1B32">
      <w:pPr>
        <w:spacing w:line="360" w:lineRule="auto"/>
        <w:rPr>
          <w:rFonts w:cs="Arial"/>
          <w:lang w:val="es-CO"/>
        </w:rPr>
      </w:pPr>
      <w:r>
        <w:rPr>
          <w:rFonts w:cs="Arial"/>
          <w:lang w:val="es-CO"/>
        </w:rPr>
        <w:t xml:space="preserve">Lo primero a tener en cuenta, tiene que ver con que la parte demandada no desconoce las obligaciones objeto de cobro; de hecho, solo advierte que se acoge al estricto tenor de lo acordado en el acta y hasta podría afirmarse que se acepta, en tanto se afirma que se ha venido cancelando la obligación en la medida de las posibilidades, hasta el punto que discrepa </w:t>
      </w:r>
      <w:r w:rsidR="00261B04">
        <w:rPr>
          <w:rFonts w:cs="Arial"/>
          <w:lang w:val="es-CO"/>
        </w:rPr>
        <w:t xml:space="preserve"> </w:t>
      </w:r>
      <w:r>
        <w:rPr>
          <w:rFonts w:cs="Arial"/>
          <w:lang w:val="es-CO"/>
        </w:rPr>
        <w:t xml:space="preserve"> solamente de los saldos, afirmando que lo adeudado es una cifra menor a la </w:t>
      </w:r>
      <w:r w:rsidR="0068683C">
        <w:rPr>
          <w:rFonts w:cs="Arial"/>
          <w:lang w:val="es-CO"/>
        </w:rPr>
        <w:t>pretendida.</w:t>
      </w:r>
      <w:r>
        <w:rPr>
          <w:rFonts w:cs="Arial"/>
          <w:lang w:val="es-CO"/>
        </w:rPr>
        <w:t xml:space="preserve"> Su oposición está centrada en lo que tiene que ver con los supuestos pagos que se han realizado y  que constituyen el fundamento de las </w:t>
      </w:r>
      <w:r w:rsidR="0068683C">
        <w:rPr>
          <w:rFonts w:cs="Arial"/>
          <w:lang w:val="es-CO"/>
        </w:rPr>
        <w:t>excepciones</w:t>
      </w:r>
      <w:r>
        <w:rPr>
          <w:rFonts w:cs="Arial"/>
          <w:lang w:val="es-CO"/>
        </w:rPr>
        <w:t xml:space="preserve"> que propone.</w:t>
      </w:r>
      <w:r w:rsidR="00252C69">
        <w:rPr>
          <w:rFonts w:cs="Arial"/>
          <w:lang w:val="es-CO"/>
        </w:rPr>
        <w:t xml:space="preserve">  </w:t>
      </w:r>
    </w:p>
    <w:p w14:paraId="23966EBB" w14:textId="77777777" w:rsidR="002D1B32" w:rsidRDefault="002D1B32" w:rsidP="002D1B32">
      <w:pPr>
        <w:spacing w:line="360" w:lineRule="auto"/>
        <w:rPr>
          <w:rFonts w:cs="Arial"/>
          <w:lang w:val="es-CO"/>
        </w:rPr>
      </w:pPr>
    </w:p>
    <w:p w14:paraId="5D22C8BC" w14:textId="77777777" w:rsidR="002D1B32" w:rsidRDefault="00261B04" w:rsidP="002D1B32">
      <w:pPr>
        <w:spacing w:line="360" w:lineRule="auto"/>
        <w:rPr>
          <w:rFonts w:cs="Arial"/>
          <w:lang w:val="es-CO"/>
        </w:rPr>
      </w:pPr>
      <w:r>
        <w:rPr>
          <w:rFonts w:cs="Arial"/>
          <w:lang w:val="es-CO"/>
        </w:rPr>
        <w:t xml:space="preserve"> </w:t>
      </w:r>
      <w:r w:rsidR="0068683C">
        <w:rPr>
          <w:rFonts w:cs="Arial"/>
          <w:lang w:val="es-CO"/>
        </w:rPr>
        <w:t xml:space="preserve">Al plenario fue allegado </w:t>
      </w:r>
      <w:r>
        <w:rPr>
          <w:rFonts w:cs="Arial"/>
          <w:lang w:val="es-CO"/>
        </w:rPr>
        <w:t xml:space="preserve">como </w:t>
      </w:r>
      <w:r w:rsidR="0068683C">
        <w:rPr>
          <w:rFonts w:cs="Arial"/>
          <w:lang w:val="es-CO"/>
        </w:rPr>
        <w:t>título</w:t>
      </w:r>
      <w:r>
        <w:rPr>
          <w:rFonts w:cs="Arial"/>
          <w:lang w:val="es-CO"/>
        </w:rPr>
        <w:t xml:space="preserve"> base de recaudo, un ACTA DE CONCILIACION celebrada el día 26 de octubre de 2015, la cual  tuvo como </w:t>
      </w:r>
      <w:r w:rsidR="00F9349D">
        <w:rPr>
          <w:rFonts w:cs="Arial"/>
          <w:lang w:val="es-CO"/>
        </w:rPr>
        <w:t>pretensiones</w:t>
      </w:r>
      <w:r w:rsidR="00200A26">
        <w:rPr>
          <w:rFonts w:cs="Arial"/>
          <w:lang w:val="es-CO"/>
        </w:rPr>
        <w:t>,</w:t>
      </w:r>
      <w:r w:rsidR="00F9349D">
        <w:rPr>
          <w:rFonts w:cs="Arial"/>
          <w:lang w:val="es-CO"/>
        </w:rPr>
        <w:t xml:space="preserve"> la </w:t>
      </w:r>
      <w:r>
        <w:rPr>
          <w:rFonts w:cs="Arial"/>
          <w:lang w:val="es-CO"/>
        </w:rPr>
        <w:t>declaratoria que entre INVERSIONES AGRICOLAS EL</w:t>
      </w:r>
      <w:r w:rsidR="00200A26">
        <w:rPr>
          <w:rFonts w:cs="Arial"/>
          <w:lang w:val="es-CO"/>
        </w:rPr>
        <w:t xml:space="preserve"> </w:t>
      </w:r>
      <w:r>
        <w:rPr>
          <w:rFonts w:cs="Arial"/>
          <w:lang w:val="es-CO"/>
        </w:rPr>
        <w:t>DARIEN SAS</w:t>
      </w:r>
      <w:r w:rsidR="00F9349D">
        <w:rPr>
          <w:rFonts w:cs="Arial"/>
          <w:lang w:val="es-CO"/>
        </w:rPr>
        <w:t xml:space="preserve"> (representado </w:t>
      </w:r>
      <w:r w:rsidR="00200A26">
        <w:rPr>
          <w:rFonts w:cs="Arial"/>
          <w:lang w:val="es-CO"/>
        </w:rPr>
        <w:t>legalmente</w:t>
      </w:r>
      <w:r w:rsidR="00F9349D">
        <w:rPr>
          <w:rFonts w:cs="Arial"/>
          <w:lang w:val="es-CO"/>
        </w:rPr>
        <w:t xml:space="preserve"> por el señor WILSON DE JESUS MEJIA MEJIA</w:t>
      </w:r>
      <w:r>
        <w:rPr>
          <w:rFonts w:cs="Arial"/>
          <w:lang w:val="es-CO"/>
        </w:rPr>
        <w:t xml:space="preserve"> y NESTLE DE COL</w:t>
      </w:r>
      <w:r w:rsidR="00200A26">
        <w:rPr>
          <w:rFonts w:cs="Arial"/>
          <w:lang w:val="es-CO"/>
        </w:rPr>
        <w:t>OMBIA SA e</w:t>
      </w:r>
      <w:r>
        <w:rPr>
          <w:rFonts w:cs="Arial"/>
          <w:lang w:val="es-CO"/>
        </w:rPr>
        <w:t xml:space="preserve">xistió  un contrato de agencia comercial, que terminó por incumplimiento y en razón de ello se generaron unas sumas de dinero.  Dichas pretensiones fueron conciliadas de la </w:t>
      </w:r>
      <w:r w:rsidR="00200A26">
        <w:rPr>
          <w:rFonts w:cs="Arial"/>
          <w:lang w:val="es-CO"/>
        </w:rPr>
        <w:t>siguiente</w:t>
      </w:r>
      <w:r>
        <w:rPr>
          <w:rFonts w:cs="Arial"/>
          <w:lang w:val="es-CO"/>
        </w:rPr>
        <w:t xml:space="preserve"> manera: </w:t>
      </w:r>
    </w:p>
    <w:p w14:paraId="1A7BB51B" w14:textId="77777777" w:rsidR="00261B04" w:rsidRDefault="00261B04" w:rsidP="002D1B32">
      <w:pPr>
        <w:spacing w:line="360" w:lineRule="auto"/>
        <w:rPr>
          <w:rFonts w:cs="Arial"/>
          <w:lang w:val="es-CO"/>
        </w:rPr>
      </w:pPr>
    </w:p>
    <w:p w14:paraId="16DF9A5D" w14:textId="77777777" w:rsidR="00261B04" w:rsidRDefault="00261B04" w:rsidP="002D1B32">
      <w:pPr>
        <w:spacing w:line="360" w:lineRule="auto"/>
        <w:rPr>
          <w:rFonts w:cs="Arial"/>
          <w:lang w:val="es-CO"/>
        </w:rPr>
      </w:pPr>
      <w:r w:rsidRPr="009865CC">
        <w:rPr>
          <w:rFonts w:cs="Arial"/>
          <w:i/>
          <w:sz w:val="20"/>
          <w:szCs w:val="20"/>
          <w:lang w:val="es-CO"/>
        </w:rPr>
        <w:lastRenderedPageBreak/>
        <w:t xml:space="preserve">“El señor WILSON DE JESUS MEJIA MEJIA cancelará a NESTLÉ DE COLOMBIA S.A la suma de…. $72.000.000 como pago total de la </w:t>
      </w:r>
      <w:r w:rsidR="0068683C" w:rsidRPr="009865CC">
        <w:rPr>
          <w:rFonts w:cs="Arial"/>
          <w:i/>
          <w:sz w:val="20"/>
          <w:szCs w:val="20"/>
          <w:lang w:val="es-CO"/>
        </w:rPr>
        <w:t>deuda</w:t>
      </w:r>
      <w:r w:rsidRPr="009865CC">
        <w:rPr>
          <w:rFonts w:cs="Arial"/>
          <w:i/>
          <w:sz w:val="20"/>
          <w:szCs w:val="20"/>
          <w:lang w:val="es-CO"/>
        </w:rPr>
        <w:t xml:space="preserve"> que tiene INVERSIONS AGRICOLAS EL DARIEN SAS</w:t>
      </w:r>
      <w:r w:rsidR="00F9349D">
        <w:rPr>
          <w:rFonts w:cs="Arial"/>
          <w:lang w:val="es-CO"/>
        </w:rPr>
        <w:t>….”,  (folios 14).</w:t>
      </w:r>
    </w:p>
    <w:p w14:paraId="1B319530" w14:textId="77777777" w:rsidR="00F9349D" w:rsidRDefault="00F9349D" w:rsidP="002D1B32">
      <w:pPr>
        <w:spacing w:line="360" w:lineRule="auto"/>
        <w:rPr>
          <w:rFonts w:cs="Arial"/>
          <w:lang w:val="es-CO"/>
        </w:rPr>
      </w:pPr>
    </w:p>
    <w:p w14:paraId="58351D24" w14:textId="77777777" w:rsidR="00F9349D" w:rsidRDefault="00F9349D" w:rsidP="002D1B32">
      <w:pPr>
        <w:spacing w:line="360" w:lineRule="auto"/>
        <w:rPr>
          <w:rFonts w:cs="Arial"/>
          <w:lang w:val="es-CO"/>
        </w:rPr>
      </w:pPr>
      <w:r>
        <w:rPr>
          <w:rFonts w:cs="Arial"/>
          <w:lang w:val="es-CO"/>
        </w:rPr>
        <w:t xml:space="preserve">A folios 1 a 4, se allega copia de la escritura de hipoteca nro.  116 de 26 de enero de 2010 de la notaria 22 del Circulo de Medellín, mediante la cual los señores WILSON DE JESUS MEJIA MEJIA, en nombre propio y como representante legal de INVERSIONES AGRICOLAS EL DARIEN LTDA Y CLAUDIA PATRICIA GRANDA IBARRA constituyen hipoteca a favor de NESTLE DE COLOMBIA S,A sobre los inmuebles identificados con los folios de </w:t>
      </w:r>
      <w:r w:rsidR="0068683C">
        <w:rPr>
          <w:rFonts w:cs="Arial"/>
          <w:lang w:val="es-CO"/>
        </w:rPr>
        <w:t>matrículas</w:t>
      </w:r>
      <w:r>
        <w:rPr>
          <w:rFonts w:cs="Arial"/>
          <w:lang w:val="es-CO"/>
        </w:rPr>
        <w:t xml:space="preserve"> inmobiliarias nros. 001-0589725 y 001-0589711.</w:t>
      </w:r>
    </w:p>
    <w:p w14:paraId="08ABCB98" w14:textId="77777777" w:rsidR="00F9349D" w:rsidRDefault="00F9349D" w:rsidP="002D1B32">
      <w:pPr>
        <w:spacing w:line="360" w:lineRule="auto"/>
        <w:rPr>
          <w:rFonts w:cs="Arial"/>
          <w:lang w:val="es-CO"/>
        </w:rPr>
      </w:pPr>
    </w:p>
    <w:p w14:paraId="41AE2DB5" w14:textId="77777777" w:rsidR="00F9349D" w:rsidRDefault="00F9349D" w:rsidP="002D1B32">
      <w:pPr>
        <w:spacing w:line="360" w:lineRule="auto"/>
        <w:rPr>
          <w:rFonts w:cs="Arial"/>
          <w:lang w:val="es-CO"/>
        </w:rPr>
      </w:pPr>
      <w:r>
        <w:rPr>
          <w:rFonts w:cs="Arial"/>
          <w:lang w:val="es-CO"/>
        </w:rPr>
        <w:t xml:space="preserve">En la </w:t>
      </w:r>
      <w:r w:rsidR="009865CC">
        <w:rPr>
          <w:rFonts w:cs="Arial"/>
          <w:lang w:val="es-CO"/>
        </w:rPr>
        <w:t>cláusula</w:t>
      </w:r>
      <w:r>
        <w:rPr>
          <w:rFonts w:cs="Arial"/>
          <w:lang w:val="es-CO"/>
        </w:rPr>
        <w:t xml:space="preserve"> cuarta se lee:  </w:t>
      </w:r>
      <w:r w:rsidRPr="007F3170">
        <w:rPr>
          <w:rFonts w:cs="Arial"/>
          <w:i/>
          <w:sz w:val="20"/>
          <w:szCs w:val="20"/>
          <w:lang w:val="es-CO"/>
        </w:rPr>
        <w:t xml:space="preserve">“El gravamen que LOS HIPOTECANTES constituyen por medio de este instrumento garantiza el cumplimiento de todas las obligaciones que EL DEUDOR, </w:t>
      </w:r>
      <w:r w:rsidRPr="007F3170">
        <w:rPr>
          <w:rFonts w:cs="Arial"/>
          <w:b/>
          <w:i/>
          <w:sz w:val="20"/>
          <w:szCs w:val="20"/>
          <w:lang w:val="es-CO"/>
        </w:rPr>
        <w:t>tenga adquiridas o adquiera en un futuro a favor de NESTLE S.A.,</w:t>
      </w:r>
      <w:r w:rsidRPr="007F3170">
        <w:rPr>
          <w:rFonts w:cs="Arial"/>
          <w:i/>
          <w:sz w:val="20"/>
          <w:szCs w:val="20"/>
          <w:lang w:val="es-CO"/>
        </w:rPr>
        <w:t xml:space="preserve"> hasta por la suma de CIENTO CUARENTA Y UN MILLONES DE PESOS MCTE ($141.000.000.00). Dichas obligaciones pueden haber sido adquiridas o pueden serlo en e</w:t>
      </w:r>
      <w:r w:rsidR="00C3722E" w:rsidRPr="007F3170">
        <w:rPr>
          <w:rFonts w:cs="Arial"/>
          <w:i/>
          <w:sz w:val="20"/>
          <w:szCs w:val="20"/>
          <w:lang w:val="es-CO"/>
        </w:rPr>
        <w:t xml:space="preserve">l futuro a favor de NESTLE S.A por razón de créditos rotativos </w:t>
      </w:r>
      <w:r w:rsidR="00C3722E" w:rsidRPr="007F3170">
        <w:rPr>
          <w:rFonts w:cs="Arial"/>
          <w:b/>
          <w:i/>
          <w:sz w:val="20"/>
          <w:szCs w:val="20"/>
          <w:lang w:val="es-CO"/>
        </w:rPr>
        <w:t>o por cualquier otra causa</w:t>
      </w:r>
      <w:r w:rsidR="00C3722E" w:rsidRPr="007F3170">
        <w:rPr>
          <w:rFonts w:cs="Arial"/>
          <w:i/>
          <w:sz w:val="20"/>
          <w:szCs w:val="20"/>
          <w:lang w:val="es-CO"/>
        </w:rPr>
        <w:t xml:space="preserve"> en que los </w:t>
      </w:r>
      <w:r w:rsidR="007F3170" w:rsidRPr="007F3170">
        <w:rPr>
          <w:rFonts w:cs="Arial"/>
          <w:i/>
          <w:sz w:val="20"/>
          <w:szCs w:val="20"/>
          <w:lang w:val="es-CO"/>
        </w:rPr>
        <w:t>HIPOTECANTES queden obligados p</w:t>
      </w:r>
      <w:r w:rsidR="00C3722E" w:rsidRPr="007F3170">
        <w:rPr>
          <w:rFonts w:cs="Arial"/>
          <w:i/>
          <w:sz w:val="20"/>
          <w:szCs w:val="20"/>
          <w:lang w:val="es-CO"/>
        </w:rPr>
        <w:t xml:space="preserve">ara con  NESTLE SA. Ya sea directa o indirectamente, </w:t>
      </w:r>
      <w:r w:rsidR="00C3722E" w:rsidRPr="007F3170">
        <w:rPr>
          <w:rFonts w:cs="Arial"/>
          <w:b/>
          <w:i/>
          <w:sz w:val="20"/>
          <w:szCs w:val="20"/>
          <w:lang w:val="es-CO"/>
        </w:rPr>
        <w:t>o por cualquier otro concepto</w:t>
      </w:r>
      <w:r w:rsidR="00C3722E" w:rsidRPr="007F3170">
        <w:rPr>
          <w:rFonts w:cs="Arial"/>
          <w:i/>
          <w:sz w:val="20"/>
          <w:szCs w:val="20"/>
          <w:lang w:val="es-CO"/>
        </w:rPr>
        <w:t xml:space="preserve">, ha sea en su propio nombre, con otra   u otras firmas, </w:t>
      </w:r>
      <w:r w:rsidR="00C3722E" w:rsidRPr="007F3170">
        <w:rPr>
          <w:rFonts w:cs="Arial"/>
          <w:b/>
          <w:i/>
          <w:sz w:val="20"/>
          <w:szCs w:val="20"/>
          <w:lang w:val="es-CO"/>
        </w:rPr>
        <w:t>conjunta o separadamente</w:t>
      </w:r>
      <w:r w:rsidR="00C3722E" w:rsidRPr="007F3170">
        <w:rPr>
          <w:rFonts w:cs="Arial"/>
          <w:i/>
          <w:sz w:val="20"/>
          <w:szCs w:val="20"/>
          <w:lang w:val="es-CO"/>
        </w:rPr>
        <w:t xml:space="preserve"> y ya se trate de préstamos y/o endosos o </w:t>
      </w:r>
      <w:r w:rsidR="0068683C" w:rsidRPr="007F3170">
        <w:rPr>
          <w:rFonts w:cs="Arial"/>
          <w:i/>
          <w:sz w:val="20"/>
          <w:szCs w:val="20"/>
          <w:lang w:val="es-CO"/>
        </w:rPr>
        <w:t>cesión</w:t>
      </w:r>
      <w:r w:rsidR="00C3722E" w:rsidRPr="007F3170">
        <w:rPr>
          <w:rFonts w:cs="Arial"/>
          <w:i/>
          <w:sz w:val="20"/>
          <w:szCs w:val="20"/>
          <w:lang w:val="es-CO"/>
        </w:rPr>
        <w:t xml:space="preserve"> de títulos valores o de créditos de otro orden o de cualquier otro género de obligaciones, ya consten en pagarés, letras de cambio, cheques, etc o e</w:t>
      </w:r>
      <w:r w:rsidR="00200A26" w:rsidRPr="007F3170">
        <w:rPr>
          <w:rFonts w:cs="Arial"/>
          <w:i/>
          <w:sz w:val="20"/>
          <w:szCs w:val="20"/>
          <w:lang w:val="es-CO"/>
        </w:rPr>
        <w:t>n</w:t>
      </w:r>
      <w:r w:rsidR="00C3722E" w:rsidRPr="007F3170">
        <w:rPr>
          <w:rFonts w:cs="Arial"/>
          <w:i/>
          <w:sz w:val="20"/>
          <w:szCs w:val="20"/>
          <w:lang w:val="es-CO"/>
        </w:rPr>
        <w:t xml:space="preserve"> </w:t>
      </w:r>
      <w:r w:rsidR="00200A26" w:rsidRPr="007F3170">
        <w:rPr>
          <w:rFonts w:cs="Arial"/>
          <w:b/>
          <w:i/>
          <w:sz w:val="20"/>
          <w:szCs w:val="20"/>
          <w:lang w:val="es-CO"/>
        </w:rPr>
        <w:t>c</w:t>
      </w:r>
      <w:r w:rsidR="00C3722E" w:rsidRPr="007F3170">
        <w:rPr>
          <w:rFonts w:cs="Arial"/>
          <w:b/>
          <w:i/>
          <w:sz w:val="20"/>
          <w:szCs w:val="20"/>
          <w:lang w:val="es-CO"/>
        </w:rPr>
        <w:t>ualesquiera otros documentos civiles o comerciale</w:t>
      </w:r>
      <w:r w:rsidR="00200A26" w:rsidRPr="007F3170">
        <w:rPr>
          <w:rFonts w:cs="Arial"/>
          <w:b/>
          <w:i/>
          <w:sz w:val="20"/>
          <w:szCs w:val="20"/>
          <w:lang w:val="es-CO"/>
        </w:rPr>
        <w:t>s</w:t>
      </w:r>
      <w:r w:rsidR="00C3722E" w:rsidRPr="007F3170">
        <w:rPr>
          <w:rFonts w:cs="Arial"/>
          <w:i/>
          <w:sz w:val="20"/>
          <w:szCs w:val="20"/>
          <w:lang w:val="es-CO"/>
        </w:rPr>
        <w:t xml:space="preserve">, </w:t>
      </w:r>
      <w:r w:rsidR="0068683C" w:rsidRPr="007F3170">
        <w:rPr>
          <w:rFonts w:cs="Arial"/>
          <w:i/>
          <w:sz w:val="20"/>
          <w:szCs w:val="20"/>
          <w:lang w:val="es-CO"/>
        </w:rPr>
        <w:t>girados</w:t>
      </w:r>
      <w:r w:rsidR="007F3170" w:rsidRPr="007F3170">
        <w:rPr>
          <w:rFonts w:cs="Arial"/>
          <w:i/>
          <w:sz w:val="20"/>
          <w:szCs w:val="20"/>
          <w:lang w:val="es-CO"/>
        </w:rPr>
        <w:t xml:space="preserve"> </w:t>
      </w:r>
      <w:r w:rsidR="00C3722E" w:rsidRPr="007F3170">
        <w:rPr>
          <w:rFonts w:cs="Arial"/>
          <w:i/>
          <w:sz w:val="20"/>
          <w:szCs w:val="20"/>
          <w:lang w:val="es-CO"/>
        </w:rPr>
        <w:t>, aceptados, endosados, cedidos o firmados por los HIPOTECANTES sea individual o conjuntamente, con otra u otras personas o entidades y bien se hayan girado, endosado o aceptado a favor de NESTLE SA</w:t>
      </w:r>
      <w:r w:rsidR="00C3722E">
        <w:rPr>
          <w:rFonts w:cs="Arial"/>
          <w:i/>
          <w:lang w:val="es-CO"/>
        </w:rPr>
        <w:t>…</w:t>
      </w:r>
      <w:r w:rsidR="00C3722E">
        <w:rPr>
          <w:rFonts w:cs="Arial"/>
          <w:lang w:val="es-CO"/>
        </w:rPr>
        <w:t>.</w:t>
      </w:r>
      <w:r w:rsidR="00200A26">
        <w:rPr>
          <w:rFonts w:cs="Arial"/>
          <w:lang w:val="es-CO"/>
        </w:rPr>
        <w:t>”  (resaltos fuera del texto).</w:t>
      </w:r>
    </w:p>
    <w:p w14:paraId="521C4807" w14:textId="77777777" w:rsidR="00200A26" w:rsidRDefault="00200A26" w:rsidP="002D1B32">
      <w:pPr>
        <w:spacing w:line="360" w:lineRule="auto"/>
        <w:rPr>
          <w:rFonts w:cs="Arial"/>
          <w:lang w:val="es-CO"/>
        </w:rPr>
      </w:pPr>
    </w:p>
    <w:p w14:paraId="22041521" w14:textId="77777777" w:rsidR="00E21D43" w:rsidRDefault="00200A26" w:rsidP="00E21D43">
      <w:pPr>
        <w:tabs>
          <w:tab w:val="left" w:pos="709"/>
          <w:tab w:val="left" w:pos="1440"/>
        </w:tabs>
        <w:spacing w:line="360" w:lineRule="auto"/>
        <w:ind w:right="-18"/>
        <w:rPr>
          <w:rFonts w:cs="Arial"/>
          <w:bCs/>
          <w:color w:val="000000"/>
        </w:rPr>
      </w:pPr>
      <w:r>
        <w:rPr>
          <w:rFonts w:cs="Arial"/>
          <w:lang w:val="es-CO"/>
        </w:rPr>
        <w:t>Con lo anterior, queda establecida concretamente  la facultad de la sociedad demandante para</w:t>
      </w:r>
      <w:r w:rsidR="00472A54">
        <w:rPr>
          <w:rFonts w:cs="Arial"/>
          <w:lang w:val="es-CO"/>
        </w:rPr>
        <w:t xml:space="preserve"> incoar la presente demanda,</w:t>
      </w:r>
      <w:r>
        <w:rPr>
          <w:rFonts w:cs="Arial"/>
          <w:lang w:val="es-CO"/>
        </w:rPr>
        <w:t xml:space="preserve"> </w:t>
      </w:r>
      <w:r w:rsidR="007F3170">
        <w:rPr>
          <w:rFonts w:cs="Arial"/>
          <w:lang w:val="es-CO"/>
        </w:rPr>
        <w:t xml:space="preserve"> es</w:t>
      </w:r>
      <w:r w:rsidR="00E21D43">
        <w:rPr>
          <w:rFonts w:cs="Arial"/>
          <w:lang w:val="es-CO"/>
        </w:rPr>
        <w:t>to es porque la obligación contenida en el acta de conciliación obrante a folio 6 a 15, se encuentra garantizada a través de la garantía hipotecaria constituida sobre los inmuebles identificados con los folios de matrículas inmobiliarias números 001-0589725 y 001-0589711, ello sumado a que el documento citado precedentemente</w:t>
      </w:r>
      <w:r w:rsidR="009865CC">
        <w:rPr>
          <w:rFonts w:cs="Arial"/>
          <w:lang w:val="es-CO"/>
        </w:rPr>
        <w:t>,</w:t>
      </w:r>
      <w:r w:rsidR="00E21D43">
        <w:rPr>
          <w:rFonts w:cs="Arial"/>
          <w:lang w:val="es-CO"/>
        </w:rPr>
        <w:t xml:space="preserve"> cumple con las exigencias</w:t>
      </w:r>
      <w:r w:rsidR="00E21D43" w:rsidRPr="00C13ABA">
        <w:rPr>
          <w:rFonts w:cs="Arial"/>
          <w:b/>
          <w:bCs/>
          <w:color w:val="000000"/>
        </w:rPr>
        <w:t xml:space="preserve"> </w:t>
      </w:r>
      <w:r w:rsidR="00E21D43" w:rsidRPr="00ED663D">
        <w:rPr>
          <w:rFonts w:cs="Arial"/>
          <w:bCs/>
          <w:color w:val="000000"/>
        </w:rPr>
        <w:t xml:space="preserve">contenidas en </w:t>
      </w:r>
      <w:r w:rsidR="00E21D43" w:rsidRPr="00ED663D">
        <w:rPr>
          <w:rFonts w:cs="Arial"/>
          <w:bCs/>
        </w:rPr>
        <w:t xml:space="preserve">el art. 80 el decreto 960 de 1970, </w:t>
      </w:r>
      <w:r w:rsidR="00E21D43" w:rsidRPr="00ED663D">
        <w:rPr>
          <w:rFonts w:cs="Arial"/>
          <w:bCs/>
          <w:lang w:val="es-CO"/>
        </w:rPr>
        <w:t xml:space="preserve">modificado por el art. 42 del Decreto 2163 de 1970, esto es </w:t>
      </w:r>
      <w:r w:rsidR="00E21D43" w:rsidRPr="00ED663D">
        <w:rPr>
          <w:rFonts w:cs="Arial"/>
          <w:lang w:val="es-CO"/>
        </w:rPr>
        <w:t xml:space="preserve"> la escritura pública por medio de la cual se const</w:t>
      </w:r>
      <w:r w:rsidR="00E21D43">
        <w:rPr>
          <w:rFonts w:cs="Arial"/>
          <w:lang w:val="es-CO"/>
        </w:rPr>
        <w:t xml:space="preserve">ituyó el gravamen hipotecario se aportó en </w:t>
      </w:r>
      <w:r w:rsidR="00E21D43">
        <w:rPr>
          <w:rFonts w:cs="Arial"/>
          <w:bCs/>
          <w:color w:val="000000"/>
        </w:rPr>
        <w:t xml:space="preserve">primera copia, con la constancia notarial de que presta mérito ejecutivo, situación que reafirma la inviabilidad del argumento de la demandada respecto a la </w:t>
      </w:r>
      <w:r w:rsidR="009865CC">
        <w:rPr>
          <w:rFonts w:cs="Arial"/>
          <w:bCs/>
          <w:color w:val="000000"/>
        </w:rPr>
        <w:t>IMPOSIBILIDAD DE EJECUTAR LA GARANTÍA REAL.</w:t>
      </w:r>
    </w:p>
    <w:p w14:paraId="11AB4BA3" w14:textId="77777777" w:rsidR="002D1B32" w:rsidRDefault="002D1B32" w:rsidP="002D1B32">
      <w:pPr>
        <w:spacing w:line="360" w:lineRule="auto"/>
        <w:rPr>
          <w:rFonts w:cs="Arial"/>
          <w:iCs/>
        </w:rPr>
      </w:pPr>
      <w:r>
        <w:rPr>
          <w:rFonts w:cs="Arial"/>
          <w:iCs/>
        </w:rPr>
        <w:lastRenderedPageBreak/>
        <w:t>Junto con la respuesta, se allegó un estado de cuenta de ahorros del demandado, en Bancolombia, afirmando que a través de él se efectuaron los pagos a que hacen relación las excepciones que propone, pero sin referirse a un</w:t>
      </w:r>
      <w:r w:rsidR="00200A26">
        <w:rPr>
          <w:rFonts w:cs="Arial"/>
          <w:iCs/>
        </w:rPr>
        <w:t>a cifra ni obligación concreta y así mismo, allega copia de unas constan</w:t>
      </w:r>
      <w:r w:rsidR="00127451">
        <w:rPr>
          <w:rFonts w:cs="Arial"/>
          <w:iCs/>
        </w:rPr>
        <w:t>cias o</w:t>
      </w:r>
      <w:r w:rsidR="00D3059D">
        <w:rPr>
          <w:rFonts w:cs="Arial"/>
          <w:iCs/>
        </w:rPr>
        <w:t xml:space="preserve"> transferencias bancarias,  que se confrontan con los  pagos que admite como realizados la parte demandante. </w:t>
      </w:r>
      <w:r w:rsidR="00472A54">
        <w:rPr>
          <w:rFonts w:cs="Arial"/>
          <w:iCs/>
        </w:rPr>
        <w:t xml:space="preserve"> </w:t>
      </w:r>
    </w:p>
    <w:p w14:paraId="73816BFA" w14:textId="77777777" w:rsidR="00127451" w:rsidRDefault="00127451" w:rsidP="002D1B32">
      <w:pPr>
        <w:spacing w:line="360" w:lineRule="auto"/>
        <w:rPr>
          <w:rFonts w:cs="Arial"/>
          <w:iCs/>
        </w:rPr>
      </w:pPr>
    </w:p>
    <w:p w14:paraId="471845C3" w14:textId="77777777" w:rsidR="00D3059D" w:rsidRPr="00D3059D" w:rsidRDefault="00D3059D" w:rsidP="002D1B32">
      <w:pPr>
        <w:spacing w:line="360" w:lineRule="auto"/>
        <w:rPr>
          <w:rFonts w:cs="Arial"/>
          <w:b/>
          <w:iCs/>
        </w:rPr>
      </w:pPr>
      <w:r w:rsidRPr="00D3059D">
        <w:rPr>
          <w:rFonts w:cs="Arial"/>
          <w:b/>
          <w:iCs/>
        </w:rPr>
        <w:t>DEMANDADO</w:t>
      </w:r>
      <w:r>
        <w:rPr>
          <w:rFonts w:cs="Arial"/>
          <w:iCs/>
        </w:rPr>
        <w:tab/>
      </w:r>
      <w:r>
        <w:rPr>
          <w:rFonts w:cs="Arial"/>
          <w:iCs/>
        </w:rPr>
        <w:tab/>
      </w:r>
      <w:r>
        <w:rPr>
          <w:rFonts w:cs="Arial"/>
          <w:iCs/>
        </w:rPr>
        <w:tab/>
      </w:r>
      <w:r>
        <w:rPr>
          <w:rFonts w:cs="Arial"/>
          <w:iCs/>
        </w:rPr>
        <w:tab/>
      </w:r>
      <w:r>
        <w:rPr>
          <w:rFonts w:cs="Arial"/>
          <w:iCs/>
        </w:rPr>
        <w:tab/>
      </w:r>
      <w:r w:rsidRPr="00D3059D">
        <w:rPr>
          <w:rFonts w:cs="Arial"/>
          <w:b/>
          <w:iCs/>
        </w:rPr>
        <w:t>DEMANDANTE</w:t>
      </w:r>
    </w:p>
    <w:p w14:paraId="09393212" w14:textId="77777777" w:rsidR="00D3059D" w:rsidRDefault="00D3059D" w:rsidP="002D1B32">
      <w:pPr>
        <w:spacing w:line="360" w:lineRule="auto"/>
        <w:rPr>
          <w:rFonts w:cs="Arial"/>
          <w:iCs/>
        </w:rPr>
      </w:pPr>
    </w:p>
    <w:p w14:paraId="7242830D" w14:textId="77777777" w:rsidR="00DC7ACE" w:rsidRPr="00D3059D" w:rsidRDefault="00127451" w:rsidP="002D1B32">
      <w:pPr>
        <w:spacing w:line="360" w:lineRule="auto"/>
        <w:rPr>
          <w:rFonts w:cs="Arial"/>
          <w:b/>
          <w:iCs/>
        </w:rPr>
      </w:pPr>
      <w:r w:rsidRPr="00D3059D">
        <w:rPr>
          <w:rFonts w:cs="Arial"/>
          <w:b/>
          <w:iCs/>
        </w:rPr>
        <w:t>AÑO</w:t>
      </w:r>
      <w:r w:rsidR="00DC7ACE" w:rsidRPr="00D3059D">
        <w:rPr>
          <w:rFonts w:cs="Arial"/>
          <w:b/>
          <w:iCs/>
        </w:rPr>
        <w:t xml:space="preserve"> 2016:</w:t>
      </w:r>
      <w:r w:rsidR="00D3059D" w:rsidRPr="00D3059D">
        <w:rPr>
          <w:rFonts w:cs="Arial"/>
          <w:b/>
          <w:iCs/>
        </w:rPr>
        <w:t xml:space="preserve"> </w:t>
      </w:r>
      <w:r w:rsidR="00D3059D" w:rsidRPr="00D3059D">
        <w:rPr>
          <w:rFonts w:cs="Arial"/>
          <w:b/>
          <w:iCs/>
        </w:rPr>
        <w:tab/>
      </w:r>
      <w:r w:rsidR="00D3059D" w:rsidRPr="00D3059D">
        <w:rPr>
          <w:rFonts w:cs="Arial"/>
          <w:b/>
          <w:iCs/>
        </w:rPr>
        <w:tab/>
      </w:r>
      <w:r w:rsidR="00D3059D" w:rsidRPr="00D3059D">
        <w:rPr>
          <w:rFonts w:cs="Arial"/>
          <w:b/>
          <w:iCs/>
        </w:rPr>
        <w:tab/>
      </w:r>
      <w:r w:rsidR="00D3059D" w:rsidRPr="00D3059D">
        <w:rPr>
          <w:rFonts w:cs="Arial"/>
          <w:b/>
          <w:iCs/>
        </w:rPr>
        <w:tab/>
      </w:r>
      <w:r w:rsidR="00D3059D" w:rsidRPr="00D3059D">
        <w:rPr>
          <w:rFonts w:cs="Arial"/>
          <w:b/>
          <w:iCs/>
        </w:rPr>
        <w:tab/>
      </w:r>
      <w:r w:rsidR="00DC7ACE" w:rsidRPr="00D3059D">
        <w:rPr>
          <w:rFonts w:cs="Arial"/>
          <w:b/>
          <w:iCs/>
        </w:rPr>
        <w:tab/>
      </w:r>
    </w:p>
    <w:p w14:paraId="7CAA717F" w14:textId="77777777" w:rsidR="00DC7ACE" w:rsidRDefault="00DC7ACE" w:rsidP="002D1B32">
      <w:pPr>
        <w:spacing w:line="360" w:lineRule="auto"/>
        <w:rPr>
          <w:rFonts w:cs="Arial"/>
          <w:iCs/>
        </w:rPr>
      </w:pPr>
    </w:p>
    <w:p w14:paraId="31D10501" w14:textId="77777777" w:rsidR="00127451" w:rsidRDefault="00DC7ACE" w:rsidP="002D1B32">
      <w:pPr>
        <w:spacing w:line="360" w:lineRule="auto"/>
        <w:rPr>
          <w:rFonts w:cs="Arial"/>
          <w:iCs/>
        </w:rPr>
      </w:pPr>
      <w:r>
        <w:rPr>
          <w:rFonts w:cs="Arial"/>
          <w:iCs/>
        </w:rPr>
        <w:t>FEBRERO 1:</w:t>
      </w:r>
      <w:r>
        <w:rPr>
          <w:rFonts w:cs="Arial"/>
          <w:iCs/>
        </w:rPr>
        <w:tab/>
        <w:t>$1.000.000</w:t>
      </w:r>
    </w:p>
    <w:p w14:paraId="3AB9D88C" w14:textId="77777777" w:rsidR="00DC7ACE" w:rsidRDefault="00DC7ACE" w:rsidP="002D1B32">
      <w:pPr>
        <w:spacing w:line="360" w:lineRule="auto"/>
        <w:rPr>
          <w:rFonts w:cs="Arial"/>
          <w:iCs/>
        </w:rPr>
      </w:pPr>
      <w:r>
        <w:rPr>
          <w:rFonts w:cs="Arial"/>
          <w:iCs/>
        </w:rPr>
        <w:t>Febrero 15</w:t>
      </w:r>
      <w:r>
        <w:rPr>
          <w:rFonts w:cs="Arial"/>
          <w:iCs/>
        </w:rPr>
        <w:tab/>
      </w:r>
      <w:r>
        <w:rPr>
          <w:rFonts w:cs="Arial"/>
          <w:iCs/>
        </w:rPr>
        <w:tab/>
        <w:t>$4.500.000</w:t>
      </w:r>
    </w:p>
    <w:p w14:paraId="06B53CE4" w14:textId="77777777" w:rsidR="00DC7ACE" w:rsidRDefault="00DC7ACE" w:rsidP="002D1B32">
      <w:pPr>
        <w:spacing w:line="360" w:lineRule="auto"/>
        <w:rPr>
          <w:rFonts w:cs="Arial"/>
          <w:iCs/>
        </w:rPr>
      </w:pPr>
    </w:p>
    <w:p w14:paraId="71EDBBFC" w14:textId="77777777" w:rsidR="00DC7ACE" w:rsidRPr="00D3059D" w:rsidRDefault="00D3059D" w:rsidP="002D1B32">
      <w:pPr>
        <w:spacing w:line="360" w:lineRule="auto"/>
        <w:rPr>
          <w:rFonts w:cs="Arial"/>
          <w:b/>
          <w:iCs/>
        </w:rPr>
      </w:pPr>
      <w:r w:rsidRPr="00D3059D">
        <w:rPr>
          <w:rFonts w:cs="Arial"/>
          <w:b/>
          <w:iCs/>
        </w:rPr>
        <w:t>AÑO 2017</w:t>
      </w:r>
      <w:r w:rsidRPr="00D3059D">
        <w:rPr>
          <w:rFonts w:cs="Arial"/>
          <w:b/>
          <w:iCs/>
        </w:rPr>
        <w:tab/>
      </w:r>
      <w:r w:rsidRPr="00D3059D">
        <w:rPr>
          <w:rFonts w:cs="Arial"/>
          <w:b/>
          <w:iCs/>
        </w:rPr>
        <w:tab/>
      </w:r>
      <w:r w:rsidRPr="00D3059D">
        <w:rPr>
          <w:rFonts w:cs="Arial"/>
          <w:b/>
          <w:iCs/>
        </w:rPr>
        <w:tab/>
      </w:r>
      <w:r w:rsidRPr="00D3059D">
        <w:rPr>
          <w:rFonts w:cs="Arial"/>
          <w:b/>
          <w:iCs/>
        </w:rPr>
        <w:tab/>
      </w:r>
      <w:r w:rsidRPr="00D3059D">
        <w:rPr>
          <w:rFonts w:cs="Arial"/>
          <w:b/>
          <w:iCs/>
        </w:rPr>
        <w:tab/>
      </w:r>
      <w:r w:rsidRPr="00D3059D">
        <w:rPr>
          <w:rFonts w:cs="Arial"/>
          <w:b/>
          <w:iCs/>
        </w:rPr>
        <w:tab/>
        <w:t>AÑO 2017</w:t>
      </w:r>
      <w:r w:rsidRPr="00D3059D">
        <w:rPr>
          <w:rFonts w:cs="Arial"/>
          <w:b/>
          <w:iCs/>
        </w:rPr>
        <w:tab/>
      </w:r>
      <w:r w:rsidRPr="00D3059D">
        <w:rPr>
          <w:rFonts w:cs="Arial"/>
          <w:b/>
          <w:iCs/>
        </w:rPr>
        <w:tab/>
      </w:r>
      <w:r w:rsidRPr="00D3059D">
        <w:rPr>
          <w:rFonts w:cs="Arial"/>
          <w:b/>
          <w:iCs/>
        </w:rPr>
        <w:tab/>
      </w:r>
      <w:r w:rsidRPr="00D3059D">
        <w:rPr>
          <w:rFonts w:cs="Arial"/>
          <w:b/>
          <w:iCs/>
        </w:rPr>
        <w:tab/>
      </w:r>
    </w:p>
    <w:p w14:paraId="4851A57D" w14:textId="77777777" w:rsidR="00DC7ACE" w:rsidRDefault="00DC7ACE" w:rsidP="002D1B32">
      <w:pPr>
        <w:spacing w:line="360" w:lineRule="auto"/>
        <w:rPr>
          <w:rFonts w:cs="Arial"/>
          <w:iCs/>
        </w:rPr>
      </w:pPr>
    </w:p>
    <w:p w14:paraId="7F467875" w14:textId="77777777" w:rsidR="00DC7ACE" w:rsidRDefault="00DC7ACE" w:rsidP="002D1B32">
      <w:pPr>
        <w:spacing w:line="360" w:lineRule="auto"/>
        <w:rPr>
          <w:rFonts w:cs="Arial"/>
          <w:iCs/>
        </w:rPr>
      </w:pPr>
      <w:r>
        <w:rPr>
          <w:rFonts w:cs="Arial"/>
          <w:iCs/>
        </w:rPr>
        <w:t>Noviembre 30</w:t>
      </w:r>
      <w:r>
        <w:rPr>
          <w:rFonts w:cs="Arial"/>
          <w:iCs/>
        </w:rPr>
        <w:tab/>
        <w:t>$1.400.000</w:t>
      </w:r>
      <w:r w:rsidR="00D3059D">
        <w:rPr>
          <w:rFonts w:cs="Arial"/>
          <w:iCs/>
        </w:rPr>
        <w:tab/>
      </w:r>
      <w:r w:rsidR="00D3059D">
        <w:rPr>
          <w:rFonts w:cs="Arial"/>
          <w:iCs/>
        </w:rPr>
        <w:tab/>
      </w:r>
      <w:r w:rsidR="00D3059D">
        <w:rPr>
          <w:rFonts w:cs="Arial"/>
          <w:iCs/>
        </w:rPr>
        <w:tab/>
        <w:t>AGOSTO 7</w:t>
      </w:r>
      <w:r w:rsidR="00D3059D">
        <w:rPr>
          <w:rFonts w:cs="Arial"/>
          <w:iCs/>
        </w:rPr>
        <w:tab/>
      </w:r>
      <w:r w:rsidR="00D3059D">
        <w:rPr>
          <w:rFonts w:cs="Arial"/>
          <w:iCs/>
        </w:rPr>
        <w:tab/>
        <w:t>$5.000.000</w:t>
      </w:r>
    </w:p>
    <w:p w14:paraId="4D882EB8" w14:textId="77777777" w:rsidR="00DC7ACE" w:rsidRDefault="00DC7ACE" w:rsidP="002D1B32">
      <w:pPr>
        <w:spacing w:line="360" w:lineRule="auto"/>
        <w:rPr>
          <w:rFonts w:cs="Arial"/>
          <w:iCs/>
        </w:rPr>
      </w:pPr>
      <w:r>
        <w:rPr>
          <w:rFonts w:cs="Arial"/>
          <w:iCs/>
        </w:rPr>
        <w:t>Noviembre 30</w:t>
      </w:r>
      <w:r>
        <w:rPr>
          <w:rFonts w:cs="Arial"/>
          <w:iCs/>
        </w:rPr>
        <w:tab/>
        <w:t>$1.600.000</w:t>
      </w:r>
      <w:r w:rsidR="00D3059D">
        <w:rPr>
          <w:rFonts w:cs="Arial"/>
          <w:iCs/>
        </w:rPr>
        <w:tab/>
      </w:r>
      <w:r w:rsidR="00D3059D">
        <w:rPr>
          <w:rFonts w:cs="Arial"/>
          <w:iCs/>
        </w:rPr>
        <w:tab/>
      </w:r>
      <w:r w:rsidR="00D3059D">
        <w:rPr>
          <w:rFonts w:cs="Arial"/>
          <w:iCs/>
        </w:rPr>
        <w:tab/>
        <w:t>diciembre 26</w:t>
      </w:r>
      <w:r w:rsidR="00D3059D">
        <w:rPr>
          <w:rFonts w:cs="Arial"/>
          <w:iCs/>
        </w:rPr>
        <w:tab/>
      </w:r>
      <w:r w:rsidR="00D3059D">
        <w:rPr>
          <w:rFonts w:cs="Arial"/>
          <w:iCs/>
        </w:rPr>
        <w:tab/>
        <w:t>$2.300.000</w:t>
      </w:r>
    </w:p>
    <w:p w14:paraId="7C751963" w14:textId="77777777" w:rsidR="00DC7ACE" w:rsidRDefault="00DC7ACE" w:rsidP="002D1B32">
      <w:pPr>
        <w:spacing w:line="360" w:lineRule="auto"/>
        <w:rPr>
          <w:rFonts w:cs="Arial"/>
          <w:iCs/>
        </w:rPr>
      </w:pPr>
      <w:r>
        <w:rPr>
          <w:rFonts w:cs="Arial"/>
          <w:iCs/>
        </w:rPr>
        <w:t>Diciembre l5</w:t>
      </w:r>
      <w:r>
        <w:rPr>
          <w:rFonts w:cs="Arial"/>
          <w:iCs/>
        </w:rPr>
        <w:tab/>
      </w:r>
      <w:r>
        <w:rPr>
          <w:rFonts w:cs="Arial"/>
          <w:iCs/>
        </w:rPr>
        <w:tab/>
        <w:t>$1.700.000</w:t>
      </w:r>
      <w:r w:rsidR="00D3059D">
        <w:rPr>
          <w:rFonts w:cs="Arial"/>
          <w:iCs/>
        </w:rPr>
        <w:tab/>
      </w:r>
      <w:r w:rsidR="00D3059D">
        <w:rPr>
          <w:rFonts w:cs="Arial"/>
          <w:iCs/>
        </w:rPr>
        <w:tab/>
      </w:r>
      <w:r w:rsidR="00D3059D">
        <w:rPr>
          <w:rFonts w:cs="Arial"/>
          <w:iCs/>
        </w:rPr>
        <w:tab/>
        <w:t>diciembre 26</w:t>
      </w:r>
      <w:r w:rsidR="00D3059D">
        <w:rPr>
          <w:rFonts w:cs="Arial"/>
          <w:iCs/>
        </w:rPr>
        <w:tab/>
      </w:r>
      <w:r w:rsidR="00D3059D">
        <w:rPr>
          <w:rFonts w:cs="Arial"/>
          <w:iCs/>
        </w:rPr>
        <w:tab/>
        <w:t>$1.700.000</w:t>
      </w:r>
    </w:p>
    <w:p w14:paraId="335BF549" w14:textId="77777777" w:rsidR="00DC7ACE" w:rsidRDefault="00DC7ACE" w:rsidP="002D1B32">
      <w:pPr>
        <w:spacing w:line="360" w:lineRule="auto"/>
        <w:rPr>
          <w:rFonts w:cs="Arial"/>
          <w:iCs/>
        </w:rPr>
      </w:pPr>
      <w:r>
        <w:rPr>
          <w:rFonts w:cs="Arial"/>
          <w:iCs/>
        </w:rPr>
        <w:t>Diciembre 15</w:t>
      </w:r>
      <w:r>
        <w:rPr>
          <w:rFonts w:cs="Arial"/>
          <w:iCs/>
        </w:rPr>
        <w:tab/>
      </w:r>
      <w:r>
        <w:rPr>
          <w:rFonts w:cs="Arial"/>
          <w:iCs/>
        </w:rPr>
        <w:tab/>
        <w:t>$2.300.000</w:t>
      </w:r>
    </w:p>
    <w:p w14:paraId="69DDB0FB" w14:textId="77777777" w:rsidR="00DC7ACE" w:rsidRDefault="00DC7ACE" w:rsidP="002D1B32">
      <w:pPr>
        <w:spacing w:line="360" w:lineRule="auto"/>
        <w:rPr>
          <w:rFonts w:cs="Arial"/>
          <w:iCs/>
        </w:rPr>
      </w:pPr>
    </w:p>
    <w:p w14:paraId="78DB879D" w14:textId="77777777" w:rsidR="00DC7ACE" w:rsidRPr="00D3059D" w:rsidRDefault="00D3059D" w:rsidP="002D1B32">
      <w:pPr>
        <w:spacing w:line="360" w:lineRule="auto"/>
        <w:rPr>
          <w:rFonts w:cs="Arial"/>
          <w:b/>
          <w:iCs/>
        </w:rPr>
      </w:pPr>
      <w:r w:rsidRPr="00D3059D">
        <w:rPr>
          <w:rFonts w:cs="Arial"/>
          <w:b/>
          <w:iCs/>
        </w:rPr>
        <w:t>AÑO 2018:</w:t>
      </w:r>
      <w:r w:rsidRPr="00D3059D">
        <w:rPr>
          <w:rFonts w:cs="Arial"/>
          <w:b/>
          <w:iCs/>
        </w:rPr>
        <w:tab/>
      </w:r>
      <w:r w:rsidRPr="00D3059D">
        <w:rPr>
          <w:rFonts w:cs="Arial"/>
          <w:b/>
          <w:iCs/>
        </w:rPr>
        <w:tab/>
      </w:r>
      <w:r w:rsidRPr="00D3059D">
        <w:rPr>
          <w:rFonts w:cs="Arial"/>
          <w:b/>
          <w:iCs/>
        </w:rPr>
        <w:tab/>
      </w:r>
      <w:r w:rsidRPr="00D3059D">
        <w:rPr>
          <w:rFonts w:cs="Arial"/>
          <w:b/>
          <w:iCs/>
        </w:rPr>
        <w:tab/>
      </w:r>
      <w:r w:rsidRPr="00D3059D">
        <w:rPr>
          <w:rFonts w:cs="Arial"/>
          <w:b/>
          <w:iCs/>
        </w:rPr>
        <w:tab/>
      </w:r>
      <w:r w:rsidRPr="00D3059D">
        <w:rPr>
          <w:rFonts w:cs="Arial"/>
          <w:b/>
          <w:iCs/>
        </w:rPr>
        <w:tab/>
        <w:t>AÑO 2018</w:t>
      </w:r>
    </w:p>
    <w:p w14:paraId="18EE8A99" w14:textId="77777777" w:rsidR="00DC7ACE" w:rsidRDefault="00DC7ACE" w:rsidP="002D1B32">
      <w:pPr>
        <w:spacing w:line="360" w:lineRule="auto"/>
        <w:rPr>
          <w:rFonts w:cs="Arial"/>
          <w:iCs/>
        </w:rPr>
      </w:pPr>
    </w:p>
    <w:p w14:paraId="1247CD1A" w14:textId="77777777" w:rsidR="00585FA6" w:rsidRDefault="00585FA6" w:rsidP="002D1B32">
      <w:pPr>
        <w:spacing w:line="360" w:lineRule="auto"/>
        <w:rPr>
          <w:rFonts w:cs="Arial"/>
          <w:iCs/>
        </w:rPr>
      </w:pPr>
      <w:r>
        <w:rPr>
          <w:rFonts w:cs="Arial"/>
          <w:iCs/>
        </w:rPr>
        <w:t>Enero 31</w:t>
      </w:r>
      <w:r>
        <w:rPr>
          <w:rFonts w:cs="Arial"/>
          <w:iCs/>
        </w:rPr>
        <w:tab/>
      </w:r>
      <w:r>
        <w:rPr>
          <w:rFonts w:cs="Arial"/>
          <w:iCs/>
        </w:rPr>
        <w:tab/>
        <w:t>$2.000.000</w:t>
      </w:r>
      <w:r w:rsidR="00D3059D">
        <w:rPr>
          <w:rFonts w:cs="Arial"/>
          <w:iCs/>
        </w:rPr>
        <w:tab/>
      </w:r>
      <w:r w:rsidR="00D3059D">
        <w:rPr>
          <w:rFonts w:cs="Arial"/>
          <w:iCs/>
        </w:rPr>
        <w:tab/>
      </w:r>
      <w:r w:rsidR="00D3059D">
        <w:rPr>
          <w:rFonts w:cs="Arial"/>
          <w:iCs/>
        </w:rPr>
        <w:tab/>
        <w:t>Febrero 7</w:t>
      </w:r>
      <w:r w:rsidR="00D3059D">
        <w:rPr>
          <w:rFonts w:cs="Arial"/>
          <w:iCs/>
        </w:rPr>
        <w:tab/>
      </w:r>
      <w:r w:rsidR="00D3059D">
        <w:rPr>
          <w:rFonts w:cs="Arial"/>
          <w:iCs/>
        </w:rPr>
        <w:tab/>
        <w:t>$2.000.000</w:t>
      </w:r>
    </w:p>
    <w:p w14:paraId="679416CA" w14:textId="77777777" w:rsidR="00585FA6" w:rsidRDefault="00585FA6" w:rsidP="002D1B32">
      <w:pPr>
        <w:spacing w:line="360" w:lineRule="auto"/>
        <w:rPr>
          <w:rFonts w:cs="Arial"/>
          <w:iCs/>
        </w:rPr>
      </w:pPr>
      <w:r>
        <w:rPr>
          <w:rFonts w:cs="Arial"/>
          <w:iCs/>
        </w:rPr>
        <w:t>Julio 30</w:t>
      </w:r>
      <w:r>
        <w:rPr>
          <w:rFonts w:cs="Arial"/>
          <w:iCs/>
        </w:rPr>
        <w:tab/>
      </w:r>
      <w:r>
        <w:rPr>
          <w:rFonts w:cs="Arial"/>
          <w:iCs/>
        </w:rPr>
        <w:tab/>
        <w:t>$1.000.000</w:t>
      </w:r>
      <w:r w:rsidR="00D3059D">
        <w:rPr>
          <w:rFonts w:cs="Arial"/>
          <w:iCs/>
        </w:rPr>
        <w:tab/>
      </w:r>
      <w:r w:rsidR="00D3059D">
        <w:rPr>
          <w:rFonts w:cs="Arial"/>
          <w:iCs/>
        </w:rPr>
        <w:tab/>
      </w:r>
      <w:r w:rsidR="00D3059D">
        <w:rPr>
          <w:rFonts w:cs="Arial"/>
          <w:iCs/>
        </w:rPr>
        <w:tab/>
        <w:t>enero 5</w:t>
      </w:r>
      <w:r w:rsidR="00D3059D">
        <w:rPr>
          <w:rFonts w:cs="Arial"/>
          <w:iCs/>
        </w:rPr>
        <w:tab/>
      </w:r>
      <w:r w:rsidR="00D3059D">
        <w:rPr>
          <w:rFonts w:cs="Arial"/>
          <w:iCs/>
        </w:rPr>
        <w:tab/>
        <w:t>$1.600.000</w:t>
      </w:r>
    </w:p>
    <w:p w14:paraId="373B3400" w14:textId="77777777" w:rsidR="00585FA6" w:rsidRDefault="00585FA6" w:rsidP="002D1B32">
      <w:pPr>
        <w:spacing w:line="360" w:lineRule="auto"/>
        <w:rPr>
          <w:rFonts w:cs="Arial"/>
          <w:iCs/>
        </w:rPr>
      </w:pPr>
      <w:r>
        <w:rPr>
          <w:rFonts w:cs="Arial"/>
          <w:iCs/>
        </w:rPr>
        <w:t>Agosto 15</w:t>
      </w:r>
      <w:r>
        <w:rPr>
          <w:rFonts w:cs="Arial"/>
          <w:iCs/>
        </w:rPr>
        <w:tab/>
      </w:r>
      <w:r>
        <w:rPr>
          <w:rFonts w:cs="Arial"/>
          <w:iCs/>
        </w:rPr>
        <w:tab/>
        <w:t>$1.000.000</w:t>
      </w:r>
      <w:r w:rsidR="00D3059D">
        <w:rPr>
          <w:rFonts w:cs="Arial"/>
          <w:iCs/>
        </w:rPr>
        <w:tab/>
      </w:r>
      <w:r w:rsidR="00D3059D">
        <w:rPr>
          <w:rFonts w:cs="Arial"/>
          <w:iCs/>
        </w:rPr>
        <w:tab/>
      </w:r>
      <w:r w:rsidR="00D3059D">
        <w:rPr>
          <w:rFonts w:cs="Arial"/>
          <w:iCs/>
        </w:rPr>
        <w:tab/>
        <w:t>enero 5</w:t>
      </w:r>
      <w:r w:rsidR="00D3059D">
        <w:rPr>
          <w:rFonts w:cs="Arial"/>
          <w:iCs/>
        </w:rPr>
        <w:tab/>
      </w:r>
      <w:r w:rsidR="00D3059D">
        <w:rPr>
          <w:rFonts w:cs="Arial"/>
          <w:iCs/>
        </w:rPr>
        <w:tab/>
        <w:t>$1.400.000</w:t>
      </w:r>
    </w:p>
    <w:p w14:paraId="7546BE10" w14:textId="77777777" w:rsidR="00585FA6" w:rsidRDefault="00585FA6" w:rsidP="002D1B32">
      <w:pPr>
        <w:spacing w:line="360" w:lineRule="auto"/>
        <w:rPr>
          <w:rFonts w:cs="Arial"/>
          <w:iCs/>
        </w:rPr>
      </w:pPr>
      <w:r>
        <w:rPr>
          <w:rFonts w:cs="Arial"/>
          <w:iCs/>
        </w:rPr>
        <w:t>Agosto 15</w:t>
      </w:r>
      <w:r>
        <w:rPr>
          <w:rFonts w:cs="Arial"/>
          <w:iCs/>
        </w:rPr>
        <w:tab/>
      </w:r>
      <w:r>
        <w:rPr>
          <w:rFonts w:cs="Arial"/>
          <w:iCs/>
        </w:rPr>
        <w:tab/>
        <w:t>$   700.000</w:t>
      </w:r>
      <w:r w:rsidR="00D3059D">
        <w:rPr>
          <w:rFonts w:cs="Arial"/>
          <w:iCs/>
        </w:rPr>
        <w:tab/>
      </w:r>
      <w:r w:rsidR="00D3059D">
        <w:rPr>
          <w:rFonts w:cs="Arial"/>
          <w:iCs/>
        </w:rPr>
        <w:tab/>
      </w:r>
      <w:r w:rsidR="00D3059D">
        <w:rPr>
          <w:rFonts w:cs="Arial"/>
          <w:iCs/>
        </w:rPr>
        <w:tab/>
        <w:t>octubre 19</w:t>
      </w:r>
      <w:r w:rsidR="00D3059D">
        <w:rPr>
          <w:rFonts w:cs="Arial"/>
          <w:iCs/>
        </w:rPr>
        <w:tab/>
      </w:r>
      <w:r w:rsidR="00D3059D">
        <w:rPr>
          <w:rFonts w:cs="Arial"/>
          <w:iCs/>
        </w:rPr>
        <w:tab/>
        <w:t>$1.000.000</w:t>
      </w:r>
    </w:p>
    <w:p w14:paraId="35F65264" w14:textId="77777777" w:rsidR="00585FA6" w:rsidRDefault="00585FA6" w:rsidP="002D1B32">
      <w:pPr>
        <w:spacing w:line="360" w:lineRule="auto"/>
        <w:rPr>
          <w:rFonts w:cs="Arial"/>
          <w:iCs/>
        </w:rPr>
      </w:pPr>
      <w:r w:rsidRPr="00E21D43">
        <w:rPr>
          <w:rFonts w:cs="Arial"/>
          <w:b/>
          <w:iCs/>
        </w:rPr>
        <w:t>Diciembre  28</w:t>
      </w:r>
      <w:r w:rsidRPr="00E21D43">
        <w:rPr>
          <w:rFonts w:cs="Arial"/>
          <w:b/>
          <w:iCs/>
        </w:rPr>
        <w:tab/>
        <w:t>$2.020.000</w:t>
      </w:r>
      <w:r w:rsidR="00D3059D">
        <w:rPr>
          <w:rFonts w:cs="Arial"/>
          <w:iCs/>
        </w:rPr>
        <w:tab/>
      </w:r>
      <w:r w:rsidR="00D3059D">
        <w:rPr>
          <w:rFonts w:cs="Arial"/>
          <w:iCs/>
        </w:rPr>
        <w:tab/>
      </w:r>
      <w:r w:rsidR="00D3059D">
        <w:rPr>
          <w:rFonts w:cs="Arial"/>
          <w:iCs/>
        </w:rPr>
        <w:tab/>
        <w:t>octubre 19</w:t>
      </w:r>
      <w:r w:rsidR="00D3059D">
        <w:rPr>
          <w:rFonts w:cs="Arial"/>
          <w:iCs/>
        </w:rPr>
        <w:tab/>
      </w:r>
      <w:r w:rsidR="00D3059D">
        <w:rPr>
          <w:rFonts w:cs="Arial"/>
          <w:iCs/>
        </w:rPr>
        <w:tab/>
        <w:t>$   700.000</w:t>
      </w:r>
    </w:p>
    <w:p w14:paraId="45C3936E" w14:textId="77777777" w:rsidR="00585FA6" w:rsidRDefault="00585FA6" w:rsidP="002D1B32">
      <w:pPr>
        <w:spacing w:line="360" w:lineRule="auto"/>
        <w:rPr>
          <w:rFonts w:cs="Arial"/>
          <w:iCs/>
        </w:rPr>
      </w:pPr>
    </w:p>
    <w:p w14:paraId="7AFBB946" w14:textId="77777777" w:rsidR="00585FA6" w:rsidRPr="00D3059D" w:rsidRDefault="00D3059D" w:rsidP="002D1B32">
      <w:pPr>
        <w:spacing w:line="360" w:lineRule="auto"/>
        <w:rPr>
          <w:rFonts w:cs="Arial"/>
          <w:b/>
          <w:iCs/>
        </w:rPr>
      </w:pPr>
      <w:r w:rsidRPr="00D3059D">
        <w:rPr>
          <w:rFonts w:cs="Arial"/>
          <w:b/>
          <w:iCs/>
        </w:rPr>
        <w:t>AÑO 2019</w:t>
      </w:r>
      <w:r w:rsidRPr="00D3059D">
        <w:rPr>
          <w:rFonts w:cs="Arial"/>
          <w:b/>
          <w:iCs/>
        </w:rPr>
        <w:tab/>
      </w:r>
      <w:r w:rsidRPr="00D3059D">
        <w:rPr>
          <w:rFonts w:cs="Arial"/>
          <w:b/>
          <w:iCs/>
        </w:rPr>
        <w:tab/>
      </w:r>
      <w:r w:rsidRPr="00D3059D">
        <w:rPr>
          <w:rFonts w:cs="Arial"/>
          <w:b/>
          <w:iCs/>
        </w:rPr>
        <w:tab/>
      </w:r>
      <w:r w:rsidRPr="00D3059D">
        <w:rPr>
          <w:rFonts w:cs="Arial"/>
          <w:b/>
          <w:iCs/>
        </w:rPr>
        <w:tab/>
      </w:r>
      <w:r w:rsidRPr="00D3059D">
        <w:rPr>
          <w:rFonts w:cs="Arial"/>
          <w:b/>
          <w:iCs/>
        </w:rPr>
        <w:tab/>
      </w:r>
      <w:r w:rsidRPr="00D3059D">
        <w:rPr>
          <w:rFonts w:cs="Arial"/>
          <w:b/>
          <w:iCs/>
        </w:rPr>
        <w:tab/>
        <w:t>AÑO 2019</w:t>
      </w:r>
    </w:p>
    <w:p w14:paraId="25FFBC3A" w14:textId="77777777" w:rsidR="00DC7ACE" w:rsidRDefault="00585FA6" w:rsidP="002D1B32">
      <w:pPr>
        <w:spacing w:line="360" w:lineRule="auto"/>
        <w:rPr>
          <w:rFonts w:cs="Arial"/>
          <w:iCs/>
        </w:rPr>
      </w:pPr>
      <w:r w:rsidRPr="00E21D43">
        <w:rPr>
          <w:rFonts w:cs="Arial"/>
          <w:b/>
          <w:iCs/>
        </w:rPr>
        <w:t>Enero 30</w:t>
      </w:r>
      <w:r w:rsidRPr="00E21D43">
        <w:rPr>
          <w:rFonts w:cs="Arial"/>
          <w:b/>
          <w:iCs/>
        </w:rPr>
        <w:tab/>
      </w:r>
      <w:r w:rsidRPr="00E21D43">
        <w:rPr>
          <w:rFonts w:cs="Arial"/>
          <w:b/>
          <w:iCs/>
        </w:rPr>
        <w:tab/>
        <w:t>$4.500.000</w:t>
      </w:r>
      <w:r w:rsidR="008B35D5">
        <w:rPr>
          <w:rFonts w:cs="Arial"/>
          <w:iCs/>
        </w:rPr>
        <w:t xml:space="preserve"> </w:t>
      </w:r>
      <w:r w:rsidR="00D3059D">
        <w:rPr>
          <w:rFonts w:cs="Arial"/>
          <w:iCs/>
        </w:rPr>
        <w:tab/>
      </w:r>
      <w:r w:rsidR="00D3059D">
        <w:rPr>
          <w:rFonts w:cs="Arial"/>
          <w:iCs/>
        </w:rPr>
        <w:tab/>
      </w:r>
      <w:r w:rsidR="00D3059D">
        <w:rPr>
          <w:rFonts w:cs="Arial"/>
          <w:iCs/>
        </w:rPr>
        <w:tab/>
        <w:t>Marzo 7</w:t>
      </w:r>
      <w:r w:rsidR="00D3059D">
        <w:rPr>
          <w:rFonts w:cs="Arial"/>
          <w:iCs/>
        </w:rPr>
        <w:tab/>
      </w:r>
      <w:r w:rsidR="00D3059D">
        <w:rPr>
          <w:rFonts w:cs="Arial"/>
          <w:iCs/>
        </w:rPr>
        <w:tab/>
        <w:t>$4.500.000</w:t>
      </w:r>
      <w:r w:rsidR="008B35D5">
        <w:rPr>
          <w:rFonts w:cs="Arial"/>
          <w:iCs/>
        </w:rPr>
        <w:t xml:space="preserve">    </w:t>
      </w:r>
      <w:r w:rsidR="00DC7ACE">
        <w:rPr>
          <w:rFonts w:cs="Arial"/>
          <w:iCs/>
        </w:rPr>
        <w:tab/>
      </w:r>
      <w:r w:rsidR="00DC7ACE">
        <w:rPr>
          <w:rFonts w:cs="Arial"/>
          <w:iCs/>
        </w:rPr>
        <w:tab/>
      </w:r>
      <w:r w:rsidR="00DC7ACE">
        <w:rPr>
          <w:rFonts w:cs="Arial"/>
          <w:iCs/>
        </w:rPr>
        <w:tab/>
      </w:r>
    </w:p>
    <w:p w14:paraId="5EE4B20B" w14:textId="77777777" w:rsidR="00200A26" w:rsidRDefault="00472A54" w:rsidP="002D1B32">
      <w:pPr>
        <w:spacing w:line="360" w:lineRule="auto"/>
        <w:rPr>
          <w:rFonts w:cs="Arial"/>
          <w:iCs/>
        </w:rPr>
      </w:pPr>
      <w:r>
        <w:rPr>
          <w:rFonts w:cs="Arial"/>
          <w:iCs/>
        </w:rPr>
        <w:t xml:space="preserve">Dadas las cifras reportadas, es claro que no hay coherencia en lo que </w:t>
      </w:r>
      <w:r w:rsidR="00E21D43">
        <w:rPr>
          <w:rFonts w:cs="Arial"/>
          <w:iCs/>
        </w:rPr>
        <w:t>reporta una y o</w:t>
      </w:r>
      <w:r w:rsidR="00510898">
        <w:rPr>
          <w:rFonts w:cs="Arial"/>
          <w:iCs/>
        </w:rPr>
        <w:t>tra parte y en las fechas,</w:t>
      </w:r>
      <w:r>
        <w:rPr>
          <w:rFonts w:cs="Arial"/>
          <w:iCs/>
        </w:rPr>
        <w:t xml:space="preserve"> pero sí es viable deducir que se hicieron abonos,  </w:t>
      </w:r>
      <w:r w:rsidR="00E21D43">
        <w:rPr>
          <w:rFonts w:cs="Arial"/>
          <w:iCs/>
        </w:rPr>
        <w:t>recalcando</w:t>
      </w:r>
      <w:r>
        <w:rPr>
          <w:rFonts w:cs="Arial"/>
          <w:iCs/>
        </w:rPr>
        <w:t xml:space="preserve">  varios aspectos: </w:t>
      </w:r>
    </w:p>
    <w:p w14:paraId="068F39F3" w14:textId="77777777" w:rsidR="00472A54" w:rsidRDefault="00472A54" w:rsidP="002D1B32">
      <w:pPr>
        <w:spacing w:line="360" w:lineRule="auto"/>
        <w:rPr>
          <w:rFonts w:cs="Arial"/>
          <w:iCs/>
        </w:rPr>
      </w:pPr>
    </w:p>
    <w:p w14:paraId="3FAECC9C" w14:textId="77777777" w:rsidR="00472A54" w:rsidRDefault="00472A54" w:rsidP="002D1B32">
      <w:pPr>
        <w:spacing w:line="360" w:lineRule="auto"/>
        <w:rPr>
          <w:rFonts w:cs="Arial"/>
          <w:iCs/>
        </w:rPr>
      </w:pPr>
      <w:r>
        <w:rPr>
          <w:rFonts w:cs="Arial"/>
          <w:iCs/>
        </w:rPr>
        <w:lastRenderedPageBreak/>
        <w:t>En primer lugar,   el acta de conciliación que es el t</w:t>
      </w:r>
      <w:r w:rsidR="009865CC">
        <w:rPr>
          <w:rFonts w:cs="Arial"/>
          <w:iCs/>
        </w:rPr>
        <w:t>ítulo que se allega c</w:t>
      </w:r>
      <w:r>
        <w:rPr>
          <w:rFonts w:cs="Arial"/>
          <w:iCs/>
        </w:rPr>
        <w:t>omo base de recaudo, estableci</w:t>
      </w:r>
      <w:r w:rsidR="009865CC">
        <w:rPr>
          <w:rFonts w:cs="Arial"/>
          <w:iCs/>
        </w:rPr>
        <w:t>ó una cifra y unas fechas de p</w:t>
      </w:r>
      <w:r>
        <w:rPr>
          <w:rFonts w:cs="Arial"/>
          <w:iCs/>
        </w:rPr>
        <w:t xml:space="preserve">ago concretas y como bien lo afirma el </w:t>
      </w:r>
      <w:r w:rsidR="009865CC">
        <w:rPr>
          <w:rFonts w:cs="Arial"/>
          <w:iCs/>
        </w:rPr>
        <w:t>demandado</w:t>
      </w:r>
      <w:r>
        <w:rPr>
          <w:rFonts w:cs="Arial"/>
          <w:iCs/>
        </w:rPr>
        <w:t>, debemos estarnos a su tenor literal y allí lo q</w:t>
      </w:r>
      <w:r w:rsidR="009865CC">
        <w:rPr>
          <w:rFonts w:cs="Arial"/>
          <w:iCs/>
        </w:rPr>
        <w:t>ue obliga es lo pactado en el nu</w:t>
      </w:r>
      <w:r>
        <w:rPr>
          <w:rFonts w:cs="Arial"/>
          <w:iCs/>
        </w:rPr>
        <w:t>meral primero,</w:t>
      </w:r>
      <w:r w:rsidR="00510898">
        <w:rPr>
          <w:rFonts w:cs="Arial"/>
          <w:iCs/>
        </w:rPr>
        <w:t xml:space="preserve"> el compromiso </w:t>
      </w:r>
      <w:r w:rsidR="00E21D43">
        <w:rPr>
          <w:rFonts w:cs="Arial"/>
          <w:iCs/>
        </w:rPr>
        <w:t xml:space="preserve"> de pago en </w:t>
      </w:r>
      <w:r>
        <w:rPr>
          <w:rFonts w:cs="Arial"/>
          <w:iCs/>
        </w:rPr>
        <w:t xml:space="preserve"> la suma de $72.000.000 como </w:t>
      </w:r>
      <w:r w:rsidR="00C26C43">
        <w:rPr>
          <w:rFonts w:cs="Arial"/>
          <w:iCs/>
        </w:rPr>
        <w:t>total de la</w:t>
      </w:r>
      <w:r>
        <w:rPr>
          <w:rFonts w:cs="Arial"/>
          <w:iCs/>
        </w:rPr>
        <w:t xml:space="preserve"> deuda, sin especificaciones concretas, que se pagarían  en</w:t>
      </w:r>
      <w:r w:rsidR="00C26C43">
        <w:rPr>
          <w:rFonts w:cs="Arial"/>
          <w:iCs/>
        </w:rPr>
        <w:t xml:space="preserve"> </w:t>
      </w:r>
      <w:r>
        <w:rPr>
          <w:rFonts w:cs="Arial"/>
          <w:iCs/>
        </w:rPr>
        <w:t xml:space="preserve">la forma que </w:t>
      </w:r>
      <w:r w:rsidR="00C26C43">
        <w:rPr>
          <w:rFonts w:cs="Arial"/>
          <w:iCs/>
        </w:rPr>
        <w:t>allí</w:t>
      </w:r>
      <w:r>
        <w:rPr>
          <w:rFonts w:cs="Arial"/>
          <w:iCs/>
        </w:rPr>
        <w:t xml:space="preserve"> se pactó,</w:t>
      </w:r>
      <w:r w:rsidR="007C230E">
        <w:rPr>
          <w:rFonts w:cs="Arial"/>
          <w:iCs/>
        </w:rPr>
        <w:t xml:space="preserve"> </w:t>
      </w:r>
      <w:r w:rsidR="00C26C43">
        <w:rPr>
          <w:rFonts w:cs="Arial"/>
          <w:iCs/>
        </w:rPr>
        <w:t>conviniendo</w:t>
      </w:r>
      <w:r w:rsidR="007C230E">
        <w:rPr>
          <w:rFonts w:cs="Arial"/>
          <w:iCs/>
        </w:rPr>
        <w:t xml:space="preserve"> en que los primeros DOS MILLONES  se cancelarían el l5 de cada mes  </w:t>
      </w:r>
      <w:r w:rsidR="007C230E" w:rsidRPr="007C230E">
        <w:rPr>
          <w:rFonts w:cs="Arial"/>
          <w:b/>
          <w:iCs/>
        </w:rPr>
        <w:t>y el primer pago sería el  l5 de diciembre de 2015</w:t>
      </w:r>
      <w:r w:rsidR="007C230E">
        <w:rPr>
          <w:rFonts w:cs="Arial"/>
          <w:iCs/>
        </w:rPr>
        <w:t xml:space="preserve">… durante 24 meses….. y según </w:t>
      </w:r>
      <w:r w:rsidR="00C26C43">
        <w:rPr>
          <w:rFonts w:cs="Arial"/>
          <w:iCs/>
        </w:rPr>
        <w:t>afirma</w:t>
      </w:r>
      <w:r w:rsidR="007C230E">
        <w:rPr>
          <w:rFonts w:cs="Arial"/>
          <w:iCs/>
        </w:rPr>
        <w:t xml:space="preserve"> la parte demandante, se hicieron abonos esporádicos</w:t>
      </w:r>
      <w:r w:rsidR="00C26C43">
        <w:rPr>
          <w:rFonts w:cs="Arial"/>
          <w:iCs/>
        </w:rPr>
        <w:t>,</w:t>
      </w:r>
      <w:r w:rsidR="007C230E">
        <w:rPr>
          <w:rFonts w:cs="Arial"/>
          <w:iCs/>
        </w:rPr>
        <w:t xml:space="preserve"> lo que se verifica con los </w:t>
      </w:r>
      <w:r w:rsidR="00C26C43">
        <w:rPr>
          <w:rFonts w:cs="Arial"/>
          <w:iCs/>
        </w:rPr>
        <w:t>reportes que hace la p</w:t>
      </w:r>
      <w:r w:rsidR="007C230E">
        <w:rPr>
          <w:rFonts w:cs="Arial"/>
          <w:iCs/>
        </w:rPr>
        <w:t xml:space="preserve">arte demandada y el hecho de allegar el </w:t>
      </w:r>
      <w:r w:rsidR="007C230E" w:rsidRPr="007C230E">
        <w:rPr>
          <w:rFonts w:cs="Arial"/>
          <w:b/>
          <w:iCs/>
        </w:rPr>
        <w:t>primer recibo en el año 2016</w:t>
      </w:r>
      <w:r w:rsidR="007C230E">
        <w:rPr>
          <w:rFonts w:cs="Arial"/>
          <w:iCs/>
        </w:rPr>
        <w:t>, afirma tal hecho.</w:t>
      </w:r>
    </w:p>
    <w:p w14:paraId="2FEC5264" w14:textId="77777777" w:rsidR="007C230E" w:rsidRDefault="007C230E" w:rsidP="002D1B32">
      <w:pPr>
        <w:spacing w:line="360" w:lineRule="auto"/>
        <w:rPr>
          <w:rFonts w:cs="Arial"/>
          <w:iCs/>
        </w:rPr>
      </w:pPr>
    </w:p>
    <w:p w14:paraId="18219861" w14:textId="77777777" w:rsidR="00472A54" w:rsidRDefault="007C230E" w:rsidP="002D1B32">
      <w:pPr>
        <w:spacing w:line="360" w:lineRule="auto"/>
        <w:rPr>
          <w:rFonts w:cs="Arial"/>
          <w:iCs/>
        </w:rPr>
      </w:pPr>
      <w:r>
        <w:rPr>
          <w:rFonts w:cs="Arial"/>
          <w:iCs/>
        </w:rPr>
        <w:t>En segundo lugar, n</w:t>
      </w:r>
      <w:r w:rsidR="00472A54">
        <w:rPr>
          <w:rFonts w:cs="Arial"/>
          <w:iCs/>
        </w:rPr>
        <w:t xml:space="preserve">o es viable rebajar la obligación </w:t>
      </w:r>
      <w:r>
        <w:rPr>
          <w:rFonts w:cs="Arial"/>
          <w:iCs/>
        </w:rPr>
        <w:t xml:space="preserve">como lo </w:t>
      </w:r>
      <w:r w:rsidR="009865CC">
        <w:rPr>
          <w:rFonts w:cs="Arial"/>
          <w:iCs/>
        </w:rPr>
        <w:t>pretende</w:t>
      </w:r>
      <w:r w:rsidR="00472A54">
        <w:rPr>
          <w:rFonts w:cs="Arial"/>
          <w:iCs/>
        </w:rPr>
        <w:t xml:space="preserve"> hacer la parte demandada en cada recibo, simplemente descontando lo que se consigna, </w:t>
      </w:r>
      <w:r>
        <w:rPr>
          <w:rFonts w:cs="Arial"/>
          <w:iCs/>
        </w:rPr>
        <w:t>desconociendo el pago de intereses</w:t>
      </w:r>
      <w:r w:rsidR="00C26C43">
        <w:rPr>
          <w:rFonts w:cs="Arial"/>
          <w:iCs/>
        </w:rPr>
        <w:t>,</w:t>
      </w:r>
      <w:r>
        <w:rPr>
          <w:rFonts w:cs="Arial"/>
          <w:iCs/>
        </w:rPr>
        <w:t xml:space="preserve"> que si bien es cierto, en el ac</w:t>
      </w:r>
      <w:r w:rsidR="00C26C43">
        <w:rPr>
          <w:rFonts w:cs="Arial"/>
          <w:iCs/>
        </w:rPr>
        <w:t>u</w:t>
      </w:r>
      <w:r w:rsidR="009865CC">
        <w:rPr>
          <w:rFonts w:cs="Arial"/>
          <w:iCs/>
        </w:rPr>
        <w:t>erdo nada se dice al respecto,</w:t>
      </w:r>
      <w:r>
        <w:rPr>
          <w:rFonts w:cs="Arial"/>
          <w:iCs/>
        </w:rPr>
        <w:t xml:space="preserve"> ello es  indiscutible cuando la </w:t>
      </w:r>
      <w:r w:rsidR="009865CC">
        <w:rPr>
          <w:rFonts w:cs="Arial"/>
          <w:iCs/>
        </w:rPr>
        <w:t>obligación</w:t>
      </w:r>
      <w:r>
        <w:rPr>
          <w:rFonts w:cs="Arial"/>
          <w:iCs/>
        </w:rPr>
        <w:t xml:space="preserve"> se paga tardíamente.</w:t>
      </w:r>
    </w:p>
    <w:p w14:paraId="5BDF70BE" w14:textId="77777777" w:rsidR="007C230E" w:rsidRDefault="007C230E" w:rsidP="002D1B32">
      <w:pPr>
        <w:spacing w:line="360" w:lineRule="auto"/>
        <w:rPr>
          <w:rFonts w:cs="Arial"/>
          <w:iCs/>
        </w:rPr>
      </w:pPr>
    </w:p>
    <w:p w14:paraId="25F50902" w14:textId="77777777" w:rsidR="007C230E" w:rsidRDefault="007C230E" w:rsidP="002D1B32">
      <w:pPr>
        <w:spacing w:line="360" w:lineRule="auto"/>
        <w:rPr>
          <w:rFonts w:cs="Arial"/>
          <w:iCs/>
        </w:rPr>
      </w:pPr>
      <w:r>
        <w:rPr>
          <w:rFonts w:cs="Arial"/>
          <w:iCs/>
        </w:rPr>
        <w:t xml:space="preserve">En tercer lugar, </w:t>
      </w:r>
      <w:r w:rsidR="00510898">
        <w:rPr>
          <w:rFonts w:cs="Arial"/>
          <w:iCs/>
        </w:rPr>
        <w:t xml:space="preserve"> la part</w:t>
      </w:r>
      <w:r w:rsidR="00C26C43">
        <w:rPr>
          <w:rFonts w:cs="Arial"/>
          <w:iCs/>
        </w:rPr>
        <w:t>e</w:t>
      </w:r>
      <w:r w:rsidR="00510898">
        <w:rPr>
          <w:rFonts w:cs="Arial"/>
          <w:iCs/>
        </w:rPr>
        <w:t xml:space="preserve"> </w:t>
      </w:r>
      <w:r w:rsidR="009865CC">
        <w:rPr>
          <w:rFonts w:cs="Arial"/>
          <w:iCs/>
        </w:rPr>
        <w:t>demandante tu</w:t>
      </w:r>
      <w:r w:rsidR="00510898">
        <w:rPr>
          <w:rFonts w:cs="Arial"/>
          <w:iCs/>
        </w:rPr>
        <w:t>vo en cuenta dichos abonos y ello se verifica con el saldo que se ha pretendido, en una suma inferior a l</w:t>
      </w:r>
      <w:r w:rsidR="00C26C43">
        <w:rPr>
          <w:rFonts w:cs="Arial"/>
          <w:iCs/>
        </w:rPr>
        <w:t xml:space="preserve">a pactada, dando </w:t>
      </w:r>
      <w:r w:rsidR="009865CC" w:rsidRPr="009865CC">
        <w:rPr>
          <w:rFonts w:cs="Arial"/>
          <w:iCs/>
        </w:rPr>
        <w:t>cumplimiento</w:t>
      </w:r>
      <w:r w:rsidR="009865CC">
        <w:rPr>
          <w:rFonts w:cs="Arial"/>
          <w:i/>
          <w:iCs/>
        </w:rPr>
        <w:t xml:space="preserve"> </w:t>
      </w:r>
      <w:r w:rsidR="00C26C43">
        <w:rPr>
          <w:rFonts w:cs="Arial"/>
          <w:iCs/>
        </w:rPr>
        <w:t xml:space="preserve"> a las </w:t>
      </w:r>
      <w:r w:rsidR="009865CC">
        <w:rPr>
          <w:rFonts w:cs="Arial"/>
          <w:iCs/>
        </w:rPr>
        <w:t>disposiciones</w:t>
      </w:r>
      <w:r w:rsidR="00C26C43">
        <w:rPr>
          <w:rFonts w:cs="Arial"/>
          <w:iCs/>
        </w:rPr>
        <w:t xml:space="preserve">  legales que rigen el tema, </w:t>
      </w:r>
    </w:p>
    <w:p w14:paraId="44675F5A" w14:textId="77777777" w:rsidR="00510898" w:rsidRDefault="00510898" w:rsidP="002D1B32">
      <w:pPr>
        <w:spacing w:line="360" w:lineRule="auto"/>
        <w:rPr>
          <w:rFonts w:cs="Arial"/>
          <w:iCs/>
        </w:rPr>
      </w:pPr>
    </w:p>
    <w:p w14:paraId="4CC1E06D" w14:textId="77777777" w:rsidR="00510898" w:rsidRDefault="00510898" w:rsidP="002D1B32">
      <w:pPr>
        <w:spacing w:line="360" w:lineRule="auto"/>
        <w:rPr>
          <w:rFonts w:cs="Arial"/>
          <w:iCs/>
        </w:rPr>
      </w:pPr>
      <w:r>
        <w:rPr>
          <w:rFonts w:cs="Arial"/>
          <w:iCs/>
        </w:rPr>
        <w:t xml:space="preserve">En </w:t>
      </w:r>
      <w:r w:rsidR="009865CC">
        <w:rPr>
          <w:rFonts w:cs="Arial"/>
          <w:iCs/>
        </w:rPr>
        <w:t>cuarto</w:t>
      </w:r>
      <w:r>
        <w:rPr>
          <w:rFonts w:cs="Arial"/>
          <w:iCs/>
        </w:rPr>
        <w:t xml:space="preserve"> lugar,  atendiendo a las  constancias que allega la parte demandada, es posible ver</w:t>
      </w:r>
      <w:r w:rsidR="009865CC">
        <w:rPr>
          <w:rFonts w:cs="Arial"/>
          <w:iCs/>
        </w:rPr>
        <w:t xml:space="preserve">ificar los abonos, resaltando que </w:t>
      </w:r>
      <w:r>
        <w:rPr>
          <w:rFonts w:cs="Arial"/>
          <w:iCs/>
        </w:rPr>
        <w:t xml:space="preserve"> se hicieron</w:t>
      </w:r>
      <w:r w:rsidR="009865CC">
        <w:rPr>
          <w:rFonts w:cs="Arial"/>
          <w:iCs/>
        </w:rPr>
        <w:t xml:space="preserve"> antes de que se presentara la </w:t>
      </w:r>
      <w:r>
        <w:rPr>
          <w:rFonts w:cs="Arial"/>
          <w:iCs/>
        </w:rPr>
        <w:t>demanda y el hecho de cobrarse una cifra menor a la q</w:t>
      </w:r>
      <w:r w:rsidR="00E21D43">
        <w:rPr>
          <w:rFonts w:cs="Arial"/>
          <w:iCs/>
        </w:rPr>
        <w:t>u</w:t>
      </w:r>
      <w:r>
        <w:rPr>
          <w:rFonts w:cs="Arial"/>
          <w:iCs/>
        </w:rPr>
        <w:t xml:space="preserve">e reporta el </w:t>
      </w:r>
      <w:r w:rsidR="00E21D43">
        <w:rPr>
          <w:rFonts w:cs="Arial"/>
          <w:iCs/>
        </w:rPr>
        <w:t>título</w:t>
      </w:r>
      <w:r>
        <w:rPr>
          <w:rFonts w:cs="Arial"/>
          <w:iCs/>
        </w:rPr>
        <w:t>, da a entender que se tuvieron en cuenta, no ocurriendo lo mismo, con  las dos qu</w:t>
      </w:r>
      <w:r w:rsidR="00E21D43">
        <w:rPr>
          <w:rFonts w:cs="Arial"/>
          <w:iCs/>
        </w:rPr>
        <w:t>e se reportan posteriores a la presentación</w:t>
      </w:r>
      <w:r>
        <w:rPr>
          <w:rFonts w:cs="Arial"/>
          <w:iCs/>
        </w:rPr>
        <w:t xml:space="preserve"> de la demanda el </w:t>
      </w:r>
      <w:r w:rsidRPr="00C26C43">
        <w:rPr>
          <w:rFonts w:cs="Arial"/>
          <w:b/>
          <w:iCs/>
        </w:rPr>
        <w:t>11 de    diciembre de  2018</w:t>
      </w:r>
      <w:r w:rsidR="00E21D43" w:rsidRPr="00C26C43">
        <w:rPr>
          <w:rFonts w:cs="Arial"/>
          <w:b/>
          <w:iCs/>
        </w:rPr>
        <w:t>,</w:t>
      </w:r>
      <w:r>
        <w:rPr>
          <w:rFonts w:cs="Arial"/>
          <w:iCs/>
        </w:rPr>
        <w:t xml:space="preserve"> </w:t>
      </w:r>
      <w:r w:rsidR="00E21D43">
        <w:rPr>
          <w:rFonts w:cs="Arial"/>
          <w:iCs/>
        </w:rPr>
        <w:t>concretamente</w:t>
      </w:r>
      <w:r>
        <w:rPr>
          <w:rFonts w:cs="Arial"/>
          <w:iCs/>
        </w:rPr>
        <w:t xml:space="preserve">  </w:t>
      </w:r>
      <w:r w:rsidR="00E21D43">
        <w:rPr>
          <w:rFonts w:cs="Arial"/>
          <w:iCs/>
        </w:rPr>
        <w:t>un recibo</w:t>
      </w:r>
      <w:r>
        <w:rPr>
          <w:rFonts w:cs="Arial"/>
          <w:iCs/>
        </w:rPr>
        <w:t xml:space="preserve"> que se allega del </w:t>
      </w:r>
      <w:r w:rsidRPr="00C26C43">
        <w:rPr>
          <w:rFonts w:cs="Arial"/>
          <w:b/>
          <w:iCs/>
        </w:rPr>
        <w:t>28 de diciembre de 2018</w:t>
      </w:r>
      <w:r w:rsidR="00E21D43">
        <w:rPr>
          <w:rFonts w:cs="Arial"/>
          <w:iCs/>
        </w:rPr>
        <w:t xml:space="preserve"> por valor </w:t>
      </w:r>
      <w:r>
        <w:rPr>
          <w:rFonts w:cs="Arial"/>
          <w:iCs/>
        </w:rPr>
        <w:t>de $2.020.000</w:t>
      </w:r>
      <w:r w:rsidR="00E21D43">
        <w:rPr>
          <w:rFonts w:cs="Arial"/>
          <w:iCs/>
        </w:rPr>
        <w:t xml:space="preserve"> y uno </w:t>
      </w:r>
      <w:r>
        <w:rPr>
          <w:rFonts w:cs="Arial"/>
          <w:iCs/>
        </w:rPr>
        <w:t xml:space="preserve">del </w:t>
      </w:r>
      <w:r w:rsidRPr="00C26C43">
        <w:rPr>
          <w:rFonts w:cs="Arial"/>
          <w:b/>
          <w:iCs/>
        </w:rPr>
        <w:t>30 de enero de</w:t>
      </w:r>
      <w:r w:rsidR="00C26C43">
        <w:rPr>
          <w:rFonts w:cs="Arial"/>
          <w:b/>
          <w:iCs/>
        </w:rPr>
        <w:t xml:space="preserve"> 2019 </w:t>
      </w:r>
      <w:r w:rsidR="00C26C43" w:rsidRPr="00C26C43">
        <w:rPr>
          <w:rFonts w:cs="Arial"/>
          <w:iCs/>
        </w:rPr>
        <w:t>en la suma de</w:t>
      </w:r>
      <w:r w:rsidR="00C26C43">
        <w:rPr>
          <w:rFonts w:cs="Arial"/>
          <w:b/>
          <w:iCs/>
        </w:rPr>
        <w:t xml:space="preserve"> </w:t>
      </w:r>
      <w:r>
        <w:rPr>
          <w:rFonts w:cs="Arial"/>
          <w:iCs/>
        </w:rPr>
        <w:t xml:space="preserve"> </w:t>
      </w:r>
      <w:r w:rsidR="00E21D43">
        <w:rPr>
          <w:rFonts w:cs="Arial"/>
          <w:iCs/>
        </w:rPr>
        <w:t>$</w:t>
      </w:r>
      <w:r>
        <w:rPr>
          <w:rFonts w:cs="Arial"/>
          <w:iCs/>
        </w:rPr>
        <w:t xml:space="preserve">4.500.000 que deberá tenerse en </w:t>
      </w:r>
      <w:r w:rsidR="009865CC">
        <w:rPr>
          <w:rFonts w:cs="Arial"/>
          <w:iCs/>
        </w:rPr>
        <w:t>cuenta</w:t>
      </w:r>
      <w:r>
        <w:rPr>
          <w:rFonts w:cs="Arial"/>
          <w:iCs/>
        </w:rPr>
        <w:t xml:space="preserve"> al momento de la </w:t>
      </w:r>
      <w:r w:rsidR="00E21D43">
        <w:rPr>
          <w:rFonts w:cs="Arial"/>
          <w:iCs/>
        </w:rPr>
        <w:t>liquidación</w:t>
      </w:r>
      <w:r>
        <w:rPr>
          <w:rFonts w:cs="Arial"/>
          <w:iCs/>
        </w:rPr>
        <w:t xml:space="preserve"> </w:t>
      </w:r>
      <w:r w:rsidR="009865CC">
        <w:rPr>
          <w:rFonts w:cs="Arial"/>
          <w:iCs/>
        </w:rPr>
        <w:t>p</w:t>
      </w:r>
      <w:r w:rsidR="00E21D43">
        <w:rPr>
          <w:rFonts w:cs="Arial"/>
          <w:iCs/>
        </w:rPr>
        <w:t>ero como un abono dada l</w:t>
      </w:r>
      <w:r w:rsidR="009865CC">
        <w:rPr>
          <w:rFonts w:cs="Arial"/>
          <w:iCs/>
        </w:rPr>
        <w:t xml:space="preserve">a </w:t>
      </w:r>
      <w:r w:rsidR="00C26C43">
        <w:rPr>
          <w:rFonts w:cs="Arial"/>
          <w:iCs/>
        </w:rPr>
        <w:t>fecha en que se hizo y no co</w:t>
      </w:r>
      <w:r w:rsidR="00E21D43">
        <w:rPr>
          <w:rFonts w:cs="Arial"/>
          <w:iCs/>
        </w:rPr>
        <w:t xml:space="preserve">mo un pago parcial como se pretende. </w:t>
      </w:r>
    </w:p>
    <w:p w14:paraId="44CBA28B" w14:textId="77777777" w:rsidR="002D1B32" w:rsidRDefault="002D1B32" w:rsidP="002035EE">
      <w:pPr>
        <w:widowControl w:val="0"/>
        <w:autoSpaceDE w:val="0"/>
        <w:autoSpaceDN w:val="0"/>
        <w:adjustRightInd w:val="0"/>
        <w:spacing w:line="360" w:lineRule="auto"/>
        <w:rPr>
          <w:rFonts w:cs="Arial"/>
        </w:rPr>
      </w:pPr>
    </w:p>
    <w:p w14:paraId="53278C61" w14:textId="77777777" w:rsidR="001118BC" w:rsidRPr="0030030B" w:rsidRDefault="001118BC" w:rsidP="0006098D">
      <w:pPr>
        <w:widowControl w:val="0"/>
        <w:autoSpaceDE w:val="0"/>
        <w:autoSpaceDN w:val="0"/>
        <w:adjustRightInd w:val="0"/>
        <w:spacing w:line="360" w:lineRule="auto"/>
        <w:rPr>
          <w:rFonts w:cs="Arial"/>
        </w:rPr>
      </w:pPr>
      <w:r>
        <w:rPr>
          <w:rFonts w:cs="Arial"/>
        </w:rPr>
        <w:t xml:space="preserve">Y finalmente, es necesario </w:t>
      </w:r>
      <w:r w:rsidRPr="00D10589">
        <w:rPr>
          <w:rFonts w:cs="Arial"/>
        </w:rPr>
        <w:t xml:space="preserve"> señalar que si bien los hechos traídos a colación por la parte demandada</w:t>
      </w:r>
      <w:r>
        <w:rPr>
          <w:rFonts w:cs="Arial"/>
        </w:rPr>
        <w:t>,</w:t>
      </w:r>
      <w:r w:rsidRPr="00D10589">
        <w:rPr>
          <w:rFonts w:cs="Arial"/>
        </w:rPr>
        <w:t xml:space="preserve"> están lejos de ser considerados como excepciones, </w:t>
      </w:r>
      <w:r w:rsidRPr="00D10589">
        <w:rPr>
          <w:rFonts w:cs="Arial"/>
          <w:b/>
        </w:rPr>
        <w:t xml:space="preserve">se </w:t>
      </w:r>
      <w:r w:rsidRPr="0006098D">
        <w:rPr>
          <w:rFonts w:cs="Arial"/>
        </w:rPr>
        <w:t xml:space="preserve">advierte que de conformidad con lo indicado por el apoderado de la parte demandante, en el escrito visible a folio 175, frente a lo cual advierte que </w:t>
      </w:r>
      <w:r w:rsidR="0006098D" w:rsidRPr="0006098D">
        <w:rPr>
          <w:rFonts w:cs="Arial"/>
        </w:rPr>
        <w:t xml:space="preserve">no se puede excepcionar un pago parcial con abonos realizados con posterior a la </w:t>
      </w:r>
      <w:r w:rsidR="0006098D" w:rsidRPr="0006098D">
        <w:rPr>
          <w:rFonts w:cs="Arial"/>
        </w:rPr>
        <w:lastRenderedPageBreak/>
        <w:t xml:space="preserve">presentación de la demanda, que se tendrían como abonos y como efectivamente existe constancia de lo anterior,  </w:t>
      </w:r>
      <w:r w:rsidRPr="0006098D">
        <w:rPr>
          <w:rFonts w:cs="Arial"/>
        </w:rPr>
        <w:t>ello  constituyen por antonomasia un hecho modificativo del derecho en litigio ocurrido después de la demanda y que señala el art. 281 inciso 4 del CGP, se tendrá en cuenta al momento de la sentencia.</w:t>
      </w:r>
      <w:r w:rsidRPr="00D10589">
        <w:rPr>
          <w:rFonts w:cs="Arial"/>
        </w:rPr>
        <w:t xml:space="preserve"> </w:t>
      </w:r>
      <w:r w:rsidRPr="00D10589">
        <w:rPr>
          <w:rFonts w:cs="Arial"/>
          <w:b/>
          <w:u w:val="single"/>
        </w:rPr>
        <w:t>En consecuencia, se ordenará tener en cuenta todos los abonos efectuados por la</w:t>
      </w:r>
      <w:r>
        <w:rPr>
          <w:rFonts w:cs="Arial"/>
          <w:b/>
          <w:u w:val="single"/>
        </w:rPr>
        <w:t xml:space="preserve"> parte</w:t>
      </w:r>
      <w:r w:rsidRPr="00D10589">
        <w:rPr>
          <w:rFonts w:cs="Arial"/>
          <w:b/>
          <w:u w:val="single"/>
        </w:rPr>
        <w:t xml:space="preserve"> demandada </w:t>
      </w:r>
      <w:r w:rsidR="0006098D">
        <w:rPr>
          <w:rFonts w:cs="Arial"/>
          <w:b/>
          <w:u w:val="single"/>
        </w:rPr>
        <w:t xml:space="preserve"> a la </w:t>
      </w:r>
      <w:r w:rsidR="00F81A55">
        <w:rPr>
          <w:rFonts w:cs="Arial"/>
          <w:b/>
          <w:u w:val="single"/>
        </w:rPr>
        <w:t>obligación</w:t>
      </w:r>
      <w:r w:rsidR="0006098D">
        <w:rPr>
          <w:rFonts w:cs="Arial"/>
          <w:b/>
          <w:u w:val="single"/>
        </w:rPr>
        <w:t xml:space="preserve"> que aquí se ejecuta</w:t>
      </w:r>
      <w:r w:rsidRPr="00D10589">
        <w:rPr>
          <w:rFonts w:cs="Arial"/>
          <w:b/>
          <w:u w:val="single"/>
        </w:rPr>
        <w:t xml:space="preserve"> </w:t>
      </w:r>
      <w:r w:rsidR="0006098D">
        <w:rPr>
          <w:rFonts w:cs="Arial"/>
          <w:b/>
          <w:u w:val="single"/>
        </w:rPr>
        <w:t xml:space="preserve"> </w:t>
      </w:r>
      <w:r w:rsidR="00F81A55">
        <w:rPr>
          <w:rFonts w:cs="Arial"/>
          <w:b/>
          <w:u w:val="single"/>
        </w:rPr>
        <w:t xml:space="preserve"> con posterioridad a la presentación de la demanda </w:t>
      </w:r>
      <w:r w:rsidRPr="00D10589">
        <w:rPr>
          <w:rFonts w:cs="Arial"/>
          <w:b/>
          <w:u w:val="single"/>
        </w:rPr>
        <w:t>e imputarlos al crédito al momento de su liquidación, conforme a las reglas prevista en el art. 1653 del C. Civil.,</w:t>
      </w:r>
      <w:r w:rsidRPr="00D10589">
        <w:rPr>
          <w:rFonts w:cs="Arial"/>
        </w:rPr>
        <w:t>.</w:t>
      </w:r>
    </w:p>
    <w:p w14:paraId="2F4155EF" w14:textId="77777777" w:rsidR="002035EE" w:rsidRPr="0030030B" w:rsidRDefault="002035EE" w:rsidP="002035EE">
      <w:pPr>
        <w:spacing w:line="360" w:lineRule="auto"/>
        <w:rPr>
          <w:rFonts w:cs="Arial"/>
        </w:rPr>
      </w:pPr>
    </w:p>
    <w:p w14:paraId="788A6C7D" w14:textId="77777777" w:rsidR="00AF33F1" w:rsidRPr="0030030B" w:rsidRDefault="00AF33F1" w:rsidP="00AF33F1">
      <w:pPr>
        <w:spacing w:line="360" w:lineRule="auto"/>
        <w:rPr>
          <w:rFonts w:cs="Arial"/>
        </w:rPr>
      </w:pPr>
    </w:p>
    <w:p w14:paraId="7171003A" w14:textId="77777777" w:rsidR="001225AD" w:rsidRPr="001225AD" w:rsidRDefault="0006098D" w:rsidP="001225AD">
      <w:pPr>
        <w:tabs>
          <w:tab w:val="left" w:pos="709"/>
          <w:tab w:val="left" w:pos="1440"/>
        </w:tabs>
        <w:spacing w:line="360" w:lineRule="auto"/>
        <w:ind w:right="-18"/>
        <w:rPr>
          <w:rFonts w:cs="Arial"/>
          <w:lang w:val="es-CO"/>
        </w:rPr>
      </w:pPr>
      <w:r>
        <w:rPr>
          <w:rFonts w:cs="Arial"/>
        </w:rPr>
        <w:t xml:space="preserve">Frente al resto de medios </w:t>
      </w:r>
      <w:r w:rsidR="001225AD" w:rsidRPr="001225AD">
        <w:rPr>
          <w:rFonts w:cs="Arial"/>
        </w:rPr>
        <w:t xml:space="preserve"> exceptivos propuestos por la parte ejecutada (</w:t>
      </w:r>
      <w:r w:rsidR="001225AD">
        <w:rPr>
          <w:rFonts w:cs="Arial"/>
        </w:rPr>
        <w:t>contrato no cumplido, ejercicio arbitrario de las atribuciones contractuales, ejecución de los contratos de buena fe, imposibilidad de ejecutar la garantía real</w:t>
      </w:r>
      <w:r w:rsidR="001225AD" w:rsidRPr="001225AD">
        <w:rPr>
          <w:rFonts w:cs="Arial"/>
        </w:rPr>
        <w:t xml:space="preserve">) </w:t>
      </w:r>
      <w:r w:rsidR="001225AD">
        <w:rPr>
          <w:rFonts w:cs="Arial"/>
        </w:rPr>
        <w:t xml:space="preserve">valga recordar que </w:t>
      </w:r>
      <w:r w:rsidR="001225AD" w:rsidRPr="001225AD">
        <w:rPr>
          <w:rFonts w:cs="Arial"/>
          <w:lang w:val="es-CO"/>
        </w:rPr>
        <w:t>los principios de los títulos están dirigidos a garantizar la seguridad jurídica, la certeza sobre la existencia y exigibilidad de la obligación y la posibilidad que el crédito incorporado</w:t>
      </w:r>
      <w:r w:rsidR="001225AD">
        <w:rPr>
          <w:rFonts w:cs="Arial"/>
          <w:lang w:val="es-CO"/>
        </w:rPr>
        <w:t xml:space="preserve"> en éstos</w:t>
      </w:r>
      <w:r w:rsidR="001225AD" w:rsidRPr="001225AD">
        <w:rPr>
          <w:rFonts w:cs="Arial"/>
          <w:lang w:val="es-CO"/>
        </w:rPr>
        <w:t xml:space="preserve"> sea susceptible de tráfico mercantil con la simple entrega material del título y el cumplimiento de la ley de circulación.  En consecuencia, si el deudor pretende negar la exigibilidad de la obligación </w:t>
      </w:r>
      <w:r w:rsidR="001225AD">
        <w:rPr>
          <w:rFonts w:cs="Arial"/>
          <w:lang w:val="es-CO"/>
        </w:rPr>
        <w:t>contenida en el título ejecutivo</w:t>
      </w:r>
      <w:r w:rsidR="001225AD" w:rsidRPr="001225AD">
        <w:rPr>
          <w:rFonts w:cs="Arial"/>
          <w:lang w:val="es-CO"/>
        </w:rPr>
        <w:t xml:space="preserve">, deberá demostrar fehacientemente que la literalidad </w:t>
      </w:r>
      <w:r w:rsidR="001225AD">
        <w:rPr>
          <w:rFonts w:cs="Arial"/>
          <w:lang w:val="es-CO"/>
        </w:rPr>
        <w:t>de éste</w:t>
      </w:r>
      <w:r w:rsidR="001225AD" w:rsidRPr="001225AD">
        <w:rPr>
          <w:rFonts w:cs="Arial"/>
          <w:lang w:val="es-CO"/>
        </w:rPr>
        <w:t xml:space="preserve"> se ve afectada por las particularidades del negocio subyacente, lo cual no fue debidamente acreditado </w:t>
      </w:r>
      <w:r w:rsidR="00F81A55">
        <w:rPr>
          <w:rFonts w:cs="Arial"/>
          <w:lang w:val="es-CO"/>
        </w:rPr>
        <w:t>en el caso concreto.</w:t>
      </w:r>
      <w:r w:rsidR="001225AD" w:rsidRPr="001225AD">
        <w:rPr>
          <w:rFonts w:cs="Arial"/>
          <w:lang w:val="es-CO"/>
        </w:rPr>
        <w:t xml:space="preserve"> </w:t>
      </w:r>
    </w:p>
    <w:p w14:paraId="1722A4FD" w14:textId="77777777" w:rsidR="001225AD" w:rsidRPr="001225AD" w:rsidRDefault="001225AD" w:rsidP="001225AD">
      <w:pPr>
        <w:tabs>
          <w:tab w:val="left" w:pos="709"/>
          <w:tab w:val="left" w:pos="1440"/>
        </w:tabs>
        <w:spacing w:line="360" w:lineRule="auto"/>
        <w:ind w:right="-18"/>
        <w:rPr>
          <w:rFonts w:cs="Arial"/>
          <w:lang w:val="es-CO"/>
        </w:rPr>
      </w:pPr>
    </w:p>
    <w:p w14:paraId="27203163" w14:textId="77777777" w:rsidR="001225AD" w:rsidRDefault="001225AD" w:rsidP="00F81A55">
      <w:pPr>
        <w:tabs>
          <w:tab w:val="left" w:pos="709"/>
          <w:tab w:val="left" w:pos="1440"/>
        </w:tabs>
        <w:spacing w:line="360" w:lineRule="auto"/>
        <w:ind w:right="-18"/>
        <w:rPr>
          <w:rFonts w:cs="Arial"/>
          <w:lang w:val="es-CO"/>
        </w:rPr>
      </w:pPr>
      <w:r w:rsidRPr="001225AD">
        <w:rPr>
          <w:rFonts w:cs="Arial"/>
          <w:i/>
          <w:lang w:val="es-CO"/>
        </w:rPr>
        <w:t>C</w:t>
      </w:r>
      <w:r w:rsidRPr="001225AD">
        <w:rPr>
          <w:rFonts w:cs="Arial"/>
          <w:lang w:val="es-CO"/>
        </w:rPr>
        <w:t xml:space="preserve">onforme a los razonamientos expuestos, si el deudor decide presentar excepciones en contra del mandamiento ejecutivo, fundadas en asuntos derivados del negocio subyacente, tiene la carga de probar cómo esos asuntos inciden en la exigibilidad del crédito incorporado al título </w:t>
      </w:r>
      <w:r w:rsidR="007063EA">
        <w:rPr>
          <w:rFonts w:cs="Arial"/>
          <w:lang w:val="es-CO"/>
        </w:rPr>
        <w:t>ejecutivo</w:t>
      </w:r>
      <w:r w:rsidR="00F81A55">
        <w:rPr>
          <w:rFonts w:cs="Arial"/>
          <w:lang w:val="es-CO"/>
        </w:rPr>
        <w:t xml:space="preserve">, </w:t>
      </w:r>
      <w:r w:rsidR="009865CC">
        <w:rPr>
          <w:rFonts w:cs="Arial"/>
          <w:lang w:val="es-CO"/>
        </w:rPr>
        <w:t>simplemente</w:t>
      </w:r>
      <w:r w:rsidR="00F81A55">
        <w:rPr>
          <w:rFonts w:cs="Arial"/>
          <w:lang w:val="es-CO"/>
        </w:rPr>
        <w:t xml:space="preserve"> porque la obligación que contiene el título goza de los  principios de </w:t>
      </w:r>
      <w:r w:rsidRPr="001225AD">
        <w:rPr>
          <w:rFonts w:cs="Arial"/>
          <w:lang w:val="es-CO"/>
        </w:rPr>
        <w:t xml:space="preserve">  </w:t>
      </w:r>
      <w:r w:rsidR="00F81A55">
        <w:rPr>
          <w:rFonts w:cs="Arial"/>
          <w:lang w:val="es-CO"/>
        </w:rPr>
        <w:t xml:space="preserve"> autonomía</w:t>
      </w:r>
      <w:r w:rsidRPr="001225AD">
        <w:rPr>
          <w:rFonts w:cs="Arial"/>
          <w:lang w:val="es-CO"/>
        </w:rPr>
        <w:t xml:space="preserve"> </w:t>
      </w:r>
      <w:r w:rsidR="00F81A55">
        <w:rPr>
          <w:rFonts w:cs="Arial"/>
          <w:lang w:val="es-CO"/>
        </w:rPr>
        <w:t xml:space="preserve"> </w:t>
      </w:r>
      <w:r w:rsidRPr="001225AD">
        <w:rPr>
          <w:rFonts w:cs="Arial"/>
          <w:lang w:val="es-CO"/>
        </w:rPr>
        <w:t xml:space="preserve"> y literal</w:t>
      </w:r>
      <w:r w:rsidR="00F81A55">
        <w:rPr>
          <w:rFonts w:cs="Arial"/>
          <w:lang w:val="es-CO"/>
        </w:rPr>
        <w:t>idad y co</w:t>
      </w:r>
      <w:r w:rsidR="009865CC">
        <w:rPr>
          <w:rFonts w:cs="Arial"/>
          <w:lang w:val="es-CO"/>
        </w:rPr>
        <w:t>n ello se faculta al acreedor p</w:t>
      </w:r>
      <w:r w:rsidR="00F81A55">
        <w:rPr>
          <w:rFonts w:cs="Arial"/>
          <w:lang w:val="es-CO"/>
        </w:rPr>
        <w:t xml:space="preserve">ara su cobro.  </w:t>
      </w:r>
      <w:r w:rsidRPr="001225AD">
        <w:rPr>
          <w:rFonts w:cs="Arial"/>
          <w:lang w:val="es-CO"/>
        </w:rPr>
        <w:t xml:space="preserve">  Considerar lo contrario, </w:t>
      </w:r>
      <w:r w:rsidR="00F81A55">
        <w:rPr>
          <w:rFonts w:cs="Arial"/>
          <w:lang w:val="es-CO"/>
        </w:rPr>
        <w:t xml:space="preserve"> </w:t>
      </w:r>
      <w:r w:rsidRPr="001225AD">
        <w:rPr>
          <w:rFonts w:cs="Arial"/>
          <w:lang w:val="es-CO"/>
        </w:rPr>
        <w:t xml:space="preserve">que la simple declaración del deudor sobre la </w:t>
      </w:r>
      <w:r w:rsidRPr="001225AD">
        <w:rPr>
          <w:rFonts w:cs="Arial"/>
          <w:i/>
          <w:lang w:val="es-CO"/>
        </w:rPr>
        <w:t xml:space="preserve">ausencia del título ejecutivo en disfavor de éste, </w:t>
      </w:r>
      <w:r w:rsidRPr="001225AD">
        <w:rPr>
          <w:rFonts w:cs="Arial"/>
          <w:lang w:val="es-CO"/>
        </w:rPr>
        <w:t xml:space="preserve">lo exime de probar la incidencia del negocio subyacente en la exigibilidad de las obligaciones del título </w:t>
      </w:r>
      <w:r>
        <w:rPr>
          <w:rFonts w:cs="Arial"/>
          <w:lang w:val="es-CO"/>
        </w:rPr>
        <w:t>objeto de ejecución</w:t>
      </w:r>
      <w:r w:rsidRPr="001225AD">
        <w:rPr>
          <w:rFonts w:cs="Arial"/>
          <w:lang w:val="es-CO"/>
        </w:rPr>
        <w:t xml:space="preserve">, trasladándose dicha carga al acreedor, desconocería la naturaleza jurídica </w:t>
      </w:r>
      <w:r w:rsidR="007063EA">
        <w:rPr>
          <w:rFonts w:cs="Arial"/>
          <w:lang w:val="es-CO"/>
        </w:rPr>
        <w:t>del proceso ejecutivo</w:t>
      </w:r>
      <w:r w:rsidRPr="001225AD">
        <w:rPr>
          <w:rFonts w:cs="Arial"/>
          <w:lang w:val="es-CO"/>
        </w:rPr>
        <w:t xml:space="preserve">. Por ende, la exhibición del título, aunada al cumplimiento de la ley de circulación, son suficientes para lograr la exigibilidad de la obligación </w:t>
      </w:r>
      <w:r w:rsidR="007063EA">
        <w:rPr>
          <w:rFonts w:cs="Arial"/>
          <w:lang w:val="es-CO"/>
        </w:rPr>
        <w:t>que aquí se persigue</w:t>
      </w:r>
      <w:r w:rsidRPr="001225AD">
        <w:rPr>
          <w:rFonts w:cs="Arial"/>
          <w:lang w:val="es-CO"/>
        </w:rPr>
        <w:t xml:space="preserve">.  Si se llegare a concluir que es al acreedor al que le corresponde </w:t>
      </w:r>
      <w:r w:rsidRPr="001225AD">
        <w:rPr>
          <w:rFonts w:cs="Arial"/>
          <w:lang w:val="es-CO"/>
        </w:rPr>
        <w:lastRenderedPageBreak/>
        <w:t xml:space="preserve">probar el perfeccionamiento del negocio subyacente, ya no podría predicarse la existencia de un proceso de ejecución, sino de uno de carácter declarativo.  </w:t>
      </w:r>
      <w:r w:rsidR="00F81A55">
        <w:rPr>
          <w:rFonts w:cs="Arial"/>
          <w:lang w:val="es-CO"/>
        </w:rPr>
        <w:t xml:space="preserve"> </w:t>
      </w:r>
    </w:p>
    <w:p w14:paraId="191374A4" w14:textId="77777777" w:rsidR="00C13ABA" w:rsidRDefault="00C13ABA" w:rsidP="001225AD">
      <w:pPr>
        <w:tabs>
          <w:tab w:val="left" w:pos="709"/>
          <w:tab w:val="left" w:pos="1440"/>
        </w:tabs>
        <w:spacing w:line="360" w:lineRule="auto"/>
        <w:ind w:right="-18"/>
        <w:rPr>
          <w:rFonts w:cs="Arial"/>
          <w:lang w:val="es-CO"/>
        </w:rPr>
      </w:pPr>
    </w:p>
    <w:p w14:paraId="1A6E6A9B" w14:textId="77777777" w:rsidR="00C13ABA" w:rsidRPr="001225AD" w:rsidRDefault="00F81A55" w:rsidP="00AF33F1">
      <w:pPr>
        <w:tabs>
          <w:tab w:val="left" w:pos="709"/>
          <w:tab w:val="left" w:pos="1440"/>
        </w:tabs>
        <w:spacing w:line="360" w:lineRule="auto"/>
        <w:ind w:right="-18"/>
        <w:rPr>
          <w:rFonts w:cs="Arial"/>
          <w:lang w:val="es-CO"/>
        </w:rPr>
      </w:pPr>
      <w:r>
        <w:rPr>
          <w:rFonts w:cs="Arial"/>
          <w:lang w:val="es-CO"/>
        </w:rPr>
        <w:t xml:space="preserve"> </w:t>
      </w:r>
    </w:p>
    <w:p w14:paraId="18FC8A89" w14:textId="77777777" w:rsidR="00AF33F1" w:rsidRDefault="00F81A55" w:rsidP="00AF33F1">
      <w:pPr>
        <w:tabs>
          <w:tab w:val="left" w:pos="709"/>
          <w:tab w:val="left" w:pos="1440"/>
        </w:tabs>
        <w:spacing w:line="360" w:lineRule="auto"/>
        <w:ind w:right="-18"/>
        <w:rPr>
          <w:rFonts w:cs="Arial"/>
        </w:rPr>
      </w:pPr>
      <w:r>
        <w:rPr>
          <w:rFonts w:cs="Arial"/>
        </w:rPr>
        <w:t xml:space="preserve">En todo caso, </w:t>
      </w:r>
      <w:r w:rsidR="00AF33F1" w:rsidRPr="0030030B">
        <w:rPr>
          <w:rFonts w:cs="Arial"/>
        </w:rPr>
        <w:t xml:space="preserve"> le correspondía al demandado la carga de acreditar la extinción parcial de la deuda por cualquiera de los modos previstos en el artículo 1625 del Código Civil, pues al acreedor ejecutante le bastaba demostrar la existencia de la obligación nacida del título </w:t>
      </w:r>
      <w:r w:rsidR="00AF33F1">
        <w:rPr>
          <w:rFonts w:cs="Arial"/>
        </w:rPr>
        <w:t>ejecutivo</w:t>
      </w:r>
      <w:r w:rsidR="00AF33F1" w:rsidRPr="0030030B">
        <w:rPr>
          <w:rFonts w:cs="Arial"/>
        </w:rPr>
        <w:t>, como en efecto lo hizo con el documento visible</w:t>
      </w:r>
      <w:r w:rsidR="008153ED">
        <w:rPr>
          <w:rFonts w:cs="Arial"/>
        </w:rPr>
        <w:t xml:space="preserve"> a folios 6-15 </w:t>
      </w:r>
      <w:r w:rsidR="00AF33F1">
        <w:rPr>
          <w:rFonts w:cs="Arial"/>
        </w:rPr>
        <w:t xml:space="preserve">del cuaderno principal. Igualmente la </w:t>
      </w:r>
      <w:r w:rsidR="00AF33F1" w:rsidRPr="0030030B">
        <w:rPr>
          <w:rFonts w:cs="Arial"/>
        </w:rPr>
        <w:t xml:space="preserve">manifestación según la cual el ejecutado no ha cancelado el capital contenido en dicho documento, constituye una negación indefinida que no requiere de prueba (inc. 5º, art. 167 C.G.P.), como lo reconoce la jurisprudencia patria. </w:t>
      </w:r>
    </w:p>
    <w:p w14:paraId="2B5B7586" w14:textId="77777777" w:rsidR="00AF33F1" w:rsidRPr="0030030B" w:rsidRDefault="00AF33F1" w:rsidP="00AF33F1">
      <w:pPr>
        <w:tabs>
          <w:tab w:val="left" w:pos="709"/>
          <w:tab w:val="left" w:pos="1440"/>
        </w:tabs>
        <w:spacing w:line="360" w:lineRule="auto"/>
        <w:ind w:right="-18"/>
        <w:rPr>
          <w:rFonts w:cs="Arial"/>
        </w:rPr>
      </w:pPr>
    </w:p>
    <w:p w14:paraId="6EB861A8" w14:textId="77777777" w:rsidR="00AF33F1" w:rsidRPr="00494DA7" w:rsidRDefault="00AF33F1" w:rsidP="00AF33F1">
      <w:pPr>
        <w:tabs>
          <w:tab w:val="left" w:pos="709"/>
          <w:tab w:val="left" w:pos="1440"/>
        </w:tabs>
        <w:spacing w:line="360" w:lineRule="auto"/>
        <w:ind w:right="-18"/>
        <w:rPr>
          <w:rFonts w:cs="Arial"/>
        </w:rPr>
      </w:pPr>
      <w:r w:rsidRPr="00F8170E">
        <w:rPr>
          <w:rFonts w:cs="Arial"/>
        </w:rPr>
        <w:t xml:space="preserve">No obstante de dicha carga, </w:t>
      </w:r>
      <w:r>
        <w:rPr>
          <w:rFonts w:cs="Arial"/>
        </w:rPr>
        <w:t>el</w:t>
      </w:r>
      <w:r w:rsidRPr="00F8170E">
        <w:rPr>
          <w:rFonts w:cs="Arial"/>
        </w:rPr>
        <w:t xml:space="preserve"> excepcionante no aport</w:t>
      </w:r>
      <w:r>
        <w:rPr>
          <w:rFonts w:cs="Arial"/>
        </w:rPr>
        <w:t>ó</w:t>
      </w:r>
      <w:r w:rsidRPr="00F8170E">
        <w:rPr>
          <w:rFonts w:cs="Arial"/>
        </w:rPr>
        <w:t xml:space="preserve"> elementos de juicio suficientes para acreditar que hubo un pago efectivo, que es, en síntesis, lo que se alega a t</w:t>
      </w:r>
      <w:r>
        <w:rPr>
          <w:rFonts w:cs="Arial"/>
        </w:rPr>
        <w:t>ravés de la excepción formulada</w:t>
      </w:r>
      <w:r w:rsidR="008153ED">
        <w:rPr>
          <w:rFonts w:cs="Arial"/>
        </w:rPr>
        <w:t xml:space="preserve"> (pago parcial e inexistencia de la obligación)</w:t>
      </w:r>
      <w:r>
        <w:rPr>
          <w:rFonts w:cs="Arial"/>
        </w:rPr>
        <w:t>. Sobre el particular nótese que la documentación allegada da cuenta de</w:t>
      </w:r>
      <w:r w:rsidR="008153ED">
        <w:rPr>
          <w:rFonts w:cs="Arial"/>
        </w:rPr>
        <w:t xml:space="preserve"> la cancelación de unas cuotas</w:t>
      </w:r>
      <w:r>
        <w:rPr>
          <w:rFonts w:cs="Arial"/>
        </w:rPr>
        <w:t xml:space="preserve"> </w:t>
      </w:r>
      <w:r w:rsidR="00B518FC">
        <w:rPr>
          <w:rFonts w:cs="Arial"/>
        </w:rPr>
        <w:t>que para la fecha de su pago ya se encontraba</w:t>
      </w:r>
      <w:r w:rsidR="008153ED">
        <w:rPr>
          <w:rFonts w:cs="Arial"/>
        </w:rPr>
        <w:t>n vencidas, ello, sumado que e</w:t>
      </w:r>
      <w:r w:rsidR="00F81A55">
        <w:rPr>
          <w:rFonts w:cs="Arial"/>
        </w:rPr>
        <w:t>l pago efectuado no se realizó</w:t>
      </w:r>
      <w:r w:rsidR="008153ED">
        <w:rPr>
          <w:rFonts w:cs="Arial"/>
        </w:rPr>
        <w:t xml:space="preserve"> </w:t>
      </w:r>
      <w:r w:rsidR="00494DA7">
        <w:rPr>
          <w:rFonts w:cs="Arial"/>
        </w:rPr>
        <w:t xml:space="preserve">ni </w:t>
      </w:r>
      <w:r w:rsidR="008153ED">
        <w:rPr>
          <w:rFonts w:cs="Arial"/>
        </w:rPr>
        <w:t>por el valor acordado</w:t>
      </w:r>
      <w:r w:rsidR="00494DA7">
        <w:rPr>
          <w:rFonts w:cs="Arial"/>
        </w:rPr>
        <w:t xml:space="preserve"> ni muchos menos en las fechas pactadas</w:t>
      </w:r>
      <w:r w:rsidR="00B518FC">
        <w:rPr>
          <w:rFonts w:cs="Arial"/>
        </w:rPr>
        <w:t xml:space="preserve">. </w:t>
      </w:r>
      <w:r>
        <w:rPr>
          <w:rFonts w:cs="Arial"/>
        </w:rPr>
        <w:t xml:space="preserve">En razón de ello, no puede deducirse de la prueba documental aportada </w:t>
      </w:r>
      <w:r w:rsidRPr="00F8170E">
        <w:rPr>
          <w:rFonts w:cs="Arial"/>
        </w:rPr>
        <w:t xml:space="preserve">el cumplimiento de las obligaciones contenidas en </w:t>
      </w:r>
      <w:r w:rsidR="008153ED">
        <w:rPr>
          <w:rFonts w:cs="Arial"/>
        </w:rPr>
        <w:t>el título ejecutivo</w:t>
      </w:r>
      <w:r w:rsidR="00494DA7">
        <w:rPr>
          <w:rFonts w:cs="Arial"/>
        </w:rPr>
        <w:t xml:space="preserve"> objeto de ejecución, </w:t>
      </w:r>
      <w:r w:rsidR="00494DA7">
        <w:rPr>
          <w:rFonts w:cs="Arial"/>
          <w:i/>
        </w:rPr>
        <w:t xml:space="preserve">máxime, </w:t>
      </w:r>
      <w:r w:rsidR="00494DA7">
        <w:rPr>
          <w:rFonts w:cs="Arial"/>
        </w:rPr>
        <w:t xml:space="preserve">cuando </w:t>
      </w:r>
      <w:r w:rsidR="00355C7F">
        <w:rPr>
          <w:rFonts w:cs="Arial"/>
        </w:rPr>
        <w:t>la</w:t>
      </w:r>
      <w:r w:rsidR="00494DA7">
        <w:rPr>
          <w:rFonts w:cs="Arial"/>
        </w:rPr>
        <w:t xml:space="preserve"> primera </w:t>
      </w:r>
      <w:r w:rsidR="00355C7F">
        <w:rPr>
          <w:rFonts w:cs="Arial"/>
        </w:rPr>
        <w:t xml:space="preserve">cuota </w:t>
      </w:r>
      <w:r w:rsidR="00494DA7">
        <w:rPr>
          <w:rFonts w:cs="Arial"/>
        </w:rPr>
        <w:t xml:space="preserve">se pactó para el 15 de diciembre de 2015, y </w:t>
      </w:r>
      <w:r w:rsidR="00F81A55">
        <w:rPr>
          <w:rFonts w:cs="Arial"/>
        </w:rPr>
        <w:t xml:space="preserve">  el primer pago tuvo</w:t>
      </w:r>
      <w:r w:rsidR="00494DA7">
        <w:rPr>
          <w:rFonts w:cs="Arial"/>
        </w:rPr>
        <w:t xml:space="preserve"> lugar el 01 de febrero de 2016</w:t>
      </w:r>
      <w:r w:rsidR="00F81A55">
        <w:rPr>
          <w:rFonts w:cs="Arial"/>
        </w:rPr>
        <w:t xml:space="preserve">, como fue indicado y </w:t>
      </w:r>
      <w:r w:rsidR="00494DA7">
        <w:rPr>
          <w:rFonts w:cs="Arial"/>
        </w:rPr>
        <w:t xml:space="preserve"> por valor inferior al acordado, esto sumado, a que los pagos realizados se efectuaron de manera intermitente y por fuera de los límites temporales señalado</w:t>
      </w:r>
      <w:r w:rsidR="00355C7F">
        <w:rPr>
          <w:rFonts w:cs="Arial"/>
        </w:rPr>
        <w:t>s</w:t>
      </w:r>
      <w:r w:rsidR="00494DA7">
        <w:rPr>
          <w:rFonts w:cs="Arial"/>
        </w:rPr>
        <w:t xml:space="preserve"> en el acta de conciliación objeto de debate (fls. 132 al 143).</w:t>
      </w:r>
    </w:p>
    <w:p w14:paraId="32874AEA" w14:textId="77777777" w:rsidR="00AF33F1" w:rsidRPr="00F8170E" w:rsidRDefault="00AF33F1" w:rsidP="00AF33F1">
      <w:pPr>
        <w:spacing w:line="360" w:lineRule="auto"/>
        <w:ind w:firstLine="708"/>
        <w:rPr>
          <w:rFonts w:cs="Arial"/>
        </w:rPr>
      </w:pPr>
    </w:p>
    <w:p w14:paraId="0B51C79B" w14:textId="77777777" w:rsidR="00F81A55" w:rsidRDefault="00F81A55" w:rsidP="00F81A55">
      <w:pPr>
        <w:spacing w:line="360" w:lineRule="auto"/>
        <w:ind w:right="-232"/>
        <w:rPr>
          <w:rFonts w:cs="Arial"/>
        </w:rPr>
      </w:pPr>
      <w:r>
        <w:rPr>
          <w:rFonts w:cs="Arial"/>
        </w:rPr>
        <w:t xml:space="preserve"> </w:t>
      </w:r>
      <w:r w:rsidRPr="00C241BC">
        <w:rPr>
          <w:rFonts w:cs="Arial"/>
        </w:rPr>
        <w:t xml:space="preserve">Como no se desvirtuó la mora aducida por la parte actora ni se demostró el pago, es menester </w:t>
      </w:r>
      <w:r w:rsidR="009F6462">
        <w:rPr>
          <w:rFonts w:cs="Arial"/>
        </w:rPr>
        <w:t xml:space="preserve"> </w:t>
      </w:r>
      <w:r w:rsidRPr="00C241BC">
        <w:rPr>
          <w:rFonts w:cs="Arial"/>
        </w:rPr>
        <w:t>declarar imprósperas las excepciones de mérito, ordenar seguir adelant</w:t>
      </w:r>
      <w:r>
        <w:rPr>
          <w:rFonts w:cs="Arial"/>
        </w:rPr>
        <w:t>e</w:t>
      </w:r>
      <w:r w:rsidRPr="00C241BC">
        <w:rPr>
          <w:rFonts w:cs="Arial"/>
        </w:rPr>
        <w:t xml:space="preserve"> la ejecución en la forma establecida en el mandamiento de pago e imputar al momento de la liquidación los abonos de acuerdo a  lo dispuesto e</w:t>
      </w:r>
      <w:r>
        <w:rPr>
          <w:rFonts w:cs="Arial"/>
        </w:rPr>
        <w:t>n</w:t>
      </w:r>
      <w:r w:rsidRPr="00C241BC">
        <w:rPr>
          <w:rFonts w:cs="Arial"/>
        </w:rPr>
        <w:t xml:space="preserve"> el artículo 1653 del  C. Civil,    ordenar la liquidación del crédito en</w:t>
      </w:r>
      <w:r>
        <w:rPr>
          <w:rFonts w:cs="Arial"/>
        </w:rPr>
        <w:t xml:space="preserve"> </w:t>
      </w:r>
      <w:r w:rsidRPr="00C241BC">
        <w:rPr>
          <w:rFonts w:cs="Arial"/>
        </w:rPr>
        <w:t>la forma establecida en</w:t>
      </w:r>
      <w:r>
        <w:rPr>
          <w:rFonts w:cs="Arial"/>
        </w:rPr>
        <w:t xml:space="preserve"> e</w:t>
      </w:r>
      <w:r w:rsidRPr="00C241BC">
        <w:rPr>
          <w:rFonts w:cs="Arial"/>
        </w:rPr>
        <w:t xml:space="preserve">l artículo </w:t>
      </w:r>
      <w:r>
        <w:rPr>
          <w:rFonts w:cs="Arial"/>
        </w:rPr>
        <w:t xml:space="preserve">  446 ibídem,  s</w:t>
      </w:r>
      <w:r w:rsidRPr="00C241BC">
        <w:rPr>
          <w:rFonts w:cs="Arial"/>
        </w:rPr>
        <w:t>e ordenará que con el producto de los bienes embargados o que se llegaren a embargar al demandado, se cancele el crédito y las costas y se condenará en costas al demandado.   Como agencias en derecho se señalará  suma de</w:t>
      </w:r>
      <w:r w:rsidR="00CD419E">
        <w:rPr>
          <w:rFonts w:cs="Arial"/>
        </w:rPr>
        <w:t xml:space="preserve"> $6.000.000.</w:t>
      </w:r>
    </w:p>
    <w:p w14:paraId="5B633B8E" w14:textId="77777777" w:rsidR="009F6462" w:rsidRDefault="009F6462" w:rsidP="009F6462">
      <w:pPr>
        <w:spacing w:line="360" w:lineRule="auto"/>
        <w:ind w:right="-232"/>
        <w:jc w:val="center"/>
        <w:rPr>
          <w:rFonts w:cs="Arial"/>
        </w:rPr>
      </w:pPr>
    </w:p>
    <w:p w14:paraId="08F0A3E9" w14:textId="77777777" w:rsidR="009F6462" w:rsidRPr="00643C36" w:rsidRDefault="009F6462" w:rsidP="009F6462">
      <w:pPr>
        <w:spacing w:line="360" w:lineRule="auto"/>
        <w:jc w:val="center"/>
        <w:rPr>
          <w:rFonts w:cs="Arial"/>
          <w:b/>
        </w:rPr>
      </w:pPr>
      <w:r w:rsidRPr="00643C36">
        <w:rPr>
          <w:rFonts w:cs="Arial"/>
          <w:b/>
        </w:rPr>
        <w:t>CALIFICACIÓN DE LA CONDUCTA PROCESAL DE LAS PARTES.</w:t>
      </w:r>
    </w:p>
    <w:p w14:paraId="12CCD5A6" w14:textId="77777777" w:rsidR="009F6462" w:rsidRPr="00643C36" w:rsidRDefault="009F6462" w:rsidP="009F6462">
      <w:pPr>
        <w:spacing w:line="360" w:lineRule="auto"/>
        <w:rPr>
          <w:rFonts w:cs="Arial"/>
        </w:rPr>
      </w:pPr>
    </w:p>
    <w:p w14:paraId="572CF707" w14:textId="77777777" w:rsidR="009F6462" w:rsidRDefault="009F6462" w:rsidP="009F6462">
      <w:pPr>
        <w:spacing w:line="360" w:lineRule="auto"/>
        <w:rPr>
          <w:rFonts w:cs="Arial"/>
        </w:rPr>
      </w:pPr>
      <w:r w:rsidRPr="00643C36">
        <w:rPr>
          <w:rFonts w:cs="Arial"/>
        </w:rPr>
        <w:t>El artículo 280 del C. G. del Proceso establece la obligación para el Juez de calificar la conducta procesal de las partes para, de ser el caso, deducir indicios de ella; pues bien, en el presente caso ninguna de las conductas procesales desplegadas dejan ver indicio alguno que pueda revestir alguna incidencia, de cara al sustento ju</w:t>
      </w:r>
      <w:r>
        <w:rPr>
          <w:rFonts w:cs="Arial"/>
        </w:rPr>
        <w:t>rídico de la presente decisión.</w:t>
      </w:r>
    </w:p>
    <w:p w14:paraId="730DAA72" w14:textId="77777777" w:rsidR="009F6462" w:rsidRDefault="009F6462" w:rsidP="00F81A55">
      <w:pPr>
        <w:spacing w:line="360" w:lineRule="auto"/>
        <w:ind w:right="-232"/>
        <w:rPr>
          <w:rFonts w:cs="Arial"/>
        </w:rPr>
      </w:pPr>
    </w:p>
    <w:p w14:paraId="6E50CE9F" w14:textId="77777777" w:rsidR="0009680D" w:rsidRPr="001541B8" w:rsidRDefault="0009680D" w:rsidP="0009680D">
      <w:pPr>
        <w:spacing w:line="360" w:lineRule="auto"/>
        <w:rPr>
          <w:rFonts w:cs="Arial"/>
          <w:iCs/>
        </w:rPr>
      </w:pPr>
    </w:p>
    <w:p w14:paraId="2D13A9AA" w14:textId="77777777" w:rsidR="00671038" w:rsidRDefault="009F6462" w:rsidP="00942DE6">
      <w:pPr>
        <w:widowControl w:val="0"/>
        <w:autoSpaceDE w:val="0"/>
        <w:autoSpaceDN w:val="0"/>
        <w:adjustRightInd w:val="0"/>
        <w:spacing w:line="360" w:lineRule="auto"/>
        <w:ind w:hanging="27"/>
        <w:jc w:val="center"/>
        <w:rPr>
          <w:rFonts w:cs="Arial"/>
          <w:bCs/>
          <w:color w:val="000000"/>
        </w:rPr>
      </w:pPr>
      <w:r>
        <w:rPr>
          <w:rFonts w:cs="Arial"/>
          <w:iCs/>
        </w:rPr>
        <w:t xml:space="preserve"> </w:t>
      </w:r>
    </w:p>
    <w:p w14:paraId="6660BAFE" w14:textId="77777777" w:rsidR="00942DE6" w:rsidRPr="009865CC" w:rsidRDefault="00942DE6" w:rsidP="00942DE6">
      <w:pPr>
        <w:widowControl w:val="0"/>
        <w:autoSpaceDE w:val="0"/>
        <w:autoSpaceDN w:val="0"/>
        <w:adjustRightInd w:val="0"/>
        <w:spacing w:line="360" w:lineRule="auto"/>
        <w:ind w:hanging="27"/>
        <w:jc w:val="center"/>
        <w:rPr>
          <w:rFonts w:cs="Arial"/>
          <w:b/>
          <w:bCs/>
          <w:color w:val="000000"/>
        </w:rPr>
      </w:pPr>
      <w:r w:rsidRPr="009865CC">
        <w:rPr>
          <w:rFonts w:cs="Arial"/>
          <w:b/>
          <w:bCs/>
          <w:color w:val="000000"/>
        </w:rPr>
        <w:t>4. DECISIÓN</w:t>
      </w:r>
    </w:p>
    <w:p w14:paraId="27F2931E" w14:textId="77777777" w:rsidR="00671038" w:rsidRDefault="00671038" w:rsidP="00942DE6">
      <w:pPr>
        <w:widowControl w:val="0"/>
        <w:autoSpaceDE w:val="0"/>
        <w:autoSpaceDN w:val="0"/>
        <w:adjustRightInd w:val="0"/>
        <w:spacing w:line="360" w:lineRule="auto"/>
        <w:rPr>
          <w:rFonts w:cs="Arial"/>
          <w:color w:val="000000"/>
        </w:rPr>
      </w:pPr>
    </w:p>
    <w:p w14:paraId="2002AE82" w14:textId="77777777" w:rsidR="00942DE6" w:rsidRDefault="00942DE6" w:rsidP="00942DE6">
      <w:pPr>
        <w:widowControl w:val="0"/>
        <w:autoSpaceDE w:val="0"/>
        <w:autoSpaceDN w:val="0"/>
        <w:adjustRightInd w:val="0"/>
        <w:spacing w:line="360" w:lineRule="auto"/>
        <w:rPr>
          <w:rFonts w:cs="Arial"/>
          <w:color w:val="000000"/>
        </w:rPr>
      </w:pPr>
      <w:r w:rsidRPr="0030030B">
        <w:rPr>
          <w:rFonts w:cs="Arial"/>
          <w:color w:val="000000"/>
        </w:rPr>
        <w:t xml:space="preserve">En razón y mérito de lo expuesto, el </w:t>
      </w:r>
      <w:r w:rsidR="009F6462" w:rsidRPr="009865CC">
        <w:rPr>
          <w:rFonts w:cs="Arial"/>
          <w:b/>
          <w:color w:val="000000"/>
        </w:rPr>
        <w:t>JUZGADO DIECISIETE CIVIL MUNICIPAL DE ORALIDAD  DE MEDELLÍN,</w:t>
      </w:r>
      <w:r w:rsidR="009F6462" w:rsidRPr="0030030B">
        <w:rPr>
          <w:rFonts w:cs="Arial"/>
          <w:color w:val="000000"/>
        </w:rPr>
        <w:t xml:space="preserve"> </w:t>
      </w:r>
      <w:r w:rsidRPr="0030030B">
        <w:rPr>
          <w:rFonts w:cs="Arial"/>
          <w:color w:val="000000"/>
        </w:rPr>
        <w:t>administrando justicia en nombre de la República de Col</w:t>
      </w:r>
      <w:r w:rsidR="009F6462">
        <w:rPr>
          <w:rFonts w:cs="Arial"/>
          <w:color w:val="000000"/>
        </w:rPr>
        <w:t>ombia y por autoridad de la ley,</w:t>
      </w:r>
    </w:p>
    <w:p w14:paraId="21ED6514" w14:textId="77777777" w:rsidR="00671038" w:rsidRDefault="00671038" w:rsidP="00942DE6">
      <w:pPr>
        <w:widowControl w:val="0"/>
        <w:autoSpaceDE w:val="0"/>
        <w:autoSpaceDN w:val="0"/>
        <w:adjustRightInd w:val="0"/>
        <w:spacing w:line="360" w:lineRule="auto"/>
        <w:ind w:hanging="27"/>
        <w:jc w:val="center"/>
        <w:rPr>
          <w:rFonts w:cs="Arial"/>
          <w:bCs/>
          <w:color w:val="000000"/>
        </w:rPr>
      </w:pPr>
    </w:p>
    <w:p w14:paraId="2B4B7E6B" w14:textId="77777777" w:rsidR="00942DE6" w:rsidRPr="009865CC" w:rsidRDefault="00942DE6" w:rsidP="00942DE6">
      <w:pPr>
        <w:widowControl w:val="0"/>
        <w:autoSpaceDE w:val="0"/>
        <w:autoSpaceDN w:val="0"/>
        <w:adjustRightInd w:val="0"/>
        <w:spacing w:line="360" w:lineRule="auto"/>
        <w:ind w:hanging="27"/>
        <w:jc w:val="center"/>
        <w:rPr>
          <w:rFonts w:cs="Arial"/>
          <w:b/>
          <w:bCs/>
          <w:color w:val="000000"/>
        </w:rPr>
      </w:pPr>
      <w:r w:rsidRPr="009865CC">
        <w:rPr>
          <w:rFonts w:cs="Arial"/>
          <w:b/>
          <w:bCs/>
          <w:color w:val="000000"/>
        </w:rPr>
        <w:t>FALLA:</w:t>
      </w:r>
    </w:p>
    <w:p w14:paraId="0A3D93A9" w14:textId="77777777" w:rsidR="00ED663D" w:rsidRPr="0030030B" w:rsidRDefault="00ED663D" w:rsidP="00942DE6">
      <w:pPr>
        <w:widowControl w:val="0"/>
        <w:autoSpaceDE w:val="0"/>
        <w:autoSpaceDN w:val="0"/>
        <w:adjustRightInd w:val="0"/>
        <w:spacing w:line="360" w:lineRule="auto"/>
        <w:ind w:hanging="27"/>
        <w:jc w:val="center"/>
        <w:rPr>
          <w:rFonts w:cs="Arial"/>
          <w:bCs/>
          <w:color w:val="000000"/>
        </w:rPr>
      </w:pPr>
    </w:p>
    <w:p w14:paraId="77566420" w14:textId="77777777" w:rsidR="0009680D" w:rsidRPr="001541B8" w:rsidRDefault="009F6462" w:rsidP="0009680D">
      <w:pPr>
        <w:spacing w:line="360" w:lineRule="auto"/>
        <w:rPr>
          <w:rFonts w:cs="Arial"/>
          <w:bCs/>
          <w:lang w:val="es-ES_tradnl"/>
        </w:rPr>
      </w:pPr>
      <w:r w:rsidRPr="00E25DFC">
        <w:rPr>
          <w:rFonts w:cs="Arial"/>
          <w:b/>
          <w:bCs/>
        </w:rPr>
        <w:t>PRIMERO.</w:t>
      </w:r>
      <w:r>
        <w:rPr>
          <w:rFonts w:cs="Arial"/>
          <w:bCs/>
        </w:rPr>
        <w:t xml:space="preserve">  </w:t>
      </w:r>
      <w:r w:rsidR="009865CC" w:rsidRPr="009865CC">
        <w:rPr>
          <w:rFonts w:cs="Arial"/>
          <w:b/>
          <w:bCs/>
        </w:rPr>
        <w:t>DECLARAR NO</w:t>
      </w:r>
      <w:r w:rsidR="009865CC" w:rsidRPr="009865CC">
        <w:rPr>
          <w:rFonts w:cs="Arial"/>
          <w:b/>
          <w:bCs/>
          <w:lang w:val="es-ES_tradnl"/>
        </w:rPr>
        <w:t xml:space="preserve"> PROBADAS</w:t>
      </w:r>
      <w:r w:rsidR="009865CC" w:rsidRPr="001541B8">
        <w:rPr>
          <w:rFonts w:cs="Arial"/>
          <w:bCs/>
          <w:lang w:val="es-ES_tradnl"/>
        </w:rPr>
        <w:t xml:space="preserve"> </w:t>
      </w:r>
      <w:r w:rsidR="0009680D" w:rsidRPr="001541B8">
        <w:rPr>
          <w:rFonts w:cs="Arial"/>
          <w:bCs/>
          <w:lang w:val="es-ES_tradnl"/>
        </w:rPr>
        <w:t>las excepciones</w:t>
      </w:r>
      <w:r w:rsidR="00E25DFC">
        <w:rPr>
          <w:rFonts w:cs="Arial"/>
          <w:bCs/>
          <w:lang w:val="es-ES_tradnl"/>
        </w:rPr>
        <w:t xml:space="preserve"> de mérito </w:t>
      </w:r>
      <w:r w:rsidR="0009680D" w:rsidRPr="001541B8">
        <w:rPr>
          <w:rFonts w:cs="Arial"/>
          <w:bCs/>
          <w:lang w:val="es-ES_tradnl"/>
        </w:rPr>
        <w:t xml:space="preserve">propuestas por la parte demandada, </w:t>
      </w:r>
      <w:r w:rsidR="00E25DFC">
        <w:rPr>
          <w:rFonts w:cs="Arial"/>
          <w:bCs/>
          <w:lang w:val="es-ES_tradnl"/>
        </w:rPr>
        <w:t xml:space="preserve"> de acuerdo a los </w:t>
      </w:r>
      <w:r w:rsidR="009865CC">
        <w:rPr>
          <w:rFonts w:cs="Arial"/>
          <w:bCs/>
          <w:lang w:val="es-ES_tradnl"/>
        </w:rPr>
        <w:t>argumentos</w:t>
      </w:r>
      <w:r w:rsidR="00E25DFC">
        <w:rPr>
          <w:rFonts w:cs="Arial"/>
          <w:bCs/>
          <w:lang w:val="es-ES_tradnl"/>
        </w:rPr>
        <w:t xml:space="preserve"> </w:t>
      </w:r>
      <w:r w:rsidR="009865CC">
        <w:rPr>
          <w:rFonts w:cs="Arial"/>
          <w:bCs/>
          <w:lang w:val="es-ES_tradnl"/>
        </w:rPr>
        <w:t>expuestos</w:t>
      </w:r>
      <w:r w:rsidR="00E25DFC">
        <w:rPr>
          <w:rFonts w:cs="Arial"/>
          <w:bCs/>
          <w:lang w:val="es-ES_tradnl"/>
        </w:rPr>
        <w:t xml:space="preserve"> en la parte motiva. </w:t>
      </w:r>
      <w:r w:rsidR="0009680D" w:rsidRPr="001541B8">
        <w:rPr>
          <w:rFonts w:cs="Arial"/>
          <w:bCs/>
          <w:lang w:val="es-ES_tradnl"/>
        </w:rPr>
        <w:t xml:space="preserve">  </w:t>
      </w:r>
    </w:p>
    <w:p w14:paraId="484C267F" w14:textId="77777777" w:rsidR="00671038" w:rsidRDefault="00671038" w:rsidP="0009680D">
      <w:pPr>
        <w:spacing w:line="360" w:lineRule="auto"/>
        <w:rPr>
          <w:rFonts w:cs="Arial"/>
        </w:rPr>
      </w:pPr>
    </w:p>
    <w:p w14:paraId="2C6DAE2E" w14:textId="77777777" w:rsidR="0009680D" w:rsidRPr="001541B8" w:rsidRDefault="00E25DFC" w:rsidP="0009680D">
      <w:pPr>
        <w:spacing w:line="360" w:lineRule="auto"/>
        <w:rPr>
          <w:rFonts w:cs="Arial"/>
        </w:rPr>
      </w:pPr>
      <w:r w:rsidRPr="00E25DFC">
        <w:rPr>
          <w:rFonts w:cs="Arial"/>
          <w:b/>
        </w:rPr>
        <w:t>SEGUNDO:</w:t>
      </w:r>
      <w:r w:rsidRPr="001541B8">
        <w:rPr>
          <w:rFonts w:cs="Arial"/>
        </w:rPr>
        <w:t xml:space="preserve"> </w:t>
      </w:r>
      <w:r w:rsidRPr="009865CC">
        <w:rPr>
          <w:rFonts w:cs="Arial"/>
          <w:b/>
          <w:bCs/>
          <w:lang w:val="es-ES_tradnl"/>
        </w:rPr>
        <w:t>ORDENA</w:t>
      </w:r>
      <w:r w:rsidRPr="001541B8">
        <w:rPr>
          <w:rFonts w:cs="Arial"/>
          <w:bCs/>
          <w:lang w:val="es-ES_tradnl"/>
        </w:rPr>
        <w:t xml:space="preserve"> </w:t>
      </w:r>
      <w:r w:rsidRPr="001541B8">
        <w:rPr>
          <w:rFonts w:cs="Arial"/>
          <w:lang w:val="es-ES_tradnl"/>
        </w:rPr>
        <w:t xml:space="preserve">SEGUIR ADELANTE CON LA EJECUCIÓN </w:t>
      </w:r>
      <w:r w:rsidR="0009680D" w:rsidRPr="001541B8">
        <w:rPr>
          <w:rFonts w:cs="Arial"/>
        </w:rPr>
        <w:t>en los términos conte</w:t>
      </w:r>
      <w:r>
        <w:rPr>
          <w:rFonts w:cs="Arial"/>
        </w:rPr>
        <w:t xml:space="preserve">nidos en el mandamiento de pago de fecha 16 de enero de 2019 a favor de </w:t>
      </w:r>
      <w:r w:rsidRPr="009865CC">
        <w:rPr>
          <w:rFonts w:cs="Arial"/>
          <w:b/>
        </w:rPr>
        <w:t>NESTLE DE COLOMBIA S.A</w:t>
      </w:r>
      <w:r>
        <w:rPr>
          <w:rFonts w:cs="Arial"/>
        </w:rPr>
        <w:t xml:space="preserve"> y en contra de </w:t>
      </w:r>
      <w:r w:rsidRPr="009865CC">
        <w:rPr>
          <w:rFonts w:cs="Arial"/>
          <w:b/>
        </w:rPr>
        <w:t>CLAUDIA P.ATRICIA  GRANDA IBARRA Y WILSON DE JESUS MEJIA MEJIA.</w:t>
      </w:r>
      <w:r>
        <w:rPr>
          <w:rFonts w:cs="Arial"/>
        </w:rPr>
        <w:t xml:space="preserve"> </w:t>
      </w:r>
    </w:p>
    <w:p w14:paraId="06BFDE9A" w14:textId="77777777" w:rsidR="00671038" w:rsidRDefault="00671038" w:rsidP="0009680D">
      <w:pPr>
        <w:spacing w:line="360" w:lineRule="auto"/>
        <w:rPr>
          <w:rFonts w:cs="Arial"/>
        </w:rPr>
      </w:pPr>
    </w:p>
    <w:p w14:paraId="09CB5CCA" w14:textId="77777777" w:rsidR="0009680D" w:rsidRPr="001541B8" w:rsidRDefault="00E25DFC" w:rsidP="0009680D">
      <w:pPr>
        <w:spacing w:line="360" w:lineRule="auto"/>
        <w:rPr>
          <w:rFonts w:cs="Arial"/>
        </w:rPr>
      </w:pPr>
      <w:r w:rsidRPr="009865CC">
        <w:rPr>
          <w:rFonts w:cs="Arial"/>
          <w:b/>
        </w:rPr>
        <w:t xml:space="preserve">TERCERO: </w:t>
      </w:r>
      <w:r w:rsidR="0009680D" w:rsidRPr="009865CC">
        <w:rPr>
          <w:rFonts w:cs="Arial"/>
          <w:b/>
        </w:rPr>
        <w:t>ORDENAR</w:t>
      </w:r>
      <w:r w:rsidR="0009680D" w:rsidRPr="001541B8">
        <w:rPr>
          <w:rFonts w:cs="Arial"/>
        </w:rPr>
        <w:t xml:space="preserve"> la venta en pública subasta de los bienes que se llagaren a embargar previo secuestro y avaluó del mismo, para que con su producto se pague al ejecutante el valor del crédito, junto con sus intereses y las costas del proceso.</w:t>
      </w:r>
    </w:p>
    <w:p w14:paraId="59B3769E" w14:textId="77777777" w:rsidR="00671038" w:rsidRDefault="00671038" w:rsidP="0009680D">
      <w:pPr>
        <w:spacing w:line="360" w:lineRule="auto"/>
        <w:rPr>
          <w:rFonts w:cs="Arial"/>
          <w:bCs/>
          <w:lang w:val="es-ES_tradnl"/>
        </w:rPr>
      </w:pPr>
    </w:p>
    <w:p w14:paraId="54DA5EF1" w14:textId="77777777" w:rsidR="00E25DFC" w:rsidRDefault="00E25DFC" w:rsidP="00E25DFC">
      <w:pPr>
        <w:spacing w:line="360" w:lineRule="auto"/>
        <w:rPr>
          <w:rFonts w:cs="Arial"/>
        </w:rPr>
      </w:pPr>
      <w:r w:rsidRPr="00E25DFC">
        <w:rPr>
          <w:rFonts w:cs="Arial"/>
          <w:b/>
          <w:bCs/>
          <w:lang w:val="es-ES_tradnl"/>
        </w:rPr>
        <w:t>CUARTO:</w:t>
      </w:r>
      <w:r w:rsidRPr="001541B8">
        <w:rPr>
          <w:rFonts w:cs="Arial"/>
          <w:bCs/>
          <w:lang w:val="es-ES_tradnl"/>
        </w:rPr>
        <w:t xml:space="preserve"> </w:t>
      </w:r>
      <w:r w:rsidRPr="00905FD7">
        <w:rPr>
          <w:rFonts w:cs="Arial"/>
          <w:b/>
        </w:rPr>
        <w:t>ORDENAR</w:t>
      </w:r>
      <w:r w:rsidRPr="00D10589">
        <w:rPr>
          <w:rFonts w:cs="Arial"/>
        </w:rPr>
        <w:t xml:space="preserve"> a las partes que realicen y presenten al Despacho la liquidación del crédito, conforme lo</w:t>
      </w:r>
      <w:r>
        <w:rPr>
          <w:rFonts w:cs="Arial"/>
        </w:rPr>
        <w:t xml:space="preserve"> dispone el artículo 446 C.G.P.</w:t>
      </w:r>
      <w:r w:rsidRPr="00D10589">
        <w:rPr>
          <w:rFonts w:cs="Arial"/>
        </w:rPr>
        <w:t xml:space="preserve"> </w:t>
      </w:r>
      <w:r w:rsidRPr="00C241BC">
        <w:rPr>
          <w:rFonts w:cs="Arial"/>
        </w:rPr>
        <w:t>En la primera oportunidad</w:t>
      </w:r>
      <w:r>
        <w:rPr>
          <w:rFonts w:cs="Arial"/>
        </w:rPr>
        <w:t>,</w:t>
      </w:r>
      <w:r w:rsidRPr="00C241BC">
        <w:rPr>
          <w:rFonts w:cs="Arial"/>
        </w:rPr>
        <w:t xml:space="preserve"> </w:t>
      </w:r>
      <w:r w:rsidRPr="00E25DFC">
        <w:rPr>
          <w:rFonts w:cs="Arial"/>
          <w:b/>
        </w:rPr>
        <w:t xml:space="preserve">se imputarán como abonos los pagos realizados con </w:t>
      </w:r>
      <w:r w:rsidRPr="00E25DFC">
        <w:rPr>
          <w:rFonts w:cs="Arial"/>
          <w:b/>
        </w:rPr>
        <w:lastRenderedPageBreak/>
        <w:t xml:space="preserve">posterioridad a la presentación de la demanda, </w:t>
      </w:r>
      <w:r>
        <w:rPr>
          <w:rFonts w:cs="Arial"/>
        </w:rPr>
        <w:t>d</w:t>
      </w:r>
      <w:r w:rsidRPr="00C241BC">
        <w:rPr>
          <w:rFonts w:cs="Arial"/>
        </w:rPr>
        <w:t>ando aplicación al artículo 1653 del Código</w:t>
      </w:r>
      <w:r>
        <w:rPr>
          <w:rFonts w:cs="Arial"/>
        </w:rPr>
        <w:t>.</w:t>
      </w:r>
    </w:p>
    <w:p w14:paraId="587931B2" w14:textId="77777777" w:rsidR="00E25DFC" w:rsidRDefault="00E25DFC" w:rsidP="00E25DFC">
      <w:pPr>
        <w:spacing w:line="360" w:lineRule="auto"/>
        <w:rPr>
          <w:rFonts w:cs="Arial"/>
          <w:bCs/>
          <w:lang w:val="es-ES_tradnl"/>
        </w:rPr>
      </w:pPr>
    </w:p>
    <w:p w14:paraId="3C7453F4" w14:textId="77777777" w:rsidR="0009680D" w:rsidRPr="001541B8" w:rsidRDefault="00E25DFC" w:rsidP="0009680D">
      <w:pPr>
        <w:spacing w:line="360" w:lineRule="auto"/>
        <w:rPr>
          <w:rFonts w:cs="Arial"/>
        </w:rPr>
      </w:pPr>
      <w:r w:rsidRPr="00E25DFC">
        <w:rPr>
          <w:rFonts w:cs="Arial"/>
          <w:b/>
        </w:rPr>
        <w:t>QUINTO.</w:t>
      </w:r>
      <w:r w:rsidRPr="001541B8">
        <w:rPr>
          <w:rFonts w:cs="Arial"/>
        </w:rPr>
        <w:t xml:space="preserve"> </w:t>
      </w:r>
      <w:r w:rsidR="0009680D" w:rsidRPr="001541B8">
        <w:rPr>
          <w:rFonts w:cs="Arial"/>
        </w:rPr>
        <w:t>Condenar en costas a la parte ejecutada. De conformidad con lo establecido en el artículo 366 numerales 3 y 4 del C.G.P, se fijan como AGENCIAS EN</w:t>
      </w:r>
      <w:r w:rsidR="00CD419E">
        <w:rPr>
          <w:rFonts w:cs="Arial"/>
        </w:rPr>
        <w:t xml:space="preserve"> DERECHO la suma de $6.000.000.</w:t>
      </w:r>
    </w:p>
    <w:p w14:paraId="55C58CC2" w14:textId="77777777" w:rsidR="00671038" w:rsidRDefault="00671038" w:rsidP="00942DE6">
      <w:pPr>
        <w:spacing w:line="360" w:lineRule="auto"/>
        <w:jc w:val="center"/>
        <w:rPr>
          <w:rFonts w:cs="Arial"/>
        </w:rPr>
      </w:pPr>
    </w:p>
    <w:p w14:paraId="16B5D581" w14:textId="77777777" w:rsidR="003D5FBC" w:rsidRDefault="003D5FBC" w:rsidP="00942DE6">
      <w:pPr>
        <w:spacing w:line="360" w:lineRule="auto"/>
        <w:jc w:val="center"/>
        <w:rPr>
          <w:rFonts w:cs="Arial"/>
        </w:rPr>
      </w:pPr>
    </w:p>
    <w:p w14:paraId="58CC8656" w14:textId="62C83BFF" w:rsidR="00942DE6" w:rsidRDefault="00942DE6" w:rsidP="00942DE6">
      <w:pPr>
        <w:spacing w:line="360" w:lineRule="auto"/>
        <w:jc w:val="center"/>
        <w:rPr>
          <w:rFonts w:cs="Arial"/>
        </w:rPr>
      </w:pPr>
      <w:r w:rsidRPr="003D5FBC">
        <w:rPr>
          <w:rFonts w:cs="Arial"/>
        </w:rPr>
        <w:t xml:space="preserve">NOTIFÍQUESE  </w:t>
      </w:r>
    </w:p>
    <w:p w14:paraId="36B289E4" w14:textId="7A60CB03" w:rsidR="001C63CE" w:rsidRDefault="001C63CE" w:rsidP="001C63CE">
      <w:pPr>
        <w:spacing w:line="360" w:lineRule="auto"/>
        <w:rPr>
          <w:rFonts w:cs="Arial"/>
        </w:rPr>
      </w:pPr>
    </w:p>
    <w:p w14:paraId="6E593476" w14:textId="2DA6B8CB" w:rsidR="001C63CE" w:rsidRDefault="001C63CE" w:rsidP="001C63CE">
      <w:pPr>
        <w:spacing w:line="360" w:lineRule="auto"/>
        <w:rPr>
          <w:rFonts w:cs="Arial"/>
        </w:rPr>
      </w:pPr>
      <w:r>
        <w:rPr>
          <w:rFonts w:cs="Arial"/>
        </w:rPr>
        <w:t>La Juez,</w:t>
      </w:r>
    </w:p>
    <w:p w14:paraId="394A6E3B" w14:textId="77777777" w:rsidR="003D5FBC" w:rsidRDefault="003D5FBC" w:rsidP="00942DE6">
      <w:pPr>
        <w:spacing w:line="360" w:lineRule="auto"/>
        <w:jc w:val="center"/>
        <w:rPr>
          <w:rFonts w:cs="Arial"/>
        </w:rPr>
      </w:pPr>
    </w:p>
    <w:p w14:paraId="777390DE" w14:textId="77777777" w:rsidR="003D5FBC" w:rsidRPr="003D5FBC" w:rsidRDefault="003D5FBC" w:rsidP="00942DE6">
      <w:pPr>
        <w:spacing w:line="360" w:lineRule="auto"/>
        <w:jc w:val="center"/>
        <w:rPr>
          <w:rFonts w:cs="Arial"/>
        </w:rPr>
      </w:pPr>
    </w:p>
    <w:p w14:paraId="12CB0E32" w14:textId="49462973" w:rsidR="00896AE0" w:rsidRDefault="001C63CE" w:rsidP="00896AE0">
      <w:pPr>
        <w:rPr>
          <w:rFonts w:cs="Arial"/>
        </w:rPr>
      </w:pPr>
      <w:r>
        <w:rPr>
          <w:noProof/>
          <w:lang w:val="es-CO" w:eastAsia="es-CO"/>
        </w:rPr>
        <w:drawing>
          <wp:inline distT="0" distB="0" distL="0" distR="0" wp14:anchorId="076D7613" wp14:editId="0D577CD0">
            <wp:extent cx="4695825" cy="12382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5825" cy="1238250"/>
                    </a:xfrm>
                    <a:prstGeom prst="rect">
                      <a:avLst/>
                    </a:prstGeom>
                    <a:noFill/>
                    <a:ln>
                      <a:noFill/>
                    </a:ln>
                  </pic:spPr>
                </pic:pic>
              </a:graphicData>
            </a:graphic>
          </wp:inline>
        </w:drawing>
      </w:r>
    </w:p>
    <w:p w14:paraId="23B10389" w14:textId="37DADFCB" w:rsidR="001C63CE" w:rsidRPr="0030030B" w:rsidRDefault="001C63CE" w:rsidP="00896AE0">
      <w:pPr>
        <w:rPr>
          <w:rFonts w:cs="Arial"/>
        </w:rPr>
      </w:pPr>
      <w:r>
        <w:rPr>
          <w:rFonts w:cs="Arial"/>
        </w:rPr>
        <w:t>1</w:t>
      </w:r>
    </w:p>
    <w:p w14:paraId="12EC5222" w14:textId="77777777" w:rsidR="00CB6E90" w:rsidRPr="0030030B" w:rsidRDefault="00CB6E90" w:rsidP="00896AE0">
      <w:pPr>
        <w:jc w:val="center"/>
        <w:rPr>
          <w:sz w:val="16"/>
          <w:szCs w:val="16"/>
        </w:rPr>
      </w:pPr>
    </w:p>
    <w:sectPr w:rsidR="00CB6E90" w:rsidRPr="0030030B" w:rsidSect="00814BB4">
      <w:headerReference w:type="even" r:id="rId9"/>
      <w:footerReference w:type="default" r:id="rId10"/>
      <w:headerReference w:type="first" r:id="rId11"/>
      <w:footerReference w:type="first" r:id="rId12"/>
      <w:pgSz w:w="12242" w:h="18722" w:code="119"/>
      <w:pgMar w:top="1701" w:right="1701" w:bottom="1418" w:left="1985" w:header="851"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03E9A" w14:textId="77777777" w:rsidR="00246D17" w:rsidRDefault="00246D17">
      <w:r>
        <w:separator/>
      </w:r>
    </w:p>
  </w:endnote>
  <w:endnote w:type="continuationSeparator" w:id="0">
    <w:p w14:paraId="2B72F9F7" w14:textId="77777777" w:rsidR="00246D17" w:rsidRDefault="0024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B4969" w14:textId="5C4FF566" w:rsidR="00960CF2" w:rsidRPr="00226F2E" w:rsidRDefault="00960CF2" w:rsidP="00942DE6">
    <w:pPr>
      <w:pStyle w:val="Piedepgina"/>
      <w:rPr>
        <w:rFonts w:ascii="Garamond" w:hAnsi="Garamond"/>
        <w:b/>
        <w:szCs w:val="16"/>
      </w:rPr>
    </w:pPr>
    <w:r w:rsidRPr="00226F2E">
      <w:rPr>
        <w:rFonts w:ascii="Garamond" w:hAnsi="Garamond"/>
        <w:b/>
        <w:szCs w:val="16"/>
      </w:rPr>
      <w:t xml:space="preserve">Página </w:t>
    </w:r>
    <w:r w:rsidRPr="00226F2E">
      <w:rPr>
        <w:rFonts w:ascii="Garamond" w:hAnsi="Garamond"/>
        <w:b/>
        <w:szCs w:val="16"/>
      </w:rPr>
      <w:fldChar w:fldCharType="begin"/>
    </w:r>
    <w:r w:rsidRPr="00226F2E">
      <w:rPr>
        <w:rFonts w:ascii="Garamond" w:hAnsi="Garamond"/>
        <w:b/>
        <w:szCs w:val="16"/>
      </w:rPr>
      <w:instrText xml:space="preserve"> PAGE </w:instrText>
    </w:r>
    <w:r w:rsidRPr="00226F2E">
      <w:rPr>
        <w:rFonts w:ascii="Garamond" w:hAnsi="Garamond"/>
        <w:b/>
        <w:szCs w:val="16"/>
      </w:rPr>
      <w:fldChar w:fldCharType="separate"/>
    </w:r>
    <w:r w:rsidR="005E1EA1">
      <w:rPr>
        <w:rFonts w:ascii="Garamond" w:hAnsi="Garamond"/>
        <w:b/>
        <w:noProof/>
        <w:szCs w:val="16"/>
      </w:rPr>
      <w:t>13</w:t>
    </w:r>
    <w:r w:rsidRPr="00226F2E">
      <w:rPr>
        <w:rFonts w:ascii="Garamond" w:hAnsi="Garamond"/>
        <w:b/>
        <w:szCs w:val="16"/>
      </w:rPr>
      <w:fldChar w:fldCharType="end"/>
    </w:r>
    <w:r w:rsidRPr="00226F2E">
      <w:rPr>
        <w:rFonts w:ascii="Garamond" w:hAnsi="Garamond"/>
        <w:b/>
        <w:szCs w:val="16"/>
      </w:rPr>
      <w:t xml:space="preserve"> de </w:t>
    </w:r>
    <w:r w:rsidRPr="00226F2E">
      <w:rPr>
        <w:rFonts w:ascii="Garamond" w:hAnsi="Garamond"/>
        <w:b/>
        <w:szCs w:val="16"/>
      </w:rPr>
      <w:fldChar w:fldCharType="begin"/>
    </w:r>
    <w:r w:rsidRPr="00226F2E">
      <w:rPr>
        <w:rFonts w:ascii="Garamond" w:hAnsi="Garamond"/>
        <w:b/>
        <w:szCs w:val="16"/>
      </w:rPr>
      <w:instrText xml:space="preserve"> NUMPAGES </w:instrText>
    </w:r>
    <w:r w:rsidRPr="00226F2E">
      <w:rPr>
        <w:rFonts w:ascii="Garamond" w:hAnsi="Garamond"/>
        <w:b/>
        <w:szCs w:val="16"/>
      </w:rPr>
      <w:fldChar w:fldCharType="separate"/>
    </w:r>
    <w:r w:rsidR="005E1EA1">
      <w:rPr>
        <w:rFonts w:ascii="Garamond" w:hAnsi="Garamond"/>
        <w:b/>
        <w:noProof/>
        <w:szCs w:val="16"/>
      </w:rPr>
      <w:t>13</w:t>
    </w:r>
    <w:r w:rsidRPr="00226F2E">
      <w:rPr>
        <w:rFonts w:ascii="Garamond" w:hAnsi="Garamond"/>
        <w:b/>
        <w:szCs w:val="16"/>
      </w:rPr>
      <w:fldChar w:fldCharType="end"/>
    </w:r>
  </w:p>
  <w:p w14:paraId="6BEC21E0" w14:textId="77777777" w:rsidR="00960CF2" w:rsidRPr="00942DE6" w:rsidRDefault="00960CF2" w:rsidP="00942DE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0D2D0" w14:textId="77777777" w:rsidR="00960CF2" w:rsidRDefault="00960CF2">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74AD3" w14:textId="77777777" w:rsidR="00246D17" w:rsidRDefault="00246D17">
      <w:r>
        <w:separator/>
      </w:r>
    </w:p>
  </w:footnote>
  <w:footnote w:type="continuationSeparator" w:id="0">
    <w:p w14:paraId="7D57CE3D" w14:textId="77777777" w:rsidR="00246D17" w:rsidRDefault="00246D17">
      <w:r>
        <w:continuationSeparator/>
      </w:r>
    </w:p>
  </w:footnote>
  <w:footnote w:id="1">
    <w:p w14:paraId="33334A6B" w14:textId="77777777" w:rsidR="00960CF2" w:rsidRPr="004B0D8E" w:rsidRDefault="00960CF2" w:rsidP="00EA6189">
      <w:pPr>
        <w:pStyle w:val="Textonotapie"/>
        <w:rPr>
          <w:rFonts w:cs="Arial"/>
          <w:sz w:val="18"/>
          <w:szCs w:val="18"/>
          <w:lang w:val="es-CO"/>
        </w:rPr>
      </w:pPr>
      <w:r w:rsidRPr="004B0D8E">
        <w:rPr>
          <w:rStyle w:val="Refdenotaalpie"/>
          <w:rFonts w:ascii="Arial" w:hAnsi="Arial" w:cs="Arial"/>
          <w:sz w:val="18"/>
          <w:szCs w:val="18"/>
        </w:rPr>
        <w:footnoteRef/>
      </w:r>
      <w:r w:rsidRPr="004B0D8E">
        <w:rPr>
          <w:rFonts w:cs="Arial"/>
          <w:sz w:val="18"/>
          <w:szCs w:val="18"/>
        </w:rPr>
        <w:t xml:space="preserve"> La norma en mención expresa: </w:t>
      </w:r>
      <w:r w:rsidRPr="004B0D8E">
        <w:rPr>
          <w:rFonts w:cs="Arial"/>
          <w:bCs/>
          <w:iCs/>
          <w:sz w:val="18"/>
          <w:szCs w:val="18"/>
          <w:shd w:val="clear" w:color="auto" w:fill="FFFFFF"/>
          <w:lang w:val="es-CO" w:eastAsia="es-CO"/>
        </w:rPr>
        <w:t xml:space="preserve">“Clases de providencias. </w:t>
      </w:r>
      <w:r w:rsidRPr="004B0D8E">
        <w:rPr>
          <w:rFonts w:cs="Arial"/>
          <w:sz w:val="18"/>
          <w:szCs w:val="18"/>
          <w:lang w:val="es-CO" w:eastAsia="es-CO"/>
        </w:rPr>
        <w:t>Las providencias del juez pueden ser autos o sentencias. (…) En cualquier estado del proceso, el juez deberá dictar sentencia anticipada, total o parcial, en los siguientes eventos: 1. Cuando las partes o sus apoderados de común acuerdo lo soliciten, sea por iniciativa propia o por sugerencia del juez. 2. Cuando no hubiere pruebas por practicar. 3. Cuando se encuentre probada la cosa juzgada, la transacción, la caducidad, la prescripción extintiva y la carencia de legitimación en la causa.</w:t>
      </w:r>
    </w:p>
  </w:footnote>
  <w:footnote w:id="2">
    <w:p w14:paraId="51BAC8C1" w14:textId="77777777" w:rsidR="00960CF2" w:rsidRPr="004B0D8E" w:rsidRDefault="00960CF2" w:rsidP="00EA6189">
      <w:pPr>
        <w:pStyle w:val="Textonotapie"/>
        <w:spacing w:line="0" w:lineRule="atLeast"/>
        <w:rPr>
          <w:rFonts w:cs="Arial"/>
          <w:sz w:val="18"/>
          <w:szCs w:val="18"/>
          <w:lang w:val="es-CO"/>
        </w:rPr>
      </w:pPr>
      <w:r w:rsidRPr="004B0D8E">
        <w:rPr>
          <w:rStyle w:val="Refdenotaalpie"/>
          <w:rFonts w:ascii="Arial" w:hAnsi="Arial" w:cs="Arial"/>
          <w:sz w:val="18"/>
          <w:szCs w:val="18"/>
        </w:rPr>
        <w:footnoteRef/>
      </w:r>
      <w:r w:rsidRPr="004B0D8E">
        <w:rPr>
          <w:rFonts w:cs="Arial"/>
          <w:sz w:val="18"/>
          <w:szCs w:val="18"/>
        </w:rPr>
        <w:t xml:space="preserve"> Rojas Gómez, Miguel Enrique. Código General del Proceso ley 1564 del 2012.</w:t>
      </w:r>
      <w:r w:rsidRPr="004B0D8E">
        <w:rPr>
          <w:rFonts w:cs="Arial"/>
          <w:sz w:val="18"/>
          <w:szCs w:val="18"/>
          <w:lang w:val="es-CO"/>
        </w:rPr>
        <w:t>Bogotá D.C: Escuela de actualización – ESAJU. 2ª edición 2013. p. 405.</w:t>
      </w:r>
    </w:p>
  </w:footnote>
  <w:footnote w:id="3">
    <w:p w14:paraId="05B484CF" w14:textId="77777777" w:rsidR="00960CF2" w:rsidRPr="004B0D8E" w:rsidRDefault="00960CF2" w:rsidP="00EA6189">
      <w:pPr>
        <w:pStyle w:val="Textonotapie"/>
        <w:rPr>
          <w:rFonts w:cs="Arial"/>
          <w:sz w:val="18"/>
          <w:szCs w:val="18"/>
          <w:lang w:val="es-CO"/>
        </w:rPr>
      </w:pPr>
      <w:r w:rsidRPr="004B0D8E">
        <w:rPr>
          <w:rStyle w:val="Refdenotaalpie"/>
          <w:rFonts w:ascii="Arial" w:hAnsi="Arial" w:cs="Arial"/>
          <w:sz w:val="18"/>
          <w:szCs w:val="18"/>
        </w:rPr>
        <w:footnoteRef/>
      </w:r>
      <w:r w:rsidRPr="004B0D8E">
        <w:rPr>
          <w:rFonts w:cs="Arial"/>
          <w:sz w:val="18"/>
          <w:szCs w:val="18"/>
        </w:rPr>
        <w:t xml:space="preserve"> </w:t>
      </w:r>
      <w:r w:rsidRPr="004B0D8E">
        <w:rPr>
          <w:rFonts w:cs="Arial"/>
          <w:sz w:val="18"/>
          <w:szCs w:val="18"/>
          <w:lang w:val="es-CO"/>
        </w:rPr>
        <w:t xml:space="preserve">Ibíd. </w:t>
      </w:r>
    </w:p>
  </w:footnote>
  <w:footnote w:id="4">
    <w:p w14:paraId="7957B3DD" w14:textId="77777777" w:rsidR="00960CF2" w:rsidRPr="004B0D8E" w:rsidRDefault="00960CF2" w:rsidP="00EA6189">
      <w:pPr>
        <w:pStyle w:val="Textonotapie"/>
        <w:rPr>
          <w:rFonts w:cs="Arial"/>
          <w:sz w:val="18"/>
          <w:szCs w:val="18"/>
          <w:lang w:val="es-CO"/>
        </w:rPr>
      </w:pPr>
      <w:r w:rsidRPr="004B0D8E">
        <w:rPr>
          <w:rStyle w:val="Refdenotaalpie"/>
          <w:rFonts w:ascii="Arial" w:hAnsi="Arial" w:cs="Arial"/>
          <w:sz w:val="18"/>
          <w:szCs w:val="18"/>
        </w:rPr>
        <w:footnoteRef/>
      </w:r>
      <w:r w:rsidRPr="004B0D8E">
        <w:rPr>
          <w:rFonts w:cs="Arial"/>
          <w:sz w:val="18"/>
          <w:szCs w:val="18"/>
        </w:rPr>
        <w:t xml:space="preserve"> http://www.ejrlb.com/docs2016/modulo_procesosdeclarativos_cgp.pdf</w:t>
      </w:r>
    </w:p>
  </w:footnote>
  <w:footnote w:id="5">
    <w:p w14:paraId="349C2E1B" w14:textId="77777777" w:rsidR="00960CF2" w:rsidRPr="004B0D8E" w:rsidRDefault="00960CF2" w:rsidP="002035EE">
      <w:pPr>
        <w:widowControl w:val="0"/>
        <w:rPr>
          <w:rFonts w:cs="Arial"/>
          <w:b/>
          <w:bCs/>
          <w:sz w:val="18"/>
          <w:szCs w:val="18"/>
        </w:rPr>
      </w:pPr>
      <w:r w:rsidRPr="004B0D8E">
        <w:rPr>
          <w:rStyle w:val="Refdenotaalpie"/>
          <w:rFonts w:ascii="Arial" w:hAnsi="Arial" w:cs="Arial"/>
          <w:sz w:val="18"/>
          <w:szCs w:val="18"/>
        </w:rPr>
        <w:footnoteRef/>
      </w:r>
      <w:r w:rsidRPr="004B0D8E">
        <w:rPr>
          <w:rFonts w:cs="Arial"/>
          <w:sz w:val="18"/>
          <w:szCs w:val="18"/>
        </w:rPr>
        <w:t xml:space="preserve"> </w:t>
      </w:r>
      <w:r w:rsidRPr="004B0D8E">
        <w:rPr>
          <w:rFonts w:cs="Arial"/>
          <w:bCs/>
          <w:sz w:val="18"/>
          <w:szCs w:val="18"/>
        </w:rPr>
        <w:t>El artículo 422 del C.G.P. preceptúa que “pueden demandarse ejecutivamente las obligaciones expresas, claras y exigibles  que consten en documentos que provengan del deudor o de su causante  y constituyan plena prueba contra él (…).”.</w:t>
      </w:r>
    </w:p>
  </w:footnote>
  <w:footnote w:id="6">
    <w:p w14:paraId="66A18F5B" w14:textId="77777777" w:rsidR="00960CF2" w:rsidRPr="004B0D8E" w:rsidRDefault="00960CF2" w:rsidP="002035EE">
      <w:pPr>
        <w:pStyle w:val="Textonotapie"/>
        <w:rPr>
          <w:rFonts w:cs="Arial"/>
          <w:sz w:val="18"/>
          <w:szCs w:val="18"/>
        </w:rPr>
      </w:pPr>
      <w:r w:rsidRPr="004B0D8E">
        <w:rPr>
          <w:rStyle w:val="Refdenotaalpie"/>
          <w:rFonts w:ascii="Arial" w:hAnsi="Arial" w:cs="Arial"/>
          <w:sz w:val="18"/>
          <w:szCs w:val="18"/>
        </w:rPr>
        <w:footnoteRef/>
      </w:r>
      <w:r w:rsidRPr="004B0D8E">
        <w:rPr>
          <w:rFonts w:cs="Arial"/>
          <w:sz w:val="18"/>
          <w:szCs w:val="18"/>
          <w:shd w:val="clear" w:color="auto" w:fill="FFFFFF"/>
        </w:rPr>
        <w:t>Sentencia T-283 de 2013. MP. Jorge Ignacio PreteltChaljub.</w:t>
      </w:r>
    </w:p>
  </w:footnote>
  <w:footnote w:id="7">
    <w:p w14:paraId="5F05962F" w14:textId="77777777" w:rsidR="00960CF2" w:rsidRDefault="00960CF2" w:rsidP="002035EE">
      <w:pPr>
        <w:pStyle w:val="Textonotapie"/>
        <w:rPr>
          <w:rFonts w:ascii="Tahoma" w:hAnsi="Tahoma" w:cs="Tahoma"/>
          <w:sz w:val="16"/>
          <w:szCs w:val="16"/>
          <w:lang w:val="es-CO"/>
        </w:rPr>
      </w:pPr>
      <w:r>
        <w:rPr>
          <w:rStyle w:val="Refdenotaalpie"/>
          <w:b/>
        </w:rPr>
        <w:footnoteRef/>
      </w:r>
      <w:r>
        <w:rPr>
          <w:rFonts w:ascii="Tahoma" w:hAnsi="Tahoma" w:cs="Tahoma"/>
          <w:sz w:val="16"/>
          <w:szCs w:val="16"/>
        </w:rPr>
        <w:t xml:space="preserve">. JARAMILLO CASTAÑEDA, Armando. Teoría y práctica de los procesos ejecutivos. 5ª edición. Ediciones Doctrina y Ley Ltda. 2011. P. </w:t>
      </w:r>
      <w:r>
        <w:rPr>
          <w:rFonts w:ascii="Tahoma" w:hAnsi="Tahoma" w:cs="Tahoma"/>
          <w:sz w:val="16"/>
          <w:szCs w:val="16"/>
          <w:lang w:val="es-CO"/>
        </w:rPr>
        <w:t>629</w:t>
      </w:r>
    </w:p>
  </w:footnote>
  <w:footnote w:id="8">
    <w:p w14:paraId="745F7A23" w14:textId="77777777" w:rsidR="00960CF2" w:rsidRPr="004B0D8E" w:rsidRDefault="00960CF2" w:rsidP="002035EE">
      <w:pPr>
        <w:rPr>
          <w:rFonts w:cs="Arial"/>
          <w:sz w:val="18"/>
          <w:szCs w:val="18"/>
        </w:rPr>
      </w:pPr>
      <w:r w:rsidRPr="004B0D8E">
        <w:rPr>
          <w:rStyle w:val="Refdenotaalpie"/>
          <w:rFonts w:ascii="Arial" w:hAnsi="Arial" w:cs="Arial"/>
          <w:sz w:val="18"/>
          <w:szCs w:val="18"/>
        </w:rPr>
        <w:footnoteRef/>
      </w:r>
      <w:r w:rsidRPr="004B0D8E">
        <w:rPr>
          <w:rFonts w:cs="Arial"/>
          <w:sz w:val="18"/>
          <w:szCs w:val="18"/>
        </w:rPr>
        <w:t xml:space="preserve"> C. S. de J. S.C.C. M. P. Edgardo Villamil Portilla. Sentencia del 2 de diciembre de 2009. Exp. 2003-00596-01. </w:t>
      </w:r>
    </w:p>
    <w:p w14:paraId="0DDD9498" w14:textId="77777777" w:rsidR="00960CF2" w:rsidRPr="00360B5B" w:rsidRDefault="00960CF2" w:rsidP="002035EE"/>
    <w:p w14:paraId="089A32B6" w14:textId="77777777" w:rsidR="00960CF2" w:rsidRPr="00162203" w:rsidRDefault="00960CF2" w:rsidP="002035EE">
      <w:pPr>
        <w:pStyle w:val="Textonotapie"/>
        <w:rPr>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68263" w14:textId="77777777" w:rsidR="00960CF2" w:rsidRDefault="00960CF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04E5D6" w14:textId="77777777" w:rsidR="00960CF2" w:rsidRDefault="00960CF2">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3D6D4" w14:textId="77777777" w:rsidR="00960CF2" w:rsidRDefault="00960CF2" w:rsidP="00472E0D">
    <w:pPr>
      <w:pStyle w:val="Ttulo2"/>
    </w:pPr>
    <w:r>
      <w:rPr>
        <w:noProof/>
        <w:lang w:val="es-CO" w:eastAsia="es-CO"/>
      </w:rPr>
      <w:drawing>
        <wp:inline distT="0" distB="0" distL="0" distR="0" wp14:anchorId="2EE8383B" wp14:editId="1DC1E9CE">
          <wp:extent cx="495300" cy="533400"/>
          <wp:effectExtent l="19050" t="0" r="0" b="0"/>
          <wp:docPr id="1" name="Imagen 1" descr="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ma Judicial"/>
                  <pic:cNvPicPr>
                    <a:picLocks noChangeAspect="1" noChangeArrowheads="1"/>
                  </pic:cNvPicPr>
                </pic:nvPicPr>
                <pic:blipFill>
                  <a:blip r:embed="rId1"/>
                  <a:srcRect/>
                  <a:stretch>
                    <a:fillRect/>
                  </a:stretch>
                </pic:blipFill>
                <pic:spPr bwMode="auto">
                  <a:xfrm>
                    <a:off x="0" y="0"/>
                    <a:ext cx="495300" cy="533400"/>
                  </a:xfrm>
                  <a:prstGeom prst="rect">
                    <a:avLst/>
                  </a:prstGeom>
                  <a:noFill/>
                  <a:ln w="9525">
                    <a:noFill/>
                    <a:miter lim="800000"/>
                    <a:headEnd/>
                    <a:tailEnd/>
                  </a:ln>
                </pic:spPr>
              </pic:pic>
            </a:graphicData>
          </a:graphic>
        </wp:inline>
      </w:drawing>
    </w:r>
  </w:p>
  <w:p w14:paraId="240534EB" w14:textId="77777777" w:rsidR="00960CF2" w:rsidRDefault="00960CF2" w:rsidP="00472E0D">
    <w:pPr>
      <w:pStyle w:val="Ttulo2"/>
      <w:rPr>
        <w:sz w:val="22"/>
      </w:rPr>
    </w:pPr>
    <w:r w:rsidRPr="005343C8">
      <w:rPr>
        <w:sz w:val="22"/>
      </w:rPr>
      <w:t>REP</w:t>
    </w:r>
    <w:r>
      <w:rPr>
        <w:sz w:val="22"/>
      </w:rPr>
      <w:t>Ú</w:t>
    </w:r>
    <w:r w:rsidRPr="005343C8">
      <w:rPr>
        <w:sz w:val="22"/>
      </w:rPr>
      <w:t>BLICA DE COLOMBIA</w:t>
    </w:r>
  </w:p>
  <w:p w14:paraId="76CBF428" w14:textId="77777777" w:rsidR="00960CF2" w:rsidRDefault="00960CF2" w:rsidP="00472E0D">
    <w:pPr>
      <w:pStyle w:val="Descripcin"/>
      <w:rPr>
        <w:rFonts w:cs="Arial"/>
        <w:b/>
        <w:i w:val="0"/>
        <w:iCs w:val="0"/>
        <w:sz w:val="22"/>
        <w:lang w:val="es-ES_tradnl"/>
      </w:rPr>
    </w:pPr>
    <w:r>
      <w:rPr>
        <w:rFonts w:cs="Arial"/>
        <w:b/>
        <w:i w:val="0"/>
        <w:iCs w:val="0"/>
        <w:sz w:val="22"/>
      </w:rPr>
      <w:t>Rama Judicial</w:t>
    </w:r>
  </w:p>
  <w:p w14:paraId="0962AC1A" w14:textId="77777777" w:rsidR="00960CF2" w:rsidRPr="00171D4C" w:rsidRDefault="00960CF2" w:rsidP="00472E0D">
    <w:pPr>
      <w:pStyle w:val="Ttulo2"/>
      <w:rPr>
        <w:sz w:val="22"/>
      </w:rPr>
    </w:pPr>
    <w:r>
      <w:rPr>
        <w:sz w:val="22"/>
      </w:rPr>
      <w:t>JUZGADO DIECISIETE CIVIL MUNICIPAL DE MEDELLÍN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2823"/>
    <w:multiLevelType w:val="multilevel"/>
    <w:tmpl w:val="D34CA430"/>
    <w:lvl w:ilvl="0">
      <w:start w:val="1"/>
      <w:numFmt w:val="decimal"/>
      <w:lvlText w:val="%1."/>
      <w:lvlJc w:val="left"/>
      <w:pPr>
        <w:ind w:left="720" w:hanging="360"/>
      </w:pPr>
      <w:rPr>
        <w:rFonts w:hint="default"/>
        <w:b/>
      </w:rPr>
    </w:lvl>
    <w:lvl w:ilvl="1">
      <w:start w:val="1"/>
      <w:numFmt w:val="decimal"/>
      <w:isLgl/>
      <w:lvlText w:val="%1.%2."/>
      <w:lvlJc w:val="left"/>
      <w:pPr>
        <w:ind w:left="2138" w:hanging="720"/>
      </w:pPr>
      <w:rPr>
        <w:rFonts w:hint="default"/>
        <w:b/>
      </w:rPr>
    </w:lvl>
    <w:lvl w:ilvl="2">
      <w:start w:val="1"/>
      <w:numFmt w:val="decimal"/>
      <w:isLgl/>
      <w:lvlText w:val="%1.%2.%3."/>
      <w:lvlJc w:val="left"/>
      <w:pPr>
        <w:ind w:left="3556" w:hanging="1080"/>
      </w:pPr>
      <w:rPr>
        <w:rFonts w:hint="default"/>
        <w:b/>
      </w:rPr>
    </w:lvl>
    <w:lvl w:ilvl="3">
      <w:start w:val="1"/>
      <w:numFmt w:val="decimal"/>
      <w:isLgl/>
      <w:lvlText w:val="%1.%2.%3.%4."/>
      <w:lvlJc w:val="left"/>
      <w:pPr>
        <w:ind w:left="4614" w:hanging="1080"/>
      </w:pPr>
      <w:rPr>
        <w:rFonts w:hint="default"/>
        <w:b/>
      </w:rPr>
    </w:lvl>
    <w:lvl w:ilvl="4">
      <w:start w:val="1"/>
      <w:numFmt w:val="decimal"/>
      <w:isLgl/>
      <w:lvlText w:val="%1.%2.%3.%4.%5."/>
      <w:lvlJc w:val="left"/>
      <w:pPr>
        <w:ind w:left="6032" w:hanging="1440"/>
      </w:pPr>
      <w:rPr>
        <w:rFonts w:hint="default"/>
        <w:b/>
      </w:rPr>
    </w:lvl>
    <w:lvl w:ilvl="5">
      <w:start w:val="1"/>
      <w:numFmt w:val="decimal"/>
      <w:isLgl/>
      <w:lvlText w:val="%1.%2.%3.%4.%5.%6."/>
      <w:lvlJc w:val="left"/>
      <w:pPr>
        <w:ind w:left="7450" w:hanging="1800"/>
      </w:pPr>
      <w:rPr>
        <w:rFonts w:hint="default"/>
        <w:b/>
      </w:rPr>
    </w:lvl>
    <w:lvl w:ilvl="6">
      <w:start w:val="1"/>
      <w:numFmt w:val="decimal"/>
      <w:isLgl/>
      <w:lvlText w:val="%1.%2.%3.%4.%5.%6.%7."/>
      <w:lvlJc w:val="left"/>
      <w:pPr>
        <w:ind w:left="8868" w:hanging="2160"/>
      </w:pPr>
      <w:rPr>
        <w:rFonts w:hint="default"/>
        <w:b/>
      </w:rPr>
    </w:lvl>
    <w:lvl w:ilvl="7">
      <w:start w:val="1"/>
      <w:numFmt w:val="decimal"/>
      <w:isLgl/>
      <w:lvlText w:val="%1.%2.%3.%4.%5.%6.%7.%8."/>
      <w:lvlJc w:val="left"/>
      <w:pPr>
        <w:ind w:left="9926" w:hanging="2160"/>
      </w:pPr>
      <w:rPr>
        <w:rFonts w:hint="default"/>
        <w:b/>
      </w:rPr>
    </w:lvl>
    <w:lvl w:ilvl="8">
      <w:start w:val="1"/>
      <w:numFmt w:val="decimal"/>
      <w:isLgl/>
      <w:lvlText w:val="%1.%2.%3.%4.%5.%6.%7.%8.%9."/>
      <w:lvlJc w:val="left"/>
      <w:pPr>
        <w:ind w:left="11344" w:hanging="252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2B"/>
    <w:rsid w:val="00000718"/>
    <w:rsid w:val="000162A9"/>
    <w:rsid w:val="00026582"/>
    <w:rsid w:val="00030BE3"/>
    <w:rsid w:val="000400C9"/>
    <w:rsid w:val="00042C53"/>
    <w:rsid w:val="00044358"/>
    <w:rsid w:val="0004589F"/>
    <w:rsid w:val="00047F2E"/>
    <w:rsid w:val="000579FD"/>
    <w:rsid w:val="0006098D"/>
    <w:rsid w:val="00074020"/>
    <w:rsid w:val="000831C7"/>
    <w:rsid w:val="00084785"/>
    <w:rsid w:val="000869D1"/>
    <w:rsid w:val="00096360"/>
    <w:rsid w:val="0009680D"/>
    <w:rsid w:val="00097858"/>
    <w:rsid w:val="000C13E2"/>
    <w:rsid w:val="000C1EC6"/>
    <w:rsid w:val="000C5CAA"/>
    <w:rsid w:val="000E2CBF"/>
    <w:rsid w:val="000E3E3E"/>
    <w:rsid w:val="000E4160"/>
    <w:rsid w:val="00104E0B"/>
    <w:rsid w:val="001118BC"/>
    <w:rsid w:val="001125A8"/>
    <w:rsid w:val="00112E8E"/>
    <w:rsid w:val="00120B9F"/>
    <w:rsid w:val="001216FD"/>
    <w:rsid w:val="001225AD"/>
    <w:rsid w:val="00127451"/>
    <w:rsid w:val="0012765A"/>
    <w:rsid w:val="0013014A"/>
    <w:rsid w:val="001415A6"/>
    <w:rsid w:val="001433EC"/>
    <w:rsid w:val="00143A64"/>
    <w:rsid w:val="00143C47"/>
    <w:rsid w:val="00145B00"/>
    <w:rsid w:val="00146372"/>
    <w:rsid w:val="00146E6C"/>
    <w:rsid w:val="001551D8"/>
    <w:rsid w:val="00171D4C"/>
    <w:rsid w:val="00183066"/>
    <w:rsid w:val="00195438"/>
    <w:rsid w:val="001A52CE"/>
    <w:rsid w:val="001B025C"/>
    <w:rsid w:val="001B421A"/>
    <w:rsid w:val="001C2AC4"/>
    <w:rsid w:val="001C32A9"/>
    <w:rsid w:val="001C5B27"/>
    <w:rsid w:val="001C63CE"/>
    <w:rsid w:val="001D0B6D"/>
    <w:rsid w:val="001D7BF9"/>
    <w:rsid w:val="001E44A2"/>
    <w:rsid w:val="001E68AB"/>
    <w:rsid w:val="001F7258"/>
    <w:rsid w:val="001F7DEE"/>
    <w:rsid w:val="00200A26"/>
    <w:rsid w:val="002035EE"/>
    <w:rsid w:val="00214371"/>
    <w:rsid w:val="00217600"/>
    <w:rsid w:val="0021789E"/>
    <w:rsid w:val="00223EDB"/>
    <w:rsid w:val="00226CD6"/>
    <w:rsid w:val="00226EBD"/>
    <w:rsid w:val="00230ADF"/>
    <w:rsid w:val="00230D14"/>
    <w:rsid w:val="0023567D"/>
    <w:rsid w:val="00240AE2"/>
    <w:rsid w:val="002415C8"/>
    <w:rsid w:val="00241BB9"/>
    <w:rsid w:val="00243891"/>
    <w:rsid w:val="00244AC1"/>
    <w:rsid w:val="00246D17"/>
    <w:rsid w:val="00252C69"/>
    <w:rsid w:val="0025390B"/>
    <w:rsid w:val="002543FC"/>
    <w:rsid w:val="00257410"/>
    <w:rsid w:val="00261B04"/>
    <w:rsid w:val="002642E9"/>
    <w:rsid w:val="00271ABE"/>
    <w:rsid w:val="00280B7A"/>
    <w:rsid w:val="00285547"/>
    <w:rsid w:val="002919B0"/>
    <w:rsid w:val="0029434F"/>
    <w:rsid w:val="002958DF"/>
    <w:rsid w:val="002B08DE"/>
    <w:rsid w:val="002B3404"/>
    <w:rsid w:val="002C0EA3"/>
    <w:rsid w:val="002C17A1"/>
    <w:rsid w:val="002C22FD"/>
    <w:rsid w:val="002C51FA"/>
    <w:rsid w:val="002D1B32"/>
    <w:rsid w:val="002D3E2A"/>
    <w:rsid w:val="002E085B"/>
    <w:rsid w:val="002E09B5"/>
    <w:rsid w:val="002E6482"/>
    <w:rsid w:val="002F6D34"/>
    <w:rsid w:val="0030030B"/>
    <w:rsid w:val="003011B2"/>
    <w:rsid w:val="00302E51"/>
    <w:rsid w:val="00303A04"/>
    <w:rsid w:val="00304AF2"/>
    <w:rsid w:val="00306E98"/>
    <w:rsid w:val="00311641"/>
    <w:rsid w:val="00312D7F"/>
    <w:rsid w:val="0032482E"/>
    <w:rsid w:val="0033318C"/>
    <w:rsid w:val="00340CD9"/>
    <w:rsid w:val="00355C7F"/>
    <w:rsid w:val="00356C6F"/>
    <w:rsid w:val="003733AA"/>
    <w:rsid w:val="00373BB2"/>
    <w:rsid w:val="00377B66"/>
    <w:rsid w:val="00380048"/>
    <w:rsid w:val="003A1F50"/>
    <w:rsid w:val="003A3C65"/>
    <w:rsid w:val="003A622A"/>
    <w:rsid w:val="003B1E1B"/>
    <w:rsid w:val="003B6A2D"/>
    <w:rsid w:val="003D0A02"/>
    <w:rsid w:val="003D145B"/>
    <w:rsid w:val="003D5FBC"/>
    <w:rsid w:val="003E16DE"/>
    <w:rsid w:val="003E3DC0"/>
    <w:rsid w:val="003F4A9A"/>
    <w:rsid w:val="003F7E4E"/>
    <w:rsid w:val="004178F8"/>
    <w:rsid w:val="00421075"/>
    <w:rsid w:val="0042133E"/>
    <w:rsid w:val="00422F4A"/>
    <w:rsid w:val="0043467D"/>
    <w:rsid w:val="00435287"/>
    <w:rsid w:val="0043533A"/>
    <w:rsid w:val="00453C44"/>
    <w:rsid w:val="00454239"/>
    <w:rsid w:val="00465A34"/>
    <w:rsid w:val="00472A54"/>
    <w:rsid w:val="00472E0D"/>
    <w:rsid w:val="004837B4"/>
    <w:rsid w:val="00492F2B"/>
    <w:rsid w:val="0049334D"/>
    <w:rsid w:val="00494DA7"/>
    <w:rsid w:val="004B0D8E"/>
    <w:rsid w:val="004B2239"/>
    <w:rsid w:val="004B790C"/>
    <w:rsid w:val="004C00E2"/>
    <w:rsid w:val="004C0F1C"/>
    <w:rsid w:val="004C6B19"/>
    <w:rsid w:val="004D000D"/>
    <w:rsid w:val="004D20EE"/>
    <w:rsid w:val="004D608C"/>
    <w:rsid w:val="004E03FE"/>
    <w:rsid w:val="004E1663"/>
    <w:rsid w:val="004F1BFA"/>
    <w:rsid w:val="004F41C6"/>
    <w:rsid w:val="00510898"/>
    <w:rsid w:val="00511698"/>
    <w:rsid w:val="00512B40"/>
    <w:rsid w:val="00533E64"/>
    <w:rsid w:val="00533EA9"/>
    <w:rsid w:val="00534AAF"/>
    <w:rsid w:val="00534D0E"/>
    <w:rsid w:val="00537D4C"/>
    <w:rsid w:val="00550DF6"/>
    <w:rsid w:val="00573DEE"/>
    <w:rsid w:val="00574605"/>
    <w:rsid w:val="00576361"/>
    <w:rsid w:val="00580E20"/>
    <w:rsid w:val="00582B72"/>
    <w:rsid w:val="00585FA6"/>
    <w:rsid w:val="00586348"/>
    <w:rsid w:val="005A2506"/>
    <w:rsid w:val="005A5E6E"/>
    <w:rsid w:val="005A7B3D"/>
    <w:rsid w:val="005B5A8F"/>
    <w:rsid w:val="005C0D8A"/>
    <w:rsid w:val="005D1E92"/>
    <w:rsid w:val="005D72A5"/>
    <w:rsid w:val="005E18FF"/>
    <w:rsid w:val="005E1EA1"/>
    <w:rsid w:val="005E7664"/>
    <w:rsid w:val="005F0D6F"/>
    <w:rsid w:val="005F3564"/>
    <w:rsid w:val="005F5844"/>
    <w:rsid w:val="005F5D56"/>
    <w:rsid w:val="00633ACD"/>
    <w:rsid w:val="006344AA"/>
    <w:rsid w:val="006344FE"/>
    <w:rsid w:val="00650449"/>
    <w:rsid w:val="006572DF"/>
    <w:rsid w:val="00663EC3"/>
    <w:rsid w:val="00671038"/>
    <w:rsid w:val="006756D8"/>
    <w:rsid w:val="00682974"/>
    <w:rsid w:val="0068683C"/>
    <w:rsid w:val="00691D28"/>
    <w:rsid w:val="00697D5B"/>
    <w:rsid w:val="006A4733"/>
    <w:rsid w:val="006A6ABC"/>
    <w:rsid w:val="006B03DD"/>
    <w:rsid w:val="006B20FD"/>
    <w:rsid w:val="006C32FC"/>
    <w:rsid w:val="006D1238"/>
    <w:rsid w:val="006E0FC0"/>
    <w:rsid w:val="006E1AD6"/>
    <w:rsid w:val="006F09F2"/>
    <w:rsid w:val="006F1319"/>
    <w:rsid w:val="006F27A3"/>
    <w:rsid w:val="006F3B1C"/>
    <w:rsid w:val="006F5900"/>
    <w:rsid w:val="006F7475"/>
    <w:rsid w:val="007020FD"/>
    <w:rsid w:val="007063EA"/>
    <w:rsid w:val="00710DED"/>
    <w:rsid w:val="00716E7B"/>
    <w:rsid w:val="0071772E"/>
    <w:rsid w:val="00721EFB"/>
    <w:rsid w:val="00724BBF"/>
    <w:rsid w:val="00740995"/>
    <w:rsid w:val="00744D71"/>
    <w:rsid w:val="00783C21"/>
    <w:rsid w:val="00786265"/>
    <w:rsid w:val="007C06ED"/>
    <w:rsid w:val="007C1806"/>
    <w:rsid w:val="007C230E"/>
    <w:rsid w:val="007C4CEB"/>
    <w:rsid w:val="007E7BB2"/>
    <w:rsid w:val="007F3170"/>
    <w:rsid w:val="007F3A2C"/>
    <w:rsid w:val="0081204D"/>
    <w:rsid w:val="00814BB4"/>
    <w:rsid w:val="008153ED"/>
    <w:rsid w:val="00821137"/>
    <w:rsid w:val="00822294"/>
    <w:rsid w:val="00824E16"/>
    <w:rsid w:val="00845F68"/>
    <w:rsid w:val="008466CD"/>
    <w:rsid w:val="00851EDF"/>
    <w:rsid w:val="00854457"/>
    <w:rsid w:val="008643CE"/>
    <w:rsid w:val="008702E1"/>
    <w:rsid w:val="008731CE"/>
    <w:rsid w:val="00876AB9"/>
    <w:rsid w:val="00877316"/>
    <w:rsid w:val="00887E2A"/>
    <w:rsid w:val="008923B9"/>
    <w:rsid w:val="00892AE1"/>
    <w:rsid w:val="00895307"/>
    <w:rsid w:val="008965CA"/>
    <w:rsid w:val="00896AE0"/>
    <w:rsid w:val="008A7FEA"/>
    <w:rsid w:val="008B35D5"/>
    <w:rsid w:val="008B38DC"/>
    <w:rsid w:val="008B41D1"/>
    <w:rsid w:val="008B6A7F"/>
    <w:rsid w:val="008C1200"/>
    <w:rsid w:val="008C2E6F"/>
    <w:rsid w:val="008C6DDC"/>
    <w:rsid w:val="008F12BC"/>
    <w:rsid w:val="008F6790"/>
    <w:rsid w:val="00904312"/>
    <w:rsid w:val="00913642"/>
    <w:rsid w:val="00914993"/>
    <w:rsid w:val="00915E29"/>
    <w:rsid w:val="009218DE"/>
    <w:rsid w:val="009220D7"/>
    <w:rsid w:val="00931FDC"/>
    <w:rsid w:val="00934507"/>
    <w:rsid w:val="00941A8E"/>
    <w:rsid w:val="00942DE6"/>
    <w:rsid w:val="009432BA"/>
    <w:rsid w:val="00960CF2"/>
    <w:rsid w:val="009636BD"/>
    <w:rsid w:val="009855A8"/>
    <w:rsid w:val="009865CC"/>
    <w:rsid w:val="009A100D"/>
    <w:rsid w:val="009C0B16"/>
    <w:rsid w:val="009C3CFF"/>
    <w:rsid w:val="009C5284"/>
    <w:rsid w:val="009D1016"/>
    <w:rsid w:val="009F6154"/>
    <w:rsid w:val="009F6462"/>
    <w:rsid w:val="00A03618"/>
    <w:rsid w:val="00A142CF"/>
    <w:rsid w:val="00A250FF"/>
    <w:rsid w:val="00A30351"/>
    <w:rsid w:val="00A320B0"/>
    <w:rsid w:val="00A35979"/>
    <w:rsid w:val="00A5576D"/>
    <w:rsid w:val="00A57F3C"/>
    <w:rsid w:val="00A61294"/>
    <w:rsid w:val="00A71F3F"/>
    <w:rsid w:val="00A73953"/>
    <w:rsid w:val="00A77B46"/>
    <w:rsid w:val="00A909D2"/>
    <w:rsid w:val="00A935FB"/>
    <w:rsid w:val="00AA0A37"/>
    <w:rsid w:val="00AA20B3"/>
    <w:rsid w:val="00AB200B"/>
    <w:rsid w:val="00AC07F5"/>
    <w:rsid w:val="00AC101A"/>
    <w:rsid w:val="00AC23F8"/>
    <w:rsid w:val="00AE332E"/>
    <w:rsid w:val="00AE7CA9"/>
    <w:rsid w:val="00AF33F1"/>
    <w:rsid w:val="00AF3DDB"/>
    <w:rsid w:val="00B04A54"/>
    <w:rsid w:val="00B06BF0"/>
    <w:rsid w:val="00B16296"/>
    <w:rsid w:val="00B20DA4"/>
    <w:rsid w:val="00B21D27"/>
    <w:rsid w:val="00B2694D"/>
    <w:rsid w:val="00B31DCF"/>
    <w:rsid w:val="00B518FC"/>
    <w:rsid w:val="00B5202D"/>
    <w:rsid w:val="00B53BB8"/>
    <w:rsid w:val="00B55C76"/>
    <w:rsid w:val="00B61371"/>
    <w:rsid w:val="00B81712"/>
    <w:rsid w:val="00BA2202"/>
    <w:rsid w:val="00BA4B9F"/>
    <w:rsid w:val="00BB7F20"/>
    <w:rsid w:val="00BC5EE4"/>
    <w:rsid w:val="00BC74B4"/>
    <w:rsid w:val="00BD722F"/>
    <w:rsid w:val="00BD7672"/>
    <w:rsid w:val="00BE20E9"/>
    <w:rsid w:val="00BE3AC5"/>
    <w:rsid w:val="00BF16BA"/>
    <w:rsid w:val="00C1022D"/>
    <w:rsid w:val="00C1243B"/>
    <w:rsid w:val="00C13ABA"/>
    <w:rsid w:val="00C1495C"/>
    <w:rsid w:val="00C21FAA"/>
    <w:rsid w:val="00C23245"/>
    <w:rsid w:val="00C26C43"/>
    <w:rsid w:val="00C2781A"/>
    <w:rsid w:val="00C3722E"/>
    <w:rsid w:val="00C4322B"/>
    <w:rsid w:val="00C479B0"/>
    <w:rsid w:val="00C75A0A"/>
    <w:rsid w:val="00C77DCC"/>
    <w:rsid w:val="00C872D7"/>
    <w:rsid w:val="00C944FA"/>
    <w:rsid w:val="00CA45CA"/>
    <w:rsid w:val="00CB0280"/>
    <w:rsid w:val="00CB6E90"/>
    <w:rsid w:val="00CB7DA6"/>
    <w:rsid w:val="00CD0C2E"/>
    <w:rsid w:val="00CD419E"/>
    <w:rsid w:val="00CF15BC"/>
    <w:rsid w:val="00CF20B9"/>
    <w:rsid w:val="00D050C2"/>
    <w:rsid w:val="00D20D6D"/>
    <w:rsid w:val="00D3059D"/>
    <w:rsid w:val="00D317E2"/>
    <w:rsid w:val="00D3754E"/>
    <w:rsid w:val="00D404FA"/>
    <w:rsid w:val="00D4347C"/>
    <w:rsid w:val="00D67592"/>
    <w:rsid w:val="00D75416"/>
    <w:rsid w:val="00D77609"/>
    <w:rsid w:val="00D848BF"/>
    <w:rsid w:val="00D867AC"/>
    <w:rsid w:val="00DA2137"/>
    <w:rsid w:val="00DA3588"/>
    <w:rsid w:val="00DB0041"/>
    <w:rsid w:val="00DC180F"/>
    <w:rsid w:val="00DC69B4"/>
    <w:rsid w:val="00DC7102"/>
    <w:rsid w:val="00DC7264"/>
    <w:rsid w:val="00DC7ACE"/>
    <w:rsid w:val="00DD68C8"/>
    <w:rsid w:val="00DE50F2"/>
    <w:rsid w:val="00E015EE"/>
    <w:rsid w:val="00E1089D"/>
    <w:rsid w:val="00E179B6"/>
    <w:rsid w:val="00E20C0E"/>
    <w:rsid w:val="00E21D43"/>
    <w:rsid w:val="00E238D2"/>
    <w:rsid w:val="00E25DFC"/>
    <w:rsid w:val="00E355E1"/>
    <w:rsid w:val="00E75981"/>
    <w:rsid w:val="00E822FB"/>
    <w:rsid w:val="00E83D3A"/>
    <w:rsid w:val="00E84B8E"/>
    <w:rsid w:val="00E84CE0"/>
    <w:rsid w:val="00E91209"/>
    <w:rsid w:val="00E9298C"/>
    <w:rsid w:val="00E9482C"/>
    <w:rsid w:val="00E949AD"/>
    <w:rsid w:val="00E9726D"/>
    <w:rsid w:val="00E979EE"/>
    <w:rsid w:val="00EA5AF4"/>
    <w:rsid w:val="00EA6189"/>
    <w:rsid w:val="00EB2300"/>
    <w:rsid w:val="00EB5D20"/>
    <w:rsid w:val="00ED265B"/>
    <w:rsid w:val="00ED2C03"/>
    <w:rsid w:val="00ED663D"/>
    <w:rsid w:val="00EE267F"/>
    <w:rsid w:val="00EE5174"/>
    <w:rsid w:val="00EE5691"/>
    <w:rsid w:val="00EF7B0C"/>
    <w:rsid w:val="00F00692"/>
    <w:rsid w:val="00F2089A"/>
    <w:rsid w:val="00F66FA5"/>
    <w:rsid w:val="00F76F7D"/>
    <w:rsid w:val="00F8134D"/>
    <w:rsid w:val="00F81A55"/>
    <w:rsid w:val="00F9349D"/>
    <w:rsid w:val="00F95A48"/>
    <w:rsid w:val="00FA77CE"/>
    <w:rsid w:val="00FB769E"/>
    <w:rsid w:val="00FC7995"/>
    <w:rsid w:val="00FD31C5"/>
    <w:rsid w:val="00FF40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2F64A2"/>
  <w15:docId w15:val="{EB22EB58-17BA-49BA-9A62-E1A1C32A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BB4"/>
    <w:pPr>
      <w:jc w:val="both"/>
    </w:pPr>
    <w:rPr>
      <w:rFonts w:ascii="Arial" w:hAnsi="Arial"/>
      <w:sz w:val="24"/>
      <w:szCs w:val="24"/>
    </w:rPr>
  </w:style>
  <w:style w:type="paragraph" w:styleId="Ttulo2">
    <w:name w:val="heading 2"/>
    <w:basedOn w:val="Normal"/>
    <w:next w:val="Normal"/>
    <w:link w:val="Ttulo2Car"/>
    <w:qFormat/>
    <w:rsid w:val="00814BB4"/>
    <w:pPr>
      <w:keepNext/>
      <w:jc w:val="center"/>
      <w:outlineLvl w:val="1"/>
    </w:pPr>
    <w:rPr>
      <w:b/>
      <w:caps/>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14BB4"/>
    <w:pPr>
      <w:tabs>
        <w:tab w:val="center" w:pos="4419"/>
        <w:tab w:val="right" w:pos="8838"/>
      </w:tabs>
    </w:pPr>
  </w:style>
  <w:style w:type="paragraph" w:styleId="Piedepgina">
    <w:name w:val="footer"/>
    <w:basedOn w:val="Normal"/>
    <w:link w:val="PiedepginaCar"/>
    <w:uiPriority w:val="99"/>
    <w:rsid w:val="00814BB4"/>
    <w:pPr>
      <w:tabs>
        <w:tab w:val="center" w:pos="4419"/>
        <w:tab w:val="right" w:pos="8838"/>
      </w:tabs>
    </w:pPr>
    <w:rPr>
      <w:sz w:val="16"/>
    </w:rPr>
  </w:style>
  <w:style w:type="paragraph" w:styleId="Textoindependiente">
    <w:name w:val="Body Text"/>
    <w:basedOn w:val="Normal"/>
    <w:rsid w:val="00814BB4"/>
    <w:pPr>
      <w:spacing w:line="360" w:lineRule="auto"/>
    </w:pPr>
    <w:rPr>
      <w:rFonts w:ascii="Garamond" w:hAnsi="Garamond"/>
      <w:sz w:val="26"/>
      <w:szCs w:val="20"/>
      <w:lang w:val="es-ES_tradnl"/>
    </w:rPr>
  </w:style>
  <w:style w:type="paragraph" w:styleId="Descripcin">
    <w:name w:val="caption"/>
    <w:basedOn w:val="Normal"/>
    <w:next w:val="Normal"/>
    <w:qFormat/>
    <w:rsid w:val="00814BB4"/>
    <w:pPr>
      <w:jc w:val="center"/>
    </w:pPr>
    <w:rPr>
      <w:i/>
      <w:iCs/>
      <w:sz w:val="16"/>
    </w:rPr>
  </w:style>
  <w:style w:type="character" w:styleId="Nmerodepgina">
    <w:name w:val="page number"/>
    <w:basedOn w:val="Fuentedeprrafopredeter"/>
    <w:rsid w:val="00814BB4"/>
  </w:style>
  <w:style w:type="paragraph" w:styleId="Textoindependiente2">
    <w:name w:val="Body Text 2"/>
    <w:basedOn w:val="Normal"/>
    <w:rsid w:val="00814BB4"/>
    <w:pPr>
      <w:jc w:val="left"/>
    </w:pPr>
    <w:rPr>
      <w:rFonts w:ascii="Comic Sans MS" w:hAnsi="Comic Sans MS"/>
      <w:szCs w:val="20"/>
    </w:rPr>
  </w:style>
  <w:style w:type="paragraph" w:styleId="Textodeglobo">
    <w:name w:val="Balloon Text"/>
    <w:basedOn w:val="Normal"/>
    <w:link w:val="TextodegloboCar"/>
    <w:rsid w:val="009432BA"/>
    <w:rPr>
      <w:rFonts w:ascii="Tahoma" w:hAnsi="Tahoma" w:cs="Tahoma"/>
      <w:sz w:val="16"/>
      <w:szCs w:val="16"/>
    </w:rPr>
  </w:style>
  <w:style w:type="character" w:customStyle="1" w:styleId="TextodegloboCar">
    <w:name w:val="Texto de globo Car"/>
    <w:basedOn w:val="Fuentedeprrafopredeter"/>
    <w:link w:val="Textodeglobo"/>
    <w:rsid w:val="009432BA"/>
    <w:rPr>
      <w:rFonts w:ascii="Tahoma" w:hAnsi="Tahoma" w:cs="Tahoma"/>
      <w:sz w:val="16"/>
      <w:szCs w:val="16"/>
      <w:lang w:val="es-ES" w:eastAsia="es-ES"/>
    </w:rPr>
  </w:style>
  <w:style w:type="character" w:customStyle="1" w:styleId="Ttulo2Car">
    <w:name w:val="Título 2 Car"/>
    <w:basedOn w:val="Fuentedeprrafopredeter"/>
    <w:link w:val="Ttulo2"/>
    <w:rsid w:val="00896AE0"/>
    <w:rPr>
      <w:rFonts w:ascii="Arial" w:hAnsi="Arial"/>
      <w:b/>
      <w:caps/>
      <w:sz w:val="24"/>
      <w:lang w:val="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
    <w:basedOn w:val="Normal"/>
    <w:link w:val="TextonotapieCar"/>
    <w:uiPriority w:val="99"/>
    <w:unhideWhenUsed/>
    <w:rsid w:val="00171D4C"/>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rsid w:val="00171D4C"/>
    <w:rPr>
      <w:rFonts w:ascii="Arial" w:hAnsi="Arial"/>
    </w:rPr>
  </w:style>
  <w:style w:type="character" w:styleId="Refdenotaalpie">
    <w:name w:val="footnote reference"/>
    <w:aliases w:val="Texto de nota al pie,Ref. de nota al pie 2,Pie de Página,FC,Texto de nota al pi,Fago Fußnotenzeichen,Appel note de bas de page,referencia nota al pie,Footnotes refss,Texto de nota al p,Pie de Pàgina,F,Pie de P_gin,Pie de P_,BVI fnr,f"/>
    <w:uiPriority w:val="99"/>
    <w:unhideWhenUsed/>
    <w:rsid w:val="00171D4C"/>
    <w:rPr>
      <w:rFonts w:ascii="Courier" w:hAnsi="Courier" w:hint="default"/>
      <w:position w:val="6"/>
      <w:sz w:val="16"/>
      <w:szCs w:val="16"/>
      <w:vertAlign w:val="superscript"/>
    </w:rPr>
  </w:style>
  <w:style w:type="paragraph" w:styleId="Sangradetextonormal">
    <w:name w:val="Body Text Indent"/>
    <w:basedOn w:val="Normal"/>
    <w:link w:val="SangradetextonormalCar"/>
    <w:uiPriority w:val="99"/>
    <w:unhideWhenUsed/>
    <w:rsid w:val="00942DE6"/>
    <w:pPr>
      <w:spacing w:after="120"/>
      <w:ind w:left="283"/>
      <w:jc w:val="left"/>
    </w:pPr>
    <w:rPr>
      <w:rFonts w:ascii="Times New Roman" w:hAnsi="Times New Roman"/>
    </w:rPr>
  </w:style>
  <w:style w:type="character" w:customStyle="1" w:styleId="SangradetextonormalCar">
    <w:name w:val="Sangría de texto normal Car"/>
    <w:basedOn w:val="Fuentedeprrafopredeter"/>
    <w:link w:val="Sangradetextonormal"/>
    <w:uiPriority w:val="99"/>
    <w:rsid w:val="00942DE6"/>
    <w:rPr>
      <w:sz w:val="24"/>
      <w:szCs w:val="24"/>
    </w:rPr>
  </w:style>
  <w:style w:type="paragraph" w:styleId="Prrafodelista">
    <w:name w:val="List Paragraph"/>
    <w:basedOn w:val="Normal"/>
    <w:uiPriority w:val="34"/>
    <w:qFormat/>
    <w:rsid w:val="00942DE6"/>
    <w:pPr>
      <w:ind w:left="720"/>
      <w:contextualSpacing/>
      <w:jc w:val="left"/>
    </w:pPr>
    <w:rPr>
      <w:rFonts w:ascii="Times New Roman" w:hAnsi="Times New Roman"/>
    </w:rPr>
  </w:style>
  <w:style w:type="character" w:customStyle="1" w:styleId="EncabezadoCar">
    <w:name w:val="Encabezado Car"/>
    <w:basedOn w:val="Fuentedeprrafopredeter"/>
    <w:link w:val="Encabezado"/>
    <w:uiPriority w:val="99"/>
    <w:rsid w:val="00942DE6"/>
    <w:rPr>
      <w:rFonts w:ascii="Arial" w:hAnsi="Arial"/>
      <w:sz w:val="24"/>
      <w:szCs w:val="24"/>
    </w:rPr>
  </w:style>
  <w:style w:type="character" w:customStyle="1" w:styleId="PiedepginaCar">
    <w:name w:val="Pie de página Car"/>
    <w:basedOn w:val="Fuentedeprrafopredeter"/>
    <w:link w:val="Piedepgina"/>
    <w:uiPriority w:val="99"/>
    <w:rsid w:val="00942DE6"/>
    <w:rPr>
      <w:rFonts w:ascii="Arial" w:hAnsi="Arial"/>
      <w:sz w:val="16"/>
      <w:szCs w:val="24"/>
    </w:rPr>
  </w:style>
  <w:style w:type="character" w:styleId="Hipervnculo">
    <w:name w:val="Hyperlink"/>
    <w:basedOn w:val="Fuentedeprrafopredeter"/>
    <w:unhideWhenUsed/>
    <w:rsid w:val="004346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941901">
      <w:bodyDiv w:val="1"/>
      <w:marLeft w:val="0"/>
      <w:marRight w:val="0"/>
      <w:marTop w:val="0"/>
      <w:marBottom w:val="0"/>
      <w:divBdr>
        <w:top w:val="none" w:sz="0" w:space="0" w:color="auto"/>
        <w:left w:val="none" w:sz="0" w:space="0" w:color="auto"/>
        <w:bottom w:val="none" w:sz="0" w:space="0" w:color="auto"/>
        <w:right w:val="none" w:sz="0" w:space="0" w:color="auto"/>
      </w:divBdr>
    </w:div>
    <w:div w:id="558975458">
      <w:bodyDiv w:val="1"/>
      <w:marLeft w:val="0"/>
      <w:marRight w:val="0"/>
      <w:marTop w:val="0"/>
      <w:marBottom w:val="0"/>
      <w:divBdr>
        <w:top w:val="none" w:sz="0" w:space="0" w:color="auto"/>
        <w:left w:val="none" w:sz="0" w:space="0" w:color="auto"/>
        <w:bottom w:val="none" w:sz="0" w:space="0" w:color="auto"/>
        <w:right w:val="none" w:sz="0" w:space="0" w:color="auto"/>
      </w:divBdr>
    </w:div>
    <w:div w:id="659385264">
      <w:bodyDiv w:val="1"/>
      <w:marLeft w:val="0"/>
      <w:marRight w:val="0"/>
      <w:marTop w:val="0"/>
      <w:marBottom w:val="0"/>
      <w:divBdr>
        <w:top w:val="none" w:sz="0" w:space="0" w:color="auto"/>
        <w:left w:val="none" w:sz="0" w:space="0" w:color="auto"/>
        <w:bottom w:val="none" w:sz="0" w:space="0" w:color="auto"/>
        <w:right w:val="none" w:sz="0" w:space="0" w:color="auto"/>
      </w:divBdr>
    </w:div>
    <w:div w:id="1546331304">
      <w:bodyDiv w:val="1"/>
      <w:marLeft w:val="0"/>
      <w:marRight w:val="0"/>
      <w:marTop w:val="0"/>
      <w:marBottom w:val="0"/>
      <w:divBdr>
        <w:top w:val="none" w:sz="0" w:space="0" w:color="auto"/>
        <w:left w:val="none" w:sz="0" w:space="0" w:color="auto"/>
        <w:bottom w:val="none" w:sz="0" w:space="0" w:color="auto"/>
        <w:right w:val="none" w:sz="0" w:space="0" w:color="auto"/>
      </w:divBdr>
    </w:div>
    <w:div w:id="1599756571">
      <w:bodyDiv w:val="1"/>
      <w:marLeft w:val="0"/>
      <w:marRight w:val="0"/>
      <w:marTop w:val="0"/>
      <w:marBottom w:val="0"/>
      <w:divBdr>
        <w:top w:val="none" w:sz="0" w:space="0" w:color="auto"/>
        <w:left w:val="none" w:sz="0" w:space="0" w:color="auto"/>
        <w:bottom w:val="none" w:sz="0" w:space="0" w:color="auto"/>
        <w:right w:val="none" w:sz="0" w:space="0" w:color="auto"/>
      </w:divBdr>
    </w:div>
    <w:div w:id="199441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F8C81-DF00-41B9-B3B6-E792ECE3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3846</Words>
  <Characters>21155</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Doce de septiembre dos mil once</vt:lpstr>
    </vt:vector>
  </TitlesOfParts>
  <Company/>
  <LinksUpToDate>false</LinksUpToDate>
  <CharactersWithSpaces>24952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Doce de septiembre dos mil once</dc:title>
  <dc:creator>Administrador</dc:creator>
  <cp:lastModifiedBy>Carlos Alberto Figueroa</cp:lastModifiedBy>
  <cp:revision>2</cp:revision>
  <cp:lastPrinted>2018-09-26T20:29:00Z</cp:lastPrinted>
  <dcterms:created xsi:type="dcterms:W3CDTF">2020-07-09T17:56:00Z</dcterms:created>
  <dcterms:modified xsi:type="dcterms:W3CDTF">2020-07-09T17:56:00Z</dcterms:modified>
</cp:coreProperties>
</file>