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91" w:rsidRPr="008E51DB" w:rsidRDefault="00151E91" w:rsidP="00C72267">
      <w:pPr>
        <w:pStyle w:val="Ttulo1"/>
        <w:spacing w:before="0"/>
        <w:ind w:left="567" w:right="-92"/>
        <w:jc w:val="center"/>
        <w:rPr>
          <w:rFonts w:ascii="Century Gothic" w:hAnsi="Century Gothic"/>
          <w:b/>
          <w:i/>
          <w:iCs/>
          <w:sz w:val="28"/>
          <w:szCs w:val="28"/>
        </w:rPr>
      </w:pPr>
      <w:r w:rsidRPr="008E51DB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45085</wp:posOffset>
            </wp:positionV>
            <wp:extent cx="2238375" cy="158115"/>
            <wp:effectExtent l="0" t="0" r="9525" b="0"/>
            <wp:wrapSquare wrapText="bothSides"/>
            <wp:docPr id="4" name="Imagen 4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 RG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E91" w:rsidRPr="00C72267" w:rsidRDefault="00151E91" w:rsidP="00C72267">
      <w:pPr>
        <w:spacing w:after="0"/>
        <w:ind w:left="567" w:right="-92"/>
        <w:jc w:val="center"/>
        <w:rPr>
          <w:rFonts w:ascii="Century Gothic" w:hAnsi="Century Gothic"/>
          <w:b/>
          <w:iCs/>
          <w:sz w:val="24"/>
          <w:szCs w:val="24"/>
        </w:rPr>
      </w:pPr>
      <w:r w:rsidRPr="00C72267">
        <w:rPr>
          <w:rFonts w:ascii="Century Gothic" w:hAnsi="Century Gothic"/>
          <w:b/>
          <w:iCs/>
          <w:sz w:val="24"/>
          <w:szCs w:val="24"/>
        </w:rPr>
        <w:t>JUZGADO NOVENO DE FAMILIA DE ORALIDAD</w:t>
      </w:r>
    </w:p>
    <w:p w:rsidR="00151E91" w:rsidRPr="00C72267" w:rsidRDefault="00151E91" w:rsidP="00C72267">
      <w:pPr>
        <w:spacing w:after="0"/>
        <w:ind w:left="567" w:right="-92"/>
        <w:jc w:val="center"/>
        <w:rPr>
          <w:rFonts w:ascii="Century Gothic" w:hAnsi="Century Gothic"/>
          <w:iCs/>
          <w:sz w:val="24"/>
          <w:szCs w:val="24"/>
        </w:rPr>
      </w:pPr>
      <w:r w:rsidRPr="00C72267">
        <w:rPr>
          <w:rFonts w:ascii="Century Gothic" w:hAnsi="Century Gothic"/>
          <w:iCs/>
          <w:sz w:val="24"/>
          <w:szCs w:val="24"/>
        </w:rPr>
        <w:t>Medellín (</w:t>
      </w:r>
      <w:proofErr w:type="spellStart"/>
      <w:r w:rsidRPr="00C72267">
        <w:rPr>
          <w:rFonts w:ascii="Century Gothic" w:hAnsi="Century Gothic"/>
          <w:iCs/>
          <w:sz w:val="24"/>
          <w:szCs w:val="24"/>
        </w:rPr>
        <w:t>Ant</w:t>
      </w:r>
      <w:proofErr w:type="spellEnd"/>
      <w:r w:rsidRPr="00C72267">
        <w:rPr>
          <w:rFonts w:ascii="Century Gothic" w:hAnsi="Century Gothic"/>
          <w:iCs/>
          <w:sz w:val="24"/>
          <w:szCs w:val="24"/>
        </w:rPr>
        <w:t xml:space="preserve">.), </w:t>
      </w:r>
      <w:r w:rsidR="00B52836">
        <w:rPr>
          <w:rFonts w:ascii="Century Gothic" w:hAnsi="Century Gothic"/>
          <w:iCs/>
          <w:sz w:val="24"/>
          <w:szCs w:val="24"/>
        </w:rPr>
        <w:t>Primero de septiembre de dos mil veinte</w:t>
      </w:r>
    </w:p>
    <w:p w:rsidR="00C72267" w:rsidRPr="0016474F" w:rsidRDefault="00C72267" w:rsidP="00C72267">
      <w:pPr>
        <w:spacing w:after="0"/>
        <w:ind w:left="567" w:right="-92"/>
        <w:jc w:val="center"/>
        <w:rPr>
          <w:rFonts w:ascii="Century Gothic" w:hAnsi="Century Gothic"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4356"/>
      </w:tblGrid>
      <w:tr w:rsidR="00151E91" w:rsidRPr="0016474F" w:rsidTr="00C72267">
        <w:trPr>
          <w:jc w:val="center"/>
        </w:trPr>
        <w:tc>
          <w:tcPr>
            <w:tcW w:w="1866" w:type="dxa"/>
          </w:tcPr>
          <w:p w:rsidR="00151E91" w:rsidRPr="00BA7090" w:rsidRDefault="00151E91" w:rsidP="00C72267">
            <w:pPr>
              <w:spacing w:after="0"/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Proceso</w:t>
            </w:r>
          </w:p>
        </w:tc>
        <w:tc>
          <w:tcPr>
            <w:tcW w:w="4356" w:type="dxa"/>
          </w:tcPr>
          <w:p w:rsidR="00151E91" w:rsidRPr="00BA7090" w:rsidRDefault="00B52836" w:rsidP="00D370A4">
            <w:pPr>
              <w:spacing w:after="0"/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VERBAL </w:t>
            </w:r>
          </w:p>
        </w:tc>
      </w:tr>
      <w:tr w:rsidR="00151E91" w:rsidRPr="0016474F" w:rsidTr="00C72267">
        <w:trPr>
          <w:trHeight w:val="540"/>
          <w:jc w:val="center"/>
        </w:trPr>
        <w:tc>
          <w:tcPr>
            <w:tcW w:w="1866" w:type="dxa"/>
          </w:tcPr>
          <w:p w:rsidR="00151E91" w:rsidRPr="00BA7090" w:rsidRDefault="00B52836" w:rsidP="00C72267">
            <w:pPr>
              <w:spacing w:after="0"/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Demandante</w:t>
            </w:r>
          </w:p>
        </w:tc>
        <w:tc>
          <w:tcPr>
            <w:tcW w:w="4356" w:type="dxa"/>
          </w:tcPr>
          <w:p w:rsidR="00151E91" w:rsidRPr="00BA7090" w:rsidRDefault="00B52836" w:rsidP="00FB10A6">
            <w:pPr>
              <w:spacing w:after="0"/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LUISA FERNANDA </w:t>
            </w:r>
            <w:r w:rsidR="00FB10A6">
              <w:rPr>
                <w:rFonts w:ascii="Arial Narrow" w:hAnsi="Arial Narrow"/>
                <w:b/>
                <w:iCs/>
              </w:rPr>
              <w:t>VARGAS RIO</w:t>
            </w:r>
            <w:r>
              <w:rPr>
                <w:rFonts w:ascii="Arial Narrow" w:hAnsi="Arial Narrow"/>
                <w:b/>
                <w:iCs/>
              </w:rPr>
              <w:t>S , madre y representante legal de la menor MARIA JOSE VARGAS RIVAS</w:t>
            </w:r>
          </w:p>
        </w:tc>
      </w:tr>
      <w:tr w:rsidR="00151E91" w:rsidRPr="0016474F" w:rsidTr="00C72267">
        <w:trPr>
          <w:jc w:val="center"/>
        </w:trPr>
        <w:tc>
          <w:tcPr>
            <w:tcW w:w="1866" w:type="dxa"/>
          </w:tcPr>
          <w:p w:rsidR="00151E91" w:rsidRPr="00BA7090" w:rsidRDefault="00B52836" w:rsidP="00C72267">
            <w:pPr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Demandados</w:t>
            </w:r>
          </w:p>
        </w:tc>
        <w:tc>
          <w:tcPr>
            <w:tcW w:w="4356" w:type="dxa"/>
          </w:tcPr>
          <w:p w:rsidR="00151E91" w:rsidRPr="00BA7090" w:rsidRDefault="00B52836" w:rsidP="00B52836">
            <w:pPr>
              <w:spacing w:after="0"/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HEREDEROS DETERMINADOS E INDETERMINADOS del señor DANIEL EDUARDO MARIN TABARES, hijo de los señores LUIS EDUARDO MARIN OROZCO Y MARTHA CECILIA TABARES GONZALEZ</w:t>
            </w:r>
          </w:p>
        </w:tc>
      </w:tr>
      <w:tr w:rsidR="00151E91" w:rsidRPr="0016474F" w:rsidTr="00C72267">
        <w:trPr>
          <w:jc w:val="center"/>
        </w:trPr>
        <w:tc>
          <w:tcPr>
            <w:tcW w:w="1866" w:type="dxa"/>
          </w:tcPr>
          <w:p w:rsidR="00151E91" w:rsidRPr="00BA7090" w:rsidRDefault="00151E91" w:rsidP="00C72267">
            <w:pPr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Radicado</w:t>
            </w:r>
          </w:p>
        </w:tc>
        <w:tc>
          <w:tcPr>
            <w:tcW w:w="4356" w:type="dxa"/>
          </w:tcPr>
          <w:p w:rsidR="00151E91" w:rsidRPr="00BA7090" w:rsidRDefault="00151E91" w:rsidP="00B52836">
            <w:pPr>
              <w:spacing w:after="0"/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 xml:space="preserve">No. </w:t>
            </w:r>
            <w:r w:rsidR="00F3238E">
              <w:rPr>
                <w:rFonts w:ascii="Arial Narrow" w:hAnsi="Arial Narrow"/>
                <w:b/>
                <w:iCs/>
              </w:rPr>
              <w:t>05001</w:t>
            </w:r>
            <w:r w:rsidR="00C06431">
              <w:rPr>
                <w:rFonts w:ascii="Arial Narrow" w:hAnsi="Arial Narrow"/>
                <w:b/>
                <w:iCs/>
              </w:rPr>
              <w:t>991008020</w:t>
            </w:r>
            <w:r w:rsidR="00B52836">
              <w:rPr>
                <w:rFonts w:ascii="Arial Narrow" w:hAnsi="Arial Narrow"/>
                <w:b/>
                <w:iCs/>
              </w:rPr>
              <w:t>2000705</w:t>
            </w:r>
          </w:p>
        </w:tc>
      </w:tr>
      <w:tr w:rsidR="00151E91" w:rsidRPr="0016474F" w:rsidTr="00C72267">
        <w:trPr>
          <w:trHeight w:val="337"/>
          <w:jc w:val="center"/>
        </w:trPr>
        <w:tc>
          <w:tcPr>
            <w:tcW w:w="1866" w:type="dxa"/>
          </w:tcPr>
          <w:p w:rsidR="00151E91" w:rsidRPr="00BA7090" w:rsidRDefault="00151E91" w:rsidP="00C72267">
            <w:pPr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Procedencia</w:t>
            </w:r>
          </w:p>
        </w:tc>
        <w:tc>
          <w:tcPr>
            <w:tcW w:w="4356" w:type="dxa"/>
          </w:tcPr>
          <w:p w:rsidR="00151E91" w:rsidRPr="00BA7090" w:rsidRDefault="00151E91" w:rsidP="00C72267">
            <w:pPr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Reparto</w:t>
            </w:r>
          </w:p>
        </w:tc>
      </w:tr>
      <w:tr w:rsidR="00151E91" w:rsidRPr="0016474F" w:rsidTr="00C72267">
        <w:trPr>
          <w:jc w:val="center"/>
        </w:trPr>
        <w:tc>
          <w:tcPr>
            <w:tcW w:w="1866" w:type="dxa"/>
          </w:tcPr>
          <w:p w:rsidR="00151E91" w:rsidRPr="00BA7090" w:rsidRDefault="00151E91" w:rsidP="00C72267">
            <w:pPr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Instancia</w:t>
            </w:r>
          </w:p>
        </w:tc>
        <w:tc>
          <w:tcPr>
            <w:tcW w:w="4356" w:type="dxa"/>
          </w:tcPr>
          <w:p w:rsidR="00151E91" w:rsidRPr="00BA7090" w:rsidRDefault="00B8270A" w:rsidP="00C72267">
            <w:pPr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PRIMERA</w:t>
            </w:r>
          </w:p>
        </w:tc>
      </w:tr>
      <w:tr w:rsidR="00151E91" w:rsidRPr="0016474F" w:rsidTr="00C72267">
        <w:trPr>
          <w:trHeight w:val="315"/>
          <w:jc w:val="center"/>
        </w:trPr>
        <w:tc>
          <w:tcPr>
            <w:tcW w:w="1866" w:type="dxa"/>
          </w:tcPr>
          <w:p w:rsidR="00151E91" w:rsidRPr="00BA7090" w:rsidRDefault="00151E91" w:rsidP="00C72267">
            <w:pPr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Providencia</w:t>
            </w:r>
          </w:p>
        </w:tc>
        <w:tc>
          <w:tcPr>
            <w:tcW w:w="4356" w:type="dxa"/>
            <w:shd w:val="clear" w:color="auto" w:fill="auto"/>
          </w:tcPr>
          <w:p w:rsidR="00151E91" w:rsidRPr="00BA7090" w:rsidRDefault="00151E91" w:rsidP="00B8270A">
            <w:pPr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Interlocutorio No</w:t>
            </w:r>
            <w:r w:rsidR="00B8270A">
              <w:rPr>
                <w:rFonts w:ascii="Arial Narrow" w:hAnsi="Arial Narrow"/>
                <w:b/>
                <w:iCs/>
              </w:rPr>
              <w:t>.11</w:t>
            </w:r>
            <w:r w:rsidR="00C06431">
              <w:rPr>
                <w:rFonts w:ascii="Arial Narrow" w:hAnsi="Arial Narrow"/>
                <w:b/>
                <w:iCs/>
              </w:rPr>
              <w:t xml:space="preserve"> DE 2020</w:t>
            </w:r>
            <w:r w:rsidRPr="00BA7090">
              <w:rPr>
                <w:rFonts w:ascii="Arial Narrow" w:hAnsi="Arial Narrow"/>
                <w:b/>
                <w:iCs/>
              </w:rPr>
              <w:t xml:space="preserve"> </w:t>
            </w:r>
          </w:p>
        </w:tc>
      </w:tr>
      <w:tr w:rsidR="00151E91" w:rsidRPr="0016474F" w:rsidTr="00C72267">
        <w:trPr>
          <w:trHeight w:val="1063"/>
          <w:jc w:val="center"/>
        </w:trPr>
        <w:tc>
          <w:tcPr>
            <w:tcW w:w="1866" w:type="dxa"/>
          </w:tcPr>
          <w:p w:rsidR="00151E91" w:rsidRPr="00BA7090" w:rsidRDefault="00151E91" w:rsidP="00C72267">
            <w:pPr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Temas y Subtemas</w:t>
            </w:r>
          </w:p>
        </w:tc>
        <w:tc>
          <w:tcPr>
            <w:tcW w:w="4356" w:type="dxa"/>
            <w:shd w:val="clear" w:color="auto" w:fill="auto"/>
          </w:tcPr>
          <w:p w:rsidR="00151E91" w:rsidRPr="00BA7090" w:rsidRDefault="00B8270A" w:rsidP="00810B92">
            <w:pPr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FILIACION EXTRAMATRIMONIAL DE LA PATERNIDAD CON PADRE FALLECIDO, SE DEMANDA A LOS HEREDEROS DETERMINADOS E INDETERMINADOS DEL MISMO</w:t>
            </w:r>
          </w:p>
        </w:tc>
      </w:tr>
      <w:tr w:rsidR="00151E91" w:rsidRPr="0016474F" w:rsidTr="00C72267">
        <w:trPr>
          <w:trHeight w:val="630"/>
          <w:jc w:val="center"/>
        </w:trPr>
        <w:tc>
          <w:tcPr>
            <w:tcW w:w="1866" w:type="dxa"/>
          </w:tcPr>
          <w:p w:rsidR="00151E91" w:rsidRPr="00BA7090" w:rsidRDefault="00151E91" w:rsidP="00C72267">
            <w:pPr>
              <w:ind w:right="69" w:firstLine="22"/>
              <w:jc w:val="both"/>
              <w:rPr>
                <w:rFonts w:ascii="Arial Narrow" w:hAnsi="Arial Narrow"/>
                <w:b/>
                <w:iCs/>
              </w:rPr>
            </w:pPr>
            <w:r w:rsidRPr="00BA7090">
              <w:rPr>
                <w:rFonts w:ascii="Arial Narrow" w:hAnsi="Arial Narrow"/>
                <w:b/>
                <w:iCs/>
              </w:rPr>
              <w:t>Decisión</w:t>
            </w:r>
          </w:p>
        </w:tc>
        <w:tc>
          <w:tcPr>
            <w:tcW w:w="4356" w:type="dxa"/>
          </w:tcPr>
          <w:p w:rsidR="00151E91" w:rsidRPr="00BA7090" w:rsidRDefault="00B8270A" w:rsidP="00810B92">
            <w:pPr>
              <w:ind w:left="6" w:right="25"/>
              <w:jc w:val="both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CON EL LLENO DE LOS REQUISITOS FORMALES Y LEGALES, SE ADMITE LA DEMANDA</w:t>
            </w:r>
          </w:p>
        </w:tc>
      </w:tr>
    </w:tbl>
    <w:p w:rsidR="00151E91" w:rsidRDefault="00151E91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B8270A" w:rsidRDefault="00B8270A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Por intermedio de abogada titulada e inscrita, la señora LUISA FERNANDA VARGAS RIOS, en nombre y representación de su hija menor MARIA JOSE VARGAS RIOS, demanda a los señores Luis Eduardo Marín Orozco y Martha Cecilia Tabares González, en calidad de padres biológicos del señor Daniel Eduardo Marín Tabares, fallecido el día 12 de septiembre de 2018; así mismo, demanda también a los Herederos Indeterminados del citado señor.</w:t>
      </w:r>
    </w:p>
    <w:p w:rsidR="00B8270A" w:rsidRDefault="00B8270A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B8270A" w:rsidRDefault="00FB10A6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 estudio de la demanda, de los documentos aportados con la misma, se concluye que esta se ajusta a los requisitos legales y formales, para darle ADMISION.</w:t>
      </w:r>
    </w:p>
    <w:p w:rsidR="00FB10A6" w:rsidRDefault="00FB10A6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FB10A6" w:rsidRDefault="00F560EB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Consecuente</w:t>
      </w:r>
      <w:r w:rsidR="00FB10A6">
        <w:rPr>
          <w:rFonts w:ascii="Century Gothic" w:hAnsi="Century Gothic"/>
          <w:sz w:val="28"/>
          <w:szCs w:val="28"/>
        </w:rPr>
        <w:t xml:space="preserve"> con ello, esta agencia judicial, </w:t>
      </w:r>
    </w:p>
    <w:p w:rsidR="00FB10A6" w:rsidRDefault="00FB10A6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FB10A6" w:rsidRDefault="00FB10A6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 E S U E L V </w:t>
      </w:r>
      <w:r w:rsidR="00F560EB">
        <w:rPr>
          <w:rFonts w:ascii="Century Gothic" w:hAnsi="Century Gothic"/>
          <w:sz w:val="28"/>
          <w:szCs w:val="28"/>
        </w:rPr>
        <w:t>E: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FB10A6" w:rsidRDefault="00FB10A6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FB10A6" w:rsidRDefault="00FB10A6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PRIMERO: Admitir la demanda de FILIACION EXTRAMATRIMONIAL DE LA PATERNIDAD, tramite Verbal, </w:t>
      </w:r>
      <w:r>
        <w:rPr>
          <w:rFonts w:ascii="Century Gothic" w:hAnsi="Century Gothic"/>
          <w:sz w:val="28"/>
          <w:szCs w:val="28"/>
        </w:rPr>
        <w:lastRenderedPageBreak/>
        <w:t xml:space="preserve">instaurada por la señora LUISA FERNANDA VARGAS RIOS, madre y representante legal de la niña MARIA JOSE VARGAS RIOS, en contra de los HEREDEROS DETERMINADOS E INDETERMINADOS del señor DANIEL EDUARDO MARIN TABARES, siendo </w:t>
      </w:r>
      <w:r w:rsidR="006473CB">
        <w:rPr>
          <w:rFonts w:ascii="Century Gothic" w:hAnsi="Century Gothic"/>
          <w:sz w:val="28"/>
          <w:szCs w:val="28"/>
        </w:rPr>
        <w:t>determinados, sus</w:t>
      </w:r>
      <w:r>
        <w:rPr>
          <w:rFonts w:ascii="Century Gothic" w:hAnsi="Century Gothic"/>
          <w:sz w:val="28"/>
          <w:szCs w:val="28"/>
        </w:rPr>
        <w:t xml:space="preserve"> padres, señores LUIS EDUARDO MARIN OROZCO Y MARTHA CECILIA </w:t>
      </w:r>
      <w:r w:rsidR="006473CB">
        <w:rPr>
          <w:rFonts w:ascii="Century Gothic" w:hAnsi="Century Gothic"/>
          <w:sz w:val="28"/>
          <w:szCs w:val="28"/>
        </w:rPr>
        <w:t>TABARES GONZALEZ.</w:t>
      </w:r>
    </w:p>
    <w:p w:rsidR="006473CB" w:rsidRDefault="006473CB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6473CB" w:rsidRDefault="006473CB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SEGUNDO: Cítese a los demandados, LUIS EDUARDO MARIN OROZCO Y MARTHA CECILIA TABARES GONZALEZ, y personalmente notifíqueles el libelo y este auto, para que dentro del término legal de veinte (20) días den contestación, pidan y/o aporten pruebas en defensa de sus intereses. </w:t>
      </w:r>
    </w:p>
    <w:p w:rsidR="006473CB" w:rsidRDefault="006473CB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Emplácese a los HEREDEROS INDETERMINADOS del señor DANIEL EDUARDO CONFORME LO DISPONEEL ART. 108, 293 DEL Código General del Proceso.</w:t>
      </w:r>
    </w:p>
    <w:p w:rsidR="006473CB" w:rsidRDefault="006473CB" w:rsidP="00C72267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B8270A" w:rsidRDefault="008912AC" w:rsidP="008912AC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TERCERO: De conformidad con lo establecido en el Art. 386 del Código General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del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Proceso,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se decreta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la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práctica de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la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prueba de genética, a la menor, teniendo como </w:t>
      </w:r>
      <w:r w:rsidR="00F560EB">
        <w:rPr>
          <w:rFonts w:ascii="Century Gothic" w:hAnsi="Century Gothic"/>
          <w:sz w:val="28"/>
          <w:szCs w:val="28"/>
        </w:rPr>
        <w:t xml:space="preserve">referente </w:t>
      </w:r>
      <w:r>
        <w:rPr>
          <w:rFonts w:ascii="Century Gothic" w:hAnsi="Century Gothic"/>
          <w:sz w:val="28"/>
          <w:szCs w:val="28"/>
        </w:rPr>
        <w:t>la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mancha de </w:t>
      </w:r>
      <w:r w:rsidR="00F560EB">
        <w:rPr>
          <w:rFonts w:ascii="Century Gothic" w:hAnsi="Century Gothic"/>
          <w:sz w:val="28"/>
          <w:szCs w:val="28"/>
        </w:rPr>
        <w:t>sangre del</w:t>
      </w:r>
      <w:r>
        <w:rPr>
          <w:rFonts w:ascii="Century Gothic" w:hAnsi="Century Gothic"/>
          <w:sz w:val="28"/>
          <w:szCs w:val="28"/>
        </w:rPr>
        <w:t xml:space="preserve"> fallecido,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señor DANIEL EDUARDO MARIN </w:t>
      </w:r>
      <w:r w:rsidR="00F560EB">
        <w:rPr>
          <w:rFonts w:ascii="Century Gothic" w:hAnsi="Century Gothic"/>
          <w:sz w:val="28"/>
          <w:szCs w:val="28"/>
        </w:rPr>
        <w:t>TABARES, mantenida</w:t>
      </w:r>
      <w:r>
        <w:rPr>
          <w:rFonts w:ascii="Century Gothic" w:hAnsi="Century Gothic"/>
          <w:sz w:val="28"/>
          <w:szCs w:val="28"/>
        </w:rPr>
        <w:t xml:space="preserve"> en cadena de custodia por </w:t>
      </w:r>
      <w:r w:rsidR="00F560EB">
        <w:rPr>
          <w:rFonts w:ascii="Century Gothic" w:hAnsi="Century Gothic"/>
          <w:sz w:val="28"/>
          <w:szCs w:val="28"/>
        </w:rPr>
        <w:t>Medicina Legal</w:t>
      </w:r>
      <w:r>
        <w:rPr>
          <w:rFonts w:ascii="Century Gothic" w:hAnsi="Century Gothic"/>
          <w:sz w:val="28"/>
          <w:szCs w:val="28"/>
        </w:rPr>
        <w:t xml:space="preserve">, por la muerte violenta en accidente de </w:t>
      </w:r>
      <w:r w:rsidR="00F560EB">
        <w:rPr>
          <w:rFonts w:ascii="Century Gothic" w:hAnsi="Century Gothic"/>
          <w:sz w:val="28"/>
          <w:szCs w:val="28"/>
        </w:rPr>
        <w:t>tránsito</w:t>
      </w:r>
      <w:r>
        <w:rPr>
          <w:rFonts w:ascii="Century Gothic" w:hAnsi="Century Gothic"/>
          <w:sz w:val="28"/>
          <w:szCs w:val="28"/>
        </w:rPr>
        <w:t>, del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señor DANIEL EDUARDO MARIN </w:t>
      </w:r>
      <w:r w:rsidR="00F560EB">
        <w:rPr>
          <w:rFonts w:ascii="Century Gothic" w:hAnsi="Century Gothic"/>
          <w:sz w:val="28"/>
          <w:szCs w:val="28"/>
        </w:rPr>
        <w:t>TABARES,</w:t>
      </w:r>
      <w:r>
        <w:rPr>
          <w:rFonts w:ascii="Century Gothic" w:hAnsi="Century Gothic"/>
          <w:sz w:val="28"/>
          <w:szCs w:val="28"/>
        </w:rPr>
        <w:t xml:space="preserve"> que se tiene bajo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el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código SPOA 058376000353201880151.</w:t>
      </w:r>
      <w:r w:rsidR="00F560EB">
        <w:rPr>
          <w:rFonts w:ascii="Century Gothic" w:hAnsi="Century Gothic"/>
          <w:sz w:val="28"/>
          <w:szCs w:val="28"/>
        </w:rPr>
        <w:t xml:space="preserve"> Se oficiará </w:t>
      </w:r>
    </w:p>
    <w:p w:rsidR="008912AC" w:rsidRDefault="008912AC" w:rsidP="008912AC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8912AC" w:rsidRDefault="008912AC" w:rsidP="008912AC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 fecha y hora para la </w:t>
      </w:r>
      <w:r w:rsidR="00F560EB">
        <w:rPr>
          <w:rFonts w:ascii="Century Gothic" w:hAnsi="Century Gothic"/>
          <w:sz w:val="28"/>
          <w:szCs w:val="28"/>
        </w:rPr>
        <w:t>práctica</w:t>
      </w:r>
      <w:r>
        <w:rPr>
          <w:rFonts w:ascii="Century Gothic" w:hAnsi="Century Gothic"/>
          <w:sz w:val="28"/>
          <w:szCs w:val="28"/>
        </w:rPr>
        <w:t xml:space="preserve"> de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la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prueba se hará una vez se notifique a los sujetos</w:t>
      </w:r>
      <w:r w:rsidR="00F560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pasivos de esta acción.</w:t>
      </w:r>
    </w:p>
    <w:p w:rsidR="008912AC" w:rsidRDefault="008912AC" w:rsidP="008912AC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</w:p>
    <w:p w:rsidR="008912AC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CUARTO: Tiene personería para actuar dentro de esta demanda, en su calidad de apoderada, la abogada LUZ ESTELLA ORTIZ ORTIZ, C.C. 43557593 Y T.P.119580 C.S.J.</w:t>
      </w: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Los estudiantes llamados a ser dependientes de la abogada, se reconoceran una vez alleguen Certificado actualizado de ser  estudiantes de derecho, tal y conformelo prescribe lanormatividad.</w:t>
      </w: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NOTIFIQUESE Y CUMPLASE</w:t>
      </w: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EL JUEZ,</w:t>
      </w:r>
    </w:p>
    <w:p w:rsidR="007D3967" w:rsidRDefault="007D3967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drawing>
          <wp:inline distT="0" distB="0" distL="0" distR="0">
            <wp:extent cx="2304288" cy="53721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EZ 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GUILLERMO MARTINEZ RAMIREZ</w:t>
      </w:r>
    </w:p>
    <w:p w:rsidR="00F560EB" w:rsidRDefault="00F560EB" w:rsidP="008912AC">
      <w:pPr>
        <w:spacing w:after="0"/>
        <w:ind w:left="567" w:right="-92"/>
        <w:jc w:val="both"/>
        <w:rPr>
          <w:rFonts w:ascii="Century Gothic" w:hAnsi="Century Gothic"/>
          <w:noProof/>
          <w:sz w:val="28"/>
          <w:szCs w:val="28"/>
        </w:rPr>
      </w:pPr>
    </w:p>
    <w:p w:rsidR="00F560EB" w:rsidRPr="0016474F" w:rsidRDefault="00F560EB" w:rsidP="008912AC">
      <w:pPr>
        <w:spacing w:after="0"/>
        <w:ind w:left="567" w:right="-92"/>
        <w:jc w:val="both"/>
        <w:rPr>
          <w:rFonts w:ascii="Century Gothic" w:hAnsi="Century Gothic"/>
          <w:sz w:val="28"/>
          <w:szCs w:val="28"/>
        </w:rPr>
      </w:pPr>
      <w:r>
        <w:rPr>
          <mc:AlternateContent>
            <mc:Choice Requires="w16se">
              <w:rFonts w:ascii="Century Gothic" w:hAnsi="Century Gothic"/>
            </mc:Choice>
            <mc:Fallback>
              <w:rFonts w:ascii="Century Gothic" w:eastAsia="Century Gothic" w:hAnsi="Century Gothic" w:cs="Century Gothic"/>
            </mc:Fallback>
          </mc:AlternateContent>
          <w:sz w:val="28"/>
          <w:szCs w:val="28"/>
        </w:rPr>
        <mc:AlternateContent>
          <mc:Choice Requires="w16se">
            <w16se:symEx w16se:font="Century Gothic" w16se:char="00AE"/>
          </mc:Choice>
          <mc:Fallback>
            <w:t>®</w:t>
          </mc:Fallback>
        </mc:AlternateContent>
      </w:r>
      <w:r>
        <w:rPr>
          <mc:AlternateContent>
            <mc:Choice Requires="w16se">
              <w:rFonts w:ascii="Century Gothic" w:hAnsi="Century Gothic"/>
            </mc:Choice>
            <mc:Fallback>
              <w:rFonts w:ascii="Century Gothic" w:eastAsia="Century Gothic" w:hAnsi="Century Gothic" w:cs="Century Gothic"/>
            </mc:Fallback>
          </mc:AlternateContent>
          <w:sz w:val="28"/>
          <w:szCs w:val="28"/>
        </w:rPr>
        <mc:AlternateContent>
          <mc:Choice Requires="w16se">
            <w16se:symEx w16se:font="Century Gothic" w16se:char="2122"/>
          </mc:Choice>
          <mc:Fallback>
            <w:t>™</w:t>
          </mc:Fallback>
        </mc:AlternateContent>
      </w:r>
      <w:bookmarkStart w:id="0" w:name="_GoBack"/>
      <w:bookmarkEnd w:id="0"/>
    </w:p>
    <w:sectPr w:rsidR="00F560EB" w:rsidRPr="0016474F" w:rsidSect="00B90AA2">
      <w:headerReference w:type="default" r:id="rId9"/>
      <w:footerReference w:type="default" r:id="rId10"/>
      <w:pgSz w:w="12242" w:h="18722" w:code="14"/>
      <w:pgMar w:top="1418" w:right="1418" w:bottom="1418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28" w:rsidRDefault="00BA5528">
      <w:pPr>
        <w:spacing w:after="0" w:line="240" w:lineRule="auto"/>
      </w:pPr>
      <w:r>
        <w:separator/>
      </w:r>
    </w:p>
  </w:endnote>
  <w:endnote w:type="continuationSeparator" w:id="0">
    <w:p w:rsidR="00BA5528" w:rsidRDefault="00BA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D8" w:rsidRDefault="009D64CF" w:rsidP="009D64CF">
    <w:pPr>
      <w:pStyle w:val="Piedepgina"/>
      <w:ind w:left="113"/>
    </w:pPr>
    <w:r>
      <w:rPr>
        <w:rFonts w:ascii="Cambria" w:hAnsi="Cambria"/>
        <w:sz w:val="12"/>
        <w:szCs w:val="12"/>
      </w:rPr>
      <w:t>e</w:t>
    </w:r>
  </w:p>
  <w:p w:rsidR="008F4522" w:rsidRDefault="008F452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28" w:rsidRDefault="00BA5528">
      <w:pPr>
        <w:spacing w:after="0" w:line="240" w:lineRule="auto"/>
      </w:pPr>
      <w:r>
        <w:separator/>
      </w:r>
    </w:p>
  </w:footnote>
  <w:footnote w:type="continuationSeparator" w:id="0">
    <w:p w:rsidR="00BA5528" w:rsidRDefault="00BA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E7" w:rsidRDefault="00B52836" w:rsidP="00D15694">
    <w:pPr>
      <w:pStyle w:val="Encabezado"/>
      <w:spacing w:after="0"/>
      <w:jc w:val="center"/>
      <w:rPr>
        <w:rFonts w:ascii="Bookman Old Style" w:hAnsi="Bookman Old Style"/>
        <w:sz w:val="12"/>
        <w:szCs w:val="12"/>
        <w:lang w:val="es-ES"/>
      </w:rPr>
    </w:pPr>
    <w:r>
      <w:rPr>
        <w:rFonts w:ascii="Bookman Old Style" w:hAnsi="Bookman Old Style"/>
        <w:sz w:val="12"/>
        <w:szCs w:val="12"/>
        <w:lang w:val="es-ES"/>
      </w:rPr>
      <w:t>FILIACION EXTRAMATRIMONIAL</w:t>
    </w:r>
  </w:p>
  <w:p w:rsidR="00B52836" w:rsidRPr="00031371" w:rsidRDefault="00B52836" w:rsidP="00D15694">
    <w:pPr>
      <w:pStyle w:val="Encabezado"/>
      <w:spacing w:after="0"/>
      <w:jc w:val="center"/>
      <w:rPr>
        <w:rFonts w:ascii="Bookman Old Style" w:hAnsi="Bookman Old Style"/>
        <w:sz w:val="10"/>
        <w:szCs w:val="10"/>
        <w:lang w:val="es-ES"/>
      </w:rPr>
    </w:pPr>
    <w:r>
      <w:rPr>
        <w:rFonts w:ascii="Bookman Old Style" w:hAnsi="Bookman Old Style"/>
        <w:sz w:val="12"/>
        <w:szCs w:val="12"/>
        <w:lang w:val="es-ES"/>
      </w:rPr>
      <w:t>RADICADO 2019-705</w:t>
    </w:r>
  </w:p>
  <w:p w:rsidR="008F4522" w:rsidRDefault="008F452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AE4B"/>
    <w:multiLevelType w:val="singleLevel"/>
    <w:tmpl w:val="1FE3AEAC"/>
    <w:lvl w:ilvl="0">
      <w:numFmt w:val="bullet"/>
      <w:lvlText w:val="·"/>
      <w:lvlJc w:val="left"/>
      <w:pPr>
        <w:tabs>
          <w:tab w:val="num" w:pos="3600"/>
        </w:tabs>
      </w:pPr>
      <w:rPr>
        <w:rFonts w:ascii="Symbol" w:hAnsi="Symbol" w:cs="Symbol"/>
        <w:snapToGrid/>
        <w:spacing w:val="-4"/>
        <w:sz w:val="19"/>
        <w:szCs w:val="19"/>
      </w:rPr>
    </w:lvl>
  </w:abstractNum>
  <w:num w:numId="1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</w:pPr>
        <w:rPr>
          <w:rFonts w:ascii="Symbol" w:hAnsi="Symbol" w:cs="Symbol"/>
          <w:b/>
          <w:bCs/>
          <w:snapToGrid/>
          <w:sz w:val="19"/>
          <w:szCs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91"/>
    <w:rsid w:val="0000405E"/>
    <w:rsid w:val="00005DF5"/>
    <w:rsid w:val="00012181"/>
    <w:rsid w:val="00024E63"/>
    <w:rsid w:val="00025FDF"/>
    <w:rsid w:val="00040EBC"/>
    <w:rsid w:val="00044B99"/>
    <w:rsid w:val="00046860"/>
    <w:rsid w:val="000744C6"/>
    <w:rsid w:val="0007461A"/>
    <w:rsid w:val="00094631"/>
    <w:rsid w:val="00094CFE"/>
    <w:rsid w:val="000C2B9C"/>
    <w:rsid w:val="0010339A"/>
    <w:rsid w:val="001465FF"/>
    <w:rsid w:val="00151E91"/>
    <w:rsid w:val="00176664"/>
    <w:rsid w:val="001B7226"/>
    <w:rsid w:val="001C6C81"/>
    <w:rsid w:val="001D03FA"/>
    <w:rsid w:val="001E6201"/>
    <w:rsid w:val="00216466"/>
    <w:rsid w:val="002279B1"/>
    <w:rsid w:val="00234AB1"/>
    <w:rsid w:val="002528A4"/>
    <w:rsid w:val="0027476B"/>
    <w:rsid w:val="00280819"/>
    <w:rsid w:val="002B2A9C"/>
    <w:rsid w:val="002B689B"/>
    <w:rsid w:val="002D1F78"/>
    <w:rsid w:val="002D56D9"/>
    <w:rsid w:val="002D7923"/>
    <w:rsid w:val="0030380B"/>
    <w:rsid w:val="00315108"/>
    <w:rsid w:val="0032782B"/>
    <w:rsid w:val="00333805"/>
    <w:rsid w:val="00351DAC"/>
    <w:rsid w:val="003825ED"/>
    <w:rsid w:val="00390CED"/>
    <w:rsid w:val="003A1477"/>
    <w:rsid w:val="003A5405"/>
    <w:rsid w:val="003C6FD6"/>
    <w:rsid w:val="003D5B53"/>
    <w:rsid w:val="003F203C"/>
    <w:rsid w:val="00462D02"/>
    <w:rsid w:val="004B69B6"/>
    <w:rsid w:val="004C00B5"/>
    <w:rsid w:val="004E3F7E"/>
    <w:rsid w:val="004E63E9"/>
    <w:rsid w:val="004F0332"/>
    <w:rsid w:val="004F6E17"/>
    <w:rsid w:val="00516673"/>
    <w:rsid w:val="00542EA3"/>
    <w:rsid w:val="005839FD"/>
    <w:rsid w:val="005A23E8"/>
    <w:rsid w:val="005E162E"/>
    <w:rsid w:val="006032DD"/>
    <w:rsid w:val="00612439"/>
    <w:rsid w:val="00614243"/>
    <w:rsid w:val="006473CB"/>
    <w:rsid w:val="00651C60"/>
    <w:rsid w:val="00665E80"/>
    <w:rsid w:val="00672EAC"/>
    <w:rsid w:val="0068379E"/>
    <w:rsid w:val="00690DB9"/>
    <w:rsid w:val="00697B16"/>
    <w:rsid w:val="006A73D1"/>
    <w:rsid w:val="006E648D"/>
    <w:rsid w:val="00737C7C"/>
    <w:rsid w:val="00763ABA"/>
    <w:rsid w:val="00765D5D"/>
    <w:rsid w:val="007669A6"/>
    <w:rsid w:val="007747D9"/>
    <w:rsid w:val="00783860"/>
    <w:rsid w:val="0079508E"/>
    <w:rsid w:val="00796B7A"/>
    <w:rsid w:val="007B00C9"/>
    <w:rsid w:val="007B3904"/>
    <w:rsid w:val="007C3FD5"/>
    <w:rsid w:val="007D3967"/>
    <w:rsid w:val="00810B92"/>
    <w:rsid w:val="00816A00"/>
    <w:rsid w:val="00834089"/>
    <w:rsid w:val="00856609"/>
    <w:rsid w:val="00862AE3"/>
    <w:rsid w:val="00874A4B"/>
    <w:rsid w:val="0088363D"/>
    <w:rsid w:val="008853F8"/>
    <w:rsid w:val="00886905"/>
    <w:rsid w:val="008912AC"/>
    <w:rsid w:val="008914C5"/>
    <w:rsid w:val="008C153F"/>
    <w:rsid w:val="008C339D"/>
    <w:rsid w:val="008F4522"/>
    <w:rsid w:val="00922ACC"/>
    <w:rsid w:val="0095784E"/>
    <w:rsid w:val="00965915"/>
    <w:rsid w:val="00987914"/>
    <w:rsid w:val="00994AC6"/>
    <w:rsid w:val="009C1606"/>
    <w:rsid w:val="009C33A5"/>
    <w:rsid w:val="009D3459"/>
    <w:rsid w:val="009D64CF"/>
    <w:rsid w:val="009E3DD8"/>
    <w:rsid w:val="009F01A8"/>
    <w:rsid w:val="009F2525"/>
    <w:rsid w:val="009F762E"/>
    <w:rsid w:val="00A023AD"/>
    <w:rsid w:val="00A0587F"/>
    <w:rsid w:val="00A206D9"/>
    <w:rsid w:val="00A26026"/>
    <w:rsid w:val="00A34A3D"/>
    <w:rsid w:val="00A566B6"/>
    <w:rsid w:val="00A601F6"/>
    <w:rsid w:val="00A8173B"/>
    <w:rsid w:val="00A9105A"/>
    <w:rsid w:val="00A9278A"/>
    <w:rsid w:val="00A960AC"/>
    <w:rsid w:val="00A9730F"/>
    <w:rsid w:val="00AB1F6B"/>
    <w:rsid w:val="00AC2E58"/>
    <w:rsid w:val="00AC4A3B"/>
    <w:rsid w:val="00AC6161"/>
    <w:rsid w:val="00AD6A0E"/>
    <w:rsid w:val="00AD6E98"/>
    <w:rsid w:val="00AF024E"/>
    <w:rsid w:val="00AF4477"/>
    <w:rsid w:val="00AF495E"/>
    <w:rsid w:val="00B52836"/>
    <w:rsid w:val="00B7500A"/>
    <w:rsid w:val="00B750F1"/>
    <w:rsid w:val="00B75EAA"/>
    <w:rsid w:val="00B8270A"/>
    <w:rsid w:val="00B86925"/>
    <w:rsid w:val="00B90AA2"/>
    <w:rsid w:val="00BA5528"/>
    <w:rsid w:val="00BA7090"/>
    <w:rsid w:val="00BB378B"/>
    <w:rsid w:val="00BC4858"/>
    <w:rsid w:val="00BC664F"/>
    <w:rsid w:val="00BD4B38"/>
    <w:rsid w:val="00BD50E7"/>
    <w:rsid w:val="00BF6EEE"/>
    <w:rsid w:val="00C06317"/>
    <w:rsid w:val="00C06431"/>
    <w:rsid w:val="00C17CC4"/>
    <w:rsid w:val="00C20CA7"/>
    <w:rsid w:val="00C2420C"/>
    <w:rsid w:val="00C259A8"/>
    <w:rsid w:val="00C425EA"/>
    <w:rsid w:val="00C54BD1"/>
    <w:rsid w:val="00C72267"/>
    <w:rsid w:val="00C90DC5"/>
    <w:rsid w:val="00CD286E"/>
    <w:rsid w:val="00CD45F6"/>
    <w:rsid w:val="00CD706E"/>
    <w:rsid w:val="00CF567F"/>
    <w:rsid w:val="00D34175"/>
    <w:rsid w:val="00D370A4"/>
    <w:rsid w:val="00D44B22"/>
    <w:rsid w:val="00D545BF"/>
    <w:rsid w:val="00D723C9"/>
    <w:rsid w:val="00D84AD1"/>
    <w:rsid w:val="00DA27B4"/>
    <w:rsid w:val="00DA401E"/>
    <w:rsid w:val="00DB71B1"/>
    <w:rsid w:val="00DC05F3"/>
    <w:rsid w:val="00DC6EA2"/>
    <w:rsid w:val="00DD7E27"/>
    <w:rsid w:val="00DF7831"/>
    <w:rsid w:val="00E22410"/>
    <w:rsid w:val="00E2689C"/>
    <w:rsid w:val="00E36BDA"/>
    <w:rsid w:val="00E42495"/>
    <w:rsid w:val="00E4551C"/>
    <w:rsid w:val="00E526F2"/>
    <w:rsid w:val="00E55B0B"/>
    <w:rsid w:val="00E84C3E"/>
    <w:rsid w:val="00E86001"/>
    <w:rsid w:val="00EA6877"/>
    <w:rsid w:val="00EA6B8C"/>
    <w:rsid w:val="00EB057D"/>
    <w:rsid w:val="00EE1B88"/>
    <w:rsid w:val="00EF0789"/>
    <w:rsid w:val="00F11B93"/>
    <w:rsid w:val="00F26355"/>
    <w:rsid w:val="00F3238E"/>
    <w:rsid w:val="00F560EB"/>
    <w:rsid w:val="00F577FF"/>
    <w:rsid w:val="00FB10A6"/>
    <w:rsid w:val="00FC1DA3"/>
    <w:rsid w:val="00FE331D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C925C3"/>
  <w15:chartTrackingRefBased/>
  <w15:docId w15:val="{EA70D7A0-5A97-4EE1-BD6D-DC263089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91"/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51E91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E91"/>
    <w:rPr>
      <w:rFonts w:ascii="Calibri Light" w:eastAsia="SimSun" w:hAnsi="Calibri Light" w:cs="Times New Roman"/>
      <w:caps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51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E91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51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91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EA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4</cp:revision>
  <dcterms:created xsi:type="dcterms:W3CDTF">2020-09-01T23:52:00Z</dcterms:created>
  <dcterms:modified xsi:type="dcterms:W3CDTF">2020-09-02T02:09:00Z</dcterms:modified>
</cp:coreProperties>
</file>