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A9BF" w14:textId="77777777" w:rsidR="00411630" w:rsidRDefault="00411630" w:rsidP="00411630">
      <w:pPr>
        <w:spacing w:line="360" w:lineRule="auto"/>
        <w:jc w:val="both"/>
        <w:rPr>
          <w:rFonts w:ascii="Palatino Linotype" w:hAnsi="Palatino Linotype"/>
          <w:bCs/>
          <w:szCs w:val="18"/>
        </w:rPr>
      </w:pPr>
      <w:r>
        <w:rPr>
          <w:rFonts w:ascii="Arial" w:hAnsi="Arial" w:cs="Arial"/>
          <w:bCs/>
          <w:szCs w:val="18"/>
        </w:rPr>
        <w:t xml:space="preserve">                                                                                           </w:t>
      </w:r>
      <w:r w:rsidRPr="00303F1A">
        <w:rPr>
          <w:rFonts w:ascii="Palatino Linotype" w:hAnsi="Palatino Linotype" w:cs="Calibri"/>
          <w:noProof/>
          <w:sz w:val="18"/>
          <w:szCs w:val="18"/>
          <w:lang w:eastAsia="es-CO"/>
        </w:rPr>
        <w:drawing>
          <wp:anchor distT="0" distB="0" distL="114300" distR="114300" simplePos="0" relativeHeight="251659264" behindDoc="1" locked="1" layoutInCell="1" allowOverlap="1" wp14:anchorId="796E9BDA" wp14:editId="235DF528">
            <wp:simplePos x="0" y="0"/>
            <wp:positionH relativeFrom="margin">
              <wp:posOffset>-106680</wp:posOffset>
            </wp:positionH>
            <wp:positionV relativeFrom="line">
              <wp:posOffset>110490</wp:posOffset>
            </wp:positionV>
            <wp:extent cx="2905125" cy="848995"/>
            <wp:effectExtent l="0" t="0" r="9525" b="8255"/>
            <wp:wrapThrough wrapText="bothSides">
              <wp:wrapPolygon edited="0">
                <wp:start x="0" y="0"/>
                <wp:lineTo x="0" y="21325"/>
                <wp:lineTo x="21529" y="21325"/>
                <wp:lineTo x="21529"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 CSJ.PNG"/>
                    <pic:cNvPicPr/>
                  </pic:nvPicPr>
                  <pic:blipFill>
                    <a:blip r:embed="rId6">
                      <a:extLst>
                        <a:ext uri="{28A0092B-C50C-407E-A947-70E740481C1C}">
                          <a14:useLocalDpi xmlns:a14="http://schemas.microsoft.com/office/drawing/2010/main" val="0"/>
                        </a:ext>
                      </a:extLst>
                    </a:blip>
                    <a:stretch>
                      <a:fillRect/>
                    </a:stretch>
                  </pic:blipFill>
                  <pic:spPr>
                    <a:xfrm>
                      <a:off x="0" y="0"/>
                      <a:ext cx="2905125" cy="848995"/>
                    </a:xfrm>
                    <a:prstGeom prst="rect">
                      <a:avLst/>
                    </a:prstGeom>
                  </pic:spPr>
                </pic:pic>
              </a:graphicData>
            </a:graphic>
            <wp14:sizeRelH relativeFrom="margin">
              <wp14:pctWidth>0</wp14:pctWidth>
            </wp14:sizeRelH>
            <wp14:sizeRelV relativeFrom="margin">
              <wp14:pctHeight>0</wp14:pctHeight>
            </wp14:sizeRelV>
          </wp:anchor>
        </w:drawing>
      </w:r>
    </w:p>
    <w:p w14:paraId="064DE8CB" w14:textId="77777777" w:rsidR="00411630" w:rsidRPr="00DD3987" w:rsidRDefault="00411630" w:rsidP="00411630">
      <w:pPr>
        <w:pStyle w:val="Lista"/>
        <w:spacing w:line="360" w:lineRule="auto"/>
        <w:ind w:left="0" w:firstLine="1"/>
        <w:jc w:val="both"/>
        <w:rPr>
          <w:rFonts w:ascii="Palatino Linotype" w:hAnsi="Palatino Linotype" w:cs="Calibri"/>
          <w:szCs w:val="28"/>
        </w:rPr>
      </w:pPr>
    </w:p>
    <w:p w14:paraId="75E87681" w14:textId="77777777" w:rsidR="00411630" w:rsidRDefault="00411630" w:rsidP="00411630">
      <w:pPr>
        <w:pStyle w:val="Lista"/>
        <w:spacing w:line="360" w:lineRule="auto"/>
        <w:ind w:left="0" w:firstLine="1"/>
        <w:jc w:val="both"/>
        <w:rPr>
          <w:rFonts w:ascii="Arial" w:hAnsi="Arial" w:cs="Arial"/>
          <w:szCs w:val="28"/>
          <w:lang w:val="es-CO"/>
        </w:rPr>
      </w:pPr>
    </w:p>
    <w:p w14:paraId="72172CFE" w14:textId="77777777" w:rsidR="00411630" w:rsidRDefault="00411630" w:rsidP="00411630">
      <w:pPr>
        <w:pStyle w:val="Lista"/>
        <w:spacing w:line="360" w:lineRule="auto"/>
        <w:ind w:left="0" w:firstLine="1"/>
        <w:jc w:val="both"/>
        <w:rPr>
          <w:rFonts w:ascii="Arial" w:hAnsi="Arial" w:cs="Arial"/>
          <w:szCs w:val="28"/>
        </w:rPr>
      </w:pPr>
    </w:p>
    <w:p w14:paraId="7E260F78" w14:textId="77777777" w:rsidR="00411630" w:rsidRDefault="00411630" w:rsidP="00411630">
      <w:pPr>
        <w:spacing w:line="360" w:lineRule="auto"/>
        <w:jc w:val="both"/>
        <w:rPr>
          <w:rFonts w:ascii="Arial" w:hAnsi="Arial" w:cs="Arial"/>
          <w:bCs/>
          <w:szCs w:val="18"/>
        </w:rPr>
      </w:pPr>
    </w:p>
    <w:p w14:paraId="152C70E6" w14:textId="77777777" w:rsidR="00411630" w:rsidRPr="00411630" w:rsidRDefault="00411630" w:rsidP="00411630">
      <w:pPr>
        <w:spacing w:line="360" w:lineRule="auto"/>
        <w:jc w:val="center"/>
        <w:rPr>
          <w:rFonts w:ascii="Arial" w:hAnsi="Arial" w:cs="Arial"/>
          <w:b/>
          <w:sz w:val="24"/>
          <w:szCs w:val="24"/>
        </w:rPr>
      </w:pPr>
      <w:r w:rsidRPr="003F195C">
        <w:rPr>
          <w:rFonts w:ascii="Arial" w:hAnsi="Arial" w:cs="Arial"/>
          <w:b/>
          <w:szCs w:val="18"/>
        </w:rPr>
        <w:t>RAMA JUDICIAL DEL</w:t>
      </w:r>
      <w:r w:rsidRPr="00411630">
        <w:rPr>
          <w:rFonts w:ascii="Arial" w:hAnsi="Arial" w:cs="Arial"/>
          <w:b/>
          <w:sz w:val="24"/>
          <w:szCs w:val="24"/>
        </w:rPr>
        <w:t xml:space="preserve"> PODER PÚBLICO</w:t>
      </w:r>
    </w:p>
    <w:p w14:paraId="64F3D63C" w14:textId="2C4426B9" w:rsidR="00411630" w:rsidRPr="00411630" w:rsidRDefault="00411630" w:rsidP="00411630">
      <w:pPr>
        <w:spacing w:line="360" w:lineRule="auto"/>
        <w:jc w:val="center"/>
        <w:rPr>
          <w:rFonts w:ascii="Arial" w:hAnsi="Arial" w:cs="Arial"/>
          <w:b/>
          <w:sz w:val="24"/>
          <w:szCs w:val="24"/>
        </w:rPr>
      </w:pPr>
      <w:r w:rsidRPr="00411630">
        <w:rPr>
          <w:rFonts w:ascii="Arial" w:hAnsi="Arial" w:cs="Arial"/>
          <w:b/>
          <w:sz w:val="24"/>
          <w:szCs w:val="24"/>
        </w:rPr>
        <w:t>JUZGADO TREINTA Y SEIS (36) CIVIL MUNICIPAL DE BOGOTÁ D.C.</w:t>
      </w:r>
    </w:p>
    <w:p w14:paraId="4D8E60F8" w14:textId="0C98F4FD" w:rsidR="00411630" w:rsidRDefault="00411630" w:rsidP="00411630">
      <w:pPr>
        <w:spacing w:line="360" w:lineRule="auto"/>
        <w:jc w:val="center"/>
        <w:rPr>
          <w:rFonts w:ascii="Arial" w:hAnsi="Arial" w:cs="Arial"/>
          <w:b/>
          <w:sz w:val="24"/>
          <w:szCs w:val="24"/>
        </w:rPr>
      </w:pPr>
      <w:proofErr w:type="spellStart"/>
      <w:r w:rsidRPr="00411630">
        <w:rPr>
          <w:rFonts w:ascii="Arial" w:hAnsi="Arial" w:cs="Arial"/>
          <w:b/>
          <w:sz w:val="24"/>
          <w:szCs w:val="24"/>
        </w:rPr>
        <w:t>Ref</w:t>
      </w:r>
      <w:proofErr w:type="spellEnd"/>
      <w:r>
        <w:rPr>
          <w:rFonts w:ascii="Arial" w:hAnsi="Arial" w:cs="Arial"/>
          <w:b/>
          <w:sz w:val="24"/>
          <w:szCs w:val="24"/>
        </w:rPr>
        <w:t>: 11001-40-03-036-2017-00475</w:t>
      </w:r>
    </w:p>
    <w:p w14:paraId="62FB4787" w14:textId="17627F6D" w:rsidR="00D03554" w:rsidRDefault="00D03554" w:rsidP="00411630">
      <w:pPr>
        <w:spacing w:line="360" w:lineRule="auto"/>
        <w:jc w:val="center"/>
        <w:rPr>
          <w:rFonts w:ascii="Arial" w:hAnsi="Arial" w:cs="Arial"/>
          <w:b/>
          <w:sz w:val="24"/>
          <w:szCs w:val="24"/>
        </w:rPr>
      </w:pPr>
      <w:r>
        <w:rPr>
          <w:rFonts w:ascii="Arial" w:hAnsi="Arial" w:cs="Arial"/>
          <w:b/>
          <w:sz w:val="24"/>
          <w:szCs w:val="24"/>
        </w:rPr>
        <w:t>Veintiuno (21) de julio de dos mil veinte (2020)</w:t>
      </w:r>
    </w:p>
    <w:p w14:paraId="0822816D" w14:textId="417A0B55" w:rsidR="00411630" w:rsidRDefault="00411630" w:rsidP="00411630">
      <w:pPr>
        <w:spacing w:line="360" w:lineRule="auto"/>
        <w:jc w:val="both"/>
        <w:rPr>
          <w:rFonts w:ascii="Arial" w:hAnsi="Arial" w:cs="Arial"/>
          <w:b/>
          <w:sz w:val="24"/>
          <w:szCs w:val="24"/>
        </w:rPr>
      </w:pPr>
    </w:p>
    <w:p w14:paraId="40427B8B" w14:textId="0D16DEA8" w:rsidR="008B580A" w:rsidRDefault="004B74F6" w:rsidP="004B74F6">
      <w:pPr>
        <w:spacing w:line="360" w:lineRule="auto"/>
        <w:jc w:val="both"/>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Cs/>
          <w:sz w:val="24"/>
          <w:szCs w:val="24"/>
        </w:rPr>
        <w:t>Acreditado el fallecimiento del demandante JOSE IBARDO SUAREZ MARROQUIN</w:t>
      </w:r>
      <w:r w:rsidR="003B5D2C">
        <w:rPr>
          <w:rFonts w:ascii="Arial" w:hAnsi="Arial" w:cs="Arial"/>
          <w:bCs/>
          <w:sz w:val="24"/>
          <w:szCs w:val="24"/>
        </w:rPr>
        <w:t xml:space="preserve"> (</w:t>
      </w:r>
      <w:proofErr w:type="spellStart"/>
      <w:r w:rsidR="003B5D2C">
        <w:rPr>
          <w:rFonts w:ascii="Arial" w:hAnsi="Arial" w:cs="Arial"/>
          <w:bCs/>
          <w:sz w:val="24"/>
          <w:szCs w:val="24"/>
        </w:rPr>
        <w:t>q.e.p.d</w:t>
      </w:r>
      <w:proofErr w:type="spellEnd"/>
      <w:r w:rsidR="003B5D2C">
        <w:rPr>
          <w:rFonts w:ascii="Arial" w:hAnsi="Arial" w:cs="Arial"/>
          <w:bCs/>
          <w:sz w:val="24"/>
          <w:szCs w:val="24"/>
        </w:rPr>
        <w:t>)</w:t>
      </w:r>
      <w:r>
        <w:rPr>
          <w:rFonts w:ascii="Arial" w:hAnsi="Arial" w:cs="Arial"/>
          <w:bCs/>
          <w:sz w:val="24"/>
          <w:szCs w:val="24"/>
        </w:rPr>
        <w:t xml:space="preserve">, el pasado 22 de abril, conforme a la documental allegada, se advierte que, de acuerdo con lo previsto en el artículo 68 del Código General del Proceso, </w:t>
      </w:r>
      <w:r w:rsidR="00026A69">
        <w:rPr>
          <w:rFonts w:ascii="Arial" w:hAnsi="Arial" w:cs="Arial"/>
          <w:bCs/>
          <w:sz w:val="24"/>
          <w:szCs w:val="24"/>
        </w:rPr>
        <w:t>por ministerio de la ley, el litigante fallecido transmite la condición de parte a los sucesores, es decir, sus herederos y eventualmente la cónyuge supérstite, por lo que, para continuar el tramite normal del proceso, se dispone:</w:t>
      </w:r>
    </w:p>
    <w:p w14:paraId="304CAD4B" w14:textId="08A0F123" w:rsidR="00026A69" w:rsidRDefault="00026A69" w:rsidP="004B74F6">
      <w:pPr>
        <w:spacing w:line="360" w:lineRule="auto"/>
        <w:jc w:val="both"/>
        <w:rPr>
          <w:rFonts w:ascii="Arial" w:hAnsi="Arial" w:cs="Arial"/>
          <w:bCs/>
          <w:sz w:val="24"/>
          <w:szCs w:val="24"/>
        </w:rPr>
      </w:pPr>
    </w:p>
    <w:p w14:paraId="50414B9D" w14:textId="77777777" w:rsidR="003B5D2C" w:rsidRDefault="00026A69" w:rsidP="004B74F6">
      <w:pPr>
        <w:spacing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Requiérase a la apoderada judicial del litigante fallecido, quien conserva la condición, de conformidad con lo dispuesto en el artículo 76 del Código General del Proceso, para que en el término de cinco (5) días, contados desde la notificación que por estado se haga del presente auto, informe sobre la existencia de herederos determinados, y cónyuge supérstite, así mismo, respecto si se inició el juicio de sucesión</w:t>
      </w:r>
      <w:r w:rsidR="003B5D2C">
        <w:rPr>
          <w:rFonts w:ascii="Arial" w:hAnsi="Arial" w:cs="Arial"/>
          <w:bCs/>
          <w:sz w:val="24"/>
          <w:szCs w:val="24"/>
        </w:rPr>
        <w:t>, y proceda con la citación de éstos, quienes deberán acreditar la calidad al momento en que concurran al proceso.</w:t>
      </w:r>
    </w:p>
    <w:p w14:paraId="09371256" w14:textId="77777777" w:rsidR="003B5D2C" w:rsidRDefault="003B5D2C" w:rsidP="004B74F6">
      <w:pPr>
        <w:spacing w:line="360" w:lineRule="auto"/>
        <w:jc w:val="both"/>
        <w:rPr>
          <w:rFonts w:ascii="Arial" w:hAnsi="Arial" w:cs="Arial"/>
          <w:bCs/>
          <w:sz w:val="24"/>
          <w:szCs w:val="24"/>
        </w:rPr>
      </w:pPr>
    </w:p>
    <w:p w14:paraId="187C9458" w14:textId="6242EB71" w:rsidR="003B5D2C" w:rsidRDefault="003B5D2C" w:rsidP="004B74F6">
      <w:pPr>
        <w:spacing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 xml:space="preserve">En caso de no haberse iniciado el juicio de sucesión, la apoderada judicial, informe en el término concedido antes, con el fin de realizar el trámite de </w:t>
      </w:r>
      <w:r>
        <w:rPr>
          <w:rFonts w:ascii="Arial" w:hAnsi="Arial" w:cs="Arial"/>
          <w:bCs/>
          <w:sz w:val="24"/>
          <w:szCs w:val="24"/>
        </w:rPr>
        <w:lastRenderedPageBreak/>
        <w:t>emplazamiento</w:t>
      </w:r>
      <w:r w:rsidR="00D03554">
        <w:rPr>
          <w:rFonts w:ascii="Arial" w:hAnsi="Arial" w:cs="Arial"/>
          <w:bCs/>
          <w:sz w:val="24"/>
          <w:szCs w:val="24"/>
        </w:rPr>
        <w:t xml:space="preserve"> de los herederos indeterminados del litigante fallecido</w:t>
      </w:r>
      <w:r w:rsidR="00F30F46">
        <w:rPr>
          <w:rFonts w:ascii="Arial" w:hAnsi="Arial" w:cs="Arial"/>
          <w:bCs/>
          <w:sz w:val="24"/>
          <w:szCs w:val="24"/>
        </w:rPr>
        <w:t>,</w:t>
      </w:r>
      <w:r>
        <w:rPr>
          <w:rFonts w:ascii="Arial" w:hAnsi="Arial" w:cs="Arial"/>
          <w:bCs/>
          <w:sz w:val="24"/>
          <w:szCs w:val="24"/>
        </w:rPr>
        <w:t xml:space="preserve"> por la secretaria del juzgado, conforme lo dispone el Decreto 806 de 2020, esto es, </w:t>
      </w:r>
      <w:r w:rsidR="00D03554">
        <w:rPr>
          <w:rFonts w:ascii="Arial" w:hAnsi="Arial" w:cs="Arial"/>
          <w:bCs/>
          <w:sz w:val="24"/>
          <w:szCs w:val="24"/>
        </w:rPr>
        <w:t xml:space="preserve">con la inserción </w:t>
      </w:r>
      <w:r>
        <w:rPr>
          <w:rFonts w:ascii="Arial" w:hAnsi="Arial" w:cs="Arial"/>
          <w:bCs/>
          <w:sz w:val="24"/>
          <w:szCs w:val="24"/>
        </w:rPr>
        <w:t>en el Registro Nacional de Personas Emplazadas, sin necesidad de publicación</w:t>
      </w:r>
      <w:r w:rsidR="00F30F46">
        <w:rPr>
          <w:rFonts w:ascii="Arial" w:hAnsi="Arial" w:cs="Arial"/>
          <w:bCs/>
          <w:sz w:val="24"/>
          <w:szCs w:val="24"/>
        </w:rPr>
        <w:t>.</w:t>
      </w:r>
    </w:p>
    <w:p w14:paraId="1C8D699D" w14:textId="78197550" w:rsidR="004F6565" w:rsidRDefault="004F6565" w:rsidP="004B74F6">
      <w:pPr>
        <w:spacing w:line="360" w:lineRule="auto"/>
        <w:jc w:val="both"/>
        <w:rPr>
          <w:rFonts w:ascii="Arial" w:hAnsi="Arial" w:cs="Arial"/>
          <w:bCs/>
          <w:sz w:val="24"/>
          <w:szCs w:val="24"/>
        </w:rPr>
      </w:pPr>
    </w:p>
    <w:p w14:paraId="03B670A2" w14:textId="356DFD82" w:rsidR="004F6565" w:rsidRDefault="004F6565" w:rsidP="004B74F6">
      <w:pPr>
        <w:spacing w:line="360" w:lineRule="auto"/>
        <w:jc w:val="both"/>
        <w:rPr>
          <w:rFonts w:ascii="Arial" w:hAnsi="Arial" w:cs="Arial"/>
          <w:bCs/>
          <w:sz w:val="24"/>
          <w:szCs w:val="24"/>
        </w:rPr>
      </w:pPr>
      <w:r>
        <w:rPr>
          <w:rFonts w:ascii="Arial" w:hAnsi="Arial" w:cs="Arial"/>
          <w:bCs/>
          <w:sz w:val="24"/>
          <w:szCs w:val="24"/>
        </w:rPr>
        <w:tab/>
      </w:r>
      <w:r>
        <w:rPr>
          <w:rFonts w:ascii="Arial" w:hAnsi="Arial" w:cs="Arial"/>
          <w:bCs/>
          <w:sz w:val="24"/>
          <w:szCs w:val="24"/>
        </w:rPr>
        <w:tab/>
        <w:t xml:space="preserve">Por lo anterior, se aplaza la practica de la audiencia que contempla los artículos 372 y 373 del Código General del Proceso, con el fin de garantizar el debido proceso de quienes deben conformar el extremo actor, por sucesión procesal. </w:t>
      </w:r>
    </w:p>
    <w:p w14:paraId="765AE666" w14:textId="1845CD98" w:rsidR="003B5D2C" w:rsidRDefault="003B5D2C" w:rsidP="004B74F6">
      <w:pPr>
        <w:spacing w:line="360" w:lineRule="auto"/>
        <w:jc w:val="both"/>
        <w:rPr>
          <w:rFonts w:ascii="Arial" w:hAnsi="Arial" w:cs="Arial"/>
          <w:bCs/>
          <w:sz w:val="24"/>
          <w:szCs w:val="24"/>
        </w:rPr>
      </w:pPr>
    </w:p>
    <w:p w14:paraId="6772FDAC" w14:textId="77777777" w:rsidR="003B5D2C" w:rsidRPr="003B5D2C" w:rsidRDefault="003B5D2C" w:rsidP="004B74F6">
      <w:pPr>
        <w:spacing w:line="360" w:lineRule="auto"/>
        <w:jc w:val="both"/>
        <w:rPr>
          <w:rFonts w:ascii="Arial" w:hAnsi="Arial" w:cs="Arial"/>
          <w:b/>
          <w:sz w:val="24"/>
          <w:szCs w:val="24"/>
        </w:rPr>
      </w:pPr>
      <w:r w:rsidRPr="003B5D2C">
        <w:rPr>
          <w:rFonts w:ascii="Arial" w:hAnsi="Arial" w:cs="Arial"/>
          <w:b/>
          <w:sz w:val="24"/>
          <w:szCs w:val="24"/>
        </w:rPr>
        <w:t>Notifíquese,</w:t>
      </w:r>
    </w:p>
    <w:p w14:paraId="3C807E3E" w14:textId="2D8C3828" w:rsidR="003B5D2C" w:rsidRDefault="003B5D2C" w:rsidP="003B5D2C">
      <w:pPr>
        <w:spacing w:line="360" w:lineRule="auto"/>
        <w:jc w:val="center"/>
        <w:rPr>
          <w:rFonts w:ascii="Arial" w:hAnsi="Arial" w:cs="Arial"/>
          <w:bCs/>
          <w:sz w:val="24"/>
          <w:szCs w:val="24"/>
        </w:rPr>
      </w:pPr>
      <w:r>
        <w:rPr>
          <w:noProof/>
        </w:rPr>
        <w:drawing>
          <wp:inline distT="0" distB="0" distL="0" distR="0" wp14:anchorId="6F31DDED" wp14:editId="671BB8C4">
            <wp:extent cx="2499360" cy="17068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1706880"/>
                    </a:xfrm>
                    <a:prstGeom prst="rect">
                      <a:avLst/>
                    </a:prstGeom>
                    <a:noFill/>
                    <a:ln>
                      <a:noFill/>
                    </a:ln>
                  </pic:spPr>
                </pic:pic>
              </a:graphicData>
            </a:graphic>
          </wp:inline>
        </w:drawing>
      </w:r>
    </w:p>
    <w:p w14:paraId="48ED017B" w14:textId="5A5649B0" w:rsidR="003B5D2C" w:rsidRDefault="003B5D2C" w:rsidP="003B5D2C">
      <w:pPr>
        <w:spacing w:line="360" w:lineRule="auto"/>
        <w:jc w:val="center"/>
        <w:rPr>
          <w:rFonts w:ascii="Arial" w:hAnsi="Arial" w:cs="Arial"/>
          <w:b/>
          <w:sz w:val="24"/>
          <w:szCs w:val="24"/>
        </w:rPr>
      </w:pPr>
      <w:r>
        <w:rPr>
          <w:rFonts w:ascii="Arial" w:hAnsi="Arial" w:cs="Arial"/>
          <w:b/>
          <w:sz w:val="24"/>
          <w:szCs w:val="24"/>
        </w:rPr>
        <w:t>EDITH CONSTANZA LOZANO LINARES</w:t>
      </w:r>
    </w:p>
    <w:p w14:paraId="3B55DBB3" w14:textId="204A9920" w:rsidR="003B5D2C" w:rsidRDefault="003B5D2C" w:rsidP="003B5D2C">
      <w:pPr>
        <w:spacing w:line="360" w:lineRule="auto"/>
        <w:jc w:val="center"/>
        <w:rPr>
          <w:rFonts w:ascii="Arial" w:hAnsi="Arial" w:cs="Arial"/>
          <w:b/>
          <w:sz w:val="24"/>
          <w:szCs w:val="24"/>
        </w:rPr>
      </w:pPr>
      <w:r>
        <w:rPr>
          <w:rFonts w:ascii="Arial" w:hAnsi="Arial" w:cs="Arial"/>
          <w:b/>
          <w:sz w:val="24"/>
          <w:szCs w:val="24"/>
        </w:rPr>
        <w:t>JUEZ</w:t>
      </w:r>
    </w:p>
    <w:p w14:paraId="68E1154C" w14:textId="1DFAF90D" w:rsidR="003B5D2C" w:rsidRDefault="003B5D2C" w:rsidP="003B5D2C">
      <w:pPr>
        <w:spacing w:line="360" w:lineRule="auto"/>
        <w:jc w:val="center"/>
        <w:rPr>
          <w:rFonts w:ascii="Arial" w:hAnsi="Arial" w:cs="Arial"/>
          <w:b/>
          <w:sz w:val="24"/>
          <w:szCs w:val="24"/>
        </w:rPr>
      </w:pPr>
    </w:p>
    <w:p w14:paraId="4031258A" w14:textId="3879F35A" w:rsidR="003B5D2C" w:rsidRDefault="003B5D2C" w:rsidP="003B5D2C">
      <w:pPr>
        <w:spacing w:line="360" w:lineRule="auto"/>
        <w:jc w:val="center"/>
        <w:rPr>
          <w:rFonts w:ascii="Arial" w:hAnsi="Arial" w:cs="Arial"/>
          <w:b/>
          <w:sz w:val="24"/>
          <w:szCs w:val="24"/>
        </w:rPr>
      </w:pPr>
    </w:p>
    <w:p w14:paraId="3979A3D4" w14:textId="0A8ED795" w:rsidR="003B5D2C" w:rsidRDefault="003B5D2C" w:rsidP="003B5D2C">
      <w:pPr>
        <w:spacing w:line="360" w:lineRule="auto"/>
        <w:jc w:val="center"/>
        <w:rPr>
          <w:rFonts w:ascii="Arial" w:hAnsi="Arial" w:cs="Arial"/>
          <w:b/>
          <w:sz w:val="24"/>
          <w:szCs w:val="24"/>
        </w:rPr>
      </w:pPr>
    </w:p>
    <w:p w14:paraId="24F12142" w14:textId="77777777" w:rsidR="003B5D2C" w:rsidRPr="003B5D2C" w:rsidRDefault="003B5D2C" w:rsidP="003B5D2C">
      <w:pPr>
        <w:spacing w:line="360" w:lineRule="auto"/>
        <w:jc w:val="center"/>
        <w:rPr>
          <w:rFonts w:ascii="Arial" w:hAnsi="Arial" w:cs="Arial"/>
          <w:b/>
          <w:sz w:val="24"/>
          <w:szCs w:val="24"/>
        </w:rPr>
      </w:pPr>
    </w:p>
    <w:p w14:paraId="16346984" w14:textId="77777777" w:rsidR="003B5D2C" w:rsidRDefault="003B5D2C" w:rsidP="004B74F6">
      <w:pPr>
        <w:spacing w:line="360" w:lineRule="auto"/>
        <w:jc w:val="both"/>
        <w:rPr>
          <w:rFonts w:ascii="Arial" w:hAnsi="Arial" w:cs="Arial"/>
          <w:bCs/>
          <w:sz w:val="24"/>
          <w:szCs w:val="24"/>
        </w:rPr>
      </w:pPr>
    </w:p>
    <w:p w14:paraId="214F8BDB" w14:textId="57E57313" w:rsidR="00026A69" w:rsidRDefault="00026A69" w:rsidP="004B74F6">
      <w:pPr>
        <w:spacing w:line="360" w:lineRule="auto"/>
        <w:jc w:val="both"/>
      </w:pPr>
      <w:r>
        <w:rPr>
          <w:rFonts w:ascii="Arial" w:hAnsi="Arial" w:cs="Arial"/>
          <w:bCs/>
          <w:sz w:val="24"/>
          <w:szCs w:val="24"/>
        </w:rPr>
        <w:t xml:space="preserve">  </w:t>
      </w:r>
    </w:p>
    <w:sectPr w:rsidR="00026A6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BE6AC" w14:textId="77777777" w:rsidR="003B5D2C" w:rsidRDefault="003B5D2C" w:rsidP="003B5D2C">
      <w:pPr>
        <w:spacing w:after="0" w:line="240" w:lineRule="auto"/>
      </w:pPr>
      <w:r>
        <w:separator/>
      </w:r>
    </w:p>
  </w:endnote>
  <w:endnote w:type="continuationSeparator" w:id="0">
    <w:p w14:paraId="6A13C811" w14:textId="77777777" w:rsidR="003B5D2C" w:rsidRDefault="003B5D2C" w:rsidP="003B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A0C0D" w14:textId="5B2A40D6" w:rsidR="003B5D2C" w:rsidRDefault="003B5D2C">
    <w:pPr>
      <w:pStyle w:val="Piedepgina"/>
    </w:pPr>
    <w:r>
      <w:t>La anterior decisión se notifica por estado electrónico el día 22 DE JULIO DE 2020.</w:t>
    </w:r>
  </w:p>
  <w:p w14:paraId="7C48971F" w14:textId="77777777" w:rsidR="003B5D2C" w:rsidRDefault="003B5D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D3A9D" w14:textId="77777777" w:rsidR="003B5D2C" w:rsidRDefault="003B5D2C" w:rsidP="003B5D2C">
      <w:pPr>
        <w:spacing w:after="0" w:line="240" w:lineRule="auto"/>
      </w:pPr>
      <w:r>
        <w:separator/>
      </w:r>
    </w:p>
  </w:footnote>
  <w:footnote w:type="continuationSeparator" w:id="0">
    <w:p w14:paraId="618AE773" w14:textId="77777777" w:rsidR="003B5D2C" w:rsidRDefault="003B5D2C" w:rsidP="003B5D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30"/>
    <w:rsid w:val="00026A69"/>
    <w:rsid w:val="003B5D2C"/>
    <w:rsid w:val="00411630"/>
    <w:rsid w:val="004B74F6"/>
    <w:rsid w:val="004F6565"/>
    <w:rsid w:val="008B580A"/>
    <w:rsid w:val="00D03554"/>
    <w:rsid w:val="00F30F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CA97"/>
  <w15:chartTrackingRefBased/>
  <w15:docId w15:val="{162E31A1-516F-49FC-89A5-0F6DCE3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6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rsid w:val="00411630"/>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B5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5D2C"/>
  </w:style>
  <w:style w:type="paragraph" w:styleId="Piedepgina">
    <w:name w:val="footer"/>
    <w:basedOn w:val="Normal"/>
    <w:link w:val="PiedepginaCar"/>
    <w:uiPriority w:val="99"/>
    <w:unhideWhenUsed/>
    <w:rsid w:val="003B5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5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Lozano</dc:creator>
  <cp:keywords/>
  <dc:description/>
  <cp:lastModifiedBy>Constanza Lozano</cp:lastModifiedBy>
  <cp:revision>4</cp:revision>
  <dcterms:created xsi:type="dcterms:W3CDTF">2020-07-21T02:25:00Z</dcterms:created>
  <dcterms:modified xsi:type="dcterms:W3CDTF">2020-07-21T03:13:00Z</dcterms:modified>
</cp:coreProperties>
</file>