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3ED" w:rsidRPr="00544E31" w:rsidRDefault="008763ED" w:rsidP="008763ED">
      <w:pPr>
        <w:spacing w:after="0" w:line="240" w:lineRule="auto"/>
        <w:jc w:val="center"/>
        <w:rPr>
          <w:rFonts w:ascii="Verdana" w:eastAsia="Times New Roman" w:hAnsi="Verdana" w:cs="Times New Roman"/>
          <w:i/>
          <w:sz w:val="24"/>
          <w:szCs w:val="24"/>
          <w:lang w:val="es-ES_tradnl" w:eastAsia="es-ES"/>
        </w:rPr>
      </w:pPr>
      <w:r w:rsidRPr="00544E31">
        <w:rPr>
          <w:rFonts w:ascii="Verdana" w:eastAsia="Times New Roman" w:hAnsi="Verdana" w:cs="Times New Roman"/>
          <w:b/>
          <w:i/>
          <w:sz w:val="24"/>
          <w:szCs w:val="24"/>
          <w:u w:val="single"/>
          <w:lang w:val="es-ES_tradnl" w:eastAsia="es-ES"/>
        </w:rPr>
        <w:t>JUZGADO PROMISCUO MUNICIPAL</w:t>
      </w:r>
    </w:p>
    <w:p w:rsidR="008763ED" w:rsidRPr="00544E31" w:rsidRDefault="008763ED" w:rsidP="008763ED">
      <w:pPr>
        <w:spacing w:after="0" w:line="240" w:lineRule="auto"/>
        <w:jc w:val="center"/>
        <w:rPr>
          <w:rFonts w:ascii="Verdana" w:eastAsia="Times New Roman" w:hAnsi="Verdana" w:cs="Times New Roman"/>
          <w:sz w:val="24"/>
          <w:szCs w:val="24"/>
          <w:lang w:val="es-ES_tradnl" w:eastAsia="es-ES"/>
        </w:rPr>
      </w:pPr>
    </w:p>
    <w:p w:rsidR="008763ED" w:rsidRPr="00544E31" w:rsidRDefault="008763ED" w:rsidP="008763ED">
      <w:pPr>
        <w:spacing w:after="0" w:line="360" w:lineRule="auto"/>
        <w:jc w:val="center"/>
        <w:rPr>
          <w:rFonts w:ascii="Verdana" w:eastAsia="Times New Roman" w:hAnsi="Verdana" w:cs="Times New Roman"/>
          <w:i/>
          <w:sz w:val="24"/>
          <w:szCs w:val="24"/>
          <w:lang w:val="es-ES_tradnl" w:eastAsia="es-ES"/>
        </w:rPr>
      </w:pPr>
    </w:p>
    <w:p w:rsidR="008763ED" w:rsidRDefault="008763ED" w:rsidP="008763ED">
      <w:pPr>
        <w:spacing w:after="0" w:line="360" w:lineRule="auto"/>
        <w:jc w:val="center"/>
        <w:rPr>
          <w:rFonts w:ascii="Verdana" w:eastAsia="Times New Roman" w:hAnsi="Verdana" w:cs="Times New Roman"/>
          <w:i/>
          <w:sz w:val="24"/>
          <w:szCs w:val="24"/>
          <w:lang w:val="es-ES_tradnl" w:eastAsia="es-ES"/>
        </w:rPr>
      </w:pPr>
      <w:r w:rsidRPr="00544E31">
        <w:rPr>
          <w:rFonts w:ascii="Verdana" w:eastAsia="Times New Roman" w:hAnsi="Verdana" w:cs="Times New Roman"/>
          <w:i/>
          <w:sz w:val="24"/>
          <w:szCs w:val="24"/>
          <w:lang w:val="es-ES_tradnl" w:eastAsia="es-ES"/>
        </w:rPr>
        <w:t xml:space="preserve">Concepción, Antioquia, </w:t>
      </w:r>
      <w:r>
        <w:rPr>
          <w:rFonts w:ascii="Verdana" w:eastAsia="Times New Roman" w:hAnsi="Verdana" w:cs="Times New Roman"/>
          <w:i/>
          <w:sz w:val="24"/>
          <w:szCs w:val="24"/>
          <w:lang w:val="es-ES_tradnl" w:eastAsia="es-ES"/>
        </w:rPr>
        <w:t xml:space="preserve">ocho </w:t>
      </w:r>
      <w:r w:rsidRPr="00544E31">
        <w:rPr>
          <w:rFonts w:ascii="Verdana" w:eastAsia="Times New Roman" w:hAnsi="Verdana" w:cs="Times New Roman"/>
          <w:i/>
          <w:sz w:val="24"/>
          <w:szCs w:val="24"/>
          <w:lang w:val="es-ES_tradnl" w:eastAsia="es-ES"/>
        </w:rPr>
        <w:t>(</w:t>
      </w:r>
      <w:r>
        <w:rPr>
          <w:rFonts w:ascii="Verdana" w:eastAsia="Times New Roman" w:hAnsi="Verdana" w:cs="Times New Roman"/>
          <w:i/>
          <w:sz w:val="24"/>
          <w:szCs w:val="24"/>
          <w:lang w:val="es-ES_tradnl" w:eastAsia="es-ES"/>
        </w:rPr>
        <w:t>08</w:t>
      </w:r>
      <w:r w:rsidRPr="00544E31">
        <w:rPr>
          <w:rFonts w:ascii="Verdana" w:eastAsia="Times New Roman" w:hAnsi="Verdana" w:cs="Times New Roman"/>
          <w:i/>
          <w:sz w:val="24"/>
          <w:szCs w:val="24"/>
          <w:lang w:val="es-ES_tradnl" w:eastAsia="es-ES"/>
        </w:rPr>
        <w:t>) de</w:t>
      </w:r>
      <w:r>
        <w:rPr>
          <w:rFonts w:ascii="Verdana" w:eastAsia="Times New Roman" w:hAnsi="Verdana" w:cs="Times New Roman"/>
          <w:i/>
          <w:sz w:val="24"/>
          <w:szCs w:val="24"/>
          <w:lang w:val="es-ES_tradnl" w:eastAsia="es-ES"/>
        </w:rPr>
        <w:t xml:space="preserve"> septiembre</w:t>
      </w:r>
    </w:p>
    <w:p w:rsidR="008763ED" w:rsidRPr="00544E31" w:rsidRDefault="008763ED" w:rsidP="008763ED">
      <w:pPr>
        <w:spacing w:after="0" w:line="360" w:lineRule="auto"/>
        <w:jc w:val="center"/>
        <w:rPr>
          <w:rFonts w:ascii="Verdana" w:eastAsia="Times New Roman" w:hAnsi="Verdana" w:cs="Times New Roman"/>
          <w:i/>
          <w:sz w:val="24"/>
          <w:szCs w:val="24"/>
          <w:lang w:val="es-ES_tradnl" w:eastAsia="es-ES"/>
        </w:rPr>
      </w:pPr>
      <w:r w:rsidRPr="00544E31">
        <w:rPr>
          <w:rFonts w:ascii="Verdana" w:eastAsia="Times New Roman" w:hAnsi="Verdana" w:cs="Times New Roman"/>
          <w:i/>
          <w:sz w:val="24"/>
          <w:szCs w:val="24"/>
          <w:lang w:val="es-ES_tradnl" w:eastAsia="es-ES"/>
        </w:rPr>
        <w:t xml:space="preserve">De dos mil </w:t>
      </w:r>
      <w:r>
        <w:rPr>
          <w:rFonts w:ascii="Verdana" w:eastAsia="Times New Roman" w:hAnsi="Verdana" w:cs="Times New Roman"/>
          <w:i/>
          <w:sz w:val="24"/>
          <w:szCs w:val="24"/>
          <w:lang w:val="es-ES_tradnl" w:eastAsia="es-ES"/>
        </w:rPr>
        <w:t xml:space="preserve">veinte </w:t>
      </w:r>
      <w:r w:rsidRPr="00544E31">
        <w:rPr>
          <w:rFonts w:ascii="Verdana" w:eastAsia="Times New Roman" w:hAnsi="Verdana" w:cs="Times New Roman"/>
          <w:i/>
          <w:sz w:val="24"/>
          <w:szCs w:val="24"/>
          <w:lang w:val="es-ES_tradnl" w:eastAsia="es-ES"/>
        </w:rPr>
        <w:t>(20</w:t>
      </w:r>
      <w:r>
        <w:rPr>
          <w:rFonts w:ascii="Verdana" w:eastAsia="Times New Roman" w:hAnsi="Verdana" w:cs="Times New Roman"/>
          <w:i/>
          <w:sz w:val="24"/>
          <w:szCs w:val="24"/>
          <w:lang w:val="es-ES_tradnl" w:eastAsia="es-ES"/>
        </w:rPr>
        <w:t>20</w:t>
      </w:r>
    </w:p>
    <w:p w:rsidR="008763ED" w:rsidRPr="00544E31" w:rsidRDefault="008763ED" w:rsidP="008763ED">
      <w:pPr>
        <w:spacing w:after="0" w:line="360" w:lineRule="auto"/>
        <w:rPr>
          <w:rFonts w:ascii="Verdana" w:eastAsia="Times New Roman" w:hAnsi="Verdana" w:cs="Times New Roman"/>
          <w:sz w:val="24"/>
          <w:szCs w:val="24"/>
          <w:lang w:val="es-ES_tradnl" w:eastAsia="es-ES"/>
        </w:rPr>
      </w:pPr>
    </w:p>
    <w:p w:rsidR="008763ED" w:rsidRPr="00544E31" w:rsidRDefault="008763ED" w:rsidP="008763ED">
      <w:pPr>
        <w:tabs>
          <w:tab w:val="left" w:pos="3402"/>
        </w:tabs>
        <w:spacing w:after="0" w:line="240" w:lineRule="auto"/>
        <w:jc w:val="both"/>
        <w:rPr>
          <w:rFonts w:ascii="Verdana" w:eastAsia="Times New Roman" w:hAnsi="Verdana" w:cs="Times New Roman"/>
          <w:sz w:val="24"/>
          <w:szCs w:val="24"/>
          <w:lang w:val="es-ES_tradnl" w:eastAsia="es-ES"/>
        </w:rPr>
      </w:pPr>
    </w:p>
    <w:tbl>
      <w:tblPr>
        <w:tblStyle w:val="Tablaconcuadrcula"/>
        <w:tblW w:w="0" w:type="auto"/>
        <w:tblInd w:w="988" w:type="dxa"/>
        <w:tblLook w:val="04A0" w:firstRow="1" w:lastRow="0" w:firstColumn="1" w:lastColumn="0" w:noHBand="0" w:noVBand="1"/>
      </w:tblPr>
      <w:tblGrid>
        <w:gridCol w:w="2126"/>
        <w:gridCol w:w="4252"/>
      </w:tblGrid>
      <w:tr w:rsidR="008763ED" w:rsidRPr="00544E31" w:rsidTr="006365FA">
        <w:tc>
          <w:tcPr>
            <w:tcW w:w="2126" w:type="dxa"/>
          </w:tcPr>
          <w:p w:rsidR="008763ED" w:rsidRPr="00544E31" w:rsidRDefault="008763ED" w:rsidP="006365FA">
            <w:pPr>
              <w:tabs>
                <w:tab w:val="left" w:pos="3402"/>
              </w:tabs>
              <w:jc w:val="both"/>
              <w:rPr>
                <w:rFonts w:ascii="Verdana" w:eastAsia="Times New Roman" w:hAnsi="Verdana" w:cs="Times New Roman"/>
                <w:i/>
                <w:sz w:val="20"/>
                <w:szCs w:val="20"/>
                <w:lang w:val="es-ES_tradnl" w:eastAsia="es-ES"/>
              </w:rPr>
            </w:pPr>
            <w:r w:rsidRPr="00544E31">
              <w:rPr>
                <w:rFonts w:ascii="Verdana" w:eastAsia="Times New Roman" w:hAnsi="Verdana" w:cs="Times New Roman"/>
                <w:i/>
                <w:sz w:val="20"/>
                <w:szCs w:val="20"/>
                <w:lang w:val="es-ES_tradnl" w:eastAsia="es-ES"/>
              </w:rPr>
              <w:t>Proceso:</w:t>
            </w:r>
          </w:p>
        </w:tc>
        <w:tc>
          <w:tcPr>
            <w:tcW w:w="4252" w:type="dxa"/>
          </w:tcPr>
          <w:p w:rsidR="008763ED" w:rsidRPr="00544E31" w:rsidRDefault="008763ED" w:rsidP="008763ED">
            <w:pPr>
              <w:tabs>
                <w:tab w:val="left" w:pos="3402"/>
              </w:tabs>
              <w:jc w:val="both"/>
              <w:rPr>
                <w:rFonts w:ascii="Verdana" w:eastAsia="Times New Roman" w:hAnsi="Verdana" w:cs="Times New Roman"/>
                <w:i/>
                <w:sz w:val="20"/>
                <w:szCs w:val="20"/>
                <w:lang w:val="es-ES_tradnl" w:eastAsia="es-ES"/>
              </w:rPr>
            </w:pPr>
            <w:r>
              <w:rPr>
                <w:rFonts w:ascii="Verdana" w:eastAsia="Times New Roman" w:hAnsi="Verdana" w:cs="Times New Roman"/>
                <w:i/>
                <w:sz w:val="20"/>
                <w:szCs w:val="20"/>
                <w:lang w:val="es-ES_tradnl" w:eastAsia="es-ES"/>
              </w:rPr>
              <w:t>Ejecutivo de Alimentos</w:t>
            </w:r>
          </w:p>
        </w:tc>
      </w:tr>
      <w:tr w:rsidR="008763ED" w:rsidRPr="00544E31" w:rsidTr="006365FA">
        <w:tc>
          <w:tcPr>
            <w:tcW w:w="2126" w:type="dxa"/>
          </w:tcPr>
          <w:p w:rsidR="008763ED" w:rsidRPr="00544E31" w:rsidRDefault="008763ED" w:rsidP="006365FA">
            <w:pPr>
              <w:tabs>
                <w:tab w:val="left" w:pos="3402"/>
              </w:tabs>
              <w:jc w:val="both"/>
              <w:rPr>
                <w:rFonts w:ascii="Verdana" w:eastAsia="Times New Roman" w:hAnsi="Verdana" w:cs="Times New Roman"/>
                <w:i/>
                <w:sz w:val="20"/>
                <w:szCs w:val="20"/>
                <w:lang w:val="es-ES_tradnl" w:eastAsia="es-ES"/>
              </w:rPr>
            </w:pPr>
            <w:r w:rsidRPr="00544E31">
              <w:rPr>
                <w:rFonts w:ascii="Verdana" w:eastAsia="Times New Roman" w:hAnsi="Verdana" w:cs="Times New Roman"/>
                <w:i/>
                <w:sz w:val="20"/>
                <w:szCs w:val="20"/>
                <w:lang w:val="es-ES_tradnl" w:eastAsia="es-ES"/>
              </w:rPr>
              <w:t>Radicado:</w:t>
            </w:r>
          </w:p>
        </w:tc>
        <w:tc>
          <w:tcPr>
            <w:tcW w:w="4252" w:type="dxa"/>
          </w:tcPr>
          <w:p w:rsidR="008763ED" w:rsidRPr="00544E31" w:rsidRDefault="008763ED" w:rsidP="008763ED">
            <w:pPr>
              <w:tabs>
                <w:tab w:val="left" w:pos="3402"/>
              </w:tabs>
              <w:jc w:val="both"/>
              <w:rPr>
                <w:rFonts w:ascii="Verdana" w:eastAsia="Times New Roman" w:hAnsi="Verdana" w:cs="Times New Roman"/>
                <w:i/>
                <w:sz w:val="20"/>
                <w:szCs w:val="20"/>
                <w:lang w:val="es-ES_tradnl" w:eastAsia="es-ES"/>
              </w:rPr>
            </w:pPr>
            <w:r w:rsidRPr="00544E31">
              <w:rPr>
                <w:rFonts w:ascii="Verdana" w:eastAsia="Times New Roman" w:hAnsi="Verdana" w:cs="Times New Roman"/>
                <w:i/>
                <w:sz w:val="20"/>
                <w:szCs w:val="20"/>
                <w:lang w:val="es-ES_tradnl" w:eastAsia="es-ES"/>
              </w:rPr>
              <w:t>05206-40-89-001-20</w:t>
            </w:r>
            <w:r>
              <w:rPr>
                <w:rFonts w:ascii="Verdana" w:eastAsia="Times New Roman" w:hAnsi="Verdana" w:cs="Times New Roman"/>
                <w:i/>
                <w:sz w:val="20"/>
                <w:szCs w:val="20"/>
                <w:lang w:val="es-ES_tradnl" w:eastAsia="es-ES"/>
              </w:rPr>
              <w:t>20</w:t>
            </w:r>
            <w:r w:rsidRPr="00544E31">
              <w:rPr>
                <w:rFonts w:ascii="Verdana" w:eastAsia="Times New Roman" w:hAnsi="Verdana" w:cs="Times New Roman"/>
                <w:i/>
                <w:sz w:val="20"/>
                <w:szCs w:val="20"/>
                <w:lang w:val="es-ES_tradnl" w:eastAsia="es-ES"/>
              </w:rPr>
              <w:t>-00</w:t>
            </w:r>
            <w:r>
              <w:rPr>
                <w:rFonts w:ascii="Verdana" w:eastAsia="Times New Roman" w:hAnsi="Verdana" w:cs="Times New Roman"/>
                <w:i/>
                <w:sz w:val="20"/>
                <w:szCs w:val="20"/>
                <w:lang w:val="es-ES_tradnl" w:eastAsia="es-ES"/>
              </w:rPr>
              <w:t>043</w:t>
            </w:r>
            <w:r w:rsidRPr="00544E31">
              <w:rPr>
                <w:rFonts w:ascii="Verdana" w:eastAsia="Times New Roman" w:hAnsi="Verdana" w:cs="Times New Roman"/>
                <w:i/>
                <w:sz w:val="20"/>
                <w:szCs w:val="20"/>
                <w:lang w:val="es-ES_tradnl" w:eastAsia="es-ES"/>
              </w:rPr>
              <w:t>-00</w:t>
            </w:r>
          </w:p>
        </w:tc>
      </w:tr>
      <w:tr w:rsidR="008763ED" w:rsidRPr="00544E31" w:rsidTr="006365FA">
        <w:tc>
          <w:tcPr>
            <w:tcW w:w="2126" w:type="dxa"/>
          </w:tcPr>
          <w:p w:rsidR="008763ED" w:rsidRPr="00544E31" w:rsidRDefault="008763ED" w:rsidP="006365FA">
            <w:pPr>
              <w:tabs>
                <w:tab w:val="left" w:pos="3402"/>
              </w:tabs>
              <w:jc w:val="both"/>
              <w:rPr>
                <w:rFonts w:ascii="Verdana" w:eastAsia="Times New Roman" w:hAnsi="Verdana" w:cs="Times New Roman"/>
                <w:i/>
                <w:sz w:val="20"/>
                <w:szCs w:val="20"/>
                <w:lang w:val="es-ES_tradnl" w:eastAsia="es-ES"/>
              </w:rPr>
            </w:pPr>
            <w:r w:rsidRPr="00544E31">
              <w:rPr>
                <w:rFonts w:ascii="Verdana" w:eastAsia="Times New Roman" w:hAnsi="Verdana" w:cs="Times New Roman"/>
                <w:i/>
                <w:sz w:val="20"/>
                <w:szCs w:val="20"/>
                <w:lang w:val="es-ES_tradnl" w:eastAsia="es-ES"/>
              </w:rPr>
              <w:t>Demandante:</w:t>
            </w:r>
          </w:p>
        </w:tc>
        <w:tc>
          <w:tcPr>
            <w:tcW w:w="4252" w:type="dxa"/>
          </w:tcPr>
          <w:p w:rsidR="008763ED" w:rsidRPr="00544E31" w:rsidRDefault="008763ED" w:rsidP="008763ED">
            <w:pPr>
              <w:tabs>
                <w:tab w:val="left" w:pos="3402"/>
              </w:tabs>
              <w:jc w:val="both"/>
              <w:rPr>
                <w:rFonts w:ascii="Verdana" w:eastAsia="Times New Roman" w:hAnsi="Verdana" w:cs="Times New Roman"/>
                <w:i/>
                <w:sz w:val="20"/>
                <w:szCs w:val="20"/>
                <w:lang w:val="es-ES_tradnl" w:eastAsia="es-ES"/>
              </w:rPr>
            </w:pPr>
            <w:r>
              <w:rPr>
                <w:rFonts w:ascii="Verdana" w:eastAsia="Times New Roman" w:hAnsi="Verdana" w:cs="Times New Roman"/>
                <w:i/>
                <w:sz w:val="20"/>
                <w:szCs w:val="20"/>
                <w:lang w:val="es-ES_tradnl" w:eastAsia="es-ES"/>
              </w:rPr>
              <w:t>Yohana Márquez Vergara</w:t>
            </w:r>
          </w:p>
        </w:tc>
      </w:tr>
      <w:tr w:rsidR="008763ED" w:rsidRPr="00544E31" w:rsidTr="006365FA">
        <w:tc>
          <w:tcPr>
            <w:tcW w:w="2126" w:type="dxa"/>
          </w:tcPr>
          <w:p w:rsidR="008763ED" w:rsidRPr="00544E31" w:rsidRDefault="008763ED" w:rsidP="006365FA">
            <w:pPr>
              <w:tabs>
                <w:tab w:val="left" w:pos="3402"/>
              </w:tabs>
              <w:jc w:val="both"/>
              <w:rPr>
                <w:rFonts w:ascii="Verdana" w:eastAsia="Times New Roman" w:hAnsi="Verdana" w:cs="Times New Roman"/>
                <w:i/>
                <w:sz w:val="20"/>
                <w:szCs w:val="20"/>
                <w:lang w:val="es-ES_tradnl" w:eastAsia="es-ES"/>
              </w:rPr>
            </w:pPr>
            <w:r w:rsidRPr="00544E31">
              <w:rPr>
                <w:rFonts w:ascii="Verdana" w:eastAsia="Times New Roman" w:hAnsi="Verdana" w:cs="Times New Roman"/>
                <w:i/>
                <w:sz w:val="20"/>
                <w:szCs w:val="20"/>
                <w:lang w:val="es-ES_tradnl" w:eastAsia="es-ES"/>
              </w:rPr>
              <w:t>Demandado:</w:t>
            </w:r>
          </w:p>
        </w:tc>
        <w:tc>
          <w:tcPr>
            <w:tcW w:w="4252" w:type="dxa"/>
          </w:tcPr>
          <w:p w:rsidR="008763ED" w:rsidRPr="00544E31" w:rsidRDefault="008763ED" w:rsidP="006365FA">
            <w:pPr>
              <w:tabs>
                <w:tab w:val="left" w:pos="3402"/>
              </w:tabs>
              <w:jc w:val="both"/>
              <w:rPr>
                <w:rFonts w:ascii="Verdana" w:eastAsia="Times New Roman" w:hAnsi="Verdana" w:cs="Times New Roman"/>
                <w:i/>
                <w:sz w:val="20"/>
                <w:szCs w:val="20"/>
                <w:lang w:val="es-ES_tradnl" w:eastAsia="es-ES"/>
              </w:rPr>
            </w:pPr>
            <w:r>
              <w:rPr>
                <w:rFonts w:ascii="Verdana" w:eastAsia="Times New Roman" w:hAnsi="Verdana" w:cs="Times New Roman"/>
                <w:i/>
                <w:sz w:val="20"/>
                <w:szCs w:val="20"/>
                <w:lang w:val="es-ES_tradnl" w:eastAsia="es-ES"/>
              </w:rPr>
              <w:t>Santiago Orrego Muñoz</w:t>
            </w:r>
          </w:p>
        </w:tc>
      </w:tr>
      <w:tr w:rsidR="008763ED" w:rsidRPr="00544E31" w:rsidTr="006365FA">
        <w:tc>
          <w:tcPr>
            <w:tcW w:w="2126" w:type="dxa"/>
          </w:tcPr>
          <w:p w:rsidR="008763ED" w:rsidRPr="00544E31" w:rsidRDefault="008763ED" w:rsidP="006365FA">
            <w:pPr>
              <w:tabs>
                <w:tab w:val="left" w:pos="3402"/>
              </w:tabs>
              <w:jc w:val="both"/>
              <w:rPr>
                <w:rFonts w:ascii="Verdana" w:eastAsia="Times New Roman" w:hAnsi="Verdana" w:cs="Times New Roman"/>
                <w:i/>
                <w:sz w:val="20"/>
                <w:szCs w:val="20"/>
                <w:lang w:val="es-ES_tradnl" w:eastAsia="es-ES"/>
              </w:rPr>
            </w:pPr>
            <w:r w:rsidRPr="00544E31">
              <w:rPr>
                <w:rFonts w:ascii="Verdana" w:eastAsia="Times New Roman" w:hAnsi="Verdana" w:cs="Times New Roman"/>
                <w:i/>
                <w:sz w:val="20"/>
                <w:szCs w:val="20"/>
                <w:lang w:val="es-ES_tradnl" w:eastAsia="es-ES"/>
              </w:rPr>
              <w:t>Asunto:</w:t>
            </w:r>
          </w:p>
        </w:tc>
        <w:tc>
          <w:tcPr>
            <w:tcW w:w="4252" w:type="dxa"/>
          </w:tcPr>
          <w:p w:rsidR="008763ED" w:rsidRPr="00544E31" w:rsidRDefault="008763ED" w:rsidP="008763ED">
            <w:pPr>
              <w:tabs>
                <w:tab w:val="left" w:pos="3402"/>
              </w:tabs>
              <w:jc w:val="both"/>
              <w:rPr>
                <w:rFonts w:ascii="Verdana" w:eastAsia="Times New Roman" w:hAnsi="Verdana" w:cs="Times New Roman"/>
                <w:i/>
                <w:sz w:val="20"/>
                <w:szCs w:val="20"/>
                <w:lang w:val="es-ES_tradnl" w:eastAsia="es-ES"/>
              </w:rPr>
            </w:pPr>
            <w:r>
              <w:rPr>
                <w:rFonts w:ascii="Verdana" w:eastAsia="Times New Roman" w:hAnsi="Verdana" w:cs="Times New Roman"/>
                <w:i/>
                <w:sz w:val="20"/>
                <w:szCs w:val="20"/>
                <w:lang w:val="es-ES_tradnl" w:eastAsia="es-ES"/>
              </w:rPr>
              <w:t>Ina</w:t>
            </w:r>
            <w:r w:rsidRPr="00544E31">
              <w:rPr>
                <w:rFonts w:ascii="Verdana" w:eastAsia="Times New Roman" w:hAnsi="Verdana" w:cs="Times New Roman"/>
                <w:i/>
                <w:sz w:val="20"/>
                <w:szCs w:val="20"/>
                <w:lang w:val="es-ES_tradnl" w:eastAsia="es-ES"/>
              </w:rPr>
              <w:t>dmite demanda</w:t>
            </w:r>
          </w:p>
        </w:tc>
      </w:tr>
      <w:tr w:rsidR="008763ED" w:rsidRPr="00544E31" w:rsidTr="006365FA">
        <w:tc>
          <w:tcPr>
            <w:tcW w:w="2126" w:type="dxa"/>
          </w:tcPr>
          <w:p w:rsidR="008763ED" w:rsidRPr="00544E31" w:rsidRDefault="008763ED" w:rsidP="006365FA">
            <w:pPr>
              <w:tabs>
                <w:tab w:val="left" w:pos="3402"/>
              </w:tabs>
              <w:jc w:val="both"/>
              <w:rPr>
                <w:rFonts w:ascii="Verdana" w:eastAsia="Times New Roman" w:hAnsi="Verdana" w:cs="Times New Roman"/>
                <w:i/>
                <w:sz w:val="20"/>
                <w:szCs w:val="20"/>
                <w:lang w:val="es-ES_tradnl" w:eastAsia="es-ES"/>
              </w:rPr>
            </w:pPr>
            <w:r w:rsidRPr="00544E31">
              <w:rPr>
                <w:rFonts w:ascii="Verdana" w:eastAsia="Times New Roman" w:hAnsi="Verdana" w:cs="Times New Roman"/>
                <w:i/>
                <w:sz w:val="20"/>
                <w:szCs w:val="20"/>
                <w:lang w:val="es-ES_tradnl" w:eastAsia="es-ES"/>
              </w:rPr>
              <w:t>Providencia:</w:t>
            </w:r>
          </w:p>
        </w:tc>
        <w:tc>
          <w:tcPr>
            <w:tcW w:w="4252" w:type="dxa"/>
          </w:tcPr>
          <w:p w:rsidR="008763ED" w:rsidRPr="00544E31" w:rsidRDefault="008763ED" w:rsidP="008763ED">
            <w:pPr>
              <w:tabs>
                <w:tab w:val="left" w:pos="3402"/>
              </w:tabs>
              <w:jc w:val="both"/>
              <w:rPr>
                <w:rFonts w:ascii="Verdana" w:eastAsia="Times New Roman" w:hAnsi="Verdana" w:cs="Times New Roman"/>
                <w:i/>
                <w:sz w:val="20"/>
                <w:szCs w:val="20"/>
                <w:lang w:val="es-ES_tradnl" w:eastAsia="es-ES"/>
              </w:rPr>
            </w:pPr>
            <w:r w:rsidRPr="00544E31">
              <w:rPr>
                <w:rFonts w:ascii="Verdana" w:eastAsia="Times New Roman" w:hAnsi="Verdana" w:cs="Times New Roman"/>
                <w:i/>
                <w:sz w:val="20"/>
                <w:szCs w:val="20"/>
                <w:lang w:val="es-ES_tradnl" w:eastAsia="es-ES"/>
              </w:rPr>
              <w:t xml:space="preserve">Interlocutorio No. </w:t>
            </w:r>
            <w:r>
              <w:rPr>
                <w:rFonts w:ascii="Verdana" w:eastAsia="Times New Roman" w:hAnsi="Verdana" w:cs="Times New Roman"/>
                <w:i/>
                <w:sz w:val="20"/>
                <w:szCs w:val="20"/>
                <w:lang w:val="es-ES_tradnl" w:eastAsia="es-ES"/>
              </w:rPr>
              <w:t>096</w:t>
            </w:r>
          </w:p>
        </w:tc>
      </w:tr>
    </w:tbl>
    <w:p w:rsidR="008763ED" w:rsidRPr="00544E31" w:rsidRDefault="008763ED" w:rsidP="008763ED">
      <w:pPr>
        <w:tabs>
          <w:tab w:val="left" w:pos="3402"/>
        </w:tabs>
        <w:spacing w:after="0" w:line="240" w:lineRule="auto"/>
        <w:jc w:val="both"/>
        <w:rPr>
          <w:rFonts w:ascii="Verdana" w:eastAsia="Times New Roman" w:hAnsi="Verdana" w:cs="Times New Roman"/>
          <w:i/>
          <w:sz w:val="24"/>
          <w:szCs w:val="24"/>
          <w:lang w:val="es-ES_tradnl" w:eastAsia="es-ES"/>
        </w:rPr>
      </w:pPr>
    </w:p>
    <w:p w:rsidR="008763ED" w:rsidRDefault="008763ED" w:rsidP="008763ED">
      <w:pPr>
        <w:widowControl w:val="0"/>
        <w:suppressAutoHyphens/>
        <w:autoSpaceDN w:val="0"/>
        <w:spacing w:after="0" w:line="360" w:lineRule="auto"/>
        <w:jc w:val="both"/>
        <w:textAlignment w:val="baseline"/>
        <w:rPr>
          <w:rFonts w:ascii="Verdana" w:eastAsia="SimSun" w:hAnsi="Verdana" w:cs="Mangal"/>
          <w:kern w:val="3"/>
          <w:sz w:val="24"/>
          <w:szCs w:val="24"/>
          <w:lang w:val="es-CO" w:eastAsia="zh-CN" w:bidi="hi-IN"/>
        </w:rPr>
      </w:pPr>
    </w:p>
    <w:p w:rsidR="008763ED" w:rsidRPr="00D03716" w:rsidRDefault="008763ED" w:rsidP="008763ED">
      <w:pPr>
        <w:widowControl w:val="0"/>
        <w:suppressAutoHyphens/>
        <w:autoSpaceDN w:val="0"/>
        <w:spacing w:after="0" w:line="360" w:lineRule="auto"/>
        <w:jc w:val="both"/>
        <w:textAlignment w:val="baseline"/>
        <w:rPr>
          <w:rFonts w:ascii="Verdana" w:eastAsia="SimSun" w:hAnsi="Verdana" w:cs="Mangal"/>
          <w:kern w:val="3"/>
          <w:sz w:val="24"/>
          <w:szCs w:val="24"/>
          <w:lang w:val="es-CO" w:eastAsia="zh-CN" w:bidi="hi-IN"/>
        </w:rPr>
      </w:pPr>
      <w:r w:rsidRPr="00D03716">
        <w:rPr>
          <w:rFonts w:ascii="Verdana" w:eastAsia="SimSun" w:hAnsi="Verdana" w:cs="Mangal"/>
          <w:kern w:val="3"/>
          <w:sz w:val="24"/>
          <w:szCs w:val="24"/>
          <w:lang w:val="es-CO" w:eastAsia="zh-CN" w:bidi="hi-IN"/>
        </w:rPr>
        <w:t>Dentro de la demanda de la referencia, observa el despacho que debe concederse un término de cinco (5) días, so pena de rechazo, de conformidad con lo establecido en el inciso 4º, art.90 del Código General del Proceso, para que proceda a aclararla en los siguientes términos:</w:t>
      </w:r>
    </w:p>
    <w:p w:rsidR="008763ED" w:rsidRPr="00D03716" w:rsidRDefault="008763ED" w:rsidP="008763ED">
      <w:pPr>
        <w:widowControl w:val="0"/>
        <w:suppressAutoHyphens/>
        <w:autoSpaceDN w:val="0"/>
        <w:spacing w:after="0" w:line="360" w:lineRule="auto"/>
        <w:textAlignment w:val="baseline"/>
        <w:rPr>
          <w:rFonts w:ascii="Verdana" w:eastAsia="SimSun" w:hAnsi="Verdana" w:cs="Mangal"/>
          <w:kern w:val="3"/>
          <w:sz w:val="24"/>
          <w:szCs w:val="24"/>
          <w:lang w:val="es-CO" w:eastAsia="zh-CN" w:bidi="hi-IN"/>
        </w:rPr>
      </w:pPr>
    </w:p>
    <w:p w:rsidR="005E7A19" w:rsidRDefault="005E7A19" w:rsidP="008763ED">
      <w:pPr>
        <w:widowControl w:val="0"/>
        <w:suppressAutoHyphens/>
        <w:autoSpaceDN w:val="0"/>
        <w:spacing w:after="0" w:line="360" w:lineRule="auto"/>
        <w:jc w:val="both"/>
        <w:textAlignment w:val="baseline"/>
        <w:rPr>
          <w:rFonts w:ascii="Verdana" w:eastAsia="SimSun" w:hAnsi="Verdana" w:cs="Mangal"/>
          <w:kern w:val="3"/>
          <w:sz w:val="24"/>
          <w:szCs w:val="24"/>
          <w:lang w:val="es-CO" w:eastAsia="zh-CN" w:bidi="hi-IN"/>
        </w:rPr>
      </w:pPr>
      <w:r>
        <w:rPr>
          <w:rFonts w:ascii="Verdana" w:eastAsia="SimSun" w:hAnsi="Verdana" w:cs="Mangal"/>
          <w:kern w:val="3"/>
          <w:sz w:val="24"/>
          <w:szCs w:val="24"/>
          <w:lang w:val="es-CO" w:eastAsia="zh-CN" w:bidi="hi-IN"/>
        </w:rPr>
        <w:t>La demandante se servirá allegar a las diligencias el acta de Audiencia de Conciliación realizada en la Comisaría de Familia de Concepción, con la constancia de que se trata de primera copia que presta mérito ejecutivo</w:t>
      </w:r>
      <w:r>
        <w:rPr>
          <w:rStyle w:val="Refdenotaalpie"/>
          <w:rFonts w:ascii="Verdana" w:eastAsia="SimSun" w:hAnsi="Verdana" w:cs="Mangal"/>
          <w:kern w:val="3"/>
          <w:sz w:val="24"/>
          <w:szCs w:val="24"/>
          <w:lang w:val="es-CO" w:eastAsia="zh-CN" w:bidi="hi-IN"/>
        </w:rPr>
        <w:footnoteReference w:id="1"/>
      </w:r>
      <w:r w:rsidR="00DD4448">
        <w:rPr>
          <w:rFonts w:ascii="Verdana" w:eastAsia="SimSun" w:hAnsi="Verdana" w:cs="Mangal"/>
          <w:kern w:val="3"/>
          <w:sz w:val="24"/>
          <w:szCs w:val="24"/>
          <w:lang w:val="es-CO" w:eastAsia="zh-CN" w:bidi="hi-IN"/>
        </w:rPr>
        <w:t>.</w:t>
      </w:r>
      <w:r>
        <w:rPr>
          <w:rFonts w:ascii="Verdana" w:eastAsia="SimSun" w:hAnsi="Verdana" w:cs="Mangal"/>
          <w:kern w:val="3"/>
          <w:sz w:val="24"/>
          <w:szCs w:val="24"/>
          <w:lang w:val="es-CO" w:eastAsia="zh-CN" w:bidi="hi-IN"/>
        </w:rPr>
        <w:t xml:space="preserve"> </w:t>
      </w:r>
    </w:p>
    <w:p w:rsidR="005E7A19" w:rsidRPr="001A4A2E" w:rsidRDefault="005E7A19" w:rsidP="005E7A19">
      <w:pPr>
        <w:spacing w:after="0" w:line="360" w:lineRule="auto"/>
        <w:contextualSpacing/>
        <w:jc w:val="both"/>
        <w:rPr>
          <w:rFonts w:ascii="Verdana" w:eastAsia="Times New Roman" w:hAnsi="Verdana" w:cs="Times New Roman"/>
          <w:sz w:val="24"/>
          <w:szCs w:val="24"/>
          <w:lang w:val="es-ES_tradnl" w:eastAsia="es-ES"/>
        </w:rPr>
      </w:pPr>
    </w:p>
    <w:p w:rsidR="00C71F53" w:rsidRDefault="005E7A19" w:rsidP="000D49B0">
      <w:pPr>
        <w:spacing w:line="360" w:lineRule="auto"/>
        <w:contextualSpacing/>
        <w:jc w:val="both"/>
        <w:rPr>
          <w:rFonts w:ascii="Verdana" w:eastAsia="Times New Roman" w:hAnsi="Verdana" w:cs="Times New Roman"/>
          <w:sz w:val="24"/>
          <w:szCs w:val="24"/>
          <w:lang w:val="es-ES_tradnl" w:eastAsia="es-ES"/>
        </w:rPr>
      </w:pPr>
      <w:r w:rsidRPr="001A4A2E">
        <w:rPr>
          <w:rFonts w:ascii="Verdana" w:eastAsia="Times New Roman" w:hAnsi="Verdana" w:cs="Times New Roman"/>
          <w:sz w:val="24"/>
          <w:szCs w:val="24"/>
          <w:lang w:val="es-ES_tradnl" w:eastAsia="es-ES"/>
        </w:rPr>
        <w:t>Finalmente, de conformidad con lo esta</w:t>
      </w:r>
      <w:r w:rsidR="00DD4448">
        <w:rPr>
          <w:rFonts w:ascii="Verdana" w:eastAsia="Times New Roman" w:hAnsi="Verdana" w:cs="Times New Roman"/>
          <w:sz w:val="24"/>
          <w:szCs w:val="24"/>
          <w:lang w:val="es-ES_tradnl" w:eastAsia="es-ES"/>
        </w:rPr>
        <w:t>blecido con el art. 8º Inciso 2° del</w:t>
      </w:r>
      <w:r w:rsidRPr="001A4A2E">
        <w:rPr>
          <w:rFonts w:ascii="Verdana" w:eastAsia="Times New Roman" w:hAnsi="Verdana" w:cs="Times New Roman"/>
          <w:sz w:val="24"/>
          <w:szCs w:val="24"/>
          <w:lang w:val="es-ES_tradnl" w:eastAsia="es-ES"/>
        </w:rPr>
        <w:t xml:space="preserve"> Decreto 806 del 2020, informará la forma como obtuvo las direcciones electrónicas de</w:t>
      </w:r>
      <w:r w:rsidR="000D49B0">
        <w:rPr>
          <w:rFonts w:ascii="Verdana" w:eastAsia="Times New Roman" w:hAnsi="Verdana" w:cs="Times New Roman"/>
          <w:sz w:val="24"/>
          <w:szCs w:val="24"/>
          <w:lang w:val="es-ES_tradnl" w:eastAsia="es-ES"/>
        </w:rPr>
        <w:t>l demandado</w:t>
      </w:r>
      <w:r w:rsidRPr="001A4A2E">
        <w:rPr>
          <w:rFonts w:ascii="Verdana" w:eastAsia="Times New Roman" w:hAnsi="Verdana" w:cs="Times New Roman"/>
          <w:sz w:val="24"/>
          <w:szCs w:val="24"/>
          <w:lang w:val="es-ES_tradnl" w:eastAsia="es-ES"/>
        </w:rPr>
        <w:t xml:space="preserve"> y aportará las evidencias correspondientes</w:t>
      </w:r>
      <w:r w:rsidR="000D49B0">
        <w:rPr>
          <w:rFonts w:ascii="Verdana" w:eastAsia="Times New Roman" w:hAnsi="Verdana" w:cs="Times New Roman"/>
          <w:sz w:val="24"/>
          <w:szCs w:val="24"/>
          <w:lang w:val="es-ES_tradnl" w:eastAsia="es-ES"/>
        </w:rPr>
        <w:t>.</w:t>
      </w:r>
    </w:p>
    <w:p w:rsidR="000D49B0" w:rsidRPr="000D49B0" w:rsidRDefault="000D49B0" w:rsidP="00DD4448">
      <w:pPr>
        <w:spacing w:line="360" w:lineRule="auto"/>
        <w:contextualSpacing/>
        <w:jc w:val="center"/>
        <w:rPr>
          <w:b/>
          <w:i/>
        </w:rPr>
      </w:pPr>
      <w:bookmarkStart w:id="0" w:name="_GoBack"/>
      <w:bookmarkEnd w:id="0"/>
      <w:r w:rsidRPr="000D49B0">
        <w:rPr>
          <w:rFonts w:ascii="Verdana" w:eastAsia="Times New Roman" w:hAnsi="Verdana" w:cs="Times New Roman"/>
          <w:b/>
          <w:i/>
          <w:sz w:val="24"/>
          <w:szCs w:val="24"/>
          <w:lang w:val="es-ES_tradnl" w:eastAsia="es-ES"/>
        </w:rPr>
        <w:t>N O T I F I Q U E S E</w:t>
      </w:r>
    </w:p>
    <w:sectPr w:rsidR="000D49B0" w:rsidRPr="000D49B0" w:rsidSect="000D49B0">
      <w:pgSz w:w="12242" w:h="18722" w:code="14"/>
      <w:pgMar w:top="2268" w:right="1701" w:bottom="226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C7E" w:rsidRDefault="00297C7E" w:rsidP="005E7A19">
      <w:pPr>
        <w:spacing w:after="0" w:line="240" w:lineRule="auto"/>
      </w:pPr>
      <w:r>
        <w:separator/>
      </w:r>
    </w:p>
  </w:endnote>
  <w:endnote w:type="continuationSeparator" w:id="0">
    <w:p w:rsidR="00297C7E" w:rsidRDefault="00297C7E" w:rsidP="005E7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C7E" w:rsidRDefault="00297C7E" w:rsidP="005E7A19">
      <w:pPr>
        <w:spacing w:after="0" w:line="240" w:lineRule="auto"/>
      </w:pPr>
      <w:r>
        <w:separator/>
      </w:r>
    </w:p>
  </w:footnote>
  <w:footnote w:type="continuationSeparator" w:id="0">
    <w:p w:rsidR="00297C7E" w:rsidRDefault="00297C7E" w:rsidP="005E7A19">
      <w:pPr>
        <w:spacing w:after="0" w:line="240" w:lineRule="auto"/>
      </w:pPr>
      <w:r>
        <w:continuationSeparator/>
      </w:r>
    </w:p>
  </w:footnote>
  <w:footnote w:id="1">
    <w:p w:rsidR="005E7A19" w:rsidRPr="005E7A19" w:rsidRDefault="005E7A19">
      <w:pPr>
        <w:pStyle w:val="Textonotapie"/>
        <w:rPr>
          <w:lang w:val="es-CO"/>
        </w:rPr>
      </w:pPr>
      <w:r>
        <w:rPr>
          <w:rStyle w:val="Refdenotaalpie"/>
        </w:rPr>
        <w:footnoteRef/>
      </w:r>
      <w:r>
        <w:t xml:space="preserve"> </w:t>
      </w:r>
      <w:r>
        <w:rPr>
          <w:lang w:val="es-CO"/>
        </w:rPr>
        <w:t>PAR. 1º del art. 1ª de la Ley 640 de 2001.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3ED"/>
    <w:rsid w:val="000D49B0"/>
    <w:rsid w:val="00297C7E"/>
    <w:rsid w:val="005E7A19"/>
    <w:rsid w:val="007767A1"/>
    <w:rsid w:val="008763ED"/>
    <w:rsid w:val="00C71F53"/>
    <w:rsid w:val="00DD44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CC9DF-9E0F-440E-AF2E-937D1C93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3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76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5E7A1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E7A19"/>
    <w:rPr>
      <w:sz w:val="20"/>
      <w:szCs w:val="20"/>
    </w:rPr>
  </w:style>
  <w:style w:type="character" w:styleId="Refdenotaalpie">
    <w:name w:val="footnote reference"/>
    <w:basedOn w:val="Fuentedeprrafopredeter"/>
    <w:uiPriority w:val="99"/>
    <w:semiHidden/>
    <w:unhideWhenUsed/>
    <w:rsid w:val="005E7A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857A2-97BC-4817-82C0-05B365F97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888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gildardo suarez salazar</dc:creator>
  <cp:keywords/>
  <dc:description/>
  <cp:lastModifiedBy>bernardo sierra gonzalez</cp:lastModifiedBy>
  <cp:revision>2</cp:revision>
  <dcterms:created xsi:type="dcterms:W3CDTF">2020-09-08T21:06:00Z</dcterms:created>
  <dcterms:modified xsi:type="dcterms:W3CDTF">2020-09-08T21:06:00Z</dcterms:modified>
</cp:coreProperties>
</file>