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CBA2" w14:textId="77777777" w:rsidR="00575DB8" w:rsidRPr="00FE4A5C" w:rsidRDefault="00575DB8" w:rsidP="00575DB8">
      <w:pPr>
        <w:jc w:val="center"/>
        <w:rPr>
          <w:rFonts w:ascii="Century Gothic" w:hAnsi="Century Gothic"/>
          <w:b/>
          <w:noProof/>
          <w:lang w:eastAsia="es-CO"/>
        </w:rPr>
      </w:pPr>
      <w:r w:rsidRPr="00FE4A5C">
        <w:rPr>
          <w:rFonts w:ascii="Century Gothic" w:hAnsi="Century Gothic"/>
          <w:b/>
          <w:noProof/>
          <w:lang w:eastAsia="es-CO"/>
        </w:rPr>
        <w:t>REPÚBLICA DE COLOMBIA</w:t>
      </w:r>
    </w:p>
    <w:p w14:paraId="7A35D7BF" w14:textId="77777777" w:rsidR="00575DB8" w:rsidRPr="00FE4A5C" w:rsidRDefault="00575DB8" w:rsidP="00575DB8">
      <w:pPr>
        <w:jc w:val="center"/>
        <w:rPr>
          <w:rFonts w:ascii="Century Gothic" w:hAnsi="Century Gothic"/>
          <w:b/>
          <w:noProof/>
          <w:lang w:eastAsia="es-CO"/>
        </w:rPr>
      </w:pPr>
      <w:r w:rsidRPr="00FE4A5C">
        <w:rPr>
          <w:rFonts w:ascii="Century Gothic" w:hAnsi="Century Gothic"/>
          <w:b/>
          <w:noProof/>
          <w:lang w:val="es-CO" w:eastAsia="es-CO"/>
        </w:rPr>
        <w:drawing>
          <wp:inline distT="0" distB="0" distL="0" distR="0" wp14:anchorId="1E253C95" wp14:editId="1591DC99">
            <wp:extent cx="665480" cy="607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607060"/>
                    </a:xfrm>
                    <a:prstGeom prst="rect">
                      <a:avLst/>
                    </a:prstGeom>
                    <a:noFill/>
                    <a:ln>
                      <a:noFill/>
                    </a:ln>
                  </pic:spPr>
                </pic:pic>
              </a:graphicData>
            </a:graphic>
          </wp:inline>
        </w:drawing>
      </w:r>
    </w:p>
    <w:p w14:paraId="7EA2A8AD" w14:textId="77777777" w:rsidR="00575DB8" w:rsidRPr="00FE4A5C" w:rsidRDefault="00575DB8" w:rsidP="00575DB8">
      <w:pPr>
        <w:jc w:val="center"/>
        <w:rPr>
          <w:rFonts w:ascii="Century Gothic" w:hAnsi="Century Gothic"/>
          <w:bCs/>
          <w:noProof/>
          <w:lang w:eastAsia="es-CO"/>
        </w:rPr>
      </w:pPr>
      <w:r w:rsidRPr="00FE4A5C">
        <w:rPr>
          <w:rFonts w:ascii="Century Gothic" w:hAnsi="Century Gothic"/>
          <w:bCs/>
          <w:noProof/>
          <w:lang w:eastAsia="es-CO"/>
        </w:rPr>
        <w:t>CONSEJO SUPERIOR DE LA JUDICATURA</w:t>
      </w:r>
    </w:p>
    <w:p w14:paraId="412E0370" w14:textId="77777777" w:rsidR="00575DB8" w:rsidRPr="00FE4A5C" w:rsidRDefault="00575DB8" w:rsidP="00575DB8">
      <w:pPr>
        <w:tabs>
          <w:tab w:val="center" w:pos="4394"/>
        </w:tabs>
        <w:jc w:val="center"/>
        <w:rPr>
          <w:rFonts w:ascii="Century Gothic" w:hAnsi="Century Gothic" w:cs="Century Gothic"/>
          <w:b/>
          <w:bCs/>
        </w:rPr>
      </w:pPr>
      <w:r w:rsidRPr="00FE4A5C">
        <w:rPr>
          <w:rFonts w:ascii="Century Gothic" w:hAnsi="Century Gothic" w:cs="Century Gothic"/>
        </w:rPr>
        <w:t>DISTRITO JUDICIAL DE TUNJA</w:t>
      </w:r>
    </w:p>
    <w:p w14:paraId="1D46ACA4" w14:textId="77777777" w:rsidR="00575DB8" w:rsidRPr="00FE4A5C" w:rsidRDefault="00575DB8" w:rsidP="00575DB8">
      <w:pPr>
        <w:jc w:val="center"/>
        <w:rPr>
          <w:rFonts w:ascii="Century Gothic" w:hAnsi="Century Gothic" w:cs="Arial"/>
          <w:b/>
        </w:rPr>
      </w:pPr>
      <w:r w:rsidRPr="00FE4A5C">
        <w:rPr>
          <w:rFonts w:ascii="Century Gothic" w:hAnsi="Century Gothic" w:cs="Arial"/>
          <w:b/>
        </w:rPr>
        <w:t>JUZGADO PROMISCUO MUNICIPAL DE TIBANÁ</w:t>
      </w:r>
    </w:p>
    <w:p w14:paraId="3B59D7F6" w14:textId="77777777" w:rsidR="00575DB8" w:rsidRPr="00FE4A5C" w:rsidRDefault="00575DB8" w:rsidP="00575DB8">
      <w:pPr>
        <w:tabs>
          <w:tab w:val="left" w:pos="-720"/>
        </w:tabs>
        <w:suppressAutoHyphens/>
        <w:rPr>
          <w:rFonts w:ascii="Century Gothic" w:hAnsi="Century Gothic" w:cs="Arial"/>
          <w:spacing w:val="-3"/>
          <w:sz w:val="16"/>
          <w:szCs w:val="16"/>
        </w:rPr>
      </w:pPr>
      <w:r w:rsidRPr="00FE4A5C">
        <w:rPr>
          <w:rFonts w:ascii="Century Gothic" w:hAnsi="Century Gothic" w:cs="Arial"/>
          <w:spacing w:val="-3"/>
          <w:sz w:val="21"/>
          <w:szCs w:val="21"/>
        </w:rPr>
        <w:t xml:space="preserve"> </w:t>
      </w:r>
    </w:p>
    <w:p w14:paraId="00BEBDAE" w14:textId="77777777" w:rsidR="00575DB8" w:rsidRPr="00FE4A5C" w:rsidRDefault="00575DB8" w:rsidP="00575DB8">
      <w:pPr>
        <w:tabs>
          <w:tab w:val="left" w:pos="-720"/>
        </w:tabs>
        <w:suppressAutoHyphens/>
        <w:rPr>
          <w:rFonts w:ascii="Century Gothic" w:hAnsi="Century Gothic" w:cs="Arial"/>
          <w:sz w:val="21"/>
          <w:szCs w:val="21"/>
        </w:rPr>
      </w:pPr>
      <w:r w:rsidRPr="00FE4A5C">
        <w:rPr>
          <w:rFonts w:ascii="Century Gothic" w:hAnsi="Century Gothic" w:cs="Arial"/>
          <w:spacing w:val="-3"/>
          <w:sz w:val="21"/>
          <w:szCs w:val="21"/>
        </w:rPr>
        <w:t>Tibaná, diecinueve (19) de noviembre de dos mil veinte (2020)</w:t>
      </w:r>
    </w:p>
    <w:tbl>
      <w:tblPr>
        <w:tblpPr w:leftFromText="141" w:rightFromText="141" w:vertAnchor="text" w:horzAnchor="margin" w:tblpY="69"/>
        <w:tblW w:w="8505" w:type="dxa"/>
        <w:tblLayout w:type="fixed"/>
        <w:tblCellMar>
          <w:left w:w="70" w:type="dxa"/>
          <w:right w:w="70" w:type="dxa"/>
        </w:tblCellMar>
        <w:tblLook w:val="04A0" w:firstRow="1" w:lastRow="0" w:firstColumn="1" w:lastColumn="0" w:noHBand="0" w:noVBand="1"/>
      </w:tblPr>
      <w:tblGrid>
        <w:gridCol w:w="3048"/>
        <w:gridCol w:w="310"/>
        <w:gridCol w:w="5147"/>
      </w:tblGrid>
      <w:tr w:rsidR="00FE4A5C" w:rsidRPr="00FE4A5C" w14:paraId="4563F803" w14:textId="77777777" w:rsidTr="000D6FBE">
        <w:tc>
          <w:tcPr>
            <w:tcW w:w="3048" w:type="dxa"/>
            <w:hideMark/>
          </w:tcPr>
          <w:p w14:paraId="307F705D" w14:textId="77777777" w:rsidR="00575DB8" w:rsidRPr="00FE4A5C" w:rsidRDefault="00575DB8" w:rsidP="000D6FBE">
            <w:pPr>
              <w:tabs>
                <w:tab w:val="left" w:pos="-720"/>
              </w:tabs>
              <w:suppressAutoHyphens/>
              <w:jc w:val="right"/>
              <w:rPr>
                <w:rFonts w:ascii="Century Gothic" w:hAnsi="Century Gothic" w:cs="Arial"/>
                <w:spacing w:val="-3"/>
                <w:sz w:val="21"/>
                <w:szCs w:val="21"/>
              </w:rPr>
            </w:pPr>
            <w:r w:rsidRPr="00FE4A5C">
              <w:rPr>
                <w:rFonts w:ascii="Century Gothic" w:hAnsi="Century Gothic" w:cs="Arial"/>
                <w:spacing w:val="-3"/>
                <w:sz w:val="21"/>
                <w:szCs w:val="21"/>
              </w:rPr>
              <w:t>Referencia</w:t>
            </w:r>
          </w:p>
        </w:tc>
        <w:tc>
          <w:tcPr>
            <w:tcW w:w="310" w:type="dxa"/>
            <w:hideMark/>
          </w:tcPr>
          <w:p w14:paraId="24066373" w14:textId="77777777" w:rsidR="00575DB8" w:rsidRPr="00FE4A5C" w:rsidRDefault="00575DB8" w:rsidP="000D6FBE">
            <w:pPr>
              <w:tabs>
                <w:tab w:val="left" w:pos="-720"/>
              </w:tabs>
              <w:suppressAutoHyphens/>
              <w:jc w:val="both"/>
              <w:rPr>
                <w:rFonts w:ascii="Century Gothic" w:hAnsi="Century Gothic" w:cs="Arial"/>
                <w:spacing w:val="-3"/>
                <w:sz w:val="21"/>
                <w:szCs w:val="21"/>
              </w:rPr>
            </w:pPr>
            <w:r w:rsidRPr="00FE4A5C">
              <w:rPr>
                <w:rFonts w:ascii="Century Gothic" w:hAnsi="Century Gothic" w:cs="Arial"/>
                <w:spacing w:val="-3"/>
                <w:sz w:val="21"/>
                <w:szCs w:val="21"/>
              </w:rPr>
              <w:t>:</w:t>
            </w:r>
          </w:p>
        </w:tc>
        <w:tc>
          <w:tcPr>
            <w:tcW w:w="5147" w:type="dxa"/>
            <w:hideMark/>
          </w:tcPr>
          <w:p w14:paraId="2421F295" w14:textId="33D7350A" w:rsidR="00575DB8" w:rsidRPr="00FE4A5C" w:rsidRDefault="00575DB8" w:rsidP="000D6FBE">
            <w:pPr>
              <w:pStyle w:val="Textoindependiente"/>
              <w:rPr>
                <w:rFonts w:ascii="Century Gothic" w:hAnsi="Century Gothic" w:cs="Arial"/>
                <w:spacing w:val="-3"/>
                <w:sz w:val="21"/>
                <w:szCs w:val="21"/>
              </w:rPr>
            </w:pPr>
            <w:r w:rsidRPr="00FE4A5C">
              <w:rPr>
                <w:rFonts w:ascii="Century Gothic" w:hAnsi="Century Gothic"/>
                <w:sz w:val="21"/>
                <w:szCs w:val="21"/>
              </w:rPr>
              <w:t xml:space="preserve">Despacho Comisorio </w:t>
            </w:r>
            <w:proofErr w:type="spellStart"/>
            <w:r w:rsidRPr="00FE4A5C">
              <w:rPr>
                <w:rFonts w:ascii="Century Gothic" w:hAnsi="Century Gothic"/>
                <w:sz w:val="21"/>
                <w:szCs w:val="21"/>
              </w:rPr>
              <w:t>N°</w:t>
            </w:r>
            <w:proofErr w:type="spellEnd"/>
            <w:r w:rsidRPr="00FE4A5C">
              <w:rPr>
                <w:rFonts w:ascii="Century Gothic" w:hAnsi="Century Gothic"/>
                <w:sz w:val="21"/>
                <w:szCs w:val="21"/>
              </w:rPr>
              <w:t xml:space="preserve"> </w:t>
            </w:r>
            <w:r w:rsidR="00EB2655" w:rsidRPr="00FE4A5C">
              <w:rPr>
                <w:rFonts w:ascii="Century Gothic" w:hAnsi="Century Gothic"/>
                <w:sz w:val="21"/>
                <w:szCs w:val="21"/>
              </w:rPr>
              <w:t>036</w:t>
            </w:r>
            <w:r w:rsidRPr="00FE4A5C">
              <w:rPr>
                <w:rFonts w:ascii="Century Gothic" w:hAnsi="Century Gothic"/>
                <w:sz w:val="21"/>
                <w:szCs w:val="21"/>
              </w:rPr>
              <w:t xml:space="preserve"> (Rad. 182</w:t>
            </w:r>
            <w:r w:rsidR="00EB2655" w:rsidRPr="00FE4A5C">
              <w:rPr>
                <w:rFonts w:ascii="Century Gothic" w:hAnsi="Century Gothic"/>
                <w:sz w:val="21"/>
                <w:szCs w:val="21"/>
              </w:rPr>
              <w:t>2</w:t>
            </w:r>
            <w:r w:rsidRPr="00FE4A5C">
              <w:rPr>
                <w:rFonts w:ascii="Century Gothic" w:hAnsi="Century Gothic"/>
                <w:sz w:val="21"/>
                <w:szCs w:val="21"/>
              </w:rPr>
              <w:t>) Juzgad</w:t>
            </w:r>
            <w:r w:rsidR="0096782A" w:rsidRPr="00FE4A5C">
              <w:rPr>
                <w:rFonts w:ascii="Century Gothic" w:hAnsi="Century Gothic"/>
                <w:sz w:val="21"/>
                <w:szCs w:val="21"/>
              </w:rPr>
              <w:t>o</w:t>
            </w:r>
            <w:r w:rsidRPr="00FE4A5C">
              <w:rPr>
                <w:rFonts w:ascii="Century Gothic" w:hAnsi="Century Gothic"/>
                <w:sz w:val="21"/>
                <w:szCs w:val="21"/>
              </w:rPr>
              <w:t xml:space="preserve"> Civil Municipal de </w:t>
            </w:r>
            <w:r w:rsidR="00EB2655" w:rsidRPr="00FE4A5C">
              <w:rPr>
                <w:rFonts w:ascii="Century Gothic" w:hAnsi="Century Gothic"/>
                <w:sz w:val="21"/>
                <w:szCs w:val="21"/>
              </w:rPr>
              <w:t>Chocontá</w:t>
            </w:r>
            <w:r w:rsidRPr="00FE4A5C">
              <w:rPr>
                <w:rFonts w:ascii="Century Gothic" w:hAnsi="Century Gothic"/>
                <w:sz w:val="21"/>
                <w:szCs w:val="21"/>
              </w:rPr>
              <w:t xml:space="preserve"> </w:t>
            </w:r>
          </w:p>
        </w:tc>
      </w:tr>
      <w:tr w:rsidR="00FE4A5C" w:rsidRPr="00FE4A5C" w14:paraId="0596A459" w14:textId="77777777" w:rsidTr="000D6FBE">
        <w:tc>
          <w:tcPr>
            <w:tcW w:w="3048" w:type="dxa"/>
          </w:tcPr>
          <w:p w14:paraId="272E5DED" w14:textId="77777777" w:rsidR="00575DB8" w:rsidRPr="00FE4A5C" w:rsidRDefault="00575DB8" w:rsidP="000D6FBE">
            <w:pPr>
              <w:tabs>
                <w:tab w:val="left" w:pos="-720"/>
              </w:tabs>
              <w:suppressAutoHyphens/>
              <w:jc w:val="right"/>
              <w:rPr>
                <w:rFonts w:ascii="Century Gothic" w:hAnsi="Century Gothic" w:cs="Arial"/>
                <w:spacing w:val="-3"/>
                <w:sz w:val="21"/>
                <w:szCs w:val="21"/>
              </w:rPr>
            </w:pPr>
            <w:r w:rsidRPr="00FE4A5C">
              <w:rPr>
                <w:rFonts w:ascii="Century Gothic" w:hAnsi="Century Gothic" w:cs="Arial"/>
                <w:spacing w:val="-3"/>
                <w:sz w:val="21"/>
                <w:szCs w:val="21"/>
              </w:rPr>
              <w:t>Proceso</w:t>
            </w:r>
          </w:p>
        </w:tc>
        <w:tc>
          <w:tcPr>
            <w:tcW w:w="310" w:type="dxa"/>
          </w:tcPr>
          <w:p w14:paraId="38D60C30" w14:textId="77777777" w:rsidR="00575DB8" w:rsidRPr="00FE4A5C" w:rsidRDefault="00575DB8" w:rsidP="000D6FBE">
            <w:pPr>
              <w:tabs>
                <w:tab w:val="left" w:pos="-720"/>
              </w:tabs>
              <w:suppressAutoHyphens/>
              <w:jc w:val="both"/>
              <w:rPr>
                <w:rFonts w:ascii="Century Gothic" w:hAnsi="Century Gothic" w:cs="Arial"/>
                <w:spacing w:val="-3"/>
                <w:sz w:val="21"/>
                <w:szCs w:val="21"/>
              </w:rPr>
            </w:pPr>
            <w:r w:rsidRPr="00FE4A5C">
              <w:rPr>
                <w:rFonts w:ascii="Century Gothic" w:hAnsi="Century Gothic" w:cs="Arial"/>
                <w:spacing w:val="-3"/>
                <w:sz w:val="21"/>
                <w:szCs w:val="21"/>
              </w:rPr>
              <w:t>:</w:t>
            </w:r>
          </w:p>
        </w:tc>
        <w:tc>
          <w:tcPr>
            <w:tcW w:w="5147" w:type="dxa"/>
          </w:tcPr>
          <w:p w14:paraId="069E6508" w14:textId="38667526" w:rsidR="00575DB8" w:rsidRPr="00FE4A5C" w:rsidRDefault="0096782A" w:rsidP="000D6FBE">
            <w:pPr>
              <w:pStyle w:val="Textoindependiente"/>
              <w:rPr>
                <w:rFonts w:ascii="Century Gothic" w:hAnsi="Century Gothic"/>
                <w:sz w:val="21"/>
                <w:szCs w:val="21"/>
              </w:rPr>
            </w:pPr>
            <w:r w:rsidRPr="00FE4A5C">
              <w:rPr>
                <w:rFonts w:ascii="Century Gothic" w:hAnsi="Century Gothic"/>
                <w:sz w:val="21"/>
                <w:szCs w:val="21"/>
              </w:rPr>
              <w:t>Ejecutivo</w:t>
            </w:r>
            <w:r w:rsidR="00EB2655" w:rsidRPr="00FE4A5C">
              <w:rPr>
                <w:rFonts w:ascii="Century Gothic" w:hAnsi="Century Gothic"/>
                <w:sz w:val="21"/>
                <w:szCs w:val="21"/>
              </w:rPr>
              <w:t xml:space="preserve"> Singular </w:t>
            </w:r>
            <w:proofErr w:type="spellStart"/>
            <w:r w:rsidR="00EB2655" w:rsidRPr="00FE4A5C">
              <w:rPr>
                <w:rFonts w:ascii="Century Gothic" w:hAnsi="Century Gothic"/>
                <w:sz w:val="21"/>
                <w:szCs w:val="21"/>
              </w:rPr>
              <w:t>N°</w:t>
            </w:r>
            <w:proofErr w:type="spellEnd"/>
            <w:r w:rsidR="00EB2655" w:rsidRPr="00FE4A5C">
              <w:rPr>
                <w:rFonts w:ascii="Century Gothic" w:hAnsi="Century Gothic"/>
                <w:sz w:val="21"/>
                <w:szCs w:val="21"/>
              </w:rPr>
              <w:t xml:space="preserve"> 2518340030012015-00185-00</w:t>
            </w:r>
          </w:p>
        </w:tc>
      </w:tr>
      <w:tr w:rsidR="00FE4A5C" w:rsidRPr="00FE4A5C" w14:paraId="31361D54" w14:textId="77777777" w:rsidTr="000D6FBE">
        <w:tc>
          <w:tcPr>
            <w:tcW w:w="3048" w:type="dxa"/>
            <w:hideMark/>
          </w:tcPr>
          <w:p w14:paraId="7F2BA5E6" w14:textId="3C803429" w:rsidR="00575DB8" w:rsidRPr="00FE4A5C" w:rsidRDefault="00EB2655" w:rsidP="000D6FBE">
            <w:pPr>
              <w:tabs>
                <w:tab w:val="left" w:pos="-720"/>
              </w:tabs>
              <w:suppressAutoHyphens/>
              <w:jc w:val="right"/>
              <w:rPr>
                <w:rFonts w:ascii="Century Gothic" w:hAnsi="Century Gothic" w:cs="Arial"/>
                <w:spacing w:val="-3"/>
                <w:sz w:val="21"/>
                <w:szCs w:val="21"/>
              </w:rPr>
            </w:pPr>
            <w:r w:rsidRPr="00FE4A5C">
              <w:rPr>
                <w:rFonts w:ascii="Century Gothic" w:hAnsi="Century Gothic" w:cs="Arial"/>
                <w:spacing w:val="-3"/>
                <w:sz w:val="21"/>
                <w:szCs w:val="21"/>
              </w:rPr>
              <w:t>Demandante</w:t>
            </w:r>
            <w:r w:rsidR="00575DB8" w:rsidRPr="00FE4A5C">
              <w:rPr>
                <w:rFonts w:ascii="Century Gothic" w:hAnsi="Century Gothic" w:cs="Arial"/>
                <w:spacing w:val="-3"/>
                <w:sz w:val="21"/>
                <w:szCs w:val="21"/>
              </w:rPr>
              <w:t xml:space="preserve">        </w:t>
            </w:r>
          </w:p>
        </w:tc>
        <w:tc>
          <w:tcPr>
            <w:tcW w:w="310" w:type="dxa"/>
            <w:hideMark/>
          </w:tcPr>
          <w:p w14:paraId="488851E7" w14:textId="77777777" w:rsidR="00575DB8" w:rsidRPr="00FE4A5C" w:rsidRDefault="00575DB8" w:rsidP="000D6FBE">
            <w:pPr>
              <w:tabs>
                <w:tab w:val="left" w:pos="-720"/>
              </w:tabs>
              <w:suppressAutoHyphens/>
              <w:jc w:val="both"/>
              <w:rPr>
                <w:rFonts w:ascii="Century Gothic" w:hAnsi="Century Gothic" w:cs="Arial"/>
                <w:spacing w:val="-3"/>
                <w:sz w:val="21"/>
                <w:szCs w:val="21"/>
              </w:rPr>
            </w:pPr>
            <w:r w:rsidRPr="00FE4A5C">
              <w:rPr>
                <w:rFonts w:ascii="Century Gothic" w:hAnsi="Century Gothic" w:cs="Arial"/>
                <w:spacing w:val="-3"/>
                <w:sz w:val="21"/>
                <w:szCs w:val="21"/>
              </w:rPr>
              <w:t xml:space="preserve">:    </w:t>
            </w:r>
          </w:p>
        </w:tc>
        <w:tc>
          <w:tcPr>
            <w:tcW w:w="5147" w:type="dxa"/>
          </w:tcPr>
          <w:p w14:paraId="5E7F5113" w14:textId="77777777" w:rsidR="00EB2655" w:rsidRPr="00FE4A5C" w:rsidRDefault="00EB2655" w:rsidP="000D6FBE">
            <w:pPr>
              <w:pStyle w:val="Textoindependiente"/>
              <w:rPr>
                <w:rFonts w:ascii="Century Gothic" w:hAnsi="Century Gothic"/>
                <w:sz w:val="21"/>
                <w:szCs w:val="21"/>
              </w:rPr>
            </w:pPr>
            <w:r w:rsidRPr="00FE4A5C">
              <w:rPr>
                <w:rFonts w:ascii="Century Gothic" w:hAnsi="Century Gothic"/>
                <w:sz w:val="21"/>
                <w:szCs w:val="21"/>
              </w:rPr>
              <w:t>Banco Popular S.A.</w:t>
            </w:r>
          </w:p>
          <w:p w14:paraId="30BAF3BE" w14:textId="27F78A3F" w:rsidR="00575DB8" w:rsidRPr="00FE4A5C" w:rsidRDefault="00575DB8" w:rsidP="000D6FBE">
            <w:pPr>
              <w:pStyle w:val="Textoindependiente"/>
              <w:rPr>
                <w:rFonts w:ascii="Century Gothic" w:hAnsi="Century Gothic"/>
                <w:sz w:val="10"/>
                <w:szCs w:val="10"/>
              </w:rPr>
            </w:pPr>
            <w:r w:rsidRPr="00FE4A5C">
              <w:rPr>
                <w:rFonts w:ascii="Century Gothic" w:hAnsi="Century Gothic"/>
                <w:sz w:val="21"/>
                <w:szCs w:val="21"/>
              </w:rPr>
              <w:t xml:space="preserve"> </w:t>
            </w:r>
          </w:p>
          <w:p w14:paraId="0F259E49" w14:textId="77777777" w:rsidR="00575DB8" w:rsidRPr="00FE4A5C" w:rsidRDefault="00575DB8" w:rsidP="000D6FBE">
            <w:pPr>
              <w:pStyle w:val="Textoindependiente"/>
              <w:rPr>
                <w:rFonts w:ascii="Century Gothic" w:hAnsi="Century Gothic" w:cs="Arial"/>
                <w:spacing w:val="-3"/>
                <w:sz w:val="10"/>
                <w:szCs w:val="10"/>
              </w:rPr>
            </w:pPr>
          </w:p>
        </w:tc>
      </w:tr>
    </w:tbl>
    <w:p w14:paraId="040FEBF2" w14:textId="75CC6E7C" w:rsidR="00575DB8" w:rsidRPr="00FE4A5C" w:rsidRDefault="00575DB8" w:rsidP="00575DB8">
      <w:pPr>
        <w:overflowPunct w:val="0"/>
        <w:autoSpaceDE w:val="0"/>
        <w:autoSpaceDN w:val="0"/>
        <w:adjustRightInd w:val="0"/>
        <w:jc w:val="both"/>
        <w:textAlignment w:val="baseline"/>
        <w:rPr>
          <w:rFonts w:ascii="Century Gothic" w:hAnsi="Century Gothic" w:cs="Arial"/>
          <w:sz w:val="21"/>
          <w:szCs w:val="21"/>
          <w:lang w:val="es-CO"/>
        </w:rPr>
      </w:pPr>
      <w:r w:rsidRPr="00FE4A5C">
        <w:rPr>
          <w:rFonts w:ascii="Century Gothic" w:hAnsi="Century Gothic" w:cs="Arial"/>
          <w:sz w:val="21"/>
          <w:szCs w:val="21"/>
          <w:lang w:val="es-CO"/>
        </w:rPr>
        <w:t xml:space="preserve">A través del Despacho Comisorio </w:t>
      </w:r>
      <w:proofErr w:type="spellStart"/>
      <w:r w:rsidRPr="00FE4A5C">
        <w:rPr>
          <w:rFonts w:ascii="Century Gothic" w:hAnsi="Century Gothic" w:cs="Arial"/>
          <w:sz w:val="21"/>
          <w:szCs w:val="21"/>
          <w:lang w:val="es-CO"/>
        </w:rPr>
        <w:t>Nº</w:t>
      </w:r>
      <w:proofErr w:type="spellEnd"/>
      <w:r w:rsidRPr="00FE4A5C">
        <w:rPr>
          <w:rFonts w:ascii="Century Gothic" w:hAnsi="Century Gothic" w:cs="Arial"/>
          <w:sz w:val="21"/>
          <w:szCs w:val="21"/>
          <w:lang w:val="es-CO"/>
        </w:rPr>
        <w:t xml:space="preserve"> 0</w:t>
      </w:r>
      <w:r w:rsidR="00EB2655" w:rsidRPr="00FE4A5C">
        <w:rPr>
          <w:rFonts w:ascii="Century Gothic" w:hAnsi="Century Gothic" w:cs="Arial"/>
          <w:sz w:val="21"/>
          <w:szCs w:val="21"/>
          <w:lang w:val="es-CO"/>
        </w:rPr>
        <w:t>36/2019</w:t>
      </w:r>
      <w:r w:rsidRPr="00FE4A5C">
        <w:rPr>
          <w:rFonts w:ascii="Century Gothic" w:hAnsi="Century Gothic" w:cs="Arial"/>
          <w:sz w:val="21"/>
          <w:szCs w:val="21"/>
          <w:lang w:val="es-CO"/>
        </w:rPr>
        <w:t>, el Juzgado Civil Municipal</w:t>
      </w:r>
      <w:r w:rsidR="00EB2655" w:rsidRPr="00FE4A5C">
        <w:rPr>
          <w:rFonts w:ascii="Century Gothic" w:hAnsi="Century Gothic" w:cs="Arial"/>
          <w:sz w:val="21"/>
          <w:szCs w:val="21"/>
          <w:lang w:val="es-CO"/>
        </w:rPr>
        <w:t xml:space="preserve"> de Chocontá</w:t>
      </w:r>
      <w:r w:rsidRPr="00FE4A5C">
        <w:rPr>
          <w:rFonts w:ascii="Century Gothic" w:hAnsi="Century Gothic" w:cs="Arial"/>
          <w:sz w:val="21"/>
          <w:szCs w:val="21"/>
          <w:lang w:val="es-CO"/>
        </w:rPr>
        <w:t xml:space="preserve">, comisiona a este Juzgado para que </w:t>
      </w:r>
      <w:r w:rsidR="00EB2655" w:rsidRPr="00FE4A5C">
        <w:rPr>
          <w:rFonts w:ascii="Century Gothic" w:hAnsi="Century Gothic" w:cs="Arial"/>
          <w:sz w:val="21"/>
          <w:szCs w:val="21"/>
          <w:lang w:val="es-CO"/>
        </w:rPr>
        <w:t>practique la</w:t>
      </w:r>
      <w:r w:rsidRPr="00FE4A5C">
        <w:rPr>
          <w:rFonts w:ascii="Century Gothic" w:hAnsi="Century Gothic" w:cs="Arial"/>
          <w:sz w:val="21"/>
          <w:szCs w:val="21"/>
          <w:lang w:val="es-CO"/>
        </w:rPr>
        <w:t xml:space="preserve"> diligencia de secuestro de</w:t>
      </w:r>
      <w:r w:rsidR="00FE4A5C">
        <w:rPr>
          <w:rFonts w:ascii="Century Gothic" w:hAnsi="Century Gothic" w:cs="Arial"/>
          <w:sz w:val="21"/>
          <w:szCs w:val="21"/>
          <w:lang w:val="es-CO"/>
        </w:rPr>
        <w:t>l</w:t>
      </w:r>
      <w:r w:rsidRPr="00FE4A5C">
        <w:rPr>
          <w:rFonts w:ascii="Century Gothic" w:hAnsi="Century Gothic" w:cs="Arial"/>
          <w:sz w:val="21"/>
          <w:szCs w:val="21"/>
          <w:lang w:val="es-CO"/>
        </w:rPr>
        <w:t xml:space="preserve"> </w:t>
      </w:r>
      <w:r w:rsidR="00EB2655" w:rsidRPr="00FE4A5C">
        <w:rPr>
          <w:rFonts w:ascii="Century Gothic" w:hAnsi="Century Gothic" w:cs="Arial"/>
          <w:sz w:val="21"/>
          <w:szCs w:val="21"/>
          <w:lang w:val="es-CO"/>
        </w:rPr>
        <w:t xml:space="preserve">bien inmueble con folio de matrícula inmobiliaria </w:t>
      </w:r>
      <w:proofErr w:type="spellStart"/>
      <w:r w:rsidR="00EB2655" w:rsidRPr="00FE4A5C">
        <w:rPr>
          <w:rFonts w:ascii="Century Gothic" w:hAnsi="Century Gothic" w:cs="Arial"/>
          <w:sz w:val="21"/>
          <w:szCs w:val="21"/>
          <w:lang w:val="es-CO"/>
        </w:rPr>
        <w:t>N°</w:t>
      </w:r>
      <w:proofErr w:type="spellEnd"/>
      <w:r w:rsidR="00EB2655" w:rsidRPr="00FE4A5C">
        <w:rPr>
          <w:rFonts w:ascii="Century Gothic" w:hAnsi="Century Gothic" w:cs="Arial"/>
          <w:sz w:val="21"/>
          <w:szCs w:val="21"/>
          <w:lang w:val="es-CO"/>
        </w:rPr>
        <w:t xml:space="preserve"> 090-14304 de la Oficina de Registro de Instrumentos Públicos de Ramiriquí – Boyacá, ubicado en la vereda Piedras de Candela jurisdicción del municipio de T</w:t>
      </w:r>
      <w:r w:rsidRPr="00FE4A5C">
        <w:rPr>
          <w:rFonts w:ascii="Century Gothic" w:hAnsi="Century Gothic" w:cs="Arial"/>
          <w:sz w:val="21"/>
          <w:szCs w:val="21"/>
          <w:lang w:val="es-CO"/>
        </w:rPr>
        <w:t xml:space="preserve">ibaná – Boyacá, denunciado como de propiedad del </w:t>
      </w:r>
      <w:r w:rsidR="00EB2655" w:rsidRPr="00FE4A5C">
        <w:rPr>
          <w:rFonts w:ascii="Century Gothic" w:hAnsi="Century Gothic" w:cs="Arial"/>
          <w:sz w:val="21"/>
          <w:szCs w:val="21"/>
          <w:lang w:val="es-CO"/>
        </w:rPr>
        <w:t>demandado José Daniel Sosa Reyes.</w:t>
      </w:r>
    </w:p>
    <w:p w14:paraId="71DB60E1" w14:textId="77777777" w:rsidR="00575DB8" w:rsidRPr="00FE4A5C" w:rsidRDefault="00575DB8" w:rsidP="00575DB8">
      <w:pPr>
        <w:overflowPunct w:val="0"/>
        <w:autoSpaceDE w:val="0"/>
        <w:autoSpaceDN w:val="0"/>
        <w:adjustRightInd w:val="0"/>
        <w:jc w:val="both"/>
        <w:textAlignment w:val="baseline"/>
        <w:rPr>
          <w:rFonts w:ascii="Century Gothic" w:hAnsi="Century Gothic" w:cs="Arial"/>
          <w:sz w:val="16"/>
          <w:szCs w:val="16"/>
          <w:lang w:val="es-CO"/>
        </w:rPr>
      </w:pPr>
    </w:p>
    <w:p w14:paraId="082079E6" w14:textId="5115F6F6" w:rsidR="00575DB8" w:rsidRPr="00FE4A5C" w:rsidRDefault="00EB2655" w:rsidP="00575DB8">
      <w:pPr>
        <w:jc w:val="both"/>
        <w:rPr>
          <w:rFonts w:ascii="Century Gothic" w:hAnsi="Century Gothic" w:cs="Tahoma"/>
          <w:sz w:val="21"/>
          <w:szCs w:val="21"/>
        </w:rPr>
      </w:pPr>
      <w:r w:rsidRPr="00FE4A5C">
        <w:rPr>
          <w:rFonts w:ascii="Century Gothic" w:hAnsi="Century Gothic"/>
          <w:sz w:val="21"/>
          <w:szCs w:val="21"/>
        </w:rPr>
        <w:t>C</w:t>
      </w:r>
      <w:r w:rsidR="00575DB8" w:rsidRPr="00FE4A5C">
        <w:rPr>
          <w:rFonts w:ascii="Century Gothic" w:hAnsi="Century Gothic"/>
          <w:sz w:val="21"/>
          <w:szCs w:val="21"/>
        </w:rPr>
        <w:t xml:space="preserve">omo quiera que por la actual emergencia sanitaria que atraviesa el país por la pandemia provocada por el COVID-19, no es dable </w:t>
      </w:r>
      <w:r w:rsidR="00575DB8" w:rsidRPr="00FE4A5C">
        <w:rPr>
          <w:rFonts w:ascii="Century Gothic" w:hAnsi="Century Gothic" w:cs="Tahoma"/>
          <w:sz w:val="21"/>
          <w:szCs w:val="21"/>
        </w:rPr>
        <w:t xml:space="preserve">programar la diligencia de secuestro encomendada,  dado que la suscrita Jueza </w:t>
      </w:r>
      <w:r w:rsidR="00575DB8" w:rsidRPr="00FE4A5C">
        <w:rPr>
          <w:rFonts w:ascii="Century Gothic" w:hAnsi="Century Gothic"/>
          <w:sz w:val="21"/>
          <w:szCs w:val="21"/>
        </w:rPr>
        <w:t xml:space="preserve">se encuentra dentro de las </w:t>
      </w:r>
      <w:r w:rsidR="00575DB8" w:rsidRPr="00FE4A5C">
        <w:rPr>
          <w:rFonts w:ascii="Century Gothic" w:hAnsi="Century Gothic" w:cs="Tahoma"/>
          <w:sz w:val="21"/>
          <w:szCs w:val="21"/>
        </w:rPr>
        <w:t xml:space="preserve">restricciones </w:t>
      </w:r>
      <w:r w:rsidR="00FE4A5C" w:rsidRPr="00FE4A5C">
        <w:rPr>
          <w:rFonts w:ascii="Century Gothic" w:hAnsi="Century Gothic" w:cs="Tahoma"/>
          <w:sz w:val="21"/>
          <w:szCs w:val="21"/>
        </w:rPr>
        <w:t xml:space="preserve">para asistir al juzgado y para realizar diligencias fuera de la sede de éste, </w:t>
      </w:r>
      <w:r w:rsidR="00575DB8" w:rsidRPr="00FE4A5C">
        <w:rPr>
          <w:rFonts w:ascii="Century Gothic" w:hAnsi="Century Gothic" w:cs="Tahoma"/>
          <w:sz w:val="21"/>
          <w:szCs w:val="21"/>
        </w:rPr>
        <w:t xml:space="preserve">previstas en el inciso segundo del artículo 3° y el artículo 28 del Acuerdo PCSJA20-11632 del 30 de septiembre de 2020, expedido por el Consejo Superior de la Judicatura, restricciones que </w:t>
      </w:r>
      <w:r w:rsidR="00FE4A5C" w:rsidRPr="00FE4A5C">
        <w:rPr>
          <w:rFonts w:ascii="Century Gothic" w:hAnsi="Century Gothic" w:cs="Tahoma"/>
          <w:sz w:val="21"/>
          <w:szCs w:val="21"/>
        </w:rPr>
        <w:t xml:space="preserve">se </w:t>
      </w:r>
      <w:r w:rsidR="00575DB8" w:rsidRPr="00FE4A5C">
        <w:rPr>
          <w:rFonts w:ascii="Century Gothic" w:hAnsi="Century Gothic" w:cs="Tahoma"/>
          <w:sz w:val="21"/>
          <w:szCs w:val="21"/>
        </w:rPr>
        <w:t>mant</w:t>
      </w:r>
      <w:r w:rsidR="00FE4A5C" w:rsidRPr="00FE4A5C">
        <w:rPr>
          <w:rFonts w:ascii="Century Gothic" w:hAnsi="Century Gothic" w:cs="Tahoma"/>
          <w:sz w:val="21"/>
          <w:szCs w:val="21"/>
        </w:rPr>
        <w:t>ienen</w:t>
      </w:r>
      <w:r w:rsidR="00575DB8" w:rsidRPr="00FE4A5C">
        <w:rPr>
          <w:rFonts w:ascii="Century Gothic" w:hAnsi="Century Gothic" w:cs="Tahoma"/>
          <w:sz w:val="21"/>
          <w:szCs w:val="21"/>
        </w:rPr>
        <w:t xml:space="preserve"> en el Acuerdo PCSJA20-11671 del 6 de noviembre de 2020</w:t>
      </w:r>
      <w:r w:rsidR="00FE4A5C" w:rsidRPr="00FE4A5C">
        <w:rPr>
          <w:rFonts w:ascii="Century Gothic" w:hAnsi="Century Gothic" w:cs="Tahoma"/>
          <w:sz w:val="21"/>
          <w:szCs w:val="21"/>
        </w:rPr>
        <w:t>,</w:t>
      </w:r>
      <w:r w:rsidR="00575DB8" w:rsidRPr="00FE4A5C">
        <w:rPr>
          <w:rFonts w:ascii="Century Gothic" w:hAnsi="Century Gothic" w:cs="Tahoma"/>
          <w:sz w:val="21"/>
          <w:szCs w:val="21"/>
        </w:rPr>
        <w:t xml:space="preserve"> reglas</w:t>
      </w:r>
      <w:r w:rsidR="00FE4A5C">
        <w:rPr>
          <w:rFonts w:ascii="Century Gothic" w:hAnsi="Century Gothic" w:cs="Tahoma"/>
          <w:sz w:val="21"/>
          <w:szCs w:val="21"/>
        </w:rPr>
        <w:t xml:space="preserve"> que son</w:t>
      </w:r>
      <w:r w:rsidR="00575DB8" w:rsidRPr="00FE4A5C">
        <w:rPr>
          <w:rFonts w:ascii="Century Gothic" w:hAnsi="Century Gothic" w:cs="Tahoma"/>
          <w:sz w:val="21"/>
          <w:szCs w:val="21"/>
        </w:rPr>
        <w:t xml:space="preserve"> de obligatorio cumplimiento por disposición expresa del artículo 32 del Acuerdo PCSJA20-11632 de 2020, las diligencias deberán ser devueltas a fin de que se comisione al funcionario de policía competente en el municipio de Tibaná. </w:t>
      </w:r>
    </w:p>
    <w:p w14:paraId="60F11E3B" w14:textId="77777777" w:rsidR="00575DB8" w:rsidRPr="00FE4A5C" w:rsidRDefault="00575DB8" w:rsidP="00575DB8">
      <w:pPr>
        <w:jc w:val="both"/>
        <w:rPr>
          <w:rFonts w:ascii="Century Gothic" w:hAnsi="Century Gothic" w:cs="Tahoma"/>
          <w:sz w:val="16"/>
          <w:szCs w:val="16"/>
        </w:rPr>
      </w:pPr>
    </w:p>
    <w:p w14:paraId="1D21A7AF" w14:textId="6B9A6E98" w:rsidR="00575DB8" w:rsidRPr="00FE4A5C" w:rsidRDefault="00575DB8" w:rsidP="00575DB8">
      <w:pPr>
        <w:jc w:val="both"/>
        <w:rPr>
          <w:rFonts w:ascii="Century Gothic" w:hAnsi="Century Gothic" w:cs="Tahoma"/>
          <w:sz w:val="21"/>
          <w:szCs w:val="21"/>
        </w:rPr>
      </w:pPr>
      <w:r w:rsidRPr="00FE4A5C">
        <w:rPr>
          <w:rFonts w:ascii="Century Gothic" w:hAnsi="Century Gothic" w:cs="Tahoma"/>
          <w:sz w:val="21"/>
          <w:szCs w:val="21"/>
        </w:rPr>
        <w:t xml:space="preserve">Lo anterior de conformidad con lo dispuesto en la Ley 2030 de 2020 que otorgó a los señores alcaldes y demás funcionarios de policía, la función de cumplir con las comisiones de que trata el artículo 38 del C.G. del P., lo que en las actuales circunstancias se convierte en la mejor opción para llevar a cabo las diligencias de secuestro </w:t>
      </w:r>
      <w:r w:rsidR="00FE4A5C">
        <w:rPr>
          <w:rFonts w:ascii="Century Gothic" w:hAnsi="Century Gothic" w:cs="Tahoma"/>
          <w:sz w:val="21"/>
          <w:szCs w:val="21"/>
        </w:rPr>
        <w:t xml:space="preserve">y de entregas de inmuebles, </w:t>
      </w:r>
      <w:r w:rsidRPr="00FE4A5C">
        <w:rPr>
          <w:rFonts w:ascii="Century Gothic" w:hAnsi="Century Gothic" w:cs="Tahoma"/>
          <w:sz w:val="21"/>
          <w:szCs w:val="21"/>
        </w:rPr>
        <w:t>y dar celeridad a los procesos.</w:t>
      </w:r>
    </w:p>
    <w:p w14:paraId="2F2AADC8" w14:textId="77777777" w:rsidR="00575DB8" w:rsidRPr="00FE4A5C" w:rsidRDefault="00575DB8" w:rsidP="00575DB8">
      <w:pPr>
        <w:jc w:val="both"/>
        <w:rPr>
          <w:rFonts w:ascii="Century Gothic" w:hAnsi="Century Gothic" w:cs="Tahoma"/>
          <w:sz w:val="16"/>
          <w:szCs w:val="16"/>
        </w:rPr>
      </w:pPr>
    </w:p>
    <w:p w14:paraId="135996E5" w14:textId="77777777" w:rsidR="00575DB8" w:rsidRPr="00FE4A5C" w:rsidRDefault="00575DB8" w:rsidP="00575DB8">
      <w:pPr>
        <w:jc w:val="both"/>
        <w:rPr>
          <w:rFonts w:ascii="Century Gothic" w:hAnsi="Century Gothic" w:cs="Tahoma"/>
          <w:sz w:val="21"/>
          <w:szCs w:val="21"/>
        </w:rPr>
      </w:pPr>
      <w:r w:rsidRPr="00FE4A5C">
        <w:rPr>
          <w:rFonts w:ascii="Century Gothic" w:hAnsi="Century Gothic" w:cs="Tahoma"/>
          <w:sz w:val="21"/>
          <w:szCs w:val="21"/>
        </w:rPr>
        <w:t xml:space="preserve">Con fundamento en lo anterior, se ordena la devolución del presente despacho comisorio al juzgado comitente, para lo de su cargo. </w:t>
      </w:r>
    </w:p>
    <w:p w14:paraId="6EFE7C5F" w14:textId="77777777" w:rsidR="00575DB8" w:rsidRPr="00FE4A5C" w:rsidRDefault="00575DB8" w:rsidP="00575DB8">
      <w:pPr>
        <w:jc w:val="both"/>
        <w:rPr>
          <w:rFonts w:ascii="Century Gothic" w:hAnsi="Century Gothic" w:cs="Tahoma"/>
          <w:sz w:val="21"/>
          <w:szCs w:val="21"/>
        </w:rPr>
      </w:pPr>
    </w:p>
    <w:p w14:paraId="33F636A8" w14:textId="77777777" w:rsidR="00575DB8" w:rsidRPr="00FE4A5C" w:rsidRDefault="00575DB8" w:rsidP="00575DB8">
      <w:pPr>
        <w:jc w:val="center"/>
        <w:rPr>
          <w:rFonts w:ascii="Century Gothic" w:hAnsi="Century Gothic" w:cs="Tahoma"/>
          <w:b/>
          <w:bCs/>
          <w:sz w:val="16"/>
          <w:szCs w:val="16"/>
        </w:rPr>
      </w:pPr>
      <w:r w:rsidRPr="00FE4A5C">
        <w:rPr>
          <w:rFonts w:ascii="Century Gothic" w:hAnsi="Century Gothic" w:cs="Tahoma"/>
          <w:b/>
          <w:bCs/>
          <w:sz w:val="21"/>
          <w:szCs w:val="21"/>
        </w:rPr>
        <w:t>NOTIFÍQUESE Y CÚMPLASE</w:t>
      </w:r>
    </w:p>
    <w:p w14:paraId="079BA579" w14:textId="77777777" w:rsidR="00575DB8" w:rsidRPr="00FE4A5C" w:rsidRDefault="00575DB8" w:rsidP="00575DB8">
      <w:pPr>
        <w:rPr>
          <w:rFonts w:ascii="Century Gothic" w:hAnsi="Century Gothic" w:cs="Tahoma"/>
          <w:b/>
          <w:bCs/>
          <w:sz w:val="16"/>
          <w:szCs w:val="16"/>
        </w:rPr>
      </w:pPr>
    </w:p>
    <w:p w14:paraId="7927CFA5" w14:textId="77777777" w:rsidR="00575DB8" w:rsidRPr="00FE4A5C" w:rsidRDefault="00575DB8" w:rsidP="00575DB8">
      <w:pPr>
        <w:rPr>
          <w:rFonts w:ascii="Century Gothic" w:hAnsi="Century Gothic" w:cs="Tahoma"/>
          <w:b/>
          <w:bCs/>
          <w:sz w:val="16"/>
          <w:szCs w:val="16"/>
        </w:rPr>
      </w:pPr>
    </w:p>
    <w:p w14:paraId="0755F218" w14:textId="77777777" w:rsidR="00575DB8" w:rsidRPr="00FE4A5C" w:rsidRDefault="00575DB8" w:rsidP="00575DB8">
      <w:pPr>
        <w:jc w:val="center"/>
        <w:rPr>
          <w:rFonts w:ascii="Century Gothic" w:hAnsi="Century Gothic" w:cs="Tahoma"/>
          <w:b/>
          <w:bCs/>
          <w:sz w:val="21"/>
          <w:szCs w:val="21"/>
        </w:rPr>
      </w:pPr>
      <w:r w:rsidRPr="00FE4A5C">
        <w:rPr>
          <w:rFonts w:ascii="Century Gothic" w:hAnsi="Century Gothic" w:cs="Tahoma"/>
          <w:b/>
          <w:bCs/>
          <w:sz w:val="21"/>
          <w:szCs w:val="21"/>
        </w:rPr>
        <w:t>DIANA PATRICIA ROJAS RODRIGUEZ</w:t>
      </w:r>
    </w:p>
    <w:p w14:paraId="27D2E779" w14:textId="60D4D636" w:rsidR="00CB2EFB" w:rsidRPr="00CB2EFB" w:rsidRDefault="00575DB8" w:rsidP="00CB2EFB">
      <w:pPr>
        <w:jc w:val="center"/>
        <w:rPr>
          <w:sz w:val="16"/>
          <w:szCs w:val="16"/>
        </w:rPr>
      </w:pPr>
      <w:r w:rsidRPr="00FE4A5C">
        <w:rPr>
          <w:rFonts w:ascii="Century Gothic" w:hAnsi="Century Gothic" w:cs="Tahoma"/>
          <w:b/>
          <w:bCs/>
          <w:sz w:val="21"/>
          <w:szCs w:val="21"/>
        </w:rPr>
        <w:t>JUEZA</w:t>
      </w:r>
    </w:p>
    <w:sectPr w:rsidR="00CB2EFB" w:rsidRPr="00CB2EFB" w:rsidSect="006721D7">
      <w:headerReference w:type="default" r:id="rId7"/>
      <w:footerReference w:type="default" r:id="rId8"/>
      <w:pgSz w:w="12240" w:h="20160" w:code="5"/>
      <w:pgMar w:top="1361" w:right="1701" w:bottom="170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B94CD" w14:textId="77777777" w:rsidR="004D4910" w:rsidRDefault="004D4910">
      <w:r>
        <w:separator/>
      </w:r>
    </w:p>
  </w:endnote>
  <w:endnote w:type="continuationSeparator" w:id="0">
    <w:p w14:paraId="3B458C46" w14:textId="77777777" w:rsidR="004D4910" w:rsidRDefault="004D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6185" w14:textId="77777777" w:rsidR="00F70657" w:rsidRPr="00FE4A5C" w:rsidRDefault="0096782A" w:rsidP="00F70657">
    <w:pPr>
      <w:pStyle w:val="Piedepgina"/>
      <w:jc w:val="center"/>
      <w:rPr>
        <w:rFonts w:ascii="Century Gothic" w:hAnsi="Century Gothic" w:cs="Arial"/>
        <w:sz w:val="14"/>
        <w:szCs w:val="14"/>
        <w:u w:val="single"/>
      </w:rPr>
    </w:pPr>
    <w:r w:rsidRPr="00FE4A5C">
      <w:rPr>
        <w:rFonts w:ascii="Century Gothic" w:hAnsi="Century Gothic" w:cs="Arial"/>
        <w:sz w:val="14"/>
        <w:szCs w:val="14"/>
      </w:rPr>
      <w:t xml:space="preserve">Ubicación Calle 7 </w:t>
    </w:r>
    <w:proofErr w:type="spellStart"/>
    <w:r w:rsidRPr="00FE4A5C">
      <w:rPr>
        <w:rFonts w:ascii="Century Gothic" w:hAnsi="Century Gothic" w:cs="Arial"/>
        <w:sz w:val="14"/>
        <w:szCs w:val="14"/>
      </w:rPr>
      <w:t>N°</w:t>
    </w:r>
    <w:proofErr w:type="spellEnd"/>
    <w:r w:rsidRPr="00FE4A5C">
      <w:rPr>
        <w:rFonts w:ascii="Century Gothic" w:hAnsi="Century Gothic" w:cs="Arial"/>
        <w:sz w:val="14"/>
        <w:szCs w:val="14"/>
      </w:rPr>
      <w:t xml:space="preserve"> 4 – 64 Telefax 7338071 Tibaná–Boyacá E-mail: </w:t>
    </w:r>
    <w:hyperlink r:id="rId1" w:history="1">
      <w:r w:rsidRPr="00FE4A5C">
        <w:rPr>
          <w:rStyle w:val="Hipervnculo"/>
          <w:rFonts w:ascii="Century Gothic" w:hAnsi="Century Gothic" w:cs="Arial"/>
          <w:sz w:val="14"/>
          <w:szCs w:val="14"/>
        </w:rPr>
        <w:t>j01prmpaltibana@cendoj.ramajudicial.gov.co</w:t>
      </w:r>
    </w:hyperlink>
  </w:p>
  <w:p w14:paraId="0B0C0C47" w14:textId="77777777" w:rsidR="005B61C1" w:rsidRDefault="004D4910" w:rsidP="00B54F97">
    <w:pPr>
      <w:pStyle w:val="Piedepgina"/>
      <w:rPr>
        <w:rFonts w:ascii="Century Gothic" w:hAnsi="Century Gothic" w:cs="Arial"/>
        <w:b/>
        <w:bCs/>
        <w:sz w:val="14"/>
        <w:szCs w:val="14"/>
        <w:u w:val="single"/>
      </w:rPr>
    </w:pPr>
  </w:p>
  <w:p w14:paraId="683FB4EA" w14:textId="77777777" w:rsidR="005B61C1" w:rsidRDefault="004D4910" w:rsidP="00F70657">
    <w:pPr>
      <w:pStyle w:val="Piedepgina"/>
      <w:jc w:val="center"/>
      <w:rPr>
        <w:rFonts w:ascii="Century Gothic" w:hAnsi="Century Gothic" w:cs="Arial"/>
        <w:b/>
        <w:bCs/>
        <w:sz w:val="14"/>
        <w:szCs w:val="14"/>
        <w:u w:val="single"/>
      </w:rPr>
    </w:pPr>
  </w:p>
  <w:p w14:paraId="6F0C6CE4" w14:textId="77777777" w:rsidR="005B61C1" w:rsidRDefault="004D4910" w:rsidP="00F70657">
    <w:pPr>
      <w:pStyle w:val="Piedepgina"/>
      <w:jc w:val="center"/>
      <w:rPr>
        <w:rFonts w:ascii="Century Gothic" w:hAnsi="Century Gothic" w:cs="Arial"/>
        <w:b/>
        <w:bCs/>
        <w:sz w:val="14"/>
        <w:szCs w:val="14"/>
        <w:u w:val="single"/>
      </w:rPr>
    </w:pPr>
  </w:p>
  <w:p w14:paraId="4ABA58A5" w14:textId="77777777" w:rsidR="00F70657" w:rsidRDefault="004D49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13659" w14:textId="77777777" w:rsidR="004D4910" w:rsidRDefault="004D4910">
      <w:r>
        <w:separator/>
      </w:r>
    </w:p>
  </w:footnote>
  <w:footnote w:type="continuationSeparator" w:id="0">
    <w:p w14:paraId="6D71B2AA" w14:textId="77777777" w:rsidR="004D4910" w:rsidRDefault="004D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A377" w14:textId="77777777" w:rsidR="00B54F97" w:rsidRPr="00B54F97" w:rsidRDefault="0096782A" w:rsidP="00B54F97">
    <w:pPr>
      <w:pStyle w:val="Encabezado"/>
      <w:jc w:val="right"/>
      <w:rPr>
        <w:rFonts w:ascii="Century Gothic" w:hAnsi="Century Gothic"/>
        <w:sz w:val="18"/>
        <w:szCs w:val="18"/>
        <w:lang w:val="es-CO"/>
      </w:rPr>
    </w:pPr>
    <w:r w:rsidRPr="00B54F97">
      <w:rPr>
        <w:rFonts w:ascii="Century Gothic" w:hAnsi="Century Gothic"/>
        <w:sz w:val="18"/>
        <w:szCs w:val="18"/>
        <w:lang w:val="es-CO"/>
      </w:rPr>
      <w:t>PUBLICADO: Estado 042 del 20 de noviembre 2020</w:t>
    </w:r>
  </w:p>
  <w:p w14:paraId="0733C375" w14:textId="77777777" w:rsidR="00B54F97" w:rsidRDefault="004D49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B8"/>
    <w:rsid w:val="004D4910"/>
    <w:rsid w:val="00575DB8"/>
    <w:rsid w:val="00603343"/>
    <w:rsid w:val="006721D7"/>
    <w:rsid w:val="007B06EB"/>
    <w:rsid w:val="008F2D00"/>
    <w:rsid w:val="0096782A"/>
    <w:rsid w:val="00C22E75"/>
    <w:rsid w:val="00C875F8"/>
    <w:rsid w:val="00CB2EFB"/>
    <w:rsid w:val="00EB2655"/>
    <w:rsid w:val="00FE4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0A1E"/>
  <w15:chartTrackingRefBased/>
  <w15:docId w15:val="{BF27FEE7-079E-44A8-9910-C61215B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B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75DB8"/>
    <w:rPr>
      <w:rFonts w:ascii="Arial" w:hAnsi="Arial"/>
      <w:sz w:val="22"/>
      <w:lang w:val="es-CO"/>
    </w:rPr>
  </w:style>
  <w:style w:type="character" w:customStyle="1" w:styleId="TextoindependienteCar">
    <w:name w:val="Texto independiente Car"/>
    <w:basedOn w:val="Fuentedeprrafopredeter"/>
    <w:link w:val="Textoindependiente"/>
    <w:semiHidden/>
    <w:rsid w:val="00575DB8"/>
    <w:rPr>
      <w:rFonts w:ascii="Arial" w:eastAsia="Times New Roman" w:hAnsi="Arial" w:cs="Times New Roman"/>
      <w:szCs w:val="20"/>
      <w:lang w:eastAsia="es-ES"/>
    </w:rPr>
  </w:style>
  <w:style w:type="paragraph" w:styleId="Encabezado">
    <w:name w:val="header"/>
    <w:basedOn w:val="Normal"/>
    <w:link w:val="EncabezadoCar"/>
    <w:uiPriority w:val="99"/>
    <w:unhideWhenUsed/>
    <w:rsid w:val="00575DB8"/>
    <w:pPr>
      <w:tabs>
        <w:tab w:val="center" w:pos="4419"/>
        <w:tab w:val="right" w:pos="8838"/>
      </w:tabs>
    </w:pPr>
  </w:style>
  <w:style w:type="character" w:customStyle="1" w:styleId="EncabezadoCar">
    <w:name w:val="Encabezado Car"/>
    <w:basedOn w:val="Fuentedeprrafopredeter"/>
    <w:link w:val="Encabezado"/>
    <w:uiPriority w:val="99"/>
    <w:rsid w:val="00575DB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75DB8"/>
    <w:pPr>
      <w:tabs>
        <w:tab w:val="center" w:pos="4419"/>
        <w:tab w:val="right" w:pos="8838"/>
      </w:tabs>
    </w:pPr>
  </w:style>
  <w:style w:type="character" w:customStyle="1" w:styleId="PiedepginaCar">
    <w:name w:val="Pie de página Car"/>
    <w:basedOn w:val="Fuentedeprrafopredeter"/>
    <w:link w:val="Piedepgina"/>
    <w:uiPriority w:val="99"/>
    <w:rsid w:val="00575DB8"/>
    <w:rPr>
      <w:rFonts w:ascii="Times New Roman" w:eastAsia="Times New Roman" w:hAnsi="Times New Roman" w:cs="Times New Roman"/>
      <w:sz w:val="20"/>
      <w:szCs w:val="20"/>
      <w:lang w:val="es-ES" w:eastAsia="es-ES"/>
    </w:rPr>
  </w:style>
  <w:style w:type="character" w:styleId="Hipervnculo">
    <w:name w:val="Hyperlink"/>
    <w:rsid w:val="00575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01prmpaltibana@cendoj.ramajudicial.gov.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Rojas Rodriguez</dc:creator>
  <cp:keywords/>
  <dc:description/>
  <cp:lastModifiedBy>Diana Patricia Rojas Rodriguez</cp:lastModifiedBy>
  <cp:revision>5</cp:revision>
  <dcterms:created xsi:type="dcterms:W3CDTF">2020-11-18T22:03:00Z</dcterms:created>
  <dcterms:modified xsi:type="dcterms:W3CDTF">2020-11-19T20:03:00Z</dcterms:modified>
</cp:coreProperties>
</file>