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5CAD" w14:textId="77777777" w:rsidR="00500C94" w:rsidRDefault="004C4240" w:rsidP="00500C94">
      <w:pPr>
        <w:tabs>
          <w:tab w:val="left" w:pos="2389"/>
        </w:tabs>
        <w:rPr>
          <w:rFonts w:ascii="Century Gothic" w:hAnsi="Century Gothic"/>
          <w:b/>
          <w:noProof/>
          <w:sz w:val="20"/>
          <w:lang w:eastAsia="es-CO"/>
        </w:rPr>
      </w:pPr>
      <w:r>
        <w:rPr>
          <w:noProof/>
          <w:lang w:val="es-CO" w:eastAsia="es-CO"/>
        </w:rPr>
        <w:drawing>
          <wp:anchor distT="0" distB="0" distL="114300" distR="114300" simplePos="0" relativeHeight="251659264" behindDoc="0" locked="0" layoutInCell="1" allowOverlap="1" wp14:anchorId="633D61D3" wp14:editId="44DEBA10">
            <wp:simplePos x="0" y="0"/>
            <wp:positionH relativeFrom="column">
              <wp:posOffset>2563495</wp:posOffset>
            </wp:positionH>
            <wp:positionV relativeFrom="paragraph">
              <wp:posOffset>0</wp:posOffset>
            </wp:positionV>
            <wp:extent cx="666115" cy="607695"/>
            <wp:effectExtent l="0" t="0" r="0" b="0"/>
            <wp:wrapSquare wrapText="right"/>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15"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D47BE" w14:textId="77777777" w:rsidR="00500C94" w:rsidRDefault="00500C94" w:rsidP="00B302EB">
      <w:pPr>
        <w:tabs>
          <w:tab w:val="left" w:pos="2389"/>
        </w:tabs>
        <w:rPr>
          <w:rFonts w:ascii="Century Gothic" w:hAnsi="Century Gothic"/>
          <w:b/>
          <w:noProof/>
          <w:sz w:val="20"/>
          <w:lang w:eastAsia="es-CO"/>
        </w:rPr>
      </w:pPr>
    </w:p>
    <w:p w14:paraId="26D61745" w14:textId="77777777" w:rsidR="00500C94" w:rsidRDefault="00500C94" w:rsidP="00B302EB">
      <w:pPr>
        <w:tabs>
          <w:tab w:val="left" w:pos="2389"/>
        </w:tabs>
        <w:rPr>
          <w:rFonts w:ascii="Century Gothic" w:hAnsi="Century Gothic"/>
          <w:b/>
          <w:noProof/>
          <w:sz w:val="20"/>
          <w:lang w:eastAsia="es-CO"/>
        </w:rPr>
      </w:pPr>
    </w:p>
    <w:p w14:paraId="7E478456" w14:textId="77777777" w:rsidR="00500C94" w:rsidRPr="002568EF" w:rsidRDefault="00500C94" w:rsidP="00B302EB">
      <w:pPr>
        <w:tabs>
          <w:tab w:val="left" w:pos="2389"/>
        </w:tabs>
        <w:rPr>
          <w:rFonts w:ascii="Century Gothic" w:hAnsi="Century Gothic"/>
          <w:b/>
          <w:noProof/>
          <w:sz w:val="20"/>
          <w:lang w:eastAsia="es-CO"/>
        </w:rPr>
      </w:pPr>
    </w:p>
    <w:p w14:paraId="18ACC205" w14:textId="77777777" w:rsidR="00500C94" w:rsidRPr="00807B30" w:rsidRDefault="00500C94" w:rsidP="00B302EB">
      <w:pPr>
        <w:jc w:val="center"/>
        <w:rPr>
          <w:rFonts w:ascii="Century Gothic" w:hAnsi="Century Gothic"/>
          <w:bCs/>
          <w:noProof/>
          <w:sz w:val="22"/>
          <w:szCs w:val="22"/>
          <w:lang w:eastAsia="es-CO"/>
        </w:rPr>
      </w:pPr>
      <w:r w:rsidRPr="00807B30">
        <w:rPr>
          <w:rFonts w:ascii="Century Gothic" w:hAnsi="Century Gothic"/>
          <w:bCs/>
          <w:noProof/>
          <w:sz w:val="22"/>
          <w:szCs w:val="22"/>
          <w:lang w:eastAsia="es-CO"/>
        </w:rPr>
        <w:t>CONSEJO SUPERIOR DE LA JUDICATURA</w:t>
      </w:r>
    </w:p>
    <w:p w14:paraId="369BE726" w14:textId="77777777" w:rsidR="00500C94" w:rsidRPr="00B302EB" w:rsidRDefault="00500C94" w:rsidP="00B302EB">
      <w:pPr>
        <w:tabs>
          <w:tab w:val="center" w:pos="4394"/>
        </w:tabs>
        <w:jc w:val="center"/>
        <w:rPr>
          <w:rFonts w:ascii="Century Gothic" w:hAnsi="Century Gothic" w:cs="Century Gothic"/>
          <w:b/>
          <w:bCs/>
          <w:sz w:val="22"/>
          <w:szCs w:val="22"/>
        </w:rPr>
      </w:pPr>
      <w:r w:rsidRPr="00B302EB">
        <w:rPr>
          <w:rFonts w:ascii="Century Gothic" w:hAnsi="Century Gothic" w:cs="Century Gothic"/>
          <w:sz w:val="22"/>
          <w:szCs w:val="22"/>
        </w:rPr>
        <w:t>DISTRITO JUDICIAL DE TUNJA</w:t>
      </w:r>
    </w:p>
    <w:p w14:paraId="15FF7287" w14:textId="77777777" w:rsidR="00500C94" w:rsidRPr="00B302EB" w:rsidRDefault="00500C94" w:rsidP="00B302EB">
      <w:pPr>
        <w:jc w:val="center"/>
        <w:rPr>
          <w:rFonts w:ascii="Century Gothic" w:hAnsi="Century Gothic" w:cs="Arial"/>
          <w:b/>
          <w:sz w:val="22"/>
          <w:szCs w:val="22"/>
        </w:rPr>
      </w:pPr>
      <w:r w:rsidRPr="00B302EB">
        <w:rPr>
          <w:rFonts w:ascii="Century Gothic" w:hAnsi="Century Gothic" w:cs="Arial"/>
          <w:b/>
          <w:sz w:val="22"/>
          <w:szCs w:val="22"/>
        </w:rPr>
        <w:t>JUZGADO PROMISCUO MUNICIPAL DE TIBANÁ</w:t>
      </w:r>
    </w:p>
    <w:p w14:paraId="03D950BB" w14:textId="77777777" w:rsidR="00500C94" w:rsidRPr="00B302EB" w:rsidRDefault="00500C94" w:rsidP="00B302EB">
      <w:pPr>
        <w:jc w:val="center"/>
        <w:rPr>
          <w:rFonts w:ascii="Century Gothic" w:hAnsi="Century Gothic"/>
          <w:sz w:val="20"/>
          <w:szCs w:val="20"/>
        </w:rPr>
      </w:pPr>
    </w:p>
    <w:p w14:paraId="297539AC" w14:textId="6BF4B9C5" w:rsidR="005F4253" w:rsidRPr="00B302EB" w:rsidRDefault="005F4253" w:rsidP="00B302EB">
      <w:pPr>
        <w:rPr>
          <w:rFonts w:ascii="Century Gothic" w:hAnsi="Century Gothic"/>
          <w:sz w:val="22"/>
          <w:szCs w:val="22"/>
        </w:rPr>
      </w:pPr>
      <w:r w:rsidRPr="00B302EB">
        <w:rPr>
          <w:rFonts w:ascii="Century Gothic" w:hAnsi="Century Gothic"/>
          <w:sz w:val="22"/>
          <w:szCs w:val="22"/>
        </w:rPr>
        <w:t xml:space="preserve">Tibaná, </w:t>
      </w:r>
      <w:r w:rsidR="00500C94" w:rsidRPr="00B302EB">
        <w:rPr>
          <w:rFonts w:ascii="Century Gothic" w:hAnsi="Century Gothic"/>
          <w:sz w:val="22"/>
          <w:szCs w:val="22"/>
        </w:rPr>
        <w:t>diez (10) de diciembre</w:t>
      </w:r>
      <w:r w:rsidRPr="00B302EB">
        <w:rPr>
          <w:rFonts w:ascii="Century Gothic" w:hAnsi="Century Gothic"/>
          <w:sz w:val="22"/>
          <w:szCs w:val="22"/>
        </w:rPr>
        <w:t xml:space="preserve"> de dos mil veinte (2020)</w:t>
      </w:r>
    </w:p>
    <w:p w14:paraId="2687A784" w14:textId="77777777" w:rsidR="00B302EB" w:rsidRPr="00B302EB" w:rsidRDefault="00B302EB" w:rsidP="00B302EB">
      <w:pPr>
        <w:rPr>
          <w:rFonts w:ascii="Century Gothic" w:hAnsi="Century Gothic"/>
          <w:sz w:val="8"/>
          <w:szCs w:val="8"/>
        </w:rPr>
      </w:pPr>
    </w:p>
    <w:tbl>
      <w:tblPr>
        <w:tblpPr w:leftFromText="141" w:rightFromText="141" w:vertAnchor="text" w:horzAnchor="margin" w:tblpY="69"/>
        <w:tblW w:w="9070" w:type="dxa"/>
        <w:tblLayout w:type="fixed"/>
        <w:tblCellMar>
          <w:left w:w="70" w:type="dxa"/>
          <w:right w:w="70" w:type="dxa"/>
        </w:tblCellMar>
        <w:tblLook w:val="0000" w:firstRow="0" w:lastRow="0" w:firstColumn="0" w:lastColumn="0" w:noHBand="0" w:noVBand="0"/>
      </w:tblPr>
      <w:tblGrid>
        <w:gridCol w:w="3047"/>
        <w:gridCol w:w="310"/>
        <w:gridCol w:w="5713"/>
      </w:tblGrid>
      <w:tr w:rsidR="00B302EB" w:rsidRPr="00B302EB" w14:paraId="4E373B50" w14:textId="77777777" w:rsidTr="00E44565">
        <w:tc>
          <w:tcPr>
            <w:tcW w:w="3047" w:type="dxa"/>
            <w:tcBorders>
              <w:top w:val="nil"/>
              <w:left w:val="nil"/>
              <w:bottom w:val="nil"/>
              <w:right w:val="nil"/>
            </w:tcBorders>
          </w:tcPr>
          <w:p w14:paraId="1132491D" w14:textId="77777777" w:rsidR="00316D67" w:rsidRPr="00B302EB" w:rsidRDefault="00316D67" w:rsidP="00B302EB">
            <w:pPr>
              <w:tabs>
                <w:tab w:val="left" w:pos="-720"/>
              </w:tabs>
              <w:suppressAutoHyphens/>
              <w:jc w:val="right"/>
              <w:rPr>
                <w:rFonts w:ascii="Century Gothic" w:hAnsi="Century Gothic" w:cs="Arial"/>
                <w:spacing w:val="-3"/>
                <w:sz w:val="22"/>
                <w:szCs w:val="22"/>
              </w:rPr>
            </w:pPr>
            <w:r w:rsidRPr="00B302EB">
              <w:rPr>
                <w:rFonts w:ascii="Century Gothic" w:hAnsi="Century Gothic" w:cs="Arial"/>
                <w:spacing w:val="-3"/>
                <w:sz w:val="22"/>
                <w:szCs w:val="22"/>
              </w:rPr>
              <w:t xml:space="preserve">Ref. EXPEDIENTE </w:t>
            </w:r>
          </w:p>
        </w:tc>
        <w:tc>
          <w:tcPr>
            <w:tcW w:w="310" w:type="dxa"/>
            <w:tcBorders>
              <w:top w:val="nil"/>
              <w:left w:val="nil"/>
              <w:bottom w:val="nil"/>
              <w:right w:val="nil"/>
            </w:tcBorders>
          </w:tcPr>
          <w:p w14:paraId="512B97E7" w14:textId="77777777" w:rsidR="00316D67" w:rsidRPr="00B302EB" w:rsidRDefault="00316D67" w:rsidP="00B302EB">
            <w:pPr>
              <w:tabs>
                <w:tab w:val="left" w:pos="-720"/>
              </w:tabs>
              <w:suppressAutoHyphens/>
              <w:jc w:val="both"/>
              <w:rPr>
                <w:rFonts w:ascii="Century Gothic" w:hAnsi="Century Gothic" w:cs="Arial"/>
                <w:spacing w:val="-3"/>
                <w:sz w:val="22"/>
                <w:szCs w:val="22"/>
              </w:rPr>
            </w:pPr>
            <w:r w:rsidRPr="00B302EB">
              <w:rPr>
                <w:rFonts w:ascii="Century Gothic" w:hAnsi="Century Gothic" w:cs="Arial"/>
                <w:spacing w:val="-3"/>
                <w:sz w:val="22"/>
                <w:szCs w:val="22"/>
              </w:rPr>
              <w:t>:</w:t>
            </w:r>
          </w:p>
        </w:tc>
        <w:tc>
          <w:tcPr>
            <w:tcW w:w="5713" w:type="dxa"/>
            <w:tcBorders>
              <w:top w:val="nil"/>
              <w:left w:val="nil"/>
              <w:bottom w:val="nil"/>
              <w:right w:val="nil"/>
            </w:tcBorders>
          </w:tcPr>
          <w:p w14:paraId="106F65DE" w14:textId="77777777" w:rsidR="00316D67" w:rsidRPr="00B302EB" w:rsidRDefault="00316D67" w:rsidP="00B302EB">
            <w:pPr>
              <w:tabs>
                <w:tab w:val="left" w:pos="-720"/>
              </w:tabs>
              <w:suppressAutoHyphens/>
              <w:jc w:val="both"/>
              <w:rPr>
                <w:rFonts w:ascii="Century Gothic" w:hAnsi="Century Gothic" w:cs="Arial"/>
                <w:spacing w:val="-3"/>
                <w:sz w:val="22"/>
                <w:szCs w:val="22"/>
              </w:rPr>
            </w:pPr>
            <w:r w:rsidRPr="00B302EB">
              <w:rPr>
                <w:rFonts w:ascii="Century Gothic" w:hAnsi="Century Gothic" w:cs="Arial"/>
                <w:spacing w:val="-3"/>
                <w:sz w:val="22"/>
                <w:szCs w:val="22"/>
              </w:rPr>
              <w:t>PERTENENCIA AGRARIA</w:t>
            </w:r>
          </w:p>
          <w:p w14:paraId="1CA3AD2C" w14:textId="77777777" w:rsidR="00316D67" w:rsidRPr="00B302EB" w:rsidRDefault="00316D67" w:rsidP="00B302EB">
            <w:pPr>
              <w:tabs>
                <w:tab w:val="left" w:pos="-720"/>
              </w:tabs>
              <w:suppressAutoHyphens/>
              <w:jc w:val="both"/>
              <w:rPr>
                <w:rFonts w:ascii="Century Gothic" w:hAnsi="Century Gothic" w:cs="Arial"/>
                <w:spacing w:val="-3"/>
                <w:sz w:val="22"/>
                <w:szCs w:val="22"/>
              </w:rPr>
            </w:pPr>
            <w:r w:rsidRPr="00B302EB">
              <w:rPr>
                <w:rFonts w:ascii="Century Gothic" w:hAnsi="Century Gothic" w:cs="Arial"/>
                <w:spacing w:val="-3"/>
                <w:sz w:val="22"/>
                <w:szCs w:val="22"/>
              </w:rPr>
              <w:t>2017-00141</w:t>
            </w:r>
          </w:p>
        </w:tc>
      </w:tr>
      <w:tr w:rsidR="00B302EB" w:rsidRPr="00B302EB" w14:paraId="453914B6" w14:textId="77777777" w:rsidTr="00E44565">
        <w:tc>
          <w:tcPr>
            <w:tcW w:w="3047" w:type="dxa"/>
            <w:tcBorders>
              <w:top w:val="nil"/>
              <w:left w:val="nil"/>
              <w:bottom w:val="nil"/>
              <w:right w:val="nil"/>
            </w:tcBorders>
          </w:tcPr>
          <w:p w14:paraId="37EB4D18" w14:textId="77777777" w:rsidR="00316D67" w:rsidRPr="00B302EB" w:rsidRDefault="00316D67" w:rsidP="00B302EB">
            <w:pPr>
              <w:tabs>
                <w:tab w:val="left" w:pos="-720"/>
              </w:tabs>
              <w:suppressAutoHyphens/>
              <w:jc w:val="right"/>
              <w:rPr>
                <w:rFonts w:ascii="Century Gothic" w:hAnsi="Century Gothic" w:cs="Arial"/>
                <w:spacing w:val="-3"/>
                <w:sz w:val="22"/>
                <w:szCs w:val="22"/>
              </w:rPr>
            </w:pPr>
            <w:r w:rsidRPr="00B302EB">
              <w:rPr>
                <w:rFonts w:ascii="Century Gothic" w:hAnsi="Century Gothic" w:cs="Arial"/>
                <w:spacing w:val="-3"/>
                <w:sz w:val="22"/>
                <w:szCs w:val="22"/>
              </w:rPr>
              <w:t>Demandantes</w:t>
            </w:r>
          </w:p>
        </w:tc>
        <w:tc>
          <w:tcPr>
            <w:tcW w:w="310" w:type="dxa"/>
            <w:tcBorders>
              <w:top w:val="nil"/>
              <w:left w:val="nil"/>
              <w:bottom w:val="nil"/>
              <w:right w:val="nil"/>
            </w:tcBorders>
          </w:tcPr>
          <w:p w14:paraId="58F9742C" w14:textId="77777777" w:rsidR="00316D67" w:rsidRPr="00B302EB" w:rsidRDefault="00316D67" w:rsidP="00B302EB">
            <w:pPr>
              <w:tabs>
                <w:tab w:val="left" w:pos="-720"/>
              </w:tabs>
              <w:suppressAutoHyphens/>
              <w:rPr>
                <w:rFonts w:ascii="Century Gothic" w:hAnsi="Century Gothic" w:cs="Arial"/>
                <w:spacing w:val="-3"/>
                <w:sz w:val="22"/>
                <w:szCs w:val="22"/>
              </w:rPr>
            </w:pPr>
            <w:r w:rsidRPr="00B302EB">
              <w:rPr>
                <w:rFonts w:ascii="Century Gothic" w:hAnsi="Century Gothic" w:cs="Arial"/>
                <w:spacing w:val="-3"/>
                <w:sz w:val="22"/>
                <w:szCs w:val="22"/>
              </w:rPr>
              <w:t>:</w:t>
            </w:r>
          </w:p>
        </w:tc>
        <w:tc>
          <w:tcPr>
            <w:tcW w:w="5713" w:type="dxa"/>
            <w:tcBorders>
              <w:top w:val="nil"/>
              <w:left w:val="nil"/>
              <w:bottom w:val="nil"/>
              <w:right w:val="nil"/>
            </w:tcBorders>
          </w:tcPr>
          <w:p w14:paraId="74EAAFBF" w14:textId="77777777" w:rsidR="00316D67" w:rsidRPr="00B302EB" w:rsidRDefault="00316D67" w:rsidP="00B302EB">
            <w:pPr>
              <w:jc w:val="both"/>
              <w:rPr>
                <w:rFonts w:ascii="Century Gothic" w:hAnsi="Century Gothic" w:cs="Arial"/>
                <w:sz w:val="22"/>
                <w:szCs w:val="22"/>
              </w:rPr>
            </w:pPr>
            <w:r w:rsidRPr="00B302EB">
              <w:rPr>
                <w:rFonts w:ascii="Century Gothic" w:hAnsi="Century Gothic" w:cs="Arial"/>
                <w:sz w:val="22"/>
                <w:szCs w:val="22"/>
              </w:rPr>
              <w:t xml:space="preserve">ARGEMIRO GALINDO </w:t>
            </w:r>
            <w:proofErr w:type="spellStart"/>
            <w:r w:rsidRPr="00B302EB">
              <w:rPr>
                <w:rFonts w:ascii="Century Gothic" w:hAnsi="Century Gothic" w:cs="Arial"/>
                <w:sz w:val="22"/>
                <w:szCs w:val="22"/>
              </w:rPr>
              <w:t>GALINDO</w:t>
            </w:r>
            <w:proofErr w:type="spellEnd"/>
          </w:p>
          <w:p w14:paraId="6A652493" w14:textId="6A762A1F" w:rsidR="00316D67" w:rsidRPr="00B302EB" w:rsidRDefault="00316D67" w:rsidP="00B302EB">
            <w:pPr>
              <w:jc w:val="both"/>
              <w:rPr>
                <w:rFonts w:ascii="Century Gothic" w:hAnsi="Century Gothic" w:cs="Arial"/>
                <w:sz w:val="22"/>
                <w:szCs w:val="22"/>
              </w:rPr>
            </w:pPr>
            <w:r w:rsidRPr="00B302EB">
              <w:rPr>
                <w:rFonts w:ascii="Century Gothic" w:hAnsi="Century Gothic" w:cs="Arial"/>
                <w:sz w:val="22"/>
                <w:szCs w:val="22"/>
              </w:rPr>
              <w:t xml:space="preserve">(Hoy SUCESION, RITA GALINDO </w:t>
            </w:r>
            <w:proofErr w:type="spellStart"/>
            <w:r w:rsidRPr="00B302EB">
              <w:rPr>
                <w:rFonts w:ascii="Century Gothic" w:hAnsi="Century Gothic" w:cs="Arial"/>
                <w:sz w:val="22"/>
                <w:szCs w:val="22"/>
              </w:rPr>
              <w:t>GALINDO</w:t>
            </w:r>
            <w:proofErr w:type="spellEnd"/>
            <w:r w:rsidRPr="00B302EB">
              <w:rPr>
                <w:rFonts w:ascii="Century Gothic" w:hAnsi="Century Gothic" w:cs="Arial"/>
                <w:sz w:val="22"/>
                <w:szCs w:val="22"/>
              </w:rPr>
              <w:t xml:space="preserve"> y OTROS)</w:t>
            </w:r>
          </w:p>
        </w:tc>
      </w:tr>
      <w:tr w:rsidR="00B302EB" w:rsidRPr="00B302EB" w14:paraId="0521CF4C" w14:textId="77777777" w:rsidTr="00E44565">
        <w:tc>
          <w:tcPr>
            <w:tcW w:w="3047" w:type="dxa"/>
            <w:tcBorders>
              <w:top w:val="nil"/>
              <w:left w:val="nil"/>
              <w:bottom w:val="nil"/>
              <w:right w:val="nil"/>
            </w:tcBorders>
          </w:tcPr>
          <w:p w14:paraId="39DC66E1" w14:textId="3AF2F814" w:rsidR="00316D67" w:rsidRPr="00B302EB" w:rsidRDefault="00316D67" w:rsidP="00B302EB">
            <w:pPr>
              <w:tabs>
                <w:tab w:val="left" w:pos="-720"/>
              </w:tabs>
              <w:suppressAutoHyphens/>
              <w:jc w:val="center"/>
              <w:rPr>
                <w:rFonts w:ascii="Century Gothic" w:hAnsi="Century Gothic" w:cs="Arial"/>
                <w:spacing w:val="-3"/>
                <w:sz w:val="22"/>
                <w:szCs w:val="22"/>
              </w:rPr>
            </w:pPr>
            <w:r w:rsidRPr="00B302EB">
              <w:rPr>
                <w:rFonts w:ascii="Century Gothic" w:hAnsi="Century Gothic" w:cs="Arial"/>
                <w:spacing w:val="-3"/>
                <w:sz w:val="22"/>
                <w:szCs w:val="22"/>
              </w:rPr>
              <w:t xml:space="preserve">                   </w:t>
            </w:r>
            <w:r w:rsidR="00B302EB">
              <w:rPr>
                <w:rFonts w:ascii="Century Gothic" w:hAnsi="Century Gothic" w:cs="Arial"/>
                <w:spacing w:val="-3"/>
                <w:sz w:val="22"/>
                <w:szCs w:val="22"/>
              </w:rPr>
              <w:t xml:space="preserve">    </w:t>
            </w:r>
            <w:r w:rsidRPr="00B302EB">
              <w:rPr>
                <w:rFonts w:ascii="Century Gothic" w:hAnsi="Century Gothic" w:cs="Arial"/>
                <w:spacing w:val="-3"/>
                <w:sz w:val="22"/>
                <w:szCs w:val="22"/>
              </w:rPr>
              <w:t xml:space="preserve"> Demandados </w:t>
            </w:r>
          </w:p>
        </w:tc>
        <w:tc>
          <w:tcPr>
            <w:tcW w:w="310" w:type="dxa"/>
            <w:tcBorders>
              <w:top w:val="nil"/>
              <w:left w:val="nil"/>
              <w:bottom w:val="nil"/>
              <w:right w:val="nil"/>
            </w:tcBorders>
          </w:tcPr>
          <w:p w14:paraId="57639AA2" w14:textId="77777777" w:rsidR="00316D67" w:rsidRPr="00B302EB" w:rsidRDefault="00316D67" w:rsidP="00B302EB">
            <w:pPr>
              <w:tabs>
                <w:tab w:val="left" w:pos="-720"/>
              </w:tabs>
              <w:suppressAutoHyphens/>
              <w:jc w:val="both"/>
              <w:rPr>
                <w:rFonts w:ascii="Century Gothic" w:hAnsi="Century Gothic" w:cs="Arial"/>
                <w:spacing w:val="-3"/>
                <w:sz w:val="22"/>
                <w:szCs w:val="22"/>
              </w:rPr>
            </w:pPr>
            <w:r w:rsidRPr="00B302EB">
              <w:rPr>
                <w:rFonts w:ascii="Century Gothic" w:hAnsi="Century Gothic" w:cs="Arial"/>
                <w:spacing w:val="-3"/>
                <w:sz w:val="22"/>
                <w:szCs w:val="22"/>
              </w:rPr>
              <w:t xml:space="preserve">:  </w:t>
            </w:r>
          </w:p>
        </w:tc>
        <w:tc>
          <w:tcPr>
            <w:tcW w:w="5713" w:type="dxa"/>
            <w:tcBorders>
              <w:top w:val="nil"/>
              <w:left w:val="nil"/>
              <w:bottom w:val="nil"/>
              <w:right w:val="nil"/>
            </w:tcBorders>
          </w:tcPr>
          <w:p w14:paraId="23300AFA" w14:textId="77777777" w:rsidR="00316D67" w:rsidRPr="00B302EB" w:rsidRDefault="00316D67" w:rsidP="00B302EB">
            <w:pPr>
              <w:tabs>
                <w:tab w:val="left" w:pos="-720"/>
              </w:tabs>
              <w:suppressAutoHyphens/>
              <w:rPr>
                <w:rFonts w:ascii="Century Gothic" w:hAnsi="Century Gothic" w:cs="Arial"/>
                <w:spacing w:val="-3"/>
                <w:sz w:val="22"/>
                <w:szCs w:val="22"/>
              </w:rPr>
            </w:pPr>
            <w:r w:rsidRPr="00B302EB">
              <w:rPr>
                <w:rFonts w:ascii="Century Gothic" w:hAnsi="Century Gothic" w:cs="Arial"/>
                <w:spacing w:val="-3"/>
                <w:sz w:val="22"/>
                <w:szCs w:val="22"/>
              </w:rPr>
              <w:t>PERSONAS INDETERMINADAS</w:t>
            </w:r>
          </w:p>
        </w:tc>
      </w:tr>
    </w:tbl>
    <w:p w14:paraId="7D1A4C1B" w14:textId="77777777" w:rsidR="005F4253" w:rsidRPr="00B302EB" w:rsidRDefault="005F4253" w:rsidP="00B302EB">
      <w:pPr>
        <w:jc w:val="both"/>
        <w:rPr>
          <w:rFonts w:ascii="Century Gothic" w:hAnsi="Century Gothic" w:cs="Arial"/>
          <w:sz w:val="16"/>
          <w:szCs w:val="16"/>
        </w:rPr>
      </w:pPr>
      <w:r w:rsidRPr="00B302EB">
        <w:rPr>
          <w:rFonts w:ascii="Century Gothic" w:hAnsi="Century Gothic" w:cs="Arial"/>
          <w:sz w:val="22"/>
          <w:szCs w:val="22"/>
        </w:rPr>
        <w:t xml:space="preserve">          </w:t>
      </w:r>
    </w:p>
    <w:p w14:paraId="23572B65" w14:textId="790B4B53" w:rsidR="008A502D" w:rsidRPr="00475044" w:rsidRDefault="00907F87" w:rsidP="00B302EB">
      <w:pPr>
        <w:jc w:val="both"/>
        <w:rPr>
          <w:rFonts w:ascii="Century Gothic" w:hAnsi="Century Gothic"/>
          <w:sz w:val="22"/>
          <w:szCs w:val="22"/>
        </w:rPr>
      </w:pPr>
      <w:r w:rsidRPr="00B302EB">
        <w:rPr>
          <w:rFonts w:ascii="Century Gothic" w:hAnsi="Century Gothic"/>
          <w:sz w:val="22"/>
          <w:szCs w:val="22"/>
        </w:rPr>
        <w:t xml:space="preserve">Dentro del radicado de la referencia se tenía fijado el día </w:t>
      </w:r>
      <w:r w:rsidR="00AE2375" w:rsidRPr="00B302EB">
        <w:rPr>
          <w:rFonts w:ascii="Century Gothic" w:hAnsi="Century Gothic"/>
          <w:sz w:val="22"/>
          <w:szCs w:val="22"/>
        </w:rPr>
        <w:t xml:space="preserve">veinticinco (25) </w:t>
      </w:r>
      <w:r w:rsidR="00A90F59" w:rsidRPr="00B302EB">
        <w:rPr>
          <w:rFonts w:ascii="Century Gothic" w:hAnsi="Century Gothic"/>
          <w:sz w:val="22"/>
          <w:szCs w:val="22"/>
        </w:rPr>
        <w:t xml:space="preserve">de junio </w:t>
      </w:r>
      <w:r w:rsidRPr="00B302EB">
        <w:rPr>
          <w:rFonts w:ascii="Century Gothic" w:hAnsi="Century Gothic"/>
          <w:sz w:val="22"/>
          <w:szCs w:val="22"/>
        </w:rPr>
        <w:t>de dos mil veinte (2020) a las nueve (9) de la mañana, como fecha y hora para realizar la audiencia prevista en el artículo 392 del C.G.P. en la que se agotarían las actividades dispuestas en los artículo 372 y 373 del mismo código, no obstante, la misma no pudo llevarse a cabo teniendo en cuenta que</w:t>
      </w:r>
      <w:r w:rsidR="008A502D" w:rsidRPr="00B302EB">
        <w:rPr>
          <w:rFonts w:ascii="Century Gothic" w:hAnsi="Century Gothic" w:cs="Arial"/>
          <w:sz w:val="22"/>
          <w:szCs w:val="22"/>
        </w:rPr>
        <w:t xml:space="preserve"> </w:t>
      </w:r>
      <w:r w:rsidR="008A502D" w:rsidRPr="00B302EB">
        <w:rPr>
          <w:rFonts w:ascii="Century Gothic" w:hAnsi="Century Gothic"/>
          <w:sz w:val="22"/>
          <w:szCs w:val="22"/>
        </w:rPr>
        <w:t>el Consejo Superior de la Judicatura mediante los acuerdos PCSJA20-11517, PCSJA20-11518, PCSJA20-11519, PCSJA20-11532, PCSJA20-11546 PCSJA20-11549 PCSJA20-11556,</w:t>
      </w:r>
      <w:r w:rsidR="00B302EB">
        <w:rPr>
          <w:rFonts w:ascii="Century Gothic" w:hAnsi="Century Gothic"/>
          <w:sz w:val="22"/>
          <w:szCs w:val="22"/>
        </w:rPr>
        <w:t xml:space="preserve"> </w:t>
      </w:r>
      <w:r w:rsidR="008A502D" w:rsidRPr="00B302EB">
        <w:rPr>
          <w:rFonts w:ascii="Century Gothic" w:hAnsi="Century Gothic"/>
          <w:sz w:val="22"/>
          <w:szCs w:val="22"/>
        </w:rPr>
        <w:t xml:space="preserve">suspendió los términos judiciales en todo el país, desde el dieciséis (16) de marzo y hasta el treinta </w:t>
      </w:r>
      <w:r w:rsidR="008A502D" w:rsidRPr="00475044">
        <w:rPr>
          <w:rFonts w:ascii="Century Gothic" w:hAnsi="Century Gothic"/>
          <w:sz w:val="22"/>
          <w:szCs w:val="22"/>
        </w:rPr>
        <w:t>(30) de junio de dos mil veinte (2020), debido a la emergencia sanitaria declarada en todo el territorio nacional por el Ministerio de Salud y Protección Social mediante el Decreto 385 del 12 de marzo del 2020, como consecuencia de la pandemia del COVID-19.</w:t>
      </w:r>
    </w:p>
    <w:p w14:paraId="62E1CC11" w14:textId="62288A98" w:rsidR="008A502D" w:rsidRPr="00B302EB" w:rsidRDefault="008A502D" w:rsidP="00B302EB">
      <w:pPr>
        <w:jc w:val="both"/>
        <w:rPr>
          <w:rFonts w:ascii="Century Gothic" w:hAnsi="Century Gothic"/>
          <w:color w:val="FF0000"/>
          <w:sz w:val="16"/>
          <w:szCs w:val="16"/>
        </w:rPr>
      </w:pPr>
    </w:p>
    <w:p w14:paraId="2233B76F" w14:textId="77777777" w:rsidR="008A502D" w:rsidRPr="00475044" w:rsidRDefault="008A502D" w:rsidP="00B302EB">
      <w:pPr>
        <w:jc w:val="both"/>
        <w:rPr>
          <w:rFonts w:ascii="Century Gothic" w:hAnsi="Century Gothic" w:cs="Arial"/>
          <w:color w:val="000000"/>
          <w:sz w:val="22"/>
          <w:szCs w:val="22"/>
        </w:rPr>
      </w:pPr>
      <w:r w:rsidRPr="00475044">
        <w:rPr>
          <w:rFonts w:ascii="Century Gothic" w:hAnsi="Century Gothic"/>
          <w:sz w:val="22"/>
          <w:szCs w:val="22"/>
        </w:rPr>
        <w:t xml:space="preserve">Así mismo el Consejo Superior de la Judicatura </w:t>
      </w:r>
      <w:r w:rsidRPr="00475044">
        <w:rPr>
          <w:rFonts w:ascii="Century Gothic" w:hAnsi="Century Gothic" w:cs="Arial"/>
          <w:color w:val="000000"/>
          <w:sz w:val="22"/>
          <w:szCs w:val="22"/>
        </w:rPr>
        <w:t>mediante Acuerdo PCSJA20-11567 del 5 de junio de 2020, ordenó el levantamiento de la suspensión de términos judiciales a partir del 1° de julio del año en curso, y ordenó acciones para controlar, prevenir y mitigar la emergencia, en aras de la protección de la salud y la vida de los servidores y usuarios de la justicia, asegurando la prestación del servicio mediante la adopción del uso de tecnologías de la información.</w:t>
      </w:r>
    </w:p>
    <w:p w14:paraId="45C54D12" w14:textId="457F159F" w:rsidR="008A502D" w:rsidRPr="00B302EB" w:rsidRDefault="008A502D" w:rsidP="00B302EB">
      <w:pPr>
        <w:jc w:val="both"/>
        <w:rPr>
          <w:rFonts w:ascii="Century Gothic" w:hAnsi="Century Gothic"/>
          <w:color w:val="FF0000"/>
          <w:sz w:val="16"/>
          <w:szCs w:val="16"/>
        </w:rPr>
      </w:pPr>
    </w:p>
    <w:p w14:paraId="02219C4F" w14:textId="4201271F" w:rsidR="008A502D" w:rsidRPr="00B302EB" w:rsidRDefault="00B302EB" w:rsidP="00B302EB">
      <w:pPr>
        <w:jc w:val="both"/>
        <w:rPr>
          <w:rFonts w:ascii="Century Gothic" w:hAnsi="Century Gothic" w:cs="Arial"/>
          <w:sz w:val="22"/>
          <w:szCs w:val="22"/>
        </w:rPr>
      </w:pPr>
      <w:r>
        <w:rPr>
          <w:rFonts w:ascii="Century Gothic" w:hAnsi="Century Gothic" w:cs="Arial"/>
          <w:sz w:val="22"/>
          <w:szCs w:val="22"/>
        </w:rPr>
        <w:t>F</w:t>
      </w:r>
      <w:r w:rsidR="008A502D" w:rsidRPr="00475044">
        <w:rPr>
          <w:rFonts w:ascii="Century Gothic" w:hAnsi="Century Gothic" w:cs="Arial"/>
          <w:sz w:val="22"/>
          <w:szCs w:val="22"/>
        </w:rPr>
        <w:t>rente a la gestión y tramite de los procesos ante la emergencia sanitaria, s</w:t>
      </w:r>
      <w:r w:rsidRPr="00475044">
        <w:rPr>
          <w:rFonts w:ascii="Century Gothic" w:hAnsi="Century Gothic" w:cs="Arial"/>
          <w:sz w:val="22"/>
          <w:szCs w:val="22"/>
        </w:rPr>
        <w:t xml:space="preserve">e precisa entonces, que </w:t>
      </w:r>
      <w:r>
        <w:rPr>
          <w:rFonts w:ascii="Century Gothic" w:hAnsi="Century Gothic" w:cs="Arial"/>
          <w:sz w:val="22"/>
          <w:szCs w:val="22"/>
        </w:rPr>
        <w:t>s</w:t>
      </w:r>
      <w:r w:rsidR="008A502D" w:rsidRPr="00475044">
        <w:rPr>
          <w:rFonts w:ascii="Century Gothic" w:hAnsi="Century Gothic" w:cs="Arial"/>
          <w:sz w:val="22"/>
          <w:szCs w:val="22"/>
        </w:rPr>
        <w:t xml:space="preserve">e deberá atender lo dispuesto en el Decreto 806 del 4 de junio de 2020, en el que el Ministerio de Justicia y del Derecho adopta medidas para implementar las tecnologías de la información y las comunicaciones en las actuaciones judiciales, con el fin de agilizar los procesos y flexibilizar la atención a los usuarios del servicio de justicia en el marco del Estado de Emergencia </w:t>
      </w:r>
      <w:r w:rsidR="008A502D" w:rsidRPr="00B302EB">
        <w:rPr>
          <w:rFonts w:ascii="Century Gothic" w:hAnsi="Century Gothic" w:cs="Arial"/>
          <w:sz w:val="22"/>
          <w:szCs w:val="22"/>
        </w:rPr>
        <w:t>Económica, Social y Ecológica, medidas que se deben adoptar en los procesos en curso y en los que se inicien luego de la expedición de este Decreto.</w:t>
      </w:r>
    </w:p>
    <w:p w14:paraId="376D3EF1" w14:textId="2601154F" w:rsidR="008A502D" w:rsidRPr="00B302EB" w:rsidRDefault="008A502D" w:rsidP="00B302EB">
      <w:pPr>
        <w:jc w:val="both"/>
        <w:rPr>
          <w:rFonts w:ascii="Century Gothic" w:hAnsi="Century Gothic"/>
          <w:sz w:val="16"/>
          <w:szCs w:val="16"/>
        </w:rPr>
      </w:pPr>
    </w:p>
    <w:p w14:paraId="6A605AA4" w14:textId="08F2D110" w:rsidR="008A502D" w:rsidRPr="00B302EB" w:rsidRDefault="008A502D" w:rsidP="00B302EB">
      <w:pPr>
        <w:jc w:val="both"/>
        <w:rPr>
          <w:rFonts w:ascii="Century Gothic" w:hAnsi="Century Gothic" w:cs="Arial"/>
          <w:sz w:val="22"/>
          <w:szCs w:val="22"/>
        </w:rPr>
      </w:pPr>
      <w:r w:rsidRPr="00B302EB">
        <w:rPr>
          <w:rFonts w:ascii="Century Gothic" w:hAnsi="Century Gothic" w:cs="Arial"/>
          <w:sz w:val="22"/>
          <w:szCs w:val="22"/>
        </w:rPr>
        <w:t xml:space="preserve">En este contexto, se fija el día </w:t>
      </w:r>
      <w:r w:rsidR="00B302EB" w:rsidRPr="00B302EB">
        <w:rPr>
          <w:rFonts w:ascii="Century Gothic" w:hAnsi="Century Gothic" w:cs="Arial"/>
          <w:sz w:val="22"/>
          <w:szCs w:val="22"/>
        </w:rPr>
        <w:t>VEINTIUNO (21) DE ENERO DE DOS MIL VEINTIUNO (2021)</w:t>
      </w:r>
      <w:r w:rsidRPr="00B302EB">
        <w:rPr>
          <w:rFonts w:ascii="Century Gothic" w:hAnsi="Century Gothic" w:cs="Arial"/>
          <w:sz w:val="22"/>
          <w:szCs w:val="22"/>
        </w:rPr>
        <w:t xml:space="preserve">, a la hora de las </w:t>
      </w:r>
      <w:r w:rsidR="00B302EB" w:rsidRPr="00B302EB">
        <w:rPr>
          <w:rFonts w:ascii="Century Gothic" w:hAnsi="Century Gothic" w:cs="Arial"/>
          <w:sz w:val="22"/>
          <w:szCs w:val="22"/>
        </w:rPr>
        <w:t>NUEVE (9:00) DE LA MAÑANA</w:t>
      </w:r>
      <w:r w:rsidRPr="00B302EB">
        <w:rPr>
          <w:rFonts w:ascii="Century Gothic" w:hAnsi="Century Gothic" w:cs="Arial"/>
          <w:sz w:val="22"/>
          <w:szCs w:val="22"/>
        </w:rPr>
        <w:t xml:space="preserve">, </w:t>
      </w:r>
      <w:r w:rsidRPr="00B302EB">
        <w:rPr>
          <w:rFonts w:ascii="Century Gothic" w:hAnsi="Century Gothic" w:cs="Arial"/>
          <w:sz w:val="22"/>
          <w:szCs w:val="22"/>
        </w:rPr>
        <w:t xml:space="preserve">como nueva fecha </w:t>
      </w:r>
      <w:r w:rsidRPr="00B302EB">
        <w:rPr>
          <w:rFonts w:ascii="Century Gothic" w:hAnsi="Century Gothic" w:cs="Arial"/>
          <w:sz w:val="22"/>
          <w:szCs w:val="22"/>
        </w:rPr>
        <w:t xml:space="preserve">y hora </w:t>
      </w:r>
      <w:r w:rsidRPr="00B302EB">
        <w:rPr>
          <w:rFonts w:ascii="Century Gothic" w:hAnsi="Century Gothic" w:cs="Arial"/>
          <w:sz w:val="22"/>
          <w:szCs w:val="22"/>
        </w:rPr>
        <w:t xml:space="preserve">para realizar la audiencia prevista en el artículo 392 del C.G.P, en la que se practicarán las pruebas que fueron decretadas en auto del veintiséis (26) de junio de dos mil diecinueve (2019) </w:t>
      </w:r>
      <w:r w:rsidRPr="00B302EB">
        <w:rPr>
          <w:rFonts w:ascii="Century Gothic" w:hAnsi="Century Gothic" w:cs="Arial"/>
          <w:sz w:val="22"/>
          <w:szCs w:val="22"/>
        </w:rPr>
        <w:t xml:space="preserve">que obra a folios </w:t>
      </w:r>
      <w:r w:rsidRPr="00B302EB">
        <w:rPr>
          <w:rFonts w:ascii="Century Gothic" w:hAnsi="Century Gothic" w:cs="Arial"/>
          <w:sz w:val="22"/>
          <w:szCs w:val="22"/>
        </w:rPr>
        <w:t>184 y 185</w:t>
      </w:r>
      <w:r w:rsidRPr="00B302EB">
        <w:rPr>
          <w:rFonts w:ascii="Century Gothic" w:hAnsi="Century Gothic" w:cs="Arial"/>
          <w:sz w:val="22"/>
          <w:szCs w:val="22"/>
        </w:rPr>
        <w:t>.</w:t>
      </w:r>
    </w:p>
    <w:p w14:paraId="0D8231EE" w14:textId="77777777" w:rsidR="008A502D" w:rsidRPr="00B302EB" w:rsidRDefault="008A502D" w:rsidP="00B302EB">
      <w:pPr>
        <w:jc w:val="both"/>
        <w:rPr>
          <w:rFonts w:ascii="Century Gothic" w:hAnsi="Century Gothic" w:cs="Arial"/>
          <w:sz w:val="16"/>
          <w:szCs w:val="16"/>
        </w:rPr>
      </w:pPr>
    </w:p>
    <w:p w14:paraId="56C21D99" w14:textId="77777777" w:rsidR="008A502D" w:rsidRPr="00B302EB" w:rsidRDefault="008A502D" w:rsidP="00B302EB">
      <w:pPr>
        <w:jc w:val="both"/>
        <w:rPr>
          <w:rFonts w:ascii="Century Gothic" w:hAnsi="Century Gothic" w:cs="Arial"/>
          <w:sz w:val="22"/>
          <w:szCs w:val="22"/>
        </w:rPr>
      </w:pPr>
      <w:r w:rsidRPr="00B302EB">
        <w:rPr>
          <w:rFonts w:ascii="Century Gothic" w:hAnsi="Century Gothic" w:cs="Arial"/>
          <w:sz w:val="22"/>
          <w:szCs w:val="22"/>
        </w:rPr>
        <w:t xml:space="preserve">Encontrándose en pleno curso la pandemia por el COVID-19, y atendiendo lo dispuesto en el Decreto 806 del 4 de junio de 2020, la audiencia se realizará de </w:t>
      </w:r>
      <w:r w:rsidRPr="00B302EB">
        <w:rPr>
          <w:rFonts w:ascii="Century Gothic" w:hAnsi="Century Gothic" w:cs="Arial"/>
          <w:sz w:val="22"/>
          <w:szCs w:val="22"/>
          <w:u w:val="single"/>
        </w:rPr>
        <w:t>MANERA VIRTUAL</w:t>
      </w:r>
      <w:r w:rsidRPr="00B302EB">
        <w:rPr>
          <w:rFonts w:ascii="Century Gothic" w:hAnsi="Century Gothic" w:cs="Arial"/>
          <w:sz w:val="22"/>
          <w:szCs w:val="22"/>
        </w:rPr>
        <w:t xml:space="preserve"> y en ésta se agotarán las actividades posibles de adelantar por este medio.</w:t>
      </w:r>
    </w:p>
    <w:p w14:paraId="6FF661E0" w14:textId="77777777" w:rsidR="008A502D" w:rsidRPr="00475044" w:rsidRDefault="008A502D" w:rsidP="00B302EB">
      <w:pPr>
        <w:jc w:val="both"/>
        <w:rPr>
          <w:rFonts w:ascii="Century Gothic" w:hAnsi="Century Gothic" w:cs="Arial"/>
          <w:sz w:val="16"/>
          <w:szCs w:val="16"/>
        </w:rPr>
      </w:pPr>
    </w:p>
    <w:p w14:paraId="5A15D2C6" w14:textId="77777777" w:rsidR="008A502D" w:rsidRPr="00475044" w:rsidRDefault="008A502D" w:rsidP="00B302EB">
      <w:pPr>
        <w:jc w:val="both"/>
        <w:rPr>
          <w:rFonts w:ascii="Century Gothic" w:hAnsi="Century Gothic" w:cs="Arial"/>
          <w:sz w:val="22"/>
          <w:szCs w:val="22"/>
        </w:rPr>
      </w:pPr>
      <w:r w:rsidRPr="00475044">
        <w:rPr>
          <w:rFonts w:ascii="Century Gothic" w:eastAsia="Calibri" w:hAnsi="Century Gothic" w:cs="Arial"/>
          <w:sz w:val="22"/>
          <w:szCs w:val="22"/>
        </w:rPr>
        <w:t xml:space="preserve">Respecto de la inspección judicial se advierte que su práctica será posible si en la fecha fijada, las condiciones generadas por la pandemia, y las instrucciones que </w:t>
      </w:r>
      <w:r w:rsidRPr="00475044">
        <w:rPr>
          <w:rFonts w:ascii="Century Gothic" w:eastAsia="Calibri" w:hAnsi="Century Gothic" w:cs="Arial"/>
          <w:sz w:val="22"/>
          <w:szCs w:val="22"/>
        </w:rPr>
        <w:lastRenderedPageBreak/>
        <w:t xml:space="preserve">imparta el Consejo Superior de la Judicatura  lo permiten; lo anterior dado que a la fecha de expedición de este auto, la suscrita Jueza se encuentra dentro de las restricciones </w:t>
      </w:r>
      <w:r w:rsidRPr="00475044">
        <w:rPr>
          <w:rFonts w:ascii="Century Gothic" w:hAnsi="Century Gothic" w:cs="Tahoma"/>
          <w:sz w:val="22"/>
          <w:szCs w:val="22"/>
        </w:rPr>
        <w:t>para asistir a la sede del juzgado y realizar diligencias fuera de la sede de éste</w:t>
      </w:r>
      <w:r w:rsidRPr="00475044">
        <w:rPr>
          <w:rFonts w:ascii="Century Gothic" w:eastAsia="Calibri" w:hAnsi="Century Gothic" w:cs="Arial"/>
          <w:sz w:val="22"/>
          <w:szCs w:val="22"/>
        </w:rPr>
        <w:t xml:space="preserve">, </w:t>
      </w:r>
      <w:r w:rsidRPr="00475044">
        <w:rPr>
          <w:rFonts w:ascii="Century Gothic" w:hAnsi="Century Gothic" w:cs="Tahoma"/>
          <w:sz w:val="22"/>
          <w:szCs w:val="22"/>
        </w:rPr>
        <w:t xml:space="preserve">previstas en el inciso segundo del artículo 3° y el artículo 28 del Acuerdo PCSJA20-11632 del 30 de septiembre de 2020, expedido por el Consejo Superior de la Judicatura, reiterado </w:t>
      </w:r>
      <w:r w:rsidRPr="00475044">
        <w:rPr>
          <w:rFonts w:ascii="Century Gothic" w:eastAsia="Calibri" w:hAnsi="Century Gothic" w:cs="Arial"/>
          <w:sz w:val="22"/>
          <w:szCs w:val="22"/>
        </w:rPr>
        <w:t xml:space="preserve">por esa Corporación mediante Acuerdo PCSJA20-1168 del 27 de noviembre de 2020 y por el Consejo Seccional de Judicatura de Boyacá y Casanare mediante Acuerdo </w:t>
      </w:r>
      <w:proofErr w:type="spellStart"/>
      <w:r w:rsidRPr="00475044">
        <w:rPr>
          <w:rFonts w:ascii="Century Gothic" w:eastAsia="Calibri" w:hAnsi="Century Gothic" w:cs="Arial"/>
          <w:sz w:val="22"/>
          <w:szCs w:val="22"/>
        </w:rPr>
        <w:t>Nº</w:t>
      </w:r>
      <w:proofErr w:type="spellEnd"/>
      <w:r w:rsidRPr="00475044">
        <w:rPr>
          <w:rFonts w:ascii="Century Gothic" w:eastAsia="Calibri" w:hAnsi="Century Gothic" w:cs="Arial"/>
          <w:sz w:val="22"/>
          <w:szCs w:val="22"/>
        </w:rPr>
        <w:t xml:space="preserve"> CSJBOYA20-94 del 27 de noviembre de 2020, reglas que por disposición expresa del artículo </w:t>
      </w:r>
      <w:r w:rsidRPr="00475044">
        <w:rPr>
          <w:rFonts w:ascii="Century Gothic" w:hAnsi="Century Gothic" w:cs="Tahoma"/>
          <w:sz w:val="22"/>
          <w:szCs w:val="22"/>
        </w:rPr>
        <w:t>32 del Acuerdo PCSJA20-11632 de 2020, son de obligatorio cumplimiento.</w:t>
      </w:r>
    </w:p>
    <w:p w14:paraId="1243CE46" w14:textId="77777777" w:rsidR="008A502D" w:rsidRPr="00475044" w:rsidRDefault="008A502D" w:rsidP="00B302EB">
      <w:pPr>
        <w:jc w:val="both"/>
        <w:rPr>
          <w:rFonts w:ascii="Century Gothic" w:hAnsi="Century Gothic" w:cs="Arial"/>
          <w:color w:val="000000"/>
          <w:sz w:val="16"/>
          <w:szCs w:val="16"/>
        </w:rPr>
      </w:pPr>
    </w:p>
    <w:p w14:paraId="4E4D0CD3" w14:textId="77777777" w:rsidR="008A502D" w:rsidRPr="00475044" w:rsidRDefault="008A502D" w:rsidP="00B302EB">
      <w:pPr>
        <w:jc w:val="both"/>
        <w:rPr>
          <w:rFonts w:ascii="Century Gothic" w:hAnsi="Century Gothic" w:cs="Arial"/>
          <w:color w:val="000000"/>
          <w:sz w:val="22"/>
          <w:szCs w:val="22"/>
        </w:rPr>
      </w:pPr>
      <w:r w:rsidRPr="00475044">
        <w:rPr>
          <w:rFonts w:ascii="Century Gothic" w:hAnsi="Century Gothic" w:cs="Arial"/>
          <w:color w:val="000000"/>
          <w:sz w:val="22"/>
          <w:szCs w:val="22"/>
        </w:rPr>
        <w:t>Para el éxito de la AUDIENCIA VIRTUAL se deberán acatar las siguientes instrucciones:</w:t>
      </w:r>
    </w:p>
    <w:p w14:paraId="7CF1D9BC" w14:textId="77777777" w:rsidR="008A502D" w:rsidRPr="00475044" w:rsidRDefault="008A502D" w:rsidP="00B302EB">
      <w:pPr>
        <w:jc w:val="both"/>
        <w:rPr>
          <w:rFonts w:ascii="Century Gothic" w:hAnsi="Century Gothic" w:cs="Arial"/>
          <w:color w:val="000000"/>
          <w:sz w:val="16"/>
          <w:szCs w:val="16"/>
        </w:rPr>
      </w:pPr>
    </w:p>
    <w:p w14:paraId="653AEE64" w14:textId="77777777" w:rsidR="008A502D" w:rsidRPr="00475044" w:rsidRDefault="008A502D" w:rsidP="00B302EB">
      <w:pPr>
        <w:jc w:val="both"/>
        <w:rPr>
          <w:rFonts w:ascii="Century Gothic" w:hAnsi="Century Gothic" w:cs="Arial"/>
          <w:color w:val="000000"/>
          <w:sz w:val="22"/>
          <w:szCs w:val="22"/>
        </w:rPr>
      </w:pPr>
      <w:r w:rsidRPr="00475044">
        <w:rPr>
          <w:rFonts w:ascii="Century Gothic" w:hAnsi="Century Gothic" w:cs="Arial"/>
          <w:color w:val="000000"/>
          <w:sz w:val="22"/>
          <w:szCs w:val="22"/>
        </w:rPr>
        <w:t xml:space="preserve">1.- Los apoderados y las partes se conectarán directamente a la plataforma Microsoft Teams al link </w:t>
      </w:r>
      <w:bookmarkStart w:id="0" w:name="_Hlk58335066"/>
      <w:r w:rsidRPr="00475044">
        <w:rPr>
          <w:rFonts w:ascii="Century Gothic" w:hAnsi="Century Gothic" w:cs="Arial"/>
          <w:color w:val="000000"/>
          <w:sz w:val="22"/>
          <w:szCs w:val="22"/>
        </w:rPr>
        <w:t>que se les enviara previamente</w:t>
      </w:r>
      <w:bookmarkEnd w:id="0"/>
      <w:r w:rsidRPr="00475044">
        <w:rPr>
          <w:rFonts w:ascii="Century Gothic" w:hAnsi="Century Gothic" w:cs="Arial"/>
          <w:color w:val="000000"/>
          <w:sz w:val="22"/>
          <w:szCs w:val="22"/>
        </w:rPr>
        <w:t xml:space="preserve">; la comparecencia de los testigos a la audiencia estará a cargo de las partes, quienes deberán presentar su documento de identificación en el momento en que se les solicite. </w:t>
      </w:r>
    </w:p>
    <w:p w14:paraId="20D85E27" w14:textId="77777777" w:rsidR="008A502D" w:rsidRPr="00475044" w:rsidRDefault="008A502D" w:rsidP="00B302EB">
      <w:pPr>
        <w:jc w:val="both"/>
        <w:rPr>
          <w:rFonts w:ascii="Century Gothic" w:hAnsi="Century Gothic" w:cs="Arial"/>
          <w:color w:val="000000"/>
          <w:sz w:val="16"/>
          <w:szCs w:val="16"/>
        </w:rPr>
      </w:pPr>
    </w:p>
    <w:p w14:paraId="27A0C042" w14:textId="77777777" w:rsidR="008A502D" w:rsidRPr="00475044" w:rsidRDefault="008A502D" w:rsidP="00B302EB">
      <w:pPr>
        <w:jc w:val="both"/>
        <w:rPr>
          <w:rFonts w:ascii="Century Gothic" w:hAnsi="Century Gothic" w:cs="Arial"/>
          <w:color w:val="000000"/>
          <w:sz w:val="22"/>
          <w:szCs w:val="22"/>
        </w:rPr>
      </w:pPr>
      <w:r w:rsidRPr="00475044">
        <w:rPr>
          <w:rFonts w:ascii="Century Gothic" w:hAnsi="Century Gothic" w:cs="Arial"/>
          <w:color w:val="000000"/>
          <w:sz w:val="22"/>
          <w:szCs w:val="22"/>
        </w:rPr>
        <w:t>SE ADVIERTE a las partes y sus apoderados que el artículo 3° del Decreto 806 de 2020 les impone el deber de asistir a las actuaciones judiciales por medios tecnológicos, en este caso a la audiencia virtual.</w:t>
      </w:r>
    </w:p>
    <w:p w14:paraId="5CFC5F65" w14:textId="77777777" w:rsidR="008A502D" w:rsidRPr="00475044" w:rsidRDefault="008A502D" w:rsidP="00B302EB">
      <w:pPr>
        <w:jc w:val="both"/>
        <w:rPr>
          <w:rFonts w:ascii="Century Gothic" w:hAnsi="Century Gothic" w:cs="Arial"/>
          <w:color w:val="000000"/>
          <w:sz w:val="22"/>
          <w:szCs w:val="22"/>
        </w:rPr>
      </w:pPr>
    </w:p>
    <w:p w14:paraId="58E4811A" w14:textId="77777777" w:rsidR="008A502D" w:rsidRPr="00475044" w:rsidRDefault="008A502D" w:rsidP="00B302EB">
      <w:pPr>
        <w:jc w:val="both"/>
        <w:rPr>
          <w:rFonts w:ascii="Century Gothic" w:hAnsi="Century Gothic" w:cs="Arial"/>
          <w:color w:val="000000"/>
          <w:sz w:val="22"/>
          <w:szCs w:val="22"/>
        </w:rPr>
      </w:pPr>
      <w:r w:rsidRPr="00475044">
        <w:rPr>
          <w:rFonts w:ascii="Century Gothic" w:hAnsi="Century Gothic" w:cs="Arial"/>
          <w:color w:val="000000"/>
          <w:sz w:val="22"/>
          <w:szCs w:val="22"/>
        </w:rPr>
        <w:t xml:space="preserve">2.- Requerir a las partes para que remitan al juzgado a través del correo electrónico institucional </w:t>
      </w:r>
      <w:hyperlink r:id="rId9" w:history="1">
        <w:r w:rsidRPr="00475044">
          <w:rPr>
            <w:rStyle w:val="Hipervnculo"/>
            <w:rFonts w:ascii="Century Gothic" w:hAnsi="Century Gothic" w:cs="Arial"/>
            <w:sz w:val="22"/>
            <w:szCs w:val="22"/>
          </w:rPr>
          <w:t>j01prmpaltibana@cendoj.ramajudicial.gov.co</w:t>
        </w:r>
      </w:hyperlink>
      <w:r w:rsidRPr="00475044">
        <w:rPr>
          <w:rFonts w:ascii="Century Gothic" w:hAnsi="Century Gothic" w:cs="Arial"/>
          <w:color w:val="000000"/>
          <w:sz w:val="22"/>
          <w:szCs w:val="22"/>
        </w:rPr>
        <w:t xml:space="preserve">, sus correos electrónicos a los cuales se les notificará el enlace (link) de acceso a la audiencia. (Microsoft Teams). </w:t>
      </w:r>
    </w:p>
    <w:p w14:paraId="5139B35D" w14:textId="77777777" w:rsidR="008A502D" w:rsidRPr="00475044" w:rsidRDefault="008A502D" w:rsidP="00B302EB">
      <w:pPr>
        <w:jc w:val="both"/>
        <w:rPr>
          <w:rFonts w:ascii="Century Gothic" w:hAnsi="Century Gothic" w:cs="Arial"/>
          <w:color w:val="000000"/>
          <w:sz w:val="16"/>
          <w:szCs w:val="16"/>
        </w:rPr>
      </w:pPr>
    </w:p>
    <w:p w14:paraId="2DA2C65C" w14:textId="0A205279" w:rsidR="008A502D" w:rsidRPr="00B302EB" w:rsidRDefault="008A502D" w:rsidP="00B302EB">
      <w:pPr>
        <w:jc w:val="both"/>
        <w:rPr>
          <w:rFonts w:ascii="Century Gothic" w:hAnsi="Century Gothic" w:cs="Arial"/>
          <w:sz w:val="22"/>
          <w:szCs w:val="22"/>
        </w:rPr>
      </w:pPr>
      <w:r w:rsidRPr="00B302EB">
        <w:rPr>
          <w:rFonts w:ascii="Century Gothic" w:hAnsi="Century Gothic" w:cs="Arial"/>
          <w:sz w:val="22"/>
          <w:szCs w:val="22"/>
        </w:rPr>
        <w:t>Se precisa que es deber de los sujetos procesales, en desarrollo de lo previsto en el artículo 76 numeral 5° del C.G.P., comunicar cualquier cambio de dirección electrónica, so pena de que las notificaciones se sigan surtiendo válidamente en el anterior.</w:t>
      </w:r>
    </w:p>
    <w:p w14:paraId="634FA455" w14:textId="77777777" w:rsidR="00907F87" w:rsidRPr="00B302EB" w:rsidRDefault="00907F87" w:rsidP="00B302EB">
      <w:pPr>
        <w:jc w:val="both"/>
        <w:rPr>
          <w:rFonts w:ascii="Century Gothic" w:hAnsi="Century Gothic" w:cs="Arial"/>
          <w:sz w:val="22"/>
          <w:szCs w:val="22"/>
        </w:rPr>
      </w:pPr>
    </w:p>
    <w:p w14:paraId="0160458C" w14:textId="77777777" w:rsidR="00907F87" w:rsidRPr="00B302EB" w:rsidRDefault="00907F87" w:rsidP="00B302EB">
      <w:pPr>
        <w:jc w:val="both"/>
        <w:rPr>
          <w:rFonts w:ascii="Century Gothic" w:hAnsi="Century Gothic" w:cs="Arial"/>
          <w:sz w:val="22"/>
          <w:szCs w:val="22"/>
        </w:rPr>
      </w:pPr>
      <w:r w:rsidRPr="00B302EB">
        <w:rPr>
          <w:rFonts w:ascii="Century Gothic" w:hAnsi="Century Gothic" w:cs="Arial"/>
          <w:sz w:val="22"/>
          <w:szCs w:val="22"/>
        </w:rPr>
        <w:t xml:space="preserve">Por lo expuesto el Despacho, </w:t>
      </w:r>
    </w:p>
    <w:p w14:paraId="17A00434" w14:textId="77777777" w:rsidR="00907F87" w:rsidRPr="00B302EB" w:rsidRDefault="00907F87" w:rsidP="00B302EB">
      <w:pPr>
        <w:jc w:val="center"/>
        <w:rPr>
          <w:rFonts w:ascii="Century Gothic" w:hAnsi="Century Gothic" w:cs="Arial"/>
          <w:b/>
          <w:bCs/>
          <w:sz w:val="22"/>
          <w:szCs w:val="22"/>
        </w:rPr>
      </w:pPr>
      <w:r w:rsidRPr="00B302EB">
        <w:rPr>
          <w:rFonts w:ascii="Century Gothic" w:hAnsi="Century Gothic" w:cs="Arial"/>
          <w:b/>
          <w:bCs/>
          <w:sz w:val="22"/>
          <w:szCs w:val="22"/>
        </w:rPr>
        <w:t>RESUELVE:</w:t>
      </w:r>
    </w:p>
    <w:p w14:paraId="70CE053F" w14:textId="77777777" w:rsidR="00907F87" w:rsidRPr="00B302EB" w:rsidRDefault="00907F87" w:rsidP="00B302EB">
      <w:pPr>
        <w:jc w:val="both"/>
        <w:rPr>
          <w:rFonts w:ascii="Century Gothic" w:hAnsi="Century Gothic" w:cs="Arial"/>
          <w:sz w:val="16"/>
          <w:szCs w:val="16"/>
        </w:rPr>
      </w:pPr>
    </w:p>
    <w:p w14:paraId="04832536" w14:textId="5C759B2B" w:rsidR="00AA1C4D" w:rsidRPr="00B302EB" w:rsidRDefault="00907F87" w:rsidP="00B302EB">
      <w:pPr>
        <w:widowControl w:val="0"/>
        <w:jc w:val="both"/>
        <w:outlineLvl w:val="0"/>
        <w:rPr>
          <w:rFonts w:ascii="Century Gothic" w:hAnsi="Century Gothic" w:cs="Arial"/>
          <w:sz w:val="22"/>
          <w:szCs w:val="22"/>
        </w:rPr>
      </w:pPr>
      <w:r w:rsidRPr="00B302EB">
        <w:rPr>
          <w:rFonts w:ascii="Century Gothic" w:hAnsi="Century Gothic" w:cs="Arial"/>
          <w:b/>
          <w:bCs/>
          <w:sz w:val="22"/>
          <w:szCs w:val="22"/>
        </w:rPr>
        <w:t>PRIMERO:</w:t>
      </w:r>
      <w:r w:rsidRPr="00B302EB">
        <w:rPr>
          <w:rFonts w:ascii="Century Gothic" w:hAnsi="Century Gothic" w:cs="Arial"/>
          <w:sz w:val="22"/>
          <w:szCs w:val="22"/>
        </w:rPr>
        <w:t xml:space="preserve"> </w:t>
      </w:r>
      <w:r w:rsidR="00AA1C4D" w:rsidRPr="00B302EB">
        <w:rPr>
          <w:rFonts w:ascii="Century Gothic" w:hAnsi="Century Gothic" w:cs="Arial"/>
          <w:sz w:val="22"/>
          <w:szCs w:val="22"/>
        </w:rPr>
        <w:t xml:space="preserve">SEÑALAR </w:t>
      </w:r>
      <w:r w:rsidR="00AA1C4D" w:rsidRPr="00B302EB">
        <w:rPr>
          <w:rFonts w:ascii="Century Gothic" w:hAnsi="Century Gothic" w:cs="Arial"/>
          <w:sz w:val="22"/>
          <w:szCs w:val="22"/>
        </w:rPr>
        <w:t xml:space="preserve">el día </w:t>
      </w:r>
      <w:r w:rsidR="008A502D" w:rsidRPr="00B302EB">
        <w:rPr>
          <w:rFonts w:ascii="Century Gothic" w:hAnsi="Century Gothic" w:cs="Arial"/>
          <w:sz w:val="22"/>
          <w:szCs w:val="22"/>
        </w:rPr>
        <w:t xml:space="preserve">VEINTIUNO (21) DE ENERO DE DOS MIL VEINTIUNO (2021), </w:t>
      </w:r>
      <w:r w:rsidR="00AA1C4D" w:rsidRPr="00B302EB">
        <w:rPr>
          <w:rFonts w:ascii="Century Gothic" w:hAnsi="Century Gothic" w:cs="Arial"/>
          <w:sz w:val="22"/>
          <w:szCs w:val="22"/>
        </w:rPr>
        <w:t xml:space="preserve">a la hora de las </w:t>
      </w:r>
      <w:r w:rsidR="008A502D" w:rsidRPr="00B302EB">
        <w:rPr>
          <w:rFonts w:ascii="Century Gothic" w:hAnsi="Century Gothic" w:cs="Arial"/>
          <w:sz w:val="22"/>
          <w:szCs w:val="22"/>
        </w:rPr>
        <w:t xml:space="preserve">NUEVE (9:00) DE LA MAÑANA </w:t>
      </w:r>
      <w:r w:rsidR="00AA1C4D" w:rsidRPr="00B302EB">
        <w:rPr>
          <w:rFonts w:ascii="Century Gothic" w:hAnsi="Century Gothic" w:cs="Arial"/>
          <w:sz w:val="22"/>
          <w:szCs w:val="22"/>
        </w:rPr>
        <w:t xml:space="preserve">como nueva fecha y hora para llevar a cabo la audiencia prevista en el artículo 392 del C.G.P., la que se adelantará de MANERA VIRTUAL; dentro de ésta se practicarán las actividades previstas en los artículos 372 y 373 del C.G.P., en lo pertinente, y </w:t>
      </w:r>
      <w:r w:rsidR="00AA1C4D" w:rsidRPr="00B302EB">
        <w:rPr>
          <w:rFonts w:ascii="Century Gothic" w:hAnsi="Century Gothic"/>
          <w:sz w:val="22"/>
          <w:szCs w:val="22"/>
        </w:rPr>
        <w:t>se</w:t>
      </w:r>
      <w:r w:rsidR="00AA1C4D" w:rsidRPr="00B302EB">
        <w:rPr>
          <w:rFonts w:ascii="Century Gothic" w:hAnsi="Century Gothic" w:cs="Arial"/>
          <w:sz w:val="22"/>
          <w:szCs w:val="22"/>
        </w:rPr>
        <w:t xml:space="preserve"> practicarán las pruebas que fueron decretadas en auto del</w:t>
      </w:r>
      <w:r w:rsidR="00AA1C4D" w:rsidRPr="00B302EB">
        <w:rPr>
          <w:rFonts w:ascii="Century Gothic" w:hAnsi="Century Gothic" w:cs="Arial"/>
          <w:sz w:val="22"/>
          <w:szCs w:val="22"/>
        </w:rPr>
        <w:t xml:space="preserve"> </w:t>
      </w:r>
      <w:r w:rsidR="00AA1C4D" w:rsidRPr="00B302EB">
        <w:rPr>
          <w:rFonts w:ascii="Century Gothic" w:hAnsi="Century Gothic" w:cs="Arial"/>
          <w:sz w:val="22"/>
          <w:szCs w:val="22"/>
        </w:rPr>
        <w:t>veintiséis (26) de junio de dos mil diecinueve (2019) (Fls. 184 y 185)</w:t>
      </w:r>
      <w:r w:rsidR="00AA1C4D" w:rsidRPr="00B302EB">
        <w:rPr>
          <w:rFonts w:ascii="Century Gothic" w:hAnsi="Century Gothic" w:cs="Arial"/>
          <w:sz w:val="22"/>
          <w:szCs w:val="22"/>
        </w:rPr>
        <w:t>.</w:t>
      </w:r>
    </w:p>
    <w:p w14:paraId="30BF7B06" w14:textId="77777777" w:rsidR="008A502D" w:rsidRPr="00B302EB" w:rsidRDefault="008A502D" w:rsidP="00B302EB">
      <w:pPr>
        <w:widowControl w:val="0"/>
        <w:jc w:val="both"/>
        <w:outlineLvl w:val="0"/>
        <w:rPr>
          <w:rFonts w:ascii="Century Gothic" w:eastAsia="Calibri" w:hAnsi="Century Gothic" w:cs="Arial"/>
          <w:sz w:val="16"/>
          <w:szCs w:val="16"/>
        </w:rPr>
      </w:pPr>
    </w:p>
    <w:p w14:paraId="1A0EAEBD" w14:textId="40524F78" w:rsidR="008A502D" w:rsidRPr="00B302EB" w:rsidRDefault="008A502D" w:rsidP="00B302EB">
      <w:pPr>
        <w:widowControl w:val="0"/>
        <w:jc w:val="both"/>
        <w:outlineLvl w:val="0"/>
        <w:rPr>
          <w:rFonts w:ascii="Century Gothic" w:eastAsia="Calibri" w:hAnsi="Century Gothic" w:cs="Arial"/>
          <w:sz w:val="22"/>
          <w:szCs w:val="22"/>
        </w:rPr>
      </w:pPr>
      <w:r w:rsidRPr="00B302EB">
        <w:rPr>
          <w:rFonts w:ascii="Century Gothic" w:eastAsia="Calibri" w:hAnsi="Century Gothic" w:cs="Arial"/>
          <w:sz w:val="22"/>
          <w:szCs w:val="22"/>
        </w:rPr>
        <w:t>Respecto de la inspección judicial, se advierte que su práctica será posible si en la fecha fijada, las condiciones generadas por la pandemia, y las instrucciones que imparta el Consejo Superior de la Judicatura lo permiten, de conformidad con lo expuesto anteriormente.</w:t>
      </w:r>
    </w:p>
    <w:p w14:paraId="2AE97B47" w14:textId="77777777" w:rsidR="00807B30" w:rsidRPr="00B302EB" w:rsidRDefault="00807B30" w:rsidP="00B302EB">
      <w:pPr>
        <w:widowControl w:val="0"/>
        <w:jc w:val="both"/>
        <w:outlineLvl w:val="0"/>
        <w:rPr>
          <w:rFonts w:ascii="Century Gothic" w:hAnsi="Century Gothic" w:cs="Arial"/>
          <w:sz w:val="16"/>
          <w:szCs w:val="16"/>
        </w:rPr>
      </w:pPr>
    </w:p>
    <w:p w14:paraId="5A2B1A46" w14:textId="77777777" w:rsidR="00907F87" w:rsidRPr="008A502D" w:rsidRDefault="00907F87" w:rsidP="00B302EB">
      <w:pPr>
        <w:jc w:val="both"/>
        <w:rPr>
          <w:rFonts w:ascii="Century Gothic" w:hAnsi="Century Gothic" w:cs="Arial"/>
          <w:sz w:val="22"/>
          <w:szCs w:val="22"/>
        </w:rPr>
      </w:pPr>
      <w:r w:rsidRPr="008A502D">
        <w:rPr>
          <w:rFonts w:ascii="Century Gothic" w:hAnsi="Century Gothic" w:cs="Arial"/>
          <w:sz w:val="22"/>
          <w:szCs w:val="22"/>
        </w:rPr>
        <w:t xml:space="preserve">La comparecencia de los testigos a la audiencia estará a cargo de las partes, quienes deberán presentar su documento de identificación en el momento en que se les solicite. </w:t>
      </w:r>
    </w:p>
    <w:p w14:paraId="429BD435" w14:textId="77777777" w:rsidR="00907F87" w:rsidRPr="00B302EB" w:rsidRDefault="00907F87" w:rsidP="00B302EB">
      <w:pPr>
        <w:jc w:val="both"/>
        <w:rPr>
          <w:rFonts w:ascii="Century Gothic" w:hAnsi="Century Gothic" w:cs="Arial"/>
          <w:sz w:val="16"/>
          <w:szCs w:val="16"/>
        </w:rPr>
      </w:pPr>
    </w:p>
    <w:p w14:paraId="6F28DADB" w14:textId="4A591EED" w:rsidR="00907F87" w:rsidRPr="008A502D" w:rsidRDefault="00907F87" w:rsidP="00B302EB">
      <w:pPr>
        <w:jc w:val="both"/>
        <w:rPr>
          <w:rFonts w:ascii="Century Gothic" w:hAnsi="Century Gothic" w:cs="Arial"/>
          <w:sz w:val="22"/>
          <w:szCs w:val="22"/>
        </w:rPr>
      </w:pPr>
      <w:r w:rsidRPr="008A502D">
        <w:rPr>
          <w:rFonts w:ascii="Century Gothic" w:hAnsi="Century Gothic" w:cs="Arial"/>
          <w:b/>
          <w:bCs/>
          <w:sz w:val="22"/>
          <w:szCs w:val="22"/>
        </w:rPr>
        <w:t>SEGUNDO:</w:t>
      </w:r>
      <w:r w:rsidRPr="008A502D">
        <w:rPr>
          <w:rFonts w:ascii="Century Gothic" w:hAnsi="Century Gothic" w:cs="Arial"/>
          <w:sz w:val="22"/>
          <w:szCs w:val="22"/>
        </w:rPr>
        <w:t xml:space="preserve"> REQUERIR a las partes para que remitan al juzgado a través del correo electrónico institucional </w:t>
      </w:r>
      <w:hyperlink r:id="rId10" w:history="1">
        <w:r w:rsidRPr="008A502D">
          <w:rPr>
            <w:rStyle w:val="Hipervnculo"/>
            <w:rFonts w:ascii="Century Gothic" w:hAnsi="Century Gothic" w:cs="Arial"/>
            <w:color w:val="auto"/>
            <w:sz w:val="22"/>
            <w:szCs w:val="22"/>
          </w:rPr>
          <w:t>j01prmpaltibana@cendoj.ramajudicial.gov.co</w:t>
        </w:r>
      </w:hyperlink>
      <w:r w:rsidRPr="008A502D">
        <w:rPr>
          <w:rFonts w:ascii="Century Gothic" w:hAnsi="Century Gothic" w:cs="Arial"/>
          <w:sz w:val="22"/>
          <w:szCs w:val="22"/>
        </w:rPr>
        <w:t xml:space="preserve">, sus correos electrónicos a los cuales se les notificará el enlace (link) de acceso a la audiencia. (Microsoft Teams). </w:t>
      </w:r>
    </w:p>
    <w:p w14:paraId="0D60E917" w14:textId="77777777" w:rsidR="00907F87" w:rsidRPr="00B302EB" w:rsidRDefault="00907F87" w:rsidP="00B302EB">
      <w:pPr>
        <w:jc w:val="both"/>
        <w:rPr>
          <w:rFonts w:ascii="Century Gothic" w:hAnsi="Century Gothic" w:cs="Arial"/>
          <w:sz w:val="16"/>
          <w:szCs w:val="16"/>
        </w:rPr>
      </w:pPr>
    </w:p>
    <w:p w14:paraId="59DACFA0" w14:textId="77777777" w:rsidR="00907F87" w:rsidRPr="008A502D" w:rsidRDefault="00907F87" w:rsidP="00B302EB">
      <w:pPr>
        <w:jc w:val="both"/>
        <w:rPr>
          <w:rFonts w:ascii="Century Gothic" w:hAnsi="Century Gothic" w:cs="Arial"/>
          <w:sz w:val="22"/>
          <w:szCs w:val="22"/>
        </w:rPr>
      </w:pPr>
      <w:r w:rsidRPr="008A502D">
        <w:rPr>
          <w:rFonts w:ascii="Century Gothic" w:hAnsi="Century Gothic" w:cs="Arial"/>
          <w:sz w:val="22"/>
          <w:szCs w:val="22"/>
        </w:rPr>
        <w:t>Se precisa que es deber de los sujetos procesales, en desarrollo de lo previsto en el artículo 76 numeral 5° del C.G.P., comunicar cualquier cambio de dirección electrónica, so pena de que las notificaciones se sigan surtiendo válidamente en el anterior.</w:t>
      </w:r>
    </w:p>
    <w:p w14:paraId="3A5C16C6" w14:textId="77777777" w:rsidR="00907F87" w:rsidRPr="00B302EB" w:rsidRDefault="00907F87" w:rsidP="00B302EB">
      <w:pPr>
        <w:jc w:val="both"/>
        <w:rPr>
          <w:rFonts w:ascii="Century Gothic" w:hAnsi="Century Gothic" w:cs="Arial"/>
          <w:sz w:val="16"/>
          <w:szCs w:val="16"/>
        </w:rPr>
      </w:pPr>
    </w:p>
    <w:p w14:paraId="79E2881D" w14:textId="77777777" w:rsidR="00907F87" w:rsidRPr="008A502D" w:rsidRDefault="00907F87" w:rsidP="00B302EB">
      <w:pPr>
        <w:jc w:val="both"/>
        <w:rPr>
          <w:rFonts w:ascii="Century Gothic" w:hAnsi="Century Gothic" w:cs="Arial"/>
          <w:sz w:val="22"/>
          <w:szCs w:val="22"/>
        </w:rPr>
      </w:pPr>
      <w:r w:rsidRPr="008A502D">
        <w:rPr>
          <w:rFonts w:ascii="Century Gothic" w:hAnsi="Century Gothic" w:cs="Arial"/>
          <w:b/>
          <w:bCs/>
          <w:sz w:val="22"/>
          <w:szCs w:val="22"/>
        </w:rPr>
        <w:t>TERCERO:</w:t>
      </w:r>
      <w:r w:rsidRPr="008A502D">
        <w:rPr>
          <w:rFonts w:ascii="Century Gothic" w:hAnsi="Century Gothic" w:cs="Arial"/>
          <w:sz w:val="22"/>
          <w:szCs w:val="22"/>
        </w:rPr>
        <w:t xml:space="preserve"> ADVERTIR A LAS PARTES Y SUS APODERADOS de las consecuencias procesales que acarrea su inasistencia a la audiencia, de conformidad con lo dispuesto en el artículo 372.4 del C.G.P.</w:t>
      </w:r>
    </w:p>
    <w:p w14:paraId="028CA6BE" w14:textId="77777777" w:rsidR="00907F87" w:rsidRPr="008A502D" w:rsidRDefault="00907F87" w:rsidP="00B302EB">
      <w:pPr>
        <w:jc w:val="both"/>
        <w:rPr>
          <w:rFonts w:ascii="Century Gothic" w:hAnsi="Century Gothic" w:cs="Arial"/>
          <w:sz w:val="22"/>
          <w:szCs w:val="22"/>
        </w:rPr>
      </w:pPr>
    </w:p>
    <w:p w14:paraId="68E57135" w14:textId="77777777" w:rsidR="00907F87" w:rsidRPr="00B302EB" w:rsidRDefault="00907F87" w:rsidP="00B302EB">
      <w:pPr>
        <w:jc w:val="center"/>
        <w:rPr>
          <w:rFonts w:ascii="Century Gothic" w:hAnsi="Century Gothic" w:cs="Arial"/>
          <w:b/>
          <w:bCs/>
          <w:sz w:val="16"/>
          <w:szCs w:val="16"/>
        </w:rPr>
      </w:pPr>
      <w:r w:rsidRPr="008A502D">
        <w:rPr>
          <w:rFonts w:ascii="Century Gothic" w:hAnsi="Century Gothic" w:cs="Arial"/>
          <w:b/>
          <w:bCs/>
          <w:sz w:val="22"/>
          <w:szCs w:val="22"/>
        </w:rPr>
        <w:t>NOTIFÍQUESE Y CÚMPLASE</w:t>
      </w:r>
    </w:p>
    <w:p w14:paraId="4534E236" w14:textId="77777777" w:rsidR="00907F87" w:rsidRPr="00B302EB" w:rsidRDefault="00907F87" w:rsidP="00B302EB">
      <w:pPr>
        <w:rPr>
          <w:rFonts w:ascii="Century Gothic" w:hAnsi="Century Gothic" w:cs="Arial"/>
          <w:b/>
          <w:bCs/>
          <w:sz w:val="16"/>
          <w:szCs w:val="16"/>
        </w:rPr>
      </w:pPr>
    </w:p>
    <w:p w14:paraId="18D707F0" w14:textId="77777777" w:rsidR="00907F87" w:rsidRPr="00B302EB" w:rsidRDefault="00907F87" w:rsidP="00B302EB">
      <w:pPr>
        <w:rPr>
          <w:rFonts w:ascii="Century Gothic" w:hAnsi="Century Gothic" w:cs="Arial"/>
          <w:b/>
          <w:bCs/>
          <w:sz w:val="16"/>
          <w:szCs w:val="16"/>
        </w:rPr>
      </w:pPr>
    </w:p>
    <w:p w14:paraId="0C583F42" w14:textId="77777777" w:rsidR="00907F87" w:rsidRPr="008A502D" w:rsidRDefault="00907F87" w:rsidP="00B302EB">
      <w:pPr>
        <w:jc w:val="center"/>
        <w:rPr>
          <w:rFonts w:ascii="Century Gothic" w:hAnsi="Century Gothic" w:cs="Arial"/>
          <w:b/>
          <w:bCs/>
          <w:sz w:val="22"/>
          <w:szCs w:val="22"/>
        </w:rPr>
      </w:pPr>
      <w:r w:rsidRPr="008A502D">
        <w:rPr>
          <w:rFonts w:ascii="Century Gothic" w:hAnsi="Century Gothic" w:cs="Arial"/>
          <w:b/>
          <w:bCs/>
          <w:sz w:val="22"/>
          <w:szCs w:val="22"/>
        </w:rPr>
        <w:t>DIANA PATRICIA ROJAS RODRIGUEZ</w:t>
      </w:r>
    </w:p>
    <w:p w14:paraId="0E2CAEDF" w14:textId="1025038E" w:rsidR="00807B30" w:rsidRPr="00B302EB" w:rsidRDefault="00807B30" w:rsidP="00B302EB">
      <w:pPr>
        <w:jc w:val="center"/>
        <w:rPr>
          <w:rFonts w:ascii="Century Gothic" w:hAnsi="Century Gothic"/>
          <w:sz w:val="12"/>
          <w:szCs w:val="12"/>
        </w:rPr>
      </w:pPr>
      <w:r w:rsidRPr="008A502D">
        <w:rPr>
          <w:rFonts w:ascii="Century Gothic" w:hAnsi="Century Gothic" w:cs="Arial"/>
          <w:b/>
          <w:bCs/>
          <w:sz w:val="22"/>
          <w:szCs w:val="22"/>
        </w:rPr>
        <w:t>JUEZA</w:t>
      </w:r>
    </w:p>
    <w:sectPr w:rsidR="00807B30" w:rsidRPr="00B302EB" w:rsidSect="00B302EB">
      <w:headerReference w:type="default" r:id="rId11"/>
      <w:footerReference w:type="default" r:id="rId12"/>
      <w:pgSz w:w="12242" w:h="18711" w:code="14"/>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82811" w14:textId="77777777" w:rsidR="00B70887" w:rsidRDefault="00B70887" w:rsidP="0051370B">
      <w:r>
        <w:separator/>
      </w:r>
    </w:p>
  </w:endnote>
  <w:endnote w:type="continuationSeparator" w:id="0">
    <w:p w14:paraId="3A0FE63E" w14:textId="77777777" w:rsidR="00B70887" w:rsidRDefault="00B70887" w:rsidP="0051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69C6" w14:textId="1E1CE53D" w:rsidR="001A0870" w:rsidRDefault="001A0870" w:rsidP="001A0870">
    <w:pPr>
      <w:pStyle w:val="Piedepgina"/>
      <w:jc w:val="center"/>
      <w:rPr>
        <w:rStyle w:val="Hipervnculo"/>
        <w:rFonts w:ascii="Century Gothic" w:hAnsi="Century Gothic" w:cs="Arial"/>
        <w:sz w:val="14"/>
        <w:szCs w:val="14"/>
      </w:rPr>
    </w:pPr>
    <w:r w:rsidRPr="00B302EB">
      <w:rPr>
        <w:rFonts w:ascii="Century Gothic" w:hAnsi="Century Gothic" w:cs="Arial"/>
        <w:sz w:val="14"/>
        <w:szCs w:val="14"/>
      </w:rPr>
      <w:t xml:space="preserve">Ubicación Calle 7 </w:t>
    </w:r>
    <w:proofErr w:type="spellStart"/>
    <w:r w:rsidRPr="00B302EB">
      <w:rPr>
        <w:rFonts w:ascii="Century Gothic" w:hAnsi="Century Gothic" w:cs="Arial"/>
        <w:sz w:val="14"/>
        <w:szCs w:val="14"/>
      </w:rPr>
      <w:t>N°</w:t>
    </w:r>
    <w:proofErr w:type="spellEnd"/>
    <w:r w:rsidRPr="00B302EB">
      <w:rPr>
        <w:rFonts w:ascii="Century Gothic" w:hAnsi="Century Gothic" w:cs="Arial"/>
        <w:sz w:val="14"/>
        <w:szCs w:val="14"/>
      </w:rPr>
      <w:t xml:space="preserve"> 4 – 64 Telefax 7338071 Tibaná–Boyacá E-mail: </w:t>
    </w:r>
    <w:hyperlink r:id="rId1" w:history="1">
      <w:r w:rsidRPr="00B302EB">
        <w:rPr>
          <w:rStyle w:val="Hipervnculo"/>
          <w:rFonts w:ascii="Century Gothic" w:hAnsi="Century Gothic" w:cs="Arial"/>
          <w:sz w:val="14"/>
          <w:szCs w:val="14"/>
        </w:rPr>
        <w:t>j01prmpaltibana@cendoj.ramajudicial.gov.co</w:t>
      </w:r>
    </w:hyperlink>
  </w:p>
  <w:p w14:paraId="559325DB" w14:textId="09203474" w:rsidR="00B302EB" w:rsidRDefault="00B302EB" w:rsidP="001A0870">
    <w:pPr>
      <w:pStyle w:val="Piedepgina"/>
      <w:jc w:val="center"/>
      <w:rPr>
        <w:rStyle w:val="Hipervnculo"/>
        <w:rFonts w:ascii="Century Gothic" w:hAnsi="Century Gothic" w:cs="Arial"/>
        <w:sz w:val="14"/>
        <w:szCs w:val="14"/>
      </w:rPr>
    </w:pPr>
  </w:p>
  <w:p w14:paraId="3388FD37" w14:textId="77777777" w:rsidR="00B302EB" w:rsidRPr="00B302EB" w:rsidRDefault="00B302EB" w:rsidP="001A0870">
    <w:pPr>
      <w:pStyle w:val="Piedepgina"/>
      <w:jc w:val="center"/>
      <w:rPr>
        <w:rFonts w:ascii="Century Gothic" w:hAnsi="Century Gothic" w:cs="Arial"/>
        <w:sz w:val="14"/>
        <w:szCs w:val="14"/>
        <w:u w:val="single"/>
      </w:rPr>
    </w:pPr>
  </w:p>
  <w:p w14:paraId="2DBAAF1E" w14:textId="77777777" w:rsidR="001A0870" w:rsidRPr="00B302EB" w:rsidRDefault="001A0870">
    <w:pPr>
      <w:pStyle w:val="Piedepgina"/>
      <w:jc w:val="right"/>
      <w:rPr>
        <w:sz w:val="16"/>
        <w:szCs w:val="16"/>
      </w:rPr>
    </w:pPr>
    <w:r w:rsidRPr="00B302EB">
      <w:rPr>
        <w:sz w:val="16"/>
        <w:szCs w:val="16"/>
      </w:rPr>
      <w:fldChar w:fldCharType="begin"/>
    </w:r>
    <w:r w:rsidRPr="00B302EB">
      <w:rPr>
        <w:sz w:val="16"/>
        <w:szCs w:val="16"/>
      </w:rPr>
      <w:instrText>PAGE   \* MERGEFORMAT</w:instrText>
    </w:r>
    <w:r w:rsidRPr="00B302EB">
      <w:rPr>
        <w:sz w:val="16"/>
        <w:szCs w:val="16"/>
      </w:rPr>
      <w:fldChar w:fldCharType="separate"/>
    </w:r>
    <w:r w:rsidR="00267F86" w:rsidRPr="00B302EB">
      <w:rPr>
        <w:noProof/>
        <w:sz w:val="16"/>
        <w:szCs w:val="16"/>
      </w:rPr>
      <w:t>1</w:t>
    </w:r>
    <w:r w:rsidRPr="00B302EB">
      <w:rPr>
        <w:sz w:val="16"/>
        <w:szCs w:val="16"/>
      </w:rPr>
      <w:fldChar w:fldCharType="end"/>
    </w:r>
  </w:p>
  <w:p w14:paraId="6DDCD1BC" w14:textId="77777777" w:rsidR="007860D8" w:rsidRDefault="007860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8EEE" w14:textId="77777777" w:rsidR="00B70887" w:rsidRDefault="00B70887" w:rsidP="0051370B">
      <w:r>
        <w:separator/>
      </w:r>
    </w:p>
  </w:footnote>
  <w:footnote w:type="continuationSeparator" w:id="0">
    <w:p w14:paraId="7480A442" w14:textId="77777777" w:rsidR="00B70887" w:rsidRDefault="00B70887" w:rsidP="0051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96A0" w14:textId="77777777" w:rsidR="00697426" w:rsidRPr="00697426" w:rsidRDefault="00697426">
    <w:pPr>
      <w:pStyle w:val="Encabezado"/>
      <w:rPr>
        <w:rFonts w:ascii="Century Gothic" w:hAnsi="Century Gothic"/>
        <w:sz w:val="16"/>
        <w:szCs w:val="16"/>
        <w:lang w:val="es-CO"/>
      </w:rPr>
    </w:pPr>
    <w:r w:rsidRPr="00697426">
      <w:rPr>
        <w:rFonts w:ascii="Century Gothic" w:hAnsi="Century Gothic"/>
        <w:sz w:val="16"/>
        <w:szCs w:val="16"/>
        <w:lang w:val="es-CO"/>
      </w:rPr>
      <w:t>PUBLICADO: ESTADO 047 DEL 11 DE DICIEMBRE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A13"/>
    <w:multiLevelType w:val="hybridMultilevel"/>
    <w:tmpl w:val="50CC3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51856"/>
    <w:multiLevelType w:val="hybridMultilevel"/>
    <w:tmpl w:val="7C3A6004"/>
    <w:lvl w:ilvl="0" w:tplc="B20C2BB8">
      <w:start w:val="2017"/>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1133DD"/>
    <w:multiLevelType w:val="hybridMultilevel"/>
    <w:tmpl w:val="E9501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D0309B"/>
    <w:multiLevelType w:val="hybridMultilevel"/>
    <w:tmpl w:val="BF68AA14"/>
    <w:lvl w:ilvl="0" w:tplc="390E5C1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C26F97"/>
    <w:multiLevelType w:val="hybridMultilevel"/>
    <w:tmpl w:val="E264998A"/>
    <w:lvl w:ilvl="0" w:tplc="925C4A82">
      <w:start w:val="1"/>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8FF13C3"/>
    <w:multiLevelType w:val="hybridMultilevel"/>
    <w:tmpl w:val="50CC3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022FB6"/>
    <w:multiLevelType w:val="hybridMultilevel"/>
    <w:tmpl w:val="F41A30C8"/>
    <w:lvl w:ilvl="0" w:tplc="00A4F2C4">
      <w:start w:val="2017"/>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FC599F"/>
    <w:multiLevelType w:val="hybridMultilevel"/>
    <w:tmpl w:val="DD2C7314"/>
    <w:lvl w:ilvl="0" w:tplc="20A26994">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9446B3"/>
    <w:multiLevelType w:val="hybridMultilevel"/>
    <w:tmpl w:val="330CBB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B035E20"/>
    <w:multiLevelType w:val="hybridMultilevel"/>
    <w:tmpl w:val="FF3426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E831BD"/>
    <w:multiLevelType w:val="hybridMultilevel"/>
    <w:tmpl w:val="C93EC77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3156141"/>
    <w:multiLevelType w:val="hybridMultilevel"/>
    <w:tmpl w:val="F9A4C66E"/>
    <w:lvl w:ilvl="0" w:tplc="E0B416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491695"/>
    <w:multiLevelType w:val="multilevel"/>
    <w:tmpl w:val="1CE4BD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AE40DA2"/>
    <w:multiLevelType w:val="hybridMultilevel"/>
    <w:tmpl w:val="E9501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343FF3"/>
    <w:multiLevelType w:val="hybridMultilevel"/>
    <w:tmpl w:val="0EC60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BC32D4"/>
    <w:multiLevelType w:val="hybridMultilevel"/>
    <w:tmpl w:val="D4D0E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3B1000"/>
    <w:multiLevelType w:val="hybridMultilevel"/>
    <w:tmpl w:val="B29C8502"/>
    <w:lvl w:ilvl="0" w:tplc="0A8E3D1C">
      <w:start w:val="1"/>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9139CA"/>
    <w:multiLevelType w:val="hybridMultilevel"/>
    <w:tmpl w:val="1E46B780"/>
    <w:lvl w:ilvl="0" w:tplc="1DD032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767350"/>
    <w:multiLevelType w:val="hybridMultilevel"/>
    <w:tmpl w:val="97A4F520"/>
    <w:lvl w:ilvl="0" w:tplc="16DA10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DC7AB6"/>
    <w:multiLevelType w:val="hybridMultilevel"/>
    <w:tmpl w:val="D750A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E96380"/>
    <w:multiLevelType w:val="hybridMultilevel"/>
    <w:tmpl w:val="B1CA4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AD26B5"/>
    <w:multiLevelType w:val="hybridMultilevel"/>
    <w:tmpl w:val="E8AE2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945E89"/>
    <w:multiLevelType w:val="hybridMultilevel"/>
    <w:tmpl w:val="50CC3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7D5CAD"/>
    <w:multiLevelType w:val="hybridMultilevel"/>
    <w:tmpl w:val="2228D6DC"/>
    <w:lvl w:ilvl="0" w:tplc="DEA4FC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1F4771"/>
    <w:multiLevelType w:val="hybridMultilevel"/>
    <w:tmpl w:val="E22C596C"/>
    <w:lvl w:ilvl="0" w:tplc="581A3A38">
      <w:start w:val="1"/>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7B2CFB"/>
    <w:multiLevelType w:val="hybridMultilevel"/>
    <w:tmpl w:val="93E2C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766491"/>
    <w:multiLevelType w:val="hybridMultilevel"/>
    <w:tmpl w:val="7B501BBE"/>
    <w:lvl w:ilvl="0" w:tplc="DDF6C9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6A39FC"/>
    <w:multiLevelType w:val="hybridMultilevel"/>
    <w:tmpl w:val="50CC3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76392A"/>
    <w:multiLevelType w:val="hybridMultilevel"/>
    <w:tmpl w:val="D9427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7676964"/>
    <w:multiLevelType w:val="hybridMultilevel"/>
    <w:tmpl w:val="50CC3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A444A3"/>
    <w:multiLevelType w:val="hybridMultilevel"/>
    <w:tmpl w:val="59DCC78E"/>
    <w:lvl w:ilvl="0" w:tplc="DD80FABA">
      <w:start w:val="1"/>
      <w:numFmt w:val="bullet"/>
      <w:lvlText w:val="-"/>
      <w:lvlJc w:val="left"/>
      <w:pPr>
        <w:ind w:left="720" w:hanging="360"/>
      </w:pPr>
      <w:rPr>
        <w:rFonts w:ascii="Century Gothic" w:eastAsia="Times New Roman" w:hAnsi="Century Gothic"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ABF3EB8"/>
    <w:multiLevelType w:val="hybridMultilevel"/>
    <w:tmpl w:val="50CC3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5"/>
  </w:num>
  <w:num w:numId="3">
    <w:abstractNumId w:val="26"/>
  </w:num>
  <w:num w:numId="4">
    <w:abstractNumId w:val="18"/>
  </w:num>
  <w:num w:numId="5">
    <w:abstractNumId w:val="5"/>
  </w:num>
  <w:num w:numId="6">
    <w:abstractNumId w:val="28"/>
  </w:num>
  <w:num w:numId="7">
    <w:abstractNumId w:val="7"/>
  </w:num>
  <w:num w:numId="8">
    <w:abstractNumId w:val="17"/>
  </w:num>
  <w:num w:numId="9">
    <w:abstractNumId w:val="4"/>
  </w:num>
  <w:num w:numId="10">
    <w:abstractNumId w:val="20"/>
  </w:num>
  <w:num w:numId="11">
    <w:abstractNumId w:val="12"/>
  </w:num>
  <w:num w:numId="12">
    <w:abstractNumId w:val="31"/>
  </w:num>
  <w:num w:numId="13">
    <w:abstractNumId w:val="27"/>
  </w:num>
  <w:num w:numId="14">
    <w:abstractNumId w:val="22"/>
  </w:num>
  <w:num w:numId="15">
    <w:abstractNumId w:val="24"/>
  </w:num>
  <w:num w:numId="16">
    <w:abstractNumId w:val="30"/>
  </w:num>
  <w:num w:numId="17">
    <w:abstractNumId w:val="16"/>
  </w:num>
  <w:num w:numId="18">
    <w:abstractNumId w:val="29"/>
  </w:num>
  <w:num w:numId="19">
    <w:abstractNumId w:val="1"/>
  </w:num>
  <w:num w:numId="20">
    <w:abstractNumId w:val="11"/>
  </w:num>
  <w:num w:numId="21">
    <w:abstractNumId w:val="0"/>
  </w:num>
  <w:num w:numId="22">
    <w:abstractNumId w:val="2"/>
  </w:num>
  <w:num w:numId="23">
    <w:abstractNumId w:val="21"/>
  </w:num>
  <w:num w:numId="24">
    <w:abstractNumId w:val="13"/>
  </w:num>
  <w:num w:numId="25">
    <w:abstractNumId w:val="9"/>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3"/>
  </w:num>
  <w:num w:numId="30">
    <w:abstractNumId w:val="25"/>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C1"/>
    <w:rsid w:val="00003C45"/>
    <w:rsid w:val="00006B82"/>
    <w:rsid w:val="000071D7"/>
    <w:rsid w:val="00007C32"/>
    <w:rsid w:val="0001026D"/>
    <w:rsid w:val="00010EB1"/>
    <w:rsid w:val="00011BA6"/>
    <w:rsid w:val="00012ADB"/>
    <w:rsid w:val="00016522"/>
    <w:rsid w:val="0002269C"/>
    <w:rsid w:val="0002467A"/>
    <w:rsid w:val="000251D0"/>
    <w:rsid w:val="0002627A"/>
    <w:rsid w:val="00030C52"/>
    <w:rsid w:val="00034BBA"/>
    <w:rsid w:val="00034D0D"/>
    <w:rsid w:val="0003527F"/>
    <w:rsid w:val="00035C21"/>
    <w:rsid w:val="00036B0B"/>
    <w:rsid w:val="00042232"/>
    <w:rsid w:val="000435BA"/>
    <w:rsid w:val="00043887"/>
    <w:rsid w:val="00044B56"/>
    <w:rsid w:val="000517A3"/>
    <w:rsid w:val="00051F17"/>
    <w:rsid w:val="000520ED"/>
    <w:rsid w:val="00052775"/>
    <w:rsid w:val="00052CF8"/>
    <w:rsid w:val="0005324E"/>
    <w:rsid w:val="000554AF"/>
    <w:rsid w:val="00055561"/>
    <w:rsid w:val="00056468"/>
    <w:rsid w:val="00060B2E"/>
    <w:rsid w:val="000617CD"/>
    <w:rsid w:val="00061EFC"/>
    <w:rsid w:val="00067579"/>
    <w:rsid w:val="00070A4F"/>
    <w:rsid w:val="00073A19"/>
    <w:rsid w:val="00073A33"/>
    <w:rsid w:val="0007427F"/>
    <w:rsid w:val="000749A5"/>
    <w:rsid w:val="00074B4F"/>
    <w:rsid w:val="000769F3"/>
    <w:rsid w:val="00077A2C"/>
    <w:rsid w:val="00081FBF"/>
    <w:rsid w:val="0008280E"/>
    <w:rsid w:val="00083079"/>
    <w:rsid w:val="0008395E"/>
    <w:rsid w:val="00085300"/>
    <w:rsid w:val="00090814"/>
    <w:rsid w:val="000923F6"/>
    <w:rsid w:val="0009315E"/>
    <w:rsid w:val="0009444B"/>
    <w:rsid w:val="0009470A"/>
    <w:rsid w:val="000A4142"/>
    <w:rsid w:val="000A55CE"/>
    <w:rsid w:val="000A6C34"/>
    <w:rsid w:val="000B058C"/>
    <w:rsid w:val="000B2029"/>
    <w:rsid w:val="000B39FF"/>
    <w:rsid w:val="000B55E9"/>
    <w:rsid w:val="000B69B4"/>
    <w:rsid w:val="000C0394"/>
    <w:rsid w:val="000C2D58"/>
    <w:rsid w:val="000C7D41"/>
    <w:rsid w:val="000D2FAF"/>
    <w:rsid w:val="000D324A"/>
    <w:rsid w:val="000D6810"/>
    <w:rsid w:val="000D6D35"/>
    <w:rsid w:val="000D6FD3"/>
    <w:rsid w:val="000D72FD"/>
    <w:rsid w:val="000E0569"/>
    <w:rsid w:val="000E225E"/>
    <w:rsid w:val="000E600C"/>
    <w:rsid w:val="000E69E1"/>
    <w:rsid w:val="000F0140"/>
    <w:rsid w:val="000F1694"/>
    <w:rsid w:val="000F2B97"/>
    <w:rsid w:val="000F2C01"/>
    <w:rsid w:val="000F64B4"/>
    <w:rsid w:val="00101D37"/>
    <w:rsid w:val="00104951"/>
    <w:rsid w:val="00106D14"/>
    <w:rsid w:val="001079D4"/>
    <w:rsid w:val="00107B2E"/>
    <w:rsid w:val="00115885"/>
    <w:rsid w:val="0011721F"/>
    <w:rsid w:val="001200B7"/>
    <w:rsid w:val="00122E79"/>
    <w:rsid w:val="00134149"/>
    <w:rsid w:val="001353A0"/>
    <w:rsid w:val="00135660"/>
    <w:rsid w:val="00135F6D"/>
    <w:rsid w:val="0014017B"/>
    <w:rsid w:val="00140822"/>
    <w:rsid w:val="00140CF7"/>
    <w:rsid w:val="001459BC"/>
    <w:rsid w:val="0014659E"/>
    <w:rsid w:val="001469C5"/>
    <w:rsid w:val="00147BC6"/>
    <w:rsid w:val="00153250"/>
    <w:rsid w:val="0015396C"/>
    <w:rsid w:val="0015577D"/>
    <w:rsid w:val="00156997"/>
    <w:rsid w:val="0015775B"/>
    <w:rsid w:val="001627E4"/>
    <w:rsid w:val="001636EA"/>
    <w:rsid w:val="00163E8A"/>
    <w:rsid w:val="00165069"/>
    <w:rsid w:val="0016701A"/>
    <w:rsid w:val="00167B7E"/>
    <w:rsid w:val="00173AA7"/>
    <w:rsid w:val="00174A2F"/>
    <w:rsid w:val="001753E0"/>
    <w:rsid w:val="00175B11"/>
    <w:rsid w:val="00175D52"/>
    <w:rsid w:val="00180DE0"/>
    <w:rsid w:val="00181984"/>
    <w:rsid w:val="00185328"/>
    <w:rsid w:val="00190007"/>
    <w:rsid w:val="00193526"/>
    <w:rsid w:val="001940BA"/>
    <w:rsid w:val="001942C1"/>
    <w:rsid w:val="001946A2"/>
    <w:rsid w:val="001A0112"/>
    <w:rsid w:val="001A0870"/>
    <w:rsid w:val="001A15E1"/>
    <w:rsid w:val="001A2B59"/>
    <w:rsid w:val="001A3DF4"/>
    <w:rsid w:val="001A6412"/>
    <w:rsid w:val="001B35D8"/>
    <w:rsid w:val="001B4D74"/>
    <w:rsid w:val="001B512A"/>
    <w:rsid w:val="001B641B"/>
    <w:rsid w:val="001C2DF1"/>
    <w:rsid w:val="001C4F47"/>
    <w:rsid w:val="001C54F5"/>
    <w:rsid w:val="001C5CEB"/>
    <w:rsid w:val="001D5959"/>
    <w:rsid w:val="001E0B8C"/>
    <w:rsid w:val="001E168C"/>
    <w:rsid w:val="001E174A"/>
    <w:rsid w:val="001F0F70"/>
    <w:rsid w:val="001F27B9"/>
    <w:rsid w:val="001F42E5"/>
    <w:rsid w:val="001F43C7"/>
    <w:rsid w:val="001F4CAC"/>
    <w:rsid w:val="001F5B7E"/>
    <w:rsid w:val="001F7CE2"/>
    <w:rsid w:val="002032C0"/>
    <w:rsid w:val="002070AD"/>
    <w:rsid w:val="00211331"/>
    <w:rsid w:val="00212266"/>
    <w:rsid w:val="002160C1"/>
    <w:rsid w:val="00216C58"/>
    <w:rsid w:val="00216E00"/>
    <w:rsid w:val="00217179"/>
    <w:rsid w:val="002173D7"/>
    <w:rsid w:val="00217790"/>
    <w:rsid w:val="00217CD7"/>
    <w:rsid w:val="00220763"/>
    <w:rsid w:val="0022078F"/>
    <w:rsid w:val="00220D75"/>
    <w:rsid w:val="00222F75"/>
    <w:rsid w:val="00223124"/>
    <w:rsid w:val="00224328"/>
    <w:rsid w:val="0022551F"/>
    <w:rsid w:val="002301A1"/>
    <w:rsid w:val="00230290"/>
    <w:rsid w:val="00232083"/>
    <w:rsid w:val="00234464"/>
    <w:rsid w:val="00234585"/>
    <w:rsid w:val="002359EE"/>
    <w:rsid w:val="00235AA9"/>
    <w:rsid w:val="00235E75"/>
    <w:rsid w:val="00236CB5"/>
    <w:rsid w:val="002401C1"/>
    <w:rsid w:val="00243EA6"/>
    <w:rsid w:val="00244C14"/>
    <w:rsid w:val="00246163"/>
    <w:rsid w:val="002465AB"/>
    <w:rsid w:val="0025263B"/>
    <w:rsid w:val="002553B9"/>
    <w:rsid w:val="00255448"/>
    <w:rsid w:val="002613E9"/>
    <w:rsid w:val="00261AFA"/>
    <w:rsid w:val="00264343"/>
    <w:rsid w:val="0026650F"/>
    <w:rsid w:val="00267F86"/>
    <w:rsid w:val="002700EA"/>
    <w:rsid w:val="00270360"/>
    <w:rsid w:val="00277802"/>
    <w:rsid w:val="00283512"/>
    <w:rsid w:val="00283906"/>
    <w:rsid w:val="00284539"/>
    <w:rsid w:val="00286EB0"/>
    <w:rsid w:val="00287265"/>
    <w:rsid w:val="00291A6F"/>
    <w:rsid w:val="00291CF0"/>
    <w:rsid w:val="0029270B"/>
    <w:rsid w:val="00294B5E"/>
    <w:rsid w:val="00294FD7"/>
    <w:rsid w:val="00296C79"/>
    <w:rsid w:val="002A1C7F"/>
    <w:rsid w:val="002A2D1B"/>
    <w:rsid w:val="002B03C4"/>
    <w:rsid w:val="002B0F83"/>
    <w:rsid w:val="002B1629"/>
    <w:rsid w:val="002B1BEE"/>
    <w:rsid w:val="002B1C5A"/>
    <w:rsid w:val="002B2542"/>
    <w:rsid w:val="002B5218"/>
    <w:rsid w:val="002B533E"/>
    <w:rsid w:val="002B65E6"/>
    <w:rsid w:val="002B6EC3"/>
    <w:rsid w:val="002B7ACD"/>
    <w:rsid w:val="002C1607"/>
    <w:rsid w:val="002C182B"/>
    <w:rsid w:val="002C1E19"/>
    <w:rsid w:val="002C1F62"/>
    <w:rsid w:val="002C4987"/>
    <w:rsid w:val="002C5D91"/>
    <w:rsid w:val="002C6E44"/>
    <w:rsid w:val="002D366F"/>
    <w:rsid w:val="002D490C"/>
    <w:rsid w:val="002D55BC"/>
    <w:rsid w:val="002D6D80"/>
    <w:rsid w:val="002D7647"/>
    <w:rsid w:val="002D7AE4"/>
    <w:rsid w:val="002E151F"/>
    <w:rsid w:val="002E2E34"/>
    <w:rsid w:val="002E5CAD"/>
    <w:rsid w:val="002E6559"/>
    <w:rsid w:val="002E766D"/>
    <w:rsid w:val="002E7C3C"/>
    <w:rsid w:val="002F3556"/>
    <w:rsid w:val="002F4076"/>
    <w:rsid w:val="002F4D80"/>
    <w:rsid w:val="002F5E26"/>
    <w:rsid w:val="002F74A2"/>
    <w:rsid w:val="00300733"/>
    <w:rsid w:val="00300AFD"/>
    <w:rsid w:val="00306F81"/>
    <w:rsid w:val="003106F4"/>
    <w:rsid w:val="00313A87"/>
    <w:rsid w:val="003164AE"/>
    <w:rsid w:val="00316D67"/>
    <w:rsid w:val="00316E68"/>
    <w:rsid w:val="003170D8"/>
    <w:rsid w:val="003178DC"/>
    <w:rsid w:val="003221BE"/>
    <w:rsid w:val="00325DB1"/>
    <w:rsid w:val="003278F0"/>
    <w:rsid w:val="00330280"/>
    <w:rsid w:val="00331A68"/>
    <w:rsid w:val="003321D8"/>
    <w:rsid w:val="003322A6"/>
    <w:rsid w:val="0033640D"/>
    <w:rsid w:val="003368D6"/>
    <w:rsid w:val="00337224"/>
    <w:rsid w:val="0034672D"/>
    <w:rsid w:val="00347541"/>
    <w:rsid w:val="0035298E"/>
    <w:rsid w:val="00352A07"/>
    <w:rsid w:val="00354851"/>
    <w:rsid w:val="00355A2F"/>
    <w:rsid w:val="0035655D"/>
    <w:rsid w:val="00356712"/>
    <w:rsid w:val="0036091D"/>
    <w:rsid w:val="003625F6"/>
    <w:rsid w:val="00363D9C"/>
    <w:rsid w:val="00365C34"/>
    <w:rsid w:val="00366A37"/>
    <w:rsid w:val="00366AB5"/>
    <w:rsid w:val="00366C84"/>
    <w:rsid w:val="00370591"/>
    <w:rsid w:val="00371A25"/>
    <w:rsid w:val="00374491"/>
    <w:rsid w:val="003757CC"/>
    <w:rsid w:val="00376470"/>
    <w:rsid w:val="00381EA0"/>
    <w:rsid w:val="0038523D"/>
    <w:rsid w:val="00385A2F"/>
    <w:rsid w:val="00386437"/>
    <w:rsid w:val="00386558"/>
    <w:rsid w:val="00387D98"/>
    <w:rsid w:val="0039024C"/>
    <w:rsid w:val="00390BFD"/>
    <w:rsid w:val="00392B17"/>
    <w:rsid w:val="00393297"/>
    <w:rsid w:val="00393FC0"/>
    <w:rsid w:val="003A2144"/>
    <w:rsid w:val="003A2E39"/>
    <w:rsid w:val="003A4A4B"/>
    <w:rsid w:val="003A4DFA"/>
    <w:rsid w:val="003A5CC7"/>
    <w:rsid w:val="003A5DD3"/>
    <w:rsid w:val="003B0608"/>
    <w:rsid w:val="003B1BED"/>
    <w:rsid w:val="003B344E"/>
    <w:rsid w:val="003B6B1E"/>
    <w:rsid w:val="003B72C6"/>
    <w:rsid w:val="003C0114"/>
    <w:rsid w:val="003C4B89"/>
    <w:rsid w:val="003C5BCD"/>
    <w:rsid w:val="003D027C"/>
    <w:rsid w:val="003D042A"/>
    <w:rsid w:val="003D0A44"/>
    <w:rsid w:val="003D2086"/>
    <w:rsid w:val="003D2B71"/>
    <w:rsid w:val="003D3BAE"/>
    <w:rsid w:val="003D4F96"/>
    <w:rsid w:val="003D6392"/>
    <w:rsid w:val="003D67AC"/>
    <w:rsid w:val="003D6CC4"/>
    <w:rsid w:val="003E0565"/>
    <w:rsid w:val="003E147F"/>
    <w:rsid w:val="003E1843"/>
    <w:rsid w:val="003E3150"/>
    <w:rsid w:val="003E4FB3"/>
    <w:rsid w:val="003E5E34"/>
    <w:rsid w:val="003E7955"/>
    <w:rsid w:val="003F1755"/>
    <w:rsid w:val="003F1921"/>
    <w:rsid w:val="003F2954"/>
    <w:rsid w:val="003F2F41"/>
    <w:rsid w:val="003F4410"/>
    <w:rsid w:val="003F4EE1"/>
    <w:rsid w:val="003F5B01"/>
    <w:rsid w:val="003F6FDF"/>
    <w:rsid w:val="004007E8"/>
    <w:rsid w:val="00402129"/>
    <w:rsid w:val="00403918"/>
    <w:rsid w:val="00404EA2"/>
    <w:rsid w:val="00405E45"/>
    <w:rsid w:val="00405E5B"/>
    <w:rsid w:val="0040616F"/>
    <w:rsid w:val="00414448"/>
    <w:rsid w:val="004144B7"/>
    <w:rsid w:val="004153DF"/>
    <w:rsid w:val="00415F89"/>
    <w:rsid w:val="00421151"/>
    <w:rsid w:val="004224C4"/>
    <w:rsid w:val="00422999"/>
    <w:rsid w:val="00422D29"/>
    <w:rsid w:val="00426F37"/>
    <w:rsid w:val="004363CF"/>
    <w:rsid w:val="00440CCD"/>
    <w:rsid w:val="0044170F"/>
    <w:rsid w:val="00442868"/>
    <w:rsid w:val="004452F3"/>
    <w:rsid w:val="00452F0D"/>
    <w:rsid w:val="004530F8"/>
    <w:rsid w:val="004533B7"/>
    <w:rsid w:val="00453DCE"/>
    <w:rsid w:val="00456A58"/>
    <w:rsid w:val="00461F15"/>
    <w:rsid w:val="00462648"/>
    <w:rsid w:val="004627E7"/>
    <w:rsid w:val="00463527"/>
    <w:rsid w:val="004635C6"/>
    <w:rsid w:val="004656AD"/>
    <w:rsid w:val="00465977"/>
    <w:rsid w:val="00465D28"/>
    <w:rsid w:val="004728FC"/>
    <w:rsid w:val="00475BED"/>
    <w:rsid w:val="00482554"/>
    <w:rsid w:val="00483F97"/>
    <w:rsid w:val="004842DA"/>
    <w:rsid w:val="00486F8F"/>
    <w:rsid w:val="004874BC"/>
    <w:rsid w:val="004875D7"/>
    <w:rsid w:val="004917DB"/>
    <w:rsid w:val="00491D42"/>
    <w:rsid w:val="00496F28"/>
    <w:rsid w:val="00496FFC"/>
    <w:rsid w:val="0049707B"/>
    <w:rsid w:val="004A17CD"/>
    <w:rsid w:val="004A3F46"/>
    <w:rsid w:val="004A57FA"/>
    <w:rsid w:val="004A6BBF"/>
    <w:rsid w:val="004A73A0"/>
    <w:rsid w:val="004B05FB"/>
    <w:rsid w:val="004B0D4F"/>
    <w:rsid w:val="004B35AD"/>
    <w:rsid w:val="004B3A42"/>
    <w:rsid w:val="004C055B"/>
    <w:rsid w:val="004C3B41"/>
    <w:rsid w:val="004C4240"/>
    <w:rsid w:val="004C455C"/>
    <w:rsid w:val="004C603C"/>
    <w:rsid w:val="004C6985"/>
    <w:rsid w:val="004D1D24"/>
    <w:rsid w:val="004E255A"/>
    <w:rsid w:val="004E359C"/>
    <w:rsid w:val="004E49DF"/>
    <w:rsid w:val="004E4A93"/>
    <w:rsid w:val="004E57D7"/>
    <w:rsid w:val="004E625C"/>
    <w:rsid w:val="004E6509"/>
    <w:rsid w:val="004E7458"/>
    <w:rsid w:val="004F2149"/>
    <w:rsid w:val="004F244E"/>
    <w:rsid w:val="004F2904"/>
    <w:rsid w:val="004F2C1C"/>
    <w:rsid w:val="004F7EDF"/>
    <w:rsid w:val="005003A5"/>
    <w:rsid w:val="00500778"/>
    <w:rsid w:val="00500C94"/>
    <w:rsid w:val="005013AA"/>
    <w:rsid w:val="005015EB"/>
    <w:rsid w:val="005021B4"/>
    <w:rsid w:val="005022FB"/>
    <w:rsid w:val="005025FB"/>
    <w:rsid w:val="00502C78"/>
    <w:rsid w:val="00503D56"/>
    <w:rsid w:val="00505BCD"/>
    <w:rsid w:val="0050726A"/>
    <w:rsid w:val="0050777C"/>
    <w:rsid w:val="005114A0"/>
    <w:rsid w:val="00512527"/>
    <w:rsid w:val="0051370B"/>
    <w:rsid w:val="00517632"/>
    <w:rsid w:val="005219C7"/>
    <w:rsid w:val="005223A1"/>
    <w:rsid w:val="00523D18"/>
    <w:rsid w:val="00527250"/>
    <w:rsid w:val="0053292F"/>
    <w:rsid w:val="00532F9C"/>
    <w:rsid w:val="005345F0"/>
    <w:rsid w:val="00534B3B"/>
    <w:rsid w:val="005370ED"/>
    <w:rsid w:val="005373BD"/>
    <w:rsid w:val="005429D5"/>
    <w:rsid w:val="005439D9"/>
    <w:rsid w:val="0054579A"/>
    <w:rsid w:val="005461E0"/>
    <w:rsid w:val="0054671C"/>
    <w:rsid w:val="00547521"/>
    <w:rsid w:val="0054780B"/>
    <w:rsid w:val="0055094B"/>
    <w:rsid w:val="00550FC3"/>
    <w:rsid w:val="0055264A"/>
    <w:rsid w:val="00553CFA"/>
    <w:rsid w:val="005559B7"/>
    <w:rsid w:val="00556E32"/>
    <w:rsid w:val="00557CF2"/>
    <w:rsid w:val="00557FEC"/>
    <w:rsid w:val="005627CB"/>
    <w:rsid w:val="005652C1"/>
    <w:rsid w:val="00567EA9"/>
    <w:rsid w:val="00570553"/>
    <w:rsid w:val="00570C76"/>
    <w:rsid w:val="005738DE"/>
    <w:rsid w:val="00574BF6"/>
    <w:rsid w:val="00574C22"/>
    <w:rsid w:val="00575BB5"/>
    <w:rsid w:val="00575D56"/>
    <w:rsid w:val="005855CE"/>
    <w:rsid w:val="0059572A"/>
    <w:rsid w:val="00595882"/>
    <w:rsid w:val="00597179"/>
    <w:rsid w:val="005A1039"/>
    <w:rsid w:val="005A1D05"/>
    <w:rsid w:val="005A6C8D"/>
    <w:rsid w:val="005B0E2A"/>
    <w:rsid w:val="005B1DDE"/>
    <w:rsid w:val="005B2C39"/>
    <w:rsid w:val="005B4205"/>
    <w:rsid w:val="005B500F"/>
    <w:rsid w:val="005B55D1"/>
    <w:rsid w:val="005B7DDE"/>
    <w:rsid w:val="005C028C"/>
    <w:rsid w:val="005C0DE6"/>
    <w:rsid w:val="005C3DD0"/>
    <w:rsid w:val="005C3EE2"/>
    <w:rsid w:val="005C7427"/>
    <w:rsid w:val="005C7C8B"/>
    <w:rsid w:val="005D01BF"/>
    <w:rsid w:val="005D06F9"/>
    <w:rsid w:val="005D0D90"/>
    <w:rsid w:val="005D3BDE"/>
    <w:rsid w:val="005D744A"/>
    <w:rsid w:val="005E22C1"/>
    <w:rsid w:val="005E5043"/>
    <w:rsid w:val="005E7C34"/>
    <w:rsid w:val="005F0B0B"/>
    <w:rsid w:val="005F4253"/>
    <w:rsid w:val="005F5CBD"/>
    <w:rsid w:val="0060244B"/>
    <w:rsid w:val="00603051"/>
    <w:rsid w:val="00604267"/>
    <w:rsid w:val="00606B3E"/>
    <w:rsid w:val="00607FA6"/>
    <w:rsid w:val="006105DD"/>
    <w:rsid w:val="0061260A"/>
    <w:rsid w:val="00613D57"/>
    <w:rsid w:val="00615741"/>
    <w:rsid w:val="00616517"/>
    <w:rsid w:val="006210EE"/>
    <w:rsid w:val="00621FAC"/>
    <w:rsid w:val="00622253"/>
    <w:rsid w:val="00622E73"/>
    <w:rsid w:val="0062307F"/>
    <w:rsid w:val="00623879"/>
    <w:rsid w:val="00623C3E"/>
    <w:rsid w:val="0062749D"/>
    <w:rsid w:val="006274C1"/>
    <w:rsid w:val="0063050A"/>
    <w:rsid w:val="00631A8E"/>
    <w:rsid w:val="00632A6A"/>
    <w:rsid w:val="00632E80"/>
    <w:rsid w:val="006370B7"/>
    <w:rsid w:val="00637894"/>
    <w:rsid w:val="006435EC"/>
    <w:rsid w:val="00643C5E"/>
    <w:rsid w:val="00645A16"/>
    <w:rsid w:val="00645D8B"/>
    <w:rsid w:val="00645EEE"/>
    <w:rsid w:val="00646744"/>
    <w:rsid w:val="00647C9C"/>
    <w:rsid w:val="00651EE0"/>
    <w:rsid w:val="00652009"/>
    <w:rsid w:val="006551D8"/>
    <w:rsid w:val="006558C8"/>
    <w:rsid w:val="00661ADB"/>
    <w:rsid w:val="00661F83"/>
    <w:rsid w:val="006628FA"/>
    <w:rsid w:val="00667EDE"/>
    <w:rsid w:val="006703D7"/>
    <w:rsid w:val="00672497"/>
    <w:rsid w:val="00673C10"/>
    <w:rsid w:val="00673CFC"/>
    <w:rsid w:val="00673FED"/>
    <w:rsid w:val="00675F07"/>
    <w:rsid w:val="00680A8F"/>
    <w:rsid w:val="00680D6E"/>
    <w:rsid w:val="00681226"/>
    <w:rsid w:val="00682CC9"/>
    <w:rsid w:val="00683CB1"/>
    <w:rsid w:val="00685031"/>
    <w:rsid w:val="006857B0"/>
    <w:rsid w:val="006857BB"/>
    <w:rsid w:val="00686D69"/>
    <w:rsid w:val="006872BB"/>
    <w:rsid w:val="00692EC4"/>
    <w:rsid w:val="00695B92"/>
    <w:rsid w:val="00697426"/>
    <w:rsid w:val="00697D25"/>
    <w:rsid w:val="006A1C9E"/>
    <w:rsid w:val="006A2FAF"/>
    <w:rsid w:val="006A3CF1"/>
    <w:rsid w:val="006B060A"/>
    <w:rsid w:val="006B2BB9"/>
    <w:rsid w:val="006B7893"/>
    <w:rsid w:val="006C1C1D"/>
    <w:rsid w:val="006C27F2"/>
    <w:rsid w:val="006C288E"/>
    <w:rsid w:val="006C2F90"/>
    <w:rsid w:val="006C32EA"/>
    <w:rsid w:val="006C49F8"/>
    <w:rsid w:val="006C4AE7"/>
    <w:rsid w:val="006C5355"/>
    <w:rsid w:val="006C54AA"/>
    <w:rsid w:val="006C6B53"/>
    <w:rsid w:val="006C704B"/>
    <w:rsid w:val="006D14CD"/>
    <w:rsid w:val="006D46D9"/>
    <w:rsid w:val="006D5203"/>
    <w:rsid w:val="006D63B8"/>
    <w:rsid w:val="006E1B9E"/>
    <w:rsid w:val="006E4BAA"/>
    <w:rsid w:val="006E4C2C"/>
    <w:rsid w:val="006F168D"/>
    <w:rsid w:val="007003B7"/>
    <w:rsid w:val="00700BBA"/>
    <w:rsid w:val="007021A3"/>
    <w:rsid w:val="00711417"/>
    <w:rsid w:val="00715E64"/>
    <w:rsid w:val="00716E28"/>
    <w:rsid w:val="00720C73"/>
    <w:rsid w:val="00726841"/>
    <w:rsid w:val="007272C1"/>
    <w:rsid w:val="00727A61"/>
    <w:rsid w:val="00727EF6"/>
    <w:rsid w:val="0073026B"/>
    <w:rsid w:val="00730DD7"/>
    <w:rsid w:val="007325C2"/>
    <w:rsid w:val="00733BAC"/>
    <w:rsid w:val="00734362"/>
    <w:rsid w:val="00737027"/>
    <w:rsid w:val="0074234B"/>
    <w:rsid w:val="007439D7"/>
    <w:rsid w:val="007442BE"/>
    <w:rsid w:val="00746876"/>
    <w:rsid w:val="0075037E"/>
    <w:rsid w:val="007525F9"/>
    <w:rsid w:val="00753480"/>
    <w:rsid w:val="0075414A"/>
    <w:rsid w:val="007545A6"/>
    <w:rsid w:val="00754E14"/>
    <w:rsid w:val="00755594"/>
    <w:rsid w:val="00756AF8"/>
    <w:rsid w:val="00756C1D"/>
    <w:rsid w:val="00763F5B"/>
    <w:rsid w:val="00764CDF"/>
    <w:rsid w:val="00765172"/>
    <w:rsid w:val="00766BA7"/>
    <w:rsid w:val="0076729E"/>
    <w:rsid w:val="007712CF"/>
    <w:rsid w:val="00771399"/>
    <w:rsid w:val="00771E65"/>
    <w:rsid w:val="00773536"/>
    <w:rsid w:val="007740C0"/>
    <w:rsid w:val="007747C5"/>
    <w:rsid w:val="0077575F"/>
    <w:rsid w:val="00775A15"/>
    <w:rsid w:val="00776CC1"/>
    <w:rsid w:val="00776EF3"/>
    <w:rsid w:val="00777D13"/>
    <w:rsid w:val="0078156C"/>
    <w:rsid w:val="00783337"/>
    <w:rsid w:val="00784919"/>
    <w:rsid w:val="007860D8"/>
    <w:rsid w:val="007862B1"/>
    <w:rsid w:val="00790899"/>
    <w:rsid w:val="00796DE0"/>
    <w:rsid w:val="007A0B01"/>
    <w:rsid w:val="007A1979"/>
    <w:rsid w:val="007A22B6"/>
    <w:rsid w:val="007A3762"/>
    <w:rsid w:val="007A5331"/>
    <w:rsid w:val="007A5827"/>
    <w:rsid w:val="007A74BC"/>
    <w:rsid w:val="007B19C1"/>
    <w:rsid w:val="007B21F9"/>
    <w:rsid w:val="007B56A7"/>
    <w:rsid w:val="007C48F5"/>
    <w:rsid w:val="007C6043"/>
    <w:rsid w:val="007D0676"/>
    <w:rsid w:val="007D12FC"/>
    <w:rsid w:val="007D310F"/>
    <w:rsid w:val="007D75C7"/>
    <w:rsid w:val="007E0081"/>
    <w:rsid w:val="007E1799"/>
    <w:rsid w:val="007E1922"/>
    <w:rsid w:val="007E22CD"/>
    <w:rsid w:val="007E3884"/>
    <w:rsid w:val="007E4C06"/>
    <w:rsid w:val="007E59A5"/>
    <w:rsid w:val="007F08D2"/>
    <w:rsid w:val="007F2F7B"/>
    <w:rsid w:val="007F3DAF"/>
    <w:rsid w:val="007F529B"/>
    <w:rsid w:val="007F561B"/>
    <w:rsid w:val="008070ED"/>
    <w:rsid w:val="00807443"/>
    <w:rsid w:val="00807B30"/>
    <w:rsid w:val="00812233"/>
    <w:rsid w:val="008150E6"/>
    <w:rsid w:val="00816CFA"/>
    <w:rsid w:val="00822D88"/>
    <w:rsid w:val="0082400B"/>
    <w:rsid w:val="008245A5"/>
    <w:rsid w:val="0082599C"/>
    <w:rsid w:val="008266A8"/>
    <w:rsid w:val="008270A9"/>
    <w:rsid w:val="008276E9"/>
    <w:rsid w:val="008305CC"/>
    <w:rsid w:val="00831CBA"/>
    <w:rsid w:val="00833401"/>
    <w:rsid w:val="00837697"/>
    <w:rsid w:val="00840620"/>
    <w:rsid w:val="00840EBE"/>
    <w:rsid w:val="00840F26"/>
    <w:rsid w:val="0084231D"/>
    <w:rsid w:val="00843B40"/>
    <w:rsid w:val="008441D1"/>
    <w:rsid w:val="00845921"/>
    <w:rsid w:val="00846E90"/>
    <w:rsid w:val="00850647"/>
    <w:rsid w:val="008542E1"/>
    <w:rsid w:val="00855B7D"/>
    <w:rsid w:val="00856F9F"/>
    <w:rsid w:val="008579CE"/>
    <w:rsid w:val="00865C3F"/>
    <w:rsid w:val="00867274"/>
    <w:rsid w:val="00867A12"/>
    <w:rsid w:val="00870BA8"/>
    <w:rsid w:val="00872306"/>
    <w:rsid w:val="00874219"/>
    <w:rsid w:val="0087532D"/>
    <w:rsid w:val="00876460"/>
    <w:rsid w:val="00877EEA"/>
    <w:rsid w:val="00881FD1"/>
    <w:rsid w:val="0088489D"/>
    <w:rsid w:val="008860BF"/>
    <w:rsid w:val="00886A57"/>
    <w:rsid w:val="0088747D"/>
    <w:rsid w:val="00890884"/>
    <w:rsid w:val="0089097A"/>
    <w:rsid w:val="0089512B"/>
    <w:rsid w:val="008952D8"/>
    <w:rsid w:val="0089569E"/>
    <w:rsid w:val="0089583E"/>
    <w:rsid w:val="008A3782"/>
    <w:rsid w:val="008A502D"/>
    <w:rsid w:val="008A655B"/>
    <w:rsid w:val="008A68CC"/>
    <w:rsid w:val="008B373A"/>
    <w:rsid w:val="008B41F7"/>
    <w:rsid w:val="008B44EB"/>
    <w:rsid w:val="008B5F85"/>
    <w:rsid w:val="008B6D52"/>
    <w:rsid w:val="008B7D3C"/>
    <w:rsid w:val="008C0806"/>
    <w:rsid w:val="008C1117"/>
    <w:rsid w:val="008C31EC"/>
    <w:rsid w:val="008C3987"/>
    <w:rsid w:val="008C4082"/>
    <w:rsid w:val="008C44CE"/>
    <w:rsid w:val="008C6287"/>
    <w:rsid w:val="008C65B3"/>
    <w:rsid w:val="008C7C44"/>
    <w:rsid w:val="008D0801"/>
    <w:rsid w:val="008D0F2B"/>
    <w:rsid w:val="008D31A0"/>
    <w:rsid w:val="008D327F"/>
    <w:rsid w:val="008D357D"/>
    <w:rsid w:val="008D3F9C"/>
    <w:rsid w:val="008D45BF"/>
    <w:rsid w:val="008D5BD2"/>
    <w:rsid w:val="008D6CCF"/>
    <w:rsid w:val="008E0E60"/>
    <w:rsid w:val="008E6907"/>
    <w:rsid w:val="008E7D25"/>
    <w:rsid w:val="008F0444"/>
    <w:rsid w:val="008F212D"/>
    <w:rsid w:val="008F2ECB"/>
    <w:rsid w:val="008F3E62"/>
    <w:rsid w:val="008F64DB"/>
    <w:rsid w:val="008F7CF1"/>
    <w:rsid w:val="009041DB"/>
    <w:rsid w:val="009054CB"/>
    <w:rsid w:val="00907DD3"/>
    <w:rsid w:val="00907F87"/>
    <w:rsid w:val="009103E4"/>
    <w:rsid w:val="00910AC8"/>
    <w:rsid w:val="00911220"/>
    <w:rsid w:val="00913365"/>
    <w:rsid w:val="009137B7"/>
    <w:rsid w:val="00914463"/>
    <w:rsid w:val="00920D8C"/>
    <w:rsid w:val="00925303"/>
    <w:rsid w:val="009279C7"/>
    <w:rsid w:val="00931517"/>
    <w:rsid w:val="0094039A"/>
    <w:rsid w:val="00941236"/>
    <w:rsid w:val="009464A8"/>
    <w:rsid w:val="00946893"/>
    <w:rsid w:val="00947FEA"/>
    <w:rsid w:val="009501F8"/>
    <w:rsid w:val="00951186"/>
    <w:rsid w:val="0095350B"/>
    <w:rsid w:val="00955F1A"/>
    <w:rsid w:val="009573BA"/>
    <w:rsid w:val="00957406"/>
    <w:rsid w:val="00957A44"/>
    <w:rsid w:val="00957DEB"/>
    <w:rsid w:val="00960359"/>
    <w:rsid w:val="00961C00"/>
    <w:rsid w:val="00961E54"/>
    <w:rsid w:val="00966E27"/>
    <w:rsid w:val="009700CB"/>
    <w:rsid w:val="0097029B"/>
    <w:rsid w:val="00970D40"/>
    <w:rsid w:val="0097164C"/>
    <w:rsid w:val="00971D57"/>
    <w:rsid w:val="009721EB"/>
    <w:rsid w:val="00972A9F"/>
    <w:rsid w:val="009736F4"/>
    <w:rsid w:val="00973816"/>
    <w:rsid w:val="00977E72"/>
    <w:rsid w:val="009800CD"/>
    <w:rsid w:val="00981CC7"/>
    <w:rsid w:val="0098365E"/>
    <w:rsid w:val="009840C2"/>
    <w:rsid w:val="00984B03"/>
    <w:rsid w:val="00987D8D"/>
    <w:rsid w:val="0099245E"/>
    <w:rsid w:val="009967BD"/>
    <w:rsid w:val="00997721"/>
    <w:rsid w:val="009A0582"/>
    <w:rsid w:val="009A0731"/>
    <w:rsid w:val="009A3A52"/>
    <w:rsid w:val="009A3C0D"/>
    <w:rsid w:val="009B14EB"/>
    <w:rsid w:val="009B2373"/>
    <w:rsid w:val="009B3F16"/>
    <w:rsid w:val="009C0064"/>
    <w:rsid w:val="009C29EF"/>
    <w:rsid w:val="009C3009"/>
    <w:rsid w:val="009C5208"/>
    <w:rsid w:val="009C5295"/>
    <w:rsid w:val="009C7E82"/>
    <w:rsid w:val="009D0496"/>
    <w:rsid w:val="009D0B4B"/>
    <w:rsid w:val="009D2A51"/>
    <w:rsid w:val="009D3BEB"/>
    <w:rsid w:val="009D5949"/>
    <w:rsid w:val="009D69F6"/>
    <w:rsid w:val="009E069D"/>
    <w:rsid w:val="009E1BFD"/>
    <w:rsid w:val="009E2157"/>
    <w:rsid w:val="009E3AF7"/>
    <w:rsid w:val="009E549D"/>
    <w:rsid w:val="009E61EA"/>
    <w:rsid w:val="009E6751"/>
    <w:rsid w:val="009E79FB"/>
    <w:rsid w:val="009F00E8"/>
    <w:rsid w:val="009F3EB6"/>
    <w:rsid w:val="009F467A"/>
    <w:rsid w:val="009F6C0E"/>
    <w:rsid w:val="009F79F3"/>
    <w:rsid w:val="00A02219"/>
    <w:rsid w:val="00A04259"/>
    <w:rsid w:val="00A05B99"/>
    <w:rsid w:val="00A0775A"/>
    <w:rsid w:val="00A10BDB"/>
    <w:rsid w:val="00A12385"/>
    <w:rsid w:val="00A158B6"/>
    <w:rsid w:val="00A158CD"/>
    <w:rsid w:val="00A1598A"/>
    <w:rsid w:val="00A177FA"/>
    <w:rsid w:val="00A255FB"/>
    <w:rsid w:val="00A25993"/>
    <w:rsid w:val="00A276E4"/>
    <w:rsid w:val="00A323C9"/>
    <w:rsid w:val="00A3574F"/>
    <w:rsid w:val="00A36B6F"/>
    <w:rsid w:val="00A4006C"/>
    <w:rsid w:val="00A41882"/>
    <w:rsid w:val="00A42738"/>
    <w:rsid w:val="00A42D85"/>
    <w:rsid w:val="00A44EEC"/>
    <w:rsid w:val="00A44F4C"/>
    <w:rsid w:val="00A4539E"/>
    <w:rsid w:val="00A46053"/>
    <w:rsid w:val="00A47602"/>
    <w:rsid w:val="00A52343"/>
    <w:rsid w:val="00A53105"/>
    <w:rsid w:val="00A531A2"/>
    <w:rsid w:val="00A540BC"/>
    <w:rsid w:val="00A55666"/>
    <w:rsid w:val="00A569BB"/>
    <w:rsid w:val="00A56FD6"/>
    <w:rsid w:val="00A67A80"/>
    <w:rsid w:val="00A70871"/>
    <w:rsid w:val="00A72040"/>
    <w:rsid w:val="00A7311C"/>
    <w:rsid w:val="00A732C7"/>
    <w:rsid w:val="00A7372B"/>
    <w:rsid w:val="00A74BF0"/>
    <w:rsid w:val="00A82711"/>
    <w:rsid w:val="00A833C0"/>
    <w:rsid w:val="00A83AD3"/>
    <w:rsid w:val="00A840C8"/>
    <w:rsid w:val="00A85949"/>
    <w:rsid w:val="00A8793D"/>
    <w:rsid w:val="00A90F59"/>
    <w:rsid w:val="00A946BE"/>
    <w:rsid w:val="00A95742"/>
    <w:rsid w:val="00AA0B57"/>
    <w:rsid w:val="00AA14AE"/>
    <w:rsid w:val="00AA1C4D"/>
    <w:rsid w:val="00AA303A"/>
    <w:rsid w:val="00AA6A96"/>
    <w:rsid w:val="00AA7245"/>
    <w:rsid w:val="00AA783F"/>
    <w:rsid w:val="00AA7F31"/>
    <w:rsid w:val="00AB097D"/>
    <w:rsid w:val="00AB3FA2"/>
    <w:rsid w:val="00AB43D2"/>
    <w:rsid w:val="00AC40A9"/>
    <w:rsid w:val="00AC5EC0"/>
    <w:rsid w:val="00AD310A"/>
    <w:rsid w:val="00AD609B"/>
    <w:rsid w:val="00AD7F52"/>
    <w:rsid w:val="00AE1B96"/>
    <w:rsid w:val="00AE1BC0"/>
    <w:rsid w:val="00AE2375"/>
    <w:rsid w:val="00AE303A"/>
    <w:rsid w:val="00AE317E"/>
    <w:rsid w:val="00AE6BD3"/>
    <w:rsid w:val="00AE7FA3"/>
    <w:rsid w:val="00AF060F"/>
    <w:rsid w:val="00AF102E"/>
    <w:rsid w:val="00AF27F2"/>
    <w:rsid w:val="00AF2B3A"/>
    <w:rsid w:val="00AF2B3E"/>
    <w:rsid w:val="00AF59C8"/>
    <w:rsid w:val="00AF7087"/>
    <w:rsid w:val="00AF71E0"/>
    <w:rsid w:val="00B00586"/>
    <w:rsid w:val="00B02052"/>
    <w:rsid w:val="00B02223"/>
    <w:rsid w:val="00B027BF"/>
    <w:rsid w:val="00B03B3B"/>
    <w:rsid w:val="00B042B1"/>
    <w:rsid w:val="00B04DA4"/>
    <w:rsid w:val="00B052D0"/>
    <w:rsid w:val="00B102EC"/>
    <w:rsid w:val="00B10D00"/>
    <w:rsid w:val="00B10EBC"/>
    <w:rsid w:val="00B14BCC"/>
    <w:rsid w:val="00B150C6"/>
    <w:rsid w:val="00B16D69"/>
    <w:rsid w:val="00B1709E"/>
    <w:rsid w:val="00B22351"/>
    <w:rsid w:val="00B22FBD"/>
    <w:rsid w:val="00B273BC"/>
    <w:rsid w:val="00B27564"/>
    <w:rsid w:val="00B27BAC"/>
    <w:rsid w:val="00B300D8"/>
    <w:rsid w:val="00B30138"/>
    <w:rsid w:val="00B302EB"/>
    <w:rsid w:val="00B33633"/>
    <w:rsid w:val="00B348E5"/>
    <w:rsid w:val="00B46128"/>
    <w:rsid w:val="00B46388"/>
    <w:rsid w:val="00B47870"/>
    <w:rsid w:val="00B47C77"/>
    <w:rsid w:val="00B52BC2"/>
    <w:rsid w:val="00B57531"/>
    <w:rsid w:val="00B62618"/>
    <w:rsid w:val="00B633F4"/>
    <w:rsid w:val="00B64A67"/>
    <w:rsid w:val="00B70887"/>
    <w:rsid w:val="00B74250"/>
    <w:rsid w:val="00B7455A"/>
    <w:rsid w:val="00B74BE4"/>
    <w:rsid w:val="00B80AFC"/>
    <w:rsid w:val="00B813D8"/>
    <w:rsid w:val="00B83B68"/>
    <w:rsid w:val="00B8466A"/>
    <w:rsid w:val="00B85BB4"/>
    <w:rsid w:val="00BA044E"/>
    <w:rsid w:val="00BA2099"/>
    <w:rsid w:val="00BA32CF"/>
    <w:rsid w:val="00BA559F"/>
    <w:rsid w:val="00BA5844"/>
    <w:rsid w:val="00BA6BC0"/>
    <w:rsid w:val="00BA7481"/>
    <w:rsid w:val="00BA79E0"/>
    <w:rsid w:val="00BB052E"/>
    <w:rsid w:val="00BB548B"/>
    <w:rsid w:val="00BB687E"/>
    <w:rsid w:val="00BD10BA"/>
    <w:rsid w:val="00BD240B"/>
    <w:rsid w:val="00BD2B44"/>
    <w:rsid w:val="00BD2DF2"/>
    <w:rsid w:val="00BD444A"/>
    <w:rsid w:val="00BE00DD"/>
    <w:rsid w:val="00BE00F8"/>
    <w:rsid w:val="00BE4383"/>
    <w:rsid w:val="00BE501B"/>
    <w:rsid w:val="00BE58D2"/>
    <w:rsid w:val="00BE5D04"/>
    <w:rsid w:val="00BF18C3"/>
    <w:rsid w:val="00BF3B34"/>
    <w:rsid w:val="00BF4735"/>
    <w:rsid w:val="00BF524E"/>
    <w:rsid w:val="00BF7167"/>
    <w:rsid w:val="00C00021"/>
    <w:rsid w:val="00C000F6"/>
    <w:rsid w:val="00C0049E"/>
    <w:rsid w:val="00C00FBE"/>
    <w:rsid w:val="00C03F0B"/>
    <w:rsid w:val="00C0465C"/>
    <w:rsid w:val="00C061E7"/>
    <w:rsid w:val="00C14401"/>
    <w:rsid w:val="00C15A09"/>
    <w:rsid w:val="00C177EA"/>
    <w:rsid w:val="00C178D4"/>
    <w:rsid w:val="00C20842"/>
    <w:rsid w:val="00C20A60"/>
    <w:rsid w:val="00C223B2"/>
    <w:rsid w:val="00C22A89"/>
    <w:rsid w:val="00C2433B"/>
    <w:rsid w:val="00C24975"/>
    <w:rsid w:val="00C251CA"/>
    <w:rsid w:val="00C25679"/>
    <w:rsid w:val="00C2733F"/>
    <w:rsid w:val="00C2741E"/>
    <w:rsid w:val="00C2786F"/>
    <w:rsid w:val="00C30EAE"/>
    <w:rsid w:val="00C32240"/>
    <w:rsid w:val="00C34F3A"/>
    <w:rsid w:val="00C36760"/>
    <w:rsid w:val="00C373BF"/>
    <w:rsid w:val="00C37953"/>
    <w:rsid w:val="00C41490"/>
    <w:rsid w:val="00C46423"/>
    <w:rsid w:val="00C57860"/>
    <w:rsid w:val="00C603D2"/>
    <w:rsid w:val="00C61084"/>
    <w:rsid w:val="00C62190"/>
    <w:rsid w:val="00C665C8"/>
    <w:rsid w:val="00C7021B"/>
    <w:rsid w:val="00C704A1"/>
    <w:rsid w:val="00C708A9"/>
    <w:rsid w:val="00C7096D"/>
    <w:rsid w:val="00C748B4"/>
    <w:rsid w:val="00C76006"/>
    <w:rsid w:val="00C8184A"/>
    <w:rsid w:val="00C8350C"/>
    <w:rsid w:val="00C840CE"/>
    <w:rsid w:val="00C87649"/>
    <w:rsid w:val="00C93072"/>
    <w:rsid w:val="00C945D9"/>
    <w:rsid w:val="00CA2C20"/>
    <w:rsid w:val="00CA2C70"/>
    <w:rsid w:val="00CA34A1"/>
    <w:rsid w:val="00CA6EC5"/>
    <w:rsid w:val="00CA7238"/>
    <w:rsid w:val="00CA784B"/>
    <w:rsid w:val="00CB00CF"/>
    <w:rsid w:val="00CB0164"/>
    <w:rsid w:val="00CB38FD"/>
    <w:rsid w:val="00CB5CB4"/>
    <w:rsid w:val="00CB6638"/>
    <w:rsid w:val="00CB6EDA"/>
    <w:rsid w:val="00CC018B"/>
    <w:rsid w:val="00CC248E"/>
    <w:rsid w:val="00CC269B"/>
    <w:rsid w:val="00CC31B6"/>
    <w:rsid w:val="00CC3FF2"/>
    <w:rsid w:val="00CC5458"/>
    <w:rsid w:val="00CD0C1C"/>
    <w:rsid w:val="00CD0F89"/>
    <w:rsid w:val="00CD26DE"/>
    <w:rsid w:val="00CD3137"/>
    <w:rsid w:val="00CD3184"/>
    <w:rsid w:val="00CD57B2"/>
    <w:rsid w:val="00CD7651"/>
    <w:rsid w:val="00CE0012"/>
    <w:rsid w:val="00CE1934"/>
    <w:rsid w:val="00CE2E8B"/>
    <w:rsid w:val="00CE71B4"/>
    <w:rsid w:val="00CE779B"/>
    <w:rsid w:val="00CF0683"/>
    <w:rsid w:val="00CF2D7E"/>
    <w:rsid w:val="00CF51F6"/>
    <w:rsid w:val="00D007D9"/>
    <w:rsid w:val="00D03F66"/>
    <w:rsid w:val="00D0413D"/>
    <w:rsid w:val="00D052CB"/>
    <w:rsid w:val="00D0645F"/>
    <w:rsid w:val="00D101C0"/>
    <w:rsid w:val="00D116A1"/>
    <w:rsid w:val="00D12C88"/>
    <w:rsid w:val="00D13650"/>
    <w:rsid w:val="00D175FB"/>
    <w:rsid w:val="00D17D86"/>
    <w:rsid w:val="00D21C28"/>
    <w:rsid w:val="00D21E25"/>
    <w:rsid w:val="00D22A7B"/>
    <w:rsid w:val="00D26D2A"/>
    <w:rsid w:val="00D26E6D"/>
    <w:rsid w:val="00D341F9"/>
    <w:rsid w:val="00D36083"/>
    <w:rsid w:val="00D4069A"/>
    <w:rsid w:val="00D408BF"/>
    <w:rsid w:val="00D41C03"/>
    <w:rsid w:val="00D41D1A"/>
    <w:rsid w:val="00D430F8"/>
    <w:rsid w:val="00D44FFF"/>
    <w:rsid w:val="00D4605B"/>
    <w:rsid w:val="00D47998"/>
    <w:rsid w:val="00D51EDF"/>
    <w:rsid w:val="00D5287C"/>
    <w:rsid w:val="00D536E1"/>
    <w:rsid w:val="00D53C05"/>
    <w:rsid w:val="00D55E64"/>
    <w:rsid w:val="00D61951"/>
    <w:rsid w:val="00D700FD"/>
    <w:rsid w:val="00D72BA4"/>
    <w:rsid w:val="00D7379A"/>
    <w:rsid w:val="00D830AC"/>
    <w:rsid w:val="00D86252"/>
    <w:rsid w:val="00D863E0"/>
    <w:rsid w:val="00D87D3A"/>
    <w:rsid w:val="00D90F75"/>
    <w:rsid w:val="00DA0186"/>
    <w:rsid w:val="00DA0C3C"/>
    <w:rsid w:val="00DA2DDA"/>
    <w:rsid w:val="00DA314F"/>
    <w:rsid w:val="00DA46BC"/>
    <w:rsid w:val="00DA6F6B"/>
    <w:rsid w:val="00DB25AA"/>
    <w:rsid w:val="00DB40B4"/>
    <w:rsid w:val="00DB56DD"/>
    <w:rsid w:val="00DC07AD"/>
    <w:rsid w:val="00DC23AA"/>
    <w:rsid w:val="00DC3013"/>
    <w:rsid w:val="00DC4785"/>
    <w:rsid w:val="00DD2258"/>
    <w:rsid w:val="00DD4321"/>
    <w:rsid w:val="00DD4EEA"/>
    <w:rsid w:val="00DD51ED"/>
    <w:rsid w:val="00DD52B7"/>
    <w:rsid w:val="00DE524B"/>
    <w:rsid w:val="00DE54B3"/>
    <w:rsid w:val="00DF083E"/>
    <w:rsid w:val="00DF2961"/>
    <w:rsid w:val="00DF3513"/>
    <w:rsid w:val="00DF6181"/>
    <w:rsid w:val="00DF7DB3"/>
    <w:rsid w:val="00E01455"/>
    <w:rsid w:val="00E02106"/>
    <w:rsid w:val="00E02C7A"/>
    <w:rsid w:val="00E03967"/>
    <w:rsid w:val="00E04BE7"/>
    <w:rsid w:val="00E059C3"/>
    <w:rsid w:val="00E060F9"/>
    <w:rsid w:val="00E065A9"/>
    <w:rsid w:val="00E06CAA"/>
    <w:rsid w:val="00E078C4"/>
    <w:rsid w:val="00E12DDB"/>
    <w:rsid w:val="00E154A2"/>
    <w:rsid w:val="00E16125"/>
    <w:rsid w:val="00E17F01"/>
    <w:rsid w:val="00E2142C"/>
    <w:rsid w:val="00E21CB3"/>
    <w:rsid w:val="00E22D88"/>
    <w:rsid w:val="00E2393F"/>
    <w:rsid w:val="00E27551"/>
    <w:rsid w:val="00E307C0"/>
    <w:rsid w:val="00E318EE"/>
    <w:rsid w:val="00E360E9"/>
    <w:rsid w:val="00E36148"/>
    <w:rsid w:val="00E36779"/>
    <w:rsid w:val="00E36A46"/>
    <w:rsid w:val="00E36C70"/>
    <w:rsid w:val="00E3758B"/>
    <w:rsid w:val="00E4344C"/>
    <w:rsid w:val="00E467A1"/>
    <w:rsid w:val="00E46D20"/>
    <w:rsid w:val="00E47DFD"/>
    <w:rsid w:val="00E515FF"/>
    <w:rsid w:val="00E54198"/>
    <w:rsid w:val="00E56EE3"/>
    <w:rsid w:val="00E57F5F"/>
    <w:rsid w:val="00E615AF"/>
    <w:rsid w:val="00E61EE6"/>
    <w:rsid w:val="00E678C1"/>
    <w:rsid w:val="00E73344"/>
    <w:rsid w:val="00E737A8"/>
    <w:rsid w:val="00E742A2"/>
    <w:rsid w:val="00E743B8"/>
    <w:rsid w:val="00E74F2F"/>
    <w:rsid w:val="00E75F19"/>
    <w:rsid w:val="00E8529E"/>
    <w:rsid w:val="00E8632F"/>
    <w:rsid w:val="00E91C8E"/>
    <w:rsid w:val="00E9228B"/>
    <w:rsid w:val="00E96BFF"/>
    <w:rsid w:val="00EA1636"/>
    <w:rsid w:val="00EA1AF0"/>
    <w:rsid w:val="00EA1B77"/>
    <w:rsid w:val="00EA1CD5"/>
    <w:rsid w:val="00EA26A0"/>
    <w:rsid w:val="00EA288D"/>
    <w:rsid w:val="00EA30A4"/>
    <w:rsid w:val="00EA3AFB"/>
    <w:rsid w:val="00EA49AC"/>
    <w:rsid w:val="00EA64BA"/>
    <w:rsid w:val="00EA6581"/>
    <w:rsid w:val="00EA7D8C"/>
    <w:rsid w:val="00EB2790"/>
    <w:rsid w:val="00EB3C4C"/>
    <w:rsid w:val="00EB65F9"/>
    <w:rsid w:val="00EB6AA8"/>
    <w:rsid w:val="00EC1368"/>
    <w:rsid w:val="00EC1FFA"/>
    <w:rsid w:val="00EC2DC4"/>
    <w:rsid w:val="00EC44ED"/>
    <w:rsid w:val="00EC7EF3"/>
    <w:rsid w:val="00ED310F"/>
    <w:rsid w:val="00ED361E"/>
    <w:rsid w:val="00ED4DDB"/>
    <w:rsid w:val="00ED65F7"/>
    <w:rsid w:val="00ED7989"/>
    <w:rsid w:val="00EE0513"/>
    <w:rsid w:val="00EE3686"/>
    <w:rsid w:val="00EE4BC1"/>
    <w:rsid w:val="00EE609E"/>
    <w:rsid w:val="00EF223C"/>
    <w:rsid w:val="00EF56EF"/>
    <w:rsid w:val="00EF5D3B"/>
    <w:rsid w:val="00EF5F93"/>
    <w:rsid w:val="00F016B6"/>
    <w:rsid w:val="00F01A48"/>
    <w:rsid w:val="00F06AE2"/>
    <w:rsid w:val="00F0724F"/>
    <w:rsid w:val="00F07BFF"/>
    <w:rsid w:val="00F13EBB"/>
    <w:rsid w:val="00F16854"/>
    <w:rsid w:val="00F21786"/>
    <w:rsid w:val="00F23A34"/>
    <w:rsid w:val="00F24AC1"/>
    <w:rsid w:val="00F2562A"/>
    <w:rsid w:val="00F26DEB"/>
    <w:rsid w:val="00F31A4D"/>
    <w:rsid w:val="00F3411F"/>
    <w:rsid w:val="00F35C07"/>
    <w:rsid w:val="00F37282"/>
    <w:rsid w:val="00F40071"/>
    <w:rsid w:val="00F4567E"/>
    <w:rsid w:val="00F45B1A"/>
    <w:rsid w:val="00F46F01"/>
    <w:rsid w:val="00F528FF"/>
    <w:rsid w:val="00F5359C"/>
    <w:rsid w:val="00F53E3E"/>
    <w:rsid w:val="00F54046"/>
    <w:rsid w:val="00F543D2"/>
    <w:rsid w:val="00F54D2C"/>
    <w:rsid w:val="00F55510"/>
    <w:rsid w:val="00F559DC"/>
    <w:rsid w:val="00F57A0E"/>
    <w:rsid w:val="00F62C7C"/>
    <w:rsid w:val="00F65979"/>
    <w:rsid w:val="00F6616E"/>
    <w:rsid w:val="00F675E1"/>
    <w:rsid w:val="00F703E6"/>
    <w:rsid w:val="00F7171C"/>
    <w:rsid w:val="00F7208A"/>
    <w:rsid w:val="00F75202"/>
    <w:rsid w:val="00F773DA"/>
    <w:rsid w:val="00F7772E"/>
    <w:rsid w:val="00F80A95"/>
    <w:rsid w:val="00F8213C"/>
    <w:rsid w:val="00F83AE5"/>
    <w:rsid w:val="00F90146"/>
    <w:rsid w:val="00F905A5"/>
    <w:rsid w:val="00F9156C"/>
    <w:rsid w:val="00F93554"/>
    <w:rsid w:val="00F94410"/>
    <w:rsid w:val="00F94F81"/>
    <w:rsid w:val="00F96FB2"/>
    <w:rsid w:val="00FA0004"/>
    <w:rsid w:val="00FA213C"/>
    <w:rsid w:val="00FA3C36"/>
    <w:rsid w:val="00FA605A"/>
    <w:rsid w:val="00FA6B63"/>
    <w:rsid w:val="00FA6B99"/>
    <w:rsid w:val="00FB2BA1"/>
    <w:rsid w:val="00FB2CF0"/>
    <w:rsid w:val="00FC0C37"/>
    <w:rsid w:val="00FC5588"/>
    <w:rsid w:val="00FC5A7F"/>
    <w:rsid w:val="00FC5E2F"/>
    <w:rsid w:val="00FC7912"/>
    <w:rsid w:val="00FD0996"/>
    <w:rsid w:val="00FD0A8F"/>
    <w:rsid w:val="00FD267A"/>
    <w:rsid w:val="00FD5B7B"/>
    <w:rsid w:val="00FD5C27"/>
    <w:rsid w:val="00FD7E51"/>
    <w:rsid w:val="00FE0349"/>
    <w:rsid w:val="00FE38C4"/>
    <w:rsid w:val="00FF2AC6"/>
    <w:rsid w:val="00FF3A3C"/>
    <w:rsid w:val="00FF4C0A"/>
    <w:rsid w:val="00FF55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C4BD9"/>
  <w15:chartTrackingRefBased/>
  <w15:docId w15:val="{71A0B9C0-FA54-4E45-B2A0-7F47AA44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8"/>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b/>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spacing w:line="360" w:lineRule="auto"/>
      <w:jc w:val="both"/>
    </w:pPr>
    <w:rPr>
      <w:sz w:val="22"/>
    </w:rPr>
  </w:style>
  <w:style w:type="paragraph" w:styleId="Textoindependiente2">
    <w:name w:val="Body Text 2"/>
    <w:basedOn w:val="Normal"/>
    <w:link w:val="Textoindependiente2Car"/>
    <w:semiHidden/>
    <w:pPr>
      <w:jc w:val="both"/>
    </w:pPr>
    <w:rPr>
      <w:sz w:val="24"/>
    </w:rPr>
  </w:style>
  <w:style w:type="paragraph" w:styleId="Mapadeldocumento">
    <w:name w:val="Document Map"/>
    <w:basedOn w:val="Normal"/>
    <w:link w:val="MapadeldocumentoCar"/>
    <w:semiHidden/>
    <w:pPr>
      <w:shd w:val="clear" w:color="auto" w:fill="000080"/>
    </w:pPr>
  </w:style>
  <w:style w:type="paragraph" w:styleId="Textoindependiente3">
    <w:name w:val="Body Text 3"/>
    <w:basedOn w:val="Normal"/>
    <w:link w:val="Textoindependiente3Car"/>
    <w:semiHidden/>
    <w:pPr>
      <w:widowControl w:val="0"/>
      <w:jc w:val="both"/>
    </w:pPr>
    <w:rPr>
      <w:rFonts w:ascii="Times New Roman" w:hAnsi="Times New Roman"/>
      <w:snapToGrid w:val="0"/>
      <w:sz w:val="24"/>
    </w:rPr>
  </w:style>
  <w:style w:type="character" w:customStyle="1" w:styleId="TextoindependienteCar">
    <w:name w:val="Texto independiente Car"/>
    <w:link w:val="Textoindependiente"/>
    <w:semiHidden/>
    <w:rsid w:val="000D6FD3"/>
    <w:rPr>
      <w:rFonts w:ascii="Tahoma" w:hAnsi="Tahoma"/>
      <w:sz w:val="22"/>
      <w:szCs w:val="24"/>
      <w:lang w:val="es-ES" w:eastAsia="es-ES"/>
    </w:rPr>
  </w:style>
  <w:style w:type="character" w:customStyle="1" w:styleId="Textoindependiente2Car">
    <w:name w:val="Texto independiente 2 Car"/>
    <w:link w:val="Textoindependiente2"/>
    <w:semiHidden/>
    <w:rsid w:val="000D6FD3"/>
    <w:rPr>
      <w:rFonts w:ascii="Tahoma" w:hAnsi="Tahoma"/>
      <w:sz w:val="24"/>
      <w:szCs w:val="24"/>
      <w:lang w:val="es-ES" w:eastAsia="es-ES"/>
    </w:rPr>
  </w:style>
  <w:style w:type="paragraph" w:styleId="Textodeglobo">
    <w:name w:val="Balloon Text"/>
    <w:basedOn w:val="Normal"/>
    <w:link w:val="TextodegloboCar"/>
    <w:uiPriority w:val="99"/>
    <w:semiHidden/>
    <w:unhideWhenUsed/>
    <w:rsid w:val="00877EEA"/>
    <w:rPr>
      <w:rFonts w:cs="Tahoma"/>
      <w:sz w:val="16"/>
      <w:szCs w:val="16"/>
    </w:rPr>
  </w:style>
  <w:style w:type="character" w:customStyle="1" w:styleId="TextodegloboCar">
    <w:name w:val="Texto de globo Car"/>
    <w:link w:val="Textodeglobo"/>
    <w:uiPriority w:val="99"/>
    <w:semiHidden/>
    <w:rsid w:val="00877EEA"/>
    <w:rPr>
      <w:rFonts w:ascii="Tahoma" w:hAnsi="Tahoma" w:cs="Tahoma"/>
      <w:sz w:val="16"/>
      <w:szCs w:val="16"/>
      <w:lang w:val="es-ES" w:eastAsia="es-ES"/>
    </w:rPr>
  </w:style>
  <w:style w:type="paragraph" w:styleId="Textosinformato">
    <w:name w:val="Plain Text"/>
    <w:basedOn w:val="Normal"/>
    <w:link w:val="TextosinformatoCar"/>
    <w:unhideWhenUsed/>
    <w:rsid w:val="0026650F"/>
    <w:rPr>
      <w:rFonts w:ascii="Courier New" w:hAnsi="Courier New"/>
      <w:sz w:val="20"/>
      <w:szCs w:val="20"/>
    </w:rPr>
  </w:style>
  <w:style w:type="character" w:customStyle="1" w:styleId="TextosinformatoCar">
    <w:name w:val="Texto sin formato Car"/>
    <w:link w:val="Textosinformato"/>
    <w:rsid w:val="0026650F"/>
    <w:rPr>
      <w:rFonts w:ascii="Courier New" w:hAnsi="Courier New"/>
      <w:lang w:val="es-ES" w:eastAsia="es-ES"/>
    </w:rPr>
  </w:style>
  <w:style w:type="paragraph" w:styleId="Textonotapie">
    <w:name w:val="footnote text"/>
    <w:basedOn w:val="Normal"/>
    <w:link w:val="TextonotapieCar"/>
    <w:uiPriority w:val="99"/>
    <w:semiHidden/>
    <w:rsid w:val="0051370B"/>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51370B"/>
  </w:style>
  <w:style w:type="character" w:styleId="Refdenotaalpie">
    <w:name w:val="footnote reference"/>
    <w:uiPriority w:val="99"/>
    <w:semiHidden/>
    <w:rsid w:val="0051370B"/>
    <w:rPr>
      <w:vertAlign w:val="superscript"/>
    </w:rPr>
  </w:style>
  <w:style w:type="character" w:customStyle="1" w:styleId="Ttulo1Car">
    <w:name w:val="Título 1 Car"/>
    <w:link w:val="Ttulo1"/>
    <w:rsid w:val="004452F3"/>
    <w:rPr>
      <w:rFonts w:ascii="Arial" w:hAnsi="Arial"/>
      <w:b/>
      <w:sz w:val="24"/>
      <w:szCs w:val="24"/>
      <w:lang w:val="es-CO"/>
    </w:rPr>
  </w:style>
  <w:style w:type="character" w:customStyle="1" w:styleId="MapadeldocumentoCar">
    <w:name w:val="Mapa del documento Car"/>
    <w:link w:val="Mapadeldocumento"/>
    <w:semiHidden/>
    <w:rsid w:val="004452F3"/>
    <w:rPr>
      <w:rFonts w:ascii="Tahoma" w:hAnsi="Tahoma"/>
      <w:sz w:val="28"/>
      <w:szCs w:val="24"/>
      <w:shd w:val="clear" w:color="auto" w:fill="000080"/>
    </w:rPr>
  </w:style>
  <w:style w:type="character" w:customStyle="1" w:styleId="Textoindependiente3Car">
    <w:name w:val="Texto independiente 3 Car"/>
    <w:link w:val="Textoindependiente3"/>
    <w:semiHidden/>
    <w:rsid w:val="004452F3"/>
    <w:rPr>
      <w:snapToGrid w:val="0"/>
      <w:sz w:val="24"/>
      <w:szCs w:val="24"/>
    </w:rPr>
  </w:style>
  <w:style w:type="paragraph" w:styleId="Prrafodelista">
    <w:name w:val="List Paragraph"/>
    <w:basedOn w:val="Normal"/>
    <w:uiPriority w:val="34"/>
    <w:qFormat/>
    <w:rsid w:val="00E307C0"/>
    <w:pPr>
      <w:ind w:left="708"/>
    </w:pPr>
  </w:style>
  <w:style w:type="character" w:styleId="Hipervnculo">
    <w:name w:val="Hyperlink"/>
    <w:rsid w:val="00A42D85"/>
    <w:rPr>
      <w:color w:val="0000FF"/>
      <w:u w:val="single"/>
    </w:rPr>
  </w:style>
  <w:style w:type="paragraph" w:styleId="Piedepgina">
    <w:name w:val="footer"/>
    <w:basedOn w:val="Normal"/>
    <w:link w:val="PiedepginaCar"/>
    <w:uiPriority w:val="99"/>
    <w:unhideWhenUsed/>
    <w:rsid w:val="00A42D85"/>
    <w:pPr>
      <w:tabs>
        <w:tab w:val="center" w:pos="4252"/>
        <w:tab w:val="right" w:pos="8504"/>
      </w:tabs>
    </w:pPr>
    <w:rPr>
      <w:rFonts w:ascii="Times New Roman" w:hAnsi="Times New Roman"/>
      <w:sz w:val="24"/>
    </w:rPr>
  </w:style>
  <w:style w:type="character" w:customStyle="1" w:styleId="PiedepginaCar">
    <w:name w:val="Pie de página Car"/>
    <w:link w:val="Piedepgina"/>
    <w:uiPriority w:val="99"/>
    <w:rsid w:val="00A42D85"/>
    <w:rPr>
      <w:sz w:val="24"/>
      <w:szCs w:val="24"/>
    </w:rPr>
  </w:style>
  <w:style w:type="paragraph" w:styleId="Encabezado">
    <w:name w:val="header"/>
    <w:basedOn w:val="Normal"/>
    <w:link w:val="EncabezadoCar"/>
    <w:uiPriority w:val="99"/>
    <w:unhideWhenUsed/>
    <w:rsid w:val="008B6D52"/>
    <w:pPr>
      <w:tabs>
        <w:tab w:val="center" w:pos="4419"/>
        <w:tab w:val="right" w:pos="8838"/>
      </w:tabs>
    </w:pPr>
  </w:style>
  <w:style w:type="character" w:customStyle="1" w:styleId="EncabezadoCar">
    <w:name w:val="Encabezado Car"/>
    <w:link w:val="Encabezado"/>
    <w:uiPriority w:val="99"/>
    <w:rsid w:val="008B6D52"/>
    <w:rPr>
      <w:rFonts w:ascii="Tahoma" w:hAnsi="Tahoma"/>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8648">
      <w:bodyDiv w:val="1"/>
      <w:marLeft w:val="0"/>
      <w:marRight w:val="0"/>
      <w:marTop w:val="0"/>
      <w:marBottom w:val="0"/>
      <w:divBdr>
        <w:top w:val="none" w:sz="0" w:space="0" w:color="auto"/>
        <w:left w:val="none" w:sz="0" w:space="0" w:color="auto"/>
        <w:bottom w:val="none" w:sz="0" w:space="0" w:color="auto"/>
        <w:right w:val="none" w:sz="0" w:space="0" w:color="auto"/>
      </w:divBdr>
    </w:div>
    <w:div w:id="215094060">
      <w:bodyDiv w:val="1"/>
      <w:marLeft w:val="0"/>
      <w:marRight w:val="0"/>
      <w:marTop w:val="0"/>
      <w:marBottom w:val="0"/>
      <w:divBdr>
        <w:top w:val="none" w:sz="0" w:space="0" w:color="auto"/>
        <w:left w:val="none" w:sz="0" w:space="0" w:color="auto"/>
        <w:bottom w:val="none" w:sz="0" w:space="0" w:color="auto"/>
        <w:right w:val="none" w:sz="0" w:space="0" w:color="auto"/>
      </w:divBdr>
    </w:div>
    <w:div w:id="1386025148">
      <w:bodyDiv w:val="1"/>
      <w:marLeft w:val="0"/>
      <w:marRight w:val="0"/>
      <w:marTop w:val="0"/>
      <w:marBottom w:val="0"/>
      <w:divBdr>
        <w:top w:val="none" w:sz="0" w:space="0" w:color="auto"/>
        <w:left w:val="none" w:sz="0" w:space="0" w:color="auto"/>
        <w:bottom w:val="none" w:sz="0" w:space="0" w:color="auto"/>
        <w:right w:val="none" w:sz="0" w:space="0" w:color="auto"/>
      </w:divBdr>
    </w:div>
    <w:div w:id="19136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01prmpaltibana@cendoj.ramajudicial.gov.co" TargetMode="External"/><Relationship Id="rId4" Type="http://schemas.openxmlformats.org/officeDocument/2006/relationships/settings" Target="settings.xml"/><Relationship Id="rId9" Type="http://schemas.openxmlformats.org/officeDocument/2006/relationships/hyperlink" Target="mailto:j01prmpaltibana@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01prmpaltibana@cendoj.ramajudicial.gov.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1AB1-DC6D-4F48-83B1-3BEF0372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1071</Words>
  <Characters>5893</Characters>
  <Application>Microsoft Office Word</Application>
  <DocSecurity>0</DocSecurity>
  <Lines>49</Lines>
  <Paragraphs>13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JUZGADO PROMISCUO MUNICIPAL</vt:lpstr>
      <vt:lpstr>En consecuencia, se reprograma la audiencia prevista en el artículo 392 del C.G.</vt:lpstr>
      <vt:lpstr>PRIMERO: SEÑALAR el día VEINTIUNO (21) DE ENERO DE DOS MIL VEINTIUNO (2021), a l</vt:lpstr>
      <vt:lpstr/>
      <vt:lpstr>Respecto de la inspección judicial, se advierte que su práctica será posible si </vt:lpstr>
      <vt:lpstr/>
    </vt:vector>
  </TitlesOfParts>
  <Company/>
  <LinksUpToDate>false</LinksUpToDate>
  <CharactersWithSpaces>6951</CharactersWithSpaces>
  <SharedDoc>false</SharedDoc>
  <HLinks>
    <vt:vector size="18" baseType="variant">
      <vt:variant>
        <vt:i4>1638441</vt:i4>
      </vt:variant>
      <vt:variant>
        <vt:i4>3</vt:i4>
      </vt:variant>
      <vt:variant>
        <vt:i4>0</vt:i4>
      </vt:variant>
      <vt:variant>
        <vt:i4>5</vt:i4>
      </vt:variant>
      <vt:variant>
        <vt:lpwstr>mailto:j01prmpaltibana@cendoj.ramajudicial.gov.co</vt:lpwstr>
      </vt:variant>
      <vt:variant>
        <vt:lpwstr/>
      </vt:variant>
      <vt:variant>
        <vt:i4>1638441</vt:i4>
      </vt:variant>
      <vt:variant>
        <vt:i4>0</vt:i4>
      </vt:variant>
      <vt:variant>
        <vt:i4>0</vt:i4>
      </vt:variant>
      <vt:variant>
        <vt:i4>5</vt:i4>
      </vt:variant>
      <vt:variant>
        <vt:lpwstr>mailto:j01prmpaltibana@cendoj.ramajudicial.gov.co</vt:lpwstr>
      </vt:variant>
      <vt:variant>
        <vt:lpwstr/>
      </vt:variant>
      <vt:variant>
        <vt:i4>7602246</vt:i4>
      </vt:variant>
      <vt:variant>
        <vt:i4>0</vt:i4>
      </vt:variant>
      <vt:variant>
        <vt:i4>0</vt:i4>
      </vt:variant>
      <vt:variant>
        <vt:i4>5</vt:i4>
      </vt:variant>
      <vt:variant>
        <vt:lpwstr>mailto:j01prmpaltibana@cendoj.ramajudicial.gov.com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PROMISCUO MUNICIPAL</dc:title>
  <dc:subject/>
  <dc:creator>win98</dc:creator>
  <cp:keywords/>
  <cp:lastModifiedBy>Diana Patricia Rojas Rodriguez</cp:lastModifiedBy>
  <cp:revision>3</cp:revision>
  <cp:lastPrinted>2020-01-17T15:32:00Z</cp:lastPrinted>
  <dcterms:created xsi:type="dcterms:W3CDTF">2020-12-08T20:59:00Z</dcterms:created>
  <dcterms:modified xsi:type="dcterms:W3CDTF">2020-12-08T21:30:00Z</dcterms:modified>
</cp:coreProperties>
</file>