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33B40B8A" w:rsidR="00352A56" w:rsidRPr="008031B4" w:rsidRDefault="00610B0D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Veintiocho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</w:t>
      </w:r>
      <w:r w:rsidR="00001C53" w:rsidRPr="008031B4">
        <w:rPr>
          <w:b/>
          <w:sz w:val="28"/>
          <w:szCs w:val="28"/>
        </w:rPr>
        <w:t xml:space="preserve">) de </w:t>
      </w:r>
      <w:r w:rsidR="00A73DF8" w:rsidRPr="008031B4">
        <w:rPr>
          <w:b/>
          <w:sz w:val="28"/>
          <w:szCs w:val="28"/>
        </w:rPr>
        <w:t xml:space="preserve">marzo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102BC8AF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C04C9E">
        <w:rPr>
          <w:sz w:val="28"/>
          <w:szCs w:val="28"/>
        </w:rPr>
        <w:t>1</w:t>
      </w:r>
      <w:r w:rsidR="00610B0D">
        <w:rPr>
          <w:sz w:val="28"/>
          <w:szCs w:val="28"/>
        </w:rPr>
        <w:t>8</w:t>
      </w:r>
      <w:r w:rsidRPr="008031B4">
        <w:rPr>
          <w:sz w:val="28"/>
          <w:szCs w:val="28"/>
        </w:rPr>
        <w:t>-00</w:t>
      </w:r>
      <w:r w:rsidR="00610B0D">
        <w:rPr>
          <w:sz w:val="28"/>
          <w:szCs w:val="28"/>
        </w:rPr>
        <w:t>217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6E37733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AGRARIO DE COLOBMIA </w:t>
      </w:r>
      <w:r w:rsidRPr="008031B4">
        <w:rPr>
          <w:sz w:val="28"/>
          <w:szCs w:val="28"/>
        </w:rPr>
        <w:t xml:space="preserve">  </w:t>
      </w:r>
      <w:r w:rsidR="0077674F" w:rsidRPr="008031B4">
        <w:rPr>
          <w:sz w:val="28"/>
          <w:szCs w:val="28"/>
        </w:rPr>
        <w:t xml:space="preserve"> </w:t>
      </w:r>
      <w:r w:rsidR="00001C53" w:rsidRPr="008031B4">
        <w:rPr>
          <w:sz w:val="28"/>
          <w:szCs w:val="28"/>
        </w:rPr>
        <w:t xml:space="preserve">  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63E84231" w:rsidR="00D703C3" w:rsidRPr="008031B4" w:rsidRDefault="00D703C3" w:rsidP="00323AC0">
      <w:pPr>
        <w:spacing w:after="0" w:line="276" w:lineRule="auto"/>
        <w:ind w:right="0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AD27FB">
        <w:rPr>
          <w:sz w:val="28"/>
          <w:szCs w:val="28"/>
        </w:rPr>
        <w:t xml:space="preserve">HECTOR EDRAS BOLAÑOS BOLAÑOS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4C0545F0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795736">
        <w:rPr>
          <w:rFonts w:cs="Arial"/>
          <w:lang w:val="es-ES_tradnl"/>
        </w:rPr>
        <w:t xml:space="preserve">cuarto </w:t>
      </w:r>
      <w:r w:rsidR="007B6EE5" w:rsidRPr="008031B4">
        <w:rPr>
          <w:rFonts w:cs="Arial"/>
          <w:lang w:val="es-ES_tradnl"/>
        </w:rPr>
        <w:t xml:space="preserve">del auto del </w:t>
      </w:r>
      <w:r w:rsidR="00335B52">
        <w:rPr>
          <w:rFonts w:cs="Arial"/>
          <w:lang w:val="es-ES_tradnl"/>
        </w:rPr>
        <w:t>1</w:t>
      </w:r>
      <w:r w:rsidR="00AD27FB">
        <w:rPr>
          <w:rFonts w:cs="Arial"/>
          <w:lang w:val="es-ES_tradnl"/>
        </w:rPr>
        <w:t>4</w:t>
      </w:r>
      <w:r w:rsidR="007B6EE5" w:rsidRPr="008031B4">
        <w:rPr>
          <w:rFonts w:cs="Arial"/>
          <w:lang w:val="es-ES_tradnl"/>
        </w:rPr>
        <w:t xml:space="preserve"> de </w:t>
      </w:r>
      <w:r w:rsidR="00AD27FB">
        <w:rPr>
          <w:rFonts w:cs="Arial"/>
          <w:lang w:val="es-ES_tradnl"/>
        </w:rPr>
        <w:t xml:space="preserve">agosto </w:t>
      </w:r>
      <w:r w:rsidR="00335B52">
        <w:rPr>
          <w:rFonts w:cs="Arial"/>
          <w:lang w:val="es-ES_tradnl"/>
        </w:rPr>
        <w:t>d</w:t>
      </w:r>
      <w:r w:rsidR="007B6EE5" w:rsidRPr="008031B4">
        <w:rPr>
          <w:rFonts w:cs="Arial"/>
          <w:lang w:val="es-ES_tradnl"/>
        </w:rPr>
        <w:t>e 20</w:t>
      </w:r>
      <w:r w:rsidR="00AD27FB">
        <w:rPr>
          <w:rFonts w:cs="Arial"/>
          <w:lang w:val="es-ES_tradnl"/>
        </w:rPr>
        <w:t>20</w:t>
      </w:r>
      <w:r w:rsidR="007B6EE5" w:rsidRPr="008031B4">
        <w:rPr>
          <w:rFonts w:cs="Arial"/>
          <w:lang w:val="es-ES_tradnl"/>
        </w:rPr>
        <w:t xml:space="preserve">, </w:t>
      </w:r>
      <w:r w:rsidR="00AD27FB">
        <w:rPr>
          <w:rFonts w:cs="Arial"/>
          <w:lang w:val="es-ES_tradnl"/>
        </w:rPr>
        <w:t>de la sentencia que declaró no probada la excepción de “PAGO PARCIAL DE LA OBLIGACIÓN”</w:t>
      </w:r>
      <w:r w:rsidR="007B6EE5" w:rsidRPr="008031B4"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procede 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>de conformidad con lo establecido en l</w:t>
      </w:r>
      <w:r w:rsidR="00BA2BF8">
        <w:rPr>
          <w:rFonts w:cs="Arial"/>
          <w:lang w:val="es-ES_tradnl"/>
        </w:rPr>
        <w:t>os</w:t>
      </w:r>
      <w:r w:rsidR="00AD27FB">
        <w:rPr>
          <w:rFonts w:cs="Arial"/>
          <w:lang w:val="es-ES_tradnl"/>
        </w:rPr>
        <w:t xml:space="preserve"> artículo</w:t>
      </w:r>
      <w:r w:rsidR="00BA2BF8">
        <w:rPr>
          <w:rFonts w:cs="Arial"/>
          <w:lang w:val="es-ES_tradnl"/>
        </w:rPr>
        <w:t xml:space="preserve">s 365 y 366 del C.G.P., </w:t>
      </w:r>
      <w:r w:rsidRPr="008031B4">
        <w:rPr>
          <w:rFonts w:cs="Arial"/>
          <w:lang w:val="es-ES_tradnl"/>
        </w:rPr>
        <w:t>de la siguiente manera:</w:t>
      </w:r>
    </w:p>
    <w:p w14:paraId="70002DCF" w14:textId="35AE822C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5754179A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BA2BF8">
        <w:rPr>
          <w:rFonts w:cs="Arial"/>
          <w:lang w:val="es-ES_tradnl"/>
        </w:rPr>
        <w:t>270</w:t>
      </w:r>
      <w:r w:rsidR="00C04C9E">
        <w:rPr>
          <w:rFonts w:cs="Arial"/>
          <w:lang w:val="es-ES_tradnl"/>
        </w:rPr>
        <w:t>.000</w:t>
      </w:r>
    </w:p>
    <w:p w14:paraId="63BD6123" w14:textId="25781982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BA2BF8">
        <w:rPr>
          <w:rFonts w:cs="Arial"/>
          <w:lang w:val="es-ES_tradnl"/>
        </w:rPr>
        <w:t>800</w:t>
      </w:r>
      <w:r w:rsidR="004E3671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7A9E7056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_________</w:t>
      </w:r>
    </w:p>
    <w:p w14:paraId="22E5D3FB" w14:textId="507768F0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b w:val="0"/>
          <w:lang w:val="es-ES_tradnl"/>
        </w:rPr>
        <w:t>$</w:t>
      </w:r>
      <w:r w:rsidR="00BA2BF8">
        <w:rPr>
          <w:rFonts w:cs="Arial"/>
          <w:b w:val="0"/>
          <w:lang w:val="es-ES_tradnl"/>
        </w:rPr>
        <w:t>1.070.000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2177C724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BA2BF8">
        <w:rPr>
          <w:rFonts w:cs="Arial"/>
          <w:lang w:val="es-ES_tradnl"/>
        </w:rPr>
        <w:t xml:space="preserve">UN MILLÓN SETENTA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BA2BF8">
        <w:rPr>
          <w:rFonts w:cs="Arial"/>
          <w:lang w:val="es-ES_tradnl"/>
        </w:rPr>
        <w:t>1.070.00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77777777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72E0F06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190FB6"/>
    <w:rsid w:val="001B5FFB"/>
    <w:rsid w:val="001F54E2"/>
    <w:rsid w:val="002060B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76F14"/>
    <w:rsid w:val="00444A8B"/>
    <w:rsid w:val="004636DC"/>
    <w:rsid w:val="004C5A9B"/>
    <w:rsid w:val="004E3671"/>
    <w:rsid w:val="005322BD"/>
    <w:rsid w:val="00537C65"/>
    <w:rsid w:val="00610B0D"/>
    <w:rsid w:val="00626A82"/>
    <w:rsid w:val="00673E1F"/>
    <w:rsid w:val="006764D7"/>
    <w:rsid w:val="00676AD3"/>
    <w:rsid w:val="00722FB2"/>
    <w:rsid w:val="0077674F"/>
    <w:rsid w:val="00790920"/>
    <w:rsid w:val="00795736"/>
    <w:rsid w:val="007B6EE5"/>
    <w:rsid w:val="007B7CA7"/>
    <w:rsid w:val="007D7F03"/>
    <w:rsid w:val="00800426"/>
    <w:rsid w:val="008031B4"/>
    <w:rsid w:val="008B405A"/>
    <w:rsid w:val="0091466A"/>
    <w:rsid w:val="00922590"/>
    <w:rsid w:val="0098503E"/>
    <w:rsid w:val="00992DD7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7695"/>
    <w:rsid w:val="00D2534C"/>
    <w:rsid w:val="00D535C0"/>
    <w:rsid w:val="00D703C3"/>
    <w:rsid w:val="00D958FB"/>
    <w:rsid w:val="00DD11A0"/>
    <w:rsid w:val="00E321FC"/>
    <w:rsid w:val="00E50E10"/>
    <w:rsid w:val="00E51632"/>
    <w:rsid w:val="00E73C6F"/>
    <w:rsid w:val="00E81027"/>
    <w:rsid w:val="00EB392F"/>
    <w:rsid w:val="00F71725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Claudia Marina Perafan Martinez</cp:lastModifiedBy>
  <cp:revision>3</cp:revision>
  <dcterms:created xsi:type="dcterms:W3CDTF">2022-03-28T19:12:00Z</dcterms:created>
  <dcterms:modified xsi:type="dcterms:W3CDTF">2022-03-28T19:19:00Z</dcterms:modified>
</cp:coreProperties>
</file>