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66B350EE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73</w:t>
      </w:r>
      <w:r w:rsidR="00AA239D">
        <w:rPr>
          <w:rFonts w:cs="Tahoma"/>
          <w:sz w:val="22"/>
        </w:rPr>
        <w:t>5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6A6E7193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AA239D" w:rsidRPr="00AA239D">
        <w:rPr>
          <w:rFonts w:cs="Tahoma"/>
          <w:b w:val="0"/>
          <w:bCs/>
          <w:szCs w:val="24"/>
        </w:rPr>
        <w:t>DEISY COMETA ZAMBRANO</w:t>
      </w:r>
      <w:r w:rsidR="00AA239D" w:rsidRPr="00AA239D">
        <w:rPr>
          <w:rFonts w:cs="Tahoma"/>
          <w:szCs w:val="24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40DEC423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824245">
        <w:rPr>
          <w:rFonts w:cs="Tahoma"/>
          <w:sz w:val="22"/>
        </w:rPr>
        <w:t>1</w:t>
      </w:r>
      <w:r w:rsidR="00AA239D">
        <w:rPr>
          <w:rFonts w:cs="Tahoma"/>
          <w:sz w:val="22"/>
        </w:rPr>
        <w:t>49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91466A"/>
    <w:rsid w:val="0092181B"/>
    <w:rsid w:val="00922590"/>
    <w:rsid w:val="00940D4A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1B9"/>
    <w:rsid w:val="00B830B5"/>
    <w:rsid w:val="00B87119"/>
    <w:rsid w:val="00B923D1"/>
    <w:rsid w:val="00BA2BF8"/>
    <w:rsid w:val="00BB28E8"/>
    <w:rsid w:val="00BD4980"/>
    <w:rsid w:val="00BF6A64"/>
    <w:rsid w:val="00C04190"/>
    <w:rsid w:val="00C04C9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2022-10-12T18:21:00Z</dcterms:created>
  <dcterms:modified xsi:type="dcterms:W3CDTF">2022-10-12T18:22:00Z</dcterms:modified>
</cp:coreProperties>
</file>