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05" w:rsidRPr="007E222A" w:rsidRDefault="00791D05" w:rsidP="0079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38"/>
          <w:lang w:val="es-ES" w:eastAsia="es-ES"/>
        </w:rPr>
      </w:pPr>
      <w:r w:rsidRPr="007E222A">
        <w:rPr>
          <w:rFonts w:ascii="Times New Roman" w:eastAsia="Times New Roman" w:hAnsi="Times New Roman" w:cs="Times New Roman"/>
          <w:sz w:val="38"/>
          <w:szCs w:val="38"/>
          <w:lang w:val="es-ES" w:eastAsia="es-ES"/>
        </w:rPr>
        <w:t xml:space="preserve">JUZGADO PROMISCUO MUNICIPAL </w:t>
      </w:r>
    </w:p>
    <w:p w:rsidR="00791D05" w:rsidRPr="007E222A" w:rsidRDefault="00791D05" w:rsidP="0079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91D05" w:rsidRPr="007E222A" w:rsidRDefault="00791D05" w:rsidP="0079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s-ES" w:eastAsia="es-ES"/>
        </w:rPr>
      </w:pPr>
      <w:r w:rsidRPr="007E222A">
        <w:rPr>
          <w:rFonts w:ascii="Times New Roman" w:eastAsia="Times New Roman" w:hAnsi="Times New Roman" w:cs="Times New Roman"/>
          <w:sz w:val="27"/>
          <w:szCs w:val="27"/>
          <w:lang w:val="es-ES" w:eastAsia="es-ES"/>
        </w:rPr>
        <w:t>GUTIERREZ - CUNDINAMARCA</w:t>
      </w:r>
    </w:p>
    <w:p w:rsidR="00791D05" w:rsidRPr="007E222A" w:rsidRDefault="00791D05" w:rsidP="0079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91D05" w:rsidRPr="007E222A" w:rsidRDefault="00791D05" w:rsidP="00791D05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7E222A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249B9E17" wp14:editId="010C9979">
            <wp:extent cx="988695" cy="1273810"/>
            <wp:effectExtent l="0" t="0" r="1905" b="2540"/>
            <wp:docPr id="2" name="Imagen 2" descr="C:\..\..\Expedient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..\..\Expedientes\escud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22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7E222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Liquidación de Costas </w:t>
      </w:r>
    </w:p>
    <w:p w:rsidR="00791D05" w:rsidRPr="007E222A" w:rsidRDefault="00791D05" w:rsidP="00791D05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:rsidR="00791D05" w:rsidRPr="007E222A" w:rsidRDefault="00791D05" w:rsidP="00791D05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7E222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Hoy </w:t>
      </w: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23</w:t>
      </w:r>
      <w:r w:rsidRPr="007E222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 de </w:t>
      </w: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noviembre</w:t>
      </w:r>
      <w:r w:rsidRPr="007E222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 2022 procedo a realizar la liquidación de las costas a favor de la parte </w:t>
      </w:r>
      <w:r w:rsidRPr="007E222A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val="es-ES" w:eastAsia="es-ES"/>
        </w:rPr>
        <w:t>demandante</w:t>
      </w:r>
      <w:r w:rsidRPr="007E222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 dentro del proceso No.202</w:t>
      </w: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2</w:t>
      </w:r>
      <w:r w:rsidRPr="007E222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-000</w:t>
      </w: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07</w:t>
      </w:r>
      <w:r w:rsidRPr="007E222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-00 de </w:t>
      </w: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BANCO AGRARIO DE COLOMBIA S.A.,</w:t>
      </w:r>
      <w:r w:rsidRPr="007E222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 en contra de </w:t>
      </w: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JORGE ERASMO PERATLA MARTÍNEZ</w:t>
      </w:r>
      <w:r w:rsidRPr="007E222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, así:</w:t>
      </w:r>
    </w:p>
    <w:p w:rsidR="00791D05" w:rsidRPr="007E222A" w:rsidRDefault="00791D05" w:rsidP="00791D05">
      <w:pPr>
        <w:spacing w:after="24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95"/>
        <w:gridCol w:w="1605"/>
      </w:tblGrid>
      <w:tr w:rsidR="00791D05" w:rsidRPr="007E222A" w:rsidTr="00F264E4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791D05" w:rsidRPr="007E222A" w:rsidRDefault="00791D05" w:rsidP="00F264E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AGENCIAS EN DERECHO</w:t>
            </w:r>
          </w:p>
        </w:tc>
        <w:tc>
          <w:tcPr>
            <w:tcW w:w="0" w:type="auto"/>
            <w:vAlign w:val="center"/>
          </w:tcPr>
          <w:p w:rsidR="00791D05" w:rsidRPr="007E222A" w:rsidRDefault="00791D05" w:rsidP="00791D0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$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1.437.499</w:t>
            </w: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,00</w:t>
            </w:r>
          </w:p>
        </w:tc>
      </w:tr>
      <w:tr w:rsidR="00791D05" w:rsidRPr="007E222A" w:rsidTr="00F264E4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791D05" w:rsidRPr="007E222A" w:rsidRDefault="00791D05" w:rsidP="00F264E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HONORARIOS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SECUESTRE</w:t>
            </w:r>
          </w:p>
        </w:tc>
        <w:tc>
          <w:tcPr>
            <w:tcW w:w="0" w:type="auto"/>
            <w:vAlign w:val="center"/>
          </w:tcPr>
          <w:p w:rsidR="00791D05" w:rsidRPr="007E222A" w:rsidRDefault="00791D05" w:rsidP="00791D0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$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0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,00</w:t>
            </w:r>
          </w:p>
        </w:tc>
      </w:tr>
      <w:tr w:rsidR="00791D05" w:rsidRPr="007E222A" w:rsidTr="00F264E4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791D05" w:rsidRPr="007E222A" w:rsidRDefault="00791D05" w:rsidP="00F264E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PUBLICACIONES EDICTALES</w:t>
            </w:r>
          </w:p>
        </w:tc>
        <w:tc>
          <w:tcPr>
            <w:tcW w:w="0" w:type="auto"/>
            <w:vAlign w:val="center"/>
          </w:tcPr>
          <w:p w:rsidR="00791D05" w:rsidRPr="007E222A" w:rsidRDefault="00791D05" w:rsidP="00F264E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$ 0,00</w:t>
            </w:r>
          </w:p>
        </w:tc>
      </w:tr>
      <w:tr w:rsidR="00791D05" w:rsidRPr="007E222A" w:rsidTr="00F264E4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791D05" w:rsidRPr="007E222A" w:rsidRDefault="00791D05" w:rsidP="00F264E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PÓLIZA JUDICIAL</w:t>
            </w:r>
          </w:p>
        </w:tc>
        <w:tc>
          <w:tcPr>
            <w:tcW w:w="0" w:type="auto"/>
            <w:vAlign w:val="center"/>
          </w:tcPr>
          <w:p w:rsidR="00791D05" w:rsidRPr="007E222A" w:rsidRDefault="00791D05" w:rsidP="00F264E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$ 0,00</w:t>
            </w:r>
          </w:p>
        </w:tc>
      </w:tr>
      <w:tr w:rsidR="00791D05" w:rsidRPr="007E222A" w:rsidTr="00F264E4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791D05" w:rsidRPr="007E222A" w:rsidRDefault="00791D05" w:rsidP="00F264E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NOTIFICACIONES</w:t>
            </w:r>
          </w:p>
        </w:tc>
        <w:tc>
          <w:tcPr>
            <w:tcW w:w="0" w:type="auto"/>
            <w:vAlign w:val="center"/>
          </w:tcPr>
          <w:p w:rsidR="00791D05" w:rsidRPr="007E222A" w:rsidRDefault="00791D05" w:rsidP="00791D0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$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0</w:t>
            </w: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,00</w:t>
            </w:r>
          </w:p>
        </w:tc>
      </w:tr>
      <w:tr w:rsidR="00791D05" w:rsidRPr="007E222A" w:rsidTr="00F264E4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791D05" w:rsidRPr="007E222A" w:rsidRDefault="00791D05" w:rsidP="00F264E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PUBLICACIONES REMATE</w:t>
            </w:r>
          </w:p>
        </w:tc>
        <w:tc>
          <w:tcPr>
            <w:tcW w:w="0" w:type="auto"/>
            <w:vAlign w:val="center"/>
          </w:tcPr>
          <w:p w:rsidR="00791D05" w:rsidRPr="007E222A" w:rsidRDefault="00791D05" w:rsidP="00F264E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$ 0,00</w:t>
            </w:r>
          </w:p>
        </w:tc>
      </w:tr>
      <w:tr w:rsidR="00791D05" w:rsidRPr="007E222A" w:rsidTr="00F264E4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791D05" w:rsidRPr="007E222A" w:rsidRDefault="00791D05" w:rsidP="00F264E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INSCRIPCIÓN EMBARGO</w:t>
            </w:r>
          </w:p>
        </w:tc>
        <w:tc>
          <w:tcPr>
            <w:tcW w:w="0" w:type="auto"/>
            <w:vAlign w:val="center"/>
          </w:tcPr>
          <w:p w:rsidR="00791D05" w:rsidRPr="007E222A" w:rsidRDefault="00791D05" w:rsidP="00F264E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$ 0,00</w:t>
            </w:r>
          </w:p>
        </w:tc>
      </w:tr>
      <w:tr w:rsidR="00791D05" w:rsidRPr="007E222A" w:rsidTr="00F264E4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791D05" w:rsidRPr="007E222A" w:rsidRDefault="00791D05" w:rsidP="00F264E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TRANSPORTE</w:t>
            </w:r>
          </w:p>
        </w:tc>
        <w:tc>
          <w:tcPr>
            <w:tcW w:w="0" w:type="auto"/>
            <w:vAlign w:val="center"/>
          </w:tcPr>
          <w:p w:rsidR="00791D05" w:rsidRPr="007E222A" w:rsidRDefault="00791D05" w:rsidP="00F264E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$ 0,00</w:t>
            </w:r>
          </w:p>
        </w:tc>
      </w:tr>
      <w:tr w:rsidR="00791D05" w:rsidRPr="007E222A" w:rsidTr="00F264E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91D05" w:rsidRPr="007E222A" w:rsidRDefault="00791D05" w:rsidP="00F264E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CURADOR AD-LITEM</w:t>
            </w:r>
          </w:p>
        </w:tc>
        <w:tc>
          <w:tcPr>
            <w:tcW w:w="0" w:type="auto"/>
            <w:vAlign w:val="center"/>
          </w:tcPr>
          <w:p w:rsidR="00791D05" w:rsidRPr="007E222A" w:rsidRDefault="00791D05" w:rsidP="00791D0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$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350.000</w:t>
            </w: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,00</w:t>
            </w:r>
          </w:p>
        </w:tc>
      </w:tr>
      <w:tr w:rsidR="00791D05" w:rsidRPr="007E222A" w:rsidTr="00F264E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91D05" w:rsidRPr="007E222A" w:rsidRDefault="00791D05" w:rsidP="00F264E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Align w:val="center"/>
          </w:tcPr>
          <w:p w:rsidR="00791D05" w:rsidRPr="007E222A" w:rsidRDefault="00791D05" w:rsidP="00F264E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</w:p>
        </w:tc>
      </w:tr>
      <w:tr w:rsidR="00791D05" w:rsidRPr="007E222A" w:rsidTr="00F264E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91D05" w:rsidRPr="007E222A" w:rsidRDefault="00791D05" w:rsidP="00F264E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Align w:val="center"/>
          </w:tcPr>
          <w:p w:rsidR="00791D05" w:rsidRPr="007E222A" w:rsidRDefault="00791D05" w:rsidP="00F264E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</w:p>
        </w:tc>
      </w:tr>
      <w:tr w:rsidR="00791D05" w:rsidRPr="007E222A" w:rsidTr="00F264E4">
        <w:trPr>
          <w:tblCellSpacing w:w="15" w:type="dxa"/>
          <w:jc w:val="center"/>
        </w:trPr>
        <w:tc>
          <w:tcPr>
            <w:tcW w:w="6000" w:type="dxa"/>
            <w:vAlign w:val="center"/>
          </w:tcPr>
          <w:p w:rsidR="00791D05" w:rsidRPr="007E222A" w:rsidRDefault="00791D05" w:rsidP="00F264E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TOTAL</w:t>
            </w:r>
          </w:p>
        </w:tc>
        <w:tc>
          <w:tcPr>
            <w:tcW w:w="0" w:type="auto"/>
            <w:vAlign w:val="center"/>
          </w:tcPr>
          <w:p w:rsidR="00791D05" w:rsidRPr="007E222A" w:rsidRDefault="00791D05" w:rsidP="00791D0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$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1.787.499</w:t>
            </w: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,00</w:t>
            </w:r>
          </w:p>
        </w:tc>
      </w:tr>
      <w:tr w:rsidR="00791D05" w:rsidRPr="007E222A" w:rsidTr="00F264E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91D05" w:rsidRPr="007E222A" w:rsidRDefault="00791D05" w:rsidP="00F264E4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PORCENTAJE DE SENTENCIA100 % </w:t>
            </w:r>
          </w:p>
        </w:tc>
        <w:tc>
          <w:tcPr>
            <w:tcW w:w="0" w:type="auto"/>
            <w:vAlign w:val="center"/>
          </w:tcPr>
          <w:p w:rsidR="00791D05" w:rsidRPr="007E222A" w:rsidRDefault="00791D05" w:rsidP="00791D0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$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1.787.499</w:t>
            </w:r>
            <w:r w:rsidRPr="007E222A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,00</w:t>
            </w:r>
          </w:p>
        </w:tc>
      </w:tr>
    </w:tbl>
    <w:p w:rsidR="00791D05" w:rsidRPr="007E222A" w:rsidRDefault="00791D05" w:rsidP="00791D05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:rsidR="00791D05" w:rsidRPr="007E222A" w:rsidRDefault="00791D05" w:rsidP="00791D05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:rsidR="00791D05" w:rsidRPr="007E222A" w:rsidRDefault="00791D05" w:rsidP="00791D0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val="es-ES" w:eastAsia="es-ES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val="es-ES" w:eastAsia="es-ES"/>
        </w:rPr>
        <w:t xml:space="preserve">UN MILLON 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val="es-ES" w:eastAsia="es-ES"/>
        </w:rPr>
        <w:t>SETECIENTOS OCHENTA Y SIETE MIL</w:t>
      </w:r>
      <w:r w:rsidR="00AE29E3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val="es-ES" w:eastAsia="es-ES"/>
        </w:rPr>
        <w:t xml:space="preserve"> CUATROCIENTOS NOVENTA Y NUEVE</w:t>
      </w:r>
      <w:r w:rsidRPr="007E222A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val="es-ES" w:eastAsia="es-ES"/>
        </w:rPr>
        <w:t xml:space="preserve"> PESOS MONEDA CTE </w:t>
      </w:r>
    </w:p>
    <w:p w:rsidR="00791D05" w:rsidRPr="007E222A" w:rsidRDefault="00791D05" w:rsidP="00791D05">
      <w:pPr>
        <w:spacing w:after="24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7E222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br/>
        <w:t xml:space="preserve">Hoy </w:t>
      </w: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24</w:t>
      </w:r>
      <w:r w:rsidRPr="007E222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 de </w:t>
      </w: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noviembre</w:t>
      </w:r>
      <w:r w:rsidRPr="007E222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 de 2022 a</w:t>
      </w:r>
      <w:bookmarkStart w:id="0" w:name="_GoBack"/>
      <w:bookmarkEnd w:id="0"/>
      <w:r w:rsidRPr="007E222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 las 8:00 de la mañana se fija en lista por el término de un (1) día, y de conformidad con el Art. 110 del código General del Proceso se corre traslado de la misma por el término de tres días que corren del </w:t>
      </w: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25</w:t>
      </w:r>
      <w:r w:rsidRPr="007E222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 de </w:t>
      </w: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noviembre</w:t>
      </w:r>
      <w:r w:rsidRPr="007E222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 de 2022 al 2</w:t>
      </w: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9</w:t>
      </w:r>
      <w:r w:rsidRPr="007E222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 de </w:t>
      </w: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noviembre</w:t>
      </w:r>
      <w:r w:rsidRPr="007E222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 de 2022. Arts. 110 y 366 del CGP.</w:t>
      </w:r>
    </w:p>
    <w:p w:rsidR="00791D05" w:rsidRPr="007E222A" w:rsidRDefault="00791D05" w:rsidP="0079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E222A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5B686483" wp14:editId="4EE4E037">
            <wp:extent cx="2140585" cy="10147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D05" w:rsidRPr="007E222A" w:rsidRDefault="00791D05" w:rsidP="00791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91D05" w:rsidRPr="007E222A" w:rsidRDefault="00791D05" w:rsidP="00791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91D05" w:rsidRPr="007E222A" w:rsidRDefault="00791D05" w:rsidP="00791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91D05" w:rsidRDefault="00791D05" w:rsidP="00791D05"/>
    <w:p w:rsidR="00E17B0A" w:rsidRDefault="00E17B0A"/>
    <w:sectPr w:rsidR="00E17B0A" w:rsidSect="00336707">
      <w:pgSz w:w="12242" w:h="20163" w:code="5"/>
      <w:pgMar w:top="1701" w:right="1701" w:bottom="187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05"/>
    <w:rsid w:val="00726CD8"/>
    <w:rsid w:val="00791D05"/>
    <w:rsid w:val="00AE29E3"/>
    <w:rsid w:val="00B22A0D"/>
    <w:rsid w:val="00C10CF1"/>
    <w:rsid w:val="00E1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AF71"/>
  <w15:chartTrackingRefBased/>
  <w15:docId w15:val="{4472608C-736C-4BA4-98D4-3FFD84C8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2022-11-24T20:34:00Z</dcterms:created>
  <dcterms:modified xsi:type="dcterms:W3CDTF">2022-11-24T20:49:00Z</dcterms:modified>
</cp:coreProperties>
</file>