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22F" w:rsidRPr="00A225CF" w:rsidRDefault="00346E23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proofErr w:type="gramStart"/>
      <w:r w:rsidRPr="00A225CF">
        <w:rPr>
          <w:rFonts w:ascii="Century Gothic" w:hAnsi="Century Gothic"/>
          <w:sz w:val="24"/>
          <w:szCs w:val="24"/>
        </w:rPr>
        <w:t>Secretaría.-</w:t>
      </w:r>
      <w:proofErr w:type="gramEnd"/>
      <w:r w:rsidRPr="00A225CF">
        <w:rPr>
          <w:rFonts w:ascii="Century Gothic" w:hAnsi="Century Gothic"/>
          <w:sz w:val="24"/>
          <w:szCs w:val="24"/>
        </w:rPr>
        <w:t xml:space="preserve"> Juzgado Primero (1º) Promiscuo Municipal. Arme</w:t>
      </w:r>
      <w:r w:rsidR="0069265A" w:rsidRPr="00A225CF">
        <w:rPr>
          <w:rFonts w:ascii="Century Gothic" w:hAnsi="Century Gothic"/>
          <w:sz w:val="24"/>
          <w:szCs w:val="24"/>
        </w:rPr>
        <w:t xml:space="preserve">ro, Guayabal, Tolima. </w:t>
      </w:r>
      <w:r w:rsidR="009343E6" w:rsidRPr="00A225CF">
        <w:rPr>
          <w:rFonts w:ascii="Century Gothic" w:hAnsi="Century Gothic"/>
          <w:sz w:val="24"/>
          <w:szCs w:val="24"/>
        </w:rPr>
        <w:t>Marzo 14 de 2023.-</w:t>
      </w:r>
      <w:r w:rsidRPr="00A225CF">
        <w:rPr>
          <w:rFonts w:ascii="Century Gothic" w:hAnsi="Century Gothic"/>
          <w:sz w:val="24"/>
          <w:szCs w:val="24"/>
        </w:rPr>
        <w:t xml:space="preserve"> En la fecha pasa el presente proceso al Despacho, Informando que no se ha solicitado o realizado diligencia alguna desde hace más</w:t>
      </w:r>
      <w:r w:rsidR="00C73B49" w:rsidRPr="00A225CF">
        <w:rPr>
          <w:rFonts w:ascii="Century Gothic" w:hAnsi="Century Gothic"/>
          <w:sz w:val="24"/>
          <w:szCs w:val="24"/>
        </w:rPr>
        <w:t xml:space="preserve"> de </w:t>
      </w:r>
      <w:r w:rsidR="009343E6" w:rsidRPr="00A225CF">
        <w:rPr>
          <w:rFonts w:ascii="Century Gothic" w:hAnsi="Century Gothic"/>
          <w:sz w:val="24"/>
          <w:szCs w:val="24"/>
        </w:rPr>
        <w:t>dos (2)</w:t>
      </w:r>
      <w:r w:rsidRPr="00A225CF">
        <w:rPr>
          <w:rFonts w:ascii="Century Gothic" w:hAnsi="Century Gothic"/>
          <w:sz w:val="24"/>
          <w:szCs w:val="24"/>
        </w:rPr>
        <w:t xml:space="preserve"> años, y no habido impulso procesal de la parte interesada.</w:t>
      </w:r>
    </w:p>
    <w:p w:rsidR="009343E6" w:rsidRPr="00A225CF" w:rsidRDefault="009343E6" w:rsidP="00A225CF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A225CF">
        <w:rPr>
          <w:rFonts w:ascii="Century Gothic" w:hAnsi="Century Gothic"/>
          <w:b/>
          <w:noProof/>
          <w:sz w:val="24"/>
          <w:szCs w:val="24"/>
          <w:lang w:eastAsia="es-ES"/>
        </w:rPr>
        <w:drawing>
          <wp:inline distT="0" distB="0" distL="0" distR="0">
            <wp:extent cx="1525555" cy="624296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596" cy="64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E23" w:rsidRPr="00A225CF" w:rsidRDefault="00346E23" w:rsidP="00A225C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A225CF">
        <w:rPr>
          <w:rFonts w:ascii="Century Gothic" w:hAnsi="Century Gothic"/>
          <w:b/>
          <w:sz w:val="24"/>
          <w:szCs w:val="24"/>
        </w:rPr>
        <w:t>Héctor Hurtado Arango</w:t>
      </w:r>
    </w:p>
    <w:p w:rsidR="00346E23" w:rsidRPr="00A225CF" w:rsidRDefault="00346E23" w:rsidP="00A225C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A225CF">
        <w:rPr>
          <w:rFonts w:ascii="Century Gothic" w:hAnsi="Century Gothic"/>
          <w:b/>
          <w:sz w:val="24"/>
          <w:szCs w:val="24"/>
        </w:rPr>
        <w:t>Secretario</w:t>
      </w:r>
    </w:p>
    <w:p w:rsidR="00346E23" w:rsidRDefault="00346E23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F76E9" w:rsidRDefault="001F76E9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F76E9" w:rsidRDefault="001F76E9" w:rsidP="001F76E9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1F76E9" w:rsidRPr="00FD4DCF" w:rsidRDefault="001F76E9" w:rsidP="001F76E9">
      <w:pPr>
        <w:pStyle w:val="Ttulo3"/>
        <w:spacing w:line="240" w:lineRule="auto"/>
        <w:ind w:left="1416" w:right="-7"/>
        <w:rPr>
          <w:rFonts w:ascii="Century Gothic" w:hAnsi="Century Gothic" w:cs="Arial"/>
          <w:b/>
          <w:sz w:val="24"/>
          <w:szCs w:val="24"/>
        </w:rPr>
      </w:pPr>
      <w:r w:rsidRPr="00FD4DCF">
        <w:rPr>
          <w:rFonts w:ascii="Century Gothic" w:hAnsi="Century Gothic" w:cs="Arial"/>
          <w:b/>
          <w:sz w:val="24"/>
          <w:szCs w:val="24"/>
        </w:rPr>
        <w:t>JUZGADO PRIMERO PROMISCUO MUNICIPAL</w:t>
      </w:r>
    </w:p>
    <w:p w:rsidR="001F76E9" w:rsidRDefault="001F76E9" w:rsidP="001F76E9">
      <w:pPr>
        <w:pStyle w:val="Ttulo3"/>
        <w:spacing w:line="240" w:lineRule="auto"/>
        <w:ind w:left="1416" w:right="-7"/>
        <w:rPr>
          <w:rFonts w:ascii="Century Gothic" w:hAnsi="Century Gothic" w:cs="Arial"/>
          <w:sz w:val="24"/>
          <w:szCs w:val="24"/>
        </w:rPr>
      </w:pPr>
      <w:r w:rsidRPr="00FD4DCF">
        <w:rPr>
          <w:rFonts w:ascii="Century Gothic" w:hAnsi="Century Gothic" w:cs="Arial"/>
          <w:sz w:val="24"/>
          <w:szCs w:val="24"/>
        </w:rPr>
        <w:t xml:space="preserve">Armero Guayabal Tolima, </w:t>
      </w:r>
      <w:r>
        <w:rPr>
          <w:rFonts w:ascii="Century Gothic" w:hAnsi="Century Gothic" w:cs="Arial"/>
          <w:sz w:val="24"/>
          <w:szCs w:val="24"/>
        </w:rPr>
        <w:t>treinta y uno (31</w:t>
      </w:r>
      <w:r w:rsidRPr="00FD4DCF">
        <w:rPr>
          <w:rFonts w:ascii="Century Gothic" w:hAnsi="Century Gothic" w:cs="Arial"/>
          <w:sz w:val="24"/>
          <w:szCs w:val="24"/>
        </w:rPr>
        <w:t xml:space="preserve">)  </w:t>
      </w:r>
    </w:p>
    <w:p w:rsidR="001F76E9" w:rsidRDefault="001F76E9" w:rsidP="001F76E9">
      <w:pPr>
        <w:pStyle w:val="Ttulo3"/>
        <w:spacing w:line="240" w:lineRule="auto"/>
        <w:ind w:left="1416" w:right="-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marzo de</w:t>
      </w:r>
      <w:r w:rsidRPr="00FD4DCF">
        <w:rPr>
          <w:rFonts w:ascii="Century Gothic" w:hAnsi="Century Gothic" w:cs="Arial"/>
          <w:sz w:val="24"/>
          <w:szCs w:val="24"/>
        </w:rPr>
        <w:t xml:space="preserve"> dos mil </w:t>
      </w:r>
      <w:r>
        <w:rPr>
          <w:rFonts w:ascii="Century Gothic" w:hAnsi="Century Gothic"/>
          <w:sz w:val="24"/>
          <w:szCs w:val="24"/>
        </w:rPr>
        <w:t>veintitrés</w:t>
      </w:r>
      <w:r w:rsidRPr="00FD4DCF">
        <w:rPr>
          <w:rFonts w:ascii="Century Gothic" w:hAnsi="Century Gothic"/>
          <w:sz w:val="24"/>
          <w:szCs w:val="24"/>
        </w:rPr>
        <w:t xml:space="preserve"> (202</w:t>
      </w:r>
      <w:r>
        <w:rPr>
          <w:rFonts w:ascii="Century Gothic" w:hAnsi="Century Gothic"/>
          <w:sz w:val="24"/>
          <w:szCs w:val="24"/>
        </w:rPr>
        <w:t>3</w:t>
      </w:r>
      <w:r w:rsidRPr="00FD4DCF">
        <w:rPr>
          <w:rFonts w:ascii="Century Gothic" w:hAnsi="Century Gothic"/>
          <w:sz w:val="24"/>
          <w:szCs w:val="24"/>
        </w:rPr>
        <w:t>)</w:t>
      </w:r>
    </w:p>
    <w:p w:rsidR="001F76E9" w:rsidRDefault="001F76E9" w:rsidP="001F76E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A225CF" w:rsidRDefault="00A225CF" w:rsidP="00A225C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346E23" w:rsidRPr="00A225CF" w:rsidRDefault="009343E6" w:rsidP="00A225C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225CF">
        <w:rPr>
          <w:rFonts w:ascii="Century Gothic" w:hAnsi="Century Gothic"/>
          <w:b/>
          <w:sz w:val="24"/>
          <w:szCs w:val="24"/>
        </w:rPr>
        <w:t xml:space="preserve">Perturbación a la </w:t>
      </w:r>
      <w:r w:rsidR="00C84998" w:rsidRPr="00A225CF">
        <w:rPr>
          <w:rFonts w:ascii="Century Gothic" w:hAnsi="Century Gothic"/>
          <w:b/>
          <w:sz w:val="24"/>
          <w:szCs w:val="24"/>
        </w:rPr>
        <w:t>posesión</w:t>
      </w:r>
    </w:p>
    <w:p w:rsidR="00346E23" w:rsidRPr="00A225CF" w:rsidRDefault="00C84998" w:rsidP="00A225C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225CF">
        <w:rPr>
          <w:rFonts w:ascii="Century Gothic" w:hAnsi="Century Gothic"/>
          <w:b/>
          <w:sz w:val="24"/>
          <w:szCs w:val="24"/>
        </w:rPr>
        <w:t xml:space="preserve">Inversiones El progreso </w:t>
      </w:r>
      <w:proofErr w:type="spellStart"/>
      <w:r w:rsidRPr="00A225CF">
        <w:rPr>
          <w:rFonts w:ascii="Century Gothic" w:hAnsi="Century Gothic"/>
          <w:b/>
          <w:sz w:val="24"/>
          <w:szCs w:val="24"/>
        </w:rPr>
        <w:t>Sas</w:t>
      </w:r>
      <w:proofErr w:type="spellEnd"/>
      <w:r w:rsidR="00346E23" w:rsidRPr="00A225CF">
        <w:rPr>
          <w:rFonts w:ascii="Century Gothic" w:hAnsi="Century Gothic"/>
          <w:b/>
          <w:sz w:val="24"/>
          <w:szCs w:val="24"/>
        </w:rPr>
        <w:t xml:space="preserve"> vs</w:t>
      </w:r>
    </w:p>
    <w:p w:rsidR="00346E23" w:rsidRPr="00A225CF" w:rsidRDefault="00C84998" w:rsidP="00A225C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225CF">
        <w:rPr>
          <w:rFonts w:ascii="Century Gothic" w:hAnsi="Century Gothic"/>
          <w:b/>
          <w:sz w:val="24"/>
          <w:szCs w:val="24"/>
        </w:rPr>
        <w:t>Plinio Ariza Morales</w:t>
      </w:r>
    </w:p>
    <w:p w:rsidR="00346E23" w:rsidRPr="00A225CF" w:rsidRDefault="00C84998" w:rsidP="00A225C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225CF">
        <w:rPr>
          <w:rFonts w:ascii="Century Gothic" w:hAnsi="Century Gothic"/>
          <w:b/>
          <w:sz w:val="24"/>
          <w:szCs w:val="24"/>
        </w:rPr>
        <w:t>Rad; 2019-00062-00</w:t>
      </w:r>
    </w:p>
    <w:p w:rsidR="00A225CF" w:rsidRDefault="00A225CF" w:rsidP="00A225CF">
      <w:pPr>
        <w:tabs>
          <w:tab w:val="left" w:pos="537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346E23" w:rsidRPr="00A225CF" w:rsidRDefault="00695FD0" w:rsidP="00A225CF">
      <w:pPr>
        <w:tabs>
          <w:tab w:val="left" w:pos="537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225CF">
        <w:rPr>
          <w:rFonts w:ascii="Century Gothic" w:hAnsi="Century Gothic"/>
          <w:b/>
          <w:sz w:val="24"/>
          <w:szCs w:val="24"/>
        </w:rPr>
        <w:tab/>
      </w:r>
    </w:p>
    <w:p w:rsidR="00346E23" w:rsidRDefault="00346E23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sz w:val="24"/>
          <w:szCs w:val="24"/>
        </w:rPr>
        <w:t>Entra el Despacho a decidir sobre la procedibilidad de decretar la terminación del presente proceso, por desistimiento, previas las siguientes consideraciones:</w:t>
      </w:r>
    </w:p>
    <w:p w:rsidR="00A225CF" w:rsidRPr="00A225CF" w:rsidRDefault="00A225CF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346E23" w:rsidRDefault="00346E23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sz w:val="24"/>
          <w:szCs w:val="24"/>
        </w:rPr>
        <w:t>La Ley 1564 de 2012, que expidió el Código General del Proceso, estableció en su artículo 317 la figura del desistimiento tácito, a su turno el numeral 2º de la norma citada indica que:</w:t>
      </w:r>
    </w:p>
    <w:p w:rsidR="00A225CF" w:rsidRPr="00A225CF" w:rsidRDefault="00A225CF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695FD0" w:rsidRDefault="0069265A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sz w:val="24"/>
          <w:szCs w:val="24"/>
        </w:rPr>
        <w:t>“2</w:t>
      </w:r>
      <w:r w:rsidR="00695FD0" w:rsidRPr="00A225CF">
        <w:rPr>
          <w:rFonts w:ascii="Century Gothic" w:hAnsi="Century Gothic"/>
          <w:sz w:val="24"/>
          <w:szCs w:val="24"/>
        </w:rPr>
        <w:t xml:space="preserve">º cuando un proceso o actuación de cualquier naturaleza, en cualquiera de sus etapas, permanezca inactivo en la secretaría de su Despacho, porque no se solicita o realiza ninguna actuación durante el plazo de un (1) año en primera o única instancia, contados desde el día siguiente a su </w:t>
      </w:r>
      <w:proofErr w:type="spellStart"/>
      <w:r w:rsidR="00695FD0" w:rsidRPr="00A225CF">
        <w:rPr>
          <w:rFonts w:ascii="Century Gothic" w:hAnsi="Century Gothic"/>
          <w:sz w:val="24"/>
          <w:szCs w:val="24"/>
        </w:rPr>
        <w:t>ultima</w:t>
      </w:r>
      <w:proofErr w:type="spellEnd"/>
      <w:r w:rsidR="00695FD0" w:rsidRPr="00A225CF">
        <w:rPr>
          <w:rFonts w:ascii="Century Gothic" w:hAnsi="Century Gothic"/>
          <w:sz w:val="24"/>
          <w:szCs w:val="24"/>
        </w:rPr>
        <w:t xml:space="preserve"> notificación o desde la última diligencia o </w:t>
      </w:r>
      <w:r w:rsidRPr="00A225CF">
        <w:rPr>
          <w:rFonts w:ascii="Century Gothic" w:hAnsi="Century Gothic"/>
          <w:sz w:val="24"/>
          <w:szCs w:val="24"/>
        </w:rPr>
        <w:t>actuación,</w:t>
      </w:r>
      <w:r w:rsidR="00695FD0" w:rsidRPr="00A225CF">
        <w:rPr>
          <w:rFonts w:ascii="Century Gothic" w:hAnsi="Century Gothic"/>
          <w:sz w:val="24"/>
          <w:szCs w:val="24"/>
        </w:rPr>
        <w:t xml:space="preserve"> a petición de parte o de oficio, se decretará la terminación del proceso por desistimiento tácito sin necesidad de requerimiento previo. En este evento no habrá condena o perjuicios a cargo de las partes”.</w:t>
      </w:r>
    </w:p>
    <w:p w:rsidR="00A225CF" w:rsidRPr="00A225CF" w:rsidRDefault="00A225CF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695FD0" w:rsidRDefault="00695FD0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sz w:val="24"/>
          <w:szCs w:val="24"/>
        </w:rPr>
        <w:t>Como presupuestos para que proceda el desistimiento tácito exige la norma lo siguiente:</w:t>
      </w:r>
    </w:p>
    <w:p w:rsidR="00A225CF" w:rsidRPr="00A225CF" w:rsidRDefault="00A225CF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695FD0" w:rsidRDefault="00695FD0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sz w:val="24"/>
          <w:szCs w:val="24"/>
        </w:rPr>
        <w:t>“a) Para el computo de los plazos previstos en este artículo no se contará el tiempo que el proceso hubiese estado suspendido por acuerdo de las partes.</w:t>
      </w:r>
    </w:p>
    <w:p w:rsidR="00A225CF" w:rsidRPr="00A225CF" w:rsidRDefault="00A225CF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695FD0" w:rsidRDefault="00695FD0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sz w:val="24"/>
          <w:szCs w:val="24"/>
        </w:rPr>
        <w:t>b) Si el proceso cuenta con sentencia ejecutoriada a favor del demandante o auto que ordena seguir adelante la ejecución, el plazo previsto en este numeral será de dos (2) años.</w:t>
      </w:r>
    </w:p>
    <w:p w:rsidR="00A225CF" w:rsidRPr="00A225CF" w:rsidRDefault="00A225CF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695FD0" w:rsidRDefault="00695FD0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sz w:val="24"/>
          <w:szCs w:val="24"/>
        </w:rPr>
        <w:t>c) cualquier actuación de oficio o a petición de parte, de cualquier naturaleza interrumpirá los términos previstos en este artículo.</w:t>
      </w:r>
    </w:p>
    <w:p w:rsidR="00695FD0" w:rsidRDefault="00695FD0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sz w:val="24"/>
          <w:szCs w:val="24"/>
        </w:rPr>
        <w:t xml:space="preserve">d) Decretado el desistimiento tácito </w:t>
      </w:r>
      <w:r w:rsidR="00A225CF" w:rsidRPr="00A225CF">
        <w:rPr>
          <w:rFonts w:ascii="Century Gothic" w:hAnsi="Century Gothic"/>
          <w:sz w:val="24"/>
          <w:szCs w:val="24"/>
        </w:rPr>
        <w:t>quedará</w:t>
      </w:r>
      <w:r w:rsidRPr="00A225CF">
        <w:rPr>
          <w:rFonts w:ascii="Century Gothic" w:hAnsi="Century Gothic"/>
          <w:sz w:val="24"/>
          <w:szCs w:val="24"/>
        </w:rPr>
        <w:t xml:space="preserve"> terminado el proceso o la actuación correspondiente y se ordenará el levantamiento de las medidas cautelares practicadas.</w:t>
      </w:r>
    </w:p>
    <w:p w:rsidR="001F76E9" w:rsidRPr="00A225CF" w:rsidRDefault="001F76E9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695FD0" w:rsidRDefault="00695FD0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sz w:val="24"/>
          <w:szCs w:val="24"/>
        </w:rPr>
        <w:lastRenderedPageBreak/>
        <w:t>e) La providencia que decreta el desistimiento tácito</w:t>
      </w:r>
      <w:r w:rsidR="002570BC" w:rsidRPr="00A225CF">
        <w:rPr>
          <w:rFonts w:ascii="Century Gothic" w:hAnsi="Century Gothic"/>
          <w:sz w:val="24"/>
          <w:szCs w:val="24"/>
        </w:rPr>
        <w:t xml:space="preserve"> se notificará por estado y será susceptible del recurso de apelación en el efecto suspensivo. La providencia que lo niegue será apelable en el efecto devolutivo.</w:t>
      </w:r>
    </w:p>
    <w:p w:rsidR="00A225CF" w:rsidRPr="00A225CF" w:rsidRDefault="00A225CF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2570BC" w:rsidRDefault="002570BC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sz w:val="24"/>
          <w:szCs w:val="24"/>
        </w:rPr>
        <w:t>f) El decreto del desistimiento tácito no impedirá que se presente nuevamente la demanda transcurridos seis (06) meses contados desde la ejecutoria de la providencia que así lo haya dispuesto o desde la notificación del auto de obedecimiento de lo resuelto</w:t>
      </w:r>
      <w:r w:rsidR="00FF7A48" w:rsidRPr="00A225CF">
        <w:rPr>
          <w:rFonts w:ascii="Century Gothic" w:hAnsi="Century Gothic"/>
          <w:sz w:val="24"/>
          <w:szCs w:val="24"/>
        </w:rPr>
        <w:t xml:space="preserve"> por el superior, pero serán </w:t>
      </w:r>
      <w:r w:rsidR="002D3046" w:rsidRPr="00A225CF">
        <w:rPr>
          <w:rFonts w:ascii="Century Gothic" w:hAnsi="Century Gothic"/>
          <w:sz w:val="24"/>
          <w:szCs w:val="24"/>
        </w:rPr>
        <w:t>ineficaces</w:t>
      </w:r>
      <w:r w:rsidR="00FF7A48" w:rsidRPr="00A225CF">
        <w:rPr>
          <w:rFonts w:ascii="Century Gothic" w:hAnsi="Century Gothic"/>
          <w:sz w:val="24"/>
          <w:szCs w:val="24"/>
        </w:rPr>
        <w:t xml:space="preserve"> todos los efectos que sobre la interrupción</w:t>
      </w:r>
      <w:r w:rsidR="002D3046" w:rsidRPr="00A225CF">
        <w:rPr>
          <w:rFonts w:ascii="Century Gothic" w:hAnsi="Century Gothic"/>
          <w:sz w:val="24"/>
          <w:szCs w:val="24"/>
        </w:rPr>
        <w:t xml:space="preserve"> de la prescripción </w:t>
      </w:r>
      <w:r w:rsidR="008B0620" w:rsidRPr="00A225CF">
        <w:rPr>
          <w:rFonts w:ascii="Century Gothic" w:hAnsi="Century Gothic"/>
          <w:sz w:val="24"/>
          <w:szCs w:val="24"/>
        </w:rPr>
        <w:t>extintiva</w:t>
      </w:r>
      <w:r w:rsidR="002D3046" w:rsidRPr="00A225CF">
        <w:rPr>
          <w:rFonts w:ascii="Century Gothic" w:hAnsi="Century Gothic"/>
          <w:sz w:val="24"/>
          <w:szCs w:val="24"/>
        </w:rPr>
        <w:t xml:space="preserve"> o la inoperancia de la caducidad o cualquier otra consecuencia que haya producido la presentación y notificación de la demanda que dio origen al proceso </w:t>
      </w:r>
      <w:proofErr w:type="spellStart"/>
      <w:r w:rsidR="002D3046" w:rsidRPr="00A225CF">
        <w:rPr>
          <w:rFonts w:ascii="Century Gothic" w:hAnsi="Century Gothic"/>
          <w:sz w:val="24"/>
          <w:szCs w:val="24"/>
        </w:rPr>
        <w:t>oa</w:t>
      </w:r>
      <w:proofErr w:type="spellEnd"/>
      <w:r w:rsidR="002D3046" w:rsidRPr="00A225CF">
        <w:rPr>
          <w:rFonts w:ascii="Century Gothic" w:hAnsi="Century Gothic"/>
          <w:sz w:val="24"/>
          <w:szCs w:val="24"/>
        </w:rPr>
        <w:t xml:space="preserve"> la actuación cuya terminación se decreta.</w:t>
      </w:r>
    </w:p>
    <w:p w:rsidR="00A225CF" w:rsidRPr="00A225CF" w:rsidRDefault="00A225CF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CC3F38" w:rsidRDefault="00CC3F38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sz w:val="24"/>
          <w:szCs w:val="24"/>
        </w:rPr>
        <w:t xml:space="preserve">g) </w:t>
      </w:r>
      <w:r w:rsidR="008B0620" w:rsidRPr="00A225CF">
        <w:rPr>
          <w:rFonts w:ascii="Century Gothic" w:hAnsi="Century Gothic"/>
          <w:sz w:val="24"/>
          <w:szCs w:val="24"/>
        </w:rPr>
        <w:t>Decretado</w:t>
      </w:r>
      <w:r w:rsidRPr="00A225CF">
        <w:rPr>
          <w:rFonts w:ascii="Century Gothic" w:hAnsi="Century Gothic"/>
          <w:sz w:val="24"/>
          <w:szCs w:val="24"/>
        </w:rPr>
        <w:t xml:space="preserve"> el desistimiento </w:t>
      </w:r>
      <w:r w:rsidR="008B0620" w:rsidRPr="00A225CF">
        <w:rPr>
          <w:rFonts w:ascii="Century Gothic" w:hAnsi="Century Gothic"/>
          <w:sz w:val="24"/>
          <w:szCs w:val="24"/>
        </w:rPr>
        <w:t>tácito</w:t>
      </w:r>
      <w:r w:rsidRPr="00A225CF">
        <w:rPr>
          <w:rFonts w:ascii="Century Gothic" w:hAnsi="Century Gothic"/>
          <w:sz w:val="24"/>
          <w:szCs w:val="24"/>
        </w:rPr>
        <w:t xml:space="preserve"> por segunda vez entre las mismas </w:t>
      </w:r>
      <w:r w:rsidR="008B0620" w:rsidRPr="00A225CF">
        <w:rPr>
          <w:rFonts w:ascii="Century Gothic" w:hAnsi="Century Gothic"/>
          <w:sz w:val="24"/>
          <w:szCs w:val="24"/>
        </w:rPr>
        <w:t>partes</w:t>
      </w:r>
      <w:r w:rsidRPr="00A225CF">
        <w:rPr>
          <w:rFonts w:ascii="Century Gothic" w:hAnsi="Century Gothic"/>
          <w:sz w:val="24"/>
          <w:szCs w:val="24"/>
        </w:rPr>
        <w:t xml:space="preserve"> y en ejercicio de las mismas </w:t>
      </w:r>
      <w:r w:rsidR="008B0620" w:rsidRPr="00A225CF">
        <w:rPr>
          <w:rFonts w:ascii="Century Gothic" w:hAnsi="Century Gothic"/>
          <w:sz w:val="24"/>
          <w:szCs w:val="24"/>
        </w:rPr>
        <w:t>pretensiones</w:t>
      </w:r>
      <w:r w:rsidRPr="00A225CF">
        <w:rPr>
          <w:rFonts w:ascii="Century Gothic" w:hAnsi="Century Gothic"/>
          <w:sz w:val="24"/>
          <w:szCs w:val="24"/>
        </w:rPr>
        <w:t xml:space="preserve">, se extinguirá el derecho preferido. El Juez </w:t>
      </w:r>
      <w:r w:rsidR="008B0620" w:rsidRPr="00A225CF">
        <w:rPr>
          <w:rFonts w:ascii="Century Gothic" w:hAnsi="Century Gothic"/>
          <w:sz w:val="24"/>
          <w:szCs w:val="24"/>
        </w:rPr>
        <w:t>ordenará</w:t>
      </w:r>
      <w:r w:rsidRPr="00A225CF">
        <w:rPr>
          <w:rFonts w:ascii="Century Gothic" w:hAnsi="Century Gothic"/>
          <w:sz w:val="24"/>
          <w:szCs w:val="24"/>
        </w:rPr>
        <w:t xml:space="preserve"> la cancelación de los títulos del demandante si a ellos hubiere lugar. Al decretarse el desistimiento tácito, deben desglosarse los documentos que sirvieron de base para la admisión de la demanda o mandamiento ejecutivo</w:t>
      </w:r>
      <w:r w:rsidR="008B0620" w:rsidRPr="00A225CF">
        <w:rPr>
          <w:rFonts w:ascii="Century Gothic" w:hAnsi="Century Gothic"/>
          <w:sz w:val="24"/>
          <w:szCs w:val="24"/>
        </w:rPr>
        <w:t>, con las constancias del caso, para así poder tener conocimiento de ello ante un eventual nuevo proceso.</w:t>
      </w:r>
    </w:p>
    <w:p w:rsidR="00A225CF" w:rsidRPr="00A225CF" w:rsidRDefault="00A225CF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8B0620" w:rsidRDefault="008B0620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sz w:val="24"/>
          <w:szCs w:val="24"/>
        </w:rPr>
        <w:t xml:space="preserve">h) </w:t>
      </w:r>
      <w:r w:rsidR="00066064" w:rsidRPr="00A225CF">
        <w:rPr>
          <w:rFonts w:ascii="Century Gothic" w:hAnsi="Century Gothic"/>
          <w:sz w:val="24"/>
          <w:szCs w:val="24"/>
        </w:rPr>
        <w:t>El presente</w:t>
      </w:r>
      <w:r w:rsidRPr="00A225CF">
        <w:rPr>
          <w:rFonts w:ascii="Century Gothic" w:hAnsi="Century Gothic"/>
          <w:sz w:val="24"/>
          <w:szCs w:val="24"/>
        </w:rPr>
        <w:t xml:space="preserve"> artículo no se aplicará en contra de los incapaces cuando carezcan de apoderado judicial.</w:t>
      </w:r>
    </w:p>
    <w:p w:rsidR="00A225CF" w:rsidRPr="00A225CF" w:rsidRDefault="00A225CF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8B0620" w:rsidRDefault="008B0620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sz w:val="24"/>
          <w:szCs w:val="24"/>
        </w:rPr>
        <w:t xml:space="preserve">En este caso se advierte que el proceso ha permanecido inactivo en la Secretaría porque la parte actora no ha realizado las gestiones necesarias a fin de continuar con la actuación procesal, habiendo transcurrido </w:t>
      </w:r>
      <w:r w:rsidR="00066064" w:rsidRPr="00A225CF">
        <w:rPr>
          <w:rFonts w:ascii="Century Gothic" w:hAnsi="Century Gothic"/>
          <w:sz w:val="24"/>
          <w:szCs w:val="24"/>
        </w:rPr>
        <w:t>más</w:t>
      </w:r>
      <w:r w:rsidRPr="00A225CF">
        <w:rPr>
          <w:rFonts w:ascii="Century Gothic" w:hAnsi="Century Gothic"/>
          <w:sz w:val="24"/>
          <w:szCs w:val="24"/>
        </w:rPr>
        <w:t xml:space="preserve"> de </w:t>
      </w:r>
      <w:r w:rsidR="007B635A" w:rsidRPr="00A225CF">
        <w:rPr>
          <w:rFonts w:ascii="Century Gothic" w:hAnsi="Century Gothic"/>
          <w:sz w:val="24"/>
          <w:szCs w:val="24"/>
        </w:rPr>
        <w:t>dos (2)</w:t>
      </w:r>
      <w:r w:rsidRPr="00A225CF">
        <w:rPr>
          <w:rFonts w:ascii="Century Gothic" w:hAnsi="Century Gothic"/>
          <w:sz w:val="24"/>
          <w:szCs w:val="24"/>
        </w:rPr>
        <w:t xml:space="preserve"> año</w:t>
      </w:r>
      <w:r w:rsidR="00C73B49" w:rsidRPr="00A225CF">
        <w:rPr>
          <w:rFonts w:ascii="Century Gothic" w:hAnsi="Century Gothic"/>
          <w:sz w:val="24"/>
          <w:szCs w:val="24"/>
        </w:rPr>
        <w:t>s</w:t>
      </w:r>
      <w:r w:rsidRPr="00A225CF">
        <w:rPr>
          <w:rFonts w:ascii="Century Gothic" w:hAnsi="Century Gothic"/>
          <w:sz w:val="24"/>
          <w:szCs w:val="24"/>
        </w:rPr>
        <w:t xml:space="preserve">, en </w:t>
      </w:r>
      <w:r w:rsidR="00066064" w:rsidRPr="00A225CF">
        <w:rPr>
          <w:rFonts w:ascii="Century Gothic" w:hAnsi="Century Gothic"/>
          <w:sz w:val="24"/>
          <w:szCs w:val="24"/>
        </w:rPr>
        <w:t>inactividad</w:t>
      </w:r>
      <w:r w:rsidRPr="00A225CF">
        <w:rPr>
          <w:rFonts w:ascii="Century Gothic" w:hAnsi="Century Gothic"/>
          <w:sz w:val="24"/>
          <w:szCs w:val="24"/>
        </w:rPr>
        <w:t>, en razón de lo cual el Despacho considera procedente dar aplicación a lo previsto en el numeral 2º del artículo 317 del Código General del proceso y en consecuencia declarar que se presenta la figura de desistimiento tácito en el presente proceso.</w:t>
      </w:r>
    </w:p>
    <w:p w:rsidR="00A225CF" w:rsidRPr="00A225CF" w:rsidRDefault="00A225CF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066064" w:rsidRDefault="00066064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sz w:val="24"/>
          <w:szCs w:val="24"/>
        </w:rPr>
        <w:t>Por lo expuesto, el Juzgado Primero Promiscuo Municipal de Armero, Guayabal, Tolima,</w:t>
      </w:r>
    </w:p>
    <w:p w:rsidR="00A225CF" w:rsidRPr="00A225CF" w:rsidRDefault="00A225CF" w:rsidP="00A225C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066064" w:rsidRDefault="00066064" w:rsidP="00A225C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225CF">
        <w:rPr>
          <w:rFonts w:ascii="Century Gothic" w:hAnsi="Century Gothic"/>
          <w:b/>
          <w:sz w:val="24"/>
          <w:szCs w:val="24"/>
          <w:u w:val="single"/>
        </w:rPr>
        <w:t>Resuelve</w:t>
      </w:r>
    </w:p>
    <w:p w:rsidR="00A225CF" w:rsidRPr="00A225CF" w:rsidRDefault="00A225CF" w:rsidP="00A225C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066064" w:rsidRDefault="00066064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b/>
          <w:sz w:val="24"/>
          <w:szCs w:val="24"/>
          <w:u w:val="single"/>
        </w:rPr>
        <w:t>Primero:</w:t>
      </w:r>
      <w:r w:rsidRPr="00A225CF">
        <w:rPr>
          <w:rFonts w:ascii="Century Gothic" w:hAnsi="Century Gothic"/>
          <w:sz w:val="24"/>
          <w:szCs w:val="24"/>
        </w:rPr>
        <w:t xml:space="preserve"> Aplicar para el presente </w:t>
      </w:r>
      <w:r w:rsidR="00A225CF" w:rsidRPr="00A225CF">
        <w:rPr>
          <w:rFonts w:ascii="Century Gothic" w:hAnsi="Century Gothic"/>
          <w:sz w:val="24"/>
          <w:szCs w:val="24"/>
        </w:rPr>
        <w:t>proceso de</w:t>
      </w:r>
      <w:r w:rsidR="007B635A" w:rsidRPr="00A225CF">
        <w:rPr>
          <w:rFonts w:ascii="Century Gothic" w:hAnsi="Century Gothic"/>
          <w:sz w:val="24"/>
          <w:szCs w:val="24"/>
        </w:rPr>
        <w:t xml:space="preserve"> perturbación de la posesión propuesto por Inversiones El Progreso </w:t>
      </w:r>
      <w:proofErr w:type="spellStart"/>
      <w:r w:rsidR="007B635A" w:rsidRPr="00A225CF">
        <w:rPr>
          <w:rFonts w:ascii="Century Gothic" w:hAnsi="Century Gothic"/>
          <w:sz w:val="24"/>
          <w:szCs w:val="24"/>
        </w:rPr>
        <w:t>Sas</w:t>
      </w:r>
      <w:proofErr w:type="spellEnd"/>
      <w:r w:rsidR="007B635A" w:rsidRPr="00A225CF">
        <w:rPr>
          <w:rFonts w:ascii="Century Gothic" w:hAnsi="Century Gothic"/>
          <w:sz w:val="24"/>
          <w:szCs w:val="24"/>
        </w:rPr>
        <w:t xml:space="preserve"> contra Plinio </w:t>
      </w:r>
      <w:r w:rsidR="00947B33" w:rsidRPr="00A225CF">
        <w:rPr>
          <w:rFonts w:ascii="Century Gothic" w:hAnsi="Century Gothic"/>
          <w:sz w:val="24"/>
          <w:szCs w:val="24"/>
        </w:rPr>
        <w:t>Ariza Morales</w:t>
      </w:r>
      <w:r w:rsidRPr="00A225CF">
        <w:rPr>
          <w:rFonts w:ascii="Century Gothic" w:hAnsi="Century Gothic"/>
          <w:sz w:val="24"/>
          <w:szCs w:val="24"/>
        </w:rPr>
        <w:t>, el desistimiento tácito de que trata el numeral 2º del artículo 317 del Código General del Proceso, de acuerdo con lo dicho en la parte motiva.</w:t>
      </w:r>
    </w:p>
    <w:p w:rsidR="00A225CF" w:rsidRPr="00A225CF" w:rsidRDefault="00A225CF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066064" w:rsidRDefault="00066064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b/>
          <w:sz w:val="24"/>
          <w:szCs w:val="24"/>
          <w:u w:val="single"/>
        </w:rPr>
        <w:t>Segundo:</w:t>
      </w:r>
      <w:r w:rsidRPr="00A225CF">
        <w:rPr>
          <w:rFonts w:ascii="Century Gothic" w:hAnsi="Century Gothic"/>
          <w:sz w:val="24"/>
          <w:szCs w:val="24"/>
        </w:rPr>
        <w:t xml:space="preserve"> Ordénese el levantamiento de las medidas cautelares, si a ello hubiere lugar.</w:t>
      </w:r>
    </w:p>
    <w:p w:rsidR="00A225CF" w:rsidRPr="00A225CF" w:rsidRDefault="00A225CF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066064" w:rsidRDefault="00066064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b/>
          <w:sz w:val="24"/>
          <w:szCs w:val="24"/>
          <w:u w:val="single"/>
        </w:rPr>
        <w:t>Tercero:</w:t>
      </w:r>
      <w:r w:rsidRPr="00A225CF">
        <w:rPr>
          <w:rFonts w:ascii="Century Gothic" w:hAnsi="Century Gothic"/>
          <w:sz w:val="24"/>
          <w:szCs w:val="24"/>
        </w:rPr>
        <w:t xml:space="preserve"> No hay lugar a condena en costas.</w:t>
      </w:r>
    </w:p>
    <w:p w:rsidR="00A225CF" w:rsidRPr="00A225CF" w:rsidRDefault="00A225CF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066064" w:rsidRDefault="00066064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225CF">
        <w:rPr>
          <w:rFonts w:ascii="Century Gothic" w:hAnsi="Century Gothic"/>
          <w:b/>
          <w:sz w:val="24"/>
          <w:szCs w:val="24"/>
          <w:u w:val="single"/>
        </w:rPr>
        <w:t>Cuarto:</w:t>
      </w:r>
      <w:r w:rsidRPr="00A225CF">
        <w:rPr>
          <w:rFonts w:ascii="Century Gothic" w:hAnsi="Century Gothic"/>
          <w:sz w:val="24"/>
          <w:szCs w:val="24"/>
        </w:rPr>
        <w:t xml:space="preserve"> Archívense las presentes diligencias, una vez quede en firme la presente decisión.</w:t>
      </w:r>
    </w:p>
    <w:p w:rsidR="00A225CF" w:rsidRPr="00A225CF" w:rsidRDefault="00A225CF" w:rsidP="00A225C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066064" w:rsidRPr="00A225CF" w:rsidRDefault="00CE20D4" w:rsidP="00A225C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A225CF">
        <w:rPr>
          <w:rFonts w:ascii="Century Gothic" w:hAnsi="Century Gothic"/>
          <w:b/>
          <w:sz w:val="24"/>
          <w:szCs w:val="24"/>
        </w:rPr>
        <w:t>Notifíquese,</w:t>
      </w:r>
    </w:p>
    <w:p w:rsidR="001F76E9" w:rsidRPr="001312B2" w:rsidRDefault="001F76E9" w:rsidP="001F76E9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1F76E9" w:rsidRPr="008D2FA5" w:rsidRDefault="001F76E9" w:rsidP="001F76E9">
      <w:pPr>
        <w:spacing w:after="0"/>
        <w:jc w:val="center"/>
        <w:rPr>
          <w:rFonts w:ascii="Century Gothic" w:hAnsi="Century Gothic"/>
        </w:rPr>
      </w:pPr>
      <w:r w:rsidRPr="00F67D2D">
        <w:rPr>
          <w:rFonts w:ascii="Century Gothic" w:hAnsi="Century Gothic"/>
          <w:noProof/>
        </w:rPr>
        <w:drawing>
          <wp:inline distT="0" distB="0" distL="0" distR="0" wp14:anchorId="0983CBFD" wp14:editId="20355053">
            <wp:extent cx="2886075" cy="590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E9" w:rsidRPr="00B21210" w:rsidRDefault="001F76E9" w:rsidP="001F76E9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B21210">
        <w:rPr>
          <w:rFonts w:ascii="Century Gothic" w:hAnsi="Century Gothic"/>
          <w:b/>
          <w:sz w:val="24"/>
          <w:szCs w:val="24"/>
        </w:rPr>
        <w:t>Beatriz Carolina Puentes Acosta</w:t>
      </w:r>
    </w:p>
    <w:p w:rsidR="00CE20D4" w:rsidRPr="001F76E9" w:rsidRDefault="001F76E9" w:rsidP="001F76E9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B21210">
        <w:rPr>
          <w:rFonts w:ascii="Century Gothic" w:hAnsi="Century Gothic"/>
          <w:b/>
          <w:sz w:val="24"/>
          <w:szCs w:val="24"/>
        </w:rPr>
        <w:t>Jue</w:t>
      </w:r>
      <w:r>
        <w:rPr>
          <w:rFonts w:ascii="Century Gothic" w:hAnsi="Century Gothic"/>
          <w:b/>
          <w:sz w:val="24"/>
          <w:szCs w:val="24"/>
        </w:rPr>
        <w:t>z</w:t>
      </w:r>
    </w:p>
    <w:sectPr w:rsidR="00CE20D4" w:rsidRPr="001F76E9" w:rsidSect="00A225C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E23"/>
    <w:rsid w:val="0000522F"/>
    <w:rsid w:val="00036DF6"/>
    <w:rsid w:val="00066064"/>
    <w:rsid w:val="000F7843"/>
    <w:rsid w:val="001A67FF"/>
    <w:rsid w:val="001F76E9"/>
    <w:rsid w:val="002570BC"/>
    <w:rsid w:val="002D3046"/>
    <w:rsid w:val="00346E23"/>
    <w:rsid w:val="0069265A"/>
    <w:rsid w:val="00695FD0"/>
    <w:rsid w:val="006E4CA3"/>
    <w:rsid w:val="007B635A"/>
    <w:rsid w:val="008B0620"/>
    <w:rsid w:val="009343E6"/>
    <w:rsid w:val="00947B33"/>
    <w:rsid w:val="009834D4"/>
    <w:rsid w:val="00A225CF"/>
    <w:rsid w:val="00B8475A"/>
    <w:rsid w:val="00C003C4"/>
    <w:rsid w:val="00C73B49"/>
    <w:rsid w:val="00C84998"/>
    <w:rsid w:val="00CC3F38"/>
    <w:rsid w:val="00CD4A87"/>
    <w:rsid w:val="00CE20D4"/>
    <w:rsid w:val="00FF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E31A"/>
  <w15:docId w15:val="{6A49918A-5977-41F2-82BF-E0B41FDE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7FF"/>
  </w:style>
  <w:style w:type="paragraph" w:styleId="Ttulo3">
    <w:name w:val="heading 3"/>
    <w:basedOn w:val="Normal"/>
    <w:next w:val="Normal"/>
    <w:link w:val="Ttulo3Car"/>
    <w:uiPriority w:val="99"/>
    <w:qFormat/>
    <w:rsid w:val="001F76E9"/>
    <w:pPr>
      <w:keepNext/>
      <w:autoSpaceDE w:val="0"/>
      <w:autoSpaceDN w:val="0"/>
      <w:adjustRightInd w:val="0"/>
      <w:spacing w:after="0" w:line="360" w:lineRule="auto"/>
      <w:ind w:left="708" w:firstLine="708"/>
      <w:jc w:val="both"/>
      <w:outlineLvl w:val="2"/>
    </w:pPr>
    <w:rPr>
      <w:rFonts w:ascii="Arial" w:eastAsia="Times New Roman" w:hAnsi="Arial" w:cs="Times New Roman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75A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9"/>
    <w:rsid w:val="001F76E9"/>
    <w:rPr>
      <w:rFonts w:ascii="Arial" w:eastAsia="Times New Roman" w:hAnsi="Arial" w:cs="Times New Roman"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F9940-6027-4A35-9401-92B3617A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 Lite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Juzgado 01 Promiscuo Municipal - Tolima - Armero</cp:lastModifiedBy>
  <cp:revision>2</cp:revision>
  <dcterms:created xsi:type="dcterms:W3CDTF">2023-04-11T17:58:00Z</dcterms:created>
  <dcterms:modified xsi:type="dcterms:W3CDTF">2023-04-11T17:58:00Z</dcterms:modified>
</cp:coreProperties>
</file>