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6D1" w:rsidRDefault="00B940E8" w:rsidP="00D03C9E">
      <w:pPr>
        <w:spacing w:after="0" w:line="259" w:lineRule="auto"/>
        <w:ind w:left="29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:rsidR="005416D1" w:rsidRDefault="00B940E8" w:rsidP="00D03C9E">
      <w:pPr>
        <w:spacing w:after="0" w:line="240" w:lineRule="auto"/>
        <w:ind w:left="576" w:hanging="10"/>
      </w:pPr>
      <w:r>
        <w:rPr>
          <w:b/>
        </w:rPr>
        <w:t>J</w:t>
      </w:r>
      <w:r>
        <w:rPr>
          <w:b/>
        </w:rPr>
        <w:t xml:space="preserve">UZGADO PROMISCUO MUNICIPAL </w:t>
      </w:r>
      <w:r>
        <w:t xml:space="preserve">  </w:t>
      </w:r>
    </w:p>
    <w:p w:rsidR="005416D1" w:rsidRDefault="00B940E8" w:rsidP="00D03C9E">
      <w:pPr>
        <w:spacing w:after="0" w:line="240" w:lineRule="auto"/>
        <w:ind w:firstLine="0"/>
      </w:pPr>
      <w:r>
        <w:t xml:space="preserve">Valle de San Juan, Tolima, </w:t>
      </w:r>
      <w:r w:rsidR="00D03C9E">
        <w:t>veintiuno</w:t>
      </w:r>
      <w:r>
        <w:t xml:space="preserve"> (</w:t>
      </w:r>
      <w:r w:rsidR="00D03C9E">
        <w:t>21</w:t>
      </w:r>
      <w:r>
        <w:t xml:space="preserve">) de </w:t>
      </w:r>
      <w:r w:rsidR="00D03C9E">
        <w:t xml:space="preserve">marzo </w:t>
      </w:r>
      <w:r>
        <w:t xml:space="preserve">de dos mil veintitrés (2023)   </w:t>
      </w:r>
    </w:p>
    <w:p w:rsidR="005416D1" w:rsidRDefault="00B940E8" w:rsidP="00D03C9E">
      <w:pPr>
        <w:spacing w:after="0" w:line="240" w:lineRule="auto"/>
        <w:ind w:firstLine="0"/>
        <w:jc w:val="left"/>
      </w:pPr>
      <w:r>
        <w:t xml:space="preserve">   </w:t>
      </w:r>
    </w:p>
    <w:p w:rsidR="005416D1" w:rsidRDefault="00B940E8" w:rsidP="00D03C9E">
      <w:pPr>
        <w:spacing w:after="0" w:line="240" w:lineRule="auto"/>
        <w:ind w:firstLine="0"/>
        <w:jc w:val="left"/>
      </w:pPr>
      <w:r>
        <w:t xml:space="preserve">   </w:t>
      </w:r>
    </w:p>
    <w:p w:rsidR="005416D1" w:rsidRDefault="00B940E8" w:rsidP="00D03C9E">
      <w:pPr>
        <w:spacing w:after="0" w:line="240" w:lineRule="auto"/>
        <w:ind w:left="-5"/>
      </w:pPr>
      <w:r>
        <w:t xml:space="preserve">Teniendo en cuenta que </w:t>
      </w:r>
      <w:r w:rsidR="00D03C9E">
        <w:t>el pasado jueves 16 de marzo del año en curso, la diligencia de licitación de los bienes inmuebles del proceso que nos ocupa fue declarada desierta</w:t>
      </w:r>
      <w:r>
        <w:t xml:space="preserve">, se hace necesario fijar fecha para la práctica de la diligencia de venta en pública subasta. En </w:t>
      </w:r>
      <w:r w:rsidR="00D03C9E">
        <w:t>consecuencia,</w:t>
      </w:r>
      <w:r>
        <w:t xml:space="preserve"> el Despacho   </w:t>
      </w:r>
    </w:p>
    <w:p w:rsidR="005416D1" w:rsidRDefault="00B940E8" w:rsidP="00D03C9E">
      <w:pPr>
        <w:spacing w:after="0" w:line="240" w:lineRule="auto"/>
        <w:ind w:firstLine="0"/>
        <w:jc w:val="left"/>
      </w:pPr>
      <w:r>
        <w:t xml:space="preserve">   </w:t>
      </w:r>
    </w:p>
    <w:p w:rsidR="005416D1" w:rsidRDefault="00B940E8" w:rsidP="00D03C9E">
      <w:pPr>
        <w:spacing w:after="0" w:line="240" w:lineRule="auto"/>
        <w:ind w:left="576" w:hanging="10"/>
      </w:pPr>
      <w:r>
        <w:rPr>
          <w:b/>
        </w:rPr>
        <w:t xml:space="preserve">DISPONE: </w:t>
      </w:r>
      <w:r>
        <w:t xml:space="preserve">  </w:t>
      </w:r>
    </w:p>
    <w:p w:rsidR="005416D1" w:rsidRDefault="00B940E8" w:rsidP="00D03C9E">
      <w:pPr>
        <w:spacing w:after="0" w:line="240" w:lineRule="auto"/>
        <w:ind w:firstLine="0"/>
        <w:jc w:val="left"/>
      </w:pPr>
      <w:r>
        <w:rPr>
          <w:b/>
        </w:rPr>
        <w:t xml:space="preserve"> </w:t>
      </w:r>
      <w:r>
        <w:t xml:space="preserve">  </w:t>
      </w:r>
    </w:p>
    <w:p w:rsidR="005416D1" w:rsidRDefault="00B940E8" w:rsidP="00D03C9E">
      <w:pPr>
        <w:spacing w:after="0" w:line="240" w:lineRule="auto"/>
        <w:ind w:left="-5"/>
      </w:pPr>
      <w:r>
        <w:rPr>
          <w:b/>
        </w:rPr>
        <w:t xml:space="preserve">PRIMERO: FÍJESE </w:t>
      </w:r>
      <w:r>
        <w:t xml:space="preserve">el </w:t>
      </w:r>
      <w:proofErr w:type="spellStart"/>
      <w:r w:rsidR="00D03C9E">
        <w:rPr>
          <w:b/>
          <w:u w:val="single" w:color="000000"/>
        </w:rPr>
        <w:t>miercol</w:t>
      </w:r>
      <w:r>
        <w:rPr>
          <w:b/>
          <w:u w:val="single" w:color="000000"/>
        </w:rPr>
        <w:t>es</w:t>
      </w:r>
      <w:proofErr w:type="spellEnd"/>
      <w:r>
        <w:rPr>
          <w:b/>
          <w:u w:val="single" w:color="000000"/>
        </w:rPr>
        <w:t xml:space="preserve"> </w:t>
      </w:r>
      <w:r w:rsidR="00D03C9E">
        <w:rPr>
          <w:b/>
          <w:u w:val="single" w:color="000000"/>
        </w:rPr>
        <w:t>2</w:t>
      </w:r>
      <w:r>
        <w:rPr>
          <w:b/>
          <w:u w:val="single" w:color="000000"/>
        </w:rPr>
        <w:t xml:space="preserve">6 de </w:t>
      </w:r>
      <w:r w:rsidR="00D03C9E">
        <w:rPr>
          <w:b/>
          <w:u w:val="single" w:color="000000"/>
        </w:rPr>
        <w:t>abril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 xml:space="preserve">del </w:t>
      </w:r>
      <w:r w:rsidR="00D03C9E">
        <w:rPr>
          <w:b/>
          <w:u w:val="single" w:color="000000"/>
        </w:rPr>
        <w:t>dos mil veintitrés (2023</w:t>
      </w:r>
      <w:proofErr w:type="gramStart"/>
      <w:r w:rsidR="00D03C9E">
        <w:rPr>
          <w:b/>
          <w:u w:val="single" w:color="000000"/>
        </w:rPr>
        <w:t>)</w:t>
      </w:r>
      <w:r>
        <w:rPr>
          <w:b/>
          <w:u w:val="single" w:color="000000"/>
        </w:rPr>
        <w:t>,</w:t>
      </w:r>
      <w:r>
        <w:rPr>
          <w:b/>
        </w:rPr>
        <w:t xml:space="preserve">  </w:t>
      </w:r>
      <w:r>
        <w:t>a</w:t>
      </w:r>
      <w:proofErr w:type="gramEnd"/>
      <w:r>
        <w:t xml:space="preserve"> las </w:t>
      </w:r>
      <w:r>
        <w:rPr>
          <w:b/>
          <w:u w:val="single" w:color="000000"/>
        </w:rPr>
        <w:t>09:00 A.M</w:t>
      </w:r>
      <w:r>
        <w:t>, para que tenga lugar la diligencia de venta en pública subasta de los inmuebles denominados El Aceituno y Colombia, ubicados en la Vereda la Manga del Valle de San Juan, identificado con matrículas inmobiliarias Nos. 350</w:t>
      </w:r>
      <w:r>
        <w:t>- 32594 y 350-112837</w:t>
      </w:r>
      <w:r>
        <w:rPr>
          <w:sz w:val="22"/>
        </w:rPr>
        <w:t xml:space="preserve"> </w:t>
      </w:r>
      <w:r>
        <w:t xml:space="preserve">de la Oficina de Registro de Instrumentos Públicos de Ibagué.   </w:t>
      </w:r>
    </w:p>
    <w:p w:rsidR="005416D1" w:rsidRDefault="00B940E8" w:rsidP="00D03C9E">
      <w:pPr>
        <w:spacing w:after="0" w:line="240" w:lineRule="auto"/>
        <w:ind w:left="29" w:firstLine="0"/>
        <w:jc w:val="left"/>
      </w:pPr>
      <w:r>
        <w:t xml:space="preserve">   </w:t>
      </w:r>
    </w:p>
    <w:p w:rsidR="005416D1" w:rsidRDefault="00B940E8" w:rsidP="00D03C9E">
      <w:pPr>
        <w:spacing w:after="0" w:line="240" w:lineRule="auto"/>
        <w:ind w:left="576" w:hanging="10"/>
      </w:pPr>
      <w:r>
        <w:rPr>
          <w:b/>
        </w:rPr>
        <w:t xml:space="preserve">AVALÚO.   </w:t>
      </w:r>
      <w:r>
        <w:t xml:space="preserve">  </w:t>
      </w:r>
    </w:p>
    <w:p w:rsidR="005416D1" w:rsidRDefault="00B940E8" w:rsidP="00D03C9E">
      <w:pPr>
        <w:spacing w:after="0" w:line="240" w:lineRule="auto"/>
        <w:ind w:left="370" w:firstLine="0"/>
        <w:jc w:val="center"/>
      </w:pPr>
      <w:r>
        <w:rPr>
          <w:b/>
        </w:rPr>
        <w:t xml:space="preserve"> </w:t>
      </w:r>
      <w:r>
        <w:t xml:space="preserve">  </w:t>
      </w:r>
    </w:p>
    <w:p w:rsidR="005416D1" w:rsidRDefault="00B940E8" w:rsidP="00D03C9E">
      <w:pPr>
        <w:spacing w:after="0" w:line="240" w:lineRule="auto"/>
        <w:ind w:left="-1" w:firstLine="566"/>
      </w:pPr>
      <w:r>
        <w:t xml:space="preserve">El predio El Aceituno está avaluado en la suma de </w:t>
      </w:r>
      <w:r>
        <w:rPr>
          <w:b/>
        </w:rPr>
        <w:t>CUATROCIENTOS</w:t>
      </w:r>
      <w:r>
        <w:t xml:space="preserve"> </w:t>
      </w:r>
      <w:r>
        <w:rPr>
          <w:b/>
        </w:rPr>
        <w:t>SESENTA Y NUEVE MILLONES CUATROCIENTOS TREINTA Y SEIS MIL CINCUENTA Y NUEVE PESOS</w:t>
      </w:r>
      <w:r>
        <w:t xml:space="preserve">. </w:t>
      </w:r>
      <w:r>
        <w:rPr>
          <w:b/>
        </w:rPr>
        <w:t>($ 469.</w:t>
      </w:r>
      <w:proofErr w:type="gramStart"/>
      <w:r>
        <w:rPr>
          <w:b/>
        </w:rPr>
        <w:t>436.059.oo</w:t>
      </w:r>
      <w:proofErr w:type="gramEnd"/>
      <w:r>
        <w:rPr>
          <w:b/>
        </w:rPr>
        <w:t>)</w:t>
      </w:r>
      <w:r>
        <w:t xml:space="preserve">.  </w:t>
      </w:r>
    </w:p>
    <w:p w:rsidR="00D03C9E" w:rsidRDefault="00D03C9E" w:rsidP="00D03C9E">
      <w:pPr>
        <w:spacing w:after="0" w:line="240" w:lineRule="auto"/>
        <w:ind w:left="-1" w:firstLine="566"/>
      </w:pPr>
    </w:p>
    <w:p w:rsidR="005416D1" w:rsidRDefault="00B940E8" w:rsidP="00D03C9E">
      <w:pPr>
        <w:spacing w:after="0" w:line="240" w:lineRule="auto"/>
        <w:ind w:left="-1" w:firstLine="566"/>
      </w:pPr>
      <w:r>
        <w:t xml:space="preserve">El predio Colombia esta avaluado en la suma de </w:t>
      </w:r>
      <w:r>
        <w:rPr>
          <w:b/>
        </w:rPr>
        <w:t xml:space="preserve">CUATROCIENTOS SIETE MILLONES DOSCIENTOS SETENTA Y CINCO MIL TRESCIENTOS UN PESOS ($ </w:t>
      </w:r>
    </w:p>
    <w:p w:rsidR="005416D1" w:rsidRDefault="00B940E8" w:rsidP="00D03C9E">
      <w:pPr>
        <w:spacing w:after="0" w:line="240" w:lineRule="auto"/>
        <w:ind w:left="9" w:hanging="10"/>
        <w:rPr>
          <w:b/>
        </w:rPr>
      </w:pPr>
      <w:proofErr w:type="gramStart"/>
      <w:r>
        <w:rPr>
          <w:b/>
        </w:rPr>
        <w:t>407.275.301,oo</w:t>
      </w:r>
      <w:proofErr w:type="gramEnd"/>
      <w:r>
        <w:rPr>
          <w:b/>
        </w:rPr>
        <w:t xml:space="preserve">) </w:t>
      </w:r>
    </w:p>
    <w:p w:rsidR="00D03C9E" w:rsidRDefault="00D03C9E" w:rsidP="00D03C9E">
      <w:pPr>
        <w:spacing w:after="0" w:line="240" w:lineRule="auto"/>
        <w:ind w:left="9" w:hanging="10"/>
      </w:pPr>
    </w:p>
    <w:p w:rsidR="005416D1" w:rsidRDefault="00B940E8" w:rsidP="00D03C9E">
      <w:pPr>
        <w:spacing w:after="0" w:line="240" w:lineRule="auto"/>
        <w:ind w:left="-1" w:firstLine="566"/>
      </w:pPr>
      <w:r>
        <w:t xml:space="preserve">El Avalúo total es la suma de </w:t>
      </w:r>
      <w:r>
        <w:rPr>
          <w:b/>
        </w:rPr>
        <w:t>OCHOCIENTOS SETENTA Y SEIS MILLONES SETECIENTOS ONCE MI</w:t>
      </w:r>
      <w:r>
        <w:rPr>
          <w:b/>
        </w:rPr>
        <w:t>L TRESCIENTOS SESENTA</w:t>
      </w:r>
      <w:r>
        <w:t xml:space="preserve"> </w:t>
      </w:r>
      <w:r>
        <w:rPr>
          <w:b/>
        </w:rPr>
        <w:t xml:space="preserve">PESOS ($ </w:t>
      </w:r>
      <w:proofErr w:type="gramStart"/>
      <w:r>
        <w:rPr>
          <w:b/>
        </w:rPr>
        <w:t>876.711.360,oo</w:t>
      </w:r>
      <w:proofErr w:type="gramEnd"/>
      <w:r>
        <w:rPr>
          <w:b/>
        </w:rPr>
        <w:t xml:space="preserve">)        </w:t>
      </w:r>
    </w:p>
    <w:p w:rsidR="005416D1" w:rsidRDefault="00B940E8" w:rsidP="00D03C9E">
      <w:pPr>
        <w:spacing w:after="0" w:line="240" w:lineRule="auto"/>
        <w:ind w:left="29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5416D1" w:rsidRDefault="00B940E8" w:rsidP="00D03C9E">
      <w:pPr>
        <w:spacing w:after="0" w:line="240" w:lineRule="auto"/>
        <w:ind w:left="576" w:hanging="10"/>
      </w:pPr>
      <w:r>
        <w:rPr>
          <w:b/>
        </w:rPr>
        <w:t xml:space="preserve">BASE DE LICITACIÓN. </w:t>
      </w:r>
      <w:r>
        <w:t xml:space="preserve">  </w:t>
      </w:r>
    </w:p>
    <w:p w:rsidR="005416D1" w:rsidRDefault="00B940E8" w:rsidP="00D03C9E">
      <w:pPr>
        <w:spacing w:after="0" w:line="240" w:lineRule="auto"/>
        <w:ind w:left="370" w:firstLine="0"/>
        <w:jc w:val="center"/>
      </w:pPr>
      <w:r>
        <w:rPr>
          <w:b/>
        </w:rPr>
        <w:t xml:space="preserve"> </w:t>
      </w:r>
      <w:r>
        <w:t xml:space="preserve">  </w:t>
      </w:r>
    </w:p>
    <w:p w:rsidR="005416D1" w:rsidRDefault="00B940E8" w:rsidP="00D03C9E">
      <w:pPr>
        <w:spacing w:after="0" w:line="240" w:lineRule="auto"/>
        <w:ind w:left="-5"/>
      </w:pPr>
      <w:r>
        <w:t xml:space="preserve">Será postura admisible el </w:t>
      </w:r>
      <w:r w:rsidR="00D03C9E">
        <w:rPr>
          <w:b/>
        </w:rPr>
        <w:t>7</w:t>
      </w:r>
      <w:r>
        <w:rPr>
          <w:b/>
        </w:rPr>
        <w:t>0%</w:t>
      </w:r>
      <w:r>
        <w:t xml:space="preserve"> del avalúo dado al bien a licitar (Art. 411 del C. G. del P.),</w:t>
      </w:r>
      <w:r w:rsidR="00A03F16">
        <w:t xml:space="preserve"> previa consignación del 40% del avalúo de los inmuebles a órdenes del Juzgado (Art. 451 del C. G del P.)</w:t>
      </w:r>
      <w:bookmarkStart w:id="0" w:name="_GoBack"/>
      <w:bookmarkEnd w:id="0"/>
      <w:r>
        <w:t>. La licitación empezará a la hora señalada y no se cerrará sino transcurrido</w:t>
      </w:r>
      <w:r>
        <w:t xml:space="preserve">s por lo menos </w:t>
      </w:r>
      <w:r w:rsidR="00D03C9E">
        <w:t>una</w:t>
      </w:r>
      <w:r>
        <w:t xml:space="preserve"> hora desde su inicio.   </w:t>
      </w:r>
    </w:p>
    <w:p w:rsidR="005416D1" w:rsidRDefault="00B940E8" w:rsidP="00D03C9E">
      <w:pPr>
        <w:spacing w:after="0" w:line="240" w:lineRule="auto"/>
        <w:ind w:left="29" w:firstLine="0"/>
        <w:jc w:val="left"/>
      </w:pPr>
      <w:r>
        <w:t xml:space="preserve">   </w:t>
      </w:r>
    </w:p>
    <w:p w:rsidR="005416D1" w:rsidRDefault="00B940E8" w:rsidP="00D03C9E">
      <w:pPr>
        <w:spacing w:after="0" w:line="240" w:lineRule="auto"/>
        <w:ind w:left="-5"/>
      </w:pPr>
      <w:r>
        <w:t>Por secretaría, elabórese y fíjese el aviso respectivo y deberá efectuarse por la parte demandante las publicaciones de rigor por una vez y con antelación no inferior a diez (10) días a la fecha señalada para</w:t>
      </w:r>
      <w:r>
        <w:t xml:space="preserve"> el remate en un diario de amplia </w:t>
      </w:r>
      <w:r>
        <w:t xml:space="preserve">circulación en el lugar, tales como el “El Tiempo”, “El Espectador”, u otro medio </w:t>
      </w:r>
      <w:r>
        <w:t xml:space="preserve">masivo de comunicación (radiodifusora) de los cuales la parte interesada allegará </w:t>
      </w:r>
      <w:r>
        <w:lastRenderedPageBreak/>
        <w:t>al despacho la página informal del diario y constancia del</w:t>
      </w:r>
      <w:r>
        <w:t xml:space="preserve"> funcionario o administrador de la emisora donde fue publicado el mismo, previo a la diligencia (art. 450 del C. G. del P.).   </w:t>
      </w:r>
    </w:p>
    <w:p w:rsidR="005416D1" w:rsidRDefault="00B940E8" w:rsidP="00D03C9E">
      <w:pPr>
        <w:spacing w:after="0" w:line="240" w:lineRule="auto"/>
        <w:ind w:firstLine="0"/>
        <w:jc w:val="left"/>
      </w:pPr>
      <w:r>
        <w:t xml:space="preserve">   </w:t>
      </w:r>
    </w:p>
    <w:p w:rsidR="005416D1" w:rsidRDefault="00B940E8" w:rsidP="00D03C9E">
      <w:pPr>
        <w:spacing w:after="0" w:line="240" w:lineRule="auto"/>
        <w:ind w:left="-5"/>
      </w:pPr>
      <w:r>
        <w:t xml:space="preserve">Del mismo modo, alléguense certificados de libertad </w:t>
      </w:r>
      <w:proofErr w:type="gramStart"/>
      <w:r>
        <w:t>y  tradición</w:t>
      </w:r>
      <w:proofErr w:type="gramEnd"/>
      <w:r>
        <w:t xml:space="preserve"> actualizados de los bienes inmuebles que se identifican con</w:t>
      </w:r>
      <w:r>
        <w:t xml:space="preserve"> </w:t>
      </w:r>
      <w:proofErr w:type="spellStart"/>
      <w:r>
        <w:t>matriculas</w:t>
      </w:r>
      <w:proofErr w:type="spellEnd"/>
      <w:r>
        <w:t xml:space="preserve"> inmobiliarias Nos. 350- 32594 y 350-112837</w:t>
      </w:r>
      <w:r>
        <w:rPr>
          <w:sz w:val="22"/>
        </w:rPr>
        <w:t xml:space="preserve"> </w:t>
      </w:r>
      <w:r>
        <w:rPr>
          <w:b/>
        </w:rPr>
        <w:t xml:space="preserve"> </w:t>
      </w:r>
      <w:r>
        <w:t xml:space="preserve">de la Oficina de Registro de Instrumentos Públicos de Ibagué, expedido dentro del mes anterior a la fecha prevista para la diligencia de remate.   </w:t>
      </w:r>
    </w:p>
    <w:p w:rsidR="005416D1" w:rsidRDefault="00B940E8" w:rsidP="00D03C9E">
      <w:pPr>
        <w:spacing w:after="0" w:line="240" w:lineRule="auto"/>
        <w:ind w:firstLine="0"/>
        <w:jc w:val="left"/>
      </w:pPr>
      <w:r>
        <w:t xml:space="preserve">   </w:t>
      </w:r>
    </w:p>
    <w:p w:rsidR="005416D1" w:rsidRDefault="00B940E8" w:rsidP="00D03C9E">
      <w:pPr>
        <w:spacing w:after="0" w:line="240" w:lineRule="auto"/>
        <w:ind w:left="-5"/>
      </w:pPr>
      <w:r>
        <w:t xml:space="preserve">Actúa como secuestre </w:t>
      </w:r>
      <w:r>
        <w:rPr>
          <w:b/>
        </w:rPr>
        <w:t xml:space="preserve">JAIME FLORIAN POLANIA </w:t>
      </w:r>
      <w:r>
        <w:t xml:space="preserve">quien puede ser ubicado Calle 104 No. 4B </w:t>
      </w:r>
      <w:r>
        <w:t>–</w:t>
      </w:r>
      <w:r>
        <w:t xml:space="preserve"> 06 Urbanización Agua Marina de Ibagué </w:t>
      </w:r>
      <w:r>
        <w:t>–</w:t>
      </w:r>
      <w:r>
        <w:t xml:space="preserve"> Tolima y con número de celular 322 857 0550.  </w:t>
      </w:r>
    </w:p>
    <w:p w:rsidR="005416D1" w:rsidRDefault="00B940E8" w:rsidP="00D03C9E">
      <w:pPr>
        <w:spacing w:after="0" w:line="240" w:lineRule="auto"/>
        <w:ind w:left="29" w:firstLine="0"/>
        <w:jc w:val="left"/>
      </w:pPr>
      <w:r>
        <w:rPr>
          <w:rFonts w:ascii="Tahoma" w:eastAsia="Tahoma" w:hAnsi="Tahoma" w:cs="Tahoma"/>
          <w:color w:val="4D4D4D"/>
        </w:rPr>
        <w:t xml:space="preserve"> </w:t>
      </w:r>
      <w:r>
        <w:t xml:space="preserve">  </w:t>
      </w:r>
    </w:p>
    <w:p w:rsidR="005416D1" w:rsidRDefault="00B940E8" w:rsidP="00D03C9E">
      <w:pPr>
        <w:spacing w:after="0" w:line="240" w:lineRule="auto"/>
        <w:ind w:left="18" w:firstLine="0"/>
        <w:jc w:val="center"/>
      </w:pPr>
      <w:r>
        <w:t xml:space="preserve">Elabórese el respectivo aviso o comunicación del remate. </w:t>
      </w:r>
      <w:r>
        <w:rPr>
          <w:b/>
        </w:rPr>
        <w:t>Publicación.</w:t>
      </w:r>
      <w:r>
        <w:t xml:space="preserve">   </w:t>
      </w:r>
    </w:p>
    <w:p w:rsidR="005416D1" w:rsidRDefault="00B940E8" w:rsidP="00D03C9E">
      <w:pPr>
        <w:spacing w:after="0" w:line="240" w:lineRule="auto"/>
        <w:ind w:left="29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5416D1" w:rsidRDefault="00B940E8" w:rsidP="00D03C9E">
      <w:pPr>
        <w:spacing w:after="0" w:line="240" w:lineRule="auto"/>
        <w:ind w:firstLine="0"/>
      </w:pPr>
      <w:r>
        <w:t xml:space="preserve">NOTIFÍQUESE y CÚMPLASE.   </w:t>
      </w:r>
    </w:p>
    <w:p w:rsidR="005416D1" w:rsidRDefault="00B940E8" w:rsidP="00D03C9E">
      <w:pPr>
        <w:spacing w:after="0" w:line="240" w:lineRule="auto"/>
        <w:ind w:left="2189" w:firstLine="0"/>
        <w:jc w:val="left"/>
      </w:pPr>
      <w:r>
        <w:t xml:space="preserve">   </w:t>
      </w:r>
    </w:p>
    <w:p w:rsidR="005416D1" w:rsidRDefault="00B940E8" w:rsidP="00D03C9E">
      <w:pPr>
        <w:spacing w:after="0" w:line="240" w:lineRule="auto"/>
        <w:ind w:right="2279" w:firstLine="0"/>
      </w:pPr>
      <w:r>
        <w:t xml:space="preserve">El Juez,   </w:t>
      </w:r>
    </w:p>
    <w:p w:rsidR="005416D1" w:rsidRDefault="00B940E8" w:rsidP="00D03C9E">
      <w:pPr>
        <w:spacing w:after="0" w:line="240" w:lineRule="auto"/>
        <w:ind w:left="369" w:firstLine="0"/>
        <w:jc w:val="center"/>
      </w:pPr>
      <w:r>
        <w:rPr>
          <w:noProof/>
        </w:rPr>
        <w:drawing>
          <wp:inline distT="0" distB="0" distL="0" distR="0">
            <wp:extent cx="3307588" cy="793750"/>
            <wp:effectExtent l="0" t="0" r="0" b="0"/>
            <wp:docPr id="400" name="Picture 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Picture 4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7588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 xml:space="preserve">  </w:t>
      </w:r>
    </w:p>
    <w:p w:rsidR="005416D1" w:rsidRDefault="00B940E8" w:rsidP="00D03C9E">
      <w:pPr>
        <w:spacing w:after="0" w:line="240" w:lineRule="auto"/>
        <w:ind w:left="20" w:firstLine="0"/>
        <w:jc w:val="center"/>
      </w:pPr>
      <w:r>
        <w:rPr>
          <w:b/>
        </w:rPr>
        <w:t xml:space="preserve">FRANCISCO JAVIER GARCIA QUEZADA </w:t>
      </w:r>
      <w:r>
        <w:t xml:space="preserve">  </w:t>
      </w:r>
    </w:p>
    <w:sectPr w:rsidR="005416D1">
      <w:headerReference w:type="default" r:id="rId7"/>
      <w:pgSz w:w="12240" w:h="18720"/>
      <w:pgMar w:top="825" w:right="1066" w:bottom="2393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C9E" w:rsidRDefault="00D03C9E" w:rsidP="00D03C9E">
      <w:pPr>
        <w:spacing w:after="0" w:line="240" w:lineRule="auto"/>
      </w:pPr>
      <w:r>
        <w:separator/>
      </w:r>
    </w:p>
  </w:endnote>
  <w:endnote w:type="continuationSeparator" w:id="0">
    <w:p w:rsidR="00D03C9E" w:rsidRDefault="00D03C9E" w:rsidP="00D0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C9E" w:rsidRDefault="00D03C9E" w:rsidP="00D03C9E">
      <w:pPr>
        <w:spacing w:after="0" w:line="240" w:lineRule="auto"/>
      </w:pPr>
      <w:r>
        <w:separator/>
      </w:r>
    </w:p>
  </w:footnote>
  <w:footnote w:type="continuationSeparator" w:id="0">
    <w:p w:rsidR="00D03C9E" w:rsidRDefault="00D03C9E" w:rsidP="00D03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9E" w:rsidRDefault="00D03C9E" w:rsidP="00D03C9E">
    <w:pPr>
      <w:spacing w:after="0" w:line="259" w:lineRule="auto"/>
      <w:ind w:left="29" w:firstLine="0"/>
      <w:jc w:val="left"/>
    </w:pPr>
  </w:p>
  <w:tbl>
    <w:tblPr>
      <w:tblStyle w:val="TableGrid"/>
      <w:tblW w:w="10629" w:type="dxa"/>
      <w:tblInd w:w="-132" w:type="dxa"/>
      <w:tblCellMar>
        <w:top w:w="11" w:type="dxa"/>
        <w:left w:w="8" w:type="dxa"/>
        <w:bottom w:w="0" w:type="dxa"/>
        <w:right w:w="276" w:type="dxa"/>
      </w:tblCellMar>
      <w:tblLook w:val="04A0" w:firstRow="1" w:lastRow="0" w:firstColumn="1" w:lastColumn="0" w:noHBand="0" w:noVBand="1"/>
    </w:tblPr>
    <w:tblGrid>
      <w:gridCol w:w="4940"/>
      <w:gridCol w:w="5689"/>
    </w:tblGrid>
    <w:tr w:rsidR="00D03C9E" w:rsidTr="00253A0F">
      <w:trPr>
        <w:trHeight w:val="1695"/>
      </w:trPr>
      <w:tc>
        <w:tcPr>
          <w:tcW w:w="49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3C9E" w:rsidRDefault="00D03C9E" w:rsidP="00D03C9E">
          <w:pPr>
            <w:spacing w:after="0" w:line="259" w:lineRule="auto"/>
            <w:ind w:left="2028" w:firstLine="0"/>
            <w:jc w:val="lef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7D662A89" wp14:editId="537AC793">
                <wp:simplePos x="0" y="0"/>
                <wp:positionH relativeFrom="column">
                  <wp:posOffset>4775</wp:posOffset>
                </wp:positionH>
                <wp:positionV relativeFrom="paragraph">
                  <wp:posOffset>39600</wp:posOffset>
                </wp:positionV>
                <wp:extent cx="859155" cy="1026719"/>
                <wp:effectExtent l="0" t="0" r="0" b="0"/>
                <wp:wrapSquare wrapText="bothSides"/>
                <wp:docPr id="283" name="Picture 28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3" name="Picture 2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0267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Arial" w:hAnsi="Arial" w:cs="Arial"/>
              <w:b/>
              <w:sz w:val="18"/>
            </w:rPr>
            <w:t xml:space="preserve">República de Colombia </w:t>
          </w:r>
          <w:r>
            <w:t xml:space="preserve">  </w:t>
          </w:r>
        </w:p>
        <w:p w:rsidR="00D03C9E" w:rsidRDefault="00D03C9E" w:rsidP="00D03C9E">
          <w:pPr>
            <w:spacing w:after="0" w:line="259" w:lineRule="auto"/>
            <w:ind w:left="0" w:right="193" w:firstLine="0"/>
            <w:jc w:val="right"/>
          </w:pPr>
          <w:r>
            <w:rPr>
              <w:rFonts w:ascii="Arial" w:eastAsia="Arial" w:hAnsi="Arial" w:cs="Arial"/>
              <w:b/>
              <w:sz w:val="18"/>
            </w:rPr>
            <w:t xml:space="preserve"> Rama Judicial del Poder Público </w:t>
          </w:r>
          <w:r>
            <w:t xml:space="preserve">  </w:t>
          </w:r>
        </w:p>
        <w:p w:rsidR="00D03C9E" w:rsidRDefault="00D03C9E" w:rsidP="00D03C9E">
          <w:pPr>
            <w:spacing w:after="0" w:line="259" w:lineRule="auto"/>
            <w:ind w:left="2057" w:firstLine="0"/>
            <w:jc w:val="center"/>
          </w:pPr>
          <w:r>
            <w:rPr>
              <w:rFonts w:ascii="Arial" w:eastAsia="Arial" w:hAnsi="Arial" w:cs="Arial"/>
              <w:b/>
              <w:sz w:val="18"/>
            </w:rPr>
            <w:t xml:space="preserve"> </w:t>
          </w:r>
          <w:r>
            <w:t xml:space="preserve">  </w:t>
          </w:r>
        </w:p>
        <w:p w:rsidR="00D03C9E" w:rsidRDefault="00D03C9E" w:rsidP="00D03C9E">
          <w:pPr>
            <w:spacing w:after="0" w:line="259" w:lineRule="auto"/>
            <w:ind w:left="1292" w:firstLine="0"/>
            <w:jc w:val="center"/>
          </w:pPr>
          <w:r>
            <w:rPr>
              <w:rFonts w:ascii="Arial" w:eastAsia="Arial" w:hAnsi="Arial" w:cs="Arial"/>
              <w:b/>
              <w:sz w:val="18"/>
            </w:rPr>
            <w:t xml:space="preserve">     J</w:t>
          </w:r>
          <w:r>
            <w:rPr>
              <w:rFonts w:ascii="Arial" w:eastAsia="Arial" w:hAnsi="Arial" w:cs="Arial"/>
              <w:b/>
              <w:sz w:val="14"/>
            </w:rPr>
            <w:t xml:space="preserve">UZGADO </w:t>
          </w:r>
          <w:r>
            <w:rPr>
              <w:rFonts w:ascii="Arial" w:eastAsia="Arial" w:hAnsi="Arial" w:cs="Arial"/>
              <w:b/>
              <w:sz w:val="18"/>
            </w:rPr>
            <w:t>P</w:t>
          </w:r>
          <w:r>
            <w:rPr>
              <w:rFonts w:ascii="Arial" w:eastAsia="Arial" w:hAnsi="Arial" w:cs="Arial"/>
              <w:b/>
              <w:sz w:val="14"/>
            </w:rPr>
            <w:t xml:space="preserve">ROMISCUO </w:t>
          </w:r>
          <w:r>
            <w:rPr>
              <w:rFonts w:ascii="Arial" w:eastAsia="Arial" w:hAnsi="Arial" w:cs="Arial"/>
              <w:b/>
              <w:sz w:val="18"/>
            </w:rPr>
            <w:t>M</w:t>
          </w:r>
          <w:r>
            <w:rPr>
              <w:rFonts w:ascii="Arial" w:eastAsia="Arial" w:hAnsi="Arial" w:cs="Arial"/>
              <w:b/>
              <w:sz w:val="14"/>
            </w:rPr>
            <w:t>UNICIPAL</w:t>
          </w:r>
          <w:r>
            <w:rPr>
              <w:rFonts w:ascii="Arial" w:eastAsia="Arial" w:hAnsi="Arial" w:cs="Arial"/>
              <w:b/>
              <w:sz w:val="18"/>
            </w:rPr>
            <w:t xml:space="preserve"> </w:t>
          </w:r>
          <w:r>
            <w:t xml:space="preserve">  </w:t>
          </w:r>
          <w:r>
            <w:rPr>
              <w:rFonts w:ascii="Arial" w:eastAsia="Arial" w:hAnsi="Arial" w:cs="Arial"/>
              <w:b/>
              <w:sz w:val="18"/>
            </w:rPr>
            <w:t>V</w:t>
          </w:r>
          <w:r>
            <w:rPr>
              <w:rFonts w:ascii="Arial" w:eastAsia="Arial" w:hAnsi="Arial" w:cs="Arial"/>
              <w:b/>
              <w:sz w:val="14"/>
            </w:rPr>
            <w:t xml:space="preserve">ALLE DE </w:t>
          </w:r>
          <w:r>
            <w:rPr>
              <w:rFonts w:ascii="Arial" w:eastAsia="Arial" w:hAnsi="Arial" w:cs="Arial"/>
              <w:b/>
              <w:sz w:val="18"/>
            </w:rPr>
            <w:t>S</w:t>
          </w:r>
          <w:r>
            <w:rPr>
              <w:rFonts w:ascii="Arial" w:eastAsia="Arial" w:hAnsi="Arial" w:cs="Arial"/>
              <w:b/>
              <w:sz w:val="14"/>
            </w:rPr>
            <w:t xml:space="preserve">AN </w:t>
          </w:r>
          <w:r>
            <w:rPr>
              <w:rFonts w:ascii="Arial" w:eastAsia="Arial" w:hAnsi="Arial" w:cs="Arial"/>
              <w:b/>
              <w:sz w:val="18"/>
            </w:rPr>
            <w:t>J</w:t>
          </w:r>
          <w:r>
            <w:rPr>
              <w:rFonts w:ascii="Arial" w:eastAsia="Arial" w:hAnsi="Arial" w:cs="Arial"/>
              <w:b/>
              <w:sz w:val="14"/>
            </w:rPr>
            <w:t xml:space="preserve">UAN </w:t>
          </w:r>
          <w:r>
            <w:rPr>
              <w:rFonts w:ascii="Arial" w:eastAsia="Arial" w:hAnsi="Arial" w:cs="Arial"/>
              <w:b/>
              <w:sz w:val="18"/>
            </w:rPr>
            <w:t>-</w:t>
          </w:r>
          <w:r>
            <w:rPr>
              <w:rFonts w:ascii="Arial" w:eastAsia="Arial" w:hAnsi="Arial" w:cs="Arial"/>
              <w:b/>
              <w:sz w:val="14"/>
            </w:rPr>
            <w:t xml:space="preserve"> </w:t>
          </w:r>
          <w:r>
            <w:rPr>
              <w:rFonts w:ascii="Arial" w:eastAsia="Arial" w:hAnsi="Arial" w:cs="Arial"/>
              <w:b/>
              <w:sz w:val="18"/>
            </w:rPr>
            <w:t>T</w:t>
          </w:r>
          <w:r>
            <w:rPr>
              <w:rFonts w:ascii="Arial" w:eastAsia="Arial" w:hAnsi="Arial" w:cs="Arial"/>
              <w:b/>
              <w:sz w:val="14"/>
            </w:rPr>
            <w:t>OLIMA</w:t>
          </w:r>
          <w:r>
            <w:t xml:space="preserve"> </w:t>
          </w:r>
        </w:p>
      </w:tc>
      <w:tc>
        <w:tcPr>
          <w:tcW w:w="56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3C9E" w:rsidRDefault="00D03C9E" w:rsidP="00D03C9E">
          <w:pPr>
            <w:spacing w:after="0" w:line="259" w:lineRule="auto"/>
            <w:ind w:left="96" w:firstLine="0"/>
            <w:jc w:val="left"/>
          </w:pPr>
          <w:r>
            <w:rPr>
              <w:rFonts w:ascii="Bodoni MT" w:eastAsia="Bodoni MT" w:hAnsi="Bodoni MT" w:cs="Bodoni MT"/>
              <w:b/>
              <w:sz w:val="18"/>
            </w:rPr>
            <w:t xml:space="preserve"> </w:t>
          </w:r>
          <w:r>
            <w:rPr>
              <w:rFonts w:ascii="Arial" w:eastAsia="Arial" w:hAnsi="Arial" w:cs="Arial"/>
              <w:b/>
              <w:sz w:val="18"/>
            </w:rPr>
            <w:t>Proceso:              Divisorio (Venta de Bien Común)</w:t>
          </w:r>
          <w:r>
            <w:t xml:space="preserve">  </w:t>
          </w:r>
        </w:p>
        <w:p w:rsidR="00D03C9E" w:rsidRDefault="00D03C9E" w:rsidP="00D03C9E">
          <w:pPr>
            <w:spacing w:after="0" w:line="259" w:lineRule="auto"/>
            <w:ind w:left="96" w:firstLine="0"/>
            <w:jc w:val="left"/>
          </w:pPr>
          <w:r>
            <w:rPr>
              <w:rFonts w:ascii="Arial" w:eastAsia="Arial" w:hAnsi="Arial" w:cs="Arial"/>
              <w:b/>
              <w:sz w:val="18"/>
            </w:rPr>
            <w:t xml:space="preserve"> Demandante:       </w:t>
          </w:r>
          <w:proofErr w:type="spellStart"/>
          <w:r>
            <w:rPr>
              <w:rFonts w:ascii="Arial" w:eastAsia="Arial" w:hAnsi="Arial" w:cs="Arial"/>
              <w:b/>
              <w:sz w:val="18"/>
            </w:rPr>
            <w:t>Amwlia</w:t>
          </w:r>
          <w:proofErr w:type="spellEnd"/>
          <w:r>
            <w:rPr>
              <w:rFonts w:ascii="Arial" w:eastAsia="Arial" w:hAnsi="Arial" w:cs="Arial"/>
              <w:b/>
              <w:sz w:val="18"/>
            </w:rPr>
            <w:t xml:space="preserve"> Acosta Conde  </w:t>
          </w:r>
          <w:r>
            <w:t xml:space="preserve">  </w:t>
          </w:r>
        </w:p>
        <w:p w:rsidR="00D03C9E" w:rsidRDefault="00D03C9E" w:rsidP="00D03C9E">
          <w:pPr>
            <w:spacing w:after="0" w:line="259" w:lineRule="auto"/>
            <w:ind w:left="96" w:firstLine="0"/>
            <w:jc w:val="left"/>
          </w:pPr>
          <w:r>
            <w:rPr>
              <w:rFonts w:ascii="Arial" w:eastAsia="Arial" w:hAnsi="Arial" w:cs="Arial"/>
              <w:b/>
              <w:sz w:val="18"/>
            </w:rPr>
            <w:t xml:space="preserve"> Demandado:        Benedicto Conde Rodríguez y Otros </w:t>
          </w:r>
          <w:r>
            <w:t xml:space="preserve">  </w:t>
          </w:r>
        </w:p>
        <w:p w:rsidR="00D03C9E" w:rsidRDefault="00D03C9E" w:rsidP="00D03C9E">
          <w:pPr>
            <w:spacing w:after="0" w:line="259" w:lineRule="auto"/>
            <w:ind w:left="96" w:firstLine="0"/>
            <w:jc w:val="left"/>
          </w:pPr>
          <w:r>
            <w:rPr>
              <w:rFonts w:ascii="Arial" w:eastAsia="Arial" w:hAnsi="Arial" w:cs="Arial"/>
              <w:b/>
              <w:sz w:val="18"/>
            </w:rPr>
            <w:t xml:space="preserve"> Radicación:         2022-00020-00 </w:t>
          </w:r>
          <w:r>
            <w:t xml:space="preserve">  </w:t>
          </w:r>
        </w:p>
        <w:p w:rsidR="00D03C9E" w:rsidRDefault="00D03C9E" w:rsidP="00D03C9E">
          <w:pPr>
            <w:spacing w:after="0" w:line="259" w:lineRule="auto"/>
            <w:ind w:left="96" w:firstLine="0"/>
            <w:jc w:val="left"/>
          </w:pPr>
          <w:r>
            <w:rPr>
              <w:rFonts w:ascii="Arial" w:eastAsia="Arial" w:hAnsi="Arial" w:cs="Arial"/>
              <w:b/>
              <w:sz w:val="18"/>
            </w:rPr>
            <w:t xml:space="preserve"> Asunto:               Auto fija fecha para diligencia de licitación </w:t>
          </w:r>
          <w:r>
            <w:t xml:space="preserve">   </w:t>
          </w:r>
        </w:p>
      </w:tc>
    </w:tr>
  </w:tbl>
  <w:p w:rsidR="00D03C9E" w:rsidRDefault="00D03C9E" w:rsidP="00D03C9E">
    <w:pPr>
      <w:spacing w:after="0" w:line="259" w:lineRule="auto"/>
      <w:ind w:left="566" w:firstLine="0"/>
      <w:jc w:val="left"/>
    </w:pP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6D1"/>
    <w:rsid w:val="005416D1"/>
    <w:rsid w:val="00A03F16"/>
    <w:rsid w:val="00B940E8"/>
    <w:rsid w:val="00D0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7C67"/>
  <w15:docId w15:val="{49FD0091-003B-46CB-AF5E-453ADD4D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9" w:lineRule="auto"/>
      <w:ind w:left="595" w:firstLine="532"/>
      <w:jc w:val="both"/>
    </w:pPr>
    <w:rPr>
      <w:rFonts w:ascii="Century Gothic" w:eastAsia="Century Gothic" w:hAnsi="Century Gothic" w:cs="Century Gothic"/>
      <w:color w:val="000000"/>
      <w:sz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C9E"/>
    <w:rPr>
      <w:rFonts w:ascii="Century Gothic" w:eastAsia="Century Gothic" w:hAnsi="Century Gothic" w:cs="Century Gothic"/>
      <w:color w:val="000000"/>
      <w:sz w:val="25"/>
    </w:rPr>
  </w:style>
  <w:style w:type="paragraph" w:styleId="Piedepgina">
    <w:name w:val="footer"/>
    <w:basedOn w:val="Normal"/>
    <w:link w:val="PiedepginaCar"/>
    <w:uiPriority w:val="99"/>
    <w:unhideWhenUsed/>
    <w:rsid w:val="00D03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C9E"/>
    <w:rPr>
      <w:rFonts w:ascii="Century Gothic" w:eastAsia="Century Gothic" w:hAnsi="Century Gothic" w:cs="Century Gothic"/>
      <w:color w:val="00000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PALOCABILDO</dc:creator>
  <cp:keywords/>
  <cp:lastModifiedBy>JUZGADO VALLE DE SAN</cp:lastModifiedBy>
  <cp:revision>2</cp:revision>
  <dcterms:created xsi:type="dcterms:W3CDTF">2023-03-22T19:43:00Z</dcterms:created>
  <dcterms:modified xsi:type="dcterms:W3CDTF">2023-03-22T19:43:00Z</dcterms:modified>
</cp:coreProperties>
</file>