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A60468" w14:textId="248C8A42" w:rsidR="00F0168E" w:rsidRPr="003C12DC" w:rsidRDefault="00381FBE" w:rsidP="00F0168E">
      <w:pPr>
        <w:jc w:val="center"/>
        <w:rPr>
          <w:rFonts w:cs="Tahoma"/>
          <w:b/>
          <w:bCs/>
          <w:color w:val="FFFFFF" w:themeColor="background1"/>
          <w:sz w:val="40"/>
          <w:szCs w:val="40"/>
        </w:rPr>
      </w:pPr>
      <w:r w:rsidRPr="003C12DC">
        <w:rPr>
          <w:rFonts w:cs="Tahoma"/>
          <w:noProof/>
          <w:color w:val="000000" w:themeColor="text1"/>
          <w:sz w:val="24"/>
          <w:szCs w:val="24"/>
          <w:lang w:eastAsia="es-CO"/>
        </w:rPr>
        <w:drawing>
          <wp:anchor distT="0" distB="0" distL="114300" distR="114300" simplePos="0" relativeHeight="251703296" behindDoc="1" locked="1" layoutInCell="1" allowOverlap="1" wp14:anchorId="78C2CE79" wp14:editId="38F317BE">
            <wp:simplePos x="0" y="0"/>
            <wp:positionH relativeFrom="margin">
              <wp:posOffset>-791845</wp:posOffset>
            </wp:positionH>
            <wp:positionV relativeFrom="margin">
              <wp:posOffset>-1368425</wp:posOffset>
            </wp:positionV>
            <wp:extent cx="7778115" cy="1005840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Rendicion de Cuentas.jpg"/>
                    <pic:cNvPicPr/>
                  </pic:nvPicPr>
                  <pic:blipFill>
                    <a:blip r:embed="rId8">
                      <a:extLst>
                        <a:ext uri="{28A0092B-C50C-407E-A947-70E740481C1C}">
                          <a14:useLocalDpi xmlns:a14="http://schemas.microsoft.com/office/drawing/2010/main" val="0"/>
                        </a:ext>
                      </a:extLst>
                    </a:blip>
                    <a:stretch>
                      <a:fillRect/>
                    </a:stretch>
                  </pic:blipFill>
                  <pic:spPr>
                    <a:xfrm>
                      <a:off x="0" y="0"/>
                      <a:ext cx="7778115" cy="10058400"/>
                    </a:xfrm>
                    <a:prstGeom prst="rect">
                      <a:avLst/>
                    </a:prstGeom>
                  </pic:spPr>
                </pic:pic>
              </a:graphicData>
            </a:graphic>
            <wp14:sizeRelH relativeFrom="page">
              <wp14:pctWidth>0</wp14:pctWidth>
            </wp14:sizeRelH>
            <wp14:sizeRelV relativeFrom="page">
              <wp14:pctHeight>0</wp14:pctHeight>
            </wp14:sizeRelV>
          </wp:anchor>
        </w:drawing>
      </w:r>
    </w:p>
    <w:p w14:paraId="65F4B1D4" w14:textId="77777777" w:rsidR="00F0168E" w:rsidRPr="003C12DC" w:rsidRDefault="00F0168E" w:rsidP="00F0168E">
      <w:pPr>
        <w:jc w:val="center"/>
        <w:rPr>
          <w:rFonts w:cs="Tahoma"/>
          <w:b/>
          <w:bCs/>
          <w:color w:val="FFFFFF" w:themeColor="background1"/>
          <w:sz w:val="40"/>
          <w:szCs w:val="40"/>
        </w:rPr>
      </w:pPr>
    </w:p>
    <w:p w14:paraId="50B6E82F" w14:textId="77777777" w:rsidR="00F0168E" w:rsidRPr="003C12DC" w:rsidRDefault="00F0168E" w:rsidP="007C4CDE">
      <w:pPr>
        <w:pStyle w:val="Sinespaciado"/>
        <w:jc w:val="center"/>
        <w:rPr>
          <w:color w:val="FFFFFF" w:themeColor="background1"/>
        </w:rPr>
      </w:pPr>
    </w:p>
    <w:p w14:paraId="204FAD76" w14:textId="0086C0B0" w:rsidR="00F0168E" w:rsidRPr="003C12DC" w:rsidRDefault="00F0168E" w:rsidP="00F0168E">
      <w:pPr>
        <w:jc w:val="center"/>
        <w:rPr>
          <w:rFonts w:cs="Tahoma"/>
          <w:b/>
          <w:bCs/>
          <w:color w:val="FFFFFF" w:themeColor="background1"/>
          <w:sz w:val="40"/>
          <w:szCs w:val="40"/>
        </w:rPr>
      </w:pPr>
    </w:p>
    <w:p w14:paraId="4C9AD0DE" w14:textId="77777777" w:rsidR="00B57F3D" w:rsidRPr="003C12DC" w:rsidRDefault="00B57F3D" w:rsidP="00F0168E">
      <w:pPr>
        <w:jc w:val="center"/>
        <w:rPr>
          <w:rFonts w:cs="Tahoma"/>
          <w:b/>
          <w:bCs/>
          <w:color w:val="FFFFFF" w:themeColor="background1"/>
          <w:sz w:val="40"/>
          <w:szCs w:val="40"/>
        </w:rPr>
      </w:pPr>
    </w:p>
    <w:p w14:paraId="3DA0DD80" w14:textId="5F5E54C9" w:rsidR="00F0168E" w:rsidRPr="003C12DC" w:rsidRDefault="00F0168E" w:rsidP="00F0168E">
      <w:pPr>
        <w:jc w:val="center"/>
        <w:rPr>
          <w:rFonts w:cs="Tahoma"/>
          <w:b/>
          <w:bCs/>
          <w:color w:val="FFFFFF" w:themeColor="background1"/>
          <w:sz w:val="40"/>
          <w:szCs w:val="40"/>
        </w:rPr>
      </w:pPr>
    </w:p>
    <w:p w14:paraId="40E78254" w14:textId="0C7FAC28" w:rsidR="00F0168E" w:rsidRPr="003C12DC" w:rsidRDefault="00F0168E" w:rsidP="00F0168E">
      <w:pPr>
        <w:jc w:val="center"/>
        <w:rPr>
          <w:rFonts w:cs="Tahoma"/>
          <w:b/>
          <w:bCs/>
          <w:color w:val="FFFFFF" w:themeColor="background1"/>
          <w:sz w:val="40"/>
          <w:szCs w:val="40"/>
        </w:rPr>
      </w:pPr>
    </w:p>
    <w:p w14:paraId="18FC33A1" w14:textId="627C7AB1" w:rsidR="00F0168E" w:rsidRPr="003C12DC" w:rsidRDefault="00F0168E" w:rsidP="00F0168E">
      <w:pPr>
        <w:jc w:val="center"/>
        <w:rPr>
          <w:rFonts w:cs="Tahoma"/>
          <w:b/>
          <w:bCs/>
          <w:color w:val="FFFFFF" w:themeColor="background1"/>
          <w:sz w:val="40"/>
          <w:szCs w:val="40"/>
        </w:rPr>
      </w:pPr>
    </w:p>
    <w:p w14:paraId="5C7BCE9C" w14:textId="14B22F9C" w:rsidR="003C12DC" w:rsidRPr="003C12DC" w:rsidRDefault="003C12DC" w:rsidP="00F0168E">
      <w:pPr>
        <w:jc w:val="center"/>
        <w:rPr>
          <w:rFonts w:cs="Tahoma"/>
          <w:b/>
          <w:bCs/>
          <w:color w:val="FFFFFF" w:themeColor="background1"/>
          <w:sz w:val="40"/>
          <w:szCs w:val="40"/>
        </w:rPr>
      </w:pPr>
    </w:p>
    <w:p w14:paraId="12D92D98" w14:textId="30B6E35B" w:rsidR="003C12DC" w:rsidRPr="003C12DC" w:rsidRDefault="003C12DC" w:rsidP="00F0168E">
      <w:pPr>
        <w:jc w:val="center"/>
        <w:rPr>
          <w:rFonts w:cs="Tahoma"/>
          <w:b/>
          <w:bCs/>
          <w:color w:val="FFFFFF" w:themeColor="background1"/>
          <w:sz w:val="40"/>
          <w:szCs w:val="40"/>
        </w:rPr>
      </w:pPr>
    </w:p>
    <w:p w14:paraId="733CEA4E" w14:textId="02F5A0C9" w:rsidR="003C12DC" w:rsidRPr="003C12DC" w:rsidRDefault="003C12DC" w:rsidP="00F0168E">
      <w:pPr>
        <w:jc w:val="center"/>
        <w:rPr>
          <w:rFonts w:cs="Tahoma"/>
          <w:b/>
          <w:bCs/>
          <w:color w:val="FFFFFF" w:themeColor="background1"/>
          <w:sz w:val="40"/>
          <w:szCs w:val="40"/>
        </w:rPr>
      </w:pPr>
    </w:p>
    <w:p w14:paraId="2425E89B" w14:textId="77777777" w:rsidR="003C12DC" w:rsidRPr="003C12DC" w:rsidRDefault="003C12DC" w:rsidP="00F0168E">
      <w:pPr>
        <w:jc w:val="center"/>
        <w:rPr>
          <w:rFonts w:cs="Tahoma"/>
          <w:b/>
          <w:bCs/>
          <w:color w:val="FFFFFF" w:themeColor="background1"/>
          <w:sz w:val="40"/>
          <w:szCs w:val="40"/>
        </w:rPr>
      </w:pPr>
    </w:p>
    <w:p w14:paraId="4DEB2C3E" w14:textId="2DB2FA2D" w:rsidR="00F0168E" w:rsidRPr="003C12DC" w:rsidRDefault="00F0168E" w:rsidP="00F0168E">
      <w:pPr>
        <w:jc w:val="center"/>
        <w:rPr>
          <w:rFonts w:cs="Tahoma"/>
          <w:b/>
          <w:bCs/>
          <w:color w:val="FFFFFF" w:themeColor="background1"/>
          <w:sz w:val="40"/>
          <w:szCs w:val="40"/>
        </w:rPr>
      </w:pPr>
    </w:p>
    <w:p w14:paraId="46346983" w14:textId="1CBD16E1" w:rsidR="007C4CDE" w:rsidRPr="003C12DC" w:rsidRDefault="007C4CDE" w:rsidP="007C4CDE">
      <w:pPr>
        <w:pStyle w:val="Sinespaciado"/>
        <w:jc w:val="center"/>
        <w:rPr>
          <w:b/>
          <w:bCs/>
          <w:color w:val="FFFFFF" w:themeColor="background1"/>
          <w:sz w:val="40"/>
          <w:szCs w:val="40"/>
        </w:rPr>
      </w:pPr>
    </w:p>
    <w:p w14:paraId="1D8FA360" w14:textId="77777777" w:rsidR="003C12DC" w:rsidRPr="003C12DC" w:rsidRDefault="003C12DC" w:rsidP="007C4CDE">
      <w:pPr>
        <w:pStyle w:val="Sinespaciado"/>
        <w:jc w:val="center"/>
        <w:rPr>
          <w:b/>
          <w:bCs/>
          <w:color w:val="FFFFFF" w:themeColor="background1"/>
          <w:sz w:val="40"/>
          <w:szCs w:val="40"/>
        </w:rPr>
      </w:pPr>
    </w:p>
    <w:p w14:paraId="5009FCB6" w14:textId="77777777" w:rsidR="007C4CDE" w:rsidRPr="003C12DC" w:rsidRDefault="002E3739" w:rsidP="007C4CDE">
      <w:pPr>
        <w:pStyle w:val="Sinespaciado"/>
        <w:jc w:val="center"/>
        <w:rPr>
          <w:b/>
          <w:bCs/>
          <w:color w:val="FFFFFF" w:themeColor="background1"/>
          <w:sz w:val="40"/>
          <w:szCs w:val="40"/>
        </w:rPr>
      </w:pPr>
      <w:r w:rsidRPr="003C12DC">
        <w:rPr>
          <w:b/>
          <w:bCs/>
          <w:color w:val="FFFFFF" w:themeColor="background1"/>
          <w:sz w:val="40"/>
          <w:szCs w:val="40"/>
        </w:rPr>
        <w:t>Consejo Seccional de la Judicatura</w:t>
      </w:r>
    </w:p>
    <w:p w14:paraId="596C7F13" w14:textId="18C9A3BD" w:rsidR="00283A88" w:rsidRPr="003C12DC" w:rsidRDefault="00340017" w:rsidP="003C12DC">
      <w:pPr>
        <w:pStyle w:val="Sinespaciado"/>
        <w:jc w:val="center"/>
        <w:rPr>
          <w:b/>
          <w:bCs/>
          <w:color w:val="FFFFFF" w:themeColor="background1"/>
          <w:sz w:val="40"/>
          <w:szCs w:val="40"/>
        </w:rPr>
      </w:pPr>
      <w:r>
        <w:rPr>
          <w:b/>
          <w:bCs/>
          <w:color w:val="FFFFFF" w:themeColor="background1"/>
          <w:sz w:val="40"/>
          <w:szCs w:val="40"/>
        </w:rPr>
        <w:t>De Norte de Santander</w:t>
      </w:r>
    </w:p>
    <w:p w14:paraId="3AAF0AE4" w14:textId="77777777" w:rsidR="00726596" w:rsidRPr="003C12DC" w:rsidRDefault="00726596" w:rsidP="00283A88">
      <w:pPr>
        <w:jc w:val="center"/>
        <w:rPr>
          <w:lang w:val="es-ES"/>
        </w:rPr>
      </w:pPr>
    </w:p>
    <w:p w14:paraId="35DDEB3F" w14:textId="77777777" w:rsidR="00726596" w:rsidRPr="003C12DC" w:rsidRDefault="00726596" w:rsidP="00283A88">
      <w:pPr>
        <w:jc w:val="center"/>
        <w:rPr>
          <w:lang w:val="es-ES"/>
        </w:rPr>
      </w:pPr>
    </w:p>
    <w:p w14:paraId="3872D0D0" w14:textId="77777777" w:rsidR="00726596" w:rsidRPr="003C12DC" w:rsidRDefault="00726596" w:rsidP="00283A88">
      <w:pPr>
        <w:jc w:val="center"/>
        <w:rPr>
          <w:lang w:val="es-ES"/>
        </w:rPr>
      </w:pPr>
    </w:p>
    <w:p w14:paraId="458B04C0" w14:textId="77777777" w:rsidR="00726596" w:rsidRPr="003C12DC" w:rsidRDefault="00726596" w:rsidP="00283A88">
      <w:pPr>
        <w:jc w:val="center"/>
        <w:rPr>
          <w:lang w:val="es-ES"/>
        </w:rPr>
      </w:pPr>
    </w:p>
    <w:p w14:paraId="5DAEA845" w14:textId="77777777" w:rsidR="00726596" w:rsidRPr="003C12DC" w:rsidRDefault="00726596" w:rsidP="00283A88">
      <w:pPr>
        <w:jc w:val="center"/>
        <w:rPr>
          <w:lang w:val="es-ES"/>
        </w:rPr>
      </w:pPr>
    </w:p>
    <w:p w14:paraId="6478F86A" w14:textId="77777777" w:rsidR="007C4CDE" w:rsidRPr="003C12DC" w:rsidRDefault="007C4CDE" w:rsidP="00726596">
      <w:pPr>
        <w:rPr>
          <w:lang w:val="es-ES"/>
        </w:rPr>
      </w:pPr>
    </w:p>
    <w:p w14:paraId="5AAEC0B3" w14:textId="77777777" w:rsidR="003C12DC" w:rsidRPr="003C12DC" w:rsidRDefault="003C12DC" w:rsidP="00726596">
      <w:pPr>
        <w:rPr>
          <w:lang w:val="es-ES"/>
        </w:rPr>
      </w:pPr>
    </w:p>
    <w:p w14:paraId="5253BAFC" w14:textId="77777777" w:rsidR="003C12DC" w:rsidRPr="003C12DC" w:rsidRDefault="003C12DC" w:rsidP="00726596">
      <w:pPr>
        <w:rPr>
          <w:lang w:val="es-ES"/>
        </w:rPr>
      </w:pPr>
    </w:p>
    <w:p w14:paraId="3AEFAE39" w14:textId="77777777" w:rsidR="003C12DC" w:rsidRPr="003C12DC" w:rsidRDefault="003C12DC" w:rsidP="00726596">
      <w:pPr>
        <w:rPr>
          <w:lang w:val="es-ES"/>
        </w:rPr>
      </w:pPr>
    </w:p>
    <w:p w14:paraId="288D53BE" w14:textId="77777777" w:rsidR="003C12DC" w:rsidRPr="003C12DC" w:rsidRDefault="003C12DC" w:rsidP="00726596">
      <w:pPr>
        <w:rPr>
          <w:lang w:val="es-ES"/>
        </w:rPr>
      </w:pPr>
    </w:p>
    <w:p w14:paraId="33553F15" w14:textId="77777777" w:rsidR="003C12DC" w:rsidRPr="003C12DC" w:rsidRDefault="003C12DC" w:rsidP="00726596">
      <w:pPr>
        <w:rPr>
          <w:lang w:val="es-ES"/>
        </w:rPr>
      </w:pPr>
    </w:p>
    <w:p w14:paraId="0C6DFBF6" w14:textId="77777777" w:rsidR="003C12DC" w:rsidRPr="003C12DC" w:rsidRDefault="003C12DC" w:rsidP="00726596">
      <w:pPr>
        <w:rPr>
          <w:lang w:val="es-ES"/>
        </w:rPr>
      </w:pPr>
    </w:p>
    <w:p w14:paraId="721DEDF1" w14:textId="6861D67A" w:rsidR="00726596" w:rsidRPr="003C12DC" w:rsidRDefault="00726596" w:rsidP="00726596">
      <w:pPr>
        <w:rPr>
          <w:lang w:val="es-ES"/>
        </w:rPr>
      </w:pPr>
      <w:r w:rsidRPr="003C12DC">
        <w:rPr>
          <w:noProof/>
          <w:lang w:eastAsia="es-CO"/>
        </w:rPr>
        <w:drawing>
          <wp:anchor distT="0" distB="0" distL="114300" distR="114300" simplePos="0" relativeHeight="251760639" behindDoc="1" locked="1" layoutInCell="1" allowOverlap="1" wp14:anchorId="5A7D0F3D" wp14:editId="2BE486C3">
            <wp:simplePos x="0" y="0"/>
            <wp:positionH relativeFrom="page">
              <wp:align>right</wp:align>
            </wp:positionH>
            <wp:positionV relativeFrom="page">
              <wp:posOffset>13335</wp:posOffset>
            </wp:positionV>
            <wp:extent cx="7772400" cy="10050780"/>
            <wp:effectExtent l="0" t="0" r="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ndicion de Cuentas del CSJ - Seccionales _03.jpg"/>
                    <pic:cNvPicPr/>
                  </pic:nvPicPr>
                  <pic:blipFill>
                    <a:blip r:embed="rId9">
                      <a:extLst>
                        <a:ext uri="{28A0092B-C50C-407E-A947-70E740481C1C}">
                          <a14:useLocalDpi xmlns:a14="http://schemas.microsoft.com/office/drawing/2010/main" val="0"/>
                        </a:ext>
                      </a:extLst>
                    </a:blip>
                    <a:stretch>
                      <a:fillRect/>
                    </a:stretch>
                  </pic:blipFill>
                  <pic:spPr>
                    <a:xfrm>
                      <a:off x="0" y="0"/>
                      <a:ext cx="7772400" cy="10050780"/>
                    </a:xfrm>
                    <a:prstGeom prst="rect">
                      <a:avLst/>
                    </a:prstGeom>
                  </pic:spPr>
                </pic:pic>
              </a:graphicData>
            </a:graphic>
            <wp14:sizeRelH relativeFrom="page">
              <wp14:pctWidth>0</wp14:pctWidth>
            </wp14:sizeRelH>
            <wp14:sizeRelV relativeFrom="page">
              <wp14:pctHeight>0</wp14:pctHeight>
            </wp14:sizeRelV>
          </wp:anchor>
        </w:drawing>
      </w:r>
    </w:p>
    <w:p w14:paraId="6724A18A" w14:textId="71DC554D" w:rsidR="00283A88" w:rsidRPr="003C12DC" w:rsidRDefault="008F74C2" w:rsidP="00726596">
      <w:pPr>
        <w:pStyle w:val="Sinespaciado"/>
        <w:jc w:val="center"/>
        <w:rPr>
          <w:b/>
          <w:bCs/>
          <w:color w:val="FFFFFF" w:themeColor="background1"/>
          <w:sz w:val="32"/>
          <w:szCs w:val="32"/>
          <w:lang w:val="es-ES"/>
        </w:rPr>
      </w:pPr>
      <w:r>
        <w:rPr>
          <w:b/>
          <w:bCs/>
          <w:color w:val="FFFFFF" w:themeColor="background1"/>
          <w:sz w:val="32"/>
          <w:szCs w:val="32"/>
          <w:lang w:val="es-ES"/>
        </w:rPr>
        <w:t>MARÍA INÉ</w:t>
      </w:r>
      <w:r w:rsidR="001D1B87">
        <w:rPr>
          <w:b/>
          <w:bCs/>
          <w:color w:val="FFFFFF" w:themeColor="background1"/>
          <w:sz w:val="32"/>
          <w:szCs w:val="32"/>
          <w:lang w:val="es-ES"/>
        </w:rPr>
        <w:t>S BLANCO</w:t>
      </w:r>
      <w:r>
        <w:rPr>
          <w:b/>
          <w:bCs/>
          <w:color w:val="FFFFFF" w:themeColor="background1"/>
          <w:sz w:val="32"/>
          <w:szCs w:val="32"/>
          <w:lang w:val="es-ES"/>
        </w:rPr>
        <w:t xml:space="preserve"> </w:t>
      </w:r>
      <w:r>
        <w:rPr>
          <w:b/>
          <w:bCs/>
          <w:color w:val="FFFFFF" w:themeColor="background1"/>
          <w:sz w:val="32"/>
          <w:szCs w:val="32"/>
          <w:lang w:val="es-ES"/>
        </w:rPr>
        <w:t>TURIZO</w:t>
      </w:r>
    </w:p>
    <w:p w14:paraId="035619F5" w14:textId="3DBC248E" w:rsidR="00283A88" w:rsidRPr="003C12DC" w:rsidRDefault="008F74C2" w:rsidP="00726596">
      <w:pPr>
        <w:pStyle w:val="Sinespaciado"/>
        <w:jc w:val="center"/>
        <w:rPr>
          <w:color w:val="FFFFFF" w:themeColor="background1"/>
          <w:sz w:val="24"/>
          <w:szCs w:val="24"/>
          <w:lang w:val="es-ES"/>
        </w:rPr>
      </w:pPr>
      <w:r>
        <w:rPr>
          <w:color w:val="FFFFFF" w:themeColor="background1"/>
          <w:sz w:val="24"/>
          <w:szCs w:val="24"/>
          <w:lang w:val="es-ES"/>
        </w:rPr>
        <w:t>Presidenta</w:t>
      </w:r>
    </w:p>
    <w:p w14:paraId="25D51AC4" w14:textId="6BE30ABE" w:rsidR="00283A88" w:rsidRPr="003C12DC" w:rsidRDefault="00283A88" w:rsidP="00726596">
      <w:pPr>
        <w:pStyle w:val="Sinespaciado"/>
        <w:jc w:val="center"/>
        <w:rPr>
          <w:color w:val="FFFFFF" w:themeColor="background1"/>
          <w:sz w:val="24"/>
          <w:szCs w:val="24"/>
          <w:lang w:val="es-ES"/>
        </w:rPr>
      </w:pPr>
      <w:r w:rsidRPr="003C12DC">
        <w:rPr>
          <w:color w:val="FFFFFF" w:themeColor="background1"/>
          <w:sz w:val="24"/>
          <w:szCs w:val="24"/>
          <w:lang w:val="es-ES"/>
        </w:rPr>
        <w:t xml:space="preserve">Consejo Seccional de la Judicatura </w:t>
      </w:r>
      <w:r w:rsidR="001D1B87">
        <w:rPr>
          <w:color w:val="FFFFFF" w:themeColor="background1"/>
          <w:sz w:val="24"/>
          <w:szCs w:val="24"/>
          <w:lang w:val="es-ES"/>
        </w:rPr>
        <w:t xml:space="preserve">Norte de Santander </w:t>
      </w:r>
    </w:p>
    <w:p w14:paraId="453D0F76" w14:textId="5286F3D7" w:rsidR="00726596" w:rsidRPr="003C12DC" w:rsidRDefault="00726596" w:rsidP="00726596">
      <w:pPr>
        <w:pStyle w:val="Sinespaciado"/>
        <w:jc w:val="center"/>
        <w:rPr>
          <w:color w:val="FFFFFF" w:themeColor="background1"/>
          <w:sz w:val="24"/>
          <w:szCs w:val="24"/>
          <w:lang w:val="es-ES"/>
        </w:rPr>
      </w:pPr>
    </w:p>
    <w:p w14:paraId="1E454E02" w14:textId="20DB5533" w:rsidR="00726596" w:rsidRPr="003C12DC" w:rsidRDefault="00726596" w:rsidP="00726596">
      <w:pPr>
        <w:pStyle w:val="Sinespaciado"/>
        <w:jc w:val="center"/>
        <w:rPr>
          <w:color w:val="FFFFFF" w:themeColor="background1"/>
          <w:sz w:val="24"/>
          <w:szCs w:val="24"/>
          <w:lang w:val="es-ES"/>
        </w:rPr>
      </w:pPr>
    </w:p>
    <w:p w14:paraId="196051CF" w14:textId="77777777" w:rsidR="00726596" w:rsidRPr="003C12DC" w:rsidRDefault="00726596" w:rsidP="00726596">
      <w:pPr>
        <w:pStyle w:val="Sinespaciado"/>
        <w:jc w:val="center"/>
        <w:rPr>
          <w:color w:val="FFFFFF" w:themeColor="background1"/>
          <w:sz w:val="24"/>
          <w:szCs w:val="24"/>
          <w:lang w:val="es-ES"/>
        </w:rPr>
      </w:pPr>
    </w:p>
    <w:p w14:paraId="1801EF81" w14:textId="47D6C208" w:rsidR="002E3739" w:rsidRPr="003C12DC" w:rsidRDefault="002E3739" w:rsidP="002E3739">
      <w:pPr>
        <w:jc w:val="center"/>
        <w:rPr>
          <w:rFonts w:cs="Tahoma"/>
          <w:b/>
          <w:bCs/>
          <w:color w:val="FFFFFF" w:themeColor="background1"/>
          <w:sz w:val="40"/>
          <w:szCs w:val="40"/>
        </w:rPr>
      </w:pPr>
    </w:p>
    <w:p w14:paraId="55ED9F37" w14:textId="42E50DB0" w:rsidR="002E3739" w:rsidRPr="003C12DC" w:rsidRDefault="002E3739" w:rsidP="002E3739">
      <w:pPr>
        <w:jc w:val="center"/>
        <w:rPr>
          <w:rFonts w:cs="Tahoma"/>
          <w:b/>
          <w:bCs/>
          <w:color w:val="FFFFFF" w:themeColor="background1"/>
          <w:sz w:val="40"/>
          <w:szCs w:val="40"/>
        </w:rPr>
      </w:pPr>
    </w:p>
    <w:p w14:paraId="55ECDEFF" w14:textId="79B8613E" w:rsidR="002E3739" w:rsidRPr="003C12DC" w:rsidRDefault="002E3739" w:rsidP="002E3739">
      <w:pPr>
        <w:jc w:val="center"/>
        <w:rPr>
          <w:rFonts w:cs="Tahoma"/>
          <w:b/>
          <w:bCs/>
          <w:color w:val="FFFFFF" w:themeColor="background1"/>
          <w:sz w:val="40"/>
          <w:szCs w:val="40"/>
        </w:rPr>
      </w:pPr>
    </w:p>
    <w:p w14:paraId="31778D46" w14:textId="527372BF" w:rsidR="00643E95" w:rsidRPr="003C12DC" w:rsidRDefault="00643E95" w:rsidP="002E3739">
      <w:pPr>
        <w:jc w:val="center"/>
        <w:rPr>
          <w:rFonts w:cs="Tahoma"/>
          <w:b/>
          <w:bCs/>
          <w:color w:val="FFFFFF" w:themeColor="background1"/>
          <w:sz w:val="40"/>
          <w:szCs w:val="40"/>
        </w:rPr>
      </w:pPr>
    </w:p>
    <w:p w14:paraId="3205EBB2" w14:textId="77777777" w:rsidR="00643E95" w:rsidRPr="003C12DC" w:rsidRDefault="00643E95" w:rsidP="002E3739">
      <w:pPr>
        <w:jc w:val="center"/>
        <w:rPr>
          <w:rFonts w:cs="Tahoma"/>
          <w:b/>
          <w:bCs/>
          <w:color w:val="FFFFFF" w:themeColor="background1"/>
          <w:sz w:val="40"/>
          <w:szCs w:val="40"/>
        </w:rPr>
      </w:pPr>
    </w:p>
    <w:p w14:paraId="31BAA896" w14:textId="60E2592F" w:rsidR="00580B70" w:rsidRPr="003C12DC" w:rsidRDefault="00580B70" w:rsidP="00F0168E">
      <w:pPr>
        <w:jc w:val="center"/>
        <w:rPr>
          <w:rFonts w:cs="Tahoma"/>
          <w:b/>
          <w:bCs/>
          <w:sz w:val="40"/>
          <w:szCs w:val="40"/>
        </w:rPr>
      </w:pPr>
    </w:p>
    <w:p w14:paraId="66843FFB" w14:textId="7A976D33" w:rsidR="00580B70" w:rsidRPr="003C12DC" w:rsidRDefault="00580B70" w:rsidP="00F0168E">
      <w:pPr>
        <w:jc w:val="center"/>
        <w:rPr>
          <w:rFonts w:cs="Tahoma"/>
          <w:b/>
          <w:bCs/>
          <w:sz w:val="40"/>
          <w:szCs w:val="40"/>
        </w:rPr>
      </w:pPr>
    </w:p>
    <w:p w14:paraId="1E4548BF" w14:textId="3F31B389" w:rsidR="00580B70" w:rsidRPr="003C12DC" w:rsidRDefault="00580B70" w:rsidP="00F0168E">
      <w:pPr>
        <w:jc w:val="center"/>
        <w:rPr>
          <w:rFonts w:cs="Tahoma"/>
          <w:b/>
          <w:bCs/>
          <w:sz w:val="40"/>
          <w:szCs w:val="40"/>
        </w:rPr>
      </w:pPr>
    </w:p>
    <w:p w14:paraId="40BEA15E" w14:textId="6C4169D7" w:rsidR="00580B70" w:rsidRPr="003C12DC" w:rsidRDefault="00580B70" w:rsidP="00F0168E">
      <w:pPr>
        <w:jc w:val="center"/>
        <w:rPr>
          <w:rFonts w:cs="Tahoma"/>
          <w:b/>
          <w:bCs/>
          <w:sz w:val="40"/>
          <w:szCs w:val="40"/>
        </w:rPr>
      </w:pPr>
    </w:p>
    <w:p w14:paraId="24863D04" w14:textId="4CDF891C" w:rsidR="00580B70" w:rsidRPr="003C12DC" w:rsidRDefault="00580B70" w:rsidP="00F0168E">
      <w:pPr>
        <w:jc w:val="center"/>
        <w:rPr>
          <w:rFonts w:cs="Tahoma"/>
          <w:b/>
          <w:bCs/>
          <w:sz w:val="40"/>
          <w:szCs w:val="40"/>
        </w:rPr>
      </w:pPr>
    </w:p>
    <w:p w14:paraId="41507FE6" w14:textId="77777777" w:rsidR="00580B70" w:rsidRPr="003C12DC" w:rsidRDefault="00580B70" w:rsidP="002E3739">
      <w:pPr>
        <w:pStyle w:val="Prrafodelista"/>
        <w:numPr>
          <w:ilvl w:val="0"/>
          <w:numId w:val="19"/>
        </w:numPr>
        <w:ind w:left="567" w:hanging="567"/>
        <w:rPr>
          <w:rFonts w:cstheme="minorHAnsi"/>
          <w:b/>
          <w:bCs/>
          <w:color w:val="2F5496" w:themeColor="accent1" w:themeShade="BF"/>
          <w:sz w:val="22"/>
          <w:szCs w:val="22"/>
        </w:rPr>
        <w:sectPr w:rsidR="00580B70" w:rsidRPr="003C12DC" w:rsidSect="00E17277">
          <w:headerReference w:type="default" r:id="rId10"/>
          <w:headerReference w:type="first" r:id="rId11"/>
          <w:footerReference w:type="first" r:id="rId12"/>
          <w:type w:val="continuous"/>
          <w:pgSz w:w="12240" w:h="15840"/>
          <w:pgMar w:top="2155" w:right="1701" w:bottom="1418" w:left="1247" w:header="709" w:footer="709" w:gutter="0"/>
          <w:pgNumType w:start="1"/>
          <w:cols w:num="2" w:space="284"/>
          <w:titlePg/>
          <w:docGrid w:linePitch="360"/>
        </w:sectPr>
      </w:pPr>
    </w:p>
    <w:p w14:paraId="215013C2" w14:textId="3378EE08" w:rsidR="00C04225" w:rsidRPr="003C12DC" w:rsidRDefault="00C04225" w:rsidP="002E3739">
      <w:pPr>
        <w:pStyle w:val="Prrafodelista"/>
        <w:numPr>
          <w:ilvl w:val="0"/>
          <w:numId w:val="19"/>
        </w:numPr>
        <w:ind w:left="567" w:hanging="567"/>
        <w:rPr>
          <w:rFonts w:cstheme="minorHAnsi"/>
          <w:b/>
          <w:bCs/>
          <w:color w:val="2F5496" w:themeColor="accent1" w:themeShade="BF"/>
          <w:sz w:val="22"/>
          <w:szCs w:val="22"/>
        </w:rPr>
        <w:sectPr w:rsidR="00C04225" w:rsidRPr="003C12DC" w:rsidSect="00E17277">
          <w:type w:val="continuous"/>
          <w:pgSz w:w="12240" w:h="15840"/>
          <w:pgMar w:top="2155" w:right="1701" w:bottom="1418" w:left="1247" w:header="709" w:footer="709" w:gutter="0"/>
          <w:pgNumType w:start="1"/>
          <w:cols w:num="2" w:space="284"/>
          <w:titlePg/>
          <w:docGrid w:linePitch="360"/>
        </w:sectPr>
      </w:pPr>
    </w:p>
    <w:p w14:paraId="0AA1994F" w14:textId="747E0343" w:rsidR="004C6BA9" w:rsidRPr="008F74C2" w:rsidRDefault="002E3739" w:rsidP="002E3739">
      <w:pPr>
        <w:pStyle w:val="Prrafodelista"/>
        <w:numPr>
          <w:ilvl w:val="0"/>
          <w:numId w:val="19"/>
        </w:numPr>
        <w:ind w:left="567" w:hanging="567"/>
        <w:rPr>
          <w:rFonts w:cstheme="minorHAnsi"/>
          <w:b/>
          <w:bCs/>
          <w:color w:val="2F5496" w:themeColor="accent1" w:themeShade="BF"/>
          <w:sz w:val="28"/>
          <w:szCs w:val="28"/>
        </w:rPr>
      </w:pPr>
      <w:r w:rsidRPr="008F74C2">
        <w:rPr>
          <w:rFonts w:cstheme="minorHAnsi"/>
          <w:b/>
          <w:bCs/>
          <w:color w:val="2F5496" w:themeColor="accent1" w:themeShade="BF"/>
          <w:sz w:val="28"/>
          <w:szCs w:val="28"/>
        </w:rPr>
        <w:lastRenderedPageBreak/>
        <w:t>Introducción</w:t>
      </w:r>
    </w:p>
    <w:p w14:paraId="68EB4773" w14:textId="25210363" w:rsidR="002E3739" w:rsidRPr="008F74C2" w:rsidRDefault="002E3739" w:rsidP="004C6BA9">
      <w:pPr>
        <w:pStyle w:val="Prrafodelista"/>
        <w:ind w:left="567"/>
        <w:jc w:val="both"/>
        <w:rPr>
          <w:rFonts w:cstheme="minorHAnsi"/>
          <w:color w:val="A6A6A6" w:themeColor="background1" w:themeShade="A6"/>
          <w:sz w:val="22"/>
          <w:szCs w:val="22"/>
        </w:rPr>
      </w:pPr>
    </w:p>
    <w:p w14:paraId="3E77A6DD" w14:textId="5309F37E" w:rsidR="008A5705" w:rsidRPr="008F74C2" w:rsidRDefault="00C76115" w:rsidP="00622FF0">
      <w:pPr>
        <w:pStyle w:val="Prrafodelista"/>
        <w:ind w:left="0"/>
        <w:jc w:val="both"/>
      </w:pPr>
      <w:r w:rsidRPr="008F74C2">
        <w:t>El Consejo</w:t>
      </w:r>
      <w:r w:rsidR="001D1B87" w:rsidRPr="008F74C2">
        <w:t xml:space="preserve"> Seccional de la Judicatura de Norte de </w:t>
      </w:r>
      <w:r w:rsidR="00340017" w:rsidRPr="008F74C2">
        <w:t>Santander y</w:t>
      </w:r>
      <w:r w:rsidRPr="008F74C2">
        <w:t xml:space="preserve"> la Dirección Ejecutiva Seccional de Administración Judicial, en cumplimiento del Acuerdo PCSJA20-11478 de enero 17 de 2020, presentan a la comunidad el documento de rendición pública anual de cuentas para el período enero a diciembre de 2019.</w:t>
      </w:r>
    </w:p>
    <w:p w14:paraId="6A34473F" w14:textId="77777777" w:rsidR="00C76115" w:rsidRPr="008F74C2" w:rsidRDefault="00C76115" w:rsidP="00C76115">
      <w:pPr>
        <w:pStyle w:val="Prrafodelista"/>
        <w:ind w:left="426"/>
        <w:jc w:val="both"/>
        <w:rPr>
          <w:sz w:val="18"/>
          <w:szCs w:val="18"/>
        </w:rPr>
      </w:pPr>
    </w:p>
    <w:p w14:paraId="52D9C042" w14:textId="35D4DF0D" w:rsidR="002E3739" w:rsidRPr="008F74C2" w:rsidRDefault="002E3739" w:rsidP="002E3739">
      <w:pPr>
        <w:pStyle w:val="Prrafodelista"/>
        <w:numPr>
          <w:ilvl w:val="0"/>
          <w:numId w:val="19"/>
        </w:numPr>
        <w:ind w:left="567" w:hanging="567"/>
        <w:rPr>
          <w:rFonts w:cstheme="minorHAnsi"/>
          <w:b/>
          <w:bCs/>
          <w:color w:val="2F5496" w:themeColor="accent1" w:themeShade="BF"/>
          <w:sz w:val="28"/>
          <w:szCs w:val="28"/>
        </w:rPr>
      </w:pPr>
      <w:r w:rsidRPr="008F74C2">
        <w:rPr>
          <w:rFonts w:cstheme="minorHAnsi"/>
          <w:b/>
          <w:bCs/>
          <w:color w:val="2F5496" w:themeColor="accent1" w:themeShade="BF"/>
          <w:sz w:val="28"/>
          <w:szCs w:val="28"/>
        </w:rPr>
        <w:t>Contexto</w:t>
      </w:r>
    </w:p>
    <w:p w14:paraId="1D3F4820" w14:textId="17AA9BF0" w:rsidR="005E6AF4" w:rsidRPr="008F74C2" w:rsidRDefault="005E6AF4" w:rsidP="005E6AF4">
      <w:pPr>
        <w:pStyle w:val="Prrafodelista"/>
        <w:ind w:left="567"/>
        <w:rPr>
          <w:rFonts w:cstheme="minorHAnsi"/>
          <w:b/>
          <w:bCs/>
          <w:color w:val="2F5496" w:themeColor="accent1" w:themeShade="BF"/>
          <w:sz w:val="28"/>
          <w:szCs w:val="28"/>
        </w:rPr>
      </w:pPr>
      <w:r w:rsidRPr="008F74C2">
        <w:rPr>
          <w:rFonts w:cstheme="minorHAnsi"/>
          <w:b/>
          <w:bCs/>
          <w:color w:val="2F5496" w:themeColor="accent1" w:themeShade="BF"/>
          <w:sz w:val="28"/>
          <w:szCs w:val="28"/>
        </w:rPr>
        <w:t>Factores Sociales.</w:t>
      </w:r>
    </w:p>
    <w:p w14:paraId="704A80E3" w14:textId="08BEDD5F" w:rsidR="00C311A7" w:rsidRPr="008F74C2" w:rsidRDefault="00C311A7" w:rsidP="00C311A7">
      <w:r w:rsidRPr="008F74C2">
        <w:t xml:space="preserve">La Seccional Cúcuta respecto al Mapa Judicial comprende  los Departamentos Fronterizos de Norte de Santander y Arauca, Juzgado de Cubará (Boyacá)  y Juzgados de Río de Oro y González (Cesar),  en los </w:t>
      </w:r>
      <w:r w:rsidR="005E6AF4" w:rsidRPr="008F74C2">
        <w:t>últimos</w:t>
      </w:r>
      <w:r w:rsidRPr="008F74C2">
        <w:t xml:space="preserve"> años se ha visto especialmente afectada por la </w:t>
      </w:r>
      <w:r w:rsidR="005E6AF4" w:rsidRPr="008F74C2">
        <w:t>explosión</w:t>
      </w:r>
      <w:r w:rsidRPr="008F74C2">
        <w:t xml:space="preserve"> </w:t>
      </w:r>
      <w:r w:rsidR="005E6AF4" w:rsidRPr="008F74C2">
        <w:t>demográfica</w:t>
      </w:r>
      <w:r w:rsidRPr="008F74C2">
        <w:t xml:space="preserve"> como consecuencia de la crisis venezolana, que afecta tanto en lo </w:t>
      </w:r>
      <w:r w:rsidR="005E6AF4" w:rsidRPr="008F74C2">
        <w:t>Económico</w:t>
      </w:r>
      <w:r w:rsidRPr="008F74C2">
        <w:t xml:space="preserve">, en lo </w:t>
      </w:r>
      <w:r w:rsidR="005E6AF4" w:rsidRPr="008F74C2">
        <w:t>político</w:t>
      </w:r>
      <w:r w:rsidRPr="008F74C2">
        <w:t xml:space="preserve"> pero especialmente en lo social ya que con el cierre fronterizo desde Agosto de 2015 los factores sociales de la </w:t>
      </w:r>
      <w:r w:rsidR="005E6AF4" w:rsidRPr="008F74C2">
        <w:t>región</w:t>
      </w:r>
      <w:r w:rsidRPr="008F74C2">
        <w:t xml:space="preserve"> han tenido que acomodarse de acuerdo a las circunstancias vigentes.</w:t>
      </w:r>
    </w:p>
    <w:p w14:paraId="48E36480" w14:textId="072D170A" w:rsidR="005E6AF4" w:rsidRPr="008F74C2" w:rsidRDefault="005E6AF4" w:rsidP="005E6AF4">
      <w:pPr>
        <w:jc w:val="both"/>
      </w:pPr>
      <w:r w:rsidRPr="008F74C2">
        <w:lastRenderedPageBreak/>
        <w:t>La llegada de nuevos elementos sociales en la región ha hecho que se establezcan de manera permanente grupos foráneos, sociales y económicos que tradicionalmente eran de paso, dando un impulso social a nuevas formas de vida y económicos, generando también procesos de residencia, de recursividad y emprendimiento. </w:t>
      </w:r>
      <w:r w:rsidRPr="008F74C2">
        <w:br/>
        <w:t>Por ser Cúcuta la Ciudad Capital de Norte de Santander tradicionalmente la segunda ciudad del país con mayor desempleo, hace que se registren procesos informales de la economía con sus repercusiones sociales como el incremento de la percepción de inseguridad y la crisis económica que se suman a los fenómenos de desplazamiento de la región del Catatumbo que hacen que se  incrementen las condiciones de pobreza extrema, hambre, epidemias, enfermedades y colapso de servicios públicos. Igualmente, como a esta seccional corresponde el departamento también fronterizo de Arauca, se ve aquejado por las mismas dificultades, producto de la migración Venezolana. </w:t>
      </w:r>
    </w:p>
    <w:p w14:paraId="6DB6F234" w14:textId="77777777" w:rsidR="005E6AF4" w:rsidRPr="008F74C2" w:rsidRDefault="005E6AF4" w:rsidP="00C311A7"/>
    <w:p w14:paraId="04202526" w14:textId="77777777" w:rsidR="00C311A7" w:rsidRPr="008F74C2" w:rsidRDefault="00C311A7" w:rsidP="00C311A7">
      <w:pPr>
        <w:rPr>
          <w:rFonts w:cstheme="minorHAnsi"/>
          <w:b/>
          <w:bCs/>
          <w:color w:val="2F5496" w:themeColor="accent1" w:themeShade="BF"/>
          <w:sz w:val="28"/>
          <w:szCs w:val="28"/>
        </w:rPr>
      </w:pPr>
    </w:p>
    <w:p w14:paraId="427DC6F2" w14:textId="77777777" w:rsidR="002E3739" w:rsidRPr="008F74C2" w:rsidRDefault="002E3739" w:rsidP="002E3739">
      <w:pPr>
        <w:pStyle w:val="Prrafodelista"/>
        <w:ind w:left="927"/>
        <w:rPr>
          <w:rFonts w:cstheme="minorHAnsi"/>
          <w:b/>
          <w:bCs/>
          <w:color w:val="A6A6A6" w:themeColor="background1" w:themeShade="A6"/>
          <w:sz w:val="22"/>
          <w:szCs w:val="22"/>
        </w:rPr>
      </w:pPr>
    </w:p>
    <w:p w14:paraId="219E4600" w14:textId="77777777" w:rsidR="00C04225" w:rsidRPr="008F74C2" w:rsidRDefault="00C04225" w:rsidP="002E3739">
      <w:pPr>
        <w:pStyle w:val="Prrafodelista"/>
        <w:ind w:left="567"/>
        <w:jc w:val="both"/>
        <w:rPr>
          <w:rFonts w:cstheme="minorHAnsi"/>
          <w:color w:val="A6A6A6" w:themeColor="background1" w:themeShade="A6"/>
          <w:sz w:val="22"/>
          <w:szCs w:val="22"/>
        </w:rPr>
        <w:sectPr w:rsidR="00C04225" w:rsidRPr="008F74C2" w:rsidSect="00513B61">
          <w:type w:val="continuous"/>
          <w:pgSz w:w="12240" w:h="15840"/>
          <w:pgMar w:top="2155" w:right="1701" w:bottom="1418" w:left="1247" w:header="709" w:footer="709" w:gutter="0"/>
          <w:pgNumType w:start="1"/>
          <w:cols w:num="2" w:space="284"/>
          <w:titlePg/>
          <w:docGrid w:linePitch="360"/>
        </w:sectPr>
      </w:pPr>
    </w:p>
    <w:p w14:paraId="40100CC3" w14:textId="42C67460" w:rsidR="002E3739" w:rsidRPr="008F74C2" w:rsidRDefault="002E3739" w:rsidP="00162C11">
      <w:pPr>
        <w:pStyle w:val="Sinespaciado"/>
        <w:jc w:val="both"/>
        <w:rPr>
          <w:sz w:val="18"/>
          <w:szCs w:val="18"/>
        </w:rPr>
      </w:pPr>
    </w:p>
    <w:p w14:paraId="526B510E" w14:textId="7A11592E" w:rsidR="002E3739" w:rsidRPr="008F74C2" w:rsidRDefault="002E3739" w:rsidP="00162C11">
      <w:pPr>
        <w:pStyle w:val="Sinespaciado"/>
        <w:jc w:val="both"/>
        <w:rPr>
          <w:sz w:val="18"/>
          <w:szCs w:val="18"/>
        </w:rPr>
      </w:pPr>
    </w:p>
    <w:p w14:paraId="0697246A" w14:textId="6F5C9CCB" w:rsidR="002E3739" w:rsidRPr="008F74C2" w:rsidRDefault="002E3739" w:rsidP="00162C11">
      <w:pPr>
        <w:pStyle w:val="Sinespaciado"/>
        <w:jc w:val="both"/>
        <w:rPr>
          <w:sz w:val="18"/>
          <w:szCs w:val="18"/>
        </w:rPr>
      </w:pPr>
    </w:p>
    <w:p w14:paraId="4EF810FB" w14:textId="1DB04321" w:rsidR="002E3739" w:rsidRPr="008F74C2" w:rsidRDefault="002E3739" w:rsidP="00162C11">
      <w:pPr>
        <w:pStyle w:val="Sinespaciado"/>
        <w:jc w:val="both"/>
        <w:rPr>
          <w:sz w:val="18"/>
          <w:szCs w:val="18"/>
        </w:rPr>
      </w:pPr>
    </w:p>
    <w:p w14:paraId="0E0C0994" w14:textId="7ED83C44" w:rsidR="002E3739" w:rsidRPr="008F74C2" w:rsidRDefault="002E3739" w:rsidP="00162C11">
      <w:pPr>
        <w:pStyle w:val="Sinespaciado"/>
        <w:jc w:val="both"/>
        <w:rPr>
          <w:sz w:val="18"/>
          <w:szCs w:val="18"/>
        </w:rPr>
      </w:pPr>
    </w:p>
    <w:p w14:paraId="488D042C" w14:textId="64E5F568" w:rsidR="002E3739" w:rsidRPr="008F74C2" w:rsidRDefault="002E3739" w:rsidP="00162C11">
      <w:pPr>
        <w:pStyle w:val="Sinespaciado"/>
        <w:jc w:val="both"/>
        <w:rPr>
          <w:sz w:val="18"/>
          <w:szCs w:val="18"/>
        </w:rPr>
      </w:pPr>
    </w:p>
    <w:p w14:paraId="6504866C" w14:textId="09F4AFDD" w:rsidR="002E3739" w:rsidRPr="008F74C2" w:rsidRDefault="002E3739" w:rsidP="00162C11">
      <w:pPr>
        <w:pStyle w:val="Sinespaciado"/>
        <w:jc w:val="both"/>
        <w:rPr>
          <w:sz w:val="18"/>
          <w:szCs w:val="18"/>
        </w:rPr>
      </w:pPr>
    </w:p>
    <w:p w14:paraId="0B0B5C39" w14:textId="4DDDAD41" w:rsidR="002E3739" w:rsidRPr="008F74C2" w:rsidRDefault="002E3739" w:rsidP="00162C11">
      <w:pPr>
        <w:pStyle w:val="Sinespaciado"/>
        <w:jc w:val="both"/>
        <w:rPr>
          <w:sz w:val="18"/>
          <w:szCs w:val="18"/>
        </w:rPr>
      </w:pPr>
    </w:p>
    <w:p w14:paraId="4C4C7971" w14:textId="2CDBD44B" w:rsidR="002E3739" w:rsidRPr="008F74C2" w:rsidRDefault="002E3739" w:rsidP="00162C11">
      <w:pPr>
        <w:pStyle w:val="Sinespaciado"/>
        <w:jc w:val="both"/>
        <w:rPr>
          <w:sz w:val="18"/>
          <w:szCs w:val="18"/>
        </w:rPr>
      </w:pPr>
    </w:p>
    <w:p w14:paraId="086C1ED6" w14:textId="36E7A633" w:rsidR="002E3739" w:rsidRPr="008F74C2" w:rsidRDefault="002E3739" w:rsidP="00162C11">
      <w:pPr>
        <w:pStyle w:val="Sinespaciado"/>
        <w:jc w:val="both"/>
        <w:rPr>
          <w:sz w:val="18"/>
          <w:szCs w:val="18"/>
        </w:rPr>
      </w:pPr>
    </w:p>
    <w:p w14:paraId="6FDFBDAE" w14:textId="757C9D2A" w:rsidR="002E3739" w:rsidRPr="008F74C2" w:rsidRDefault="002E3739" w:rsidP="00162C11">
      <w:pPr>
        <w:pStyle w:val="Sinespaciado"/>
        <w:jc w:val="both"/>
        <w:rPr>
          <w:sz w:val="18"/>
          <w:szCs w:val="18"/>
        </w:rPr>
      </w:pPr>
    </w:p>
    <w:p w14:paraId="48A65642" w14:textId="413611E7" w:rsidR="002E3739" w:rsidRPr="008F74C2" w:rsidRDefault="002E3739" w:rsidP="00162C11">
      <w:pPr>
        <w:pStyle w:val="Sinespaciado"/>
        <w:jc w:val="both"/>
        <w:rPr>
          <w:sz w:val="18"/>
          <w:szCs w:val="18"/>
        </w:rPr>
      </w:pPr>
    </w:p>
    <w:p w14:paraId="5259995E" w14:textId="525D8BCE" w:rsidR="00580B70" w:rsidRPr="008F74C2" w:rsidRDefault="00580B70" w:rsidP="00162C11">
      <w:pPr>
        <w:pStyle w:val="Sinespaciado"/>
        <w:jc w:val="both"/>
        <w:rPr>
          <w:sz w:val="18"/>
          <w:szCs w:val="18"/>
        </w:rPr>
      </w:pPr>
    </w:p>
    <w:p w14:paraId="69C943D0" w14:textId="693B6491" w:rsidR="00580B70" w:rsidRPr="008F74C2" w:rsidRDefault="00580B70" w:rsidP="00162C11">
      <w:pPr>
        <w:pStyle w:val="Sinespaciado"/>
        <w:jc w:val="both"/>
        <w:rPr>
          <w:sz w:val="18"/>
          <w:szCs w:val="18"/>
        </w:rPr>
      </w:pPr>
    </w:p>
    <w:p w14:paraId="268DFEFF" w14:textId="307C3AD4" w:rsidR="00580B70" w:rsidRPr="008F74C2" w:rsidRDefault="00580B70" w:rsidP="00162C11">
      <w:pPr>
        <w:pStyle w:val="Sinespaciado"/>
        <w:jc w:val="both"/>
        <w:rPr>
          <w:sz w:val="18"/>
          <w:szCs w:val="18"/>
        </w:rPr>
      </w:pPr>
    </w:p>
    <w:p w14:paraId="28E9A7B7" w14:textId="77777777" w:rsidR="00580B70" w:rsidRPr="008F74C2" w:rsidRDefault="00580B70" w:rsidP="00162C11">
      <w:pPr>
        <w:pStyle w:val="Sinespaciado"/>
        <w:jc w:val="both"/>
        <w:rPr>
          <w:sz w:val="18"/>
          <w:szCs w:val="18"/>
        </w:rPr>
      </w:pPr>
    </w:p>
    <w:p w14:paraId="556EC8C5" w14:textId="161900AA" w:rsidR="002E3739" w:rsidRPr="008F74C2" w:rsidRDefault="002E3739" w:rsidP="00162C11">
      <w:pPr>
        <w:pStyle w:val="Sinespaciado"/>
        <w:jc w:val="both"/>
        <w:rPr>
          <w:sz w:val="18"/>
          <w:szCs w:val="18"/>
        </w:rPr>
      </w:pPr>
    </w:p>
    <w:p w14:paraId="159ABC54" w14:textId="77777777" w:rsidR="00580B70" w:rsidRPr="008F74C2" w:rsidRDefault="00580B70" w:rsidP="00162C11">
      <w:pPr>
        <w:pStyle w:val="Sinespaciado"/>
        <w:jc w:val="both"/>
        <w:rPr>
          <w:sz w:val="18"/>
          <w:szCs w:val="18"/>
        </w:rPr>
        <w:sectPr w:rsidR="00580B70" w:rsidRPr="008F74C2" w:rsidSect="00513B61">
          <w:type w:val="continuous"/>
          <w:pgSz w:w="12240" w:h="15840"/>
          <w:pgMar w:top="2155" w:right="1701" w:bottom="1418" w:left="1247" w:header="709" w:footer="709" w:gutter="0"/>
          <w:pgNumType w:start="1"/>
          <w:cols w:num="2" w:space="284"/>
          <w:titlePg/>
          <w:docGrid w:linePitch="360"/>
        </w:sectPr>
      </w:pPr>
    </w:p>
    <w:p w14:paraId="583B3E17" w14:textId="18627E7A" w:rsidR="002E3739" w:rsidRPr="008F74C2" w:rsidRDefault="002E3739" w:rsidP="00162C11">
      <w:pPr>
        <w:pStyle w:val="Sinespaciado"/>
        <w:jc w:val="both"/>
        <w:rPr>
          <w:sz w:val="18"/>
          <w:szCs w:val="18"/>
        </w:rPr>
      </w:pPr>
    </w:p>
    <w:p w14:paraId="24576E62" w14:textId="49327B8B" w:rsidR="002E3739" w:rsidRPr="008F74C2" w:rsidRDefault="002E3739" w:rsidP="00162C11">
      <w:pPr>
        <w:pStyle w:val="Sinespaciado"/>
        <w:jc w:val="both"/>
        <w:rPr>
          <w:sz w:val="18"/>
          <w:szCs w:val="18"/>
        </w:rPr>
      </w:pPr>
    </w:p>
    <w:p w14:paraId="30BA6A73" w14:textId="7A928747" w:rsidR="002E3739" w:rsidRPr="008F74C2" w:rsidRDefault="002E3739" w:rsidP="00162C11">
      <w:pPr>
        <w:pStyle w:val="Sinespaciado"/>
        <w:jc w:val="both"/>
        <w:rPr>
          <w:sz w:val="18"/>
          <w:szCs w:val="18"/>
        </w:rPr>
      </w:pPr>
    </w:p>
    <w:p w14:paraId="625CB643" w14:textId="5E229B5D" w:rsidR="002E3739" w:rsidRPr="008F74C2" w:rsidRDefault="002E3739" w:rsidP="00162C11">
      <w:pPr>
        <w:pStyle w:val="Sinespaciado"/>
        <w:jc w:val="both"/>
        <w:rPr>
          <w:sz w:val="18"/>
          <w:szCs w:val="18"/>
        </w:rPr>
      </w:pPr>
    </w:p>
    <w:p w14:paraId="70AF37A4" w14:textId="0CF68E42" w:rsidR="00C04225" w:rsidRPr="008F74C2" w:rsidRDefault="00C04225" w:rsidP="00162C11">
      <w:pPr>
        <w:pStyle w:val="Sinespaciado"/>
        <w:jc w:val="both"/>
        <w:rPr>
          <w:sz w:val="18"/>
          <w:szCs w:val="18"/>
        </w:rPr>
      </w:pPr>
    </w:p>
    <w:p w14:paraId="69BC413B" w14:textId="761F6AAB" w:rsidR="00C04225" w:rsidRPr="008F74C2" w:rsidRDefault="00C04225" w:rsidP="00162C11">
      <w:pPr>
        <w:pStyle w:val="Sinespaciado"/>
        <w:jc w:val="both"/>
        <w:rPr>
          <w:sz w:val="18"/>
          <w:szCs w:val="18"/>
        </w:rPr>
      </w:pPr>
    </w:p>
    <w:p w14:paraId="2E4C1417" w14:textId="37AB7479" w:rsidR="00C04225" w:rsidRPr="008F74C2" w:rsidRDefault="00C04225" w:rsidP="00162C11">
      <w:pPr>
        <w:pStyle w:val="Sinespaciado"/>
        <w:jc w:val="both"/>
        <w:rPr>
          <w:sz w:val="18"/>
          <w:szCs w:val="18"/>
        </w:rPr>
      </w:pPr>
    </w:p>
    <w:p w14:paraId="47A00FB0" w14:textId="6286A296" w:rsidR="00C04225" w:rsidRPr="008F74C2" w:rsidRDefault="00C04225" w:rsidP="00162C11">
      <w:pPr>
        <w:pStyle w:val="Sinespaciado"/>
        <w:jc w:val="both"/>
        <w:rPr>
          <w:sz w:val="18"/>
          <w:szCs w:val="18"/>
        </w:rPr>
      </w:pPr>
    </w:p>
    <w:p w14:paraId="6218318D" w14:textId="7B28C861" w:rsidR="00C04225" w:rsidRPr="008F74C2" w:rsidRDefault="00C04225" w:rsidP="00162C11">
      <w:pPr>
        <w:pStyle w:val="Sinespaciado"/>
        <w:jc w:val="both"/>
        <w:rPr>
          <w:sz w:val="18"/>
          <w:szCs w:val="18"/>
        </w:rPr>
      </w:pPr>
    </w:p>
    <w:p w14:paraId="669C2F44" w14:textId="10CE31A0" w:rsidR="00513B61" w:rsidRPr="008F74C2" w:rsidRDefault="00513B61" w:rsidP="00162C11">
      <w:pPr>
        <w:pStyle w:val="Sinespaciado"/>
        <w:jc w:val="both"/>
        <w:rPr>
          <w:sz w:val="18"/>
          <w:szCs w:val="18"/>
        </w:rPr>
      </w:pPr>
    </w:p>
    <w:p w14:paraId="51528C82" w14:textId="77777777" w:rsidR="00513B61" w:rsidRPr="008F74C2" w:rsidRDefault="00513B61" w:rsidP="00162C11">
      <w:pPr>
        <w:pStyle w:val="Sinespaciado"/>
        <w:jc w:val="both"/>
        <w:rPr>
          <w:sz w:val="18"/>
          <w:szCs w:val="18"/>
        </w:rPr>
      </w:pPr>
    </w:p>
    <w:p w14:paraId="754477E8" w14:textId="5EB903FA" w:rsidR="00C04225" w:rsidRPr="008F74C2" w:rsidRDefault="00C04225" w:rsidP="00162C11">
      <w:pPr>
        <w:pStyle w:val="Sinespaciado"/>
        <w:jc w:val="both"/>
        <w:rPr>
          <w:sz w:val="18"/>
          <w:szCs w:val="18"/>
        </w:rPr>
      </w:pPr>
    </w:p>
    <w:p w14:paraId="7ADA8208" w14:textId="2BBB628C" w:rsidR="00C04225" w:rsidRPr="008F74C2" w:rsidRDefault="00C04225" w:rsidP="00162C11">
      <w:pPr>
        <w:pStyle w:val="Sinespaciado"/>
        <w:jc w:val="both"/>
        <w:rPr>
          <w:sz w:val="18"/>
          <w:szCs w:val="18"/>
        </w:rPr>
      </w:pPr>
    </w:p>
    <w:p w14:paraId="4EC04F3A" w14:textId="6C37AA38" w:rsidR="00C04225" w:rsidRPr="008F74C2" w:rsidRDefault="00C04225" w:rsidP="00162C11">
      <w:pPr>
        <w:pStyle w:val="Sinespaciado"/>
        <w:jc w:val="both"/>
        <w:rPr>
          <w:sz w:val="18"/>
          <w:szCs w:val="18"/>
        </w:rPr>
      </w:pPr>
    </w:p>
    <w:p w14:paraId="2E8A2007" w14:textId="77777777" w:rsidR="00580B70" w:rsidRPr="008F74C2" w:rsidRDefault="00580B70" w:rsidP="00162C11">
      <w:pPr>
        <w:pStyle w:val="Sinespaciado"/>
        <w:jc w:val="both"/>
        <w:rPr>
          <w:sz w:val="18"/>
          <w:szCs w:val="18"/>
        </w:rPr>
      </w:pPr>
    </w:p>
    <w:p w14:paraId="67ACE456" w14:textId="6EC0A7EF" w:rsidR="00C04225" w:rsidRPr="008F74C2" w:rsidRDefault="00C04225" w:rsidP="00162C11">
      <w:pPr>
        <w:pStyle w:val="Sinespaciado"/>
        <w:jc w:val="both"/>
        <w:rPr>
          <w:sz w:val="18"/>
          <w:szCs w:val="18"/>
        </w:rPr>
      </w:pPr>
    </w:p>
    <w:p w14:paraId="6FF75CDB" w14:textId="7FB22016" w:rsidR="00C04225" w:rsidRPr="008F74C2" w:rsidRDefault="00C04225" w:rsidP="00162C11">
      <w:pPr>
        <w:pStyle w:val="Sinespaciado"/>
        <w:jc w:val="both"/>
        <w:rPr>
          <w:sz w:val="18"/>
          <w:szCs w:val="18"/>
        </w:rPr>
      </w:pPr>
    </w:p>
    <w:p w14:paraId="6F85E6CC" w14:textId="7EF41538" w:rsidR="00C04225" w:rsidRPr="008F74C2" w:rsidRDefault="00C04225" w:rsidP="00162C11">
      <w:pPr>
        <w:pStyle w:val="Sinespaciado"/>
        <w:jc w:val="both"/>
        <w:rPr>
          <w:sz w:val="18"/>
          <w:szCs w:val="18"/>
        </w:rPr>
      </w:pPr>
    </w:p>
    <w:p w14:paraId="74DF01F2" w14:textId="2A5AA3D1" w:rsidR="00C04225" w:rsidRPr="008F74C2" w:rsidRDefault="00C04225" w:rsidP="00162C11">
      <w:pPr>
        <w:pStyle w:val="Sinespaciado"/>
        <w:jc w:val="both"/>
        <w:rPr>
          <w:sz w:val="18"/>
          <w:szCs w:val="18"/>
        </w:rPr>
      </w:pPr>
    </w:p>
    <w:p w14:paraId="724B48FD" w14:textId="4D3BF75D" w:rsidR="00C04225" w:rsidRPr="008F74C2" w:rsidRDefault="00C04225" w:rsidP="00162C11">
      <w:pPr>
        <w:pStyle w:val="Sinespaciado"/>
        <w:jc w:val="both"/>
        <w:rPr>
          <w:sz w:val="18"/>
          <w:szCs w:val="18"/>
        </w:rPr>
      </w:pPr>
    </w:p>
    <w:p w14:paraId="108D8288" w14:textId="1FD5436C" w:rsidR="00C04225" w:rsidRPr="008F74C2" w:rsidRDefault="00C04225" w:rsidP="00162C11">
      <w:pPr>
        <w:pStyle w:val="Sinespaciado"/>
        <w:jc w:val="both"/>
        <w:rPr>
          <w:sz w:val="18"/>
          <w:szCs w:val="18"/>
        </w:rPr>
      </w:pPr>
    </w:p>
    <w:p w14:paraId="5388398F" w14:textId="2C150D0D" w:rsidR="00C04225" w:rsidRPr="008F74C2" w:rsidRDefault="00C04225" w:rsidP="00162C11">
      <w:pPr>
        <w:pStyle w:val="Sinespaciado"/>
        <w:jc w:val="both"/>
        <w:rPr>
          <w:sz w:val="18"/>
          <w:szCs w:val="18"/>
        </w:rPr>
      </w:pPr>
    </w:p>
    <w:p w14:paraId="3EA266FE" w14:textId="7755EBBF" w:rsidR="00C04225" w:rsidRPr="008F74C2" w:rsidRDefault="00C04225" w:rsidP="00162C11">
      <w:pPr>
        <w:pStyle w:val="Sinespaciado"/>
        <w:jc w:val="both"/>
        <w:rPr>
          <w:sz w:val="18"/>
          <w:szCs w:val="18"/>
        </w:rPr>
      </w:pPr>
    </w:p>
    <w:p w14:paraId="3641F78C" w14:textId="1BC284C3" w:rsidR="00C04225" w:rsidRPr="008F74C2" w:rsidRDefault="00C04225" w:rsidP="00162C11">
      <w:pPr>
        <w:pStyle w:val="Sinespaciado"/>
        <w:jc w:val="both"/>
        <w:rPr>
          <w:sz w:val="18"/>
          <w:szCs w:val="18"/>
        </w:rPr>
      </w:pPr>
    </w:p>
    <w:p w14:paraId="106BEA96" w14:textId="17132362" w:rsidR="00C04225" w:rsidRPr="008F74C2" w:rsidRDefault="00C04225" w:rsidP="00162C11">
      <w:pPr>
        <w:pStyle w:val="Sinespaciado"/>
        <w:jc w:val="both"/>
        <w:rPr>
          <w:sz w:val="18"/>
          <w:szCs w:val="18"/>
        </w:rPr>
      </w:pPr>
    </w:p>
    <w:p w14:paraId="5441247E" w14:textId="6221D0F6" w:rsidR="00C04225" w:rsidRPr="008F74C2" w:rsidRDefault="00C04225" w:rsidP="00162C11">
      <w:pPr>
        <w:pStyle w:val="Sinespaciado"/>
        <w:jc w:val="both"/>
        <w:rPr>
          <w:sz w:val="18"/>
          <w:szCs w:val="18"/>
        </w:rPr>
      </w:pPr>
    </w:p>
    <w:p w14:paraId="465A4961" w14:textId="10BDEA2E" w:rsidR="00C04225" w:rsidRPr="008F74C2" w:rsidRDefault="00C04225" w:rsidP="00162C11">
      <w:pPr>
        <w:pStyle w:val="Sinespaciado"/>
        <w:jc w:val="both"/>
        <w:rPr>
          <w:sz w:val="18"/>
          <w:szCs w:val="18"/>
        </w:rPr>
      </w:pPr>
    </w:p>
    <w:p w14:paraId="60CD9551" w14:textId="49E61D84" w:rsidR="00C04225" w:rsidRPr="008F74C2" w:rsidRDefault="00C04225" w:rsidP="00162C11">
      <w:pPr>
        <w:pStyle w:val="Sinespaciado"/>
        <w:jc w:val="both"/>
        <w:rPr>
          <w:sz w:val="18"/>
          <w:szCs w:val="18"/>
        </w:rPr>
      </w:pPr>
    </w:p>
    <w:p w14:paraId="1C0729AC" w14:textId="59D6615B" w:rsidR="00C04225" w:rsidRPr="008F74C2" w:rsidRDefault="00C04225" w:rsidP="00162C11">
      <w:pPr>
        <w:pStyle w:val="Sinespaciado"/>
        <w:jc w:val="both"/>
        <w:rPr>
          <w:sz w:val="18"/>
          <w:szCs w:val="18"/>
        </w:rPr>
      </w:pPr>
    </w:p>
    <w:p w14:paraId="1061D0E7" w14:textId="1397F687" w:rsidR="00C04225" w:rsidRPr="008F74C2" w:rsidRDefault="00C04225" w:rsidP="00162C11">
      <w:pPr>
        <w:pStyle w:val="Sinespaciado"/>
        <w:jc w:val="both"/>
        <w:rPr>
          <w:sz w:val="18"/>
          <w:szCs w:val="18"/>
        </w:rPr>
      </w:pPr>
    </w:p>
    <w:p w14:paraId="779F7FFE" w14:textId="77777777" w:rsidR="00580B70" w:rsidRPr="008F74C2" w:rsidRDefault="00580B70" w:rsidP="00162C11">
      <w:pPr>
        <w:pStyle w:val="Sinespaciado"/>
        <w:jc w:val="both"/>
        <w:rPr>
          <w:sz w:val="18"/>
          <w:szCs w:val="18"/>
        </w:rPr>
        <w:sectPr w:rsidR="00580B70" w:rsidRPr="008F74C2" w:rsidSect="00513B61">
          <w:type w:val="continuous"/>
          <w:pgSz w:w="12240" w:h="15840"/>
          <w:pgMar w:top="2155" w:right="1701" w:bottom="1418" w:left="1247" w:header="709" w:footer="709" w:gutter="0"/>
          <w:pgNumType w:start="1"/>
          <w:cols w:num="2" w:space="284"/>
          <w:titlePg/>
          <w:docGrid w:linePitch="360"/>
        </w:sectPr>
      </w:pPr>
    </w:p>
    <w:p w14:paraId="47D94CE5" w14:textId="045E1429" w:rsidR="00C04225" w:rsidRPr="008F74C2" w:rsidRDefault="00C04225" w:rsidP="00162C11">
      <w:pPr>
        <w:pStyle w:val="Sinespaciado"/>
        <w:jc w:val="both"/>
        <w:rPr>
          <w:sz w:val="18"/>
          <w:szCs w:val="18"/>
        </w:rPr>
      </w:pPr>
    </w:p>
    <w:p w14:paraId="28380C30" w14:textId="0938561F" w:rsidR="0096131C" w:rsidRPr="008F74C2" w:rsidRDefault="0096131C" w:rsidP="00162C11">
      <w:pPr>
        <w:pStyle w:val="Sinespaciado"/>
        <w:jc w:val="both"/>
        <w:rPr>
          <w:sz w:val="18"/>
          <w:szCs w:val="18"/>
        </w:rPr>
      </w:pPr>
    </w:p>
    <w:p w14:paraId="514C9E14" w14:textId="080BA673" w:rsidR="0096131C" w:rsidRPr="008F74C2" w:rsidRDefault="0096131C" w:rsidP="00162C11">
      <w:pPr>
        <w:pStyle w:val="Sinespaciado"/>
        <w:jc w:val="both"/>
        <w:rPr>
          <w:sz w:val="18"/>
          <w:szCs w:val="18"/>
        </w:rPr>
      </w:pPr>
    </w:p>
    <w:p w14:paraId="41FD4040" w14:textId="2B96B31D" w:rsidR="00396D06" w:rsidRPr="008F74C2" w:rsidRDefault="00396D06" w:rsidP="00162C11">
      <w:pPr>
        <w:pStyle w:val="Sinespaciado"/>
        <w:jc w:val="both"/>
        <w:rPr>
          <w:sz w:val="18"/>
          <w:szCs w:val="18"/>
        </w:rPr>
      </w:pPr>
    </w:p>
    <w:p w14:paraId="13E46273" w14:textId="504F4346" w:rsidR="0096131C" w:rsidRPr="008F74C2" w:rsidRDefault="00622FF0" w:rsidP="00C16360">
      <w:pPr>
        <w:pStyle w:val="Prrafodelista"/>
        <w:numPr>
          <w:ilvl w:val="0"/>
          <w:numId w:val="41"/>
        </w:numPr>
        <w:ind w:left="284" w:hanging="284"/>
        <w:rPr>
          <w:b/>
          <w:bCs/>
          <w:color w:val="2F5496" w:themeColor="accent1" w:themeShade="BF"/>
          <w:sz w:val="28"/>
          <w:szCs w:val="28"/>
        </w:rPr>
        <w:sectPr w:rsidR="0096131C" w:rsidRPr="008F74C2" w:rsidSect="003315B3">
          <w:type w:val="continuous"/>
          <w:pgSz w:w="12240" w:h="15840"/>
          <w:pgMar w:top="1843" w:right="1467" w:bottom="1418" w:left="1247" w:header="709" w:footer="709" w:gutter="0"/>
          <w:pgNumType w:start="1"/>
          <w:cols w:space="708"/>
          <w:titlePg/>
          <w:docGrid w:linePitch="360"/>
        </w:sectPr>
      </w:pPr>
      <w:bookmarkStart w:id="0" w:name="_Hlk38041431"/>
      <w:r w:rsidRPr="008F74C2">
        <w:rPr>
          <w:b/>
          <w:bCs/>
          <w:color w:val="2F5496" w:themeColor="accent1" w:themeShade="BF"/>
          <w:sz w:val="28"/>
          <w:szCs w:val="28"/>
        </w:rPr>
        <w:t xml:space="preserve">Avances y Resultados de la Gestión del Consejo Seccional de la Judicatura </w:t>
      </w:r>
      <w:bookmarkEnd w:id="0"/>
      <w:r w:rsidR="001D1B87" w:rsidRPr="008F74C2">
        <w:rPr>
          <w:b/>
          <w:bCs/>
          <w:color w:val="2F5496" w:themeColor="accent1" w:themeShade="BF"/>
          <w:sz w:val="28"/>
          <w:szCs w:val="28"/>
        </w:rPr>
        <w:t>de Norte de  Santander</w:t>
      </w:r>
    </w:p>
    <w:p w14:paraId="2153117E" w14:textId="77777777" w:rsidR="0096131C" w:rsidRPr="008F74C2" w:rsidRDefault="0096131C" w:rsidP="003315B3">
      <w:pPr>
        <w:jc w:val="both"/>
        <w:rPr>
          <w:b/>
          <w:bCs/>
          <w:color w:val="2F5496" w:themeColor="accent1" w:themeShade="BF"/>
          <w:sz w:val="18"/>
          <w:szCs w:val="18"/>
        </w:rPr>
        <w:sectPr w:rsidR="0096131C" w:rsidRPr="008F74C2" w:rsidSect="0096131C">
          <w:type w:val="continuous"/>
          <w:pgSz w:w="12240" w:h="15840"/>
          <w:pgMar w:top="1985" w:right="1467" w:bottom="1418" w:left="1247" w:header="709" w:footer="709" w:gutter="0"/>
          <w:pgNumType w:start="1"/>
          <w:cols w:num="2" w:space="708"/>
          <w:titlePg/>
          <w:docGrid w:linePitch="360"/>
        </w:sectPr>
      </w:pPr>
    </w:p>
    <w:p w14:paraId="192295D7" w14:textId="5292A4D5" w:rsidR="002E3739" w:rsidRPr="008F74C2" w:rsidRDefault="00622FF0" w:rsidP="00622FF0">
      <w:pPr>
        <w:pStyle w:val="Prrafodelista"/>
        <w:numPr>
          <w:ilvl w:val="0"/>
          <w:numId w:val="36"/>
        </w:numPr>
        <w:ind w:left="426" w:hanging="426"/>
        <w:rPr>
          <w:b/>
          <w:bCs/>
          <w:color w:val="2F5496" w:themeColor="accent1" w:themeShade="BF"/>
          <w:sz w:val="24"/>
          <w:szCs w:val="24"/>
        </w:rPr>
      </w:pPr>
      <w:r w:rsidRPr="008F74C2">
        <w:rPr>
          <w:b/>
          <w:bCs/>
          <w:color w:val="2F5496" w:themeColor="accent1" w:themeShade="BF"/>
          <w:sz w:val="24"/>
          <w:szCs w:val="24"/>
        </w:rPr>
        <w:lastRenderedPageBreak/>
        <w:t>Productividad de la Justicia</w:t>
      </w:r>
    </w:p>
    <w:p w14:paraId="53E0A51A" w14:textId="38E87507" w:rsidR="00580B70" w:rsidRPr="008F74C2" w:rsidRDefault="00580B70" w:rsidP="003315B3">
      <w:pPr>
        <w:jc w:val="both"/>
        <w:rPr>
          <w:b/>
          <w:bCs/>
          <w:color w:val="2F5496" w:themeColor="accent1" w:themeShade="BF"/>
        </w:rPr>
      </w:pPr>
      <w:r w:rsidRPr="008F74C2">
        <w:rPr>
          <w:b/>
          <w:bCs/>
          <w:color w:val="2F5496" w:themeColor="accent1" w:themeShade="BF"/>
        </w:rPr>
        <w:t>Gestión judicial</w:t>
      </w:r>
    </w:p>
    <w:p w14:paraId="4F8C74C2" w14:textId="77777777" w:rsidR="0096131C" w:rsidRPr="008F74C2" w:rsidRDefault="0096131C" w:rsidP="00C04225">
      <w:pPr>
        <w:jc w:val="both"/>
        <w:rPr>
          <w:b/>
          <w:bCs/>
          <w:i/>
          <w:iCs/>
        </w:rPr>
        <w:sectPr w:rsidR="0096131C" w:rsidRPr="008F74C2" w:rsidSect="0096131C">
          <w:type w:val="continuous"/>
          <w:pgSz w:w="12240" w:h="15840"/>
          <w:pgMar w:top="1985" w:right="1467" w:bottom="1418" w:left="1247" w:header="709" w:footer="709" w:gutter="0"/>
          <w:pgNumType w:start="1"/>
          <w:cols w:space="708"/>
          <w:titlePg/>
          <w:docGrid w:linePitch="360"/>
        </w:sectPr>
      </w:pPr>
    </w:p>
    <w:p w14:paraId="0AA8FBD9" w14:textId="77777777" w:rsidR="003939FF" w:rsidRPr="008F74C2" w:rsidRDefault="003939FF" w:rsidP="003939FF">
      <w:pPr>
        <w:jc w:val="both"/>
        <w:rPr>
          <w:b/>
          <w:bCs/>
          <w:i/>
          <w:iCs/>
        </w:rPr>
      </w:pPr>
      <w:r w:rsidRPr="008F74C2">
        <w:rPr>
          <w:b/>
          <w:bCs/>
          <w:i/>
          <w:iCs/>
        </w:rPr>
        <w:lastRenderedPageBreak/>
        <w:t>Jurisdicción Ordinaria</w:t>
      </w:r>
    </w:p>
    <w:p w14:paraId="0FD25E3F" w14:textId="77777777" w:rsidR="003939FF" w:rsidRPr="008F74C2" w:rsidRDefault="003939FF" w:rsidP="003939FF">
      <w:pPr>
        <w:jc w:val="both"/>
        <w:rPr>
          <w:b/>
          <w:bCs/>
          <w:i/>
          <w:iCs/>
        </w:rPr>
        <w:sectPr w:rsidR="003939FF" w:rsidRPr="008F74C2" w:rsidSect="0056457A">
          <w:type w:val="continuous"/>
          <w:pgSz w:w="12240" w:h="15840"/>
          <w:pgMar w:top="1985" w:right="1467" w:bottom="1418" w:left="1247" w:header="709" w:footer="709" w:gutter="0"/>
          <w:pgNumType w:start="1"/>
          <w:cols w:space="708"/>
          <w:titlePg/>
          <w:docGrid w:linePitch="360"/>
        </w:sectPr>
      </w:pPr>
    </w:p>
    <w:p w14:paraId="14764306" w14:textId="14284E54" w:rsidR="003939FF" w:rsidRPr="008F74C2" w:rsidRDefault="003939FF" w:rsidP="003939FF">
      <w:pPr>
        <w:jc w:val="both"/>
      </w:pPr>
      <w:r w:rsidRPr="008F74C2">
        <w:rPr>
          <w:b/>
          <w:bCs/>
          <w:noProof/>
          <w:color w:val="2F5496" w:themeColor="accent1" w:themeShade="BF"/>
          <w:lang w:eastAsia="es-CO"/>
        </w:rPr>
        <w:lastRenderedPageBreak/>
        <w:drawing>
          <wp:inline distT="0" distB="0" distL="0" distR="0" wp14:anchorId="510A0F9C" wp14:editId="034EBF21">
            <wp:extent cx="2934335" cy="168402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8F74C2">
        <w:rPr>
          <w:b/>
          <w:bCs/>
          <w:color w:val="2F5496" w:themeColor="accent1" w:themeShade="BF"/>
        </w:rPr>
        <w:t xml:space="preserve">El número de egresos de </w:t>
      </w:r>
      <w:r w:rsidR="00A7499E" w:rsidRPr="008F74C2">
        <w:rPr>
          <w:b/>
          <w:bCs/>
          <w:color w:val="2F5496" w:themeColor="accent1" w:themeShade="BF"/>
        </w:rPr>
        <w:t>38,264 salidas en el 2019.</w:t>
      </w:r>
    </w:p>
    <w:p w14:paraId="17F5F022" w14:textId="060AC426" w:rsidR="003939FF" w:rsidRPr="008F74C2" w:rsidRDefault="003939FF" w:rsidP="003939FF">
      <w:pPr>
        <w:jc w:val="both"/>
      </w:pPr>
      <w:r w:rsidRPr="008F74C2">
        <w:t xml:space="preserve">Las medidas han sido positivas permitiendo controlar el comportamiento de las tres principales variables de gestión judicial como son ingreso, egreso e inventario, teniendo en cuenta que para el año 2019, los ingresos en esta Jurisdicción alcanzaron un total de </w:t>
      </w:r>
      <w:r w:rsidR="00A7499E" w:rsidRPr="008F74C2">
        <w:t>38,264</w:t>
      </w:r>
      <w:r w:rsidR="00A7499E" w:rsidRPr="008F74C2">
        <w:rPr>
          <w:b/>
          <w:bCs/>
          <w:color w:val="2F5496" w:themeColor="accent1" w:themeShade="BF"/>
        </w:rPr>
        <w:t xml:space="preserve"> </w:t>
      </w:r>
      <w:r w:rsidRPr="008F74C2">
        <w:t>procesos con tendencia positiva de 0.21%; permitiendo que se presenten índices de evacuación parcial cercanos al valor óptimo de 100%, encontrándose para el año 2019, en el 98,07%. Por último, como resultado de la gestión laboral se obtuvo una significativa reducción de inventarios en la Jurisdicción Ordinaria</w:t>
      </w:r>
      <w:r w:rsidR="00A7499E" w:rsidRPr="008F74C2">
        <w:t>.</w:t>
      </w:r>
    </w:p>
    <w:p w14:paraId="6CF3D60F" w14:textId="6167FFBF" w:rsidR="00A45294" w:rsidRPr="008F74C2" w:rsidRDefault="00A45294" w:rsidP="00C04225">
      <w:pPr>
        <w:jc w:val="both"/>
      </w:pPr>
    </w:p>
    <w:p w14:paraId="3822A42A" w14:textId="050B5B8E" w:rsidR="003315B3" w:rsidRPr="008F74C2" w:rsidRDefault="003315B3" w:rsidP="003315B3">
      <w:pPr>
        <w:jc w:val="both"/>
        <w:rPr>
          <w:b/>
          <w:bCs/>
          <w:i/>
          <w:iCs/>
        </w:rPr>
      </w:pPr>
      <w:r w:rsidRPr="008F74C2">
        <w:rPr>
          <w:b/>
          <w:bCs/>
          <w:i/>
          <w:iCs/>
        </w:rPr>
        <w:t xml:space="preserve">Jurisdicción </w:t>
      </w:r>
      <w:r w:rsidR="00A45294" w:rsidRPr="008F74C2">
        <w:rPr>
          <w:b/>
          <w:bCs/>
          <w:i/>
          <w:iCs/>
        </w:rPr>
        <w:t>Disciplinaria</w:t>
      </w:r>
    </w:p>
    <w:p w14:paraId="1C29BC94" w14:textId="0834473F" w:rsidR="00A45294" w:rsidRPr="008F74C2" w:rsidRDefault="00A45294" w:rsidP="003315B3">
      <w:pPr>
        <w:jc w:val="both"/>
        <w:rPr>
          <w:b/>
          <w:bCs/>
          <w:i/>
          <w:iCs/>
        </w:rPr>
      </w:pPr>
      <w:r w:rsidRPr="008F74C2">
        <w:rPr>
          <w:b/>
          <w:bCs/>
          <w:noProof/>
          <w:color w:val="2F5496" w:themeColor="accent1" w:themeShade="BF"/>
          <w:lang w:eastAsia="es-CO"/>
        </w:rPr>
        <w:lastRenderedPageBreak/>
        <w:drawing>
          <wp:inline distT="0" distB="0" distL="0" distR="0" wp14:anchorId="589DE851" wp14:editId="6D103A31">
            <wp:extent cx="2933700" cy="169926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012C9D1" w14:textId="593BCF40" w:rsidR="003315B3" w:rsidRPr="008F74C2" w:rsidRDefault="00A45294" w:rsidP="003315B3">
      <w:pPr>
        <w:jc w:val="both"/>
        <w:rPr>
          <w:b/>
          <w:bCs/>
          <w:color w:val="2F5496" w:themeColor="accent1" w:themeShade="BF"/>
        </w:rPr>
      </w:pPr>
      <w:r w:rsidRPr="008F74C2">
        <w:rPr>
          <w:b/>
          <w:bCs/>
          <w:color w:val="2F5496" w:themeColor="accent1" w:themeShade="BF"/>
        </w:rPr>
        <w:t>En esta jurisdicción se aplicaron medidas en materia disciplinaria</w:t>
      </w:r>
    </w:p>
    <w:p w14:paraId="3ECEBFD2" w14:textId="6D898E15" w:rsidR="00BC3F43" w:rsidRPr="008F74C2" w:rsidRDefault="003315B3" w:rsidP="00624710">
      <w:pPr>
        <w:pStyle w:val="Prrafodelista"/>
        <w:ind w:left="0"/>
        <w:jc w:val="both"/>
      </w:pPr>
      <w:r w:rsidRPr="008F74C2">
        <w:t xml:space="preserve">El comportamiento estadístico de la jurisdicción disciplinaria muestra que la aplicación de las medidas adoptadas por el Consejo Seccional relacionadas con, </w:t>
      </w:r>
      <w:r w:rsidRPr="008F74C2">
        <w:rPr>
          <w:b/>
          <w:bCs/>
        </w:rPr>
        <w:t>1)</w:t>
      </w:r>
      <w:r w:rsidRPr="008F74C2">
        <w:t xml:space="preserve"> control y seguimiento permanente en la gestión de los despachos judiciales, </w:t>
      </w:r>
      <w:r w:rsidRPr="008F74C2">
        <w:rPr>
          <w:b/>
          <w:bCs/>
        </w:rPr>
        <w:t>2)</w:t>
      </w:r>
      <w:r w:rsidRPr="008F74C2">
        <w:t xml:space="preserve"> apoyo con la creación de despachos judiciales en virtud de la implementación del “Plan Nacional de Descongestión” implementado en el </w:t>
      </w:r>
      <w:r w:rsidR="00FC58FE" w:rsidRPr="008F74C2">
        <w:t>Norte de Santander</w:t>
      </w:r>
      <w:r w:rsidRPr="008F74C2">
        <w:t xml:space="preserve"> desde el año 2009, con finalización de medidas en el año 2015, </w:t>
      </w:r>
      <w:r w:rsidRPr="008F74C2">
        <w:rPr>
          <w:b/>
          <w:bCs/>
        </w:rPr>
        <w:t>3)</w:t>
      </w:r>
      <w:r w:rsidRPr="008F74C2">
        <w:t xml:space="preserve"> la creación de cargos temporales para atención de la demanda de justicia y </w:t>
      </w:r>
      <w:r w:rsidRPr="008F74C2">
        <w:rPr>
          <w:b/>
          <w:bCs/>
        </w:rPr>
        <w:t>4)</w:t>
      </w:r>
      <w:r w:rsidRPr="008F74C2">
        <w:t xml:space="preserve"> la materialización de propuestas de reordenamiento seccional a focos de congestión, han estado a la altura de los requerimientos para mitigar la congestión en esta Jurisdicción, que para el año 2019, presentaba Ingresos</w:t>
      </w:r>
      <w:r w:rsidR="00624710" w:rsidRPr="008F74C2">
        <w:t>.</w:t>
      </w:r>
    </w:p>
    <w:p w14:paraId="797F5CA7" w14:textId="77777777" w:rsidR="00624710" w:rsidRPr="008F74C2" w:rsidRDefault="00624710" w:rsidP="00624710">
      <w:pPr>
        <w:pStyle w:val="Prrafodelista"/>
        <w:ind w:left="0"/>
        <w:jc w:val="both"/>
      </w:pPr>
    </w:p>
    <w:p w14:paraId="2BEA90E7" w14:textId="3E88D0A0" w:rsidR="00624710" w:rsidRPr="008F74C2" w:rsidRDefault="00622FF0" w:rsidP="00622FF0">
      <w:pPr>
        <w:pStyle w:val="Prrafodelista"/>
        <w:numPr>
          <w:ilvl w:val="0"/>
          <w:numId w:val="36"/>
        </w:numPr>
        <w:ind w:left="426" w:hanging="426"/>
        <w:rPr>
          <w:b/>
          <w:bCs/>
          <w:color w:val="2F5496" w:themeColor="accent1" w:themeShade="BF"/>
          <w:sz w:val="24"/>
          <w:szCs w:val="24"/>
        </w:rPr>
      </w:pPr>
      <w:r w:rsidRPr="008F74C2">
        <w:rPr>
          <w:b/>
          <w:bCs/>
          <w:color w:val="2F5496" w:themeColor="accent1" w:themeShade="BF"/>
          <w:sz w:val="24"/>
          <w:szCs w:val="24"/>
        </w:rPr>
        <w:t>Oferta y Demanda Judicial</w:t>
      </w:r>
    </w:p>
    <w:p w14:paraId="0A02B010" w14:textId="77777777" w:rsidR="00E8555A" w:rsidRPr="008F74C2" w:rsidRDefault="00E8555A" w:rsidP="00E8555A">
      <w:pPr>
        <w:jc w:val="both"/>
      </w:pPr>
      <w:r w:rsidRPr="008F74C2">
        <w:t xml:space="preserve">El Consejo Seccional de la Judicatura de Norte de Santander y Arauca tiene bajo su jurisdicción los Distritos Judiciales de Cúcuta, Pamplona y Arauca, los Despachos judiciales Administrativos de Arauca y </w:t>
      </w:r>
      <w:r w:rsidRPr="008F74C2">
        <w:lastRenderedPageBreak/>
        <w:t>Norte de Santander Conformado por tres Tribunales Superiores, dos Tribunales  Administrativos y seis Circuitos Judiciales en materia de Jurisdicción Ordinaria y Tres Circuitos Administrativos.  Estos reúnen las diferentes especialidades: Administrativos, Laborales, Penales del Circuito, Penales del Circuito Especializados, Civiles del Circuito Especializados en Restitución de Tierras, Civiles del Circuito,  de Familia, Promiscuos de Familia, Promiscuos del Circuito, Ejecución de Penas y Medidas de Seguridad, Penales Municipales de Control de Garantía, Adolescencia, Civiles Municipales,  Penales Municipales, Promiscuos Municipales, Civiles de Pequeñas Causas y Laborales de Pequeñas Causas.</w:t>
      </w:r>
    </w:p>
    <w:p w14:paraId="29EFEDA0" w14:textId="77777777" w:rsidR="00233AFA" w:rsidRPr="008F74C2" w:rsidRDefault="00233AFA" w:rsidP="00E8555A">
      <w:pPr>
        <w:jc w:val="both"/>
      </w:pPr>
    </w:p>
    <w:p w14:paraId="472AD5AD" w14:textId="2C072A56" w:rsidR="00A45294" w:rsidRPr="008F74C2" w:rsidRDefault="00233AFA" w:rsidP="00624710">
      <w:pPr>
        <w:pStyle w:val="Prrafodelista"/>
        <w:ind w:left="0"/>
        <w:jc w:val="both"/>
      </w:pPr>
      <w:r w:rsidRPr="008F74C2">
        <w:rPr>
          <w:noProof/>
          <w:lang w:eastAsia="es-CO"/>
        </w:rPr>
        <w:drawing>
          <wp:inline distT="0" distB="0" distL="0" distR="0" wp14:anchorId="28657EF7" wp14:editId="17D17354">
            <wp:extent cx="2860158" cy="1349894"/>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885398" cy="1361807"/>
                    </a:xfrm>
                    <a:prstGeom prst="rect">
                      <a:avLst/>
                    </a:prstGeom>
                    <a:noFill/>
                  </pic:spPr>
                </pic:pic>
              </a:graphicData>
            </a:graphic>
          </wp:inline>
        </w:drawing>
      </w:r>
    </w:p>
    <w:p w14:paraId="54A50DF1" w14:textId="15D952AA" w:rsidR="00624710" w:rsidRPr="008F74C2" w:rsidRDefault="00624710" w:rsidP="00624710">
      <w:pPr>
        <w:pStyle w:val="Prrafodelista"/>
        <w:ind w:left="0"/>
        <w:jc w:val="both"/>
      </w:pPr>
    </w:p>
    <w:p w14:paraId="40B37CEF" w14:textId="793E1861" w:rsidR="00624710" w:rsidRPr="008F74C2" w:rsidRDefault="00622FF0" w:rsidP="00A45294">
      <w:pPr>
        <w:pStyle w:val="Prrafodelista"/>
        <w:numPr>
          <w:ilvl w:val="0"/>
          <w:numId w:val="36"/>
        </w:numPr>
        <w:ind w:left="426" w:hanging="426"/>
        <w:rPr>
          <w:b/>
          <w:bCs/>
          <w:color w:val="2F5496" w:themeColor="accent1" w:themeShade="BF"/>
          <w:sz w:val="24"/>
          <w:szCs w:val="24"/>
        </w:rPr>
      </w:pPr>
      <w:r w:rsidRPr="008F74C2">
        <w:rPr>
          <w:b/>
          <w:bCs/>
          <w:color w:val="2F5496" w:themeColor="accent1" w:themeShade="BF"/>
          <w:sz w:val="24"/>
          <w:szCs w:val="24"/>
        </w:rPr>
        <w:t>Medidas para mejorar el Acceso a la Justicia</w:t>
      </w:r>
      <w:r w:rsidR="00A45294" w:rsidRPr="008F74C2">
        <w:rPr>
          <w:b/>
          <w:bCs/>
          <w:color w:val="2F5496" w:themeColor="accent1" w:themeShade="BF"/>
          <w:sz w:val="24"/>
          <w:szCs w:val="24"/>
        </w:rPr>
        <w:t xml:space="preserve"> </w:t>
      </w:r>
      <w:r w:rsidR="00624710" w:rsidRPr="008F74C2">
        <w:rPr>
          <w:b/>
          <w:bCs/>
          <w:color w:val="2F5496" w:themeColor="accent1" w:themeShade="BF"/>
          <w:sz w:val="24"/>
          <w:szCs w:val="24"/>
        </w:rPr>
        <w:t>Medidas de descongestión en el año 2019</w:t>
      </w:r>
    </w:p>
    <w:p w14:paraId="2187DA1E" w14:textId="677F8D8D" w:rsidR="00624710" w:rsidRPr="008F74C2" w:rsidRDefault="00644050" w:rsidP="00624710">
      <w:pPr>
        <w:jc w:val="both"/>
      </w:pPr>
      <w:r w:rsidRPr="008F74C2">
        <w:t>E</w:t>
      </w:r>
      <w:r w:rsidR="00624710" w:rsidRPr="008F74C2">
        <w:t>n el año 2019, las especialidades beneficiadas con medidas de descongestión</w:t>
      </w:r>
      <w:r w:rsidR="007E6B93" w:rsidRPr="008F74C2">
        <w:t xml:space="preserve"> fueron 24</w:t>
      </w:r>
      <w:r w:rsidR="00624710" w:rsidRPr="008F74C2">
        <w:t xml:space="preserve"> </w:t>
      </w:r>
      <w:r w:rsidR="007E6B93" w:rsidRPr="008F74C2">
        <w:t>productos</w:t>
      </w:r>
      <w:r w:rsidR="00624710" w:rsidRPr="008F74C2">
        <w:t xml:space="preserve"> de propuestas de reordenamiento en atención a necesidades identificadas por la Seccional</w:t>
      </w:r>
      <w:r w:rsidR="007E6B93" w:rsidRPr="008F74C2">
        <w:t>.</w:t>
      </w:r>
      <w:r w:rsidR="00624710" w:rsidRPr="008F74C2">
        <w:t xml:space="preserve"> </w:t>
      </w:r>
    </w:p>
    <w:p w14:paraId="5DC23E72" w14:textId="77777777" w:rsidR="00CE306B" w:rsidRPr="008F74C2" w:rsidRDefault="00CE306B" w:rsidP="007E6B93">
      <w:pPr>
        <w:jc w:val="both"/>
      </w:pPr>
    </w:p>
    <w:p w14:paraId="181D1470" w14:textId="5B7217DB" w:rsidR="00E30905" w:rsidRPr="008F74C2" w:rsidRDefault="006556AE" w:rsidP="00EE633B">
      <w:pPr>
        <w:pStyle w:val="Prrafodelista"/>
        <w:numPr>
          <w:ilvl w:val="0"/>
          <w:numId w:val="37"/>
        </w:numPr>
        <w:ind w:left="426" w:hanging="426"/>
        <w:jc w:val="both"/>
      </w:pPr>
      <w:r w:rsidRPr="008F74C2">
        <w:rPr>
          <w:b/>
          <w:bCs/>
          <w:color w:val="2F5496" w:themeColor="accent1" w:themeShade="BF"/>
        </w:rPr>
        <w:t>Comité</w:t>
      </w:r>
      <w:r w:rsidR="00E30905" w:rsidRPr="008F74C2">
        <w:rPr>
          <w:b/>
          <w:bCs/>
          <w:color w:val="2F5496" w:themeColor="accent1" w:themeShade="BF"/>
        </w:rPr>
        <w:t xml:space="preserve"> de Género</w:t>
      </w:r>
    </w:p>
    <w:p w14:paraId="4E75215B" w14:textId="1335D542" w:rsidR="00AD3E48" w:rsidRPr="008F74C2" w:rsidRDefault="00AD3E48" w:rsidP="00AD3E48">
      <w:pPr>
        <w:jc w:val="both"/>
      </w:pPr>
      <w:r w:rsidRPr="008F74C2">
        <w:t>Las  gestiones  realizadas de impacto adelantadas por el Comité en la Seccional de Norte de Santander para el año 2019 fueron las siguientes:</w:t>
      </w:r>
    </w:p>
    <w:p w14:paraId="6BB2F428" w14:textId="77777777" w:rsidR="008B00DA" w:rsidRPr="008F74C2" w:rsidRDefault="00AD3E48" w:rsidP="00AD3E48">
      <w:pPr>
        <w:pStyle w:val="Prrafodelista"/>
        <w:numPr>
          <w:ilvl w:val="0"/>
          <w:numId w:val="47"/>
        </w:numPr>
        <w:jc w:val="both"/>
      </w:pPr>
      <w:r w:rsidRPr="008F74C2">
        <w:t xml:space="preserve">Conversatorio del Dr. Yepes </w:t>
      </w:r>
      <w:r w:rsidR="008B00DA" w:rsidRPr="008F74C2">
        <w:t>Presidente del Tribunal sobre J</w:t>
      </w:r>
      <w:r w:rsidRPr="008F74C2">
        <w:t>urisprudencia de género</w:t>
      </w:r>
      <w:r w:rsidR="008B00DA" w:rsidRPr="008F74C2">
        <w:t>.</w:t>
      </w:r>
    </w:p>
    <w:p w14:paraId="1F8E1EC6" w14:textId="27BEFD69" w:rsidR="008B00DA" w:rsidRPr="008F74C2" w:rsidRDefault="00AD3E48" w:rsidP="00AD3E48">
      <w:pPr>
        <w:pStyle w:val="Prrafodelista"/>
        <w:numPr>
          <w:ilvl w:val="0"/>
          <w:numId w:val="47"/>
        </w:numPr>
        <w:jc w:val="both"/>
      </w:pPr>
      <w:r w:rsidRPr="008F74C2">
        <w:t xml:space="preserve"> </w:t>
      </w:r>
      <w:r w:rsidR="008B00DA" w:rsidRPr="008F74C2">
        <w:t>C</w:t>
      </w:r>
      <w:r w:rsidRPr="008F74C2">
        <w:t xml:space="preserve">itación </w:t>
      </w:r>
      <w:r w:rsidR="008B00DA" w:rsidRPr="008F74C2">
        <w:t>a entes territoriales del D</w:t>
      </w:r>
      <w:r w:rsidRPr="008F74C2">
        <w:t xml:space="preserve">epartamento para crear comité  de </w:t>
      </w:r>
      <w:r w:rsidRPr="008F74C2">
        <w:lastRenderedPageBreak/>
        <w:t xml:space="preserve">atención y prevención a </w:t>
      </w:r>
      <w:r w:rsidR="008B00DA" w:rsidRPr="008F74C2">
        <w:t>víctimas</w:t>
      </w:r>
      <w:r w:rsidRPr="008F74C2">
        <w:t xml:space="preserve"> d</w:t>
      </w:r>
      <w:r w:rsidR="008B00DA" w:rsidRPr="008F74C2">
        <w:t>e abuso sexual.</w:t>
      </w:r>
    </w:p>
    <w:p w14:paraId="5B859A0C" w14:textId="092302AA" w:rsidR="00E30905" w:rsidRPr="008F74C2" w:rsidRDefault="00AD3E48" w:rsidP="00AD3E48">
      <w:pPr>
        <w:pStyle w:val="Prrafodelista"/>
        <w:numPr>
          <w:ilvl w:val="0"/>
          <w:numId w:val="47"/>
        </w:numPr>
        <w:jc w:val="both"/>
      </w:pPr>
      <w:r w:rsidRPr="008F74C2">
        <w:t xml:space="preserve"> </w:t>
      </w:r>
      <w:r w:rsidR="008B00DA" w:rsidRPr="008F74C2">
        <w:t>C</w:t>
      </w:r>
      <w:r w:rsidRPr="008F74C2">
        <w:t>ampaña de prevención de violencia en contra la mujer.</w:t>
      </w:r>
    </w:p>
    <w:p w14:paraId="659A6C14" w14:textId="70311D32" w:rsidR="00E30905" w:rsidRPr="008F74C2" w:rsidRDefault="00E30905" w:rsidP="00E30905">
      <w:pPr>
        <w:pStyle w:val="Prrafodelista"/>
        <w:ind w:left="0"/>
        <w:jc w:val="both"/>
      </w:pPr>
    </w:p>
    <w:p w14:paraId="6E2DD0C1" w14:textId="22E795A3" w:rsidR="00192442" w:rsidRPr="008F74C2" w:rsidRDefault="00192442" w:rsidP="00192442">
      <w:pPr>
        <w:spacing w:line="240" w:lineRule="auto"/>
        <w:jc w:val="both"/>
        <w:rPr>
          <w:rFonts w:ascii="Arial" w:hAnsi="Arial" w:cs="Arial"/>
          <w:sz w:val="24"/>
        </w:rPr>
      </w:pPr>
      <w:r w:rsidRPr="008F74C2">
        <w:rPr>
          <w:b/>
          <w:bCs/>
          <w:color w:val="2F5496" w:themeColor="accent1" w:themeShade="BF"/>
          <w:sz w:val="24"/>
          <w:szCs w:val="24"/>
        </w:rPr>
        <w:t>4. Infraestructura Judicial</w:t>
      </w:r>
      <w:r w:rsidRPr="008F74C2">
        <w:rPr>
          <w:rFonts w:ascii="Arial" w:hAnsi="Arial" w:cs="Arial"/>
          <w:sz w:val="24"/>
        </w:rPr>
        <w:t xml:space="preserve"> </w:t>
      </w:r>
    </w:p>
    <w:p w14:paraId="6EAE6E87" w14:textId="77777777" w:rsidR="00192442" w:rsidRPr="008F74C2" w:rsidRDefault="00192442" w:rsidP="00192442">
      <w:pPr>
        <w:spacing w:line="240" w:lineRule="auto"/>
        <w:jc w:val="both"/>
      </w:pPr>
      <w:r w:rsidRPr="008F74C2">
        <w:t>El presente informe ejecutivo de gestión, refleja las principales actividades ejecutoriadas por la Dirección Seccional de Administración Judicial de Cúcuta durante lo transcurrido del año bajo el enfoque de las plataformas estratégicas contenidas en los Planes Sectoriales de Desarrollo de la Rama Judicial 2011-2014,  2015-2018, 2019-2022</w:t>
      </w:r>
    </w:p>
    <w:p w14:paraId="34D318F8" w14:textId="77777777" w:rsidR="00192442" w:rsidRPr="008F74C2" w:rsidRDefault="00192442" w:rsidP="00192442">
      <w:pPr>
        <w:autoSpaceDE w:val="0"/>
        <w:autoSpaceDN w:val="0"/>
        <w:adjustRightInd w:val="0"/>
        <w:spacing w:line="240" w:lineRule="auto"/>
        <w:jc w:val="both"/>
      </w:pPr>
      <w:r w:rsidRPr="008F74C2">
        <w:t>La gestión se encamino hacia el cumplimiento de los objetivos institucionales de Calidad, reflejándose los logros alcanzados en buenos indicadores de productividad, y como resultado de las orientaciones del Consejo Seccional de la Judicatura y la capacidad y compromiso de nuestra Dirección Seccional.</w:t>
      </w:r>
    </w:p>
    <w:p w14:paraId="2171B98A" w14:textId="77777777" w:rsidR="00192442" w:rsidRPr="008F74C2" w:rsidRDefault="00192442" w:rsidP="00192442">
      <w:pPr>
        <w:autoSpaceDE w:val="0"/>
        <w:autoSpaceDN w:val="0"/>
        <w:adjustRightInd w:val="0"/>
        <w:spacing w:line="240" w:lineRule="auto"/>
        <w:jc w:val="both"/>
      </w:pPr>
      <w:r w:rsidRPr="008F74C2">
        <w:t xml:space="preserve">La Dirección Seccional de Administración Judicial Cúcuta, tiene a su cargo los Distritos de Cúcuta, Pamplona y Arauca,  distribuidos en 6 Circuitos Judiciales (Cúcuta, Los Patios, Pamplona, Ocaña, Arauca y </w:t>
      </w:r>
      <w:proofErr w:type="spellStart"/>
      <w:r w:rsidRPr="008F74C2">
        <w:t>Saravena</w:t>
      </w:r>
      <w:proofErr w:type="spellEnd"/>
      <w:r w:rsidRPr="008F74C2">
        <w:t>), los cuales albergan actualmente 237 unidades judiciales comprendidas entre Despachos, Juzgados, Secretarías, Centros de Servicios y Dependencias Administrativas.</w:t>
      </w:r>
    </w:p>
    <w:p w14:paraId="22AF2AF9" w14:textId="56E10658" w:rsidR="00E30905" w:rsidRPr="008F74C2" w:rsidRDefault="00E30905" w:rsidP="00192442">
      <w:pPr>
        <w:pStyle w:val="Prrafodelista"/>
        <w:ind w:left="426"/>
        <w:rPr>
          <w:b/>
          <w:bCs/>
          <w:color w:val="2F5496" w:themeColor="accent1" w:themeShade="BF"/>
          <w:sz w:val="24"/>
          <w:szCs w:val="24"/>
        </w:rPr>
      </w:pPr>
    </w:p>
    <w:p w14:paraId="1625AD04" w14:textId="77777777" w:rsidR="00192442" w:rsidRPr="008F74C2" w:rsidRDefault="00192442" w:rsidP="00E30905">
      <w:pPr>
        <w:jc w:val="both"/>
      </w:pPr>
    </w:p>
    <w:p w14:paraId="1853DE64" w14:textId="6BABFCB2" w:rsidR="00192442" w:rsidRPr="008F74C2" w:rsidRDefault="00192442" w:rsidP="00E30905">
      <w:pPr>
        <w:jc w:val="both"/>
      </w:pPr>
      <w:r w:rsidRPr="008F74C2">
        <w:rPr>
          <w:noProof/>
          <w:lang w:eastAsia="es-CO"/>
        </w:rPr>
        <w:drawing>
          <wp:inline distT="0" distB="0" distL="0" distR="0" wp14:anchorId="2FAC8DFC" wp14:editId="6A26716D">
            <wp:extent cx="2725161" cy="22002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8805" cy="2203217"/>
                    </a:xfrm>
                    <a:prstGeom prst="rect">
                      <a:avLst/>
                    </a:prstGeom>
                    <a:noFill/>
                    <a:ln>
                      <a:noFill/>
                    </a:ln>
                  </pic:spPr>
                </pic:pic>
              </a:graphicData>
            </a:graphic>
          </wp:inline>
        </w:drawing>
      </w:r>
    </w:p>
    <w:p w14:paraId="56247A21" w14:textId="783DCC90" w:rsidR="00192442" w:rsidRPr="008F74C2" w:rsidRDefault="00192442" w:rsidP="00192442">
      <w:r w:rsidRPr="008F74C2">
        <w:lastRenderedPageBreak/>
        <w:t>En la vigencia 2019 se adelantaron 164 procesos de contratación los cuales se discriminan en la gráfica  a continuación:</w:t>
      </w:r>
    </w:p>
    <w:p w14:paraId="75DDA07A" w14:textId="017A6C75" w:rsidR="00192442" w:rsidRPr="008F74C2" w:rsidRDefault="00192442" w:rsidP="00192442">
      <w:r w:rsidRPr="008F74C2">
        <w:rPr>
          <w:noProof/>
          <w:lang w:eastAsia="es-CO"/>
        </w:rPr>
        <w:drawing>
          <wp:inline distT="0" distB="0" distL="0" distR="0" wp14:anchorId="321C5389" wp14:editId="1DEF168A">
            <wp:extent cx="2725420" cy="1635252"/>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5420" cy="1635252"/>
                    </a:xfrm>
                    <a:prstGeom prst="rect">
                      <a:avLst/>
                    </a:prstGeom>
                    <a:noFill/>
                    <a:ln>
                      <a:noFill/>
                    </a:ln>
                  </pic:spPr>
                </pic:pic>
              </a:graphicData>
            </a:graphic>
          </wp:inline>
        </w:drawing>
      </w:r>
    </w:p>
    <w:p w14:paraId="540941C5" w14:textId="77777777" w:rsidR="00192442" w:rsidRPr="008F74C2" w:rsidRDefault="00192442" w:rsidP="00192442"/>
    <w:p w14:paraId="2B140FAE" w14:textId="558289C4" w:rsidR="00E30905" w:rsidRPr="008F74C2" w:rsidRDefault="00192442" w:rsidP="00192442">
      <w:pPr>
        <w:rPr>
          <w:b/>
          <w:bCs/>
          <w:color w:val="2F5496" w:themeColor="accent1" w:themeShade="BF"/>
          <w:sz w:val="24"/>
          <w:szCs w:val="24"/>
        </w:rPr>
      </w:pPr>
      <w:r w:rsidRPr="008F74C2">
        <w:rPr>
          <w:b/>
          <w:bCs/>
          <w:color w:val="2F5496" w:themeColor="accent1" w:themeShade="BF"/>
          <w:sz w:val="24"/>
          <w:szCs w:val="24"/>
        </w:rPr>
        <w:t>5. Carrera</w:t>
      </w:r>
      <w:r w:rsidR="00622FF0" w:rsidRPr="008F74C2">
        <w:rPr>
          <w:b/>
          <w:bCs/>
          <w:color w:val="2F5496" w:themeColor="accent1" w:themeShade="BF"/>
          <w:sz w:val="24"/>
          <w:szCs w:val="24"/>
        </w:rPr>
        <w:t xml:space="preserve"> Judicial</w:t>
      </w:r>
    </w:p>
    <w:p w14:paraId="57FBE34C" w14:textId="77777777" w:rsidR="00624710" w:rsidRPr="008F74C2" w:rsidRDefault="00624710" w:rsidP="00624710">
      <w:pPr>
        <w:pStyle w:val="Prrafodelista"/>
        <w:ind w:left="0"/>
        <w:jc w:val="both"/>
      </w:pPr>
    </w:p>
    <w:p w14:paraId="7880E177" w14:textId="53F31F71" w:rsidR="00624710" w:rsidRPr="008F74C2" w:rsidRDefault="008D5965" w:rsidP="00624710">
      <w:pPr>
        <w:pStyle w:val="Prrafodelista"/>
        <w:ind w:left="0"/>
        <w:jc w:val="both"/>
      </w:pPr>
      <w:r w:rsidRPr="008F74C2">
        <w:t>Se atendieron todos los requerimientos y solicitudes relacionados con el tema como traslados, inscripciones en carrera, actualizaciones y exclusiones de carrera.</w:t>
      </w:r>
    </w:p>
    <w:p w14:paraId="2F39170A" w14:textId="18F17457" w:rsidR="00E30905" w:rsidRPr="008F74C2" w:rsidRDefault="00192442" w:rsidP="00192442">
      <w:pPr>
        <w:rPr>
          <w:b/>
          <w:bCs/>
          <w:color w:val="2F5496" w:themeColor="accent1" w:themeShade="BF"/>
          <w:sz w:val="24"/>
          <w:szCs w:val="24"/>
        </w:rPr>
      </w:pPr>
      <w:r w:rsidRPr="008F74C2">
        <w:rPr>
          <w:b/>
          <w:bCs/>
          <w:color w:val="2F5496" w:themeColor="accent1" w:themeShade="BF"/>
          <w:sz w:val="24"/>
          <w:szCs w:val="24"/>
        </w:rPr>
        <w:t>6. Anticorrupción</w:t>
      </w:r>
      <w:r w:rsidR="00622FF0" w:rsidRPr="008F74C2">
        <w:rPr>
          <w:b/>
          <w:bCs/>
          <w:color w:val="2F5496" w:themeColor="accent1" w:themeShade="BF"/>
          <w:sz w:val="24"/>
          <w:szCs w:val="24"/>
        </w:rPr>
        <w:t xml:space="preserve"> y Transparencia</w:t>
      </w:r>
    </w:p>
    <w:p w14:paraId="067F9077" w14:textId="325EF603" w:rsidR="00E30905" w:rsidRPr="008F74C2" w:rsidRDefault="00E30905" w:rsidP="00E30905">
      <w:pPr>
        <w:jc w:val="both"/>
        <w:rPr>
          <w:b/>
          <w:bCs/>
          <w:color w:val="2F5496" w:themeColor="accent1" w:themeShade="BF"/>
        </w:rPr>
      </w:pPr>
      <w:r w:rsidRPr="008F74C2">
        <w:rPr>
          <w:b/>
          <w:bCs/>
          <w:color w:val="2F5496" w:themeColor="accent1" w:themeShade="BF"/>
        </w:rPr>
        <w:t>Vigilanc</w:t>
      </w:r>
      <w:r w:rsidR="006A31E2" w:rsidRPr="008F74C2">
        <w:rPr>
          <w:b/>
          <w:bCs/>
          <w:color w:val="2F5496" w:themeColor="accent1" w:themeShade="BF"/>
        </w:rPr>
        <w:t>i</w:t>
      </w:r>
      <w:r w:rsidRPr="008F74C2">
        <w:rPr>
          <w:b/>
          <w:bCs/>
          <w:color w:val="2F5496" w:themeColor="accent1" w:themeShade="BF"/>
        </w:rPr>
        <w:t>a judicial administrativa</w:t>
      </w:r>
    </w:p>
    <w:p w14:paraId="2608C96D" w14:textId="2001E52A" w:rsidR="006A31E2" w:rsidRPr="008F74C2" w:rsidRDefault="00644050" w:rsidP="00E30905">
      <w:pPr>
        <w:jc w:val="both"/>
      </w:pPr>
      <w:r w:rsidRPr="008F74C2">
        <w:t>D</w:t>
      </w:r>
      <w:r w:rsidR="006A31E2" w:rsidRPr="008F74C2">
        <w:t xml:space="preserve">e la Gestión realizada por el Consejo Seccional durante el año 2019, en la atención de las Vigilancia Judiciales interpuestas por la comunidad se ha normalizado la situación de </w:t>
      </w:r>
      <w:r w:rsidR="00347484" w:rsidRPr="008F74C2">
        <w:t>112</w:t>
      </w:r>
      <w:r w:rsidR="006A31E2" w:rsidRPr="008F74C2">
        <w:t xml:space="preserve"> procesos, en razón a que el funcionario emitió la sentencia o auto en el cual se cuestionaba la dilación de términos Judiciales, igualmente se ha compulsado copias a la Sala Jurisdiccional Disciplinaria Seccional de </w:t>
      </w:r>
      <w:r w:rsidR="00347484" w:rsidRPr="008F74C2">
        <w:t>10</w:t>
      </w:r>
      <w:r w:rsidR="006A31E2" w:rsidRPr="008F74C2">
        <w:t xml:space="preserve"> funcionarios para que investiguen las posibles faltas cometidas.</w:t>
      </w:r>
    </w:p>
    <w:p w14:paraId="1D5C2007" w14:textId="4E3A1C66" w:rsidR="006A31E2" w:rsidRPr="008F74C2" w:rsidRDefault="006A31E2" w:rsidP="006A31E2">
      <w:pPr>
        <w:jc w:val="both"/>
        <w:rPr>
          <w:b/>
          <w:bCs/>
          <w:color w:val="2F5496" w:themeColor="accent1" w:themeShade="BF"/>
        </w:rPr>
      </w:pPr>
      <w:r w:rsidRPr="008F74C2">
        <w:rPr>
          <w:b/>
          <w:bCs/>
          <w:color w:val="2F5496" w:themeColor="accent1" w:themeShade="BF"/>
        </w:rPr>
        <w:t>Acciones internas para mejorar la calidad de los servicios</w:t>
      </w:r>
    </w:p>
    <w:p w14:paraId="15915AE9" w14:textId="77777777" w:rsidR="00712511" w:rsidRPr="008F74C2" w:rsidRDefault="00712511" w:rsidP="00712511">
      <w:pPr>
        <w:pStyle w:val="Prrafodelista"/>
        <w:numPr>
          <w:ilvl w:val="0"/>
          <w:numId w:val="45"/>
        </w:numPr>
        <w:overflowPunct w:val="0"/>
        <w:autoSpaceDE w:val="0"/>
        <w:autoSpaceDN w:val="0"/>
        <w:adjustRightInd w:val="0"/>
        <w:spacing w:after="0" w:line="240" w:lineRule="auto"/>
        <w:ind w:left="0" w:firstLine="360"/>
        <w:jc w:val="both"/>
        <w:textAlignment w:val="baseline"/>
      </w:pPr>
      <w:r w:rsidRPr="008F74C2">
        <w:t xml:space="preserve">Plan de Mantenimiento y Mejoramiento del SIGCMA: Durante el año de 2019 se ejecutaron las 29 actividades programadas en el Plan de Mejoramiento del SIGCMA. Dichas actividades comprenden Seguimientos al registro de la información respecto a los avances a las acciones de gestión y respuestas a QRS, aplicación de metodologías para la medición y análisis de indicadores, registro y avance  de acciones </w:t>
      </w:r>
      <w:r w:rsidRPr="008F74C2">
        <w:lastRenderedPageBreak/>
        <w:t>de Gestión, avances planes operativos, identificación y valoración de riesgos. Se adelantaron un total de 13 reuniones Ordinarias de Comité del SIGCMA.</w:t>
      </w:r>
    </w:p>
    <w:p w14:paraId="04595179" w14:textId="77777777" w:rsidR="00712511" w:rsidRPr="008F74C2" w:rsidRDefault="00712511" w:rsidP="00712511">
      <w:pPr>
        <w:pStyle w:val="Prrafodelista"/>
        <w:overflowPunct w:val="0"/>
        <w:autoSpaceDE w:val="0"/>
        <w:autoSpaceDN w:val="0"/>
        <w:adjustRightInd w:val="0"/>
        <w:spacing w:after="0" w:line="240" w:lineRule="auto"/>
        <w:ind w:left="360"/>
        <w:jc w:val="both"/>
        <w:textAlignment w:val="baseline"/>
      </w:pPr>
    </w:p>
    <w:p w14:paraId="10EB1594" w14:textId="77777777" w:rsidR="00712511" w:rsidRPr="008F74C2" w:rsidRDefault="00712511" w:rsidP="00712511">
      <w:pPr>
        <w:jc w:val="both"/>
      </w:pPr>
      <w:r w:rsidRPr="008F74C2">
        <w:t xml:space="preserve">El registro de QRS en el aplicativo corresponde a un total de 38 con corte a diciembre 31 de 2019, clasificadas por tipo con un porcentaje así: el 50% corresponde a las clasificadas como Quejas, el 42.11% como Peticiones y el 7.89% Reclamos. </w:t>
      </w:r>
    </w:p>
    <w:p w14:paraId="258A1E37" w14:textId="28422F16" w:rsidR="00712511" w:rsidRPr="008F74C2" w:rsidRDefault="00712511" w:rsidP="00712511">
      <w:pPr>
        <w:jc w:val="both"/>
      </w:pPr>
      <w:r w:rsidRPr="008F74C2">
        <w:t xml:space="preserve">El ítem Otros es el </w:t>
      </w:r>
      <w:r w:rsidR="00347484" w:rsidRPr="008F74C2">
        <w:t>más</w:t>
      </w:r>
      <w:r w:rsidRPr="008F74C2">
        <w:t xml:space="preserve"> representativo con el 73.68% del registro de solicitudes, el 15.79% corresponde a Vigilancias Judiciales Administrativas y el restante porcentaje corresponde a los procesos de información judicial y Registro y control de abogados por expedición de TP o consultas sobre Práctica Jurídica. Todas las solicitudes son resueltas con un promedio de respuesta de 5.97 días.</w:t>
      </w:r>
    </w:p>
    <w:p w14:paraId="3EB5F055" w14:textId="77777777" w:rsidR="00712511" w:rsidRPr="008F74C2" w:rsidRDefault="00712511" w:rsidP="00712511">
      <w:pPr>
        <w:pStyle w:val="Prrafodelista"/>
        <w:tabs>
          <w:tab w:val="left" w:pos="3735"/>
        </w:tabs>
        <w:ind w:left="0"/>
        <w:jc w:val="both"/>
      </w:pPr>
      <w:r w:rsidRPr="008F74C2">
        <w:t>3.2 Resultados encuestas de opinión: La encuesta aplicada a 55 funcionarios judiciales arrojó como resultado el 82.09% de percepción de los funcionarios judiciales acerca de los servicios que desde el Consejo Superior de la Judicatura  se brinda a los despachos judiciales. Para incrementar cobertura en las comunicaciones, en la Seccional Cúcuta, en el año 2019 se crearon 157 nuevas cuentas de correo y actualmente hay 319 cuentas activas, permitiendo de esta manera el acceso a los despachos judiciales sobre la información interna y externa de interés de la comunidad judicial y como mecanismo para ampliar el acceso y mejorar la gestión de los trámites judiciales. El Proceso de Información Estadística obtuvo un porcentaje del 95%,  manteniéndose estable el nivel de percepción respecto al período anterior, por cuanto es el más consultado y conocido entre los funcionarios judiciales que tiene como herramienta el aplicativo SIERJU BI  en donde se registra trimestralmente la gestión de los despachos judiciales.</w:t>
      </w:r>
    </w:p>
    <w:p w14:paraId="5F486C70" w14:textId="1E90A35D" w:rsidR="00712511" w:rsidRPr="008F74C2" w:rsidRDefault="00712511" w:rsidP="00712511">
      <w:pPr>
        <w:jc w:val="both"/>
      </w:pPr>
      <w:r w:rsidRPr="008F74C2">
        <w:rPr>
          <w:b/>
          <w:bCs/>
          <w:smallCaps/>
        </w:rPr>
        <w:t>4. El grado en que se han alcanzado los objetivos de calidad:</w:t>
      </w:r>
      <w:r w:rsidRPr="008F74C2">
        <w:t xml:space="preserve"> Se considera el cumplimiento de los objetivos bajo tres aspectos 1. Los resultados de la medición y análisis de los indicadores: Los 39 indicadores se midieron y analizaron en la Seccional y según los resultados obtenidos, el avance y </w:t>
      </w:r>
      <w:r w:rsidRPr="008F74C2">
        <w:lastRenderedPageBreak/>
        <w:t>cumplimiento de las metas establecidas y el cumplimiento de los Objetivos institucionales y de Calidad fueron de  un 92.3%. 2. Cumplimiento Actividades de los planes operativos de la Seccional   a diciembre 31 de 2019 fue de 98% lo cual nos muestra que las actividades se han cumplido acorde con las metas programadas. 3. Controles a riesgos. Para la  vigencia 2019 se identificaron 86  riesgos entre los que sobresalen por ser los más comunes son incumplimiento, demora, corrupción e Inexactitud. Los controles definidos y establecidos para mitigar los 86 riesgos identificados -materialización dos riesgos uno en el Proceso de ABS y otro en Administración de la Seguridad.</w:t>
      </w:r>
    </w:p>
    <w:p w14:paraId="363096BA" w14:textId="75D33918" w:rsidR="00712511" w:rsidRPr="008F74C2" w:rsidRDefault="00712511" w:rsidP="008F74C2">
      <w:pPr>
        <w:pStyle w:val="Prrafodelista"/>
        <w:tabs>
          <w:tab w:val="left" w:pos="3735"/>
        </w:tabs>
        <w:ind w:left="0"/>
        <w:jc w:val="both"/>
      </w:pPr>
      <w:r w:rsidRPr="008F74C2">
        <w:t xml:space="preserve"> 5. Los resultados de seguimiento y medición 1.Análisis de los indicadores de gestión: </w:t>
      </w:r>
    </w:p>
    <w:p w14:paraId="01131D57" w14:textId="77777777" w:rsidR="00712511" w:rsidRPr="008F74C2" w:rsidRDefault="00712511" w:rsidP="00712511">
      <w:pPr>
        <w:pStyle w:val="Ttulo2"/>
        <w:spacing w:before="0"/>
        <w:jc w:val="both"/>
        <w:rPr>
          <w:rFonts w:asciiTheme="minorHAnsi" w:eastAsiaTheme="minorEastAsia" w:hAnsiTheme="minorHAnsi" w:cstheme="minorBidi"/>
          <w:color w:val="auto"/>
          <w:sz w:val="20"/>
          <w:szCs w:val="20"/>
        </w:rPr>
      </w:pPr>
      <w:r w:rsidRPr="008F74C2">
        <w:rPr>
          <w:rFonts w:asciiTheme="minorHAnsi" w:eastAsiaTheme="minorEastAsia" w:hAnsiTheme="minorHAnsi" w:cstheme="minorBidi"/>
          <w:color w:val="auto"/>
          <w:sz w:val="20"/>
          <w:szCs w:val="20"/>
        </w:rPr>
        <w:t>En la Seccional Cúcuta están definidos un total de 39 indicadores. De este total tres (3) de los indicadores,   a 31 de diciembre de 2019 no superaron  el nivel de referencia establecido  para cada indicador</w:t>
      </w:r>
      <w:proofErr w:type="gramStart"/>
      <w:r w:rsidRPr="008F74C2">
        <w:rPr>
          <w:rFonts w:asciiTheme="minorHAnsi" w:eastAsiaTheme="minorEastAsia" w:hAnsiTheme="minorHAnsi" w:cstheme="minorBidi"/>
          <w:color w:val="auto"/>
          <w:sz w:val="20"/>
          <w:szCs w:val="20"/>
        </w:rPr>
        <w:t>..</w:t>
      </w:r>
      <w:proofErr w:type="gramEnd"/>
    </w:p>
    <w:p w14:paraId="555935D2" w14:textId="5876DA19" w:rsidR="00712511" w:rsidRPr="008F74C2" w:rsidRDefault="00712511" w:rsidP="00712511">
      <w:pPr>
        <w:jc w:val="both"/>
      </w:pPr>
      <w:r w:rsidRPr="008F74C2">
        <w:t xml:space="preserve">2. El Registro, ejecución y cierre de las acciones de Gestión: Otro factor dentro de los resultados del seguimiento se dio por la eficacia de los planes de acción desarrollados en cumplimiento de las  18 acciones  registradas en la Seccional entre Preventivas, Correctivas, Oportunidades de Mejora y Productos no conformes,  cuya gestión  contribuye al logro de los objetivos institucionales y de Calidad  y al  mejoramiento y mantenimiento  del sistema de Gestión de la Calidad en la Seccional. Las acciones fueron culminadas en un 83% por cuanto dos se </w:t>
      </w:r>
      <w:proofErr w:type="spellStart"/>
      <w:r w:rsidRPr="008F74C2">
        <w:t>aperturaron</w:t>
      </w:r>
      <w:proofErr w:type="spellEnd"/>
      <w:r w:rsidRPr="008F74C2">
        <w:t xml:space="preserve"> a finales de 2019 pero se desarrollarán por la Organización en el 2020.</w:t>
      </w:r>
    </w:p>
    <w:p w14:paraId="5A72A15D" w14:textId="77777777" w:rsidR="00712511" w:rsidRPr="008F74C2" w:rsidRDefault="00712511" w:rsidP="00712511">
      <w:pPr>
        <w:jc w:val="both"/>
      </w:pPr>
      <w:r w:rsidRPr="008F74C2">
        <w:t>3. La Conformidad de los Productos: Se analizaron los casos en los cuales se presentaron Productos No conformes: En el Proceso de Registro y control de abogados y auxiliares de la Justicia por cuanto se presentó error en nombres de los usuarios solicitantes.</w:t>
      </w:r>
    </w:p>
    <w:p w14:paraId="7AA55D8D" w14:textId="77777777" w:rsidR="00712511" w:rsidRPr="008F74C2" w:rsidRDefault="00712511" w:rsidP="00712511">
      <w:pPr>
        <w:pStyle w:val="Prrafodelista"/>
        <w:tabs>
          <w:tab w:val="left" w:pos="3735"/>
        </w:tabs>
        <w:ind w:left="0"/>
        <w:jc w:val="both"/>
      </w:pPr>
    </w:p>
    <w:p w14:paraId="3502D239" w14:textId="77777777" w:rsidR="00712511" w:rsidRPr="008F74C2" w:rsidRDefault="00712511" w:rsidP="00712511">
      <w:pPr>
        <w:pStyle w:val="Prrafodelista"/>
        <w:ind w:left="0"/>
        <w:jc w:val="both"/>
      </w:pPr>
      <w:r w:rsidRPr="008F74C2">
        <w:t xml:space="preserve">6. Resultados auditoria interna de calidad (2019): La auditoría Interna de Calidad adelantada el 17/07/2019 arrojó como resultado una No conformidad Real en el Proceso de Gestión Humana, </w:t>
      </w:r>
      <w:r w:rsidRPr="008F74C2">
        <w:lastRenderedPageBreak/>
        <w:t>la cual fue atendida mediante el correspondiente plan de acción.</w:t>
      </w:r>
    </w:p>
    <w:p w14:paraId="4847B30B" w14:textId="77777777" w:rsidR="00712511" w:rsidRPr="008F74C2" w:rsidRDefault="00712511" w:rsidP="00712511">
      <w:pPr>
        <w:pStyle w:val="Prrafodelista"/>
        <w:ind w:left="0"/>
        <w:jc w:val="both"/>
      </w:pPr>
    </w:p>
    <w:p w14:paraId="01AC7AC7" w14:textId="77777777" w:rsidR="00712511" w:rsidRPr="008F74C2" w:rsidRDefault="00712511" w:rsidP="00712511">
      <w:pPr>
        <w:jc w:val="both"/>
      </w:pPr>
      <w:r w:rsidRPr="008F74C2">
        <w:t>7. Acciones para Oportunidades surgidas del contexto: 1. Fortalecer el estado físico y psicológico de los servidores judiciales   2. Adopción del protocolo IPv6    3.Implementación tecnología IP.</w:t>
      </w:r>
    </w:p>
    <w:p w14:paraId="7337D080" w14:textId="4A4586F4" w:rsidR="00712511" w:rsidRPr="008F74C2" w:rsidRDefault="00712511" w:rsidP="00712511">
      <w:pPr>
        <w:jc w:val="both"/>
      </w:pPr>
      <w:r w:rsidRPr="008F74C2">
        <w:t>8. Recomendaciones para la mejora. Fortalecer la cultura del autocontrol y autoevaluación a través de mecanismos que busquen la permanente revisión, análisis y seguimiento de los indicadores de gestión como herramienta de control de uso permanente</w:t>
      </w:r>
      <w:r w:rsidR="00C311A7" w:rsidRPr="008F74C2">
        <w:t>.</w:t>
      </w:r>
    </w:p>
    <w:p w14:paraId="11170C76" w14:textId="04B072B8" w:rsidR="00624710" w:rsidRPr="008F74C2" w:rsidRDefault="00192442" w:rsidP="00192442">
      <w:pPr>
        <w:rPr>
          <w:b/>
          <w:bCs/>
          <w:color w:val="2F5496" w:themeColor="accent1" w:themeShade="BF"/>
          <w:sz w:val="24"/>
          <w:szCs w:val="24"/>
        </w:rPr>
      </w:pPr>
      <w:r w:rsidRPr="008F74C2">
        <w:rPr>
          <w:b/>
          <w:bCs/>
          <w:color w:val="2F5496" w:themeColor="accent1" w:themeShade="BF"/>
          <w:sz w:val="24"/>
          <w:szCs w:val="24"/>
        </w:rPr>
        <w:t xml:space="preserve">7. </w:t>
      </w:r>
      <w:r w:rsidR="00622FF0" w:rsidRPr="008F74C2">
        <w:rPr>
          <w:b/>
          <w:bCs/>
          <w:color w:val="2F5496" w:themeColor="accent1" w:themeShade="BF"/>
          <w:sz w:val="24"/>
          <w:szCs w:val="24"/>
        </w:rPr>
        <w:t>Evolución de la Infraestructura Tecnológica</w:t>
      </w:r>
    </w:p>
    <w:p w14:paraId="14551917" w14:textId="4FB6CD6D" w:rsidR="005E6AF4" w:rsidRPr="008F74C2" w:rsidRDefault="005E6AF4" w:rsidP="005E6AF4">
      <w:pPr>
        <w:jc w:val="both"/>
      </w:pPr>
      <w:r w:rsidRPr="008F74C2">
        <w:t xml:space="preserve">La Seccional cuenta con 10 canales de datos e internet a través de </w:t>
      </w:r>
      <w:proofErr w:type="spellStart"/>
      <w:r w:rsidRPr="008F74C2">
        <w:t>modems</w:t>
      </w:r>
      <w:proofErr w:type="spellEnd"/>
      <w:r w:rsidRPr="008F74C2">
        <w:t xml:space="preserve"> garantizando el cubrimiento en el 100% de los Despachos Judiciales. Se dispone de una sección en  Pagina Web de la Rama Judicial Seccional Cúcuta y blog privado </w:t>
      </w:r>
      <w:hyperlink r:id="rId18" w:tgtFrame="_blank" w:history="1">
        <w:r w:rsidRPr="008F74C2">
          <w:rPr>
            <w:rStyle w:val="Hipervnculo"/>
          </w:rPr>
          <w:t>https://donjustoboletin.com/</w:t>
        </w:r>
      </w:hyperlink>
      <w:r w:rsidRPr="008F74C2">
        <w:t xml:space="preserve"> donde se publica toda la información de interés para la comunidad Judicial y partes interesadas internas y externas. Así mismo La seccional dispone de la Herramienta de manejo de gestión documental SIGOBIUS implementado en el Consejo y Dirección Seccional agilizando el trámite de la correspondencia recibida y generada en la Organización.  De igual forma se dispone de la herramienta de correo electrónico Outlook configurado en todos los Despachos Judiciales y/</w:t>
      </w:r>
      <w:proofErr w:type="spellStart"/>
      <w:r w:rsidRPr="008F74C2">
        <w:t>o</w:t>
      </w:r>
      <w:proofErr w:type="spellEnd"/>
      <w:r w:rsidRPr="008F74C2">
        <w:t xml:space="preserve"> oficinas de las Dependencias Administrativas (Consejo y Dirección) permitiendo una comunicación instantánea con todos los usuarios,   este a su vez se enlaza con el aplicativo SIGOBIUS para el envío de respuestas a la correspondencia recibida permitiendo contribuir al cuidado del medio ambiente evitando el consumo de papel e impresión disminuyendo el consumo de energía.</w:t>
      </w:r>
    </w:p>
    <w:p w14:paraId="4011B8A2" w14:textId="77777777" w:rsidR="005E6AF4" w:rsidRPr="008F74C2" w:rsidRDefault="005E6AF4" w:rsidP="005E6AF4">
      <w:pPr>
        <w:jc w:val="both"/>
      </w:pPr>
      <w:r w:rsidRPr="008F74C2">
        <w:t>Se publican noticias de interés para los servidores Judiciales y público en general (Circulares, contratación, Aplicativo de inventarios en línea, ordenes de pagos, resoluciones convocatorias, Agenda de audiencias virtuales etc.  </w:t>
      </w:r>
    </w:p>
    <w:p w14:paraId="4AED4733" w14:textId="02E4FDF1" w:rsidR="005E6AF4" w:rsidRPr="008F74C2" w:rsidRDefault="005E6AF4" w:rsidP="005E6AF4">
      <w:pPr>
        <w:jc w:val="both"/>
      </w:pPr>
      <w:r w:rsidRPr="008F74C2">
        <w:lastRenderedPageBreak/>
        <w:t>Se inicia levantamiento de la información para el reemplazo y ampliación de la red de datos del Palacio de Justicia Bloque C.</w:t>
      </w:r>
    </w:p>
    <w:p w14:paraId="71889258" w14:textId="77777777" w:rsidR="00624710" w:rsidRPr="008F74C2" w:rsidRDefault="00624710" w:rsidP="00624710">
      <w:pPr>
        <w:pStyle w:val="Prrafodelista"/>
        <w:ind w:left="0"/>
        <w:jc w:val="both"/>
      </w:pPr>
    </w:p>
    <w:p w14:paraId="382C703D" w14:textId="77777777" w:rsidR="00624710" w:rsidRPr="008F74C2" w:rsidRDefault="00624710" w:rsidP="00624710">
      <w:pPr>
        <w:pStyle w:val="Prrafodelista"/>
        <w:ind w:left="0"/>
        <w:jc w:val="both"/>
      </w:pPr>
    </w:p>
    <w:p w14:paraId="2E12F607" w14:textId="77777777" w:rsidR="00624710" w:rsidRPr="008F74C2" w:rsidRDefault="00624710" w:rsidP="00624710">
      <w:pPr>
        <w:pStyle w:val="Prrafodelista"/>
        <w:ind w:left="0"/>
        <w:jc w:val="both"/>
      </w:pPr>
    </w:p>
    <w:p w14:paraId="632CFA08" w14:textId="77777777" w:rsidR="00712511" w:rsidRPr="008F74C2" w:rsidRDefault="00712511" w:rsidP="002E3739">
      <w:pPr>
        <w:pStyle w:val="Prrafodelista"/>
        <w:ind w:left="0"/>
        <w:jc w:val="both"/>
        <w:rPr>
          <w:rFonts w:cstheme="minorHAnsi"/>
          <w:color w:val="808080" w:themeColor="background1" w:themeShade="80"/>
          <w:sz w:val="22"/>
          <w:szCs w:val="22"/>
        </w:rPr>
        <w:sectPr w:rsidR="00712511" w:rsidRPr="008F74C2" w:rsidSect="00624710">
          <w:type w:val="continuous"/>
          <w:pgSz w:w="12240" w:h="15840"/>
          <w:pgMar w:top="2155" w:right="1701" w:bottom="1418" w:left="1247" w:header="709" w:footer="709" w:gutter="0"/>
          <w:pgNumType w:start="1"/>
          <w:cols w:num="2" w:space="708"/>
          <w:titlePg/>
          <w:docGrid w:linePitch="360"/>
        </w:sectPr>
      </w:pPr>
    </w:p>
    <w:p w14:paraId="0EDBE4D7" w14:textId="24E6D0E4" w:rsidR="002E3739" w:rsidRPr="008F74C2" w:rsidRDefault="002E3739" w:rsidP="002E3739">
      <w:pPr>
        <w:pStyle w:val="Sinespaciado"/>
        <w:jc w:val="both"/>
        <w:rPr>
          <w:color w:val="808080" w:themeColor="background1" w:themeShade="80"/>
          <w:sz w:val="22"/>
          <w:szCs w:val="22"/>
        </w:rPr>
      </w:pPr>
    </w:p>
    <w:p w14:paraId="4E6A0526" w14:textId="5F9BB07E" w:rsidR="002E3739" w:rsidRPr="008F74C2" w:rsidRDefault="00622FF0" w:rsidP="00A64C6D">
      <w:pPr>
        <w:pStyle w:val="Prrafodelista"/>
        <w:numPr>
          <w:ilvl w:val="0"/>
          <w:numId w:val="41"/>
        </w:numPr>
        <w:ind w:left="284" w:hanging="284"/>
        <w:jc w:val="both"/>
        <w:rPr>
          <w:b/>
          <w:bCs/>
          <w:color w:val="2F5496" w:themeColor="accent1" w:themeShade="BF"/>
          <w:sz w:val="32"/>
          <w:szCs w:val="32"/>
        </w:rPr>
      </w:pPr>
      <w:r w:rsidRPr="008F74C2">
        <w:rPr>
          <w:b/>
          <w:bCs/>
          <w:color w:val="2F5496" w:themeColor="accent1" w:themeShade="BF"/>
          <w:sz w:val="32"/>
          <w:szCs w:val="32"/>
        </w:rPr>
        <w:t xml:space="preserve">Gestión Presupuestal </w:t>
      </w:r>
    </w:p>
    <w:p w14:paraId="75A4E7BA" w14:textId="77777777" w:rsidR="00487467" w:rsidRPr="008F74C2" w:rsidRDefault="00487467" w:rsidP="00487467">
      <w:pPr>
        <w:pStyle w:val="Sinespaciado"/>
        <w:jc w:val="both"/>
      </w:pPr>
      <w:r w:rsidRPr="008F74C2">
        <w:t xml:space="preserve">El presupuesto inicial de Gastos de Funcionamiento e Inversión asignado a la Seccional Cúcuta, ascendió a la suma de $75.320.791.583, durante el transcurso del año se realizaron adiciones en las diferentes cuentas, ascendiendo el presupuesto al finalizar de la vigencia a $142.975.135.520, tal como se detalla a continuación:  </w:t>
      </w:r>
    </w:p>
    <w:p w14:paraId="525ACC32" w14:textId="77777777" w:rsidR="00487467" w:rsidRPr="008F74C2" w:rsidRDefault="00487467" w:rsidP="00487467">
      <w:pPr>
        <w:jc w:val="both"/>
      </w:pPr>
    </w:p>
    <w:p w14:paraId="00587D4C" w14:textId="77777777" w:rsidR="00487467" w:rsidRPr="008F74C2" w:rsidRDefault="00487467" w:rsidP="00487467">
      <w:pPr>
        <w:jc w:val="both"/>
      </w:pPr>
      <w:r w:rsidRPr="008F74C2">
        <w:object w:dxaOrig="10483" w:dyaOrig="2483" w14:anchorId="2B561A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106.5pt" o:ole="">
            <v:imagedata r:id="rId19" o:title=""/>
          </v:shape>
          <o:OLEObject Type="Embed" ProgID="Excel.Sheet.12" ShapeID="_x0000_i1025" DrawAspect="Content" ObjectID="_1649761725" r:id="rId20"/>
        </w:object>
      </w:r>
    </w:p>
    <w:p w14:paraId="5DCB8BFF" w14:textId="77777777" w:rsidR="00487467" w:rsidRPr="008F74C2" w:rsidRDefault="00487467" w:rsidP="00487467">
      <w:pPr>
        <w:pStyle w:val="Sinespaciado"/>
        <w:numPr>
          <w:ilvl w:val="0"/>
          <w:numId w:val="44"/>
        </w:numPr>
        <w:jc w:val="both"/>
      </w:pPr>
      <w:r w:rsidRPr="008F74C2">
        <w:t>INDICADOR DE EJECUCIÓN PRESUPUESTAL:</w:t>
      </w:r>
    </w:p>
    <w:p w14:paraId="64C6A91A" w14:textId="77777777" w:rsidR="00487467" w:rsidRPr="008F74C2" w:rsidRDefault="00487467" w:rsidP="00487467">
      <w:pPr>
        <w:pStyle w:val="Encabezado"/>
      </w:pPr>
    </w:p>
    <w:p w14:paraId="34522F26" w14:textId="77777777" w:rsidR="00487467" w:rsidRPr="008F74C2" w:rsidRDefault="00487467" w:rsidP="00487467">
      <w:pPr>
        <w:pStyle w:val="Sinespaciado"/>
        <w:jc w:val="both"/>
      </w:pPr>
      <w:r w:rsidRPr="008F74C2">
        <w:t xml:space="preserve">Al 31 de diciembre de 2019 la ejecución presupuestal consolidada ascendió al 99.60% atendiendo las necesidades de los despachos judiciales de Norte de Santander y Arauca, de los cuales se realizó el pago del 94.40% de la apropiación vigente.  El Valor no ejecutado ($567.716.423), es decir, el 0.4% correspondió a: </w:t>
      </w:r>
    </w:p>
    <w:p w14:paraId="4FE7A370" w14:textId="77777777" w:rsidR="00487467" w:rsidRPr="008F74C2" w:rsidRDefault="00487467" w:rsidP="00487467">
      <w:pPr>
        <w:pStyle w:val="Sinespaciado"/>
        <w:jc w:val="both"/>
      </w:pPr>
    </w:p>
    <w:p w14:paraId="0475E957" w14:textId="77777777" w:rsidR="00487467" w:rsidRPr="008F74C2" w:rsidRDefault="00487467" w:rsidP="00487467">
      <w:pPr>
        <w:pStyle w:val="Sinespaciado"/>
        <w:numPr>
          <w:ilvl w:val="0"/>
          <w:numId w:val="43"/>
        </w:numPr>
        <w:jc w:val="both"/>
      </w:pPr>
      <w:r w:rsidRPr="008F74C2">
        <w:t>Gastos de Personal ($414.516.685) por concepto de reintegros de nómina de diciembre de 2019, incapacidades pagadas por las EPS reintegradas en el periodo de transición del cierre presupuestal, esto es, del 1 al 20 de enero de 2020 y sobrante de proyección de cesantías anualizadas año 2019, cuya apropiación fue asignada a la Seccional el 31 de diciembre de 2019.</w:t>
      </w:r>
    </w:p>
    <w:p w14:paraId="3A85666D" w14:textId="77777777" w:rsidR="00487467" w:rsidRPr="008F74C2" w:rsidRDefault="00487467" w:rsidP="00487467">
      <w:pPr>
        <w:pStyle w:val="Sinespaciado"/>
        <w:ind w:left="720"/>
        <w:jc w:val="both"/>
      </w:pPr>
    </w:p>
    <w:p w14:paraId="2AB749CD" w14:textId="77777777" w:rsidR="00487467" w:rsidRPr="008F74C2" w:rsidRDefault="00487467" w:rsidP="00487467">
      <w:pPr>
        <w:pStyle w:val="Sinespaciado"/>
        <w:numPr>
          <w:ilvl w:val="0"/>
          <w:numId w:val="43"/>
        </w:numPr>
        <w:jc w:val="both"/>
      </w:pPr>
      <w:r w:rsidRPr="008F74C2">
        <w:t>Inversión ($153.199.738) por concepto de sobrantes o ahorros en los procesos contractuales adelantados por la Seccional.</w:t>
      </w:r>
    </w:p>
    <w:p w14:paraId="54970E05" w14:textId="77777777" w:rsidR="00487467" w:rsidRPr="008F74C2" w:rsidRDefault="00487467" w:rsidP="00487467">
      <w:pPr>
        <w:pStyle w:val="Sinespaciado"/>
        <w:jc w:val="both"/>
        <w:rPr>
          <w:highlight w:val="yellow"/>
        </w:rPr>
      </w:pPr>
    </w:p>
    <w:p w14:paraId="4201B9C5" w14:textId="77777777" w:rsidR="00487467" w:rsidRPr="008F74C2" w:rsidRDefault="00487467" w:rsidP="00487467">
      <w:pPr>
        <w:pStyle w:val="Sinespaciado"/>
        <w:jc w:val="both"/>
      </w:pPr>
      <w:r w:rsidRPr="008F74C2">
        <w:t>La conformación del presupuesto asignado a esta Seccional al finalizar la vigencia, fue el siguiente: Gastos de Funcionamiento 98.72% e Inversión 1.28%, Dentro de los gastos de funcionamiento tenemos que el 90.64% corresponde a gastos de personal, 7.96% a gastos generales y 0.13% a transferencias.</w:t>
      </w:r>
    </w:p>
    <w:p w14:paraId="5740A03E" w14:textId="77777777" w:rsidR="00487467" w:rsidRPr="008F74C2" w:rsidRDefault="00487467" w:rsidP="00487467">
      <w:pPr>
        <w:pStyle w:val="Sinespaciado"/>
        <w:jc w:val="both"/>
      </w:pPr>
    </w:p>
    <w:p w14:paraId="65505705" w14:textId="77777777" w:rsidR="00487467" w:rsidRPr="00712511" w:rsidRDefault="00487467" w:rsidP="00487467">
      <w:pPr>
        <w:pStyle w:val="Sinespaciado"/>
        <w:jc w:val="both"/>
      </w:pPr>
      <w:r w:rsidRPr="008F74C2">
        <w:object w:dxaOrig="12637" w:dyaOrig="2034" w14:anchorId="21379927">
          <v:shape id="_x0000_i1026" type="#_x0000_t75" style="width:454.5pt;height:102pt" o:ole="">
            <v:imagedata r:id="rId21" o:title=""/>
          </v:shape>
          <o:OLEObject Type="Embed" ProgID="Excel.Sheet.12" ShapeID="_x0000_i1026" DrawAspect="Content" ObjectID="_1649761726" r:id="rId22"/>
        </w:object>
      </w:r>
    </w:p>
    <w:p w14:paraId="56273541" w14:textId="77777777" w:rsidR="00487467" w:rsidRPr="00712511" w:rsidRDefault="00487467" w:rsidP="00487467">
      <w:pPr>
        <w:pStyle w:val="Sinespaciado"/>
        <w:jc w:val="both"/>
      </w:pPr>
    </w:p>
    <w:p w14:paraId="3932E1AB" w14:textId="77777777" w:rsidR="00487467" w:rsidRPr="00712511" w:rsidRDefault="00487467" w:rsidP="00487467">
      <w:pPr>
        <w:jc w:val="center"/>
      </w:pPr>
      <w:r w:rsidRPr="00712511">
        <w:rPr>
          <w:noProof/>
          <w:lang w:eastAsia="es-CO"/>
        </w:rPr>
        <w:lastRenderedPageBreak/>
        <w:drawing>
          <wp:inline distT="0" distB="0" distL="0" distR="0" wp14:anchorId="77DCEEF1" wp14:editId="75F4E215">
            <wp:extent cx="2342515" cy="1285875"/>
            <wp:effectExtent l="38100" t="38100" r="38735" b="4762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A8C9ECF" w14:textId="77777777" w:rsidR="00487467" w:rsidRPr="00712511" w:rsidRDefault="00487467" w:rsidP="00487467">
      <w:pPr>
        <w:pStyle w:val="Prrafodelista"/>
        <w:numPr>
          <w:ilvl w:val="0"/>
          <w:numId w:val="44"/>
        </w:numPr>
        <w:spacing w:after="200" w:line="276" w:lineRule="auto"/>
        <w:jc w:val="both"/>
      </w:pPr>
      <w:r w:rsidRPr="00712511">
        <w:t xml:space="preserve">RESERVAS Y CUENTAS POR PAGAR </w:t>
      </w:r>
    </w:p>
    <w:p w14:paraId="1FB52BCA" w14:textId="77777777" w:rsidR="00487467" w:rsidRPr="00712511" w:rsidRDefault="00487467" w:rsidP="00487467">
      <w:pPr>
        <w:jc w:val="both"/>
      </w:pPr>
      <w:r w:rsidRPr="00712511">
        <w:t>Así mismo, al 31 de diciembre de 2019 se constituyeron RESERVAS PRESUPUESTALES inducidas por valor de $7.390.399.897 equivalentes al 5.17% del presupuesto asignado a la Seccional, en razón a la no asignación de PAC al finalizar la vigencia, pese a haberlo solicitado.</w:t>
      </w:r>
    </w:p>
    <w:p w14:paraId="18E4BE93" w14:textId="77777777" w:rsidR="00487467" w:rsidRPr="00712511" w:rsidRDefault="00E52E31" w:rsidP="00487467">
      <w:bookmarkStart w:id="1" w:name="_GoBack"/>
      <w:bookmarkEnd w:id="1"/>
      <w:r>
        <w:object w:dxaOrig="1440" w:dyaOrig="1440" w14:anchorId="4DAE1B32">
          <v:shape id="_x0000_s1026" type="#_x0000_t75" style="position:absolute;margin-left:21pt;margin-top:0;width:400.5pt;height:111pt;z-index:251763712;mso-position-horizontal:absolute;mso-position-horizontal-relative:text;mso-position-vertical-relative:text">
            <v:imagedata r:id="rId24" o:title=""/>
            <w10:wrap type="square" side="right"/>
          </v:shape>
          <o:OLEObject Type="Embed" ProgID="Excel.Sheet.12" ShapeID="_x0000_s1026" DrawAspect="Content" ObjectID="_1649761728" r:id="rId25"/>
        </w:object>
      </w:r>
      <w:r w:rsidR="00487467" w:rsidRPr="00712511">
        <w:br w:type="textWrapping" w:clear="all"/>
      </w:r>
    </w:p>
    <w:p w14:paraId="4E9D2E83" w14:textId="740C49B3" w:rsidR="00487467" w:rsidRPr="00712511" w:rsidRDefault="00487467" w:rsidP="00487467">
      <w:pPr>
        <w:jc w:val="both"/>
      </w:pPr>
      <w:r w:rsidRPr="00712511">
        <w:t xml:space="preserve">Igualmente, se constituyeron CUENTAS POR PAGAR únicamente en la cuenta de inversión por valor de $630.860.259, equivalentes al 0.44% del total apropiado durante la vigencia, y al 32% del presupuesto de inversión, en razón a que las cuentas se recibieron en el área financiera, después del 26 de diciembre de 2019, fecha en la cual ya no había plazo para realizar pagos por parte del </w:t>
      </w:r>
      <w:proofErr w:type="spellStart"/>
      <w:r w:rsidRPr="00712511">
        <w:t>Minhacienda</w:t>
      </w:r>
      <w:proofErr w:type="spellEnd"/>
      <w:r w:rsidRPr="00712511">
        <w:t>.</w:t>
      </w:r>
    </w:p>
    <w:p w14:paraId="5DE2D2C9" w14:textId="5493021E" w:rsidR="00487467" w:rsidRPr="00712511" w:rsidRDefault="00487467">
      <w:r w:rsidRPr="00712511">
        <w:object w:dxaOrig="6731" w:dyaOrig="2218" w14:anchorId="1C8B00BF">
          <v:shape id="_x0000_i1027" type="#_x0000_t75" style="width:336.75pt;height:110.25pt" o:ole="">
            <v:imagedata r:id="rId26" o:title=""/>
          </v:shape>
          <o:OLEObject Type="Embed" ProgID="Excel.Sheet.12" ShapeID="_x0000_i1027" DrawAspect="Content" ObjectID="_1649761727" r:id="rId27"/>
        </w:object>
      </w:r>
    </w:p>
    <w:p w14:paraId="21D5DA80" w14:textId="2A492EBE" w:rsidR="00487467" w:rsidRPr="008C524F" w:rsidRDefault="00487467" w:rsidP="00487467">
      <w:pPr>
        <w:pStyle w:val="Sinespaciado"/>
        <w:jc w:val="both"/>
        <w:rPr>
          <w:rFonts w:ascii="Arial" w:hAnsi="Arial" w:cs="Arial"/>
        </w:rPr>
      </w:pPr>
      <w:r w:rsidRPr="00712511">
        <w:t>Comparado con la vigencia 2018, la ejecución presupuestal presentó una variación negativa de 0.35% siendo muy similar a la de esa vigencia (99.96%) y la apropiación incrementó en un 9%, quedando en reserva presupuestal la seguridad social y parafiscal de la nómina de diciembre de 2019 y las cesantías anualizadas de la misma vigencia.</w:t>
      </w:r>
      <w:r>
        <w:rPr>
          <w:rFonts w:ascii="Arial" w:hAnsi="Arial" w:cs="Arial"/>
          <w:sz w:val="22"/>
          <w:szCs w:val="22"/>
        </w:rPr>
        <w:br w:type="page"/>
      </w:r>
    </w:p>
    <w:p w14:paraId="1674559C" w14:textId="6C9B4AA1" w:rsidR="00487467" w:rsidRDefault="00487467">
      <w:pPr>
        <w:rPr>
          <w:rFonts w:ascii="Arial" w:hAnsi="Arial" w:cs="Arial"/>
          <w:sz w:val="22"/>
          <w:szCs w:val="22"/>
        </w:rPr>
      </w:pPr>
    </w:p>
    <w:p w14:paraId="7F0E23CA" w14:textId="280A5047" w:rsidR="00487467" w:rsidRDefault="00487467" w:rsidP="00487467">
      <w:pPr>
        <w:jc w:val="center"/>
        <w:rPr>
          <w:rFonts w:ascii="Arial" w:hAnsi="Arial" w:cs="Arial"/>
          <w:sz w:val="22"/>
          <w:szCs w:val="22"/>
        </w:rPr>
      </w:pPr>
    </w:p>
    <w:p w14:paraId="5C7FF22B" w14:textId="77777777" w:rsidR="00487467" w:rsidRDefault="00487467" w:rsidP="00487467">
      <w:pPr>
        <w:jc w:val="both"/>
        <w:rPr>
          <w:rFonts w:ascii="Arial" w:hAnsi="Arial" w:cs="Arial"/>
          <w:sz w:val="22"/>
          <w:szCs w:val="22"/>
        </w:rPr>
      </w:pPr>
    </w:p>
    <w:p w14:paraId="337A4A24" w14:textId="77777777" w:rsidR="00487467" w:rsidRPr="008C524F" w:rsidRDefault="00487467" w:rsidP="00487467">
      <w:pPr>
        <w:jc w:val="both"/>
        <w:rPr>
          <w:rFonts w:ascii="Arial" w:hAnsi="Arial" w:cs="Arial"/>
          <w:sz w:val="22"/>
          <w:szCs w:val="22"/>
        </w:rPr>
      </w:pPr>
    </w:p>
    <w:p w14:paraId="0F34CE59" w14:textId="77777777" w:rsidR="00487467" w:rsidRPr="008C524F" w:rsidRDefault="00487467" w:rsidP="00487467">
      <w:pPr>
        <w:spacing w:after="200" w:line="276" w:lineRule="auto"/>
        <w:jc w:val="both"/>
        <w:rPr>
          <w:rFonts w:ascii="Arial" w:hAnsi="Arial" w:cs="Arial"/>
          <w:sz w:val="22"/>
          <w:szCs w:val="22"/>
        </w:rPr>
      </w:pPr>
    </w:p>
    <w:p w14:paraId="40DBC53D" w14:textId="4A2A92BF" w:rsidR="002E3739" w:rsidRPr="003C12DC" w:rsidRDefault="002E3739" w:rsidP="00162C11">
      <w:pPr>
        <w:pStyle w:val="Sinespaciado"/>
        <w:jc w:val="both"/>
        <w:rPr>
          <w:sz w:val="22"/>
          <w:szCs w:val="22"/>
        </w:rPr>
      </w:pPr>
    </w:p>
    <w:p w14:paraId="177284F7" w14:textId="7BFB3542" w:rsidR="002E3739" w:rsidRPr="003C12DC" w:rsidRDefault="002E3739" w:rsidP="002E3739">
      <w:pPr>
        <w:pStyle w:val="Sinespaciado"/>
        <w:jc w:val="both"/>
        <w:rPr>
          <w:sz w:val="22"/>
          <w:szCs w:val="22"/>
        </w:rPr>
      </w:pPr>
    </w:p>
    <w:p w14:paraId="6F372447" w14:textId="3177A903" w:rsidR="00A85E02" w:rsidRPr="003C12DC" w:rsidRDefault="00A85E02" w:rsidP="002E3739">
      <w:pPr>
        <w:pStyle w:val="Sinespaciado"/>
        <w:jc w:val="both"/>
        <w:rPr>
          <w:sz w:val="22"/>
          <w:szCs w:val="22"/>
        </w:rPr>
      </w:pPr>
    </w:p>
    <w:p w14:paraId="569B9D3F" w14:textId="2AEC6CD4" w:rsidR="00A85E02" w:rsidRPr="003C12DC" w:rsidRDefault="00A85E02" w:rsidP="002E3739">
      <w:pPr>
        <w:pStyle w:val="Sinespaciado"/>
        <w:jc w:val="both"/>
        <w:rPr>
          <w:sz w:val="22"/>
          <w:szCs w:val="22"/>
        </w:rPr>
      </w:pPr>
    </w:p>
    <w:p w14:paraId="4B17CCEB" w14:textId="6B1D2D48" w:rsidR="00A85E02" w:rsidRPr="003C12DC" w:rsidRDefault="00A85E02" w:rsidP="002E3739">
      <w:pPr>
        <w:pStyle w:val="Sinespaciado"/>
        <w:jc w:val="both"/>
        <w:rPr>
          <w:sz w:val="22"/>
          <w:szCs w:val="22"/>
        </w:rPr>
      </w:pPr>
    </w:p>
    <w:p w14:paraId="595F2229" w14:textId="31AE543D" w:rsidR="00A85E02" w:rsidRPr="003C12DC" w:rsidRDefault="00A85E02" w:rsidP="002E3739">
      <w:pPr>
        <w:pStyle w:val="Sinespaciado"/>
        <w:jc w:val="both"/>
        <w:rPr>
          <w:sz w:val="22"/>
          <w:szCs w:val="22"/>
        </w:rPr>
      </w:pPr>
    </w:p>
    <w:p w14:paraId="07E27DBB" w14:textId="16FE330C" w:rsidR="00A85E02" w:rsidRPr="003C12DC" w:rsidRDefault="00A85E02" w:rsidP="002E3739">
      <w:pPr>
        <w:pStyle w:val="Sinespaciado"/>
        <w:jc w:val="both"/>
        <w:rPr>
          <w:sz w:val="22"/>
          <w:szCs w:val="22"/>
        </w:rPr>
      </w:pPr>
    </w:p>
    <w:p w14:paraId="30F90B1B" w14:textId="5D2BEA0A" w:rsidR="00A85E02" w:rsidRPr="003C12DC" w:rsidRDefault="00A85E02" w:rsidP="002E3739">
      <w:pPr>
        <w:pStyle w:val="Sinespaciado"/>
        <w:jc w:val="both"/>
        <w:rPr>
          <w:sz w:val="22"/>
          <w:szCs w:val="22"/>
        </w:rPr>
      </w:pPr>
    </w:p>
    <w:p w14:paraId="78BE7CA9" w14:textId="3EC16957" w:rsidR="00A85E02" w:rsidRPr="003C12DC" w:rsidRDefault="00A85E02" w:rsidP="002E3739">
      <w:pPr>
        <w:pStyle w:val="Sinespaciado"/>
        <w:jc w:val="both"/>
        <w:rPr>
          <w:sz w:val="22"/>
          <w:szCs w:val="22"/>
        </w:rPr>
      </w:pPr>
    </w:p>
    <w:p w14:paraId="1CF2F185" w14:textId="2F2836A9" w:rsidR="00A85E02" w:rsidRPr="003C12DC" w:rsidRDefault="00A85E02" w:rsidP="002E3739">
      <w:pPr>
        <w:pStyle w:val="Sinespaciado"/>
        <w:jc w:val="both"/>
        <w:rPr>
          <w:sz w:val="22"/>
          <w:szCs w:val="22"/>
        </w:rPr>
      </w:pPr>
    </w:p>
    <w:p w14:paraId="34C5C5D7" w14:textId="224397C8" w:rsidR="00A85E02" w:rsidRPr="003C12DC" w:rsidRDefault="00A85E02" w:rsidP="002E3739">
      <w:pPr>
        <w:pStyle w:val="Sinespaciado"/>
        <w:jc w:val="both"/>
        <w:rPr>
          <w:sz w:val="22"/>
          <w:szCs w:val="22"/>
        </w:rPr>
      </w:pPr>
    </w:p>
    <w:p w14:paraId="1622A2DC" w14:textId="49CE852C" w:rsidR="00A85E02" w:rsidRPr="003C12DC" w:rsidRDefault="00A85E02" w:rsidP="002E3739">
      <w:pPr>
        <w:pStyle w:val="Sinespaciado"/>
        <w:jc w:val="both"/>
        <w:rPr>
          <w:sz w:val="22"/>
          <w:szCs w:val="22"/>
        </w:rPr>
      </w:pPr>
    </w:p>
    <w:p w14:paraId="12D7CC1E" w14:textId="7BBE5A49" w:rsidR="00A85E02" w:rsidRPr="003C12DC" w:rsidRDefault="00A85E02" w:rsidP="002E3739">
      <w:pPr>
        <w:pStyle w:val="Sinespaciado"/>
        <w:jc w:val="both"/>
        <w:rPr>
          <w:sz w:val="22"/>
          <w:szCs w:val="22"/>
        </w:rPr>
      </w:pPr>
    </w:p>
    <w:p w14:paraId="509A95FC" w14:textId="5578BAF0" w:rsidR="00A85E02" w:rsidRPr="003C12DC" w:rsidRDefault="00A85E02" w:rsidP="002E3739">
      <w:pPr>
        <w:pStyle w:val="Sinespaciado"/>
        <w:jc w:val="both"/>
        <w:rPr>
          <w:sz w:val="22"/>
          <w:szCs w:val="22"/>
        </w:rPr>
      </w:pPr>
    </w:p>
    <w:p w14:paraId="13A87397" w14:textId="406718A2" w:rsidR="00A85E02" w:rsidRPr="003C12DC" w:rsidRDefault="00A85E02" w:rsidP="002E3739">
      <w:pPr>
        <w:pStyle w:val="Sinespaciado"/>
        <w:jc w:val="both"/>
        <w:rPr>
          <w:sz w:val="22"/>
          <w:szCs w:val="22"/>
        </w:rPr>
      </w:pPr>
    </w:p>
    <w:p w14:paraId="4E28E235" w14:textId="4B8671A0" w:rsidR="00A85E02" w:rsidRPr="003C12DC" w:rsidRDefault="00A85E02" w:rsidP="002E3739">
      <w:pPr>
        <w:pStyle w:val="Sinespaciado"/>
        <w:jc w:val="both"/>
        <w:rPr>
          <w:sz w:val="22"/>
          <w:szCs w:val="22"/>
        </w:rPr>
      </w:pPr>
    </w:p>
    <w:p w14:paraId="7FC1D9B1" w14:textId="0C6514A1" w:rsidR="00A85E02" w:rsidRPr="003C12DC" w:rsidRDefault="00A85E02" w:rsidP="002E3739">
      <w:pPr>
        <w:pStyle w:val="Sinespaciado"/>
        <w:jc w:val="both"/>
        <w:rPr>
          <w:sz w:val="22"/>
          <w:szCs w:val="22"/>
        </w:rPr>
      </w:pPr>
    </w:p>
    <w:p w14:paraId="1CD52873" w14:textId="387D93F4" w:rsidR="00A85E02" w:rsidRPr="003C12DC" w:rsidRDefault="00A85E02" w:rsidP="002E3739">
      <w:pPr>
        <w:pStyle w:val="Sinespaciado"/>
        <w:jc w:val="both"/>
        <w:rPr>
          <w:sz w:val="22"/>
          <w:szCs w:val="22"/>
        </w:rPr>
      </w:pPr>
    </w:p>
    <w:p w14:paraId="44A1B8C1" w14:textId="0B399809" w:rsidR="00A85E02" w:rsidRPr="003C12DC" w:rsidRDefault="00A85E02" w:rsidP="002E3739">
      <w:pPr>
        <w:pStyle w:val="Sinespaciado"/>
        <w:jc w:val="both"/>
        <w:rPr>
          <w:sz w:val="22"/>
          <w:szCs w:val="22"/>
        </w:rPr>
      </w:pPr>
    </w:p>
    <w:p w14:paraId="3B8A5588" w14:textId="45000817" w:rsidR="00A85E02" w:rsidRPr="003C12DC" w:rsidRDefault="00A85E02" w:rsidP="002E3739">
      <w:pPr>
        <w:pStyle w:val="Sinespaciado"/>
        <w:jc w:val="both"/>
        <w:rPr>
          <w:sz w:val="22"/>
          <w:szCs w:val="22"/>
        </w:rPr>
      </w:pPr>
    </w:p>
    <w:p w14:paraId="2D433159" w14:textId="05C8F8C1" w:rsidR="00A85E02" w:rsidRPr="003C12DC" w:rsidRDefault="00A85E02" w:rsidP="002E3739">
      <w:pPr>
        <w:pStyle w:val="Sinespaciado"/>
        <w:jc w:val="both"/>
        <w:rPr>
          <w:sz w:val="22"/>
          <w:szCs w:val="22"/>
        </w:rPr>
      </w:pPr>
    </w:p>
    <w:p w14:paraId="09FBBA4A" w14:textId="192668E0" w:rsidR="00A85E02" w:rsidRPr="003C12DC" w:rsidRDefault="00A85E02" w:rsidP="002E3739">
      <w:pPr>
        <w:pStyle w:val="Sinespaciado"/>
        <w:jc w:val="both"/>
        <w:rPr>
          <w:sz w:val="22"/>
          <w:szCs w:val="22"/>
        </w:rPr>
      </w:pPr>
    </w:p>
    <w:p w14:paraId="7192117E" w14:textId="435055A1" w:rsidR="00A85E02" w:rsidRPr="003C12DC" w:rsidRDefault="00A85E02" w:rsidP="00A85E02">
      <w:pPr>
        <w:pStyle w:val="Sinespaciado"/>
        <w:tabs>
          <w:tab w:val="center" w:pos="4639"/>
        </w:tabs>
        <w:jc w:val="both"/>
        <w:rPr>
          <w:sz w:val="22"/>
          <w:szCs w:val="22"/>
        </w:rPr>
      </w:pPr>
      <w:r w:rsidRPr="003C12DC">
        <w:rPr>
          <w:rFonts w:cs="Tahoma"/>
          <w:b/>
          <w:bCs/>
          <w:noProof/>
          <w:sz w:val="40"/>
          <w:szCs w:val="40"/>
          <w:lang w:eastAsia="es-CO"/>
        </w:rPr>
        <w:drawing>
          <wp:anchor distT="0" distB="0" distL="114300" distR="114300" simplePos="0" relativeHeight="251761664" behindDoc="1" locked="1" layoutInCell="1" allowOverlap="1" wp14:anchorId="63CA8C5D" wp14:editId="23E17590">
            <wp:simplePos x="0" y="0"/>
            <wp:positionH relativeFrom="page">
              <wp:align>left</wp:align>
            </wp:positionH>
            <wp:positionV relativeFrom="page">
              <wp:align>top</wp:align>
            </wp:positionV>
            <wp:extent cx="7778115" cy="10057765"/>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ndicion de Cuentas del CSJ - Seccionales _03.jpg"/>
                    <pic:cNvPicPr/>
                  </pic:nvPicPr>
                  <pic:blipFill>
                    <a:blip r:embed="rId9">
                      <a:extLst>
                        <a:ext uri="{28A0092B-C50C-407E-A947-70E740481C1C}">
                          <a14:useLocalDpi xmlns:a14="http://schemas.microsoft.com/office/drawing/2010/main" val="0"/>
                        </a:ext>
                      </a:extLst>
                    </a:blip>
                    <a:stretch>
                      <a:fillRect/>
                    </a:stretch>
                  </pic:blipFill>
                  <pic:spPr>
                    <a:xfrm>
                      <a:off x="0" y="0"/>
                      <a:ext cx="7778115" cy="10057765"/>
                    </a:xfrm>
                    <a:prstGeom prst="rect">
                      <a:avLst/>
                    </a:prstGeom>
                  </pic:spPr>
                </pic:pic>
              </a:graphicData>
            </a:graphic>
            <wp14:sizeRelH relativeFrom="page">
              <wp14:pctWidth>0</wp14:pctWidth>
            </wp14:sizeRelH>
            <wp14:sizeRelV relativeFrom="page">
              <wp14:pctHeight>0</wp14:pctHeight>
            </wp14:sizeRelV>
          </wp:anchor>
        </w:drawing>
      </w:r>
    </w:p>
    <w:p w14:paraId="443B386E" w14:textId="77777777" w:rsidR="00A85E02" w:rsidRPr="003C12DC" w:rsidRDefault="00A85E02" w:rsidP="00A85E02">
      <w:pPr>
        <w:pStyle w:val="Sinespaciado"/>
        <w:jc w:val="both"/>
        <w:rPr>
          <w:sz w:val="22"/>
          <w:szCs w:val="22"/>
        </w:rPr>
      </w:pPr>
    </w:p>
    <w:p w14:paraId="2EF0AB8E" w14:textId="77777777" w:rsidR="00A85E02" w:rsidRPr="003C12DC" w:rsidRDefault="00A85E02" w:rsidP="00A85E02">
      <w:pPr>
        <w:pStyle w:val="Sinespaciado"/>
        <w:jc w:val="both"/>
        <w:rPr>
          <w:sz w:val="22"/>
          <w:szCs w:val="22"/>
        </w:rPr>
      </w:pPr>
    </w:p>
    <w:p w14:paraId="61F22706" w14:textId="5CC0D0FB" w:rsidR="00A85E02" w:rsidRPr="003C12DC" w:rsidRDefault="00A85E02" w:rsidP="00A85E02">
      <w:pPr>
        <w:pStyle w:val="Sinespaciado"/>
        <w:jc w:val="both"/>
        <w:rPr>
          <w:sz w:val="22"/>
          <w:szCs w:val="22"/>
        </w:rPr>
      </w:pPr>
    </w:p>
    <w:p w14:paraId="6C1E1FAC" w14:textId="5AB1F84D" w:rsidR="00A85E02" w:rsidRPr="003C12DC" w:rsidRDefault="00A85E02" w:rsidP="00A85E02">
      <w:pPr>
        <w:pStyle w:val="Sinespaciado"/>
        <w:jc w:val="both"/>
        <w:rPr>
          <w:sz w:val="22"/>
          <w:szCs w:val="22"/>
        </w:rPr>
      </w:pPr>
    </w:p>
    <w:p w14:paraId="788F94AF" w14:textId="3748014D" w:rsidR="00A85E02" w:rsidRPr="003C12DC" w:rsidRDefault="00A85E02" w:rsidP="00A85E02">
      <w:pPr>
        <w:pStyle w:val="Sinespaciado"/>
        <w:jc w:val="both"/>
        <w:rPr>
          <w:sz w:val="22"/>
          <w:szCs w:val="22"/>
        </w:rPr>
      </w:pPr>
    </w:p>
    <w:p w14:paraId="6066A709" w14:textId="45AA0193" w:rsidR="00A85E02" w:rsidRPr="003C12DC" w:rsidRDefault="00A85E02" w:rsidP="00A85E02">
      <w:pPr>
        <w:pStyle w:val="Sinespaciado"/>
        <w:jc w:val="both"/>
        <w:rPr>
          <w:sz w:val="22"/>
          <w:szCs w:val="22"/>
        </w:rPr>
      </w:pPr>
    </w:p>
    <w:p w14:paraId="260B4DC1" w14:textId="1AB2A76D" w:rsidR="00A85E02" w:rsidRPr="003C12DC" w:rsidRDefault="00A85E02" w:rsidP="00A85E02">
      <w:pPr>
        <w:pStyle w:val="Sinespaciado"/>
        <w:jc w:val="both"/>
        <w:rPr>
          <w:sz w:val="22"/>
          <w:szCs w:val="22"/>
        </w:rPr>
      </w:pPr>
    </w:p>
    <w:p w14:paraId="52CDD0EC" w14:textId="3CD4BCC9" w:rsidR="00A85E02" w:rsidRPr="003C12DC" w:rsidRDefault="00A85E02" w:rsidP="00A85E02">
      <w:pPr>
        <w:pStyle w:val="Sinespaciado"/>
        <w:jc w:val="both"/>
        <w:rPr>
          <w:sz w:val="22"/>
          <w:szCs w:val="22"/>
        </w:rPr>
      </w:pPr>
    </w:p>
    <w:p w14:paraId="485B36B2" w14:textId="6E4E3609" w:rsidR="00A85E02" w:rsidRPr="003C12DC" w:rsidRDefault="00A85E02" w:rsidP="00A85E02">
      <w:pPr>
        <w:pStyle w:val="Sinespaciado"/>
        <w:jc w:val="both"/>
        <w:rPr>
          <w:sz w:val="22"/>
          <w:szCs w:val="22"/>
        </w:rPr>
      </w:pPr>
    </w:p>
    <w:p w14:paraId="497BDC46" w14:textId="2FBE3D93" w:rsidR="00A85E02" w:rsidRPr="003C12DC" w:rsidRDefault="00A85E02" w:rsidP="00A85E02">
      <w:pPr>
        <w:pStyle w:val="Sinespaciado"/>
        <w:jc w:val="both"/>
        <w:rPr>
          <w:sz w:val="22"/>
          <w:szCs w:val="22"/>
        </w:rPr>
      </w:pPr>
    </w:p>
    <w:p w14:paraId="304D0991" w14:textId="1674DF5D" w:rsidR="00A85E02" w:rsidRPr="003C12DC" w:rsidRDefault="00A85E02" w:rsidP="00A85E02">
      <w:pPr>
        <w:pStyle w:val="Sinespaciado"/>
        <w:jc w:val="both"/>
        <w:rPr>
          <w:sz w:val="22"/>
          <w:szCs w:val="22"/>
        </w:rPr>
      </w:pPr>
    </w:p>
    <w:p w14:paraId="1CA9A48A" w14:textId="331A0CFD" w:rsidR="00A85E02" w:rsidRPr="003C12DC" w:rsidRDefault="00A85E02" w:rsidP="00A85E02">
      <w:pPr>
        <w:pStyle w:val="Sinespaciado"/>
        <w:jc w:val="both"/>
        <w:rPr>
          <w:sz w:val="22"/>
          <w:szCs w:val="22"/>
        </w:rPr>
      </w:pPr>
    </w:p>
    <w:p w14:paraId="2B4446F5" w14:textId="77777777" w:rsidR="00A85E02" w:rsidRPr="003C12DC" w:rsidRDefault="00A85E02" w:rsidP="00A85E02">
      <w:pPr>
        <w:pStyle w:val="Sinespaciado"/>
        <w:jc w:val="both"/>
        <w:rPr>
          <w:sz w:val="22"/>
          <w:szCs w:val="22"/>
        </w:rPr>
      </w:pPr>
    </w:p>
    <w:p w14:paraId="22E2447A" w14:textId="77777777" w:rsidR="00A85E02" w:rsidRPr="003C12DC" w:rsidRDefault="00A85E02" w:rsidP="00A85E02">
      <w:pPr>
        <w:jc w:val="center"/>
        <w:rPr>
          <w:rFonts w:cstheme="minorHAnsi"/>
          <w:b/>
          <w:bCs/>
          <w:color w:val="FFFFFF" w:themeColor="background1"/>
          <w:sz w:val="32"/>
          <w:szCs w:val="32"/>
        </w:rPr>
      </w:pPr>
      <w:r w:rsidRPr="003C12DC">
        <w:rPr>
          <w:rFonts w:cstheme="minorHAnsi"/>
          <w:b/>
          <w:bCs/>
          <w:color w:val="FFFFFF" w:themeColor="background1"/>
          <w:sz w:val="32"/>
          <w:szCs w:val="32"/>
        </w:rPr>
        <w:t>Medios de interacción</w:t>
      </w:r>
    </w:p>
    <w:p w14:paraId="3E1EED87" w14:textId="77777777" w:rsidR="00A85E02" w:rsidRPr="003C12DC" w:rsidRDefault="00A85E02" w:rsidP="00A85E02">
      <w:pPr>
        <w:jc w:val="center"/>
        <w:rPr>
          <w:rFonts w:cstheme="minorHAnsi"/>
          <w:b/>
          <w:bCs/>
          <w:color w:val="FFFFFF" w:themeColor="background1"/>
          <w:sz w:val="32"/>
          <w:szCs w:val="32"/>
        </w:rPr>
      </w:pPr>
    </w:p>
    <w:p w14:paraId="5A0670FD" w14:textId="438B232B" w:rsidR="00A85E02" w:rsidRPr="003C12DC" w:rsidRDefault="00A85E02" w:rsidP="00A85E02">
      <w:pPr>
        <w:jc w:val="center"/>
        <w:rPr>
          <w:rFonts w:ascii="Calibri Light" w:hAnsi="Calibri Light"/>
          <w:color w:val="FFFFFF" w:themeColor="background1"/>
          <w:sz w:val="24"/>
          <w:szCs w:val="24"/>
        </w:rPr>
      </w:pPr>
      <w:r w:rsidRPr="003C12DC">
        <w:rPr>
          <w:rFonts w:ascii="Calibri Light" w:hAnsi="Calibri Light"/>
          <w:color w:val="FFFFFF" w:themeColor="background1"/>
          <w:sz w:val="24"/>
          <w:szCs w:val="24"/>
        </w:rPr>
        <w:t>El Consejo Seccional de la Judicatura del Valle del Cauca tiene habilitados los siguientes medios de interacción para recibir las recomendaciones que se presenten en relación con el proceso de rendición de cuentas.</w:t>
      </w:r>
    </w:p>
    <w:p w14:paraId="1F6D35CD" w14:textId="77777777" w:rsidR="00A85E02" w:rsidRPr="003C12DC" w:rsidRDefault="00A85E02" w:rsidP="00A85E02">
      <w:pPr>
        <w:rPr>
          <w:rFonts w:cstheme="minorHAnsi"/>
          <w:b/>
          <w:bCs/>
          <w:color w:val="FFFFFF" w:themeColor="background1"/>
          <w:sz w:val="28"/>
          <w:szCs w:val="28"/>
        </w:rPr>
      </w:pPr>
    </w:p>
    <w:p w14:paraId="44299099" w14:textId="77777777" w:rsidR="00A85E02" w:rsidRPr="003C12DC" w:rsidRDefault="00A85E02" w:rsidP="00A85E02">
      <w:pPr>
        <w:rPr>
          <w:rFonts w:cstheme="minorHAnsi"/>
          <w:b/>
          <w:bCs/>
          <w:color w:val="FFFFFF" w:themeColor="background1"/>
          <w:sz w:val="28"/>
          <w:szCs w:val="28"/>
        </w:rPr>
      </w:pPr>
    </w:p>
    <w:p w14:paraId="099D0CA3" w14:textId="77777777" w:rsidR="00A85E02" w:rsidRPr="003C12DC" w:rsidRDefault="00A85E02" w:rsidP="00A85E02">
      <w:pPr>
        <w:rPr>
          <w:rFonts w:cstheme="minorHAnsi"/>
          <w:b/>
          <w:bCs/>
          <w:color w:val="FFFFFF" w:themeColor="background1"/>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430"/>
        <w:gridCol w:w="673"/>
        <w:gridCol w:w="3609"/>
      </w:tblGrid>
      <w:tr w:rsidR="00A85E02" w:rsidRPr="003C12DC" w14:paraId="43A1F383" w14:textId="77777777" w:rsidTr="002F6415">
        <w:trPr>
          <w:trHeight w:val="477"/>
        </w:trPr>
        <w:tc>
          <w:tcPr>
            <w:tcW w:w="567" w:type="dxa"/>
          </w:tcPr>
          <w:p w14:paraId="68FA6E87" w14:textId="77777777" w:rsidR="00A85E02" w:rsidRPr="003C12DC" w:rsidRDefault="00A85E02" w:rsidP="002F6415">
            <w:pPr>
              <w:pStyle w:val="Sinespaciado"/>
              <w:jc w:val="both"/>
              <w:rPr>
                <w:color w:val="FFFFFF" w:themeColor="background1"/>
                <w:sz w:val="22"/>
                <w:szCs w:val="22"/>
              </w:rPr>
            </w:pPr>
            <w:r w:rsidRPr="003C12DC">
              <w:rPr>
                <w:noProof/>
                <w:color w:val="FFFFFF" w:themeColor="background1"/>
                <w:sz w:val="22"/>
                <w:szCs w:val="22"/>
                <w:lang w:eastAsia="es-CO"/>
              </w:rPr>
              <w:drawing>
                <wp:inline distT="0" distB="0" distL="0" distR="0" wp14:anchorId="2D9B98FD" wp14:editId="4548EC17">
                  <wp:extent cx="216000" cy="216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email.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8712" w:type="dxa"/>
            <w:gridSpan w:val="3"/>
          </w:tcPr>
          <w:p w14:paraId="24FED712" w14:textId="77777777" w:rsidR="00A85E02" w:rsidRPr="003C12DC" w:rsidRDefault="00A85E02" w:rsidP="002F6415">
            <w:pPr>
              <w:pStyle w:val="Sinespaciado"/>
              <w:rPr>
                <w:rFonts w:ascii="Gotham-Light" w:hAnsi="Gotham-Light" w:cs="Gotham-Light"/>
                <w:color w:val="FFFFFF" w:themeColor="background1"/>
                <w:sz w:val="28"/>
                <w:szCs w:val="28"/>
                <w:lang w:val="es-ES"/>
              </w:rPr>
            </w:pPr>
            <w:r w:rsidRPr="003C12DC">
              <w:rPr>
                <w:rFonts w:ascii="Gotham-Light" w:hAnsi="Gotham-Light" w:cs="Gotham-Light"/>
                <w:color w:val="FFFFFF" w:themeColor="background1"/>
                <w:sz w:val="28"/>
                <w:szCs w:val="28"/>
                <w:lang w:val="es-ES"/>
              </w:rPr>
              <w:t>rendicioncuentas@consejosuperior.ramajudicial.gov.co</w:t>
            </w:r>
          </w:p>
          <w:p w14:paraId="6A6F1C6A" w14:textId="2943B18A" w:rsidR="00283A88" w:rsidRPr="003C12DC" w:rsidRDefault="00283A88" w:rsidP="002F6415">
            <w:pPr>
              <w:pStyle w:val="Sinespaciado"/>
              <w:rPr>
                <w:rFonts w:ascii="Gotham-Light" w:hAnsi="Gotham-Light" w:cs="Gotham-Light"/>
                <w:color w:val="FFFFFF" w:themeColor="background1"/>
                <w:sz w:val="28"/>
                <w:szCs w:val="28"/>
                <w:lang w:val="es-ES"/>
              </w:rPr>
            </w:pPr>
          </w:p>
        </w:tc>
      </w:tr>
      <w:tr w:rsidR="00A85E02" w:rsidRPr="003C12DC" w14:paraId="673C2856" w14:textId="77777777" w:rsidTr="002F6415">
        <w:trPr>
          <w:trHeight w:val="413"/>
        </w:trPr>
        <w:tc>
          <w:tcPr>
            <w:tcW w:w="567" w:type="dxa"/>
          </w:tcPr>
          <w:p w14:paraId="3707BCBC" w14:textId="77777777" w:rsidR="00A85E02" w:rsidRPr="003C12DC" w:rsidRDefault="00A85E02" w:rsidP="002F6415">
            <w:pPr>
              <w:pStyle w:val="Sinespaciado"/>
              <w:jc w:val="both"/>
              <w:rPr>
                <w:color w:val="FFFFFF" w:themeColor="background1"/>
                <w:sz w:val="22"/>
                <w:szCs w:val="22"/>
              </w:rPr>
            </w:pPr>
            <w:r w:rsidRPr="003C12DC">
              <w:rPr>
                <w:noProof/>
                <w:color w:val="FFFFFF" w:themeColor="background1"/>
                <w:sz w:val="22"/>
                <w:szCs w:val="22"/>
                <w:lang w:eastAsia="es-CO"/>
              </w:rPr>
              <w:drawing>
                <wp:inline distT="0" distB="0" distL="0" distR="0" wp14:anchorId="19960174" wp14:editId="2AC2837A">
                  <wp:extent cx="216000" cy="216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_poin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8712" w:type="dxa"/>
            <w:gridSpan w:val="3"/>
          </w:tcPr>
          <w:p w14:paraId="58142140" w14:textId="77777777" w:rsidR="00A85E02" w:rsidRPr="003C12DC" w:rsidRDefault="00A85E02" w:rsidP="002F6415">
            <w:pPr>
              <w:pStyle w:val="Sinespaciado"/>
              <w:rPr>
                <w:rFonts w:ascii="Gotham-Light" w:hAnsi="Gotham-Light" w:cs="Gotham-Light"/>
                <w:color w:val="FFFFFF" w:themeColor="background1"/>
                <w:sz w:val="28"/>
                <w:szCs w:val="28"/>
                <w:lang w:val="es-ES"/>
              </w:rPr>
            </w:pPr>
            <w:r w:rsidRPr="003C12DC">
              <w:rPr>
                <w:rFonts w:ascii="Gotham-Light" w:hAnsi="Gotham-Light" w:cs="Gotham-Light"/>
                <w:color w:val="FFFFFF" w:themeColor="background1"/>
                <w:sz w:val="28"/>
                <w:szCs w:val="28"/>
                <w:lang w:val="es-ES"/>
              </w:rPr>
              <w:t>Carrera 4 No. 12-2</w:t>
            </w:r>
            <w:r w:rsidR="00283A88" w:rsidRPr="003C12DC">
              <w:rPr>
                <w:rFonts w:ascii="Gotham-Light" w:hAnsi="Gotham-Light" w:cs="Gotham-Light"/>
                <w:color w:val="FFFFFF" w:themeColor="background1"/>
                <w:sz w:val="28"/>
                <w:szCs w:val="28"/>
                <w:lang w:val="es-ES"/>
              </w:rPr>
              <w:t xml:space="preserve">, </w:t>
            </w:r>
            <w:r w:rsidRPr="003C12DC">
              <w:rPr>
                <w:rFonts w:ascii="Gotham-Light" w:hAnsi="Gotham-Light" w:cs="Gotham-Light"/>
                <w:color w:val="FFFFFF" w:themeColor="background1"/>
                <w:sz w:val="28"/>
                <w:szCs w:val="28"/>
                <w:lang w:val="es-ES"/>
              </w:rPr>
              <w:t>Cali-Valle del Cauca</w:t>
            </w:r>
          </w:p>
          <w:p w14:paraId="3EA1FB8D" w14:textId="3E15741C" w:rsidR="00283A88" w:rsidRPr="003C12DC" w:rsidRDefault="00283A88" w:rsidP="002F6415">
            <w:pPr>
              <w:pStyle w:val="Sinespaciado"/>
              <w:rPr>
                <w:rFonts w:ascii="Gotham-Light" w:hAnsi="Gotham-Light" w:cs="Gotham-Light"/>
                <w:color w:val="FFFFFF" w:themeColor="background1"/>
                <w:sz w:val="28"/>
                <w:szCs w:val="28"/>
                <w:lang w:val="es-ES"/>
              </w:rPr>
            </w:pPr>
          </w:p>
        </w:tc>
      </w:tr>
      <w:tr w:rsidR="00A85E02" w:rsidRPr="003C12DC" w14:paraId="44A2A2F8" w14:textId="77777777" w:rsidTr="002F6415">
        <w:trPr>
          <w:trHeight w:val="433"/>
        </w:trPr>
        <w:tc>
          <w:tcPr>
            <w:tcW w:w="567" w:type="dxa"/>
          </w:tcPr>
          <w:p w14:paraId="09E45C76" w14:textId="77777777" w:rsidR="00A85E02" w:rsidRPr="003C12DC" w:rsidRDefault="00A85E02" w:rsidP="002F6415">
            <w:pPr>
              <w:pStyle w:val="Sinespaciado"/>
              <w:jc w:val="both"/>
              <w:rPr>
                <w:color w:val="FFFFFF" w:themeColor="background1"/>
                <w:sz w:val="22"/>
                <w:szCs w:val="22"/>
              </w:rPr>
            </w:pPr>
            <w:r w:rsidRPr="003C12DC">
              <w:rPr>
                <w:noProof/>
                <w:color w:val="FFFFFF" w:themeColor="background1"/>
                <w:sz w:val="22"/>
                <w:szCs w:val="22"/>
                <w:lang w:eastAsia="es-CO"/>
              </w:rPr>
              <w:drawing>
                <wp:inline distT="0" distB="0" distL="0" distR="0" wp14:anchorId="033AABFA" wp14:editId="7CE44253">
                  <wp:extent cx="216000" cy="216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_twitte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4430" w:type="dxa"/>
          </w:tcPr>
          <w:p w14:paraId="6A2DF9C4" w14:textId="77777777" w:rsidR="00A85E02" w:rsidRPr="003C12DC" w:rsidRDefault="00A85E02" w:rsidP="002F6415">
            <w:pPr>
              <w:pStyle w:val="Sinespaciado"/>
              <w:rPr>
                <w:rFonts w:ascii="Gotham-Light" w:hAnsi="Gotham-Light" w:cs="Gotham-Light"/>
                <w:color w:val="FFFFFF" w:themeColor="background1"/>
                <w:sz w:val="28"/>
                <w:szCs w:val="28"/>
                <w:lang w:val="es-ES"/>
              </w:rPr>
            </w:pPr>
            <w:r w:rsidRPr="003C12DC">
              <w:rPr>
                <w:rFonts w:ascii="Gotham-Light" w:hAnsi="Gotham-Light" w:cs="Gotham-Light"/>
                <w:color w:val="FFFFFF" w:themeColor="background1"/>
                <w:sz w:val="28"/>
                <w:szCs w:val="28"/>
                <w:lang w:val="es-ES"/>
              </w:rPr>
              <w:t>@</w:t>
            </w:r>
            <w:proofErr w:type="spellStart"/>
            <w:r w:rsidRPr="003C12DC">
              <w:rPr>
                <w:rFonts w:ascii="Gotham-Light" w:hAnsi="Gotham-Light" w:cs="Gotham-Light"/>
                <w:color w:val="FFFFFF" w:themeColor="background1"/>
                <w:sz w:val="28"/>
                <w:szCs w:val="28"/>
                <w:lang w:val="es-ES"/>
              </w:rPr>
              <w:t>judicaturacsj</w:t>
            </w:r>
            <w:proofErr w:type="spellEnd"/>
          </w:p>
          <w:p w14:paraId="18BBDFF4" w14:textId="174C6E3E" w:rsidR="00283A88" w:rsidRPr="003C12DC" w:rsidRDefault="00283A88" w:rsidP="002F6415">
            <w:pPr>
              <w:pStyle w:val="Sinespaciado"/>
              <w:rPr>
                <w:rFonts w:ascii="Gotham-Light" w:hAnsi="Gotham-Light" w:cs="Gotham-Light"/>
                <w:color w:val="FFFFFF" w:themeColor="background1"/>
                <w:sz w:val="28"/>
                <w:szCs w:val="28"/>
                <w:lang w:val="es-ES"/>
              </w:rPr>
            </w:pPr>
          </w:p>
        </w:tc>
        <w:tc>
          <w:tcPr>
            <w:tcW w:w="673" w:type="dxa"/>
          </w:tcPr>
          <w:p w14:paraId="7A8B593F" w14:textId="77777777" w:rsidR="00A85E02" w:rsidRPr="003C12DC" w:rsidRDefault="00A85E02" w:rsidP="002F6415">
            <w:pPr>
              <w:pStyle w:val="Sinespaciado"/>
              <w:rPr>
                <w:rFonts w:ascii="Gotham-Light" w:hAnsi="Gotham-Light" w:cs="Gotham-Light"/>
                <w:color w:val="FFFFFF" w:themeColor="background1"/>
                <w:sz w:val="28"/>
                <w:szCs w:val="28"/>
                <w:lang w:val="es-ES"/>
              </w:rPr>
            </w:pPr>
            <w:r w:rsidRPr="003C12DC">
              <w:rPr>
                <w:rFonts w:ascii="Gotham-Light" w:hAnsi="Gotham-Light" w:cs="Gotham-Light"/>
                <w:noProof/>
                <w:color w:val="FFFFFF" w:themeColor="background1"/>
                <w:sz w:val="28"/>
                <w:szCs w:val="28"/>
                <w:lang w:eastAsia="es-CO"/>
              </w:rPr>
              <w:drawing>
                <wp:inline distT="0" distB="0" distL="0" distR="0" wp14:anchorId="5BD1664F" wp14:editId="0B4ED4B8">
                  <wp:extent cx="216000" cy="216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_instagra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3609" w:type="dxa"/>
          </w:tcPr>
          <w:p w14:paraId="4B655593" w14:textId="77777777" w:rsidR="00A85E02" w:rsidRPr="003C12DC" w:rsidRDefault="00A85E02" w:rsidP="002F6415">
            <w:pPr>
              <w:pStyle w:val="Sinespaciado"/>
              <w:rPr>
                <w:rFonts w:ascii="Gotham-Light" w:hAnsi="Gotham-Light" w:cs="Gotham-Light"/>
                <w:color w:val="FFFFFF" w:themeColor="background1"/>
                <w:sz w:val="28"/>
                <w:szCs w:val="28"/>
                <w:lang w:val="es-ES"/>
              </w:rPr>
            </w:pPr>
            <w:r w:rsidRPr="003C12DC">
              <w:rPr>
                <w:rFonts w:ascii="Gotham-Light" w:hAnsi="Gotham-Light" w:cs="Gotham-Light"/>
                <w:color w:val="FFFFFF" w:themeColor="background1"/>
                <w:sz w:val="28"/>
                <w:szCs w:val="28"/>
                <w:lang w:val="es-ES"/>
              </w:rPr>
              <w:t>@</w:t>
            </w:r>
            <w:proofErr w:type="spellStart"/>
            <w:r w:rsidRPr="003C12DC">
              <w:rPr>
                <w:rFonts w:ascii="Gotham-Light" w:hAnsi="Gotham-Light" w:cs="Gotham-Light"/>
                <w:color w:val="FFFFFF" w:themeColor="background1"/>
                <w:sz w:val="28"/>
                <w:szCs w:val="28"/>
                <w:lang w:val="es-ES"/>
              </w:rPr>
              <w:t>judicaturacsjcolombia</w:t>
            </w:r>
            <w:proofErr w:type="spellEnd"/>
          </w:p>
          <w:p w14:paraId="4EEBBC46" w14:textId="69A71F36" w:rsidR="00283A88" w:rsidRPr="003C12DC" w:rsidRDefault="00283A88" w:rsidP="002F6415">
            <w:pPr>
              <w:pStyle w:val="Sinespaciado"/>
              <w:rPr>
                <w:rFonts w:ascii="Gotham-Light" w:hAnsi="Gotham-Light" w:cs="Gotham-Light"/>
                <w:color w:val="FFFFFF" w:themeColor="background1"/>
                <w:sz w:val="28"/>
                <w:szCs w:val="28"/>
                <w:lang w:val="es-ES"/>
              </w:rPr>
            </w:pPr>
          </w:p>
        </w:tc>
      </w:tr>
      <w:tr w:rsidR="00A85E02" w:rsidRPr="003C12DC" w14:paraId="3420BC55" w14:textId="77777777" w:rsidTr="002F6415">
        <w:trPr>
          <w:trHeight w:val="425"/>
        </w:trPr>
        <w:tc>
          <w:tcPr>
            <w:tcW w:w="567" w:type="dxa"/>
          </w:tcPr>
          <w:p w14:paraId="2E52E042" w14:textId="77777777" w:rsidR="00A85E02" w:rsidRPr="003C12DC" w:rsidRDefault="00A85E02" w:rsidP="002F6415">
            <w:pPr>
              <w:pStyle w:val="Sinespaciado"/>
              <w:jc w:val="both"/>
              <w:rPr>
                <w:noProof/>
                <w:color w:val="FFFFFF" w:themeColor="background1"/>
                <w:sz w:val="22"/>
                <w:szCs w:val="22"/>
              </w:rPr>
            </w:pPr>
            <w:r w:rsidRPr="003C12DC">
              <w:rPr>
                <w:noProof/>
                <w:color w:val="FFFFFF" w:themeColor="background1"/>
                <w:sz w:val="22"/>
                <w:szCs w:val="22"/>
                <w:lang w:eastAsia="es-CO"/>
              </w:rPr>
              <w:drawing>
                <wp:inline distT="0" distB="0" distL="0" distR="0" wp14:anchorId="6A435F86" wp14:editId="35B478DD">
                  <wp:extent cx="216000" cy="216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facebook.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4430" w:type="dxa"/>
          </w:tcPr>
          <w:p w14:paraId="583AFA74" w14:textId="77777777" w:rsidR="00A85E02" w:rsidRPr="003C12DC" w:rsidRDefault="00A85E02" w:rsidP="002F6415">
            <w:pPr>
              <w:pStyle w:val="Sinespaciado"/>
              <w:rPr>
                <w:rFonts w:ascii="Gotham-Light" w:hAnsi="Gotham-Light" w:cs="Gotham-Light"/>
                <w:color w:val="FFFFFF" w:themeColor="background1"/>
                <w:sz w:val="28"/>
                <w:szCs w:val="28"/>
                <w:lang w:val="es-ES"/>
              </w:rPr>
            </w:pPr>
            <w:r w:rsidRPr="003C12DC">
              <w:rPr>
                <w:rFonts w:ascii="Gotham-Light" w:hAnsi="Gotham-Light" w:cs="Gotham-Light"/>
                <w:color w:val="FFFFFF" w:themeColor="background1"/>
                <w:sz w:val="28"/>
                <w:szCs w:val="28"/>
                <w:lang w:val="es-ES"/>
              </w:rPr>
              <w:t>@</w:t>
            </w:r>
            <w:proofErr w:type="spellStart"/>
            <w:r w:rsidRPr="003C12DC">
              <w:rPr>
                <w:rFonts w:ascii="Gotham-Light" w:hAnsi="Gotham-Light" w:cs="Gotham-Light"/>
                <w:color w:val="FFFFFF" w:themeColor="background1"/>
                <w:sz w:val="28"/>
                <w:szCs w:val="28"/>
                <w:lang w:val="es-ES"/>
              </w:rPr>
              <w:t>judicaturacol</w:t>
            </w:r>
            <w:proofErr w:type="spellEnd"/>
          </w:p>
          <w:p w14:paraId="3C72077D" w14:textId="00D3CBB8" w:rsidR="00283A88" w:rsidRPr="003C12DC" w:rsidRDefault="00283A88" w:rsidP="002F6415">
            <w:pPr>
              <w:pStyle w:val="Sinespaciado"/>
              <w:rPr>
                <w:rFonts w:ascii="Gotham-Light" w:hAnsi="Gotham-Light" w:cs="Gotham-Light"/>
                <w:color w:val="FFFFFF" w:themeColor="background1"/>
                <w:sz w:val="28"/>
                <w:szCs w:val="28"/>
                <w:lang w:val="es-ES"/>
              </w:rPr>
            </w:pPr>
          </w:p>
        </w:tc>
        <w:tc>
          <w:tcPr>
            <w:tcW w:w="673" w:type="dxa"/>
          </w:tcPr>
          <w:p w14:paraId="7D961322" w14:textId="77777777" w:rsidR="00A85E02" w:rsidRPr="003C12DC" w:rsidRDefault="00A85E02" w:rsidP="002F6415">
            <w:pPr>
              <w:pStyle w:val="Sinespaciado"/>
              <w:rPr>
                <w:rFonts w:ascii="Gotham-Light" w:hAnsi="Gotham-Light" w:cs="Gotham-Light"/>
                <w:color w:val="FFFFFF" w:themeColor="background1"/>
                <w:sz w:val="28"/>
                <w:szCs w:val="28"/>
                <w:lang w:val="es-ES"/>
              </w:rPr>
            </w:pPr>
            <w:r w:rsidRPr="003C12DC">
              <w:rPr>
                <w:rFonts w:ascii="Gotham-Light" w:hAnsi="Gotham-Light" w:cs="Gotham-Light"/>
                <w:noProof/>
                <w:color w:val="FFFFFF" w:themeColor="background1"/>
                <w:sz w:val="28"/>
                <w:szCs w:val="28"/>
                <w:lang w:eastAsia="es-CO"/>
              </w:rPr>
              <w:drawing>
                <wp:inline distT="0" distB="0" distL="0" distR="0" wp14:anchorId="678D8050" wp14:editId="3A806896">
                  <wp:extent cx="216000" cy="216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_youtub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3609" w:type="dxa"/>
          </w:tcPr>
          <w:p w14:paraId="11E2F16A" w14:textId="77777777" w:rsidR="00A85E02" w:rsidRPr="003C12DC" w:rsidRDefault="00A85E02" w:rsidP="002F6415">
            <w:pPr>
              <w:pStyle w:val="Sinespaciado"/>
              <w:rPr>
                <w:rFonts w:ascii="Gotham-Light" w:hAnsi="Gotham-Light" w:cs="Gotham-Light"/>
                <w:color w:val="FFFFFF" w:themeColor="background1"/>
                <w:sz w:val="28"/>
                <w:szCs w:val="28"/>
                <w:lang w:val="es-ES"/>
              </w:rPr>
            </w:pPr>
            <w:r w:rsidRPr="003C12DC">
              <w:rPr>
                <w:rFonts w:ascii="Gotham-Light" w:hAnsi="Gotham-Light" w:cs="Gotham-Light"/>
                <w:color w:val="FFFFFF" w:themeColor="background1"/>
                <w:sz w:val="28"/>
                <w:szCs w:val="28"/>
                <w:lang w:val="es-ES"/>
              </w:rPr>
              <w:t>@</w:t>
            </w:r>
            <w:proofErr w:type="spellStart"/>
            <w:r w:rsidRPr="003C12DC">
              <w:rPr>
                <w:rFonts w:ascii="Gotham-Light" w:hAnsi="Gotham-Light" w:cs="Gotham-Light"/>
                <w:color w:val="FFFFFF" w:themeColor="background1"/>
                <w:sz w:val="28"/>
                <w:szCs w:val="28"/>
                <w:lang w:val="es-ES"/>
              </w:rPr>
              <w:t>judicaturaCSJ</w:t>
            </w:r>
            <w:proofErr w:type="spellEnd"/>
          </w:p>
          <w:p w14:paraId="0168FF8F" w14:textId="0990C504" w:rsidR="00283A88" w:rsidRPr="003C12DC" w:rsidRDefault="00283A88" w:rsidP="002F6415">
            <w:pPr>
              <w:pStyle w:val="Sinespaciado"/>
              <w:rPr>
                <w:rFonts w:ascii="Gotham-Light" w:hAnsi="Gotham-Light" w:cs="Gotham-Light"/>
                <w:color w:val="FFFFFF" w:themeColor="background1"/>
                <w:sz w:val="28"/>
                <w:szCs w:val="28"/>
                <w:lang w:val="es-ES"/>
              </w:rPr>
            </w:pPr>
          </w:p>
        </w:tc>
      </w:tr>
      <w:tr w:rsidR="00A85E02" w:rsidRPr="003C12DC" w14:paraId="13A4A005" w14:textId="77777777" w:rsidTr="002F6415">
        <w:tc>
          <w:tcPr>
            <w:tcW w:w="567" w:type="dxa"/>
          </w:tcPr>
          <w:p w14:paraId="66E5E93C" w14:textId="77777777" w:rsidR="00A85E02" w:rsidRPr="003C12DC" w:rsidRDefault="00A85E02" w:rsidP="002F6415">
            <w:pPr>
              <w:pStyle w:val="Sinespaciado"/>
              <w:jc w:val="center"/>
              <w:rPr>
                <w:color w:val="FFFFFF" w:themeColor="background1"/>
                <w:sz w:val="22"/>
                <w:szCs w:val="22"/>
              </w:rPr>
            </w:pPr>
            <w:r w:rsidRPr="003C12DC">
              <w:rPr>
                <w:noProof/>
                <w:color w:val="FFFFFF" w:themeColor="background1"/>
                <w:sz w:val="22"/>
                <w:szCs w:val="22"/>
                <w:lang w:eastAsia="es-CO"/>
              </w:rPr>
              <w:drawing>
                <wp:inline distT="0" distB="0" distL="0" distR="0" wp14:anchorId="6B390F11" wp14:editId="0703F172">
                  <wp:extent cx="216000" cy="216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_phon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8712" w:type="dxa"/>
            <w:gridSpan w:val="3"/>
          </w:tcPr>
          <w:p w14:paraId="1D319EC5" w14:textId="77777777" w:rsidR="00A85E02" w:rsidRPr="003C12DC" w:rsidRDefault="00A85E02" w:rsidP="002F6415">
            <w:pPr>
              <w:pStyle w:val="Sinespaciado"/>
              <w:rPr>
                <w:rFonts w:ascii="Gotham-Light" w:hAnsi="Gotham-Light" w:cs="Gotham-Light"/>
                <w:color w:val="FFFFFF" w:themeColor="background1"/>
                <w:sz w:val="28"/>
                <w:szCs w:val="28"/>
                <w:lang w:val="es-ES"/>
              </w:rPr>
            </w:pPr>
            <w:r w:rsidRPr="003C12DC">
              <w:rPr>
                <w:rFonts w:ascii="Gotham-Light" w:hAnsi="Gotham-Light" w:cs="Gotham-Light"/>
                <w:color w:val="FFFFFF" w:themeColor="background1"/>
                <w:sz w:val="28"/>
                <w:szCs w:val="28"/>
                <w:lang w:val="es-ES"/>
              </w:rPr>
              <w:t>(2) 8893264</w:t>
            </w:r>
          </w:p>
        </w:tc>
      </w:tr>
    </w:tbl>
    <w:p w14:paraId="2CD58D66" w14:textId="1588F944" w:rsidR="00513B61" w:rsidRPr="003C12DC" w:rsidRDefault="00513B61" w:rsidP="002E3739">
      <w:pPr>
        <w:pStyle w:val="Sinespaciado"/>
        <w:jc w:val="both"/>
        <w:rPr>
          <w:sz w:val="22"/>
          <w:szCs w:val="22"/>
        </w:rPr>
      </w:pPr>
    </w:p>
    <w:sectPr w:rsidR="00513B61" w:rsidRPr="003C12DC" w:rsidSect="002E3739">
      <w:type w:val="continuous"/>
      <w:pgSz w:w="12240" w:h="15840"/>
      <w:pgMar w:top="2248" w:right="1701" w:bottom="1417" w:left="126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44A0E2" w14:textId="77777777" w:rsidR="00E52E31" w:rsidRDefault="00E52E31" w:rsidP="00B716D3">
      <w:pPr>
        <w:spacing w:after="0" w:line="240" w:lineRule="auto"/>
      </w:pPr>
      <w:r>
        <w:separator/>
      </w:r>
    </w:p>
  </w:endnote>
  <w:endnote w:type="continuationSeparator" w:id="0">
    <w:p w14:paraId="1360E0BA" w14:textId="77777777" w:rsidR="00E52E31" w:rsidRDefault="00E52E31" w:rsidP="00B71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73DA5" w14:textId="1E976B3A" w:rsidR="00C33453" w:rsidRDefault="00C33453" w:rsidP="00D45A94">
    <w:pPr>
      <w:pStyle w:val="Piedepgina"/>
    </w:pPr>
  </w:p>
  <w:p w14:paraId="1194CE3F" w14:textId="77777777" w:rsidR="00C33453" w:rsidRDefault="00C334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132C3D" w14:textId="77777777" w:rsidR="00E52E31" w:rsidRDefault="00E52E31" w:rsidP="00B716D3">
      <w:pPr>
        <w:spacing w:after="0" w:line="240" w:lineRule="auto"/>
      </w:pPr>
      <w:r>
        <w:separator/>
      </w:r>
    </w:p>
  </w:footnote>
  <w:footnote w:type="continuationSeparator" w:id="0">
    <w:p w14:paraId="233BCD2C" w14:textId="77777777" w:rsidR="00E52E31" w:rsidRDefault="00E52E31" w:rsidP="00B716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28971" w14:textId="455954B4" w:rsidR="00B57F3D" w:rsidRDefault="00B57F3D">
    <w:pPr>
      <w:pStyle w:val="Encabezado"/>
    </w:pPr>
    <w:r>
      <w:rPr>
        <w:noProof/>
        <w:lang w:eastAsia="es-CO"/>
      </w:rPr>
      <w:drawing>
        <wp:anchor distT="0" distB="0" distL="114300" distR="114300" simplePos="0" relativeHeight="251658240" behindDoc="1" locked="0" layoutInCell="1" allowOverlap="1" wp14:anchorId="42D31F12" wp14:editId="22647F55">
          <wp:simplePos x="0" y="0"/>
          <wp:positionH relativeFrom="column">
            <wp:posOffset>-791845</wp:posOffset>
          </wp:positionH>
          <wp:positionV relativeFrom="paragraph">
            <wp:posOffset>-450092</wp:posOffset>
          </wp:positionV>
          <wp:extent cx="7778306" cy="10058154"/>
          <wp:effectExtent l="0" t="0" r="0"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ndicion de Cuentas del CSJ - Seccionales _02.jpg"/>
                  <pic:cNvPicPr/>
                </pic:nvPicPr>
                <pic:blipFill>
                  <a:blip r:embed="rId1">
                    <a:extLst>
                      <a:ext uri="{28A0092B-C50C-407E-A947-70E740481C1C}">
                        <a14:useLocalDpi xmlns:a14="http://schemas.microsoft.com/office/drawing/2010/main" val="0"/>
                      </a:ext>
                    </a:extLst>
                  </a:blip>
                  <a:stretch>
                    <a:fillRect/>
                  </a:stretch>
                </pic:blipFill>
                <pic:spPr>
                  <a:xfrm>
                    <a:off x="0" y="0"/>
                    <a:ext cx="7778306" cy="1005815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B615C" w14:textId="0F134553" w:rsidR="00585EBB" w:rsidRDefault="00D45A94" w:rsidP="003C12DC">
    <w:pPr>
      <w:pStyle w:val="Encabezado"/>
      <w:tabs>
        <w:tab w:val="clear" w:pos="4419"/>
        <w:tab w:val="clear" w:pos="8838"/>
        <w:tab w:val="left" w:pos="2042"/>
      </w:tabs>
    </w:pPr>
    <w:r>
      <w:rPr>
        <w:noProof/>
        <w:lang w:eastAsia="es-CO"/>
      </w:rPr>
      <w:drawing>
        <wp:anchor distT="0" distB="0" distL="114300" distR="114300" simplePos="0" relativeHeight="251660288" behindDoc="1" locked="0" layoutInCell="1" allowOverlap="1" wp14:anchorId="6B9732C1" wp14:editId="0848D415">
          <wp:simplePos x="0" y="0"/>
          <wp:positionH relativeFrom="column">
            <wp:posOffset>-791845</wp:posOffset>
          </wp:positionH>
          <wp:positionV relativeFrom="paragraph">
            <wp:posOffset>-436444</wp:posOffset>
          </wp:positionV>
          <wp:extent cx="7778306" cy="10058154"/>
          <wp:effectExtent l="0" t="0" r="0"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ndicion de Cuentas del CSJ - Seccionales _02.jpg"/>
                  <pic:cNvPicPr/>
                </pic:nvPicPr>
                <pic:blipFill>
                  <a:blip r:embed="rId1">
                    <a:extLst>
                      <a:ext uri="{28A0092B-C50C-407E-A947-70E740481C1C}">
                        <a14:useLocalDpi xmlns:a14="http://schemas.microsoft.com/office/drawing/2010/main" val="0"/>
                      </a:ext>
                    </a:extLst>
                  </a:blip>
                  <a:stretch>
                    <a:fillRect/>
                  </a:stretch>
                </pic:blipFill>
                <pic:spPr>
                  <a:xfrm>
                    <a:off x="0" y="0"/>
                    <a:ext cx="7778306" cy="10058154"/>
                  </a:xfrm>
                  <a:prstGeom prst="rect">
                    <a:avLst/>
                  </a:prstGeom>
                </pic:spPr>
              </pic:pic>
            </a:graphicData>
          </a:graphic>
          <wp14:sizeRelH relativeFrom="page">
            <wp14:pctWidth>0</wp14:pctWidth>
          </wp14:sizeRelH>
          <wp14:sizeRelV relativeFrom="page">
            <wp14:pctHeight>0</wp14:pctHeight>
          </wp14:sizeRelV>
        </wp:anchor>
      </w:drawing>
    </w:r>
    <w:r w:rsidR="003C12DC">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20224"/>
    <w:multiLevelType w:val="hybridMultilevel"/>
    <w:tmpl w:val="70EC8710"/>
    <w:lvl w:ilvl="0" w:tplc="00146890">
      <w:start w:val="1"/>
      <w:numFmt w:val="decimal"/>
      <w:lvlText w:val="%1."/>
      <w:lvlJc w:val="left"/>
      <w:pPr>
        <w:ind w:left="927" w:hanging="360"/>
      </w:pPr>
      <w:rPr>
        <w:rFonts w:hint="default"/>
        <w:color w:val="2F5496" w:themeColor="accent1" w:themeShade="BF"/>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
    <w:nsid w:val="092163B2"/>
    <w:multiLevelType w:val="hybridMultilevel"/>
    <w:tmpl w:val="EDB49D78"/>
    <w:lvl w:ilvl="0" w:tplc="A88C9A4C">
      <w:start w:val="40"/>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970FED"/>
    <w:multiLevelType w:val="multilevel"/>
    <w:tmpl w:val="42C60A14"/>
    <w:lvl w:ilvl="0">
      <w:start w:val="5"/>
      <w:numFmt w:val="decimal"/>
      <w:lvlText w:val="%1"/>
      <w:lvlJc w:val="left"/>
      <w:pPr>
        <w:ind w:left="360" w:hanging="360"/>
      </w:pPr>
      <w:rPr>
        <w:rFonts w:cstheme="minorHAnsi" w:hint="default"/>
        <w:b/>
        <w:color w:val="1F3864" w:themeColor="accent1" w:themeShade="80"/>
        <w:sz w:val="20"/>
      </w:rPr>
    </w:lvl>
    <w:lvl w:ilvl="1">
      <w:start w:val="8"/>
      <w:numFmt w:val="decimal"/>
      <w:lvlText w:val="%1.%2"/>
      <w:lvlJc w:val="left"/>
      <w:pPr>
        <w:ind w:left="1211" w:hanging="360"/>
      </w:pPr>
      <w:rPr>
        <w:rFonts w:cstheme="minorHAnsi" w:hint="default"/>
        <w:b/>
        <w:color w:val="1F3864" w:themeColor="accent1" w:themeShade="80"/>
        <w:sz w:val="20"/>
      </w:rPr>
    </w:lvl>
    <w:lvl w:ilvl="2">
      <w:start w:val="1"/>
      <w:numFmt w:val="decimal"/>
      <w:lvlText w:val="%1.%2.%3"/>
      <w:lvlJc w:val="left"/>
      <w:pPr>
        <w:ind w:left="2422" w:hanging="720"/>
      </w:pPr>
      <w:rPr>
        <w:rFonts w:cstheme="minorHAnsi" w:hint="default"/>
        <w:b/>
        <w:color w:val="1F3864" w:themeColor="accent1" w:themeShade="80"/>
        <w:sz w:val="20"/>
      </w:rPr>
    </w:lvl>
    <w:lvl w:ilvl="3">
      <w:start w:val="1"/>
      <w:numFmt w:val="decimal"/>
      <w:lvlText w:val="%1.%2.%3.%4"/>
      <w:lvlJc w:val="left"/>
      <w:pPr>
        <w:ind w:left="3633" w:hanging="1080"/>
      </w:pPr>
      <w:rPr>
        <w:rFonts w:cstheme="minorHAnsi" w:hint="default"/>
        <w:b/>
        <w:color w:val="1F3864" w:themeColor="accent1" w:themeShade="80"/>
        <w:sz w:val="20"/>
      </w:rPr>
    </w:lvl>
    <w:lvl w:ilvl="4">
      <w:start w:val="1"/>
      <w:numFmt w:val="decimal"/>
      <w:lvlText w:val="%1.%2.%3.%4.%5"/>
      <w:lvlJc w:val="left"/>
      <w:pPr>
        <w:ind w:left="4484" w:hanging="1080"/>
      </w:pPr>
      <w:rPr>
        <w:rFonts w:cstheme="minorHAnsi" w:hint="default"/>
        <w:b/>
        <w:color w:val="1F3864" w:themeColor="accent1" w:themeShade="80"/>
        <w:sz w:val="20"/>
      </w:rPr>
    </w:lvl>
    <w:lvl w:ilvl="5">
      <w:start w:val="1"/>
      <w:numFmt w:val="decimal"/>
      <w:lvlText w:val="%1.%2.%3.%4.%5.%6"/>
      <w:lvlJc w:val="left"/>
      <w:pPr>
        <w:ind w:left="5695" w:hanging="1440"/>
      </w:pPr>
      <w:rPr>
        <w:rFonts w:cstheme="minorHAnsi" w:hint="default"/>
        <w:b/>
        <w:color w:val="1F3864" w:themeColor="accent1" w:themeShade="80"/>
        <w:sz w:val="20"/>
      </w:rPr>
    </w:lvl>
    <w:lvl w:ilvl="6">
      <w:start w:val="1"/>
      <w:numFmt w:val="decimal"/>
      <w:lvlText w:val="%1.%2.%3.%4.%5.%6.%7"/>
      <w:lvlJc w:val="left"/>
      <w:pPr>
        <w:ind w:left="6546" w:hanging="1440"/>
      </w:pPr>
      <w:rPr>
        <w:rFonts w:cstheme="minorHAnsi" w:hint="default"/>
        <w:b/>
        <w:color w:val="1F3864" w:themeColor="accent1" w:themeShade="80"/>
        <w:sz w:val="20"/>
      </w:rPr>
    </w:lvl>
    <w:lvl w:ilvl="7">
      <w:start w:val="1"/>
      <w:numFmt w:val="decimal"/>
      <w:lvlText w:val="%1.%2.%3.%4.%5.%6.%7.%8"/>
      <w:lvlJc w:val="left"/>
      <w:pPr>
        <w:ind w:left="7757" w:hanging="1800"/>
      </w:pPr>
      <w:rPr>
        <w:rFonts w:cstheme="minorHAnsi" w:hint="default"/>
        <w:b/>
        <w:color w:val="1F3864" w:themeColor="accent1" w:themeShade="80"/>
        <w:sz w:val="20"/>
      </w:rPr>
    </w:lvl>
    <w:lvl w:ilvl="8">
      <w:start w:val="1"/>
      <w:numFmt w:val="decimal"/>
      <w:lvlText w:val="%1.%2.%3.%4.%5.%6.%7.%8.%9"/>
      <w:lvlJc w:val="left"/>
      <w:pPr>
        <w:ind w:left="8968" w:hanging="2160"/>
      </w:pPr>
      <w:rPr>
        <w:rFonts w:cstheme="minorHAnsi" w:hint="default"/>
        <w:b/>
        <w:color w:val="1F3864" w:themeColor="accent1" w:themeShade="80"/>
        <w:sz w:val="20"/>
      </w:rPr>
    </w:lvl>
  </w:abstractNum>
  <w:abstractNum w:abstractNumId="3">
    <w:nsid w:val="0DEB230D"/>
    <w:multiLevelType w:val="hybridMultilevel"/>
    <w:tmpl w:val="E774E420"/>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03D1DA6"/>
    <w:multiLevelType w:val="hybridMultilevel"/>
    <w:tmpl w:val="08F4BF94"/>
    <w:lvl w:ilvl="0" w:tplc="13AABC78">
      <w:start w:val="1"/>
      <w:numFmt w:val="decimal"/>
      <w:lvlText w:val="%1."/>
      <w:lvlJc w:val="left"/>
      <w:pPr>
        <w:ind w:left="2844" w:hanging="360"/>
      </w:pPr>
      <w:rPr>
        <w:rFonts w:asciiTheme="minorHAnsi" w:eastAsiaTheme="minorEastAsia" w:hAnsiTheme="minorHAnsi" w:cstheme="minorBidi"/>
        <w:color w:val="808080" w:themeColor="background1" w:themeShade="80"/>
        <w:sz w:val="22"/>
        <w:szCs w:val="22"/>
      </w:rPr>
    </w:lvl>
    <w:lvl w:ilvl="1" w:tplc="240A0019" w:tentative="1">
      <w:start w:val="1"/>
      <w:numFmt w:val="lowerLetter"/>
      <w:lvlText w:val="%2."/>
      <w:lvlJc w:val="left"/>
      <w:pPr>
        <w:ind w:left="3564" w:hanging="360"/>
      </w:pPr>
    </w:lvl>
    <w:lvl w:ilvl="2" w:tplc="240A001B" w:tentative="1">
      <w:start w:val="1"/>
      <w:numFmt w:val="lowerRoman"/>
      <w:lvlText w:val="%3."/>
      <w:lvlJc w:val="right"/>
      <w:pPr>
        <w:ind w:left="4284" w:hanging="180"/>
      </w:pPr>
    </w:lvl>
    <w:lvl w:ilvl="3" w:tplc="240A000F" w:tentative="1">
      <w:start w:val="1"/>
      <w:numFmt w:val="decimal"/>
      <w:lvlText w:val="%4."/>
      <w:lvlJc w:val="left"/>
      <w:pPr>
        <w:ind w:left="5004" w:hanging="360"/>
      </w:pPr>
    </w:lvl>
    <w:lvl w:ilvl="4" w:tplc="240A0019" w:tentative="1">
      <w:start w:val="1"/>
      <w:numFmt w:val="lowerLetter"/>
      <w:lvlText w:val="%5."/>
      <w:lvlJc w:val="left"/>
      <w:pPr>
        <w:ind w:left="5724" w:hanging="360"/>
      </w:pPr>
    </w:lvl>
    <w:lvl w:ilvl="5" w:tplc="240A001B" w:tentative="1">
      <w:start w:val="1"/>
      <w:numFmt w:val="lowerRoman"/>
      <w:lvlText w:val="%6."/>
      <w:lvlJc w:val="right"/>
      <w:pPr>
        <w:ind w:left="6444" w:hanging="180"/>
      </w:pPr>
    </w:lvl>
    <w:lvl w:ilvl="6" w:tplc="240A000F" w:tentative="1">
      <w:start w:val="1"/>
      <w:numFmt w:val="decimal"/>
      <w:lvlText w:val="%7."/>
      <w:lvlJc w:val="left"/>
      <w:pPr>
        <w:ind w:left="7164" w:hanging="360"/>
      </w:pPr>
    </w:lvl>
    <w:lvl w:ilvl="7" w:tplc="240A0019" w:tentative="1">
      <w:start w:val="1"/>
      <w:numFmt w:val="lowerLetter"/>
      <w:lvlText w:val="%8."/>
      <w:lvlJc w:val="left"/>
      <w:pPr>
        <w:ind w:left="7884" w:hanging="360"/>
      </w:pPr>
    </w:lvl>
    <w:lvl w:ilvl="8" w:tplc="240A001B" w:tentative="1">
      <w:start w:val="1"/>
      <w:numFmt w:val="lowerRoman"/>
      <w:lvlText w:val="%9."/>
      <w:lvlJc w:val="right"/>
      <w:pPr>
        <w:ind w:left="8604" w:hanging="180"/>
      </w:pPr>
    </w:lvl>
  </w:abstractNum>
  <w:abstractNum w:abstractNumId="5">
    <w:nsid w:val="13420CD4"/>
    <w:multiLevelType w:val="hybridMultilevel"/>
    <w:tmpl w:val="AFC81B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5E10367"/>
    <w:multiLevelType w:val="multilevel"/>
    <w:tmpl w:val="FBBC1C5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893768C"/>
    <w:multiLevelType w:val="hybridMultilevel"/>
    <w:tmpl w:val="DC369CBA"/>
    <w:lvl w:ilvl="0" w:tplc="3A46E142">
      <w:start w:val="1"/>
      <w:numFmt w:val="bullet"/>
      <w:lvlText w:val=""/>
      <w:lvlJc w:val="left"/>
      <w:pPr>
        <w:ind w:left="1080" w:hanging="360"/>
      </w:pPr>
      <w:rPr>
        <w:rFonts w:ascii="Symbol" w:hAnsi="Symbol" w:hint="default"/>
        <w:color w:val="2F5496" w:themeColor="accent1" w:themeShade="BF"/>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cs="Wingdings" w:hint="default"/>
      </w:rPr>
    </w:lvl>
    <w:lvl w:ilvl="3" w:tplc="240A0001" w:tentative="1">
      <w:start w:val="1"/>
      <w:numFmt w:val="bullet"/>
      <w:lvlText w:val=""/>
      <w:lvlJc w:val="left"/>
      <w:pPr>
        <w:ind w:left="3240" w:hanging="360"/>
      </w:pPr>
      <w:rPr>
        <w:rFonts w:ascii="Symbol" w:hAnsi="Symbol" w:cs="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cs="Wingdings" w:hint="default"/>
      </w:rPr>
    </w:lvl>
    <w:lvl w:ilvl="6" w:tplc="240A0001" w:tentative="1">
      <w:start w:val="1"/>
      <w:numFmt w:val="bullet"/>
      <w:lvlText w:val=""/>
      <w:lvlJc w:val="left"/>
      <w:pPr>
        <w:ind w:left="5400" w:hanging="360"/>
      </w:pPr>
      <w:rPr>
        <w:rFonts w:ascii="Symbol" w:hAnsi="Symbol" w:cs="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cs="Wingdings" w:hint="default"/>
      </w:rPr>
    </w:lvl>
  </w:abstractNum>
  <w:abstractNum w:abstractNumId="8">
    <w:nsid w:val="1B4B3848"/>
    <w:multiLevelType w:val="hybridMultilevel"/>
    <w:tmpl w:val="D9D674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B5F4B9C"/>
    <w:multiLevelType w:val="hybridMultilevel"/>
    <w:tmpl w:val="5EBCD79E"/>
    <w:lvl w:ilvl="0" w:tplc="240A000F">
      <w:start w:val="1"/>
      <w:numFmt w:val="decimal"/>
      <w:lvlText w:val="%1."/>
      <w:lvlJc w:val="left"/>
      <w:pPr>
        <w:ind w:left="4613" w:hanging="360"/>
      </w:pPr>
      <w:rPr>
        <w:rFonts w:hint="default"/>
      </w:rPr>
    </w:lvl>
    <w:lvl w:ilvl="1" w:tplc="240A0019" w:tentative="1">
      <w:start w:val="1"/>
      <w:numFmt w:val="lowerLetter"/>
      <w:lvlText w:val="%2."/>
      <w:lvlJc w:val="left"/>
      <w:pPr>
        <w:ind w:left="2215" w:hanging="360"/>
      </w:pPr>
    </w:lvl>
    <w:lvl w:ilvl="2" w:tplc="240A001B" w:tentative="1">
      <w:start w:val="1"/>
      <w:numFmt w:val="lowerRoman"/>
      <w:lvlText w:val="%3."/>
      <w:lvlJc w:val="right"/>
      <w:pPr>
        <w:ind w:left="2935" w:hanging="180"/>
      </w:pPr>
    </w:lvl>
    <w:lvl w:ilvl="3" w:tplc="240A000F" w:tentative="1">
      <w:start w:val="1"/>
      <w:numFmt w:val="decimal"/>
      <w:lvlText w:val="%4."/>
      <w:lvlJc w:val="left"/>
      <w:pPr>
        <w:ind w:left="3655" w:hanging="360"/>
      </w:pPr>
    </w:lvl>
    <w:lvl w:ilvl="4" w:tplc="240A0019" w:tentative="1">
      <w:start w:val="1"/>
      <w:numFmt w:val="lowerLetter"/>
      <w:lvlText w:val="%5."/>
      <w:lvlJc w:val="left"/>
      <w:pPr>
        <w:ind w:left="4375" w:hanging="360"/>
      </w:pPr>
    </w:lvl>
    <w:lvl w:ilvl="5" w:tplc="240A001B" w:tentative="1">
      <w:start w:val="1"/>
      <w:numFmt w:val="lowerRoman"/>
      <w:lvlText w:val="%6."/>
      <w:lvlJc w:val="right"/>
      <w:pPr>
        <w:ind w:left="5095" w:hanging="180"/>
      </w:pPr>
    </w:lvl>
    <w:lvl w:ilvl="6" w:tplc="240A000F" w:tentative="1">
      <w:start w:val="1"/>
      <w:numFmt w:val="decimal"/>
      <w:lvlText w:val="%7."/>
      <w:lvlJc w:val="left"/>
      <w:pPr>
        <w:ind w:left="5815" w:hanging="360"/>
      </w:pPr>
    </w:lvl>
    <w:lvl w:ilvl="7" w:tplc="240A0019" w:tentative="1">
      <w:start w:val="1"/>
      <w:numFmt w:val="lowerLetter"/>
      <w:lvlText w:val="%8."/>
      <w:lvlJc w:val="left"/>
      <w:pPr>
        <w:ind w:left="6535" w:hanging="360"/>
      </w:pPr>
    </w:lvl>
    <w:lvl w:ilvl="8" w:tplc="240A001B" w:tentative="1">
      <w:start w:val="1"/>
      <w:numFmt w:val="lowerRoman"/>
      <w:lvlText w:val="%9."/>
      <w:lvlJc w:val="right"/>
      <w:pPr>
        <w:ind w:left="7255" w:hanging="180"/>
      </w:pPr>
    </w:lvl>
  </w:abstractNum>
  <w:abstractNum w:abstractNumId="10">
    <w:nsid w:val="1C977405"/>
    <w:multiLevelType w:val="hybridMultilevel"/>
    <w:tmpl w:val="827E99FA"/>
    <w:lvl w:ilvl="0" w:tplc="B8449FF0">
      <w:start w:val="1"/>
      <w:numFmt w:val="bullet"/>
      <w:lvlText w:val=""/>
      <w:lvlJc w:val="left"/>
      <w:pPr>
        <w:ind w:left="720" w:hanging="360"/>
      </w:pPr>
      <w:rPr>
        <w:rFonts w:ascii="Symbol" w:hAnsi="Symbol" w:hint="default"/>
        <w:color w:val="1F3864" w:themeColor="accent1"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F2E703A"/>
    <w:multiLevelType w:val="multilevel"/>
    <w:tmpl w:val="B31CD68C"/>
    <w:lvl w:ilvl="0">
      <w:start w:val="5"/>
      <w:numFmt w:val="decimal"/>
      <w:lvlText w:val="%1."/>
      <w:lvlJc w:val="left"/>
      <w:pPr>
        <w:ind w:left="450" w:hanging="450"/>
      </w:pPr>
      <w:rPr>
        <w:rFonts w:hint="default"/>
      </w:rPr>
    </w:lvl>
    <w:lvl w:ilvl="1">
      <w:start w:val="6"/>
      <w:numFmt w:val="decimal"/>
      <w:lvlText w:val="%1.%2."/>
      <w:lvlJc w:val="left"/>
      <w:pPr>
        <w:ind w:left="1429"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2244516E"/>
    <w:multiLevelType w:val="hybridMultilevel"/>
    <w:tmpl w:val="461E4864"/>
    <w:lvl w:ilvl="0" w:tplc="B8449FF0">
      <w:start w:val="1"/>
      <w:numFmt w:val="bullet"/>
      <w:lvlText w:val=""/>
      <w:lvlJc w:val="left"/>
      <w:pPr>
        <w:ind w:left="720" w:hanging="360"/>
      </w:pPr>
      <w:rPr>
        <w:rFonts w:ascii="Symbol" w:hAnsi="Symbol" w:hint="default"/>
        <w:color w:val="1F3864" w:themeColor="accent1"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4E5245D"/>
    <w:multiLevelType w:val="hybridMultilevel"/>
    <w:tmpl w:val="8612E986"/>
    <w:lvl w:ilvl="0" w:tplc="240A000F">
      <w:start w:val="1"/>
      <w:numFmt w:val="decimal"/>
      <w:lvlText w:val="%1."/>
      <w:lvlJc w:val="left"/>
      <w:pPr>
        <w:ind w:left="1287"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14">
    <w:nsid w:val="2E3A1D81"/>
    <w:multiLevelType w:val="hybridMultilevel"/>
    <w:tmpl w:val="68BC7E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2DA246B"/>
    <w:multiLevelType w:val="hybridMultilevel"/>
    <w:tmpl w:val="8B0E3820"/>
    <w:lvl w:ilvl="0" w:tplc="ABFA14F0">
      <w:start w:val="1"/>
      <w:numFmt w:val="decimal"/>
      <w:lvlText w:val="%1."/>
      <w:lvlJc w:val="left"/>
      <w:pPr>
        <w:ind w:left="720" w:hanging="360"/>
      </w:pPr>
      <w:rPr>
        <w:rFonts w:ascii="Arial"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4BD69EE"/>
    <w:multiLevelType w:val="hybridMultilevel"/>
    <w:tmpl w:val="6C1A942E"/>
    <w:lvl w:ilvl="0" w:tplc="7B6074E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8956C69"/>
    <w:multiLevelType w:val="hybridMultilevel"/>
    <w:tmpl w:val="64544818"/>
    <w:lvl w:ilvl="0" w:tplc="47E0BAD0">
      <w:start w:val="3"/>
      <w:numFmt w:val="bullet"/>
      <w:lvlText w:val=""/>
      <w:lvlJc w:val="left"/>
      <w:pPr>
        <w:ind w:left="360" w:hanging="360"/>
      </w:pPr>
      <w:rPr>
        <w:rFonts w:ascii="Symbol" w:eastAsia="Times New Roman" w:hAnsi="Symbo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38FB4400"/>
    <w:multiLevelType w:val="hybridMultilevel"/>
    <w:tmpl w:val="0B7CDE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A823C3C"/>
    <w:multiLevelType w:val="hybridMultilevel"/>
    <w:tmpl w:val="F17248C0"/>
    <w:lvl w:ilvl="0" w:tplc="2826A4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ABB5996"/>
    <w:multiLevelType w:val="hybridMultilevel"/>
    <w:tmpl w:val="2F0073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21">
    <w:nsid w:val="3C3860A5"/>
    <w:multiLevelType w:val="hybridMultilevel"/>
    <w:tmpl w:val="C66216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22">
    <w:nsid w:val="3E1030B6"/>
    <w:multiLevelType w:val="multilevel"/>
    <w:tmpl w:val="E6BC45A8"/>
    <w:lvl w:ilvl="0">
      <w:start w:val="5"/>
      <w:numFmt w:val="decimal"/>
      <w:lvlText w:val="%1."/>
      <w:lvlJc w:val="left"/>
      <w:pPr>
        <w:ind w:left="360" w:hanging="360"/>
      </w:pPr>
      <w:rPr>
        <w:rFonts w:cstheme="minorHAnsi" w:hint="default"/>
        <w:b/>
        <w:color w:val="1F3864" w:themeColor="accent1" w:themeShade="80"/>
        <w:sz w:val="20"/>
      </w:rPr>
    </w:lvl>
    <w:lvl w:ilvl="1">
      <w:start w:val="8"/>
      <w:numFmt w:val="decimal"/>
      <w:lvlText w:val="%1.%2."/>
      <w:lvlJc w:val="left"/>
      <w:pPr>
        <w:ind w:left="1931" w:hanging="720"/>
      </w:pPr>
      <w:rPr>
        <w:rFonts w:cstheme="minorHAnsi" w:hint="default"/>
        <w:b/>
        <w:color w:val="1F3864" w:themeColor="accent1" w:themeShade="80"/>
        <w:sz w:val="20"/>
      </w:rPr>
    </w:lvl>
    <w:lvl w:ilvl="2">
      <w:start w:val="1"/>
      <w:numFmt w:val="decimal"/>
      <w:lvlText w:val="%1.%2.%3."/>
      <w:lvlJc w:val="left"/>
      <w:pPr>
        <w:ind w:left="3142" w:hanging="720"/>
      </w:pPr>
      <w:rPr>
        <w:rFonts w:cstheme="minorHAnsi" w:hint="default"/>
        <w:b/>
        <w:color w:val="1F3864" w:themeColor="accent1" w:themeShade="80"/>
        <w:sz w:val="20"/>
      </w:rPr>
    </w:lvl>
    <w:lvl w:ilvl="3">
      <w:start w:val="1"/>
      <w:numFmt w:val="decimal"/>
      <w:lvlText w:val="%1.%2.%3.%4."/>
      <w:lvlJc w:val="left"/>
      <w:pPr>
        <w:ind w:left="4713" w:hanging="1080"/>
      </w:pPr>
      <w:rPr>
        <w:rFonts w:cstheme="minorHAnsi" w:hint="default"/>
        <w:b/>
        <w:color w:val="1F3864" w:themeColor="accent1" w:themeShade="80"/>
        <w:sz w:val="20"/>
      </w:rPr>
    </w:lvl>
    <w:lvl w:ilvl="4">
      <w:start w:val="1"/>
      <w:numFmt w:val="decimal"/>
      <w:lvlText w:val="%1.%2.%3.%4.%5."/>
      <w:lvlJc w:val="left"/>
      <w:pPr>
        <w:ind w:left="5924" w:hanging="1080"/>
      </w:pPr>
      <w:rPr>
        <w:rFonts w:cstheme="minorHAnsi" w:hint="default"/>
        <w:b/>
        <w:color w:val="1F3864" w:themeColor="accent1" w:themeShade="80"/>
        <w:sz w:val="20"/>
      </w:rPr>
    </w:lvl>
    <w:lvl w:ilvl="5">
      <w:start w:val="1"/>
      <w:numFmt w:val="decimal"/>
      <w:lvlText w:val="%1.%2.%3.%4.%5.%6."/>
      <w:lvlJc w:val="left"/>
      <w:pPr>
        <w:ind w:left="7495" w:hanging="1440"/>
      </w:pPr>
      <w:rPr>
        <w:rFonts w:cstheme="minorHAnsi" w:hint="default"/>
        <w:b/>
        <w:color w:val="1F3864" w:themeColor="accent1" w:themeShade="80"/>
        <w:sz w:val="20"/>
      </w:rPr>
    </w:lvl>
    <w:lvl w:ilvl="6">
      <w:start w:val="1"/>
      <w:numFmt w:val="decimal"/>
      <w:lvlText w:val="%1.%2.%3.%4.%5.%6.%7."/>
      <w:lvlJc w:val="left"/>
      <w:pPr>
        <w:ind w:left="9066" w:hanging="1800"/>
      </w:pPr>
      <w:rPr>
        <w:rFonts w:cstheme="minorHAnsi" w:hint="default"/>
        <w:b/>
        <w:color w:val="1F3864" w:themeColor="accent1" w:themeShade="80"/>
        <w:sz w:val="20"/>
      </w:rPr>
    </w:lvl>
    <w:lvl w:ilvl="7">
      <w:start w:val="1"/>
      <w:numFmt w:val="decimal"/>
      <w:lvlText w:val="%1.%2.%3.%4.%5.%6.%7.%8."/>
      <w:lvlJc w:val="left"/>
      <w:pPr>
        <w:ind w:left="10277" w:hanging="1800"/>
      </w:pPr>
      <w:rPr>
        <w:rFonts w:cstheme="minorHAnsi" w:hint="default"/>
        <w:b/>
        <w:color w:val="1F3864" w:themeColor="accent1" w:themeShade="80"/>
        <w:sz w:val="20"/>
      </w:rPr>
    </w:lvl>
    <w:lvl w:ilvl="8">
      <w:start w:val="1"/>
      <w:numFmt w:val="decimal"/>
      <w:lvlText w:val="%1.%2.%3.%4.%5.%6.%7.%8.%9."/>
      <w:lvlJc w:val="left"/>
      <w:pPr>
        <w:ind w:left="11848" w:hanging="2160"/>
      </w:pPr>
      <w:rPr>
        <w:rFonts w:cstheme="minorHAnsi" w:hint="default"/>
        <w:b/>
        <w:color w:val="1F3864" w:themeColor="accent1" w:themeShade="80"/>
        <w:sz w:val="20"/>
      </w:rPr>
    </w:lvl>
  </w:abstractNum>
  <w:abstractNum w:abstractNumId="23">
    <w:nsid w:val="4096095E"/>
    <w:multiLevelType w:val="hybridMultilevel"/>
    <w:tmpl w:val="F6D63352"/>
    <w:lvl w:ilvl="0" w:tplc="466ACA7E">
      <w:start w:val="1"/>
      <w:numFmt w:val="lowerLetter"/>
      <w:lvlText w:val="%1)"/>
      <w:lvlJc w:val="left"/>
      <w:pPr>
        <w:ind w:left="360" w:hanging="360"/>
      </w:pPr>
      <w:rPr>
        <w:rFonts w:hint="default"/>
        <w:b/>
        <w:bCs/>
        <w:color w:val="2F5496" w:themeColor="accent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2305A72"/>
    <w:multiLevelType w:val="hybridMultilevel"/>
    <w:tmpl w:val="D9985CA0"/>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4401300B"/>
    <w:multiLevelType w:val="hybridMultilevel"/>
    <w:tmpl w:val="B442C5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26">
    <w:nsid w:val="45AF7B38"/>
    <w:multiLevelType w:val="hybridMultilevel"/>
    <w:tmpl w:val="E3D030C2"/>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470E1B0F"/>
    <w:multiLevelType w:val="hybridMultilevel"/>
    <w:tmpl w:val="E0666248"/>
    <w:lvl w:ilvl="0" w:tplc="240A000F">
      <w:start w:val="1"/>
      <w:numFmt w:val="decimal"/>
      <w:lvlText w:val="%1."/>
      <w:lvlJc w:val="left"/>
      <w:pPr>
        <w:ind w:left="720" w:hanging="360"/>
      </w:pPr>
      <w:rPr>
        <w:rFonts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471F4360"/>
    <w:multiLevelType w:val="hybridMultilevel"/>
    <w:tmpl w:val="9E7C9882"/>
    <w:lvl w:ilvl="0" w:tplc="5C14E39A">
      <w:start w:val="1"/>
      <w:numFmt w:val="lowerLetter"/>
      <w:lvlText w:val="%1)"/>
      <w:lvlJc w:val="left"/>
      <w:pPr>
        <w:ind w:left="928" w:hanging="360"/>
      </w:pPr>
      <w:rPr>
        <w:rFonts w:hint="default"/>
        <w:b/>
        <w:bCs/>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29">
    <w:nsid w:val="48372C8F"/>
    <w:multiLevelType w:val="hybridMultilevel"/>
    <w:tmpl w:val="3D44B1D8"/>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0">
    <w:nsid w:val="493B14C0"/>
    <w:multiLevelType w:val="hybridMultilevel"/>
    <w:tmpl w:val="676AC970"/>
    <w:lvl w:ilvl="0" w:tplc="B8449FF0">
      <w:start w:val="1"/>
      <w:numFmt w:val="bullet"/>
      <w:lvlText w:val=""/>
      <w:lvlJc w:val="left"/>
      <w:pPr>
        <w:ind w:left="720" w:hanging="360"/>
      </w:pPr>
      <w:rPr>
        <w:rFonts w:ascii="Symbol" w:hAnsi="Symbol" w:hint="default"/>
        <w:color w:val="1F3864" w:themeColor="accent1"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4BAC38A9"/>
    <w:multiLevelType w:val="hybridMultilevel"/>
    <w:tmpl w:val="43CC7C78"/>
    <w:lvl w:ilvl="0" w:tplc="D37492A4">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4DBD7E74"/>
    <w:multiLevelType w:val="hybridMultilevel"/>
    <w:tmpl w:val="008E9F20"/>
    <w:lvl w:ilvl="0" w:tplc="746CE4C8">
      <w:start w:val="1"/>
      <w:numFmt w:val="decimal"/>
      <w:lvlText w:val="%1."/>
      <w:lvlJc w:val="left"/>
      <w:pPr>
        <w:ind w:left="720" w:hanging="360"/>
      </w:pPr>
      <w:rPr>
        <w:rFonts w:cstheme="minorHAnsi" w:hint="default"/>
        <w:b/>
        <w:color w:val="2F5496" w:themeColor="accent1" w:themeShade="BF"/>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52BA01E5"/>
    <w:multiLevelType w:val="hybridMultilevel"/>
    <w:tmpl w:val="ADDE8F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3662C34"/>
    <w:multiLevelType w:val="hybridMultilevel"/>
    <w:tmpl w:val="10A288A2"/>
    <w:lvl w:ilvl="0" w:tplc="B8449FF0">
      <w:start w:val="1"/>
      <w:numFmt w:val="bullet"/>
      <w:lvlText w:val=""/>
      <w:lvlJc w:val="left"/>
      <w:pPr>
        <w:ind w:left="720" w:hanging="360"/>
      </w:pPr>
      <w:rPr>
        <w:rFonts w:ascii="Symbol" w:hAnsi="Symbol" w:hint="default"/>
        <w:color w:val="1F3864" w:themeColor="accent1"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61E07CD"/>
    <w:multiLevelType w:val="hybridMultilevel"/>
    <w:tmpl w:val="DE2E1944"/>
    <w:lvl w:ilvl="0" w:tplc="92A663EE">
      <w:start w:val="1"/>
      <w:numFmt w:val="bullet"/>
      <w:lvlText w:val=""/>
      <w:lvlJc w:val="left"/>
      <w:pPr>
        <w:ind w:left="720" w:hanging="360"/>
      </w:pPr>
      <w:rPr>
        <w:rFonts w:ascii="Wingdings" w:hAnsi="Wingdings"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36">
    <w:nsid w:val="599906B4"/>
    <w:multiLevelType w:val="hybridMultilevel"/>
    <w:tmpl w:val="B30EBE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5EC16992"/>
    <w:multiLevelType w:val="hybridMultilevel"/>
    <w:tmpl w:val="570A72DA"/>
    <w:lvl w:ilvl="0" w:tplc="AD5C10EE">
      <w:start w:val="1"/>
      <w:numFmt w:val="bullet"/>
      <w:lvlText w:val=""/>
      <w:lvlJc w:val="left"/>
      <w:pPr>
        <w:ind w:left="780" w:hanging="360"/>
      </w:pPr>
      <w:rPr>
        <w:rFonts w:ascii="Symbol" w:hAnsi="Symbol" w:hint="default"/>
        <w:color w:val="2F5496" w:themeColor="accent1" w:themeShade="BF"/>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8">
    <w:nsid w:val="60A3253A"/>
    <w:multiLevelType w:val="hybridMultilevel"/>
    <w:tmpl w:val="11F41CAE"/>
    <w:lvl w:ilvl="0" w:tplc="B8449FF0">
      <w:start w:val="1"/>
      <w:numFmt w:val="bullet"/>
      <w:lvlText w:val=""/>
      <w:lvlJc w:val="left"/>
      <w:pPr>
        <w:ind w:left="720" w:hanging="360"/>
      </w:pPr>
      <w:rPr>
        <w:rFonts w:ascii="Symbol" w:hAnsi="Symbol" w:hint="default"/>
        <w:color w:val="1F3864" w:themeColor="accent1"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62883B4F"/>
    <w:multiLevelType w:val="hybridMultilevel"/>
    <w:tmpl w:val="5372D0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659667A7"/>
    <w:multiLevelType w:val="hybridMultilevel"/>
    <w:tmpl w:val="913E67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41">
    <w:nsid w:val="662451EB"/>
    <w:multiLevelType w:val="multilevel"/>
    <w:tmpl w:val="0B8E8C6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68F36FE2"/>
    <w:multiLevelType w:val="hybridMultilevel"/>
    <w:tmpl w:val="736A49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6F835707"/>
    <w:multiLevelType w:val="hybridMultilevel"/>
    <w:tmpl w:val="CFF0C2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nsid w:val="6F876E3F"/>
    <w:multiLevelType w:val="hybridMultilevel"/>
    <w:tmpl w:val="BB2ABD60"/>
    <w:lvl w:ilvl="0" w:tplc="62AA8924">
      <w:start w:val="1"/>
      <w:numFmt w:val="lowerLetter"/>
      <w:lvlText w:val="%1)"/>
      <w:lvlJc w:val="left"/>
      <w:pPr>
        <w:ind w:left="720" w:hanging="360"/>
      </w:pPr>
      <w:rPr>
        <w:rFonts w:cstheme="minorHAnsi" w:hint="default"/>
        <w:b/>
        <w:color w:val="2F5496" w:themeColor="accent1" w:themeShade="BF"/>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72905233"/>
    <w:multiLevelType w:val="hybridMultilevel"/>
    <w:tmpl w:val="45F666BA"/>
    <w:lvl w:ilvl="0" w:tplc="240A000D">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cs="Wingdings" w:hint="default"/>
      </w:rPr>
    </w:lvl>
    <w:lvl w:ilvl="3" w:tplc="240A0001" w:tentative="1">
      <w:start w:val="1"/>
      <w:numFmt w:val="bullet"/>
      <w:lvlText w:val=""/>
      <w:lvlJc w:val="left"/>
      <w:pPr>
        <w:ind w:left="3447" w:hanging="360"/>
      </w:pPr>
      <w:rPr>
        <w:rFonts w:ascii="Symbol" w:hAnsi="Symbol" w:cs="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cs="Wingdings" w:hint="default"/>
      </w:rPr>
    </w:lvl>
    <w:lvl w:ilvl="6" w:tplc="240A0001" w:tentative="1">
      <w:start w:val="1"/>
      <w:numFmt w:val="bullet"/>
      <w:lvlText w:val=""/>
      <w:lvlJc w:val="left"/>
      <w:pPr>
        <w:ind w:left="5607" w:hanging="360"/>
      </w:pPr>
      <w:rPr>
        <w:rFonts w:ascii="Symbol" w:hAnsi="Symbol" w:cs="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cs="Wingdings" w:hint="default"/>
      </w:rPr>
    </w:lvl>
  </w:abstractNum>
  <w:abstractNum w:abstractNumId="46">
    <w:nsid w:val="766F5D07"/>
    <w:multiLevelType w:val="multilevel"/>
    <w:tmpl w:val="FD9E384A"/>
    <w:lvl w:ilvl="0">
      <w:start w:val="1"/>
      <w:numFmt w:val="decimal"/>
      <w:lvlText w:val="%1."/>
      <w:lvlJc w:val="left"/>
      <w:pPr>
        <w:ind w:left="720" w:hanging="360"/>
      </w:pPr>
      <w:rPr>
        <w:rFonts w:hint="default"/>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nsid w:val="7D697A98"/>
    <w:multiLevelType w:val="hybridMultilevel"/>
    <w:tmpl w:val="B3D20FF8"/>
    <w:lvl w:ilvl="0" w:tplc="EC7AA252">
      <w:start w:val="1"/>
      <w:numFmt w:val="lowerLetter"/>
      <w:lvlText w:val="(%1)"/>
      <w:lvlJc w:val="left"/>
      <w:pPr>
        <w:ind w:left="720" w:hanging="360"/>
      </w:pPr>
      <w:rPr>
        <w:rFonts w:hint="default"/>
        <w:b/>
        <w:bCs/>
        <w:color w:val="2F5496" w:themeColor="accent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nsid w:val="7E2E0E6C"/>
    <w:multiLevelType w:val="hybridMultilevel"/>
    <w:tmpl w:val="F0C431E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num w:numId="1">
    <w:abstractNumId w:val="46"/>
  </w:num>
  <w:num w:numId="2">
    <w:abstractNumId w:val="6"/>
  </w:num>
  <w:num w:numId="3">
    <w:abstractNumId w:val="36"/>
  </w:num>
  <w:num w:numId="4">
    <w:abstractNumId w:val="18"/>
  </w:num>
  <w:num w:numId="5">
    <w:abstractNumId w:val="29"/>
  </w:num>
  <w:num w:numId="6">
    <w:abstractNumId w:val="47"/>
  </w:num>
  <w:num w:numId="7">
    <w:abstractNumId w:val="38"/>
  </w:num>
  <w:num w:numId="8">
    <w:abstractNumId w:val="37"/>
  </w:num>
  <w:num w:numId="9">
    <w:abstractNumId w:val="31"/>
  </w:num>
  <w:num w:numId="10">
    <w:abstractNumId w:val="11"/>
  </w:num>
  <w:num w:numId="11">
    <w:abstractNumId w:val="2"/>
  </w:num>
  <w:num w:numId="12">
    <w:abstractNumId w:val="22"/>
  </w:num>
  <w:num w:numId="13">
    <w:abstractNumId w:val="30"/>
  </w:num>
  <w:num w:numId="14">
    <w:abstractNumId w:val="34"/>
  </w:num>
  <w:num w:numId="15">
    <w:abstractNumId w:val="10"/>
  </w:num>
  <w:num w:numId="16">
    <w:abstractNumId w:val="12"/>
  </w:num>
  <w:num w:numId="17">
    <w:abstractNumId w:val="28"/>
  </w:num>
  <w:num w:numId="18">
    <w:abstractNumId w:val="14"/>
  </w:num>
  <w:num w:numId="19">
    <w:abstractNumId w:val="0"/>
  </w:num>
  <w:num w:numId="20">
    <w:abstractNumId w:val="39"/>
  </w:num>
  <w:num w:numId="21">
    <w:abstractNumId w:val="42"/>
  </w:num>
  <w:num w:numId="22">
    <w:abstractNumId w:val="43"/>
  </w:num>
  <w:num w:numId="23">
    <w:abstractNumId w:val="13"/>
  </w:num>
  <w:num w:numId="24">
    <w:abstractNumId w:val="20"/>
  </w:num>
  <w:num w:numId="25">
    <w:abstractNumId w:val="48"/>
  </w:num>
  <w:num w:numId="26">
    <w:abstractNumId w:val="4"/>
  </w:num>
  <w:num w:numId="27">
    <w:abstractNumId w:val="40"/>
  </w:num>
  <w:num w:numId="28">
    <w:abstractNumId w:val="26"/>
  </w:num>
  <w:num w:numId="29">
    <w:abstractNumId w:val="35"/>
  </w:num>
  <w:num w:numId="30">
    <w:abstractNumId w:val="45"/>
  </w:num>
  <w:num w:numId="31">
    <w:abstractNumId w:val="32"/>
  </w:num>
  <w:num w:numId="32">
    <w:abstractNumId w:val="44"/>
  </w:num>
  <w:num w:numId="33">
    <w:abstractNumId w:val="8"/>
  </w:num>
  <w:num w:numId="34">
    <w:abstractNumId w:val="27"/>
  </w:num>
  <w:num w:numId="35">
    <w:abstractNumId w:val="41"/>
  </w:num>
  <w:num w:numId="36">
    <w:abstractNumId w:val="9"/>
  </w:num>
  <w:num w:numId="37">
    <w:abstractNumId w:val="23"/>
  </w:num>
  <w:num w:numId="38">
    <w:abstractNumId w:val="7"/>
  </w:num>
  <w:num w:numId="39">
    <w:abstractNumId w:val="21"/>
  </w:num>
  <w:num w:numId="40">
    <w:abstractNumId w:val="25"/>
  </w:num>
  <w:num w:numId="41">
    <w:abstractNumId w:val="16"/>
  </w:num>
  <w:num w:numId="42">
    <w:abstractNumId w:val="19"/>
  </w:num>
  <w:num w:numId="43">
    <w:abstractNumId w:val="1"/>
  </w:num>
  <w:num w:numId="44">
    <w:abstractNumId w:val="17"/>
  </w:num>
  <w:num w:numId="45">
    <w:abstractNumId w:val="15"/>
  </w:num>
  <w:num w:numId="46">
    <w:abstractNumId w:val="33"/>
  </w:num>
  <w:num w:numId="47">
    <w:abstractNumId w:val="5"/>
  </w:num>
  <w:num w:numId="48">
    <w:abstractNumId w:val="3"/>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6D3"/>
    <w:rsid w:val="00006CBF"/>
    <w:rsid w:val="00007355"/>
    <w:rsid w:val="00010053"/>
    <w:rsid w:val="0001623C"/>
    <w:rsid w:val="00023E0B"/>
    <w:rsid w:val="00024986"/>
    <w:rsid w:val="00027E56"/>
    <w:rsid w:val="00037673"/>
    <w:rsid w:val="000440CF"/>
    <w:rsid w:val="0004552A"/>
    <w:rsid w:val="000576F8"/>
    <w:rsid w:val="00076E96"/>
    <w:rsid w:val="0009410C"/>
    <w:rsid w:val="000A7491"/>
    <w:rsid w:val="000B2E0A"/>
    <w:rsid w:val="000B6C82"/>
    <w:rsid w:val="000C6A72"/>
    <w:rsid w:val="000D0B61"/>
    <w:rsid w:val="001379B5"/>
    <w:rsid w:val="001379CE"/>
    <w:rsid w:val="00143850"/>
    <w:rsid w:val="0014561C"/>
    <w:rsid w:val="00155A49"/>
    <w:rsid w:val="00156758"/>
    <w:rsid w:val="00162C11"/>
    <w:rsid w:val="00164F23"/>
    <w:rsid w:val="0017498A"/>
    <w:rsid w:val="00186110"/>
    <w:rsid w:val="00192442"/>
    <w:rsid w:val="001B05E5"/>
    <w:rsid w:val="001B6A9B"/>
    <w:rsid w:val="001D1B87"/>
    <w:rsid w:val="001D3C8A"/>
    <w:rsid w:val="001D4FE0"/>
    <w:rsid w:val="001E77DF"/>
    <w:rsid w:val="00222CD0"/>
    <w:rsid w:val="00224740"/>
    <w:rsid w:val="00233AFA"/>
    <w:rsid w:val="002566E7"/>
    <w:rsid w:val="0026665F"/>
    <w:rsid w:val="00283A88"/>
    <w:rsid w:val="00284509"/>
    <w:rsid w:val="002B084E"/>
    <w:rsid w:val="002E1F3A"/>
    <w:rsid w:val="002E2081"/>
    <w:rsid w:val="002E3739"/>
    <w:rsid w:val="002E6D67"/>
    <w:rsid w:val="002F5C75"/>
    <w:rsid w:val="003100CA"/>
    <w:rsid w:val="003125EB"/>
    <w:rsid w:val="00315204"/>
    <w:rsid w:val="003315B3"/>
    <w:rsid w:val="003365AD"/>
    <w:rsid w:val="00340017"/>
    <w:rsid w:val="00347484"/>
    <w:rsid w:val="00353917"/>
    <w:rsid w:val="003635CF"/>
    <w:rsid w:val="00366305"/>
    <w:rsid w:val="00381FBE"/>
    <w:rsid w:val="003939FF"/>
    <w:rsid w:val="00396D06"/>
    <w:rsid w:val="003A3083"/>
    <w:rsid w:val="003A5ADD"/>
    <w:rsid w:val="003B78DA"/>
    <w:rsid w:val="003C12DC"/>
    <w:rsid w:val="003E71F2"/>
    <w:rsid w:val="003F0687"/>
    <w:rsid w:val="003F4D2D"/>
    <w:rsid w:val="0040349B"/>
    <w:rsid w:val="00406A15"/>
    <w:rsid w:val="00412191"/>
    <w:rsid w:val="00415BCB"/>
    <w:rsid w:val="00434322"/>
    <w:rsid w:val="00480F16"/>
    <w:rsid w:val="00487467"/>
    <w:rsid w:val="004B0C5A"/>
    <w:rsid w:val="004C6BA9"/>
    <w:rsid w:val="004F20FB"/>
    <w:rsid w:val="005044FA"/>
    <w:rsid w:val="00505725"/>
    <w:rsid w:val="005100F6"/>
    <w:rsid w:val="00513B61"/>
    <w:rsid w:val="0054285F"/>
    <w:rsid w:val="00543C41"/>
    <w:rsid w:val="0055380E"/>
    <w:rsid w:val="005547D2"/>
    <w:rsid w:val="005610B3"/>
    <w:rsid w:val="0056457A"/>
    <w:rsid w:val="00565752"/>
    <w:rsid w:val="005671E1"/>
    <w:rsid w:val="00571D24"/>
    <w:rsid w:val="00572790"/>
    <w:rsid w:val="0057460B"/>
    <w:rsid w:val="00580B70"/>
    <w:rsid w:val="00585EBB"/>
    <w:rsid w:val="005A121E"/>
    <w:rsid w:val="005A38FF"/>
    <w:rsid w:val="005D341C"/>
    <w:rsid w:val="005D663A"/>
    <w:rsid w:val="005E6AF4"/>
    <w:rsid w:val="005E74F9"/>
    <w:rsid w:val="0060670E"/>
    <w:rsid w:val="00615CC5"/>
    <w:rsid w:val="00622FF0"/>
    <w:rsid w:val="00624112"/>
    <w:rsid w:val="00624710"/>
    <w:rsid w:val="00640C5E"/>
    <w:rsid w:val="0064267D"/>
    <w:rsid w:val="00643E95"/>
    <w:rsid w:val="00644050"/>
    <w:rsid w:val="006461DE"/>
    <w:rsid w:val="00653487"/>
    <w:rsid w:val="006556AE"/>
    <w:rsid w:val="00656AE8"/>
    <w:rsid w:val="006575FB"/>
    <w:rsid w:val="00660B4A"/>
    <w:rsid w:val="006652BE"/>
    <w:rsid w:val="00671DAB"/>
    <w:rsid w:val="006760F0"/>
    <w:rsid w:val="0069769D"/>
    <w:rsid w:val="006A2B2A"/>
    <w:rsid w:val="006A31E2"/>
    <w:rsid w:val="006A35A2"/>
    <w:rsid w:val="006B274C"/>
    <w:rsid w:val="006C401A"/>
    <w:rsid w:val="006C4FE3"/>
    <w:rsid w:val="006C757E"/>
    <w:rsid w:val="006E0FC8"/>
    <w:rsid w:val="006E4E7E"/>
    <w:rsid w:val="006F37BA"/>
    <w:rsid w:val="006F4559"/>
    <w:rsid w:val="006F5843"/>
    <w:rsid w:val="006F768B"/>
    <w:rsid w:val="00703242"/>
    <w:rsid w:val="00711C90"/>
    <w:rsid w:val="00712511"/>
    <w:rsid w:val="0071607F"/>
    <w:rsid w:val="007251DC"/>
    <w:rsid w:val="00726596"/>
    <w:rsid w:val="007342CC"/>
    <w:rsid w:val="00750FA7"/>
    <w:rsid w:val="0076010E"/>
    <w:rsid w:val="007630E3"/>
    <w:rsid w:val="007A3BC5"/>
    <w:rsid w:val="007A6BB2"/>
    <w:rsid w:val="007C4CDE"/>
    <w:rsid w:val="007C5544"/>
    <w:rsid w:val="007D1B9D"/>
    <w:rsid w:val="007D5C5E"/>
    <w:rsid w:val="007E6B93"/>
    <w:rsid w:val="007E7B91"/>
    <w:rsid w:val="007E7D4B"/>
    <w:rsid w:val="007F4F2C"/>
    <w:rsid w:val="007F7939"/>
    <w:rsid w:val="008039B2"/>
    <w:rsid w:val="00834829"/>
    <w:rsid w:val="00842542"/>
    <w:rsid w:val="0085676A"/>
    <w:rsid w:val="008569F6"/>
    <w:rsid w:val="00860189"/>
    <w:rsid w:val="00873F21"/>
    <w:rsid w:val="0088420D"/>
    <w:rsid w:val="008902BD"/>
    <w:rsid w:val="00891D85"/>
    <w:rsid w:val="008A0209"/>
    <w:rsid w:val="008A230F"/>
    <w:rsid w:val="008A5705"/>
    <w:rsid w:val="008B00DA"/>
    <w:rsid w:val="008B5667"/>
    <w:rsid w:val="008D5965"/>
    <w:rsid w:val="008E35F6"/>
    <w:rsid w:val="008F5F16"/>
    <w:rsid w:val="008F74C2"/>
    <w:rsid w:val="008F7D29"/>
    <w:rsid w:val="00901D54"/>
    <w:rsid w:val="0092225B"/>
    <w:rsid w:val="00927C55"/>
    <w:rsid w:val="00931961"/>
    <w:rsid w:val="009432A6"/>
    <w:rsid w:val="0096131C"/>
    <w:rsid w:val="00963171"/>
    <w:rsid w:val="00974D27"/>
    <w:rsid w:val="0098167D"/>
    <w:rsid w:val="00995AE6"/>
    <w:rsid w:val="009A2F07"/>
    <w:rsid w:val="009C0245"/>
    <w:rsid w:val="009C2B08"/>
    <w:rsid w:val="009D18E7"/>
    <w:rsid w:val="009F594A"/>
    <w:rsid w:val="00A06129"/>
    <w:rsid w:val="00A14203"/>
    <w:rsid w:val="00A14E0D"/>
    <w:rsid w:val="00A20494"/>
    <w:rsid w:val="00A266BA"/>
    <w:rsid w:val="00A27227"/>
    <w:rsid w:val="00A41B16"/>
    <w:rsid w:val="00A432B0"/>
    <w:rsid w:val="00A45294"/>
    <w:rsid w:val="00A52371"/>
    <w:rsid w:val="00A52806"/>
    <w:rsid w:val="00A534AC"/>
    <w:rsid w:val="00A6225D"/>
    <w:rsid w:val="00A64C6D"/>
    <w:rsid w:val="00A66765"/>
    <w:rsid w:val="00A7499E"/>
    <w:rsid w:val="00A7645E"/>
    <w:rsid w:val="00A85E02"/>
    <w:rsid w:val="00A85E79"/>
    <w:rsid w:val="00A90517"/>
    <w:rsid w:val="00A92158"/>
    <w:rsid w:val="00A96230"/>
    <w:rsid w:val="00AA372D"/>
    <w:rsid w:val="00AC3CF6"/>
    <w:rsid w:val="00AC3D4C"/>
    <w:rsid w:val="00AD3E48"/>
    <w:rsid w:val="00AD6FC1"/>
    <w:rsid w:val="00B1122C"/>
    <w:rsid w:val="00B13C97"/>
    <w:rsid w:val="00B23AAE"/>
    <w:rsid w:val="00B24DBB"/>
    <w:rsid w:val="00B30B59"/>
    <w:rsid w:val="00B404C8"/>
    <w:rsid w:val="00B42CAE"/>
    <w:rsid w:val="00B448CC"/>
    <w:rsid w:val="00B44FFE"/>
    <w:rsid w:val="00B4605E"/>
    <w:rsid w:val="00B4619B"/>
    <w:rsid w:val="00B50352"/>
    <w:rsid w:val="00B57F3D"/>
    <w:rsid w:val="00B63325"/>
    <w:rsid w:val="00B6668E"/>
    <w:rsid w:val="00B7128E"/>
    <w:rsid w:val="00B716D3"/>
    <w:rsid w:val="00B848FF"/>
    <w:rsid w:val="00B851B2"/>
    <w:rsid w:val="00B87A01"/>
    <w:rsid w:val="00BA6AF2"/>
    <w:rsid w:val="00BB1B46"/>
    <w:rsid w:val="00BC2D6A"/>
    <w:rsid w:val="00BC3F43"/>
    <w:rsid w:val="00BD005F"/>
    <w:rsid w:val="00BF279C"/>
    <w:rsid w:val="00BF3256"/>
    <w:rsid w:val="00BF37AC"/>
    <w:rsid w:val="00BF6141"/>
    <w:rsid w:val="00C03D1B"/>
    <w:rsid w:val="00C04225"/>
    <w:rsid w:val="00C14A64"/>
    <w:rsid w:val="00C16360"/>
    <w:rsid w:val="00C311A7"/>
    <w:rsid w:val="00C33321"/>
    <w:rsid w:val="00C33453"/>
    <w:rsid w:val="00C54392"/>
    <w:rsid w:val="00C62AB1"/>
    <w:rsid w:val="00C64788"/>
    <w:rsid w:val="00C7376F"/>
    <w:rsid w:val="00C741B5"/>
    <w:rsid w:val="00C75D1E"/>
    <w:rsid w:val="00C76115"/>
    <w:rsid w:val="00C9435E"/>
    <w:rsid w:val="00CA1984"/>
    <w:rsid w:val="00CB1A7C"/>
    <w:rsid w:val="00CE306B"/>
    <w:rsid w:val="00CE4CE5"/>
    <w:rsid w:val="00D00D91"/>
    <w:rsid w:val="00D0338F"/>
    <w:rsid w:val="00D04AA0"/>
    <w:rsid w:val="00D05BA1"/>
    <w:rsid w:val="00D15423"/>
    <w:rsid w:val="00D16781"/>
    <w:rsid w:val="00D238F8"/>
    <w:rsid w:val="00D24DC6"/>
    <w:rsid w:val="00D32DF0"/>
    <w:rsid w:val="00D40545"/>
    <w:rsid w:val="00D43C03"/>
    <w:rsid w:val="00D45A94"/>
    <w:rsid w:val="00D46DFC"/>
    <w:rsid w:val="00D51B87"/>
    <w:rsid w:val="00D6763C"/>
    <w:rsid w:val="00D86836"/>
    <w:rsid w:val="00DA40BF"/>
    <w:rsid w:val="00DB06A6"/>
    <w:rsid w:val="00DC09AC"/>
    <w:rsid w:val="00DC0E3B"/>
    <w:rsid w:val="00DC4846"/>
    <w:rsid w:val="00DD0210"/>
    <w:rsid w:val="00DD549F"/>
    <w:rsid w:val="00DF3C18"/>
    <w:rsid w:val="00E02A7D"/>
    <w:rsid w:val="00E11996"/>
    <w:rsid w:val="00E13EFD"/>
    <w:rsid w:val="00E141A7"/>
    <w:rsid w:val="00E17277"/>
    <w:rsid w:val="00E24CDF"/>
    <w:rsid w:val="00E30905"/>
    <w:rsid w:val="00E423F2"/>
    <w:rsid w:val="00E52E31"/>
    <w:rsid w:val="00E56B93"/>
    <w:rsid w:val="00E625B2"/>
    <w:rsid w:val="00E63D3B"/>
    <w:rsid w:val="00E731EC"/>
    <w:rsid w:val="00E8555A"/>
    <w:rsid w:val="00E85569"/>
    <w:rsid w:val="00E918AE"/>
    <w:rsid w:val="00EA1AD9"/>
    <w:rsid w:val="00EB127B"/>
    <w:rsid w:val="00EB156F"/>
    <w:rsid w:val="00EB1629"/>
    <w:rsid w:val="00EB67D3"/>
    <w:rsid w:val="00ED1D50"/>
    <w:rsid w:val="00EF03EF"/>
    <w:rsid w:val="00F0168E"/>
    <w:rsid w:val="00F03B46"/>
    <w:rsid w:val="00F110D0"/>
    <w:rsid w:val="00F250DF"/>
    <w:rsid w:val="00F2761F"/>
    <w:rsid w:val="00F3074A"/>
    <w:rsid w:val="00F33216"/>
    <w:rsid w:val="00F61D18"/>
    <w:rsid w:val="00F6555D"/>
    <w:rsid w:val="00F72DEA"/>
    <w:rsid w:val="00F73C9F"/>
    <w:rsid w:val="00F91185"/>
    <w:rsid w:val="00FA5875"/>
    <w:rsid w:val="00FB7FEA"/>
    <w:rsid w:val="00FC58FE"/>
    <w:rsid w:val="00FE04D4"/>
    <w:rsid w:val="00FE3E0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18EEF"/>
  <w15:chartTrackingRefBased/>
  <w15:docId w15:val="{6FB151AC-71C1-4F07-A888-62551F866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CO"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338F"/>
  </w:style>
  <w:style w:type="paragraph" w:styleId="Ttulo1">
    <w:name w:val="heading 1"/>
    <w:basedOn w:val="Normal"/>
    <w:next w:val="Normal"/>
    <w:link w:val="Ttulo1Car"/>
    <w:uiPriority w:val="9"/>
    <w:qFormat/>
    <w:rsid w:val="00D0338F"/>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0338F"/>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unhideWhenUsed/>
    <w:qFormat/>
    <w:rsid w:val="00D0338F"/>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D0338F"/>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0338F"/>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D0338F"/>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D0338F"/>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Ttulo8">
    <w:name w:val="heading 8"/>
    <w:basedOn w:val="Normal"/>
    <w:next w:val="Normal"/>
    <w:link w:val="Ttulo8Car"/>
    <w:uiPriority w:val="9"/>
    <w:semiHidden/>
    <w:unhideWhenUsed/>
    <w:qFormat/>
    <w:rsid w:val="00D0338F"/>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D0338F"/>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716D3"/>
    <w:pPr>
      <w:tabs>
        <w:tab w:val="center" w:pos="4419"/>
        <w:tab w:val="right" w:pos="8838"/>
      </w:tabs>
      <w:spacing w:after="0" w:line="240" w:lineRule="auto"/>
    </w:pPr>
  </w:style>
  <w:style w:type="character" w:customStyle="1" w:styleId="EncabezadoCar">
    <w:name w:val="Encabezado Car"/>
    <w:basedOn w:val="Fuentedeprrafopredeter"/>
    <w:link w:val="Encabezado"/>
    <w:rsid w:val="00B716D3"/>
  </w:style>
  <w:style w:type="paragraph" w:styleId="Piedepgina">
    <w:name w:val="footer"/>
    <w:basedOn w:val="Normal"/>
    <w:link w:val="PiedepginaCar"/>
    <w:uiPriority w:val="99"/>
    <w:unhideWhenUsed/>
    <w:rsid w:val="00B716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16D3"/>
  </w:style>
  <w:style w:type="paragraph" w:styleId="Sinespaciado">
    <w:name w:val="No Spacing"/>
    <w:link w:val="SinespaciadoCar"/>
    <w:uiPriority w:val="1"/>
    <w:qFormat/>
    <w:rsid w:val="00D0338F"/>
    <w:pPr>
      <w:spacing w:after="0" w:line="240" w:lineRule="auto"/>
    </w:pPr>
  </w:style>
  <w:style w:type="character" w:customStyle="1" w:styleId="SinespaciadoCar">
    <w:name w:val="Sin espaciado Car"/>
    <w:link w:val="Sinespaciado"/>
    <w:locked/>
    <w:rsid w:val="00406A15"/>
  </w:style>
  <w:style w:type="character" w:customStyle="1" w:styleId="Ttulo1Car">
    <w:name w:val="Título 1 Car"/>
    <w:basedOn w:val="Fuentedeprrafopredeter"/>
    <w:link w:val="Ttulo1"/>
    <w:uiPriority w:val="9"/>
    <w:rsid w:val="00D0338F"/>
    <w:rPr>
      <w:rFonts w:asciiTheme="majorHAnsi" w:eastAsiaTheme="majorEastAsia" w:hAnsiTheme="majorHAnsi" w:cstheme="majorBidi"/>
      <w:color w:val="2F5496" w:themeColor="accent1" w:themeShade="BF"/>
      <w:sz w:val="32"/>
      <w:szCs w:val="32"/>
    </w:rPr>
  </w:style>
  <w:style w:type="paragraph" w:styleId="Prrafodelista">
    <w:name w:val="List Paragraph"/>
    <w:aliases w:val="lp1,Bullet List,FooterText,Use Case List Paragraph"/>
    <w:basedOn w:val="Normal"/>
    <w:link w:val="PrrafodelistaCar"/>
    <w:uiPriority w:val="34"/>
    <w:qFormat/>
    <w:rsid w:val="00BA6AF2"/>
    <w:pPr>
      <w:ind w:left="720"/>
      <w:contextualSpacing/>
    </w:pPr>
  </w:style>
  <w:style w:type="character" w:customStyle="1" w:styleId="Ttulo2Car">
    <w:name w:val="Título 2 Car"/>
    <w:basedOn w:val="Fuentedeprrafopredeter"/>
    <w:link w:val="Ttulo2"/>
    <w:uiPriority w:val="9"/>
    <w:rsid w:val="00D0338F"/>
    <w:rPr>
      <w:rFonts w:asciiTheme="majorHAnsi" w:eastAsiaTheme="majorEastAsia" w:hAnsiTheme="majorHAnsi" w:cstheme="majorBidi"/>
      <w:color w:val="404040" w:themeColor="text1" w:themeTint="BF"/>
      <w:sz w:val="28"/>
      <w:szCs w:val="28"/>
    </w:rPr>
  </w:style>
  <w:style w:type="character" w:customStyle="1" w:styleId="Ttulo3Car">
    <w:name w:val="Título 3 Car"/>
    <w:basedOn w:val="Fuentedeprrafopredeter"/>
    <w:link w:val="Ttulo3"/>
    <w:uiPriority w:val="9"/>
    <w:rsid w:val="00D0338F"/>
    <w:rPr>
      <w:rFonts w:asciiTheme="majorHAnsi" w:eastAsiaTheme="majorEastAsia" w:hAnsiTheme="majorHAnsi" w:cstheme="majorBidi"/>
      <w:color w:val="44546A" w:themeColor="text2"/>
      <w:sz w:val="24"/>
      <w:szCs w:val="24"/>
    </w:rPr>
  </w:style>
  <w:style w:type="paragraph" w:styleId="Subttulo">
    <w:name w:val="Subtitle"/>
    <w:basedOn w:val="Normal"/>
    <w:next w:val="Normal"/>
    <w:link w:val="SubttuloCar"/>
    <w:uiPriority w:val="11"/>
    <w:qFormat/>
    <w:rsid w:val="00D0338F"/>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0338F"/>
    <w:rPr>
      <w:rFonts w:asciiTheme="majorHAnsi" w:eastAsiaTheme="majorEastAsia" w:hAnsiTheme="majorHAnsi" w:cstheme="majorBidi"/>
      <w:sz w:val="24"/>
      <w:szCs w:val="24"/>
    </w:rPr>
  </w:style>
  <w:style w:type="paragraph" w:styleId="Textodeglobo">
    <w:name w:val="Balloon Text"/>
    <w:basedOn w:val="Normal"/>
    <w:link w:val="TextodegloboCar"/>
    <w:uiPriority w:val="99"/>
    <w:semiHidden/>
    <w:unhideWhenUsed/>
    <w:rsid w:val="006F584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F5843"/>
    <w:rPr>
      <w:rFonts w:ascii="Segoe UI" w:hAnsi="Segoe UI" w:cs="Segoe UI"/>
      <w:sz w:val="18"/>
      <w:szCs w:val="18"/>
    </w:rPr>
  </w:style>
  <w:style w:type="paragraph" w:customStyle="1" w:styleId="Default">
    <w:name w:val="Default"/>
    <w:rsid w:val="00C7376F"/>
    <w:pPr>
      <w:autoSpaceDE w:val="0"/>
      <w:autoSpaceDN w:val="0"/>
      <w:adjustRightInd w:val="0"/>
      <w:spacing w:after="0" w:line="240" w:lineRule="auto"/>
    </w:pPr>
    <w:rPr>
      <w:rFonts w:ascii="Arial" w:eastAsia="Calibri" w:hAnsi="Arial" w:cs="Arial"/>
      <w:color w:val="000000"/>
      <w:sz w:val="24"/>
      <w:szCs w:val="24"/>
      <w:lang w:eastAsia="es-CO"/>
    </w:rPr>
  </w:style>
  <w:style w:type="paragraph" w:styleId="Textonotaalfinal">
    <w:name w:val="endnote text"/>
    <w:basedOn w:val="Normal"/>
    <w:link w:val="TextonotaalfinalCar"/>
    <w:uiPriority w:val="99"/>
    <w:semiHidden/>
    <w:unhideWhenUsed/>
    <w:rsid w:val="00F2761F"/>
    <w:pPr>
      <w:spacing w:after="0" w:line="240" w:lineRule="auto"/>
    </w:pPr>
  </w:style>
  <w:style w:type="character" w:customStyle="1" w:styleId="TextonotaalfinalCar">
    <w:name w:val="Texto nota al final Car"/>
    <w:basedOn w:val="Fuentedeprrafopredeter"/>
    <w:link w:val="Textonotaalfinal"/>
    <w:uiPriority w:val="99"/>
    <w:semiHidden/>
    <w:rsid w:val="00F2761F"/>
    <w:rPr>
      <w:sz w:val="20"/>
      <w:szCs w:val="20"/>
    </w:rPr>
  </w:style>
  <w:style w:type="character" w:styleId="Refdenotaalfinal">
    <w:name w:val="endnote reference"/>
    <w:basedOn w:val="Fuentedeprrafopredeter"/>
    <w:uiPriority w:val="99"/>
    <w:semiHidden/>
    <w:unhideWhenUsed/>
    <w:rsid w:val="00F2761F"/>
    <w:rPr>
      <w:vertAlign w:val="superscript"/>
    </w:rPr>
  </w:style>
  <w:style w:type="character" w:customStyle="1" w:styleId="PrrafodelistaCar">
    <w:name w:val="Párrafo de lista Car"/>
    <w:aliases w:val="lp1 Car,Bullet List Car,FooterText Car,Use Case List Paragraph Car"/>
    <w:link w:val="Prrafodelista"/>
    <w:uiPriority w:val="34"/>
    <w:locked/>
    <w:rsid w:val="008F7D29"/>
  </w:style>
  <w:style w:type="paragraph" w:styleId="TtulodeTDC">
    <w:name w:val="TOC Heading"/>
    <w:basedOn w:val="Ttulo1"/>
    <w:next w:val="Normal"/>
    <w:uiPriority w:val="39"/>
    <w:unhideWhenUsed/>
    <w:qFormat/>
    <w:rsid w:val="00D0338F"/>
    <w:pPr>
      <w:outlineLvl w:val="9"/>
    </w:pPr>
  </w:style>
  <w:style w:type="paragraph" w:styleId="TDC1">
    <w:name w:val="toc 1"/>
    <w:basedOn w:val="Normal"/>
    <w:next w:val="Normal"/>
    <w:autoRedefine/>
    <w:uiPriority w:val="39"/>
    <w:unhideWhenUsed/>
    <w:rsid w:val="00A14E0D"/>
    <w:pPr>
      <w:spacing w:after="100"/>
    </w:pPr>
  </w:style>
  <w:style w:type="paragraph" w:styleId="TDC2">
    <w:name w:val="toc 2"/>
    <w:basedOn w:val="Normal"/>
    <w:next w:val="Normal"/>
    <w:autoRedefine/>
    <w:uiPriority w:val="39"/>
    <w:unhideWhenUsed/>
    <w:rsid w:val="00A14E0D"/>
    <w:pPr>
      <w:spacing w:after="100"/>
      <w:ind w:left="220"/>
    </w:pPr>
  </w:style>
  <w:style w:type="paragraph" w:styleId="TDC3">
    <w:name w:val="toc 3"/>
    <w:basedOn w:val="Normal"/>
    <w:next w:val="Normal"/>
    <w:autoRedefine/>
    <w:uiPriority w:val="39"/>
    <w:unhideWhenUsed/>
    <w:rsid w:val="00A14E0D"/>
    <w:pPr>
      <w:spacing w:after="100"/>
      <w:ind w:left="440"/>
    </w:pPr>
  </w:style>
  <w:style w:type="character" w:styleId="Hipervnculo">
    <w:name w:val="Hyperlink"/>
    <w:basedOn w:val="Fuentedeprrafopredeter"/>
    <w:uiPriority w:val="99"/>
    <w:unhideWhenUsed/>
    <w:rsid w:val="00A14E0D"/>
    <w:rPr>
      <w:color w:val="0563C1" w:themeColor="hyperlink"/>
      <w:u w:val="single"/>
    </w:rPr>
  </w:style>
  <w:style w:type="character" w:customStyle="1" w:styleId="Ttulo4Car">
    <w:name w:val="Título 4 Car"/>
    <w:basedOn w:val="Fuentedeprrafopredeter"/>
    <w:link w:val="Ttulo4"/>
    <w:uiPriority w:val="9"/>
    <w:semiHidden/>
    <w:rsid w:val="00D0338F"/>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0338F"/>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D0338F"/>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D0338F"/>
    <w:rPr>
      <w:rFonts w:asciiTheme="majorHAnsi" w:eastAsiaTheme="majorEastAsia" w:hAnsiTheme="majorHAnsi" w:cstheme="majorBidi"/>
      <w:i/>
      <w:iCs/>
      <w:color w:val="1F3864" w:themeColor="accent1" w:themeShade="80"/>
      <w:sz w:val="21"/>
      <w:szCs w:val="21"/>
    </w:rPr>
  </w:style>
  <w:style w:type="character" w:customStyle="1" w:styleId="Ttulo8Car">
    <w:name w:val="Título 8 Car"/>
    <w:basedOn w:val="Fuentedeprrafopredeter"/>
    <w:link w:val="Ttulo8"/>
    <w:uiPriority w:val="9"/>
    <w:semiHidden/>
    <w:rsid w:val="00D0338F"/>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D0338F"/>
    <w:rPr>
      <w:rFonts w:asciiTheme="majorHAnsi" w:eastAsiaTheme="majorEastAsia" w:hAnsiTheme="majorHAnsi" w:cstheme="majorBidi"/>
      <w:b/>
      <w:bCs/>
      <w:i/>
      <w:iCs/>
      <w:color w:val="44546A" w:themeColor="text2"/>
    </w:rPr>
  </w:style>
  <w:style w:type="paragraph" w:styleId="Descripcin">
    <w:name w:val="caption"/>
    <w:basedOn w:val="Normal"/>
    <w:next w:val="Normal"/>
    <w:uiPriority w:val="35"/>
    <w:unhideWhenUsed/>
    <w:qFormat/>
    <w:rsid w:val="00D0338F"/>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0338F"/>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PuestoCar">
    <w:name w:val="Puesto Car"/>
    <w:basedOn w:val="Fuentedeprrafopredeter"/>
    <w:link w:val="Puesto"/>
    <w:uiPriority w:val="10"/>
    <w:rsid w:val="00D0338F"/>
    <w:rPr>
      <w:rFonts w:asciiTheme="majorHAnsi" w:eastAsiaTheme="majorEastAsia" w:hAnsiTheme="majorHAnsi" w:cstheme="majorBidi"/>
      <w:color w:val="4472C4" w:themeColor="accent1"/>
      <w:spacing w:val="-10"/>
      <w:sz w:val="56"/>
      <w:szCs w:val="56"/>
    </w:rPr>
  </w:style>
  <w:style w:type="character" w:styleId="Textoennegrita">
    <w:name w:val="Strong"/>
    <w:basedOn w:val="Fuentedeprrafopredeter"/>
    <w:uiPriority w:val="22"/>
    <w:qFormat/>
    <w:rsid w:val="00D0338F"/>
    <w:rPr>
      <w:b/>
      <w:bCs/>
    </w:rPr>
  </w:style>
  <w:style w:type="character" w:styleId="nfasis">
    <w:name w:val="Emphasis"/>
    <w:basedOn w:val="Fuentedeprrafopredeter"/>
    <w:uiPriority w:val="20"/>
    <w:qFormat/>
    <w:rsid w:val="00D0338F"/>
    <w:rPr>
      <w:i/>
      <w:iCs/>
    </w:rPr>
  </w:style>
  <w:style w:type="paragraph" w:styleId="Cita">
    <w:name w:val="Quote"/>
    <w:basedOn w:val="Normal"/>
    <w:next w:val="Normal"/>
    <w:link w:val="CitaCar"/>
    <w:uiPriority w:val="29"/>
    <w:qFormat/>
    <w:rsid w:val="00D0338F"/>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0338F"/>
    <w:rPr>
      <w:i/>
      <w:iCs/>
      <w:color w:val="404040" w:themeColor="text1" w:themeTint="BF"/>
    </w:rPr>
  </w:style>
  <w:style w:type="paragraph" w:styleId="Citadestacada">
    <w:name w:val="Intense Quote"/>
    <w:basedOn w:val="Normal"/>
    <w:next w:val="Normal"/>
    <w:link w:val="CitadestacadaCar"/>
    <w:uiPriority w:val="30"/>
    <w:qFormat/>
    <w:rsid w:val="00D0338F"/>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CitadestacadaCar">
    <w:name w:val="Cita destacada Car"/>
    <w:basedOn w:val="Fuentedeprrafopredeter"/>
    <w:link w:val="Citadestacada"/>
    <w:uiPriority w:val="30"/>
    <w:rsid w:val="00D0338F"/>
    <w:rPr>
      <w:rFonts w:asciiTheme="majorHAnsi" w:eastAsiaTheme="majorEastAsia" w:hAnsiTheme="majorHAnsi" w:cstheme="majorBidi"/>
      <w:color w:val="4472C4" w:themeColor="accent1"/>
      <w:sz w:val="28"/>
      <w:szCs w:val="28"/>
    </w:rPr>
  </w:style>
  <w:style w:type="character" w:styleId="nfasissutil">
    <w:name w:val="Subtle Emphasis"/>
    <w:basedOn w:val="Fuentedeprrafopredeter"/>
    <w:uiPriority w:val="19"/>
    <w:qFormat/>
    <w:rsid w:val="00D0338F"/>
    <w:rPr>
      <w:i/>
      <w:iCs/>
      <w:color w:val="404040" w:themeColor="text1" w:themeTint="BF"/>
    </w:rPr>
  </w:style>
  <w:style w:type="character" w:styleId="nfasisintenso">
    <w:name w:val="Intense Emphasis"/>
    <w:basedOn w:val="Fuentedeprrafopredeter"/>
    <w:uiPriority w:val="21"/>
    <w:qFormat/>
    <w:rsid w:val="00D0338F"/>
    <w:rPr>
      <w:b/>
      <w:bCs/>
      <w:i/>
      <w:iCs/>
    </w:rPr>
  </w:style>
  <w:style w:type="character" w:styleId="Referenciasutil">
    <w:name w:val="Subtle Reference"/>
    <w:basedOn w:val="Fuentedeprrafopredeter"/>
    <w:uiPriority w:val="31"/>
    <w:qFormat/>
    <w:rsid w:val="00D0338F"/>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0338F"/>
    <w:rPr>
      <w:b/>
      <w:bCs/>
      <w:smallCaps/>
      <w:spacing w:val="5"/>
      <w:u w:val="single"/>
    </w:rPr>
  </w:style>
  <w:style w:type="character" w:styleId="Ttulodellibro">
    <w:name w:val="Book Title"/>
    <w:basedOn w:val="Fuentedeprrafopredeter"/>
    <w:uiPriority w:val="33"/>
    <w:qFormat/>
    <w:rsid w:val="00D0338F"/>
    <w:rPr>
      <w:b/>
      <w:bCs/>
      <w:smallCaps/>
    </w:rPr>
  </w:style>
  <w:style w:type="paragraph" w:styleId="Textonotapie">
    <w:name w:val="footnote text"/>
    <w:basedOn w:val="Normal"/>
    <w:link w:val="TextonotapieCar"/>
    <w:uiPriority w:val="99"/>
    <w:semiHidden/>
    <w:unhideWhenUsed/>
    <w:rsid w:val="00901D54"/>
    <w:pPr>
      <w:spacing w:after="0" w:line="240" w:lineRule="auto"/>
    </w:pPr>
  </w:style>
  <w:style w:type="character" w:customStyle="1" w:styleId="TextonotapieCar">
    <w:name w:val="Texto nota pie Car"/>
    <w:basedOn w:val="Fuentedeprrafopredeter"/>
    <w:link w:val="Textonotapie"/>
    <w:uiPriority w:val="99"/>
    <w:semiHidden/>
    <w:rsid w:val="00901D54"/>
  </w:style>
  <w:style w:type="character" w:styleId="Refdenotaalpie">
    <w:name w:val="footnote reference"/>
    <w:basedOn w:val="Fuentedeprrafopredeter"/>
    <w:uiPriority w:val="99"/>
    <w:semiHidden/>
    <w:unhideWhenUsed/>
    <w:rsid w:val="00901D54"/>
    <w:rPr>
      <w:vertAlign w:val="superscript"/>
    </w:rPr>
  </w:style>
  <w:style w:type="character" w:customStyle="1" w:styleId="UnresolvedMention">
    <w:name w:val="Unresolved Mention"/>
    <w:basedOn w:val="Fuentedeprrafopredeter"/>
    <w:uiPriority w:val="99"/>
    <w:semiHidden/>
    <w:unhideWhenUsed/>
    <w:rsid w:val="00901D54"/>
    <w:rPr>
      <w:color w:val="605E5C"/>
      <w:shd w:val="clear" w:color="auto" w:fill="E1DFDD"/>
    </w:rPr>
  </w:style>
  <w:style w:type="table" w:styleId="Tablaconcuadrcula">
    <w:name w:val="Table Grid"/>
    <w:basedOn w:val="Tablanormal"/>
    <w:uiPriority w:val="39"/>
    <w:rsid w:val="00DD0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1clara-nfasis1">
    <w:name w:val="Grid Table 1 Light Accent 1"/>
    <w:basedOn w:val="Tablanormal"/>
    <w:uiPriority w:val="46"/>
    <w:rsid w:val="00EA1AD9"/>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B448CC"/>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aconcuadrcula1">
    <w:name w:val="Tabla con cuadrícula1"/>
    <w:basedOn w:val="Tablanormal"/>
    <w:next w:val="Tablaconcuadrcula"/>
    <w:uiPriority w:val="39"/>
    <w:rsid w:val="0060670E"/>
    <w:pPr>
      <w:spacing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dice1">
    <w:name w:val="index 1"/>
    <w:basedOn w:val="Normal"/>
    <w:next w:val="Normal"/>
    <w:autoRedefine/>
    <w:uiPriority w:val="99"/>
    <w:unhideWhenUsed/>
    <w:rsid w:val="00FE04D4"/>
    <w:pPr>
      <w:tabs>
        <w:tab w:val="right" w:pos="9269"/>
      </w:tabs>
      <w:spacing w:after="0"/>
    </w:pPr>
    <w:rPr>
      <w:rFonts w:cstheme="minorHAnsi"/>
      <w:sz w:val="18"/>
      <w:szCs w:val="18"/>
    </w:rPr>
  </w:style>
  <w:style w:type="paragraph" w:styleId="ndice2">
    <w:name w:val="index 2"/>
    <w:basedOn w:val="Normal"/>
    <w:next w:val="Normal"/>
    <w:autoRedefine/>
    <w:uiPriority w:val="99"/>
    <w:unhideWhenUsed/>
    <w:rsid w:val="00FE04D4"/>
    <w:pPr>
      <w:spacing w:after="0"/>
      <w:ind w:left="400" w:hanging="200"/>
    </w:pPr>
    <w:rPr>
      <w:rFonts w:cstheme="minorHAnsi"/>
      <w:sz w:val="18"/>
      <w:szCs w:val="18"/>
    </w:rPr>
  </w:style>
  <w:style w:type="paragraph" w:styleId="ndice3">
    <w:name w:val="index 3"/>
    <w:basedOn w:val="Normal"/>
    <w:next w:val="Normal"/>
    <w:autoRedefine/>
    <w:uiPriority w:val="99"/>
    <w:unhideWhenUsed/>
    <w:rsid w:val="00FE04D4"/>
    <w:pPr>
      <w:spacing w:after="0"/>
      <w:ind w:left="600" w:hanging="200"/>
    </w:pPr>
    <w:rPr>
      <w:rFonts w:cstheme="minorHAnsi"/>
      <w:sz w:val="18"/>
      <w:szCs w:val="18"/>
    </w:rPr>
  </w:style>
  <w:style w:type="paragraph" w:styleId="ndice4">
    <w:name w:val="index 4"/>
    <w:basedOn w:val="Normal"/>
    <w:next w:val="Normal"/>
    <w:autoRedefine/>
    <w:uiPriority w:val="99"/>
    <w:unhideWhenUsed/>
    <w:rsid w:val="00FE04D4"/>
    <w:pPr>
      <w:spacing w:after="0"/>
      <w:ind w:left="800" w:hanging="200"/>
    </w:pPr>
    <w:rPr>
      <w:rFonts w:cstheme="minorHAnsi"/>
      <w:sz w:val="18"/>
      <w:szCs w:val="18"/>
    </w:rPr>
  </w:style>
  <w:style w:type="paragraph" w:styleId="ndice5">
    <w:name w:val="index 5"/>
    <w:basedOn w:val="Normal"/>
    <w:next w:val="Normal"/>
    <w:autoRedefine/>
    <w:uiPriority w:val="99"/>
    <w:unhideWhenUsed/>
    <w:rsid w:val="00FE04D4"/>
    <w:pPr>
      <w:spacing w:after="0"/>
      <w:ind w:left="1000" w:hanging="200"/>
    </w:pPr>
    <w:rPr>
      <w:rFonts w:cstheme="minorHAnsi"/>
      <w:sz w:val="18"/>
      <w:szCs w:val="18"/>
    </w:rPr>
  </w:style>
  <w:style w:type="paragraph" w:styleId="ndice6">
    <w:name w:val="index 6"/>
    <w:basedOn w:val="Normal"/>
    <w:next w:val="Normal"/>
    <w:autoRedefine/>
    <w:uiPriority w:val="99"/>
    <w:unhideWhenUsed/>
    <w:rsid w:val="00FE04D4"/>
    <w:pPr>
      <w:spacing w:after="0"/>
      <w:ind w:left="1200" w:hanging="200"/>
    </w:pPr>
    <w:rPr>
      <w:rFonts w:cstheme="minorHAnsi"/>
      <w:sz w:val="18"/>
      <w:szCs w:val="18"/>
    </w:rPr>
  </w:style>
  <w:style w:type="paragraph" w:styleId="ndice7">
    <w:name w:val="index 7"/>
    <w:basedOn w:val="Normal"/>
    <w:next w:val="Normal"/>
    <w:autoRedefine/>
    <w:uiPriority w:val="99"/>
    <w:unhideWhenUsed/>
    <w:rsid w:val="00FE04D4"/>
    <w:pPr>
      <w:spacing w:after="0"/>
      <w:ind w:left="1400" w:hanging="200"/>
    </w:pPr>
    <w:rPr>
      <w:rFonts w:cstheme="minorHAnsi"/>
      <w:sz w:val="18"/>
      <w:szCs w:val="18"/>
    </w:rPr>
  </w:style>
  <w:style w:type="paragraph" w:styleId="ndice8">
    <w:name w:val="index 8"/>
    <w:basedOn w:val="Normal"/>
    <w:next w:val="Normal"/>
    <w:autoRedefine/>
    <w:uiPriority w:val="99"/>
    <w:unhideWhenUsed/>
    <w:rsid w:val="00FE04D4"/>
    <w:pPr>
      <w:spacing w:after="0"/>
      <w:ind w:left="1600" w:hanging="200"/>
    </w:pPr>
    <w:rPr>
      <w:rFonts w:cstheme="minorHAnsi"/>
      <w:sz w:val="18"/>
      <w:szCs w:val="18"/>
    </w:rPr>
  </w:style>
  <w:style w:type="paragraph" w:styleId="ndice9">
    <w:name w:val="index 9"/>
    <w:basedOn w:val="Normal"/>
    <w:next w:val="Normal"/>
    <w:autoRedefine/>
    <w:uiPriority w:val="99"/>
    <w:unhideWhenUsed/>
    <w:rsid w:val="00FE04D4"/>
    <w:pPr>
      <w:spacing w:after="0"/>
      <w:ind w:left="1800" w:hanging="200"/>
    </w:pPr>
    <w:rPr>
      <w:rFonts w:cstheme="minorHAnsi"/>
      <w:sz w:val="18"/>
      <w:szCs w:val="18"/>
    </w:rPr>
  </w:style>
  <w:style w:type="paragraph" w:styleId="Ttulodendice">
    <w:name w:val="index heading"/>
    <w:basedOn w:val="Normal"/>
    <w:next w:val="ndice1"/>
    <w:uiPriority w:val="99"/>
    <w:unhideWhenUsed/>
    <w:rsid w:val="00FE04D4"/>
    <w:pPr>
      <w:spacing w:before="240"/>
      <w:jc w:val="center"/>
    </w:pPr>
    <w:rPr>
      <w:rFonts w:cstheme="minorHAnsi"/>
      <w:b/>
      <w:bCs/>
      <w:sz w:val="26"/>
      <w:szCs w:val="26"/>
    </w:rPr>
  </w:style>
  <w:style w:type="character" w:styleId="Refdecomentario">
    <w:name w:val="annotation reference"/>
    <w:basedOn w:val="Fuentedeprrafopredeter"/>
    <w:uiPriority w:val="99"/>
    <w:semiHidden/>
    <w:unhideWhenUsed/>
    <w:rsid w:val="002E3739"/>
    <w:rPr>
      <w:sz w:val="16"/>
      <w:szCs w:val="16"/>
    </w:rPr>
  </w:style>
  <w:style w:type="paragraph" w:styleId="Textocomentario">
    <w:name w:val="annotation text"/>
    <w:basedOn w:val="Normal"/>
    <w:link w:val="TextocomentarioCar"/>
    <w:uiPriority w:val="99"/>
    <w:semiHidden/>
    <w:unhideWhenUsed/>
    <w:rsid w:val="002E3739"/>
    <w:pPr>
      <w:spacing w:line="240" w:lineRule="auto"/>
    </w:pPr>
  </w:style>
  <w:style w:type="character" w:customStyle="1" w:styleId="TextocomentarioCar">
    <w:name w:val="Texto comentario Car"/>
    <w:basedOn w:val="Fuentedeprrafopredeter"/>
    <w:link w:val="Textocomentario"/>
    <w:uiPriority w:val="99"/>
    <w:semiHidden/>
    <w:rsid w:val="002E3739"/>
  </w:style>
  <w:style w:type="paragraph" w:styleId="Asuntodelcomentario">
    <w:name w:val="annotation subject"/>
    <w:basedOn w:val="Textocomentario"/>
    <w:next w:val="Textocomentario"/>
    <w:link w:val="AsuntodelcomentarioCar"/>
    <w:uiPriority w:val="99"/>
    <w:semiHidden/>
    <w:unhideWhenUsed/>
    <w:rsid w:val="002E3739"/>
    <w:rPr>
      <w:b/>
      <w:bCs/>
    </w:rPr>
  </w:style>
  <w:style w:type="character" w:customStyle="1" w:styleId="AsuntodelcomentarioCar">
    <w:name w:val="Asunto del comentario Car"/>
    <w:basedOn w:val="TextocomentarioCar"/>
    <w:link w:val="Asuntodelcomentario"/>
    <w:uiPriority w:val="99"/>
    <w:semiHidden/>
    <w:rsid w:val="002E3739"/>
    <w:rPr>
      <w:b/>
      <w:bCs/>
    </w:rPr>
  </w:style>
  <w:style w:type="table" w:styleId="Cuadrculadetablaclara">
    <w:name w:val="Grid Table Light"/>
    <w:basedOn w:val="Tablanormal"/>
    <w:uiPriority w:val="40"/>
    <w:rsid w:val="00396D0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adecuadrcula2-nfasis3">
    <w:name w:val="Grid Table 2 Accent 3"/>
    <w:basedOn w:val="Tablanormal"/>
    <w:uiPriority w:val="47"/>
    <w:rsid w:val="00396D06"/>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normal1">
    <w:name w:val="Plain Table 1"/>
    <w:basedOn w:val="Tablanormal"/>
    <w:uiPriority w:val="41"/>
    <w:rsid w:val="00396D0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Fuentedeprrafopredeter"/>
    <w:rsid w:val="00513B61"/>
  </w:style>
  <w:style w:type="table" w:styleId="Tabladecuadrcula4-nfasis3">
    <w:name w:val="Grid Table 4 Accent 3"/>
    <w:basedOn w:val="Tablanormal"/>
    <w:uiPriority w:val="49"/>
    <w:rsid w:val="00D51B87"/>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55243">
      <w:bodyDiv w:val="1"/>
      <w:marLeft w:val="0"/>
      <w:marRight w:val="0"/>
      <w:marTop w:val="0"/>
      <w:marBottom w:val="0"/>
      <w:divBdr>
        <w:top w:val="none" w:sz="0" w:space="0" w:color="auto"/>
        <w:left w:val="none" w:sz="0" w:space="0" w:color="auto"/>
        <w:bottom w:val="none" w:sz="0" w:space="0" w:color="auto"/>
        <w:right w:val="none" w:sz="0" w:space="0" w:color="auto"/>
      </w:divBdr>
    </w:div>
    <w:div w:id="103118529">
      <w:bodyDiv w:val="1"/>
      <w:marLeft w:val="0"/>
      <w:marRight w:val="0"/>
      <w:marTop w:val="0"/>
      <w:marBottom w:val="0"/>
      <w:divBdr>
        <w:top w:val="none" w:sz="0" w:space="0" w:color="auto"/>
        <w:left w:val="none" w:sz="0" w:space="0" w:color="auto"/>
        <w:bottom w:val="none" w:sz="0" w:space="0" w:color="auto"/>
        <w:right w:val="none" w:sz="0" w:space="0" w:color="auto"/>
      </w:divBdr>
    </w:div>
    <w:div w:id="239946522">
      <w:bodyDiv w:val="1"/>
      <w:marLeft w:val="0"/>
      <w:marRight w:val="0"/>
      <w:marTop w:val="0"/>
      <w:marBottom w:val="0"/>
      <w:divBdr>
        <w:top w:val="none" w:sz="0" w:space="0" w:color="auto"/>
        <w:left w:val="none" w:sz="0" w:space="0" w:color="auto"/>
        <w:bottom w:val="none" w:sz="0" w:space="0" w:color="auto"/>
        <w:right w:val="none" w:sz="0" w:space="0" w:color="auto"/>
      </w:divBdr>
    </w:div>
    <w:div w:id="284427385">
      <w:bodyDiv w:val="1"/>
      <w:marLeft w:val="0"/>
      <w:marRight w:val="0"/>
      <w:marTop w:val="0"/>
      <w:marBottom w:val="0"/>
      <w:divBdr>
        <w:top w:val="none" w:sz="0" w:space="0" w:color="auto"/>
        <w:left w:val="none" w:sz="0" w:space="0" w:color="auto"/>
        <w:bottom w:val="none" w:sz="0" w:space="0" w:color="auto"/>
        <w:right w:val="none" w:sz="0" w:space="0" w:color="auto"/>
      </w:divBdr>
    </w:div>
    <w:div w:id="348265773">
      <w:bodyDiv w:val="1"/>
      <w:marLeft w:val="0"/>
      <w:marRight w:val="0"/>
      <w:marTop w:val="0"/>
      <w:marBottom w:val="0"/>
      <w:divBdr>
        <w:top w:val="none" w:sz="0" w:space="0" w:color="auto"/>
        <w:left w:val="none" w:sz="0" w:space="0" w:color="auto"/>
        <w:bottom w:val="none" w:sz="0" w:space="0" w:color="auto"/>
        <w:right w:val="none" w:sz="0" w:space="0" w:color="auto"/>
      </w:divBdr>
    </w:div>
    <w:div w:id="637225058">
      <w:bodyDiv w:val="1"/>
      <w:marLeft w:val="0"/>
      <w:marRight w:val="0"/>
      <w:marTop w:val="0"/>
      <w:marBottom w:val="0"/>
      <w:divBdr>
        <w:top w:val="none" w:sz="0" w:space="0" w:color="auto"/>
        <w:left w:val="none" w:sz="0" w:space="0" w:color="auto"/>
        <w:bottom w:val="none" w:sz="0" w:space="0" w:color="auto"/>
        <w:right w:val="none" w:sz="0" w:space="0" w:color="auto"/>
      </w:divBdr>
    </w:div>
    <w:div w:id="705106993">
      <w:bodyDiv w:val="1"/>
      <w:marLeft w:val="0"/>
      <w:marRight w:val="0"/>
      <w:marTop w:val="0"/>
      <w:marBottom w:val="0"/>
      <w:divBdr>
        <w:top w:val="none" w:sz="0" w:space="0" w:color="auto"/>
        <w:left w:val="none" w:sz="0" w:space="0" w:color="auto"/>
        <w:bottom w:val="none" w:sz="0" w:space="0" w:color="auto"/>
        <w:right w:val="none" w:sz="0" w:space="0" w:color="auto"/>
      </w:divBdr>
    </w:div>
    <w:div w:id="713122963">
      <w:bodyDiv w:val="1"/>
      <w:marLeft w:val="0"/>
      <w:marRight w:val="0"/>
      <w:marTop w:val="0"/>
      <w:marBottom w:val="0"/>
      <w:divBdr>
        <w:top w:val="none" w:sz="0" w:space="0" w:color="auto"/>
        <w:left w:val="none" w:sz="0" w:space="0" w:color="auto"/>
        <w:bottom w:val="none" w:sz="0" w:space="0" w:color="auto"/>
        <w:right w:val="none" w:sz="0" w:space="0" w:color="auto"/>
      </w:divBdr>
    </w:div>
    <w:div w:id="941954284">
      <w:bodyDiv w:val="1"/>
      <w:marLeft w:val="0"/>
      <w:marRight w:val="0"/>
      <w:marTop w:val="0"/>
      <w:marBottom w:val="0"/>
      <w:divBdr>
        <w:top w:val="none" w:sz="0" w:space="0" w:color="auto"/>
        <w:left w:val="none" w:sz="0" w:space="0" w:color="auto"/>
        <w:bottom w:val="none" w:sz="0" w:space="0" w:color="auto"/>
        <w:right w:val="none" w:sz="0" w:space="0" w:color="auto"/>
      </w:divBdr>
    </w:div>
    <w:div w:id="1017850530">
      <w:bodyDiv w:val="1"/>
      <w:marLeft w:val="0"/>
      <w:marRight w:val="0"/>
      <w:marTop w:val="0"/>
      <w:marBottom w:val="0"/>
      <w:divBdr>
        <w:top w:val="none" w:sz="0" w:space="0" w:color="auto"/>
        <w:left w:val="none" w:sz="0" w:space="0" w:color="auto"/>
        <w:bottom w:val="none" w:sz="0" w:space="0" w:color="auto"/>
        <w:right w:val="none" w:sz="0" w:space="0" w:color="auto"/>
      </w:divBdr>
      <w:divsChild>
        <w:div w:id="1814786998">
          <w:marLeft w:val="0"/>
          <w:marRight w:val="0"/>
          <w:marTop w:val="0"/>
          <w:marBottom w:val="0"/>
          <w:divBdr>
            <w:top w:val="none" w:sz="0" w:space="0" w:color="auto"/>
            <w:left w:val="none" w:sz="0" w:space="0" w:color="auto"/>
            <w:bottom w:val="none" w:sz="0" w:space="0" w:color="auto"/>
            <w:right w:val="none" w:sz="0" w:space="0" w:color="auto"/>
          </w:divBdr>
          <w:divsChild>
            <w:div w:id="18756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84878">
      <w:bodyDiv w:val="1"/>
      <w:marLeft w:val="0"/>
      <w:marRight w:val="0"/>
      <w:marTop w:val="0"/>
      <w:marBottom w:val="0"/>
      <w:divBdr>
        <w:top w:val="none" w:sz="0" w:space="0" w:color="auto"/>
        <w:left w:val="none" w:sz="0" w:space="0" w:color="auto"/>
        <w:bottom w:val="none" w:sz="0" w:space="0" w:color="auto"/>
        <w:right w:val="none" w:sz="0" w:space="0" w:color="auto"/>
      </w:divBdr>
    </w:div>
    <w:div w:id="1499618799">
      <w:bodyDiv w:val="1"/>
      <w:marLeft w:val="0"/>
      <w:marRight w:val="0"/>
      <w:marTop w:val="0"/>
      <w:marBottom w:val="0"/>
      <w:divBdr>
        <w:top w:val="none" w:sz="0" w:space="0" w:color="auto"/>
        <w:left w:val="none" w:sz="0" w:space="0" w:color="auto"/>
        <w:bottom w:val="none" w:sz="0" w:space="0" w:color="auto"/>
        <w:right w:val="none" w:sz="0" w:space="0" w:color="auto"/>
      </w:divBdr>
      <w:divsChild>
        <w:div w:id="5366251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9692808">
              <w:marLeft w:val="0"/>
              <w:marRight w:val="0"/>
              <w:marTop w:val="0"/>
              <w:marBottom w:val="0"/>
              <w:divBdr>
                <w:top w:val="none" w:sz="0" w:space="0" w:color="auto"/>
                <w:left w:val="none" w:sz="0" w:space="0" w:color="auto"/>
                <w:bottom w:val="none" w:sz="0" w:space="0" w:color="auto"/>
                <w:right w:val="none" w:sz="0" w:space="0" w:color="auto"/>
              </w:divBdr>
              <w:divsChild>
                <w:div w:id="1939171824">
                  <w:marLeft w:val="0"/>
                  <w:marRight w:val="0"/>
                  <w:marTop w:val="0"/>
                  <w:marBottom w:val="0"/>
                  <w:divBdr>
                    <w:top w:val="none" w:sz="0" w:space="0" w:color="auto"/>
                    <w:left w:val="none" w:sz="0" w:space="0" w:color="auto"/>
                    <w:bottom w:val="none" w:sz="0" w:space="0" w:color="auto"/>
                    <w:right w:val="none" w:sz="0" w:space="0" w:color="auto"/>
                  </w:divBdr>
                  <w:divsChild>
                    <w:div w:id="88521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295854">
      <w:bodyDiv w:val="1"/>
      <w:marLeft w:val="0"/>
      <w:marRight w:val="0"/>
      <w:marTop w:val="0"/>
      <w:marBottom w:val="0"/>
      <w:divBdr>
        <w:top w:val="none" w:sz="0" w:space="0" w:color="auto"/>
        <w:left w:val="none" w:sz="0" w:space="0" w:color="auto"/>
        <w:bottom w:val="none" w:sz="0" w:space="0" w:color="auto"/>
        <w:right w:val="none" w:sz="0" w:space="0" w:color="auto"/>
      </w:divBdr>
    </w:div>
    <w:div w:id="1542287100">
      <w:bodyDiv w:val="1"/>
      <w:marLeft w:val="0"/>
      <w:marRight w:val="0"/>
      <w:marTop w:val="0"/>
      <w:marBottom w:val="0"/>
      <w:divBdr>
        <w:top w:val="none" w:sz="0" w:space="0" w:color="auto"/>
        <w:left w:val="none" w:sz="0" w:space="0" w:color="auto"/>
        <w:bottom w:val="none" w:sz="0" w:space="0" w:color="auto"/>
        <w:right w:val="none" w:sz="0" w:space="0" w:color="auto"/>
      </w:divBdr>
    </w:div>
    <w:div w:id="1572232388">
      <w:bodyDiv w:val="1"/>
      <w:marLeft w:val="0"/>
      <w:marRight w:val="0"/>
      <w:marTop w:val="0"/>
      <w:marBottom w:val="0"/>
      <w:divBdr>
        <w:top w:val="none" w:sz="0" w:space="0" w:color="auto"/>
        <w:left w:val="none" w:sz="0" w:space="0" w:color="auto"/>
        <w:bottom w:val="none" w:sz="0" w:space="0" w:color="auto"/>
        <w:right w:val="none" w:sz="0" w:space="0" w:color="auto"/>
      </w:divBdr>
    </w:div>
    <w:div w:id="1697735799">
      <w:bodyDiv w:val="1"/>
      <w:marLeft w:val="0"/>
      <w:marRight w:val="0"/>
      <w:marTop w:val="0"/>
      <w:marBottom w:val="0"/>
      <w:divBdr>
        <w:top w:val="none" w:sz="0" w:space="0" w:color="auto"/>
        <w:left w:val="none" w:sz="0" w:space="0" w:color="auto"/>
        <w:bottom w:val="none" w:sz="0" w:space="0" w:color="auto"/>
        <w:right w:val="none" w:sz="0" w:space="0" w:color="auto"/>
      </w:divBdr>
    </w:div>
    <w:div w:id="1721048720">
      <w:bodyDiv w:val="1"/>
      <w:marLeft w:val="0"/>
      <w:marRight w:val="0"/>
      <w:marTop w:val="0"/>
      <w:marBottom w:val="0"/>
      <w:divBdr>
        <w:top w:val="none" w:sz="0" w:space="0" w:color="auto"/>
        <w:left w:val="none" w:sz="0" w:space="0" w:color="auto"/>
        <w:bottom w:val="none" w:sz="0" w:space="0" w:color="auto"/>
        <w:right w:val="none" w:sz="0" w:space="0" w:color="auto"/>
      </w:divBdr>
    </w:div>
    <w:div w:id="196372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donjustoboletin.com/" TargetMode="Externa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package" Target="embeddings/Hoja_de_c_lculo_de_Microsoft_Excel5.xlsx"/><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package" Target="embeddings/Hoja_de_c_lculo_de_Microsoft_Excel3.xlsx"/><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emf"/><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3.xm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2.xml"/><Relationship Id="rId22" Type="http://schemas.openxmlformats.org/officeDocument/2006/relationships/package" Target="embeddings/Hoja_de_c_lculo_de_Microsoft_Excel4.xlsx"/><Relationship Id="rId27" Type="http://schemas.openxmlformats.org/officeDocument/2006/relationships/package" Target="embeddings/Hoja_de_c_lculo_de_Microsoft_Excel6.xlsx"/><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D:\Documents\PRESUPUESTO\Presupuesto\Financiera%202019\Informes%202019\Informe%20EP%202019\Informe%20Ejecucion%20Presupuestal%20A&#241;o%202019%20consolidad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050"/>
              <a:t>Jurisdicción</a:t>
            </a:r>
            <a:r>
              <a:rPr lang="es-ES" sz="1050" baseline="0"/>
              <a:t> Ordinaria</a:t>
            </a:r>
          </a:p>
          <a:p>
            <a:pPr>
              <a:defRPr/>
            </a:pPr>
            <a:r>
              <a:rPr lang="es-ES" sz="800" baseline="0"/>
              <a:t>Informe de Ingresos y Egresos vs (IEP%)</a:t>
            </a:r>
            <a:endParaRPr lang="es-ES" sz="8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Hoja1!$B$1</c:f>
              <c:strCache>
                <c:ptCount val="1"/>
                <c:pt idx="0">
                  <c:v>INGRESOS</c:v>
                </c:pt>
              </c:strCache>
            </c:strRef>
          </c:tx>
          <c:spPr>
            <a:solidFill>
              <a:schemeClr val="accent1"/>
            </a:solidFill>
            <a:ln>
              <a:noFill/>
            </a:ln>
            <a:effectLst/>
          </c:spPr>
          <c:invertIfNegative val="0"/>
          <c:cat>
            <c:strRef>
              <c:f>Hoja1!$A$2:$A$5</c:f>
              <c:strCache>
                <c:ptCount val="4"/>
                <c:pt idx="0">
                  <c:v>Cúcuta</c:v>
                </c:pt>
                <c:pt idx="1">
                  <c:v>Ocaña</c:v>
                </c:pt>
                <c:pt idx="2">
                  <c:v>Pamplona</c:v>
                </c:pt>
                <c:pt idx="3">
                  <c:v>Arauca</c:v>
                </c:pt>
              </c:strCache>
            </c:strRef>
          </c:cat>
          <c:val>
            <c:numRef>
              <c:f>Hoja1!$B$2:$B$5</c:f>
              <c:numCache>
                <c:formatCode>General</c:formatCode>
                <c:ptCount val="4"/>
                <c:pt idx="0">
                  <c:v>27727</c:v>
                </c:pt>
                <c:pt idx="1">
                  <c:v>8817</c:v>
                </c:pt>
                <c:pt idx="2">
                  <c:v>3605</c:v>
                </c:pt>
                <c:pt idx="3">
                  <c:v>434</c:v>
                </c:pt>
              </c:numCache>
            </c:numRef>
          </c:val>
          <c:extLst xmlns:c16r2="http://schemas.microsoft.com/office/drawing/2015/06/chart">
            <c:ext xmlns:c16="http://schemas.microsoft.com/office/drawing/2014/chart" uri="{C3380CC4-5D6E-409C-BE32-E72D297353CC}">
              <c16:uniqueId val="{00000000-9721-4E8D-B30E-134CCE9402EF}"/>
            </c:ext>
          </c:extLst>
        </c:ser>
        <c:ser>
          <c:idx val="1"/>
          <c:order val="1"/>
          <c:tx>
            <c:strRef>
              <c:f>Hoja1!$C$1</c:f>
              <c:strCache>
                <c:ptCount val="1"/>
                <c:pt idx="0">
                  <c:v>EGRESOS</c:v>
                </c:pt>
              </c:strCache>
            </c:strRef>
          </c:tx>
          <c:spPr>
            <a:solidFill>
              <a:schemeClr val="accent2"/>
            </a:solidFill>
            <a:ln>
              <a:noFill/>
            </a:ln>
            <a:effectLst/>
          </c:spPr>
          <c:invertIfNegative val="0"/>
          <c:cat>
            <c:strRef>
              <c:f>Hoja1!$A$2:$A$5</c:f>
              <c:strCache>
                <c:ptCount val="4"/>
                <c:pt idx="0">
                  <c:v>Cúcuta</c:v>
                </c:pt>
                <c:pt idx="1">
                  <c:v>Ocaña</c:v>
                </c:pt>
                <c:pt idx="2">
                  <c:v>Pamplona</c:v>
                </c:pt>
                <c:pt idx="3">
                  <c:v>Arauca</c:v>
                </c:pt>
              </c:strCache>
            </c:strRef>
          </c:cat>
          <c:val>
            <c:numRef>
              <c:f>Hoja1!$C$2:$C$5</c:f>
              <c:numCache>
                <c:formatCode>General</c:formatCode>
                <c:ptCount val="4"/>
                <c:pt idx="0">
                  <c:v>25716</c:v>
                </c:pt>
                <c:pt idx="1">
                  <c:v>8256</c:v>
                </c:pt>
                <c:pt idx="2">
                  <c:v>3656</c:v>
                </c:pt>
                <c:pt idx="3">
                  <c:v>398</c:v>
                </c:pt>
              </c:numCache>
            </c:numRef>
          </c:val>
          <c:extLst xmlns:c16r2="http://schemas.microsoft.com/office/drawing/2015/06/chart">
            <c:ext xmlns:c16="http://schemas.microsoft.com/office/drawing/2014/chart" uri="{C3380CC4-5D6E-409C-BE32-E72D297353CC}">
              <c16:uniqueId val="{00000001-9721-4E8D-B30E-134CCE9402EF}"/>
            </c:ext>
          </c:extLst>
        </c:ser>
        <c:ser>
          <c:idx val="2"/>
          <c:order val="2"/>
          <c:tx>
            <c:strRef>
              <c:f>Hoja1!$D$1</c:f>
              <c:strCache>
                <c:ptCount val="1"/>
                <c:pt idx="0">
                  <c:v>Columna1</c:v>
                </c:pt>
              </c:strCache>
            </c:strRef>
          </c:tx>
          <c:spPr>
            <a:solidFill>
              <a:schemeClr val="accent3"/>
            </a:solidFill>
            <a:ln>
              <a:noFill/>
            </a:ln>
            <a:effectLst/>
          </c:spPr>
          <c:invertIfNegative val="0"/>
          <c:cat>
            <c:strRef>
              <c:f>Hoja1!$A$2:$A$5</c:f>
              <c:strCache>
                <c:ptCount val="4"/>
                <c:pt idx="0">
                  <c:v>Cúcuta</c:v>
                </c:pt>
                <c:pt idx="1">
                  <c:v>Ocaña</c:v>
                </c:pt>
                <c:pt idx="2">
                  <c:v>Pamplona</c:v>
                </c:pt>
                <c:pt idx="3">
                  <c:v>Arauca</c:v>
                </c:pt>
              </c:strCache>
            </c:strRef>
          </c:cat>
          <c:val>
            <c:numRef>
              <c:f>Hoja1!$D$2:$D$5</c:f>
              <c:numCache>
                <c:formatCode>General</c:formatCode>
                <c:ptCount val="4"/>
              </c:numCache>
            </c:numRef>
          </c:val>
          <c:extLst xmlns:c16r2="http://schemas.microsoft.com/office/drawing/2015/06/chart">
            <c:ext xmlns:c16="http://schemas.microsoft.com/office/drawing/2014/chart" uri="{C3380CC4-5D6E-409C-BE32-E72D297353CC}">
              <c16:uniqueId val="{00000002-9721-4E8D-B30E-134CCE9402EF}"/>
            </c:ext>
          </c:extLst>
        </c:ser>
        <c:dLbls>
          <c:showLegendKey val="0"/>
          <c:showVal val="0"/>
          <c:showCatName val="0"/>
          <c:showSerName val="0"/>
          <c:showPercent val="0"/>
          <c:showBubbleSize val="0"/>
        </c:dLbls>
        <c:gapWidth val="182"/>
        <c:axId val="-1485387136"/>
        <c:axId val="-1485390944"/>
      </c:barChart>
      <c:catAx>
        <c:axId val="-1485387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85390944"/>
        <c:crosses val="autoZero"/>
        <c:auto val="1"/>
        <c:lblAlgn val="ctr"/>
        <c:lblOffset val="100"/>
        <c:noMultiLvlLbl val="0"/>
      </c:catAx>
      <c:valAx>
        <c:axId val="-1485390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8538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050"/>
              <a:t>Jurisdicción</a:t>
            </a:r>
            <a:r>
              <a:rPr lang="es-ES" sz="1050" baseline="0"/>
              <a:t> Disciplinaria</a:t>
            </a:r>
          </a:p>
          <a:p>
            <a:pPr>
              <a:defRPr/>
            </a:pPr>
            <a:r>
              <a:rPr lang="es-ES" sz="800" baseline="0"/>
              <a:t>Informe de Ingresos y Egresos vs (IEP%)</a:t>
            </a:r>
            <a:endParaRPr lang="es-ES" sz="800"/>
          </a:p>
        </c:rich>
      </c:tx>
      <c:layout>
        <c:manualLayout>
          <c:xMode val="edge"/>
          <c:yMode val="edge"/>
          <c:x val="0.2094587040256331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Hoja1!$B$1</c:f>
              <c:strCache>
                <c:ptCount val="1"/>
                <c:pt idx="0">
                  <c:v>Serie 1</c:v>
                </c:pt>
              </c:strCache>
            </c:strRef>
          </c:tx>
          <c:spPr>
            <a:solidFill>
              <a:schemeClr val="accent1"/>
            </a:solidFill>
            <a:ln>
              <a:noFill/>
            </a:ln>
            <a:effectLst/>
          </c:spPr>
          <c:invertIfNegative val="0"/>
          <c:cat>
            <c:strRef>
              <c:f>Hoja1!$A$2:$A$5</c:f>
              <c:strCache>
                <c:ptCount val="4"/>
                <c:pt idx="0">
                  <c:v>Categoría 1</c:v>
                </c:pt>
                <c:pt idx="1">
                  <c:v>Categoría 2</c:v>
                </c:pt>
                <c:pt idx="2">
                  <c:v>Categoría 3</c:v>
                </c:pt>
                <c:pt idx="3">
                  <c:v>Categoría 4</c:v>
                </c:pt>
              </c:strCache>
            </c:strRef>
          </c:cat>
          <c:val>
            <c:numRef>
              <c:f>Hoja1!$B$2:$B$5</c:f>
              <c:numCache>
                <c:formatCode>General</c:formatCode>
                <c:ptCount val="4"/>
                <c:pt idx="0">
                  <c:v>4.3</c:v>
                </c:pt>
                <c:pt idx="1">
                  <c:v>2.5</c:v>
                </c:pt>
                <c:pt idx="2">
                  <c:v>3.5</c:v>
                </c:pt>
                <c:pt idx="3">
                  <c:v>4.5</c:v>
                </c:pt>
              </c:numCache>
            </c:numRef>
          </c:val>
          <c:extLst xmlns:c16r2="http://schemas.microsoft.com/office/drawing/2015/06/chart">
            <c:ext xmlns:c16="http://schemas.microsoft.com/office/drawing/2014/chart" uri="{C3380CC4-5D6E-409C-BE32-E72D297353CC}">
              <c16:uniqueId val="{00000000-10B1-4F80-9A56-7B57754D554D}"/>
            </c:ext>
          </c:extLst>
        </c:ser>
        <c:ser>
          <c:idx val="1"/>
          <c:order val="1"/>
          <c:tx>
            <c:strRef>
              <c:f>Hoja1!$C$1</c:f>
              <c:strCache>
                <c:ptCount val="1"/>
                <c:pt idx="0">
                  <c:v>Serie 2</c:v>
                </c:pt>
              </c:strCache>
            </c:strRef>
          </c:tx>
          <c:spPr>
            <a:solidFill>
              <a:schemeClr val="accent2"/>
            </a:solidFill>
            <a:ln>
              <a:noFill/>
            </a:ln>
            <a:effectLst/>
          </c:spPr>
          <c:invertIfNegative val="0"/>
          <c:cat>
            <c:strRef>
              <c:f>Hoja1!$A$2:$A$5</c:f>
              <c:strCache>
                <c:ptCount val="4"/>
                <c:pt idx="0">
                  <c:v>Categoría 1</c:v>
                </c:pt>
                <c:pt idx="1">
                  <c:v>Categoría 2</c:v>
                </c:pt>
                <c:pt idx="2">
                  <c:v>Categoría 3</c:v>
                </c:pt>
                <c:pt idx="3">
                  <c:v>Categoría 4</c:v>
                </c:pt>
              </c:strCache>
            </c:strRef>
          </c:cat>
          <c:val>
            <c:numRef>
              <c:f>Hoja1!$C$2:$C$5</c:f>
              <c:numCache>
                <c:formatCode>General</c:formatCode>
                <c:ptCount val="4"/>
                <c:pt idx="0">
                  <c:v>2.4</c:v>
                </c:pt>
                <c:pt idx="1">
                  <c:v>4.4000000000000004</c:v>
                </c:pt>
                <c:pt idx="2">
                  <c:v>1.8</c:v>
                </c:pt>
                <c:pt idx="3">
                  <c:v>2.8</c:v>
                </c:pt>
              </c:numCache>
            </c:numRef>
          </c:val>
          <c:extLst xmlns:c16r2="http://schemas.microsoft.com/office/drawing/2015/06/chart">
            <c:ext xmlns:c16="http://schemas.microsoft.com/office/drawing/2014/chart" uri="{C3380CC4-5D6E-409C-BE32-E72D297353CC}">
              <c16:uniqueId val="{00000001-10B1-4F80-9A56-7B57754D554D}"/>
            </c:ext>
          </c:extLst>
        </c:ser>
        <c:ser>
          <c:idx val="2"/>
          <c:order val="2"/>
          <c:tx>
            <c:strRef>
              <c:f>Hoja1!$D$1</c:f>
              <c:strCache>
                <c:ptCount val="1"/>
                <c:pt idx="0">
                  <c:v>Serie 3</c:v>
                </c:pt>
              </c:strCache>
            </c:strRef>
          </c:tx>
          <c:spPr>
            <a:solidFill>
              <a:schemeClr val="accent3"/>
            </a:solidFill>
            <a:ln>
              <a:noFill/>
            </a:ln>
            <a:effectLst/>
          </c:spPr>
          <c:invertIfNegative val="0"/>
          <c:cat>
            <c:strRef>
              <c:f>Hoja1!$A$2:$A$5</c:f>
              <c:strCache>
                <c:ptCount val="4"/>
                <c:pt idx="0">
                  <c:v>Categoría 1</c:v>
                </c:pt>
                <c:pt idx="1">
                  <c:v>Categoría 2</c:v>
                </c:pt>
                <c:pt idx="2">
                  <c:v>Categoría 3</c:v>
                </c:pt>
                <c:pt idx="3">
                  <c:v>Categoría 4</c:v>
                </c:pt>
              </c:strCache>
            </c:strRef>
          </c:cat>
          <c:val>
            <c:numRef>
              <c:f>Hoja1!$D$2:$D$5</c:f>
              <c:numCache>
                <c:formatCode>General</c:formatCode>
                <c:ptCount val="4"/>
                <c:pt idx="0">
                  <c:v>2</c:v>
                </c:pt>
                <c:pt idx="1">
                  <c:v>2</c:v>
                </c:pt>
                <c:pt idx="2">
                  <c:v>3</c:v>
                </c:pt>
                <c:pt idx="3">
                  <c:v>5</c:v>
                </c:pt>
              </c:numCache>
            </c:numRef>
          </c:val>
          <c:extLst xmlns:c16r2="http://schemas.microsoft.com/office/drawing/2015/06/chart">
            <c:ext xmlns:c16="http://schemas.microsoft.com/office/drawing/2014/chart" uri="{C3380CC4-5D6E-409C-BE32-E72D297353CC}">
              <c16:uniqueId val="{00000002-10B1-4F80-9A56-7B57754D554D}"/>
            </c:ext>
          </c:extLst>
        </c:ser>
        <c:dLbls>
          <c:showLegendKey val="0"/>
          <c:showVal val="0"/>
          <c:showCatName val="0"/>
          <c:showSerName val="0"/>
          <c:showPercent val="0"/>
          <c:showBubbleSize val="0"/>
        </c:dLbls>
        <c:gapWidth val="182"/>
        <c:axId val="-1485380608"/>
        <c:axId val="-1485378976"/>
      </c:barChart>
      <c:catAx>
        <c:axId val="-1485380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85378976"/>
        <c:crosses val="autoZero"/>
        <c:auto val="1"/>
        <c:lblAlgn val="ctr"/>
        <c:lblOffset val="100"/>
        <c:noMultiLvlLbl val="0"/>
      </c:catAx>
      <c:valAx>
        <c:axId val="-1485378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85380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Lbls>
            <c:dLbl>
              <c:idx val="0"/>
              <c:layout>
                <c:manualLayout>
                  <c:x val="6.4215454851506454E-2"/>
                  <c:y val="-3.3760714413262324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s-CO"/>
                </a:p>
              </c:txPr>
              <c:dLblPos val="bestFit"/>
              <c:showLegendKey val="0"/>
              <c:showVal val="0"/>
              <c:showCatName val="1"/>
              <c:showSerName val="0"/>
              <c:showPercent val="1"/>
              <c:showBubbleSize val="0"/>
              <c:extLst>
                <c:ext xmlns:c15="http://schemas.microsoft.com/office/drawing/2012/chart" uri="{CE6537A1-D6FC-4f65-9D91-7224C49458BB}">
                  <c15:layout>
                    <c:manualLayout>
                      <c:w val="0.34728546671695576"/>
                      <c:h val="0.21249240555659099"/>
                    </c:manualLayout>
                  </c15:layout>
                </c:ext>
              </c:extLst>
            </c:dLbl>
            <c:dLbl>
              <c:idx val="1"/>
              <c:layout>
                <c:manualLayout>
                  <c:x val="-0.13861681306760815"/>
                  <c:y val="9.633309015699594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accent2"/>
                      </a:solidFill>
                      <a:latin typeface="Arial" panose="020B0604020202020204" pitchFamily="34" charset="0"/>
                      <a:ea typeface="+mn-ea"/>
                      <a:cs typeface="Arial" panose="020B0604020202020204" pitchFamily="34" charset="0"/>
                    </a:defRPr>
                  </a:pPr>
                  <a:endParaRPr lang="es-CO"/>
                </a:p>
              </c:txPr>
              <c:dLblPos val="bestFit"/>
              <c:showLegendKey val="0"/>
              <c:showVal val="0"/>
              <c:showCatName val="1"/>
              <c:showSerName val="0"/>
              <c:showPercent val="1"/>
              <c:showBubbleSize val="0"/>
              <c:extLst>
                <c:ext xmlns:c15="http://schemas.microsoft.com/office/drawing/2012/chart" uri="{CE6537A1-D6FC-4f65-9D91-7224C49458BB}">
                  <c15:layout>
                    <c:manualLayout>
                      <c:w val="0.25906724731786662"/>
                      <c:h val="0.2404699719943553"/>
                    </c:manualLayout>
                  </c15:layout>
                </c:ext>
              </c:extLst>
            </c:dLbl>
            <c:dLbl>
              <c:idx val="2"/>
              <c:layout>
                <c:manualLayout>
                  <c:x val="1.0550749103186347E-2"/>
                  <c:y val="0"/>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accent3"/>
                      </a:solidFill>
                      <a:latin typeface="Arial" panose="020B0604020202020204" pitchFamily="34" charset="0"/>
                      <a:ea typeface="+mn-ea"/>
                      <a:cs typeface="Arial" panose="020B0604020202020204" pitchFamily="34" charset="0"/>
                    </a:defRPr>
                  </a:pPr>
                  <a:endParaRPr lang="es-CO"/>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32255750158261243"/>
                      <c:h val="0.18804204961622342"/>
                    </c:manualLayout>
                  </c15:layout>
                </c:ext>
              </c:extLst>
            </c:dLbl>
            <c:dLbl>
              <c:idx val="3"/>
              <c:layout>
                <c:manualLayout>
                  <c:x val="0.35895439273105584"/>
                  <c:y val="6.33530618699162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15:layout>
                    <c:manualLayout>
                      <c:w val="0.27782232538510232"/>
                      <c:h val="0.24356003301616194"/>
                    </c:manualLayout>
                  </c15:layout>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'Actual Dic19'!$B$49:$B$52</c:f>
              <c:strCache>
                <c:ptCount val="4"/>
                <c:pt idx="0">
                  <c:v>GASTOS PERSONAL</c:v>
                </c:pt>
                <c:pt idx="1">
                  <c:v>GASTOS GENERAL</c:v>
                </c:pt>
                <c:pt idx="2">
                  <c:v>TRANSF CTES</c:v>
                </c:pt>
                <c:pt idx="3">
                  <c:v>INVERSION</c:v>
                </c:pt>
              </c:strCache>
            </c:strRef>
          </c:cat>
          <c:val>
            <c:numRef>
              <c:f>'Actual Dic19'!$C$49:$C$52</c:f>
              <c:numCache>
                <c:formatCode>0.00%</c:formatCode>
                <c:ptCount val="4"/>
                <c:pt idx="0">
                  <c:v>0.90569842091799269</c:v>
                </c:pt>
                <c:pt idx="1">
                  <c:v>7.6491952004271127E-2</c:v>
                </c:pt>
                <c:pt idx="2">
                  <c:v>4.019912804486216E-3</c:v>
                </c:pt>
                <c:pt idx="3">
                  <c:v>1.3789714273250021E-2</c:v>
                </c:pt>
              </c:numCache>
            </c:numRef>
          </c:val>
        </c:ser>
        <c:dLbls>
          <c:dLblPos val="out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softEdge rad="1270000"/>
    </a:effectLst>
    <a:scene3d>
      <a:camera prst="orthographicFront"/>
      <a:lightRig rig="threePt" dir="t"/>
    </a:scene3d>
    <a:sp3d prstMaterial="softEdge"/>
  </c:spPr>
  <c:txPr>
    <a:bodyPr/>
    <a:lstStyle/>
    <a:p>
      <a:pPr>
        <a:defRPr/>
      </a:pPr>
      <a:endParaRPr lang="es-CO"/>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597C9-1DD8-4E51-9726-B522E9F6D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10</Pages>
  <Words>2631</Words>
  <Characters>14474</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Steven Londoño Castañeda</dc:creator>
  <cp:keywords/>
  <dc:description/>
  <cp:lastModifiedBy>andrea lopez</cp:lastModifiedBy>
  <cp:revision>13</cp:revision>
  <dcterms:created xsi:type="dcterms:W3CDTF">2020-04-27T21:09:00Z</dcterms:created>
  <dcterms:modified xsi:type="dcterms:W3CDTF">2020-04-30T19:22:00Z</dcterms:modified>
</cp:coreProperties>
</file>