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11A2" w14:textId="77777777" w:rsidR="009C2939" w:rsidRDefault="009C2939" w:rsidP="009C2939">
      <w:pPr>
        <w:spacing w:line="336" w:lineRule="auto"/>
        <w:jc w:val="center"/>
        <w:rPr>
          <w:rFonts w:ascii="Bookman Old Style" w:hAnsi="Bookman Old Style" w:cs="Arial"/>
          <w:b/>
          <w:sz w:val="28"/>
          <w:szCs w:val="28"/>
        </w:rPr>
      </w:pPr>
      <w:bookmarkStart w:id="0" w:name="_GoBack"/>
      <w:bookmarkEnd w:id="0"/>
    </w:p>
    <w:p w14:paraId="2CB459FB" w14:textId="77777777" w:rsidR="009C2939" w:rsidRDefault="009C2939" w:rsidP="009C2939">
      <w:pPr>
        <w:spacing w:line="336" w:lineRule="auto"/>
        <w:jc w:val="center"/>
        <w:rPr>
          <w:rFonts w:ascii="Bookman Old Style" w:hAnsi="Bookman Old Style" w:cs="Arial"/>
          <w:b/>
          <w:sz w:val="28"/>
          <w:szCs w:val="28"/>
        </w:rPr>
      </w:pPr>
    </w:p>
    <w:p w14:paraId="1DECBBD7" w14:textId="77777777" w:rsidR="009C2939" w:rsidRPr="005C5738" w:rsidRDefault="009C2939" w:rsidP="009C2939">
      <w:pPr>
        <w:spacing w:line="336" w:lineRule="auto"/>
        <w:jc w:val="center"/>
        <w:rPr>
          <w:rFonts w:ascii="Bookman Old Style" w:hAnsi="Bookman Old Style" w:cs="Arial"/>
          <w:b/>
          <w:sz w:val="28"/>
          <w:szCs w:val="28"/>
        </w:rPr>
      </w:pPr>
    </w:p>
    <w:p w14:paraId="1DEEEFCA" w14:textId="77777777" w:rsidR="009C2939" w:rsidRPr="005C5738" w:rsidRDefault="009C2939" w:rsidP="009C2939">
      <w:pPr>
        <w:spacing w:line="336" w:lineRule="auto"/>
        <w:jc w:val="center"/>
        <w:rPr>
          <w:rFonts w:ascii="Bookman Old Style" w:hAnsi="Bookman Old Style" w:cs="Arial"/>
          <w:b/>
          <w:sz w:val="28"/>
          <w:szCs w:val="28"/>
        </w:rPr>
      </w:pPr>
      <w:r>
        <w:rPr>
          <w:rFonts w:ascii="Bookman Old Style" w:hAnsi="Bookman Old Style" w:cs="Arial"/>
          <w:b/>
          <w:sz w:val="28"/>
          <w:szCs w:val="28"/>
        </w:rPr>
        <w:t>PATRICIA SALAZAR CUÉLLAR</w:t>
      </w:r>
    </w:p>
    <w:p w14:paraId="7271D333" w14:textId="77777777" w:rsidR="009C2939" w:rsidRPr="005C5738" w:rsidRDefault="009C2939" w:rsidP="009C2939">
      <w:pPr>
        <w:spacing w:line="336" w:lineRule="auto"/>
        <w:jc w:val="center"/>
        <w:rPr>
          <w:rFonts w:ascii="Bookman Old Style" w:hAnsi="Bookman Old Style" w:cs="Arial"/>
          <w:b/>
          <w:sz w:val="28"/>
          <w:szCs w:val="28"/>
        </w:rPr>
      </w:pPr>
      <w:r>
        <w:rPr>
          <w:rFonts w:ascii="Bookman Old Style" w:hAnsi="Bookman Old Style" w:cs="Arial"/>
          <w:b/>
          <w:sz w:val="28"/>
          <w:szCs w:val="28"/>
        </w:rPr>
        <w:t>Magistrada</w:t>
      </w:r>
      <w:r w:rsidRPr="005C5738">
        <w:rPr>
          <w:rFonts w:ascii="Bookman Old Style" w:hAnsi="Bookman Old Style" w:cs="Arial"/>
          <w:b/>
          <w:sz w:val="28"/>
          <w:szCs w:val="28"/>
        </w:rPr>
        <w:t xml:space="preserve"> ponente</w:t>
      </w:r>
    </w:p>
    <w:p w14:paraId="13C03BEC" w14:textId="77777777" w:rsidR="009C2939" w:rsidRDefault="009C2939" w:rsidP="009C2939">
      <w:pPr>
        <w:spacing w:line="336" w:lineRule="auto"/>
        <w:jc w:val="center"/>
        <w:rPr>
          <w:rFonts w:ascii="Bookman Old Style" w:hAnsi="Bookman Old Style" w:cs="Arial"/>
          <w:b/>
          <w:sz w:val="28"/>
          <w:szCs w:val="28"/>
        </w:rPr>
      </w:pPr>
    </w:p>
    <w:p w14:paraId="50C791E4" w14:textId="77777777" w:rsidR="009C2939" w:rsidRDefault="009C2939" w:rsidP="009C2939">
      <w:pPr>
        <w:spacing w:line="336" w:lineRule="auto"/>
        <w:jc w:val="center"/>
        <w:rPr>
          <w:rFonts w:ascii="Bookman Old Style" w:hAnsi="Bookman Old Style" w:cs="Arial"/>
          <w:b/>
          <w:sz w:val="28"/>
          <w:szCs w:val="28"/>
        </w:rPr>
      </w:pPr>
    </w:p>
    <w:p w14:paraId="1334CAC5" w14:textId="57C28208" w:rsidR="009C2939" w:rsidRDefault="00F51E5A" w:rsidP="009C2939">
      <w:pPr>
        <w:spacing w:line="336" w:lineRule="auto"/>
        <w:jc w:val="center"/>
        <w:rPr>
          <w:rFonts w:ascii="Bookman Old Style" w:hAnsi="Bookman Old Style" w:cs="Arial"/>
          <w:b/>
          <w:sz w:val="28"/>
          <w:szCs w:val="28"/>
        </w:rPr>
      </w:pPr>
      <w:r w:rsidRPr="00F51E5A">
        <w:rPr>
          <w:rFonts w:ascii="Bookman Old Style" w:hAnsi="Bookman Old Style" w:cs="Arial"/>
          <w:b/>
          <w:sz w:val="28"/>
          <w:szCs w:val="28"/>
        </w:rPr>
        <w:t>AP7617-2016</w:t>
      </w:r>
    </w:p>
    <w:p w14:paraId="6B53B377" w14:textId="03CA3CB3" w:rsidR="009C2939" w:rsidRPr="005C5738" w:rsidRDefault="009C2939" w:rsidP="009C2939">
      <w:pPr>
        <w:spacing w:line="336" w:lineRule="auto"/>
        <w:jc w:val="center"/>
        <w:rPr>
          <w:rFonts w:ascii="Bookman Old Style" w:hAnsi="Bookman Old Style" w:cs="Arial"/>
          <w:b/>
          <w:sz w:val="28"/>
          <w:szCs w:val="28"/>
        </w:rPr>
      </w:pPr>
      <w:r w:rsidRPr="00674984">
        <w:rPr>
          <w:rFonts w:ascii="Bookman Old Style" w:hAnsi="Bookman Old Style" w:cs="Arial"/>
          <w:b/>
          <w:sz w:val="28"/>
          <w:szCs w:val="28"/>
        </w:rPr>
        <w:t>R</w:t>
      </w:r>
      <w:r>
        <w:rPr>
          <w:rFonts w:ascii="Bookman Old Style" w:hAnsi="Bookman Old Style" w:cs="Arial"/>
          <w:b/>
          <w:sz w:val="28"/>
          <w:szCs w:val="28"/>
        </w:rPr>
        <w:t>adicación N</w:t>
      </w:r>
      <w:r w:rsidRPr="005C5738">
        <w:rPr>
          <w:rFonts w:ascii="Bookman Old Style" w:hAnsi="Bookman Old Style" w:cs="Arial"/>
          <w:b/>
          <w:sz w:val="28"/>
          <w:szCs w:val="28"/>
        </w:rPr>
        <w:t xml:space="preserve">° </w:t>
      </w:r>
      <w:r w:rsidR="005F1434">
        <w:rPr>
          <w:rFonts w:ascii="Bookman Old Style" w:hAnsi="Bookman Old Style" w:cs="Arial"/>
          <w:b/>
          <w:sz w:val="28"/>
          <w:szCs w:val="28"/>
        </w:rPr>
        <w:t>48.942</w:t>
      </w:r>
    </w:p>
    <w:p w14:paraId="0518DC83" w14:textId="338DB765" w:rsidR="009C2939" w:rsidRDefault="009C2939" w:rsidP="009C2939">
      <w:pPr>
        <w:spacing w:line="336" w:lineRule="auto"/>
        <w:jc w:val="center"/>
        <w:rPr>
          <w:rFonts w:ascii="Bookman Old Style" w:hAnsi="Bookman Old Style"/>
          <w:sz w:val="26"/>
          <w:szCs w:val="26"/>
        </w:rPr>
      </w:pPr>
      <w:r w:rsidRPr="005C5738">
        <w:rPr>
          <w:rFonts w:ascii="Bookman Old Style" w:hAnsi="Bookman Old Style"/>
          <w:sz w:val="26"/>
          <w:szCs w:val="26"/>
        </w:rPr>
        <w:t>(</w:t>
      </w:r>
      <w:r w:rsidRPr="00786D08">
        <w:rPr>
          <w:rFonts w:ascii="Bookman Old Style" w:hAnsi="Bookman Old Style" w:cs="Arial"/>
          <w:sz w:val="28"/>
          <w:szCs w:val="28"/>
        </w:rPr>
        <w:t>Aprobado Acta</w:t>
      </w:r>
      <w:r>
        <w:rPr>
          <w:rFonts w:ascii="Bookman Old Style" w:hAnsi="Bookman Old Style" w:cs="Arial"/>
          <w:sz w:val="28"/>
          <w:szCs w:val="28"/>
        </w:rPr>
        <w:t xml:space="preserve"> Nº</w:t>
      </w:r>
      <w:r w:rsidR="00F51E5A">
        <w:rPr>
          <w:rFonts w:ascii="Bookman Old Style" w:hAnsi="Bookman Old Style" w:cs="Arial"/>
          <w:sz w:val="28"/>
          <w:szCs w:val="28"/>
        </w:rPr>
        <w:t xml:space="preserve"> 346</w:t>
      </w:r>
      <w:r w:rsidRPr="00786D08">
        <w:rPr>
          <w:rFonts w:ascii="Bookman Old Style" w:hAnsi="Bookman Old Style"/>
          <w:sz w:val="28"/>
          <w:szCs w:val="28"/>
        </w:rPr>
        <w:t>)</w:t>
      </w:r>
    </w:p>
    <w:p w14:paraId="25D03FDE" w14:textId="77777777" w:rsidR="009C2939" w:rsidRDefault="009C2939" w:rsidP="009C2939">
      <w:pPr>
        <w:spacing w:line="336" w:lineRule="auto"/>
        <w:jc w:val="center"/>
        <w:rPr>
          <w:rFonts w:ascii="Bookman Old Style" w:hAnsi="Bookman Old Style" w:cs="Arial"/>
          <w:b/>
          <w:sz w:val="26"/>
          <w:szCs w:val="26"/>
        </w:rPr>
      </w:pPr>
    </w:p>
    <w:p w14:paraId="412EFCEB" w14:textId="77777777" w:rsidR="009C2939" w:rsidRDefault="009C2939" w:rsidP="009C2939">
      <w:pPr>
        <w:spacing w:line="336" w:lineRule="auto"/>
        <w:jc w:val="center"/>
        <w:rPr>
          <w:rFonts w:ascii="Bookman Old Style" w:hAnsi="Bookman Old Style" w:cs="Arial"/>
          <w:b/>
          <w:sz w:val="26"/>
          <w:szCs w:val="26"/>
        </w:rPr>
      </w:pPr>
    </w:p>
    <w:p w14:paraId="42A991F9" w14:textId="1E6757F1" w:rsidR="009C2939" w:rsidRDefault="009C2939" w:rsidP="009C2939">
      <w:pPr>
        <w:spacing w:line="336" w:lineRule="auto"/>
        <w:ind w:firstLine="709"/>
        <w:jc w:val="both"/>
        <w:rPr>
          <w:rFonts w:ascii="Bookman Old Style" w:hAnsi="Bookman Old Style"/>
          <w:sz w:val="28"/>
          <w:szCs w:val="28"/>
        </w:rPr>
      </w:pPr>
      <w:r w:rsidRPr="00474950">
        <w:rPr>
          <w:rFonts w:ascii="Bookman Old Style" w:hAnsi="Bookman Old Style"/>
          <w:sz w:val="28"/>
          <w:szCs w:val="28"/>
        </w:rPr>
        <w:t>Bogotá D.C.,</w:t>
      </w:r>
      <w:r>
        <w:rPr>
          <w:rFonts w:ascii="Bookman Old Style" w:hAnsi="Bookman Old Style"/>
          <w:sz w:val="28"/>
          <w:szCs w:val="28"/>
        </w:rPr>
        <w:t xml:space="preserve"> </w:t>
      </w:r>
      <w:r w:rsidR="00F51E5A">
        <w:rPr>
          <w:rFonts w:ascii="Bookman Old Style" w:hAnsi="Bookman Old Style"/>
          <w:sz w:val="28"/>
          <w:szCs w:val="28"/>
        </w:rPr>
        <w:t xml:space="preserve">dos (2) de noviembre </w:t>
      </w:r>
      <w:r>
        <w:rPr>
          <w:rFonts w:ascii="Bookman Old Style" w:hAnsi="Bookman Old Style"/>
          <w:sz w:val="28"/>
          <w:szCs w:val="28"/>
        </w:rPr>
        <w:t xml:space="preserve">de dos mil dieciséis </w:t>
      </w:r>
      <w:r w:rsidR="00F51E5A">
        <w:rPr>
          <w:rFonts w:ascii="Bookman Old Style" w:hAnsi="Bookman Old Style"/>
          <w:sz w:val="28"/>
          <w:szCs w:val="28"/>
        </w:rPr>
        <w:t>(2016)</w:t>
      </w:r>
    </w:p>
    <w:p w14:paraId="7E51C5AF" w14:textId="77777777" w:rsidR="009C2939" w:rsidRDefault="009C2939" w:rsidP="009C2939">
      <w:pPr>
        <w:spacing w:line="336" w:lineRule="auto"/>
        <w:ind w:firstLine="709"/>
        <w:jc w:val="both"/>
        <w:rPr>
          <w:rFonts w:ascii="Bookman Old Style" w:hAnsi="Bookman Old Style"/>
          <w:sz w:val="28"/>
          <w:szCs w:val="28"/>
        </w:rPr>
      </w:pPr>
    </w:p>
    <w:p w14:paraId="2219CEAD" w14:textId="77777777" w:rsidR="009C2939" w:rsidRDefault="009C2939" w:rsidP="009C2939">
      <w:pPr>
        <w:spacing w:line="336" w:lineRule="auto"/>
        <w:ind w:firstLine="709"/>
        <w:jc w:val="both"/>
        <w:rPr>
          <w:rFonts w:ascii="Bookman Old Style" w:hAnsi="Bookman Old Style"/>
          <w:sz w:val="28"/>
          <w:szCs w:val="28"/>
        </w:rPr>
      </w:pPr>
    </w:p>
    <w:p w14:paraId="531A7F50" w14:textId="77777777" w:rsidR="009C2939" w:rsidRPr="00441694" w:rsidRDefault="009C2939" w:rsidP="009C2939">
      <w:pPr>
        <w:spacing w:line="336" w:lineRule="auto"/>
        <w:jc w:val="center"/>
        <w:rPr>
          <w:rFonts w:ascii="Bookman Old Style" w:hAnsi="Bookman Old Style"/>
          <w:b/>
          <w:sz w:val="28"/>
          <w:szCs w:val="28"/>
        </w:rPr>
      </w:pPr>
      <w:r w:rsidRPr="00441694">
        <w:rPr>
          <w:rFonts w:ascii="Bookman Old Style" w:hAnsi="Bookman Old Style"/>
          <w:b/>
          <w:sz w:val="28"/>
          <w:szCs w:val="28"/>
        </w:rPr>
        <w:t>ASUNTO</w:t>
      </w:r>
    </w:p>
    <w:p w14:paraId="3A93104E" w14:textId="77777777" w:rsidR="009C2939" w:rsidRDefault="009C2939" w:rsidP="009C2939">
      <w:pPr>
        <w:spacing w:line="336" w:lineRule="auto"/>
        <w:jc w:val="center"/>
        <w:rPr>
          <w:rFonts w:ascii="Bookman Old Style" w:hAnsi="Bookman Old Style" w:cs="Arial"/>
          <w:b/>
          <w:sz w:val="28"/>
          <w:szCs w:val="28"/>
          <w:lang w:val="es-ES_tradnl"/>
        </w:rPr>
      </w:pPr>
    </w:p>
    <w:p w14:paraId="36E55DEC" w14:textId="77777777" w:rsidR="009C2939" w:rsidRDefault="009C2939" w:rsidP="009C2939">
      <w:pPr>
        <w:spacing w:line="336" w:lineRule="auto"/>
        <w:jc w:val="center"/>
        <w:rPr>
          <w:rFonts w:ascii="Bookman Old Style" w:hAnsi="Bookman Old Style" w:cs="Arial"/>
          <w:b/>
          <w:sz w:val="28"/>
          <w:szCs w:val="28"/>
          <w:lang w:val="es-ES_tradnl"/>
        </w:rPr>
      </w:pPr>
    </w:p>
    <w:p w14:paraId="1850FB8E" w14:textId="77777777" w:rsidR="009C2939" w:rsidRPr="005A64E1" w:rsidRDefault="009C2939" w:rsidP="009C2939">
      <w:pPr>
        <w:pStyle w:val="Textoindependiente"/>
        <w:spacing w:line="336" w:lineRule="auto"/>
        <w:ind w:firstLine="708"/>
        <w:rPr>
          <w:rFonts w:ascii="Bookman Old Style" w:hAnsi="Bookman Old Style"/>
          <w:spacing w:val="-3"/>
          <w:sz w:val="28"/>
          <w:szCs w:val="28"/>
          <w:lang w:val="es-CO"/>
        </w:rPr>
      </w:pPr>
      <w:r w:rsidRPr="005A64E1">
        <w:rPr>
          <w:rFonts w:ascii="Bookman Old Style" w:hAnsi="Bookman Old Style"/>
          <w:spacing w:val="-3"/>
          <w:sz w:val="28"/>
          <w:szCs w:val="28"/>
          <w:lang w:val="es-CO"/>
        </w:rPr>
        <w:t>Resuelve la Sala el recurso de apelación interpuesto</w:t>
      </w:r>
      <w:r w:rsidR="00D351A9">
        <w:rPr>
          <w:rFonts w:ascii="Bookman Old Style" w:hAnsi="Bookman Old Style"/>
          <w:spacing w:val="-3"/>
          <w:sz w:val="28"/>
          <w:szCs w:val="28"/>
          <w:lang w:val="es-CO"/>
        </w:rPr>
        <w:t xml:space="preserve"> </w:t>
      </w:r>
      <w:r w:rsidRPr="005A64E1">
        <w:rPr>
          <w:rFonts w:ascii="Bookman Old Style" w:hAnsi="Bookman Old Style"/>
          <w:spacing w:val="-3"/>
          <w:sz w:val="28"/>
          <w:szCs w:val="28"/>
          <w:lang w:val="es-CO"/>
        </w:rPr>
        <w:t xml:space="preserve">por el defensor del postulado </w:t>
      </w:r>
      <w:r w:rsidR="005A64E1" w:rsidRPr="005A64E1">
        <w:rPr>
          <w:rFonts w:ascii="Bookman Old Style" w:hAnsi="Bookman Old Style"/>
          <w:spacing w:val="-3"/>
          <w:sz w:val="28"/>
          <w:szCs w:val="28"/>
          <w:lang w:val="es-CO"/>
        </w:rPr>
        <w:t xml:space="preserve">CARLOS MARIO JIMÉNEZ NARANJO, </w:t>
      </w:r>
      <w:r w:rsidRPr="005A64E1">
        <w:rPr>
          <w:rFonts w:ascii="Bookman Old Style" w:hAnsi="Bookman Old Style"/>
          <w:spacing w:val="-3"/>
          <w:sz w:val="28"/>
          <w:szCs w:val="28"/>
          <w:lang w:val="es-CO"/>
        </w:rPr>
        <w:t xml:space="preserve">contra el auto del </w:t>
      </w:r>
      <w:r w:rsidR="005A64E1" w:rsidRPr="005A64E1">
        <w:rPr>
          <w:rFonts w:ascii="Bookman Old Style" w:hAnsi="Bookman Old Style"/>
          <w:spacing w:val="-3"/>
          <w:sz w:val="28"/>
          <w:szCs w:val="28"/>
          <w:lang w:val="es-CO"/>
        </w:rPr>
        <w:t xml:space="preserve">2 de diciembre de 2014, </w:t>
      </w:r>
      <w:r w:rsidRPr="005A64E1">
        <w:rPr>
          <w:rFonts w:ascii="Bookman Old Style" w:hAnsi="Bookman Old Style"/>
          <w:spacing w:val="-3"/>
          <w:sz w:val="28"/>
          <w:szCs w:val="28"/>
          <w:lang w:val="es-CO"/>
        </w:rPr>
        <w:t xml:space="preserve">proferido por la Sala de Justicia y Paz del Tribunal Superior del Distrito Judicial de </w:t>
      </w:r>
      <w:r w:rsidR="005A64E1" w:rsidRPr="005A64E1">
        <w:rPr>
          <w:rFonts w:ascii="Bookman Old Style" w:hAnsi="Bookman Old Style"/>
          <w:spacing w:val="-3"/>
          <w:sz w:val="28"/>
          <w:szCs w:val="28"/>
          <w:lang w:val="es-CO"/>
        </w:rPr>
        <w:t>Bogotá</w:t>
      </w:r>
      <w:r w:rsidRPr="005A64E1">
        <w:rPr>
          <w:rFonts w:ascii="Bookman Old Style" w:hAnsi="Bookman Old Style"/>
          <w:spacing w:val="-3"/>
          <w:sz w:val="28"/>
          <w:szCs w:val="28"/>
          <w:lang w:val="es-CO"/>
        </w:rPr>
        <w:t>, por cuyo medio dispuso la expulsión de aquél del proceso especial regulado por la Ley 975 de 2005.</w:t>
      </w:r>
    </w:p>
    <w:p w14:paraId="75CF41BC" w14:textId="77777777" w:rsidR="009C2939" w:rsidRPr="005A64E1" w:rsidRDefault="009C2939" w:rsidP="009C2939">
      <w:pPr>
        <w:pStyle w:val="Textoindependiente"/>
        <w:spacing w:line="336" w:lineRule="auto"/>
        <w:ind w:firstLine="708"/>
        <w:rPr>
          <w:rFonts w:ascii="Bookman Old Style" w:hAnsi="Bookman Old Style"/>
          <w:color w:val="002060"/>
          <w:spacing w:val="-3"/>
          <w:sz w:val="28"/>
          <w:szCs w:val="28"/>
          <w:lang w:val="es-CO"/>
        </w:rPr>
      </w:pPr>
    </w:p>
    <w:p w14:paraId="2B19D09E" w14:textId="77777777" w:rsidR="009C2939" w:rsidRPr="005A64E1" w:rsidRDefault="009C2939" w:rsidP="009C2939">
      <w:pPr>
        <w:pStyle w:val="Textoindependiente"/>
        <w:spacing w:line="336" w:lineRule="auto"/>
        <w:ind w:firstLine="708"/>
        <w:rPr>
          <w:rFonts w:ascii="Bookman Old Style" w:hAnsi="Bookman Old Style"/>
          <w:color w:val="002060"/>
          <w:spacing w:val="-3"/>
          <w:sz w:val="28"/>
          <w:szCs w:val="28"/>
          <w:lang w:val="es-CO"/>
        </w:rPr>
      </w:pPr>
    </w:p>
    <w:p w14:paraId="1865190A" w14:textId="77777777" w:rsidR="009C2939" w:rsidRPr="005A64E1" w:rsidRDefault="009C2939" w:rsidP="009C2939">
      <w:pPr>
        <w:pStyle w:val="Textoindependiente"/>
        <w:spacing w:line="336" w:lineRule="auto"/>
        <w:ind w:firstLine="708"/>
        <w:rPr>
          <w:rFonts w:ascii="Bookman Old Style" w:hAnsi="Bookman Old Style"/>
          <w:color w:val="002060"/>
          <w:spacing w:val="-3"/>
          <w:sz w:val="28"/>
          <w:szCs w:val="28"/>
          <w:lang w:val="es-CO"/>
        </w:rPr>
      </w:pPr>
    </w:p>
    <w:p w14:paraId="797E4DBA" w14:textId="4C9C1377" w:rsidR="009C2939" w:rsidRPr="00D351A9" w:rsidRDefault="009C2939" w:rsidP="009C2939">
      <w:pPr>
        <w:pStyle w:val="Textoindependiente"/>
        <w:spacing w:line="336" w:lineRule="auto"/>
        <w:jc w:val="center"/>
        <w:rPr>
          <w:rFonts w:ascii="Bookman Old Style" w:hAnsi="Bookman Old Style"/>
          <w:b/>
          <w:spacing w:val="-3"/>
          <w:sz w:val="27"/>
          <w:szCs w:val="27"/>
          <w:lang w:val="es-CO"/>
        </w:rPr>
      </w:pPr>
      <w:r w:rsidRPr="00D351A9">
        <w:rPr>
          <w:rFonts w:ascii="Bookman Old Style" w:hAnsi="Bookman Old Style"/>
          <w:b/>
          <w:spacing w:val="-3"/>
          <w:sz w:val="27"/>
          <w:szCs w:val="27"/>
          <w:lang w:val="es-CO"/>
        </w:rPr>
        <w:t>ANTECEDENTES PROCESALES PERTINENTES</w:t>
      </w:r>
    </w:p>
    <w:p w14:paraId="7D78C224" w14:textId="77777777" w:rsidR="009C2939" w:rsidRPr="005A64E1" w:rsidRDefault="009C2939" w:rsidP="009C2939">
      <w:pPr>
        <w:pStyle w:val="Textoindependiente"/>
        <w:spacing w:line="336" w:lineRule="auto"/>
        <w:ind w:firstLine="708"/>
        <w:jc w:val="center"/>
        <w:rPr>
          <w:rFonts w:ascii="Bookman Old Style" w:hAnsi="Bookman Old Style"/>
          <w:b/>
          <w:color w:val="002060"/>
          <w:spacing w:val="-3"/>
          <w:sz w:val="27"/>
          <w:szCs w:val="27"/>
          <w:lang w:val="es-CO"/>
        </w:rPr>
      </w:pPr>
    </w:p>
    <w:p w14:paraId="1CBCDCBC" w14:textId="77777777" w:rsidR="0090293E" w:rsidRPr="0090293E" w:rsidRDefault="009C2939" w:rsidP="009C2939">
      <w:pPr>
        <w:pStyle w:val="Textoindependiente"/>
        <w:spacing w:line="336" w:lineRule="auto"/>
        <w:ind w:firstLine="708"/>
        <w:rPr>
          <w:rFonts w:ascii="Bookman Old Style" w:hAnsi="Bookman Old Style"/>
          <w:spacing w:val="-3"/>
          <w:sz w:val="27"/>
          <w:szCs w:val="27"/>
          <w:lang w:val="es-CO"/>
        </w:rPr>
      </w:pPr>
      <w:r w:rsidRPr="0090293E">
        <w:rPr>
          <w:rFonts w:ascii="Bookman Old Style" w:hAnsi="Bookman Old Style"/>
          <w:spacing w:val="-3"/>
          <w:sz w:val="27"/>
          <w:szCs w:val="27"/>
          <w:lang w:val="es-CO"/>
        </w:rPr>
        <w:t xml:space="preserve">1. El </w:t>
      </w:r>
      <w:r w:rsidR="00D351A9" w:rsidRPr="0090293E">
        <w:rPr>
          <w:rFonts w:ascii="Bookman Old Style" w:hAnsi="Bookman Old Style"/>
          <w:spacing w:val="-3"/>
          <w:sz w:val="27"/>
          <w:szCs w:val="27"/>
          <w:lang w:val="es-CO"/>
        </w:rPr>
        <w:t xml:space="preserve">25 de abril de 2013, ante la Sala de </w:t>
      </w:r>
      <w:r w:rsidRPr="0090293E">
        <w:rPr>
          <w:rFonts w:ascii="Bookman Old Style" w:hAnsi="Bookman Old Style"/>
          <w:spacing w:val="-3"/>
          <w:sz w:val="27"/>
          <w:szCs w:val="27"/>
          <w:lang w:val="es-CO"/>
        </w:rPr>
        <w:t>Justicia y Paz del Tribunal Superior del Distrito Judicial de B</w:t>
      </w:r>
      <w:r w:rsidR="00D351A9" w:rsidRPr="0090293E">
        <w:rPr>
          <w:rFonts w:ascii="Bookman Old Style" w:hAnsi="Bookman Old Style"/>
          <w:spacing w:val="-3"/>
          <w:sz w:val="27"/>
          <w:szCs w:val="27"/>
          <w:lang w:val="es-CO"/>
        </w:rPr>
        <w:t xml:space="preserve">ogotá, el Fiscal 42 de la Unidad Nacional para la Justicia y la Paz </w:t>
      </w:r>
      <w:r w:rsidRPr="0090293E">
        <w:rPr>
          <w:rFonts w:ascii="Bookman Old Style" w:hAnsi="Bookman Old Style"/>
          <w:spacing w:val="-3"/>
          <w:sz w:val="27"/>
          <w:szCs w:val="27"/>
          <w:lang w:val="es-CO"/>
        </w:rPr>
        <w:t xml:space="preserve">radicó solicitud de audiencia de exclusión del postulado </w:t>
      </w:r>
      <w:r w:rsidR="00D351A9" w:rsidRPr="0090293E">
        <w:rPr>
          <w:rFonts w:ascii="Bookman Old Style" w:hAnsi="Bookman Old Style"/>
          <w:spacing w:val="-3"/>
          <w:sz w:val="28"/>
          <w:szCs w:val="28"/>
          <w:lang w:val="es-CO"/>
        </w:rPr>
        <w:t>CARLOS MARIO JIMÉNEZ NARANJO</w:t>
      </w:r>
      <w:r w:rsidRPr="0090293E">
        <w:rPr>
          <w:rStyle w:val="Refdenotaalpie"/>
          <w:rFonts w:ascii="Bookman Old Style" w:hAnsi="Bookman Old Style"/>
          <w:spacing w:val="-3"/>
          <w:sz w:val="27"/>
          <w:szCs w:val="27"/>
          <w:lang w:val="es-CO"/>
        </w:rPr>
        <w:footnoteReference w:id="1"/>
      </w:r>
      <w:r w:rsidRPr="0090293E">
        <w:rPr>
          <w:rFonts w:ascii="Bookman Old Style" w:hAnsi="Bookman Old Style"/>
          <w:spacing w:val="-3"/>
          <w:sz w:val="27"/>
          <w:szCs w:val="27"/>
          <w:lang w:val="es-CO"/>
        </w:rPr>
        <w:t xml:space="preserve">. Éste </w:t>
      </w:r>
      <w:r w:rsidR="0090293E" w:rsidRPr="0090293E">
        <w:rPr>
          <w:rFonts w:ascii="Bookman Old Style" w:hAnsi="Bookman Old Style"/>
          <w:spacing w:val="-3"/>
          <w:sz w:val="27"/>
          <w:szCs w:val="27"/>
          <w:lang w:val="es-CO"/>
        </w:rPr>
        <w:t>comandó el extinto Bloque Central Bolívar de las Autodefensas Unidas de Colombia (en adelante AUC)</w:t>
      </w:r>
      <w:r w:rsidR="0090293E">
        <w:rPr>
          <w:rFonts w:ascii="Bookman Old Style" w:hAnsi="Bookman Old Style"/>
          <w:spacing w:val="-3"/>
          <w:sz w:val="27"/>
          <w:szCs w:val="27"/>
          <w:lang w:val="es-CO"/>
        </w:rPr>
        <w:t xml:space="preserve">. </w:t>
      </w:r>
    </w:p>
    <w:p w14:paraId="146CE34E" w14:textId="77777777" w:rsidR="009C2939" w:rsidRPr="005A64E1" w:rsidRDefault="009C2939" w:rsidP="009C2939">
      <w:pPr>
        <w:pStyle w:val="Textoindependiente"/>
        <w:spacing w:line="336" w:lineRule="auto"/>
        <w:ind w:firstLine="708"/>
        <w:rPr>
          <w:rFonts w:ascii="Bookman Old Style" w:hAnsi="Bookman Old Style"/>
          <w:color w:val="002060"/>
          <w:spacing w:val="-3"/>
          <w:sz w:val="27"/>
          <w:szCs w:val="27"/>
          <w:lang w:val="es-CO"/>
        </w:rPr>
      </w:pPr>
    </w:p>
    <w:p w14:paraId="3058D3FF" w14:textId="1238F80B" w:rsidR="003D5C7A" w:rsidRPr="003D5C7A" w:rsidRDefault="009C2939" w:rsidP="009C2939">
      <w:pPr>
        <w:pStyle w:val="Textoindependiente"/>
        <w:spacing w:line="336" w:lineRule="auto"/>
        <w:ind w:firstLine="708"/>
        <w:rPr>
          <w:rFonts w:ascii="Bookman Old Style" w:hAnsi="Bookman Old Style"/>
          <w:spacing w:val="-3"/>
          <w:sz w:val="27"/>
          <w:szCs w:val="27"/>
          <w:lang w:val="es-CO"/>
        </w:rPr>
      </w:pPr>
      <w:r w:rsidRPr="003D5C7A">
        <w:rPr>
          <w:rFonts w:ascii="Bookman Old Style" w:hAnsi="Bookman Old Style"/>
          <w:spacing w:val="-3"/>
          <w:sz w:val="27"/>
          <w:szCs w:val="27"/>
          <w:lang w:val="es-CO"/>
        </w:rPr>
        <w:t>2. Durante la audiencia de exclusión, que se llevó a cabo en varias sesiones</w:t>
      </w:r>
      <w:r w:rsidR="005F1434">
        <w:rPr>
          <w:rFonts w:ascii="Bookman Old Style" w:hAnsi="Bookman Old Style"/>
          <w:spacing w:val="-3"/>
          <w:sz w:val="27"/>
          <w:szCs w:val="27"/>
          <w:lang w:val="es-CO"/>
        </w:rPr>
        <w:t>,</w:t>
      </w:r>
      <w:r w:rsidRPr="003D5C7A">
        <w:rPr>
          <w:rFonts w:ascii="Bookman Old Style" w:hAnsi="Bookman Old Style"/>
          <w:spacing w:val="-3"/>
          <w:sz w:val="27"/>
          <w:szCs w:val="27"/>
          <w:lang w:val="es-CO"/>
        </w:rPr>
        <w:t xml:space="preserve"> entre el </w:t>
      </w:r>
      <w:r w:rsidR="005931CD" w:rsidRPr="003D5C7A">
        <w:rPr>
          <w:rFonts w:ascii="Bookman Old Style" w:hAnsi="Bookman Old Style"/>
          <w:spacing w:val="-3"/>
          <w:sz w:val="27"/>
          <w:szCs w:val="27"/>
          <w:lang w:val="es-CO"/>
        </w:rPr>
        <w:t xml:space="preserve">23 de agosto de 2013 y el 19 de marzo de 2014, </w:t>
      </w:r>
      <w:r w:rsidRPr="003D5C7A">
        <w:rPr>
          <w:rFonts w:ascii="Bookman Old Style" w:hAnsi="Bookman Old Style"/>
          <w:spacing w:val="-3"/>
          <w:sz w:val="27"/>
          <w:szCs w:val="27"/>
          <w:lang w:val="es-CO"/>
        </w:rPr>
        <w:t xml:space="preserve">se conoció que </w:t>
      </w:r>
      <w:r w:rsidR="003D5C7A" w:rsidRPr="003D5C7A">
        <w:rPr>
          <w:rFonts w:ascii="Bookman Old Style" w:hAnsi="Bookman Old Style"/>
          <w:spacing w:val="-3"/>
          <w:sz w:val="27"/>
          <w:szCs w:val="27"/>
          <w:lang w:val="es-CO"/>
        </w:rPr>
        <w:t>el señor JIMÉNEZ</w:t>
      </w:r>
      <w:r w:rsidR="00B32111">
        <w:rPr>
          <w:rFonts w:ascii="Bookman Old Style" w:hAnsi="Bookman Old Style"/>
          <w:spacing w:val="-3"/>
          <w:sz w:val="27"/>
          <w:szCs w:val="27"/>
          <w:lang w:val="es-CO"/>
        </w:rPr>
        <w:t xml:space="preserve"> NARANJO se desmovilizó con el </w:t>
      </w:r>
      <w:r w:rsidR="003D5C7A" w:rsidRPr="003D5C7A">
        <w:rPr>
          <w:rFonts w:ascii="Bookman Old Style" w:hAnsi="Bookman Old Style"/>
          <w:spacing w:val="-3"/>
          <w:sz w:val="27"/>
          <w:szCs w:val="27"/>
          <w:lang w:val="es-CO"/>
        </w:rPr>
        <w:t>Frente Nordeste Antioqueño, Bajo Cauca y Magdalena Medio del Bloque Central Bolívar</w:t>
      </w:r>
      <w:r w:rsidR="005F1434">
        <w:rPr>
          <w:rFonts w:ascii="Bookman Old Style" w:hAnsi="Bookman Old Style"/>
          <w:spacing w:val="-3"/>
          <w:sz w:val="27"/>
          <w:szCs w:val="27"/>
          <w:lang w:val="es-CO"/>
        </w:rPr>
        <w:t xml:space="preserve"> de las AUC</w:t>
      </w:r>
      <w:r w:rsidR="003D5C7A" w:rsidRPr="003D5C7A">
        <w:rPr>
          <w:rFonts w:ascii="Bookman Old Style" w:hAnsi="Bookman Old Style"/>
          <w:spacing w:val="-3"/>
          <w:sz w:val="27"/>
          <w:szCs w:val="27"/>
          <w:lang w:val="es-CO"/>
        </w:rPr>
        <w:t xml:space="preserve"> el </w:t>
      </w:r>
      <w:r w:rsidR="003D5C7A" w:rsidRPr="00403499">
        <w:rPr>
          <w:rFonts w:ascii="Bookman Old Style" w:hAnsi="Bookman Old Style"/>
          <w:i/>
          <w:spacing w:val="-3"/>
          <w:sz w:val="27"/>
          <w:szCs w:val="27"/>
          <w:lang w:val="es-CO"/>
        </w:rPr>
        <w:t>12 de diciembre de 2005</w:t>
      </w:r>
      <w:r w:rsidR="003D5C7A" w:rsidRPr="003D5C7A">
        <w:rPr>
          <w:rFonts w:ascii="Bookman Old Style" w:hAnsi="Bookman Old Style"/>
          <w:spacing w:val="-3"/>
          <w:sz w:val="27"/>
          <w:szCs w:val="27"/>
          <w:lang w:val="es-CO"/>
        </w:rPr>
        <w:t xml:space="preserve">. </w:t>
      </w:r>
      <w:r w:rsidRPr="003D5C7A">
        <w:rPr>
          <w:rFonts w:ascii="Bookman Old Style" w:hAnsi="Bookman Old Style"/>
          <w:spacing w:val="-3"/>
          <w:sz w:val="27"/>
          <w:szCs w:val="27"/>
          <w:lang w:val="es-CO"/>
        </w:rPr>
        <w:t xml:space="preserve">Así mismo, que </w:t>
      </w:r>
      <w:r w:rsidR="003D5C7A" w:rsidRPr="003D5C7A">
        <w:rPr>
          <w:rFonts w:ascii="Bookman Old Style" w:hAnsi="Bookman Old Style"/>
          <w:spacing w:val="-3"/>
          <w:sz w:val="27"/>
          <w:szCs w:val="27"/>
          <w:lang w:val="es-CO"/>
        </w:rPr>
        <w:t>el 16 de agosto de 2006</w:t>
      </w:r>
      <w:r w:rsidR="003D5C7A">
        <w:rPr>
          <w:rFonts w:ascii="Bookman Old Style" w:hAnsi="Bookman Old Style"/>
          <w:spacing w:val="-3"/>
          <w:sz w:val="27"/>
          <w:szCs w:val="27"/>
          <w:lang w:val="es-CO"/>
        </w:rPr>
        <w:t xml:space="preserve"> </w:t>
      </w:r>
      <w:r w:rsidR="003D5C7A" w:rsidRPr="003D5C7A">
        <w:rPr>
          <w:rFonts w:ascii="Bookman Old Style" w:hAnsi="Bookman Old Style"/>
          <w:spacing w:val="-3"/>
          <w:sz w:val="27"/>
          <w:szCs w:val="27"/>
          <w:lang w:val="es-CO"/>
        </w:rPr>
        <w:t>fue postulado por el Gobierno Nacional para participar del proceso especial de Justicia y Paz.</w:t>
      </w:r>
      <w:r w:rsidR="003D5C7A">
        <w:rPr>
          <w:rFonts w:ascii="Bookman Old Style" w:hAnsi="Bookman Old Style"/>
          <w:spacing w:val="-3"/>
          <w:sz w:val="27"/>
          <w:szCs w:val="27"/>
          <w:lang w:val="es-CO"/>
        </w:rPr>
        <w:t xml:space="preserve"> </w:t>
      </w:r>
      <w:r w:rsidR="003D5C7A" w:rsidRPr="003D5C7A">
        <w:rPr>
          <w:rFonts w:ascii="Bookman Old Style" w:hAnsi="Bookman Old Style"/>
          <w:spacing w:val="-3"/>
          <w:sz w:val="27"/>
          <w:szCs w:val="27"/>
          <w:lang w:val="es-CO"/>
        </w:rPr>
        <w:t xml:space="preserve"> </w:t>
      </w:r>
    </w:p>
    <w:p w14:paraId="5AC99B00" w14:textId="77777777" w:rsidR="009C2939" w:rsidRPr="005A64E1" w:rsidRDefault="009C2939" w:rsidP="009C2939">
      <w:pPr>
        <w:pStyle w:val="Textoindependiente"/>
        <w:spacing w:line="336" w:lineRule="auto"/>
        <w:ind w:firstLine="708"/>
        <w:rPr>
          <w:rFonts w:ascii="Bookman Old Style" w:hAnsi="Bookman Old Style"/>
          <w:color w:val="002060"/>
          <w:spacing w:val="-3"/>
          <w:sz w:val="27"/>
          <w:szCs w:val="27"/>
          <w:lang w:val="es-CO"/>
        </w:rPr>
      </w:pPr>
    </w:p>
    <w:p w14:paraId="034C4624" w14:textId="5D49E8C7" w:rsidR="009C2939" w:rsidRDefault="003D5C7A" w:rsidP="009C2939">
      <w:pPr>
        <w:pStyle w:val="Textoindependiente"/>
        <w:ind w:firstLine="708"/>
        <w:rPr>
          <w:rFonts w:ascii="Bookman Old Style" w:hAnsi="Bookman Old Style"/>
          <w:spacing w:val="-3"/>
          <w:sz w:val="27"/>
          <w:szCs w:val="27"/>
          <w:lang w:val="es-CO"/>
        </w:rPr>
      </w:pPr>
      <w:r w:rsidRPr="003D5C7A">
        <w:rPr>
          <w:rFonts w:ascii="Bookman Old Style" w:hAnsi="Bookman Old Style"/>
          <w:spacing w:val="-3"/>
          <w:sz w:val="27"/>
          <w:szCs w:val="27"/>
          <w:lang w:val="es-CO"/>
        </w:rPr>
        <w:t>3</w:t>
      </w:r>
      <w:r w:rsidR="009C2939" w:rsidRPr="003D5C7A">
        <w:rPr>
          <w:rFonts w:ascii="Bookman Old Style" w:hAnsi="Bookman Old Style"/>
          <w:spacing w:val="-3"/>
          <w:sz w:val="27"/>
          <w:szCs w:val="27"/>
          <w:lang w:val="es-CO"/>
        </w:rPr>
        <w:t>. En consecuencia, el postulado en mención rindió</w:t>
      </w:r>
      <w:r w:rsidR="005F1434">
        <w:rPr>
          <w:rFonts w:ascii="Bookman Old Style" w:hAnsi="Bookman Old Style"/>
          <w:spacing w:val="-3"/>
          <w:sz w:val="27"/>
          <w:szCs w:val="27"/>
          <w:lang w:val="es-CO"/>
        </w:rPr>
        <w:t xml:space="preserve"> </w:t>
      </w:r>
      <w:r w:rsidRPr="003D5C7A">
        <w:rPr>
          <w:rFonts w:ascii="Bookman Old Style" w:hAnsi="Bookman Old Style"/>
          <w:spacing w:val="-3"/>
          <w:sz w:val="27"/>
          <w:szCs w:val="27"/>
          <w:lang w:val="es-CO"/>
        </w:rPr>
        <w:t>versión libre ante el Fiscal 42</w:t>
      </w:r>
      <w:r w:rsidR="009C2939" w:rsidRPr="003D5C7A">
        <w:rPr>
          <w:rFonts w:ascii="Bookman Old Style" w:hAnsi="Bookman Old Style"/>
          <w:spacing w:val="-3"/>
          <w:sz w:val="27"/>
          <w:szCs w:val="27"/>
          <w:lang w:val="es-CO"/>
        </w:rPr>
        <w:t xml:space="preserve"> de Justicia y Paz</w:t>
      </w:r>
      <w:r w:rsidR="005F1434" w:rsidRPr="003D5C7A">
        <w:rPr>
          <w:rStyle w:val="Refdenotaalpie"/>
          <w:rFonts w:ascii="Bookman Old Style" w:hAnsi="Bookman Old Style"/>
          <w:spacing w:val="-3"/>
          <w:sz w:val="27"/>
          <w:szCs w:val="27"/>
          <w:lang w:val="es-CO"/>
        </w:rPr>
        <w:footnoteReference w:id="2"/>
      </w:r>
      <w:r w:rsidRPr="003D5C7A">
        <w:rPr>
          <w:rFonts w:ascii="Bookman Old Style" w:hAnsi="Bookman Old Style"/>
          <w:spacing w:val="-3"/>
          <w:sz w:val="27"/>
          <w:szCs w:val="27"/>
          <w:lang w:val="es-CO"/>
        </w:rPr>
        <w:t>, en curso de las cuales</w:t>
      </w:r>
      <w:r w:rsidR="009C2939" w:rsidRPr="003D5C7A">
        <w:rPr>
          <w:rFonts w:ascii="Bookman Old Style" w:hAnsi="Bookman Old Style"/>
          <w:spacing w:val="-3"/>
          <w:sz w:val="27"/>
          <w:szCs w:val="27"/>
          <w:lang w:val="es-CO"/>
        </w:rPr>
        <w:t xml:space="preserve"> ratificó</w:t>
      </w:r>
      <w:r w:rsidR="009C2939" w:rsidRPr="003D5C7A">
        <w:rPr>
          <w:rFonts w:ascii="Bookman Old Style" w:hAnsi="Bookman Old Style"/>
          <w:i/>
          <w:spacing w:val="-3"/>
          <w:sz w:val="27"/>
          <w:szCs w:val="27"/>
          <w:lang w:val="es-CO"/>
        </w:rPr>
        <w:t xml:space="preserve"> </w:t>
      </w:r>
      <w:r w:rsidR="009C2939" w:rsidRPr="003D5C7A">
        <w:rPr>
          <w:rFonts w:ascii="Bookman Old Style" w:hAnsi="Bookman Old Style"/>
          <w:spacing w:val="-3"/>
          <w:sz w:val="27"/>
          <w:szCs w:val="27"/>
          <w:lang w:val="es-CO"/>
        </w:rPr>
        <w:t xml:space="preserve">su voluntad de someterse a las obligaciones y compromisos derivados de la </w:t>
      </w:r>
      <w:r w:rsidR="00DA3CDF">
        <w:rPr>
          <w:rFonts w:ascii="Bookman Old Style" w:hAnsi="Bookman Old Style"/>
          <w:spacing w:val="-3"/>
          <w:sz w:val="27"/>
          <w:szCs w:val="27"/>
          <w:lang w:val="es-CO"/>
        </w:rPr>
        <w:t>Ley 975 de 2005</w:t>
      </w:r>
      <w:r w:rsidR="009C2939" w:rsidRPr="003D5C7A">
        <w:rPr>
          <w:rFonts w:ascii="Bookman Old Style" w:hAnsi="Bookman Old Style"/>
          <w:spacing w:val="-3"/>
          <w:sz w:val="27"/>
          <w:szCs w:val="27"/>
          <w:lang w:val="es-CO"/>
        </w:rPr>
        <w:t>, de manera libre y voluntaria.</w:t>
      </w:r>
    </w:p>
    <w:p w14:paraId="202B7F37" w14:textId="77777777" w:rsidR="003D5C7A" w:rsidRDefault="003D5C7A" w:rsidP="009C2939">
      <w:pPr>
        <w:pStyle w:val="Textoindependiente"/>
        <w:ind w:firstLine="708"/>
        <w:rPr>
          <w:rFonts w:ascii="Bookman Old Style" w:hAnsi="Bookman Old Style"/>
          <w:spacing w:val="-3"/>
          <w:sz w:val="27"/>
          <w:szCs w:val="27"/>
          <w:lang w:val="es-CO"/>
        </w:rPr>
      </w:pPr>
    </w:p>
    <w:p w14:paraId="3FBC13EF" w14:textId="4C4FB927" w:rsidR="003D5C7A" w:rsidRPr="003D5C7A" w:rsidRDefault="003D5C7A" w:rsidP="009C2939">
      <w:pPr>
        <w:pStyle w:val="Textoindependiente"/>
        <w:ind w:firstLine="708"/>
        <w:rPr>
          <w:rFonts w:ascii="Bookman Old Style" w:hAnsi="Bookman Old Style"/>
          <w:spacing w:val="-3"/>
          <w:sz w:val="27"/>
          <w:szCs w:val="27"/>
          <w:lang w:val="es-CO"/>
        </w:rPr>
      </w:pPr>
      <w:r>
        <w:rPr>
          <w:rFonts w:ascii="Bookman Old Style" w:hAnsi="Bookman Old Style"/>
          <w:spacing w:val="-3"/>
          <w:sz w:val="27"/>
          <w:szCs w:val="27"/>
          <w:lang w:val="es-CO"/>
        </w:rPr>
        <w:t xml:space="preserve">4. CARLOS MARIO JIMÉNEZ NARANJO fue extraditado el 7 de mayo de 2008, en cumplimiento de la Resolución Nº 097 del 3 de abril del mismo año, a través de la cual el Presidente de la </w:t>
      </w:r>
      <w:r>
        <w:rPr>
          <w:rFonts w:ascii="Bookman Old Style" w:hAnsi="Bookman Old Style"/>
          <w:spacing w:val="-3"/>
          <w:sz w:val="27"/>
          <w:szCs w:val="27"/>
          <w:lang w:val="es-CO"/>
        </w:rPr>
        <w:lastRenderedPageBreak/>
        <w:t>República concedió su entrega con fines de extradición al Gobierno de los Estados Unidos de América</w:t>
      </w:r>
      <w:r w:rsidR="009E0216">
        <w:rPr>
          <w:rFonts w:ascii="Bookman Old Style" w:hAnsi="Bookman Old Style"/>
          <w:spacing w:val="-3"/>
          <w:sz w:val="27"/>
          <w:szCs w:val="27"/>
          <w:lang w:val="es-CO"/>
        </w:rPr>
        <w:t xml:space="preserve">, a fin de ser juzgado </w:t>
      </w:r>
      <w:r w:rsidR="00FC14C0">
        <w:rPr>
          <w:rFonts w:ascii="Bookman Old Style" w:hAnsi="Bookman Old Style"/>
          <w:spacing w:val="-3"/>
          <w:sz w:val="27"/>
          <w:szCs w:val="27"/>
          <w:lang w:val="es-CO"/>
        </w:rPr>
        <w:t>en Tribunales de</w:t>
      </w:r>
      <w:r w:rsidR="009E0216">
        <w:rPr>
          <w:rFonts w:ascii="Bookman Old Style" w:hAnsi="Bookman Old Style"/>
          <w:spacing w:val="-3"/>
          <w:sz w:val="27"/>
          <w:szCs w:val="27"/>
          <w:lang w:val="es-CO"/>
        </w:rPr>
        <w:t xml:space="preserve"> los Distritos de Columbia y Sur de la Florida por, entre otros, cargos de concierto para importar cocaína a los EEUU y concierto para estar en posesión con la intención de distribuir cocaína a bordo de un navío sujeto a la jurisdicción de ese país. </w:t>
      </w:r>
    </w:p>
    <w:p w14:paraId="2D559616" w14:textId="77777777" w:rsidR="009C2939" w:rsidRPr="005A64E1" w:rsidRDefault="009C2939" w:rsidP="009C2939">
      <w:pPr>
        <w:pStyle w:val="Textoindependiente"/>
        <w:ind w:firstLine="708"/>
        <w:rPr>
          <w:rFonts w:ascii="Bookman Old Style" w:hAnsi="Bookman Old Style"/>
          <w:color w:val="002060"/>
          <w:spacing w:val="-3"/>
          <w:sz w:val="27"/>
          <w:szCs w:val="27"/>
          <w:lang w:val="es-CO"/>
        </w:rPr>
      </w:pPr>
    </w:p>
    <w:p w14:paraId="476B90CD" w14:textId="293E0B60" w:rsidR="00114E9D" w:rsidRDefault="009E0216" w:rsidP="009C2939">
      <w:pPr>
        <w:pStyle w:val="Textoindependiente"/>
        <w:ind w:firstLine="708"/>
        <w:rPr>
          <w:rFonts w:ascii="Bookman Old Style" w:hAnsi="Bookman Old Style"/>
          <w:spacing w:val="-3"/>
          <w:sz w:val="27"/>
          <w:szCs w:val="27"/>
          <w:lang w:val="es-CO"/>
        </w:rPr>
      </w:pPr>
      <w:r w:rsidRPr="009E0216">
        <w:rPr>
          <w:rFonts w:ascii="Bookman Old Style" w:hAnsi="Bookman Old Style"/>
          <w:spacing w:val="-3"/>
          <w:sz w:val="27"/>
          <w:szCs w:val="27"/>
          <w:lang w:val="es-CO"/>
        </w:rPr>
        <w:t>5</w:t>
      </w:r>
      <w:r w:rsidR="009C2939" w:rsidRPr="009E0216">
        <w:rPr>
          <w:rFonts w:ascii="Bookman Old Style" w:hAnsi="Bookman Old Style"/>
          <w:spacing w:val="-3"/>
          <w:sz w:val="27"/>
          <w:szCs w:val="27"/>
          <w:lang w:val="es-CO"/>
        </w:rPr>
        <w:t>. E</w:t>
      </w:r>
      <w:r w:rsidRPr="009E0216">
        <w:rPr>
          <w:rFonts w:ascii="Bookman Old Style" w:hAnsi="Bookman Old Style"/>
          <w:sz w:val="27"/>
          <w:szCs w:val="27"/>
          <w:lang w:val="es-CO"/>
        </w:rPr>
        <w:t>l f</w:t>
      </w:r>
      <w:r w:rsidR="009C2939" w:rsidRPr="009E0216">
        <w:rPr>
          <w:rFonts w:ascii="Bookman Old Style" w:hAnsi="Bookman Old Style"/>
          <w:sz w:val="27"/>
          <w:szCs w:val="27"/>
          <w:lang w:val="es-CO"/>
        </w:rPr>
        <w:t>iscal</w:t>
      </w:r>
      <w:r w:rsidRPr="009E0216">
        <w:rPr>
          <w:rFonts w:ascii="Bookman Old Style" w:hAnsi="Bookman Old Style"/>
          <w:spacing w:val="-3"/>
          <w:sz w:val="27"/>
          <w:szCs w:val="27"/>
          <w:lang w:val="es-CO"/>
        </w:rPr>
        <w:t xml:space="preserve"> solicitante </w:t>
      </w:r>
      <w:r w:rsidR="009C2939" w:rsidRPr="009E0216">
        <w:rPr>
          <w:rFonts w:ascii="Bookman Old Style" w:hAnsi="Bookman Old Style"/>
          <w:spacing w:val="-3"/>
          <w:sz w:val="27"/>
          <w:szCs w:val="27"/>
          <w:lang w:val="es-CO"/>
        </w:rPr>
        <w:t xml:space="preserve">sustentó la pretensión de exclusión </w:t>
      </w:r>
      <w:r w:rsidRPr="009E0216">
        <w:rPr>
          <w:rFonts w:ascii="Bookman Old Style" w:hAnsi="Bookman Old Style"/>
          <w:spacing w:val="-3"/>
          <w:sz w:val="27"/>
          <w:szCs w:val="27"/>
          <w:lang w:val="es-CO"/>
        </w:rPr>
        <w:t>con base en que el Tribunal del Distrito Sur de la Florida</w:t>
      </w:r>
      <w:r w:rsidR="005D71DC">
        <w:rPr>
          <w:rFonts w:ascii="Bookman Old Style" w:hAnsi="Bookman Old Style"/>
          <w:spacing w:val="-3"/>
          <w:sz w:val="27"/>
          <w:szCs w:val="27"/>
          <w:lang w:val="es-CO"/>
        </w:rPr>
        <w:t>-</w:t>
      </w:r>
      <w:r w:rsidRPr="009E0216">
        <w:rPr>
          <w:rFonts w:ascii="Bookman Old Style" w:hAnsi="Bookman Old Style"/>
          <w:spacing w:val="-3"/>
          <w:sz w:val="27"/>
          <w:szCs w:val="27"/>
          <w:lang w:val="es-CO"/>
        </w:rPr>
        <w:t xml:space="preserve"> División Miami, </w:t>
      </w:r>
      <w:r w:rsidR="00B31243">
        <w:rPr>
          <w:rFonts w:ascii="Bookman Old Style" w:hAnsi="Bookman Old Style"/>
          <w:spacing w:val="-3"/>
          <w:sz w:val="27"/>
          <w:szCs w:val="27"/>
          <w:lang w:val="es-CO"/>
        </w:rPr>
        <w:t xml:space="preserve">mediante sentencia del 12 de mayo de  2011, </w:t>
      </w:r>
      <w:r w:rsidRPr="009E0216">
        <w:rPr>
          <w:rFonts w:ascii="Bookman Old Style" w:hAnsi="Bookman Old Style"/>
          <w:spacing w:val="-3"/>
          <w:sz w:val="27"/>
          <w:szCs w:val="27"/>
          <w:lang w:val="es-CO"/>
        </w:rPr>
        <w:t xml:space="preserve">condenó al aquí postulado </w:t>
      </w:r>
      <w:r w:rsidR="00B31243">
        <w:rPr>
          <w:rFonts w:ascii="Bookman Old Style" w:hAnsi="Bookman Old Style"/>
          <w:spacing w:val="-3"/>
          <w:sz w:val="27"/>
          <w:szCs w:val="27"/>
          <w:lang w:val="es-CO"/>
        </w:rPr>
        <w:t xml:space="preserve">a la pena de 396 meses de prisión, </w:t>
      </w:r>
      <w:r w:rsidRPr="009E0216">
        <w:rPr>
          <w:rFonts w:ascii="Bookman Old Style" w:hAnsi="Bookman Old Style"/>
          <w:spacing w:val="-3"/>
          <w:sz w:val="27"/>
          <w:szCs w:val="27"/>
          <w:lang w:val="es-CO"/>
        </w:rPr>
        <w:t>como responsable de los cargos arri</w:t>
      </w:r>
      <w:r w:rsidR="00B31243">
        <w:rPr>
          <w:rFonts w:ascii="Bookman Old Style" w:hAnsi="Bookman Old Style"/>
          <w:spacing w:val="-3"/>
          <w:sz w:val="27"/>
          <w:szCs w:val="27"/>
          <w:lang w:val="es-CO"/>
        </w:rPr>
        <w:t>ba mencionados</w:t>
      </w:r>
      <w:r w:rsidR="00114E9D">
        <w:rPr>
          <w:rStyle w:val="Refdenotaalpie"/>
          <w:rFonts w:ascii="Bookman Old Style" w:hAnsi="Bookman Old Style"/>
          <w:spacing w:val="-3"/>
          <w:sz w:val="27"/>
          <w:szCs w:val="27"/>
          <w:lang w:val="es-CO"/>
        </w:rPr>
        <w:footnoteReference w:id="3"/>
      </w:r>
      <w:r w:rsidR="00B31243">
        <w:rPr>
          <w:rFonts w:ascii="Bookman Old Style" w:hAnsi="Bookman Old Style"/>
          <w:spacing w:val="-3"/>
          <w:sz w:val="27"/>
          <w:szCs w:val="27"/>
          <w:lang w:val="es-CO"/>
        </w:rPr>
        <w:t>. P</w:t>
      </w:r>
      <w:r w:rsidRPr="009E0216">
        <w:rPr>
          <w:rFonts w:ascii="Bookman Old Style" w:hAnsi="Bookman Old Style"/>
          <w:spacing w:val="-3"/>
          <w:sz w:val="27"/>
          <w:szCs w:val="27"/>
          <w:lang w:val="es-CO"/>
        </w:rPr>
        <w:t xml:space="preserve">uso de presente que, de acuerdo con la mencionada decisión judicial extranjera, el señor JIMÉNEZ NARANJO incurrió en la conducta punible de concierto para importar cocaína a los EEUU entre octubre de 2004 </w:t>
      </w:r>
      <w:r>
        <w:rPr>
          <w:rFonts w:ascii="Bookman Old Style" w:hAnsi="Bookman Old Style"/>
          <w:spacing w:val="-3"/>
          <w:sz w:val="27"/>
          <w:szCs w:val="27"/>
          <w:lang w:val="es-CO"/>
        </w:rPr>
        <w:t>y junio de 2007, mientras que la</w:t>
      </w:r>
      <w:r w:rsidRPr="009E0216">
        <w:rPr>
          <w:rFonts w:ascii="Bookman Old Style" w:hAnsi="Bookman Old Style"/>
          <w:spacing w:val="-3"/>
          <w:sz w:val="27"/>
          <w:szCs w:val="27"/>
          <w:lang w:val="es-CO"/>
        </w:rPr>
        <w:t xml:space="preserve"> responsabilidad penal</w:t>
      </w:r>
      <w:r>
        <w:rPr>
          <w:rFonts w:ascii="Bookman Old Style" w:hAnsi="Bookman Old Style"/>
          <w:spacing w:val="-3"/>
          <w:sz w:val="27"/>
          <w:szCs w:val="27"/>
          <w:lang w:val="es-CO"/>
        </w:rPr>
        <w:t xml:space="preserve"> de aquél</w:t>
      </w:r>
      <w:r w:rsidRPr="009E0216">
        <w:rPr>
          <w:rFonts w:ascii="Bookman Old Style" w:hAnsi="Bookman Old Style"/>
          <w:spacing w:val="-3"/>
          <w:sz w:val="27"/>
          <w:szCs w:val="27"/>
          <w:lang w:val="es-CO"/>
        </w:rPr>
        <w:t xml:space="preserve"> por concierto para poseer cocaína con intención de distribuirla en ese país a bordo de un navío </w:t>
      </w:r>
      <w:r>
        <w:rPr>
          <w:rFonts w:ascii="Bookman Old Style" w:hAnsi="Bookman Old Style"/>
          <w:spacing w:val="-3"/>
          <w:sz w:val="27"/>
          <w:szCs w:val="27"/>
          <w:lang w:val="es-CO"/>
        </w:rPr>
        <w:t xml:space="preserve">se predica de hechos ocurridos </w:t>
      </w:r>
      <w:r w:rsidR="00187E25">
        <w:rPr>
          <w:rFonts w:ascii="Bookman Old Style" w:hAnsi="Bookman Old Style"/>
          <w:spacing w:val="-3"/>
          <w:sz w:val="27"/>
          <w:szCs w:val="27"/>
          <w:lang w:val="es-CO"/>
        </w:rPr>
        <w:t>entre</w:t>
      </w:r>
      <w:r w:rsidR="00B31243">
        <w:rPr>
          <w:rFonts w:ascii="Bookman Old Style" w:hAnsi="Bookman Old Style"/>
          <w:spacing w:val="-3"/>
          <w:sz w:val="27"/>
          <w:szCs w:val="27"/>
          <w:lang w:val="es-CO"/>
        </w:rPr>
        <w:t xml:space="preserve"> septiembre de 2006</w:t>
      </w:r>
      <w:r w:rsidR="00021E84">
        <w:rPr>
          <w:rFonts w:ascii="Bookman Old Style" w:hAnsi="Bookman Old Style"/>
          <w:spacing w:val="-3"/>
          <w:sz w:val="27"/>
          <w:szCs w:val="27"/>
          <w:lang w:val="es-CO"/>
        </w:rPr>
        <w:t xml:space="preserve"> y</w:t>
      </w:r>
      <w:r w:rsidR="00B31243">
        <w:rPr>
          <w:rFonts w:ascii="Bookman Old Style" w:hAnsi="Bookman Old Style"/>
          <w:spacing w:val="-3"/>
          <w:sz w:val="27"/>
          <w:szCs w:val="27"/>
          <w:lang w:val="es-CO"/>
        </w:rPr>
        <w:t xml:space="preserve"> el 6 de septiembre de 2007.</w:t>
      </w:r>
    </w:p>
    <w:p w14:paraId="049ED4E7" w14:textId="77777777" w:rsidR="00114E9D" w:rsidRDefault="00114E9D" w:rsidP="009C2939">
      <w:pPr>
        <w:pStyle w:val="Textoindependiente"/>
        <w:ind w:firstLine="708"/>
        <w:rPr>
          <w:rFonts w:ascii="Bookman Old Style" w:hAnsi="Bookman Old Style"/>
          <w:spacing w:val="-3"/>
          <w:sz w:val="27"/>
          <w:szCs w:val="27"/>
          <w:lang w:val="es-CO"/>
        </w:rPr>
      </w:pPr>
    </w:p>
    <w:p w14:paraId="5C5A5FE2" w14:textId="107ABBD2" w:rsidR="009E0216" w:rsidRPr="009E0216" w:rsidRDefault="00114E9D" w:rsidP="009C2939">
      <w:pPr>
        <w:pStyle w:val="Textoindependiente"/>
        <w:ind w:firstLine="708"/>
        <w:rPr>
          <w:rFonts w:ascii="Bookman Old Style" w:hAnsi="Bookman Old Style"/>
          <w:spacing w:val="-3"/>
          <w:sz w:val="27"/>
          <w:szCs w:val="27"/>
          <w:lang w:val="es-CO"/>
        </w:rPr>
      </w:pPr>
      <w:r>
        <w:rPr>
          <w:rFonts w:ascii="Bookman Old Style" w:hAnsi="Bookman Old Style"/>
          <w:spacing w:val="-3"/>
          <w:sz w:val="27"/>
          <w:szCs w:val="27"/>
          <w:lang w:val="es-CO"/>
        </w:rPr>
        <w:t xml:space="preserve">Ello, según el fiscal, permite afirmar </w:t>
      </w:r>
      <w:r w:rsidR="00846F9B">
        <w:rPr>
          <w:rFonts w:ascii="Bookman Old Style" w:hAnsi="Bookman Old Style"/>
          <w:spacing w:val="-3"/>
          <w:sz w:val="27"/>
          <w:szCs w:val="27"/>
          <w:lang w:val="es-CO"/>
        </w:rPr>
        <w:t>que</w:t>
      </w:r>
      <w:r w:rsidR="004425FD">
        <w:rPr>
          <w:rFonts w:ascii="Bookman Old Style" w:hAnsi="Bookman Old Style"/>
          <w:spacing w:val="-3"/>
          <w:sz w:val="27"/>
          <w:szCs w:val="27"/>
          <w:lang w:val="es-CO"/>
        </w:rPr>
        <w:t>,</w:t>
      </w:r>
      <w:r>
        <w:rPr>
          <w:rFonts w:ascii="Bookman Old Style" w:hAnsi="Bookman Old Style"/>
          <w:spacing w:val="-3"/>
          <w:sz w:val="27"/>
          <w:szCs w:val="27"/>
          <w:lang w:val="es-CO"/>
        </w:rPr>
        <w:t xml:space="preserve"> con posterioridad a la desmovilizaci</w:t>
      </w:r>
      <w:r w:rsidR="00846F9B">
        <w:rPr>
          <w:rFonts w:ascii="Bookman Old Style" w:hAnsi="Bookman Old Style"/>
          <w:spacing w:val="-3"/>
          <w:sz w:val="27"/>
          <w:szCs w:val="27"/>
          <w:lang w:val="es-CO"/>
        </w:rPr>
        <w:t>ón</w:t>
      </w:r>
      <w:r w:rsidR="004425FD">
        <w:rPr>
          <w:rFonts w:ascii="Bookman Old Style" w:hAnsi="Bookman Old Style"/>
          <w:spacing w:val="-3"/>
          <w:sz w:val="27"/>
          <w:szCs w:val="27"/>
          <w:lang w:val="es-CO"/>
        </w:rPr>
        <w:t>,</w:t>
      </w:r>
      <w:r>
        <w:rPr>
          <w:rFonts w:ascii="Bookman Old Style" w:hAnsi="Bookman Old Style"/>
          <w:spacing w:val="-3"/>
          <w:sz w:val="27"/>
          <w:szCs w:val="27"/>
          <w:lang w:val="es-CO"/>
        </w:rPr>
        <w:t xml:space="preserve"> </w:t>
      </w:r>
      <w:r w:rsidR="00846F9B">
        <w:rPr>
          <w:rFonts w:ascii="Bookman Old Style" w:hAnsi="Bookman Old Style"/>
          <w:spacing w:val="-3"/>
          <w:sz w:val="27"/>
          <w:szCs w:val="27"/>
          <w:lang w:val="es-CO"/>
        </w:rPr>
        <w:t xml:space="preserve">CARLOS MARIO JIMÉNEZ NARANJO </w:t>
      </w:r>
      <w:r>
        <w:rPr>
          <w:rFonts w:ascii="Bookman Old Style" w:hAnsi="Bookman Old Style"/>
          <w:spacing w:val="-3"/>
          <w:sz w:val="27"/>
          <w:szCs w:val="27"/>
          <w:lang w:val="es-CO"/>
        </w:rPr>
        <w:t>cometió delitos dolosos, lo que comporta</w:t>
      </w:r>
      <w:r w:rsidR="005A6C83">
        <w:rPr>
          <w:rFonts w:ascii="Bookman Old Style" w:hAnsi="Bookman Old Style"/>
          <w:spacing w:val="-3"/>
          <w:sz w:val="27"/>
          <w:szCs w:val="27"/>
          <w:lang w:val="es-CO"/>
        </w:rPr>
        <w:t xml:space="preserve"> la terminación del proceso y su</w:t>
      </w:r>
      <w:r>
        <w:rPr>
          <w:rFonts w:ascii="Bookman Old Style" w:hAnsi="Bookman Old Style"/>
          <w:spacing w:val="-3"/>
          <w:sz w:val="27"/>
          <w:szCs w:val="27"/>
          <w:lang w:val="es-CO"/>
        </w:rPr>
        <w:t xml:space="preserve"> exclusión de la lista de postulados. </w:t>
      </w:r>
    </w:p>
    <w:p w14:paraId="121D4343" w14:textId="77777777" w:rsidR="009E0216" w:rsidRDefault="009E0216" w:rsidP="009C2939">
      <w:pPr>
        <w:pStyle w:val="Textoindependiente"/>
        <w:ind w:firstLine="708"/>
        <w:rPr>
          <w:rFonts w:ascii="Bookman Old Style" w:hAnsi="Bookman Old Style"/>
          <w:color w:val="002060"/>
          <w:spacing w:val="-3"/>
          <w:sz w:val="27"/>
          <w:szCs w:val="27"/>
          <w:lang w:val="es-CO"/>
        </w:rPr>
      </w:pPr>
    </w:p>
    <w:p w14:paraId="07AA12DF" w14:textId="4F843211" w:rsidR="009C2939" w:rsidRPr="00365298" w:rsidRDefault="00365298" w:rsidP="009C2939">
      <w:pPr>
        <w:spacing w:line="336" w:lineRule="auto"/>
        <w:ind w:firstLine="709"/>
        <w:jc w:val="both"/>
        <w:rPr>
          <w:rFonts w:ascii="Bookman Old Style" w:hAnsi="Bookman Old Style"/>
          <w:sz w:val="27"/>
          <w:szCs w:val="27"/>
          <w:lang w:val="es-CO"/>
        </w:rPr>
      </w:pPr>
      <w:r w:rsidRPr="00365298">
        <w:rPr>
          <w:rFonts w:ascii="Bookman Old Style" w:hAnsi="Bookman Old Style"/>
          <w:sz w:val="27"/>
          <w:szCs w:val="27"/>
          <w:lang w:val="es-CO"/>
        </w:rPr>
        <w:lastRenderedPageBreak/>
        <w:t>6</w:t>
      </w:r>
      <w:r w:rsidR="009C2939" w:rsidRPr="00365298">
        <w:rPr>
          <w:rFonts w:ascii="Bookman Old Style" w:hAnsi="Bookman Old Style"/>
          <w:sz w:val="27"/>
          <w:szCs w:val="27"/>
          <w:lang w:val="es-CO"/>
        </w:rPr>
        <w:t xml:space="preserve">. Mediante decisión proferida el </w:t>
      </w:r>
      <w:r w:rsidRPr="00365298">
        <w:rPr>
          <w:rFonts w:ascii="Bookman Old Style" w:hAnsi="Bookman Old Style"/>
          <w:sz w:val="27"/>
          <w:szCs w:val="27"/>
          <w:lang w:val="es-CO"/>
        </w:rPr>
        <w:t xml:space="preserve">2 de diciembre de 2014, la </w:t>
      </w:r>
      <w:r w:rsidR="009C2939" w:rsidRPr="00365298">
        <w:rPr>
          <w:rFonts w:ascii="Bookman Old Style" w:hAnsi="Bookman Old Style"/>
          <w:sz w:val="27"/>
          <w:szCs w:val="27"/>
          <w:lang w:val="es-CO"/>
        </w:rPr>
        <w:t>Sala de Justicia y Paz del Tribunal Superior de B</w:t>
      </w:r>
      <w:r w:rsidRPr="00365298">
        <w:rPr>
          <w:rFonts w:ascii="Bookman Old Style" w:hAnsi="Bookman Old Style"/>
          <w:sz w:val="27"/>
          <w:szCs w:val="27"/>
          <w:lang w:val="es-CO"/>
        </w:rPr>
        <w:t>ogotá</w:t>
      </w:r>
      <w:r w:rsidRPr="00365298">
        <w:rPr>
          <w:rStyle w:val="Refdenotaalpie"/>
          <w:rFonts w:ascii="Bookman Old Style" w:hAnsi="Bookman Old Style"/>
          <w:sz w:val="27"/>
          <w:szCs w:val="27"/>
          <w:lang w:val="es-CO"/>
        </w:rPr>
        <w:footnoteReference w:id="4"/>
      </w:r>
      <w:r w:rsidR="009C2939" w:rsidRPr="00365298">
        <w:rPr>
          <w:rFonts w:ascii="Bookman Old Style" w:hAnsi="Bookman Old Style"/>
          <w:sz w:val="27"/>
          <w:szCs w:val="27"/>
          <w:lang w:val="es-CO"/>
        </w:rPr>
        <w:t xml:space="preserve"> dispuso la terminación del proceso especial de Justicia y Paz en relación con</w:t>
      </w:r>
      <w:r w:rsidRPr="00365298">
        <w:rPr>
          <w:rFonts w:ascii="Bookman Old Style" w:hAnsi="Bookman Old Style"/>
          <w:sz w:val="27"/>
          <w:szCs w:val="27"/>
          <w:lang w:val="es-CO"/>
        </w:rPr>
        <w:t xml:space="preserve"> CARLOS MARIO JIMÉNEZ NARANJO</w:t>
      </w:r>
      <w:r w:rsidR="009C2939" w:rsidRPr="00365298">
        <w:rPr>
          <w:rFonts w:ascii="Bookman Old Style" w:hAnsi="Bookman Old Style"/>
          <w:sz w:val="27"/>
          <w:szCs w:val="27"/>
          <w:lang w:val="es-CO"/>
        </w:rPr>
        <w:t xml:space="preserve">, a quien </w:t>
      </w:r>
      <w:r w:rsidR="005A6C83">
        <w:rPr>
          <w:rFonts w:ascii="Bookman Old Style" w:hAnsi="Bookman Old Style"/>
          <w:sz w:val="27"/>
          <w:szCs w:val="27"/>
          <w:lang w:val="es-CO"/>
        </w:rPr>
        <w:t xml:space="preserve">consecuentemente </w:t>
      </w:r>
      <w:r w:rsidR="009C2939" w:rsidRPr="00365298">
        <w:rPr>
          <w:rFonts w:ascii="Bookman Old Style" w:hAnsi="Bookman Old Style"/>
          <w:sz w:val="27"/>
          <w:szCs w:val="27"/>
          <w:lang w:val="es-CO"/>
        </w:rPr>
        <w:t xml:space="preserve">excluyó de la lista de postulados para recibir los beneficios de la Ley 975 de 2005. </w:t>
      </w:r>
    </w:p>
    <w:p w14:paraId="22A2AAF6" w14:textId="77777777" w:rsidR="009C2939" w:rsidRPr="005A64E1" w:rsidRDefault="009C2939" w:rsidP="009C2939">
      <w:pPr>
        <w:spacing w:line="336" w:lineRule="auto"/>
        <w:ind w:firstLine="709"/>
        <w:jc w:val="both"/>
        <w:rPr>
          <w:rFonts w:ascii="Bookman Old Style" w:hAnsi="Bookman Old Style"/>
          <w:color w:val="002060"/>
          <w:sz w:val="27"/>
          <w:szCs w:val="27"/>
          <w:lang w:val="es-CO"/>
        </w:rPr>
      </w:pPr>
    </w:p>
    <w:p w14:paraId="558570D0" w14:textId="01C12141" w:rsidR="00365298" w:rsidRPr="00365298" w:rsidRDefault="00BB1921" w:rsidP="009C2939">
      <w:pPr>
        <w:spacing w:line="336" w:lineRule="auto"/>
        <w:ind w:firstLine="709"/>
        <w:jc w:val="both"/>
        <w:rPr>
          <w:rFonts w:ascii="Bookman Old Style" w:hAnsi="Bookman Old Style"/>
          <w:sz w:val="27"/>
          <w:szCs w:val="27"/>
          <w:lang w:val="es-CO"/>
        </w:rPr>
      </w:pPr>
      <w:r>
        <w:rPr>
          <w:rFonts w:ascii="Bookman Old Style" w:hAnsi="Bookman Old Style"/>
          <w:sz w:val="27"/>
          <w:szCs w:val="27"/>
          <w:lang w:val="es-CO"/>
        </w:rPr>
        <w:t>7</w:t>
      </w:r>
      <w:r w:rsidR="009C2939" w:rsidRPr="00365298">
        <w:rPr>
          <w:rFonts w:ascii="Bookman Old Style" w:hAnsi="Bookman Old Style"/>
          <w:sz w:val="27"/>
          <w:szCs w:val="27"/>
          <w:lang w:val="es-CO"/>
        </w:rPr>
        <w:t>. Contra la anterior determinación</w:t>
      </w:r>
      <w:r w:rsidR="00365298" w:rsidRPr="00365298">
        <w:rPr>
          <w:rFonts w:ascii="Bookman Old Style" w:hAnsi="Bookman Old Style"/>
          <w:sz w:val="27"/>
          <w:szCs w:val="27"/>
          <w:lang w:val="es-CO"/>
        </w:rPr>
        <w:t xml:space="preserve">, el defensor interpuso el recurso de reposición y, subsidiariamente, el de apelación. La Sala </w:t>
      </w:r>
      <w:r w:rsidR="00365298">
        <w:rPr>
          <w:rFonts w:ascii="Bookman Old Style" w:hAnsi="Bookman Old Style"/>
          <w:i/>
          <w:sz w:val="27"/>
          <w:szCs w:val="27"/>
          <w:lang w:val="es-CO"/>
        </w:rPr>
        <w:t>a quo</w:t>
      </w:r>
      <w:r w:rsidR="00365298">
        <w:rPr>
          <w:rFonts w:ascii="Bookman Old Style" w:hAnsi="Bookman Old Style"/>
          <w:sz w:val="27"/>
          <w:szCs w:val="27"/>
          <w:lang w:val="es-CO"/>
        </w:rPr>
        <w:t>, por medio de auto del 9 de septiembre del presente año, no repuso su determinación y concedió la apelación ante esta Corpora</w:t>
      </w:r>
      <w:r w:rsidR="00F747E1">
        <w:rPr>
          <w:rFonts w:ascii="Bookman Old Style" w:hAnsi="Bookman Old Style"/>
          <w:sz w:val="27"/>
          <w:szCs w:val="27"/>
          <w:lang w:val="es-CO"/>
        </w:rPr>
        <w:t>ción.</w:t>
      </w:r>
    </w:p>
    <w:p w14:paraId="7B45C668" w14:textId="77777777" w:rsidR="009C2939" w:rsidRPr="00846F9B" w:rsidRDefault="009C2939" w:rsidP="009C2939">
      <w:pPr>
        <w:pStyle w:val="Textoindependiente"/>
        <w:spacing w:line="336" w:lineRule="auto"/>
        <w:ind w:firstLine="708"/>
        <w:rPr>
          <w:rFonts w:ascii="Bookman Old Style" w:hAnsi="Bookman Old Style"/>
          <w:spacing w:val="-3"/>
          <w:sz w:val="27"/>
          <w:szCs w:val="27"/>
          <w:lang w:val="es-CO"/>
        </w:rPr>
      </w:pPr>
    </w:p>
    <w:p w14:paraId="3ED984BC" w14:textId="77777777" w:rsidR="009C2939" w:rsidRPr="00846F9B" w:rsidRDefault="009C2939" w:rsidP="009C2939">
      <w:pPr>
        <w:pStyle w:val="Textoindependiente"/>
        <w:spacing w:line="336" w:lineRule="auto"/>
        <w:ind w:firstLine="708"/>
        <w:jc w:val="center"/>
        <w:rPr>
          <w:rFonts w:ascii="Bookman Old Style" w:hAnsi="Bookman Old Style"/>
          <w:b/>
          <w:spacing w:val="-3"/>
          <w:sz w:val="27"/>
          <w:szCs w:val="27"/>
          <w:lang w:val="es-CO"/>
        </w:rPr>
      </w:pPr>
      <w:r w:rsidRPr="00846F9B">
        <w:rPr>
          <w:rFonts w:ascii="Bookman Old Style" w:hAnsi="Bookman Old Style"/>
          <w:b/>
          <w:spacing w:val="-3"/>
          <w:sz w:val="27"/>
          <w:szCs w:val="27"/>
          <w:lang w:val="es-CO"/>
        </w:rPr>
        <w:t xml:space="preserve">FUNDAMENTOS DE LA DECISIÓN APELADA </w:t>
      </w:r>
    </w:p>
    <w:p w14:paraId="39C5EB00" w14:textId="77777777" w:rsidR="009C2939" w:rsidRPr="00846F9B" w:rsidRDefault="009C2939" w:rsidP="009C2939">
      <w:pPr>
        <w:pStyle w:val="Textoindependiente"/>
        <w:spacing w:line="336" w:lineRule="auto"/>
        <w:ind w:firstLine="708"/>
        <w:jc w:val="center"/>
        <w:rPr>
          <w:rFonts w:ascii="Bookman Old Style" w:hAnsi="Bookman Old Style"/>
          <w:b/>
          <w:spacing w:val="-3"/>
          <w:sz w:val="27"/>
          <w:szCs w:val="27"/>
          <w:lang w:val="es-CO"/>
        </w:rPr>
      </w:pPr>
    </w:p>
    <w:p w14:paraId="78D53C82" w14:textId="77777777" w:rsidR="009C2939" w:rsidRPr="00846F9B" w:rsidRDefault="009C2939" w:rsidP="009C2939">
      <w:pPr>
        <w:spacing w:line="336" w:lineRule="auto"/>
        <w:ind w:firstLine="708"/>
        <w:jc w:val="both"/>
        <w:rPr>
          <w:rFonts w:ascii="Bookman Old Style" w:hAnsi="Bookman Old Style"/>
          <w:sz w:val="27"/>
          <w:szCs w:val="27"/>
        </w:rPr>
      </w:pPr>
      <w:r w:rsidRPr="00846F9B">
        <w:rPr>
          <w:rFonts w:ascii="Bookman Old Style" w:hAnsi="Bookman Old Style"/>
          <w:sz w:val="27"/>
          <w:szCs w:val="27"/>
        </w:rPr>
        <w:t xml:space="preserve">El </w:t>
      </w:r>
      <w:r w:rsidR="00846F9B" w:rsidRPr="00846F9B">
        <w:rPr>
          <w:rFonts w:ascii="Bookman Old Style" w:hAnsi="Bookman Old Style"/>
          <w:sz w:val="27"/>
          <w:szCs w:val="27"/>
        </w:rPr>
        <w:t>Tribunal</w:t>
      </w:r>
      <w:r w:rsidRPr="00846F9B">
        <w:rPr>
          <w:rFonts w:ascii="Bookman Old Style" w:hAnsi="Bookman Old Style"/>
          <w:sz w:val="27"/>
          <w:szCs w:val="27"/>
        </w:rPr>
        <w:t xml:space="preserve"> accedió a la petición de la Fiscalía, por encontrar acreditada la causal de exclusión</w:t>
      </w:r>
      <w:r w:rsidR="00846F9B" w:rsidRPr="00846F9B">
        <w:rPr>
          <w:rFonts w:ascii="Bookman Old Style" w:hAnsi="Bookman Old Style"/>
          <w:sz w:val="27"/>
          <w:szCs w:val="27"/>
        </w:rPr>
        <w:t xml:space="preserve"> prevista en el art. 11 A num. 5</w:t>
      </w:r>
      <w:r w:rsidRPr="00846F9B">
        <w:rPr>
          <w:rFonts w:ascii="Bookman Old Style" w:hAnsi="Bookman Old Style"/>
          <w:sz w:val="27"/>
          <w:szCs w:val="27"/>
        </w:rPr>
        <w:t xml:space="preserve">º de la Ley 975 de 2005. Pues estimó probado que </w:t>
      </w:r>
      <w:r w:rsidR="00846F9B" w:rsidRPr="00846F9B">
        <w:rPr>
          <w:rFonts w:ascii="Bookman Old Style" w:hAnsi="Bookman Old Style"/>
          <w:sz w:val="27"/>
          <w:szCs w:val="27"/>
        </w:rPr>
        <w:t xml:space="preserve">el señor JIMÉNEZ NARANJO </w:t>
      </w:r>
      <w:r w:rsidR="00846F9B">
        <w:rPr>
          <w:rFonts w:ascii="Bookman Old Style" w:hAnsi="Bookman Old Style"/>
          <w:sz w:val="27"/>
          <w:szCs w:val="27"/>
        </w:rPr>
        <w:t xml:space="preserve">fue condenado por delitos dolosos cometidos con posterioridad a su desmovilización. </w:t>
      </w:r>
    </w:p>
    <w:p w14:paraId="277F3B71" w14:textId="77777777" w:rsidR="009C2939" w:rsidRPr="005A64E1" w:rsidRDefault="009C2939" w:rsidP="009C2939">
      <w:pPr>
        <w:spacing w:line="336" w:lineRule="auto"/>
        <w:ind w:firstLine="708"/>
        <w:jc w:val="both"/>
        <w:rPr>
          <w:rFonts w:ascii="Bookman Old Style" w:hAnsi="Bookman Old Style"/>
          <w:color w:val="002060"/>
          <w:sz w:val="27"/>
          <w:szCs w:val="27"/>
        </w:rPr>
      </w:pPr>
    </w:p>
    <w:p w14:paraId="57182D66" w14:textId="30E2F6EE" w:rsidR="006E6C55" w:rsidRDefault="0017169A" w:rsidP="009C2939">
      <w:pPr>
        <w:spacing w:line="336" w:lineRule="auto"/>
        <w:ind w:firstLine="708"/>
        <w:jc w:val="both"/>
        <w:rPr>
          <w:rFonts w:ascii="Bookman Old Style" w:hAnsi="Bookman Old Style"/>
          <w:sz w:val="27"/>
          <w:szCs w:val="27"/>
        </w:rPr>
      </w:pPr>
      <w:r>
        <w:rPr>
          <w:rFonts w:ascii="Bookman Old Style" w:hAnsi="Bookman Old Style"/>
          <w:sz w:val="27"/>
          <w:szCs w:val="27"/>
        </w:rPr>
        <w:t xml:space="preserve">A la actuación, </w:t>
      </w:r>
      <w:r w:rsidR="009C2939" w:rsidRPr="00796996">
        <w:rPr>
          <w:rFonts w:ascii="Bookman Old Style" w:hAnsi="Bookman Old Style"/>
          <w:sz w:val="27"/>
          <w:szCs w:val="27"/>
        </w:rPr>
        <w:t xml:space="preserve">destaca, </w:t>
      </w:r>
      <w:r w:rsidR="00E84B66">
        <w:rPr>
          <w:rFonts w:ascii="Bookman Old Style" w:hAnsi="Bookman Old Style"/>
          <w:sz w:val="27"/>
          <w:szCs w:val="27"/>
        </w:rPr>
        <w:t>se incorporó en debida forma la sentencia del 12 de mayo de 2011, proferida por el Tribunal</w:t>
      </w:r>
      <w:r w:rsidR="00E342EA">
        <w:rPr>
          <w:rFonts w:ascii="Bookman Old Style" w:hAnsi="Bookman Old Style"/>
          <w:sz w:val="27"/>
          <w:szCs w:val="27"/>
        </w:rPr>
        <w:t xml:space="preserve"> del Distrito Sur de la Florida-División Miami</w:t>
      </w:r>
      <w:r w:rsidR="00E84B66">
        <w:rPr>
          <w:rFonts w:ascii="Bookman Old Style" w:hAnsi="Bookman Old Style"/>
          <w:sz w:val="27"/>
          <w:szCs w:val="27"/>
        </w:rPr>
        <w:t xml:space="preserve"> en contra de CARLOS MARIO JIMÉNEZ NARANJO. </w:t>
      </w:r>
      <w:r w:rsidR="00EC4E46">
        <w:rPr>
          <w:rFonts w:ascii="Bookman Old Style" w:hAnsi="Bookman Old Style"/>
          <w:sz w:val="27"/>
          <w:szCs w:val="27"/>
        </w:rPr>
        <w:t xml:space="preserve">En ese sentido, enfatiza, se acataron las disposiciones pertinentes, previstas </w:t>
      </w:r>
      <w:r w:rsidR="00B101C2">
        <w:rPr>
          <w:rFonts w:ascii="Bookman Old Style" w:hAnsi="Bookman Old Style"/>
          <w:sz w:val="27"/>
          <w:szCs w:val="27"/>
        </w:rPr>
        <w:t xml:space="preserve">tanto </w:t>
      </w:r>
      <w:r w:rsidR="00EC4E46">
        <w:rPr>
          <w:rFonts w:ascii="Bookman Old Style" w:hAnsi="Bookman Old Style"/>
          <w:sz w:val="27"/>
          <w:szCs w:val="27"/>
        </w:rPr>
        <w:t xml:space="preserve">en la Convención Interamericana sobre Asistencia Mutua en Materia Penal </w:t>
      </w:r>
      <w:r w:rsidR="00B101C2">
        <w:rPr>
          <w:rFonts w:ascii="Bookman Old Style" w:hAnsi="Bookman Old Style"/>
          <w:sz w:val="27"/>
          <w:szCs w:val="27"/>
        </w:rPr>
        <w:t>como</w:t>
      </w:r>
      <w:r w:rsidR="00EC4E46">
        <w:rPr>
          <w:rFonts w:ascii="Bookman Old Style" w:hAnsi="Bookman Old Style"/>
          <w:sz w:val="27"/>
          <w:szCs w:val="27"/>
        </w:rPr>
        <w:t xml:space="preserve"> en su respectivo protocolo facultativo</w:t>
      </w:r>
      <w:r w:rsidR="00EC4E46">
        <w:rPr>
          <w:rStyle w:val="Refdenotaalpie"/>
          <w:rFonts w:ascii="Bookman Old Style" w:hAnsi="Bookman Old Style"/>
          <w:sz w:val="27"/>
          <w:szCs w:val="27"/>
        </w:rPr>
        <w:footnoteReference w:id="5"/>
      </w:r>
      <w:r w:rsidR="00453A59">
        <w:rPr>
          <w:rFonts w:ascii="Bookman Old Style" w:hAnsi="Bookman Old Style"/>
          <w:sz w:val="27"/>
          <w:szCs w:val="27"/>
        </w:rPr>
        <w:t xml:space="preserve">: la copia de la aludida decisión judicial fue remitida a la Fiscalía General de la Nación por las autoridades estadounidenses sin </w:t>
      </w:r>
      <w:r w:rsidR="00453A59">
        <w:rPr>
          <w:rFonts w:ascii="Bookman Old Style" w:hAnsi="Bookman Old Style"/>
          <w:sz w:val="27"/>
          <w:szCs w:val="27"/>
        </w:rPr>
        <w:lastRenderedPageBreak/>
        <w:t>condicionamientos ni restricciones</w:t>
      </w:r>
      <w:r w:rsidR="004E7CF2">
        <w:rPr>
          <w:rFonts w:ascii="Bookman Old Style" w:hAnsi="Bookman Old Style"/>
          <w:sz w:val="27"/>
          <w:szCs w:val="27"/>
        </w:rPr>
        <w:t>,</w:t>
      </w:r>
      <w:r w:rsidR="00453A59">
        <w:rPr>
          <w:rFonts w:ascii="Bookman Old Style" w:hAnsi="Bookman Old Style"/>
          <w:sz w:val="27"/>
          <w:szCs w:val="27"/>
        </w:rPr>
        <w:t xml:space="preserve"> con su debida traducción, por lo que, al tenor del art. 27 de la Convención, no se requería el trámite de legalización o autenticación.</w:t>
      </w:r>
    </w:p>
    <w:p w14:paraId="5592899B" w14:textId="77777777" w:rsidR="006E6C55" w:rsidRDefault="006E6C55" w:rsidP="009C2939">
      <w:pPr>
        <w:spacing w:line="336" w:lineRule="auto"/>
        <w:ind w:firstLine="708"/>
        <w:jc w:val="both"/>
        <w:rPr>
          <w:rFonts w:ascii="Bookman Old Style" w:hAnsi="Bookman Old Style"/>
          <w:sz w:val="27"/>
          <w:szCs w:val="27"/>
        </w:rPr>
      </w:pPr>
    </w:p>
    <w:p w14:paraId="71B5DA32" w14:textId="33158B2C" w:rsidR="00DB73B3" w:rsidRDefault="00B765DD" w:rsidP="009C2939">
      <w:pPr>
        <w:spacing w:line="336" w:lineRule="auto"/>
        <w:ind w:firstLine="708"/>
        <w:jc w:val="both"/>
        <w:rPr>
          <w:rFonts w:ascii="Bookman Old Style" w:hAnsi="Bookman Old Style"/>
          <w:sz w:val="27"/>
          <w:szCs w:val="27"/>
        </w:rPr>
      </w:pPr>
      <w:r>
        <w:rPr>
          <w:rFonts w:ascii="Bookman Old Style" w:hAnsi="Bookman Old Style"/>
          <w:sz w:val="27"/>
          <w:szCs w:val="27"/>
        </w:rPr>
        <w:t>Por otra parte, expuso</w:t>
      </w:r>
      <w:r w:rsidR="006E6C55">
        <w:rPr>
          <w:rFonts w:ascii="Bookman Old Style" w:hAnsi="Bookman Old Style"/>
          <w:sz w:val="27"/>
          <w:szCs w:val="27"/>
        </w:rPr>
        <w:t xml:space="preserve"> </w:t>
      </w:r>
      <w:r w:rsidR="0003767A">
        <w:rPr>
          <w:rFonts w:ascii="Bookman Old Style" w:hAnsi="Bookman Old Style"/>
          <w:sz w:val="27"/>
          <w:szCs w:val="27"/>
        </w:rPr>
        <w:t>el Tribunal</w:t>
      </w:r>
      <w:r w:rsidR="006E6C55">
        <w:rPr>
          <w:rFonts w:ascii="Bookman Old Style" w:hAnsi="Bookman Old Style"/>
          <w:sz w:val="27"/>
          <w:szCs w:val="27"/>
        </w:rPr>
        <w:t xml:space="preserve">, </w:t>
      </w:r>
      <w:r w:rsidR="0003767A">
        <w:rPr>
          <w:rFonts w:ascii="Bookman Old Style" w:hAnsi="Bookman Old Style"/>
          <w:sz w:val="27"/>
          <w:szCs w:val="27"/>
        </w:rPr>
        <w:t xml:space="preserve">se cumplieron las previsiones probatorias establecidas en el art. 35 nums. 1 y 2 del Decreto 3011 de 2013, esto es, que el fiscal deberá acreditar la configuración de la causal de terminación del proceso mediante </w:t>
      </w:r>
      <w:r w:rsidR="008B0106">
        <w:rPr>
          <w:rFonts w:ascii="Bookman Old Style" w:hAnsi="Bookman Old Style"/>
          <w:i/>
          <w:sz w:val="27"/>
          <w:szCs w:val="27"/>
        </w:rPr>
        <w:t xml:space="preserve">prueba sumaria; </w:t>
      </w:r>
      <w:r w:rsidR="008B0106">
        <w:rPr>
          <w:rFonts w:ascii="Bookman Old Style" w:hAnsi="Bookman Old Style"/>
          <w:sz w:val="27"/>
          <w:szCs w:val="27"/>
        </w:rPr>
        <w:t xml:space="preserve">tratándose de exclusión derivada de una condena por delitos dolosos cometidos con posterioridad a la desmovilización, </w:t>
      </w:r>
      <w:r w:rsidR="002656CD">
        <w:rPr>
          <w:rFonts w:ascii="Bookman Old Style" w:hAnsi="Bookman Old Style"/>
          <w:sz w:val="27"/>
          <w:szCs w:val="27"/>
        </w:rPr>
        <w:t xml:space="preserve">mediante </w:t>
      </w:r>
      <w:r w:rsidR="008B0106">
        <w:rPr>
          <w:rFonts w:ascii="Bookman Old Style" w:hAnsi="Bookman Old Style"/>
          <w:sz w:val="27"/>
          <w:szCs w:val="27"/>
        </w:rPr>
        <w:t>una sentencia condenatoria de primera instanc</w:t>
      </w:r>
      <w:r w:rsidR="006417E3">
        <w:rPr>
          <w:rFonts w:ascii="Bookman Old Style" w:hAnsi="Bookman Old Style"/>
          <w:sz w:val="27"/>
          <w:szCs w:val="27"/>
        </w:rPr>
        <w:t xml:space="preserve">ia. </w:t>
      </w:r>
    </w:p>
    <w:p w14:paraId="688096AA" w14:textId="77777777" w:rsidR="00DB73B3" w:rsidRDefault="00DB73B3" w:rsidP="009C2939">
      <w:pPr>
        <w:spacing w:line="336" w:lineRule="auto"/>
        <w:ind w:firstLine="708"/>
        <w:jc w:val="both"/>
        <w:rPr>
          <w:rFonts w:ascii="Bookman Old Style" w:hAnsi="Bookman Old Style"/>
          <w:sz w:val="27"/>
          <w:szCs w:val="27"/>
        </w:rPr>
      </w:pPr>
    </w:p>
    <w:p w14:paraId="2820E42E" w14:textId="099016EE" w:rsidR="00E84B66" w:rsidRDefault="00BF3EBE" w:rsidP="009C2939">
      <w:pPr>
        <w:spacing w:line="336" w:lineRule="auto"/>
        <w:ind w:firstLine="708"/>
        <w:jc w:val="both"/>
        <w:rPr>
          <w:rFonts w:ascii="Bookman Old Style" w:hAnsi="Bookman Old Style"/>
          <w:sz w:val="27"/>
          <w:szCs w:val="27"/>
        </w:rPr>
      </w:pPr>
      <w:r>
        <w:rPr>
          <w:rFonts w:ascii="Bookman Old Style" w:hAnsi="Bookman Old Style"/>
          <w:sz w:val="27"/>
          <w:szCs w:val="27"/>
        </w:rPr>
        <w:t>Es más</w:t>
      </w:r>
      <w:r w:rsidR="006417E3">
        <w:rPr>
          <w:rFonts w:ascii="Bookman Old Style" w:hAnsi="Bookman Old Style"/>
          <w:sz w:val="27"/>
          <w:szCs w:val="27"/>
        </w:rPr>
        <w:t xml:space="preserve">, puntualiza, </w:t>
      </w:r>
      <w:r w:rsidR="00460FEA">
        <w:rPr>
          <w:rFonts w:ascii="Bookman Old Style" w:hAnsi="Bookman Old Style"/>
          <w:sz w:val="27"/>
          <w:szCs w:val="27"/>
        </w:rPr>
        <w:t xml:space="preserve">en </w:t>
      </w:r>
      <w:r>
        <w:rPr>
          <w:rFonts w:ascii="Bookman Old Style" w:hAnsi="Bookman Old Style"/>
          <w:sz w:val="27"/>
          <w:szCs w:val="27"/>
        </w:rPr>
        <w:t>el num. 16 del acuerdo de declaración de culpa</w:t>
      </w:r>
      <w:r w:rsidR="00524337">
        <w:rPr>
          <w:rFonts w:ascii="Bookman Old Style" w:hAnsi="Bookman Old Style"/>
          <w:sz w:val="27"/>
          <w:szCs w:val="27"/>
        </w:rPr>
        <w:t xml:space="preserve"> </w:t>
      </w:r>
      <w:r>
        <w:rPr>
          <w:rFonts w:ascii="Bookman Old Style" w:hAnsi="Bookman Old Style"/>
          <w:sz w:val="27"/>
          <w:szCs w:val="27"/>
        </w:rPr>
        <w:t>s</w:t>
      </w:r>
      <w:r w:rsidR="007736CD">
        <w:rPr>
          <w:rFonts w:ascii="Bookman Old Style" w:hAnsi="Bookman Old Style"/>
          <w:sz w:val="27"/>
          <w:szCs w:val="27"/>
        </w:rPr>
        <w:t>uscrito por el postulado con la</w:t>
      </w:r>
      <w:r w:rsidR="007A124B">
        <w:rPr>
          <w:rFonts w:ascii="Bookman Old Style" w:hAnsi="Bookman Old Style"/>
          <w:sz w:val="27"/>
          <w:szCs w:val="27"/>
        </w:rPr>
        <w:t xml:space="preserve">s autoridades judiciales </w:t>
      </w:r>
      <w:r w:rsidR="007736CD">
        <w:rPr>
          <w:rFonts w:ascii="Bookman Old Style" w:hAnsi="Bookman Old Style"/>
          <w:sz w:val="27"/>
          <w:szCs w:val="27"/>
        </w:rPr>
        <w:t>de los Estados Unidos</w:t>
      </w:r>
      <w:r w:rsidR="00460FEA">
        <w:rPr>
          <w:rFonts w:ascii="Bookman Old Style" w:hAnsi="Bookman Old Style"/>
          <w:sz w:val="27"/>
          <w:szCs w:val="27"/>
        </w:rPr>
        <w:t xml:space="preserve"> consta que el acusado “</w:t>
      </w:r>
      <w:r w:rsidR="00460FEA" w:rsidRPr="005F4721">
        <w:rPr>
          <w:rFonts w:ascii="Bookman Old Style" w:hAnsi="Bookman Old Style"/>
          <w:i/>
          <w:sz w:val="25"/>
          <w:szCs w:val="25"/>
        </w:rPr>
        <w:t>acuerda que no puede retirar su declaración de culpabilidad con fundamento en el resultado de la sentencia que se le aplique</w:t>
      </w:r>
      <w:r w:rsidR="00460FEA">
        <w:rPr>
          <w:rFonts w:ascii="Bookman Old Style" w:hAnsi="Bookman Old Style"/>
          <w:sz w:val="27"/>
          <w:szCs w:val="27"/>
        </w:rPr>
        <w:t>”</w:t>
      </w:r>
      <w:r w:rsidR="00613D02">
        <w:rPr>
          <w:rFonts w:ascii="Bookman Old Style" w:hAnsi="Bookman Old Style"/>
          <w:sz w:val="27"/>
          <w:szCs w:val="27"/>
        </w:rPr>
        <w:t xml:space="preserve">. </w:t>
      </w:r>
      <w:r w:rsidR="00524337">
        <w:rPr>
          <w:rFonts w:ascii="Bookman Old Style" w:hAnsi="Bookman Old Style"/>
          <w:sz w:val="27"/>
          <w:szCs w:val="27"/>
        </w:rPr>
        <w:t xml:space="preserve">Y, en conexión con ese aspecto de la alegación de culpabilidad, se destaca en el auto, en el num. 35 </w:t>
      </w:r>
      <w:r w:rsidR="00524337">
        <w:rPr>
          <w:rFonts w:ascii="Bookman Old Style" w:hAnsi="Bookman Old Style"/>
          <w:i/>
          <w:sz w:val="27"/>
          <w:szCs w:val="27"/>
        </w:rPr>
        <w:t>ídem</w:t>
      </w:r>
      <w:r w:rsidR="00524337">
        <w:rPr>
          <w:rFonts w:ascii="Bookman Old Style" w:hAnsi="Bookman Old Style"/>
          <w:sz w:val="27"/>
          <w:szCs w:val="27"/>
        </w:rPr>
        <w:t xml:space="preserve"> se dejó constancia de que “</w:t>
      </w:r>
      <w:r w:rsidR="00524337" w:rsidRPr="005F4721">
        <w:rPr>
          <w:rFonts w:ascii="Bookman Old Style" w:hAnsi="Bookman Old Style"/>
          <w:i/>
          <w:sz w:val="25"/>
          <w:szCs w:val="25"/>
        </w:rPr>
        <w:t xml:space="preserve">el </w:t>
      </w:r>
      <w:r w:rsidR="00233997">
        <w:rPr>
          <w:rFonts w:ascii="Bookman Old Style" w:hAnsi="Bookman Old Style"/>
          <w:i/>
          <w:sz w:val="25"/>
          <w:szCs w:val="25"/>
        </w:rPr>
        <w:t>acusado renuncia a sus derechos…</w:t>
      </w:r>
      <w:r w:rsidR="00524337" w:rsidRPr="005F4721">
        <w:rPr>
          <w:rFonts w:ascii="Bookman Old Style" w:hAnsi="Bookman Old Style"/>
          <w:i/>
          <w:sz w:val="25"/>
          <w:szCs w:val="25"/>
        </w:rPr>
        <w:t>de apelar cualquier sentencia impuesta, incluyendo la orden de restitución o apelar la forma como se impuso la sentencia, incluyendo cualquier objeción a la constitucionalidad de las Directrices de Sentencias, a menos que la sentencia exceda el máximo permitido por los estatutos…</w:t>
      </w:r>
      <w:r w:rsidR="005F4721">
        <w:rPr>
          <w:rFonts w:ascii="Bookman Old Style" w:hAnsi="Bookman Old Style"/>
          <w:i/>
          <w:sz w:val="25"/>
          <w:szCs w:val="25"/>
        </w:rPr>
        <w:t>Al</w:t>
      </w:r>
      <w:r w:rsidR="00524337" w:rsidRPr="005F4721">
        <w:rPr>
          <w:rFonts w:ascii="Bookman Old Style" w:hAnsi="Bookman Old Style"/>
          <w:i/>
          <w:sz w:val="25"/>
          <w:szCs w:val="25"/>
        </w:rPr>
        <w:t xml:space="preserve"> firmar el presente acuerdo, el asesor legal del acusado reconoce que han discutido la renuncia de derechos de apelación</w:t>
      </w:r>
      <w:r w:rsidR="00524337">
        <w:rPr>
          <w:rFonts w:ascii="Bookman Old Style" w:hAnsi="Bookman Old Style"/>
          <w:i/>
          <w:sz w:val="27"/>
          <w:szCs w:val="27"/>
        </w:rPr>
        <w:t xml:space="preserve">”. </w:t>
      </w:r>
      <w:r w:rsidR="005F4721">
        <w:rPr>
          <w:rFonts w:ascii="Bookman Old Style" w:hAnsi="Bookman Old Style"/>
          <w:sz w:val="27"/>
          <w:szCs w:val="27"/>
        </w:rPr>
        <w:t xml:space="preserve">De ahí que, para la Sala </w:t>
      </w:r>
      <w:r w:rsidR="005F4721">
        <w:rPr>
          <w:rFonts w:ascii="Bookman Old Style" w:hAnsi="Bookman Old Style"/>
          <w:i/>
          <w:sz w:val="27"/>
          <w:szCs w:val="27"/>
        </w:rPr>
        <w:t>a quo</w:t>
      </w:r>
      <w:r w:rsidR="005F4721">
        <w:rPr>
          <w:rFonts w:ascii="Bookman Old Style" w:hAnsi="Bookman Old Style"/>
          <w:sz w:val="27"/>
          <w:szCs w:val="27"/>
        </w:rPr>
        <w:t>, la sentencia condenatoria proferida en el extranjero en</w:t>
      </w:r>
      <w:r w:rsidR="00A83C1E">
        <w:rPr>
          <w:rFonts w:ascii="Bookman Old Style" w:hAnsi="Bookman Old Style"/>
          <w:sz w:val="27"/>
          <w:szCs w:val="27"/>
        </w:rPr>
        <w:t xml:space="preserve"> contra del postulado, incluso</w:t>
      </w:r>
      <w:r w:rsidR="005F4721">
        <w:rPr>
          <w:rFonts w:ascii="Bookman Old Style" w:hAnsi="Bookman Old Style"/>
          <w:sz w:val="27"/>
          <w:szCs w:val="27"/>
        </w:rPr>
        <w:t xml:space="preserve">, goza de ejecutoria formal y material. </w:t>
      </w:r>
    </w:p>
    <w:p w14:paraId="10DE8C2F" w14:textId="77777777" w:rsidR="00564AD6" w:rsidRDefault="00564AD6" w:rsidP="009C2939">
      <w:pPr>
        <w:spacing w:line="336" w:lineRule="auto"/>
        <w:ind w:firstLine="708"/>
        <w:jc w:val="both"/>
        <w:rPr>
          <w:rFonts w:ascii="Bookman Old Style" w:hAnsi="Bookman Old Style"/>
          <w:sz w:val="27"/>
          <w:szCs w:val="27"/>
        </w:rPr>
      </w:pPr>
    </w:p>
    <w:p w14:paraId="238FDEE1" w14:textId="77777777" w:rsidR="00D9537D" w:rsidRDefault="00D9537D" w:rsidP="009C2939">
      <w:pPr>
        <w:spacing w:line="336" w:lineRule="auto"/>
        <w:ind w:firstLine="708"/>
        <w:jc w:val="both"/>
        <w:rPr>
          <w:rFonts w:ascii="Bookman Old Style" w:hAnsi="Bookman Old Style"/>
          <w:sz w:val="27"/>
          <w:szCs w:val="27"/>
        </w:rPr>
      </w:pPr>
    </w:p>
    <w:p w14:paraId="44B4A7E3" w14:textId="0BAC071C" w:rsidR="00564AD6" w:rsidRDefault="00903464" w:rsidP="009C2939">
      <w:pPr>
        <w:spacing w:line="336" w:lineRule="auto"/>
        <w:ind w:firstLine="708"/>
        <w:jc w:val="both"/>
        <w:rPr>
          <w:rFonts w:ascii="Bookman Old Style" w:hAnsi="Bookman Old Style"/>
          <w:sz w:val="27"/>
          <w:szCs w:val="27"/>
        </w:rPr>
      </w:pPr>
      <w:r>
        <w:rPr>
          <w:rFonts w:ascii="Bookman Old Style" w:hAnsi="Bookman Old Style"/>
          <w:sz w:val="27"/>
          <w:szCs w:val="27"/>
        </w:rPr>
        <w:lastRenderedPageBreak/>
        <w:t xml:space="preserve">Acreditados los anteriores presupuestos, continúa, </w:t>
      </w:r>
      <w:r w:rsidR="002641A7">
        <w:rPr>
          <w:rFonts w:ascii="Bookman Old Style" w:hAnsi="Bookman Old Style"/>
          <w:sz w:val="27"/>
          <w:szCs w:val="27"/>
        </w:rPr>
        <w:t xml:space="preserve">en lo sustancial, </w:t>
      </w:r>
      <w:r w:rsidR="00B8779E">
        <w:rPr>
          <w:rFonts w:ascii="Bookman Old Style" w:hAnsi="Bookman Old Style"/>
          <w:sz w:val="27"/>
          <w:szCs w:val="27"/>
        </w:rPr>
        <w:t>de</w:t>
      </w:r>
      <w:r w:rsidR="00FA0CFD">
        <w:rPr>
          <w:rFonts w:ascii="Bookman Old Style" w:hAnsi="Bookman Old Style"/>
          <w:sz w:val="27"/>
          <w:szCs w:val="27"/>
        </w:rPr>
        <w:t>l fallo de condena proferido</w:t>
      </w:r>
      <w:r w:rsidR="00B8779E">
        <w:rPr>
          <w:rFonts w:ascii="Bookman Old Style" w:hAnsi="Bookman Old Style"/>
          <w:sz w:val="27"/>
          <w:szCs w:val="27"/>
        </w:rPr>
        <w:t xml:space="preserve"> en contra del postulado en los Estados Unidos se extrae que lo fue por </w:t>
      </w:r>
      <w:r w:rsidR="0030584A">
        <w:rPr>
          <w:rFonts w:ascii="Bookman Old Style" w:hAnsi="Bookman Old Style"/>
          <w:sz w:val="27"/>
          <w:szCs w:val="27"/>
        </w:rPr>
        <w:t>conductas punibles</w:t>
      </w:r>
      <w:r w:rsidR="00B8779E">
        <w:rPr>
          <w:rFonts w:ascii="Bookman Old Style" w:hAnsi="Bookman Old Style"/>
          <w:sz w:val="27"/>
          <w:szCs w:val="27"/>
        </w:rPr>
        <w:t xml:space="preserve"> cometid</w:t>
      </w:r>
      <w:r w:rsidR="0030584A">
        <w:rPr>
          <w:rFonts w:ascii="Bookman Old Style" w:hAnsi="Bookman Old Style"/>
          <w:sz w:val="27"/>
          <w:szCs w:val="27"/>
        </w:rPr>
        <w:t>a</w:t>
      </w:r>
      <w:r w:rsidR="00B8779E">
        <w:rPr>
          <w:rFonts w:ascii="Bookman Old Style" w:hAnsi="Bookman Old Style"/>
          <w:sz w:val="27"/>
          <w:szCs w:val="27"/>
        </w:rPr>
        <w:t xml:space="preserve">s </w:t>
      </w:r>
      <w:r w:rsidR="00B8632D">
        <w:rPr>
          <w:rFonts w:ascii="Bookman Old Style" w:hAnsi="Bookman Old Style"/>
          <w:sz w:val="27"/>
          <w:szCs w:val="27"/>
        </w:rPr>
        <w:t>“</w:t>
      </w:r>
      <w:r w:rsidR="00B8779E" w:rsidRPr="00B8632D">
        <w:rPr>
          <w:rFonts w:ascii="Bookman Old Style" w:hAnsi="Bookman Old Style"/>
          <w:i/>
          <w:sz w:val="27"/>
          <w:szCs w:val="27"/>
        </w:rPr>
        <w:t>entre diciembre de 1997 y el 25 de septiembre de 2007</w:t>
      </w:r>
      <w:r w:rsidR="00B8632D">
        <w:rPr>
          <w:rFonts w:ascii="Bookman Old Style" w:hAnsi="Bookman Old Style"/>
          <w:sz w:val="27"/>
          <w:szCs w:val="27"/>
        </w:rPr>
        <w:t>”</w:t>
      </w:r>
      <w:r w:rsidR="00B8779E">
        <w:rPr>
          <w:rFonts w:ascii="Bookman Old Style" w:hAnsi="Bookman Old Style"/>
          <w:sz w:val="27"/>
          <w:szCs w:val="27"/>
        </w:rPr>
        <w:t xml:space="preserve">, es decir, que se declaró la responsabilidad penal de aquél por </w:t>
      </w:r>
      <w:r w:rsidR="00BA6755">
        <w:rPr>
          <w:rFonts w:ascii="Bookman Old Style" w:hAnsi="Bookman Old Style"/>
          <w:sz w:val="27"/>
          <w:szCs w:val="27"/>
        </w:rPr>
        <w:t>delitos</w:t>
      </w:r>
      <w:r w:rsidR="00B8779E">
        <w:rPr>
          <w:rFonts w:ascii="Bookman Old Style" w:hAnsi="Bookman Old Style"/>
          <w:sz w:val="27"/>
          <w:szCs w:val="27"/>
        </w:rPr>
        <w:t xml:space="preserve"> cometid</w:t>
      </w:r>
      <w:r w:rsidR="00BA6755">
        <w:rPr>
          <w:rFonts w:ascii="Bookman Old Style" w:hAnsi="Bookman Old Style"/>
          <w:sz w:val="27"/>
          <w:szCs w:val="27"/>
        </w:rPr>
        <w:t>o</w:t>
      </w:r>
      <w:r w:rsidR="00B8779E">
        <w:rPr>
          <w:rFonts w:ascii="Bookman Old Style" w:hAnsi="Bookman Old Style"/>
          <w:sz w:val="27"/>
          <w:szCs w:val="27"/>
        </w:rPr>
        <w:t>s con posterioridad a su desmovilizaci</w:t>
      </w:r>
      <w:r w:rsidR="003507C3">
        <w:rPr>
          <w:rFonts w:ascii="Bookman Old Style" w:hAnsi="Bookman Old Style"/>
          <w:sz w:val="27"/>
          <w:szCs w:val="27"/>
        </w:rPr>
        <w:t xml:space="preserve">ón </w:t>
      </w:r>
      <w:r w:rsidR="003507C3" w:rsidRPr="003507C3">
        <w:rPr>
          <w:rFonts w:ascii="Bookman Old Style" w:hAnsi="Bookman Old Style"/>
          <w:sz w:val="25"/>
          <w:szCs w:val="25"/>
        </w:rPr>
        <w:t>-</w:t>
      </w:r>
      <w:r w:rsidR="003507C3" w:rsidRPr="003507C3">
        <w:rPr>
          <w:rFonts w:ascii="Bookman Old Style" w:hAnsi="Bookman Old Style"/>
          <w:spacing w:val="-3"/>
          <w:sz w:val="25"/>
          <w:szCs w:val="25"/>
          <w:lang w:val="es-CO"/>
        </w:rPr>
        <w:t>12 de diciembre de 2005-</w:t>
      </w:r>
      <w:r w:rsidR="003507C3">
        <w:rPr>
          <w:rFonts w:ascii="Bookman Old Style" w:hAnsi="Bookman Old Style"/>
          <w:spacing w:val="-3"/>
          <w:sz w:val="27"/>
          <w:szCs w:val="27"/>
          <w:lang w:val="es-CO"/>
        </w:rPr>
        <w:t xml:space="preserve">. </w:t>
      </w:r>
    </w:p>
    <w:p w14:paraId="61998DDF" w14:textId="77777777" w:rsidR="005E181C" w:rsidRDefault="005E181C" w:rsidP="009C2939">
      <w:pPr>
        <w:spacing w:line="336" w:lineRule="auto"/>
        <w:ind w:firstLine="708"/>
        <w:jc w:val="both"/>
        <w:rPr>
          <w:rFonts w:ascii="Bookman Old Style" w:hAnsi="Bookman Old Style"/>
          <w:sz w:val="27"/>
          <w:szCs w:val="27"/>
        </w:rPr>
      </w:pPr>
    </w:p>
    <w:p w14:paraId="5AE49F1E" w14:textId="140A4468" w:rsidR="005E181C" w:rsidRPr="0013327D" w:rsidRDefault="005E181C" w:rsidP="009C2939">
      <w:pPr>
        <w:spacing w:line="336" w:lineRule="auto"/>
        <w:ind w:firstLine="708"/>
        <w:jc w:val="both"/>
        <w:rPr>
          <w:rFonts w:ascii="Bookman Old Style" w:hAnsi="Bookman Old Style"/>
          <w:sz w:val="27"/>
          <w:szCs w:val="27"/>
          <w:lang w:val="es-CO"/>
        </w:rPr>
      </w:pPr>
      <w:r>
        <w:rPr>
          <w:rFonts w:ascii="Bookman Old Style" w:hAnsi="Bookman Old Style"/>
          <w:sz w:val="27"/>
          <w:szCs w:val="27"/>
        </w:rPr>
        <w:t xml:space="preserve">Por demás, </w:t>
      </w:r>
      <w:r w:rsidR="005D0C6F">
        <w:rPr>
          <w:rFonts w:ascii="Bookman Old Style" w:hAnsi="Bookman Old Style"/>
          <w:sz w:val="27"/>
          <w:szCs w:val="27"/>
        </w:rPr>
        <w:t xml:space="preserve">añade, </w:t>
      </w:r>
      <w:r w:rsidR="00C05126">
        <w:rPr>
          <w:rFonts w:ascii="Bookman Old Style" w:hAnsi="Bookman Old Style"/>
          <w:sz w:val="27"/>
          <w:szCs w:val="27"/>
        </w:rPr>
        <w:t xml:space="preserve">no es dable cuestionar </w:t>
      </w:r>
      <w:r w:rsidR="00594951">
        <w:rPr>
          <w:rFonts w:ascii="Bookman Old Style" w:hAnsi="Bookman Old Style"/>
          <w:sz w:val="27"/>
          <w:szCs w:val="27"/>
        </w:rPr>
        <w:t xml:space="preserve">la legalidad de la sentencia condenatoria dictada en contra del señor JIMÉNEZ NARANJO por el Tribunal </w:t>
      </w:r>
      <w:r w:rsidR="0072640D">
        <w:rPr>
          <w:rFonts w:ascii="Bookman Old Style" w:hAnsi="Bookman Old Style"/>
          <w:sz w:val="27"/>
          <w:szCs w:val="27"/>
        </w:rPr>
        <w:t xml:space="preserve">del Distrito Sur de la Florida. </w:t>
      </w:r>
      <w:r w:rsidR="000165E6">
        <w:rPr>
          <w:rFonts w:ascii="Bookman Old Style" w:hAnsi="Bookman Old Style"/>
          <w:sz w:val="27"/>
          <w:szCs w:val="27"/>
        </w:rPr>
        <w:t>Contrario a lo expuesto por el defensor, llama la atención</w:t>
      </w:r>
      <w:r w:rsidR="00174A31">
        <w:rPr>
          <w:rFonts w:ascii="Bookman Old Style" w:hAnsi="Bookman Old Style"/>
          <w:sz w:val="27"/>
          <w:szCs w:val="27"/>
        </w:rPr>
        <w:t xml:space="preserve"> la Sala </w:t>
      </w:r>
      <w:r w:rsidR="00174A31">
        <w:rPr>
          <w:rFonts w:ascii="Bookman Old Style" w:hAnsi="Bookman Old Style"/>
          <w:i/>
          <w:sz w:val="27"/>
          <w:szCs w:val="27"/>
        </w:rPr>
        <w:t>a quo</w:t>
      </w:r>
      <w:r w:rsidR="000165E6">
        <w:rPr>
          <w:rFonts w:ascii="Bookman Old Style" w:hAnsi="Bookman Old Style"/>
          <w:sz w:val="27"/>
          <w:szCs w:val="27"/>
        </w:rPr>
        <w:t>, no hay razones para afirmar que aquél aceptó los cargos que le fueron imputados a causa de amenazas y presiones ejercidas por el gobierno de los EEUU</w:t>
      </w:r>
      <w:r w:rsidR="00AF3451">
        <w:rPr>
          <w:rFonts w:ascii="Bookman Old Style" w:hAnsi="Bookman Old Style"/>
          <w:sz w:val="27"/>
          <w:szCs w:val="27"/>
        </w:rPr>
        <w:t xml:space="preserve"> ni que los marcos temporales de la acusación (</w:t>
      </w:r>
      <w:r w:rsidR="00AF3451">
        <w:rPr>
          <w:rFonts w:ascii="Bookman Old Style" w:hAnsi="Bookman Old Style"/>
          <w:i/>
          <w:sz w:val="27"/>
          <w:szCs w:val="27"/>
        </w:rPr>
        <w:t>indictment</w:t>
      </w:r>
      <w:r w:rsidR="00AF3451">
        <w:rPr>
          <w:rFonts w:ascii="Bookman Old Style" w:hAnsi="Bookman Old Style"/>
          <w:sz w:val="27"/>
          <w:szCs w:val="27"/>
        </w:rPr>
        <w:t xml:space="preserve">) fueron fijados arbitraria y fraudulentamente. </w:t>
      </w:r>
      <w:r w:rsidR="000165E6">
        <w:rPr>
          <w:rFonts w:ascii="Bookman Old Style" w:hAnsi="Bookman Old Style"/>
          <w:sz w:val="27"/>
          <w:szCs w:val="27"/>
        </w:rPr>
        <w:t xml:space="preserve">Antes bien, subraya, </w:t>
      </w:r>
      <w:r w:rsidR="00DB7382">
        <w:rPr>
          <w:rFonts w:ascii="Bookman Old Style" w:hAnsi="Bookman Old Style"/>
          <w:sz w:val="27"/>
          <w:szCs w:val="27"/>
        </w:rPr>
        <w:t xml:space="preserve">las pruebas documentales aportadas al presente trámite </w:t>
      </w:r>
      <w:r w:rsidR="00203828">
        <w:rPr>
          <w:rFonts w:ascii="Bookman Old Style" w:hAnsi="Bookman Old Style"/>
          <w:sz w:val="27"/>
          <w:szCs w:val="27"/>
        </w:rPr>
        <w:t xml:space="preserve">dejan ver que el postulado dejó constancia de comprender a cabalidad los términos de la alegación de culpabilidad </w:t>
      </w:r>
      <w:r w:rsidR="007B3B2E">
        <w:rPr>
          <w:rFonts w:ascii="Bookman Old Style" w:hAnsi="Bookman Old Style"/>
          <w:sz w:val="27"/>
          <w:szCs w:val="27"/>
        </w:rPr>
        <w:t xml:space="preserve">elevada ante la justicia </w:t>
      </w:r>
      <w:r w:rsidR="00203828">
        <w:rPr>
          <w:rFonts w:ascii="Bookman Old Style" w:hAnsi="Bookman Old Style"/>
          <w:sz w:val="27"/>
          <w:szCs w:val="27"/>
        </w:rPr>
        <w:t>estadounidense, al tiempo que contó con de</w:t>
      </w:r>
      <w:r w:rsidR="0013327D">
        <w:rPr>
          <w:rFonts w:ascii="Bookman Old Style" w:hAnsi="Bookman Old Style"/>
          <w:sz w:val="27"/>
          <w:szCs w:val="27"/>
        </w:rPr>
        <w:t xml:space="preserve">bida y adecuada asesoría legal que precedió a su manifestación de conformidad. </w:t>
      </w:r>
    </w:p>
    <w:p w14:paraId="0FB92C73" w14:textId="77777777" w:rsidR="00203828" w:rsidRDefault="00203828" w:rsidP="009C2939">
      <w:pPr>
        <w:spacing w:line="336" w:lineRule="auto"/>
        <w:ind w:firstLine="708"/>
        <w:jc w:val="both"/>
        <w:rPr>
          <w:rFonts w:ascii="Bookman Old Style" w:hAnsi="Bookman Old Style"/>
          <w:sz w:val="27"/>
          <w:szCs w:val="27"/>
        </w:rPr>
      </w:pPr>
    </w:p>
    <w:p w14:paraId="4DEAF67E" w14:textId="43B78828" w:rsidR="00F45C67" w:rsidRDefault="00203828" w:rsidP="009C2939">
      <w:pPr>
        <w:spacing w:line="336" w:lineRule="auto"/>
        <w:ind w:firstLine="708"/>
        <w:jc w:val="both"/>
        <w:rPr>
          <w:rFonts w:ascii="Bookman Old Style" w:hAnsi="Bookman Old Style"/>
          <w:sz w:val="27"/>
          <w:szCs w:val="27"/>
        </w:rPr>
      </w:pPr>
      <w:r>
        <w:rPr>
          <w:rFonts w:ascii="Bookman Old Style" w:hAnsi="Bookman Old Style"/>
          <w:sz w:val="27"/>
          <w:szCs w:val="27"/>
        </w:rPr>
        <w:t>En es</w:t>
      </w:r>
      <w:r w:rsidR="00FF6E5B">
        <w:rPr>
          <w:rFonts w:ascii="Bookman Old Style" w:hAnsi="Bookman Old Style"/>
          <w:sz w:val="27"/>
          <w:szCs w:val="27"/>
        </w:rPr>
        <w:t>a</w:t>
      </w:r>
      <w:r>
        <w:rPr>
          <w:rFonts w:ascii="Bookman Old Style" w:hAnsi="Bookman Old Style"/>
          <w:sz w:val="27"/>
          <w:szCs w:val="27"/>
        </w:rPr>
        <w:t xml:space="preserve"> </w:t>
      </w:r>
      <w:r w:rsidR="00FF6E5B">
        <w:rPr>
          <w:rFonts w:ascii="Bookman Old Style" w:hAnsi="Bookman Old Style"/>
          <w:sz w:val="27"/>
          <w:szCs w:val="27"/>
        </w:rPr>
        <w:t>dirección</w:t>
      </w:r>
      <w:r w:rsidR="002D7975">
        <w:rPr>
          <w:rFonts w:ascii="Bookman Old Style" w:hAnsi="Bookman Old Style"/>
          <w:sz w:val="27"/>
          <w:szCs w:val="27"/>
        </w:rPr>
        <w:t>, para el Tribunal</w:t>
      </w:r>
      <w:r>
        <w:rPr>
          <w:rFonts w:ascii="Bookman Old Style" w:hAnsi="Bookman Old Style"/>
          <w:sz w:val="27"/>
          <w:szCs w:val="27"/>
        </w:rPr>
        <w:t xml:space="preserve">, es del todo relevante que en el aparte correspondiente a la </w:t>
      </w:r>
      <w:r w:rsidRPr="00203828">
        <w:rPr>
          <w:rFonts w:ascii="Bookman Old Style" w:hAnsi="Bookman Old Style"/>
          <w:i/>
          <w:sz w:val="27"/>
          <w:szCs w:val="27"/>
        </w:rPr>
        <w:t>declaración de hechos</w:t>
      </w:r>
      <w:r>
        <w:rPr>
          <w:rFonts w:ascii="Bookman Old Style" w:hAnsi="Bookman Old Style"/>
          <w:sz w:val="27"/>
          <w:szCs w:val="27"/>
        </w:rPr>
        <w:t xml:space="preserve"> sobre la cual operó el acuerdo de culpabilidad</w:t>
      </w:r>
      <w:r w:rsidR="00407B15">
        <w:rPr>
          <w:rStyle w:val="Refdenotaalpie"/>
          <w:rFonts w:ascii="Bookman Old Style" w:hAnsi="Bookman Old Style"/>
          <w:sz w:val="27"/>
          <w:szCs w:val="27"/>
        </w:rPr>
        <w:footnoteReference w:id="6"/>
      </w:r>
      <w:r>
        <w:rPr>
          <w:rFonts w:ascii="Bookman Old Style" w:hAnsi="Bookman Old Style"/>
          <w:sz w:val="27"/>
          <w:szCs w:val="27"/>
        </w:rPr>
        <w:t xml:space="preserve">, CARLOS MARÍO JIMÉNEZ manifestó expresamente haber comprendido la imputación fáctica en su totalidad, reconociendo con su firma que la exposición de hechos es veraz y exacta. </w:t>
      </w:r>
      <w:r w:rsidR="00F45C67">
        <w:rPr>
          <w:rFonts w:ascii="Bookman Old Style" w:hAnsi="Bookman Old Style"/>
          <w:sz w:val="27"/>
          <w:szCs w:val="27"/>
        </w:rPr>
        <w:t xml:space="preserve">Y tal componente fáctico acogido en la sentencia, agrega, comprende circunstancias de tiempo delimitadas </w:t>
      </w:r>
      <w:r w:rsidR="00BB4FB8">
        <w:rPr>
          <w:rFonts w:ascii="Bookman Old Style" w:hAnsi="Bookman Old Style"/>
          <w:sz w:val="27"/>
          <w:szCs w:val="27"/>
        </w:rPr>
        <w:t>“</w:t>
      </w:r>
      <w:r w:rsidR="00F45C67" w:rsidRPr="00BB4FB8">
        <w:rPr>
          <w:rFonts w:ascii="Bookman Old Style" w:hAnsi="Bookman Old Style"/>
          <w:i/>
          <w:sz w:val="27"/>
          <w:szCs w:val="27"/>
        </w:rPr>
        <w:t xml:space="preserve">entre el año 1997 y junio </w:t>
      </w:r>
      <w:r w:rsidR="00F45C67" w:rsidRPr="00BB4FB8">
        <w:rPr>
          <w:rFonts w:ascii="Bookman Old Style" w:hAnsi="Bookman Old Style"/>
          <w:i/>
          <w:sz w:val="27"/>
          <w:szCs w:val="27"/>
        </w:rPr>
        <w:lastRenderedPageBreak/>
        <w:t>de 2007</w:t>
      </w:r>
      <w:r w:rsidR="00BB4FB8" w:rsidRPr="00BB4FB8">
        <w:rPr>
          <w:rFonts w:ascii="Bookman Old Style" w:hAnsi="Bookman Old Style"/>
          <w:i/>
          <w:sz w:val="27"/>
          <w:szCs w:val="27"/>
        </w:rPr>
        <w:t>”</w:t>
      </w:r>
      <w:r w:rsidR="00F45C67" w:rsidRPr="00BB4FB8">
        <w:rPr>
          <w:rFonts w:ascii="Bookman Old Style" w:hAnsi="Bookman Old Style"/>
          <w:i/>
          <w:sz w:val="27"/>
          <w:szCs w:val="27"/>
        </w:rPr>
        <w:t>,</w:t>
      </w:r>
      <w:r w:rsidR="00F45C67">
        <w:rPr>
          <w:rFonts w:ascii="Bookman Old Style" w:hAnsi="Bookman Old Style"/>
          <w:sz w:val="27"/>
          <w:szCs w:val="27"/>
        </w:rPr>
        <w:t xml:space="preserve"> para el cargo por concierto para importar cocaína, mientras que, de cara al cargo por concierto para poseer dicho narcótico con intención de distribución a bordo de navíos,</w:t>
      </w:r>
      <w:r w:rsidR="003E636E">
        <w:rPr>
          <w:rFonts w:ascii="Bookman Old Style" w:hAnsi="Bookman Old Style"/>
          <w:sz w:val="27"/>
          <w:szCs w:val="27"/>
        </w:rPr>
        <w:t xml:space="preserve"> los hechos</w:t>
      </w:r>
      <w:r w:rsidR="00F45C67">
        <w:rPr>
          <w:rFonts w:ascii="Bookman Old Style" w:hAnsi="Bookman Old Style"/>
          <w:sz w:val="27"/>
          <w:szCs w:val="27"/>
        </w:rPr>
        <w:t xml:space="preserve">  se ubican entre el 6 de septiembre de 2006 y el 6 de septiembre de 2007. </w:t>
      </w:r>
    </w:p>
    <w:p w14:paraId="49FF1AE3" w14:textId="77777777" w:rsidR="007425C2" w:rsidRDefault="007425C2" w:rsidP="009C2939">
      <w:pPr>
        <w:spacing w:line="336" w:lineRule="auto"/>
        <w:ind w:firstLine="708"/>
        <w:jc w:val="both"/>
        <w:rPr>
          <w:rFonts w:ascii="Bookman Old Style" w:hAnsi="Bookman Old Style"/>
          <w:sz w:val="27"/>
          <w:szCs w:val="27"/>
        </w:rPr>
      </w:pPr>
    </w:p>
    <w:p w14:paraId="5AB74B82" w14:textId="61424D0F" w:rsidR="00373D9E" w:rsidRDefault="00373D9E" w:rsidP="009C2939">
      <w:pPr>
        <w:spacing w:line="336" w:lineRule="auto"/>
        <w:ind w:firstLine="708"/>
        <w:jc w:val="both"/>
        <w:rPr>
          <w:rFonts w:ascii="Bookman Old Style" w:hAnsi="Bookman Old Style"/>
          <w:sz w:val="27"/>
          <w:szCs w:val="27"/>
        </w:rPr>
      </w:pPr>
      <w:r>
        <w:rPr>
          <w:rFonts w:ascii="Bookman Old Style" w:hAnsi="Bookman Old Style"/>
          <w:sz w:val="27"/>
          <w:szCs w:val="27"/>
        </w:rPr>
        <w:t>Esa comprensión cabal de los hechos y sus ci</w:t>
      </w:r>
      <w:r w:rsidR="00E1794D">
        <w:rPr>
          <w:rFonts w:ascii="Bookman Old Style" w:hAnsi="Bookman Old Style"/>
          <w:sz w:val="27"/>
          <w:szCs w:val="27"/>
        </w:rPr>
        <w:t>rcunstancias temporales, enfat</w:t>
      </w:r>
      <w:r>
        <w:rPr>
          <w:rFonts w:ascii="Bookman Old Style" w:hAnsi="Bookman Old Style"/>
          <w:sz w:val="27"/>
          <w:szCs w:val="27"/>
        </w:rPr>
        <w:t>iza, no sólo deriva de las constancias que dejó el postulado, en calidad de acusado, ante las autoridades judiciales de los Estados Unidos. También</w:t>
      </w:r>
      <w:r w:rsidR="003D08A1">
        <w:rPr>
          <w:rFonts w:ascii="Bookman Old Style" w:hAnsi="Bookman Old Style"/>
          <w:sz w:val="27"/>
          <w:szCs w:val="27"/>
        </w:rPr>
        <w:t>, dice,</w:t>
      </w:r>
      <w:r>
        <w:rPr>
          <w:rFonts w:ascii="Bookman Old Style" w:hAnsi="Bookman Old Style"/>
          <w:sz w:val="27"/>
          <w:szCs w:val="27"/>
        </w:rPr>
        <w:t xml:space="preserve"> se deduce del conocimiento de aquél </w:t>
      </w:r>
      <w:r w:rsidR="002F2AF6">
        <w:rPr>
          <w:rFonts w:ascii="Bookman Old Style" w:hAnsi="Bookman Old Style"/>
          <w:sz w:val="27"/>
          <w:szCs w:val="27"/>
        </w:rPr>
        <w:t xml:space="preserve">de </w:t>
      </w:r>
      <w:r>
        <w:rPr>
          <w:rFonts w:ascii="Bookman Old Style" w:hAnsi="Bookman Old Style"/>
          <w:sz w:val="27"/>
          <w:szCs w:val="27"/>
        </w:rPr>
        <w:t xml:space="preserve">los </w:t>
      </w:r>
      <w:r w:rsidR="002F2AF6">
        <w:rPr>
          <w:rFonts w:ascii="Bookman Old Style" w:hAnsi="Bookman Old Style"/>
          <w:sz w:val="27"/>
          <w:szCs w:val="27"/>
        </w:rPr>
        <w:t xml:space="preserve">cargos por los cuales fue extraditado, previo concepto favorable de la Corte Suprema de Justicia, en decisión del 2 de abril de 2008 (rad. 28.643). </w:t>
      </w:r>
    </w:p>
    <w:p w14:paraId="44D89A49" w14:textId="77777777" w:rsidR="00373D9E" w:rsidRDefault="00373D9E" w:rsidP="009C2939">
      <w:pPr>
        <w:spacing w:line="336" w:lineRule="auto"/>
        <w:ind w:firstLine="708"/>
        <w:jc w:val="both"/>
        <w:rPr>
          <w:rFonts w:ascii="Bookman Old Style" w:hAnsi="Bookman Old Style"/>
          <w:sz w:val="27"/>
          <w:szCs w:val="27"/>
        </w:rPr>
      </w:pPr>
    </w:p>
    <w:p w14:paraId="44A3B71D" w14:textId="4EFA37E6" w:rsidR="00F45C67" w:rsidRPr="00552170" w:rsidRDefault="002F2AF6" w:rsidP="009C2939">
      <w:pPr>
        <w:spacing w:line="336" w:lineRule="auto"/>
        <w:ind w:firstLine="708"/>
        <w:jc w:val="both"/>
        <w:rPr>
          <w:rFonts w:ascii="Bookman Old Style" w:hAnsi="Bookman Old Style"/>
          <w:sz w:val="27"/>
          <w:szCs w:val="27"/>
          <w:lang w:val="es-CO"/>
        </w:rPr>
      </w:pPr>
      <w:r>
        <w:rPr>
          <w:rFonts w:ascii="Bookman Old Style" w:hAnsi="Bookman Old Style"/>
          <w:sz w:val="27"/>
          <w:szCs w:val="27"/>
        </w:rPr>
        <w:t xml:space="preserve">Finalmente, </w:t>
      </w:r>
      <w:r w:rsidR="00C35384">
        <w:rPr>
          <w:rFonts w:ascii="Bookman Old Style" w:hAnsi="Bookman Old Style"/>
          <w:sz w:val="27"/>
          <w:szCs w:val="27"/>
        </w:rPr>
        <w:t>destaca, la declaración de justicia producida en EEUU hizo tránsit</w:t>
      </w:r>
      <w:r w:rsidR="009A3CBA">
        <w:rPr>
          <w:rFonts w:ascii="Bookman Old Style" w:hAnsi="Bookman Old Style"/>
          <w:sz w:val="27"/>
          <w:szCs w:val="27"/>
        </w:rPr>
        <w:t>o a cosa juzgada en Colombia. En</w:t>
      </w:r>
      <w:r w:rsidR="00C35384">
        <w:rPr>
          <w:rFonts w:ascii="Bookman Old Style" w:hAnsi="Bookman Old Style"/>
          <w:sz w:val="27"/>
          <w:szCs w:val="27"/>
        </w:rPr>
        <w:t xml:space="preserve"> sustento de tal aserto, expone</w:t>
      </w:r>
      <w:r w:rsidR="00AF3451">
        <w:rPr>
          <w:rFonts w:ascii="Bookman Old Style" w:hAnsi="Bookman Old Style"/>
          <w:sz w:val="27"/>
          <w:szCs w:val="27"/>
        </w:rPr>
        <w:t>, la jurisprudencia de la Corte Suprema de Justicia</w:t>
      </w:r>
      <w:r w:rsidR="00AF3451">
        <w:rPr>
          <w:rStyle w:val="Refdenotaalpie"/>
          <w:rFonts w:ascii="Bookman Old Style" w:hAnsi="Bookman Old Style"/>
          <w:sz w:val="27"/>
          <w:szCs w:val="27"/>
        </w:rPr>
        <w:footnoteReference w:id="7"/>
      </w:r>
      <w:r w:rsidR="00AF3451">
        <w:rPr>
          <w:rFonts w:ascii="Bookman Old Style" w:hAnsi="Bookman Old Style"/>
          <w:sz w:val="27"/>
          <w:szCs w:val="27"/>
        </w:rPr>
        <w:t xml:space="preserve"> ha establecido que la cosa juzgada, en relación con decisiones judiciales extranjeras, precedidas de un proceso de extradición, se predica cuando se cumplen tres requisitos, que considera satisfechos en el presente caso: i) que la persona contra la cual se adelantó el proceso haya sido la misma solicitada; ii) que exista sentencia en firme o providencia que tenga su misma fuerza vinculante y iii) que el hecho (sic) objeto de juzgamiento sea el mismo que motiva la solicitud de extradición. </w:t>
      </w:r>
      <w:r w:rsidR="00552170">
        <w:rPr>
          <w:rFonts w:ascii="Bookman Old Style" w:hAnsi="Bookman Old Style"/>
          <w:sz w:val="27"/>
          <w:szCs w:val="27"/>
        </w:rPr>
        <w:t>De ah</w:t>
      </w:r>
      <w:r w:rsidR="00552170">
        <w:rPr>
          <w:rFonts w:ascii="Bookman Old Style" w:hAnsi="Bookman Old Style"/>
          <w:sz w:val="27"/>
          <w:szCs w:val="27"/>
          <w:lang w:val="es-CO"/>
        </w:rPr>
        <w:t xml:space="preserve">í que, </w:t>
      </w:r>
      <w:r w:rsidR="009A3CBA">
        <w:rPr>
          <w:rFonts w:ascii="Bookman Old Style" w:hAnsi="Bookman Old Style"/>
          <w:sz w:val="27"/>
          <w:szCs w:val="27"/>
          <w:lang w:val="es-CO"/>
        </w:rPr>
        <w:t>concluye,</w:t>
      </w:r>
      <w:r w:rsidR="00552170">
        <w:rPr>
          <w:rFonts w:ascii="Bookman Old Style" w:hAnsi="Bookman Old Style"/>
          <w:sz w:val="27"/>
          <w:szCs w:val="27"/>
          <w:lang w:val="es-CO"/>
        </w:rPr>
        <w:t xml:space="preserve"> tenga aplicabilidad el art. 17 del CP, acorde con el cual la sentencia absolutoria o condenatoria pronunciada en el extranjero tendrá valor de cosa juzgada para todos los efectos legales</w:t>
      </w:r>
      <w:r w:rsidR="003A5B8E">
        <w:rPr>
          <w:rFonts w:ascii="Bookman Old Style" w:hAnsi="Bookman Old Style"/>
          <w:sz w:val="27"/>
          <w:szCs w:val="27"/>
          <w:lang w:val="es-CO"/>
        </w:rPr>
        <w:t>. E</w:t>
      </w:r>
      <w:r w:rsidR="00552170">
        <w:rPr>
          <w:rFonts w:ascii="Bookman Old Style" w:hAnsi="Bookman Old Style"/>
          <w:sz w:val="27"/>
          <w:szCs w:val="27"/>
          <w:lang w:val="es-CO"/>
        </w:rPr>
        <w:t xml:space="preserve">n consecuencia, </w:t>
      </w:r>
      <w:r w:rsidR="003A5B8E">
        <w:rPr>
          <w:rFonts w:ascii="Bookman Old Style" w:hAnsi="Bookman Old Style"/>
          <w:sz w:val="27"/>
          <w:szCs w:val="27"/>
          <w:lang w:val="es-CO"/>
        </w:rPr>
        <w:lastRenderedPageBreak/>
        <w:t xml:space="preserve">subraya, </w:t>
      </w:r>
      <w:r w:rsidR="00552170">
        <w:rPr>
          <w:rFonts w:ascii="Bookman Old Style" w:hAnsi="Bookman Old Style"/>
          <w:sz w:val="27"/>
          <w:szCs w:val="27"/>
          <w:lang w:val="es-CO"/>
        </w:rPr>
        <w:t>la presunción de inocencia del postulad</w:t>
      </w:r>
      <w:r w:rsidR="003A5B8E">
        <w:rPr>
          <w:rFonts w:ascii="Bookman Old Style" w:hAnsi="Bookman Old Style"/>
          <w:sz w:val="27"/>
          <w:szCs w:val="27"/>
          <w:lang w:val="es-CO"/>
        </w:rPr>
        <w:t xml:space="preserve">o CARLOS MARIO JIMÉNEZ NARANJO está desvirtuada. </w:t>
      </w:r>
    </w:p>
    <w:p w14:paraId="57B4B025" w14:textId="77777777" w:rsidR="00EC4E46" w:rsidRDefault="00EC4E46" w:rsidP="009C2939">
      <w:pPr>
        <w:spacing w:line="336" w:lineRule="auto"/>
        <w:ind w:firstLine="708"/>
        <w:jc w:val="both"/>
        <w:rPr>
          <w:rFonts w:ascii="Bookman Old Style" w:hAnsi="Bookman Old Style"/>
          <w:sz w:val="27"/>
          <w:szCs w:val="27"/>
        </w:rPr>
      </w:pPr>
    </w:p>
    <w:p w14:paraId="417DDB34" w14:textId="77777777" w:rsidR="009C2939" w:rsidRPr="00150882" w:rsidRDefault="009C2939" w:rsidP="009C2939">
      <w:pPr>
        <w:spacing w:line="336" w:lineRule="auto"/>
        <w:ind w:firstLine="708"/>
        <w:jc w:val="center"/>
        <w:rPr>
          <w:rFonts w:ascii="Bookman Old Style" w:hAnsi="Bookman Old Style"/>
          <w:b/>
          <w:sz w:val="27"/>
          <w:szCs w:val="27"/>
        </w:rPr>
      </w:pPr>
      <w:r w:rsidRPr="00150882">
        <w:rPr>
          <w:rFonts w:ascii="Bookman Old Style" w:hAnsi="Bookman Old Style"/>
          <w:b/>
          <w:sz w:val="27"/>
          <w:szCs w:val="27"/>
        </w:rPr>
        <w:t>MOTIVOS DE IMPUGNACIÓN</w:t>
      </w:r>
    </w:p>
    <w:p w14:paraId="144F35FB" w14:textId="77777777" w:rsidR="009C2939" w:rsidRPr="00150882" w:rsidRDefault="009C2939" w:rsidP="009C2939">
      <w:pPr>
        <w:spacing w:line="336" w:lineRule="auto"/>
        <w:ind w:firstLine="708"/>
        <w:jc w:val="center"/>
        <w:rPr>
          <w:rFonts w:ascii="Bookman Old Style" w:hAnsi="Bookman Old Style"/>
          <w:b/>
          <w:sz w:val="27"/>
          <w:szCs w:val="27"/>
        </w:rPr>
      </w:pPr>
    </w:p>
    <w:p w14:paraId="3DD69ABA" w14:textId="3A4497CA" w:rsidR="009C2939" w:rsidRPr="00150882" w:rsidRDefault="00150882" w:rsidP="009C2939">
      <w:pPr>
        <w:spacing w:line="336" w:lineRule="auto"/>
        <w:ind w:firstLine="708"/>
        <w:jc w:val="both"/>
        <w:rPr>
          <w:rFonts w:ascii="Bookman Old Style" w:hAnsi="Bookman Old Style"/>
          <w:sz w:val="27"/>
          <w:szCs w:val="27"/>
        </w:rPr>
      </w:pPr>
      <w:r w:rsidRPr="00150882">
        <w:rPr>
          <w:rFonts w:ascii="Bookman Old Style" w:hAnsi="Bookman Old Style"/>
          <w:sz w:val="27"/>
          <w:szCs w:val="27"/>
        </w:rPr>
        <w:t xml:space="preserve">El </w:t>
      </w:r>
      <w:r w:rsidR="008B46F1">
        <w:rPr>
          <w:rFonts w:ascii="Bookman Old Style" w:hAnsi="Bookman Old Style"/>
          <w:sz w:val="27"/>
          <w:szCs w:val="27"/>
        </w:rPr>
        <w:t>apelante</w:t>
      </w:r>
      <w:r w:rsidRPr="00150882">
        <w:rPr>
          <w:rFonts w:ascii="Bookman Old Style" w:hAnsi="Bookman Old Style"/>
          <w:sz w:val="27"/>
          <w:szCs w:val="27"/>
        </w:rPr>
        <w:t xml:space="preserve"> </w:t>
      </w:r>
      <w:r w:rsidR="009C2939" w:rsidRPr="00150882">
        <w:rPr>
          <w:rFonts w:ascii="Bookman Old Style" w:hAnsi="Bookman Old Style"/>
          <w:sz w:val="27"/>
          <w:szCs w:val="27"/>
        </w:rPr>
        <w:t xml:space="preserve">refuta las razones expuestas por el </w:t>
      </w:r>
      <w:r w:rsidR="009C2939" w:rsidRPr="00150882">
        <w:rPr>
          <w:rFonts w:ascii="Bookman Old Style" w:hAnsi="Bookman Old Style"/>
          <w:i/>
          <w:sz w:val="27"/>
          <w:szCs w:val="27"/>
        </w:rPr>
        <w:t>a quo</w:t>
      </w:r>
      <w:r w:rsidR="009C2939" w:rsidRPr="00150882">
        <w:rPr>
          <w:rFonts w:ascii="Bookman Old Style" w:hAnsi="Bookman Old Style"/>
          <w:sz w:val="27"/>
          <w:szCs w:val="27"/>
        </w:rPr>
        <w:t xml:space="preserve"> para disponer la expulsión de</w:t>
      </w:r>
      <w:r w:rsidR="00915D01">
        <w:rPr>
          <w:rFonts w:ascii="Bookman Old Style" w:hAnsi="Bookman Old Style"/>
          <w:sz w:val="27"/>
          <w:szCs w:val="27"/>
        </w:rPr>
        <w:t>l postulado</w:t>
      </w:r>
      <w:r w:rsidR="009C2939" w:rsidRPr="00150882">
        <w:rPr>
          <w:rFonts w:ascii="Bookman Old Style" w:hAnsi="Bookman Old Style"/>
          <w:sz w:val="27"/>
          <w:szCs w:val="27"/>
        </w:rPr>
        <w:t xml:space="preserve"> del proceso penal especial de justicia y paz, a la luz de los argumentos que la Sala sintetiza de la siguiente forma.</w:t>
      </w:r>
    </w:p>
    <w:p w14:paraId="6CFAA26A" w14:textId="77777777" w:rsidR="009C2939" w:rsidRPr="005A64E1" w:rsidRDefault="009C2939" w:rsidP="009C2939">
      <w:pPr>
        <w:spacing w:line="336" w:lineRule="auto"/>
        <w:ind w:firstLine="708"/>
        <w:jc w:val="both"/>
        <w:rPr>
          <w:rFonts w:ascii="Bookman Old Style" w:hAnsi="Bookman Old Style"/>
          <w:color w:val="002060"/>
          <w:sz w:val="27"/>
          <w:szCs w:val="27"/>
        </w:rPr>
      </w:pPr>
    </w:p>
    <w:p w14:paraId="6635BC55" w14:textId="7E8EB9C5" w:rsidR="009C2939" w:rsidRPr="00233195" w:rsidRDefault="009C2939" w:rsidP="00150882">
      <w:pPr>
        <w:spacing w:line="336" w:lineRule="auto"/>
        <w:ind w:firstLine="708"/>
        <w:jc w:val="both"/>
        <w:rPr>
          <w:rFonts w:ascii="Bookman Old Style" w:hAnsi="Bookman Old Style"/>
          <w:sz w:val="27"/>
          <w:szCs w:val="27"/>
        </w:rPr>
      </w:pPr>
      <w:r w:rsidRPr="00233195">
        <w:rPr>
          <w:rFonts w:ascii="Bookman Old Style" w:hAnsi="Bookman Old Style"/>
          <w:sz w:val="27"/>
          <w:szCs w:val="27"/>
        </w:rPr>
        <w:t>En primer lugar, resalta,</w:t>
      </w:r>
      <w:r w:rsidR="00233195">
        <w:rPr>
          <w:rFonts w:ascii="Bookman Old Style" w:hAnsi="Bookman Old Style"/>
          <w:sz w:val="27"/>
          <w:szCs w:val="27"/>
        </w:rPr>
        <w:t xml:space="preserve"> </w:t>
      </w:r>
      <w:r w:rsidR="0091003D">
        <w:rPr>
          <w:rFonts w:ascii="Bookman Old Style" w:hAnsi="Bookman Old Style"/>
          <w:sz w:val="27"/>
          <w:szCs w:val="27"/>
        </w:rPr>
        <w:t>la situación penitenciaria en la que se encontró el postulado en Colombia hacía imposible el ejercicio de actividades il</w:t>
      </w:r>
      <w:r w:rsidR="00406B1E">
        <w:rPr>
          <w:rFonts w:ascii="Bookman Old Style" w:hAnsi="Bookman Old Style"/>
          <w:sz w:val="27"/>
          <w:szCs w:val="27"/>
        </w:rPr>
        <w:t xml:space="preserve">ícitas para las fechas en que, según la decisión, se mantuvo una vocación de permanencia del concierto para traficar estupefacientes. </w:t>
      </w:r>
      <w:r w:rsidR="00BC27AB">
        <w:rPr>
          <w:rFonts w:ascii="Bookman Old Style" w:hAnsi="Bookman Old Style"/>
          <w:sz w:val="27"/>
          <w:szCs w:val="27"/>
        </w:rPr>
        <w:t xml:space="preserve">Ello, alega, por cuanto el señor JIMÉNEZ NARANJO fue </w:t>
      </w:r>
      <w:r w:rsidR="007B5933">
        <w:rPr>
          <w:rFonts w:ascii="Bookman Old Style" w:hAnsi="Bookman Old Style"/>
          <w:sz w:val="27"/>
          <w:szCs w:val="27"/>
        </w:rPr>
        <w:t>encarcelado</w:t>
      </w:r>
      <w:r w:rsidR="00BC27AB">
        <w:rPr>
          <w:rFonts w:ascii="Bookman Old Style" w:hAnsi="Bookman Old Style"/>
          <w:sz w:val="27"/>
          <w:szCs w:val="27"/>
        </w:rPr>
        <w:t xml:space="preserve"> el 16 de agosto</w:t>
      </w:r>
      <w:r w:rsidR="00B0467D">
        <w:rPr>
          <w:rFonts w:ascii="Bookman Old Style" w:hAnsi="Bookman Old Style"/>
          <w:sz w:val="27"/>
          <w:szCs w:val="27"/>
        </w:rPr>
        <w:t xml:space="preserve"> de 2006</w:t>
      </w:r>
      <w:r w:rsidR="00BC27AB">
        <w:rPr>
          <w:rFonts w:ascii="Bookman Old Style" w:hAnsi="Bookman Old Style"/>
          <w:sz w:val="27"/>
          <w:szCs w:val="27"/>
        </w:rPr>
        <w:t xml:space="preserve"> en el Centro de Reclusión Especial de La Ceja (Antioquia), el 30 de noviembre subsiguiente fue trasladado a la Penitenciaría de Máxima Seguridad de Itagüí, el 24 de agosto de 2007 fue remitido a la Penitenciaría de Alta Seguridad de Cómbita (Boyacá) y el 13 de septiembre de ese mismo año fue recluido </w:t>
      </w:r>
      <w:r w:rsidR="00540D53">
        <w:rPr>
          <w:rFonts w:ascii="Bookman Old Style" w:hAnsi="Bookman Old Style"/>
          <w:sz w:val="27"/>
          <w:szCs w:val="27"/>
        </w:rPr>
        <w:t>en</w:t>
      </w:r>
      <w:r w:rsidR="00BC27AB">
        <w:rPr>
          <w:rFonts w:ascii="Bookman Old Style" w:hAnsi="Bookman Old Style"/>
          <w:sz w:val="27"/>
          <w:szCs w:val="27"/>
        </w:rPr>
        <w:t xml:space="preserve"> una fragata de la Armada Nacional</w:t>
      </w:r>
      <w:r w:rsidR="001C6EC8">
        <w:rPr>
          <w:rFonts w:ascii="Bookman Old Style" w:hAnsi="Bookman Old Style"/>
          <w:sz w:val="27"/>
          <w:szCs w:val="27"/>
        </w:rPr>
        <w:t xml:space="preserve">. </w:t>
      </w:r>
      <w:r w:rsidR="00E13C58">
        <w:rPr>
          <w:rFonts w:ascii="Bookman Old Style" w:hAnsi="Bookman Old Style"/>
          <w:sz w:val="27"/>
          <w:szCs w:val="27"/>
        </w:rPr>
        <w:t>De ahí que,</w:t>
      </w:r>
      <w:r w:rsidR="00104D36">
        <w:rPr>
          <w:rFonts w:ascii="Bookman Old Style" w:hAnsi="Bookman Old Style"/>
          <w:sz w:val="27"/>
          <w:szCs w:val="27"/>
        </w:rPr>
        <w:t xml:space="preserve"> puntualiza, el postulado carecía de los recursos tecnológicos que le permitieran una fluida comunicación con sus presuntos compañeros de concertación, salvo que haya sido coadyuvado por quienes tenían a cargo su custodia y seguridad. </w:t>
      </w:r>
    </w:p>
    <w:p w14:paraId="36870496" w14:textId="77777777" w:rsidR="009C2939" w:rsidRPr="005A64E1" w:rsidRDefault="009C2939" w:rsidP="009C2939">
      <w:pPr>
        <w:spacing w:line="336" w:lineRule="auto"/>
        <w:ind w:firstLine="708"/>
        <w:jc w:val="both"/>
        <w:rPr>
          <w:rFonts w:ascii="Bookman Old Style" w:hAnsi="Bookman Old Style"/>
          <w:color w:val="002060"/>
          <w:sz w:val="27"/>
          <w:szCs w:val="27"/>
        </w:rPr>
      </w:pPr>
    </w:p>
    <w:p w14:paraId="74C7C40F" w14:textId="72643C88" w:rsidR="009C2939" w:rsidRDefault="00085237" w:rsidP="00150882">
      <w:pPr>
        <w:spacing w:line="336" w:lineRule="auto"/>
        <w:ind w:firstLine="708"/>
        <w:jc w:val="both"/>
        <w:rPr>
          <w:rFonts w:ascii="Bookman Old Style" w:hAnsi="Bookman Old Style"/>
          <w:sz w:val="27"/>
          <w:szCs w:val="27"/>
        </w:rPr>
      </w:pPr>
      <w:r w:rsidRPr="001778A1">
        <w:rPr>
          <w:rFonts w:ascii="Bookman Old Style" w:hAnsi="Bookman Old Style"/>
          <w:sz w:val="27"/>
          <w:szCs w:val="27"/>
        </w:rPr>
        <w:t xml:space="preserve">En segundo término, continúa, </w:t>
      </w:r>
      <w:r w:rsidR="00687E95" w:rsidRPr="001778A1">
        <w:rPr>
          <w:rFonts w:ascii="Bookman Old Style" w:hAnsi="Bookman Old Style"/>
          <w:sz w:val="27"/>
          <w:szCs w:val="27"/>
        </w:rPr>
        <w:t xml:space="preserve">no es cierto que </w:t>
      </w:r>
      <w:r w:rsidR="00687E95" w:rsidRPr="001778A1">
        <w:rPr>
          <w:rFonts w:ascii="Bookman Old Style" w:hAnsi="Bookman Old Style"/>
          <w:i/>
          <w:sz w:val="27"/>
          <w:szCs w:val="27"/>
        </w:rPr>
        <w:t>las piezas procesales</w:t>
      </w:r>
      <w:r w:rsidR="00687E95" w:rsidRPr="001778A1">
        <w:rPr>
          <w:rFonts w:ascii="Bookman Old Style" w:hAnsi="Bookman Old Style"/>
          <w:sz w:val="27"/>
          <w:szCs w:val="27"/>
        </w:rPr>
        <w:t xml:space="preserve"> incorporadas </w:t>
      </w:r>
      <w:r w:rsidR="00687E95">
        <w:rPr>
          <w:rFonts w:ascii="Bookman Old Style" w:hAnsi="Bookman Old Style"/>
          <w:sz w:val="27"/>
          <w:szCs w:val="27"/>
        </w:rPr>
        <w:t>a la presente actuación, provenientes de las autoridades judiciales de los EEUU acrediten efectivamente que el postulado, con posterioridad a su desmovilización, mantuvo “</w:t>
      </w:r>
      <w:r w:rsidR="00687E95" w:rsidRPr="00687E95">
        <w:rPr>
          <w:rFonts w:ascii="Bookman Old Style" w:hAnsi="Bookman Old Style"/>
          <w:i/>
          <w:sz w:val="27"/>
          <w:szCs w:val="27"/>
        </w:rPr>
        <w:t>vocaci</w:t>
      </w:r>
      <w:r w:rsidR="00687E95">
        <w:rPr>
          <w:rFonts w:ascii="Bookman Old Style" w:hAnsi="Bookman Old Style"/>
          <w:i/>
          <w:sz w:val="27"/>
          <w:szCs w:val="27"/>
        </w:rPr>
        <w:t xml:space="preserve">ón de permanencia respecto </w:t>
      </w:r>
      <w:r w:rsidR="00687E95">
        <w:rPr>
          <w:rFonts w:ascii="Bookman Old Style" w:hAnsi="Bookman Old Style"/>
          <w:i/>
          <w:sz w:val="27"/>
          <w:szCs w:val="27"/>
        </w:rPr>
        <w:lastRenderedPageBreak/>
        <w:t xml:space="preserve">de las concertaciones por las que fue declarado responsable”. </w:t>
      </w:r>
      <w:r w:rsidR="0024481A">
        <w:rPr>
          <w:rFonts w:ascii="Bookman Old Style" w:hAnsi="Bookman Old Style"/>
          <w:sz w:val="27"/>
          <w:szCs w:val="27"/>
        </w:rPr>
        <w:t>Tras reseñar el procedimiento de extradición afrontado por aqu</w:t>
      </w:r>
      <w:r w:rsidR="00174212">
        <w:rPr>
          <w:rFonts w:ascii="Bookman Old Style" w:hAnsi="Bookman Old Style"/>
          <w:sz w:val="27"/>
          <w:szCs w:val="27"/>
        </w:rPr>
        <w:t xml:space="preserve">él, </w:t>
      </w:r>
      <w:r w:rsidR="0024481A">
        <w:rPr>
          <w:rFonts w:ascii="Bookman Old Style" w:hAnsi="Bookman Old Style"/>
          <w:sz w:val="27"/>
          <w:szCs w:val="27"/>
        </w:rPr>
        <w:t>las actuaciones seguidas por la Fiscalía e</w:t>
      </w:r>
      <w:r w:rsidR="00174212">
        <w:rPr>
          <w:rFonts w:ascii="Bookman Old Style" w:hAnsi="Bookman Old Style"/>
          <w:sz w:val="27"/>
          <w:szCs w:val="27"/>
        </w:rPr>
        <w:t xml:space="preserve">n el proceso de justicia y paz y la motivación del auto impugnado, </w:t>
      </w:r>
      <w:r w:rsidR="009B7195">
        <w:rPr>
          <w:rFonts w:ascii="Bookman Old Style" w:hAnsi="Bookman Old Style"/>
          <w:sz w:val="27"/>
          <w:szCs w:val="27"/>
        </w:rPr>
        <w:t xml:space="preserve">expone, el Tribunal le asignó a la </w:t>
      </w:r>
      <w:r w:rsidR="009B7195">
        <w:rPr>
          <w:rFonts w:ascii="Bookman Old Style" w:hAnsi="Bookman Old Style"/>
          <w:i/>
          <w:sz w:val="27"/>
          <w:szCs w:val="27"/>
        </w:rPr>
        <w:t>“declaración de hechos”</w:t>
      </w:r>
      <w:r w:rsidR="009B7195">
        <w:rPr>
          <w:rFonts w:ascii="Bookman Old Style" w:hAnsi="Bookman Old Style"/>
          <w:sz w:val="27"/>
          <w:szCs w:val="27"/>
        </w:rPr>
        <w:t xml:space="preserve"> del acuerdo de culpabilidad </w:t>
      </w:r>
      <w:r w:rsidR="009B7195" w:rsidRPr="001778A1">
        <w:rPr>
          <w:rFonts w:ascii="Bookman Old Style" w:hAnsi="Bookman Old Style"/>
          <w:sz w:val="27"/>
          <w:szCs w:val="27"/>
        </w:rPr>
        <w:t xml:space="preserve">un carácter vinculante que, </w:t>
      </w:r>
      <w:r w:rsidR="00032D95" w:rsidRPr="001778A1">
        <w:rPr>
          <w:rFonts w:ascii="Bookman Old Style" w:hAnsi="Bookman Old Style"/>
          <w:sz w:val="27"/>
          <w:szCs w:val="27"/>
        </w:rPr>
        <w:t>“</w:t>
      </w:r>
      <w:r w:rsidR="009B7195" w:rsidRPr="001778A1">
        <w:rPr>
          <w:rFonts w:ascii="Bookman Old Style" w:hAnsi="Bookman Old Style"/>
          <w:i/>
          <w:sz w:val="27"/>
          <w:szCs w:val="27"/>
        </w:rPr>
        <w:t>en relación con marcos cronológicos, no pose</w:t>
      </w:r>
      <w:r w:rsidR="00032D95" w:rsidRPr="001778A1">
        <w:rPr>
          <w:rFonts w:ascii="Bookman Old Style" w:hAnsi="Bookman Old Style"/>
          <w:i/>
          <w:sz w:val="27"/>
          <w:szCs w:val="27"/>
        </w:rPr>
        <w:t>e el</w:t>
      </w:r>
      <w:r w:rsidR="009B7195" w:rsidRPr="001778A1">
        <w:rPr>
          <w:rFonts w:ascii="Bookman Old Style" w:hAnsi="Bookman Old Style"/>
          <w:i/>
          <w:sz w:val="27"/>
          <w:szCs w:val="27"/>
        </w:rPr>
        <w:t xml:space="preserve"> modelo de justicia negociada norteamericana</w:t>
      </w:r>
      <w:r w:rsidR="00032D95" w:rsidRPr="001778A1">
        <w:rPr>
          <w:rFonts w:ascii="Bookman Old Style" w:hAnsi="Bookman Old Style"/>
          <w:sz w:val="27"/>
          <w:szCs w:val="27"/>
        </w:rPr>
        <w:t>”</w:t>
      </w:r>
      <w:r w:rsidR="00F5598E" w:rsidRPr="001778A1">
        <w:rPr>
          <w:rFonts w:ascii="Bookman Old Style" w:hAnsi="Bookman Old Style"/>
          <w:sz w:val="27"/>
          <w:szCs w:val="27"/>
        </w:rPr>
        <w:t xml:space="preserve">. </w:t>
      </w:r>
    </w:p>
    <w:p w14:paraId="0A73225F" w14:textId="77777777" w:rsidR="00F5598E" w:rsidRDefault="00F5598E" w:rsidP="00150882">
      <w:pPr>
        <w:spacing w:line="336" w:lineRule="auto"/>
        <w:ind w:firstLine="708"/>
        <w:jc w:val="both"/>
        <w:rPr>
          <w:rFonts w:ascii="Bookman Old Style" w:hAnsi="Bookman Old Style"/>
          <w:sz w:val="27"/>
          <w:szCs w:val="27"/>
        </w:rPr>
      </w:pPr>
    </w:p>
    <w:p w14:paraId="2FAF303F" w14:textId="61F0E06E" w:rsidR="001458A6" w:rsidRPr="005E7789" w:rsidRDefault="008F0AE8" w:rsidP="00150882">
      <w:pPr>
        <w:spacing w:line="336" w:lineRule="auto"/>
        <w:ind w:firstLine="708"/>
        <w:jc w:val="both"/>
        <w:rPr>
          <w:rFonts w:ascii="Bookman Old Style" w:hAnsi="Bookman Old Style"/>
          <w:sz w:val="27"/>
          <w:szCs w:val="27"/>
        </w:rPr>
      </w:pPr>
      <w:r>
        <w:rPr>
          <w:rFonts w:ascii="Bookman Old Style" w:hAnsi="Bookman Old Style"/>
          <w:sz w:val="27"/>
          <w:szCs w:val="27"/>
        </w:rPr>
        <w:t xml:space="preserve">La Sala de Justicia y Paz, prosigue, </w:t>
      </w:r>
      <w:r w:rsidR="00AE42A9">
        <w:rPr>
          <w:rFonts w:ascii="Bookman Old Style" w:hAnsi="Bookman Old Style"/>
          <w:sz w:val="27"/>
          <w:szCs w:val="27"/>
        </w:rPr>
        <w:t>muestra un “</w:t>
      </w:r>
      <w:r w:rsidR="00AE42A9" w:rsidRPr="00AE42A9">
        <w:rPr>
          <w:rFonts w:ascii="Bookman Old Style" w:hAnsi="Bookman Old Style"/>
          <w:i/>
          <w:sz w:val="27"/>
          <w:szCs w:val="27"/>
        </w:rPr>
        <w:t>conocimiento descontextualizado y superficial</w:t>
      </w:r>
      <w:r w:rsidR="00AE42A9">
        <w:rPr>
          <w:rFonts w:ascii="Bookman Old Style" w:hAnsi="Bookman Old Style"/>
          <w:sz w:val="27"/>
          <w:szCs w:val="27"/>
        </w:rPr>
        <w:t>” de las características del sistema penal ac</w:t>
      </w:r>
      <w:r w:rsidR="00BF19B7">
        <w:rPr>
          <w:rFonts w:ascii="Bookman Old Style" w:hAnsi="Bookman Old Style"/>
          <w:sz w:val="27"/>
          <w:szCs w:val="27"/>
        </w:rPr>
        <w:t xml:space="preserve">usatorio estadounidense. En ese país, sostiene, </w:t>
      </w:r>
      <w:r w:rsidR="00AE42A9">
        <w:rPr>
          <w:rFonts w:ascii="Bookman Old Style" w:hAnsi="Bookman Old Style"/>
          <w:sz w:val="27"/>
          <w:szCs w:val="27"/>
        </w:rPr>
        <w:t>atendida la amplia discrecionalidad de los funcionarios judiciales, tratándose de una sentencia condenatoria lograda por la vía de un acuerdo de culpabilidad, lo único que tiene carácter vinculante con fuerza de cosa juzgada es “</w:t>
      </w:r>
      <w:r w:rsidR="00AE42A9" w:rsidRPr="00AE42A9">
        <w:rPr>
          <w:rFonts w:ascii="Bookman Old Style" w:hAnsi="Bookman Old Style"/>
          <w:i/>
          <w:sz w:val="27"/>
          <w:szCs w:val="27"/>
        </w:rPr>
        <w:t>la aceptación de culpabilidad”</w:t>
      </w:r>
      <w:r w:rsidR="00A74C3E">
        <w:rPr>
          <w:rFonts w:ascii="Bookman Old Style" w:hAnsi="Bookman Old Style"/>
          <w:sz w:val="27"/>
          <w:szCs w:val="27"/>
        </w:rPr>
        <w:t xml:space="preserve"> manifestada en relación con los cargos formulados</w:t>
      </w:r>
      <w:r w:rsidR="00A27376">
        <w:rPr>
          <w:rFonts w:ascii="Bookman Old Style" w:hAnsi="Bookman Old Style"/>
          <w:sz w:val="27"/>
          <w:szCs w:val="27"/>
        </w:rPr>
        <w:t>,</w:t>
      </w:r>
      <w:r w:rsidR="00A74C3E">
        <w:rPr>
          <w:rFonts w:ascii="Bookman Old Style" w:hAnsi="Bookman Old Style"/>
          <w:sz w:val="27"/>
          <w:szCs w:val="27"/>
        </w:rPr>
        <w:t xml:space="preserve"> en referencia a una conducta catalogada legalmente como punible, </w:t>
      </w:r>
      <w:r w:rsidR="00A27376">
        <w:rPr>
          <w:rFonts w:ascii="Bookman Old Style" w:hAnsi="Bookman Old Style"/>
          <w:sz w:val="27"/>
          <w:szCs w:val="27"/>
        </w:rPr>
        <w:t xml:space="preserve">pero </w:t>
      </w:r>
      <w:r w:rsidR="00A74C3E">
        <w:rPr>
          <w:rFonts w:ascii="Bookman Old Style" w:hAnsi="Bookman Old Style"/>
          <w:sz w:val="27"/>
          <w:szCs w:val="27"/>
        </w:rPr>
        <w:t xml:space="preserve">no </w:t>
      </w:r>
      <w:r w:rsidR="00A74C3E">
        <w:rPr>
          <w:rFonts w:ascii="Bookman Old Style" w:hAnsi="Bookman Old Style"/>
          <w:i/>
          <w:sz w:val="27"/>
          <w:szCs w:val="27"/>
        </w:rPr>
        <w:t>“la declaración de hechos”</w:t>
      </w:r>
      <w:r w:rsidR="00104D36">
        <w:rPr>
          <w:rFonts w:ascii="Bookman Old Style" w:hAnsi="Bookman Old Style"/>
          <w:i/>
          <w:sz w:val="27"/>
          <w:szCs w:val="27"/>
        </w:rPr>
        <w:t xml:space="preserve">. </w:t>
      </w:r>
      <w:r w:rsidR="00104D36">
        <w:rPr>
          <w:rFonts w:ascii="Bookman Old Style" w:hAnsi="Bookman Old Style"/>
          <w:sz w:val="27"/>
          <w:szCs w:val="27"/>
        </w:rPr>
        <w:t>Ésta, subraya, no tiene “</w:t>
      </w:r>
      <w:r w:rsidR="00104D36">
        <w:rPr>
          <w:rFonts w:ascii="Bookman Old Style" w:hAnsi="Bookman Old Style"/>
          <w:i/>
          <w:sz w:val="27"/>
          <w:szCs w:val="27"/>
        </w:rPr>
        <w:t xml:space="preserve">en su esencia” </w:t>
      </w:r>
      <w:r w:rsidR="00104D36">
        <w:rPr>
          <w:rFonts w:ascii="Bookman Old Style" w:hAnsi="Bookman Old Style"/>
          <w:sz w:val="27"/>
          <w:szCs w:val="27"/>
        </w:rPr>
        <w:t xml:space="preserve">contenido de acusación, por cuanto, acorde con la doctrina, la alusión a los hechos en el escrito de acusación, en relación con las circunstancias de tiempo, </w:t>
      </w:r>
      <w:r w:rsidR="004E06E9">
        <w:rPr>
          <w:rFonts w:ascii="Bookman Old Style" w:hAnsi="Bookman Old Style"/>
          <w:sz w:val="27"/>
          <w:szCs w:val="27"/>
        </w:rPr>
        <w:t xml:space="preserve">no necesariamente se hace con determinación de </w:t>
      </w:r>
      <w:r w:rsidR="00104D36">
        <w:rPr>
          <w:rFonts w:ascii="Bookman Old Style" w:hAnsi="Bookman Old Style"/>
          <w:sz w:val="27"/>
          <w:szCs w:val="27"/>
        </w:rPr>
        <w:t xml:space="preserve">fechas específicas. </w:t>
      </w:r>
      <w:r w:rsidR="005E7789">
        <w:rPr>
          <w:rFonts w:ascii="Bookman Old Style" w:hAnsi="Bookman Old Style"/>
          <w:sz w:val="27"/>
          <w:szCs w:val="27"/>
        </w:rPr>
        <w:t xml:space="preserve">De ahí que, a su modo de ver, el objeto del proceso penal en Estados Unidos, a diferencia de la doctrina alemana, española e italiana, no se establece por la determinación del </w:t>
      </w:r>
      <w:r w:rsidR="005E7789">
        <w:rPr>
          <w:rFonts w:ascii="Bookman Old Style" w:hAnsi="Bookman Old Style"/>
          <w:i/>
          <w:sz w:val="27"/>
          <w:szCs w:val="27"/>
        </w:rPr>
        <w:t xml:space="preserve">“hecho histórico”, </w:t>
      </w:r>
      <w:r w:rsidR="005E7789">
        <w:rPr>
          <w:rFonts w:ascii="Bookman Old Style" w:hAnsi="Bookman Old Style"/>
          <w:sz w:val="27"/>
          <w:szCs w:val="27"/>
        </w:rPr>
        <w:t xml:space="preserve">sino por el principio de congruencia jurídica, acorde con el cual, en materia de terminaciones abreviadas, es suficiente la imputación jurídica. </w:t>
      </w:r>
    </w:p>
    <w:p w14:paraId="5D83CB61" w14:textId="77777777" w:rsidR="00C56628" w:rsidRDefault="00C56628" w:rsidP="00150882">
      <w:pPr>
        <w:spacing w:line="336" w:lineRule="auto"/>
        <w:ind w:firstLine="708"/>
        <w:jc w:val="both"/>
        <w:rPr>
          <w:rFonts w:ascii="Bookman Old Style" w:hAnsi="Bookman Old Style"/>
          <w:i/>
          <w:sz w:val="27"/>
          <w:szCs w:val="27"/>
        </w:rPr>
      </w:pPr>
    </w:p>
    <w:p w14:paraId="61661A5B" w14:textId="77777777" w:rsidR="00D9537D" w:rsidRDefault="00D9537D" w:rsidP="00150882">
      <w:pPr>
        <w:spacing w:line="336" w:lineRule="auto"/>
        <w:ind w:firstLine="708"/>
        <w:jc w:val="both"/>
        <w:rPr>
          <w:rFonts w:ascii="Bookman Old Style" w:hAnsi="Bookman Old Style"/>
          <w:i/>
          <w:sz w:val="27"/>
          <w:szCs w:val="27"/>
        </w:rPr>
      </w:pPr>
    </w:p>
    <w:p w14:paraId="241E2680" w14:textId="08846B36" w:rsidR="00C56628" w:rsidRDefault="00C56628" w:rsidP="00150882">
      <w:pPr>
        <w:spacing w:line="336" w:lineRule="auto"/>
        <w:ind w:firstLine="708"/>
        <w:jc w:val="both"/>
        <w:rPr>
          <w:rFonts w:ascii="Bookman Old Style" w:hAnsi="Bookman Old Style"/>
          <w:sz w:val="27"/>
          <w:szCs w:val="27"/>
        </w:rPr>
      </w:pPr>
      <w:r>
        <w:rPr>
          <w:rFonts w:ascii="Bookman Old Style" w:hAnsi="Bookman Old Style"/>
          <w:sz w:val="27"/>
          <w:szCs w:val="27"/>
        </w:rPr>
        <w:lastRenderedPageBreak/>
        <w:t>Si bien, continúa, en el acuerdo de declaración de culpa suscrito por CARLOS MARIO JIMÉNEZ NARANJO el 31 de octubre de 2011</w:t>
      </w:r>
      <w:r w:rsidR="005E5A8D">
        <w:rPr>
          <w:rFonts w:ascii="Bookman Old Style" w:hAnsi="Bookman Old Style"/>
          <w:sz w:val="27"/>
          <w:szCs w:val="27"/>
        </w:rPr>
        <w:t>,</w:t>
      </w:r>
      <w:r>
        <w:rPr>
          <w:rFonts w:ascii="Bookman Old Style" w:hAnsi="Bookman Old Style"/>
          <w:sz w:val="27"/>
          <w:szCs w:val="27"/>
        </w:rPr>
        <w:t xml:space="preserve"> ante el Tribunal del Distrito Sur de la Florida</w:t>
      </w:r>
      <w:r w:rsidR="005E5A8D">
        <w:rPr>
          <w:rFonts w:ascii="Bookman Old Style" w:hAnsi="Bookman Old Style"/>
          <w:sz w:val="27"/>
          <w:szCs w:val="27"/>
        </w:rPr>
        <w:t>,</w:t>
      </w:r>
      <w:r>
        <w:rPr>
          <w:rFonts w:ascii="Bookman Old Style" w:hAnsi="Bookman Old Style"/>
          <w:sz w:val="27"/>
          <w:szCs w:val="27"/>
        </w:rPr>
        <w:t xml:space="preserve"> aceptó los cargos  constitutivos de concierto para importar a los EEUU cocaína y para poseer este narcótico con la intención de distribuirla mientras se encontraba a bordo de un navío sujeto a la jurisdicción de ese pa</w:t>
      </w:r>
      <w:r w:rsidR="005E5A8D">
        <w:rPr>
          <w:rFonts w:ascii="Bookman Old Style" w:hAnsi="Bookman Old Style"/>
          <w:sz w:val="27"/>
          <w:szCs w:val="27"/>
        </w:rPr>
        <w:t>ís, no es menos cierto que</w:t>
      </w:r>
      <w:r w:rsidR="001778A1">
        <w:rPr>
          <w:rFonts w:ascii="Bookman Old Style" w:hAnsi="Bookman Old Style"/>
          <w:sz w:val="27"/>
          <w:szCs w:val="27"/>
        </w:rPr>
        <w:t xml:space="preserve"> en</w:t>
      </w:r>
      <w:r w:rsidR="005E5A8D">
        <w:rPr>
          <w:rFonts w:ascii="Bookman Old Style" w:hAnsi="Bookman Old Style"/>
          <w:sz w:val="27"/>
          <w:szCs w:val="27"/>
        </w:rPr>
        <w:t xml:space="preserve"> la acusación nada se dijo respecto de las fechas en que se prolongó la “</w:t>
      </w:r>
      <w:r w:rsidR="005E5A8D">
        <w:rPr>
          <w:rFonts w:ascii="Bookman Old Style" w:hAnsi="Bookman Old Style"/>
          <w:i/>
          <w:sz w:val="27"/>
          <w:szCs w:val="27"/>
        </w:rPr>
        <w:t xml:space="preserve">la vocación de permanencia en la concertación”, </w:t>
      </w:r>
      <w:r w:rsidR="005E5A8D">
        <w:rPr>
          <w:rFonts w:ascii="Bookman Old Style" w:hAnsi="Bookman Old Style"/>
          <w:sz w:val="27"/>
          <w:szCs w:val="27"/>
        </w:rPr>
        <w:t xml:space="preserve">como tampoco la Fiscalía acreditó hechos objetivos de los que se pueda inferir tal vocación con posterioridad a la fecha de desmovilización del postulado. </w:t>
      </w:r>
    </w:p>
    <w:p w14:paraId="4F9BEA27" w14:textId="77777777" w:rsidR="00341849" w:rsidRDefault="00341849" w:rsidP="00150882">
      <w:pPr>
        <w:spacing w:line="336" w:lineRule="auto"/>
        <w:ind w:firstLine="708"/>
        <w:jc w:val="both"/>
        <w:rPr>
          <w:rFonts w:ascii="Bookman Old Style" w:hAnsi="Bookman Old Style"/>
          <w:sz w:val="27"/>
          <w:szCs w:val="27"/>
        </w:rPr>
      </w:pPr>
    </w:p>
    <w:p w14:paraId="2B72BE20" w14:textId="5DBC41F4" w:rsidR="00341849" w:rsidRDefault="00341849" w:rsidP="00150882">
      <w:pPr>
        <w:spacing w:line="336" w:lineRule="auto"/>
        <w:ind w:firstLine="708"/>
        <w:jc w:val="both"/>
        <w:rPr>
          <w:rFonts w:ascii="Bookman Old Style" w:hAnsi="Bookman Old Style"/>
          <w:sz w:val="27"/>
          <w:szCs w:val="27"/>
        </w:rPr>
      </w:pPr>
      <w:r>
        <w:rPr>
          <w:rFonts w:ascii="Bookman Old Style" w:hAnsi="Bookman Old Style"/>
          <w:sz w:val="27"/>
          <w:szCs w:val="27"/>
        </w:rPr>
        <w:t xml:space="preserve">De ahí que, concluye, los marcos temporales establecidos </w:t>
      </w:r>
      <w:r>
        <w:rPr>
          <w:rFonts w:ascii="Bookman Old Style" w:hAnsi="Bookman Old Style"/>
          <w:i/>
          <w:sz w:val="27"/>
          <w:szCs w:val="27"/>
        </w:rPr>
        <w:t xml:space="preserve">finalmente </w:t>
      </w:r>
      <w:r>
        <w:rPr>
          <w:rFonts w:ascii="Bookman Old Style" w:hAnsi="Bookman Old Style"/>
          <w:sz w:val="27"/>
          <w:szCs w:val="27"/>
        </w:rPr>
        <w:t>en la sentencia condenatoria dictada en EEUU</w:t>
      </w:r>
      <w:r w:rsidR="009440A2">
        <w:rPr>
          <w:rFonts w:ascii="Bookman Old Style" w:hAnsi="Bookman Old Style"/>
          <w:sz w:val="27"/>
          <w:szCs w:val="27"/>
        </w:rPr>
        <w:t>,</w:t>
      </w:r>
      <w:r>
        <w:rPr>
          <w:rFonts w:ascii="Bookman Old Style" w:hAnsi="Bookman Old Style"/>
          <w:sz w:val="27"/>
          <w:szCs w:val="27"/>
        </w:rPr>
        <w:t xml:space="preserve"> en contra del señor JIMÉNEZ NARANJO</w:t>
      </w:r>
      <w:r>
        <w:rPr>
          <w:rStyle w:val="Refdenotaalpie"/>
          <w:rFonts w:ascii="Bookman Old Style" w:hAnsi="Bookman Old Style"/>
          <w:sz w:val="27"/>
          <w:szCs w:val="27"/>
        </w:rPr>
        <w:footnoteReference w:id="8"/>
      </w:r>
      <w:r w:rsidR="009440A2">
        <w:rPr>
          <w:rFonts w:ascii="Bookman Old Style" w:hAnsi="Bookman Old Style"/>
          <w:sz w:val="27"/>
          <w:szCs w:val="27"/>
        </w:rPr>
        <w:t>,</w:t>
      </w:r>
      <w:r>
        <w:rPr>
          <w:rFonts w:ascii="Bookman Old Style" w:hAnsi="Bookman Old Style"/>
          <w:sz w:val="27"/>
          <w:szCs w:val="27"/>
        </w:rPr>
        <w:t xml:space="preserve"> no poseen </w:t>
      </w:r>
      <w:r>
        <w:rPr>
          <w:rFonts w:ascii="Bookman Old Style" w:hAnsi="Bookman Old Style"/>
          <w:i/>
          <w:sz w:val="27"/>
          <w:szCs w:val="27"/>
        </w:rPr>
        <w:t>“la connotación probatoria”</w:t>
      </w:r>
      <w:r>
        <w:rPr>
          <w:rFonts w:ascii="Bookman Old Style" w:hAnsi="Bookman Old Style"/>
          <w:sz w:val="27"/>
          <w:szCs w:val="27"/>
        </w:rPr>
        <w:t xml:space="preserve"> requerida en Colombia para </w:t>
      </w:r>
      <w:r w:rsidR="00583688">
        <w:rPr>
          <w:rFonts w:ascii="Bookman Old Style" w:hAnsi="Bookman Old Style"/>
          <w:sz w:val="27"/>
          <w:szCs w:val="27"/>
        </w:rPr>
        <w:t>afirmar su responsabilidad penal. Pues, “</w:t>
      </w:r>
      <w:r w:rsidR="00583688" w:rsidRPr="00583688">
        <w:rPr>
          <w:rFonts w:ascii="Bookman Old Style" w:hAnsi="Bookman Old Style"/>
          <w:i/>
          <w:sz w:val="27"/>
          <w:szCs w:val="27"/>
        </w:rPr>
        <w:t>contrariándose</w:t>
      </w:r>
      <w:r w:rsidR="00583688">
        <w:rPr>
          <w:rFonts w:ascii="Bookman Old Style" w:hAnsi="Bookman Old Style"/>
          <w:sz w:val="27"/>
          <w:szCs w:val="27"/>
        </w:rPr>
        <w:t>” con la postura de la justicia estadounidense,</w:t>
      </w:r>
      <w:r w:rsidR="00DC3321">
        <w:rPr>
          <w:rFonts w:ascii="Bookman Old Style" w:hAnsi="Bookman Old Style"/>
          <w:sz w:val="27"/>
          <w:szCs w:val="27"/>
        </w:rPr>
        <w:t xml:space="preserve"> basada en la discrecionalidad en la fijación de los hechos, </w:t>
      </w:r>
      <w:r w:rsidR="009440A2">
        <w:rPr>
          <w:rFonts w:ascii="Bookman Old Style" w:hAnsi="Bookman Old Style"/>
          <w:sz w:val="27"/>
          <w:szCs w:val="27"/>
        </w:rPr>
        <w:t xml:space="preserve">la Sala de Justicia y Paz </w:t>
      </w:r>
      <w:r w:rsidR="00583688">
        <w:rPr>
          <w:rFonts w:ascii="Bookman Old Style" w:hAnsi="Bookman Old Style"/>
          <w:sz w:val="27"/>
          <w:szCs w:val="27"/>
        </w:rPr>
        <w:t>le dio a los marcos cronológicos una trascendencia que</w:t>
      </w:r>
      <w:r w:rsidR="00AD37A9">
        <w:rPr>
          <w:rFonts w:ascii="Bookman Old Style" w:hAnsi="Bookman Old Style"/>
          <w:sz w:val="27"/>
          <w:szCs w:val="27"/>
        </w:rPr>
        <w:t>, dice,</w:t>
      </w:r>
      <w:r w:rsidR="00583688">
        <w:rPr>
          <w:rFonts w:ascii="Bookman Old Style" w:hAnsi="Bookman Old Style"/>
          <w:sz w:val="27"/>
          <w:szCs w:val="27"/>
        </w:rPr>
        <w:t xml:space="preserve"> nunca tuvieron para la judicatura extranjera, en la</w:t>
      </w:r>
      <w:r w:rsidR="00934901">
        <w:rPr>
          <w:rFonts w:ascii="Bookman Old Style" w:hAnsi="Bookman Old Style"/>
          <w:sz w:val="27"/>
          <w:szCs w:val="27"/>
        </w:rPr>
        <w:t xml:space="preserve"> medida en que ni siquiera fueron registrados en el acuerdo de culpabilidad. </w:t>
      </w:r>
      <w:r w:rsidR="00DC3321">
        <w:rPr>
          <w:rFonts w:ascii="Bookman Old Style" w:hAnsi="Bookman Old Style"/>
          <w:sz w:val="27"/>
          <w:szCs w:val="27"/>
        </w:rPr>
        <w:t xml:space="preserve">Y ello es así, por cuanto, a su modo de ver, en Estados Unidos lo relevante es la antijuridicidad de los comportamientos, en tanto las condiciones de tiempo, modo y lugar, contrario a lo que sucede en Colombia, carecen de relevancia para los fines de la condena. </w:t>
      </w:r>
    </w:p>
    <w:p w14:paraId="2AA4A250" w14:textId="77777777" w:rsidR="00DC3321" w:rsidRDefault="00DC3321" w:rsidP="00150882">
      <w:pPr>
        <w:spacing w:line="336" w:lineRule="auto"/>
        <w:ind w:firstLine="708"/>
        <w:jc w:val="both"/>
        <w:rPr>
          <w:rFonts w:ascii="Bookman Old Style" w:hAnsi="Bookman Old Style"/>
          <w:sz w:val="27"/>
          <w:szCs w:val="27"/>
        </w:rPr>
      </w:pPr>
    </w:p>
    <w:p w14:paraId="08F38EAA" w14:textId="193D42E8" w:rsidR="00DC3321" w:rsidRPr="00341849" w:rsidRDefault="00DC3321" w:rsidP="00150882">
      <w:pPr>
        <w:spacing w:line="336" w:lineRule="auto"/>
        <w:ind w:firstLine="708"/>
        <w:jc w:val="both"/>
        <w:rPr>
          <w:rFonts w:ascii="Bookman Old Style" w:hAnsi="Bookman Old Style"/>
          <w:sz w:val="27"/>
          <w:szCs w:val="27"/>
        </w:rPr>
      </w:pPr>
      <w:r>
        <w:rPr>
          <w:rFonts w:ascii="Bookman Old Style" w:hAnsi="Bookman Old Style"/>
          <w:sz w:val="27"/>
          <w:szCs w:val="27"/>
        </w:rPr>
        <w:lastRenderedPageBreak/>
        <w:t xml:space="preserve">Por consiguiente, concluye, no es cierto que la sentencia condenatoria demuestre ni </w:t>
      </w:r>
      <w:r>
        <w:rPr>
          <w:rFonts w:ascii="Bookman Old Style" w:hAnsi="Bookman Old Style"/>
          <w:i/>
          <w:sz w:val="27"/>
          <w:szCs w:val="27"/>
        </w:rPr>
        <w:t>“haya querido demostrar”</w:t>
      </w:r>
      <w:r>
        <w:rPr>
          <w:rFonts w:ascii="Bookman Old Style" w:hAnsi="Bookman Old Style"/>
          <w:sz w:val="27"/>
          <w:szCs w:val="27"/>
        </w:rPr>
        <w:t xml:space="preserve"> que el señor JIMÉNEZ NARANJO delinquió con posterioridad a su desmovilización. Empero, </w:t>
      </w:r>
      <w:r w:rsidR="000535A1">
        <w:rPr>
          <w:rFonts w:ascii="Bookman Old Style" w:hAnsi="Bookman Old Style"/>
          <w:sz w:val="27"/>
          <w:szCs w:val="27"/>
        </w:rPr>
        <w:t>el</w:t>
      </w:r>
      <w:r>
        <w:rPr>
          <w:rFonts w:ascii="Bookman Old Style" w:hAnsi="Bookman Old Style"/>
          <w:sz w:val="27"/>
          <w:szCs w:val="27"/>
        </w:rPr>
        <w:t xml:space="preserve"> </w:t>
      </w:r>
      <w:r>
        <w:rPr>
          <w:rFonts w:ascii="Bookman Old Style" w:hAnsi="Bookman Old Style"/>
          <w:i/>
          <w:sz w:val="27"/>
          <w:szCs w:val="27"/>
        </w:rPr>
        <w:t>a quo</w:t>
      </w:r>
      <w:r>
        <w:rPr>
          <w:rFonts w:ascii="Bookman Old Style" w:hAnsi="Bookman Old Style"/>
          <w:sz w:val="27"/>
          <w:szCs w:val="27"/>
        </w:rPr>
        <w:t xml:space="preserve"> le dio a unas puntuales circunstancias temporales allí mencionadas un alcance y condición de cosa juzgada que no poseen, máxime que</w:t>
      </w:r>
      <w:r w:rsidR="00736A55">
        <w:rPr>
          <w:rFonts w:ascii="Bookman Old Style" w:hAnsi="Bookman Old Style"/>
          <w:sz w:val="27"/>
          <w:szCs w:val="27"/>
        </w:rPr>
        <w:t>, resalta,</w:t>
      </w:r>
      <w:r>
        <w:rPr>
          <w:rFonts w:ascii="Bookman Old Style" w:hAnsi="Bookman Old Style"/>
          <w:sz w:val="27"/>
          <w:szCs w:val="27"/>
        </w:rPr>
        <w:t xml:space="preserve"> dicha decisión muestra términos dubitativos en torno a los marcos cronológicos en que se habrían realizado las conductas delictivas; tanto así que comprenden fechas en las que CARLOS MARIO JIMÉNEZ NARANJO aún no se había desmovilizado. Ello muestra, según su comprensión, que en Estados Unidos lo relevante es la concertación, sin que importe la fecha de inicio y culminación</w:t>
      </w:r>
      <w:r w:rsidR="00C70361">
        <w:rPr>
          <w:rFonts w:ascii="Bookman Old Style" w:hAnsi="Bookman Old Style"/>
          <w:sz w:val="27"/>
          <w:szCs w:val="27"/>
        </w:rPr>
        <w:t>,</w:t>
      </w:r>
      <w:r w:rsidR="00EA170A">
        <w:rPr>
          <w:rFonts w:ascii="Bookman Old Style" w:hAnsi="Bookman Old Style"/>
          <w:sz w:val="27"/>
          <w:szCs w:val="27"/>
        </w:rPr>
        <w:t xml:space="preserve"> que se fijó arbitrariamente en los </w:t>
      </w:r>
      <w:r w:rsidR="00EA170A">
        <w:rPr>
          <w:rFonts w:ascii="Bookman Old Style" w:hAnsi="Bookman Old Style"/>
          <w:i/>
          <w:sz w:val="27"/>
          <w:szCs w:val="27"/>
        </w:rPr>
        <w:t>indictments</w:t>
      </w:r>
      <w:r w:rsidR="00EA170A">
        <w:rPr>
          <w:rFonts w:ascii="Bookman Old Style" w:hAnsi="Bookman Old Style"/>
          <w:sz w:val="27"/>
          <w:szCs w:val="27"/>
        </w:rPr>
        <w:t xml:space="preserve">, </w:t>
      </w:r>
      <w:r w:rsidR="00C70361">
        <w:rPr>
          <w:rFonts w:ascii="Bookman Old Style" w:hAnsi="Bookman Old Style"/>
          <w:sz w:val="27"/>
          <w:szCs w:val="27"/>
        </w:rPr>
        <w:t xml:space="preserve">como se puede ver en las variaciones de los marcos temporales durante todo el proceso. </w:t>
      </w:r>
      <w:r w:rsidR="00EA170A">
        <w:rPr>
          <w:rFonts w:ascii="Bookman Old Style" w:hAnsi="Bookman Old Style"/>
          <w:sz w:val="27"/>
          <w:szCs w:val="27"/>
        </w:rPr>
        <w:t>Esto último, enfatiza, muestra además que la justicia estadounidense no contaba con “</w:t>
      </w:r>
      <w:r w:rsidR="00EA170A" w:rsidRPr="00EA170A">
        <w:rPr>
          <w:rFonts w:ascii="Bookman Old Style" w:hAnsi="Bookman Old Style"/>
          <w:i/>
          <w:sz w:val="27"/>
          <w:szCs w:val="27"/>
        </w:rPr>
        <w:t>evidencia alguna</w:t>
      </w:r>
      <w:r w:rsidR="00EA170A">
        <w:rPr>
          <w:rFonts w:ascii="Bookman Old Style" w:hAnsi="Bookman Old Style"/>
          <w:sz w:val="27"/>
          <w:szCs w:val="27"/>
        </w:rPr>
        <w:t xml:space="preserve">” que permita acreditar que el postulado delinquió con posterioridad a su desmovilización. </w:t>
      </w:r>
    </w:p>
    <w:p w14:paraId="275D453C" w14:textId="77777777" w:rsidR="005E7789" w:rsidRDefault="005E7789" w:rsidP="00150882">
      <w:pPr>
        <w:spacing w:line="336" w:lineRule="auto"/>
        <w:ind w:firstLine="708"/>
        <w:jc w:val="both"/>
        <w:rPr>
          <w:rFonts w:ascii="Bookman Old Style" w:hAnsi="Bookman Old Style"/>
          <w:sz w:val="27"/>
          <w:szCs w:val="27"/>
        </w:rPr>
      </w:pPr>
    </w:p>
    <w:p w14:paraId="185504EC" w14:textId="15AE9396" w:rsidR="009C2939" w:rsidRPr="00EA170A" w:rsidRDefault="00EA170A" w:rsidP="00150882">
      <w:pPr>
        <w:spacing w:line="336" w:lineRule="auto"/>
        <w:ind w:firstLine="708"/>
        <w:jc w:val="both"/>
        <w:rPr>
          <w:rFonts w:ascii="Bookman Old Style" w:hAnsi="Bookman Old Style"/>
          <w:sz w:val="27"/>
          <w:szCs w:val="27"/>
        </w:rPr>
      </w:pPr>
      <w:r w:rsidRPr="00EA170A">
        <w:rPr>
          <w:rFonts w:ascii="Bookman Old Style" w:hAnsi="Bookman Old Style"/>
          <w:sz w:val="27"/>
          <w:szCs w:val="27"/>
        </w:rPr>
        <w:t>Por último</w:t>
      </w:r>
      <w:r>
        <w:rPr>
          <w:rFonts w:ascii="Bookman Old Style" w:hAnsi="Bookman Old Style"/>
          <w:sz w:val="27"/>
          <w:szCs w:val="27"/>
        </w:rPr>
        <w:t xml:space="preserve">, alega, el acuerdo al que llegó el señor JIMÉNEZ NARANJO con las autoridades judiciales de los EEUU no es vinculante en la jurisdicción colombiana, como se desprende de su mismo tenor literal, indicativo de que el acuerdo de declaración de culpa </w:t>
      </w:r>
      <w:r w:rsidRPr="00EA170A">
        <w:rPr>
          <w:rFonts w:ascii="Bookman Old Style" w:hAnsi="Bookman Old Style"/>
          <w:i/>
          <w:sz w:val="27"/>
          <w:szCs w:val="27"/>
        </w:rPr>
        <w:t>sólo</w:t>
      </w:r>
      <w:r>
        <w:rPr>
          <w:rFonts w:ascii="Bookman Old Style" w:hAnsi="Bookman Old Style"/>
          <w:sz w:val="27"/>
          <w:szCs w:val="27"/>
        </w:rPr>
        <w:t xml:space="preserve"> obliga al acusado y a la Sección de Narcóticos y Drogas Peligrosas de la División Penal del Departamento de Justicia de los Estados Unidos, no a alguna otra autoridad federal, estatal, local o extranjera. </w:t>
      </w:r>
    </w:p>
    <w:p w14:paraId="10AA9194" w14:textId="77777777" w:rsidR="009C2939" w:rsidRPr="005A64E1" w:rsidRDefault="009C2939" w:rsidP="009C2939">
      <w:pPr>
        <w:spacing w:line="336" w:lineRule="auto"/>
        <w:ind w:firstLine="708"/>
        <w:jc w:val="both"/>
        <w:rPr>
          <w:rFonts w:ascii="Bookman Old Style" w:hAnsi="Bookman Old Style"/>
          <w:color w:val="002060"/>
          <w:sz w:val="27"/>
          <w:szCs w:val="27"/>
        </w:rPr>
      </w:pPr>
    </w:p>
    <w:p w14:paraId="5545B743" w14:textId="606B6FB8" w:rsidR="009C2939" w:rsidRPr="00150882" w:rsidRDefault="009C2939" w:rsidP="009C2939">
      <w:pPr>
        <w:spacing w:line="336" w:lineRule="auto"/>
        <w:ind w:firstLine="708"/>
        <w:jc w:val="both"/>
        <w:rPr>
          <w:rFonts w:ascii="Bookman Old Style" w:hAnsi="Bookman Old Style"/>
          <w:sz w:val="27"/>
          <w:szCs w:val="27"/>
        </w:rPr>
      </w:pPr>
      <w:r w:rsidRPr="00150882">
        <w:rPr>
          <w:rFonts w:ascii="Bookman Old Style" w:hAnsi="Bookman Old Style"/>
          <w:sz w:val="27"/>
          <w:szCs w:val="27"/>
        </w:rPr>
        <w:t>A la luz de tales planteamientos</w:t>
      </w:r>
      <w:r w:rsidR="00DE32C8">
        <w:rPr>
          <w:rFonts w:ascii="Bookman Old Style" w:hAnsi="Bookman Old Style"/>
          <w:sz w:val="27"/>
          <w:szCs w:val="27"/>
        </w:rPr>
        <w:t>,</w:t>
      </w:r>
      <w:r w:rsidRPr="00150882">
        <w:rPr>
          <w:rFonts w:ascii="Bookman Old Style" w:hAnsi="Bookman Old Style"/>
          <w:sz w:val="27"/>
          <w:szCs w:val="27"/>
        </w:rPr>
        <w:t xml:space="preserve"> solicita a la Corte revocar el auto impugnado, negando consecuentemente la solicitud de exclusión elevada por la Fiscalía. </w:t>
      </w:r>
    </w:p>
    <w:p w14:paraId="250DECE0" w14:textId="77777777" w:rsidR="00D9537D" w:rsidRDefault="00D9537D" w:rsidP="009C2939">
      <w:pPr>
        <w:spacing w:line="336" w:lineRule="auto"/>
        <w:jc w:val="center"/>
        <w:rPr>
          <w:rFonts w:ascii="Bookman Old Style" w:hAnsi="Bookman Old Style"/>
          <w:b/>
          <w:sz w:val="27"/>
          <w:szCs w:val="27"/>
        </w:rPr>
      </w:pPr>
    </w:p>
    <w:p w14:paraId="4C36E357" w14:textId="77777777" w:rsidR="009C2939" w:rsidRPr="00EA170A" w:rsidRDefault="009C2939" w:rsidP="009C2939">
      <w:pPr>
        <w:spacing w:line="336" w:lineRule="auto"/>
        <w:jc w:val="center"/>
        <w:rPr>
          <w:rFonts w:ascii="Bookman Old Style" w:hAnsi="Bookman Old Style"/>
          <w:b/>
          <w:sz w:val="27"/>
          <w:szCs w:val="27"/>
        </w:rPr>
      </w:pPr>
      <w:r w:rsidRPr="00EA170A">
        <w:rPr>
          <w:rFonts w:ascii="Bookman Old Style" w:hAnsi="Bookman Old Style"/>
          <w:b/>
          <w:sz w:val="27"/>
          <w:szCs w:val="27"/>
        </w:rPr>
        <w:lastRenderedPageBreak/>
        <w:t>ARGUMENTOS DE LOS NO RECURRENTES</w:t>
      </w:r>
    </w:p>
    <w:p w14:paraId="70BC647B" w14:textId="77777777" w:rsidR="009C2939" w:rsidRPr="00EA170A" w:rsidRDefault="009C2939" w:rsidP="009C2939">
      <w:pPr>
        <w:spacing w:line="336" w:lineRule="auto"/>
        <w:jc w:val="both"/>
        <w:rPr>
          <w:rFonts w:ascii="Bookman Old Style" w:hAnsi="Bookman Old Style"/>
          <w:sz w:val="27"/>
          <w:szCs w:val="27"/>
        </w:rPr>
      </w:pPr>
    </w:p>
    <w:p w14:paraId="0667C7C3" w14:textId="2EEF345F" w:rsidR="009C2939" w:rsidRPr="00EA170A" w:rsidRDefault="009C2939" w:rsidP="009C2939">
      <w:pPr>
        <w:spacing w:line="336" w:lineRule="auto"/>
        <w:jc w:val="both"/>
        <w:rPr>
          <w:rFonts w:ascii="Bookman Old Style" w:hAnsi="Bookman Old Style"/>
          <w:sz w:val="27"/>
          <w:szCs w:val="27"/>
        </w:rPr>
      </w:pPr>
      <w:r w:rsidRPr="00EA170A">
        <w:rPr>
          <w:rFonts w:ascii="Bookman Old Style" w:hAnsi="Bookman Old Style"/>
          <w:sz w:val="27"/>
          <w:szCs w:val="27"/>
        </w:rPr>
        <w:tab/>
        <w:t xml:space="preserve">En su condición de no apelante, </w:t>
      </w:r>
      <w:r w:rsidR="00150882" w:rsidRPr="00EA170A">
        <w:rPr>
          <w:rFonts w:ascii="Bookman Old Style" w:hAnsi="Bookman Old Style"/>
          <w:sz w:val="27"/>
          <w:szCs w:val="27"/>
        </w:rPr>
        <w:t xml:space="preserve">CARLOS MARIO JIMÉNEZ NARANJO </w:t>
      </w:r>
      <w:r w:rsidR="00D86911">
        <w:rPr>
          <w:rFonts w:ascii="Bookman Old Style" w:hAnsi="Bookman Old Style"/>
          <w:sz w:val="27"/>
          <w:szCs w:val="27"/>
        </w:rPr>
        <w:t>aseguró que ha respetado sus compromisos con el proceso de justicia y paz</w:t>
      </w:r>
      <w:r w:rsidR="00DD1EB6">
        <w:rPr>
          <w:rFonts w:ascii="Bookman Old Style" w:hAnsi="Bookman Old Style"/>
          <w:sz w:val="27"/>
          <w:szCs w:val="27"/>
        </w:rPr>
        <w:t>,</w:t>
      </w:r>
      <w:r w:rsidR="00D86911">
        <w:rPr>
          <w:rFonts w:ascii="Bookman Old Style" w:hAnsi="Bookman Old Style"/>
          <w:sz w:val="27"/>
          <w:szCs w:val="27"/>
        </w:rPr>
        <w:t xml:space="preserve"> en lo concerniente al esclarecimiento de los hechos ocurridos durante su pertenencia a la AUC, por el bien de las víctimas y de Colombia. Así mismo, que su intención desde la desmovilización ha sido la de contribuir a la reparación de </w:t>
      </w:r>
      <w:r w:rsidR="00DD1EB6">
        <w:rPr>
          <w:rFonts w:ascii="Bookman Old Style" w:hAnsi="Bookman Old Style"/>
          <w:sz w:val="27"/>
          <w:szCs w:val="27"/>
        </w:rPr>
        <w:t>aquéllas</w:t>
      </w:r>
      <w:r w:rsidR="00D86911">
        <w:rPr>
          <w:rFonts w:ascii="Bookman Old Style" w:hAnsi="Bookman Old Style"/>
          <w:sz w:val="27"/>
          <w:szCs w:val="27"/>
        </w:rPr>
        <w:t xml:space="preserve">, por lo que luchará por la continuidad en el proceso transicional.  </w:t>
      </w:r>
    </w:p>
    <w:p w14:paraId="566727BB" w14:textId="77777777" w:rsidR="009C2939" w:rsidRPr="005A64E1" w:rsidRDefault="009C2939" w:rsidP="009C2939">
      <w:pPr>
        <w:spacing w:line="336" w:lineRule="auto"/>
        <w:jc w:val="both"/>
        <w:rPr>
          <w:rFonts w:ascii="Bookman Old Style" w:hAnsi="Bookman Old Style"/>
          <w:color w:val="002060"/>
          <w:sz w:val="27"/>
          <w:szCs w:val="27"/>
        </w:rPr>
      </w:pPr>
    </w:p>
    <w:p w14:paraId="4E6C0AFF" w14:textId="0D2F4CB9" w:rsidR="009C2939" w:rsidRPr="00E535FE" w:rsidRDefault="00150882" w:rsidP="009C2939">
      <w:pPr>
        <w:spacing w:line="336" w:lineRule="auto"/>
        <w:jc w:val="both"/>
        <w:rPr>
          <w:rFonts w:ascii="Bookman Old Style" w:hAnsi="Bookman Old Style"/>
          <w:color w:val="002060"/>
          <w:sz w:val="27"/>
          <w:szCs w:val="27"/>
        </w:rPr>
      </w:pPr>
      <w:r>
        <w:rPr>
          <w:rFonts w:ascii="Bookman Old Style" w:hAnsi="Bookman Old Style"/>
          <w:color w:val="002060"/>
          <w:sz w:val="27"/>
          <w:szCs w:val="27"/>
        </w:rPr>
        <w:tab/>
      </w:r>
      <w:r w:rsidRPr="000A0950">
        <w:rPr>
          <w:rFonts w:ascii="Bookman Old Style" w:hAnsi="Bookman Old Style"/>
          <w:sz w:val="27"/>
          <w:szCs w:val="27"/>
        </w:rPr>
        <w:t>Por su parte, la Fiscal 42</w:t>
      </w:r>
      <w:r w:rsidR="009C2939" w:rsidRPr="000A0950">
        <w:rPr>
          <w:rFonts w:ascii="Bookman Old Style" w:hAnsi="Bookman Old Style"/>
          <w:sz w:val="27"/>
          <w:szCs w:val="27"/>
        </w:rPr>
        <w:t xml:space="preserve"> de la Unidad de Ju</w:t>
      </w:r>
      <w:r w:rsidR="00ED4706">
        <w:rPr>
          <w:rFonts w:ascii="Bookman Old Style" w:hAnsi="Bookman Old Style"/>
          <w:sz w:val="27"/>
          <w:szCs w:val="27"/>
        </w:rPr>
        <w:t xml:space="preserve">sticia Transicional solicitó a la Corte </w:t>
      </w:r>
      <w:r w:rsidR="009C2939" w:rsidRPr="000A0950">
        <w:rPr>
          <w:rFonts w:ascii="Bookman Old Style" w:hAnsi="Bookman Old Style"/>
          <w:sz w:val="27"/>
          <w:szCs w:val="27"/>
        </w:rPr>
        <w:t xml:space="preserve">que </w:t>
      </w:r>
      <w:r w:rsidR="000A0950">
        <w:rPr>
          <w:rFonts w:ascii="Bookman Old Style" w:hAnsi="Bookman Old Style"/>
          <w:sz w:val="27"/>
          <w:szCs w:val="27"/>
        </w:rPr>
        <w:t>confirme la decisión impugnada</w:t>
      </w:r>
      <w:r w:rsidR="00915F30">
        <w:rPr>
          <w:rFonts w:ascii="Bookman Old Style" w:hAnsi="Bookman Old Style"/>
          <w:sz w:val="27"/>
          <w:szCs w:val="27"/>
        </w:rPr>
        <w:t xml:space="preserve">, por cuanto está debidamente acreditada la causal de exclusión del art. 11 A num. 5º de la Ley 975 de 2005, la cual ostenta un carácter </w:t>
      </w:r>
      <w:r w:rsidR="00915F30">
        <w:rPr>
          <w:rFonts w:ascii="Bookman Old Style" w:hAnsi="Bookman Old Style"/>
          <w:i/>
          <w:sz w:val="27"/>
          <w:szCs w:val="27"/>
        </w:rPr>
        <w:t>objetivo</w:t>
      </w:r>
      <w:r w:rsidR="00915F30">
        <w:rPr>
          <w:rFonts w:ascii="Bookman Old Style" w:hAnsi="Bookman Old Style"/>
          <w:sz w:val="27"/>
          <w:szCs w:val="27"/>
        </w:rPr>
        <w:t xml:space="preserve">. </w:t>
      </w:r>
      <w:r w:rsidR="00B07BEE">
        <w:rPr>
          <w:rFonts w:ascii="Bookman Old Style" w:hAnsi="Bookman Old Style"/>
          <w:sz w:val="27"/>
          <w:szCs w:val="27"/>
        </w:rPr>
        <w:t xml:space="preserve">La sentencia del 12 de mayo de 2011, dictada por el Tribunal del Distrito Sur de la Florida, puntualiza, indica con claridad que la actividad delictiva del postulado por concierto para delinquir agravado </w:t>
      </w:r>
      <w:r w:rsidR="00B07BEE" w:rsidRPr="00B07BEE">
        <w:rPr>
          <w:rFonts w:ascii="Bookman Old Style" w:hAnsi="Bookman Old Style"/>
          <w:sz w:val="25"/>
          <w:szCs w:val="25"/>
        </w:rPr>
        <w:t xml:space="preserve">-por dirigirse al tráfico de estupefacientes o sustancias sicotrópicas- </w:t>
      </w:r>
      <w:r w:rsidR="00E535FE">
        <w:rPr>
          <w:rFonts w:ascii="Bookman Old Style" w:hAnsi="Bookman Old Style"/>
          <w:sz w:val="27"/>
          <w:szCs w:val="27"/>
        </w:rPr>
        <w:t xml:space="preserve">tuvo ocurrencia durante un lapso posterior al de la desmovilización. </w:t>
      </w:r>
    </w:p>
    <w:p w14:paraId="21EEBF37" w14:textId="77777777" w:rsidR="009C2939" w:rsidRPr="005A64E1" w:rsidRDefault="009C2939" w:rsidP="009C2939">
      <w:pPr>
        <w:spacing w:line="336" w:lineRule="auto"/>
        <w:jc w:val="both"/>
        <w:rPr>
          <w:rFonts w:ascii="Bookman Old Style" w:hAnsi="Bookman Old Style"/>
          <w:color w:val="002060"/>
          <w:sz w:val="27"/>
          <w:szCs w:val="27"/>
        </w:rPr>
      </w:pPr>
    </w:p>
    <w:p w14:paraId="36F4387A" w14:textId="58CE56CD" w:rsidR="00E535FE" w:rsidRDefault="009C2939" w:rsidP="009C2939">
      <w:pPr>
        <w:spacing w:line="336" w:lineRule="auto"/>
        <w:jc w:val="both"/>
        <w:rPr>
          <w:rFonts w:ascii="Bookman Old Style" w:hAnsi="Bookman Old Style"/>
          <w:sz w:val="27"/>
          <w:szCs w:val="27"/>
        </w:rPr>
      </w:pPr>
      <w:r w:rsidRPr="005A64E1">
        <w:rPr>
          <w:rFonts w:ascii="Bookman Old Style" w:hAnsi="Bookman Old Style"/>
          <w:color w:val="002060"/>
          <w:sz w:val="27"/>
          <w:szCs w:val="27"/>
        </w:rPr>
        <w:tab/>
      </w:r>
      <w:r w:rsidRPr="00AC1412">
        <w:rPr>
          <w:rFonts w:ascii="Bookman Old Style" w:hAnsi="Bookman Old Style"/>
          <w:sz w:val="27"/>
          <w:szCs w:val="27"/>
        </w:rPr>
        <w:t xml:space="preserve">A su turno, el agente del Ministerio Público </w:t>
      </w:r>
      <w:r w:rsidR="00E535FE" w:rsidRPr="00AC1412">
        <w:rPr>
          <w:rFonts w:ascii="Bookman Old Style" w:hAnsi="Bookman Old Style"/>
          <w:sz w:val="27"/>
          <w:szCs w:val="27"/>
        </w:rPr>
        <w:t>defendió la decisi</w:t>
      </w:r>
      <w:r w:rsidR="00AC1412" w:rsidRPr="00AC1412">
        <w:rPr>
          <w:rFonts w:ascii="Bookman Old Style" w:hAnsi="Bookman Old Style"/>
          <w:sz w:val="27"/>
          <w:szCs w:val="27"/>
        </w:rPr>
        <w:t xml:space="preserve">ón adoptada por la Sala de Justicia y Paz. </w:t>
      </w:r>
      <w:r w:rsidR="00AC1412">
        <w:rPr>
          <w:rFonts w:ascii="Bookman Old Style" w:hAnsi="Bookman Old Style"/>
          <w:sz w:val="27"/>
          <w:szCs w:val="27"/>
        </w:rPr>
        <w:t xml:space="preserve">Enfatizó en que, por tratarse de una causal objetiva, no es dable cuestionar la condena proferida por una autoridad judicial de otro país. Así, expone, como se cumplieron las disposiciones legales pertinentes para la incorporación de la referida sentencia condenatoria en contra del postulado, aquélla es válida y suficiente para acreditar el supuesto de hecho exigido por la </w:t>
      </w:r>
      <w:r w:rsidR="00AC1412">
        <w:rPr>
          <w:rFonts w:ascii="Bookman Old Style" w:hAnsi="Bookman Old Style"/>
          <w:sz w:val="27"/>
          <w:szCs w:val="27"/>
        </w:rPr>
        <w:lastRenderedPageBreak/>
        <w:t xml:space="preserve">Ley 975 de 2005, a fin de disponer la terminación del proceso transicional. </w:t>
      </w:r>
    </w:p>
    <w:p w14:paraId="7EE4D03C" w14:textId="77777777" w:rsidR="00AC1412" w:rsidRDefault="00AC1412" w:rsidP="009C2939">
      <w:pPr>
        <w:spacing w:line="336" w:lineRule="auto"/>
        <w:jc w:val="both"/>
        <w:rPr>
          <w:rFonts w:ascii="Bookman Old Style" w:hAnsi="Bookman Old Style"/>
          <w:sz w:val="27"/>
          <w:szCs w:val="27"/>
        </w:rPr>
      </w:pPr>
    </w:p>
    <w:p w14:paraId="7E814A73" w14:textId="015C0558" w:rsidR="00150882" w:rsidRPr="005A64E1" w:rsidRDefault="00AC1412" w:rsidP="009C2939">
      <w:pPr>
        <w:spacing w:line="336" w:lineRule="auto"/>
        <w:jc w:val="both"/>
        <w:rPr>
          <w:rFonts w:ascii="Bookman Old Style" w:hAnsi="Bookman Old Style"/>
          <w:color w:val="002060"/>
          <w:sz w:val="27"/>
          <w:szCs w:val="27"/>
        </w:rPr>
      </w:pPr>
      <w:r>
        <w:rPr>
          <w:rFonts w:ascii="Bookman Old Style" w:hAnsi="Bookman Old Style"/>
          <w:color w:val="002060"/>
          <w:sz w:val="27"/>
          <w:szCs w:val="27"/>
        </w:rPr>
        <w:tab/>
      </w:r>
      <w:r w:rsidRPr="00AC1412">
        <w:rPr>
          <w:rFonts w:ascii="Bookman Old Style" w:hAnsi="Bookman Old Style"/>
          <w:sz w:val="27"/>
          <w:szCs w:val="27"/>
        </w:rPr>
        <w:t xml:space="preserve">Finalmente, los representantes de las víctimas, en lo concerniente al objeto de la impugnación, coadyuvaron la solicitud de confirmación del auto apelado. Si hubo irregularidades en el proceso judicial adelantado en el exterior en contra del postulado, </w:t>
      </w:r>
      <w:r w:rsidR="00AE5CBE">
        <w:rPr>
          <w:rFonts w:ascii="Bookman Old Style" w:hAnsi="Bookman Old Style"/>
          <w:sz w:val="27"/>
          <w:szCs w:val="27"/>
        </w:rPr>
        <w:t xml:space="preserve">alegan, </w:t>
      </w:r>
      <w:r w:rsidRPr="00AC1412">
        <w:rPr>
          <w:rFonts w:ascii="Bookman Old Style" w:hAnsi="Bookman Old Style"/>
          <w:sz w:val="27"/>
          <w:szCs w:val="27"/>
        </w:rPr>
        <w:t xml:space="preserve">ello debió haberse alegado </w:t>
      </w:r>
      <w:r w:rsidR="00AE5CBE">
        <w:rPr>
          <w:rFonts w:ascii="Bookman Old Style" w:hAnsi="Bookman Old Style"/>
          <w:sz w:val="27"/>
          <w:szCs w:val="27"/>
        </w:rPr>
        <w:t>en EEUU</w:t>
      </w:r>
      <w:r w:rsidRPr="00AC1412">
        <w:rPr>
          <w:rFonts w:ascii="Bookman Old Style" w:hAnsi="Bookman Old Style"/>
          <w:sz w:val="27"/>
          <w:szCs w:val="27"/>
        </w:rPr>
        <w:t xml:space="preserve">, sin que sea pertinente traer a colación esas circunstancias en el presente trámite. </w:t>
      </w:r>
      <w:r w:rsidR="00B05F36">
        <w:rPr>
          <w:rFonts w:ascii="Bookman Old Style" w:hAnsi="Bookman Old Style"/>
          <w:sz w:val="27"/>
          <w:szCs w:val="27"/>
        </w:rPr>
        <w:t>Pues lo único cierto</w:t>
      </w:r>
      <w:r w:rsidR="007B4390">
        <w:rPr>
          <w:rFonts w:ascii="Bookman Old Style" w:hAnsi="Bookman Old Style"/>
          <w:sz w:val="27"/>
          <w:szCs w:val="27"/>
        </w:rPr>
        <w:t>, destacan,</w:t>
      </w:r>
      <w:r w:rsidR="00B05F36">
        <w:rPr>
          <w:rFonts w:ascii="Bookman Old Style" w:hAnsi="Bookman Old Style"/>
          <w:sz w:val="27"/>
          <w:szCs w:val="27"/>
        </w:rPr>
        <w:t xml:space="preserve"> es que el fundamento de la pena de prisión que purga el señor JIMÉNEZ NARANJO en </w:t>
      </w:r>
      <w:r w:rsidR="007B4390">
        <w:rPr>
          <w:rFonts w:ascii="Bookman Old Style" w:hAnsi="Bookman Old Style"/>
          <w:sz w:val="27"/>
          <w:szCs w:val="27"/>
        </w:rPr>
        <w:t xml:space="preserve">el exterior </w:t>
      </w:r>
      <w:r w:rsidR="00B05F36">
        <w:rPr>
          <w:rFonts w:ascii="Bookman Old Style" w:hAnsi="Bookman Old Style"/>
          <w:sz w:val="27"/>
          <w:szCs w:val="27"/>
        </w:rPr>
        <w:t xml:space="preserve">es la aceptación de culpabilidad por los cargos que le fueron formulados. </w:t>
      </w:r>
    </w:p>
    <w:p w14:paraId="6F42F5DC" w14:textId="77777777" w:rsidR="009C2939" w:rsidRPr="005A64E1" w:rsidRDefault="009C2939" w:rsidP="009C2939">
      <w:pPr>
        <w:spacing w:line="336" w:lineRule="auto"/>
        <w:jc w:val="both"/>
        <w:rPr>
          <w:rFonts w:ascii="Bookman Old Style" w:hAnsi="Bookman Old Style"/>
          <w:color w:val="002060"/>
          <w:sz w:val="27"/>
          <w:szCs w:val="27"/>
        </w:rPr>
      </w:pPr>
      <w:r w:rsidRPr="005A64E1">
        <w:rPr>
          <w:rFonts w:ascii="Bookman Old Style" w:hAnsi="Bookman Old Style"/>
          <w:color w:val="002060"/>
          <w:sz w:val="27"/>
          <w:szCs w:val="27"/>
        </w:rPr>
        <w:tab/>
        <w:t xml:space="preserve"> </w:t>
      </w:r>
    </w:p>
    <w:p w14:paraId="44EC356E" w14:textId="77777777" w:rsidR="009C2939" w:rsidRPr="00150882" w:rsidRDefault="009C2939" w:rsidP="009C2939">
      <w:pPr>
        <w:spacing w:line="336" w:lineRule="auto"/>
        <w:jc w:val="center"/>
        <w:rPr>
          <w:rFonts w:ascii="Bookman Old Style" w:hAnsi="Bookman Old Style"/>
          <w:b/>
          <w:sz w:val="27"/>
          <w:szCs w:val="27"/>
        </w:rPr>
      </w:pPr>
      <w:r w:rsidRPr="00150882">
        <w:rPr>
          <w:rFonts w:ascii="Bookman Old Style" w:hAnsi="Bookman Old Style"/>
          <w:b/>
          <w:sz w:val="27"/>
          <w:szCs w:val="27"/>
        </w:rPr>
        <w:t>CONSIDERACIONES</w:t>
      </w:r>
    </w:p>
    <w:p w14:paraId="34CAA5F0" w14:textId="77777777" w:rsidR="009C2939" w:rsidRPr="00150882" w:rsidRDefault="009C2939" w:rsidP="009C2939">
      <w:pPr>
        <w:pStyle w:val="Prrafodelista"/>
        <w:spacing w:line="336" w:lineRule="auto"/>
        <w:ind w:left="1425"/>
        <w:jc w:val="both"/>
        <w:rPr>
          <w:rFonts w:ascii="Bookman Old Style" w:hAnsi="Bookman Old Style" w:cs="Arial"/>
          <w:sz w:val="27"/>
          <w:szCs w:val="27"/>
          <w:lang w:val="es-MX"/>
        </w:rPr>
      </w:pPr>
    </w:p>
    <w:p w14:paraId="5D4CAE05" w14:textId="17CB9C03" w:rsidR="009C2939" w:rsidRPr="00150882" w:rsidRDefault="009C2939" w:rsidP="009C2939">
      <w:pPr>
        <w:pStyle w:val="Prrafodelista"/>
        <w:spacing w:line="336" w:lineRule="auto"/>
        <w:ind w:left="0"/>
        <w:jc w:val="both"/>
        <w:rPr>
          <w:rFonts w:ascii="Bookman Old Style" w:hAnsi="Bookman Old Style" w:cs="Arial"/>
          <w:bCs/>
          <w:sz w:val="27"/>
          <w:szCs w:val="27"/>
          <w:lang w:val="es-CO"/>
        </w:rPr>
      </w:pPr>
      <w:r w:rsidRPr="00150882">
        <w:rPr>
          <w:rFonts w:ascii="Bookman Old Style" w:hAnsi="Bookman Old Style" w:cs="Arial"/>
          <w:sz w:val="27"/>
          <w:szCs w:val="27"/>
          <w:lang w:val="es-MX"/>
        </w:rPr>
        <w:tab/>
      </w:r>
      <w:r w:rsidR="00150882">
        <w:rPr>
          <w:rFonts w:ascii="Bookman Old Style" w:hAnsi="Bookman Old Style" w:cs="Arial"/>
          <w:sz w:val="27"/>
          <w:szCs w:val="27"/>
          <w:lang w:val="es-MX"/>
        </w:rPr>
        <w:t xml:space="preserve">1. </w:t>
      </w:r>
      <w:r w:rsidRPr="00150882">
        <w:rPr>
          <w:rFonts w:ascii="Bookman Old Style" w:hAnsi="Bookman Old Style" w:cs="Arial"/>
          <w:bCs/>
          <w:sz w:val="27"/>
          <w:szCs w:val="27"/>
          <w:lang w:val="es-CO"/>
        </w:rPr>
        <w:t>De acuerdo con el art. 26 parágrafo 1º de la Ley 975 de 2005</w:t>
      </w:r>
      <w:r w:rsidRPr="00150882">
        <w:rPr>
          <w:rStyle w:val="Refdenotaalpie"/>
          <w:rFonts w:ascii="Bookman Old Style" w:hAnsi="Bookman Old Style" w:cs="Arial"/>
          <w:sz w:val="27"/>
          <w:szCs w:val="27"/>
          <w:lang w:val="es-MX"/>
        </w:rPr>
        <w:footnoteReference w:id="9"/>
      </w:r>
      <w:r w:rsidRPr="00150882">
        <w:rPr>
          <w:rFonts w:ascii="Bookman Old Style" w:hAnsi="Bookman Old Style" w:cs="Arial"/>
          <w:bCs/>
          <w:sz w:val="27"/>
          <w:szCs w:val="27"/>
          <w:lang w:val="es-CO"/>
        </w:rPr>
        <w:t xml:space="preserve">, en concordancia con los arts. 6º </w:t>
      </w:r>
      <w:r w:rsidRPr="00150882">
        <w:rPr>
          <w:rFonts w:ascii="Bookman Old Style" w:hAnsi="Bookman Old Style" w:cs="Arial"/>
          <w:bCs/>
          <w:i/>
          <w:sz w:val="27"/>
          <w:szCs w:val="27"/>
          <w:lang w:val="es-CO"/>
        </w:rPr>
        <w:t>ídem</w:t>
      </w:r>
      <w:r w:rsidRPr="00150882">
        <w:rPr>
          <w:rFonts w:ascii="Bookman Old Style" w:hAnsi="Bookman Old Style" w:cs="Arial"/>
          <w:bCs/>
          <w:sz w:val="27"/>
          <w:szCs w:val="27"/>
          <w:lang w:val="es-CO"/>
        </w:rPr>
        <w:t xml:space="preserve"> y 32-3 de la Ley 906 de 2004, la Sala es competente para resolver el recurso de apelación formulado por el defensor del postulado, contra la decisión de exclusión dictada por la Sala de Justicia y Paz del Tribunal Superior del Distrito Judicial de </w:t>
      </w:r>
      <w:r w:rsidRPr="0024413C">
        <w:rPr>
          <w:rFonts w:ascii="Bookman Old Style" w:hAnsi="Bookman Old Style" w:cs="Arial"/>
          <w:bCs/>
          <w:color w:val="002060"/>
          <w:sz w:val="27"/>
          <w:szCs w:val="27"/>
          <w:lang w:val="es-CO"/>
        </w:rPr>
        <w:t>B</w:t>
      </w:r>
      <w:r w:rsidR="007B4390" w:rsidRPr="0024413C">
        <w:rPr>
          <w:rFonts w:ascii="Bookman Old Style" w:hAnsi="Bookman Old Style" w:cs="Arial"/>
          <w:bCs/>
          <w:color w:val="002060"/>
          <w:sz w:val="27"/>
          <w:szCs w:val="27"/>
          <w:lang w:val="es-CO"/>
        </w:rPr>
        <w:t>ogotá</w:t>
      </w:r>
      <w:r w:rsidRPr="00150882">
        <w:rPr>
          <w:rFonts w:ascii="Bookman Old Style" w:hAnsi="Bookman Old Style" w:cs="Arial"/>
          <w:bCs/>
          <w:sz w:val="27"/>
          <w:szCs w:val="27"/>
          <w:lang w:val="es-CO"/>
        </w:rPr>
        <w:t>.</w:t>
      </w:r>
      <w:r w:rsidR="00150882" w:rsidRPr="00150882">
        <w:rPr>
          <w:rFonts w:ascii="Bookman Old Style" w:hAnsi="Bookman Old Style" w:cs="Arial"/>
          <w:bCs/>
          <w:sz w:val="27"/>
          <w:szCs w:val="27"/>
          <w:lang w:val="es-CO"/>
        </w:rPr>
        <w:t xml:space="preserve"> </w:t>
      </w:r>
      <w:r w:rsidRPr="00150882">
        <w:rPr>
          <w:rFonts w:ascii="Bookman Old Style" w:hAnsi="Bookman Old Style" w:cs="Arial"/>
          <w:sz w:val="27"/>
          <w:szCs w:val="27"/>
          <w:lang w:val="es-CO"/>
        </w:rPr>
        <w:t>Así, entonces, procede la</w:t>
      </w:r>
      <w:r w:rsidR="00150882" w:rsidRPr="00150882">
        <w:rPr>
          <w:rFonts w:ascii="Bookman Old Style" w:hAnsi="Bookman Old Style" w:cs="Arial"/>
          <w:sz w:val="27"/>
          <w:szCs w:val="27"/>
          <w:lang w:val="es-CO"/>
        </w:rPr>
        <w:t xml:space="preserve"> Corte a decidir la impugnación.</w:t>
      </w:r>
    </w:p>
    <w:p w14:paraId="61BCDABE" w14:textId="77777777" w:rsidR="009C2939" w:rsidRPr="005A64E1" w:rsidRDefault="009C2939" w:rsidP="009C2939">
      <w:pPr>
        <w:pStyle w:val="Prrafodelista"/>
        <w:spacing w:line="336" w:lineRule="auto"/>
        <w:ind w:left="0"/>
        <w:jc w:val="both"/>
        <w:rPr>
          <w:rFonts w:ascii="Bookman Old Style" w:hAnsi="Bookman Old Style" w:cs="Arial"/>
          <w:color w:val="002060"/>
          <w:sz w:val="27"/>
          <w:szCs w:val="27"/>
          <w:lang w:val="es-CO"/>
        </w:rPr>
      </w:pPr>
    </w:p>
    <w:p w14:paraId="25209E91" w14:textId="543EC053" w:rsidR="009C2939" w:rsidRPr="005A64E1" w:rsidRDefault="00150882" w:rsidP="009C2939">
      <w:pPr>
        <w:spacing w:line="336" w:lineRule="auto"/>
        <w:jc w:val="both"/>
        <w:rPr>
          <w:color w:val="002060"/>
          <w:lang w:val="es-ES_tradnl"/>
        </w:rPr>
      </w:pPr>
      <w:r>
        <w:rPr>
          <w:rFonts w:ascii="Bookman Old Style" w:hAnsi="Bookman Old Style" w:cs="Arial"/>
          <w:color w:val="002060"/>
          <w:sz w:val="27"/>
          <w:szCs w:val="27"/>
          <w:lang w:val="es-CO"/>
        </w:rPr>
        <w:tab/>
        <w:t xml:space="preserve"> </w:t>
      </w:r>
      <w:r w:rsidRPr="007C7B4D">
        <w:rPr>
          <w:rFonts w:ascii="Bookman Old Style" w:hAnsi="Bookman Old Style" w:cs="Arial"/>
          <w:sz w:val="27"/>
          <w:szCs w:val="27"/>
          <w:lang w:val="es-CO"/>
        </w:rPr>
        <w:t xml:space="preserve">2. </w:t>
      </w:r>
      <w:r w:rsidR="009C2939" w:rsidRPr="007C7B4D">
        <w:rPr>
          <w:rFonts w:ascii="Bookman Old Style" w:hAnsi="Bookman Old Style" w:cs="Arial"/>
          <w:sz w:val="27"/>
          <w:szCs w:val="27"/>
          <w:lang w:val="es-CO"/>
        </w:rPr>
        <w:t xml:space="preserve">Para tal efecto, dígase que toda apelación comporta un ejercicio dialéctico, en el que la tesis es la providencia recurrida; y la antítesis, la impugnación. De esa contradicción, le corresponde a la Sala extraer la síntesis de tal antagonismo, que será la decisión del recurso. Desde luego, todo ello mediado por la fijación de las respectivas premisas normativas, a la luz </w:t>
      </w:r>
      <w:r w:rsidR="009C2939" w:rsidRPr="007C7B4D">
        <w:rPr>
          <w:rFonts w:ascii="Bookman Old Style" w:hAnsi="Bookman Old Style" w:cs="Arial"/>
          <w:sz w:val="27"/>
          <w:szCs w:val="27"/>
          <w:lang w:val="es-CO"/>
        </w:rPr>
        <w:lastRenderedPageBreak/>
        <w:t>de las cuales ha de resolverse la discordancia entre el auto confutado y la apelación.</w:t>
      </w:r>
    </w:p>
    <w:p w14:paraId="6F6FD798" w14:textId="77777777" w:rsidR="009C2939" w:rsidRPr="005A64E1" w:rsidRDefault="009C2939" w:rsidP="009C2939">
      <w:pPr>
        <w:pStyle w:val="Prrafodelista"/>
        <w:spacing w:line="336" w:lineRule="auto"/>
        <w:ind w:left="0"/>
        <w:jc w:val="both"/>
        <w:rPr>
          <w:rFonts w:ascii="Bookman Old Style" w:hAnsi="Bookman Old Style" w:cs="Arial"/>
          <w:color w:val="002060"/>
          <w:sz w:val="27"/>
          <w:szCs w:val="27"/>
          <w:lang w:val="es-ES_tradnl"/>
        </w:rPr>
      </w:pPr>
    </w:p>
    <w:p w14:paraId="7EEFA6AE" w14:textId="796AB0D6" w:rsidR="00BD0A90" w:rsidRDefault="009C2939" w:rsidP="009C2939">
      <w:pPr>
        <w:pStyle w:val="Prrafodelista"/>
        <w:spacing w:line="336" w:lineRule="auto"/>
        <w:ind w:left="0"/>
        <w:jc w:val="both"/>
        <w:rPr>
          <w:rFonts w:ascii="Bookman Old Style" w:hAnsi="Bookman Old Style"/>
          <w:spacing w:val="-3"/>
          <w:sz w:val="27"/>
          <w:szCs w:val="27"/>
          <w:lang w:val="es-CO"/>
        </w:rPr>
      </w:pPr>
      <w:r w:rsidRPr="005A64E1">
        <w:rPr>
          <w:rFonts w:ascii="Bookman Old Style" w:hAnsi="Bookman Old Style" w:cs="Arial"/>
          <w:color w:val="002060"/>
          <w:sz w:val="27"/>
          <w:szCs w:val="27"/>
          <w:lang w:val="es-ES_tradnl"/>
        </w:rPr>
        <w:tab/>
      </w:r>
      <w:r w:rsidRPr="007C7B4D">
        <w:rPr>
          <w:rFonts w:ascii="Bookman Old Style" w:hAnsi="Bookman Old Style" w:cs="Arial"/>
          <w:sz w:val="27"/>
          <w:szCs w:val="27"/>
          <w:lang w:val="es-ES_tradnl"/>
        </w:rPr>
        <w:t>2.1</w:t>
      </w:r>
      <w:r w:rsidRPr="007C7B4D">
        <w:rPr>
          <w:rFonts w:ascii="Bookman Old Style" w:hAnsi="Bookman Old Style" w:cs="Arial"/>
          <w:sz w:val="27"/>
          <w:szCs w:val="27"/>
          <w:lang w:val="es-ES_tradnl"/>
        </w:rPr>
        <w:tab/>
        <w:t xml:space="preserve">Pues bien, </w:t>
      </w:r>
      <w:r w:rsidR="00EA06CF">
        <w:rPr>
          <w:rFonts w:ascii="Bookman Old Style" w:hAnsi="Bookman Old Style" w:cs="Arial"/>
          <w:sz w:val="27"/>
          <w:szCs w:val="27"/>
          <w:lang w:val="es-ES_tradnl"/>
        </w:rPr>
        <w:t>l</w:t>
      </w:r>
      <w:r w:rsidRPr="007C7B4D">
        <w:rPr>
          <w:rFonts w:ascii="Bookman Old Style" w:hAnsi="Bookman Old Style" w:cs="Arial"/>
          <w:sz w:val="27"/>
          <w:szCs w:val="27"/>
          <w:lang w:val="es-CO"/>
        </w:rPr>
        <w:t>a Sala de Justicia y Paz del Tribunal Superior de B</w:t>
      </w:r>
      <w:r w:rsidR="007C7B4D" w:rsidRPr="007C7B4D">
        <w:rPr>
          <w:rFonts w:ascii="Bookman Old Style" w:hAnsi="Bookman Old Style" w:cs="Arial"/>
          <w:sz w:val="27"/>
          <w:szCs w:val="27"/>
          <w:lang w:val="es-CO"/>
        </w:rPr>
        <w:t xml:space="preserve">ogotá dispuso </w:t>
      </w:r>
      <w:r w:rsidRPr="007C7B4D">
        <w:rPr>
          <w:rFonts w:ascii="Bookman Old Style" w:hAnsi="Bookman Old Style" w:cs="Arial"/>
          <w:sz w:val="27"/>
          <w:szCs w:val="27"/>
          <w:lang w:val="es-CO"/>
        </w:rPr>
        <w:t xml:space="preserve">la terminación del proceso penal especial de justicia y paz en relación con </w:t>
      </w:r>
      <w:r w:rsidR="007C7B4D" w:rsidRPr="007C7B4D">
        <w:rPr>
          <w:rFonts w:ascii="Bookman Old Style" w:hAnsi="Bookman Old Style" w:cs="Arial"/>
          <w:sz w:val="27"/>
          <w:szCs w:val="27"/>
          <w:lang w:val="es-CO"/>
        </w:rPr>
        <w:t>CARLOS MARIO JIMÉNEZ NARANJO</w:t>
      </w:r>
      <w:r w:rsidRPr="007C7B4D">
        <w:rPr>
          <w:rFonts w:ascii="Bookman Old Style" w:hAnsi="Bookman Old Style" w:cs="Arial"/>
          <w:sz w:val="27"/>
          <w:szCs w:val="27"/>
          <w:lang w:val="es-CO"/>
        </w:rPr>
        <w:t xml:space="preserve">, con su consecuente exclusión de la lista de postulados, a la luz de la causal </w:t>
      </w:r>
      <w:r w:rsidR="007C7B4D" w:rsidRPr="007C7B4D">
        <w:rPr>
          <w:rFonts w:ascii="Bookman Old Style" w:hAnsi="Bookman Old Style" w:cs="Arial"/>
          <w:sz w:val="27"/>
          <w:szCs w:val="27"/>
          <w:lang w:val="es-CO"/>
        </w:rPr>
        <w:t>quinta</w:t>
      </w:r>
      <w:r w:rsidRPr="007C7B4D">
        <w:rPr>
          <w:rFonts w:ascii="Bookman Old Style" w:hAnsi="Bookman Old Style" w:cs="Arial"/>
          <w:sz w:val="27"/>
          <w:szCs w:val="27"/>
          <w:lang w:val="es-CO"/>
        </w:rPr>
        <w:t xml:space="preserve"> del art. 11 A de la Ley 975 de 2005, esto es, cuando el postulado</w:t>
      </w:r>
      <w:r w:rsidR="007C7B4D" w:rsidRPr="007C7B4D">
        <w:rPr>
          <w:rFonts w:ascii="Bookman Old Style" w:hAnsi="Bookman Old Style" w:cs="Arial"/>
          <w:sz w:val="27"/>
          <w:szCs w:val="27"/>
          <w:lang w:val="es-CO"/>
        </w:rPr>
        <w:t xml:space="preserve"> haya sido condenado por delitos dolosos cometidos con posterioridad a su desmovilización. </w:t>
      </w:r>
      <w:r w:rsidRPr="007C7B4D">
        <w:rPr>
          <w:rFonts w:ascii="Bookman Old Style" w:hAnsi="Bookman Old Style" w:cs="Arial"/>
          <w:sz w:val="27"/>
          <w:szCs w:val="27"/>
          <w:lang w:val="es-CO"/>
        </w:rPr>
        <w:t>Ello, por cuanto</w:t>
      </w:r>
      <w:r w:rsidR="00E612F9">
        <w:rPr>
          <w:rFonts w:ascii="Bookman Old Style" w:hAnsi="Bookman Old Style" w:cs="Arial"/>
          <w:sz w:val="27"/>
          <w:szCs w:val="27"/>
          <w:lang w:val="es-CO"/>
        </w:rPr>
        <w:t>, por una parte,</w:t>
      </w:r>
      <w:r w:rsidRPr="007C7B4D">
        <w:rPr>
          <w:rFonts w:ascii="Bookman Old Style" w:hAnsi="Bookman Old Style" w:cs="Arial"/>
          <w:sz w:val="27"/>
          <w:szCs w:val="27"/>
          <w:lang w:val="es-CO"/>
        </w:rPr>
        <w:t xml:space="preserve"> encontró acreditado que aquél </w:t>
      </w:r>
      <w:r w:rsidR="007C7B4D" w:rsidRPr="007C7B4D">
        <w:rPr>
          <w:rFonts w:ascii="Bookman Old Style" w:hAnsi="Bookman Old Style" w:cs="Arial"/>
          <w:sz w:val="27"/>
          <w:szCs w:val="27"/>
          <w:lang w:val="es-CO"/>
        </w:rPr>
        <w:t xml:space="preserve">fue sentenciado a la </w:t>
      </w:r>
      <w:r w:rsidR="00BD0A90">
        <w:rPr>
          <w:rFonts w:ascii="Bookman Old Style" w:hAnsi="Bookman Old Style" w:cs="Arial"/>
          <w:sz w:val="27"/>
          <w:szCs w:val="27"/>
          <w:lang w:val="es-CO"/>
        </w:rPr>
        <w:t xml:space="preserve">pena de 396 meses de prisión por el Tribunal del Distrito Sur de la Florida-División Miami, como responsable de los delitos de concierto para importar cocaína hacia los EEUU y concierto para poseer cocaína con intención de distribuirla </w:t>
      </w:r>
      <w:r w:rsidR="00BD0A90">
        <w:rPr>
          <w:rFonts w:ascii="Bookman Old Style" w:hAnsi="Bookman Old Style"/>
          <w:spacing w:val="-3"/>
          <w:sz w:val="27"/>
          <w:szCs w:val="27"/>
          <w:lang w:val="es-CO"/>
        </w:rPr>
        <w:t>a bordo de un navío sujet</w:t>
      </w:r>
      <w:r w:rsidR="00E612F9">
        <w:rPr>
          <w:rFonts w:ascii="Bookman Old Style" w:hAnsi="Bookman Old Style"/>
          <w:spacing w:val="-3"/>
          <w:sz w:val="27"/>
          <w:szCs w:val="27"/>
          <w:lang w:val="es-CO"/>
        </w:rPr>
        <w:t>o a la jurisdicción de ese país; por otra,</w:t>
      </w:r>
      <w:r w:rsidR="0024413C">
        <w:rPr>
          <w:rFonts w:ascii="Bookman Old Style" w:hAnsi="Bookman Old Style"/>
          <w:spacing w:val="-3"/>
          <w:sz w:val="27"/>
          <w:szCs w:val="27"/>
          <w:lang w:val="es-CO"/>
        </w:rPr>
        <w:t xml:space="preserve"> verificó</w:t>
      </w:r>
      <w:r w:rsidR="00E612F9">
        <w:rPr>
          <w:rFonts w:ascii="Bookman Old Style" w:hAnsi="Bookman Old Style"/>
          <w:spacing w:val="-3"/>
          <w:sz w:val="27"/>
          <w:szCs w:val="27"/>
          <w:lang w:val="es-CO"/>
        </w:rPr>
        <w:t xml:space="preserve"> que dichos delitos fueron cometidos </w:t>
      </w:r>
      <w:r w:rsidR="00D869F5">
        <w:rPr>
          <w:rFonts w:ascii="Bookman Old Style" w:hAnsi="Bookman Old Style"/>
          <w:spacing w:val="-3"/>
          <w:sz w:val="27"/>
          <w:szCs w:val="27"/>
          <w:lang w:val="es-CO"/>
        </w:rPr>
        <w:t xml:space="preserve">por el señor JIMÉNEZ NARANJO </w:t>
      </w:r>
      <w:r w:rsidR="00E612F9">
        <w:rPr>
          <w:rFonts w:ascii="Bookman Old Style" w:hAnsi="Bookman Old Style"/>
          <w:spacing w:val="-3"/>
          <w:sz w:val="27"/>
          <w:szCs w:val="27"/>
          <w:lang w:val="es-CO"/>
        </w:rPr>
        <w:t xml:space="preserve">entre octubre de 2004 y junio de 2007 y desde septiembre de 2006 hasta el 6 de septiembre de 2007, respectivamente. </w:t>
      </w:r>
    </w:p>
    <w:p w14:paraId="598E2FAC" w14:textId="77777777" w:rsidR="00BD0A90" w:rsidRDefault="00BD0A90" w:rsidP="009C2939">
      <w:pPr>
        <w:pStyle w:val="Prrafodelista"/>
        <w:spacing w:line="336" w:lineRule="auto"/>
        <w:ind w:left="0"/>
        <w:jc w:val="both"/>
        <w:rPr>
          <w:rFonts w:ascii="Bookman Old Style" w:hAnsi="Bookman Old Style" w:cs="Arial"/>
          <w:color w:val="002060"/>
          <w:sz w:val="27"/>
          <w:szCs w:val="27"/>
          <w:lang w:val="es-CO"/>
        </w:rPr>
      </w:pPr>
    </w:p>
    <w:p w14:paraId="75F52D88" w14:textId="6DBF4A75" w:rsidR="00A44D66" w:rsidRDefault="009C2939" w:rsidP="009C2939">
      <w:pPr>
        <w:pStyle w:val="Prrafodelista"/>
        <w:spacing w:line="336" w:lineRule="auto"/>
        <w:ind w:left="0"/>
        <w:jc w:val="both"/>
        <w:rPr>
          <w:rFonts w:ascii="Bookman Old Style" w:hAnsi="Bookman Old Style" w:cs="Arial"/>
          <w:sz w:val="27"/>
          <w:szCs w:val="27"/>
          <w:lang w:val="es-CO"/>
        </w:rPr>
      </w:pPr>
      <w:r w:rsidRPr="005A64E1">
        <w:rPr>
          <w:rFonts w:ascii="Bookman Old Style" w:hAnsi="Bookman Old Style" w:cs="Arial"/>
          <w:color w:val="002060"/>
          <w:sz w:val="27"/>
          <w:szCs w:val="27"/>
          <w:lang w:val="es-CO"/>
        </w:rPr>
        <w:tab/>
      </w:r>
      <w:r w:rsidRPr="00F338CD">
        <w:rPr>
          <w:rFonts w:ascii="Bookman Old Style" w:hAnsi="Bookman Old Style" w:cs="Arial"/>
          <w:sz w:val="27"/>
          <w:szCs w:val="27"/>
          <w:lang w:val="es-CO"/>
        </w:rPr>
        <w:t>2.2</w:t>
      </w:r>
      <w:r w:rsidRPr="00F338CD">
        <w:rPr>
          <w:rFonts w:ascii="Bookman Old Style" w:hAnsi="Bookman Old Style" w:cs="Arial"/>
          <w:sz w:val="27"/>
          <w:szCs w:val="27"/>
          <w:lang w:val="es-CO"/>
        </w:rPr>
        <w:tab/>
        <w:t xml:space="preserve">El impugnante ataca la conclusión a la que llegó el Tribunal </w:t>
      </w:r>
      <w:r w:rsidRPr="00F338CD">
        <w:rPr>
          <w:rFonts w:ascii="Bookman Old Style" w:hAnsi="Bookman Old Style" w:cs="Arial"/>
          <w:i/>
          <w:sz w:val="27"/>
          <w:szCs w:val="27"/>
          <w:lang w:val="es-CO"/>
        </w:rPr>
        <w:t>a quo</w:t>
      </w:r>
      <w:r w:rsidRPr="00F338CD">
        <w:rPr>
          <w:rFonts w:ascii="Bookman Old Style" w:hAnsi="Bookman Old Style" w:cs="Arial"/>
          <w:sz w:val="27"/>
          <w:szCs w:val="27"/>
          <w:lang w:val="es-CO"/>
        </w:rPr>
        <w:t xml:space="preserve">, a la luz los siguientes argumentos: i) </w:t>
      </w:r>
      <w:r w:rsidR="00833781" w:rsidRPr="00F338CD">
        <w:rPr>
          <w:rFonts w:ascii="Bookman Old Style" w:hAnsi="Bookman Old Style" w:cs="Arial"/>
          <w:sz w:val="27"/>
          <w:szCs w:val="27"/>
          <w:lang w:val="es-CO"/>
        </w:rPr>
        <w:t xml:space="preserve">debido a las condiciones en las que el postulado estuvo recluido en Colombia, después de su desmovilización y hasta que fue extraditado, aquél se hallaba en imposibilidad de cometer los delitos que se le atribuyen; ii) </w:t>
      </w:r>
      <w:r w:rsidR="0024413C">
        <w:rPr>
          <w:rFonts w:ascii="Bookman Old Style" w:hAnsi="Bookman Old Style" w:cs="Arial"/>
          <w:sz w:val="27"/>
          <w:szCs w:val="27"/>
          <w:lang w:val="es-CO"/>
        </w:rPr>
        <w:t>“</w:t>
      </w:r>
      <w:r w:rsidR="00833781" w:rsidRPr="0024413C">
        <w:rPr>
          <w:rFonts w:ascii="Bookman Old Style" w:hAnsi="Bookman Old Style" w:cs="Arial"/>
          <w:i/>
          <w:sz w:val="27"/>
          <w:szCs w:val="27"/>
          <w:lang w:val="es-CO"/>
        </w:rPr>
        <w:t>el acuerdo</w:t>
      </w:r>
      <w:r w:rsidR="0024413C">
        <w:rPr>
          <w:rFonts w:ascii="Bookman Old Style" w:hAnsi="Bookman Old Style" w:cs="Arial"/>
          <w:sz w:val="27"/>
          <w:szCs w:val="27"/>
          <w:lang w:val="es-CO"/>
        </w:rPr>
        <w:t>”</w:t>
      </w:r>
      <w:r w:rsidR="00833781" w:rsidRPr="00F338CD">
        <w:rPr>
          <w:rFonts w:ascii="Bookman Old Style" w:hAnsi="Bookman Old Style" w:cs="Arial"/>
          <w:sz w:val="27"/>
          <w:szCs w:val="27"/>
          <w:lang w:val="es-CO"/>
        </w:rPr>
        <w:t xml:space="preserve"> de culpabilidad al que llegó el señor JIMÉNEZ NARANJO con las autoridades estadounidenses no es vinculante para la judicatura nacional y iii) </w:t>
      </w:r>
      <w:r w:rsidR="00A44D66" w:rsidRPr="00F338CD">
        <w:rPr>
          <w:rFonts w:ascii="Bookman Old Style" w:hAnsi="Bookman Old Style" w:cs="Arial"/>
          <w:sz w:val="27"/>
          <w:szCs w:val="27"/>
          <w:lang w:val="es-CO"/>
        </w:rPr>
        <w:t>dadas las características del proceso penal estadounidense, la sentencia sólo comprende una declaratoria jurídica de culpabilidad aceptada mediante acuerdo</w:t>
      </w:r>
      <w:r w:rsidR="00F338CD">
        <w:rPr>
          <w:rFonts w:ascii="Bookman Old Style" w:hAnsi="Bookman Old Style" w:cs="Arial"/>
          <w:sz w:val="27"/>
          <w:szCs w:val="27"/>
          <w:lang w:val="es-CO"/>
        </w:rPr>
        <w:t xml:space="preserve">, </w:t>
      </w:r>
      <w:r w:rsidR="00A44D66" w:rsidRPr="00F338CD">
        <w:rPr>
          <w:rFonts w:ascii="Bookman Old Style" w:hAnsi="Bookman Old Style" w:cs="Arial"/>
          <w:sz w:val="27"/>
          <w:szCs w:val="27"/>
          <w:lang w:val="es-CO"/>
        </w:rPr>
        <w:t xml:space="preserve">sin que </w:t>
      </w:r>
      <w:r w:rsidR="00A44D66" w:rsidRPr="00F338CD">
        <w:rPr>
          <w:rFonts w:ascii="Bookman Old Style" w:hAnsi="Bookman Old Style" w:cs="Arial"/>
          <w:sz w:val="27"/>
          <w:szCs w:val="27"/>
          <w:lang w:val="es-CO"/>
        </w:rPr>
        <w:lastRenderedPageBreak/>
        <w:t>los enunciados fácticos</w:t>
      </w:r>
      <w:r w:rsidR="008F21C5">
        <w:rPr>
          <w:rFonts w:ascii="Bookman Old Style" w:hAnsi="Bookman Old Style" w:cs="Arial"/>
          <w:sz w:val="27"/>
          <w:szCs w:val="27"/>
          <w:lang w:val="es-CO"/>
        </w:rPr>
        <w:t xml:space="preserve"> </w:t>
      </w:r>
      <w:r w:rsidR="008F21C5" w:rsidRPr="008F21C5">
        <w:rPr>
          <w:rFonts w:ascii="Bookman Old Style" w:hAnsi="Bookman Old Style" w:cs="Arial"/>
          <w:sz w:val="25"/>
          <w:szCs w:val="25"/>
          <w:lang w:val="es-CO"/>
        </w:rPr>
        <w:t>-incluidas las circunstancias de tiempo-</w:t>
      </w:r>
      <w:r w:rsidR="00480B11">
        <w:rPr>
          <w:rFonts w:ascii="Bookman Old Style" w:hAnsi="Bookman Old Style" w:cs="Arial"/>
          <w:sz w:val="27"/>
          <w:szCs w:val="27"/>
          <w:lang w:val="es-CO"/>
        </w:rPr>
        <w:t xml:space="preserve"> en ella acogida</w:t>
      </w:r>
      <w:r w:rsidR="00A44D66" w:rsidRPr="00F338CD">
        <w:rPr>
          <w:rFonts w:ascii="Bookman Old Style" w:hAnsi="Bookman Old Style" w:cs="Arial"/>
          <w:sz w:val="27"/>
          <w:szCs w:val="27"/>
          <w:lang w:val="es-CO"/>
        </w:rPr>
        <w:t xml:space="preserve">s tengan eficacia para justificar la exclusión del proceso de justicia y paz, por cuanto los hechos </w:t>
      </w:r>
      <w:r w:rsidR="00F338CD">
        <w:rPr>
          <w:rFonts w:ascii="Bookman Old Style" w:hAnsi="Bookman Old Style" w:cs="Arial"/>
          <w:sz w:val="27"/>
          <w:szCs w:val="27"/>
          <w:lang w:val="es-CO"/>
        </w:rPr>
        <w:t>fueron</w:t>
      </w:r>
      <w:r w:rsidR="00A44D66" w:rsidRPr="00F338CD">
        <w:rPr>
          <w:rFonts w:ascii="Bookman Old Style" w:hAnsi="Bookman Old Style" w:cs="Arial"/>
          <w:sz w:val="27"/>
          <w:szCs w:val="27"/>
          <w:lang w:val="es-CO"/>
        </w:rPr>
        <w:t xml:space="preserve"> fijados </w:t>
      </w:r>
      <w:r w:rsidR="00241E37">
        <w:rPr>
          <w:rFonts w:ascii="Bookman Old Style" w:hAnsi="Bookman Old Style" w:cs="Arial"/>
          <w:sz w:val="27"/>
          <w:szCs w:val="27"/>
          <w:lang w:val="es-CO"/>
        </w:rPr>
        <w:t xml:space="preserve">discrecional y </w:t>
      </w:r>
      <w:r w:rsidR="00F338CD">
        <w:rPr>
          <w:rFonts w:ascii="Bookman Old Style" w:hAnsi="Bookman Old Style" w:cs="Arial"/>
          <w:sz w:val="27"/>
          <w:szCs w:val="27"/>
          <w:lang w:val="es-CO"/>
        </w:rPr>
        <w:t xml:space="preserve">arbitrariamente, sin evidencia que permitiera acreditar que CARLOS MARIO JIMÉNEZ delinquió después de su desmovilización. </w:t>
      </w:r>
    </w:p>
    <w:p w14:paraId="224522B8" w14:textId="77777777" w:rsidR="00D9537D" w:rsidRDefault="00D9537D" w:rsidP="009C2939">
      <w:pPr>
        <w:pStyle w:val="Prrafodelista"/>
        <w:spacing w:line="336" w:lineRule="auto"/>
        <w:ind w:left="0"/>
        <w:jc w:val="both"/>
        <w:rPr>
          <w:rFonts w:ascii="Bookman Old Style" w:hAnsi="Bookman Old Style" w:cs="Arial"/>
          <w:color w:val="002060"/>
          <w:sz w:val="27"/>
          <w:szCs w:val="27"/>
          <w:lang w:val="es-CO"/>
        </w:rPr>
      </w:pPr>
    </w:p>
    <w:p w14:paraId="439206CE" w14:textId="77E04A7E" w:rsidR="009C2939" w:rsidRPr="003518DC" w:rsidRDefault="009C2939" w:rsidP="0053541F">
      <w:pPr>
        <w:spacing w:line="336" w:lineRule="auto"/>
        <w:ind w:firstLine="708"/>
        <w:jc w:val="both"/>
        <w:rPr>
          <w:rFonts w:ascii="Bookman Old Style" w:hAnsi="Bookman Old Style" w:cs="Arial"/>
          <w:sz w:val="27"/>
          <w:szCs w:val="27"/>
          <w:lang w:val="es-CO"/>
        </w:rPr>
      </w:pPr>
      <w:r w:rsidRPr="003518DC">
        <w:rPr>
          <w:rFonts w:ascii="Bookman Old Style" w:hAnsi="Bookman Old Style" w:cs="Arial"/>
          <w:sz w:val="27"/>
          <w:szCs w:val="27"/>
          <w:lang w:val="es-CO"/>
        </w:rPr>
        <w:t xml:space="preserve">3. </w:t>
      </w:r>
      <w:r w:rsidRPr="003518DC">
        <w:rPr>
          <w:rFonts w:ascii="Bookman Old Style" w:hAnsi="Bookman Old Style" w:cs="Arial"/>
          <w:sz w:val="27"/>
          <w:szCs w:val="27"/>
          <w:lang w:val="es-CO"/>
        </w:rPr>
        <w:tab/>
      </w:r>
      <w:r w:rsidR="001435C3">
        <w:rPr>
          <w:rFonts w:ascii="Bookman Old Style" w:hAnsi="Bookman Old Style" w:cs="Arial"/>
          <w:sz w:val="27"/>
          <w:szCs w:val="27"/>
          <w:lang w:val="es-CO"/>
        </w:rPr>
        <w:t>C</w:t>
      </w:r>
      <w:r w:rsidRPr="003518DC">
        <w:rPr>
          <w:rFonts w:ascii="Bookman Old Style" w:hAnsi="Bookman Old Style" w:cs="Arial"/>
          <w:sz w:val="27"/>
          <w:szCs w:val="27"/>
          <w:lang w:val="es-CO"/>
        </w:rPr>
        <w:t xml:space="preserve">ontrastadas las razones expuestas por la Sala </w:t>
      </w:r>
      <w:r w:rsidRPr="003518DC">
        <w:rPr>
          <w:rFonts w:ascii="Bookman Old Style" w:hAnsi="Bookman Old Style" w:cs="Arial"/>
          <w:i/>
          <w:sz w:val="27"/>
          <w:szCs w:val="27"/>
          <w:lang w:val="es-CO"/>
        </w:rPr>
        <w:t>a quo</w:t>
      </w:r>
      <w:r w:rsidRPr="003518DC">
        <w:rPr>
          <w:rFonts w:ascii="Bookman Old Style" w:hAnsi="Bookman Old Style" w:cs="Arial"/>
          <w:sz w:val="27"/>
          <w:szCs w:val="27"/>
          <w:lang w:val="es-CO"/>
        </w:rPr>
        <w:t xml:space="preserve"> con los argumentos de refutación planteados por el apelante, salta a la vista la corrección de la decisión impugnada. </w:t>
      </w:r>
      <w:r w:rsidR="00C7624F">
        <w:rPr>
          <w:rFonts w:ascii="Bookman Old Style" w:hAnsi="Bookman Old Style" w:cs="Arial"/>
          <w:sz w:val="27"/>
          <w:szCs w:val="27"/>
          <w:lang w:val="es-CO"/>
        </w:rPr>
        <w:t>C</w:t>
      </w:r>
      <w:r w:rsidRPr="003518DC">
        <w:rPr>
          <w:rFonts w:ascii="Bookman Old Style" w:hAnsi="Bookman Old Style" w:cs="Arial"/>
          <w:sz w:val="27"/>
          <w:szCs w:val="27"/>
          <w:lang w:val="es-CO"/>
        </w:rPr>
        <w:t xml:space="preserve">omo se verá, efectivamente se configuró la causal de exclusión del proceso de justicia y paz, por </w:t>
      </w:r>
      <w:r w:rsidR="0091445B" w:rsidRPr="003518DC">
        <w:rPr>
          <w:rFonts w:ascii="Bookman Old Style" w:hAnsi="Bookman Old Style" w:cs="Arial"/>
          <w:sz w:val="27"/>
          <w:szCs w:val="27"/>
          <w:lang w:val="es-CO"/>
        </w:rPr>
        <w:t>haber sido condenado el postulado por delitos dolosos</w:t>
      </w:r>
      <w:r w:rsidR="003518DC">
        <w:rPr>
          <w:rFonts w:ascii="Bookman Old Style" w:hAnsi="Bookman Old Style" w:cs="Arial"/>
          <w:sz w:val="27"/>
          <w:szCs w:val="27"/>
          <w:lang w:val="es-CO"/>
        </w:rPr>
        <w:t>,</w:t>
      </w:r>
      <w:r w:rsidR="0091445B" w:rsidRPr="003518DC">
        <w:rPr>
          <w:rFonts w:ascii="Bookman Old Style" w:hAnsi="Bookman Old Style" w:cs="Arial"/>
          <w:sz w:val="27"/>
          <w:szCs w:val="27"/>
          <w:lang w:val="es-CO"/>
        </w:rPr>
        <w:t xml:space="preserve"> cometidos con posterioridad a su desmovilización</w:t>
      </w:r>
      <w:r w:rsidR="003518DC">
        <w:rPr>
          <w:rFonts w:ascii="Bookman Old Style" w:hAnsi="Bookman Old Style" w:cs="Arial"/>
          <w:sz w:val="27"/>
          <w:szCs w:val="27"/>
          <w:lang w:val="es-CO"/>
        </w:rPr>
        <w:t xml:space="preserve">. </w:t>
      </w:r>
      <w:r w:rsidR="00B17DFE">
        <w:rPr>
          <w:rFonts w:ascii="Bookman Old Style" w:hAnsi="Bookman Old Style" w:cs="Arial"/>
          <w:sz w:val="27"/>
          <w:szCs w:val="27"/>
          <w:lang w:val="es-CO"/>
        </w:rPr>
        <w:t xml:space="preserve">Mientras los argumentos expuestos por el impugnante </w:t>
      </w:r>
      <w:r w:rsidR="007807D1">
        <w:rPr>
          <w:rFonts w:ascii="Bookman Old Style" w:hAnsi="Bookman Old Style" w:cs="Arial"/>
          <w:sz w:val="27"/>
          <w:szCs w:val="27"/>
          <w:lang w:val="es-CO"/>
        </w:rPr>
        <w:t xml:space="preserve">no sólo </w:t>
      </w:r>
      <w:r w:rsidR="00B17DFE">
        <w:rPr>
          <w:rFonts w:ascii="Bookman Old Style" w:hAnsi="Bookman Old Style" w:cs="Arial"/>
          <w:sz w:val="27"/>
          <w:szCs w:val="27"/>
          <w:lang w:val="es-CO"/>
        </w:rPr>
        <w:t>carecen de solidez</w:t>
      </w:r>
      <w:r w:rsidR="00E30FC8">
        <w:rPr>
          <w:rFonts w:ascii="Bookman Old Style" w:hAnsi="Bookman Old Style" w:cs="Arial"/>
          <w:sz w:val="27"/>
          <w:szCs w:val="27"/>
          <w:lang w:val="es-CO"/>
        </w:rPr>
        <w:t xml:space="preserve">, por cuanto </w:t>
      </w:r>
      <w:r w:rsidR="00E30FC8" w:rsidRPr="00E30FC8">
        <w:rPr>
          <w:rFonts w:ascii="Bookman Old Style" w:hAnsi="Bookman Old Style" w:cs="Arial"/>
          <w:i/>
          <w:sz w:val="27"/>
          <w:szCs w:val="27"/>
          <w:lang w:val="es-CO"/>
        </w:rPr>
        <w:t>se basan</w:t>
      </w:r>
      <w:r w:rsidR="00E30FC8">
        <w:rPr>
          <w:rFonts w:ascii="Bookman Old Style" w:hAnsi="Bookman Old Style" w:cs="Arial"/>
          <w:sz w:val="27"/>
          <w:szCs w:val="27"/>
          <w:lang w:val="es-CO"/>
        </w:rPr>
        <w:t xml:space="preserve"> en el </w:t>
      </w:r>
      <w:r w:rsidR="007807D1">
        <w:rPr>
          <w:rFonts w:ascii="Bookman Old Style" w:hAnsi="Bookman Old Style" w:cs="Arial"/>
          <w:sz w:val="27"/>
          <w:szCs w:val="27"/>
          <w:lang w:val="es-CO"/>
        </w:rPr>
        <w:t xml:space="preserve">inadmisible </w:t>
      </w:r>
      <w:r w:rsidR="00E30FC8">
        <w:rPr>
          <w:rFonts w:ascii="Bookman Old Style" w:hAnsi="Bookman Old Style" w:cs="Arial"/>
          <w:sz w:val="27"/>
          <w:szCs w:val="27"/>
          <w:lang w:val="es-CO"/>
        </w:rPr>
        <w:t>cuestionamiento de la legalidad de una decisión adoptada por una autoridad judicial extranjera</w:t>
      </w:r>
      <w:r w:rsidR="007807D1">
        <w:rPr>
          <w:rFonts w:ascii="Bookman Old Style" w:hAnsi="Bookman Old Style" w:cs="Arial"/>
          <w:sz w:val="27"/>
          <w:szCs w:val="27"/>
          <w:lang w:val="es-CO"/>
        </w:rPr>
        <w:t xml:space="preserve">; también, </w:t>
      </w:r>
      <w:r w:rsidR="000B616A">
        <w:rPr>
          <w:rFonts w:ascii="Bookman Old Style" w:hAnsi="Bookman Old Style" w:cs="Arial"/>
          <w:sz w:val="27"/>
          <w:szCs w:val="27"/>
          <w:lang w:val="es-CO"/>
        </w:rPr>
        <w:t xml:space="preserve">debido a que </w:t>
      </w:r>
      <w:r w:rsidR="001E0CF0">
        <w:rPr>
          <w:rFonts w:ascii="Bookman Old Style" w:hAnsi="Bookman Old Style" w:cs="Arial"/>
          <w:sz w:val="27"/>
          <w:szCs w:val="27"/>
          <w:lang w:val="es-CO"/>
        </w:rPr>
        <w:t xml:space="preserve">se ofrecen inatinentes frente a los supuestos de hecho </w:t>
      </w:r>
      <w:r w:rsidR="0053541F">
        <w:rPr>
          <w:rFonts w:ascii="Bookman Old Style" w:hAnsi="Bookman Old Style" w:cs="Arial"/>
          <w:sz w:val="27"/>
          <w:szCs w:val="27"/>
          <w:lang w:val="es-CO"/>
        </w:rPr>
        <w:t xml:space="preserve">constitutivos de exclusión. </w:t>
      </w:r>
    </w:p>
    <w:p w14:paraId="3CDE6EAA" w14:textId="77777777" w:rsidR="0091445B" w:rsidRDefault="0091445B" w:rsidP="009C2939">
      <w:pPr>
        <w:spacing w:line="336" w:lineRule="auto"/>
        <w:ind w:firstLine="708"/>
        <w:jc w:val="both"/>
        <w:rPr>
          <w:rFonts w:ascii="Bookman Old Style" w:hAnsi="Bookman Old Style" w:cs="Arial"/>
          <w:color w:val="002060"/>
          <w:sz w:val="27"/>
          <w:szCs w:val="27"/>
          <w:lang w:val="es-CO"/>
        </w:rPr>
      </w:pPr>
    </w:p>
    <w:p w14:paraId="3DD885FE" w14:textId="50FDF47C" w:rsidR="000B616A" w:rsidRDefault="009C2939" w:rsidP="009C2939">
      <w:pPr>
        <w:pStyle w:val="Prrafodelista"/>
        <w:spacing w:line="336" w:lineRule="auto"/>
        <w:ind w:left="0"/>
        <w:jc w:val="both"/>
        <w:rPr>
          <w:rFonts w:ascii="Bookman Old Style" w:hAnsi="Bookman Old Style"/>
          <w:color w:val="002060"/>
          <w:sz w:val="27"/>
          <w:szCs w:val="27"/>
        </w:rPr>
      </w:pPr>
      <w:r w:rsidRPr="005A64E1">
        <w:rPr>
          <w:rFonts w:ascii="Bookman Old Style" w:hAnsi="Bookman Old Style" w:cs="Arial"/>
          <w:color w:val="002060"/>
          <w:sz w:val="27"/>
          <w:szCs w:val="27"/>
          <w:lang w:val="es-CO"/>
        </w:rPr>
        <w:tab/>
      </w:r>
      <w:r w:rsidRPr="000B616A">
        <w:rPr>
          <w:rFonts w:ascii="Bookman Old Style" w:hAnsi="Bookman Old Style" w:cs="Arial"/>
          <w:sz w:val="27"/>
          <w:szCs w:val="27"/>
          <w:lang w:val="es-CO"/>
        </w:rPr>
        <w:t>3.1</w:t>
      </w:r>
      <w:r w:rsidRPr="000B616A">
        <w:rPr>
          <w:rFonts w:ascii="Bookman Old Style" w:hAnsi="Bookman Old Style" w:cs="Arial"/>
          <w:sz w:val="27"/>
          <w:szCs w:val="27"/>
          <w:lang w:val="es-CO"/>
        </w:rPr>
        <w:tab/>
      </w:r>
      <w:r w:rsidR="000B616A" w:rsidRPr="000B616A">
        <w:rPr>
          <w:rFonts w:ascii="Bookman Old Style" w:hAnsi="Bookman Old Style" w:cs="Arial"/>
          <w:sz w:val="27"/>
          <w:szCs w:val="27"/>
          <w:lang w:val="es-CO"/>
        </w:rPr>
        <w:t>De acuerdo con el art. 11 A num. 5º de la Ley 975 de 2005, adicionado por el art. 5º de la Ley 1592 de 2012, el</w:t>
      </w:r>
      <w:r w:rsidR="000B616A" w:rsidRPr="000B616A">
        <w:rPr>
          <w:rFonts w:ascii="Bookman Old Style" w:hAnsi="Bookman Old Style"/>
          <w:sz w:val="27"/>
          <w:szCs w:val="27"/>
        </w:rPr>
        <w:t xml:space="preserve"> desmovilizado de un grupo armado organizado al margen de la ley, que haya sido postulado por el Gobierno nacional para acceder a los beneficios del proceso especial de justicia y paz, será excluido, entre otros eventos, cuando haya sido condenado por delitos dolosos cometidos con posterioridad a su desmovilización. </w:t>
      </w:r>
    </w:p>
    <w:p w14:paraId="75571090" w14:textId="77777777" w:rsidR="000B616A" w:rsidRPr="00BF3213" w:rsidRDefault="000B616A" w:rsidP="000B616A">
      <w:pPr>
        <w:pStyle w:val="estilo1"/>
        <w:spacing w:before="0" w:after="0" w:line="360" w:lineRule="auto"/>
        <w:ind w:left="0" w:right="0"/>
        <w:jc w:val="both"/>
        <w:rPr>
          <w:rFonts w:ascii="Bookman Old Style" w:hAnsi="Bookman Old Style"/>
          <w:color w:val="002060"/>
          <w:sz w:val="28"/>
          <w:szCs w:val="28"/>
        </w:rPr>
      </w:pPr>
    </w:p>
    <w:p w14:paraId="007BF6D5" w14:textId="77777777" w:rsidR="00324BCB" w:rsidRDefault="000B616A" w:rsidP="000B616A">
      <w:pPr>
        <w:pStyle w:val="estilo1"/>
        <w:spacing w:before="0" w:after="0" w:line="360" w:lineRule="auto"/>
        <w:ind w:left="0" w:right="0"/>
        <w:jc w:val="both"/>
        <w:rPr>
          <w:rFonts w:ascii="Bookman Old Style" w:hAnsi="Bookman Old Style"/>
          <w:color w:val="auto"/>
          <w:sz w:val="27"/>
          <w:szCs w:val="27"/>
        </w:rPr>
      </w:pPr>
      <w:r w:rsidRPr="00BF3213">
        <w:rPr>
          <w:rFonts w:ascii="Bookman Old Style" w:hAnsi="Bookman Old Style"/>
          <w:color w:val="002060"/>
          <w:sz w:val="28"/>
          <w:szCs w:val="28"/>
        </w:rPr>
        <w:tab/>
      </w:r>
      <w:r w:rsidR="00361342" w:rsidRPr="00324BCB">
        <w:rPr>
          <w:rFonts w:ascii="Bookman Old Style" w:hAnsi="Bookman Old Style"/>
          <w:color w:val="auto"/>
          <w:sz w:val="28"/>
          <w:szCs w:val="28"/>
        </w:rPr>
        <w:t>En lo sustancial, l</w:t>
      </w:r>
      <w:r w:rsidRPr="00324BCB">
        <w:rPr>
          <w:rFonts w:ascii="Bookman Old Style" w:hAnsi="Bookman Old Style"/>
          <w:color w:val="auto"/>
          <w:sz w:val="27"/>
          <w:szCs w:val="27"/>
        </w:rPr>
        <w:t xml:space="preserve">a estructuración de </w:t>
      </w:r>
      <w:r w:rsidR="002375EA" w:rsidRPr="00324BCB">
        <w:rPr>
          <w:rFonts w:ascii="Bookman Old Style" w:hAnsi="Bookman Old Style"/>
          <w:color w:val="auto"/>
          <w:sz w:val="27"/>
          <w:szCs w:val="27"/>
        </w:rPr>
        <w:t>la causal invocada requiere de un</w:t>
      </w:r>
      <w:r w:rsidRPr="00324BCB">
        <w:rPr>
          <w:rFonts w:ascii="Bookman Old Style" w:hAnsi="Bookman Old Style"/>
          <w:color w:val="auto"/>
          <w:sz w:val="27"/>
          <w:szCs w:val="27"/>
        </w:rPr>
        <w:t xml:space="preserve">a </w:t>
      </w:r>
      <w:r w:rsidRPr="00324BCB">
        <w:rPr>
          <w:rFonts w:ascii="Bookman Old Style" w:hAnsi="Bookman Old Style"/>
          <w:i/>
          <w:color w:val="auto"/>
          <w:sz w:val="27"/>
          <w:szCs w:val="27"/>
        </w:rPr>
        <w:t xml:space="preserve">mera </w:t>
      </w:r>
      <w:r w:rsidRPr="00F53990">
        <w:rPr>
          <w:rFonts w:ascii="Bookman Old Style" w:hAnsi="Bookman Old Style"/>
          <w:i/>
          <w:color w:val="auto"/>
          <w:sz w:val="27"/>
          <w:szCs w:val="27"/>
        </w:rPr>
        <w:t>constatación objetiva</w:t>
      </w:r>
      <w:r w:rsidRPr="00F53990">
        <w:rPr>
          <w:rFonts w:ascii="Bookman Old Style" w:hAnsi="Bookman Old Style"/>
          <w:color w:val="auto"/>
          <w:sz w:val="27"/>
          <w:szCs w:val="27"/>
        </w:rPr>
        <w:t xml:space="preserve"> </w:t>
      </w:r>
      <w:r w:rsidR="00A36D48" w:rsidRPr="00F53990">
        <w:rPr>
          <w:rFonts w:ascii="Bookman Old Style" w:hAnsi="Bookman Old Style"/>
          <w:color w:val="auto"/>
          <w:sz w:val="27"/>
          <w:szCs w:val="27"/>
        </w:rPr>
        <w:t xml:space="preserve">(CSJ AP 31.08.2016, rad. 48.603), </w:t>
      </w:r>
      <w:r w:rsidRPr="00F53990">
        <w:rPr>
          <w:rFonts w:ascii="Bookman Old Style" w:hAnsi="Bookman Old Style"/>
          <w:color w:val="auto"/>
          <w:sz w:val="27"/>
          <w:szCs w:val="27"/>
        </w:rPr>
        <w:t xml:space="preserve">a través de la cual </w:t>
      </w:r>
      <w:r w:rsidR="00361342">
        <w:rPr>
          <w:rFonts w:ascii="Bookman Old Style" w:hAnsi="Bookman Old Style"/>
          <w:color w:val="auto"/>
          <w:sz w:val="27"/>
          <w:szCs w:val="27"/>
        </w:rPr>
        <w:t xml:space="preserve">debe determinarse </w:t>
      </w:r>
      <w:r w:rsidR="00361342">
        <w:rPr>
          <w:rFonts w:ascii="Bookman Old Style" w:hAnsi="Bookman Old Style"/>
          <w:color w:val="auto"/>
          <w:sz w:val="27"/>
          <w:szCs w:val="27"/>
        </w:rPr>
        <w:lastRenderedPageBreak/>
        <w:t>si el delito doloso por el cual fue condenado el postulado fue cometido con posterioridad su desmovilización.</w:t>
      </w:r>
    </w:p>
    <w:p w14:paraId="0AE8A24D" w14:textId="77777777" w:rsidR="00324BCB" w:rsidRDefault="00324BCB" w:rsidP="000B616A">
      <w:pPr>
        <w:pStyle w:val="estilo1"/>
        <w:spacing w:before="0" w:after="0" w:line="360" w:lineRule="auto"/>
        <w:ind w:left="0" w:right="0"/>
        <w:jc w:val="both"/>
        <w:rPr>
          <w:rFonts w:ascii="Bookman Old Style" w:hAnsi="Bookman Old Style"/>
          <w:color w:val="auto"/>
          <w:sz w:val="27"/>
          <w:szCs w:val="27"/>
        </w:rPr>
      </w:pPr>
    </w:p>
    <w:p w14:paraId="3BA573BC" w14:textId="33E8E470" w:rsidR="00361342" w:rsidRDefault="00324BCB" w:rsidP="000B616A">
      <w:pPr>
        <w:pStyle w:val="estilo1"/>
        <w:spacing w:before="0" w:after="0" w:line="360" w:lineRule="auto"/>
        <w:ind w:left="0" w:right="0"/>
        <w:jc w:val="both"/>
        <w:rPr>
          <w:rFonts w:ascii="Bookman Old Style" w:hAnsi="Bookman Old Style" w:cs="Arial"/>
          <w:sz w:val="27"/>
          <w:szCs w:val="27"/>
          <w:lang w:val="es-MX"/>
        </w:rPr>
      </w:pPr>
      <w:r>
        <w:rPr>
          <w:rFonts w:ascii="Bookman Old Style" w:hAnsi="Bookman Old Style"/>
          <w:color w:val="auto"/>
          <w:sz w:val="27"/>
          <w:szCs w:val="27"/>
        </w:rPr>
        <w:tab/>
        <w:t>En lo probatorio, el art. 2.2.5.1.2.3.</w:t>
      </w:r>
      <w:r w:rsidRPr="00324BCB">
        <w:rPr>
          <w:rFonts w:ascii="Bookman Old Style" w:hAnsi="Bookman Old Style"/>
          <w:color w:val="auto"/>
          <w:sz w:val="27"/>
          <w:szCs w:val="27"/>
        </w:rPr>
        <w:t>1</w:t>
      </w:r>
      <w:r>
        <w:rPr>
          <w:rFonts w:ascii="Bookman Old Style" w:hAnsi="Bookman Old Style"/>
          <w:color w:val="auto"/>
          <w:sz w:val="27"/>
          <w:szCs w:val="27"/>
        </w:rPr>
        <w:t xml:space="preserve"> num. 2º del </w:t>
      </w:r>
      <w:r>
        <w:rPr>
          <w:rFonts w:ascii="Bookman Old Style" w:hAnsi="Bookman Old Style" w:cs="Arial"/>
          <w:sz w:val="27"/>
          <w:szCs w:val="27"/>
          <w:lang w:val="es-MX"/>
        </w:rPr>
        <w:t>Decreto Único Reglamentario del Sector Justicia y del Derecho</w:t>
      </w:r>
      <w:r>
        <w:rPr>
          <w:rStyle w:val="Refdenotaalpie"/>
          <w:rFonts w:ascii="Bookman Old Style" w:hAnsi="Bookman Old Style" w:cs="Arial"/>
          <w:sz w:val="27"/>
          <w:szCs w:val="27"/>
          <w:lang w:val="es-MX"/>
        </w:rPr>
        <w:footnoteReference w:id="10"/>
      </w:r>
      <w:r>
        <w:rPr>
          <w:rFonts w:ascii="Bookman Old Style" w:hAnsi="Bookman Old Style" w:cs="Arial"/>
          <w:sz w:val="27"/>
          <w:szCs w:val="27"/>
          <w:lang w:val="es-MX"/>
        </w:rPr>
        <w:t xml:space="preserve"> establece que, para la exclusión fundada en la existencia de una condena por delitos dolosos cometidos por el postulado con posterioridad a la desmovilización, bastará una sentencia condenatoria de primera instancia. </w:t>
      </w:r>
    </w:p>
    <w:p w14:paraId="37605865" w14:textId="77777777" w:rsidR="00933E7B" w:rsidRDefault="00933E7B" w:rsidP="000B616A">
      <w:pPr>
        <w:pStyle w:val="estilo1"/>
        <w:spacing w:before="0" w:after="0" w:line="360" w:lineRule="auto"/>
        <w:ind w:left="0" w:right="0"/>
        <w:jc w:val="both"/>
        <w:rPr>
          <w:rFonts w:ascii="Bookman Old Style" w:hAnsi="Bookman Old Style" w:cs="Arial"/>
          <w:sz w:val="27"/>
          <w:szCs w:val="27"/>
          <w:lang w:val="es-MX"/>
        </w:rPr>
      </w:pPr>
    </w:p>
    <w:p w14:paraId="7A894AAC" w14:textId="01538966" w:rsidR="0084562D" w:rsidRDefault="00933E7B" w:rsidP="000B616A">
      <w:pPr>
        <w:pStyle w:val="estilo1"/>
        <w:spacing w:before="0" w:after="0" w:line="360" w:lineRule="auto"/>
        <w:ind w:left="0" w:right="0"/>
        <w:jc w:val="both"/>
        <w:rPr>
          <w:rFonts w:ascii="Bookman Old Style" w:hAnsi="Bookman Old Style" w:cs="Arial"/>
          <w:sz w:val="27"/>
          <w:szCs w:val="27"/>
        </w:rPr>
      </w:pPr>
      <w:r>
        <w:rPr>
          <w:rFonts w:ascii="Bookman Old Style" w:hAnsi="Bookman Old Style" w:cs="Arial"/>
          <w:sz w:val="27"/>
          <w:szCs w:val="27"/>
          <w:lang w:val="es-MX"/>
        </w:rPr>
        <w:tab/>
        <w:t>Sobre el particular, la Sala ha clarificado que, por el objeto de la decisión de exclusi</w:t>
      </w:r>
      <w:r w:rsidR="00283F3B">
        <w:rPr>
          <w:rFonts w:ascii="Bookman Old Style" w:hAnsi="Bookman Old Style" w:cs="Arial"/>
          <w:sz w:val="27"/>
          <w:szCs w:val="27"/>
          <w:lang w:val="es-MX"/>
        </w:rPr>
        <w:t xml:space="preserve">ón, </w:t>
      </w:r>
      <w:r w:rsidR="00111226">
        <w:rPr>
          <w:rFonts w:ascii="Bookman Old Style" w:hAnsi="Bookman Old Style" w:cs="Arial"/>
          <w:sz w:val="27"/>
          <w:szCs w:val="27"/>
          <w:lang w:val="es-MX"/>
        </w:rPr>
        <w:t>el fallo condenatorio en contra del postulado</w:t>
      </w:r>
      <w:r>
        <w:rPr>
          <w:rFonts w:ascii="Bookman Old Style" w:hAnsi="Bookman Old Style" w:cs="Arial"/>
          <w:sz w:val="27"/>
          <w:szCs w:val="27"/>
          <w:lang w:val="es-MX"/>
        </w:rPr>
        <w:t xml:space="preserve"> no necesa</w:t>
      </w:r>
      <w:r w:rsidR="00111226">
        <w:rPr>
          <w:rFonts w:ascii="Bookman Old Style" w:hAnsi="Bookman Old Style" w:cs="Arial"/>
          <w:sz w:val="27"/>
          <w:szCs w:val="27"/>
          <w:lang w:val="es-MX"/>
        </w:rPr>
        <w:t>riamente debe estar ejecutoriado</w:t>
      </w:r>
      <w:r>
        <w:rPr>
          <w:rFonts w:ascii="Bookman Old Style" w:hAnsi="Bookman Old Style" w:cs="Arial"/>
          <w:sz w:val="27"/>
          <w:szCs w:val="27"/>
          <w:lang w:val="es-MX"/>
        </w:rPr>
        <w:t xml:space="preserve"> </w:t>
      </w:r>
      <w:r w:rsidRPr="004D2F2E">
        <w:rPr>
          <w:rFonts w:ascii="Bookman Old Style" w:hAnsi="Bookman Old Style" w:cs="Arial"/>
          <w:sz w:val="25"/>
          <w:szCs w:val="25"/>
        </w:rPr>
        <w:t>(</w:t>
      </w:r>
      <w:r>
        <w:rPr>
          <w:rFonts w:ascii="Bookman Old Style" w:hAnsi="Bookman Old Style" w:cs="Arial"/>
          <w:sz w:val="25"/>
          <w:szCs w:val="25"/>
        </w:rPr>
        <w:t xml:space="preserve">cfr. </w:t>
      </w:r>
      <w:r w:rsidRPr="004D2F2E">
        <w:rPr>
          <w:rFonts w:ascii="Bookman Old Style" w:hAnsi="Bookman Old Style" w:cs="Arial"/>
          <w:sz w:val="25"/>
          <w:szCs w:val="25"/>
        </w:rPr>
        <w:t xml:space="preserve">CSJ AP </w:t>
      </w:r>
      <w:r>
        <w:rPr>
          <w:rFonts w:ascii="Bookman Old Style" w:hAnsi="Bookman Old Style" w:cs="Arial"/>
          <w:sz w:val="25"/>
          <w:szCs w:val="25"/>
        </w:rPr>
        <w:t>31.08.2016</w:t>
      </w:r>
      <w:r w:rsidRPr="004D2F2E">
        <w:rPr>
          <w:rFonts w:ascii="Bookman Old Style" w:hAnsi="Bookman Old Style" w:cs="Arial"/>
          <w:sz w:val="25"/>
          <w:szCs w:val="25"/>
        </w:rPr>
        <w:t>, ra</w:t>
      </w:r>
      <w:r>
        <w:rPr>
          <w:rFonts w:ascii="Bookman Old Style" w:hAnsi="Bookman Old Style" w:cs="Arial"/>
          <w:sz w:val="25"/>
          <w:szCs w:val="25"/>
        </w:rPr>
        <w:t>d. 48</w:t>
      </w:r>
      <w:r w:rsidRPr="004D2F2E">
        <w:rPr>
          <w:rFonts w:ascii="Bookman Old Style" w:hAnsi="Bookman Old Style" w:cs="Arial"/>
          <w:sz w:val="25"/>
          <w:szCs w:val="25"/>
        </w:rPr>
        <w:t>.</w:t>
      </w:r>
      <w:r>
        <w:rPr>
          <w:rFonts w:ascii="Bookman Old Style" w:hAnsi="Bookman Old Style" w:cs="Arial"/>
          <w:sz w:val="25"/>
          <w:szCs w:val="25"/>
        </w:rPr>
        <w:t>603</w:t>
      </w:r>
      <w:r w:rsidRPr="004D2F2E">
        <w:rPr>
          <w:rFonts w:ascii="Bookman Old Style" w:hAnsi="Bookman Old Style" w:cs="Arial"/>
          <w:sz w:val="25"/>
          <w:szCs w:val="25"/>
        </w:rPr>
        <w:t>)</w:t>
      </w:r>
      <w:r>
        <w:rPr>
          <w:rFonts w:ascii="Bookman Old Style" w:hAnsi="Bookman Old Style" w:cs="Arial"/>
          <w:sz w:val="25"/>
          <w:szCs w:val="25"/>
        </w:rPr>
        <w:t>.</w:t>
      </w:r>
      <w:r w:rsidR="0084562D">
        <w:rPr>
          <w:rFonts w:ascii="Bookman Old Style" w:hAnsi="Bookman Old Style" w:cs="Arial"/>
          <w:sz w:val="27"/>
          <w:szCs w:val="27"/>
        </w:rPr>
        <w:t xml:space="preserve"> </w:t>
      </w:r>
      <w:r w:rsidR="00E06B2E">
        <w:rPr>
          <w:rFonts w:ascii="Bookman Old Style" w:hAnsi="Bookman Old Style" w:cs="Arial"/>
          <w:sz w:val="27"/>
          <w:szCs w:val="27"/>
        </w:rPr>
        <w:t>La exigencia de un</w:t>
      </w:r>
      <w:r w:rsidR="006F1C23">
        <w:rPr>
          <w:rFonts w:ascii="Bookman Old Style" w:hAnsi="Bookman Old Style" w:cs="Arial"/>
          <w:sz w:val="27"/>
          <w:szCs w:val="27"/>
        </w:rPr>
        <w:t>a sentencia</w:t>
      </w:r>
      <w:r w:rsidR="00E06B2E">
        <w:rPr>
          <w:rFonts w:ascii="Bookman Old Style" w:hAnsi="Bookman Old Style" w:cs="Arial"/>
          <w:sz w:val="27"/>
          <w:szCs w:val="27"/>
        </w:rPr>
        <w:t xml:space="preserve"> en firme, de acuerdo con el parágrafo 1º de la norma en mención, </w:t>
      </w:r>
      <w:r w:rsidR="0084562D">
        <w:rPr>
          <w:rFonts w:ascii="Bookman Old Style" w:hAnsi="Bookman Old Style" w:cs="Arial"/>
          <w:sz w:val="27"/>
          <w:szCs w:val="27"/>
        </w:rPr>
        <w:t xml:space="preserve">únicamente </w:t>
      </w:r>
      <w:r w:rsidR="00E06B2E">
        <w:rPr>
          <w:rFonts w:ascii="Bookman Old Style" w:hAnsi="Bookman Old Style" w:cs="Arial"/>
          <w:sz w:val="27"/>
          <w:szCs w:val="27"/>
        </w:rPr>
        <w:t xml:space="preserve">es oponible al Gobierno nacional a la hora de </w:t>
      </w:r>
      <w:r w:rsidR="00FB1808">
        <w:rPr>
          <w:rFonts w:ascii="Bookman Old Style" w:hAnsi="Bookman Old Style" w:cs="Arial"/>
          <w:sz w:val="27"/>
          <w:szCs w:val="27"/>
        </w:rPr>
        <w:t xml:space="preserve">ordenar mediante </w:t>
      </w:r>
      <w:r w:rsidR="00FB1808" w:rsidRPr="00852D03">
        <w:rPr>
          <w:rFonts w:ascii="Bookman Old Style" w:hAnsi="Bookman Old Style" w:cs="Arial"/>
          <w:i/>
          <w:sz w:val="27"/>
          <w:szCs w:val="27"/>
        </w:rPr>
        <w:t>acto</w:t>
      </w:r>
      <w:r w:rsidR="00FB1808">
        <w:rPr>
          <w:rFonts w:ascii="Bookman Old Style" w:hAnsi="Bookman Old Style" w:cs="Arial"/>
          <w:sz w:val="27"/>
          <w:szCs w:val="27"/>
        </w:rPr>
        <w:t xml:space="preserve"> </w:t>
      </w:r>
      <w:r w:rsidR="00FB1808" w:rsidRPr="00A5131C">
        <w:rPr>
          <w:rFonts w:ascii="Bookman Old Style" w:hAnsi="Bookman Old Style" w:cs="Arial"/>
          <w:i/>
          <w:sz w:val="27"/>
          <w:szCs w:val="27"/>
        </w:rPr>
        <w:t>administrativo</w:t>
      </w:r>
      <w:r w:rsidR="00FB1808">
        <w:rPr>
          <w:rFonts w:ascii="Bookman Old Style" w:hAnsi="Bookman Old Style" w:cs="Arial"/>
          <w:sz w:val="27"/>
          <w:szCs w:val="27"/>
        </w:rPr>
        <w:t xml:space="preserve"> la exclusión </w:t>
      </w:r>
      <w:r w:rsidR="00FB1808" w:rsidRPr="002E4DFC">
        <w:rPr>
          <w:rFonts w:ascii="Bookman Old Style" w:hAnsi="Bookman Old Style" w:cs="Arial"/>
          <w:i/>
          <w:sz w:val="27"/>
          <w:szCs w:val="27"/>
        </w:rPr>
        <w:t>definitiva</w:t>
      </w:r>
      <w:r w:rsidR="00FB1808">
        <w:rPr>
          <w:rFonts w:ascii="Bookman Old Style" w:hAnsi="Bookman Old Style" w:cs="Arial"/>
          <w:sz w:val="27"/>
          <w:szCs w:val="27"/>
        </w:rPr>
        <w:t xml:space="preserve"> de la lista de postulados, como consecuencia de la terminación del proceso penal especial de justicia y paz. </w:t>
      </w:r>
    </w:p>
    <w:p w14:paraId="03ED1582" w14:textId="77777777" w:rsidR="002E4DFC" w:rsidRDefault="002E4DFC" w:rsidP="000B616A">
      <w:pPr>
        <w:pStyle w:val="estilo1"/>
        <w:spacing w:before="0" w:after="0" w:line="360" w:lineRule="auto"/>
        <w:ind w:left="0" w:right="0"/>
        <w:jc w:val="both"/>
        <w:rPr>
          <w:rFonts w:ascii="Bookman Old Style" w:hAnsi="Bookman Old Style" w:cs="Arial"/>
          <w:sz w:val="27"/>
          <w:szCs w:val="27"/>
        </w:rPr>
      </w:pPr>
    </w:p>
    <w:p w14:paraId="6659181E" w14:textId="7E9A92A9" w:rsidR="00A512FF" w:rsidRDefault="002E4DFC" w:rsidP="000B616A">
      <w:pPr>
        <w:pStyle w:val="estilo1"/>
        <w:spacing w:before="0" w:after="0" w:line="360" w:lineRule="auto"/>
        <w:ind w:left="0" w:right="0"/>
        <w:jc w:val="both"/>
        <w:rPr>
          <w:rFonts w:ascii="Bookman Old Style" w:hAnsi="Bookman Old Style" w:cs="Arial"/>
          <w:sz w:val="27"/>
          <w:szCs w:val="27"/>
          <w:lang w:val="es-MX"/>
        </w:rPr>
      </w:pPr>
      <w:r>
        <w:rPr>
          <w:rFonts w:ascii="Bookman Old Style" w:hAnsi="Bookman Old Style" w:cs="Arial"/>
          <w:sz w:val="27"/>
          <w:szCs w:val="27"/>
        </w:rPr>
        <w:tab/>
        <w:t>Y tal reglamentación es del todo compatible con la garantía constitucional a la presunción de inocencia (art. 29 inc. 4</w:t>
      </w:r>
      <w:r w:rsidR="006C4C26">
        <w:rPr>
          <w:rFonts w:ascii="Bookman Old Style" w:hAnsi="Bookman Old Style" w:cs="Arial"/>
          <w:sz w:val="27"/>
          <w:szCs w:val="27"/>
        </w:rPr>
        <w:t xml:space="preserve">º Const. Pol.). De un lado, por cuanto, para los fines </w:t>
      </w:r>
      <w:r w:rsidR="006C4C26" w:rsidRPr="006C4C26">
        <w:rPr>
          <w:rFonts w:ascii="Bookman Old Style" w:hAnsi="Bookman Old Style" w:cs="Arial"/>
          <w:i/>
          <w:sz w:val="27"/>
          <w:szCs w:val="27"/>
        </w:rPr>
        <w:t>judiciales</w:t>
      </w:r>
      <w:r w:rsidR="006C4C26">
        <w:rPr>
          <w:rFonts w:ascii="Bookman Old Style" w:hAnsi="Bookman Old Style" w:cs="Arial"/>
          <w:i/>
          <w:sz w:val="27"/>
          <w:szCs w:val="27"/>
        </w:rPr>
        <w:t xml:space="preserve"> </w:t>
      </w:r>
      <w:r w:rsidR="006C4C26">
        <w:rPr>
          <w:rFonts w:ascii="Bookman Old Style" w:hAnsi="Bookman Old Style" w:cs="Arial"/>
          <w:sz w:val="27"/>
          <w:szCs w:val="27"/>
        </w:rPr>
        <w:t xml:space="preserve">del trámite de exclusión del proceso de justicia y paz, el postulado </w:t>
      </w:r>
      <w:r w:rsidR="003450E2">
        <w:rPr>
          <w:rFonts w:ascii="Bookman Old Style" w:hAnsi="Bookman Old Style" w:cs="Arial"/>
          <w:sz w:val="27"/>
          <w:szCs w:val="27"/>
        </w:rPr>
        <w:t xml:space="preserve">no se reputa culpable con la simple afirmación que la Fiscalía haga como sujeto procesal, sino con </w:t>
      </w:r>
      <w:r w:rsidR="00CB6986">
        <w:rPr>
          <w:rFonts w:ascii="Bookman Old Style" w:hAnsi="Bookman Old Style" w:cs="Arial"/>
          <w:sz w:val="27"/>
          <w:szCs w:val="27"/>
        </w:rPr>
        <w:t xml:space="preserve">base en una </w:t>
      </w:r>
      <w:r w:rsidR="006C4C26">
        <w:rPr>
          <w:rFonts w:ascii="Bookman Old Style" w:hAnsi="Bookman Old Style" w:cs="Arial"/>
          <w:sz w:val="27"/>
          <w:szCs w:val="27"/>
        </w:rPr>
        <w:t>declaración judicial de responsabilidad penal</w:t>
      </w:r>
      <w:r w:rsidR="00A1487A">
        <w:rPr>
          <w:rFonts w:ascii="Bookman Old Style" w:hAnsi="Bookman Old Style" w:cs="Arial"/>
          <w:sz w:val="27"/>
          <w:szCs w:val="27"/>
        </w:rPr>
        <w:t xml:space="preserve">, dictada por un juez o tribunal competente; </w:t>
      </w:r>
      <w:r w:rsidR="006C4C26">
        <w:rPr>
          <w:rFonts w:ascii="Bookman Old Style" w:hAnsi="Bookman Old Style" w:cs="Arial"/>
          <w:sz w:val="27"/>
          <w:szCs w:val="27"/>
        </w:rPr>
        <w:t xml:space="preserve">de otro, </w:t>
      </w:r>
      <w:r w:rsidR="003033BC">
        <w:rPr>
          <w:rFonts w:ascii="Bookman Old Style" w:hAnsi="Bookman Old Style" w:cs="Arial"/>
          <w:sz w:val="27"/>
          <w:szCs w:val="27"/>
        </w:rPr>
        <w:t xml:space="preserve">en la medida en que la reglamentación pertinente atiende </w:t>
      </w:r>
      <w:r w:rsidR="007F2E75">
        <w:rPr>
          <w:rFonts w:ascii="Bookman Old Style" w:hAnsi="Bookman Old Style" w:cs="Arial"/>
          <w:sz w:val="27"/>
          <w:szCs w:val="27"/>
        </w:rPr>
        <w:t xml:space="preserve">adecuadamente </w:t>
      </w:r>
      <w:r w:rsidR="003033BC">
        <w:rPr>
          <w:rFonts w:ascii="Bookman Old Style" w:hAnsi="Bookman Old Style" w:cs="Arial"/>
          <w:sz w:val="27"/>
          <w:szCs w:val="27"/>
        </w:rPr>
        <w:t xml:space="preserve">lo previsto </w:t>
      </w:r>
      <w:r w:rsidR="003033BC">
        <w:rPr>
          <w:rFonts w:ascii="Bookman Old Style" w:hAnsi="Bookman Old Style" w:cs="Arial"/>
          <w:sz w:val="27"/>
          <w:szCs w:val="27"/>
        </w:rPr>
        <w:lastRenderedPageBreak/>
        <w:t xml:space="preserve">en el art. 248 de la Constitución. </w:t>
      </w:r>
      <w:r w:rsidR="00CA2D38">
        <w:rPr>
          <w:rFonts w:ascii="Bookman Old Style" w:hAnsi="Bookman Old Style" w:cs="Arial"/>
          <w:sz w:val="27"/>
          <w:szCs w:val="27"/>
        </w:rPr>
        <w:t xml:space="preserve">Pues la </w:t>
      </w:r>
      <w:r w:rsidR="00CA2D38" w:rsidRPr="00AC1F86">
        <w:rPr>
          <w:rFonts w:ascii="Bookman Old Style" w:hAnsi="Bookman Old Style" w:cs="Arial"/>
          <w:i/>
          <w:sz w:val="27"/>
          <w:szCs w:val="27"/>
        </w:rPr>
        <w:t>irrevocable</w:t>
      </w:r>
      <w:r w:rsidR="00CA2D38">
        <w:rPr>
          <w:rFonts w:ascii="Bookman Old Style" w:hAnsi="Bookman Old Style" w:cs="Arial"/>
          <w:sz w:val="27"/>
          <w:szCs w:val="27"/>
        </w:rPr>
        <w:t xml:space="preserve"> expulsión</w:t>
      </w:r>
      <w:r w:rsidR="0009114E">
        <w:rPr>
          <w:rFonts w:ascii="Bookman Old Style" w:hAnsi="Bookman Old Style" w:cs="Arial"/>
          <w:sz w:val="27"/>
          <w:szCs w:val="27"/>
        </w:rPr>
        <w:t xml:space="preserve"> </w:t>
      </w:r>
      <w:r w:rsidR="00CA2D38">
        <w:rPr>
          <w:rFonts w:ascii="Bookman Old Style" w:hAnsi="Bookman Old Style" w:cs="Arial"/>
          <w:sz w:val="27"/>
          <w:szCs w:val="27"/>
        </w:rPr>
        <w:t>de la lista de postulados</w:t>
      </w:r>
      <w:r w:rsidR="00E25522">
        <w:rPr>
          <w:rFonts w:ascii="Bookman Old Style" w:hAnsi="Bookman Old Style" w:cs="Arial"/>
          <w:sz w:val="27"/>
          <w:szCs w:val="27"/>
        </w:rPr>
        <w:t xml:space="preserve"> por parte del Gobierno</w:t>
      </w:r>
      <w:r w:rsidR="0009114E">
        <w:rPr>
          <w:rFonts w:ascii="Bookman Old Style" w:hAnsi="Bookman Old Style" w:cs="Arial"/>
          <w:sz w:val="27"/>
          <w:szCs w:val="27"/>
        </w:rPr>
        <w:t xml:space="preserve"> </w:t>
      </w:r>
      <w:r w:rsidR="00CA2D38">
        <w:rPr>
          <w:rFonts w:ascii="Bookman Old Style" w:hAnsi="Bookman Old Style" w:cs="Arial"/>
          <w:sz w:val="27"/>
          <w:szCs w:val="27"/>
        </w:rPr>
        <w:t xml:space="preserve">sólo procede </w:t>
      </w:r>
      <w:r w:rsidR="00AC1F86">
        <w:rPr>
          <w:rFonts w:ascii="Bookman Old Style" w:hAnsi="Bookman Old Style" w:cs="Arial"/>
          <w:sz w:val="27"/>
          <w:szCs w:val="27"/>
        </w:rPr>
        <w:t>hasta tanto la sentencia cobre ejecutoria. Tanto así que, como lo clarifica el parágrafo 1º d</w:t>
      </w:r>
      <w:r w:rsidR="00AC1F86">
        <w:rPr>
          <w:rFonts w:ascii="Bookman Old Style" w:hAnsi="Bookman Old Style"/>
          <w:color w:val="auto"/>
          <w:sz w:val="27"/>
          <w:szCs w:val="27"/>
        </w:rPr>
        <w:t>el art. 2.2.5.1.2.3.</w:t>
      </w:r>
      <w:r w:rsidR="00AC1F86" w:rsidRPr="00324BCB">
        <w:rPr>
          <w:rFonts w:ascii="Bookman Old Style" w:hAnsi="Bookman Old Style"/>
          <w:color w:val="auto"/>
          <w:sz w:val="27"/>
          <w:szCs w:val="27"/>
        </w:rPr>
        <w:t>1</w:t>
      </w:r>
      <w:r w:rsidR="00111226">
        <w:rPr>
          <w:rFonts w:ascii="Bookman Old Style" w:hAnsi="Bookman Old Style"/>
          <w:color w:val="auto"/>
          <w:sz w:val="27"/>
          <w:szCs w:val="27"/>
        </w:rPr>
        <w:t xml:space="preserve"> </w:t>
      </w:r>
      <w:r w:rsidR="00AC1F86">
        <w:rPr>
          <w:rFonts w:ascii="Bookman Old Style" w:hAnsi="Bookman Old Style"/>
          <w:color w:val="auto"/>
          <w:sz w:val="27"/>
          <w:szCs w:val="27"/>
        </w:rPr>
        <w:t xml:space="preserve">del </w:t>
      </w:r>
      <w:r w:rsidR="00AC1F86">
        <w:rPr>
          <w:rFonts w:ascii="Bookman Old Style" w:hAnsi="Bookman Old Style" w:cs="Arial"/>
          <w:sz w:val="27"/>
          <w:szCs w:val="27"/>
          <w:lang w:val="es-MX"/>
        </w:rPr>
        <w:t>Decreto</w:t>
      </w:r>
      <w:r w:rsidR="004B4B7E">
        <w:rPr>
          <w:rFonts w:ascii="Bookman Old Style" w:hAnsi="Bookman Old Style" w:cs="Arial"/>
          <w:sz w:val="27"/>
          <w:szCs w:val="27"/>
          <w:lang w:val="es-MX"/>
        </w:rPr>
        <w:t xml:space="preserve"> 1069 de 2015</w:t>
      </w:r>
      <w:r w:rsidR="00AC1F86">
        <w:rPr>
          <w:rFonts w:ascii="Bookman Old Style" w:hAnsi="Bookman Old Style" w:cs="Arial"/>
          <w:sz w:val="27"/>
          <w:szCs w:val="27"/>
          <w:lang w:val="es-MX"/>
        </w:rPr>
        <w:t>,</w:t>
      </w:r>
      <w:r w:rsidR="00A512FF">
        <w:rPr>
          <w:rFonts w:ascii="Bookman Old Style" w:hAnsi="Bookman Old Style" w:cs="Arial"/>
          <w:sz w:val="27"/>
          <w:szCs w:val="27"/>
          <w:lang w:val="es-MX"/>
        </w:rPr>
        <w:t xml:space="preserve"> si se llegare</w:t>
      </w:r>
      <w:r w:rsidR="00AC1F86">
        <w:rPr>
          <w:rFonts w:ascii="Bookman Old Style" w:hAnsi="Bookman Old Style" w:cs="Arial"/>
          <w:sz w:val="27"/>
          <w:szCs w:val="27"/>
          <w:lang w:val="es-MX"/>
        </w:rPr>
        <w:t xml:space="preserve"> a proferir sentencia absolutoria de segunda instancia a favor del postulado, el fiscal debe solicitar a la Sala de Conocimiento la reactivación del proceso penal especial de justicia y paz en la fase en la qu</w:t>
      </w:r>
      <w:r w:rsidR="00E25522">
        <w:rPr>
          <w:rFonts w:ascii="Bookman Old Style" w:hAnsi="Bookman Old Style" w:cs="Arial"/>
          <w:sz w:val="27"/>
          <w:szCs w:val="27"/>
          <w:lang w:val="es-MX"/>
        </w:rPr>
        <w:t xml:space="preserve">e se encontrare al momento de su terminación. </w:t>
      </w:r>
    </w:p>
    <w:p w14:paraId="0FF54008" w14:textId="77777777" w:rsidR="00A512FF" w:rsidRDefault="00A512FF" w:rsidP="000B616A">
      <w:pPr>
        <w:pStyle w:val="estilo1"/>
        <w:spacing w:before="0" w:after="0" w:line="360" w:lineRule="auto"/>
        <w:ind w:left="0" w:right="0"/>
        <w:jc w:val="both"/>
        <w:rPr>
          <w:rFonts w:ascii="Bookman Old Style" w:hAnsi="Bookman Old Style" w:cs="Arial"/>
          <w:sz w:val="27"/>
          <w:szCs w:val="27"/>
          <w:lang w:val="es-MX"/>
        </w:rPr>
      </w:pPr>
    </w:p>
    <w:p w14:paraId="276E942C" w14:textId="356B9E70" w:rsidR="004C267B" w:rsidRDefault="00A512FF" w:rsidP="000B616A">
      <w:pPr>
        <w:pStyle w:val="estilo1"/>
        <w:spacing w:before="0" w:after="0" w:line="360" w:lineRule="auto"/>
        <w:ind w:left="0" w:right="0"/>
        <w:jc w:val="both"/>
        <w:rPr>
          <w:rFonts w:ascii="Bookman Old Style" w:hAnsi="Bookman Old Style" w:cs="Arial"/>
          <w:sz w:val="27"/>
          <w:szCs w:val="27"/>
          <w:lang w:val="es-MX"/>
        </w:rPr>
      </w:pPr>
      <w:r>
        <w:rPr>
          <w:rFonts w:ascii="Bookman Old Style" w:hAnsi="Bookman Old Style" w:cs="Arial"/>
          <w:sz w:val="27"/>
          <w:szCs w:val="27"/>
          <w:lang w:val="es-MX"/>
        </w:rPr>
        <w:tab/>
      </w:r>
      <w:r w:rsidR="00EE3238">
        <w:rPr>
          <w:rFonts w:ascii="Bookman Old Style" w:hAnsi="Bookman Old Style" w:cs="Arial"/>
          <w:sz w:val="27"/>
          <w:szCs w:val="27"/>
          <w:lang w:val="es-MX"/>
        </w:rPr>
        <w:t>Bien se ve, entonces,</w:t>
      </w:r>
      <w:r w:rsidR="001E5DA7">
        <w:rPr>
          <w:rFonts w:ascii="Bookman Old Style" w:hAnsi="Bookman Old Style" w:cs="Arial"/>
          <w:sz w:val="27"/>
          <w:szCs w:val="27"/>
          <w:lang w:val="es-MX"/>
        </w:rPr>
        <w:t xml:space="preserve"> que </w:t>
      </w:r>
      <w:r w:rsidR="00C600C7">
        <w:rPr>
          <w:rFonts w:ascii="Bookman Old Style" w:hAnsi="Bookman Old Style" w:cs="Arial"/>
          <w:sz w:val="27"/>
          <w:szCs w:val="27"/>
          <w:lang w:val="es-MX"/>
        </w:rPr>
        <w:t xml:space="preserve">en </w:t>
      </w:r>
      <w:r w:rsidR="002854DA">
        <w:rPr>
          <w:rFonts w:ascii="Bookman Old Style" w:hAnsi="Bookman Old Style" w:cs="Arial"/>
          <w:sz w:val="27"/>
          <w:szCs w:val="27"/>
          <w:lang w:val="es-MX"/>
        </w:rPr>
        <w:t>el</w:t>
      </w:r>
      <w:r w:rsidR="00C600C7">
        <w:rPr>
          <w:rFonts w:ascii="Bookman Old Style" w:hAnsi="Bookman Old Style" w:cs="Arial"/>
          <w:sz w:val="27"/>
          <w:szCs w:val="27"/>
          <w:lang w:val="es-MX"/>
        </w:rPr>
        <w:t xml:space="preserve"> marco del</w:t>
      </w:r>
      <w:r w:rsidR="002854DA">
        <w:rPr>
          <w:rFonts w:ascii="Bookman Old Style" w:hAnsi="Bookman Old Style" w:cs="Arial"/>
          <w:sz w:val="27"/>
          <w:szCs w:val="27"/>
          <w:lang w:val="es-MX"/>
        </w:rPr>
        <w:t xml:space="preserve"> debate concerniente a la exclusión del proceso </w:t>
      </w:r>
      <w:r w:rsidR="002854DA" w:rsidRPr="00EF3A72">
        <w:rPr>
          <w:rFonts w:ascii="Bookman Old Style" w:hAnsi="Bookman Old Style" w:cs="Arial"/>
          <w:sz w:val="27"/>
          <w:szCs w:val="27"/>
          <w:lang w:val="es-MX"/>
        </w:rPr>
        <w:t>penal</w:t>
      </w:r>
      <w:r w:rsidR="002854DA" w:rsidRPr="002854DA">
        <w:rPr>
          <w:rFonts w:ascii="Bookman Old Style" w:hAnsi="Bookman Old Style" w:cs="Arial"/>
          <w:i/>
          <w:sz w:val="27"/>
          <w:szCs w:val="27"/>
          <w:lang w:val="es-MX"/>
        </w:rPr>
        <w:t xml:space="preserve"> especial</w:t>
      </w:r>
      <w:r w:rsidR="002854DA">
        <w:rPr>
          <w:rFonts w:ascii="Bookman Old Style" w:hAnsi="Bookman Old Style" w:cs="Arial"/>
          <w:sz w:val="27"/>
          <w:szCs w:val="27"/>
          <w:lang w:val="es-MX"/>
        </w:rPr>
        <w:t xml:space="preserve"> de justicia y paz</w:t>
      </w:r>
      <w:r w:rsidR="00C600C7">
        <w:rPr>
          <w:rFonts w:ascii="Bookman Old Style" w:hAnsi="Bookman Old Style" w:cs="Arial"/>
          <w:sz w:val="27"/>
          <w:szCs w:val="27"/>
          <w:lang w:val="es-MX"/>
        </w:rPr>
        <w:t xml:space="preserve"> es del todo inadmisible el cuestionamiento de la responsabilidad penal declarada por </w:t>
      </w:r>
      <w:r w:rsidR="00C600C7" w:rsidRPr="00C66610">
        <w:rPr>
          <w:rFonts w:ascii="Bookman Old Style" w:hAnsi="Bookman Old Style" w:cs="Arial"/>
          <w:i/>
          <w:sz w:val="27"/>
          <w:szCs w:val="27"/>
          <w:lang w:val="es-MX"/>
        </w:rPr>
        <w:t>otra autoridad judicial</w:t>
      </w:r>
      <w:r w:rsidR="00BB61E3">
        <w:rPr>
          <w:rFonts w:ascii="Bookman Old Style" w:hAnsi="Bookman Old Style" w:cs="Arial"/>
          <w:sz w:val="27"/>
          <w:szCs w:val="27"/>
          <w:lang w:val="es-MX"/>
        </w:rPr>
        <w:t xml:space="preserve"> competente.</w:t>
      </w:r>
      <w:r w:rsidR="00EC4596">
        <w:rPr>
          <w:rFonts w:ascii="Bookman Old Style" w:hAnsi="Bookman Old Style" w:cs="Arial"/>
          <w:sz w:val="27"/>
          <w:szCs w:val="27"/>
          <w:lang w:val="es-MX"/>
        </w:rPr>
        <w:t xml:space="preserve"> Ello, por cuanto</w:t>
      </w:r>
      <w:r w:rsidR="004C267B">
        <w:rPr>
          <w:rFonts w:ascii="Bookman Old Style" w:hAnsi="Bookman Old Style" w:cs="Arial"/>
          <w:sz w:val="27"/>
          <w:szCs w:val="27"/>
          <w:lang w:val="es-MX"/>
        </w:rPr>
        <w:t xml:space="preserve">, en respeto del principio constitucional del juez natural (art. 29 inc. 2º Const. Pol.), </w:t>
      </w:r>
      <w:r w:rsidR="00F23034">
        <w:rPr>
          <w:rFonts w:ascii="Bookman Old Style" w:hAnsi="Bookman Old Style" w:cs="Arial"/>
          <w:sz w:val="27"/>
          <w:szCs w:val="27"/>
          <w:lang w:val="es-MX"/>
        </w:rPr>
        <w:t xml:space="preserve">el Tribunal de Justicia y Paz no es competente para decidir sobre la responsabilidad penal </w:t>
      </w:r>
      <w:r w:rsidR="00FE4B6C">
        <w:rPr>
          <w:rFonts w:ascii="Bookman Old Style" w:hAnsi="Bookman Old Style" w:cs="Arial"/>
          <w:sz w:val="27"/>
          <w:szCs w:val="27"/>
          <w:lang w:val="es-MX"/>
        </w:rPr>
        <w:t xml:space="preserve">de quien, con posterioridad a la desmovilización, incurre en conductas delictivas. </w:t>
      </w:r>
    </w:p>
    <w:p w14:paraId="2609FEFA" w14:textId="77777777" w:rsidR="009D50E1" w:rsidRDefault="009D50E1" w:rsidP="000B616A">
      <w:pPr>
        <w:pStyle w:val="estilo1"/>
        <w:spacing w:before="0" w:after="0" w:line="360" w:lineRule="auto"/>
        <w:ind w:left="0" w:right="0"/>
        <w:jc w:val="both"/>
        <w:rPr>
          <w:rFonts w:ascii="Bookman Old Style" w:hAnsi="Bookman Old Style" w:cs="Arial"/>
          <w:sz w:val="27"/>
          <w:szCs w:val="27"/>
          <w:lang w:val="es-MX"/>
        </w:rPr>
      </w:pPr>
    </w:p>
    <w:p w14:paraId="68879682" w14:textId="44CB2778" w:rsidR="009D50E1" w:rsidRDefault="009D50E1" w:rsidP="009D50E1">
      <w:pPr>
        <w:pStyle w:val="estilo1"/>
        <w:spacing w:before="0" w:after="0" w:line="360" w:lineRule="auto"/>
        <w:ind w:left="0" w:right="0"/>
        <w:jc w:val="both"/>
        <w:rPr>
          <w:rFonts w:ascii="Bookman Old Style" w:hAnsi="Bookman Old Style" w:cs="Arial"/>
          <w:sz w:val="27"/>
          <w:szCs w:val="27"/>
          <w:lang w:val="es-MX"/>
        </w:rPr>
      </w:pPr>
      <w:r>
        <w:rPr>
          <w:rFonts w:ascii="Bookman Old Style" w:hAnsi="Bookman Old Style" w:cs="Arial"/>
          <w:sz w:val="27"/>
          <w:szCs w:val="27"/>
          <w:lang w:val="es-MX"/>
        </w:rPr>
        <w:tab/>
        <w:t xml:space="preserve">En tanto mecanismo judicial de justicia transicional, el proceso de justicia y paz, acorde con el art. 2º de la Ley 975 de 2005, se aplica al procesamiento y sanción </w:t>
      </w:r>
      <w:r w:rsidRPr="009D50E1">
        <w:rPr>
          <w:rFonts w:ascii="Bookman Old Style" w:hAnsi="Bookman Old Style" w:cs="Arial"/>
          <w:sz w:val="25"/>
          <w:szCs w:val="25"/>
          <w:lang w:val="es-MX"/>
        </w:rPr>
        <w:t xml:space="preserve">-alternativa- </w:t>
      </w:r>
      <w:r>
        <w:rPr>
          <w:rFonts w:ascii="Bookman Old Style" w:hAnsi="Bookman Old Style" w:cs="Arial"/>
          <w:sz w:val="27"/>
          <w:szCs w:val="27"/>
          <w:lang w:val="es-MX"/>
        </w:rPr>
        <w:t xml:space="preserve">de las personas vinculadas a grupos organizados al margen de la ley, como autores o partícipes de hechos delictivos cometidos durante y con ocasión de la pertenencia a esos grupos, que hubieren decidido </w:t>
      </w:r>
      <w:r w:rsidRPr="009D50E1">
        <w:rPr>
          <w:rFonts w:ascii="Bookman Old Style" w:hAnsi="Bookman Old Style" w:cs="Arial"/>
          <w:i/>
          <w:sz w:val="27"/>
          <w:szCs w:val="27"/>
          <w:lang w:val="es-MX"/>
        </w:rPr>
        <w:t>desmovilizarse y contribuir decisivamente a la reconciliación nacional</w:t>
      </w:r>
      <w:r>
        <w:rPr>
          <w:rFonts w:ascii="Bookman Old Style" w:hAnsi="Bookman Old Style" w:cs="Arial"/>
          <w:sz w:val="27"/>
          <w:szCs w:val="27"/>
          <w:lang w:val="es-MX"/>
        </w:rPr>
        <w:t xml:space="preserve">. Y en ese contexto, a la luz del art. 3º ídem, la aplicación de la alternatividad penal depende, entre </w:t>
      </w:r>
      <w:r>
        <w:rPr>
          <w:rFonts w:ascii="Bookman Old Style" w:hAnsi="Bookman Old Style" w:cs="Arial"/>
          <w:sz w:val="27"/>
          <w:szCs w:val="27"/>
          <w:lang w:val="es-MX"/>
        </w:rPr>
        <w:lastRenderedPageBreak/>
        <w:t xml:space="preserve">otros factores, de la contribución del beneficiario a la consecución de la paz nacional y a su </w:t>
      </w:r>
      <w:r w:rsidRPr="00EF3A72">
        <w:rPr>
          <w:rFonts w:ascii="Bookman Old Style" w:hAnsi="Bookman Old Style" w:cs="Arial"/>
          <w:i/>
          <w:sz w:val="27"/>
          <w:szCs w:val="27"/>
          <w:lang w:val="es-MX"/>
        </w:rPr>
        <w:t>adecuada resocialización</w:t>
      </w:r>
      <w:r>
        <w:rPr>
          <w:rFonts w:ascii="Bookman Old Style" w:hAnsi="Bookman Old Style" w:cs="Arial"/>
          <w:sz w:val="27"/>
          <w:szCs w:val="27"/>
          <w:lang w:val="es-MX"/>
        </w:rPr>
        <w:t xml:space="preserve">. </w:t>
      </w:r>
    </w:p>
    <w:p w14:paraId="21EAF7F8" w14:textId="77777777" w:rsidR="00B45EDD" w:rsidRDefault="00B45EDD" w:rsidP="009D50E1">
      <w:pPr>
        <w:pStyle w:val="estilo1"/>
        <w:spacing w:before="0" w:after="0" w:line="360" w:lineRule="auto"/>
        <w:ind w:left="0" w:right="0"/>
        <w:jc w:val="both"/>
        <w:rPr>
          <w:rFonts w:ascii="Bookman Old Style" w:hAnsi="Bookman Old Style" w:cs="Arial"/>
          <w:sz w:val="27"/>
          <w:szCs w:val="27"/>
          <w:lang w:val="es-MX"/>
        </w:rPr>
      </w:pPr>
    </w:p>
    <w:p w14:paraId="1F7ED65E" w14:textId="4CEA4802" w:rsidR="00B45EDD" w:rsidRDefault="009D50E1" w:rsidP="009D50E1">
      <w:pPr>
        <w:pStyle w:val="estilo1"/>
        <w:spacing w:before="0" w:after="0" w:line="360" w:lineRule="auto"/>
        <w:ind w:left="0" w:right="0"/>
        <w:jc w:val="both"/>
        <w:rPr>
          <w:rFonts w:ascii="Bookman Old Style" w:hAnsi="Bookman Old Style" w:cs="Arial"/>
          <w:sz w:val="27"/>
          <w:szCs w:val="27"/>
          <w:lang w:val="es-MX"/>
        </w:rPr>
      </w:pPr>
      <w:r>
        <w:rPr>
          <w:rFonts w:ascii="Bookman Old Style" w:hAnsi="Bookman Old Style" w:cs="Arial"/>
          <w:sz w:val="27"/>
          <w:szCs w:val="27"/>
          <w:lang w:val="es-MX"/>
        </w:rPr>
        <w:tab/>
        <w:t>De ahí que</w:t>
      </w:r>
      <w:r w:rsidR="00B45EDD">
        <w:rPr>
          <w:rFonts w:ascii="Bookman Old Style" w:hAnsi="Bookman Old Style" w:cs="Arial"/>
          <w:sz w:val="27"/>
          <w:szCs w:val="27"/>
          <w:lang w:val="es-MX"/>
        </w:rPr>
        <w:t xml:space="preserve">, como se desprende del art. 10-4 de la Ley 975, </w:t>
      </w:r>
      <w:r>
        <w:rPr>
          <w:rFonts w:ascii="Bookman Old Style" w:hAnsi="Bookman Old Style" w:cs="Arial"/>
          <w:sz w:val="27"/>
          <w:szCs w:val="27"/>
          <w:lang w:val="es-MX"/>
        </w:rPr>
        <w:t xml:space="preserve">la concesión </w:t>
      </w:r>
      <w:r w:rsidR="00B45EDD">
        <w:rPr>
          <w:rFonts w:ascii="Bookman Old Style" w:hAnsi="Bookman Old Style" w:cs="Arial"/>
          <w:sz w:val="27"/>
          <w:szCs w:val="27"/>
          <w:lang w:val="es-MX"/>
        </w:rPr>
        <w:t xml:space="preserve">al postulado </w:t>
      </w:r>
      <w:r>
        <w:rPr>
          <w:rFonts w:ascii="Bookman Old Style" w:hAnsi="Bookman Old Style" w:cs="Arial"/>
          <w:sz w:val="27"/>
          <w:szCs w:val="27"/>
          <w:lang w:val="es-MX"/>
        </w:rPr>
        <w:t>de los beneficios inherentes a la pena alternativa est</w:t>
      </w:r>
      <w:r w:rsidR="00B45EDD">
        <w:rPr>
          <w:rFonts w:ascii="Bookman Old Style" w:hAnsi="Bookman Old Style" w:cs="Arial"/>
          <w:sz w:val="27"/>
          <w:szCs w:val="27"/>
          <w:lang w:val="es-MX"/>
        </w:rPr>
        <w:t>á condicionada</w:t>
      </w:r>
      <w:r>
        <w:rPr>
          <w:rFonts w:ascii="Bookman Old Style" w:hAnsi="Bookman Old Style" w:cs="Arial"/>
          <w:sz w:val="27"/>
          <w:szCs w:val="27"/>
          <w:lang w:val="es-MX"/>
        </w:rPr>
        <w:t xml:space="preserve"> al cumplimiento de algunas obligaciones, entre ellas, </w:t>
      </w:r>
      <w:r w:rsidR="00B45EDD">
        <w:rPr>
          <w:rFonts w:ascii="Bookman Old Style" w:hAnsi="Bookman Old Style" w:cs="Arial"/>
          <w:sz w:val="27"/>
          <w:szCs w:val="27"/>
          <w:lang w:val="es-MX"/>
        </w:rPr>
        <w:t xml:space="preserve">la de abstenerse de interferir el libre ejercicio de derechos y libertades públicas o incurrir en </w:t>
      </w:r>
      <w:r w:rsidR="00B45EDD">
        <w:rPr>
          <w:rFonts w:ascii="Bookman Old Style" w:hAnsi="Bookman Old Style" w:cs="Arial"/>
          <w:i/>
          <w:sz w:val="27"/>
          <w:szCs w:val="27"/>
          <w:lang w:val="es-MX"/>
        </w:rPr>
        <w:t xml:space="preserve">cualquier otra actividad delictiva </w:t>
      </w:r>
      <w:r w:rsidR="00B45EDD">
        <w:rPr>
          <w:rFonts w:ascii="Bookman Old Style" w:hAnsi="Bookman Old Style" w:cs="Arial"/>
          <w:sz w:val="27"/>
          <w:szCs w:val="27"/>
          <w:lang w:val="es-MX"/>
        </w:rPr>
        <w:t xml:space="preserve">(reincidencia).  </w:t>
      </w:r>
    </w:p>
    <w:p w14:paraId="52D95E13" w14:textId="77777777" w:rsidR="00B45EDD" w:rsidRDefault="00B45EDD" w:rsidP="009D50E1">
      <w:pPr>
        <w:pStyle w:val="estilo1"/>
        <w:spacing w:before="0" w:after="0" w:line="360" w:lineRule="auto"/>
        <w:ind w:left="0" w:right="0"/>
        <w:jc w:val="both"/>
        <w:rPr>
          <w:rFonts w:ascii="Bookman Old Style" w:hAnsi="Bookman Old Style" w:cs="Arial"/>
          <w:sz w:val="27"/>
          <w:szCs w:val="27"/>
          <w:lang w:val="es-MX"/>
        </w:rPr>
      </w:pPr>
    </w:p>
    <w:p w14:paraId="0F12218D" w14:textId="4312CE4B" w:rsidR="00D54838" w:rsidRDefault="00B45EDD" w:rsidP="009D50E1">
      <w:pPr>
        <w:pStyle w:val="estilo1"/>
        <w:spacing w:before="0" w:after="0" w:line="360" w:lineRule="auto"/>
        <w:ind w:left="0" w:right="0"/>
        <w:jc w:val="both"/>
        <w:rPr>
          <w:rFonts w:ascii="Bookman Old Style" w:hAnsi="Bookman Old Style" w:cs="Arial"/>
          <w:sz w:val="27"/>
          <w:szCs w:val="27"/>
          <w:lang w:val="es-MX"/>
        </w:rPr>
      </w:pPr>
      <w:r>
        <w:rPr>
          <w:rFonts w:ascii="Bookman Old Style" w:hAnsi="Bookman Old Style" w:cs="Arial"/>
          <w:sz w:val="27"/>
          <w:szCs w:val="27"/>
          <w:lang w:val="es-MX"/>
        </w:rPr>
        <w:tab/>
        <w:t xml:space="preserve">He ahí, entonces, el </w:t>
      </w:r>
      <w:r w:rsidR="00852D03" w:rsidRPr="00852D03">
        <w:rPr>
          <w:rFonts w:ascii="Bookman Old Style" w:hAnsi="Bookman Old Style" w:cs="Arial"/>
          <w:sz w:val="27"/>
          <w:szCs w:val="27"/>
          <w:lang w:val="es-MX"/>
        </w:rPr>
        <w:t>fundamento</w:t>
      </w:r>
      <w:r>
        <w:rPr>
          <w:rFonts w:ascii="Bookman Old Style" w:hAnsi="Bookman Old Style" w:cs="Arial"/>
          <w:sz w:val="27"/>
          <w:szCs w:val="27"/>
          <w:lang w:val="es-MX"/>
        </w:rPr>
        <w:t xml:space="preserve"> </w:t>
      </w:r>
      <w:r w:rsidR="00BD7AC5">
        <w:rPr>
          <w:rFonts w:ascii="Bookman Old Style" w:hAnsi="Bookman Old Style" w:cs="Arial"/>
          <w:sz w:val="27"/>
          <w:szCs w:val="27"/>
          <w:lang w:val="es-MX"/>
        </w:rPr>
        <w:t xml:space="preserve">sustancial </w:t>
      </w:r>
      <w:r>
        <w:rPr>
          <w:rFonts w:ascii="Bookman Old Style" w:hAnsi="Bookman Old Style" w:cs="Arial"/>
          <w:sz w:val="27"/>
          <w:szCs w:val="27"/>
          <w:lang w:val="es-MX"/>
        </w:rPr>
        <w:t>de la causal de terminación del proceso de justicia y paz</w:t>
      </w:r>
      <w:r w:rsidR="003C7448">
        <w:rPr>
          <w:rFonts w:ascii="Bookman Old Style" w:hAnsi="Bookman Old Style" w:cs="Arial"/>
          <w:sz w:val="27"/>
          <w:szCs w:val="27"/>
          <w:lang w:val="es-MX"/>
        </w:rPr>
        <w:t xml:space="preserve"> </w:t>
      </w:r>
      <w:r w:rsidR="0008106E">
        <w:rPr>
          <w:rFonts w:ascii="Bookman Old Style" w:hAnsi="Bookman Old Style" w:cs="Arial"/>
          <w:sz w:val="27"/>
          <w:szCs w:val="27"/>
          <w:lang w:val="es-MX"/>
        </w:rPr>
        <w:t>basada</w:t>
      </w:r>
      <w:r>
        <w:rPr>
          <w:rFonts w:ascii="Bookman Old Style" w:hAnsi="Bookman Old Style" w:cs="Arial"/>
          <w:sz w:val="27"/>
          <w:szCs w:val="27"/>
          <w:lang w:val="es-MX"/>
        </w:rPr>
        <w:t xml:space="preserve"> en que el postulado haya sido condenado por delitos dolosos cometidos con posterioridad a su desmovilización (art. 11 A num. 5º </w:t>
      </w:r>
      <w:r>
        <w:rPr>
          <w:rFonts w:ascii="Bookman Old Style" w:hAnsi="Bookman Old Style" w:cs="Arial"/>
          <w:i/>
          <w:sz w:val="27"/>
          <w:szCs w:val="27"/>
          <w:lang w:val="es-MX"/>
        </w:rPr>
        <w:t>ídem</w:t>
      </w:r>
      <w:r>
        <w:rPr>
          <w:rFonts w:ascii="Bookman Old Style" w:hAnsi="Bookman Old Style" w:cs="Arial"/>
          <w:sz w:val="27"/>
          <w:szCs w:val="27"/>
          <w:lang w:val="es-MX"/>
        </w:rPr>
        <w:t xml:space="preserve">). </w:t>
      </w:r>
      <w:r w:rsidR="00D558D1">
        <w:rPr>
          <w:rFonts w:ascii="Bookman Old Style" w:hAnsi="Bookman Old Style" w:cs="Arial"/>
          <w:sz w:val="27"/>
          <w:szCs w:val="27"/>
          <w:lang w:val="es-MX"/>
        </w:rPr>
        <w:t>De donde se sigue que</w:t>
      </w:r>
      <w:r w:rsidR="004B218D">
        <w:rPr>
          <w:rFonts w:ascii="Bookman Old Style" w:hAnsi="Bookman Old Style" w:cs="Arial"/>
          <w:sz w:val="27"/>
          <w:szCs w:val="27"/>
          <w:lang w:val="es-MX"/>
        </w:rPr>
        <w:t>,</w:t>
      </w:r>
      <w:r w:rsidR="00D558D1">
        <w:rPr>
          <w:rFonts w:ascii="Bookman Old Style" w:hAnsi="Bookman Old Style" w:cs="Arial"/>
          <w:sz w:val="27"/>
          <w:szCs w:val="27"/>
          <w:lang w:val="es-MX"/>
        </w:rPr>
        <w:t xml:space="preserve"> </w:t>
      </w:r>
      <w:r w:rsidR="00D558D1" w:rsidRPr="00852D03">
        <w:rPr>
          <w:rFonts w:ascii="Bookman Old Style" w:hAnsi="Bookman Old Style" w:cs="Arial"/>
          <w:i/>
          <w:sz w:val="27"/>
          <w:szCs w:val="27"/>
          <w:lang w:val="es-MX"/>
        </w:rPr>
        <w:t>en el trámite de exclusión</w:t>
      </w:r>
      <w:r w:rsidR="00D558D1">
        <w:rPr>
          <w:rFonts w:ascii="Bookman Old Style" w:hAnsi="Bookman Old Style" w:cs="Arial"/>
          <w:sz w:val="27"/>
          <w:szCs w:val="27"/>
          <w:lang w:val="es-MX"/>
        </w:rPr>
        <w:t xml:space="preserve">, </w:t>
      </w:r>
      <w:r w:rsidR="004B218D">
        <w:rPr>
          <w:rFonts w:ascii="Bookman Old Style" w:hAnsi="Bookman Old Style" w:cs="Arial"/>
          <w:sz w:val="27"/>
          <w:szCs w:val="27"/>
          <w:lang w:val="es-MX"/>
        </w:rPr>
        <w:t xml:space="preserve">el Tribunal de Justicia y Paz, </w:t>
      </w:r>
      <w:r w:rsidR="004B218D" w:rsidRPr="004B218D">
        <w:rPr>
          <w:rFonts w:ascii="Bookman Old Style" w:hAnsi="Bookman Old Style" w:cs="Arial"/>
          <w:i/>
          <w:sz w:val="27"/>
          <w:szCs w:val="27"/>
          <w:lang w:val="es-MX"/>
        </w:rPr>
        <w:t>en tanto juez transicional</w:t>
      </w:r>
      <w:r w:rsidR="004B218D">
        <w:rPr>
          <w:rFonts w:ascii="Bookman Old Style" w:hAnsi="Bookman Old Style" w:cs="Arial"/>
          <w:sz w:val="27"/>
          <w:szCs w:val="27"/>
          <w:lang w:val="es-MX"/>
        </w:rPr>
        <w:t xml:space="preserve">, únicamente debe verificar, respetando las determinaciones de las autoridades judiciales competentes para juzgar hechos delictivos posteriores a la desmovilización, si el postulado defraudó </w:t>
      </w:r>
      <w:r w:rsidR="00D54838">
        <w:rPr>
          <w:rFonts w:ascii="Bookman Old Style" w:hAnsi="Bookman Old Style" w:cs="Arial"/>
          <w:sz w:val="27"/>
          <w:szCs w:val="27"/>
          <w:lang w:val="es-MX"/>
        </w:rPr>
        <w:t xml:space="preserve">el compromiso de contribución a la paz y a su propia resocialización, mediante la incursión en nuevas conductas delictivas. </w:t>
      </w:r>
      <w:r w:rsidR="009B7E91">
        <w:rPr>
          <w:rFonts w:ascii="Bookman Old Style" w:hAnsi="Bookman Old Style" w:cs="Arial"/>
          <w:sz w:val="27"/>
          <w:szCs w:val="27"/>
          <w:lang w:val="es-MX"/>
        </w:rPr>
        <w:t>P</w:t>
      </w:r>
      <w:r w:rsidR="00D54838">
        <w:rPr>
          <w:rFonts w:ascii="Bookman Old Style" w:hAnsi="Bookman Old Style" w:cs="Arial"/>
          <w:sz w:val="27"/>
          <w:szCs w:val="27"/>
          <w:lang w:val="es-MX"/>
        </w:rPr>
        <w:t xml:space="preserve">ara ello, entonces, habrá de limitarse a examinar </w:t>
      </w:r>
      <w:r w:rsidR="00736BDE" w:rsidRPr="00736BDE">
        <w:rPr>
          <w:rFonts w:ascii="Bookman Old Style" w:hAnsi="Bookman Old Style" w:cs="Arial"/>
          <w:i/>
          <w:sz w:val="27"/>
          <w:szCs w:val="27"/>
          <w:lang w:val="es-MX"/>
        </w:rPr>
        <w:t>objetivamente</w:t>
      </w:r>
      <w:r w:rsidR="00736BDE">
        <w:rPr>
          <w:rFonts w:ascii="Bookman Old Style" w:hAnsi="Bookman Old Style" w:cs="Arial"/>
          <w:sz w:val="27"/>
          <w:szCs w:val="27"/>
          <w:lang w:val="es-MX"/>
        </w:rPr>
        <w:t xml:space="preserve"> </w:t>
      </w:r>
      <w:r w:rsidR="00D54838">
        <w:rPr>
          <w:rFonts w:ascii="Bookman Old Style" w:hAnsi="Bookman Old Style" w:cs="Arial"/>
          <w:sz w:val="27"/>
          <w:szCs w:val="27"/>
          <w:lang w:val="es-MX"/>
        </w:rPr>
        <w:t xml:space="preserve">si existe una sentencia condenatoria en contra del postulado, en relación con hechos posteriores a la desmovilización. </w:t>
      </w:r>
    </w:p>
    <w:p w14:paraId="144CD254" w14:textId="77777777" w:rsidR="009B7E91" w:rsidRDefault="009B7E91" w:rsidP="009D50E1">
      <w:pPr>
        <w:pStyle w:val="estilo1"/>
        <w:spacing w:before="0" w:after="0" w:line="360" w:lineRule="auto"/>
        <w:ind w:left="0" w:right="0"/>
        <w:jc w:val="both"/>
        <w:rPr>
          <w:rFonts w:ascii="Bookman Old Style" w:hAnsi="Bookman Old Style" w:cs="Arial"/>
          <w:sz w:val="27"/>
          <w:szCs w:val="27"/>
          <w:lang w:val="es-MX"/>
        </w:rPr>
      </w:pPr>
    </w:p>
    <w:p w14:paraId="51578306" w14:textId="0F4AA845" w:rsidR="00945C82" w:rsidRDefault="009B7E91" w:rsidP="000B616A">
      <w:pPr>
        <w:pStyle w:val="estilo1"/>
        <w:spacing w:before="0" w:after="0" w:line="360" w:lineRule="auto"/>
        <w:ind w:left="0" w:right="0"/>
        <w:jc w:val="both"/>
        <w:rPr>
          <w:rFonts w:ascii="Bookman Old Style" w:hAnsi="Bookman Old Style"/>
          <w:color w:val="auto"/>
          <w:spacing w:val="-3"/>
          <w:sz w:val="27"/>
          <w:szCs w:val="27"/>
        </w:rPr>
      </w:pPr>
      <w:r>
        <w:rPr>
          <w:rFonts w:ascii="Bookman Old Style" w:hAnsi="Bookman Old Style" w:cs="Arial"/>
          <w:sz w:val="27"/>
          <w:szCs w:val="27"/>
          <w:lang w:val="es-MX"/>
        </w:rPr>
        <w:tab/>
        <w:t>3.2</w:t>
      </w:r>
      <w:r>
        <w:rPr>
          <w:rFonts w:ascii="Bookman Old Style" w:hAnsi="Bookman Old Style" w:cs="Arial"/>
          <w:sz w:val="27"/>
          <w:szCs w:val="27"/>
          <w:lang w:val="es-MX"/>
        </w:rPr>
        <w:tab/>
        <w:t xml:space="preserve">En el presente caso, tal ejercicio no representa ninguna complejidad, </w:t>
      </w:r>
      <w:r w:rsidR="000B616A" w:rsidRPr="00F53990">
        <w:rPr>
          <w:rFonts w:ascii="Bookman Old Style" w:hAnsi="Bookman Old Style"/>
          <w:color w:val="auto"/>
          <w:sz w:val="27"/>
          <w:szCs w:val="27"/>
        </w:rPr>
        <w:t>por cuanto</w:t>
      </w:r>
      <w:r>
        <w:rPr>
          <w:rFonts w:ascii="Bookman Old Style" w:hAnsi="Bookman Old Style"/>
          <w:color w:val="auto"/>
          <w:sz w:val="27"/>
          <w:szCs w:val="27"/>
        </w:rPr>
        <w:t xml:space="preserve">, como se estableció en el auto impugnado, </w:t>
      </w:r>
      <w:r w:rsidR="000B616A" w:rsidRPr="00F53990">
        <w:rPr>
          <w:rFonts w:ascii="Bookman Old Style" w:hAnsi="Bookman Old Style"/>
          <w:color w:val="auto"/>
          <w:sz w:val="27"/>
          <w:szCs w:val="27"/>
        </w:rPr>
        <w:t>el acto de dejación colectiva de las armas tuvo lugar el</w:t>
      </w:r>
      <w:r w:rsidR="002375EA" w:rsidRPr="00F53990">
        <w:rPr>
          <w:rFonts w:ascii="Bookman Old Style" w:hAnsi="Bookman Old Style"/>
          <w:color w:val="auto"/>
          <w:sz w:val="27"/>
          <w:szCs w:val="27"/>
        </w:rPr>
        <w:t xml:space="preserve"> </w:t>
      </w:r>
      <w:r w:rsidR="002375EA" w:rsidRPr="009B7E91">
        <w:rPr>
          <w:rFonts w:ascii="Bookman Old Style" w:hAnsi="Bookman Old Style"/>
          <w:i/>
          <w:color w:val="auto"/>
          <w:spacing w:val="-3"/>
          <w:sz w:val="27"/>
          <w:szCs w:val="27"/>
        </w:rPr>
        <w:t>12 de diciembre de 2005</w:t>
      </w:r>
      <w:r w:rsidR="002375EA" w:rsidRPr="00F53990">
        <w:rPr>
          <w:rFonts w:ascii="Bookman Old Style" w:hAnsi="Bookman Old Style"/>
          <w:color w:val="auto"/>
          <w:spacing w:val="-3"/>
          <w:sz w:val="27"/>
          <w:szCs w:val="27"/>
        </w:rPr>
        <w:t xml:space="preserve">, mientras que los hechos por </w:t>
      </w:r>
      <w:r w:rsidR="002375EA" w:rsidRPr="00F53990">
        <w:rPr>
          <w:rFonts w:ascii="Bookman Old Style" w:hAnsi="Bookman Old Style"/>
          <w:color w:val="auto"/>
          <w:spacing w:val="-3"/>
          <w:sz w:val="27"/>
          <w:szCs w:val="27"/>
        </w:rPr>
        <w:lastRenderedPageBreak/>
        <w:t xml:space="preserve">los cuales </w:t>
      </w:r>
      <w:r>
        <w:rPr>
          <w:rFonts w:ascii="Bookman Old Style" w:hAnsi="Bookman Old Style"/>
          <w:color w:val="auto"/>
          <w:spacing w:val="-3"/>
          <w:sz w:val="27"/>
          <w:szCs w:val="27"/>
        </w:rPr>
        <w:t>CARLOS MARIO JIMÉNEZ NARANJO</w:t>
      </w:r>
      <w:r w:rsidR="002375EA" w:rsidRPr="00F53990">
        <w:rPr>
          <w:rFonts w:ascii="Bookman Old Style" w:hAnsi="Bookman Old Style"/>
          <w:color w:val="auto"/>
          <w:spacing w:val="-3"/>
          <w:sz w:val="27"/>
          <w:szCs w:val="27"/>
        </w:rPr>
        <w:t xml:space="preserve"> fue condenado</w:t>
      </w:r>
      <w:r w:rsidR="00945C82">
        <w:rPr>
          <w:rFonts w:ascii="Bookman Old Style" w:hAnsi="Bookman Old Style"/>
          <w:color w:val="auto"/>
          <w:spacing w:val="-3"/>
          <w:sz w:val="27"/>
          <w:szCs w:val="27"/>
        </w:rPr>
        <w:t>, según la sentencia del 9 de mayo de 2011, dictada por el Tribunal del Distrito Sur de los Estados Unidos-Distrito Sur de la Florida-División Miami</w:t>
      </w:r>
      <w:r w:rsidR="00945C82">
        <w:rPr>
          <w:rStyle w:val="Refdenotaalpie"/>
          <w:rFonts w:ascii="Bookman Old Style" w:hAnsi="Bookman Old Style"/>
          <w:color w:val="auto"/>
          <w:spacing w:val="-3"/>
          <w:sz w:val="27"/>
          <w:szCs w:val="27"/>
        </w:rPr>
        <w:footnoteReference w:id="11"/>
      </w:r>
      <w:r w:rsidR="00EF3A72">
        <w:rPr>
          <w:rFonts w:ascii="Bookman Old Style" w:hAnsi="Bookman Old Style"/>
          <w:color w:val="auto"/>
          <w:spacing w:val="-3"/>
          <w:sz w:val="27"/>
          <w:szCs w:val="27"/>
        </w:rPr>
        <w:t>,</w:t>
      </w:r>
      <w:r w:rsidR="00DE1A1C">
        <w:rPr>
          <w:rFonts w:ascii="Bookman Old Style" w:hAnsi="Bookman Old Style"/>
          <w:color w:val="auto"/>
          <w:spacing w:val="-3"/>
          <w:sz w:val="27"/>
          <w:szCs w:val="27"/>
        </w:rPr>
        <w:t xml:space="preserve"> se extendieron hasta </w:t>
      </w:r>
      <w:r w:rsidR="00DE1A1C" w:rsidRPr="00DE1A1C">
        <w:rPr>
          <w:rFonts w:ascii="Bookman Old Style" w:hAnsi="Bookman Old Style"/>
          <w:i/>
          <w:color w:val="auto"/>
          <w:spacing w:val="-3"/>
          <w:sz w:val="27"/>
          <w:szCs w:val="27"/>
        </w:rPr>
        <w:t>septiembre de 2007</w:t>
      </w:r>
      <w:r w:rsidR="00DE1A1C">
        <w:rPr>
          <w:rFonts w:ascii="Bookman Old Style" w:hAnsi="Bookman Old Style"/>
          <w:color w:val="auto"/>
          <w:spacing w:val="-3"/>
          <w:sz w:val="27"/>
          <w:szCs w:val="27"/>
        </w:rPr>
        <w:t xml:space="preserve">. </w:t>
      </w:r>
    </w:p>
    <w:p w14:paraId="3298A632" w14:textId="66FB7534" w:rsidR="002134D3" w:rsidRDefault="00DE1A1C" w:rsidP="000B616A">
      <w:pPr>
        <w:pStyle w:val="estilo1"/>
        <w:spacing w:before="0" w:after="0" w:line="360"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r>
      <w:r w:rsidRPr="00CA29D4">
        <w:rPr>
          <w:rFonts w:ascii="Bookman Old Style" w:hAnsi="Bookman Old Style"/>
          <w:color w:val="auto"/>
          <w:spacing w:val="-3"/>
          <w:sz w:val="27"/>
          <w:szCs w:val="27"/>
        </w:rPr>
        <w:t xml:space="preserve">En la mencionada </w:t>
      </w:r>
      <w:r w:rsidRPr="005E7FBC">
        <w:rPr>
          <w:rFonts w:ascii="Bookman Old Style" w:hAnsi="Bookman Old Style"/>
          <w:i/>
          <w:color w:val="auto"/>
          <w:spacing w:val="-3"/>
          <w:sz w:val="27"/>
          <w:szCs w:val="27"/>
        </w:rPr>
        <w:t>sentencia</w:t>
      </w:r>
      <w:r w:rsidR="00E16EE9" w:rsidRPr="00CA29D4">
        <w:rPr>
          <w:rStyle w:val="Refdenotaalpie"/>
          <w:rFonts w:ascii="Bookman Old Style" w:hAnsi="Bookman Old Style"/>
          <w:color w:val="auto"/>
          <w:spacing w:val="-3"/>
          <w:sz w:val="27"/>
          <w:szCs w:val="27"/>
        </w:rPr>
        <w:footnoteReference w:id="12"/>
      </w:r>
      <w:r w:rsidRPr="00CA29D4">
        <w:rPr>
          <w:rFonts w:ascii="Bookman Old Style" w:hAnsi="Bookman Old Style"/>
          <w:color w:val="auto"/>
          <w:spacing w:val="-3"/>
          <w:sz w:val="27"/>
          <w:szCs w:val="27"/>
        </w:rPr>
        <w:t xml:space="preserve"> </w:t>
      </w:r>
      <w:r>
        <w:rPr>
          <w:rFonts w:ascii="Bookman Old Style" w:hAnsi="Bookman Old Style"/>
          <w:color w:val="auto"/>
          <w:spacing w:val="-3"/>
          <w:sz w:val="27"/>
          <w:szCs w:val="27"/>
        </w:rPr>
        <w:t xml:space="preserve">se advierte que el señor JIMÉNEZ NARANJO se declaró culpable por </w:t>
      </w:r>
      <w:r w:rsidR="00186A20">
        <w:rPr>
          <w:rFonts w:ascii="Bookman Old Style" w:hAnsi="Bookman Old Style"/>
          <w:i/>
          <w:color w:val="auto"/>
          <w:spacing w:val="-3"/>
          <w:sz w:val="27"/>
          <w:szCs w:val="27"/>
        </w:rPr>
        <w:t>dos</w:t>
      </w:r>
      <w:r w:rsidRPr="003E62B5">
        <w:rPr>
          <w:rFonts w:ascii="Bookman Old Style" w:hAnsi="Bookman Old Style"/>
          <w:i/>
          <w:color w:val="auto"/>
          <w:spacing w:val="-3"/>
          <w:sz w:val="27"/>
          <w:szCs w:val="27"/>
        </w:rPr>
        <w:t xml:space="preserve"> cargos</w:t>
      </w:r>
      <w:r w:rsidR="00207D70">
        <w:rPr>
          <w:rFonts w:ascii="Bookman Old Style" w:hAnsi="Bookman Old Style"/>
          <w:i/>
          <w:color w:val="auto"/>
          <w:spacing w:val="-3"/>
          <w:sz w:val="27"/>
          <w:szCs w:val="27"/>
        </w:rPr>
        <w:t xml:space="preserve"> </w:t>
      </w:r>
      <w:r w:rsidR="00207D70">
        <w:rPr>
          <w:rFonts w:ascii="Bookman Old Style" w:hAnsi="Bookman Old Style"/>
          <w:color w:val="auto"/>
          <w:spacing w:val="-3"/>
          <w:sz w:val="27"/>
          <w:szCs w:val="27"/>
        </w:rPr>
        <w:t>(Nº 1 y 18)</w:t>
      </w:r>
      <w:r w:rsidR="00207D70">
        <w:rPr>
          <w:rStyle w:val="Refdenotaalpie"/>
          <w:rFonts w:ascii="Bookman Old Style" w:hAnsi="Bookman Old Style"/>
          <w:color w:val="auto"/>
          <w:spacing w:val="-3"/>
          <w:sz w:val="27"/>
          <w:szCs w:val="27"/>
        </w:rPr>
        <w:footnoteReference w:id="13"/>
      </w:r>
      <w:r w:rsidR="002134D3">
        <w:rPr>
          <w:rFonts w:ascii="Bookman Old Style" w:hAnsi="Bookman Old Style"/>
          <w:color w:val="auto"/>
          <w:spacing w:val="-3"/>
          <w:sz w:val="27"/>
          <w:szCs w:val="27"/>
        </w:rPr>
        <w:t>,</w:t>
      </w:r>
      <w:r w:rsidR="00CE00ED">
        <w:rPr>
          <w:rFonts w:ascii="Bookman Old Style" w:hAnsi="Bookman Old Style"/>
          <w:color w:val="auto"/>
          <w:spacing w:val="-3"/>
          <w:sz w:val="27"/>
          <w:szCs w:val="27"/>
        </w:rPr>
        <w:t xml:space="preserve"> </w:t>
      </w:r>
      <w:r w:rsidR="002134D3">
        <w:rPr>
          <w:rFonts w:ascii="Bookman Old Style" w:hAnsi="Bookman Old Style"/>
          <w:color w:val="auto"/>
          <w:spacing w:val="-3"/>
          <w:sz w:val="27"/>
          <w:szCs w:val="27"/>
        </w:rPr>
        <w:t>formulados en su contra por medio de la segunda adición al auto de acusación, dentro del caso unificado Nº1:07-20794-CR-LENARD-1</w:t>
      </w:r>
      <w:r w:rsidR="006A16B2">
        <w:rPr>
          <w:rStyle w:val="Refdenotaalpie"/>
          <w:rFonts w:ascii="Bookman Old Style" w:hAnsi="Bookman Old Style"/>
          <w:color w:val="auto"/>
          <w:spacing w:val="-3"/>
          <w:sz w:val="27"/>
          <w:szCs w:val="27"/>
        </w:rPr>
        <w:footnoteReference w:id="14"/>
      </w:r>
      <w:r w:rsidR="003A7FC7">
        <w:rPr>
          <w:rFonts w:ascii="Bookman Old Style" w:hAnsi="Bookman Old Style"/>
          <w:color w:val="auto"/>
          <w:spacing w:val="-3"/>
          <w:sz w:val="27"/>
          <w:szCs w:val="27"/>
        </w:rPr>
        <w:t xml:space="preserve">. </w:t>
      </w:r>
      <w:r w:rsidR="00F500E3">
        <w:rPr>
          <w:rFonts w:ascii="Bookman Old Style" w:hAnsi="Bookman Old Style"/>
          <w:color w:val="auto"/>
          <w:spacing w:val="-3"/>
          <w:sz w:val="27"/>
          <w:szCs w:val="27"/>
        </w:rPr>
        <w:t>Los cargos restantes</w:t>
      </w:r>
      <w:r w:rsidR="00CE00ED">
        <w:rPr>
          <w:rFonts w:ascii="Bookman Old Style" w:hAnsi="Bookman Old Style"/>
          <w:color w:val="auto"/>
          <w:spacing w:val="-3"/>
          <w:sz w:val="27"/>
          <w:szCs w:val="27"/>
        </w:rPr>
        <w:t xml:space="preserve"> </w:t>
      </w:r>
      <w:r w:rsidR="00F500E3" w:rsidRPr="00F500E3">
        <w:rPr>
          <w:rFonts w:ascii="Bookman Old Style" w:hAnsi="Bookman Old Style"/>
          <w:color w:val="auto"/>
          <w:spacing w:val="-3"/>
          <w:sz w:val="25"/>
          <w:szCs w:val="25"/>
        </w:rPr>
        <w:t>-</w:t>
      </w:r>
      <w:r w:rsidR="00CE00ED" w:rsidRPr="00F500E3">
        <w:rPr>
          <w:rFonts w:ascii="Bookman Old Style" w:hAnsi="Bookman Old Style"/>
          <w:color w:val="auto"/>
          <w:spacing w:val="-3"/>
          <w:sz w:val="25"/>
          <w:szCs w:val="25"/>
        </w:rPr>
        <w:t>por los</w:t>
      </w:r>
      <w:r w:rsidR="00F500E3" w:rsidRPr="00F500E3">
        <w:rPr>
          <w:rFonts w:ascii="Bookman Old Style" w:hAnsi="Bookman Old Style"/>
          <w:color w:val="auto"/>
          <w:spacing w:val="-3"/>
          <w:sz w:val="25"/>
          <w:szCs w:val="25"/>
        </w:rPr>
        <w:t xml:space="preserve"> cuales</w:t>
      </w:r>
      <w:r w:rsidR="00CE00ED" w:rsidRPr="00F500E3">
        <w:rPr>
          <w:rFonts w:ascii="Bookman Old Style" w:hAnsi="Bookman Old Style"/>
          <w:color w:val="auto"/>
          <w:spacing w:val="-3"/>
          <w:sz w:val="25"/>
          <w:szCs w:val="25"/>
        </w:rPr>
        <w:t xml:space="preserve"> </w:t>
      </w:r>
      <w:r w:rsidR="00F500E3" w:rsidRPr="00F500E3">
        <w:rPr>
          <w:rFonts w:ascii="Bookman Old Style" w:hAnsi="Bookman Old Style"/>
          <w:color w:val="auto"/>
          <w:spacing w:val="-3"/>
          <w:sz w:val="25"/>
          <w:szCs w:val="25"/>
        </w:rPr>
        <w:t xml:space="preserve">también </w:t>
      </w:r>
      <w:r w:rsidR="00CE00ED" w:rsidRPr="00F500E3">
        <w:rPr>
          <w:rFonts w:ascii="Bookman Old Style" w:hAnsi="Bookman Old Style"/>
          <w:color w:val="auto"/>
          <w:spacing w:val="-3"/>
          <w:sz w:val="25"/>
          <w:szCs w:val="25"/>
        </w:rPr>
        <w:t>se concedió la extradici</w:t>
      </w:r>
      <w:r w:rsidR="00F500E3" w:rsidRPr="00F500E3">
        <w:rPr>
          <w:rFonts w:ascii="Bookman Old Style" w:hAnsi="Bookman Old Style"/>
          <w:color w:val="auto"/>
          <w:spacing w:val="-3"/>
          <w:sz w:val="25"/>
          <w:szCs w:val="25"/>
        </w:rPr>
        <w:t>ón-</w:t>
      </w:r>
      <w:r w:rsidR="00CE00ED">
        <w:rPr>
          <w:rFonts w:ascii="Bookman Old Style" w:hAnsi="Bookman Old Style"/>
          <w:color w:val="auto"/>
          <w:spacing w:val="-3"/>
          <w:sz w:val="27"/>
          <w:szCs w:val="27"/>
        </w:rPr>
        <w:t xml:space="preserve"> fueron desestimados por moción del Gobierno de los EEUU. </w:t>
      </w:r>
    </w:p>
    <w:p w14:paraId="0224832D" w14:textId="77777777" w:rsidR="003A7FC7" w:rsidRDefault="003A7FC7" w:rsidP="000B616A">
      <w:pPr>
        <w:pStyle w:val="estilo1"/>
        <w:spacing w:before="0" w:after="0" w:line="360" w:lineRule="auto"/>
        <w:ind w:left="0" w:right="0"/>
        <w:jc w:val="both"/>
        <w:rPr>
          <w:rFonts w:ascii="Bookman Old Style" w:hAnsi="Bookman Old Style"/>
          <w:color w:val="auto"/>
          <w:spacing w:val="-3"/>
          <w:sz w:val="27"/>
          <w:szCs w:val="27"/>
        </w:rPr>
      </w:pPr>
    </w:p>
    <w:p w14:paraId="01C6D934" w14:textId="78F3E6ED" w:rsidR="00B25D8D" w:rsidRDefault="003A7FC7" w:rsidP="000B616A">
      <w:pPr>
        <w:pStyle w:val="estilo1"/>
        <w:spacing w:before="0" w:after="0" w:line="360"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t xml:space="preserve">El cargo Nº 1, </w:t>
      </w:r>
      <w:r w:rsidR="009A347A">
        <w:rPr>
          <w:rFonts w:ascii="Bookman Old Style" w:hAnsi="Bookman Old Style"/>
          <w:color w:val="auto"/>
          <w:spacing w:val="-3"/>
          <w:sz w:val="27"/>
          <w:szCs w:val="27"/>
        </w:rPr>
        <w:t>aclara el fallo</w:t>
      </w:r>
      <w:r>
        <w:rPr>
          <w:rFonts w:ascii="Bookman Old Style" w:hAnsi="Bookman Old Style"/>
          <w:color w:val="auto"/>
          <w:spacing w:val="-3"/>
          <w:sz w:val="27"/>
          <w:szCs w:val="27"/>
        </w:rPr>
        <w:t xml:space="preserve">, corresponde al de </w:t>
      </w:r>
      <w:r w:rsidR="00B25D8D">
        <w:rPr>
          <w:rFonts w:ascii="Bookman Old Style" w:hAnsi="Bookman Old Style"/>
          <w:color w:val="auto"/>
          <w:spacing w:val="-3"/>
          <w:sz w:val="27"/>
          <w:szCs w:val="27"/>
        </w:rPr>
        <w:t>concierto para importar cocaína a los Estados Unidos</w:t>
      </w:r>
      <w:r>
        <w:rPr>
          <w:rFonts w:ascii="Bookman Old Style" w:hAnsi="Bookman Old Style"/>
          <w:color w:val="auto"/>
          <w:spacing w:val="-3"/>
          <w:sz w:val="27"/>
          <w:szCs w:val="27"/>
        </w:rPr>
        <w:t xml:space="preserve"> </w:t>
      </w:r>
      <w:r w:rsidRPr="003A7FC7">
        <w:rPr>
          <w:rFonts w:ascii="Bookman Old Style" w:hAnsi="Bookman Old Style"/>
          <w:color w:val="auto"/>
          <w:spacing w:val="-3"/>
          <w:sz w:val="25"/>
          <w:szCs w:val="25"/>
        </w:rPr>
        <w:t>(violación del Título 21, Sección 963 del Código de los EEUU)</w:t>
      </w:r>
      <w:r w:rsidR="00B25D8D">
        <w:rPr>
          <w:rFonts w:ascii="Bookman Old Style" w:hAnsi="Bookman Old Style"/>
          <w:color w:val="auto"/>
          <w:spacing w:val="-3"/>
          <w:sz w:val="27"/>
          <w:szCs w:val="27"/>
        </w:rPr>
        <w:t xml:space="preserve">, </w:t>
      </w:r>
      <w:r w:rsidR="002C623C" w:rsidRPr="006D29A9">
        <w:rPr>
          <w:rFonts w:ascii="Bookman Old Style" w:hAnsi="Bookman Old Style"/>
          <w:i/>
          <w:color w:val="auto"/>
          <w:spacing w:val="-3"/>
          <w:sz w:val="27"/>
          <w:szCs w:val="27"/>
        </w:rPr>
        <w:t>con extensión temporal hasta el mes de</w:t>
      </w:r>
      <w:r w:rsidR="002C623C">
        <w:rPr>
          <w:rFonts w:ascii="Bookman Old Style" w:hAnsi="Bookman Old Style"/>
          <w:color w:val="auto"/>
          <w:spacing w:val="-3"/>
          <w:sz w:val="27"/>
          <w:szCs w:val="27"/>
        </w:rPr>
        <w:t xml:space="preserve"> </w:t>
      </w:r>
      <w:r w:rsidR="002C623C" w:rsidRPr="002C623C">
        <w:rPr>
          <w:rFonts w:ascii="Bookman Old Style" w:hAnsi="Bookman Old Style"/>
          <w:i/>
          <w:color w:val="auto"/>
          <w:spacing w:val="-3"/>
          <w:sz w:val="27"/>
          <w:szCs w:val="27"/>
        </w:rPr>
        <w:t>junio de 2007</w:t>
      </w:r>
      <w:r>
        <w:rPr>
          <w:rFonts w:ascii="Bookman Old Style" w:hAnsi="Bookman Old Style"/>
          <w:color w:val="auto"/>
          <w:spacing w:val="-3"/>
          <w:sz w:val="27"/>
          <w:szCs w:val="27"/>
        </w:rPr>
        <w:t>, mientras que el cargo Nº 18 equivale a</w:t>
      </w:r>
      <w:r w:rsidR="002C623C">
        <w:rPr>
          <w:rFonts w:ascii="Bookman Old Style" w:hAnsi="Bookman Old Style"/>
          <w:color w:val="auto"/>
          <w:spacing w:val="-3"/>
          <w:sz w:val="27"/>
          <w:szCs w:val="27"/>
        </w:rPr>
        <w:t xml:space="preserve"> concierto para estar en posesión con la intención de distribuir cocaína a bordo de un navío sujeto a la jurisdicción de los Estados Unidos</w:t>
      </w:r>
      <w:r>
        <w:rPr>
          <w:rFonts w:ascii="Bookman Old Style" w:hAnsi="Bookman Old Style"/>
          <w:color w:val="auto"/>
          <w:spacing w:val="-3"/>
          <w:sz w:val="27"/>
          <w:szCs w:val="27"/>
        </w:rPr>
        <w:t xml:space="preserve"> </w:t>
      </w:r>
      <w:r w:rsidRPr="003A7FC7">
        <w:rPr>
          <w:rFonts w:ascii="Bookman Old Style" w:hAnsi="Bookman Old Style"/>
          <w:color w:val="auto"/>
          <w:spacing w:val="-3"/>
          <w:sz w:val="25"/>
          <w:szCs w:val="25"/>
        </w:rPr>
        <w:t>(violación del T</w:t>
      </w:r>
      <w:r>
        <w:rPr>
          <w:rFonts w:ascii="Bookman Old Style" w:hAnsi="Bookman Old Style"/>
          <w:color w:val="auto"/>
          <w:spacing w:val="-3"/>
          <w:sz w:val="25"/>
          <w:szCs w:val="25"/>
        </w:rPr>
        <w:t>ítulo 46</w:t>
      </w:r>
      <w:r w:rsidRPr="003A7FC7">
        <w:rPr>
          <w:rFonts w:ascii="Bookman Old Style" w:hAnsi="Bookman Old Style"/>
          <w:color w:val="auto"/>
          <w:spacing w:val="-3"/>
          <w:sz w:val="25"/>
          <w:szCs w:val="25"/>
        </w:rPr>
        <w:t xml:space="preserve">, Sección </w:t>
      </w:r>
      <w:r>
        <w:rPr>
          <w:rFonts w:ascii="Bookman Old Style" w:hAnsi="Bookman Old Style"/>
          <w:color w:val="auto"/>
          <w:spacing w:val="-3"/>
          <w:sz w:val="25"/>
          <w:szCs w:val="25"/>
        </w:rPr>
        <w:t xml:space="preserve">7050 b </w:t>
      </w:r>
      <w:r>
        <w:rPr>
          <w:rFonts w:ascii="Bookman Old Style" w:hAnsi="Bookman Old Style"/>
          <w:i/>
          <w:color w:val="auto"/>
          <w:spacing w:val="-3"/>
          <w:sz w:val="25"/>
          <w:szCs w:val="25"/>
        </w:rPr>
        <w:t>ídem</w:t>
      </w:r>
      <w:r w:rsidRPr="003A7FC7">
        <w:rPr>
          <w:rFonts w:ascii="Bookman Old Style" w:hAnsi="Bookman Old Style"/>
          <w:color w:val="auto"/>
          <w:spacing w:val="-3"/>
          <w:sz w:val="25"/>
          <w:szCs w:val="25"/>
        </w:rPr>
        <w:t>)</w:t>
      </w:r>
      <w:r w:rsidR="002C623C">
        <w:rPr>
          <w:rFonts w:ascii="Bookman Old Style" w:hAnsi="Bookman Old Style"/>
          <w:color w:val="auto"/>
          <w:spacing w:val="-3"/>
          <w:sz w:val="27"/>
          <w:szCs w:val="27"/>
        </w:rPr>
        <w:t xml:space="preserve">, </w:t>
      </w:r>
      <w:r w:rsidR="002C623C" w:rsidRPr="006D29A9">
        <w:rPr>
          <w:rFonts w:ascii="Bookman Old Style" w:hAnsi="Bookman Old Style"/>
          <w:i/>
          <w:color w:val="auto"/>
          <w:spacing w:val="-3"/>
          <w:sz w:val="27"/>
          <w:szCs w:val="27"/>
        </w:rPr>
        <w:t>con prolongación hasta el</w:t>
      </w:r>
      <w:r w:rsidR="002C623C">
        <w:rPr>
          <w:rFonts w:ascii="Bookman Old Style" w:hAnsi="Bookman Old Style"/>
          <w:color w:val="auto"/>
          <w:spacing w:val="-3"/>
          <w:sz w:val="27"/>
          <w:szCs w:val="27"/>
        </w:rPr>
        <w:t xml:space="preserve"> </w:t>
      </w:r>
      <w:r w:rsidR="002C623C" w:rsidRPr="002C623C">
        <w:rPr>
          <w:rFonts w:ascii="Bookman Old Style" w:hAnsi="Bookman Old Style"/>
          <w:i/>
          <w:color w:val="auto"/>
          <w:spacing w:val="-3"/>
          <w:sz w:val="27"/>
          <w:szCs w:val="27"/>
        </w:rPr>
        <w:t>6 de septiembre de 2007</w:t>
      </w:r>
      <w:r w:rsidR="002C623C">
        <w:rPr>
          <w:rFonts w:ascii="Bookman Old Style" w:hAnsi="Bookman Old Style"/>
          <w:color w:val="auto"/>
          <w:spacing w:val="-3"/>
          <w:sz w:val="27"/>
          <w:szCs w:val="27"/>
        </w:rPr>
        <w:t xml:space="preserve">. </w:t>
      </w:r>
      <w:r w:rsidR="00B25D8D">
        <w:rPr>
          <w:rFonts w:ascii="Bookman Old Style" w:hAnsi="Bookman Old Style"/>
          <w:color w:val="auto"/>
          <w:spacing w:val="-3"/>
          <w:sz w:val="27"/>
          <w:szCs w:val="27"/>
        </w:rPr>
        <w:t xml:space="preserve"> </w:t>
      </w:r>
    </w:p>
    <w:p w14:paraId="3051BB0B" w14:textId="77777777" w:rsidR="005E7FBC" w:rsidRDefault="005E7FBC" w:rsidP="000B616A">
      <w:pPr>
        <w:pStyle w:val="estilo1"/>
        <w:spacing w:before="0" w:after="0" w:line="360" w:lineRule="auto"/>
        <w:ind w:left="0" w:right="0"/>
        <w:jc w:val="both"/>
        <w:rPr>
          <w:rFonts w:ascii="Bookman Old Style" w:hAnsi="Bookman Old Style"/>
          <w:color w:val="auto"/>
          <w:spacing w:val="-3"/>
          <w:sz w:val="27"/>
          <w:szCs w:val="27"/>
        </w:rPr>
      </w:pPr>
    </w:p>
    <w:p w14:paraId="4A817308" w14:textId="5DBAC491" w:rsidR="005E7FBC" w:rsidRDefault="005E7FBC" w:rsidP="005020E2">
      <w:pPr>
        <w:pStyle w:val="estilo1"/>
        <w:spacing w:before="0" w:after="0" w:line="336"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t>Consultada la segunda adición al auto de acusación, dentro del caso un</w:t>
      </w:r>
      <w:r w:rsidR="005020E2">
        <w:rPr>
          <w:rFonts w:ascii="Bookman Old Style" w:hAnsi="Bookman Old Style"/>
          <w:color w:val="auto"/>
          <w:spacing w:val="-3"/>
          <w:sz w:val="27"/>
          <w:szCs w:val="27"/>
        </w:rPr>
        <w:t>ificado Nº1:07-20794-CR-LENARD-1</w:t>
      </w:r>
      <w:r>
        <w:rPr>
          <w:rStyle w:val="Refdenotaalpie"/>
          <w:rFonts w:ascii="Bookman Old Style" w:hAnsi="Bookman Old Style"/>
          <w:color w:val="auto"/>
          <w:spacing w:val="-3"/>
          <w:sz w:val="27"/>
          <w:szCs w:val="27"/>
        </w:rPr>
        <w:footnoteReference w:id="15"/>
      </w:r>
      <w:r w:rsidR="005020E2">
        <w:rPr>
          <w:rFonts w:ascii="Bookman Old Style" w:hAnsi="Bookman Old Style"/>
          <w:color w:val="auto"/>
          <w:spacing w:val="-3"/>
          <w:sz w:val="27"/>
          <w:szCs w:val="27"/>
        </w:rPr>
        <w:t xml:space="preserve">, se </w:t>
      </w:r>
      <w:r w:rsidR="005020E2">
        <w:rPr>
          <w:rFonts w:ascii="Bookman Old Style" w:hAnsi="Bookman Old Style"/>
          <w:color w:val="auto"/>
          <w:spacing w:val="-3"/>
          <w:sz w:val="27"/>
          <w:szCs w:val="27"/>
        </w:rPr>
        <w:lastRenderedPageBreak/>
        <w:t xml:space="preserve">advierte que la imputación fáctica </w:t>
      </w:r>
      <w:r w:rsidR="005020E2" w:rsidRPr="005020E2">
        <w:rPr>
          <w:rFonts w:ascii="Bookman Old Style" w:hAnsi="Bookman Old Style"/>
          <w:i/>
          <w:color w:val="auto"/>
          <w:spacing w:val="-3"/>
          <w:sz w:val="27"/>
          <w:szCs w:val="27"/>
        </w:rPr>
        <w:t>acogida en la sentencia</w:t>
      </w:r>
      <w:r w:rsidR="005020E2">
        <w:rPr>
          <w:rFonts w:ascii="Bookman Old Style" w:hAnsi="Bookman Old Style"/>
          <w:color w:val="auto"/>
          <w:spacing w:val="-3"/>
          <w:sz w:val="27"/>
          <w:szCs w:val="27"/>
        </w:rPr>
        <w:t xml:space="preserve">, en razón de la alegación de culpabilidad manifestada por el aquí postulado, es del siguiente tenor: </w:t>
      </w:r>
    </w:p>
    <w:p w14:paraId="1E6C30B2" w14:textId="77777777" w:rsidR="005020E2" w:rsidRDefault="005020E2" w:rsidP="005020E2">
      <w:pPr>
        <w:spacing w:line="336" w:lineRule="auto"/>
        <w:ind w:left="709" w:right="618"/>
        <w:jc w:val="center"/>
        <w:rPr>
          <w:rFonts w:ascii="Bookman Old Style" w:hAnsi="Bookman Old Style"/>
          <w:b/>
          <w:sz w:val="24"/>
          <w:szCs w:val="24"/>
          <w:u w:val="single"/>
        </w:rPr>
      </w:pPr>
    </w:p>
    <w:p w14:paraId="4697A0EE" w14:textId="77777777" w:rsidR="005020E2" w:rsidRPr="00665342" w:rsidRDefault="005020E2" w:rsidP="00B2056A">
      <w:pPr>
        <w:ind w:left="709" w:right="618"/>
        <w:jc w:val="center"/>
        <w:rPr>
          <w:rFonts w:ascii="Bookman Old Style" w:hAnsi="Bookman Old Style"/>
          <w:b/>
          <w:sz w:val="24"/>
          <w:szCs w:val="24"/>
          <w:u w:val="single"/>
        </w:rPr>
      </w:pPr>
      <w:r w:rsidRPr="00665342">
        <w:rPr>
          <w:rFonts w:ascii="Bookman Old Style" w:hAnsi="Bookman Old Style"/>
          <w:b/>
          <w:sz w:val="24"/>
          <w:szCs w:val="24"/>
          <w:u w:val="single"/>
        </w:rPr>
        <w:t>CARGO 1</w:t>
      </w:r>
    </w:p>
    <w:p w14:paraId="4205ADD1" w14:textId="77777777" w:rsidR="005020E2" w:rsidRPr="00DA537D" w:rsidRDefault="005020E2" w:rsidP="00B2056A">
      <w:pPr>
        <w:ind w:left="709" w:right="618"/>
        <w:jc w:val="center"/>
        <w:rPr>
          <w:rFonts w:ascii="Bookman Old Style" w:hAnsi="Bookman Old Style"/>
          <w:b/>
          <w:sz w:val="24"/>
          <w:szCs w:val="24"/>
          <w:u w:val="single"/>
        </w:rPr>
      </w:pPr>
    </w:p>
    <w:p w14:paraId="6EE9FF38" w14:textId="77777777" w:rsidR="005020E2" w:rsidRPr="00DA537D" w:rsidRDefault="005020E2" w:rsidP="00B2056A">
      <w:pPr>
        <w:ind w:left="709" w:right="618"/>
        <w:jc w:val="both"/>
        <w:rPr>
          <w:rFonts w:ascii="Bookman Old Style" w:hAnsi="Bookman Old Style"/>
          <w:sz w:val="24"/>
          <w:szCs w:val="24"/>
        </w:rPr>
      </w:pPr>
      <w:r w:rsidRPr="00DA537D">
        <w:rPr>
          <w:rFonts w:ascii="Bookman Old Style" w:hAnsi="Bookman Old Style"/>
          <w:sz w:val="24"/>
          <w:szCs w:val="24"/>
        </w:rPr>
        <w:t xml:space="preserve">Comenzando aproximadamente en octubre de 2004 y </w:t>
      </w:r>
      <w:r w:rsidRPr="00DA537D">
        <w:rPr>
          <w:rFonts w:ascii="Bookman Old Style" w:hAnsi="Bookman Old Style"/>
          <w:b/>
          <w:i/>
          <w:sz w:val="24"/>
          <w:szCs w:val="24"/>
        </w:rPr>
        <w:t>continuando aproximadamente hasta junio de 2007</w:t>
      </w:r>
      <w:r w:rsidRPr="00DA537D">
        <w:rPr>
          <w:rFonts w:ascii="Bookman Old Style" w:hAnsi="Bookman Old Style"/>
          <w:sz w:val="24"/>
          <w:szCs w:val="24"/>
        </w:rPr>
        <w:t>, siendo las fechas exactas desconocidas por el Gran Jurado, en el Condado de Miami-Dade, en el Distrito Sur de Florida, y en otros lugares, los acusados</w:t>
      </w:r>
      <w:r>
        <w:rPr>
          <w:rFonts w:ascii="Bookman Old Style" w:hAnsi="Bookman Old Style"/>
          <w:sz w:val="24"/>
          <w:szCs w:val="24"/>
        </w:rPr>
        <w:t xml:space="preserve"> CARLOS MARIO JIMÉNEZ NARANJO, alias “Macaco”, “La Gerencia”, “Javier Montañés”, “Carlos Mario Jiménez Mejía” o “Macaco Montañés”, y […] </w:t>
      </w:r>
      <w:r w:rsidRPr="00DA537D">
        <w:rPr>
          <w:rFonts w:ascii="Bookman Old Style" w:hAnsi="Bookman Old Style"/>
          <w:sz w:val="24"/>
          <w:szCs w:val="24"/>
        </w:rPr>
        <w:t>a sabiendas e intencionalmente se combinaron, confabularon, concertaron y acordaron el uno con el otro y con otras personas, conocidas y desconocidas por el Gran Jurado, para importar de los Estados Unidos de un lugar fuera del mismo una sustancia controlada, en violación del Título 21, Código de los Estados Unidos, Sección 952(a); todo en violación del Título 21, Código de los Estados Unidos, Sección 963.</w:t>
      </w:r>
    </w:p>
    <w:p w14:paraId="21F0EE72" w14:textId="77777777" w:rsidR="005020E2" w:rsidRPr="00DA537D" w:rsidRDefault="005020E2" w:rsidP="00B2056A">
      <w:pPr>
        <w:ind w:left="709" w:right="618"/>
        <w:jc w:val="both"/>
        <w:rPr>
          <w:rFonts w:ascii="Bookman Old Style" w:hAnsi="Bookman Old Style"/>
          <w:sz w:val="24"/>
          <w:szCs w:val="24"/>
        </w:rPr>
      </w:pPr>
    </w:p>
    <w:p w14:paraId="32F862DB" w14:textId="6113D3C1" w:rsidR="005020E2" w:rsidRPr="00DA537D" w:rsidRDefault="005020E2" w:rsidP="00B2056A">
      <w:pPr>
        <w:ind w:left="709" w:right="618"/>
        <w:jc w:val="both"/>
        <w:rPr>
          <w:rFonts w:ascii="Bookman Old Style" w:hAnsi="Bookman Old Style"/>
          <w:sz w:val="24"/>
          <w:szCs w:val="24"/>
        </w:rPr>
      </w:pPr>
      <w:r w:rsidRPr="00DA537D">
        <w:rPr>
          <w:rFonts w:ascii="Bookman Old Style" w:hAnsi="Bookman Old Style"/>
          <w:sz w:val="24"/>
          <w:szCs w:val="24"/>
        </w:rPr>
        <w:t xml:space="preserve">De acuerdo con el Título 21, Código de los Estados Unidos, sección 960(b)(1)(B), se alega, además, que esta violación implicó cinco (5) kilogramos o más de una mezcla y sustancia que contenía una cantidad detectable de cocaína. </w:t>
      </w:r>
    </w:p>
    <w:p w14:paraId="7DF5446C" w14:textId="77777777" w:rsidR="005020E2" w:rsidRPr="00DA537D" w:rsidRDefault="005020E2" w:rsidP="00B2056A">
      <w:pPr>
        <w:pStyle w:val="estilo1"/>
        <w:spacing w:before="0" w:after="0" w:line="240" w:lineRule="auto"/>
        <w:ind w:left="709" w:right="618"/>
        <w:jc w:val="both"/>
        <w:rPr>
          <w:rFonts w:ascii="Bookman Old Style" w:hAnsi="Bookman Old Style"/>
          <w:color w:val="auto"/>
          <w:spacing w:val="-3"/>
          <w:sz w:val="24"/>
          <w:szCs w:val="24"/>
        </w:rPr>
      </w:pPr>
      <w:r w:rsidRPr="00DA537D">
        <w:rPr>
          <w:rFonts w:ascii="Bookman Old Style" w:hAnsi="Bookman Old Style"/>
          <w:color w:val="auto"/>
          <w:spacing w:val="-3"/>
          <w:sz w:val="24"/>
          <w:szCs w:val="24"/>
        </w:rPr>
        <w:t xml:space="preserve">  </w:t>
      </w:r>
    </w:p>
    <w:p w14:paraId="0ECF4782" w14:textId="77777777" w:rsidR="005020E2" w:rsidRPr="00DA537D" w:rsidRDefault="005020E2" w:rsidP="00B2056A">
      <w:pPr>
        <w:ind w:left="709" w:right="618"/>
        <w:jc w:val="center"/>
        <w:rPr>
          <w:rFonts w:ascii="Bookman Old Style" w:hAnsi="Bookman Old Style"/>
          <w:b/>
          <w:sz w:val="24"/>
          <w:szCs w:val="24"/>
          <w:u w:val="single"/>
        </w:rPr>
      </w:pPr>
      <w:r w:rsidRPr="00DA537D">
        <w:rPr>
          <w:rFonts w:ascii="Bookman Old Style" w:hAnsi="Bookman Old Style"/>
          <w:b/>
          <w:sz w:val="24"/>
          <w:szCs w:val="24"/>
          <w:u w:val="single"/>
        </w:rPr>
        <w:t>CARGO 18</w:t>
      </w:r>
    </w:p>
    <w:p w14:paraId="40F6FC8D" w14:textId="77777777" w:rsidR="005020E2" w:rsidRPr="00DA537D" w:rsidRDefault="005020E2" w:rsidP="00B2056A">
      <w:pPr>
        <w:ind w:left="709" w:right="618"/>
        <w:jc w:val="center"/>
        <w:rPr>
          <w:rFonts w:ascii="Bookman Old Style" w:hAnsi="Bookman Old Style"/>
          <w:b/>
          <w:sz w:val="24"/>
          <w:szCs w:val="24"/>
          <w:u w:val="single"/>
        </w:rPr>
      </w:pPr>
    </w:p>
    <w:p w14:paraId="5E437B26" w14:textId="77777777" w:rsidR="005020E2" w:rsidRPr="00DA537D" w:rsidRDefault="005020E2" w:rsidP="00B2056A">
      <w:pPr>
        <w:ind w:left="709" w:right="618"/>
        <w:jc w:val="both"/>
        <w:rPr>
          <w:rFonts w:ascii="Bookman Old Style" w:hAnsi="Bookman Old Style"/>
          <w:sz w:val="24"/>
          <w:szCs w:val="24"/>
        </w:rPr>
      </w:pPr>
      <w:r w:rsidRPr="005020E2">
        <w:rPr>
          <w:rFonts w:ascii="Bookman Old Style" w:hAnsi="Bookman Old Style"/>
          <w:b/>
          <w:i/>
          <w:sz w:val="24"/>
          <w:szCs w:val="24"/>
        </w:rPr>
        <w:t>Comenzando por lo menos tan temprano como en el mes de septiembre de 2006</w:t>
      </w:r>
      <w:r w:rsidRPr="00665342">
        <w:rPr>
          <w:rFonts w:ascii="Bookman Old Style" w:hAnsi="Bookman Old Style"/>
          <w:sz w:val="24"/>
          <w:szCs w:val="24"/>
        </w:rPr>
        <w:t xml:space="preserve">, la fecha exacta siendo desconocida por el Gran Jurado, y </w:t>
      </w:r>
      <w:r w:rsidRPr="005020E2">
        <w:rPr>
          <w:rFonts w:ascii="Bookman Old Style" w:hAnsi="Bookman Old Style"/>
          <w:b/>
          <w:i/>
          <w:sz w:val="24"/>
          <w:szCs w:val="24"/>
        </w:rPr>
        <w:t>continuando hasta por lo menos aproximadamente el 6 de septiembre de 2007</w:t>
      </w:r>
      <w:r w:rsidRPr="00DA537D">
        <w:rPr>
          <w:rFonts w:ascii="Bookman Old Style" w:hAnsi="Bookman Old Style"/>
          <w:sz w:val="24"/>
          <w:szCs w:val="24"/>
        </w:rPr>
        <w:t>, los acusados</w:t>
      </w:r>
      <w:r>
        <w:rPr>
          <w:rFonts w:ascii="Bookman Old Style" w:hAnsi="Bookman Old Style"/>
          <w:sz w:val="24"/>
          <w:szCs w:val="24"/>
        </w:rPr>
        <w:t xml:space="preserve"> CARLOS MARIO JIMÉNEZ NARANJO, alias “Macaco”, “La Gerencia”, “Javier Montañés”, “Carlos Mario Jiménez Mejía” o “Macaco Montañés”, y […] </w:t>
      </w:r>
      <w:r w:rsidRPr="00DA537D">
        <w:rPr>
          <w:rFonts w:ascii="Bookman Old Style" w:hAnsi="Bookman Old Style"/>
          <w:sz w:val="24"/>
          <w:szCs w:val="24"/>
        </w:rPr>
        <w:t>a sabiendas e intencionalmente se combinaron, confabularon, concertaron y acordaron los unos con los otros y con otras personas, conocidas y desconocidas por el Gran Jurado, poseer con la intención de distribuir una sustancia controlada a bordo de una embarcación sujeta a la jurisdicción de los Estados Unidos, en violación del Título 46, Código de los Estados Unidos, Sección 70503(a); todo en violación del Título 46, Código de los Estados Unidos, Sección 70506(b).</w:t>
      </w:r>
    </w:p>
    <w:p w14:paraId="5DD8370C" w14:textId="77777777" w:rsidR="005020E2" w:rsidRPr="00DA537D" w:rsidRDefault="005020E2" w:rsidP="00B2056A">
      <w:pPr>
        <w:ind w:left="709" w:right="618"/>
        <w:jc w:val="both"/>
        <w:rPr>
          <w:rFonts w:ascii="Bookman Old Style" w:hAnsi="Bookman Old Style"/>
          <w:sz w:val="24"/>
          <w:szCs w:val="24"/>
        </w:rPr>
      </w:pPr>
    </w:p>
    <w:p w14:paraId="4AC4A3D2" w14:textId="77777777" w:rsidR="005020E2" w:rsidRPr="00DA537D" w:rsidRDefault="005020E2" w:rsidP="00B2056A">
      <w:pPr>
        <w:ind w:left="709" w:right="618"/>
        <w:jc w:val="both"/>
        <w:rPr>
          <w:rFonts w:ascii="Bookman Old Style" w:hAnsi="Bookman Old Style"/>
          <w:sz w:val="24"/>
          <w:szCs w:val="24"/>
        </w:rPr>
      </w:pPr>
      <w:r w:rsidRPr="00DA537D">
        <w:rPr>
          <w:rFonts w:ascii="Bookman Old Style" w:hAnsi="Bookman Old Style"/>
          <w:sz w:val="24"/>
          <w:szCs w:val="24"/>
        </w:rPr>
        <w:lastRenderedPageBreak/>
        <w:t>De acuerdo con el Título 46, Código de los Estados Unidos, Sección 70506(a) y el Título 21, Código de los Estados Unidos, Sección 960(b)(1)(B), se alega, además, que esta violación implicó cinco (5) kilogramos o más de una mezcla y sustancia que contenía una cantidad detectable de cocaína.</w:t>
      </w:r>
    </w:p>
    <w:p w14:paraId="10F6483D" w14:textId="77777777" w:rsidR="005020E2" w:rsidRPr="005020E2" w:rsidRDefault="005020E2" w:rsidP="000B616A">
      <w:pPr>
        <w:pStyle w:val="estilo1"/>
        <w:spacing w:before="0" w:after="0" w:line="360" w:lineRule="auto"/>
        <w:ind w:left="0" w:right="0"/>
        <w:jc w:val="both"/>
        <w:rPr>
          <w:rFonts w:ascii="Bookman Old Style" w:hAnsi="Bookman Old Style"/>
          <w:color w:val="auto"/>
          <w:spacing w:val="-3"/>
          <w:sz w:val="27"/>
          <w:szCs w:val="27"/>
          <w:lang w:val="es-ES"/>
        </w:rPr>
      </w:pPr>
    </w:p>
    <w:p w14:paraId="533E0EEC" w14:textId="12BB3D29" w:rsidR="005020E2" w:rsidRDefault="00B2056A" w:rsidP="00B2056A">
      <w:pPr>
        <w:pStyle w:val="estilo1"/>
        <w:spacing w:before="0" w:after="0" w:line="336"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t xml:space="preserve">Ahora, como se advierte en el acta de la audiencia de sentencia, presidida por la Juez de Distrito de los Estados Unidos Joan A. Lenard, del Tribunal del Distrito </w:t>
      </w:r>
      <w:r w:rsidR="00DB7E34">
        <w:rPr>
          <w:rFonts w:ascii="Bookman Old Style" w:hAnsi="Bookman Old Style"/>
          <w:color w:val="auto"/>
          <w:spacing w:val="-3"/>
          <w:sz w:val="27"/>
          <w:szCs w:val="27"/>
        </w:rPr>
        <w:t>Sur de la Florida-</w:t>
      </w:r>
      <w:r>
        <w:rPr>
          <w:rFonts w:ascii="Bookman Old Style" w:hAnsi="Bookman Old Style"/>
          <w:color w:val="auto"/>
          <w:spacing w:val="-3"/>
          <w:sz w:val="27"/>
          <w:szCs w:val="27"/>
        </w:rPr>
        <w:t>División Miami, realizada el 9 de mayo de</w:t>
      </w:r>
      <w:r w:rsidR="00E86109">
        <w:rPr>
          <w:rFonts w:ascii="Bookman Old Style" w:hAnsi="Bookman Old Style"/>
          <w:color w:val="auto"/>
          <w:spacing w:val="-3"/>
          <w:sz w:val="27"/>
          <w:szCs w:val="27"/>
        </w:rPr>
        <w:t xml:space="preserve"> 2011, la condena a 396 meses de prisión en contra del señor JIMÉNEZ NARANJO se impuso con fundamento en </w:t>
      </w:r>
      <w:r w:rsidR="00E86109" w:rsidRPr="00073C92">
        <w:rPr>
          <w:rFonts w:ascii="Bookman Old Style" w:hAnsi="Bookman Old Style"/>
          <w:i/>
          <w:color w:val="auto"/>
          <w:spacing w:val="-3"/>
          <w:sz w:val="27"/>
          <w:szCs w:val="27"/>
        </w:rPr>
        <w:t>los hechos constitutivos</w:t>
      </w:r>
      <w:r w:rsidR="00E86109">
        <w:rPr>
          <w:rFonts w:ascii="Bookman Old Style" w:hAnsi="Bookman Old Style"/>
          <w:color w:val="auto"/>
          <w:spacing w:val="-3"/>
          <w:sz w:val="27"/>
          <w:szCs w:val="27"/>
        </w:rPr>
        <w:t xml:space="preserve"> </w:t>
      </w:r>
      <w:r w:rsidR="00073C92">
        <w:rPr>
          <w:rFonts w:ascii="Bookman Old Style" w:hAnsi="Bookman Old Style"/>
          <w:color w:val="auto"/>
          <w:spacing w:val="-3"/>
          <w:sz w:val="27"/>
          <w:szCs w:val="27"/>
        </w:rPr>
        <w:t>de los cargos arriba tr</w:t>
      </w:r>
      <w:r w:rsidR="00DB7E34">
        <w:rPr>
          <w:rFonts w:ascii="Bookman Old Style" w:hAnsi="Bookman Old Style"/>
          <w:color w:val="auto"/>
          <w:spacing w:val="-3"/>
          <w:sz w:val="27"/>
          <w:szCs w:val="27"/>
        </w:rPr>
        <w:t>anscritos. Estos</w:t>
      </w:r>
      <w:r w:rsidR="00073C92">
        <w:rPr>
          <w:rFonts w:ascii="Bookman Old Style" w:hAnsi="Bookman Old Style"/>
          <w:color w:val="auto"/>
          <w:spacing w:val="-3"/>
          <w:sz w:val="27"/>
          <w:szCs w:val="27"/>
        </w:rPr>
        <w:t xml:space="preserve"> corresponden a la acumulación de los cargos 1 y 18 del caso Nº 07-20794, provenientes de la acusación formulada ante el Tribunal del Distrito de Columbia y de los cargos 1 y 2 del caso Nº 11-20244, pertenecientes a la acusación elevada ante el Tribunal del Distrito Sur de la Florida</w:t>
      </w:r>
      <w:r w:rsidR="00E86109">
        <w:rPr>
          <w:rStyle w:val="Refdenotaalpie"/>
          <w:rFonts w:ascii="Bookman Old Style" w:hAnsi="Bookman Old Style"/>
          <w:color w:val="auto"/>
          <w:spacing w:val="-3"/>
          <w:sz w:val="27"/>
          <w:szCs w:val="27"/>
        </w:rPr>
        <w:footnoteReference w:id="16"/>
      </w:r>
      <w:r w:rsidR="00E86109">
        <w:rPr>
          <w:rFonts w:ascii="Bookman Old Style" w:hAnsi="Bookman Old Style"/>
          <w:color w:val="auto"/>
          <w:spacing w:val="-3"/>
          <w:sz w:val="27"/>
          <w:szCs w:val="27"/>
        </w:rPr>
        <w:t>.</w:t>
      </w:r>
    </w:p>
    <w:p w14:paraId="34261886" w14:textId="77777777" w:rsidR="004C0D4E" w:rsidRDefault="004C0D4E" w:rsidP="00B2056A">
      <w:pPr>
        <w:pStyle w:val="estilo1"/>
        <w:spacing w:before="0" w:after="0" w:line="336" w:lineRule="auto"/>
        <w:ind w:left="0" w:right="0"/>
        <w:jc w:val="both"/>
        <w:rPr>
          <w:rFonts w:ascii="Bookman Old Style" w:hAnsi="Bookman Old Style"/>
          <w:color w:val="auto"/>
          <w:spacing w:val="-3"/>
          <w:sz w:val="27"/>
          <w:szCs w:val="27"/>
        </w:rPr>
      </w:pPr>
    </w:p>
    <w:p w14:paraId="1978E15C" w14:textId="4F23A27B" w:rsidR="00C12E6A" w:rsidRDefault="004C0D4E" w:rsidP="00B2056A">
      <w:pPr>
        <w:pStyle w:val="estilo1"/>
        <w:spacing w:before="0" w:after="0" w:line="336"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t xml:space="preserve">Esos mismos </w:t>
      </w:r>
      <w:r w:rsidR="00B7797F" w:rsidRPr="00B7797F">
        <w:rPr>
          <w:rFonts w:ascii="Bookman Old Style" w:hAnsi="Bookman Old Style"/>
          <w:color w:val="auto"/>
          <w:spacing w:val="-3"/>
          <w:sz w:val="27"/>
          <w:szCs w:val="27"/>
        </w:rPr>
        <w:t>cargos</w:t>
      </w:r>
      <w:r>
        <w:rPr>
          <w:rFonts w:ascii="Bookman Old Style" w:hAnsi="Bookman Old Style"/>
          <w:color w:val="auto"/>
          <w:spacing w:val="-3"/>
          <w:sz w:val="27"/>
          <w:szCs w:val="27"/>
        </w:rPr>
        <w:t>,</w:t>
      </w:r>
      <w:r w:rsidR="00B7797F">
        <w:rPr>
          <w:rFonts w:ascii="Bookman Old Style" w:hAnsi="Bookman Old Style"/>
          <w:color w:val="auto"/>
          <w:spacing w:val="-3"/>
          <w:sz w:val="27"/>
          <w:szCs w:val="27"/>
        </w:rPr>
        <w:t xml:space="preserve"> </w:t>
      </w:r>
      <w:r w:rsidR="002533C2">
        <w:rPr>
          <w:rFonts w:ascii="Bookman Old Style" w:hAnsi="Bookman Old Style"/>
          <w:color w:val="auto"/>
          <w:spacing w:val="-3"/>
          <w:sz w:val="27"/>
          <w:szCs w:val="27"/>
        </w:rPr>
        <w:t xml:space="preserve">destaca la Corte, </w:t>
      </w:r>
      <w:r w:rsidR="00B7797F">
        <w:rPr>
          <w:rFonts w:ascii="Bookman Old Style" w:hAnsi="Bookman Old Style"/>
          <w:color w:val="auto"/>
          <w:spacing w:val="-3"/>
          <w:sz w:val="27"/>
          <w:szCs w:val="27"/>
        </w:rPr>
        <w:t>tanto en lo fáctico como en lo jur</w:t>
      </w:r>
      <w:r w:rsidR="002533C2">
        <w:rPr>
          <w:rFonts w:ascii="Bookman Old Style" w:hAnsi="Bookman Old Style"/>
          <w:color w:val="auto"/>
          <w:spacing w:val="-3"/>
          <w:sz w:val="27"/>
          <w:szCs w:val="27"/>
        </w:rPr>
        <w:t>ídico</w:t>
      </w:r>
      <w:r>
        <w:rPr>
          <w:rFonts w:ascii="Bookman Old Style" w:hAnsi="Bookman Old Style"/>
          <w:color w:val="auto"/>
          <w:spacing w:val="-3"/>
          <w:sz w:val="27"/>
          <w:szCs w:val="27"/>
        </w:rPr>
        <w:t xml:space="preserve"> </w:t>
      </w:r>
      <w:r w:rsidR="00B7797F">
        <w:rPr>
          <w:rFonts w:ascii="Bookman Old Style" w:hAnsi="Bookman Old Style"/>
          <w:color w:val="auto"/>
          <w:spacing w:val="-3"/>
          <w:sz w:val="27"/>
          <w:szCs w:val="27"/>
        </w:rPr>
        <w:t xml:space="preserve">sirvieron de referencia para la aceptación negociada de culpabilidad. </w:t>
      </w:r>
      <w:r w:rsidR="002533C2">
        <w:rPr>
          <w:rFonts w:ascii="Bookman Old Style" w:hAnsi="Bookman Old Style"/>
          <w:color w:val="auto"/>
          <w:spacing w:val="-3"/>
          <w:sz w:val="27"/>
          <w:szCs w:val="27"/>
        </w:rPr>
        <w:t xml:space="preserve">En el num. 3º del acuerdo de declaración de culpa consta que el acusado acuerda, como condición de la declaración de culpabilidad, declararse </w:t>
      </w:r>
      <w:r w:rsidR="006433A4">
        <w:rPr>
          <w:rFonts w:ascii="Bookman Old Style" w:hAnsi="Bookman Old Style"/>
          <w:color w:val="auto"/>
          <w:spacing w:val="-3"/>
          <w:sz w:val="27"/>
          <w:szCs w:val="27"/>
        </w:rPr>
        <w:t xml:space="preserve">responsable </w:t>
      </w:r>
      <w:r w:rsidR="002533C2">
        <w:rPr>
          <w:rFonts w:ascii="Bookman Old Style" w:hAnsi="Bookman Old Style"/>
          <w:color w:val="auto"/>
          <w:spacing w:val="-3"/>
          <w:sz w:val="27"/>
          <w:szCs w:val="27"/>
        </w:rPr>
        <w:t>de los cargos 1 y 18 en el caso penal Nº 07-20794-CR-LENARD, que se radicó en el Distrito Sur de la Florida</w:t>
      </w:r>
      <w:r w:rsidR="002533C2">
        <w:rPr>
          <w:rStyle w:val="Refdenotaalpie"/>
          <w:rFonts w:ascii="Bookman Old Style" w:hAnsi="Bookman Old Style"/>
          <w:color w:val="auto"/>
          <w:spacing w:val="-3"/>
          <w:sz w:val="27"/>
          <w:szCs w:val="27"/>
        </w:rPr>
        <w:footnoteReference w:id="17"/>
      </w:r>
      <w:r w:rsidR="002533C2">
        <w:rPr>
          <w:rFonts w:ascii="Bookman Old Style" w:hAnsi="Bookman Old Style"/>
          <w:color w:val="auto"/>
          <w:spacing w:val="-3"/>
          <w:sz w:val="27"/>
          <w:szCs w:val="27"/>
        </w:rPr>
        <w:t xml:space="preserve">. </w:t>
      </w:r>
    </w:p>
    <w:p w14:paraId="0030533D" w14:textId="77777777" w:rsidR="00C12E6A" w:rsidRDefault="00C12E6A" w:rsidP="00B2056A">
      <w:pPr>
        <w:pStyle w:val="estilo1"/>
        <w:spacing w:before="0" w:after="0" w:line="336" w:lineRule="auto"/>
        <w:ind w:left="0" w:right="0"/>
        <w:jc w:val="both"/>
        <w:rPr>
          <w:rFonts w:ascii="Bookman Old Style" w:hAnsi="Bookman Old Style"/>
          <w:color w:val="auto"/>
          <w:spacing w:val="-3"/>
          <w:sz w:val="27"/>
          <w:szCs w:val="27"/>
        </w:rPr>
      </w:pPr>
    </w:p>
    <w:p w14:paraId="24E23BB4" w14:textId="01AB96B8" w:rsidR="00B7797F" w:rsidRPr="001A1DE8" w:rsidRDefault="00C12E6A" w:rsidP="00B2056A">
      <w:pPr>
        <w:pStyle w:val="estilo1"/>
        <w:spacing w:before="0" w:after="0" w:line="336"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r>
      <w:r w:rsidR="002533C2" w:rsidRPr="001A1DE8">
        <w:rPr>
          <w:rFonts w:ascii="Bookman Old Style" w:hAnsi="Bookman Old Style"/>
          <w:color w:val="auto"/>
          <w:spacing w:val="-3"/>
          <w:sz w:val="27"/>
          <w:szCs w:val="27"/>
        </w:rPr>
        <w:t xml:space="preserve">Incluso, según se aprecia en el num. 9º de la declaración de hechos adjunta al acuerdo de declaración de culpa, </w:t>
      </w:r>
      <w:r w:rsidR="008655F6" w:rsidRPr="001A1DE8">
        <w:rPr>
          <w:rFonts w:ascii="Bookman Old Style" w:hAnsi="Bookman Old Style"/>
          <w:color w:val="auto"/>
          <w:spacing w:val="-3"/>
          <w:sz w:val="27"/>
          <w:szCs w:val="27"/>
        </w:rPr>
        <w:t>fir</w:t>
      </w:r>
      <w:r w:rsidRPr="001A1DE8">
        <w:rPr>
          <w:rFonts w:ascii="Bookman Old Style" w:hAnsi="Bookman Old Style"/>
          <w:color w:val="auto"/>
          <w:spacing w:val="-3"/>
          <w:sz w:val="27"/>
          <w:szCs w:val="27"/>
        </w:rPr>
        <w:t>mada por CARLOS MARIO JIMÉNEZ NARANJO</w:t>
      </w:r>
      <w:r w:rsidR="006E5543">
        <w:rPr>
          <w:rFonts w:ascii="Bookman Old Style" w:hAnsi="Bookman Old Style"/>
          <w:color w:val="auto"/>
          <w:spacing w:val="-3"/>
          <w:sz w:val="27"/>
          <w:szCs w:val="27"/>
        </w:rPr>
        <w:t xml:space="preserve"> </w:t>
      </w:r>
      <w:r w:rsidRPr="004D1720">
        <w:rPr>
          <w:rFonts w:ascii="Bookman Old Style" w:hAnsi="Bookman Old Style"/>
          <w:color w:val="auto"/>
          <w:spacing w:val="-3"/>
          <w:sz w:val="24"/>
          <w:szCs w:val="24"/>
        </w:rPr>
        <w:t>-</w:t>
      </w:r>
      <w:r w:rsidR="008655F6" w:rsidRPr="004D1720">
        <w:rPr>
          <w:rFonts w:ascii="Bookman Old Style" w:hAnsi="Bookman Old Style"/>
          <w:color w:val="auto"/>
          <w:spacing w:val="-3"/>
          <w:sz w:val="24"/>
          <w:szCs w:val="24"/>
        </w:rPr>
        <w:t xml:space="preserve">con asesoría de su abogado y con constancia expresa sobre la comprensión y </w:t>
      </w:r>
      <w:r w:rsidRPr="004D1720">
        <w:rPr>
          <w:rFonts w:ascii="Bookman Old Style" w:hAnsi="Bookman Old Style"/>
          <w:color w:val="auto"/>
          <w:spacing w:val="-3"/>
          <w:sz w:val="24"/>
          <w:szCs w:val="24"/>
        </w:rPr>
        <w:t xml:space="preserve">el consentimiento sobre la veracidad y exactitud del </w:t>
      </w:r>
      <w:r w:rsidRPr="004D1720">
        <w:rPr>
          <w:rFonts w:ascii="Bookman Old Style" w:hAnsi="Bookman Old Style"/>
          <w:i/>
          <w:color w:val="auto"/>
          <w:spacing w:val="-3"/>
          <w:sz w:val="24"/>
          <w:szCs w:val="24"/>
        </w:rPr>
        <w:t>ofrecimiento fáctico-</w:t>
      </w:r>
      <w:r w:rsidRPr="004D1720">
        <w:rPr>
          <w:rFonts w:ascii="Bookman Old Style" w:hAnsi="Bookman Old Style"/>
          <w:color w:val="auto"/>
          <w:spacing w:val="-3"/>
          <w:sz w:val="24"/>
          <w:szCs w:val="24"/>
        </w:rPr>
        <w:t>,</w:t>
      </w:r>
      <w:r w:rsidRPr="001A1DE8">
        <w:rPr>
          <w:rFonts w:ascii="Bookman Old Style" w:hAnsi="Bookman Old Style"/>
          <w:color w:val="auto"/>
          <w:spacing w:val="-3"/>
          <w:sz w:val="25"/>
          <w:szCs w:val="25"/>
        </w:rPr>
        <w:t xml:space="preserve"> </w:t>
      </w:r>
      <w:r w:rsidRPr="001A1DE8">
        <w:rPr>
          <w:rFonts w:ascii="Bookman Old Style" w:hAnsi="Bookman Old Style"/>
          <w:color w:val="auto"/>
          <w:spacing w:val="-3"/>
          <w:sz w:val="27"/>
          <w:szCs w:val="27"/>
        </w:rPr>
        <w:lastRenderedPageBreak/>
        <w:t>“</w:t>
      </w:r>
      <w:r w:rsidRPr="001A1DE8">
        <w:rPr>
          <w:rFonts w:ascii="Bookman Old Style" w:hAnsi="Bookman Old Style"/>
          <w:b/>
          <w:i/>
          <w:color w:val="auto"/>
          <w:spacing w:val="-3"/>
          <w:sz w:val="27"/>
          <w:szCs w:val="27"/>
        </w:rPr>
        <w:t>luego de la desmovilización del acusado</w:t>
      </w:r>
      <w:r w:rsidRPr="001A1DE8">
        <w:rPr>
          <w:rFonts w:ascii="Bookman Old Style" w:hAnsi="Bookman Old Style"/>
          <w:i/>
          <w:color w:val="auto"/>
          <w:spacing w:val="-3"/>
          <w:sz w:val="27"/>
          <w:szCs w:val="27"/>
        </w:rPr>
        <w:t xml:space="preserve"> y del BCB en el año 2005, </w:t>
      </w:r>
      <w:r w:rsidRPr="001A1DE8">
        <w:rPr>
          <w:rFonts w:ascii="Bookman Old Style" w:hAnsi="Bookman Old Style"/>
          <w:b/>
          <w:i/>
          <w:color w:val="auto"/>
          <w:spacing w:val="-3"/>
          <w:sz w:val="27"/>
          <w:szCs w:val="27"/>
        </w:rPr>
        <w:t>incluido el período de tiempo siguiente al 6 de marzo de 2006</w:t>
      </w:r>
      <w:r w:rsidRPr="001A1DE8">
        <w:rPr>
          <w:rFonts w:ascii="Bookman Old Style" w:hAnsi="Bookman Old Style"/>
          <w:i/>
          <w:color w:val="auto"/>
          <w:spacing w:val="-3"/>
          <w:sz w:val="27"/>
          <w:szCs w:val="27"/>
        </w:rPr>
        <w:t>, el acusado continuó sus actividades de narcotráfico con cocaína, y en conjunto con esas actividades, siguió apoyando a personas y organizaciones que se habían comprometido o se estaban involucrando con actividades terroristas o relacionadas con el terrorismo, incluyendo a personas que habían sido parte de su grupo armado, pero que no se habían desmovilizado. Dirigió a sus socios en las actividades de narcotráfico para recolectar impuestos de otros traficantes, algunos de los cuales continuaron su participación en las AUC, y él en forma similar dirigió sus socios para pagar los impuestos requeridos a otros narcotraficantes, algunos de los cuales continuaron su asociación con las AUC. Él conocía que los narcotraficantes de las AUC utilizaban sus ganancias producto del narcotráfico para financiar sus actividades de las AUC”</w:t>
      </w:r>
      <w:r w:rsidR="007560A8" w:rsidRPr="001A1DE8">
        <w:rPr>
          <w:rStyle w:val="Refdenotaalpie"/>
          <w:rFonts w:ascii="Bookman Old Style" w:hAnsi="Bookman Old Style"/>
          <w:i/>
          <w:color w:val="auto"/>
          <w:spacing w:val="-3"/>
          <w:sz w:val="27"/>
          <w:szCs w:val="27"/>
        </w:rPr>
        <w:footnoteReference w:id="18"/>
      </w:r>
      <w:r w:rsidRPr="001A1DE8">
        <w:rPr>
          <w:rFonts w:ascii="Bookman Old Style" w:hAnsi="Bookman Old Style"/>
          <w:i/>
          <w:color w:val="auto"/>
          <w:spacing w:val="-3"/>
          <w:sz w:val="27"/>
          <w:szCs w:val="27"/>
        </w:rPr>
        <w:t xml:space="preserve">. </w:t>
      </w:r>
      <w:r w:rsidRPr="001A1DE8">
        <w:rPr>
          <w:rFonts w:ascii="Bookman Old Style" w:hAnsi="Bookman Old Style"/>
          <w:color w:val="auto"/>
          <w:spacing w:val="-3"/>
          <w:sz w:val="27"/>
          <w:szCs w:val="27"/>
        </w:rPr>
        <w:t>El propósito de la declaración de hechos, se advierte en el num. 10º del mismo documento, es demostrar que existe una base fáctica para respaldar la declaración de culpabilidad del acusado respecto a los delitos establecidos en los cargos de la acusación</w:t>
      </w:r>
      <w:r w:rsidR="00C23984" w:rsidRPr="001A1DE8">
        <w:rPr>
          <w:rStyle w:val="Refdenotaalpie"/>
          <w:rFonts w:ascii="Bookman Old Style" w:hAnsi="Bookman Old Style"/>
          <w:color w:val="auto"/>
          <w:spacing w:val="-3"/>
          <w:sz w:val="27"/>
          <w:szCs w:val="27"/>
        </w:rPr>
        <w:footnoteReference w:id="19"/>
      </w:r>
      <w:r w:rsidRPr="001A1DE8">
        <w:rPr>
          <w:rFonts w:ascii="Bookman Old Style" w:hAnsi="Bookman Old Style"/>
          <w:color w:val="auto"/>
          <w:spacing w:val="-3"/>
          <w:sz w:val="27"/>
          <w:szCs w:val="27"/>
        </w:rPr>
        <w:t xml:space="preserve">. </w:t>
      </w:r>
    </w:p>
    <w:p w14:paraId="7157D07D" w14:textId="77777777" w:rsidR="00013666" w:rsidRPr="001A1DE8" w:rsidRDefault="00013666" w:rsidP="00B2056A">
      <w:pPr>
        <w:pStyle w:val="estilo1"/>
        <w:spacing w:before="0" w:after="0" w:line="336" w:lineRule="auto"/>
        <w:ind w:left="0" w:right="0"/>
        <w:jc w:val="both"/>
        <w:rPr>
          <w:rFonts w:ascii="Bookman Old Style" w:hAnsi="Bookman Old Style"/>
          <w:color w:val="auto"/>
          <w:spacing w:val="-3"/>
          <w:sz w:val="27"/>
          <w:szCs w:val="27"/>
        </w:rPr>
      </w:pPr>
    </w:p>
    <w:p w14:paraId="62CED5FC" w14:textId="24A323DB" w:rsidR="003A6328" w:rsidRDefault="00013666" w:rsidP="003A6328">
      <w:pPr>
        <w:pStyle w:val="estilo1"/>
        <w:spacing w:before="0" w:after="0" w:line="360" w:lineRule="auto"/>
        <w:ind w:left="0" w:right="0"/>
        <w:jc w:val="both"/>
        <w:rPr>
          <w:rFonts w:ascii="Bookman Old Style" w:hAnsi="Bookman Old Style"/>
          <w:color w:val="auto"/>
          <w:spacing w:val="-3"/>
          <w:sz w:val="27"/>
          <w:szCs w:val="27"/>
        </w:rPr>
      </w:pPr>
      <w:r w:rsidRPr="001A1DE8">
        <w:rPr>
          <w:rFonts w:ascii="Bookman Old Style" w:hAnsi="Bookman Old Style"/>
          <w:color w:val="auto"/>
          <w:spacing w:val="-3"/>
          <w:sz w:val="27"/>
          <w:szCs w:val="27"/>
        </w:rPr>
        <w:tab/>
        <w:t xml:space="preserve">Bien concluyo el </w:t>
      </w:r>
      <w:r w:rsidRPr="001A1DE8">
        <w:rPr>
          <w:rFonts w:ascii="Bookman Old Style" w:hAnsi="Bookman Old Style"/>
          <w:i/>
          <w:color w:val="auto"/>
          <w:spacing w:val="-3"/>
          <w:sz w:val="27"/>
          <w:szCs w:val="27"/>
        </w:rPr>
        <w:t>a quo</w:t>
      </w:r>
      <w:r w:rsidRPr="001A1DE8">
        <w:rPr>
          <w:rFonts w:ascii="Bookman Old Style" w:hAnsi="Bookman Old Style"/>
          <w:color w:val="auto"/>
          <w:spacing w:val="-3"/>
          <w:sz w:val="27"/>
          <w:szCs w:val="27"/>
        </w:rPr>
        <w:t xml:space="preserve">, entonces, que los presupuestos para expulsar al postulado del proceso penal especial de justicia y paz están dados: </w:t>
      </w:r>
      <w:r w:rsidR="001A1DE8">
        <w:rPr>
          <w:rFonts w:ascii="Bookman Old Style" w:hAnsi="Bookman Old Style"/>
          <w:color w:val="auto"/>
          <w:spacing w:val="-3"/>
          <w:sz w:val="27"/>
          <w:szCs w:val="27"/>
        </w:rPr>
        <w:t xml:space="preserve">la sentencia condenatoria del 12 de mayo de 2011, proferida por el Tribunal del Distrito Sur de la Florida en contra de CARLOS MARIO JIMÉNEZ NARANJO, lo fue por conductas punibles dolosas cometidas con posterioridad a su desmovilización. Los cargos por los cuales aquél fue condenado en los EEUU, </w:t>
      </w:r>
      <w:r w:rsidR="00655201">
        <w:rPr>
          <w:rFonts w:ascii="Bookman Old Style" w:hAnsi="Bookman Old Style"/>
          <w:color w:val="auto"/>
          <w:spacing w:val="-3"/>
          <w:sz w:val="27"/>
          <w:szCs w:val="27"/>
        </w:rPr>
        <w:t xml:space="preserve">equivalen al delito de concierto para delinquir agravado, previsto en el art. 340 inc. 2º del Código Penal </w:t>
      </w:r>
      <w:r w:rsidR="00655201">
        <w:rPr>
          <w:rFonts w:ascii="Bookman Old Style" w:hAnsi="Bookman Old Style"/>
          <w:color w:val="auto"/>
          <w:spacing w:val="-3"/>
          <w:sz w:val="27"/>
          <w:szCs w:val="27"/>
        </w:rPr>
        <w:lastRenderedPageBreak/>
        <w:t>colombiano.</w:t>
      </w:r>
      <w:r w:rsidR="003A6328">
        <w:rPr>
          <w:rFonts w:ascii="Bookman Old Style" w:hAnsi="Bookman Old Style"/>
          <w:color w:val="auto"/>
          <w:spacing w:val="-3"/>
          <w:sz w:val="27"/>
          <w:szCs w:val="27"/>
        </w:rPr>
        <w:t xml:space="preserve"> </w:t>
      </w:r>
      <w:r w:rsidR="003A6328" w:rsidRPr="00F53990">
        <w:rPr>
          <w:rFonts w:ascii="Bookman Old Style" w:hAnsi="Bookman Old Style"/>
          <w:color w:val="auto"/>
          <w:sz w:val="27"/>
          <w:szCs w:val="27"/>
        </w:rPr>
        <w:t>Y tal verificación se realiza cabalmente con los datos contenidos en el fallo proferido en el juicio</w:t>
      </w:r>
      <w:r w:rsidR="00EA3797">
        <w:rPr>
          <w:rFonts w:ascii="Bookman Old Style" w:hAnsi="Bookman Old Style"/>
          <w:color w:val="auto"/>
          <w:sz w:val="27"/>
          <w:szCs w:val="27"/>
        </w:rPr>
        <w:t xml:space="preserve"> penal, que fue allegado, con su</w:t>
      </w:r>
      <w:r w:rsidR="003A6328" w:rsidRPr="00F53990">
        <w:rPr>
          <w:rFonts w:ascii="Bookman Old Style" w:hAnsi="Bookman Old Style"/>
          <w:color w:val="auto"/>
          <w:sz w:val="27"/>
          <w:szCs w:val="27"/>
        </w:rPr>
        <w:t xml:space="preserve"> debida traducción oficial, a la Dirección de Asuntos Internacionales de la Fiscalía por medio del agregado judicial de la Embajada de los Estados Unidos, con la nota de ser fiel copia tomada del archivo que reposa en las Cortes Federales del Distrito Sur de la Florida y del Distrito de </w:t>
      </w:r>
      <w:r w:rsidR="003A6328" w:rsidRPr="003A6328">
        <w:rPr>
          <w:rFonts w:ascii="Bookman Old Style" w:hAnsi="Bookman Old Style"/>
          <w:color w:val="auto"/>
          <w:sz w:val="27"/>
          <w:szCs w:val="27"/>
        </w:rPr>
        <w:t>Columbia</w:t>
      </w:r>
      <w:r w:rsidR="003A6328" w:rsidRPr="003A6328">
        <w:rPr>
          <w:rStyle w:val="Refdenotaalpie"/>
          <w:rFonts w:ascii="Bookman Old Style" w:hAnsi="Bookman Old Style"/>
          <w:color w:val="auto"/>
          <w:sz w:val="27"/>
          <w:szCs w:val="27"/>
        </w:rPr>
        <w:footnoteReference w:id="20"/>
      </w:r>
      <w:r w:rsidR="003A6328" w:rsidRPr="003A6328">
        <w:rPr>
          <w:rFonts w:ascii="Bookman Old Style" w:hAnsi="Bookman Old Style"/>
          <w:color w:val="auto"/>
          <w:sz w:val="27"/>
          <w:szCs w:val="27"/>
        </w:rPr>
        <w:t>.</w:t>
      </w:r>
    </w:p>
    <w:p w14:paraId="03106249" w14:textId="77777777" w:rsidR="00247230" w:rsidRDefault="00247230" w:rsidP="000B616A">
      <w:pPr>
        <w:pStyle w:val="estilo1"/>
        <w:spacing w:before="0" w:after="0" w:line="360" w:lineRule="auto"/>
        <w:ind w:left="0" w:right="0"/>
        <w:jc w:val="both"/>
        <w:rPr>
          <w:rFonts w:ascii="Bookman Old Style" w:hAnsi="Bookman Old Style"/>
          <w:color w:val="auto"/>
          <w:spacing w:val="-3"/>
          <w:sz w:val="27"/>
          <w:szCs w:val="27"/>
        </w:rPr>
      </w:pPr>
    </w:p>
    <w:p w14:paraId="72C8A979" w14:textId="3BAF315E" w:rsidR="00332791" w:rsidRPr="00040F4B" w:rsidRDefault="00247230" w:rsidP="000B616A">
      <w:pPr>
        <w:pStyle w:val="estilo1"/>
        <w:spacing w:before="0" w:after="0" w:line="360" w:lineRule="auto"/>
        <w:ind w:left="0" w:right="0"/>
        <w:jc w:val="both"/>
        <w:rPr>
          <w:rFonts w:ascii="Bookman Old Style" w:hAnsi="Bookman Old Style"/>
          <w:color w:val="auto"/>
          <w:sz w:val="27"/>
          <w:szCs w:val="27"/>
        </w:rPr>
      </w:pPr>
      <w:r>
        <w:rPr>
          <w:rFonts w:ascii="Bookman Old Style" w:hAnsi="Bookman Old Style"/>
          <w:color w:val="auto"/>
          <w:spacing w:val="-3"/>
          <w:sz w:val="27"/>
          <w:szCs w:val="27"/>
        </w:rPr>
        <w:tab/>
      </w:r>
      <w:r w:rsidR="001C2335">
        <w:rPr>
          <w:rFonts w:ascii="Bookman Old Style" w:hAnsi="Bookman Old Style"/>
          <w:color w:val="auto"/>
          <w:spacing w:val="-3"/>
          <w:sz w:val="27"/>
          <w:szCs w:val="27"/>
        </w:rPr>
        <w:t>3.3</w:t>
      </w:r>
      <w:r w:rsidR="001C2335">
        <w:rPr>
          <w:rFonts w:ascii="Bookman Old Style" w:hAnsi="Bookman Old Style"/>
          <w:color w:val="auto"/>
          <w:spacing w:val="-3"/>
          <w:sz w:val="27"/>
          <w:szCs w:val="27"/>
        </w:rPr>
        <w:tab/>
      </w:r>
      <w:r w:rsidR="00945C82" w:rsidRPr="00F53990">
        <w:rPr>
          <w:rFonts w:ascii="Bookman Old Style" w:hAnsi="Bookman Old Style"/>
          <w:color w:val="auto"/>
          <w:spacing w:val="-3"/>
          <w:sz w:val="27"/>
          <w:szCs w:val="27"/>
        </w:rPr>
        <w:t>E</w:t>
      </w:r>
      <w:r w:rsidR="00945C82" w:rsidRPr="00F53990">
        <w:rPr>
          <w:rFonts w:ascii="Bookman Old Style" w:hAnsi="Bookman Old Style"/>
          <w:color w:val="auto"/>
          <w:sz w:val="27"/>
          <w:szCs w:val="27"/>
        </w:rPr>
        <w:t xml:space="preserve">l recurrente alega que la </w:t>
      </w:r>
      <w:r w:rsidR="009837A2">
        <w:rPr>
          <w:rFonts w:ascii="Bookman Old Style" w:hAnsi="Bookman Old Style"/>
          <w:color w:val="auto"/>
          <w:sz w:val="27"/>
          <w:szCs w:val="27"/>
        </w:rPr>
        <w:t xml:space="preserve">aludida </w:t>
      </w:r>
      <w:r w:rsidR="00945C82" w:rsidRPr="00F53990">
        <w:rPr>
          <w:rFonts w:ascii="Bookman Old Style" w:hAnsi="Bookman Old Style"/>
          <w:color w:val="auto"/>
          <w:sz w:val="27"/>
          <w:szCs w:val="27"/>
        </w:rPr>
        <w:t xml:space="preserve">sentencia no contiene en estricto sentido una declaración de hechos, sino la emisión de una condena basada en una mera imputación jurídica aceptada por </w:t>
      </w:r>
      <w:r w:rsidR="000C074D">
        <w:rPr>
          <w:rFonts w:ascii="Bookman Old Style" w:hAnsi="Bookman Old Style"/>
          <w:color w:val="auto"/>
          <w:sz w:val="27"/>
          <w:szCs w:val="27"/>
        </w:rPr>
        <w:t xml:space="preserve">el acusado. Empero, tal aserto se ofrece manifiestamente </w:t>
      </w:r>
      <w:r w:rsidR="000C074D" w:rsidRPr="003A6328">
        <w:rPr>
          <w:rFonts w:ascii="Bookman Old Style" w:hAnsi="Bookman Old Style"/>
          <w:i/>
          <w:color w:val="auto"/>
          <w:sz w:val="27"/>
          <w:szCs w:val="27"/>
        </w:rPr>
        <w:t>infundado</w:t>
      </w:r>
      <w:r w:rsidR="000C074D">
        <w:rPr>
          <w:rFonts w:ascii="Bookman Old Style" w:hAnsi="Bookman Old Style"/>
          <w:color w:val="auto"/>
          <w:sz w:val="27"/>
          <w:szCs w:val="27"/>
        </w:rPr>
        <w:t xml:space="preserve">, </w:t>
      </w:r>
      <w:r w:rsidR="00332791">
        <w:rPr>
          <w:rFonts w:ascii="Bookman Old Style" w:hAnsi="Bookman Old Style"/>
          <w:color w:val="auto"/>
          <w:sz w:val="27"/>
          <w:szCs w:val="27"/>
        </w:rPr>
        <w:t xml:space="preserve">pues, como viene de verse, </w:t>
      </w:r>
      <w:r w:rsidR="00703A24">
        <w:rPr>
          <w:rFonts w:ascii="Bookman Old Style" w:hAnsi="Bookman Old Style"/>
          <w:color w:val="auto"/>
          <w:sz w:val="27"/>
          <w:szCs w:val="27"/>
        </w:rPr>
        <w:t xml:space="preserve">el fallo </w:t>
      </w:r>
      <w:r w:rsidR="00634D90">
        <w:rPr>
          <w:rFonts w:ascii="Bookman Old Style" w:hAnsi="Bookman Old Style"/>
          <w:color w:val="auto"/>
          <w:sz w:val="27"/>
          <w:szCs w:val="27"/>
        </w:rPr>
        <w:t>se dictó con base en los enunciados fácticos constitutivos de los cargos de acusación, que a</w:t>
      </w:r>
      <w:r w:rsidR="00015CA4">
        <w:rPr>
          <w:rFonts w:ascii="Bookman Old Style" w:hAnsi="Bookman Old Style"/>
          <w:color w:val="auto"/>
          <w:sz w:val="27"/>
          <w:szCs w:val="27"/>
        </w:rPr>
        <w:t xml:space="preserve"> su vez, fueron el fundamento del acuerdo de culpabilidad mismo y de la declaración de hechos adjunta a éste. </w:t>
      </w:r>
      <w:r w:rsidR="0066257E">
        <w:rPr>
          <w:rFonts w:ascii="Bookman Old Style" w:hAnsi="Bookman Old Style"/>
          <w:color w:val="auto"/>
          <w:sz w:val="27"/>
          <w:szCs w:val="27"/>
        </w:rPr>
        <w:t xml:space="preserve">Tanto así, que en la audiencia de sentencia la juez constató que la pena impuesta por el Tribunal deriva de </w:t>
      </w:r>
      <w:r w:rsidR="0066257E" w:rsidRPr="00301863">
        <w:rPr>
          <w:rFonts w:ascii="Bookman Old Style" w:hAnsi="Bookman Old Style"/>
          <w:i/>
          <w:color w:val="auto"/>
          <w:sz w:val="27"/>
          <w:szCs w:val="27"/>
        </w:rPr>
        <w:t>los cargos</w:t>
      </w:r>
      <w:r w:rsidR="0066257E">
        <w:rPr>
          <w:rFonts w:ascii="Bookman Old Style" w:hAnsi="Bookman Old Style"/>
          <w:color w:val="auto"/>
          <w:sz w:val="27"/>
          <w:szCs w:val="27"/>
        </w:rPr>
        <w:t xml:space="preserve"> 1 y 18 del caso Nº 07-20794 y de los 1 y 2 del caso Nº 11-20244. </w:t>
      </w:r>
      <w:r w:rsidR="006600F7">
        <w:rPr>
          <w:rFonts w:ascii="Bookman Old Style" w:hAnsi="Bookman Old Style"/>
          <w:color w:val="auto"/>
          <w:sz w:val="27"/>
          <w:szCs w:val="27"/>
        </w:rPr>
        <w:t xml:space="preserve">Y esos cargos, contrario a lo expuesto por el impugnante, </w:t>
      </w:r>
      <w:r w:rsidR="009E79A3">
        <w:rPr>
          <w:rFonts w:ascii="Bookman Old Style" w:hAnsi="Bookman Old Style"/>
          <w:color w:val="auto"/>
          <w:sz w:val="27"/>
          <w:szCs w:val="27"/>
        </w:rPr>
        <w:t xml:space="preserve">de ninguna manera son una atribución jurídica abstracta y autosuficiente, sino referenciados a unos hechos, delimitados con circunstancias de tiempo, modo y lugar. </w:t>
      </w:r>
      <w:r w:rsidR="00040F4B">
        <w:rPr>
          <w:rFonts w:ascii="Bookman Old Style" w:hAnsi="Bookman Old Style"/>
          <w:color w:val="auto"/>
          <w:sz w:val="27"/>
          <w:szCs w:val="27"/>
        </w:rPr>
        <w:t xml:space="preserve">Mucho menos es cierto que la decisión de exclusión se basó en el </w:t>
      </w:r>
      <w:r w:rsidR="00040F4B" w:rsidRPr="00040F4B">
        <w:rPr>
          <w:rFonts w:ascii="Bookman Old Style" w:hAnsi="Bookman Old Style"/>
          <w:i/>
          <w:color w:val="auto"/>
          <w:sz w:val="27"/>
          <w:szCs w:val="27"/>
        </w:rPr>
        <w:t>acuerdo de culpabilidad</w:t>
      </w:r>
      <w:r w:rsidR="00040F4B">
        <w:rPr>
          <w:rFonts w:ascii="Bookman Old Style" w:hAnsi="Bookman Old Style"/>
          <w:color w:val="auto"/>
          <w:sz w:val="27"/>
          <w:szCs w:val="27"/>
        </w:rPr>
        <w:t xml:space="preserve"> aisladamente considerado, como erróneamente lo expone el apelante, pues es claro que la</w:t>
      </w:r>
      <w:r w:rsidR="00260188">
        <w:rPr>
          <w:rFonts w:ascii="Bookman Old Style" w:hAnsi="Bookman Old Style"/>
          <w:color w:val="auto"/>
          <w:sz w:val="27"/>
          <w:szCs w:val="27"/>
        </w:rPr>
        <w:t xml:space="preserve"> base </w:t>
      </w:r>
      <w:r w:rsidR="00E13D88">
        <w:rPr>
          <w:rFonts w:ascii="Bookman Old Style" w:hAnsi="Bookman Old Style"/>
          <w:color w:val="auto"/>
          <w:sz w:val="27"/>
          <w:szCs w:val="27"/>
        </w:rPr>
        <w:t>de la expulsión del postulado del proceso</w:t>
      </w:r>
      <w:r w:rsidR="005A70C0">
        <w:rPr>
          <w:rFonts w:ascii="Bookman Old Style" w:hAnsi="Bookman Old Style"/>
          <w:color w:val="auto"/>
          <w:sz w:val="27"/>
          <w:szCs w:val="27"/>
        </w:rPr>
        <w:t xml:space="preserve"> es la sentencia</w:t>
      </w:r>
      <w:r w:rsidR="00E13D88">
        <w:rPr>
          <w:rFonts w:ascii="Bookman Old Style" w:hAnsi="Bookman Old Style"/>
          <w:color w:val="auto"/>
          <w:sz w:val="27"/>
          <w:szCs w:val="27"/>
        </w:rPr>
        <w:t xml:space="preserve"> condenatoria</w:t>
      </w:r>
      <w:r w:rsidR="005A70C0">
        <w:rPr>
          <w:rFonts w:ascii="Bookman Old Style" w:hAnsi="Bookman Old Style"/>
          <w:color w:val="auto"/>
          <w:sz w:val="27"/>
          <w:szCs w:val="27"/>
        </w:rPr>
        <w:t xml:space="preserve">, que fue precedida de una audiencia </w:t>
      </w:r>
      <w:r w:rsidR="00633434">
        <w:rPr>
          <w:rFonts w:ascii="Bookman Old Style" w:hAnsi="Bookman Old Style"/>
          <w:color w:val="auto"/>
          <w:sz w:val="27"/>
          <w:szCs w:val="27"/>
        </w:rPr>
        <w:t xml:space="preserve">donde la juez </w:t>
      </w:r>
      <w:r w:rsidR="00633434">
        <w:rPr>
          <w:rFonts w:ascii="Bookman Old Style" w:hAnsi="Bookman Old Style"/>
          <w:color w:val="auto"/>
          <w:sz w:val="27"/>
          <w:szCs w:val="27"/>
        </w:rPr>
        <w:lastRenderedPageBreak/>
        <w:t xml:space="preserve">extrajo la base fáctica del fallo de los cargos formulados en contra del acusado. </w:t>
      </w:r>
    </w:p>
    <w:p w14:paraId="3C024DFA" w14:textId="77777777" w:rsidR="003A6328" w:rsidRDefault="003A6328" w:rsidP="000B616A">
      <w:pPr>
        <w:pStyle w:val="estilo1"/>
        <w:spacing w:before="0" w:after="0" w:line="360" w:lineRule="auto"/>
        <w:ind w:left="0" w:right="0"/>
        <w:jc w:val="both"/>
        <w:rPr>
          <w:rFonts w:ascii="Bookman Old Style" w:hAnsi="Bookman Old Style"/>
          <w:color w:val="auto"/>
          <w:sz w:val="27"/>
          <w:szCs w:val="27"/>
        </w:rPr>
      </w:pPr>
    </w:p>
    <w:p w14:paraId="17ACD124" w14:textId="7500FCC7" w:rsidR="00F54A93" w:rsidRPr="00F54A93" w:rsidRDefault="003A6328" w:rsidP="00142BB6">
      <w:pPr>
        <w:pStyle w:val="estilo1"/>
        <w:spacing w:before="0" w:after="0" w:line="336" w:lineRule="auto"/>
        <w:ind w:left="0" w:right="0"/>
        <w:jc w:val="both"/>
        <w:rPr>
          <w:rFonts w:ascii="Bookman Old Style" w:hAnsi="Bookman Old Style"/>
          <w:color w:val="auto"/>
          <w:sz w:val="27"/>
          <w:szCs w:val="27"/>
        </w:rPr>
      </w:pPr>
      <w:r>
        <w:rPr>
          <w:rFonts w:ascii="Bookman Old Style" w:hAnsi="Bookman Old Style"/>
          <w:color w:val="auto"/>
          <w:sz w:val="27"/>
          <w:szCs w:val="27"/>
        </w:rPr>
        <w:tab/>
        <w:t>Además, los argumentos de impugnaci</w:t>
      </w:r>
      <w:r w:rsidR="00964DC4">
        <w:rPr>
          <w:rFonts w:ascii="Bookman Old Style" w:hAnsi="Bookman Old Style"/>
          <w:color w:val="auto"/>
          <w:sz w:val="27"/>
          <w:szCs w:val="27"/>
        </w:rPr>
        <w:t>ón</w:t>
      </w:r>
      <w:r w:rsidR="00854DB9">
        <w:rPr>
          <w:rFonts w:ascii="Bookman Old Style" w:hAnsi="Bookman Old Style"/>
          <w:color w:val="auto"/>
          <w:sz w:val="27"/>
          <w:szCs w:val="27"/>
        </w:rPr>
        <w:t xml:space="preserve"> cifrados en cuestionamientos a las bas</w:t>
      </w:r>
      <w:r w:rsidR="00405654">
        <w:rPr>
          <w:rFonts w:ascii="Bookman Old Style" w:hAnsi="Bookman Old Style"/>
          <w:color w:val="auto"/>
          <w:sz w:val="27"/>
          <w:szCs w:val="27"/>
        </w:rPr>
        <w:t>es probatorias de la sentencia extran</w:t>
      </w:r>
      <w:r w:rsidR="00F261FC">
        <w:rPr>
          <w:rFonts w:ascii="Bookman Old Style" w:hAnsi="Bookman Old Style"/>
          <w:color w:val="auto"/>
          <w:sz w:val="27"/>
          <w:szCs w:val="27"/>
        </w:rPr>
        <w:t>jera</w:t>
      </w:r>
      <w:r w:rsidR="00405654">
        <w:rPr>
          <w:rFonts w:ascii="Bookman Old Style" w:hAnsi="Bookman Old Style"/>
          <w:color w:val="auto"/>
          <w:sz w:val="27"/>
          <w:szCs w:val="27"/>
        </w:rPr>
        <w:t xml:space="preserve"> </w:t>
      </w:r>
      <w:r w:rsidR="00F261FC" w:rsidRPr="00F10630">
        <w:rPr>
          <w:rFonts w:ascii="Bookman Old Style" w:hAnsi="Bookman Old Style"/>
          <w:color w:val="auto"/>
          <w:sz w:val="24"/>
          <w:szCs w:val="24"/>
        </w:rPr>
        <w:t>-por supuesta imposibilidad de la comisión de los delitos y ausencia de evidencia</w:t>
      </w:r>
      <w:r w:rsidR="00964DC4" w:rsidRPr="00F10630">
        <w:rPr>
          <w:rFonts w:ascii="Bookman Old Style" w:hAnsi="Bookman Old Style"/>
          <w:color w:val="auto"/>
          <w:sz w:val="24"/>
          <w:szCs w:val="24"/>
        </w:rPr>
        <w:t>-</w:t>
      </w:r>
      <w:r w:rsidR="00964DC4">
        <w:rPr>
          <w:rFonts w:ascii="Bookman Old Style" w:hAnsi="Bookman Old Style"/>
          <w:color w:val="auto"/>
          <w:sz w:val="25"/>
          <w:szCs w:val="25"/>
        </w:rPr>
        <w:t xml:space="preserve">, </w:t>
      </w:r>
      <w:r w:rsidR="00964DC4">
        <w:rPr>
          <w:rFonts w:ascii="Bookman Old Style" w:hAnsi="Bookman Old Style"/>
          <w:color w:val="auto"/>
          <w:sz w:val="27"/>
          <w:szCs w:val="27"/>
        </w:rPr>
        <w:t xml:space="preserve">reproches contra la legalidad del proceso penal adelantado en los EEUU en contra del postulado </w:t>
      </w:r>
      <w:r w:rsidR="00964DC4" w:rsidRPr="00154F82">
        <w:rPr>
          <w:rFonts w:ascii="Bookman Old Style" w:hAnsi="Bookman Old Style"/>
          <w:color w:val="auto"/>
          <w:sz w:val="24"/>
          <w:szCs w:val="24"/>
        </w:rPr>
        <w:t>-basados en presunta coacción para que aceptara cargos</w:t>
      </w:r>
      <w:r w:rsidR="00E109CB" w:rsidRPr="00154F82">
        <w:rPr>
          <w:rFonts w:ascii="Bookman Old Style" w:hAnsi="Bookman Old Style"/>
          <w:color w:val="auto"/>
          <w:sz w:val="24"/>
          <w:szCs w:val="24"/>
        </w:rPr>
        <w:t>,</w:t>
      </w:r>
      <w:r w:rsidR="00964DC4" w:rsidRPr="00154F82">
        <w:rPr>
          <w:rFonts w:ascii="Bookman Old Style" w:hAnsi="Bookman Old Style"/>
          <w:color w:val="auto"/>
          <w:sz w:val="24"/>
          <w:szCs w:val="24"/>
        </w:rPr>
        <w:t xml:space="preserve"> imprecisiones y falta de consonancia entre las circunstancias temporales establecidas en las acusaciones y en la sentencia</w:t>
      </w:r>
      <w:r w:rsidR="00964DC4">
        <w:rPr>
          <w:rFonts w:ascii="Bookman Old Style" w:hAnsi="Bookman Old Style"/>
          <w:color w:val="auto"/>
          <w:sz w:val="25"/>
          <w:szCs w:val="25"/>
        </w:rPr>
        <w:t>-</w:t>
      </w:r>
      <w:r w:rsidR="00F10630">
        <w:rPr>
          <w:rFonts w:ascii="Bookman Old Style" w:hAnsi="Bookman Old Style"/>
          <w:color w:val="auto"/>
          <w:sz w:val="25"/>
          <w:szCs w:val="25"/>
        </w:rPr>
        <w:t>,</w:t>
      </w:r>
      <w:r w:rsidR="00F10630" w:rsidRPr="00F10630">
        <w:rPr>
          <w:rFonts w:ascii="Bookman Old Style" w:hAnsi="Bookman Old Style"/>
          <w:color w:val="auto"/>
          <w:sz w:val="27"/>
          <w:szCs w:val="27"/>
        </w:rPr>
        <w:t xml:space="preserve"> </w:t>
      </w:r>
      <w:r w:rsidR="00154F82">
        <w:rPr>
          <w:rFonts w:ascii="Bookman Old Style" w:hAnsi="Bookman Old Style"/>
          <w:color w:val="auto"/>
          <w:sz w:val="27"/>
          <w:szCs w:val="27"/>
        </w:rPr>
        <w:t>y</w:t>
      </w:r>
      <w:r w:rsidR="00F10630" w:rsidRPr="00F10630">
        <w:rPr>
          <w:rFonts w:ascii="Bookman Old Style" w:hAnsi="Bookman Old Style"/>
          <w:color w:val="auto"/>
          <w:sz w:val="27"/>
          <w:szCs w:val="27"/>
        </w:rPr>
        <w:t xml:space="preserve"> </w:t>
      </w:r>
      <w:r w:rsidR="00964DC4" w:rsidRPr="00F10630">
        <w:rPr>
          <w:rFonts w:ascii="Bookman Old Style" w:hAnsi="Bookman Old Style"/>
          <w:color w:val="auto"/>
          <w:sz w:val="27"/>
          <w:szCs w:val="27"/>
        </w:rPr>
        <w:t>críticas</w:t>
      </w:r>
      <w:r w:rsidR="00964DC4">
        <w:rPr>
          <w:rFonts w:ascii="Bookman Old Style" w:hAnsi="Bookman Old Style"/>
          <w:color w:val="auto"/>
          <w:sz w:val="27"/>
          <w:szCs w:val="27"/>
        </w:rPr>
        <w:t xml:space="preserve"> a la interpretación y comprensión de las instituciones jurídico procesales estadounidenses</w:t>
      </w:r>
      <w:r w:rsidR="00535D61">
        <w:rPr>
          <w:rFonts w:ascii="Bookman Old Style" w:hAnsi="Bookman Old Style"/>
          <w:color w:val="auto"/>
          <w:sz w:val="27"/>
          <w:szCs w:val="27"/>
        </w:rPr>
        <w:t xml:space="preserve"> por parte de</w:t>
      </w:r>
      <w:r w:rsidR="00543183">
        <w:rPr>
          <w:rFonts w:ascii="Bookman Old Style" w:hAnsi="Bookman Old Style"/>
          <w:color w:val="auto"/>
          <w:sz w:val="27"/>
          <w:szCs w:val="27"/>
        </w:rPr>
        <w:t xml:space="preserve"> la Sala de Justicia y Paz</w:t>
      </w:r>
      <w:r w:rsidR="00964DC4" w:rsidRPr="00AA2611">
        <w:rPr>
          <w:rFonts w:ascii="Bookman Old Style" w:hAnsi="Bookman Old Style"/>
          <w:color w:val="auto"/>
          <w:sz w:val="25"/>
          <w:szCs w:val="25"/>
        </w:rPr>
        <w:t xml:space="preserve"> </w:t>
      </w:r>
      <w:r w:rsidR="007D7A7B" w:rsidRPr="00154F82">
        <w:rPr>
          <w:rFonts w:ascii="Bookman Old Style" w:hAnsi="Bookman Old Style"/>
          <w:color w:val="auto"/>
          <w:sz w:val="24"/>
          <w:szCs w:val="24"/>
        </w:rPr>
        <w:t>-en lo concerniente a las aceptaciones de culpabilidad, los componentes de la acusación y la sentencia</w:t>
      </w:r>
      <w:r w:rsidR="00AA2611" w:rsidRPr="00154F82">
        <w:rPr>
          <w:rFonts w:ascii="Bookman Old Style" w:hAnsi="Bookman Old Style"/>
          <w:color w:val="auto"/>
          <w:sz w:val="24"/>
          <w:szCs w:val="24"/>
        </w:rPr>
        <w:t xml:space="preserve"> y las exigencias probatorias-</w:t>
      </w:r>
      <w:r w:rsidR="007D7A7B" w:rsidRPr="00154F82">
        <w:rPr>
          <w:rFonts w:ascii="Bookman Old Style" w:hAnsi="Bookman Old Style"/>
          <w:color w:val="auto"/>
          <w:sz w:val="24"/>
          <w:szCs w:val="24"/>
        </w:rPr>
        <w:t xml:space="preserve"> </w:t>
      </w:r>
      <w:r w:rsidR="00872714">
        <w:rPr>
          <w:rFonts w:ascii="Bookman Old Style" w:hAnsi="Bookman Old Style"/>
          <w:color w:val="auto"/>
          <w:sz w:val="27"/>
          <w:szCs w:val="27"/>
        </w:rPr>
        <w:t xml:space="preserve">se ofrecen manifiestamente irrelevantes para la </w:t>
      </w:r>
      <w:r w:rsidR="00945C82" w:rsidRPr="00F53990">
        <w:rPr>
          <w:rFonts w:ascii="Bookman Old Style" w:hAnsi="Bookman Old Style"/>
          <w:color w:val="auto"/>
          <w:sz w:val="27"/>
          <w:szCs w:val="27"/>
        </w:rPr>
        <w:t>r</w:t>
      </w:r>
      <w:r w:rsidR="00872714">
        <w:rPr>
          <w:rFonts w:ascii="Bookman Old Style" w:hAnsi="Bookman Old Style"/>
          <w:color w:val="auto"/>
          <w:sz w:val="27"/>
          <w:szCs w:val="27"/>
        </w:rPr>
        <w:t>esolución del caso bajo estudio.</w:t>
      </w:r>
      <w:r w:rsidR="00F54A93">
        <w:rPr>
          <w:rFonts w:ascii="Bookman Old Style" w:hAnsi="Bookman Old Style"/>
          <w:color w:val="auto"/>
          <w:sz w:val="27"/>
          <w:szCs w:val="27"/>
        </w:rPr>
        <w:t xml:space="preserve"> </w:t>
      </w:r>
      <w:r w:rsidR="0076382B">
        <w:rPr>
          <w:rFonts w:ascii="Bookman Old Style" w:hAnsi="Bookman Old Style"/>
          <w:color w:val="auto"/>
          <w:sz w:val="27"/>
          <w:szCs w:val="27"/>
        </w:rPr>
        <w:t>Tales razones, a</w:t>
      </w:r>
      <w:r w:rsidR="00F54A93">
        <w:rPr>
          <w:rFonts w:ascii="Bookman Old Style" w:hAnsi="Bookman Old Style"/>
          <w:color w:val="auto"/>
          <w:sz w:val="27"/>
          <w:szCs w:val="27"/>
        </w:rPr>
        <w:t xml:space="preserve">demás de ser desatinadas en relación con las </w:t>
      </w:r>
      <w:r w:rsidR="00945C82" w:rsidRPr="00F53990">
        <w:rPr>
          <w:rFonts w:ascii="Bookman Old Style" w:hAnsi="Bookman Old Style"/>
          <w:color w:val="auto"/>
          <w:sz w:val="27"/>
          <w:szCs w:val="27"/>
        </w:rPr>
        <w:t xml:space="preserve">exigencias normativas aplicables al trámite de </w:t>
      </w:r>
      <w:r w:rsidR="00F54A93">
        <w:rPr>
          <w:rFonts w:ascii="Bookman Old Style" w:hAnsi="Bookman Old Style"/>
          <w:i/>
          <w:color w:val="auto"/>
          <w:sz w:val="27"/>
          <w:szCs w:val="27"/>
        </w:rPr>
        <w:t>exclusión</w:t>
      </w:r>
      <w:r w:rsidR="00F54A93">
        <w:rPr>
          <w:rFonts w:ascii="Bookman Old Style" w:hAnsi="Bookman Old Style"/>
          <w:color w:val="auto"/>
          <w:sz w:val="27"/>
          <w:szCs w:val="27"/>
        </w:rPr>
        <w:t>, se ofrecen absolutamente i</w:t>
      </w:r>
      <w:r w:rsidR="00E85367">
        <w:rPr>
          <w:rFonts w:ascii="Bookman Old Style" w:hAnsi="Bookman Old Style"/>
          <w:color w:val="auto"/>
          <w:sz w:val="27"/>
          <w:szCs w:val="27"/>
        </w:rPr>
        <w:t xml:space="preserve">nadmisibles, por cuanto, en su conjunto, </w:t>
      </w:r>
      <w:r w:rsidR="00185231">
        <w:rPr>
          <w:rFonts w:ascii="Bookman Old Style" w:hAnsi="Bookman Old Style"/>
          <w:color w:val="auto"/>
          <w:sz w:val="27"/>
          <w:szCs w:val="27"/>
        </w:rPr>
        <w:t>proponen una discusión</w:t>
      </w:r>
      <w:r w:rsidR="0076382B">
        <w:rPr>
          <w:rFonts w:ascii="Bookman Old Style" w:hAnsi="Bookman Old Style"/>
          <w:color w:val="auto"/>
          <w:sz w:val="27"/>
          <w:szCs w:val="27"/>
        </w:rPr>
        <w:t xml:space="preserve"> </w:t>
      </w:r>
      <w:r w:rsidR="0076382B">
        <w:rPr>
          <w:rFonts w:ascii="Bookman Old Style" w:hAnsi="Bookman Old Style"/>
          <w:color w:val="auto"/>
          <w:sz w:val="25"/>
          <w:szCs w:val="25"/>
        </w:rPr>
        <w:t>-</w:t>
      </w:r>
      <w:r w:rsidR="0076382B" w:rsidRPr="00C11FDE">
        <w:rPr>
          <w:rFonts w:ascii="Bookman Old Style" w:hAnsi="Bookman Old Style"/>
          <w:color w:val="auto"/>
          <w:sz w:val="24"/>
          <w:szCs w:val="24"/>
        </w:rPr>
        <w:t>indebidamente propiciada por la magistrada de</w:t>
      </w:r>
      <w:r w:rsidR="00B54189">
        <w:rPr>
          <w:rFonts w:ascii="Bookman Old Style" w:hAnsi="Bookman Old Style"/>
          <w:color w:val="auto"/>
          <w:sz w:val="24"/>
          <w:szCs w:val="24"/>
        </w:rPr>
        <w:t>l Tribunal</w:t>
      </w:r>
      <w:r w:rsidR="0076382B" w:rsidRPr="00C11FDE">
        <w:rPr>
          <w:rFonts w:ascii="Bookman Old Style" w:hAnsi="Bookman Old Style"/>
          <w:color w:val="auto"/>
          <w:sz w:val="24"/>
          <w:szCs w:val="24"/>
        </w:rPr>
        <w:t xml:space="preserve"> que salvó el voto-</w:t>
      </w:r>
      <w:r w:rsidR="00185231">
        <w:rPr>
          <w:rFonts w:ascii="Bookman Old Style" w:hAnsi="Bookman Old Style"/>
          <w:color w:val="auto"/>
          <w:sz w:val="27"/>
          <w:szCs w:val="27"/>
        </w:rPr>
        <w:t xml:space="preserve"> que la judicatura colombiana de ninguna manera puede abordar, como es la interpretación</w:t>
      </w:r>
      <w:r w:rsidR="00CD74AA">
        <w:rPr>
          <w:rFonts w:ascii="Bookman Old Style" w:hAnsi="Bookman Old Style"/>
          <w:color w:val="auto"/>
          <w:sz w:val="27"/>
          <w:szCs w:val="27"/>
        </w:rPr>
        <w:t xml:space="preserve"> </w:t>
      </w:r>
      <w:r w:rsidR="00482EF4">
        <w:rPr>
          <w:rFonts w:ascii="Bookman Old Style" w:hAnsi="Bookman Old Style"/>
          <w:color w:val="auto"/>
          <w:sz w:val="27"/>
          <w:szCs w:val="27"/>
        </w:rPr>
        <w:t xml:space="preserve">y delimitación del ámbito de aplicación de normas e institutos jurídicos pertenecientes a un sistema jurídico foráneo. </w:t>
      </w:r>
    </w:p>
    <w:p w14:paraId="3C338AE8" w14:textId="77777777" w:rsidR="00F54A93" w:rsidRDefault="00F54A93" w:rsidP="00142BB6">
      <w:pPr>
        <w:pStyle w:val="estilo1"/>
        <w:spacing w:before="0" w:after="0" w:line="336" w:lineRule="auto"/>
        <w:ind w:left="0" w:right="0"/>
        <w:jc w:val="both"/>
        <w:rPr>
          <w:rFonts w:ascii="Bookman Old Style" w:hAnsi="Bookman Old Style"/>
          <w:i/>
          <w:color w:val="auto"/>
          <w:sz w:val="27"/>
          <w:szCs w:val="27"/>
        </w:rPr>
      </w:pPr>
    </w:p>
    <w:p w14:paraId="57C1262B" w14:textId="77777777" w:rsidR="00482EAE" w:rsidRDefault="004876CE" w:rsidP="00142BB6">
      <w:pPr>
        <w:pStyle w:val="Style4"/>
        <w:widowControl/>
        <w:spacing w:line="336" w:lineRule="auto"/>
        <w:rPr>
          <w:rStyle w:val="FontStyle27"/>
          <w:sz w:val="27"/>
          <w:szCs w:val="27"/>
          <w:lang w:val="es-CO" w:eastAsia="en-US"/>
        </w:rPr>
      </w:pPr>
      <w:r>
        <w:rPr>
          <w:rStyle w:val="FontStyle27"/>
          <w:sz w:val="28"/>
          <w:szCs w:val="28"/>
          <w:lang w:val="es-CO" w:eastAsia="en-US"/>
        </w:rPr>
        <w:tab/>
      </w:r>
      <w:r w:rsidRPr="00094F96">
        <w:rPr>
          <w:rStyle w:val="FontStyle27"/>
          <w:sz w:val="27"/>
          <w:szCs w:val="27"/>
          <w:lang w:val="es-CO" w:eastAsia="en-US"/>
        </w:rPr>
        <w:t xml:space="preserve">Desde esa perspectiva, la refutación del </w:t>
      </w:r>
      <w:r w:rsidR="00142BB6" w:rsidRPr="00094F96">
        <w:rPr>
          <w:rStyle w:val="FontStyle27"/>
          <w:sz w:val="27"/>
          <w:szCs w:val="27"/>
          <w:lang w:val="es-CO" w:eastAsia="en-US"/>
        </w:rPr>
        <w:t>apelante</w:t>
      </w:r>
      <w:r w:rsidRPr="00094F96">
        <w:rPr>
          <w:rStyle w:val="FontStyle27"/>
          <w:sz w:val="27"/>
          <w:szCs w:val="27"/>
          <w:lang w:val="es-CO" w:eastAsia="en-US"/>
        </w:rPr>
        <w:t xml:space="preserve"> carece por completo de solidez. </w:t>
      </w:r>
      <w:r w:rsidR="004D47D6">
        <w:rPr>
          <w:rStyle w:val="FontStyle27"/>
          <w:sz w:val="27"/>
          <w:szCs w:val="27"/>
          <w:lang w:val="es-CO" w:eastAsia="en-US"/>
        </w:rPr>
        <w:t>A</w:t>
      </w:r>
      <w:r w:rsidRPr="00094F96">
        <w:rPr>
          <w:rStyle w:val="FontStyle27"/>
          <w:sz w:val="27"/>
          <w:szCs w:val="27"/>
          <w:lang w:val="es-CO" w:eastAsia="en-US"/>
        </w:rPr>
        <w:t xml:space="preserve"> la luz del art. 230 </w:t>
      </w:r>
      <w:r w:rsidR="005E7998">
        <w:rPr>
          <w:rStyle w:val="FontStyle27"/>
          <w:sz w:val="27"/>
          <w:szCs w:val="27"/>
          <w:lang w:val="es-CO" w:eastAsia="en-US"/>
        </w:rPr>
        <w:t xml:space="preserve">inc. 1º </w:t>
      </w:r>
      <w:r w:rsidRPr="00094F96">
        <w:rPr>
          <w:rStyle w:val="FontStyle27"/>
          <w:sz w:val="27"/>
          <w:szCs w:val="27"/>
          <w:lang w:val="es-CO" w:eastAsia="en-US"/>
        </w:rPr>
        <w:t xml:space="preserve">de la Constitución, en sus providencias, los jueces sólo están sometidos al imperio de la ley. Tal mandato, desde luego, se refiere al </w:t>
      </w:r>
      <w:r w:rsidRPr="002C2E24">
        <w:rPr>
          <w:rStyle w:val="FontStyle27"/>
          <w:i/>
          <w:sz w:val="27"/>
          <w:szCs w:val="27"/>
          <w:lang w:val="es-CO" w:eastAsia="en-US"/>
        </w:rPr>
        <w:t>ordenamiento jurídico colombiano</w:t>
      </w:r>
      <w:r w:rsidRPr="00094F96">
        <w:rPr>
          <w:rStyle w:val="FontStyle27"/>
          <w:sz w:val="27"/>
          <w:szCs w:val="27"/>
          <w:lang w:val="es-CO" w:eastAsia="en-US"/>
        </w:rPr>
        <w:t xml:space="preserve"> (arts. 1º y 4º </w:t>
      </w:r>
      <w:r w:rsidRPr="002C2E24">
        <w:rPr>
          <w:rStyle w:val="FontStyle27"/>
          <w:i/>
          <w:sz w:val="27"/>
          <w:szCs w:val="27"/>
          <w:lang w:val="es-CO" w:eastAsia="en-US"/>
        </w:rPr>
        <w:t>ídem</w:t>
      </w:r>
      <w:r w:rsidRPr="00094F96">
        <w:rPr>
          <w:rStyle w:val="FontStyle27"/>
          <w:sz w:val="27"/>
          <w:szCs w:val="27"/>
          <w:lang w:val="es-CO" w:eastAsia="en-US"/>
        </w:rPr>
        <w:t xml:space="preserve">). </w:t>
      </w:r>
      <w:r w:rsidR="002C2E24">
        <w:rPr>
          <w:rStyle w:val="FontStyle27"/>
          <w:sz w:val="27"/>
          <w:szCs w:val="27"/>
          <w:lang w:val="es-CO" w:eastAsia="en-US"/>
        </w:rPr>
        <w:t>L</w:t>
      </w:r>
      <w:r w:rsidR="00094F96">
        <w:rPr>
          <w:rStyle w:val="FontStyle27"/>
          <w:sz w:val="27"/>
          <w:szCs w:val="27"/>
          <w:lang w:val="es-CO" w:eastAsia="en-US"/>
        </w:rPr>
        <w:t>a Corte ni ninguna otra autoridad jurisdiccional es intérprete legítimo de ordenamientos jur</w:t>
      </w:r>
      <w:r w:rsidR="004E21C1">
        <w:rPr>
          <w:rStyle w:val="FontStyle27"/>
          <w:sz w:val="27"/>
          <w:szCs w:val="27"/>
          <w:lang w:val="es-CO" w:eastAsia="en-US"/>
        </w:rPr>
        <w:t xml:space="preserve">ídicos extranjeros, por lo que mal </w:t>
      </w:r>
      <w:r w:rsidR="004E21C1">
        <w:rPr>
          <w:rStyle w:val="FontStyle27"/>
          <w:sz w:val="27"/>
          <w:szCs w:val="27"/>
          <w:lang w:val="es-CO" w:eastAsia="en-US"/>
        </w:rPr>
        <w:lastRenderedPageBreak/>
        <w:t xml:space="preserve">puede el impugnante pretender que la Sala discurra </w:t>
      </w:r>
      <w:r w:rsidR="002B226E">
        <w:rPr>
          <w:rStyle w:val="FontStyle27"/>
          <w:sz w:val="27"/>
          <w:szCs w:val="27"/>
          <w:lang w:val="es-CO" w:eastAsia="en-US"/>
        </w:rPr>
        <w:t>al respecto; menos cuando la base de sus reclamos ni</w:t>
      </w:r>
      <w:r w:rsidR="00117319">
        <w:rPr>
          <w:rStyle w:val="FontStyle27"/>
          <w:sz w:val="27"/>
          <w:szCs w:val="27"/>
          <w:lang w:val="es-CO" w:eastAsia="en-US"/>
        </w:rPr>
        <w:t xml:space="preserve"> siquiera se funda en </w:t>
      </w:r>
      <w:r w:rsidR="00FB5C1F">
        <w:rPr>
          <w:rStyle w:val="FontStyle27"/>
          <w:sz w:val="27"/>
          <w:szCs w:val="27"/>
          <w:lang w:val="es-CO" w:eastAsia="en-US"/>
        </w:rPr>
        <w:t>la consulta de las fuentes de derecho aplicables en un determinado sistema jurídico, sino en la mera oposición de lecturas subjetivas</w:t>
      </w:r>
      <w:r w:rsidR="006C488E">
        <w:rPr>
          <w:rStyle w:val="FontStyle27"/>
          <w:sz w:val="27"/>
          <w:szCs w:val="27"/>
          <w:lang w:val="es-CO" w:eastAsia="en-US"/>
        </w:rPr>
        <w:t xml:space="preserve"> </w:t>
      </w:r>
      <w:r w:rsidR="00B75FC7">
        <w:rPr>
          <w:rStyle w:val="FontStyle27"/>
          <w:sz w:val="27"/>
          <w:szCs w:val="27"/>
          <w:lang w:val="es-CO" w:eastAsia="en-US"/>
        </w:rPr>
        <w:t xml:space="preserve">e invocación </w:t>
      </w:r>
      <w:r w:rsidR="00116ED7">
        <w:rPr>
          <w:rStyle w:val="FontStyle27"/>
          <w:sz w:val="27"/>
          <w:szCs w:val="27"/>
          <w:lang w:val="es-CO" w:eastAsia="en-US"/>
        </w:rPr>
        <w:t xml:space="preserve">impertinente de pasajes doctrinales </w:t>
      </w:r>
      <w:r w:rsidR="00116ED7">
        <w:rPr>
          <w:rStyle w:val="FontStyle27"/>
          <w:sz w:val="25"/>
          <w:szCs w:val="25"/>
          <w:lang w:val="es-CO" w:eastAsia="en-US"/>
        </w:rPr>
        <w:t xml:space="preserve">–que, </w:t>
      </w:r>
      <w:r w:rsidR="00116ED7" w:rsidRPr="00FB5C1F">
        <w:rPr>
          <w:rStyle w:val="FontStyle27"/>
          <w:sz w:val="25"/>
          <w:szCs w:val="25"/>
          <w:lang w:val="es-CO" w:eastAsia="en-US"/>
        </w:rPr>
        <w:t>además,</w:t>
      </w:r>
      <w:r w:rsidR="00116ED7">
        <w:rPr>
          <w:rStyle w:val="FontStyle27"/>
          <w:sz w:val="25"/>
          <w:szCs w:val="25"/>
          <w:lang w:val="es-CO" w:eastAsia="en-US"/>
        </w:rPr>
        <w:t xml:space="preserve"> son</w:t>
      </w:r>
      <w:r w:rsidR="00116ED7" w:rsidRPr="00FB5C1F">
        <w:rPr>
          <w:rStyle w:val="FontStyle27"/>
          <w:sz w:val="25"/>
          <w:szCs w:val="25"/>
          <w:lang w:val="es-CO" w:eastAsia="en-US"/>
        </w:rPr>
        <w:t xml:space="preserve"> </w:t>
      </w:r>
      <w:r w:rsidR="00AA3B7A">
        <w:rPr>
          <w:rStyle w:val="FontStyle27"/>
          <w:sz w:val="25"/>
          <w:szCs w:val="25"/>
          <w:lang w:val="es-CO" w:eastAsia="en-US"/>
        </w:rPr>
        <w:t>contraevidentes con</w:t>
      </w:r>
      <w:r w:rsidR="00116ED7" w:rsidRPr="00FB5C1F">
        <w:rPr>
          <w:rStyle w:val="FontStyle27"/>
          <w:sz w:val="25"/>
          <w:szCs w:val="25"/>
          <w:lang w:val="es-CO" w:eastAsia="en-US"/>
        </w:rPr>
        <w:t xml:space="preserve"> lo que muestran las piezas documentales incorporadas al presente trámite-</w:t>
      </w:r>
      <w:r w:rsidR="00482EAE">
        <w:rPr>
          <w:rStyle w:val="FontStyle27"/>
          <w:sz w:val="25"/>
          <w:szCs w:val="25"/>
          <w:lang w:val="es-CO" w:eastAsia="en-US"/>
        </w:rPr>
        <w:t xml:space="preserve"> </w:t>
      </w:r>
      <w:r w:rsidR="003E5344">
        <w:rPr>
          <w:rStyle w:val="FontStyle27"/>
          <w:sz w:val="27"/>
          <w:szCs w:val="27"/>
          <w:lang w:val="es-CO" w:eastAsia="en-US"/>
        </w:rPr>
        <w:t xml:space="preserve">sobre lo que, </w:t>
      </w:r>
      <w:r w:rsidR="003E5344" w:rsidRPr="0078094D">
        <w:rPr>
          <w:rStyle w:val="FontStyle27"/>
          <w:i/>
          <w:sz w:val="27"/>
          <w:szCs w:val="27"/>
          <w:lang w:val="es-CO" w:eastAsia="en-US"/>
        </w:rPr>
        <w:t>a su modo de ver</w:t>
      </w:r>
      <w:r w:rsidR="003E5344">
        <w:rPr>
          <w:rStyle w:val="FontStyle27"/>
          <w:sz w:val="27"/>
          <w:szCs w:val="27"/>
          <w:lang w:val="es-CO" w:eastAsia="en-US"/>
        </w:rPr>
        <w:t xml:space="preserve">, </w:t>
      </w:r>
      <w:r w:rsidR="0078094D">
        <w:rPr>
          <w:rStyle w:val="FontStyle27"/>
          <w:sz w:val="27"/>
          <w:szCs w:val="27"/>
          <w:lang w:val="es-CO" w:eastAsia="en-US"/>
        </w:rPr>
        <w:t>es el proceso penal estadounidense.</w:t>
      </w:r>
    </w:p>
    <w:p w14:paraId="276ABBE1" w14:textId="77777777" w:rsidR="00482EAE" w:rsidRDefault="00482EAE" w:rsidP="00142BB6">
      <w:pPr>
        <w:pStyle w:val="Style4"/>
        <w:widowControl/>
        <w:spacing w:line="336" w:lineRule="auto"/>
        <w:rPr>
          <w:rStyle w:val="FontStyle27"/>
          <w:sz w:val="27"/>
          <w:szCs w:val="27"/>
          <w:lang w:val="es-CO" w:eastAsia="en-US"/>
        </w:rPr>
      </w:pPr>
    </w:p>
    <w:p w14:paraId="1FEC658B" w14:textId="77777777" w:rsidR="00285AA8" w:rsidRDefault="00482EAE" w:rsidP="00142BB6">
      <w:pPr>
        <w:pStyle w:val="Style4"/>
        <w:widowControl/>
        <w:spacing w:line="336" w:lineRule="auto"/>
        <w:rPr>
          <w:rStyle w:val="FontStyle27"/>
          <w:sz w:val="27"/>
          <w:szCs w:val="27"/>
          <w:lang w:val="es-CO" w:eastAsia="en-US"/>
        </w:rPr>
      </w:pPr>
      <w:r>
        <w:rPr>
          <w:rStyle w:val="FontStyle27"/>
          <w:sz w:val="27"/>
          <w:szCs w:val="27"/>
          <w:lang w:val="es-CO" w:eastAsia="en-US"/>
        </w:rPr>
        <w:tab/>
      </w:r>
      <w:r w:rsidR="00D24D4E">
        <w:rPr>
          <w:rStyle w:val="FontStyle27"/>
          <w:sz w:val="27"/>
          <w:szCs w:val="27"/>
          <w:lang w:val="es-CO" w:eastAsia="en-US"/>
        </w:rPr>
        <w:t>Por consiguiente, l</w:t>
      </w:r>
      <w:r w:rsidR="008030A3">
        <w:rPr>
          <w:rStyle w:val="FontStyle27"/>
          <w:sz w:val="27"/>
          <w:szCs w:val="27"/>
          <w:lang w:val="es-CO" w:eastAsia="en-US"/>
        </w:rPr>
        <w:t xml:space="preserve">a decisión adoptada </w:t>
      </w:r>
      <w:r w:rsidR="00D24D4E" w:rsidRPr="00D24D4E">
        <w:rPr>
          <w:rStyle w:val="FontStyle27"/>
          <w:i/>
          <w:sz w:val="27"/>
          <w:szCs w:val="27"/>
          <w:lang w:val="es-CO" w:eastAsia="en-US"/>
        </w:rPr>
        <w:t xml:space="preserve">mayoritariamente </w:t>
      </w:r>
      <w:r w:rsidR="008030A3">
        <w:rPr>
          <w:rStyle w:val="FontStyle27"/>
          <w:sz w:val="27"/>
          <w:szCs w:val="27"/>
          <w:lang w:val="es-CO" w:eastAsia="en-US"/>
        </w:rPr>
        <w:t>por la Sala de Justicia y Paz</w:t>
      </w:r>
      <w:r w:rsidR="00D24D4E">
        <w:rPr>
          <w:rStyle w:val="FontStyle27"/>
          <w:sz w:val="27"/>
          <w:szCs w:val="27"/>
          <w:lang w:val="es-CO" w:eastAsia="en-US"/>
        </w:rPr>
        <w:t xml:space="preserve"> del Tribunal de Bogotá</w:t>
      </w:r>
      <w:r w:rsidR="001763E7">
        <w:rPr>
          <w:rStyle w:val="FontStyle27"/>
          <w:sz w:val="27"/>
          <w:szCs w:val="27"/>
          <w:lang w:val="es-CO" w:eastAsia="en-US"/>
        </w:rPr>
        <w:t xml:space="preserve">, </w:t>
      </w:r>
      <w:r w:rsidR="008313B6">
        <w:rPr>
          <w:rStyle w:val="FontStyle27"/>
          <w:sz w:val="27"/>
          <w:szCs w:val="27"/>
          <w:lang w:val="es-CO" w:eastAsia="en-US"/>
        </w:rPr>
        <w:t xml:space="preserve">en lo que concierne a los </w:t>
      </w:r>
      <w:r w:rsidR="008313B6" w:rsidRPr="00D24D4E">
        <w:rPr>
          <w:rStyle w:val="FontStyle27"/>
          <w:i/>
          <w:sz w:val="27"/>
          <w:szCs w:val="27"/>
          <w:lang w:val="es-CO" w:eastAsia="en-US"/>
        </w:rPr>
        <w:t>efectos</w:t>
      </w:r>
      <w:r w:rsidR="008313B6">
        <w:rPr>
          <w:rStyle w:val="FontStyle27"/>
          <w:sz w:val="27"/>
          <w:szCs w:val="27"/>
          <w:lang w:val="es-CO" w:eastAsia="en-US"/>
        </w:rPr>
        <w:t xml:space="preserve"> conferidos al fallo condenatorio dictado por el Tribunal del Distrito Sur de la Florida</w:t>
      </w:r>
      <w:r w:rsidR="0078094D">
        <w:rPr>
          <w:rStyle w:val="FontStyle27"/>
          <w:sz w:val="27"/>
          <w:szCs w:val="27"/>
          <w:lang w:val="es-CO" w:eastAsia="en-US"/>
        </w:rPr>
        <w:t xml:space="preserve"> </w:t>
      </w:r>
      <w:r w:rsidR="008313B6">
        <w:rPr>
          <w:rStyle w:val="FontStyle27"/>
          <w:sz w:val="27"/>
          <w:szCs w:val="27"/>
          <w:lang w:val="es-CO" w:eastAsia="en-US"/>
        </w:rPr>
        <w:t xml:space="preserve">es correcta. </w:t>
      </w:r>
      <w:r w:rsidR="00D24D4E">
        <w:rPr>
          <w:rStyle w:val="FontStyle27"/>
          <w:sz w:val="27"/>
          <w:szCs w:val="27"/>
          <w:lang w:val="es-CO" w:eastAsia="en-US"/>
        </w:rPr>
        <w:t>Encuentra soporte en el art. 17 inc. 1º del CP, de acuerdo con el cual la sentencia absolutoria o condenatoria pronunciada en el extranjero tendrá valor de cosa juzgada para todos los efectos legales.</w:t>
      </w:r>
    </w:p>
    <w:p w14:paraId="622C1EEA" w14:textId="77777777" w:rsidR="00285AA8" w:rsidRDefault="00285AA8" w:rsidP="00142BB6">
      <w:pPr>
        <w:pStyle w:val="Style4"/>
        <w:widowControl/>
        <w:spacing w:line="336" w:lineRule="auto"/>
        <w:rPr>
          <w:rStyle w:val="FontStyle27"/>
          <w:sz w:val="27"/>
          <w:szCs w:val="27"/>
          <w:lang w:val="es-CO" w:eastAsia="en-US"/>
        </w:rPr>
      </w:pPr>
    </w:p>
    <w:p w14:paraId="1F29AE52" w14:textId="3D958CCE" w:rsidR="003F20EF" w:rsidRPr="00E15362" w:rsidRDefault="00285AA8" w:rsidP="00142BB6">
      <w:pPr>
        <w:pStyle w:val="Style4"/>
        <w:widowControl/>
        <w:spacing w:line="336" w:lineRule="auto"/>
        <w:rPr>
          <w:rStyle w:val="FontStyle27"/>
          <w:sz w:val="27"/>
          <w:szCs w:val="27"/>
          <w:lang w:val="es-CO" w:eastAsia="en-US"/>
        </w:rPr>
      </w:pPr>
      <w:r>
        <w:rPr>
          <w:rStyle w:val="FontStyle27"/>
          <w:sz w:val="27"/>
          <w:szCs w:val="27"/>
          <w:lang w:val="es-CO" w:eastAsia="en-US"/>
        </w:rPr>
        <w:tab/>
      </w:r>
      <w:r w:rsidR="00780921">
        <w:rPr>
          <w:rStyle w:val="FontStyle27"/>
          <w:sz w:val="27"/>
          <w:szCs w:val="27"/>
          <w:lang w:val="es-CO" w:eastAsia="en-US"/>
        </w:rPr>
        <w:t>Tal disposici</w:t>
      </w:r>
      <w:r w:rsidR="00D71F5F">
        <w:rPr>
          <w:rStyle w:val="FontStyle27"/>
          <w:sz w:val="27"/>
          <w:szCs w:val="27"/>
          <w:lang w:val="es-CO" w:eastAsia="en-US"/>
        </w:rPr>
        <w:t xml:space="preserve">ón es desarrollo de la garantía del </w:t>
      </w:r>
      <w:r w:rsidR="00D71F5F">
        <w:rPr>
          <w:rStyle w:val="FontStyle27"/>
          <w:i/>
          <w:sz w:val="27"/>
          <w:szCs w:val="27"/>
          <w:lang w:val="es-CO" w:eastAsia="en-US"/>
        </w:rPr>
        <w:t xml:space="preserve">non bis in ídem </w:t>
      </w:r>
      <w:r w:rsidR="00D71F5F">
        <w:rPr>
          <w:rStyle w:val="FontStyle27"/>
          <w:sz w:val="27"/>
          <w:szCs w:val="27"/>
          <w:lang w:val="es-CO" w:eastAsia="en-US"/>
        </w:rPr>
        <w:t>(art</w:t>
      </w:r>
      <w:r w:rsidR="00195815">
        <w:rPr>
          <w:rStyle w:val="FontStyle27"/>
          <w:sz w:val="27"/>
          <w:szCs w:val="27"/>
          <w:lang w:val="es-CO" w:eastAsia="en-US"/>
        </w:rPr>
        <w:t>s</w:t>
      </w:r>
      <w:r w:rsidR="00D71F5F">
        <w:rPr>
          <w:rStyle w:val="FontStyle27"/>
          <w:sz w:val="27"/>
          <w:szCs w:val="27"/>
          <w:lang w:val="es-CO" w:eastAsia="en-US"/>
        </w:rPr>
        <w:t>. 29 inc. 4º Const. Pol.</w:t>
      </w:r>
      <w:r w:rsidR="004D7058">
        <w:rPr>
          <w:rStyle w:val="FontStyle27"/>
          <w:sz w:val="27"/>
          <w:szCs w:val="27"/>
          <w:lang w:val="es-CO" w:eastAsia="en-US"/>
        </w:rPr>
        <w:t xml:space="preserve"> y</w:t>
      </w:r>
      <w:r w:rsidR="00195815">
        <w:rPr>
          <w:rStyle w:val="FontStyle27"/>
          <w:sz w:val="27"/>
          <w:szCs w:val="27"/>
          <w:lang w:val="es-CO" w:eastAsia="en-US"/>
        </w:rPr>
        <w:t xml:space="preserve"> 14-7 </w:t>
      </w:r>
      <w:r w:rsidR="004D7058">
        <w:rPr>
          <w:rStyle w:val="FontStyle27"/>
          <w:sz w:val="27"/>
          <w:szCs w:val="27"/>
          <w:lang w:val="es-CO" w:eastAsia="en-US"/>
        </w:rPr>
        <w:t xml:space="preserve">del </w:t>
      </w:r>
      <w:r w:rsidR="00195815">
        <w:rPr>
          <w:rStyle w:val="FontStyle27"/>
          <w:sz w:val="27"/>
          <w:szCs w:val="27"/>
          <w:lang w:val="es-CO" w:eastAsia="en-US"/>
        </w:rPr>
        <w:t>PIDCP</w:t>
      </w:r>
      <w:r w:rsidR="00D71F5F">
        <w:rPr>
          <w:rStyle w:val="FontStyle27"/>
          <w:sz w:val="27"/>
          <w:szCs w:val="27"/>
          <w:lang w:val="es-CO" w:eastAsia="en-US"/>
        </w:rPr>
        <w:t>)</w:t>
      </w:r>
      <w:r w:rsidR="004D7058">
        <w:rPr>
          <w:rStyle w:val="FontStyle27"/>
          <w:sz w:val="27"/>
          <w:szCs w:val="27"/>
          <w:lang w:val="es-CO" w:eastAsia="en-US"/>
        </w:rPr>
        <w:t xml:space="preserve">. Si el Estado colombiano, en cumplimiento del principio </w:t>
      </w:r>
      <w:r w:rsidR="006B2B76">
        <w:rPr>
          <w:rStyle w:val="FontStyle27"/>
          <w:i/>
          <w:sz w:val="27"/>
          <w:szCs w:val="27"/>
          <w:lang w:val="es-CO" w:eastAsia="en-US"/>
        </w:rPr>
        <w:t>aut dedere aut judicare</w:t>
      </w:r>
      <w:r w:rsidR="004D7058">
        <w:rPr>
          <w:rStyle w:val="FontStyle27"/>
          <w:i/>
          <w:sz w:val="27"/>
          <w:szCs w:val="27"/>
          <w:lang w:val="es-CO" w:eastAsia="en-US"/>
        </w:rPr>
        <w:t xml:space="preserve"> </w:t>
      </w:r>
      <w:r w:rsidR="006B2B76" w:rsidRPr="009F4E5F">
        <w:rPr>
          <w:rStyle w:val="FontStyle27"/>
          <w:lang w:val="es-CO" w:eastAsia="en-US"/>
        </w:rPr>
        <w:t>-</w:t>
      </w:r>
      <w:r w:rsidR="004D7058" w:rsidRPr="009F4E5F">
        <w:rPr>
          <w:rStyle w:val="FontStyle27"/>
          <w:lang w:val="es-CO" w:eastAsia="en-US"/>
        </w:rPr>
        <w:t xml:space="preserve">conforme al cual los Estados están obligados a perseguir internamente o, en su defecto, a poner en disposición de otro Estado al </w:t>
      </w:r>
      <w:r w:rsidR="006B2B76" w:rsidRPr="009F4E5F">
        <w:rPr>
          <w:rStyle w:val="FontStyle27"/>
          <w:lang w:val="es-CO" w:eastAsia="en-US"/>
        </w:rPr>
        <w:t>responsable</w:t>
      </w:r>
      <w:r w:rsidR="00C8578A" w:rsidRPr="009F4E5F">
        <w:rPr>
          <w:rStyle w:val="Refdenotaalpie"/>
          <w:color w:val="000000"/>
        </w:rPr>
        <w:footnoteReference w:id="21"/>
      </w:r>
      <w:r w:rsidR="006B2B76" w:rsidRPr="009F4E5F">
        <w:rPr>
          <w:rStyle w:val="FontStyle27"/>
          <w:lang w:val="es-CO" w:eastAsia="en-US"/>
        </w:rPr>
        <w:t>-</w:t>
      </w:r>
      <w:r w:rsidR="008F44FE">
        <w:rPr>
          <w:rStyle w:val="FontStyle27"/>
          <w:sz w:val="27"/>
          <w:szCs w:val="27"/>
          <w:lang w:val="es-CO" w:eastAsia="en-US"/>
        </w:rPr>
        <w:t xml:space="preserve"> </w:t>
      </w:r>
      <w:r w:rsidR="0011409D">
        <w:rPr>
          <w:rStyle w:val="FontStyle27"/>
          <w:sz w:val="27"/>
          <w:szCs w:val="27"/>
          <w:lang w:val="es-CO" w:eastAsia="en-US"/>
        </w:rPr>
        <w:t xml:space="preserve">extraditó al postulado y los Estados Unidos ejercieron su jurisdicción mediante la emisión de </w:t>
      </w:r>
      <w:r w:rsidR="00604149">
        <w:rPr>
          <w:rStyle w:val="FontStyle27"/>
          <w:sz w:val="27"/>
          <w:szCs w:val="27"/>
          <w:lang w:val="es-CO" w:eastAsia="en-US"/>
        </w:rPr>
        <w:t>una sentencia condenatoria, es c</w:t>
      </w:r>
      <w:r w:rsidR="003F20EF">
        <w:rPr>
          <w:rStyle w:val="FontStyle27"/>
          <w:sz w:val="27"/>
          <w:szCs w:val="27"/>
          <w:lang w:val="es-CO" w:eastAsia="en-US"/>
        </w:rPr>
        <w:t>laro que la justicia colombiana renunció a las posibilidades de investigar</w:t>
      </w:r>
      <w:r w:rsidR="00FE51F0">
        <w:rPr>
          <w:rStyle w:val="FontStyle27"/>
          <w:sz w:val="27"/>
          <w:szCs w:val="27"/>
          <w:lang w:val="es-CO" w:eastAsia="en-US"/>
        </w:rPr>
        <w:t>lo</w:t>
      </w:r>
      <w:r w:rsidR="003F20EF">
        <w:rPr>
          <w:rStyle w:val="FontStyle27"/>
          <w:sz w:val="27"/>
          <w:szCs w:val="27"/>
          <w:lang w:val="es-CO" w:eastAsia="en-US"/>
        </w:rPr>
        <w:t xml:space="preserve"> y juzgar</w:t>
      </w:r>
      <w:r w:rsidR="00281749">
        <w:rPr>
          <w:rStyle w:val="FontStyle27"/>
          <w:sz w:val="27"/>
          <w:szCs w:val="27"/>
          <w:lang w:val="es-CO" w:eastAsia="en-US"/>
        </w:rPr>
        <w:t>lo</w:t>
      </w:r>
      <w:r w:rsidR="003F20EF">
        <w:rPr>
          <w:rStyle w:val="FontStyle27"/>
          <w:sz w:val="27"/>
          <w:szCs w:val="27"/>
          <w:lang w:val="es-CO" w:eastAsia="en-US"/>
        </w:rPr>
        <w:t xml:space="preserve"> por los cargos con fundamento en los cuales se concedi</w:t>
      </w:r>
      <w:r w:rsidR="003111FA">
        <w:rPr>
          <w:rStyle w:val="FontStyle27"/>
          <w:sz w:val="27"/>
          <w:szCs w:val="27"/>
          <w:lang w:val="es-CO" w:eastAsia="en-US"/>
        </w:rPr>
        <w:t>ó su</w:t>
      </w:r>
      <w:r w:rsidR="003F20EF">
        <w:rPr>
          <w:rStyle w:val="FontStyle27"/>
          <w:sz w:val="27"/>
          <w:szCs w:val="27"/>
          <w:lang w:val="es-CO" w:eastAsia="en-US"/>
        </w:rPr>
        <w:t xml:space="preserve"> extradición. Este es un argumento que, articulado con lo expuesto en el num. 3.2 </w:t>
      </w:r>
      <w:r w:rsidR="003F20EF">
        <w:rPr>
          <w:rStyle w:val="FontStyle27"/>
          <w:sz w:val="27"/>
          <w:szCs w:val="27"/>
          <w:lang w:val="es-CO" w:eastAsia="en-US"/>
        </w:rPr>
        <w:lastRenderedPageBreak/>
        <w:t xml:space="preserve">de esta decisión, en relación con el objeto del procedimiento de exclusión del proceso de justicia y paz, </w:t>
      </w:r>
      <w:r w:rsidR="00E15362">
        <w:rPr>
          <w:rStyle w:val="FontStyle27"/>
          <w:sz w:val="27"/>
          <w:szCs w:val="27"/>
          <w:lang w:val="es-CO" w:eastAsia="en-US"/>
        </w:rPr>
        <w:t xml:space="preserve">impide </w:t>
      </w:r>
      <w:r w:rsidR="00E15362" w:rsidRPr="008B5D7B">
        <w:rPr>
          <w:rStyle w:val="FontStyle27"/>
          <w:i/>
          <w:sz w:val="27"/>
          <w:szCs w:val="27"/>
          <w:lang w:val="es-CO" w:eastAsia="en-US"/>
        </w:rPr>
        <w:t>escrutar</w:t>
      </w:r>
      <w:r w:rsidR="00E15362">
        <w:rPr>
          <w:rStyle w:val="FontStyle27"/>
          <w:sz w:val="27"/>
          <w:szCs w:val="27"/>
          <w:lang w:val="es-CO" w:eastAsia="en-US"/>
        </w:rPr>
        <w:t>, como lo pretende el apelante, si el señor JIMÉNEZ NARANJO en verdad incurrió en los delitos por los cuales se pronunció una condena en su contra en el exterior. Tal posibilidad está vedada</w:t>
      </w:r>
      <w:r w:rsidR="004F6DF5">
        <w:rPr>
          <w:rStyle w:val="FontStyle27"/>
          <w:sz w:val="27"/>
          <w:szCs w:val="27"/>
          <w:lang w:val="es-CO" w:eastAsia="en-US"/>
        </w:rPr>
        <w:t xml:space="preserve"> </w:t>
      </w:r>
      <w:r w:rsidR="004F6DF5">
        <w:rPr>
          <w:rStyle w:val="FontStyle27"/>
          <w:i/>
          <w:sz w:val="27"/>
          <w:szCs w:val="27"/>
          <w:lang w:val="es-CO" w:eastAsia="en-US"/>
        </w:rPr>
        <w:t>ab initio</w:t>
      </w:r>
      <w:r w:rsidR="00E15362">
        <w:rPr>
          <w:rStyle w:val="FontStyle27"/>
          <w:sz w:val="27"/>
          <w:szCs w:val="27"/>
          <w:lang w:val="es-CO" w:eastAsia="en-US"/>
        </w:rPr>
        <w:t xml:space="preserve">, por cuanto, en aplicación del principio </w:t>
      </w:r>
      <w:r w:rsidR="00E15362">
        <w:rPr>
          <w:rStyle w:val="FontStyle27"/>
          <w:i/>
          <w:sz w:val="27"/>
          <w:szCs w:val="27"/>
          <w:lang w:val="es-CO" w:eastAsia="en-US"/>
        </w:rPr>
        <w:t>non bis in ídem</w:t>
      </w:r>
      <w:r w:rsidR="00E15362">
        <w:rPr>
          <w:rStyle w:val="FontStyle27"/>
          <w:sz w:val="27"/>
          <w:szCs w:val="27"/>
          <w:lang w:val="es-CO" w:eastAsia="en-US"/>
        </w:rPr>
        <w:t xml:space="preserve">, en su condición de impedimento procesal para un nuevo juzgamiento, si en la causa ya se ejerció jurisdicción, ésta se </w:t>
      </w:r>
      <w:r w:rsidR="00E15362" w:rsidRPr="00796C2F">
        <w:rPr>
          <w:rStyle w:val="FontStyle27"/>
          <w:i/>
          <w:sz w:val="27"/>
          <w:szCs w:val="27"/>
          <w:lang w:val="es-CO" w:eastAsia="en-US"/>
        </w:rPr>
        <w:t>agota</w:t>
      </w:r>
      <w:r w:rsidR="00E15362">
        <w:rPr>
          <w:rStyle w:val="FontStyle27"/>
          <w:sz w:val="27"/>
          <w:szCs w:val="27"/>
          <w:lang w:val="es-CO" w:eastAsia="en-US"/>
        </w:rPr>
        <w:t xml:space="preserve"> con la decisión que pone fin al proceso. </w:t>
      </w:r>
    </w:p>
    <w:p w14:paraId="7A37259D" w14:textId="77777777" w:rsidR="008B5D7B" w:rsidRDefault="008B5D7B" w:rsidP="000B616A">
      <w:pPr>
        <w:pStyle w:val="estilo1"/>
        <w:spacing w:before="0" w:after="0" w:line="360" w:lineRule="auto"/>
        <w:ind w:left="0" w:right="0"/>
        <w:jc w:val="both"/>
        <w:rPr>
          <w:rFonts w:ascii="Bookman Old Style" w:hAnsi="Bookman Old Style"/>
          <w:color w:val="auto"/>
          <w:spacing w:val="-3"/>
          <w:sz w:val="27"/>
          <w:szCs w:val="27"/>
        </w:rPr>
      </w:pPr>
    </w:p>
    <w:p w14:paraId="2588864B" w14:textId="5D80301C" w:rsidR="00817998" w:rsidRDefault="009B7E91" w:rsidP="000B616A">
      <w:pPr>
        <w:pStyle w:val="estilo1"/>
        <w:spacing w:before="0" w:after="0" w:line="360" w:lineRule="auto"/>
        <w:ind w:left="0" w:right="0"/>
        <w:jc w:val="both"/>
        <w:rPr>
          <w:rFonts w:ascii="Bookman Old Style" w:hAnsi="Bookman Old Style"/>
          <w:color w:val="auto"/>
          <w:spacing w:val="-3"/>
          <w:sz w:val="27"/>
          <w:szCs w:val="27"/>
        </w:rPr>
      </w:pPr>
      <w:r>
        <w:rPr>
          <w:rFonts w:ascii="Bookman Old Style" w:hAnsi="Bookman Old Style"/>
          <w:color w:val="auto"/>
          <w:spacing w:val="-3"/>
          <w:sz w:val="27"/>
          <w:szCs w:val="27"/>
        </w:rPr>
        <w:tab/>
        <w:t>De suerte que, sin dudarlo, existe razón suficiente para expulsar al postulado del proceso penal especial de justicia y paz, por cuanto, existiendo evidencia de la continuidad de su actividad delictiva con posterioridad a su desmovilización, quebrantó sus compromisos de contribución a la paz nacional y a su propia resocialización.</w:t>
      </w:r>
      <w:r w:rsidR="00247230">
        <w:rPr>
          <w:rFonts w:ascii="Bookman Old Style" w:hAnsi="Bookman Old Style"/>
          <w:color w:val="auto"/>
          <w:spacing w:val="-3"/>
          <w:sz w:val="27"/>
          <w:szCs w:val="27"/>
        </w:rPr>
        <w:t xml:space="preserve"> </w:t>
      </w:r>
      <w:r w:rsidR="003A2C83">
        <w:rPr>
          <w:rFonts w:ascii="Bookman Old Style" w:hAnsi="Bookman Old Style"/>
          <w:color w:val="auto"/>
          <w:spacing w:val="-3"/>
          <w:sz w:val="27"/>
          <w:szCs w:val="27"/>
        </w:rPr>
        <w:t>E</w:t>
      </w:r>
      <w:r>
        <w:rPr>
          <w:rFonts w:ascii="Bookman Old Style" w:hAnsi="Bookman Old Style"/>
          <w:color w:val="auto"/>
          <w:spacing w:val="-3"/>
          <w:sz w:val="27"/>
          <w:szCs w:val="27"/>
        </w:rPr>
        <w:t>stando acreditada la reincidencia delictiva del señor JIMÉNEZ NARANJO,</w:t>
      </w:r>
      <w:r w:rsidR="008B5D7B">
        <w:rPr>
          <w:rFonts w:ascii="Bookman Old Style" w:hAnsi="Bookman Old Style"/>
          <w:color w:val="auto"/>
          <w:spacing w:val="-3"/>
          <w:sz w:val="27"/>
          <w:szCs w:val="27"/>
        </w:rPr>
        <w:t xml:space="preserve"> por medio de una sentencia penal dictada por una autoridad judicial extranjera,</w:t>
      </w:r>
      <w:r>
        <w:rPr>
          <w:rFonts w:ascii="Bookman Old Style" w:hAnsi="Bookman Old Style"/>
          <w:color w:val="auto"/>
          <w:spacing w:val="-3"/>
          <w:sz w:val="27"/>
          <w:szCs w:val="27"/>
        </w:rPr>
        <w:t xml:space="preserve"> es claro que decae el fundamento para la ap</w:t>
      </w:r>
      <w:r w:rsidR="008B5D7B">
        <w:rPr>
          <w:rFonts w:ascii="Bookman Old Style" w:hAnsi="Bookman Old Style"/>
          <w:color w:val="auto"/>
          <w:spacing w:val="-3"/>
          <w:sz w:val="27"/>
          <w:szCs w:val="27"/>
        </w:rPr>
        <w:t>licación de la pena alternativa. Ésta</w:t>
      </w:r>
      <w:r>
        <w:rPr>
          <w:rFonts w:ascii="Bookman Old Style" w:hAnsi="Bookman Old Style"/>
          <w:color w:val="auto"/>
          <w:spacing w:val="-3"/>
          <w:sz w:val="27"/>
          <w:szCs w:val="27"/>
        </w:rPr>
        <w:t xml:space="preserve"> no es una </w:t>
      </w:r>
      <w:r w:rsidRPr="009B7E91">
        <w:rPr>
          <w:rFonts w:ascii="Bookman Old Style" w:hAnsi="Bookman Old Style"/>
          <w:i/>
          <w:color w:val="auto"/>
          <w:spacing w:val="-3"/>
          <w:sz w:val="27"/>
          <w:szCs w:val="27"/>
        </w:rPr>
        <w:t>gracia</w:t>
      </w:r>
      <w:r>
        <w:rPr>
          <w:rFonts w:ascii="Bookman Old Style" w:hAnsi="Bookman Old Style"/>
          <w:color w:val="auto"/>
          <w:spacing w:val="-3"/>
          <w:sz w:val="27"/>
          <w:szCs w:val="27"/>
        </w:rPr>
        <w:t xml:space="preserve">, sino un beneficio </w:t>
      </w:r>
      <w:r w:rsidRPr="006C53DC">
        <w:rPr>
          <w:rFonts w:ascii="Bookman Old Style" w:hAnsi="Bookman Old Style"/>
          <w:i/>
          <w:color w:val="auto"/>
          <w:spacing w:val="-3"/>
          <w:sz w:val="27"/>
          <w:szCs w:val="27"/>
        </w:rPr>
        <w:t>condicionado</w:t>
      </w:r>
      <w:r>
        <w:rPr>
          <w:rFonts w:ascii="Bookman Old Style" w:hAnsi="Bookman Old Style"/>
          <w:color w:val="auto"/>
          <w:spacing w:val="-3"/>
          <w:sz w:val="27"/>
          <w:szCs w:val="27"/>
        </w:rPr>
        <w:t xml:space="preserve"> al estricto y completo cumplimiento </w:t>
      </w:r>
      <w:r w:rsidR="00BB6549">
        <w:rPr>
          <w:rFonts w:ascii="Bookman Old Style" w:hAnsi="Bookman Old Style"/>
          <w:color w:val="auto"/>
          <w:spacing w:val="-3"/>
          <w:sz w:val="27"/>
          <w:szCs w:val="27"/>
        </w:rPr>
        <w:t>de las obligaci</w:t>
      </w:r>
      <w:r w:rsidR="00247230">
        <w:rPr>
          <w:rFonts w:ascii="Bookman Old Style" w:hAnsi="Bookman Old Style"/>
          <w:color w:val="auto"/>
          <w:spacing w:val="-3"/>
          <w:sz w:val="27"/>
          <w:szCs w:val="27"/>
        </w:rPr>
        <w:t>ones aceptadas</w:t>
      </w:r>
      <w:r w:rsidR="00D97F29">
        <w:rPr>
          <w:rFonts w:ascii="Bookman Old Style" w:hAnsi="Bookman Old Style"/>
          <w:color w:val="auto"/>
          <w:spacing w:val="-3"/>
          <w:sz w:val="27"/>
          <w:szCs w:val="27"/>
        </w:rPr>
        <w:t xml:space="preserve"> por el </w:t>
      </w:r>
      <w:r w:rsidR="006E7D1A">
        <w:rPr>
          <w:rFonts w:ascii="Bookman Old Style" w:hAnsi="Bookman Old Style"/>
          <w:color w:val="auto"/>
          <w:spacing w:val="-3"/>
          <w:sz w:val="27"/>
          <w:szCs w:val="27"/>
        </w:rPr>
        <w:t>postulado, de las cuales depende su reincorporación a un</w:t>
      </w:r>
      <w:r w:rsidR="00244542">
        <w:rPr>
          <w:rFonts w:ascii="Bookman Old Style" w:hAnsi="Bookman Old Style"/>
          <w:color w:val="auto"/>
          <w:spacing w:val="-3"/>
          <w:sz w:val="27"/>
          <w:szCs w:val="27"/>
        </w:rPr>
        <w:t>a vida civil</w:t>
      </w:r>
      <w:r w:rsidR="006E7D1A">
        <w:rPr>
          <w:rFonts w:ascii="Bookman Old Style" w:hAnsi="Bookman Old Style"/>
          <w:color w:val="auto"/>
          <w:spacing w:val="-3"/>
          <w:sz w:val="27"/>
          <w:szCs w:val="27"/>
        </w:rPr>
        <w:t xml:space="preserve"> orientada por el acatamiento pleno de la Constitución y las leyes (art. 95 inc. 2º Const. Pol.). </w:t>
      </w:r>
      <w:r w:rsidR="00482EF4">
        <w:rPr>
          <w:rFonts w:ascii="Bookman Old Style" w:hAnsi="Bookman Old Style"/>
          <w:color w:val="auto"/>
          <w:spacing w:val="-3"/>
          <w:sz w:val="27"/>
          <w:szCs w:val="27"/>
        </w:rPr>
        <w:t>Por consiguiente, se confirmará el auto impugnado.</w:t>
      </w:r>
    </w:p>
    <w:p w14:paraId="3E324A06" w14:textId="77777777" w:rsidR="00817998" w:rsidRDefault="00817998" w:rsidP="000B616A">
      <w:pPr>
        <w:pStyle w:val="estilo1"/>
        <w:spacing w:before="0" w:after="0" w:line="360" w:lineRule="auto"/>
        <w:ind w:left="0" w:right="0"/>
        <w:jc w:val="both"/>
        <w:rPr>
          <w:rFonts w:ascii="Bookman Old Style" w:hAnsi="Bookman Old Style"/>
          <w:color w:val="auto"/>
          <w:spacing w:val="-3"/>
          <w:sz w:val="27"/>
          <w:szCs w:val="27"/>
        </w:rPr>
      </w:pPr>
    </w:p>
    <w:p w14:paraId="4FE86E68" w14:textId="57C94A85" w:rsidR="000B616A" w:rsidRDefault="00817998" w:rsidP="00D33AB6">
      <w:pPr>
        <w:pStyle w:val="estilo1"/>
        <w:spacing w:before="0" w:after="0" w:line="360" w:lineRule="auto"/>
        <w:ind w:left="0" w:right="0"/>
        <w:jc w:val="both"/>
        <w:rPr>
          <w:rFonts w:ascii="Bookman Old Style" w:hAnsi="Bookman Old Style"/>
          <w:color w:val="auto"/>
          <w:sz w:val="27"/>
          <w:szCs w:val="27"/>
        </w:rPr>
      </w:pPr>
      <w:r>
        <w:rPr>
          <w:rFonts w:ascii="Bookman Old Style" w:hAnsi="Bookman Old Style"/>
          <w:color w:val="auto"/>
          <w:spacing w:val="-3"/>
          <w:sz w:val="27"/>
          <w:szCs w:val="27"/>
        </w:rPr>
        <w:tab/>
      </w:r>
      <w:r w:rsidRPr="00CE2C4F">
        <w:rPr>
          <w:rFonts w:ascii="Bookman Old Style" w:hAnsi="Bookman Old Style"/>
          <w:color w:val="auto"/>
          <w:spacing w:val="-3"/>
          <w:sz w:val="27"/>
          <w:szCs w:val="27"/>
        </w:rPr>
        <w:t>3.4</w:t>
      </w:r>
      <w:r w:rsidRPr="00CE2C4F">
        <w:rPr>
          <w:rFonts w:ascii="Bookman Old Style" w:hAnsi="Bookman Old Style"/>
          <w:color w:val="auto"/>
          <w:spacing w:val="-3"/>
          <w:sz w:val="27"/>
          <w:szCs w:val="27"/>
        </w:rPr>
        <w:tab/>
        <w:t xml:space="preserve">Por último, </w:t>
      </w:r>
      <w:r w:rsidR="00482EF4" w:rsidRPr="00CE2C4F">
        <w:rPr>
          <w:rFonts w:ascii="Bookman Old Style" w:hAnsi="Bookman Old Style"/>
          <w:color w:val="auto"/>
          <w:spacing w:val="-3"/>
          <w:sz w:val="27"/>
          <w:szCs w:val="27"/>
        </w:rPr>
        <w:t xml:space="preserve"> </w:t>
      </w:r>
      <w:r w:rsidRPr="00CE2C4F">
        <w:rPr>
          <w:rFonts w:ascii="Bookman Old Style" w:hAnsi="Bookman Old Style"/>
          <w:color w:val="auto"/>
          <w:spacing w:val="-3"/>
          <w:sz w:val="27"/>
          <w:szCs w:val="27"/>
        </w:rPr>
        <w:t xml:space="preserve">la </w:t>
      </w:r>
      <w:r w:rsidR="008B5E60" w:rsidRPr="00CE2C4F">
        <w:rPr>
          <w:rFonts w:ascii="Bookman Old Style" w:hAnsi="Bookman Old Style"/>
          <w:color w:val="auto"/>
          <w:spacing w:val="-3"/>
          <w:sz w:val="27"/>
          <w:szCs w:val="27"/>
        </w:rPr>
        <w:t>Corte</w:t>
      </w:r>
      <w:r w:rsidRPr="00CE2C4F">
        <w:rPr>
          <w:rFonts w:ascii="Bookman Old Style" w:hAnsi="Bookman Old Style"/>
          <w:color w:val="auto"/>
          <w:spacing w:val="-3"/>
          <w:sz w:val="27"/>
          <w:szCs w:val="27"/>
        </w:rPr>
        <w:t xml:space="preserve"> </w:t>
      </w:r>
      <w:r w:rsidR="004F3FF7" w:rsidRPr="00CE2C4F">
        <w:rPr>
          <w:rFonts w:ascii="Bookman Old Style" w:hAnsi="Bookman Old Style"/>
          <w:color w:val="auto"/>
          <w:spacing w:val="-3"/>
          <w:sz w:val="27"/>
          <w:szCs w:val="27"/>
        </w:rPr>
        <w:t>llama la</w:t>
      </w:r>
      <w:r w:rsidRPr="00CE2C4F">
        <w:rPr>
          <w:rFonts w:ascii="Bookman Old Style" w:hAnsi="Bookman Old Style"/>
          <w:color w:val="auto"/>
          <w:spacing w:val="-3"/>
          <w:sz w:val="27"/>
          <w:szCs w:val="27"/>
        </w:rPr>
        <w:t xml:space="preserve"> atención </w:t>
      </w:r>
      <w:r w:rsidRPr="00CE2C4F">
        <w:rPr>
          <w:rFonts w:ascii="Bookman Old Style" w:hAnsi="Bookman Old Style"/>
          <w:color w:val="auto"/>
          <w:sz w:val="27"/>
          <w:szCs w:val="27"/>
        </w:rPr>
        <w:t>a</w:t>
      </w:r>
      <w:r w:rsidR="000B616A" w:rsidRPr="00CE2C4F">
        <w:rPr>
          <w:rFonts w:ascii="Bookman Old Style" w:hAnsi="Bookman Old Style"/>
          <w:color w:val="auto"/>
          <w:sz w:val="27"/>
          <w:szCs w:val="27"/>
        </w:rPr>
        <w:t xml:space="preserve"> la Sala </w:t>
      </w:r>
      <w:r w:rsidRPr="00CE2C4F">
        <w:rPr>
          <w:rFonts w:ascii="Bookman Old Style" w:hAnsi="Bookman Old Style"/>
          <w:i/>
          <w:color w:val="auto"/>
          <w:sz w:val="27"/>
          <w:szCs w:val="27"/>
        </w:rPr>
        <w:t>a quo</w:t>
      </w:r>
      <w:r w:rsidR="00117CBF" w:rsidRPr="00CE2C4F">
        <w:rPr>
          <w:rFonts w:ascii="Bookman Old Style" w:hAnsi="Bookman Old Style"/>
          <w:color w:val="auto"/>
          <w:sz w:val="27"/>
          <w:szCs w:val="27"/>
        </w:rPr>
        <w:t xml:space="preserve"> para que, en lo sucesivo, garantice que </w:t>
      </w:r>
      <w:r w:rsidR="000B616A" w:rsidRPr="00CE2C4F">
        <w:rPr>
          <w:rFonts w:ascii="Bookman Old Style" w:hAnsi="Bookman Old Style"/>
          <w:color w:val="auto"/>
          <w:sz w:val="27"/>
          <w:szCs w:val="27"/>
        </w:rPr>
        <w:t>todos los procedimientos y términos se sujeten a las previsiones de las Leyes 975 de 2005, 1592 de 2012</w:t>
      </w:r>
      <w:r w:rsidR="00151FEF" w:rsidRPr="00CE2C4F">
        <w:rPr>
          <w:rFonts w:ascii="Bookman Old Style" w:hAnsi="Bookman Old Style"/>
          <w:color w:val="auto"/>
          <w:sz w:val="27"/>
          <w:szCs w:val="27"/>
        </w:rPr>
        <w:t>, 906 de 2004</w:t>
      </w:r>
      <w:r w:rsidR="000B616A" w:rsidRPr="00CE2C4F">
        <w:rPr>
          <w:rFonts w:ascii="Bookman Old Style" w:hAnsi="Bookman Old Style"/>
          <w:color w:val="auto"/>
          <w:sz w:val="27"/>
          <w:szCs w:val="27"/>
        </w:rPr>
        <w:t xml:space="preserve"> y demás normas reglamentarias o complementarias </w:t>
      </w:r>
      <w:r w:rsidR="00752C45" w:rsidRPr="00CE2C4F">
        <w:rPr>
          <w:rFonts w:ascii="Bookman Old Style" w:hAnsi="Bookman Old Style"/>
          <w:color w:val="auto"/>
          <w:sz w:val="27"/>
          <w:szCs w:val="27"/>
        </w:rPr>
        <w:t>aplicables</w:t>
      </w:r>
      <w:r w:rsidR="008379B0" w:rsidRPr="00CE2C4F">
        <w:rPr>
          <w:rFonts w:ascii="Bookman Old Style" w:hAnsi="Bookman Old Style"/>
          <w:color w:val="auto"/>
          <w:sz w:val="27"/>
          <w:szCs w:val="27"/>
        </w:rPr>
        <w:t xml:space="preserve"> al </w:t>
      </w:r>
      <w:r w:rsidR="008379B0" w:rsidRPr="00CE2C4F">
        <w:rPr>
          <w:rFonts w:ascii="Bookman Old Style" w:hAnsi="Bookman Old Style"/>
          <w:color w:val="auto"/>
          <w:sz w:val="27"/>
          <w:szCs w:val="27"/>
        </w:rPr>
        <w:lastRenderedPageBreak/>
        <w:t>proceso penal especial de justicia y paz</w:t>
      </w:r>
      <w:r w:rsidR="000B616A" w:rsidRPr="00CE2C4F">
        <w:rPr>
          <w:rFonts w:ascii="Bookman Old Style" w:hAnsi="Bookman Old Style"/>
          <w:color w:val="auto"/>
          <w:sz w:val="27"/>
          <w:szCs w:val="27"/>
        </w:rPr>
        <w:t xml:space="preserve">, con el propósito de que </w:t>
      </w:r>
      <w:r w:rsidR="00752C45" w:rsidRPr="00CE2C4F">
        <w:rPr>
          <w:rFonts w:ascii="Bookman Old Style" w:hAnsi="Bookman Old Style"/>
          <w:color w:val="auto"/>
          <w:sz w:val="27"/>
          <w:szCs w:val="27"/>
        </w:rPr>
        <w:t>se apliquen con rigurosidad las formas propias del juicio y se propenda por la celeridad requerida.</w:t>
      </w:r>
    </w:p>
    <w:p w14:paraId="5151C269" w14:textId="77777777" w:rsidR="00D9537D" w:rsidRPr="00CE2C4F" w:rsidRDefault="00D9537D" w:rsidP="00D33AB6">
      <w:pPr>
        <w:pStyle w:val="estilo1"/>
        <w:spacing w:before="0" w:after="0" w:line="360" w:lineRule="auto"/>
        <w:ind w:left="0" w:right="0"/>
        <w:jc w:val="both"/>
        <w:rPr>
          <w:rFonts w:ascii="Bookman Old Style" w:hAnsi="Bookman Old Style"/>
          <w:color w:val="002060"/>
          <w:sz w:val="27"/>
          <w:szCs w:val="27"/>
        </w:rPr>
      </w:pPr>
    </w:p>
    <w:p w14:paraId="4C6A82C2" w14:textId="197F0049" w:rsidR="00B50E24" w:rsidRPr="00CE2C4F" w:rsidRDefault="00125635" w:rsidP="00D927B9">
      <w:pPr>
        <w:pStyle w:val="estilo1"/>
        <w:spacing w:before="0" w:after="0" w:line="360" w:lineRule="auto"/>
        <w:ind w:left="0" w:right="0" w:firstLine="478"/>
        <w:jc w:val="both"/>
        <w:rPr>
          <w:rFonts w:ascii="Bookman Old Style" w:hAnsi="Bookman Old Style"/>
          <w:color w:val="auto"/>
          <w:sz w:val="27"/>
          <w:szCs w:val="27"/>
        </w:rPr>
      </w:pPr>
      <w:r w:rsidRPr="00CE2C4F">
        <w:rPr>
          <w:rFonts w:ascii="Bookman Old Style" w:hAnsi="Bookman Old Style"/>
          <w:color w:val="auto"/>
          <w:sz w:val="27"/>
          <w:szCs w:val="27"/>
        </w:rPr>
        <w:t xml:space="preserve">Se hace tal advertencia, debido a </w:t>
      </w:r>
      <w:r w:rsidR="000B616A" w:rsidRPr="00CE2C4F">
        <w:rPr>
          <w:rFonts w:ascii="Bookman Old Style" w:hAnsi="Bookman Old Style"/>
          <w:color w:val="auto"/>
          <w:sz w:val="27"/>
          <w:szCs w:val="27"/>
        </w:rPr>
        <w:t xml:space="preserve">la </w:t>
      </w:r>
      <w:r w:rsidR="000B616A" w:rsidRPr="00CE2C4F">
        <w:rPr>
          <w:rFonts w:ascii="Bookman Old Style" w:hAnsi="Bookman Old Style"/>
          <w:i/>
          <w:color w:val="auto"/>
          <w:sz w:val="27"/>
          <w:szCs w:val="27"/>
        </w:rPr>
        <w:t>especial</w:t>
      </w:r>
      <w:r w:rsidR="000B616A" w:rsidRPr="00CE2C4F">
        <w:rPr>
          <w:rFonts w:ascii="Bookman Old Style" w:hAnsi="Bookman Old Style"/>
          <w:color w:val="auto"/>
          <w:sz w:val="27"/>
          <w:szCs w:val="27"/>
        </w:rPr>
        <w:t xml:space="preserve"> oportunidad que dispuso la Sala</w:t>
      </w:r>
      <w:r w:rsidR="006D788C" w:rsidRPr="00CE2C4F">
        <w:rPr>
          <w:rFonts w:ascii="Bookman Old Style" w:hAnsi="Bookman Old Style"/>
          <w:color w:val="auto"/>
          <w:sz w:val="27"/>
          <w:szCs w:val="27"/>
        </w:rPr>
        <w:t xml:space="preserve"> de Justicia y Paz</w:t>
      </w:r>
      <w:r w:rsidR="000B616A" w:rsidRPr="00CE2C4F">
        <w:rPr>
          <w:rFonts w:ascii="Bookman Old Style" w:hAnsi="Bookman Old Style"/>
          <w:color w:val="auto"/>
          <w:sz w:val="27"/>
          <w:szCs w:val="27"/>
        </w:rPr>
        <w:t xml:space="preserve"> para que</w:t>
      </w:r>
      <w:r w:rsidR="006D788C" w:rsidRPr="00CE2C4F">
        <w:rPr>
          <w:rFonts w:ascii="Bookman Old Style" w:hAnsi="Bookman Old Style"/>
          <w:color w:val="auto"/>
          <w:sz w:val="27"/>
          <w:szCs w:val="27"/>
        </w:rPr>
        <w:t>, en “</w:t>
      </w:r>
      <w:r w:rsidR="006D788C" w:rsidRPr="00CE2C4F">
        <w:rPr>
          <w:rFonts w:ascii="Bookman Old Style" w:hAnsi="Bookman Old Style"/>
          <w:i/>
          <w:color w:val="auto"/>
          <w:sz w:val="27"/>
          <w:szCs w:val="27"/>
        </w:rPr>
        <w:t>audiencia pública para la interposición y sustentación de recursos</w:t>
      </w:r>
      <w:r w:rsidR="006D788C" w:rsidRPr="00CE2C4F">
        <w:rPr>
          <w:rFonts w:ascii="Bookman Old Style" w:hAnsi="Bookman Old Style"/>
          <w:color w:val="auto"/>
          <w:sz w:val="27"/>
          <w:szCs w:val="27"/>
        </w:rPr>
        <w:t xml:space="preserve">”, se ejerciera el derecho de impugnación contra el auto del 2 de diciembre de 2014. </w:t>
      </w:r>
      <w:r w:rsidR="00B50E24" w:rsidRPr="00CE2C4F">
        <w:rPr>
          <w:rFonts w:ascii="Bookman Old Style" w:hAnsi="Bookman Old Style"/>
          <w:color w:val="auto"/>
          <w:sz w:val="27"/>
          <w:szCs w:val="27"/>
        </w:rPr>
        <w:t xml:space="preserve">Esto, en contravía del </w:t>
      </w:r>
      <w:r w:rsidR="006D788C" w:rsidRPr="00CE2C4F">
        <w:rPr>
          <w:rFonts w:ascii="Bookman Old Style" w:hAnsi="Bookman Old Style"/>
          <w:color w:val="auto"/>
          <w:sz w:val="27"/>
          <w:szCs w:val="27"/>
        </w:rPr>
        <w:t xml:space="preserve">art. 178 </w:t>
      </w:r>
      <w:r w:rsidR="000B616A" w:rsidRPr="00CE2C4F">
        <w:rPr>
          <w:rFonts w:ascii="Bookman Old Style" w:hAnsi="Bookman Old Style"/>
          <w:color w:val="auto"/>
          <w:sz w:val="27"/>
          <w:szCs w:val="27"/>
        </w:rPr>
        <w:t>de la Ley 906 de 2004, al que por remisión exp</w:t>
      </w:r>
      <w:r w:rsidR="00C207B4" w:rsidRPr="00CE2C4F">
        <w:rPr>
          <w:rFonts w:ascii="Bookman Old Style" w:hAnsi="Bookman Old Style"/>
          <w:color w:val="auto"/>
          <w:sz w:val="27"/>
          <w:szCs w:val="27"/>
        </w:rPr>
        <w:t>resa del art</w:t>
      </w:r>
      <w:r w:rsidR="00B50E24" w:rsidRPr="00CE2C4F">
        <w:rPr>
          <w:rFonts w:ascii="Bookman Old Style" w:hAnsi="Bookman Old Style"/>
          <w:color w:val="auto"/>
          <w:sz w:val="27"/>
          <w:szCs w:val="27"/>
        </w:rPr>
        <w:t>.</w:t>
      </w:r>
      <w:r w:rsidR="00C207B4" w:rsidRPr="00CE2C4F">
        <w:rPr>
          <w:rFonts w:ascii="Bookman Old Style" w:hAnsi="Bookman Old Style"/>
          <w:color w:val="auto"/>
          <w:sz w:val="27"/>
          <w:szCs w:val="27"/>
        </w:rPr>
        <w:t xml:space="preserve"> 26 de la Ley </w:t>
      </w:r>
      <w:r w:rsidR="000B616A" w:rsidRPr="00CE2C4F">
        <w:rPr>
          <w:rFonts w:ascii="Bookman Old Style" w:hAnsi="Bookman Old Style"/>
          <w:color w:val="auto"/>
          <w:sz w:val="27"/>
          <w:szCs w:val="27"/>
        </w:rPr>
        <w:t>975 de 2005</w:t>
      </w:r>
      <w:r w:rsidR="00BE6B93">
        <w:rPr>
          <w:rStyle w:val="Refdenotaalpie"/>
          <w:rFonts w:ascii="Bookman Old Style" w:hAnsi="Bookman Old Style"/>
          <w:color w:val="auto"/>
          <w:sz w:val="27"/>
          <w:szCs w:val="27"/>
        </w:rPr>
        <w:footnoteReference w:id="22"/>
      </w:r>
      <w:r w:rsidR="00BE6B93">
        <w:rPr>
          <w:rFonts w:ascii="Bookman Old Style" w:hAnsi="Bookman Old Style"/>
          <w:color w:val="auto"/>
          <w:sz w:val="27"/>
          <w:szCs w:val="27"/>
        </w:rPr>
        <w:t xml:space="preserve"> </w:t>
      </w:r>
      <w:r w:rsidR="006D788C" w:rsidRPr="00CE2C4F">
        <w:rPr>
          <w:rFonts w:ascii="Bookman Old Style" w:hAnsi="Bookman Old Style"/>
          <w:color w:val="auto"/>
          <w:sz w:val="27"/>
          <w:szCs w:val="27"/>
        </w:rPr>
        <w:t>debió acudirse</w:t>
      </w:r>
      <w:r w:rsidR="00B50E24" w:rsidRPr="00CE2C4F">
        <w:rPr>
          <w:rFonts w:ascii="Bookman Old Style" w:hAnsi="Bookman Old Style"/>
          <w:color w:val="auto"/>
          <w:sz w:val="27"/>
          <w:szCs w:val="27"/>
        </w:rPr>
        <w:t xml:space="preserve">. Esta última norma dispone que los recursos deben interponerse y sustentarse </w:t>
      </w:r>
      <w:r w:rsidR="00B50E24" w:rsidRPr="00CE2C4F">
        <w:rPr>
          <w:rFonts w:ascii="Bookman Old Style" w:hAnsi="Bookman Old Style"/>
          <w:i/>
          <w:color w:val="auto"/>
          <w:sz w:val="27"/>
          <w:szCs w:val="27"/>
        </w:rPr>
        <w:t>de manera inmediata</w:t>
      </w:r>
      <w:r w:rsidR="00B50E24" w:rsidRPr="00CE2C4F">
        <w:rPr>
          <w:rFonts w:ascii="Bookman Old Style" w:hAnsi="Bookman Old Style"/>
          <w:color w:val="auto"/>
          <w:sz w:val="27"/>
          <w:szCs w:val="27"/>
        </w:rPr>
        <w:t xml:space="preserve"> en la misma audiencia de lectura del auto; empero, sin fundamento legal alguno y contrariando las exigencias de concentración y celeridad, el Tribunal convocó a la “</w:t>
      </w:r>
      <w:r w:rsidR="00B50E24" w:rsidRPr="00CE2C4F">
        <w:rPr>
          <w:rFonts w:ascii="Bookman Old Style" w:hAnsi="Bookman Old Style"/>
          <w:i/>
          <w:color w:val="auto"/>
          <w:sz w:val="27"/>
          <w:szCs w:val="27"/>
        </w:rPr>
        <w:t>audiencia de recursos</w:t>
      </w:r>
      <w:r w:rsidR="00B50E24" w:rsidRPr="00CE2C4F">
        <w:rPr>
          <w:rFonts w:ascii="Bookman Old Style" w:hAnsi="Bookman Old Style"/>
          <w:color w:val="auto"/>
          <w:sz w:val="27"/>
          <w:szCs w:val="27"/>
        </w:rPr>
        <w:t xml:space="preserve">” para el 17 de marzo de 2015, </w:t>
      </w:r>
      <w:r w:rsidR="005C479E">
        <w:rPr>
          <w:rFonts w:ascii="Bookman Old Style" w:hAnsi="Bookman Old Style"/>
          <w:color w:val="auto"/>
          <w:sz w:val="27"/>
          <w:szCs w:val="27"/>
        </w:rPr>
        <w:t xml:space="preserve">la cual </w:t>
      </w:r>
      <w:r w:rsidR="00B50E24" w:rsidRPr="00CE2C4F">
        <w:rPr>
          <w:rFonts w:ascii="Bookman Old Style" w:hAnsi="Bookman Old Style"/>
          <w:color w:val="auto"/>
          <w:sz w:val="27"/>
          <w:szCs w:val="27"/>
        </w:rPr>
        <w:t>finalmente fue r</w:t>
      </w:r>
      <w:r w:rsidR="000D79B1" w:rsidRPr="00CE2C4F">
        <w:rPr>
          <w:rFonts w:ascii="Bookman Old Style" w:hAnsi="Bookman Old Style"/>
          <w:color w:val="auto"/>
          <w:sz w:val="27"/>
          <w:szCs w:val="27"/>
        </w:rPr>
        <w:t>ealizada</w:t>
      </w:r>
      <w:r w:rsidR="009A2F59">
        <w:rPr>
          <w:rFonts w:ascii="Bookman Old Style" w:hAnsi="Bookman Old Style"/>
          <w:color w:val="auto"/>
          <w:sz w:val="27"/>
          <w:szCs w:val="27"/>
        </w:rPr>
        <w:t xml:space="preserve"> hasta </w:t>
      </w:r>
      <w:r w:rsidR="000D79B1" w:rsidRPr="00CE2C4F">
        <w:rPr>
          <w:rFonts w:ascii="Bookman Old Style" w:hAnsi="Bookman Old Style"/>
          <w:color w:val="auto"/>
          <w:sz w:val="27"/>
          <w:szCs w:val="27"/>
        </w:rPr>
        <w:t xml:space="preserve">el </w:t>
      </w:r>
      <w:r w:rsidR="000D79B1" w:rsidRPr="009A2F59">
        <w:rPr>
          <w:rFonts w:ascii="Bookman Old Style" w:hAnsi="Bookman Old Style"/>
          <w:i/>
          <w:color w:val="auto"/>
          <w:sz w:val="27"/>
          <w:szCs w:val="27"/>
        </w:rPr>
        <w:t>23 de mayo de 2016</w:t>
      </w:r>
      <w:r w:rsidR="000D79B1" w:rsidRPr="00CE2C4F">
        <w:rPr>
          <w:rFonts w:ascii="Bookman Old Style" w:hAnsi="Bookman Old Style"/>
          <w:color w:val="auto"/>
          <w:sz w:val="27"/>
          <w:szCs w:val="27"/>
        </w:rPr>
        <w:t xml:space="preserve">. Dilación inadmisible que la Sala debe censurar y el Tribunal ha de evitar a futuro. </w:t>
      </w:r>
      <w:r w:rsidR="00B50E24" w:rsidRPr="00CE2C4F">
        <w:rPr>
          <w:rFonts w:ascii="Bookman Old Style" w:hAnsi="Bookman Old Style"/>
          <w:color w:val="auto"/>
          <w:sz w:val="27"/>
          <w:szCs w:val="27"/>
        </w:rPr>
        <w:t xml:space="preserve"> </w:t>
      </w:r>
    </w:p>
    <w:p w14:paraId="6A23E498" w14:textId="77777777" w:rsidR="009C2939" w:rsidRPr="00CE2C4F" w:rsidRDefault="009C2939" w:rsidP="00AF7F89">
      <w:pPr>
        <w:pStyle w:val="estilo1"/>
        <w:spacing w:before="0" w:after="0" w:line="336" w:lineRule="auto"/>
        <w:ind w:right="0"/>
        <w:jc w:val="both"/>
        <w:rPr>
          <w:rFonts w:ascii="Bookman Old Style" w:hAnsi="Bookman Old Style" w:cs="Arial"/>
          <w:color w:val="002060"/>
          <w:sz w:val="27"/>
          <w:szCs w:val="27"/>
        </w:rPr>
      </w:pPr>
    </w:p>
    <w:p w14:paraId="7E058F8B" w14:textId="77777777" w:rsidR="009C2939" w:rsidRPr="00CE2C4F" w:rsidRDefault="009C2939" w:rsidP="009C2939">
      <w:pPr>
        <w:spacing w:line="336" w:lineRule="auto"/>
        <w:ind w:firstLine="709"/>
        <w:jc w:val="both"/>
        <w:rPr>
          <w:rFonts w:ascii="Bookman Old Style" w:hAnsi="Bookman Old Style" w:cs="Arial"/>
          <w:b/>
          <w:sz w:val="27"/>
          <w:szCs w:val="27"/>
        </w:rPr>
      </w:pPr>
      <w:r w:rsidRPr="00CE2C4F">
        <w:rPr>
          <w:rFonts w:ascii="Bookman Old Style" w:hAnsi="Bookman Old Style" w:cs="Arial"/>
          <w:sz w:val="27"/>
          <w:szCs w:val="27"/>
        </w:rPr>
        <w:t xml:space="preserve">En mérito de lo expuesto, </w:t>
      </w:r>
      <w:r w:rsidRPr="00CE2C4F">
        <w:rPr>
          <w:rFonts w:ascii="Bookman Old Style" w:hAnsi="Bookman Old Style" w:cs="Arial"/>
          <w:b/>
          <w:sz w:val="27"/>
          <w:szCs w:val="27"/>
        </w:rPr>
        <w:t>la Corte Suprema de Justicia, Sala de Casación Penal</w:t>
      </w:r>
      <w:r w:rsidRPr="00CE2C4F">
        <w:rPr>
          <w:rFonts w:ascii="Bookman Old Style" w:hAnsi="Bookman Old Style" w:cs="Arial"/>
          <w:sz w:val="27"/>
          <w:szCs w:val="27"/>
        </w:rPr>
        <w:t xml:space="preserve">, </w:t>
      </w:r>
    </w:p>
    <w:p w14:paraId="3660B471" w14:textId="77777777" w:rsidR="009C2939" w:rsidRPr="008A0357" w:rsidRDefault="009C2939" w:rsidP="009C2939">
      <w:pPr>
        <w:spacing w:line="336" w:lineRule="auto"/>
        <w:rPr>
          <w:rFonts w:ascii="Bookman Old Style" w:hAnsi="Bookman Old Style" w:cs="Arial"/>
          <w:sz w:val="28"/>
          <w:szCs w:val="28"/>
        </w:rPr>
      </w:pPr>
    </w:p>
    <w:p w14:paraId="36F73116" w14:textId="77777777" w:rsidR="009C2939" w:rsidRPr="008A0357" w:rsidRDefault="009C2939" w:rsidP="009C2939">
      <w:pPr>
        <w:spacing w:line="336" w:lineRule="auto"/>
        <w:jc w:val="center"/>
        <w:rPr>
          <w:rFonts w:ascii="Bookman Old Style" w:hAnsi="Bookman Old Style" w:cs="Arial"/>
          <w:b/>
          <w:sz w:val="32"/>
          <w:szCs w:val="32"/>
        </w:rPr>
      </w:pPr>
      <w:r w:rsidRPr="008A0357">
        <w:rPr>
          <w:rFonts w:ascii="Bookman Old Style" w:hAnsi="Bookman Old Style" w:cs="Arial"/>
          <w:b/>
          <w:sz w:val="32"/>
          <w:szCs w:val="32"/>
        </w:rPr>
        <w:t>R E S U E L V E</w:t>
      </w:r>
    </w:p>
    <w:p w14:paraId="4422F142" w14:textId="77777777" w:rsidR="009C2939" w:rsidRPr="008A0357" w:rsidRDefault="009C2939" w:rsidP="009C2939">
      <w:pPr>
        <w:spacing w:line="336" w:lineRule="auto"/>
        <w:jc w:val="center"/>
        <w:rPr>
          <w:rFonts w:ascii="Bookman Old Style" w:hAnsi="Bookman Old Style" w:cs="Arial"/>
          <w:b/>
          <w:sz w:val="32"/>
          <w:szCs w:val="32"/>
        </w:rPr>
      </w:pPr>
    </w:p>
    <w:p w14:paraId="0B8E49C5" w14:textId="77777777" w:rsidR="009C2939" w:rsidRPr="008A0357" w:rsidRDefault="009C2939" w:rsidP="009C2939">
      <w:pPr>
        <w:spacing w:line="336" w:lineRule="auto"/>
        <w:ind w:firstLine="708"/>
        <w:jc w:val="both"/>
        <w:rPr>
          <w:rFonts w:ascii="Bookman Old Style" w:hAnsi="Bookman Old Style" w:cs="Arial"/>
          <w:sz w:val="28"/>
          <w:szCs w:val="28"/>
        </w:rPr>
      </w:pPr>
      <w:r w:rsidRPr="008A0357">
        <w:rPr>
          <w:rFonts w:ascii="Bookman Old Style" w:hAnsi="Bookman Old Style" w:cs="Arial"/>
          <w:b/>
          <w:sz w:val="28"/>
          <w:szCs w:val="28"/>
        </w:rPr>
        <w:t xml:space="preserve">Primero. </w:t>
      </w:r>
      <w:r w:rsidRPr="008A0357">
        <w:rPr>
          <w:rFonts w:ascii="Bookman Old Style" w:hAnsi="Bookman Old Style" w:cs="Arial"/>
          <w:b/>
          <w:sz w:val="28"/>
          <w:szCs w:val="28"/>
        </w:rPr>
        <w:tab/>
        <w:t xml:space="preserve">  CONFIRMAR </w:t>
      </w:r>
      <w:r w:rsidRPr="008A0357">
        <w:rPr>
          <w:rFonts w:ascii="Bookman Old Style" w:hAnsi="Bookman Old Style" w:cs="Arial"/>
          <w:sz w:val="28"/>
          <w:szCs w:val="28"/>
        </w:rPr>
        <w:t xml:space="preserve">la decisión impugnada. </w:t>
      </w:r>
    </w:p>
    <w:p w14:paraId="489C209E" w14:textId="77777777" w:rsidR="00D9537D" w:rsidRDefault="00D9537D" w:rsidP="009C2939">
      <w:pPr>
        <w:spacing w:line="336" w:lineRule="auto"/>
        <w:ind w:firstLine="708"/>
        <w:jc w:val="both"/>
        <w:rPr>
          <w:rFonts w:ascii="Bookman Old Style" w:hAnsi="Bookman Old Style" w:cs="Arial"/>
          <w:b/>
          <w:bCs/>
          <w:iCs/>
          <w:sz w:val="28"/>
          <w:szCs w:val="28"/>
        </w:rPr>
      </w:pPr>
    </w:p>
    <w:p w14:paraId="54DECD80" w14:textId="77777777" w:rsidR="009C2939" w:rsidRPr="008A0357" w:rsidRDefault="009C2939" w:rsidP="009C2939">
      <w:pPr>
        <w:spacing w:line="336" w:lineRule="auto"/>
        <w:ind w:firstLine="708"/>
        <w:jc w:val="both"/>
        <w:rPr>
          <w:rFonts w:ascii="Bookman Old Style" w:hAnsi="Bookman Old Style" w:cs="Arial"/>
          <w:bCs/>
          <w:iCs/>
          <w:sz w:val="28"/>
          <w:szCs w:val="28"/>
        </w:rPr>
      </w:pPr>
      <w:r w:rsidRPr="008A0357">
        <w:rPr>
          <w:rFonts w:ascii="Bookman Old Style" w:hAnsi="Bookman Old Style" w:cs="Arial"/>
          <w:b/>
          <w:bCs/>
          <w:iCs/>
          <w:sz w:val="28"/>
          <w:szCs w:val="28"/>
        </w:rPr>
        <w:t xml:space="preserve">Segundo. ADVERTIR </w:t>
      </w:r>
      <w:r w:rsidRPr="008A0357">
        <w:rPr>
          <w:rFonts w:ascii="Bookman Old Style" w:hAnsi="Bookman Old Style" w:cs="Arial"/>
          <w:bCs/>
          <w:iCs/>
          <w:sz w:val="28"/>
          <w:szCs w:val="28"/>
        </w:rPr>
        <w:t>que contra la presente determinación no proceden recursos.</w:t>
      </w:r>
    </w:p>
    <w:p w14:paraId="027E96EC" w14:textId="77777777" w:rsidR="009C2939" w:rsidRPr="008A0357" w:rsidRDefault="009C2939" w:rsidP="009C2939">
      <w:pPr>
        <w:spacing w:line="336" w:lineRule="auto"/>
        <w:ind w:firstLine="708"/>
        <w:jc w:val="both"/>
        <w:rPr>
          <w:rFonts w:ascii="Bookman Old Style" w:hAnsi="Bookman Old Style" w:cs="Arial"/>
          <w:bCs/>
          <w:iCs/>
          <w:sz w:val="28"/>
          <w:szCs w:val="28"/>
        </w:rPr>
      </w:pPr>
    </w:p>
    <w:p w14:paraId="4D709308" w14:textId="77777777" w:rsidR="009C2939" w:rsidRPr="008A0357" w:rsidRDefault="009C2939" w:rsidP="009C2939">
      <w:pPr>
        <w:spacing w:line="336" w:lineRule="auto"/>
        <w:ind w:firstLine="708"/>
        <w:jc w:val="both"/>
        <w:rPr>
          <w:rFonts w:ascii="Bookman Old Style" w:hAnsi="Bookman Old Style" w:cs="Arial"/>
          <w:bCs/>
          <w:iCs/>
          <w:sz w:val="28"/>
          <w:szCs w:val="28"/>
        </w:rPr>
      </w:pPr>
      <w:r w:rsidRPr="008A0357">
        <w:rPr>
          <w:rFonts w:ascii="Bookman Old Style" w:hAnsi="Bookman Old Style" w:cs="Arial"/>
          <w:b/>
          <w:bCs/>
          <w:iCs/>
          <w:sz w:val="28"/>
          <w:szCs w:val="28"/>
        </w:rPr>
        <w:lastRenderedPageBreak/>
        <w:t xml:space="preserve">Tercero. </w:t>
      </w:r>
      <w:r w:rsidRPr="008A0357">
        <w:rPr>
          <w:rFonts w:ascii="Bookman Old Style" w:hAnsi="Bookman Old Style" w:cs="Arial"/>
          <w:b/>
          <w:bCs/>
          <w:iCs/>
          <w:sz w:val="28"/>
          <w:szCs w:val="28"/>
        </w:rPr>
        <w:tab/>
        <w:t xml:space="preserve">DEVOLVER </w:t>
      </w:r>
      <w:r w:rsidRPr="008A0357">
        <w:rPr>
          <w:rFonts w:ascii="Bookman Old Style" w:hAnsi="Bookman Old Style" w:cs="Arial"/>
          <w:bCs/>
          <w:iCs/>
          <w:sz w:val="28"/>
          <w:szCs w:val="28"/>
        </w:rPr>
        <w:t>el expediente al Tribunal de origen.</w:t>
      </w:r>
    </w:p>
    <w:p w14:paraId="72C575B1" w14:textId="77777777" w:rsidR="009C2939" w:rsidRDefault="009C2939" w:rsidP="009C2939">
      <w:pPr>
        <w:spacing w:line="360" w:lineRule="auto"/>
        <w:ind w:firstLine="708"/>
        <w:jc w:val="both"/>
        <w:rPr>
          <w:rFonts w:ascii="Bookman Old Style" w:hAnsi="Bookman Old Style" w:cs="Arial"/>
          <w:bCs/>
          <w:iCs/>
          <w:sz w:val="28"/>
          <w:szCs w:val="28"/>
        </w:rPr>
      </w:pPr>
    </w:p>
    <w:p w14:paraId="1C410BB4" w14:textId="77777777" w:rsidR="009C2939" w:rsidRPr="003D01F9" w:rsidRDefault="009C2939" w:rsidP="009C2939">
      <w:pPr>
        <w:spacing w:line="360" w:lineRule="auto"/>
        <w:ind w:firstLine="708"/>
        <w:jc w:val="center"/>
        <w:rPr>
          <w:rFonts w:ascii="Bookman Old Style" w:hAnsi="Bookman Old Style" w:cs="Arial"/>
          <w:bCs/>
          <w:iCs/>
          <w:sz w:val="28"/>
          <w:szCs w:val="28"/>
        </w:rPr>
      </w:pPr>
      <w:r>
        <w:rPr>
          <w:rFonts w:ascii="Bookman Old Style" w:hAnsi="Bookman Old Style" w:cs="Arial"/>
          <w:b/>
          <w:bCs/>
          <w:iCs/>
          <w:sz w:val="28"/>
          <w:szCs w:val="28"/>
        </w:rPr>
        <w:t>NOTIFÍQUESE Y CÚMPLASE</w:t>
      </w:r>
    </w:p>
    <w:p w14:paraId="066AAA5F" w14:textId="77777777" w:rsidR="009C2939" w:rsidRPr="00C20A6A" w:rsidRDefault="009C2939" w:rsidP="009C2939">
      <w:pPr>
        <w:spacing w:line="360" w:lineRule="auto"/>
        <w:ind w:firstLine="708"/>
        <w:jc w:val="both"/>
        <w:rPr>
          <w:rFonts w:ascii="Bookman Old Style" w:hAnsi="Bookman Old Style" w:cs="Arial"/>
          <w:bCs/>
          <w:iCs/>
          <w:sz w:val="28"/>
          <w:szCs w:val="28"/>
        </w:rPr>
      </w:pPr>
    </w:p>
    <w:p w14:paraId="4516B7E8" w14:textId="77777777" w:rsidR="009C2939" w:rsidRPr="00C20A6A" w:rsidRDefault="009C2939" w:rsidP="009C2939">
      <w:pPr>
        <w:spacing w:line="360" w:lineRule="auto"/>
        <w:jc w:val="both"/>
        <w:rPr>
          <w:rFonts w:ascii="Bookman Old Style" w:hAnsi="Bookman Old Style" w:cs="Arial"/>
          <w:bCs/>
          <w:iCs/>
          <w:sz w:val="28"/>
          <w:szCs w:val="28"/>
        </w:rPr>
      </w:pPr>
    </w:p>
    <w:p w14:paraId="139A1E5E" w14:textId="77777777" w:rsidR="009C2939" w:rsidRDefault="009C2939" w:rsidP="009C2939">
      <w:pPr>
        <w:pStyle w:val="Sangra2detindependiente"/>
        <w:spacing w:after="0" w:line="360" w:lineRule="auto"/>
        <w:ind w:left="0"/>
        <w:jc w:val="both"/>
        <w:rPr>
          <w:rFonts w:ascii="Bookman Old Style" w:hAnsi="Bookman Old Style" w:cs="Arial"/>
          <w:sz w:val="28"/>
          <w:szCs w:val="28"/>
        </w:rPr>
      </w:pPr>
    </w:p>
    <w:p w14:paraId="1A8BC2E2" w14:textId="77777777" w:rsidR="009C2939" w:rsidRDefault="009C2939" w:rsidP="009C2939">
      <w:pPr>
        <w:tabs>
          <w:tab w:val="center" w:pos="4136"/>
        </w:tabs>
        <w:spacing w:line="360" w:lineRule="auto"/>
        <w:jc w:val="center"/>
        <w:rPr>
          <w:rFonts w:ascii="Bookman Old Style" w:hAnsi="Bookman Old Style" w:cs="Arial"/>
          <w:b/>
          <w:bCs/>
          <w:iCs/>
          <w:sz w:val="28"/>
          <w:szCs w:val="28"/>
        </w:rPr>
      </w:pPr>
      <w:r>
        <w:rPr>
          <w:rFonts w:ascii="Bookman Old Style" w:hAnsi="Bookman Old Style" w:cs="Arial"/>
          <w:b/>
          <w:bCs/>
          <w:iCs/>
          <w:sz w:val="28"/>
          <w:szCs w:val="28"/>
        </w:rPr>
        <w:t>GUSTAVO ENRIQUE MALO FERNÁNDEZ</w:t>
      </w:r>
    </w:p>
    <w:p w14:paraId="7EC01D8E" w14:textId="77777777" w:rsidR="009C2939" w:rsidRDefault="009C2939" w:rsidP="009C2939">
      <w:pPr>
        <w:spacing w:line="360" w:lineRule="auto"/>
        <w:jc w:val="center"/>
        <w:rPr>
          <w:rFonts w:ascii="Bookman Old Style" w:hAnsi="Bookman Old Style" w:cs="Arial"/>
          <w:spacing w:val="-6"/>
          <w:sz w:val="24"/>
          <w:szCs w:val="24"/>
        </w:rPr>
      </w:pPr>
    </w:p>
    <w:p w14:paraId="2B3ADF67" w14:textId="77777777" w:rsidR="009C2939" w:rsidRDefault="009C2939" w:rsidP="009C2939">
      <w:pPr>
        <w:spacing w:line="360" w:lineRule="auto"/>
        <w:jc w:val="center"/>
        <w:rPr>
          <w:rFonts w:ascii="Bookman Old Style" w:hAnsi="Bookman Old Style" w:cs="Arial"/>
          <w:spacing w:val="-6"/>
          <w:sz w:val="24"/>
          <w:szCs w:val="24"/>
        </w:rPr>
      </w:pPr>
    </w:p>
    <w:p w14:paraId="0C992DFD" w14:textId="77777777" w:rsidR="009C2939" w:rsidRDefault="009C2939" w:rsidP="009C2939">
      <w:pPr>
        <w:spacing w:line="360" w:lineRule="auto"/>
        <w:jc w:val="center"/>
        <w:rPr>
          <w:rFonts w:ascii="Bookman Old Style" w:hAnsi="Bookman Old Style" w:cs="Arial"/>
          <w:spacing w:val="-6"/>
          <w:sz w:val="24"/>
          <w:szCs w:val="24"/>
        </w:rPr>
      </w:pPr>
    </w:p>
    <w:p w14:paraId="6B8605E5" w14:textId="77777777" w:rsidR="009C2939" w:rsidRPr="000A45A3" w:rsidRDefault="009C2939" w:rsidP="009C2939">
      <w:pPr>
        <w:spacing w:line="360" w:lineRule="auto"/>
        <w:jc w:val="center"/>
        <w:rPr>
          <w:rFonts w:ascii="Bookman Old Style" w:hAnsi="Bookman Old Style" w:cs="Arial"/>
          <w:b/>
          <w:spacing w:val="-6"/>
          <w:sz w:val="28"/>
          <w:szCs w:val="28"/>
        </w:rPr>
      </w:pPr>
      <w:r w:rsidRPr="000A45A3">
        <w:rPr>
          <w:rFonts w:ascii="Bookman Old Style" w:hAnsi="Bookman Old Style" w:cs="Arial"/>
          <w:b/>
          <w:spacing w:val="-6"/>
          <w:sz w:val="28"/>
          <w:szCs w:val="28"/>
        </w:rPr>
        <w:t>JOSÉ FRANCISCO ACUÑA VIZCAYA</w:t>
      </w:r>
    </w:p>
    <w:p w14:paraId="0F9D0ADF" w14:textId="77777777" w:rsidR="009C2939" w:rsidRDefault="009C2939" w:rsidP="009C2939">
      <w:pPr>
        <w:spacing w:line="360" w:lineRule="auto"/>
        <w:jc w:val="center"/>
        <w:rPr>
          <w:rFonts w:ascii="Bookman Old Style" w:hAnsi="Bookman Old Style" w:cs="Arial"/>
          <w:b/>
          <w:sz w:val="28"/>
          <w:szCs w:val="28"/>
        </w:rPr>
      </w:pPr>
    </w:p>
    <w:p w14:paraId="16B6B70D" w14:textId="77777777" w:rsidR="009C2939" w:rsidRDefault="009C2939" w:rsidP="009C2939">
      <w:pPr>
        <w:spacing w:line="360" w:lineRule="auto"/>
        <w:jc w:val="center"/>
        <w:rPr>
          <w:rFonts w:ascii="Bookman Old Style" w:hAnsi="Bookman Old Style" w:cs="Arial"/>
          <w:b/>
          <w:sz w:val="28"/>
          <w:szCs w:val="28"/>
        </w:rPr>
      </w:pPr>
    </w:p>
    <w:p w14:paraId="7A991D60" w14:textId="77777777" w:rsidR="009C2939" w:rsidRDefault="009C2939" w:rsidP="009C2939">
      <w:pPr>
        <w:spacing w:line="360" w:lineRule="auto"/>
        <w:jc w:val="center"/>
        <w:rPr>
          <w:rFonts w:ascii="Bookman Old Style" w:hAnsi="Bookman Old Style" w:cs="Arial"/>
          <w:b/>
          <w:sz w:val="28"/>
          <w:szCs w:val="28"/>
        </w:rPr>
      </w:pPr>
    </w:p>
    <w:p w14:paraId="5F08D9CB" w14:textId="77777777" w:rsidR="009C2939" w:rsidRDefault="009C2939" w:rsidP="009C2939">
      <w:pPr>
        <w:spacing w:line="360" w:lineRule="auto"/>
        <w:jc w:val="center"/>
        <w:rPr>
          <w:rFonts w:ascii="Bookman Old Style" w:hAnsi="Bookman Old Style" w:cs="Arial"/>
          <w:b/>
          <w:sz w:val="28"/>
          <w:szCs w:val="28"/>
        </w:rPr>
      </w:pPr>
      <w:r>
        <w:rPr>
          <w:rFonts w:ascii="Bookman Old Style" w:hAnsi="Bookman Old Style" w:cs="Arial"/>
          <w:b/>
          <w:sz w:val="28"/>
          <w:szCs w:val="28"/>
        </w:rPr>
        <w:t>JOSÉ LUIS BARCELÓ CAMACHO</w:t>
      </w:r>
    </w:p>
    <w:p w14:paraId="71982C91" w14:textId="77777777" w:rsidR="009C2939" w:rsidRPr="00A929C2" w:rsidRDefault="009C2939" w:rsidP="009C2939">
      <w:pPr>
        <w:spacing w:line="360" w:lineRule="auto"/>
        <w:ind w:firstLine="708"/>
        <w:jc w:val="both"/>
        <w:rPr>
          <w:rFonts w:ascii="Bookman Old Style" w:hAnsi="Bookman Old Style" w:cs="Arial"/>
          <w:b/>
          <w:sz w:val="24"/>
          <w:szCs w:val="24"/>
        </w:rPr>
      </w:pPr>
    </w:p>
    <w:p w14:paraId="75F29F1F" w14:textId="77777777" w:rsidR="009C2939" w:rsidRDefault="009C2939" w:rsidP="009C2939">
      <w:pPr>
        <w:spacing w:line="360" w:lineRule="auto"/>
        <w:rPr>
          <w:rFonts w:ascii="Bookman Old Style" w:hAnsi="Bookman Old Style" w:cs="Arial"/>
          <w:b/>
          <w:sz w:val="24"/>
          <w:szCs w:val="24"/>
        </w:rPr>
      </w:pPr>
    </w:p>
    <w:p w14:paraId="77CF708E" w14:textId="77777777" w:rsidR="009C2939" w:rsidRDefault="009C2939" w:rsidP="009C2939">
      <w:pPr>
        <w:spacing w:line="360" w:lineRule="auto"/>
        <w:rPr>
          <w:rFonts w:ascii="Bookman Old Style" w:hAnsi="Bookman Old Style" w:cs="Arial"/>
          <w:b/>
          <w:sz w:val="24"/>
          <w:szCs w:val="24"/>
        </w:rPr>
      </w:pPr>
    </w:p>
    <w:p w14:paraId="6C1DE102" w14:textId="77777777" w:rsidR="009C2939" w:rsidRDefault="009C2939" w:rsidP="009C2939">
      <w:pPr>
        <w:spacing w:line="360" w:lineRule="auto"/>
        <w:jc w:val="center"/>
        <w:rPr>
          <w:rFonts w:ascii="Bookman Old Style" w:hAnsi="Bookman Old Style" w:cs="Arial"/>
          <w:b/>
          <w:sz w:val="28"/>
          <w:szCs w:val="28"/>
        </w:rPr>
      </w:pPr>
      <w:r>
        <w:rPr>
          <w:rFonts w:ascii="Bookman Old Style" w:hAnsi="Bookman Old Style" w:cs="Arial"/>
          <w:b/>
          <w:sz w:val="28"/>
          <w:szCs w:val="28"/>
        </w:rPr>
        <w:t>FERNANDO ALBERTO CASTRO CABALLERO</w:t>
      </w:r>
    </w:p>
    <w:p w14:paraId="514DF972" w14:textId="77777777" w:rsidR="009C2939" w:rsidRDefault="009C2939" w:rsidP="009C2939">
      <w:pPr>
        <w:spacing w:line="360" w:lineRule="auto"/>
        <w:jc w:val="center"/>
        <w:rPr>
          <w:rFonts w:ascii="Bookman Old Style" w:hAnsi="Bookman Old Style" w:cs="Arial"/>
          <w:b/>
          <w:sz w:val="28"/>
          <w:szCs w:val="28"/>
        </w:rPr>
      </w:pPr>
    </w:p>
    <w:p w14:paraId="37675DA9" w14:textId="77777777" w:rsidR="009C2939" w:rsidRDefault="009C2939" w:rsidP="009C2939">
      <w:pPr>
        <w:spacing w:line="360" w:lineRule="auto"/>
        <w:jc w:val="center"/>
        <w:rPr>
          <w:rFonts w:ascii="Bookman Old Style" w:hAnsi="Bookman Old Style" w:cs="Arial"/>
          <w:b/>
          <w:bCs/>
          <w:iCs/>
          <w:sz w:val="28"/>
          <w:szCs w:val="28"/>
        </w:rPr>
      </w:pPr>
    </w:p>
    <w:p w14:paraId="1380EEAB" w14:textId="77777777" w:rsidR="009C2939" w:rsidRDefault="009C2939" w:rsidP="009C2939">
      <w:pPr>
        <w:spacing w:line="360" w:lineRule="auto"/>
        <w:jc w:val="center"/>
        <w:rPr>
          <w:rFonts w:ascii="Bookman Old Style" w:hAnsi="Bookman Old Style" w:cs="Arial"/>
          <w:b/>
          <w:bCs/>
          <w:iCs/>
          <w:sz w:val="28"/>
          <w:szCs w:val="28"/>
        </w:rPr>
      </w:pPr>
    </w:p>
    <w:p w14:paraId="5450DA88" w14:textId="77777777" w:rsidR="009C2939" w:rsidRPr="000C3565" w:rsidRDefault="009C2939" w:rsidP="009C2939">
      <w:pPr>
        <w:spacing w:line="360" w:lineRule="auto"/>
        <w:jc w:val="center"/>
        <w:rPr>
          <w:rFonts w:ascii="Bookman Old Style" w:hAnsi="Bookman Old Style" w:cs="Arial"/>
          <w:b/>
          <w:bCs/>
          <w:iCs/>
          <w:sz w:val="28"/>
          <w:szCs w:val="28"/>
        </w:rPr>
      </w:pPr>
      <w:r>
        <w:rPr>
          <w:rFonts w:ascii="Bookman Old Style" w:hAnsi="Bookman Old Style" w:cs="Arial"/>
          <w:b/>
          <w:bCs/>
          <w:iCs/>
          <w:sz w:val="28"/>
          <w:szCs w:val="28"/>
        </w:rPr>
        <w:t>EUGENIO FERNÁNDEZ CARLIER</w:t>
      </w:r>
    </w:p>
    <w:p w14:paraId="3CDC6707" w14:textId="77777777" w:rsidR="009C2939" w:rsidRDefault="009C2939" w:rsidP="009C2939">
      <w:pPr>
        <w:spacing w:line="360" w:lineRule="auto"/>
        <w:jc w:val="center"/>
        <w:rPr>
          <w:rFonts w:ascii="Bookman Old Style" w:hAnsi="Bookman Old Style" w:cs="Arial"/>
          <w:b/>
          <w:sz w:val="28"/>
          <w:szCs w:val="28"/>
        </w:rPr>
      </w:pPr>
    </w:p>
    <w:p w14:paraId="6E69464A" w14:textId="77777777" w:rsidR="009C2939" w:rsidRDefault="009C2939" w:rsidP="009C2939">
      <w:pPr>
        <w:spacing w:line="360" w:lineRule="auto"/>
        <w:jc w:val="center"/>
        <w:rPr>
          <w:rFonts w:ascii="Bookman Old Style" w:hAnsi="Bookman Old Style" w:cs="Arial"/>
          <w:b/>
          <w:sz w:val="28"/>
          <w:szCs w:val="28"/>
        </w:rPr>
      </w:pPr>
    </w:p>
    <w:p w14:paraId="289C2B83" w14:textId="77777777" w:rsidR="00D9537D" w:rsidRDefault="00D9537D" w:rsidP="009C2939">
      <w:pPr>
        <w:spacing w:line="360" w:lineRule="auto"/>
        <w:jc w:val="center"/>
        <w:rPr>
          <w:rFonts w:ascii="Bookman Old Style" w:hAnsi="Bookman Old Style" w:cs="Arial"/>
          <w:b/>
          <w:sz w:val="28"/>
          <w:szCs w:val="28"/>
        </w:rPr>
      </w:pPr>
    </w:p>
    <w:p w14:paraId="29039527" w14:textId="77777777" w:rsidR="009C2939" w:rsidRDefault="009C2939" w:rsidP="009C2939">
      <w:pPr>
        <w:spacing w:line="360" w:lineRule="auto"/>
        <w:jc w:val="center"/>
        <w:rPr>
          <w:rFonts w:ascii="Bookman Old Style" w:hAnsi="Bookman Old Style" w:cs="Arial"/>
          <w:b/>
          <w:bCs/>
          <w:iCs/>
          <w:sz w:val="28"/>
          <w:szCs w:val="28"/>
        </w:rPr>
      </w:pPr>
      <w:r>
        <w:rPr>
          <w:rFonts w:ascii="Bookman Old Style" w:hAnsi="Bookman Old Style" w:cs="Arial"/>
          <w:b/>
          <w:bCs/>
          <w:iCs/>
          <w:sz w:val="28"/>
          <w:szCs w:val="28"/>
        </w:rPr>
        <w:t>LUIS ANTONIO HERNÁNDEZ BARBOSA</w:t>
      </w:r>
    </w:p>
    <w:p w14:paraId="097DC440" w14:textId="77777777" w:rsidR="009C2939" w:rsidRDefault="009C2939" w:rsidP="009C2939">
      <w:pPr>
        <w:spacing w:line="360" w:lineRule="auto"/>
        <w:jc w:val="center"/>
        <w:rPr>
          <w:rFonts w:ascii="Bookman Old Style" w:hAnsi="Bookman Old Style" w:cs="Arial"/>
          <w:b/>
          <w:bCs/>
          <w:iCs/>
          <w:sz w:val="28"/>
          <w:szCs w:val="28"/>
        </w:rPr>
      </w:pPr>
    </w:p>
    <w:p w14:paraId="38DE7EE0" w14:textId="77777777" w:rsidR="009C2939" w:rsidRDefault="009C2939" w:rsidP="009C2939">
      <w:pPr>
        <w:spacing w:line="360" w:lineRule="auto"/>
        <w:jc w:val="center"/>
        <w:rPr>
          <w:rFonts w:ascii="Bookman Old Style" w:hAnsi="Bookman Old Style" w:cs="Arial"/>
          <w:b/>
          <w:bCs/>
          <w:iCs/>
          <w:sz w:val="28"/>
          <w:szCs w:val="28"/>
        </w:rPr>
      </w:pPr>
    </w:p>
    <w:p w14:paraId="4AB636FC" w14:textId="77777777" w:rsidR="009C2939" w:rsidRDefault="009C2939" w:rsidP="009C2939">
      <w:pPr>
        <w:spacing w:line="360" w:lineRule="auto"/>
        <w:jc w:val="center"/>
        <w:rPr>
          <w:rFonts w:ascii="Bookman Old Style" w:hAnsi="Bookman Old Style" w:cs="Arial"/>
          <w:b/>
          <w:bCs/>
          <w:iCs/>
          <w:sz w:val="28"/>
          <w:szCs w:val="28"/>
        </w:rPr>
      </w:pPr>
    </w:p>
    <w:p w14:paraId="732CA514" w14:textId="77777777" w:rsidR="00B10626" w:rsidRDefault="00B10626" w:rsidP="009C2939">
      <w:pPr>
        <w:spacing w:line="360" w:lineRule="auto"/>
        <w:jc w:val="center"/>
        <w:rPr>
          <w:rFonts w:ascii="Bookman Old Style" w:hAnsi="Bookman Old Style" w:cs="Arial"/>
          <w:b/>
          <w:bCs/>
          <w:iCs/>
          <w:sz w:val="28"/>
          <w:szCs w:val="28"/>
        </w:rPr>
      </w:pPr>
    </w:p>
    <w:p w14:paraId="4B6832B2" w14:textId="77777777" w:rsidR="009C2939" w:rsidRDefault="009C2939" w:rsidP="009C2939">
      <w:pPr>
        <w:spacing w:line="360" w:lineRule="auto"/>
        <w:jc w:val="center"/>
        <w:rPr>
          <w:rFonts w:ascii="Bookman Old Style" w:hAnsi="Bookman Old Style" w:cs="Arial"/>
          <w:b/>
          <w:sz w:val="28"/>
          <w:szCs w:val="28"/>
        </w:rPr>
      </w:pPr>
      <w:r>
        <w:rPr>
          <w:rFonts w:ascii="Bookman Old Style" w:hAnsi="Bookman Old Style" w:cs="Arial"/>
          <w:b/>
          <w:sz w:val="28"/>
          <w:szCs w:val="28"/>
        </w:rPr>
        <w:t>EYDER PATIÑO CABRERA</w:t>
      </w:r>
    </w:p>
    <w:p w14:paraId="776DA5A3" w14:textId="77777777" w:rsidR="009C2939" w:rsidRDefault="009C2939" w:rsidP="009C2939">
      <w:pPr>
        <w:spacing w:line="360" w:lineRule="auto"/>
        <w:jc w:val="center"/>
        <w:rPr>
          <w:rFonts w:ascii="Bookman Old Style" w:hAnsi="Bookman Old Style" w:cs="Arial"/>
          <w:b/>
          <w:sz w:val="28"/>
          <w:szCs w:val="28"/>
        </w:rPr>
      </w:pPr>
    </w:p>
    <w:p w14:paraId="4478494A" w14:textId="77777777" w:rsidR="009C2939" w:rsidRDefault="009C2939" w:rsidP="009C2939">
      <w:pPr>
        <w:spacing w:line="360" w:lineRule="auto"/>
        <w:jc w:val="center"/>
        <w:rPr>
          <w:rFonts w:ascii="Bookman Old Style" w:hAnsi="Bookman Old Style" w:cs="Arial"/>
          <w:b/>
          <w:sz w:val="28"/>
          <w:szCs w:val="28"/>
        </w:rPr>
      </w:pPr>
    </w:p>
    <w:p w14:paraId="55A06516" w14:textId="77777777" w:rsidR="009C2939" w:rsidRDefault="009C2939" w:rsidP="009C2939">
      <w:pPr>
        <w:spacing w:line="360" w:lineRule="auto"/>
        <w:jc w:val="center"/>
        <w:rPr>
          <w:rFonts w:ascii="Bookman Old Style" w:hAnsi="Bookman Old Style" w:cs="Arial"/>
          <w:b/>
          <w:sz w:val="28"/>
          <w:szCs w:val="28"/>
        </w:rPr>
      </w:pPr>
    </w:p>
    <w:p w14:paraId="0552E898" w14:textId="77777777" w:rsidR="009C2939" w:rsidRDefault="009C2939" w:rsidP="009C2939">
      <w:pPr>
        <w:spacing w:line="360" w:lineRule="auto"/>
        <w:jc w:val="center"/>
        <w:rPr>
          <w:rFonts w:ascii="Bookman Old Style" w:hAnsi="Bookman Old Style" w:cs="Arial"/>
          <w:b/>
          <w:sz w:val="28"/>
          <w:szCs w:val="28"/>
        </w:rPr>
      </w:pPr>
      <w:r>
        <w:rPr>
          <w:rFonts w:ascii="Bookman Old Style" w:hAnsi="Bookman Old Style" w:cs="Arial"/>
          <w:b/>
          <w:sz w:val="28"/>
          <w:szCs w:val="28"/>
        </w:rPr>
        <w:t>PATRICIA SALAZAR CUÉLLAR</w:t>
      </w:r>
    </w:p>
    <w:p w14:paraId="58B1BC66" w14:textId="77777777" w:rsidR="009C2939" w:rsidRDefault="009C2939" w:rsidP="009C2939">
      <w:pPr>
        <w:spacing w:line="360" w:lineRule="auto"/>
        <w:jc w:val="center"/>
        <w:rPr>
          <w:rFonts w:ascii="Bookman Old Style" w:hAnsi="Bookman Old Style" w:cs="Arial"/>
          <w:b/>
          <w:sz w:val="28"/>
          <w:szCs w:val="28"/>
        </w:rPr>
      </w:pPr>
    </w:p>
    <w:p w14:paraId="35958333" w14:textId="77777777" w:rsidR="009C2939" w:rsidRDefault="009C2939" w:rsidP="009C2939">
      <w:pPr>
        <w:spacing w:line="360" w:lineRule="auto"/>
        <w:jc w:val="center"/>
        <w:rPr>
          <w:rFonts w:ascii="Bookman Old Style" w:hAnsi="Bookman Old Style" w:cs="Arial"/>
          <w:b/>
          <w:sz w:val="28"/>
          <w:szCs w:val="28"/>
        </w:rPr>
      </w:pPr>
    </w:p>
    <w:p w14:paraId="43D715D1" w14:textId="77777777" w:rsidR="009C2939" w:rsidRDefault="009C2939" w:rsidP="009C2939">
      <w:pPr>
        <w:spacing w:line="360" w:lineRule="auto"/>
        <w:jc w:val="center"/>
        <w:rPr>
          <w:rFonts w:ascii="Bookman Old Style" w:hAnsi="Bookman Old Style" w:cs="Arial"/>
          <w:b/>
          <w:sz w:val="28"/>
          <w:szCs w:val="28"/>
        </w:rPr>
      </w:pPr>
    </w:p>
    <w:p w14:paraId="2D6CC80C" w14:textId="77777777" w:rsidR="009C2939" w:rsidRDefault="009C2939" w:rsidP="009C2939">
      <w:pPr>
        <w:spacing w:line="360" w:lineRule="auto"/>
        <w:jc w:val="center"/>
        <w:rPr>
          <w:rFonts w:ascii="Bookman Old Style" w:hAnsi="Bookman Old Style" w:cs="Arial"/>
          <w:b/>
          <w:bCs/>
          <w:iCs/>
          <w:sz w:val="28"/>
          <w:szCs w:val="28"/>
        </w:rPr>
      </w:pPr>
      <w:r>
        <w:rPr>
          <w:rFonts w:ascii="Bookman Old Style" w:hAnsi="Bookman Old Style" w:cs="Arial"/>
          <w:b/>
          <w:sz w:val="28"/>
          <w:szCs w:val="28"/>
        </w:rPr>
        <w:t>LUIS GUILLERMO SALAZAR OTERO</w:t>
      </w:r>
    </w:p>
    <w:p w14:paraId="41433506" w14:textId="77777777" w:rsidR="009C2939" w:rsidRDefault="009C2939" w:rsidP="009C2939">
      <w:pPr>
        <w:spacing w:line="360" w:lineRule="auto"/>
        <w:jc w:val="center"/>
        <w:rPr>
          <w:rFonts w:ascii="Bookman Old Style" w:hAnsi="Bookman Old Style" w:cs="Arial"/>
          <w:b/>
          <w:bCs/>
          <w:iCs/>
          <w:sz w:val="28"/>
          <w:szCs w:val="28"/>
        </w:rPr>
      </w:pPr>
    </w:p>
    <w:p w14:paraId="4A55F7A7" w14:textId="77777777" w:rsidR="009C2939" w:rsidRDefault="009C2939" w:rsidP="009C2939">
      <w:pPr>
        <w:spacing w:line="360" w:lineRule="auto"/>
        <w:jc w:val="center"/>
        <w:rPr>
          <w:rFonts w:ascii="Bookman Old Style" w:hAnsi="Bookman Old Style" w:cs="Arial"/>
          <w:b/>
          <w:bCs/>
          <w:iCs/>
          <w:sz w:val="28"/>
          <w:szCs w:val="28"/>
        </w:rPr>
      </w:pPr>
    </w:p>
    <w:p w14:paraId="5F0A9EA7" w14:textId="77777777" w:rsidR="009C2939" w:rsidRDefault="009C2939" w:rsidP="009C2939">
      <w:pPr>
        <w:spacing w:line="360" w:lineRule="auto"/>
        <w:jc w:val="center"/>
        <w:rPr>
          <w:rFonts w:ascii="Bookman Old Style" w:hAnsi="Bookman Old Style" w:cs="Arial"/>
          <w:b/>
          <w:bCs/>
          <w:iCs/>
          <w:sz w:val="28"/>
          <w:szCs w:val="28"/>
        </w:rPr>
      </w:pPr>
    </w:p>
    <w:p w14:paraId="35755678" w14:textId="77777777" w:rsidR="009C2939" w:rsidRPr="003D01F9" w:rsidRDefault="009C2939" w:rsidP="009C2939">
      <w:pPr>
        <w:pStyle w:val="Textoindependiente"/>
        <w:spacing w:line="240" w:lineRule="auto"/>
        <w:jc w:val="center"/>
        <w:rPr>
          <w:rFonts w:ascii="Bookman Old Style" w:hAnsi="Bookman Old Style" w:cs="Arial"/>
          <w:b/>
          <w:sz w:val="28"/>
          <w:szCs w:val="28"/>
        </w:rPr>
      </w:pPr>
      <w:r w:rsidRPr="003D01F9">
        <w:rPr>
          <w:rFonts w:ascii="Bookman Old Style" w:hAnsi="Bookman Old Style" w:cs="Arial"/>
          <w:b/>
          <w:sz w:val="28"/>
          <w:szCs w:val="28"/>
        </w:rPr>
        <w:t>Nubia Yolanda Nova García</w:t>
      </w:r>
    </w:p>
    <w:p w14:paraId="7182FF59" w14:textId="77777777" w:rsidR="009C2939" w:rsidRDefault="009C2939" w:rsidP="009C2939">
      <w:pPr>
        <w:jc w:val="center"/>
        <w:rPr>
          <w:rFonts w:ascii="Bookman Old Style" w:hAnsi="Bookman Old Style" w:cs="Arial"/>
          <w:sz w:val="28"/>
          <w:szCs w:val="28"/>
        </w:rPr>
      </w:pPr>
      <w:r w:rsidRPr="003D01F9">
        <w:rPr>
          <w:rFonts w:ascii="Bookman Old Style" w:hAnsi="Bookman Old Style" w:cs="Arial"/>
          <w:sz w:val="28"/>
          <w:szCs w:val="28"/>
        </w:rPr>
        <w:t>Secretaria</w:t>
      </w:r>
    </w:p>
    <w:p w14:paraId="498AFDA8" w14:textId="77777777" w:rsidR="009C2939" w:rsidRDefault="009C2939" w:rsidP="009C2939">
      <w:pPr>
        <w:jc w:val="center"/>
        <w:rPr>
          <w:rFonts w:ascii="Bookman Old Style" w:hAnsi="Bookman Old Style" w:cs="Arial"/>
          <w:sz w:val="28"/>
          <w:szCs w:val="28"/>
        </w:rPr>
      </w:pPr>
    </w:p>
    <w:p w14:paraId="7431E77A" w14:textId="77777777" w:rsidR="009C2939" w:rsidRDefault="009C2939" w:rsidP="009C2939">
      <w:pPr>
        <w:jc w:val="center"/>
        <w:rPr>
          <w:rFonts w:ascii="Bookman Old Style" w:hAnsi="Bookman Old Style" w:cs="Arial"/>
          <w:sz w:val="28"/>
          <w:szCs w:val="28"/>
        </w:rPr>
      </w:pPr>
    </w:p>
    <w:p w14:paraId="398A1E2B" w14:textId="77777777" w:rsidR="009C2939" w:rsidRDefault="009C2939" w:rsidP="009C2939">
      <w:pPr>
        <w:jc w:val="center"/>
        <w:rPr>
          <w:rFonts w:ascii="Bookman Old Style" w:hAnsi="Bookman Old Style" w:cs="Arial"/>
          <w:sz w:val="28"/>
          <w:szCs w:val="28"/>
        </w:rPr>
      </w:pPr>
    </w:p>
    <w:p w14:paraId="637547D6" w14:textId="77777777" w:rsidR="00257F54" w:rsidRDefault="00257F54" w:rsidP="009C2939">
      <w:pPr>
        <w:pStyle w:val="Textoindependiente"/>
        <w:spacing w:line="240" w:lineRule="auto"/>
        <w:jc w:val="center"/>
        <w:rPr>
          <w:rFonts w:ascii="Bookman Old Style" w:hAnsi="Bookman Old Style"/>
          <w:b/>
          <w:bCs/>
          <w:color w:val="002060"/>
          <w:szCs w:val="24"/>
        </w:rPr>
      </w:pPr>
    </w:p>
    <w:p w14:paraId="2551CF62" w14:textId="77777777" w:rsidR="00257F54" w:rsidRDefault="00257F54" w:rsidP="009C2939">
      <w:pPr>
        <w:pStyle w:val="Textoindependiente"/>
        <w:spacing w:line="240" w:lineRule="auto"/>
        <w:jc w:val="center"/>
        <w:rPr>
          <w:rFonts w:ascii="Bookman Old Style" w:hAnsi="Bookman Old Style"/>
          <w:b/>
          <w:bCs/>
          <w:color w:val="002060"/>
          <w:szCs w:val="24"/>
        </w:rPr>
      </w:pPr>
    </w:p>
    <w:p w14:paraId="4E8DB8FE" w14:textId="77777777" w:rsidR="00257F54" w:rsidRDefault="00257F54" w:rsidP="009C2939">
      <w:pPr>
        <w:pStyle w:val="Textoindependiente"/>
        <w:spacing w:line="240" w:lineRule="auto"/>
        <w:jc w:val="center"/>
        <w:rPr>
          <w:rFonts w:ascii="Bookman Old Style" w:hAnsi="Bookman Old Style"/>
          <w:b/>
          <w:bCs/>
          <w:color w:val="002060"/>
          <w:szCs w:val="24"/>
        </w:rPr>
      </w:pPr>
    </w:p>
    <w:p w14:paraId="2DFED2AC" w14:textId="77777777" w:rsidR="00257F54" w:rsidRDefault="00257F54" w:rsidP="009C2939">
      <w:pPr>
        <w:pStyle w:val="Textoindependiente"/>
        <w:spacing w:line="240" w:lineRule="auto"/>
        <w:jc w:val="center"/>
        <w:rPr>
          <w:rFonts w:ascii="Bookman Old Style" w:hAnsi="Bookman Old Style"/>
          <w:b/>
          <w:bCs/>
          <w:color w:val="002060"/>
          <w:szCs w:val="24"/>
        </w:rPr>
      </w:pPr>
    </w:p>
    <w:p w14:paraId="23E4E7A1" w14:textId="77777777" w:rsidR="00257F54" w:rsidRDefault="00257F54" w:rsidP="009C2939">
      <w:pPr>
        <w:pStyle w:val="Textoindependiente"/>
        <w:spacing w:line="240" w:lineRule="auto"/>
        <w:jc w:val="center"/>
        <w:rPr>
          <w:rFonts w:ascii="Bookman Old Style" w:hAnsi="Bookman Old Style"/>
          <w:b/>
          <w:bCs/>
          <w:color w:val="002060"/>
          <w:szCs w:val="24"/>
        </w:rPr>
      </w:pPr>
    </w:p>
    <w:p w14:paraId="1F96C87B" w14:textId="77777777" w:rsidR="00257F54" w:rsidRDefault="00257F54" w:rsidP="009C2939">
      <w:pPr>
        <w:pStyle w:val="Textoindependiente"/>
        <w:spacing w:line="240" w:lineRule="auto"/>
        <w:jc w:val="center"/>
        <w:rPr>
          <w:rFonts w:ascii="Bookman Old Style" w:hAnsi="Bookman Old Style"/>
          <w:b/>
          <w:bCs/>
          <w:color w:val="002060"/>
          <w:szCs w:val="24"/>
        </w:rPr>
      </w:pPr>
    </w:p>
    <w:p w14:paraId="7695EAFA" w14:textId="77777777" w:rsidR="00257F54" w:rsidRDefault="00257F54" w:rsidP="009C2939">
      <w:pPr>
        <w:pStyle w:val="Textoindependiente"/>
        <w:spacing w:line="240" w:lineRule="auto"/>
        <w:jc w:val="center"/>
        <w:rPr>
          <w:rFonts w:ascii="Bookman Old Style" w:hAnsi="Bookman Old Style"/>
          <w:b/>
          <w:bCs/>
          <w:color w:val="002060"/>
          <w:szCs w:val="24"/>
        </w:rPr>
      </w:pPr>
    </w:p>
    <w:p w14:paraId="70645FEB" w14:textId="77777777" w:rsidR="00257F54" w:rsidRDefault="00257F54" w:rsidP="009C2939">
      <w:pPr>
        <w:pStyle w:val="Textoindependiente"/>
        <w:spacing w:line="240" w:lineRule="auto"/>
        <w:jc w:val="center"/>
        <w:rPr>
          <w:rFonts w:ascii="Bookman Old Style" w:hAnsi="Bookman Old Style"/>
          <w:b/>
          <w:bCs/>
          <w:color w:val="002060"/>
          <w:szCs w:val="24"/>
        </w:rPr>
      </w:pPr>
    </w:p>
    <w:p w14:paraId="55C0B82D" w14:textId="77777777" w:rsidR="00257F54" w:rsidRDefault="00257F54" w:rsidP="009C2939">
      <w:pPr>
        <w:pStyle w:val="Textoindependiente"/>
        <w:spacing w:line="240" w:lineRule="auto"/>
        <w:jc w:val="center"/>
        <w:rPr>
          <w:rFonts w:ascii="Bookman Old Style" w:hAnsi="Bookman Old Style"/>
          <w:b/>
          <w:bCs/>
          <w:color w:val="002060"/>
          <w:szCs w:val="24"/>
        </w:rPr>
      </w:pPr>
    </w:p>
    <w:p w14:paraId="5D666F49" w14:textId="77777777" w:rsidR="00257F54" w:rsidRDefault="00257F54" w:rsidP="009C2939">
      <w:pPr>
        <w:pStyle w:val="Textoindependiente"/>
        <w:spacing w:line="240" w:lineRule="auto"/>
        <w:jc w:val="center"/>
        <w:rPr>
          <w:rFonts w:ascii="Bookman Old Style" w:hAnsi="Bookman Old Style"/>
          <w:b/>
          <w:bCs/>
          <w:color w:val="002060"/>
          <w:szCs w:val="24"/>
        </w:rPr>
      </w:pPr>
    </w:p>
    <w:p w14:paraId="3DC834A9" w14:textId="77777777" w:rsidR="00257F54" w:rsidRDefault="00257F54" w:rsidP="009C2939">
      <w:pPr>
        <w:pStyle w:val="Textoindependiente"/>
        <w:spacing w:line="240" w:lineRule="auto"/>
        <w:jc w:val="center"/>
        <w:rPr>
          <w:rFonts w:ascii="Bookman Old Style" w:hAnsi="Bookman Old Style"/>
          <w:b/>
          <w:bCs/>
          <w:color w:val="002060"/>
          <w:szCs w:val="24"/>
        </w:rPr>
      </w:pPr>
    </w:p>
    <w:p w14:paraId="44991BE0" w14:textId="77777777" w:rsidR="00257F54" w:rsidRDefault="00257F54" w:rsidP="009C2939">
      <w:pPr>
        <w:pStyle w:val="Textoindependiente"/>
        <w:spacing w:line="240" w:lineRule="auto"/>
        <w:jc w:val="center"/>
        <w:rPr>
          <w:rFonts w:ascii="Bookman Old Style" w:hAnsi="Bookman Old Style"/>
          <w:b/>
          <w:bCs/>
          <w:color w:val="002060"/>
          <w:szCs w:val="24"/>
        </w:rPr>
      </w:pPr>
    </w:p>
    <w:p w14:paraId="40CF2A1B" w14:textId="77777777" w:rsidR="00257F54" w:rsidRDefault="00257F54" w:rsidP="009C2939">
      <w:pPr>
        <w:pStyle w:val="Textoindependiente"/>
        <w:spacing w:line="240" w:lineRule="auto"/>
        <w:jc w:val="center"/>
        <w:rPr>
          <w:rFonts w:ascii="Bookman Old Style" w:hAnsi="Bookman Old Style"/>
          <w:b/>
          <w:bCs/>
          <w:color w:val="002060"/>
          <w:szCs w:val="24"/>
        </w:rPr>
      </w:pPr>
    </w:p>
    <w:p w14:paraId="0F26835A" w14:textId="77777777" w:rsidR="00D9537D" w:rsidRDefault="00D9537D" w:rsidP="009C2939">
      <w:pPr>
        <w:pStyle w:val="Textoindependiente"/>
        <w:spacing w:line="240" w:lineRule="auto"/>
        <w:jc w:val="center"/>
        <w:rPr>
          <w:rFonts w:ascii="Bookman Old Style" w:hAnsi="Bookman Old Style"/>
          <w:b/>
          <w:bCs/>
          <w:color w:val="002060"/>
          <w:szCs w:val="24"/>
        </w:rPr>
      </w:pPr>
    </w:p>
    <w:p w14:paraId="12C5DB44" w14:textId="77777777" w:rsidR="00B10626" w:rsidRDefault="00B10626" w:rsidP="009C2939">
      <w:pPr>
        <w:pStyle w:val="Textoindependiente"/>
        <w:spacing w:line="240" w:lineRule="auto"/>
        <w:jc w:val="center"/>
        <w:rPr>
          <w:rFonts w:ascii="Bookman Old Style" w:hAnsi="Bookman Old Style"/>
          <w:b/>
          <w:bCs/>
          <w:color w:val="002060"/>
          <w:szCs w:val="24"/>
        </w:rPr>
      </w:pPr>
    </w:p>
    <w:p w14:paraId="4B7981DD" w14:textId="77777777" w:rsidR="00B10626" w:rsidRDefault="00B10626" w:rsidP="009C2939">
      <w:pPr>
        <w:pStyle w:val="Textoindependiente"/>
        <w:spacing w:line="240" w:lineRule="auto"/>
        <w:jc w:val="center"/>
        <w:rPr>
          <w:rFonts w:ascii="Bookman Old Style" w:hAnsi="Bookman Old Style"/>
          <w:b/>
          <w:bCs/>
          <w:color w:val="002060"/>
          <w:szCs w:val="24"/>
        </w:rPr>
      </w:pPr>
    </w:p>
    <w:p w14:paraId="0F77E40A" w14:textId="77777777" w:rsidR="00B10626" w:rsidRDefault="00B10626" w:rsidP="009C2939">
      <w:pPr>
        <w:pStyle w:val="Textoindependiente"/>
        <w:spacing w:line="240" w:lineRule="auto"/>
        <w:jc w:val="center"/>
        <w:rPr>
          <w:rFonts w:ascii="Bookman Old Style" w:hAnsi="Bookman Old Style"/>
          <w:b/>
          <w:bCs/>
          <w:color w:val="002060"/>
          <w:szCs w:val="24"/>
        </w:rPr>
      </w:pPr>
    </w:p>
    <w:p w14:paraId="05740491" w14:textId="77777777" w:rsidR="00B10626" w:rsidRDefault="00B10626" w:rsidP="009C2939">
      <w:pPr>
        <w:pStyle w:val="Textoindependiente"/>
        <w:spacing w:line="240" w:lineRule="auto"/>
        <w:jc w:val="center"/>
        <w:rPr>
          <w:rFonts w:ascii="Bookman Old Style" w:hAnsi="Bookman Old Style"/>
          <w:b/>
          <w:bCs/>
          <w:color w:val="002060"/>
          <w:szCs w:val="24"/>
        </w:rPr>
      </w:pPr>
    </w:p>
    <w:p w14:paraId="4EDFD33D" w14:textId="77777777" w:rsidR="00B10626" w:rsidRDefault="00B10626" w:rsidP="009C2939">
      <w:pPr>
        <w:pStyle w:val="Textoindependiente"/>
        <w:spacing w:line="240" w:lineRule="auto"/>
        <w:jc w:val="center"/>
        <w:rPr>
          <w:rFonts w:ascii="Bookman Old Style" w:hAnsi="Bookman Old Style"/>
          <w:b/>
          <w:bCs/>
          <w:color w:val="002060"/>
          <w:szCs w:val="24"/>
        </w:rPr>
      </w:pPr>
    </w:p>
    <w:p w14:paraId="7BB7BD93" w14:textId="77777777" w:rsidR="00B10626" w:rsidRDefault="00B10626" w:rsidP="009C2939">
      <w:pPr>
        <w:pStyle w:val="Textoindependiente"/>
        <w:spacing w:line="240" w:lineRule="auto"/>
        <w:jc w:val="center"/>
        <w:rPr>
          <w:rFonts w:ascii="Bookman Old Style" w:hAnsi="Bookman Old Style"/>
          <w:b/>
          <w:bCs/>
          <w:color w:val="002060"/>
          <w:szCs w:val="24"/>
        </w:rPr>
      </w:pPr>
    </w:p>
    <w:p w14:paraId="52F09841" w14:textId="77777777" w:rsidR="00B10626" w:rsidRDefault="00B10626" w:rsidP="009C2939">
      <w:pPr>
        <w:pStyle w:val="Textoindependiente"/>
        <w:spacing w:line="240" w:lineRule="auto"/>
        <w:jc w:val="center"/>
        <w:rPr>
          <w:rFonts w:ascii="Bookman Old Style" w:hAnsi="Bookman Old Style"/>
          <w:b/>
          <w:bCs/>
          <w:color w:val="002060"/>
          <w:szCs w:val="24"/>
        </w:rPr>
      </w:pPr>
    </w:p>
    <w:p w14:paraId="1B1BB2CA" w14:textId="77777777" w:rsidR="004A7585" w:rsidRDefault="004A7585" w:rsidP="009C2939">
      <w:pPr>
        <w:pStyle w:val="Textoindependiente"/>
        <w:spacing w:line="240" w:lineRule="auto"/>
        <w:rPr>
          <w:rFonts w:ascii="Bookman Old Style" w:hAnsi="Bookman Old Style"/>
          <w:bCs/>
          <w:color w:val="FF0000"/>
          <w:szCs w:val="24"/>
        </w:rPr>
      </w:pPr>
    </w:p>
    <w:p w14:paraId="10A6A110" w14:textId="77777777" w:rsidR="004A7585" w:rsidRDefault="004A7585" w:rsidP="009C2939">
      <w:pPr>
        <w:pStyle w:val="Textoindependiente"/>
        <w:spacing w:line="240" w:lineRule="auto"/>
        <w:rPr>
          <w:rFonts w:ascii="Bookman Old Style" w:hAnsi="Bookman Old Style"/>
          <w:bCs/>
          <w:color w:val="FF0000"/>
          <w:szCs w:val="24"/>
        </w:rPr>
      </w:pPr>
    </w:p>
    <w:p w14:paraId="0E519774" w14:textId="77777777" w:rsidR="004A7585" w:rsidRPr="00BF3213" w:rsidRDefault="004A7585" w:rsidP="004A7585">
      <w:pPr>
        <w:spacing w:line="360" w:lineRule="auto"/>
        <w:jc w:val="center"/>
        <w:rPr>
          <w:rFonts w:ascii="Bookman Old Style" w:hAnsi="Bookman Old Style" w:cs="Arial"/>
          <w:b/>
          <w:color w:val="002060"/>
          <w:sz w:val="26"/>
          <w:szCs w:val="26"/>
        </w:rPr>
      </w:pPr>
    </w:p>
    <w:p w14:paraId="5941A72D" w14:textId="02730626" w:rsidR="004A7585" w:rsidRPr="004A7585" w:rsidRDefault="00D9537D" w:rsidP="00D9537D">
      <w:pPr>
        <w:pStyle w:val="Textoindependiente"/>
        <w:tabs>
          <w:tab w:val="left" w:pos="970"/>
        </w:tabs>
        <w:spacing w:line="240" w:lineRule="auto"/>
        <w:rPr>
          <w:rFonts w:ascii="Bookman Old Style" w:hAnsi="Bookman Old Style"/>
          <w:bCs/>
          <w:color w:val="FF0000"/>
          <w:szCs w:val="24"/>
          <w:lang w:val="es-ES"/>
        </w:rPr>
      </w:pPr>
      <w:r>
        <w:rPr>
          <w:rFonts w:ascii="Bookman Old Style" w:hAnsi="Bookman Old Style"/>
          <w:bCs/>
          <w:color w:val="FF0000"/>
          <w:szCs w:val="24"/>
          <w:lang w:val="es-ES"/>
        </w:rPr>
        <w:tab/>
      </w:r>
    </w:p>
    <w:p w14:paraId="46B75252" w14:textId="77777777" w:rsidR="004A7585" w:rsidRPr="005A64E1" w:rsidRDefault="004A7585" w:rsidP="009C2939">
      <w:pPr>
        <w:pStyle w:val="Textoindependiente"/>
        <w:spacing w:line="240" w:lineRule="auto"/>
        <w:rPr>
          <w:color w:val="FF0000"/>
        </w:rPr>
      </w:pPr>
    </w:p>
    <w:p w14:paraId="01DDFFFD" w14:textId="77777777" w:rsidR="00BB2445" w:rsidRDefault="00BB2445"/>
    <w:p w14:paraId="37D9EBF8" w14:textId="77777777" w:rsidR="00182722" w:rsidRDefault="00182722">
      <w:pPr>
        <w:rPr>
          <w:lang w:val="en"/>
        </w:rPr>
      </w:pPr>
    </w:p>
    <w:sectPr w:rsidR="00182722" w:rsidSect="009E3947">
      <w:headerReference w:type="default" r:id="rId8"/>
      <w:footerReference w:type="even" r:id="rId9"/>
      <w:footerReference w:type="default" r:id="rId10"/>
      <w:headerReference w:type="first" r:id="rId11"/>
      <w:pgSz w:w="12242" w:h="18722" w:code="14"/>
      <w:pgMar w:top="2268" w:right="1701" w:bottom="1701" w:left="2268" w:header="1134"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E9C17" w14:textId="77777777" w:rsidR="00DA1C59" w:rsidRDefault="00DA1C59" w:rsidP="009C2939">
      <w:r>
        <w:separator/>
      </w:r>
    </w:p>
  </w:endnote>
  <w:endnote w:type="continuationSeparator" w:id="0">
    <w:p w14:paraId="60BE7A75" w14:textId="77777777" w:rsidR="00DA1C59" w:rsidRDefault="00DA1C59" w:rsidP="009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1209" w14:textId="77777777" w:rsidR="00DB3901" w:rsidRDefault="00DB39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E6A4FB" w14:textId="77777777" w:rsidR="00DB3901" w:rsidRDefault="00DB39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8310" w14:textId="77777777" w:rsidR="00DB3901" w:rsidRPr="006A52EB" w:rsidRDefault="00DB3901" w:rsidP="009E3947">
    <w:pPr>
      <w:pStyle w:val="Piedepgina"/>
      <w:jc w:val="right"/>
    </w:pPr>
    <w:r>
      <w:fldChar w:fldCharType="begin"/>
    </w:r>
    <w:r>
      <w:instrText>PAGE   \* MERGEFORMAT</w:instrText>
    </w:r>
    <w:r>
      <w:fldChar w:fldCharType="separate"/>
    </w:r>
    <w:r w:rsidR="003210AB" w:rsidRPr="003210AB">
      <w:rPr>
        <w:noProof/>
        <w:lang w:val="es-ES"/>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63824" w14:textId="77777777" w:rsidR="00DA1C59" w:rsidRDefault="00DA1C59" w:rsidP="009C2939">
      <w:r>
        <w:separator/>
      </w:r>
    </w:p>
  </w:footnote>
  <w:footnote w:type="continuationSeparator" w:id="0">
    <w:p w14:paraId="47C4F913" w14:textId="77777777" w:rsidR="00DA1C59" w:rsidRDefault="00DA1C59" w:rsidP="009C2939">
      <w:r>
        <w:continuationSeparator/>
      </w:r>
    </w:p>
  </w:footnote>
  <w:footnote w:id="1">
    <w:p w14:paraId="74D55B36" w14:textId="56338902" w:rsidR="00DB3901" w:rsidRPr="003D5C7A" w:rsidRDefault="00DB3901" w:rsidP="009C2939">
      <w:pPr>
        <w:pStyle w:val="Textonotapie"/>
        <w:jc w:val="both"/>
        <w:rPr>
          <w:rFonts w:ascii="Times New Roman" w:hAnsi="Times New Roman"/>
          <w:i/>
          <w:sz w:val="22"/>
          <w:szCs w:val="22"/>
        </w:rPr>
      </w:pPr>
      <w:r w:rsidRPr="00824463">
        <w:rPr>
          <w:rFonts w:ascii="Times New Roman" w:hAnsi="Times New Roman"/>
          <w:sz w:val="22"/>
          <w:szCs w:val="22"/>
        </w:rPr>
        <w:tab/>
      </w:r>
      <w:r w:rsidRPr="003D5C7A">
        <w:rPr>
          <w:rStyle w:val="Refdenotaalpie"/>
          <w:rFonts w:ascii="Times New Roman" w:hAnsi="Times New Roman"/>
          <w:sz w:val="22"/>
          <w:szCs w:val="22"/>
        </w:rPr>
        <w:footnoteRef/>
      </w:r>
      <w:r w:rsidRPr="003D5C7A">
        <w:rPr>
          <w:rFonts w:ascii="Times New Roman" w:hAnsi="Times New Roman"/>
          <w:sz w:val="22"/>
          <w:szCs w:val="22"/>
        </w:rPr>
        <w:t xml:space="preserve"> Identificado con la cédula de ciudadanía Nº 71.671.990 expedida en Medellín, nacido el 26 </w:t>
      </w:r>
      <w:r>
        <w:rPr>
          <w:rFonts w:ascii="Times New Roman" w:hAnsi="Times New Roman"/>
          <w:sz w:val="22"/>
          <w:szCs w:val="22"/>
        </w:rPr>
        <w:t>de febrero de 196</w:t>
      </w:r>
      <w:r w:rsidRPr="003D5C7A">
        <w:rPr>
          <w:rFonts w:ascii="Times New Roman" w:hAnsi="Times New Roman"/>
          <w:sz w:val="22"/>
          <w:szCs w:val="22"/>
        </w:rPr>
        <w:t xml:space="preserve">6 e hijo de Mario Jiménez Escobar y Oliva Naranjo de Jiménez. También conocido como </w:t>
      </w:r>
      <w:r w:rsidRPr="003D5C7A">
        <w:rPr>
          <w:rFonts w:ascii="Times New Roman" w:hAnsi="Times New Roman"/>
          <w:i/>
          <w:sz w:val="22"/>
          <w:szCs w:val="22"/>
        </w:rPr>
        <w:t xml:space="preserve">Macaco </w:t>
      </w:r>
      <w:r w:rsidRPr="003D5C7A">
        <w:rPr>
          <w:rFonts w:ascii="Times New Roman" w:hAnsi="Times New Roman"/>
          <w:sz w:val="22"/>
          <w:szCs w:val="22"/>
        </w:rPr>
        <w:t xml:space="preserve">y </w:t>
      </w:r>
      <w:r w:rsidRPr="003D5C7A">
        <w:rPr>
          <w:rFonts w:ascii="Times New Roman" w:hAnsi="Times New Roman"/>
          <w:i/>
          <w:sz w:val="22"/>
          <w:szCs w:val="22"/>
        </w:rPr>
        <w:t>Javier Montañés.</w:t>
      </w:r>
    </w:p>
  </w:footnote>
  <w:footnote w:id="2">
    <w:p w14:paraId="1E9EAF8D" w14:textId="3F6C076C" w:rsidR="00DB3901" w:rsidRPr="003D5C7A" w:rsidRDefault="00DB3901" w:rsidP="005F1434">
      <w:pPr>
        <w:pStyle w:val="Textonotapie"/>
        <w:rPr>
          <w:lang w:val="es-CO"/>
        </w:rPr>
      </w:pPr>
      <w:r w:rsidRPr="003D5C7A">
        <w:rPr>
          <w:rFonts w:ascii="Times New Roman" w:hAnsi="Times New Roman"/>
          <w:sz w:val="22"/>
          <w:szCs w:val="22"/>
        </w:rPr>
        <w:tab/>
      </w:r>
      <w:r w:rsidRPr="003D5C7A">
        <w:rPr>
          <w:rStyle w:val="Refdenotaalpie"/>
          <w:rFonts w:ascii="Times New Roman" w:hAnsi="Times New Roman"/>
          <w:sz w:val="22"/>
          <w:szCs w:val="22"/>
        </w:rPr>
        <w:footnoteRef/>
      </w:r>
      <w:r w:rsidRPr="003D5C7A">
        <w:rPr>
          <w:rFonts w:ascii="Times New Roman" w:hAnsi="Times New Roman"/>
          <w:sz w:val="22"/>
          <w:szCs w:val="22"/>
        </w:rPr>
        <w:t xml:space="preserve"> E</w:t>
      </w:r>
      <w:r>
        <w:rPr>
          <w:rFonts w:ascii="Times New Roman" w:hAnsi="Times New Roman"/>
          <w:sz w:val="22"/>
          <w:szCs w:val="22"/>
        </w:rPr>
        <w:t>n múltiples sesiones, e</w:t>
      </w:r>
      <w:r w:rsidRPr="003D5C7A">
        <w:rPr>
          <w:rFonts w:ascii="Times New Roman" w:hAnsi="Times New Roman"/>
          <w:sz w:val="22"/>
          <w:szCs w:val="22"/>
        </w:rPr>
        <w:t xml:space="preserve">ntre el 12 de junio de 2007 y el 5 de diciembre de 2012. </w:t>
      </w:r>
    </w:p>
  </w:footnote>
  <w:footnote w:id="3">
    <w:p w14:paraId="36A5A70A" w14:textId="77777777" w:rsidR="00DB3901" w:rsidRPr="00365298" w:rsidRDefault="00DB3901" w:rsidP="00114E9D">
      <w:pPr>
        <w:pStyle w:val="Textonotapie"/>
        <w:jc w:val="both"/>
        <w:rPr>
          <w:rFonts w:ascii="Times New Roman" w:hAnsi="Times New Roman"/>
          <w:sz w:val="22"/>
          <w:szCs w:val="22"/>
          <w:lang w:val="es-CO"/>
        </w:rPr>
      </w:pPr>
      <w:r>
        <w:tab/>
      </w:r>
      <w:r w:rsidRPr="00365298">
        <w:rPr>
          <w:rStyle w:val="Refdenotaalpie"/>
          <w:rFonts w:ascii="Times New Roman" w:hAnsi="Times New Roman"/>
          <w:sz w:val="22"/>
          <w:szCs w:val="22"/>
        </w:rPr>
        <w:footnoteRef/>
      </w:r>
      <w:r w:rsidRPr="00365298">
        <w:rPr>
          <w:rFonts w:ascii="Times New Roman" w:hAnsi="Times New Roman"/>
          <w:sz w:val="22"/>
          <w:szCs w:val="22"/>
        </w:rPr>
        <w:t xml:space="preserve"> En sustento de la petición de exclusión, el fiscal </w:t>
      </w:r>
      <w:r w:rsidRPr="00365298">
        <w:rPr>
          <w:rFonts w:ascii="Times New Roman" w:hAnsi="Times New Roman"/>
          <w:i/>
          <w:sz w:val="22"/>
          <w:szCs w:val="22"/>
        </w:rPr>
        <w:t>también</w:t>
      </w:r>
      <w:r w:rsidRPr="00365298">
        <w:rPr>
          <w:rFonts w:ascii="Times New Roman" w:hAnsi="Times New Roman"/>
          <w:sz w:val="22"/>
          <w:szCs w:val="22"/>
        </w:rPr>
        <w:t xml:space="preserve"> invocó el num. 3º del art. 11 A de la Ley 975 de 2005. Sin embargo, como la pretensión fue negada en relación con dicha causal, sin que tal determinación hubiera sido impugnada, la Corte se abstendrá de reseñar lo a ello concerniente. </w:t>
      </w:r>
    </w:p>
  </w:footnote>
  <w:footnote w:id="4">
    <w:p w14:paraId="0C05F650" w14:textId="77777777" w:rsidR="00DB3901" w:rsidRPr="00365298" w:rsidRDefault="00DB3901">
      <w:pPr>
        <w:pStyle w:val="Textonotapie"/>
        <w:rPr>
          <w:lang w:val="es-CO"/>
        </w:rPr>
      </w:pPr>
      <w:r w:rsidRPr="00365298">
        <w:rPr>
          <w:rFonts w:ascii="Times New Roman" w:hAnsi="Times New Roman"/>
          <w:sz w:val="22"/>
          <w:szCs w:val="22"/>
        </w:rPr>
        <w:tab/>
      </w:r>
      <w:r w:rsidRPr="00365298">
        <w:rPr>
          <w:rStyle w:val="Refdenotaalpie"/>
          <w:rFonts w:ascii="Times New Roman" w:hAnsi="Times New Roman"/>
          <w:sz w:val="22"/>
          <w:szCs w:val="22"/>
        </w:rPr>
        <w:footnoteRef/>
      </w:r>
      <w:r w:rsidRPr="00365298">
        <w:rPr>
          <w:rFonts w:ascii="Times New Roman" w:hAnsi="Times New Roman"/>
          <w:sz w:val="22"/>
          <w:szCs w:val="22"/>
        </w:rPr>
        <w:t xml:space="preserve"> Con salvamento de voto de la magistrada Alexandra Valencia Molina. </w:t>
      </w:r>
    </w:p>
  </w:footnote>
  <w:footnote w:id="5">
    <w:p w14:paraId="5BC72012" w14:textId="20CAF23F" w:rsidR="00DB3901" w:rsidRPr="00EC4E46" w:rsidRDefault="00DB3901" w:rsidP="00EC4E46">
      <w:pPr>
        <w:pStyle w:val="Textonotapie"/>
        <w:jc w:val="both"/>
        <w:rPr>
          <w:rFonts w:ascii="Times New Roman" w:hAnsi="Times New Roman"/>
          <w:sz w:val="22"/>
          <w:szCs w:val="22"/>
          <w:lang w:val="es-CO"/>
        </w:rPr>
      </w:pPr>
      <w:r>
        <w:tab/>
      </w:r>
      <w:r w:rsidRPr="00EC4E46">
        <w:rPr>
          <w:rStyle w:val="Refdenotaalpie"/>
          <w:rFonts w:ascii="Times New Roman" w:hAnsi="Times New Roman"/>
          <w:sz w:val="22"/>
          <w:szCs w:val="22"/>
        </w:rPr>
        <w:footnoteRef/>
      </w:r>
      <w:r w:rsidRPr="00EC4E46">
        <w:rPr>
          <w:rFonts w:ascii="Times New Roman" w:hAnsi="Times New Roman"/>
          <w:sz w:val="22"/>
          <w:szCs w:val="22"/>
        </w:rPr>
        <w:t xml:space="preserve"> Ratificados por Colombia </w:t>
      </w:r>
      <w:r>
        <w:rPr>
          <w:rFonts w:ascii="Times New Roman" w:hAnsi="Times New Roman"/>
          <w:sz w:val="22"/>
          <w:szCs w:val="22"/>
        </w:rPr>
        <w:t>por medio de</w:t>
      </w:r>
      <w:r w:rsidRPr="00EC4E46">
        <w:rPr>
          <w:rFonts w:ascii="Times New Roman" w:hAnsi="Times New Roman"/>
          <w:sz w:val="22"/>
          <w:szCs w:val="22"/>
        </w:rPr>
        <w:t xml:space="preserve"> la Ley </w:t>
      </w:r>
      <w:r>
        <w:rPr>
          <w:rFonts w:ascii="Times New Roman" w:hAnsi="Times New Roman"/>
          <w:bCs/>
          <w:color w:val="000000"/>
          <w:sz w:val="22"/>
          <w:szCs w:val="22"/>
        </w:rPr>
        <w:t xml:space="preserve">636 de 2001, con pronunciamiento de exequibilidad mediante la sentencia C-974 del mismo año. </w:t>
      </w:r>
    </w:p>
  </w:footnote>
  <w:footnote w:id="6">
    <w:p w14:paraId="0126378C" w14:textId="0F87AC46" w:rsidR="00DB3901" w:rsidRPr="00407B15" w:rsidRDefault="00DB3901">
      <w:pPr>
        <w:pStyle w:val="Textonotapie"/>
        <w:rPr>
          <w:rFonts w:ascii="Times New Roman" w:hAnsi="Times New Roman"/>
          <w:sz w:val="22"/>
          <w:szCs w:val="22"/>
          <w:lang w:val="es-CO"/>
        </w:rPr>
      </w:pPr>
      <w:r w:rsidRPr="00407B15">
        <w:rPr>
          <w:rFonts w:ascii="Times New Roman" w:hAnsi="Times New Roman"/>
          <w:sz w:val="22"/>
          <w:szCs w:val="22"/>
        </w:rPr>
        <w:tab/>
      </w:r>
      <w:r w:rsidRPr="00407B15">
        <w:rPr>
          <w:rStyle w:val="Refdenotaalpie"/>
          <w:rFonts w:ascii="Times New Roman" w:hAnsi="Times New Roman"/>
          <w:sz w:val="22"/>
          <w:szCs w:val="22"/>
        </w:rPr>
        <w:footnoteRef/>
      </w:r>
      <w:r w:rsidR="00BB4FB8">
        <w:rPr>
          <w:rFonts w:ascii="Times New Roman" w:hAnsi="Times New Roman"/>
          <w:sz w:val="22"/>
          <w:szCs w:val="22"/>
        </w:rPr>
        <w:t xml:space="preserve"> Aceptado</w:t>
      </w:r>
      <w:r w:rsidRPr="00407B15">
        <w:rPr>
          <w:rFonts w:ascii="Times New Roman" w:hAnsi="Times New Roman"/>
          <w:sz w:val="22"/>
          <w:szCs w:val="22"/>
        </w:rPr>
        <w:t xml:space="preserve"> por el p</w:t>
      </w:r>
      <w:r w:rsidR="00BB4FB8">
        <w:rPr>
          <w:rFonts w:ascii="Times New Roman" w:hAnsi="Times New Roman"/>
          <w:sz w:val="22"/>
          <w:szCs w:val="22"/>
        </w:rPr>
        <w:t xml:space="preserve">ostulado el 7 de enero de 2010 y el 31 de octubre de 2011. </w:t>
      </w:r>
    </w:p>
  </w:footnote>
  <w:footnote w:id="7">
    <w:p w14:paraId="3B8C2F90" w14:textId="1625482A" w:rsidR="00DB3901" w:rsidRPr="00AF3451" w:rsidRDefault="00DB3901">
      <w:pPr>
        <w:pStyle w:val="Textonotapie"/>
        <w:rPr>
          <w:rFonts w:ascii="Times New Roman" w:hAnsi="Times New Roman"/>
          <w:sz w:val="22"/>
          <w:szCs w:val="22"/>
          <w:lang w:val="es-CO"/>
        </w:rPr>
      </w:pPr>
      <w:r w:rsidRPr="00AF3451">
        <w:rPr>
          <w:rFonts w:ascii="Times New Roman" w:hAnsi="Times New Roman"/>
          <w:sz w:val="22"/>
          <w:szCs w:val="22"/>
        </w:rPr>
        <w:tab/>
      </w:r>
      <w:r w:rsidRPr="00AF3451">
        <w:rPr>
          <w:rStyle w:val="Refdenotaalpie"/>
          <w:rFonts w:ascii="Times New Roman" w:hAnsi="Times New Roman"/>
          <w:sz w:val="22"/>
          <w:szCs w:val="22"/>
        </w:rPr>
        <w:footnoteRef/>
      </w:r>
      <w:r w:rsidRPr="00AF3451">
        <w:rPr>
          <w:rFonts w:ascii="Times New Roman" w:hAnsi="Times New Roman"/>
          <w:sz w:val="22"/>
          <w:szCs w:val="22"/>
        </w:rPr>
        <w:t xml:space="preserve"> Hace referencia a CSJ AP 14.04.2010, rad. 31.592. </w:t>
      </w:r>
    </w:p>
  </w:footnote>
  <w:footnote w:id="8">
    <w:p w14:paraId="55F339F3" w14:textId="1F086935" w:rsidR="00DB3901" w:rsidRPr="00341849" w:rsidRDefault="00DB3901" w:rsidP="00341849">
      <w:pPr>
        <w:pStyle w:val="Textonotapie"/>
        <w:jc w:val="both"/>
        <w:rPr>
          <w:rFonts w:ascii="Times New Roman" w:hAnsi="Times New Roman"/>
          <w:sz w:val="22"/>
          <w:szCs w:val="22"/>
          <w:lang w:val="es-CO"/>
        </w:rPr>
      </w:pPr>
      <w:r>
        <w:tab/>
      </w:r>
      <w:r w:rsidRPr="00341849">
        <w:rPr>
          <w:rStyle w:val="Refdenotaalpie"/>
          <w:rFonts w:ascii="Times New Roman" w:hAnsi="Times New Roman"/>
          <w:sz w:val="22"/>
          <w:szCs w:val="22"/>
        </w:rPr>
        <w:footnoteRef/>
      </w:r>
      <w:r w:rsidRPr="00341849">
        <w:rPr>
          <w:rFonts w:ascii="Times New Roman" w:hAnsi="Times New Roman"/>
          <w:sz w:val="22"/>
          <w:szCs w:val="22"/>
        </w:rPr>
        <w:t xml:space="preserve"> Concierto para importar cocaína desde octubre de 2004 hasta junio 2007</w:t>
      </w:r>
      <w:r w:rsidR="000535A1">
        <w:rPr>
          <w:rFonts w:ascii="Times New Roman" w:hAnsi="Times New Roman"/>
          <w:sz w:val="22"/>
          <w:szCs w:val="22"/>
        </w:rPr>
        <w:t>,</w:t>
      </w:r>
      <w:r w:rsidRPr="00341849">
        <w:rPr>
          <w:rFonts w:ascii="Times New Roman" w:hAnsi="Times New Roman"/>
          <w:sz w:val="22"/>
          <w:szCs w:val="22"/>
        </w:rPr>
        <w:t xml:space="preserve"> en el condado de Miami-Dade</w:t>
      </w:r>
      <w:r w:rsidR="000535A1">
        <w:rPr>
          <w:rFonts w:ascii="Times New Roman" w:hAnsi="Times New Roman"/>
          <w:sz w:val="22"/>
          <w:szCs w:val="22"/>
        </w:rPr>
        <w:t>,</w:t>
      </w:r>
      <w:r w:rsidRPr="00341849">
        <w:rPr>
          <w:rFonts w:ascii="Times New Roman" w:hAnsi="Times New Roman"/>
          <w:sz w:val="22"/>
          <w:szCs w:val="22"/>
        </w:rPr>
        <w:t xml:space="preserve"> y concierto para poseer cocaína con intención de distribuirla a bordo de un navío sujeto a la jurisdicción de EEUU, empezando en septiembre de 2006 y continuando hasta el 6 de septiembre de 2007. </w:t>
      </w:r>
    </w:p>
  </w:footnote>
  <w:footnote w:id="9">
    <w:p w14:paraId="322DA3A4" w14:textId="77777777" w:rsidR="00DB3901" w:rsidRPr="00D05C2A" w:rsidRDefault="00DB3901" w:rsidP="009C2939">
      <w:pPr>
        <w:pStyle w:val="Textonotapie"/>
        <w:jc w:val="both"/>
        <w:rPr>
          <w:rFonts w:ascii="Times New Roman" w:hAnsi="Times New Roman"/>
          <w:sz w:val="22"/>
          <w:szCs w:val="22"/>
        </w:rPr>
      </w:pPr>
      <w:r>
        <w:rPr>
          <w:rFonts w:ascii="Times New Roman" w:hAnsi="Times New Roman"/>
        </w:rPr>
        <w:tab/>
      </w:r>
      <w:r w:rsidRPr="00D05C2A">
        <w:rPr>
          <w:rStyle w:val="Refdenotaalpie"/>
          <w:rFonts w:ascii="Times New Roman" w:hAnsi="Times New Roman"/>
          <w:sz w:val="22"/>
          <w:szCs w:val="22"/>
        </w:rPr>
        <w:footnoteRef/>
      </w:r>
      <w:r w:rsidRPr="00D05C2A">
        <w:rPr>
          <w:rFonts w:ascii="Times New Roman" w:hAnsi="Times New Roman"/>
          <w:sz w:val="22"/>
          <w:szCs w:val="22"/>
        </w:rPr>
        <w:t xml:space="preserve"> Modificado por el art. 27 de la Ley 1592 de 2012. </w:t>
      </w:r>
    </w:p>
  </w:footnote>
  <w:footnote w:id="10">
    <w:p w14:paraId="6BEF5D54" w14:textId="77777777" w:rsidR="00DB3901" w:rsidRPr="008047B5" w:rsidRDefault="00DB3901" w:rsidP="00324BCB">
      <w:pPr>
        <w:pStyle w:val="Textonotapie"/>
        <w:jc w:val="both"/>
        <w:rPr>
          <w:rFonts w:ascii="Times New Roman" w:hAnsi="Times New Roman"/>
          <w:sz w:val="22"/>
          <w:szCs w:val="22"/>
          <w:lang w:val="es-CO"/>
        </w:rPr>
      </w:pPr>
      <w:r>
        <w:tab/>
      </w:r>
      <w:r w:rsidRPr="008047B5">
        <w:rPr>
          <w:rStyle w:val="Refdenotaalpie"/>
          <w:rFonts w:ascii="Times New Roman" w:hAnsi="Times New Roman"/>
          <w:sz w:val="22"/>
          <w:szCs w:val="22"/>
        </w:rPr>
        <w:footnoteRef/>
      </w:r>
      <w:r w:rsidRPr="008047B5">
        <w:rPr>
          <w:rFonts w:ascii="Times New Roman" w:hAnsi="Times New Roman"/>
          <w:sz w:val="22"/>
          <w:szCs w:val="22"/>
        </w:rPr>
        <w:t xml:space="preserve"> Decreto Nº 1069 de 2015 del Ministerio de Justicia y del Derecho. </w:t>
      </w:r>
    </w:p>
  </w:footnote>
  <w:footnote w:id="11">
    <w:p w14:paraId="1724D3B3" w14:textId="5BEA323C" w:rsidR="00DB3901" w:rsidRPr="00945C82" w:rsidRDefault="00DB3901" w:rsidP="00945C82">
      <w:pPr>
        <w:pStyle w:val="Textonotapie"/>
        <w:jc w:val="both"/>
        <w:rPr>
          <w:rFonts w:ascii="Times New Roman" w:hAnsi="Times New Roman"/>
          <w:sz w:val="22"/>
          <w:szCs w:val="22"/>
          <w:lang w:val="es-CO"/>
        </w:rPr>
      </w:pPr>
      <w:r>
        <w:rPr>
          <w:rFonts w:ascii="Times New Roman" w:hAnsi="Times New Roman"/>
          <w:sz w:val="22"/>
          <w:szCs w:val="22"/>
        </w:rPr>
        <w:tab/>
      </w:r>
      <w:r w:rsidRPr="00945C82">
        <w:rPr>
          <w:rStyle w:val="Refdenotaalpie"/>
          <w:rFonts w:ascii="Times New Roman" w:hAnsi="Times New Roman"/>
          <w:sz w:val="22"/>
          <w:szCs w:val="22"/>
        </w:rPr>
        <w:footnoteRef/>
      </w:r>
      <w:r w:rsidRPr="00945C82">
        <w:rPr>
          <w:rFonts w:ascii="Times New Roman" w:hAnsi="Times New Roman"/>
          <w:sz w:val="22"/>
          <w:szCs w:val="22"/>
        </w:rPr>
        <w:t xml:space="preserve"> </w:t>
      </w:r>
      <w:r w:rsidRPr="00945C82">
        <w:rPr>
          <w:rFonts w:ascii="Times New Roman" w:hAnsi="Times New Roman"/>
          <w:sz w:val="22"/>
          <w:szCs w:val="22"/>
          <w:lang w:val="es-CO"/>
        </w:rPr>
        <w:t xml:space="preserve">Cfr. fls. 91-134 y 195-212 </w:t>
      </w:r>
      <w:r w:rsidRPr="00945C82">
        <w:rPr>
          <w:rFonts w:ascii="Times New Roman" w:hAnsi="Times New Roman"/>
          <w:sz w:val="22"/>
          <w:szCs w:val="22"/>
        </w:rPr>
        <w:t xml:space="preserve">de la carpeta de anexos del escrito de solicitud de exclusión.  </w:t>
      </w:r>
    </w:p>
  </w:footnote>
  <w:footnote w:id="12">
    <w:p w14:paraId="4A476B2E" w14:textId="3C9B4942" w:rsidR="00E16EE9" w:rsidRPr="005E7FBC" w:rsidRDefault="00E16EE9">
      <w:pPr>
        <w:pStyle w:val="Textonotapie"/>
        <w:rPr>
          <w:rFonts w:ascii="Times New Roman" w:hAnsi="Times New Roman"/>
          <w:i/>
          <w:sz w:val="22"/>
          <w:szCs w:val="22"/>
          <w:lang w:val="es-CO"/>
        </w:rPr>
      </w:pPr>
      <w:r w:rsidRPr="00207D70">
        <w:rPr>
          <w:rFonts w:ascii="Times New Roman" w:hAnsi="Times New Roman"/>
          <w:sz w:val="22"/>
          <w:szCs w:val="22"/>
        </w:rPr>
        <w:tab/>
      </w:r>
      <w:r w:rsidRPr="005E7FBC">
        <w:rPr>
          <w:rStyle w:val="Refdenotaalpie"/>
          <w:rFonts w:ascii="Times New Roman" w:hAnsi="Times New Roman"/>
          <w:sz w:val="22"/>
          <w:szCs w:val="22"/>
        </w:rPr>
        <w:footnoteRef/>
      </w:r>
      <w:r w:rsidRPr="005E7FBC">
        <w:rPr>
          <w:rFonts w:ascii="Times New Roman" w:hAnsi="Times New Roman"/>
          <w:sz w:val="22"/>
          <w:szCs w:val="22"/>
        </w:rPr>
        <w:t xml:space="preserve"> </w:t>
      </w:r>
      <w:r w:rsidR="00B2056A">
        <w:rPr>
          <w:rFonts w:ascii="Times New Roman" w:hAnsi="Times New Roman"/>
          <w:sz w:val="22"/>
          <w:szCs w:val="22"/>
        </w:rPr>
        <w:t xml:space="preserve"> </w:t>
      </w:r>
      <w:r w:rsidR="005E7FBC" w:rsidRPr="005E7FBC">
        <w:rPr>
          <w:rFonts w:ascii="Times New Roman" w:hAnsi="Times New Roman"/>
          <w:sz w:val="22"/>
          <w:szCs w:val="22"/>
        </w:rPr>
        <w:t>F</w:t>
      </w:r>
      <w:r w:rsidRPr="005E7FBC">
        <w:rPr>
          <w:rFonts w:ascii="Times New Roman" w:hAnsi="Times New Roman"/>
          <w:sz w:val="22"/>
          <w:szCs w:val="22"/>
        </w:rPr>
        <w:t>ls.</w:t>
      </w:r>
      <w:r w:rsidR="00CA29D4" w:rsidRPr="005E7FBC">
        <w:rPr>
          <w:rFonts w:ascii="Times New Roman" w:hAnsi="Times New Roman"/>
          <w:sz w:val="22"/>
          <w:szCs w:val="22"/>
        </w:rPr>
        <w:t xml:space="preserve"> 85</w:t>
      </w:r>
      <w:r w:rsidR="00CE00ED" w:rsidRPr="005E7FBC">
        <w:rPr>
          <w:rFonts w:ascii="Times New Roman" w:hAnsi="Times New Roman"/>
          <w:sz w:val="22"/>
          <w:szCs w:val="22"/>
        </w:rPr>
        <w:t xml:space="preserve"> </w:t>
      </w:r>
      <w:r w:rsidR="00CA29D4" w:rsidRPr="005E7FBC">
        <w:rPr>
          <w:rFonts w:ascii="Times New Roman" w:hAnsi="Times New Roman"/>
          <w:sz w:val="22"/>
          <w:szCs w:val="22"/>
        </w:rPr>
        <w:t>y</w:t>
      </w:r>
      <w:r w:rsidR="00CE00ED" w:rsidRPr="005E7FBC">
        <w:rPr>
          <w:rFonts w:ascii="Times New Roman" w:hAnsi="Times New Roman"/>
          <w:sz w:val="22"/>
          <w:szCs w:val="22"/>
        </w:rPr>
        <w:t xml:space="preserve"> </w:t>
      </w:r>
      <w:r w:rsidRPr="005E7FBC">
        <w:rPr>
          <w:rFonts w:ascii="Times New Roman" w:hAnsi="Times New Roman"/>
          <w:sz w:val="22"/>
          <w:szCs w:val="22"/>
        </w:rPr>
        <w:t xml:space="preserve">190-191 </w:t>
      </w:r>
      <w:r w:rsidR="00CA29D4" w:rsidRPr="005E7FBC">
        <w:rPr>
          <w:rFonts w:ascii="Times New Roman" w:hAnsi="Times New Roman"/>
          <w:i/>
          <w:sz w:val="22"/>
          <w:szCs w:val="22"/>
        </w:rPr>
        <w:t xml:space="preserve">ídem. </w:t>
      </w:r>
    </w:p>
  </w:footnote>
  <w:footnote w:id="13">
    <w:p w14:paraId="5DE226BC" w14:textId="77BF42E3" w:rsidR="00207D70" w:rsidRPr="005E7FBC" w:rsidRDefault="00207D70">
      <w:pPr>
        <w:pStyle w:val="Textonotapie"/>
        <w:rPr>
          <w:rFonts w:ascii="Times New Roman" w:hAnsi="Times New Roman"/>
          <w:sz w:val="22"/>
          <w:szCs w:val="22"/>
          <w:lang w:val="es-CO"/>
        </w:rPr>
      </w:pPr>
      <w:r w:rsidRPr="005E7FBC">
        <w:rPr>
          <w:rFonts w:ascii="Times New Roman" w:hAnsi="Times New Roman"/>
          <w:sz w:val="22"/>
          <w:szCs w:val="22"/>
        </w:rPr>
        <w:tab/>
      </w:r>
      <w:r w:rsidRPr="005E7FBC">
        <w:rPr>
          <w:rStyle w:val="Refdenotaalpie"/>
          <w:rFonts w:ascii="Times New Roman" w:hAnsi="Times New Roman"/>
          <w:sz w:val="22"/>
          <w:szCs w:val="22"/>
        </w:rPr>
        <w:footnoteRef/>
      </w:r>
      <w:r w:rsidRPr="005E7FBC">
        <w:rPr>
          <w:rFonts w:ascii="Times New Roman" w:hAnsi="Times New Roman"/>
          <w:sz w:val="22"/>
          <w:szCs w:val="22"/>
        </w:rPr>
        <w:t xml:space="preserve"> </w:t>
      </w:r>
      <w:r w:rsidR="00B2056A">
        <w:rPr>
          <w:rFonts w:ascii="Times New Roman" w:hAnsi="Times New Roman"/>
          <w:sz w:val="22"/>
          <w:szCs w:val="22"/>
        </w:rPr>
        <w:t xml:space="preserve"> </w:t>
      </w:r>
      <w:r w:rsidRPr="005E7FBC">
        <w:rPr>
          <w:rFonts w:ascii="Times New Roman" w:hAnsi="Times New Roman"/>
          <w:sz w:val="22"/>
          <w:szCs w:val="22"/>
        </w:rPr>
        <w:t xml:space="preserve">Equivalentes a los cargos Nº 1 y 2 del caso Nº 11-20244. </w:t>
      </w:r>
    </w:p>
  </w:footnote>
  <w:footnote w:id="14">
    <w:p w14:paraId="541D66B7" w14:textId="09120EE5" w:rsidR="006A16B2" w:rsidRPr="005E7FBC" w:rsidRDefault="006A16B2" w:rsidP="006A16B2">
      <w:pPr>
        <w:pStyle w:val="Textonotapie"/>
        <w:jc w:val="both"/>
        <w:rPr>
          <w:rFonts w:ascii="Times New Roman" w:hAnsi="Times New Roman"/>
          <w:sz w:val="22"/>
          <w:szCs w:val="22"/>
          <w:lang w:val="es-CO"/>
        </w:rPr>
      </w:pPr>
      <w:r w:rsidRPr="005E7FBC">
        <w:rPr>
          <w:rFonts w:ascii="Times New Roman" w:hAnsi="Times New Roman"/>
          <w:sz w:val="22"/>
          <w:szCs w:val="22"/>
        </w:rPr>
        <w:tab/>
      </w:r>
      <w:r w:rsidRPr="005E7FBC">
        <w:rPr>
          <w:rStyle w:val="Refdenotaalpie"/>
          <w:rFonts w:ascii="Times New Roman" w:hAnsi="Times New Roman"/>
          <w:sz w:val="22"/>
          <w:szCs w:val="22"/>
        </w:rPr>
        <w:footnoteRef/>
      </w:r>
      <w:r w:rsidRPr="005E7FBC">
        <w:rPr>
          <w:rFonts w:ascii="Times New Roman" w:hAnsi="Times New Roman"/>
          <w:sz w:val="22"/>
          <w:szCs w:val="22"/>
        </w:rPr>
        <w:t xml:space="preserve"> Proveniente de los cargos Nº 1 y 18 </w:t>
      </w:r>
      <w:r w:rsidRPr="005E7FBC">
        <w:rPr>
          <w:rFonts w:ascii="Times New Roman" w:hAnsi="Times New Roman"/>
          <w:spacing w:val="-3"/>
          <w:sz w:val="22"/>
          <w:szCs w:val="22"/>
        </w:rPr>
        <w:t>de la acusación Nº 07-20794-CR-LENARD formulada ante el Tribunal del Distrito de Columbia, así como de los cargos Nº 1 y 2 de la acusación Nº 11-20244 CR-LENARD, elevada ante el Tribunal del Distrito Sur de la Florida.</w:t>
      </w:r>
      <w:r w:rsidR="00757CA0" w:rsidRPr="005E7FBC">
        <w:rPr>
          <w:rFonts w:ascii="Times New Roman" w:hAnsi="Times New Roman"/>
          <w:spacing w:val="-3"/>
          <w:sz w:val="22"/>
          <w:szCs w:val="22"/>
        </w:rPr>
        <w:t xml:space="preserve"> Dichos cargos integran las acusaciones con fundamento en las cuales se concedió la extradición de CARLOS MARIO JIMÉNEZ NARANJO. Cfr. </w:t>
      </w:r>
      <w:r w:rsidR="00757CA0" w:rsidRPr="005E7FBC">
        <w:rPr>
          <w:rFonts w:ascii="Times New Roman" w:hAnsi="Times New Roman"/>
          <w:sz w:val="22"/>
          <w:szCs w:val="22"/>
        </w:rPr>
        <w:t>CSJ AP 08.04.2008, rad. 28.643 y la Resolución Nº 097 del 3 de abril de 2008, suscrita por el Presidente de la República.</w:t>
      </w:r>
    </w:p>
  </w:footnote>
  <w:footnote w:id="15">
    <w:p w14:paraId="330F3727" w14:textId="77777777" w:rsidR="005E7FBC" w:rsidRPr="005E7FBC" w:rsidRDefault="005E7FBC" w:rsidP="005E7FBC">
      <w:pPr>
        <w:pStyle w:val="Textonotapie"/>
        <w:jc w:val="both"/>
        <w:rPr>
          <w:rFonts w:ascii="Times New Roman" w:hAnsi="Times New Roman"/>
          <w:sz w:val="22"/>
          <w:szCs w:val="22"/>
          <w:lang w:val="es-CO"/>
        </w:rPr>
      </w:pPr>
      <w:r w:rsidRPr="005E7FBC">
        <w:rPr>
          <w:rFonts w:ascii="Times New Roman" w:hAnsi="Times New Roman"/>
          <w:sz w:val="22"/>
          <w:szCs w:val="22"/>
        </w:rPr>
        <w:tab/>
      </w:r>
      <w:r w:rsidRPr="005E7FBC">
        <w:rPr>
          <w:rStyle w:val="Refdenotaalpie"/>
          <w:rFonts w:ascii="Times New Roman" w:hAnsi="Times New Roman"/>
          <w:sz w:val="22"/>
          <w:szCs w:val="22"/>
        </w:rPr>
        <w:footnoteRef/>
      </w:r>
      <w:r w:rsidRPr="005E7FBC">
        <w:rPr>
          <w:rFonts w:ascii="Times New Roman" w:hAnsi="Times New Roman"/>
          <w:sz w:val="22"/>
          <w:szCs w:val="22"/>
        </w:rPr>
        <w:t xml:space="preserve"> Fls. 168-194 y 231-235 de la carpeta de anexos del escrito de solicitud de exclusión.  </w:t>
      </w:r>
    </w:p>
    <w:p w14:paraId="243A5AF5" w14:textId="54E01194" w:rsidR="005E7FBC" w:rsidRPr="005E7FBC" w:rsidRDefault="005E7FBC">
      <w:pPr>
        <w:pStyle w:val="Textonotapie"/>
        <w:rPr>
          <w:lang w:val="es-CO"/>
        </w:rPr>
      </w:pPr>
    </w:p>
  </w:footnote>
  <w:footnote w:id="16">
    <w:p w14:paraId="3CF14717" w14:textId="77777777" w:rsidR="00E86109" w:rsidRPr="00F05724" w:rsidRDefault="00E86109" w:rsidP="00E86109">
      <w:pPr>
        <w:pStyle w:val="Textonotapie"/>
        <w:rPr>
          <w:rFonts w:ascii="Times New Roman" w:hAnsi="Times New Roman"/>
          <w:i/>
          <w:sz w:val="22"/>
          <w:szCs w:val="22"/>
          <w:lang w:val="es-CO"/>
        </w:rPr>
      </w:pPr>
      <w:r w:rsidRPr="00611F3B">
        <w:rPr>
          <w:rFonts w:ascii="Times New Roman" w:hAnsi="Times New Roman"/>
          <w:sz w:val="22"/>
          <w:szCs w:val="22"/>
        </w:rPr>
        <w:tab/>
      </w:r>
      <w:r w:rsidRPr="00F05724">
        <w:rPr>
          <w:rStyle w:val="Refdenotaalpie"/>
          <w:rFonts w:ascii="Times New Roman" w:hAnsi="Times New Roman"/>
          <w:sz w:val="22"/>
          <w:szCs w:val="22"/>
        </w:rPr>
        <w:footnoteRef/>
      </w:r>
      <w:r w:rsidRPr="00F05724">
        <w:rPr>
          <w:rFonts w:ascii="Times New Roman" w:hAnsi="Times New Roman"/>
          <w:sz w:val="22"/>
          <w:szCs w:val="22"/>
        </w:rPr>
        <w:t xml:space="preserve"> Cfr. fls. 120 y 206 </w:t>
      </w:r>
      <w:r w:rsidRPr="00F05724">
        <w:rPr>
          <w:rFonts w:ascii="Times New Roman" w:hAnsi="Times New Roman"/>
          <w:i/>
          <w:sz w:val="22"/>
          <w:szCs w:val="22"/>
        </w:rPr>
        <w:t xml:space="preserve">ídem. </w:t>
      </w:r>
    </w:p>
  </w:footnote>
  <w:footnote w:id="17">
    <w:p w14:paraId="3C5C3E79" w14:textId="678C5C10" w:rsidR="002533C2" w:rsidRPr="002533C2" w:rsidRDefault="002533C2">
      <w:pPr>
        <w:pStyle w:val="Textonotapie"/>
        <w:rPr>
          <w:lang w:val="es-CO"/>
        </w:rPr>
      </w:pPr>
      <w:r>
        <w:tab/>
      </w:r>
      <w:r>
        <w:rPr>
          <w:rStyle w:val="Refdenotaalpie"/>
        </w:rPr>
        <w:footnoteRef/>
      </w:r>
      <w:r>
        <w:t xml:space="preserve"> </w:t>
      </w:r>
      <w:r w:rsidRPr="00F05724">
        <w:rPr>
          <w:rFonts w:ascii="Times New Roman" w:hAnsi="Times New Roman"/>
          <w:sz w:val="22"/>
          <w:szCs w:val="22"/>
        </w:rPr>
        <w:t>Cfr. fls.</w:t>
      </w:r>
      <w:r>
        <w:rPr>
          <w:rFonts w:ascii="Times New Roman" w:hAnsi="Times New Roman"/>
          <w:sz w:val="22"/>
          <w:szCs w:val="22"/>
        </w:rPr>
        <w:t xml:space="preserve"> 136 y 213 </w:t>
      </w:r>
      <w:r>
        <w:rPr>
          <w:rFonts w:ascii="Times New Roman" w:hAnsi="Times New Roman"/>
          <w:i/>
          <w:sz w:val="22"/>
          <w:szCs w:val="22"/>
        </w:rPr>
        <w:t xml:space="preserve">ídem. </w:t>
      </w:r>
    </w:p>
  </w:footnote>
  <w:footnote w:id="18">
    <w:p w14:paraId="6B6EBB18" w14:textId="3379B7BB" w:rsidR="007560A8" w:rsidRPr="00C23984" w:rsidRDefault="007560A8">
      <w:pPr>
        <w:pStyle w:val="Textonotapie"/>
        <w:rPr>
          <w:rFonts w:ascii="Times New Roman" w:hAnsi="Times New Roman"/>
          <w:sz w:val="22"/>
          <w:szCs w:val="22"/>
          <w:lang w:val="es-CO"/>
        </w:rPr>
      </w:pPr>
      <w:r>
        <w:tab/>
      </w:r>
      <w:r w:rsidRPr="00C23984">
        <w:rPr>
          <w:rStyle w:val="Refdenotaalpie"/>
          <w:rFonts w:ascii="Times New Roman" w:hAnsi="Times New Roman"/>
          <w:sz w:val="22"/>
          <w:szCs w:val="22"/>
        </w:rPr>
        <w:footnoteRef/>
      </w:r>
      <w:r w:rsidRPr="00C23984">
        <w:rPr>
          <w:rFonts w:ascii="Times New Roman" w:hAnsi="Times New Roman"/>
          <w:sz w:val="22"/>
          <w:szCs w:val="22"/>
        </w:rPr>
        <w:t xml:space="preserve"> Cfr. fls. </w:t>
      </w:r>
      <w:r w:rsidR="00C23984" w:rsidRPr="00C23984">
        <w:rPr>
          <w:rFonts w:ascii="Times New Roman" w:hAnsi="Times New Roman"/>
          <w:sz w:val="22"/>
          <w:szCs w:val="22"/>
        </w:rPr>
        <w:t xml:space="preserve">152-153 </w:t>
      </w:r>
      <w:r w:rsidRPr="00C23984">
        <w:rPr>
          <w:rFonts w:ascii="Times New Roman" w:hAnsi="Times New Roman"/>
          <w:sz w:val="22"/>
          <w:szCs w:val="22"/>
        </w:rPr>
        <w:t xml:space="preserve">y 222 </w:t>
      </w:r>
      <w:r w:rsidRPr="00C23984">
        <w:rPr>
          <w:rFonts w:ascii="Times New Roman" w:hAnsi="Times New Roman"/>
          <w:i/>
          <w:sz w:val="22"/>
          <w:szCs w:val="22"/>
        </w:rPr>
        <w:t>ídem</w:t>
      </w:r>
      <w:r w:rsidRPr="00C23984">
        <w:rPr>
          <w:rFonts w:ascii="Times New Roman" w:hAnsi="Times New Roman"/>
          <w:sz w:val="22"/>
          <w:szCs w:val="22"/>
        </w:rPr>
        <w:t xml:space="preserve">.  </w:t>
      </w:r>
    </w:p>
  </w:footnote>
  <w:footnote w:id="19">
    <w:p w14:paraId="49688987" w14:textId="07D9DCAC" w:rsidR="00C23984" w:rsidRPr="00C23984" w:rsidRDefault="00C23984">
      <w:pPr>
        <w:pStyle w:val="Textonotapie"/>
        <w:rPr>
          <w:lang w:val="es-CO"/>
        </w:rPr>
      </w:pPr>
      <w:r w:rsidRPr="00C23984">
        <w:rPr>
          <w:rFonts w:ascii="Times New Roman" w:hAnsi="Times New Roman"/>
          <w:sz w:val="22"/>
          <w:szCs w:val="22"/>
        </w:rPr>
        <w:tab/>
      </w:r>
      <w:r w:rsidRPr="00C23984">
        <w:rPr>
          <w:rStyle w:val="Refdenotaalpie"/>
          <w:rFonts w:ascii="Times New Roman" w:hAnsi="Times New Roman"/>
          <w:sz w:val="22"/>
          <w:szCs w:val="22"/>
        </w:rPr>
        <w:footnoteRef/>
      </w:r>
      <w:r w:rsidRPr="00C23984">
        <w:rPr>
          <w:rFonts w:ascii="Times New Roman" w:hAnsi="Times New Roman"/>
          <w:sz w:val="22"/>
          <w:szCs w:val="22"/>
        </w:rPr>
        <w:t xml:space="preserve"> Cfr. fls. 153 y 223 </w:t>
      </w:r>
      <w:r w:rsidRPr="00C23984">
        <w:rPr>
          <w:rFonts w:ascii="Times New Roman" w:hAnsi="Times New Roman"/>
          <w:i/>
          <w:sz w:val="22"/>
          <w:szCs w:val="22"/>
        </w:rPr>
        <w:t>ídem</w:t>
      </w:r>
      <w:r w:rsidRPr="00C23984">
        <w:rPr>
          <w:rFonts w:ascii="Times New Roman" w:hAnsi="Times New Roman"/>
          <w:sz w:val="22"/>
          <w:szCs w:val="22"/>
        </w:rPr>
        <w:t xml:space="preserve">.  </w:t>
      </w:r>
    </w:p>
  </w:footnote>
  <w:footnote w:id="20">
    <w:p w14:paraId="33F41E15" w14:textId="346C575B" w:rsidR="003A6328" w:rsidRPr="00F53990" w:rsidRDefault="003A6328" w:rsidP="003A6328">
      <w:pPr>
        <w:pStyle w:val="Textonotapie"/>
        <w:rPr>
          <w:rFonts w:ascii="Times New Roman" w:hAnsi="Times New Roman"/>
          <w:sz w:val="22"/>
          <w:szCs w:val="22"/>
          <w:lang w:val="es-CO"/>
        </w:rPr>
      </w:pPr>
      <w:r>
        <w:tab/>
      </w:r>
      <w:r w:rsidRPr="00F53990">
        <w:rPr>
          <w:rStyle w:val="Refdenotaalpie"/>
          <w:rFonts w:ascii="Times New Roman" w:hAnsi="Times New Roman"/>
          <w:sz w:val="22"/>
          <w:szCs w:val="22"/>
        </w:rPr>
        <w:footnoteRef/>
      </w:r>
      <w:r w:rsidRPr="00F53990">
        <w:rPr>
          <w:rFonts w:ascii="Times New Roman" w:hAnsi="Times New Roman"/>
          <w:sz w:val="22"/>
          <w:szCs w:val="22"/>
        </w:rPr>
        <w:t xml:space="preserve"> Fls.</w:t>
      </w:r>
      <w:r>
        <w:rPr>
          <w:rFonts w:ascii="Times New Roman" w:hAnsi="Times New Roman"/>
          <w:sz w:val="22"/>
          <w:szCs w:val="22"/>
        </w:rPr>
        <w:t xml:space="preserve"> 84-249</w:t>
      </w:r>
      <w:r w:rsidRPr="00F53990">
        <w:rPr>
          <w:rFonts w:ascii="Times New Roman" w:hAnsi="Times New Roman"/>
          <w:sz w:val="22"/>
          <w:szCs w:val="22"/>
        </w:rPr>
        <w:t xml:space="preserve"> </w:t>
      </w:r>
      <w:r>
        <w:rPr>
          <w:rFonts w:ascii="Times New Roman" w:hAnsi="Times New Roman"/>
          <w:i/>
          <w:sz w:val="22"/>
          <w:szCs w:val="22"/>
        </w:rPr>
        <w:t xml:space="preserve">ídem. </w:t>
      </w:r>
      <w:r w:rsidRPr="00F53990">
        <w:rPr>
          <w:rFonts w:ascii="Times New Roman" w:hAnsi="Times New Roman"/>
          <w:sz w:val="22"/>
          <w:szCs w:val="22"/>
        </w:rPr>
        <w:t xml:space="preserve">  </w:t>
      </w:r>
    </w:p>
  </w:footnote>
  <w:footnote w:id="21">
    <w:p w14:paraId="79B0784B" w14:textId="6B4D1303" w:rsidR="00C8578A" w:rsidRPr="00222EB1" w:rsidRDefault="00C8578A" w:rsidP="00C8578A">
      <w:pPr>
        <w:pStyle w:val="Textonotapie"/>
        <w:jc w:val="both"/>
        <w:rPr>
          <w:rFonts w:ascii="Times New Roman" w:hAnsi="Times New Roman"/>
          <w:sz w:val="24"/>
          <w:szCs w:val="24"/>
          <w:lang w:val="es-CO"/>
        </w:rPr>
      </w:pPr>
      <w:r>
        <w:rPr>
          <w:rFonts w:ascii="Times New Roman" w:hAnsi="Times New Roman"/>
          <w:sz w:val="24"/>
          <w:szCs w:val="24"/>
          <w:lang w:val="es-CO"/>
        </w:rPr>
        <w:tab/>
      </w:r>
      <w:r w:rsidRPr="00222EB1">
        <w:rPr>
          <w:rStyle w:val="Refdenotaalpie"/>
          <w:rFonts w:ascii="Times New Roman" w:hAnsi="Times New Roman"/>
          <w:sz w:val="24"/>
          <w:szCs w:val="24"/>
        </w:rPr>
        <w:footnoteRef/>
      </w:r>
      <w:r w:rsidRPr="00222EB1">
        <w:rPr>
          <w:rFonts w:ascii="Times New Roman" w:hAnsi="Times New Roman"/>
          <w:sz w:val="24"/>
          <w:szCs w:val="24"/>
        </w:rPr>
        <w:t xml:space="preserve"> </w:t>
      </w:r>
      <w:r>
        <w:rPr>
          <w:rFonts w:ascii="Times New Roman" w:hAnsi="Times New Roman"/>
          <w:sz w:val="24"/>
          <w:szCs w:val="24"/>
        </w:rPr>
        <w:t>Como lo clarifica el Reporte Final de la Comisión de Derecho Internacional de las Naciones Unidas sobre la oblig</w:t>
      </w:r>
      <w:r w:rsidR="004450D6">
        <w:rPr>
          <w:rFonts w:ascii="Times New Roman" w:hAnsi="Times New Roman"/>
          <w:sz w:val="24"/>
          <w:szCs w:val="24"/>
        </w:rPr>
        <w:t>ación de extraditar o perseguir</w:t>
      </w:r>
      <w:r>
        <w:rPr>
          <w:rFonts w:ascii="Times New Roman" w:hAnsi="Times New Roman"/>
          <w:sz w:val="24"/>
          <w:szCs w:val="24"/>
        </w:rPr>
        <w:t xml:space="preserve"> del año 2014, a</w:t>
      </w:r>
      <w:r w:rsidRPr="00222EB1">
        <w:rPr>
          <w:rFonts w:ascii="Times New Roman" w:hAnsi="Times New Roman"/>
          <w:sz w:val="24"/>
          <w:szCs w:val="24"/>
        </w:rPr>
        <w:t xml:space="preserve">doptada por la Comisión de Derecho Internacional en la sesión 66: </w:t>
      </w:r>
      <w:r w:rsidRPr="00222EB1">
        <w:rPr>
          <w:rFonts w:ascii="Times New Roman" w:hAnsi="Times New Roman"/>
          <w:i/>
          <w:sz w:val="24"/>
          <w:szCs w:val="24"/>
          <w:lang w:val="es-CO"/>
        </w:rPr>
        <w:t>Yearbook of the International Law Commission</w:t>
      </w:r>
      <w:r w:rsidRPr="00222EB1">
        <w:rPr>
          <w:rFonts w:ascii="Times New Roman" w:hAnsi="Times New Roman"/>
          <w:sz w:val="24"/>
          <w:szCs w:val="24"/>
          <w:lang w:val="es-CO"/>
        </w:rPr>
        <w:t xml:space="preserve">, 2014, vol. II (Part Two). </w:t>
      </w:r>
    </w:p>
  </w:footnote>
  <w:footnote w:id="22">
    <w:p w14:paraId="6B4F2BCF" w14:textId="73911EEF" w:rsidR="00BE6B93" w:rsidRPr="00BE6B93" w:rsidRDefault="00BE6B93" w:rsidP="00BE6B93">
      <w:pPr>
        <w:pStyle w:val="Textonotapie"/>
        <w:jc w:val="both"/>
        <w:rPr>
          <w:rFonts w:ascii="Times New Roman" w:hAnsi="Times New Roman"/>
          <w:sz w:val="22"/>
          <w:szCs w:val="22"/>
          <w:lang w:val="es-CO"/>
        </w:rPr>
      </w:pPr>
      <w:r w:rsidRPr="00BE6B93">
        <w:rPr>
          <w:rFonts w:ascii="Times New Roman" w:hAnsi="Times New Roman"/>
        </w:rPr>
        <w:tab/>
      </w:r>
      <w:r w:rsidRPr="00BE6B93">
        <w:rPr>
          <w:rStyle w:val="Refdenotaalpie"/>
          <w:rFonts w:ascii="Times New Roman" w:hAnsi="Times New Roman"/>
          <w:sz w:val="22"/>
          <w:szCs w:val="22"/>
        </w:rPr>
        <w:footnoteRef/>
      </w:r>
      <w:r w:rsidRPr="00BE6B93">
        <w:rPr>
          <w:rFonts w:ascii="Times New Roman" w:hAnsi="Times New Roman"/>
          <w:sz w:val="22"/>
          <w:szCs w:val="22"/>
        </w:rPr>
        <w:t xml:space="preserve"> Modificado por el art. 27 de la Ley 1592 de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57196" w14:textId="77777777" w:rsidR="00DB3901" w:rsidRDefault="00DB3901" w:rsidP="009E3947">
    <w:pPr>
      <w:pStyle w:val="Encabezado"/>
      <w:jc w:val="right"/>
      <w:rPr>
        <w:rFonts w:ascii="Bookman Old Style" w:hAnsi="Bookman Old Style"/>
        <w:iCs/>
      </w:rPr>
    </w:pPr>
    <w:r>
      <w:rPr>
        <w:rFonts w:ascii="Bookman Old Style" w:hAnsi="Bookman Old Style"/>
        <w:iCs/>
      </w:rPr>
      <w:t>Segunda instancia Nº 48.942</w:t>
    </w:r>
  </w:p>
  <w:p w14:paraId="4D833EA4" w14:textId="77777777" w:rsidR="00DB3901" w:rsidRDefault="00DB3901" w:rsidP="009E3947">
    <w:pPr>
      <w:pStyle w:val="Encabezado"/>
      <w:jc w:val="right"/>
      <w:rPr>
        <w:rFonts w:ascii="Bookman Old Style" w:hAnsi="Bookman Old Style"/>
        <w:iCs/>
      </w:rPr>
    </w:pPr>
    <w:r>
      <w:rPr>
        <w:rFonts w:ascii="Bookman Old Style" w:hAnsi="Bookman Old Style"/>
        <w:iCs/>
      </w:rPr>
      <w:t>CARLOS MARIO JIMÉNEZ NARANJO</w:t>
    </w:r>
  </w:p>
  <w:p w14:paraId="3F06E76E" w14:textId="77777777" w:rsidR="00DB3901" w:rsidRDefault="00DB3901" w:rsidP="009E3947">
    <w:pPr>
      <w:pStyle w:val="Encabezado"/>
      <w:jc w:val="right"/>
      <w:rPr>
        <w:rFonts w:ascii="Bookman Old Style" w:hAnsi="Bookman Old Style"/>
        <w:iCs/>
      </w:rPr>
    </w:pPr>
  </w:p>
  <w:p w14:paraId="06E9363D" w14:textId="77777777" w:rsidR="00DB3901" w:rsidRDefault="00DB3901" w:rsidP="009E3947">
    <w:pPr>
      <w:pStyle w:val="Encabezado"/>
      <w:jc w:val="right"/>
      <w:rPr>
        <w:rFonts w:ascii="Bookman Old Style" w:hAnsi="Bookman Old Style"/>
        <w:iCs/>
      </w:rPr>
    </w:pPr>
  </w:p>
  <w:p w14:paraId="3BD27C61" w14:textId="77777777" w:rsidR="00DB3901" w:rsidRDefault="00DB3901" w:rsidP="009E3947">
    <w:pPr>
      <w:pStyle w:val="Encabezado"/>
      <w:jc w:val="right"/>
      <w:rPr>
        <w:rFonts w:ascii="Bookman Old Style" w:hAnsi="Bookman Old Style"/>
        <w:iCs/>
      </w:rPr>
    </w:pPr>
  </w:p>
  <w:p w14:paraId="14FA7440" w14:textId="77777777" w:rsidR="00DB3901" w:rsidRPr="00D36C94" w:rsidRDefault="00DB3901" w:rsidP="009E3947">
    <w:pPr>
      <w:pStyle w:val="Encabezado"/>
      <w:jc w:val="right"/>
      <w:rPr>
        <w:rFonts w:ascii="Bookman Old Style" w:hAnsi="Bookman Old Style"/>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11BD" w14:textId="77777777" w:rsidR="00DB3901" w:rsidRPr="00663CD2" w:rsidRDefault="00DB3901" w:rsidP="009E3947">
    <w:pPr>
      <w:keepNext/>
      <w:tabs>
        <w:tab w:val="left" w:pos="3544"/>
      </w:tabs>
      <w:spacing w:before="240" w:after="60"/>
      <w:ind w:right="51"/>
      <w:jc w:val="center"/>
      <w:outlineLvl w:val="1"/>
      <w:rPr>
        <w:rFonts w:ascii="Edwardian Script ITC" w:hAnsi="Edwardian Script ITC"/>
        <w:bCs/>
        <w:i/>
        <w:iCs/>
        <w:sz w:val="28"/>
        <w:szCs w:val="28"/>
      </w:rPr>
    </w:pPr>
    <w:r>
      <w:rPr>
        <w:rFonts w:ascii="Edwardian Script ITC" w:hAnsi="Edwardian Script ITC"/>
        <w:noProof/>
        <w:szCs w:val="28"/>
        <w:lang w:val="es-CO" w:eastAsia="es-CO"/>
      </w:rPr>
      <w:drawing>
        <wp:inline distT="0" distB="0" distL="0" distR="0" wp14:anchorId="329A4822" wp14:editId="63CE1A57">
          <wp:extent cx="1285875" cy="1714500"/>
          <wp:effectExtent l="0" t="0" r="9525" b="0"/>
          <wp:docPr id="2" name="Imagen 2" descr="Pen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alByn"/>
                  <pic:cNvPicPr>
                    <a:picLocks noChangeAspect="1" noChangeArrowheads="1"/>
                  </pic:cNvPicPr>
                </pic:nvPicPr>
                <pic:blipFill>
                  <a:blip r:embed="rId1">
                    <a:extLst>
                      <a:ext uri="{28A0092B-C50C-407E-A947-70E740481C1C}">
                        <a14:useLocalDpi xmlns:a14="http://schemas.microsoft.com/office/drawing/2010/main" val="0"/>
                      </a:ext>
                    </a:extLst>
                  </a:blip>
                  <a:srcRect l="16536" t="908" r="17807" b="11629"/>
                  <a:stretch>
                    <a:fillRect/>
                  </a:stretch>
                </pic:blipFill>
                <pic:spPr bwMode="auto">
                  <a:xfrm>
                    <a:off x="0" y="0"/>
                    <a:ext cx="1285875" cy="1714500"/>
                  </a:xfrm>
                  <a:prstGeom prst="rect">
                    <a:avLst/>
                  </a:prstGeom>
                  <a:noFill/>
                  <a:ln>
                    <a:noFill/>
                  </a:ln>
                </pic:spPr>
              </pic:pic>
            </a:graphicData>
          </a:graphic>
        </wp:inline>
      </w:drawing>
    </w:r>
  </w:p>
  <w:p w14:paraId="0841700E" w14:textId="77777777" w:rsidR="00DB3901" w:rsidRPr="00493C39" w:rsidRDefault="00DB3901" w:rsidP="009E3947">
    <w:pPr>
      <w:pStyle w:val="Encabezado"/>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B0C59"/>
    <w:multiLevelType w:val="hybridMultilevel"/>
    <w:tmpl w:val="379CE458"/>
    <w:lvl w:ilvl="0" w:tplc="5E66F19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39"/>
    <w:rsid w:val="00013666"/>
    <w:rsid w:val="00015CA4"/>
    <w:rsid w:val="000165E6"/>
    <w:rsid w:val="00021E84"/>
    <w:rsid w:val="00031E96"/>
    <w:rsid w:val="00032D95"/>
    <w:rsid w:val="0003767A"/>
    <w:rsid w:val="00040F4B"/>
    <w:rsid w:val="000535A1"/>
    <w:rsid w:val="000554AC"/>
    <w:rsid w:val="00073C92"/>
    <w:rsid w:val="0008106E"/>
    <w:rsid w:val="000813FB"/>
    <w:rsid w:val="00085237"/>
    <w:rsid w:val="0009114E"/>
    <w:rsid w:val="0009350C"/>
    <w:rsid w:val="00094F96"/>
    <w:rsid w:val="000A0950"/>
    <w:rsid w:val="000A3EDA"/>
    <w:rsid w:val="000B308A"/>
    <w:rsid w:val="000B616A"/>
    <w:rsid w:val="000B6CFB"/>
    <w:rsid w:val="000C074D"/>
    <w:rsid w:val="000D1DD6"/>
    <w:rsid w:val="000D6E76"/>
    <w:rsid w:val="000D79B1"/>
    <w:rsid w:val="000E55F6"/>
    <w:rsid w:val="00102A5D"/>
    <w:rsid w:val="00104D36"/>
    <w:rsid w:val="00111226"/>
    <w:rsid w:val="0011409D"/>
    <w:rsid w:val="00114E9D"/>
    <w:rsid w:val="00116ED7"/>
    <w:rsid w:val="00117319"/>
    <w:rsid w:val="00117CBF"/>
    <w:rsid w:val="00125635"/>
    <w:rsid w:val="0013327D"/>
    <w:rsid w:val="00142BB6"/>
    <w:rsid w:val="001435C3"/>
    <w:rsid w:val="001458A6"/>
    <w:rsid w:val="00150882"/>
    <w:rsid w:val="00151FEF"/>
    <w:rsid w:val="00154F82"/>
    <w:rsid w:val="0017169A"/>
    <w:rsid w:val="00174212"/>
    <w:rsid w:val="00174A31"/>
    <w:rsid w:val="001763E7"/>
    <w:rsid w:val="001778A1"/>
    <w:rsid w:val="00182722"/>
    <w:rsid w:val="00185231"/>
    <w:rsid w:val="00186A20"/>
    <w:rsid w:val="00187E25"/>
    <w:rsid w:val="0019084E"/>
    <w:rsid w:val="00195815"/>
    <w:rsid w:val="0019656A"/>
    <w:rsid w:val="001A1DE8"/>
    <w:rsid w:val="001A77B3"/>
    <w:rsid w:val="001C20EE"/>
    <w:rsid w:val="001C2335"/>
    <w:rsid w:val="001C4A7D"/>
    <w:rsid w:val="001C6EC8"/>
    <w:rsid w:val="001E0CF0"/>
    <w:rsid w:val="001E5DA7"/>
    <w:rsid w:val="00203828"/>
    <w:rsid w:val="00207D70"/>
    <w:rsid w:val="002134D3"/>
    <w:rsid w:val="00213A8C"/>
    <w:rsid w:val="00233195"/>
    <w:rsid w:val="00233997"/>
    <w:rsid w:val="002375EA"/>
    <w:rsid w:val="00241E37"/>
    <w:rsid w:val="0024413C"/>
    <w:rsid w:val="002443EB"/>
    <w:rsid w:val="00244542"/>
    <w:rsid w:val="0024481A"/>
    <w:rsid w:val="00247230"/>
    <w:rsid w:val="00251795"/>
    <w:rsid w:val="002533C2"/>
    <w:rsid w:val="00257F54"/>
    <w:rsid w:val="00260188"/>
    <w:rsid w:val="002641A7"/>
    <w:rsid w:val="002656CD"/>
    <w:rsid w:val="00267110"/>
    <w:rsid w:val="002719B7"/>
    <w:rsid w:val="00281749"/>
    <w:rsid w:val="00283F3B"/>
    <w:rsid w:val="002854DA"/>
    <w:rsid w:val="00285AA8"/>
    <w:rsid w:val="002B226E"/>
    <w:rsid w:val="002B35E0"/>
    <w:rsid w:val="002B5941"/>
    <w:rsid w:val="002C2E24"/>
    <w:rsid w:val="002C623C"/>
    <w:rsid w:val="002D0606"/>
    <w:rsid w:val="002D7975"/>
    <w:rsid w:val="002E3D26"/>
    <w:rsid w:val="002E4DFC"/>
    <w:rsid w:val="002F2AF6"/>
    <w:rsid w:val="00301863"/>
    <w:rsid w:val="003033BC"/>
    <w:rsid w:val="0030584A"/>
    <w:rsid w:val="00310535"/>
    <w:rsid w:val="003111FA"/>
    <w:rsid w:val="003210AB"/>
    <w:rsid w:val="00324BCB"/>
    <w:rsid w:val="00332791"/>
    <w:rsid w:val="00341849"/>
    <w:rsid w:val="0034262E"/>
    <w:rsid w:val="00343F23"/>
    <w:rsid w:val="003450E2"/>
    <w:rsid w:val="003507C3"/>
    <w:rsid w:val="003518DC"/>
    <w:rsid w:val="003538B3"/>
    <w:rsid w:val="00356FCE"/>
    <w:rsid w:val="00361342"/>
    <w:rsid w:val="00364DF1"/>
    <w:rsid w:val="00365298"/>
    <w:rsid w:val="00373D9E"/>
    <w:rsid w:val="00377896"/>
    <w:rsid w:val="00395DAE"/>
    <w:rsid w:val="003A2C83"/>
    <w:rsid w:val="003A4EB9"/>
    <w:rsid w:val="003A5B8E"/>
    <w:rsid w:val="003A6328"/>
    <w:rsid w:val="003A7FC7"/>
    <w:rsid w:val="003B76A0"/>
    <w:rsid w:val="003C7448"/>
    <w:rsid w:val="003D08A1"/>
    <w:rsid w:val="003D5C7A"/>
    <w:rsid w:val="003E20B3"/>
    <w:rsid w:val="003E5344"/>
    <w:rsid w:val="003E62B5"/>
    <w:rsid w:val="003E636E"/>
    <w:rsid w:val="003F20EF"/>
    <w:rsid w:val="00400DD5"/>
    <w:rsid w:val="00403499"/>
    <w:rsid w:val="00405654"/>
    <w:rsid w:val="00406B1E"/>
    <w:rsid w:val="00407B15"/>
    <w:rsid w:val="00417CCC"/>
    <w:rsid w:val="00422E16"/>
    <w:rsid w:val="004425FD"/>
    <w:rsid w:val="004450D6"/>
    <w:rsid w:val="00453A59"/>
    <w:rsid w:val="00460FEA"/>
    <w:rsid w:val="0046610D"/>
    <w:rsid w:val="00480B11"/>
    <w:rsid w:val="00482EAE"/>
    <w:rsid w:val="00482EF4"/>
    <w:rsid w:val="004876CE"/>
    <w:rsid w:val="004915A8"/>
    <w:rsid w:val="004A7585"/>
    <w:rsid w:val="004B218D"/>
    <w:rsid w:val="004B2683"/>
    <w:rsid w:val="004B4B7E"/>
    <w:rsid w:val="004B79AB"/>
    <w:rsid w:val="004C0D4E"/>
    <w:rsid w:val="004C267B"/>
    <w:rsid w:val="004D1720"/>
    <w:rsid w:val="004D3270"/>
    <w:rsid w:val="004D47D6"/>
    <w:rsid w:val="004D7058"/>
    <w:rsid w:val="004E06E9"/>
    <w:rsid w:val="004E1629"/>
    <w:rsid w:val="004E21C1"/>
    <w:rsid w:val="004E7CF2"/>
    <w:rsid w:val="004F3FF7"/>
    <w:rsid w:val="004F667F"/>
    <w:rsid w:val="004F6DF5"/>
    <w:rsid w:val="005020E2"/>
    <w:rsid w:val="005127AE"/>
    <w:rsid w:val="00513B88"/>
    <w:rsid w:val="00524337"/>
    <w:rsid w:val="0052504F"/>
    <w:rsid w:val="005264FF"/>
    <w:rsid w:val="0053541F"/>
    <w:rsid w:val="00535D61"/>
    <w:rsid w:val="00540D53"/>
    <w:rsid w:val="00543183"/>
    <w:rsid w:val="00552170"/>
    <w:rsid w:val="00562D0D"/>
    <w:rsid w:val="00564AD6"/>
    <w:rsid w:val="00575580"/>
    <w:rsid w:val="00583688"/>
    <w:rsid w:val="005931CD"/>
    <w:rsid w:val="00594951"/>
    <w:rsid w:val="005A64E1"/>
    <w:rsid w:val="005A6C83"/>
    <w:rsid w:val="005A70C0"/>
    <w:rsid w:val="005C479E"/>
    <w:rsid w:val="005C7997"/>
    <w:rsid w:val="005D0C6F"/>
    <w:rsid w:val="005D70A3"/>
    <w:rsid w:val="005D71DC"/>
    <w:rsid w:val="005E181C"/>
    <w:rsid w:val="005E4325"/>
    <w:rsid w:val="005E5A8D"/>
    <w:rsid w:val="005E72EC"/>
    <w:rsid w:val="005E7789"/>
    <w:rsid w:val="005E7998"/>
    <w:rsid w:val="005E7FBC"/>
    <w:rsid w:val="005F1434"/>
    <w:rsid w:val="005F4721"/>
    <w:rsid w:val="006020FE"/>
    <w:rsid w:val="00604149"/>
    <w:rsid w:val="006101BC"/>
    <w:rsid w:val="00611F3B"/>
    <w:rsid w:val="00613745"/>
    <w:rsid w:val="00613D02"/>
    <w:rsid w:val="00623931"/>
    <w:rsid w:val="00625065"/>
    <w:rsid w:val="00633434"/>
    <w:rsid w:val="00634D90"/>
    <w:rsid w:val="006417E3"/>
    <w:rsid w:val="006433A4"/>
    <w:rsid w:val="0065355A"/>
    <w:rsid w:val="00655201"/>
    <w:rsid w:val="00655D74"/>
    <w:rsid w:val="006600F7"/>
    <w:rsid w:val="0066257E"/>
    <w:rsid w:val="006644B0"/>
    <w:rsid w:val="00665342"/>
    <w:rsid w:val="00687E95"/>
    <w:rsid w:val="00693D85"/>
    <w:rsid w:val="006942F6"/>
    <w:rsid w:val="006A16B2"/>
    <w:rsid w:val="006B2B76"/>
    <w:rsid w:val="006B578E"/>
    <w:rsid w:val="006C488E"/>
    <w:rsid w:val="006C4C26"/>
    <w:rsid w:val="006C53DC"/>
    <w:rsid w:val="006D29A9"/>
    <w:rsid w:val="006D662E"/>
    <w:rsid w:val="006D788C"/>
    <w:rsid w:val="006E5543"/>
    <w:rsid w:val="006E6C55"/>
    <w:rsid w:val="006E7D1A"/>
    <w:rsid w:val="006F1C23"/>
    <w:rsid w:val="00701EB2"/>
    <w:rsid w:val="00703A24"/>
    <w:rsid w:val="00720AD9"/>
    <w:rsid w:val="007211EB"/>
    <w:rsid w:val="00723611"/>
    <w:rsid w:val="0072640D"/>
    <w:rsid w:val="00736A55"/>
    <w:rsid w:val="00736BDE"/>
    <w:rsid w:val="007425C2"/>
    <w:rsid w:val="00752C45"/>
    <w:rsid w:val="007536BE"/>
    <w:rsid w:val="007560A8"/>
    <w:rsid w:val="00757CA0"/>
    <w:rsid w:val="0076382B"/>
    <w:rsid w:val="00763BBA"/>
    <w:rsid w:val="007736CD"/>
    <w:rsid w:val="007807D1"/>
    <w:rsid w:val="00780921"/>
    <w:rsid w:val="0078094D"/>
    <w:rsid w:val="00796996"/>
    <w:rsid w:val="00796C2F"/>
    <w:rsid w:val="00797DE2"/>
    <w:rsid w:val="007A124B"/>
    <w:rsid w:val="007B3B2E"/>
    <w:rsid w:val="007B4390"/>
    <w:rsid w:val="007B4870"/>
    <w:rsid w:val="007B5933"/>
    <w:rsid w:val="007B7C92"/>
    <w:rsid w:val="007C7B4D"/>
    <w:rsid w:val="007D7A7B"/>
    <w:rsid w:val="007F2E75"/>
    <w:rsid w:val="008030A3"/>
    <w:rsid w:val="00805114"/>
    <w:rsid w:val="00812C4A"/>
    <w:rsid w:val="00817998"/>
    <w:rsid w:val="00826593"/>
    <w:rsid w:val="008313B6"/>
    <w:rsid w:val="00833781"/>
    <w:rsid w:val="008379B0"/>
    <w:rsid w:val="0084562D"/>
    <w:rsid w:val="00846F9B"/>
    <w:rsid w:val="00852D03"/>
    <w:rsid w:val="00854DB9"/>
    <w:rsid w:val="00861E4B"/>
    <w:rsid w:val="008655F6"/>
    <w:rsid w:val="00872714"/>
    <w:rsid w:val="00884988"/>
    <w:rsid w:val="008A0357"/>
    <w:rsid w:val="008B0106"/>
    <w:rsid w:val="008B46F1"/>
    <w:rsid w:val="008B5D7B"/>
    <w:rsid w:val="008B5E60"/>
    <w:rsid w:val="008F0AE8"/>
    <w:rsid w:val="008F21C5"/>
    <w:rsid w:val="008F44FE"/>
    <w:rsid w:val="0090293E"/>
    <w:rsid w:val="00903464"/>
    <w:rsid w:val="0091003D"/>
    <w:rsid w:val="0091445B"/>
    <w:rsid w:val="00915D01"/>
    <w:rsid w:val="00915F30"/>
    <w:rsid w:val="00933E7B"/>
    <w:rsid w:val="00934901"/>
    <w:rsid w:val="009440A2"/>
    <w:rsid w:val="00945C82"/>
    <w:rsid w:val="0095081B"/>
    <w:rsid w:val="00964DC4"/>
    <w:rsid w:val="009837A2"/>
    <w:rsid w:val="009A2F59"/>
    <w:rsid w:val="009A347A"/>
    <w:rsid w:val="009A3CBA"/>
    <w:rsid w:val="009B7195"/>
    <w:rsid w:val="009B7E91"/>
    <w:rsid w:val="009C2939"/>
    <w:rsid w:val="009C30C0"/>
    <w:rsid w:val="009D4730"/>
    <w:rsid w:val="009D50E1"/>
    <w:rsid w:val="009E0216"/>
    <w:rsid w:val="009E3947"/>
    <w:rsid w:val="009E79A3"/>
    <w:rsid w:val="009F2104"/>
    <w:rsid w:val="009F37E1"/>
    <w:rsid w:val="009F4E5F"/>
    <w:rsid w:val="009F68F1"/>
    <w:rsid w:val="00A002FC"/>
    <w:rsid w:val="00A1487A"/>
    <w:rsid w:val="00A27376"/>
    <w:rsid w:val="00A328DA"/>
    <w:rsid w:val="00A33F7C"/>
    <w:rsid w:val="00A36D48"/>
    <w:rsid w:val="00A44D66"/>
    <w:rsid w:val="00A512FF"/>
    <w:rsid w:val="00A5131C"/>
    <w:rsid w:val="00A6551C"/>
    <w:rsid w:val="00A67B7F"/>
    <w:rsid w:val="00A71C40"/>
    <w:rsid w:val="00A74C3E"/>
    <w:rsid w:val="00A77122"/>
    <w:rsid w:val="00A83C1E"/>
    <w:rsid w:val="00AA2611"/>
    <w:rsid w:val="00AA3B7A"/>
    <w:rsid w:val="00AA4561"/>
    <w:rsid w:val="00AC1412"/>
    <w:rsid w:val="00AC1F86"/>
    <w:rsid w:val="00AD37A9"/>
    <w:rsid w:val="00AE2F91"/>
    <w:rsid w:val="00AE42A9"/>
    <w:rsid w:val="00AE5CBE"/>
    <w:rsid w:val="00AF3451"/>
    <w:rsid w:val="00AF7F89"/>
    <w:rsid w:val="00B00B0B"/>
    <w:rsid w:val="00B0467D"/>
    <w:rsid w:val="00B05F36"/>
    <w:rsid w:val="00B07BEE"/>
    <w:rsid w:val="00B101C2"/>
    <w:rsid w:val="00B10626"/>
    <w:rsid w:val="00B17DFE"/>
    <w:rsid w:val="00B2056A"/>
    <w:rsid w:val="00B20A82"/>
    <w:rsid w:val="00B21678"/>
    <w:rsid w:val="00B25D8D"/>
    <w:rsid w:val="00B31243"/>
    <w:rsid w:val="00B32111"/>
    <w:rsid w:val="00B42502"/>
    <w:rsid w:val="00B45EDD"/>
    <w:rsid w:val="00B46921"/>
    <w:rsid w:val="00B50E24"/>
    <w:rsid w:val="00B54189"/>
    <w:rsid w:val="00B75FC7"/>
    <w:rsid w:val="00B765DD"/>
    <w:rsid w:val="00B7797F"/>
    <w:rsid w:val="00B8632D"/>
    <w:rsid w:val="00B8779E"/>
    <w:rsid w:val="00B93396"/>
    <w:rsid w:val="00BA6755"/>
    <w:rsid w:val="00BB1921"/>
    <w:rsid w:val="00BB2445"/>
    <w:rsid w:val="00BB4D42"/>
    <w:rsid w:val="00BB4FB8"/>
    <w:rsid w:val="00BB58F1"/>
    <w:rsid w:val="00BB61E3"/>
    <w:rsid w:val="00BB6549"/>
    <w:rsid w:val="00BC27AB"/>
    <w:rsid w:val="00BD0A90"/>
    <w:rsid w:val="00BD183D"/>
    <w:rsid w:val="00BD252A"/>
    <w:rsid w:val="00BD7AC5"/>
    <w:rsid w:val="00BE6B93"/>
    <w:rsid w:val="00BF19B7"/>
    <w:rsid w:val="00BF3EBE"/>
    <w:rsid w:val="00C05126"/>
    <w:rsid w:val="00C11A39"/>
    <w:rsid w:val="00C11FDE"/>
    <w:rsid w:val="00C12E6A"/>
    <w:rsid w:val="00C207B4"/>
    <w:rsid w:val="00C23984"/>
    <w:rsid w:val="00C324CA"/>
    <w:rsid w:val="00C35384"/>
    <w:rsid w:val="00C56628"/>
    <w:rsid w:val="00C600C7"/>
    <w:rsid w:val="00C66610"/>
    <w:rsid w:val="00C70361"/>
    <w:rsid w:val="00C75539"/>
    <w:rsid w:val="00C7624F"/>
    <w:rsid w:val="00C8578A"/>
    <w:rsid w:val="00C90F40"/>
    <w:rsid w:val="00CA29D4"/>
    <w:rsid w:val="00CA2D38"/>
    <w:rsid w:val="00CB5DF9"/>
    <w:rsid w:val="00CB6986"/>
    <w:rsid w:val="00CC5271"/>
    <w:rsid w:val="00CD72FC"/>
    <w:rsid w:val="00CD74AA"/>
    <w:rsid w:val="00CE00ED"/>
    <w:rsid w:val="00CE2C4F"/>
    <w:rsid w:val="00CE300C"/>
    <w:rsid w:val="00D204E4"/>
    <w:rsid w:val="00D232DA"/>
    <w:rsid w:val="00D24D4E"/>
    <w:rsid w:val="00D33AB6"/>
    <w:rsid w:val="00D351A9"/>
    <w:rsid w:val="00D37092"/>
    <w:rsid w:val="00D43B8C"/>
    <w:rsid w:val="00D54838"/>
    <w:rsid w:val="00D558D1"/>
    <w:rsid w:val="00D67674"/>
    <w:rsid w:val="00D71F5F"/>
    <w:rsid w:val="00D86911"/>
    <w:rsid w:val="00D869F5"/>
    <w:rsid w:val="00D927B9"/>
    <w:rsid w:val="00D9537D"/>
    <w:rsid w:val="00D97F29"/>
    <w:rsid w:val="00DA1C59"/>
    <w:rsid w:val="00DA3CDF"/>
    <w:rsid w:val="00DA50D4"/>
    <w:rsid w:val="00DA537D"/>
    <w:rsid w:val="00DB3901"/>
    <w:rsid w:val="00DB7382"/>
    <w:rsid w:val="00DB73B3"/>
    <w:rsid w:val="00DB7E34"/>
    <w:rsid w:val="00DC3321"/>
    <w:rsid w:val="00DD1EB6"/>
    <w:rsid w:val="00DD2885"/>
    <w:rsid w:val="00DE1A1C"/>
    <w:rsid w:val="00DE32C8"/>
    <w:rsid w:val="00E05568"/>
    <w:rsid w:val="00E06B2E"/>
    <w:rsid w:val="00E109CB"/>
    <w:rsid w:val="00E13C58"/>
    <w:rsid w:val="00E13D88"/>
    <w:rsid w:val="00E15362"/>
    <w:rsid w:val="00E16EE9"/>
    <w:rsid w:val="00E1794D"/>
    <w:rsid w:val="00E21A1E"/>
    <w:rsid w:val="00E25522"/>
    <w:rsid w:val="00E30FC8"/>
    <w:rsid w:val="00E342EA"/>
    <w:rsid w:val="00E35545"/>
    <w:rsid w:val="00E50F25"/>
    <w:rsid w:val="00E5302C"/>
    <w:rsid w:val="00E535FE"/>
    <w:rsid w:val="00E612F9"/>
    <w:rsid w:val="00E84B66"/>
    <w:rsid w:val="00E85367"/>
    <w:rsid w:val="00E86109"/>
    <w:rsid w:val="00EA06CF"/>
    <w:rsid w:val="00EA170A"/>
    <w:rsid w:val="00EA3797"/>
    <w:rsid w:val="00EC207D"/>
    <w:rsid w:val="00EC4596"/>
    <w:rsid w:val="00EC4E46"/>
    <w:rsid w:val="00EC7F33"/>
    <w:rsid w:val="00ED4706"/>
    <w:rsid w:val="00EE0DFD"/>
    <w:rsid w:val="00EE3238"/>
    <w:rsid w:val="00EE504D"/>
    <w:rsid w:val="00EF3A72"/>
    <w:rsid w:val="00EF6E2A"/>
    <w:rsid w:val="00EF7E25"/>
    <w:rsid w:val="00F05724"/>
    <w:rsid w:val="00F10630"/>
    <w:rsid w:val="00F20D9D"/>
    <w:rsid w:val="00F23034"/>
    <w:rsid w:val="00F261FC"/>
    <w:rsid w:val="00F27964"/>
    <w:rsid w:val="00F338CD"/>
    <w:rsid w:val="00F3765C"/>
    <w:rsid w:val="00F45C67"/>
    <w:rsid w:val="00F500E3"/>
    <w:rsid w:val="00F51E5A"/>
    <w:rsid w:val="00F53990"/>
    <w:rsid w:val="00F54A93"/>
    <w:rsid w:val="00F5598E"/>
    <w:rsid w:val="00F747E1"/>
    <w:rsid w:val="00FA0CFD"/>
    <w:rsid w:val="00FB1808"/>
    <w:rsid w:val="00FB5C1F"/>
    <w:rsid w:val="00FC14C0"/>
    <w:rsid w:val="00FD48FA"/>
    <w:rsid w:val="00FE3A40"/>
    <w:rsid w:val="00FE4B6C"/>
    <w:rsid w:val="00FE51F0"/>
    <w:rsid w:val="00FF0903"/>
    <w:rsid w:val="00FF6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2569"/>
  <w15:chartTrackingRefBased/>
  <w15:docId w15:val="{BE9B7FEB-9A96-42B0-A539-2D25D5C5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3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884988"/>
    <w:pPr>
      <w:spacing w:before="300" w:after="150"/>
      <w:outlineLvl w:val="0"/>
    </w:pPr>
    <w:rPr>
      <w:rFonts w:ascii="inherit" w:hAnsi="inherit"/>
      <w:kern w:val="36"/>
      <w:sz w:val="54"/>
      <w:szCs w:val="5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2939"/>
    <w:pPr>
      <w:tabs>
        <w:tab w:val="center" w:pos="4252"/>
        <w:tab w:val="right" w:pos="8504"/>
      </w:tabs>
    </w:pPr>
    <w:rPr>
      <w:lang w:val="es-ES_tradnl"/>
    </w:rPr>
  </w:style>
  <w:style w:type="character" w:customStyle="1" w:styleId="EncabezadoCar">
    <w:name w:val="Encabezado Car"/>
    <w:basedOn w:val="Fuentedeprrafopredeter"/>
    <w:link w:val="Encabezado"/>
    <w:rsid w:val="009C293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9C2939"/>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9C293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C2939"/>
  </w:style>
  <w:style w:type="paragraph" w:styleId="Textoindependiente">
    <w:name w:val="Body Text"/>
    <w:basedOn w:val="Normal"/>
    <w:link w:val="TextoindependienteCar"/>
    <w:rsid w:val="009C2939"/>
    <w:pPr>
      <w:spacing w:line="360" w:lineRule="auto"/>
      <w:jc w:val="both"/>
    </w:pPr>
    <w:rPr>
      <w:rFonts w:ascii="Verdana" w:hAnsi="Verdana"/>
      <w:sz w:val="24"/>
      <w:lang w:val="es-ES_tradnl" w:eastAsia="x-none"/>
    </w:rPr>
  </w:style>
  <w:style w:type="character" w:customStyle="1" w:styleId="TextoindependienteCar">
    <w:name w:val="Texto independiente Car"/>
    <w:basedOn w:val="Fuentedeprrafopredeter"/>
    <w:link w:val="Textoindependiente"/>
    <w:rsid w:val="009C2939"/>
    <w:rPr>
      <w:rFonts w:ascii="Verdana" w:eastAsia="Times New Roman" w:hAnsi="Verdana" w:cs="Times New Roman"/>
      <w:sz w:val="24"/>
      <w:szCs w:val="20"/>
      <w:lang w:val="es-ES_tradnl" w:eastAsia="x-none"/>
    </w:rPr>
  </w:style>
  <w:style w:type="paragraph" w:styleId="Sangra2detindependiente">
    <w:name w:val="Body Text Indent 2"/>
    <w:basedOn w:val="Normal"/>
    <w:link w:val="Sangra2detindependienteCar"/>
    <w:rsid w:val="009C2939"/>
    <w:pPr>
      <w:spacing w:after="120" w:line="480" w:lineRule="auto"/>
      <w:ind w:left="283"/>
    </w:pPr>
  </w:style>
  <w:style w:type="character" w:customStyle="1" w:styleId="Sangra2detindependienteCar">
    <w:name w:val="Sangría 2 de t. independiente Car"/>
    <w:basedOn w:val="Fuentedeprrafopredeter"/>
    <w:link w:val="Sangra2detindependiente"/>
    <w:rsid w:val="009C2939"/>
    <w:rPr>
      <w:rFonts w:ascii="Times New Roman" w:eastAsia="Times New Roman" w:hAnsi="Times New Roman" w:cs="Times New Roman"/>
      <w:sz w:val="20"/>
      <w:szCs w:val="20"/>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4_G,Footnotes refss,Footnote number,f,16 Point"/>
    <w:uiPriority w:val="99"/>
    <w:qFormat/>
    <w:rsid w:val="009C2939"/>
    <w:rPr>
      <w:vertAlign w:val="superscript"/>
    </w:rPr>
  </w:style>
  <w:style w:type="paragraph" w:styleId="Textonotapie">
    <w:name w:val="footnote text"/>
    <w:aliases w:val="Footnote Text Char Char Char Char Char,Footnote Text Char Char Char Char,Footnote reference,FA Fu Car Car Car Car Car Car Car Car,FA Fu Car,FA Fu Car Car Car Car Car Car,FA Fu Car Car Car Car Car,FA Fu,Texto nota pie Car Car Car, Car,Ca,C"/>
    <w:basedOn w:val="Normal"/>
    <w:link w:val="TextonotapieCar"/>
    <w:uiPriority w:val="99"/>
    <w:rsid w:val="009C2939"/>
    <w:rPr>
      <w:rFonts w:ascii="Arial" w:hAnsi="Arial"/>
      <w:lang w:val="es-ES_tradnl" w:eastAsia="x-none"/>
    </w:rPr>
  </w:style>
  <w:style w:type="character" w:customStyle="1" w:styleId="TextonotapieCar">
    <w:name w:val="Texto nota pie Car"/>
    <w:aliases w:val="Footnote Text Char Char Char Char Char Car,Footnote Text Char Char Char Char Car,Footnote reference Car,FA Fu Car Car Car Car Car Car Car Car Car,FA Fu Car Car,FA Fu Car Car Car Car Car Car Car,FA Fu Car Car Car Car Car Car1, Car Car"/>
    <w:basedOn w:val="Fuentedeprrafopredeter"/>
    <w:link w:val="Textonotapie"/>
    <w:rsid w:val="009C2939"/>
    <w:rPr>
      <w:rFonts w:ascii="Arial" w:eastAsia="Times New Roman" w:hAnsi="Arial" w:cs="Times New Roman"/>
      <w:sz w:val="20"/>
      <w:szCs w:val="20"/>
      <w:lang w:val="es-ES_tradnl" w:eastAsia="x-none"/>
    </w:rPr>
  </w:style>
  <w:style w:type="paragraph" w:customStyle="1" w:styleId="Textoindependiente31">
    <w:name w:val="Texto independiente 31"/>
    <w:basedOn w:val="Normal"/>
    <w:rsid w:val="009C2939"/>
    <w:pPr>
      <w:spacing w:line="360" w:lineRule="auto"/>
      <w:ind w:right="51"/>
      <w:jc w:val="both"/>
    </w:pPr>
    <w:rPr>
      <w:rFonts w:ascii="Arial" w:hAnsi="Arial"/>
      <w:sz w:val="28"/>
      <w:lang w:val="es-ES_tradnl" w:eastAsia="es-CO"/>
    </w:rPr>
  </w:style>
  <w:style w:type="paragraph" w:customStyle="1" w:styleId="estilo1">
    <w:name w:val="estilo1"/>
    <w:basedOn w:val="Normal"/>
    <w:rsid w:val="009C2939"/>
    <w:pPr>
      <w:spacing w:before="230" w:after="230" w:line="216" w:lineRule="atLeast"/>
      <w:ind w:left="230" w:right="230"/>
    </w:pPr>
    <w:rPr>
      <w:rFonts w:ascii="Verdana" w:hAnsi="Verdana"/>
      <w:color w:val="000000"/>
      <w:sz w:val="18"/>
      <w:szCs w:val="18"/>
      <w:lang w:val="es-CO" w:eastAsia="es-CO"/>
    </w:rPr>
  </w:style>
  <w:style w:type="paragraph" w:styleId="Prrafodelista">
    <w:name w:val="List Paragraph"/>
    <w:basedOn w:val="Normal"/>
    <w:uiPriority w:val="34"/>
    <w:qFormat/>
    <w:rsid w:val="009C2939"/>
    <w:pPr>
      <w:ind w:left="720"/>
      <w:contextualSpacing/>
    </w:pPr>
  </w:style>
  <w:style w:type="character" w:styleId="Hipervnculo">
    <w:name w:val="Hyperlink"/>
    <w:basedOn w:val="Fuentedeprrafopredeter"/>
    <w:uiPriority w:val="99"/>
    <w:unhideWhenUsed/>
    <w:rsid w:val="004A7585"/>
    <w:rPr>
      <w:color w:val="0000FF"/>
      <w:u w:val="single"/>
    </w:rPr>
  </w:style>
  <w:style w:type="character" w:customStyle="1" w:styleId="apple-converted-space">
    <w:name w:val="apple-converted-space"/>
    <w:basedOn w:val="Fuentedeprrafopredeter"/>
    <w:rsid w:val="00EC4E46"/>
  </w:style>
  <w:style w:type="character" w:styleId="Refdecomentario">
    <w:name w:val="annotation reference"/>
    <w:basedOn w:val="Fuentedeprrafopredeter"/>
    <w:uiPriority w:val="99"/>
    <w:semiHidden/>
    <w:unhideWhenUsed/>
    <w:rsid w:val="001C4A7D"/>
    <w:rPr>
      <w:sz w:val="16"/>
      <w:szCs w:val="16"/>
    </w:rPr>
  </w:style>
  <w:style w:type="paragraph" w:styleId="Textocomentario">
    <w:name w:val="annotation text"/>
    <w:basedOn w:val="Normal"/>
    <w:link w:val="TextocomentarioCar"/>
    <w:uiPriority w:val="99"/>
    <w:semiHidden/>
    <w:unhideWhenUsed/>
    <w:rsid w:val="001C4A7D"/>
  </w:style>
  <w:style w:type="character" w:customStyle="1" w:styleId="TextocomentarioCar">
    <w:name w:val="Texto comentario Car"/>
    <w:basedOn w:val="Fuentedeprrafopredeter"/>
    <w:link w:val="Textocomentario"/>
    <w:uiPriority w:val="99"/>
    <w:semiHidden/>
    <w:rsid w:val="001C4A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C4A7D"/>
    <w:rPr>
      <w:b/>
      <w:bCs/>
    </w:rPr>
  </w:style>
  <w:style w:type="character" w:customStyle="1" w:styleId="AsuntodelcomentarioCar">
    <w:name w:val="Asunto del comentario Car"/>
    <w:basedOn w:val="TextocomentarioCar"/>
    <w:link w:val="Asuntodelcomentario"/>
    <w:uiPriority w:val="99"/>
    <w:semiHidden/>
    <w:rsid w:val="001C4A7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C4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A7D"/>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884988"/>
    <w:rPr>
      <w:rFonts w:ascii="inherit" w:eastAsia="Times New Roman" w:hAnsi="inherit" w:cs="Times New Roman"/>
      <w:kern w:val="36"/>
      <w:sz w:val="54"/>
      <w:szCs w:val="54"/>
      <w:lang w:eastAsia="es-CO"/>
    </w:rPr>
  </w:style>
  <w:style w:type="paragraph" w:customStyle="1" w:styleId="statutory-body">
    <w:name w:val="statutory-body"/>
    <w:basedOn w:val="Normal"/>
    <w:rsid w:val="00884988"/>
    <w:pPr>
      <w:spacing w:after="150"/>
    </w:pPr>
    <w:rPr>
      <w:sz w:val="24"/>
      <w:szCs w:val="24"/>
      <w:lang w:val="es-CO" w:eastAsia="es-CO"/>
    </w:rPr>
  </w:style>
  <w:style w:type="paragraph" w:customStyle="1" w:styleId="statutory-body-1em">
    <w:name w:val="statutory-body-1em"/>
    <w:basedOn w:val="Normal"/>
    <w:rsid w:val="00884988"/>
    <w:pPr>
      <w:spacing w:after="150"/>
      <w:ind w:left="240" w:firstLine="240"/>
    </w:pPr>
    <w:rPr>
      <w:sz w:val="24"/>
      <w:szCs w:val="24"/>
      <w:lang w:val="es-CO" w:eastAsia="es-CO"/>
    </w:rPr>
  </w:style>
  <w:style w:type="character" w:customStyle="1" w:styleId="smallcaps">
    <w:name w:val="smallcaps"/>
    <w:basedOn w:val="Fuentedeprrafopredeter"/>
    <w:rsid w:val="00884988"/>
    <w:rPr>
      <w:smallCaps/>
    </w:rPr>
  </w:style>
  <w:style w:type="character" w:styleId="nfasis">
    <w:name w:val="Emphasis"/>
    <w:basedOn w:val="Fuentedeprrafopredeter"/>
    <w:uiPriority w:val="20"/>
    <w:qFormat/>
    <w:rsid w:val="00884988"/>
    <w:rPr>
      <w:i/>
      <w:iCs/>
    </w:rPr>
  </w:style>
  <w:style w:type="paragraph" w:styleId="NormalWeb">
    <w:name w:val="Normal (Web)"/>
    <w:basedOn w:val="Normal"/>
    <w:uiPriority w:val="99"/>
    <w:semiHidden/>
    <w:unhideWhenUsed/>
    <w:rsid w:val="00F53990"/>
    <w:pPr>
      <w:spacing w:before="100" w:beforeAutospacing="1" w:after="100" w:afterAutospacing="1"/>
    </w:pPr>
    <w:rPr>
      <w:sz w:val="24"/>
      <w:szCs w:val="24"/>
      <w:lang w:val="es-CO" w:eastAsia="es-CO"/>
    </w:rPr>
  </w:style>
  <w:style w:type="character" w:customStyle="1" w:styleId="FontStyle27">
    <w:name w:val="Font Style27"/>
    <w:basedOn w:val="Fuentedeprrafopredeter"/>
    <w:uiPriority w:val="99"/>
    <w:rsid w:val="00182722"/>
    <w:rPr>
      <w:rFonts w:ascii="Bookman Old Style" w:hAnsi="Bookman Old Style" w:cs="Bookman Old Style"/>
      <w:sz w:val="24"/>
      <w:szCs w:val="24"/>
    </w:rPr>
  </w:style>
  <w:style w:type="paragraph" w:customStyle="1" w:styleId="Style4">
    <w:name w:val="Style4"/>
    <w:basedOn w:val="Normal"/>
    <w:uiPriority w:val="99"/>
    <w:rsid w:val="00182722"/>
    <w:pPr>
      <w:widowControl w:val="0"/>
      <w:autoSpaceDE w:val="0"/>
      <w:autoSpaceDN w:val="0"/>
      <w:adjustRightInd w:val="0"/>
      <w:spacing w:line="473" w:lineRule="exact"/>
      <w:jc w:val="both"/>
    </w:pPr>
    <w:rPr>
      <w:rFonts w:ascii="Bookman Old Style" w:eastAsiaTheme="minorEastAsia" w:hAnsi="Bookman Old Style" w:cstheme="minorBidi"/>
      <w:sz w:val="24"/>
      <w:szCs w:val="24"/>
      <w:lang w:val="de-DE" w:eastAsia="de-DE"/>
    </w:rPr>
  </w:style>
  <w:style w:type="character" w:customStyle="1" w:styleId="iaj1">
    <w:name w:val="i_aj1"/>
    <w:basedOn w:val="Fuentedeprrafopredeter"/>
    <w:rsid w:val="00B45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53833">
      <w:bodyDiv w:val="1"/>
      <w:marLeft w:val="0"/>
      <w:marRight w:val="0"/>
      <w:marTop w:val="0"/>
      <w:marBottom w:val="0"/>
      <w:divBdr>
        <w:top w:val="none" w:sz="0" w:space="0" w:color="auto"/>
        <w:left w:val="none" w:sz="0" w:space="0" w:color="auto"/>
        <w:bottom w:val="none" w:sz="0" w:space="0" w:color="auto"/>
        <w:right w:val="none" w:sz="0" w:space="0" w:color="auto"/>
      </w:divBdr>
      <w:divsChild>
        <w:div w:id="279919925">
          <w:marLeft w:val="0"/>
          <w:marRight w:val="0"/>
          <w:marTop w:val="0"/>
          <w:marBottom w:val="0"/>
          <w:divBdr>
            <w:top w:val="none" w:sz="0" w:space="0" w:color="auto"/>
            <w:left w:val="none" w:sz="0" w:space="0" w:color="auto"/>
            <w:bottom w:val="none" w:sz="0" w:space="0" w:color="auto"/>
            <w:right w:val="none" w:sz="0" w:space="0" w:color="auto"/>
          </w:divBdr>
          <w:divsChild>
            <w:div w:id="1705522740">
              <w:marLeft w:val="0"/>
              <w:marRight w:val="0"/>
              <w:marTop w:val="0"/>
              <w:marBottom w:val="0"/>
              <w:divBdr>
                <w:top w:val="none" w:sz="0" w:space="0" w:color="auto"/>
                <w:left w:val="none" w:sz="0" w:space="0" w:color="auto"/>
                <w:bottom w:val="none" w:sz="0" w:space="0" w:color="auto"/>
                <w:right w:val="none" w:sz="0" w:space="0" w:color="auto"/>
              </w:divBdr>
              <w:divsChild>
                <w:div w:id="555504708">
                  <w:marLeft w:val="0"/>
                  <w:marRight w:val="0"/>
                  <w:marTop w:val="0"/>
                  <w:marBottom w:val="0"/>
                  <w:divBdr>
                    <w:top w:val="none" w:sz="0" w:space="0" w:color="auto"/>
                    <w:left w:val="none" w:sz="0" w:space="0" w:color="auto"/>
                    <w:bottom w:val="none" w:sz="0" w:space="0" w:color="auto"/>
                    <w:right w:val="none" w:sz="0" w:space="0" w:color="auto"/>
                  </w:divBdr>
                  <w:divsChild>
                    <w:div w:id="98529509">
                      <w:marLeft w:val="0"/>
                      <w:marRight w:val="0"/>
                      <w:marTop w:val="0"/>
                      <w:marBottom w:val="0"/>
                      <w:divBdr>
                        <w:top w:val="none" w:sz="0" w:space="0" w:color="auto"/>
                        <w:left w:val="none" w:sz="0" w:space="0" w:color="auto"/>
                        <w:bottom w:val="none" w:sz="0" w:space="0" w:color="auto"/>
                        <w:right w:val="none" w:sz="0" w:space="0" w:color="auto"/>
                      </w:divBdr>
                      <w:divsChild>
                        <w:div w:id="1613391793">
                          <w:marLeft w:val="0"/>
                          <w:marRight w:val="0"/>
                          <w:marTop w:val="0"/>
                          <w:marBottom w:val="0"/>
                          <w:divBdr>
                            <w:top w:val="none" w:sz="0" w:space="0" w:color="auto"/>
                            <w:left w:val="none" w:sz="0" w:space="0" w:color="auto"/>
                            <w:bottom w:val="none" w:sz="0" w:space="0" w:color="auto"/>
                            <w:right w:val="none" w:sz="0" w:space="0" w:color="auto"/>
                          </w:divBdr>
                          <w:divsChild>
                            <w:div w:id="980574898">
                              <w:marLeft w:val="0"/>
                              <w:marRight w:val="0"/>
                              <w:marTop w:val="0"/>
                              <w:marBottom w:val="0"/>
                              <w:divBdr>
                                <w:top w:val="none" w:sz="0" w:space="0" w:color="auto"/>
                                <w:left w:val="none" w:sz="0" w:space="0" w:color="auto"/>
                                <w:bottom w:val="none" w:sz="0" w:space="0" w:color="auto"/>
                                <w:right w:val="none" w:sz="0" w:space="0" w:color="auto"/>
                              </w:divBdr>
                              <w:divsChild>
                                <w:div w:id="888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548">
      <w:bodyDiv w:val="1"/>
      <w:marLeft w:val="0"/>
      <w:marRight w:val="0"/>
      <w:marTop w:val="0"/>
      <w:marBottom w:val="0"/>
      <w:divBdr>
        <w:top w:val="none" w:sz="0" w:space="0" w:color="auto"/>
        <w:left w:val="none" w:sz="0" w:space="0" w:color="auto"/>
        <w:bottom w:val="none" w:sz="0" w:space="0" w:color="auto"/>
        <w:right w:val="none" w:sz="0" w:space="0" w:color="auto"/>
      </w:divBdr>
      <w:divsChild>
        <w:div w:id="1223709812">
          <w:marLeft w:val="0"/>
          <w:marRight w:val="0"/>
          <w:marTop w:val="0"/>
          <w:marBottom w:val="0"/>
          <w:divBdr>
            <w:top w:val="none" w:sz="0" w:space="0" w:color="auto"/>
            <w:left w:val="none" w:sz="0" w:space="0" w:color="auto"/>
            <w:bottom w:val="none" w:sz="0" w:space="0" w:color="auto"/>
            <w:right w:val="none" w:sz="0" w:space="0" w:color="auto"/>
          </w:divBdr>
        </w:div>
      </w:divsChild>
    </w:div>
    <w:div w:id="1149008483">
      <w:bodyDiv w:val="1"/>
      <w:marLeft w:val="0"/>
      <w:marRight w:val="0"/>
      <w:marTop w:val="0"/>
      <w:marBottom w:val="0"/>
      <w:divBdr>
        <w:top w:val="none" w:sz="0" w:space="0" w:color="auto"/>
        <w:left w:val="none" w:sz="0" w:space="0" w:color="auto"/>
        <w:bottom w:val="none" w:sz="0" w:space="0" w:color="auto"/>
        <w:right w:val="none" w:sz="0" w:space="0" w:color="auto"/>
      </w:divBdr>
    </w:div>
    <w:div w:id="1361934274">
      <w:bodyDiv w:val="1"/>
      <w:marLeft w:val="0"/>
      <w:marRight w:val="0"/>
      <w:marTop w:val="0"/>
      <w:marBottom w:val="0"/>
      <w:divBdr>
        <w:top w:val="none" w:sz="0" w:space="0" w:color="auto"/>
        <w:left w:val="none" w:sz="0" w:space="0" w:color="auto"/>
        <w:bottom w:val="none" w:sz="0" w:space="0" w:color="auto"/>
        <w:right w:val="none" w:sz="0" w:space="0" w:color="auto"/>
      </w:divBdr>
      <w:divsChild>
        <w:div w:id="1057436090">
          <w:marLeft w:val="0"/>
          <w:marRight w:val="0"/>
          <w:marTop w:val="0"/>
          <w:marBottom w:val="0"/>
          <w:divBdr>
            <w:top w:val="none" w:sz="0" w:space="0" w:color="auto"/>
            <w:left w:val="none" w:sz="0" w:space="0" w:color="auto"/>
            <w:bottom w:val="none" w:sz="0" w:space="0" w:color="auto"/>
            <w:right w:val="none" w:sz="0" w:space="0" w:color="auto"/>
          </w:divBdr>
          <w:divsChild>
            <w:div w:id="1675495419">
              <w:marLeft w:val="0"/>
              <w:marRight w:val="0"/>
              <w:marTop w:val="0"/>
              <w:marBottom w:val="0"/>
              <w:divBdr>
                <w:top w:val="none" w:sz="0" w:space="0" w:color="auto"/>
                <w:left w:val="none" w:sz="0" w:space="0" w:color="auto"/>
                <w:bottom w:val="none" w:sz="0" w:space="0" w:color="auto"/>
                <w:right w:val="none" w:sz="0" w:space="0" w:color="auto"/>
              </w:divBdr>
              <w:divsChild>
                <w:div w:id="252906960">
                  <w:marLeft w:val="0"/>
                  <w:marRight w:val="0"/>
                  <w:marTop w:val="0"/>
                  <w:marBottom w:val="0"/>
                  <w:divBdr>
                    <w:top w:val="none" w:sz="0" w:space="0" w:color="auto"/>
                    <w:left w:val="none" w:sz="0" w:space="0" w:color="auto"/>
                    <w:bottom w:val="none" w:sz="0" w:space="0" w:color="auto"/>
                    <w:right w:val="none" w:sz="0" w:space="0" w:color="auto"/>
                  </w:divBdr>
                  <w:divsChild>
                    <w:div w:id="285619374">
                      <w:marLeft w:val="0"/>
                      <w:marRight w:val="0"/>
                      <w:marTop w:val="0"/>
                      <w:marBottom w:val="0"/>
                      <w:divBdr>
                        <w:top w:val="none" w:sz="0" w:space="0" w:color="auto"/>
                        <w:left w:val="none" w:sz="0" w:space="0" w:color="auto"/>
                        <w:bottom w:val="none" w:sz="0" w:space="0" w:color="auto"/>
                        <w:right w:val="none" w:sz="0" w:space="0" w:color="auto"/>
                      </w:divBdr>
                      <w:divsChild>
                        <w:div w:id="1134714727">
                          <w:marLeft w:val="0"/>
                          <w:marRight w:val="0"/>
                          <w:marTop w:val="0"/>
                          <w:marBottom w:val="0"/>
                          <w:divBdr>
                            <w:top w:val="none" w:sz="0" w:space="0" w:color="auto"/>
                            <w:left w:val="none" w:sz="0" w:space="0" w:color="auto"/>
                            <w:bottom w:val="none" w:sz="0" w:space="0" w:color="auto"/>
                            <w:right w:val="none" w:sz="0" w:space="0" w:color="auto"/>
                          </w:divBdr>
                          <w:divsChild>
                            <w:div w:id="499660832">
                              <w:marLeft w:val="0"/>
                              <w:marRight w:val="0"/>
                              <w:marTop w:val="0"/>
                              <w:marBottom w:val="0"/>
                              <w:divBdr>
                                <w:top w:val="none" w:sz="0" w:space="0" w:color="auto"/>
                                <w:left w:val="none" w:sz="0" w:space="0" w:color="auto"/>
                                <w:bottom w:val="none" w:sz="0" w:space="0" w:color="auto"/>
                                <w:right w:val="none" w:sz="0" w:space="0" w:color="auto"/>
                              </w:divBdr>
                              <w:divsChild>
                                <w:div w:id="1067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3CF0-F351-4C58-9EC0-828DE7F2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6550</Words>
  <Characters>36027</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Leonardo Murillo Torres</dc:creator>
  <cp:keywords/>
  <dc:description/>
  <cp:lastModifiedBy>Fabiola Cañas Polo</cp:lastModifiedBy>
  <cp:revision>2</cp:revision>
  <cp:lastPrinted>2016-11-04T14:53:00Z</cp:lastPrinted>
  <dcterms:created xsi:type="dcterms:W3CDTF">2017-03-07T20:26:00Z</dcterms:created>
  <dcterms:modified xsi:type="dcterms:W3CDTF">2017-03-07T20:26:00Z</dcterms:modified>
</cp:coreProperties>
</file>