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63" w:rsidRPr="00E95861" w:rsidRDefault="00C65F63" w:rsidP="0089774B">
      <w:pPr>
        <w:spacing w:after="0" w:line="360" w:lineRule="auto"/>
        <w:jc w:val="center"/>
        <w:rPr>
          <w:rFonts w:ascii="Gill Sans MT" w:hAnsi="Gill Sans MT" w:cs="Tahoma"/>
          <w:b/>
          <w:smallCaps/>
          <w:sz w:val="24"/>
          <w:szCs w:val="24"/>
        </w:rPr>
      </w:pPr>
      <w:r w:rsidRPr="00E95861">
        <w:rPr>
          <w:rFonts w:ascii="Gill Sans MT" w:hAnsi="Gill Sans MT" w:cs="Tahoma"/>
          <w:b/>
          <w:smallCaps/>
          <w:sz w:val="24"/>
          <w:szCs w:val="24"/>
        </w:rPr>
        <w:t>Tribunal Superior del Distrito Judicial de Bogotá</w:t>
      </w:r>
    </w:p>
    <w:p w:rsidR="00C65F63" w:rsidRPr="00E95861" w:rsidRDefault="00C65F63" w:rsidP="0089774B">
      <w:pPr>
        <w:tabs>
          <w:tab w:val="left" w:pos="0"/>
        </w:tabs>
        <w:spacing w:after="0" w:line="360" w:lineRule="auto"/>
        <w:jc w:val="center"/>
        <w:rPr>
          <w:rFonts w:ascii="Gill Sans MT" w:hAnsi="Gill Sans MT" w:cs="Tahoma"/>
          <w:b/>
          <w:smallCaps/>
          <w:sz w:val="24"/>
          <w:szCs w:val="24"/>
        </w:rPr>
      </w:pPr>
      <w:r w:rsidRPr="00E95861">
        <w:rPr>
          <w:rFonts w:ascii="Gill Sans MT" w:hAnsi="Gill Sans MT" w:cs="Tahoma"/>
          <w:b/>
          <w:smallCaps/>
          <w:sz w:val="24"/>
          <w:szCs w:val="24"/>
        </w:rPr>
        <w:t>Sala de Justicia y Paz</w:t>
      </w:r>
    </w:p>
    <w:p w:rsidR="00B74394" w:rsidRPr="00E95861" w:rsidRDefault="00B74394" w:rsidP="0089774B">
      <w:pPr>
        <w:spacing w:after="0" w:line="360" w:lineRule="auto"/>
        <w:jc w:val="center"/>
        <w:rPr>
          <w:rFonts w:ascii="Gill Sans MT" w:hAnsi="Gill Sans MT" w:cs="Tahoma"/>
          <w:b/>
          <w:sz w:val="24"/>
          <w:szCs w:val="24"/>
        </w:rPr>
      </w:pPr>
    </w:p>
    <w:p w:rsidR="00C65F63" w:rsidRPr="00E95861" w:rsidRDefault="00C65F63" w:rsidP="0089774B">
      <w:pPr>
        <w:spacing w:after="0" w:line="360" w:lineRule="auto"/>
        <w:jc w:val="center"/>
        <w:rPr>
          <w:rFonts w:ascii="Gill Sans MT" w:hAnsi="Gill Sans MT" w:cs="Tahoma"/>
          <w:b/>
          <w:sz w:val="24"/>
          <w:szCs w:val="24"/>
        </w:rPr>
      </w:pPr>
      <w:r w:rsidRPr="00E95861">
        <w:rPr>
          <w:rFonts w:ascii="Gill Sans MT" w:hAnsi="Gill Sans MT" w:cs="Tahoma"/>
          <w:b/>
          <w:sz w:val="24"/>
          <w:szCs w:val="24"/>
        </w:rPr>
        <w:t>Magistrado ponente</w:t>
      </w:r>
    </w:p>
    <w:p w:rsidR="00C65F63" w:rsidRPr="00E95861" w:rsidRDefault="00701DAE" w:rsidP="0089774B">
      <w:pPr>
        <w:spacing w:after="0" w:line="360" w:lineRule="auto"/>
        <w:jc w:val="center"/>
        <w:rPr>
          <w:rFonts w:ascii="Gill Sans MT" w:hAnsi="Gill Sans MT" w:cs="Tahoma"/>
          <w:b/>
          <w:sz w:val="24"/>
          <w:szCs w:val="24"/>
        </w:rPr>
      </w:pPr>
      <w:r w:rsidRPr="00E95861">
        <w:rPr>
          <w:rFonts w:ascii="Gill Sans MT" w:hAnsi="Gill Sans MT" w:cs="Tahoma"/>
          <w:b/>
          <w:sz w:val="24"/>
          <w:szCs w:val="24"/>
        </w:rPr>
        <w:t>EDUARDO CASTELLANOS ROSO</w:t>
      </w:r>
    </w:p>
    <w:p w:rsidR="00E95861" w:rsidRDefault="00E95861" w:rsidP="0089774B">
      <w:pPr>
        <w:spacing w:after="0" w:line="360" w:lineRule="auto"/>
        <w:ind w:firstLine="708"/>
        <w:jc w:val="both"/>
        <w:rPr>
          <w:rFonts w:ascii="Gill Sans MT" w:hAnsi="Gill Sans MT" w:cs="Tahoma"/>
          <w:sz w:val="24"/>
          <w:szCs w:val="24"/>
        </w:rPr>
      </w:pPr>
    </w:p>
    <w:p w:rsidR="00C65F63" w:rsidRPr="00E95861" w:rsidRDefault="00C65F63" w:rsidP="0089774B">
      <w:pPr>
        <w:spacing w:after="0" w:line="360" w:lineRule="auto"/>
        <w:ind w:firstLine="708"/>
        <w:jc w:val="both"/>
        <w:rPr>
          <w:rFonts w:ascii="Gill Sans MT" w:hAnsi="Gill Sans MT" w:cs="Tahoma"/>
          <w:sz w:val="24"/>
          <w:szCs w:val="24"/>
        </w:rPr>
      </w:pPr>
      <w:r w:rsidRPr="00E95861">
        <w:rPr>
          <w:rFonts w:ascii="Gill Sans MT" w:hAnsi="Gill Sans MT" w:cs="Tahoma"/>
          <w:sz w:val="24"/>
          <w:szCs w:val="24"/>
        </w:rPr>
        <w:t xml:space="preserve">Bogotá D.C., </w:t>
      </w:r>
      <w:r w:rsidR="006F362B">
        <w:rPr>
          <w:rFonts w:ascii="Gill Sans MT" w:hAnsi="Gill Sans MT" w:cs="Tahoma"/>
          <w:sz w:val="24"/>
          <w:szCs w:val="24"/>
        </w:rPr>
        <w:t>veinte (20) de</w:t>
      </w:r>
      <w:r w:rsidR="00300975">
        <w:rPr>
          <w:rFonts w:ascii="Gill Sans MT" w:hAnsi="Gill Sans MT" w:cs="Tahoma"/>
          <w:sz w:val="24"/>
          <w:szCs w:val="24"/>
        </w:rPr>
        <w:t xml:space="preserve"> septiembre</w:t>
      </w:r>
      <w:r w:rsidR="00C47062">
        <w:rPr>
          <w:rFonts w:ascii="Gill Sans MT" w:hAnsi="Gill Sans MT" w:cs="Tahoma"/>
          <w:sz w:val="24"/>
          <w:szCs w:val="24"/>
        </w:rPr>
        <w:t xml:space="preserve"> </w:t>
      </w:r>
      <w:r w:rsidR="00A00706" w:rsidRPr="00E95861">
        <w:rPr>
          <w:rFonts w:ascii="Gill Sans MT" w:hAnsi="Gill Sans MT" w:cs="Tahoma"/>
          <w:sz w:val="24"/>
          <w:szCs w:val="24"/>
        </w:rPr>
        <w:t xml:space="preserve">de </w:t>
      </w:r>
      <w:r w:rsidR="00806F54" w:rsidRPr="00E95861">
        <w:rPr>
          <w:rFonts w:ascii="Gill Sans MT" w:hAnsi="Gill Sans MT" w:cs="Tahoma"/>
          <w:sz w:val="24"/>
          <w:szCs w:val="24"/>
        </w:rPr>
        <w:t>mil diecisiete (</w:t>
      </w:r>
      <w:r w:rsidRPr="00E95861">
        <w:rPr>
          <w:rFonts w:ascii="Gill Sans MT" w:hAnsi="Gill Sans MT" w:cs="Tahoma"/>
          <w:sz w:val="24"/>
          <w:szCs w:val="24"/>
        </w:rPr>
        <w:t>2017</w:t>
      </w:r>
      <w:r w:rsidR="00806F54" w:rsidRPr="00E95861">
        <w:rPr>
          <w:rFonts w:ascii="Gill Sans MT" w:hAnsi="Gill Sans MT" w:cs="Tahoma"/>
          <w:sz w:val="24"/>
          <w:szCs w:val="24"/>
        </w:rPr>
        <w:t>)</w:t>
      </w:r>
    </w:p>
    <w:p w:rsidR="009F7E83" w:rsidRPr="00E95861" w:rsidRDefault="009F7E83" w:rsidP="0089774B">
      <w:pPr>
        <w:spacing w:after="0" w:line="360" w:lineRule="auto"/>
        <w:jc w:val="center"/>
        <w:rPr>
          <w:rFonts w:ascii="Gill Sans MT" w:hAnsi="Gill Sans MT" w:cs="Tahoma"/>
          <w:sz w:val="24"/>
          <w:szCs w:val="24"/>
        </w:rPr>
      </w:pPr>
    </w:p>
    <w:p w:rsidR="00C65F63" w:rsidRPr="00E95861" w:rsidRDefault="00C65F63" w:rsidP="0089774B">
      <w:pPr>
        <w:spacing w:after="0" w:line="360" w:lineRule="auto"/>
        <w:jc w:val="center"/>
        <w:rPr>
          <w:rFonts w:ascii="Gill Sans MT" w:hAnsi="Gill Sans MT" w:cs="Tahoma"/>
          <w:b/>
          <w:sz w:val="24"/>
          <w:szCs w:val="24"/>
        </w:rPr>
      </w:pPr>
      <w:r w:rsidRPr="00E95861">
        <w:rPr>
          <w:rFonts w:ascii="Gill Sans MT" w:hAnsi="Gill Sans MT" w:cs="Tahoma"/>
          <w:b/>
          <w:sz w:val="24"/>
          <w:szCs w:val="24"/>
        </w:rPr>
        <w:t>ASUNTO</w:t>
      </w:r>
    </w:p>
    <w:p w:rsidR="008D3283" w:rsidRPr="00E95861" w:rsidRDefault="008D3283" w:rsidP="0089774B">
      <w:pPr>
        <w:spacing w:after="0" w:line="360" w:lineRule="auto"/>
        <w:jc w:val="center"/>
        <w:rPr>
          <w:rFonts w:ascii="Gill Sans MT" w:hAnsi="Gill Sans MT" w:cs="Tahoma"/>
          <w:b/>
          <w:sz w:val="24"/>
          <w:szCs w:val="24"/>
        </w:rPr>
      </w:pPr>
    </w:p>
    <w:p w:rsidR="00C65F63" w:rsidRPr="002801F0" w:rsidRDefault="00C65F63" w:rsidP="0089774B">
      <w:pPr>
        <w:pStyle w:val="Sinespaciado"/>
        <w:spacing w:line="360" w:lineRule="auto"/>
        <w:rPr>
          <w:rFonts w:ascii="Gill Sans MT" w:hAnsi="Gill Sans MT" w:cs="Tahoma"/>
          <w:b/>
          <w:color w:val="000000" w:themeColor="text1"/>
          <w:sz w:val="24"/>
          <w:szCs w:val="24"/>
        </w:rPr>
      </w:pPr>
      <w:r w:rsidRPr="00E95861">
        <w:rPr>
          <w:rFonts w:ascii="Gill Sans MT" w:hAnsi="Gill Sans MT" w:cs="Tahoma"/>
          <w:sz w:val="24"/>
          <w:szCs w:val="24"/>
        </w:rPr>
        <w:t xml:space="preserve">Resuelve la Sala la solicitud de </w:t>
      </w:r>
      <w:r w:rsidR="00183E6A" w:rsidRPr="00E95861">
        <w:rPr>
          <w:rFonts w:ascii="Gill Sans MT" w:hAnsi="Gill Sans MT" w:cs="Tahoma"/>
          <w:sz w:val="24"/>
          <w:szCs w:val="24"/>
        </w:rPr>
        <w:t>libertad condicionada presentada por</w:t>
      </w:r>
      <w:r w:rsidR="007D65A2" w:rsidRPr="00E95861">
        <w:rPr>
          <w:rFonts w:ascii="Gill Sans MT" w:hAnsi="Gill Sans MT" w:cs="Tahoma"/>
          <w:sz w:val="24"/>
          <w:szCs w:val="24"/>
        </w:rPr>
        <w:t xml:space="preserve"> los postulados </w:t>
      </w:r>
      <w:r w:rsidR="002801F0" w:rsidRPr="0037532E">
        <w:rPr>
          <w:rFonts w:ascii="Gill Sans MT" w:hAnsi="Gill Sans MT" w:cs="Tahoma"/>
          <w:b/>
          <w:color w:val="000000" w:themeColor="text1"/>
          <w:sz w:val="24"/>
          <w:szCs w:val="24"/>
        </w:rPr>
        <w:t>FERNANDO SEGUNDO FLOREZ, GUSTAVO ESTEVEZ RODRIGUEZ, JOSÉ DEL CARMEN JAIME SOLANO, JOSÉ GILBERTO GARZÓN MASSON y JUAN RAMÓN FERNANDEZ LATORRE</w:t>
      </w:r>
      <w:r w:rsidR="006B3D6C" w:rsidRPr="00E95861">
        <w:rPr>
          <w:rFonts w:ascii="Gill Sans MT" w:hAnsi="Gill Sans MT" w:cs="Tahoma"/>
          <w:color w:val="000000" w:themeColor="text1"/>
          <w:sz w:val="24"/>
          <w:szCs w:val="24"/>
        </w:rPr>
        <w:t>, ex integrante</w:t>
      </w:r>
      <w:r w:rsidR="007D65A2" w:rsidRPr="00E95861">
        <w:rPr>
          <w:rFonts w:ascii="Gill Sans MT" w:hAnsi="Gill Sans MT" w:cs="Tahoma"/>
          <w:color w:val="000000" w:themeColor="text1"/>
          <w:sz w:val="24"/>
          <w:szCs w:val="24"/>
        </w:rPr>
        <w:t>s del Frente Fronteras, Bloque Catatumbo de las AUC</w:t>
      </w:r>
      <w:r w:rsidR="00183E6A" w:rsidRPr="00E95861">
        <w:rPr>
          <w:rFonts w:ascii="Gill Sans MT" w:hAnsi="Gill Sans MT" w:cs="Tahoma"/>
          <w:color w:val="000000" w:themeColor="text1"/>
          <w:sz w:val="24"/>
          <w:szCs w:val="24"/>
        </w:rPr>
        <w:t>, quien</w:t>
      </w:r>
      <w:r w:rsidR="007D65A2" w:rsidRPr="00E95861">
        <w:rPr>
          <w:rFonts w:ascii="Gill Sans MT" w:hAnsi="Gill Sans MT" w:cs="Tahoma"/>
          <w:color w:val="000000" w:themeColor="text1"/>
          <w:sz w:val="24"/>
          <w:szCs w:val="24"/>
        </w:rPr>
        <w:t xml:space="preserve">es </w:t>
      </w:r>
      <w:r w:rsidR="00183E6A" w:rsidRPr="00E95861">
        <w:rPr>
          <w:rFonts w:ascii="Gill Sans MT" w:hAnsi="Gill Sans MT" w:cs="Tahoma"/>
          <w:color w:val="000000" w:themeColor="text1"/>
          <w:sz w:val="24"/>
          <w:szCs w:val="24"/>
        </w:rPr>
        <w:t>pidi</w:t>
      </w:r>
      <w:r w:rsidR="007D65A2" w:rsidRPr="00E95861">
        <w:rPr>
          <w:rFonts w:ascii="Gill Sans MT" w:hAnsi="Gill Sans MT" w:cs="Tahoma"/>
          <w:color w:val="000000" w:themeColor="text1"/>
          <w:sz w:val="24"/>
          <w:szCs w:val="24"/>
        </w:rPr>
        <w:t xml:space="preserve">eron </w:t>
      </w:r>
      <w:r w:rsidR="00183E6A" w:rsidRPr="00E95861">
        <w:rPr>
          <w:rFonts w:ascii="Gill Sans MT" w:hAnsi="Gill Sans MT" w:cs="Tahoma"/>
          <w:color w:val="000000" w:themeColor="text1"/>
          <w:sz w:val="24"/>
          <w:szCs w:val="24"/>
        </w:rPr>
        <w:t xml:space="preserve">acogerse </w:t>
      </w:r>
      <w:r w:rsidRPr="00E95861">
        <w:rPr>
          <w:rFonts w:ascii="Gill Sans MT" w:hAnsi="Gill Sans MT" w:cs="Tahoma"/>
          <w:sz w:val="24"/>
          <w:szCs w:val="24"/>
        </w:rPr>
        <w:t xml:space="preserve">a los procedimientos especiales de justicia  establecidos en el artículo 35 de la </w:t>
      </w:r>
      <w:r w:rsidR="00FA052F">
        <w:rPr>
          <w:rFonts w:ascii="Gill Sans MT" w:hAnsi="Gill Sans MT" w:cs="Tahoma"/>
          <w:sz w:val="24"/>
          <w:szCs w:val="24"/>
        </w:rPr>
        <w:t xml:space="preserve">Ley </w:t>
      </w:r>
      <w:r w:rsidRPr="00E95861">
        <w:rPr>
          <w:rFonts w:ascii="Gill Sans MT" w:hAnsi="Gill Sans MT" w:cs="Tahoma"/>
          <w:sz w:val="24"/>
          <w:szCs w:val="24"/>
        </w:rPr>
        <w:t xml:space="preserve">1820 de 2016 y el artículo 11, Título III del Decreto reglamentario </w:t>
      </w:r>
      <w:r w:rsidR="00183E6A" w:rsidRPr="00E95861">
        <w:rPr>
          <w:rFonts w:ascii="Gill Sans MT" w:hAnsi="Gill Sans MT" w:cs="Tahoma"/>
          <w:sz w:val="24"/>
          <w:szCs w:val="24"/>
        </w:rPr>
        <w:t>277 del 2017.</w:t>
      </w:r>
    </w:p>
    <w:p w:rsidR="009F7E83" w:rsidRPr="00E95861" w:rsidRDefault="009F7E83" w:rsidP="0089774B">
      <w:pPr>
        <w:spacing w:after="0" w:line="360" w:lineRule="auto"/>
        <w:rPr>
          <w:rFonts w:ascii="Gill Sans MT" w:hAnsi="Gill Sans MT" w:cs="Tahoma"/>
          <w:b/>
          <w:sz w:val="24"/>
          <w:szCs w:val="24"/>
        </w:rPr>
      </w:pPr>
    </w:p>
    <w:p w:rsidR="00C20AB7" w:rsidRPr="00E95861" w:rsidRDefault="002B22F9" w:rsidP="0089774B">
      <w:pPr>
        <w:pStyle w:val="Prrafodelista"/>
        <w:spacing w:after="0" w:line="360" w:lineRule="auto"/>
        <w:ind w:left="360"/>
        <w:jc w:val="center"/>
        <w:rPr>
          <w:rFonts w:ascii="Gill Sans MT" w:hAnsi="Gill Sans MT" w:cs="Tahoma"/>
          <w:b/>
          <w:sz w:val="24"/>
          <w:szCs w:val="24"/>
        </w:rPr>
      </w:pPr>
      <w:r w:rsidRPr="0037532E">
        <w:rPr>
          <w:rFonts w:ascii="Gill Sans MT" w:hAnsi="Gill Sans MT" w:cs="Tahoma"/>
          <w:b/>
          <w:sz w:val="24"/>
          <w:szCs w:val="24"/>
        </w:rPr>
        <w:t xml:space="preserve">IDENTIDAD DE LOS </w:t>
      </w:r>
      <w:r w:rsidR="00C65F63" w:rsidRPr="0037532E">
        <w:rPr>
          <w:rFonts w:ascii="Gill Sans MT" w:hAnsi="Gill Sans MT" w:cs="Tahoma"/>
          <w:b/>
          <w:sz w:val="24"/>
          <w:szCs w:val="24"/>
        </w:rPr>
        <w:t>POSTULADO</w:t>
      </w:r>
      <w:r w:rsidRPr="0037532E">
        <w:rPr>
          <w:rFonts w:ascii="Gill Sans MT" w:hAnsi="Gill Sans MT" w:cs="Tahoma"/>
          <w:b/>
          <w:sz w:val="24"/>
          <w:szCs w:val="24"/>
        </w:rPr>
        <w:t>S</w:t>
      </w:r>
    </w:p>
    <w:p w:rsidR="008F3BC0" w:rsidRPr="00E95861" w:rsidRDefault="008F3BC0" w:rsidP="0089774B">
      <w:pPr>
        <w:pStyle w:val="Prrafodelista"/>
        <w:spacing w:after="0" w:line="360" w:lineRule="auto"/>
        <w:ind w:left="360"/>
        <w:jc w:val="both"/>
        <w:rPr>
          <w:rFonts w:ascii="Gill Sans MT" w:hAnsi="Gill Sans MT" w:cs="Tahoma"/>
          <w:b/>
          <w:color w:val="000000" w:themeColor="text1"/>
          <w:sz w:val="24"/>
          <w:szCs w:val="24"/>
        </w:rPr>
      </w:pPr>
    </w:p>
    <w:p w:rsidR="00582296" w:rsidRDefault="00582296" w:rsidP="0089774B">
      <w:pPr>
        <w:pStyle w:val="Prrafodelista"/>
        <w:spacing w:after="0" w:line="360" w:lineRule="auto"/>
        <w:ind w:left="0"/>
        <w:jc w:val="both"/>
        <w:rPr>
          <w:rFonts w:ascii="Gill Sans MT" w:hAnsi="Gill Sans MT" w:cs="Tahoma"/>
          <w:sz w:val="24"/>
          <w:szCs w:val="24"/>
        </w:rPr>
      </w:pPr>
      <w:r>
        <w:rPr>
          <w:rFonts w:ascii="Gill Sans MT" w:hAnsi="Gill Sans MT" w:cs="Tahoma"/>
          <w:b/>
          <w:color w:val="000000" w:themeColor="text1"/>
          <w:sz w:val="24"/>
          <w:szCs w:val="24"/>
        </w:rPr>
        <w:t>FERNANDO SEGUNDO FLOREZ,</w:t>
      </w:r>
      <w:r w:rsidR="00F00CA2">
        <w:rPr>
          <w:rFonts w:ascii="Gill Sans MT" w:hAnsi="Gill Sans MT" w:cs="Tahoma"/>
          <w:b/>
          <w:color w:val="000000" w:themeColor="text1"/>
          <w:sz w:val="24"/>
          <w:szCs w:val="24"/>
        </w:rPr>
        <w:t xml:space="preserve"> </w:t>
      </w:r>
      <w:r w:rsidR="00F00CA2">
        <w:rPr>
          <w:rFonts w:ascii="Gill Sans MT" w:hAnsi="Gill Sans MT" w:cs="Tahoma"/>
          <w:color w:val="000000" w:themeColor="text1"/>
          <w:sz w:val="24"/>
          <w:szCs w:val="24"/>
        </w:rPr>
        <w:t xml:space="preserve">conocido con el </w:t>
      </w:r>
      <w:r w:rsidR="007D7AE3">
        <w:rPr>
          <w:rFonts w:ascii="Gill Sans MT" w:hAnsi="Gill Sans MT" w:cs="Tahoma"/>
          <w:color w:val="000000" w:themeColor="text1"/>
          <w:sz w:val="24"/>
          <w:szCs w:val="24"/>
        </w:rPr>
        <w:t>alias</w:t>
      </w:r>
      <w:r w:rsidR="00F00CA2">
        <w:rPr>
          <w:rFonts w:ascii="Gill Sans MT" w:hAnsi="Gill Sans MT" w:cs="Tahoma"/>
          <w:color w:val="000000" w:themeColor="text1"/>
          <w:sz w:val="24"/>
          <w:szCs w:val="24"/>
        </w:rPr>
        <w:t xml:space="preserve"> de “Jhon care perro”, se </w:t>
      </w:r>
      <w:r w:rsidR="008F3BC0" w:rsidRPr="00E95861">
        <w:rPr>
          <w:rFonts w:ascii="Gill Sans MT" w:hAnsi="Gill Sans MT" w:cs="Tahoma"/>
          <w:color w:val="000000" w:themeColor="text1"/>
          <w:sz w:val="24"/>
          <w:szCs w:val="24"/>
        </w:rPr>
        <w:t xml:space="preserve">identifica </w:t>
      </w:r>
      <w:r w:rsidR="008F3BC0" w:rsidRPr="00E95861">
        <w:rPr>
          <w:rFonts w:ascii="Gill Sans MT" w:hAnsi="Gill Sans MT" w:cs="Tahoma"/>
          <w:sz w:val="24"/>
          <w:szCs w:val="24"/>
        </w:rPr>
        <w:t xml:space="preserve">con la cédula de ciudadanía número </w:t>
      </w:r>
      <w:r>
        <w:rPr>
          <w:rFonts w:ascii="Gill Sans MT" w:hAnsi="Gill Sans MT" w:cs="Tahoma"/>
          <w:sz w:val="24"/>
          <w:szCs w:val="24"/>
        </w:rPr>
        <w:t>78.746.097 de Montería (Córdoba)</w:t>
      </w:r>
      <w:r w:rsidR="008F3BC0" w:rsidRPr="00E95861">
        <w:rPr>
          <w:rFonts w:ascii="Gill Sans MT" w:hAnsi="Gill Sans MT" w:cs="Tahoma"/>
          <w:sz w:val="24"/>
          <w:szCs w:val="24"/>
        </w:rPr>
        <w:t>, na</w:t>
      </w:r>
      <w:r>
        <w:rPr>
          <w:rFonts w:ascii="Gill Sans MT" w:hAnsi="Gill Sans MT" w:cs="Tahoma"/>
          <w:sz w:val="24"/>
          <w:szCs w:val="24"/>
        </w:rPr>
        <w:t xml:space="preserve">ció en este mismo municipio el 24 de noviembre de 1974. </w:t>
      </w:r>
      <w:r w:rsidR="00BB0324">
        <w:rPr>
          <w:rFonts w:ascii="Gill Sans MT" w:hAnsi="Gill Sans MT" w:cs="Tahoma"/>
          <w:sz w:val="24"/>
          <w:szCs w:val="24"/>
        </w:rPr>
        <w:t>Ingresó a las AUC en el año 1999 fue capturado el 1º de noviembre de 2003 y postulado</w:t>
      </w:r>
      <w:r w:rsidR="00F00CA2">
        <w:rPr>
          <w:rFonts w:ascii="Gill Sans MT" w:hAnsi="Gill Sans MT" w:cs="Tahoma"/>
          <w:sz w:val="24"/>
          <w:szCs w:val="24"/>
        </w:rPr>
        <w:t xml:space="preserve"> al proceso de Justicia y Paz </w:t>
      </w:r>
      <w:r w:rsidR="00BB0324">
        <w:rPr>
          <w:rFonts w:ascii="Gill Sans MT" w:hAnsi="Gill Sans MT" w:cs="Tahoma"/>
          <w:sz w:val="24"/>
          <w:szCs w:val="24"/>
        </w:rPr>
        <w:t>el 4 agost</w:t>
      </w:r>
      <w:r w:rsidR="00F00CA2">
        <w:rPr>
          <w:rFonts w:ascii="Gill Sans MT" w:hAnsi="Gill Sans MT" w:cs="Tahoma"/>
          <w:sz w:val="24"/>
          <w:szCs w:val="24"/>
        </w:rPr>
        <w:t>o de 2010.</w:t>
      </w:r>
      <w:r w:rsidR="00BB0324">
        <w:rPr>
          <w:rFonts w:ascii="Gill Sans MT" w:hAnsi="Gill Sans MT" w:cs="Tahoma"/>
          <w:sz w:val="24"/>
          <w:szCs w:val="24"/>
        </w:rPr>
        <w:t xml:space="preserve"> </w:t>
      </w:r>
    </w:p>
    <w:p w:rsidR="00BB0324" w:rsidRDefault="00BB0324" w:rsidP="0089774B">
      <w:pPr>
        <w:pStyle w:val="Prrafodelista"/>
        <w:spacing w:after="0" w:line="360" w:lineRule="auto"/>
        <w:ind w:left="0"/>
        <w:jc w:val="both"/>
        <w:rPr>
          <w:rFonts w:ascii="Gill Sans MT" w:hAnsi="Gill Sans MT" w:cs="Tahoma"/>
          <w:sz w:val="24"/>
          <w:szCs w:val="24"/>
        </w:rPr>
      </w:pPr>
      <w:r>
        <w:rPr>
          <w:rFonts w:ascii="Gill Sans MT" w:hAnsi="Gill Sans MT" w:cs="Tahoma"/>
          <w:sz w:val="24"/>
          <w:szCs w:val="24"/>
        </w:rPr>
        <w:t xml:space="preserve"> </w:t>
      </w:r>
    </w:p>
    <w:p w:rsidR="008F3BC0" w:rsidRDefault="00BB0324" w:rsidP="0089774B">
      <w:pPr>
        <w:pStyle w:val="Prrafodelista"/>
        <w:spacing w:after="0" w:line="360" w:lineRule="auto"/>
        <w:ind w:left="0"/>
        <w:jc w:val="both"/>
        <w:rPr>
          <w:rFonts w:ascii="Gill Sans MT" w:hAnsi="Gill Sans MT" w:cs="Tahoma"/>
          <w:sz w:val="24"/>
          <w:szCs w:val="24"/>
        </w:rPr>
      </w:pPr>
      <w:r>
        <w:rPr>
          <w:rFonts w:ascii="Gill Sans MT" w:hAnsi="Gill Sans MT" w:cs="Tahoma"/>
          <w:b/>
          <w:color w:val="000000" w:themeColor="text1"/>
          <w:sz w:val="24"/>
          <w:szCs w:val="24"/>
        </w:rPr>
        <w:t>JUAN RAMÓN FERNANDEZ LATORRE</w:t>
      </w:r>
      <w:r w:rsidR="007D7AE3">
        <w:rPr>
          <w:rFonts w:ascii="Gill Sans MT" w:hAnsi="Gill Sans MT" w:cs="Tahoma"/>
          <w:sz w:val="24"/>
          <w:szCs w:val="24"/>
        </w:rPr>
        <w:t xml:space="preserve">, conocido con el alias de “Juan Carlos Onoche”, identificado con la cédula de ciudadanía número </w:t>
      </w:r>
      <w:r>
        <w:rPr>
          <w:rFonts w:ascii="Gill Sans MT" w:hAnsi="Gill Sans MT" w:cs="Tahoma"/>
          <w:sz w:val="24"/>
          <w:szCs w:val="24"/>
        </w:rPr>
        <w:t xml:space="preserve"> 88.238.629 </w:t>
      </w:r>
      <w:r w:rsidR="007D7AE3">
        <w:rPr>
          <w:rFonts w:ascii="Gill Sans MT" w:hAnsi="Gill Sans MT" w:cs="Tahoma"/>
          <w:sz w:val="24"/>
          <w:szCs w:val="24"/>
        </w:rPr>
        <w:t xml:space="preserve">de Cúcuta (Norte de Santander), </w:t>
      </w:r>
      <w:r>
        <w:rPr>
          <w:rFonts w:ascii="Gill Sans MT" w:hAnsi="Gill Sans MT" w:cs="Tahoma"/>
          <w:sz w:val="24"/>
          <w:szCs w:val="24"/>
        </w:rPr>
        <w:t xml:space="preserve">ingreso </w:t>
      </w:r>
      <w:r w:rsidR="007D7AE3">
        <w:rPr>
          <w:rFonts w:ascii="Gill Sans MT" w:hAnsi="Gill Sans MT" w:cs="Tahoma"/>
          <w:sz w:val="24"/>
          <w:szCs w:val="24"/>
        </w:rPr>
        <w:t xml:space="preserve">a  las AUC </w:t>
      </w:r>
      <w:r>
        <w:rPr>
          <w:rFonts w:ascii="Gill Sans MT" w:hAnsi="Gill Sans MT" w:cs="Tahoma"/>
          <w:sz w:val="24"/>
          <w:szCs w:val="24"/>
        </w:rPr>
        <w:t xml:space="preserve">en </w:t>
      </w:r>
      <w:r w:rsidR="007D7AE3">
        <w:rPr>
          <w:rFonts w:ascii="Gill Sans MT" w:hAnsi="Gill Sans MT" w:cs="Tahoma"/>
          <w:sz w:val="24"/>
          <w:szCs w:val="24"/>
        </w:rPr>
        <w:t xml:space="preserve">el mes de </w:t>
      </w:r>
      <w:r>
        <w:rPr>
          <w:rFonts w:ascii="Gill Sans MT" w:hAnsi="Gill Sans MT" w:cs="Tahoma"/>
          <w:sz w:val="24"/>
          <w:szCs w:val="24"/>
        </w:rPr>
        <w:t xml:space="preserve">noviembre de 2001,  fue capturado el 7 de octubre de 2002 y </w:t>
      </w:r>
      <w:r w:rsidR="007D7AE3">
        <w:rPr>
          <w:rFonts w:ascii="Gill Sans MT" w:hAnsi="Gill Sans MT" w:cs="Tahoma"/>
          <w:sz w:val="24"/>
          <w:szCs w:val="24"/>
        </w:rPr>
        <w:t xml:space="preserve">se encuentra postulado al proceso de Justicia y Paz desde el </w:t>
      </w:r>
      <w:r>
        <w:rPr>
          <w:rFonts w:ascii="Gill Sans MT" w:hAnsi="Gill Sans MT" w:cs="Tahoma"/>
          <w:sz w:val="24"/>
          <w:szCs w:val="24"/>
        </w:rPr>
        <w:t xml:space="preserve"> 9 de</w:t>
      </w:r>
      <w:r w:rsidR="007D7AE3">
        <w:rPr>
          <w:rFonts w:ascii="Gill Sans MT" w:hAnsi="Gill Sans MT" w:cs="Tahoma"/>
          <w:sz w:val="24"/>
          <w:szCs w:val="24"/>
        </w:rPr>
        <w:t xml:space="preserve"> octubre de 2010. </w:t>
      </w:r>
    </w:p>
    <w:p w:rsidR="00BB0324" w:rsidRDefault="00BB0324" w:rsidP="0089774B">
      <w:pPr>
        <w:pStyle w:val="Prrafodelista"/>
        <w:spacing w:after="0" w:line="360" w:lineRule="auto"/>
        <w:ind w:left="0"/>
        <w:jc w:val="both"/>
        <w:rPr>
          <w:rFonts w:ascii="Gill Sans MT" w:hAnsi="Gill Sans MT" w:cs="Tahoma"/>
          <w:sz w:val="24"/>
          <w:szCs w:val="24"/>
        </w:rPr>
      </w:pPr>
    </w:p>
    <w:p w:rsidR="00E354DC" w:rsidRDefault="00E354DC" w:rsidP="0089774B">
      <w:pPr>
        <w:pStyle w:val="Prrafodelista"/>
        <w:spacing w:after="0" w:line="360" w:lineRule="auto"/>
        <w:ind w:left="0"/>
        <w:jc w:val="both"/>
        <w:rPr>
          <w:rFonts w:ascii="Gill Sans MT" w:hAnsi="Gill Sans MT" w:cs="Tahoma"/>
          <w:sz w:val="24"/>
          <w:szCs w:val="24"/>
        </w:rPr>
      </w:pPr>
      <w:r w:rsidRPr="00E354DC">
        <w:rPr>
          <w:rFonts w:ascii="Gill Sans MT" w:hAnsi="Gill Sans MT" w:cs="Tahoma"/>
          <w:b/>
          <w:color w:val="000000" w:themeColor="text1"/>
          <w:sz w:val="24"/>
          <w:szCs w:val="24"/>
        </w:rPr>
        <w:lastRenderedPageBreak/>
        <w:t>GUSTAVO ESTEVEZ RODRIGUEZ</w:t>
      </w:r>
      <w:r w:rsidRPr="00E354DC">
        <w:rPr>
          <w:rFonts w:ascii="Gill Sans MT" w:hAnsi="Gill Sans MT" w:cs="Tahoma"/>
          <w:sz w:val="24"/>
          <w:szCs w:val="24"/>
        </w:rPr>
        <w:t xml:space="preserve">, </w:t>
      </w:r>
      <w:r w:rsidR="005A3DBD">
        <w:rPr>
          <w:rFonts w:ascii="Gill Sans MT" w:hAnsi="Gill Sans MT" w:cs="Tahoma"/>
          <w:sz w:val="24"/>
          <w:szCs w:val="24"/>
        </w:rPr>
        <w:t>conocido con el a</w:t>
      </w:r>
      <w:r w:rsidRPr="00E354DC">
        <w:rPr>
          <w:rFonts w:ascii="Gill Sans MT" w:hAnsi="Gill Sans MT" w:cs="Tahoma"/>
          <w:sz w:val="24"/>
          <w:szCs w:val="24"/>
        </w:rPr>
        <w:t xml:space="preserve">lias </w:t>
      </w:r>
      <w:r w:rsidR="005A3DBD">
        <w:rPr>
          <w:rFonts w:ascii="Gill Sans MT" w:hAnsi="Gill Sans MT" w:cs="Tahoma"/>
          <w:sz w:val="24"/>
          <w:szCs w:val="24"/>
        </w:rPr>
        <w:t>de “</w:t>
      </w:r>
      <w:r>
        <w:rPr>
          <w:rFonts w:ascii="Gill Sans MT" w:hAnsi="Gill Sans MT" w:cs="Tahoma"/>
          <w:sz w:val="24"/>
          <w:szCs w:val="24"/>
        </w:rPr>
        <w:t>zapato fino</w:t>
      </w:r>
      <w:r w:rsidR="005A3DBD">
        <w:rPr>
          <w:rFonts w:ascii="Gill Sans MT" w:hAnsi="Gill Sans MT" w:cs="Tahoma"/>
          <w:sz w:val="24"/>
          <w:szCs w:val="24"/>
        </w:rPr>
        <w:t>”</w:t>
      </w:r>
      <w:r>
        <w:rPr>
          <w:rFonts w:ascii="Gill Sans MT" w:hAnsi="Gill Sans MT" w:cs="Tahoma"/>
          <w:sz w:val="24"/>
          <w:szCs w:val="24"/>
        </w:rPr>
        <w:t xml:space="preserve">, </w:t>
      </w:r>
      <w:r w:rsidR="005A3DBD">
        <w:rPr>
          <w:rFonts w:ascii="Gill Sans MT" w:hAnsi="Gill Sans MT" w:cs="Tahoma"/>
          <w:sz w:val="24"/>
          <w:szCs w:val="24"/>
        </w:rPr>
        <w:t xml:space="preserve">se identifica con la </w:t>
      </w:r>
      <w:r>
        <w:rPr>
          <w:rFonts w:ascii="Gill Sans MT" w:hAnsi="Gill Sans MT" w:cs="Tahoma"/>
          <w:sz w:val="24"/>
          <w:szCs w:val="24"/>
        </w:rPr>
        <w:t>c</w:t>
      </w:r>
      <w:r w:rsidR="005A3DBD">
        <w:rPr>
          <w:rFonts w:ascii="Gill Sans MT" w:hAnsi="Gill Sans MT" w:cs="Tahoma"/>
          <w:sz w:val="24"/>
          <w:szCs w:val="24"/>
        </w:rPr>
        <w:t xml:space="preserve">édula de </w:t>
      </w:r>
      <w:r w:rsidR="005A3DBD" w:rsidRPr="000606F4">
        <w:rPr>
          <w:rFonts w:ascii="Gill Sans MT" w:hAnsi="Gill Sans MT" w:cs="Tahoma"/>
          <w:sz w:val="24"/>
          <w:szCs w:val="24"/>
        </w:rPr>
        <w:t xml:space="preserve">ciudadanía número </w:t>
      </w:r>
      <w:r w:rsidRPr="000606F4">
        <w:rPr>
          <w:rFonts w:ascii="Gill Sans MT" w:hAnsi="Gill Sans MT" w:cs="Tahoma"/>
          <w:sz w:val="24"/>
          <w:szCs w:val="24"/>
        </w:rPr>
        <w:t>84.072.372</w:t>
      </w:r>
      <w:r w:rsidR="000606F4" w:rsidRPr="000606F4">
        <w:rPr>
          <w:rFonts w:ascii="Gill Sans MT" w:hAnsi="Gill Sans MT" w:cs="Tahoma"/>
          <w:sz w:val="24"/>
          <w:szCs w:val="24"/>
        </w:rPr>
        <w:t xml:space="preserve"> de Maicao (La Guajira), </w:t>
      </w:r>
      <w:r w:rsidRPr="000606F4">
        <w:rPr>
          <w:rFonts w:ascii="Gill Sans MT" w:hAnsi="Gill Sans MT" w:cs="Tahoma"/>
          <w:sz w:val="24"/>
          <w:szCs w:val="24"/>
        </w:rPr>
        <w:t xml:space="preserve"> ingresó</w:t>
      </w:r>
      <w:r w:rsidR="000606F4" w:rsidRPr="000606F4">
        <w:rPr>
          <w:rFonts w:ascii="Gill Sans MT" w:hAnsi="Gill Sans MT" w:cs="Tahoma"/>
          <w:sz w:val="24"/>
          <w:szCs w:val="24"/>
        </w:rPr>
        <w:t xml:space="preserve"> al grupo armado ilegal el </w:t>
      </w:r>
      <w:r w:rsidRPr="000606F4">
        <w:rPr>
          <w:rFonts w:ascii="Gill Sans MT" w:hAnsi="Gill Sans MT" w:cs="Tahoma"/>
          <w:sz w:val="24"/>
          <w:szCs w:val="24"/>
        </w:rPr>
        <w:t>31 de agosto de 20</w:t>
      </w:r>
      <w:r w:rsidR="000606F4" w:rsidRPr="000606F4">
        <w:rPr>
          <w:rFonts w:ascii="Gill Sans MT" w:hAnsi="Gill Sans MT" w:cs="Tahoma"/>
          <w:sz w:val="24"/>
          <w:szCs w:val="24"/>
        </w:rPr>
        <w:t>0</w:t>
      </w:r>
      <w:r w:rsidRPr="000606F4">
        <w:rPr>
          <w:rFonts w:ascii="Gill Sans MT" w:hAnsi="Gill Sans MT" w:cs="Tahoma"/>
          <w:sz w:val="24"/>
          <w:szCs w:val="24"/>
        </w:rPr>
        <w:t>1,</w:t>
      </w:r>
      <w:r w:rsidR="00795F9A">
        <w:rPr>
          <w:rFonts w:ascii="Gill Sans MT" w:hAnsi="Gill Sans MT" w:cs="Tahoma"/>
          <w:sz w:val="24"/>
          <w:szCs w:val="24"/>
        </w:rPr>
        <w:t xml:space="preserve"> fue capturado el </w:t>
      </w:r>
      <w:r w:rsidRPr="000606F4">
        <w:rPr>
          <w:rFonts w:ascii="Gill Sans MT" w:hAnsi="Gill Sans MT" w:cs="Tahoma"/>
          <w:sz w:val="24"/>
          <w:szCs w:val="24"/>
        </w:rPr>
        <w:t>28 de mayo de 2010, y postulado</w:t>
      </w:r>
      <w:r w:rsidR="00795F9A">
        <w:rPr>
          <w:rFonts w:ascii="Gill Sans MT" w:hAnsi="Gill Sans MT" w:cs="Tahoma"/>
          <w:sz w:val="24"/>
          <w:szCs w:val="24"/>
        </w:rPr>
        <w:t xml:space="preserve"> por el gobierno nacional </w:t>
      </w:r>
      <w:r w:rsidRPr="000606F4">
        <w:rPr>
          <w:rFonts w:ascii="Gill Sans MT" w:hAnsi="Gill Sans MT" w:cs="Tahoma"/>
          <w:sz w:val="24"/>
          <w:szCs w:val="24"/>
        </w:rPr>
        <w:t>el 11 marzo de 2011.</w:t>
      </w:r>
      <w:r>
        <w:rPr>
          <w:rFonts w:ascii="Gill Sans MT" w:hAnsi="Gill Sans MT" w:cs="Tahoma"/>
          <w:sz w:val="24"/>
          <w:szCs w:val="24"/>
        </w:rPr>
        <w:t xml:space="preserve"> </w:t>
      </w:r>
    </w:p>
    <w:p w:rsidR="00E354DC" w:rsidRDefault="00E354DC" w:rsidP="0089774B">
      <w:pPr>
        <w:pStyle w:val="Prrafodelista"/>
        <w:spacing w:after="0" w:line="360" w:lineRule="auto"/>
        <w:ind w:left="0"/>
        <w:jc w:val="both"/>
        <w:rPr>
          <w:rFonts w:ascii="Gill Sans MT" w:hAnsi="Gill Sans MT" w:cs="Tahoma"/>
          <w:sz w:val="24"/>
          <w:szCs w:val="24"/>
        </w:rPr>
      </w:pPr>
    </w:p>
    <w:p w:rsidR="00E354DC" w:rsidRPr="0084773E" w:rsidRDefault="0084773E" w:rsidP="0089774B">
      <w:pPr>
        <w:pStyle w:val="Prrafodelista"/>
        <w:spacing w:after="0" w:line="360" w:lineRule="auto"/>
        <w:ind w:left="0"/>
        <w:jc w:val="both"/>
        <w:rPr>
          <w:rFonts w:ascii="Gill Sans MT" w:hAnsi="Gill Sans MT" w:cs="Tahoma"/>
          <w:sz w:val="24"/>
          <w:szCs w:val="24"/>
        </w:rPr>
      </w:pPr>
      <w:r>
        <w:rPr>
          <w:rFonts w:ascii="Gill Sans MT" w:hAnsi="Gill Sans MT" w:cs="Tahoma"/>
          <w:b/>
          <w:color w:val="000000" w:themeColor="text1"/>
          <w:sz w:val="24"/>
          <w:szCs w:val="24"/>
        </w:rPr>
        <w:t>JOSÉ GILBERTO GARZÓN MASSON,</w:t>
      </w:r>
      <w:r w:rsidR="005109E1">
        <w:rPr>
          <w:rFonts w:ascii="Gill Sans MT" w:hAnsi="Gill Sans MT" w:cs="Tahoma"/>
          <w:color w:val="000000" w:themeColor="text1"/>
          <w:sz w:val="24"/>
          <w:szCs w:val="24"/>
        </w:rPr>
        <w:t xml:space="preserve"> conocido con el </w:t>
      </w:r>
      <w:r w:rsidR="00195E8C">
        <w:rPr>
          <w:rFonts w:ascii="Gill Sans MT" w:hAnsi="Gill Sans MT" w:cs="Tahoma"/>
          <w:color w:val="000000" w:themeColor="text1"/>
          <w:sz w:val="24"/>
          <w:szCs w:val="24"/>
        </w:rPr>
        <w:t>alias</w:t>
      </w:r>
      <w:r>
        <w:rPr>
          <w:rFonts w:ascii="Gill Sans MT" w:hAnsi="Gill Sans MT" w:cs="Tahoma"/>
          <w:color w:val="000000" w:themeColor="text1"/>
          <w:sz w:val="24"/>
          <w:szCs w:val="24"/>
        </w:rPr>
        <w:t xml:space="preserve"> </w:t>
      </w:r>
      <w:r w:rsidR="005109E1">
        <w:rPr>
          <w:rFonts w:ascii="Gill Sans MT" w:hAnsi="Gill Sans MT" w:cs="Tahoma"/>
          <w:color w:val="000000" w:themeColor="text1"/>
          <w:sz w:val="24"/>
          <w:szCs w:val="24"/>
        </w:rPr>
        <w:t>de “E</w:t>
      </w:r>
      <w:r>
        <w:rPr>
          <w:rFonts w:ascii="Gill Sans MT" w:hAnsi="Gill Sans MT" w:cs="Tahoma"/>
          <w:color w:val="000000" w:themeColor="text1"/>
          <w:sz w:val="24"/>
          <w:szCs w:val="24"/>
        </w:rPr>
        <w:t>l bizco</w:t>
      </w:r>
      <w:r w:rsidR="005109E1">
        <w:rPr>
          <w:rFonts w:ascii="Gill Sans MT" w:hAnsi="Gill Sans MT" w:cs="Tahoma"/>
          <w:color w:val="000000" w:themeColor="text1"/>
          <w:sz w:val="24"/>
          <w:szCs w:val="24"/>
        </w:rPr>
        <w:t>”</w:t>
      </w:r>
      <w:r>
        <w:rPr>
          <w:rFonts w:ascii="Gill Sans MT" w:hAnsi="Gill Sans MT" w:cs="Tahoma"/>
          <w:color w:val="000000" w:themeColor="text1"/>
          <w:sz w:val="24"/>
          <w:szCs w:val="24"/>
        </w:rPr>
        <w:t xml:space="preserve">, </w:t>
      </w:r>
      <w:r w:rsidR="005109E1">
        <w:rPr>
          <w:rFonts w:ascii="Gill Sans MT" w:hAnsi="Gill Sans MT" w:cs="Tahoma"/>
          <w:color w:val="000000" w:themeColor="text1"/>
          <w:sz w:val="24"/>
          <w:szCs w:val="24"/>
        </w:rPr>
        <w:t xml:space="preserve"> identificado con la </w:t>
      </w:r>
      <w:r>
        <w:rPr>
          <w:rFonts w:ascii="Gill Sans MT" w:hAnsi="Gill Sans MT" w:cs="Tahoma"/>
          <w:color w:val="000000" w:themeColor="text1"/>
          <w:sz w:val="24"/>
          <w:szCs w:val="24"/>
        </w:rPr>
        <w:t>cédula</w:t>
      </w:r>
      <w:r w:rsidR="005109E1">
        <w:rPr>
          <w:rFonts w:ascii="Gill Sans MT" w:hAnsi="Gill Sans MT" w:cs="Tahoma"/>
          <w:color w:val="000000" w:themeColor="text1"/>
          <w:sz w:val="24"/>
          <w:szCs w:val="24"/>
        </w:rPr>
        <w:t xml:space="preserve"> de ciudadanía número </w:t>
      </w:r>
      <w:r>
        <w:rPr>
          <w:rFonts w:ascii="Gill Sans MT" w:hAnsi="Gill Sans MT" w:cs="Tahoma"/>
          <w:color w:val="000000" w:themeColor="text1"/>
          <w:sz w:val="24"/>
          <w:szCs w:val="24"/>
        </w:rPr>
        <w:t>98.655.141</w:t>
      </w:r>
      <w:r w:rsidR="00204B18">
        <w:rPr>
          <w:rFonts w:ascii="Gill Sans MT" w:hAnsi="Gill Sans MT" w:cs="Tahoma"/>
          <w:color w:val="000000" w:themeColor="text1"/>
          <w:sz w:val="24"/>
          <w:szCs w:val="24"/>
        </w:rPr>
        <w:t xml:space="preserve"> </w:t>
      </w:r>
      <w:r w:rsidR="005109E1">
        <w:rPr>
          <w:rFonts w:ascii="Gill Sans MT" w:hAnsi="Gill Sans MT" w:cs="Tahoma"/>
          <w:color w:val="000000" w:themeColor="text1"/>
          <w:sz w:val="24"/>
          <w:szCs w:val="24"/>
        </w:rPr>
        <w:t>de Caucasia (Antioquia), i</w:t>
      </w:r>
      <w:r>
        <w:rPr>
          <w:rFonts w:ascii="Gill Sans MT" w:hAnsi="Gill Sans MT" w:cs="Tahoma"/>
          <w:color w:val="000000" w:themeColor="text1"/>
          <w:sz w:val="24"/>
          <w:szCs w:val="24"/>
        </w:rPr>
        <w:t>ngres</w:t>
      </w:r>
      <w:r w:rsidR="00CB003E">
        <w:rPr>
          <w:rFonts w:ascii="Gill Sans MT" w:hAnsi="Gill Sans MT" w:cs="Tahoma"/>
          <w:color w:val="000000" w:themeColor="text1"/>
          <w:sz w:val="24"/>
          <w:szCs w:val="24"/>
        </w:rPr>
        <w:t>ó</w:t>
      </w:r>
      <w:r>
        <w:rPr>
          <w:rFonts w:ascii="Gill Sans MT" w:hAnsi="Gill Sans MT" w:cs="Tahoma"/>
          <w:color w:val="000000" w:themeColor="text1"/>
          <w:sz w:val="24"/>
          <w:szCs w:val="24"/>
        </w:rPr>
        <w:t xml:space="preserve"> </w:t>
      </w:r>
      <w:r w:rsidR="005109E1">
        <w:rPr>
          <w:rFonts w:ascii="Gill Sans MT" w:hAnsi="Gill Sans MT" w:cs="Tahoma"/>
          <w:color w:val="000000" w:themeColor="text1"/>
          <w:sz w:val="24"/>
          <w:szCs w:val="24"/>
        </w:rPr>
        <w:t>a las A</w:t>
      </w:r>
      <w:r>
        <w:rPr>
          <w:rFonts w:ascii="Gill Sans MT" w:hAnsi="Gill Sans MT" w:cs="Tahoma"/>
          <w:color w:val="000000" w:themeColor="text1"/>
          <w:sz w:val="24"/>
          <w:szCs w:val="24"/>
        </w:rPr>
        <w:t xml:space="preserve">UC </w:t>
      </w:r>
      <w:r w:rsidR="005109E1">
        <w:rPr>
          <w:rFonts w:ascii="Gill Sans MT" w:hAnsi="Gill Sans MT" w:cs="Tahoma"/>
          <w:color w:val="000000" w:themeColor="text1"/>
          <w:sz w:val="24"/>
          <w:szCs w:val="24"/>
        </w:rPr>
        <w:t xml:space="preserve">en el mes de </w:t>
      </w:r>
      <w:r w:rsidR="00204B18">
        <w:rPr>
          <w:rFonts w:ascii="Gill Sans MT" w:hAnsi="Gill Sans MT" w:cs="Tahoma"/>
          <w:color w:val="000000" w:themeColor="text1"/>
          <w:sz w:val="24"/>
          <w:szCs w:val="24"/>
        </w:rPr>
        <w:t xml:space="preserve">febrero de 2000, </w:t>
      </w:r>
      <w:r w:rsidR="005109E1">
        <w:rPr>
          <w:rFonts w:ascii="Gill Sans MT" w:hAnsi="Gill Sans MT" w:cs="Tahoma"/>
          <w:color w:val="000000" w:themeColor="text1"/>
          <w:sz w:val="24"/>
          <w:szCs w:val="24"/>
        </w:rPr>
        <w:t>fue cap</w:t>
      </w:r>
      <w:r w:rsidR="00204B18">
        <w:rPr>
          <w:rFonts w:ascii="Gill Sans MT" w:hAnsi="Gill Sans MT" w:cs="Tahoma"/>
          <w:color w:val="000000" w:themeColor="text1"/>
          <w:sz w:val="24"/>
          <w:szCs w:val="24"/>
        </w:rPr>
        <w:t>t</w:t>
      </w:r>
      <w:r w:rsidR="005109E1">
        <w:rPr>
          <w:rFonts w:ascii="Gill Sans MT" w:hAnsi="Gill Sans MT" w:cs="Tahoma"/>
          <w:color w:val="000000" w:themeColor="text1"/>
          <w:sz w:val="24"/>
          <w:szCs w:val="24"/>
        </w:rPr>
        <w:t xml:space="preserve">urado el </w:t>
      </w:r>
      <w:r w:rsidR="00204B18">
        <w:rPr>
          <w:rFonts w:ascii="Gill Sans MT" w:hAnsi="Gill Sans MT" w:cs="Tahoma"/>
          <w:color w:val="000000" w:themeColor="text1"/>
          <w:sz w:val="24"/>
          <w:szCs w:val="24"/>
        </w:rPr>
        <w:t>1 de agosto de 2003,</w:t>
      </w:r>
      <w:r w:rsidR="005109E1">
        <w:rPr>
          <w:rFonts w:ascii="Gill Sans MT" w:hAnsi="Gill Sans MT" w:cs="Tahoma"/>
          <w:color w:val="000000" w:themeColor="text1"/>
          <w:sz w:val="24"/>
          <w:szCs w:val="24"/>
        </w:rPr>
        <w:t xml:space="preserve"> y postulado al proceso de Justicia y Paz el 1</w:t>
      </w:r>
      <w:r w:rsidR="00204B18">
        <w:rPr>
          <w:rFonts w:ascii="Gill Sans MT" w:hAnsi="Gill Sans MT" w:cs="Tahoma"/>
          <w:color w:val="000000" w:themeColor="text1"/>
          <w:sz w:val="24"/>
          <w:szCs w:val="24"/>
        </w:rPr>
        <w:t xml:space="preserve">9 de septiembre de 2007. </w:t>
      </w:r>
    </w:p>
    <w:p w:rsidR="00E354DC" w:rsidRDefault="00E354DC" w:rsidP="0089774B">
      <w:pPr>
        <w:pStyle w:val="Prrafodelista"/>
        <w:spacing w:after="0" w:line="360" w:lineRule="auto"/>
        <w:ind w:left="0"/>
        <w:jc w:val="both"/>
        <w:rPr>
          <w:rFonts w:ascii="Gill Sans MT" w:hAnsi="Gill Sans MT" w:cs="Tahoma"/>
          <w:sz w:val="24"/>
          <w:szCs w:val="24"/>
          <w:highlight w:val="yellow"/>
        </w:rPr>
      </w:pPr>
    </w:p>
    <w:p w:rsidR="002D46CB" w:rsidRDefault="002D46CB" w:rsidP="0089774B">
      <w:pPr>
        <w:pStyle w:val="Prrafodelista"/>
        <w:spacing w:after="0" w:line="360" w:lineRule="auto"/>
        <w:ind w:left="0"/>
        <w:jc w:val="both"/>
        <w:rPr>
          <w:rFonts w:ascii="Gill Sans MT" w:hAnsi="Gill Sans MT" w:cs="Tahoma"/>
          <w:color w:val="000000" w:themeColor="text1"/>
          <w:sz w:val="24"/>
          <w:szCs w:val="24"/>
        </w:rPr>
      </w:pPr>
      <w:r>
        <w:rPr>
          <w:rFonts w:ascii="Gill Sans MT" w:hAnsi="Gill Sans MT" w:cs="Tahoma"/>
          <w:b/>
          <w:color w:val="000000" w:themeColor="text1"/>
          <w:sz w:val="24"/>
          <w:szCs w:val="24"/>
        </w:rPr>
        <w:t>JOSÉ DEL CARMEN JAIME SOLANO</w:t>
      </w:r>
      <w:r w:rsidR="00204B18">
        <w:rPr>
          <w:rFonts w:ascii="Gill Sans MT" w:hAnsi="Gill Sans MT" w:cs="Tahoma"/>
          <w:b/>
          <w:color w:val="000000" w:themeColor="text1"/>
          <w:sz w:val="24"/>
          <w:szCs w:val="24"/>
        </w:rPr>
        <w:t xml:space="preserve">, </w:t>
      </w:r>
      <w:r w:rsidR="00CB003E">
        <w:rPr>
          <w:rFonts w:ascii="Gill Sans MT" w:hAnsi="Gill Sans MT" w:cs="Tahoma"/>
          <w:color w:val="000000" w:themeColor="text1"/>
          <w:sz w:val="24"/>
          <w:szCs w:val="24"/>
        </w:rPr>
        <w:t>conocido como alias “Locha”, se identifica con la cédula de ciudadanía número 88.176.870 de Tibú (Norte de Santander)</w:t>
      </w:r>
      <w:r w:rsidR="00204B18">
        <w:rPr>
          <w:rFonts w:ascii="Gill Sans MT" w:hAnsi="Gill Sans MT" w:cs="Tahoma"/>
          <w:color w:val="000000" w:themeColor="text1"/>
          <w:sz w:val="24"/>
          <w:szCs w:val="24"/>
        </w:rPr>
        <w:t>, ingres</w:t>
      </w:r>
      <w:r w:rsidR="00CB003E">
        <w:rPr>
          <w:rFonts w:ascii="Gill Sans MT" w:hAnsi="Gill Sans MT" w:cs="Tahoma"/>
          <w:color w:val="000000" w:themeColor="text1"/>
          <w:sz w:val="24"/>
          <w:szCs w:val="24"/>
        </w:rPr>
        <w:t xml:space="preserve">ó al grupo armado ilegal en el mes de </w:t>
      </w:r>
      <w:r w:rsidR="00204B18">
        <w:rPr>
          <w:rFonts w:ascii="Gill Sans MT" w:hAnsi="Gill Sans MT" w:cs="Tahoma"/>
          <w:color w:val="000000" w:themeColor="text1"/>
          <w:sz w:val="24"/>
          <w:szCs w:val="24"/>
        </w:rPr>
        <w:t xml:space="preserve">agosto de 2000, </w:t>
      </w:r>
      <w:r w:rsidR="00CB003E">
        <w:rPr>
          <w:rFonts w:ascii="Gill Sans MT" w:hAnsi="Gill Sans MT" w:cs="Tahoma"/>
          <w:color w:val="000000" w:themeColor="text1"/>
          <w:sz w:val="24"/>
          <w:szCs w:val="24"/>
        </w:rPr>
        <w:t xml:space="preserve">fue </w:t>
      </w:r>
      <w:r w:rsidR="00204B18">
        <w:rPr>
          <w:rFonts w:ascii="Gill Sans MT" w:hAnsi="Gill Sans MT" w:cs="Tahoma"/>
          <w:color w:val="000000" w:themeColor="text1"/>
          <w:sz w:val="24"/>
          <w:szCs w:val="24"/>
        </w:rPr>
        <w:t>capt</w:t>
      </w:r>
      <w:r w:rsidR="00CB003E">
        <w:rPr>
          <w:rFonts w:ascii="Gill Sans MT" w:hAnsi="Gill Sans MT" w:cs="Tahoma"/>
          <w:color w:val="000000" w:themeColor="text1"/>
          <w:sz w:val="24"/>
          <w:szCs w:val="24"/>
        </w:rPr>
        <w:t xml:space="preserve">urado </w:t>
      </w:r>
      <w:r w:rsidR="00204B18">
        <w:rPr>
          <w:rFonts w:ascii="Gill Sans MT" w:hAnsi="Gill Sans MT" w:cs="Tahoma"/>
          <w:color w:val="000000" w:themeColor="text1"/>
          <w:sz w:val="24"/>
          <w:szCs w:val="24"/>
        </w:rPr>
        <w:t>el 13 de mayo de 2003,</w:t>
      </w:r>
      <w:r w:rsidR="00CB003E">
        <w:rPr>
          <w:rFonts w:ascii="Gill Sans MT" w:hAnsi="Gill Sans MT" w:cs="Tahoma"/>
          <w:color w:val="000000" w:themeColor="text1"/>
          <w:sz w:val="24"/>
          <w:szCs w:val="24"/>
        </w:rPr>
        <w:t xml:space="preserve"> y </w:t>
      </w:r>
      <w:r w:rsidR="00204B18">
        <w:rPr>
          <w:rFonts w:ascii="Gill Sans MT" w:hAnsi="Gill Sans MT" w:cs="Tahoma"/>
          <w:color w:val="000000" w:themeColor="text1"/>
          <w:sz w:val="24"/>
          <w:szCs w:val="24"/>
        </w:rPr>
        <w:t xml:space="preserve">postulado </w:t>
      </w:r>
      <w:r w:rsidR="00CB003E">
        <w:rPr>
          <w:rFonts w:ascii="Gill Sans MT" w:hAnsi="Gill Sans MT" w:cs="Tahoma"/>
          <w:color w:val="000000" w:themeColor="text1"/>
          <w:sz w:val="24"/>
          <w:szCs w:val="24"/>
        </w:rPr>
        <w:t xml:space="preserve">al proceso de Justicia y Pez el </w:t>
      </w:r>
      <w:r w:rsidR="00204B18">
        <w:rPr>
          <w:rFonts w:ascii="Gill Sans MT" w:hAnsi="Gill Sans MT" w:cs="Tahoma"/>
          <w:color w:val="000000" w:themeColor="text1"/>
          <w:sz w:val="24"/>
          <w:szCs w:val="24"/>
        </w:rPr>
        <w:t xml:space="preserve">25 enero de 2010. </w:t>
      </w:r>
    </w:p>
    <w:p w:rsidR="00A337C4" w:rsidRDefault="00A337C4" w:rsidP="0089774B">
      <w:pPr>
        <w:pStyle w:val="Prrafodelista"/>
        <w:spacing w:after="0" w:line="360" w:lineRule="auto"/>
        <w:ind w:left="0"/>
        <w:jc w:val="both"/>
        <w:rPr>
          <w:rFonts w:ascii="Gill Sans MT" w:hAnsi="Gill Sans MT" w:cs="Tahoma"/>
          <w:color w:val="000000" w:themeColor="text1"/>
          <w:sz w:val="24"/>
          <w:szCs w:val="24"/>
        </w:rPr>
      </w:pPr>
    </w:p>
    <w:p w:rsidR="00204B18" w:rsidRDefault="00A337C4" w:rsidP="0089774B">
      <w:pPr>
        <w:pStyle w:val="Prrafodelista"/>
        <w:spacing w:after="0" w:line="360" w:lineRule="auto"/>
        <w:ind w:left="0"/>
        <w:jc w:val="both"/>
        <w:rPr>
          <w:rFonts w:ascii="Gill Sans MT" w:hAnsi="Gill Sans MT" w:cs="Tahoma"/>
          <w:color w:val="000000" w:themeColor="text1"/>
          <w:sz w:val="24"/>
          <w:szCs w:val="24"/>
        </w:rPr>
      </w:pPr>
      <w:r w:rsidRPr="00A337C4">
        <w:rPr>
          <w:rFonts w:ascii="Gill Sans MT" w:hAnsi="Gill Sans MT" w:cs="Tahoma"/>
          <w:color w:val="000000" w:themeColor="text1"/>
          <w:sz w:val="24"/>
          <w:szCs w:val="24"/>
        </w:rPr>
        <w:t>Los postulados</w:t>
      </w:r>
      <w:r>
        <w:rPr>
          <w:rFonts w:ascii="Gill Sans MT" w:hAnsi="Gill Sans MT" w:cs="Tahoma"/>
          <w:b/>
          <w:color w:val="000000" w:themeColor="text1"/>
          <w:sz w:val="24"/>
          <w:szCs w:val="24"/>
        </w:rPr>
        <w:t xml:space="preserve"> </w:t>
      </w:r>
      <w:r w:rsidRPr="00023471">
        <w:rPr>
          <w:rFonts w:ascii="Gill Sans MT" w:hAnsi="Gill Sans MT" w:cs="Tahoma"/>
          <w:color w:val="000000" w:themeColor="text1"/>
          <w:sz w:val="24"/>
          <w:szCs w:val="24"/>
        </w:rPr>
        <w:t>FERNANDO SEGUNDO FLOREZ, GUSTAVO ESTEVEZ RODRIGUEZ, JOSÉ DEL CARMEN JAIME SOLANO, JOSÉ GILBERTO GARZÓN MASSON y JUAN RAMÓN FERNANDEZ LATORRE</w:t>
      </w:r>
      <w:r w:rsidRPr="00E95861">
        <w:rPr>
          <w:rFonts w:ascii="Gill Sans MT" w:hAnsi="Gill Sans MT" w:cs="Tahoma"/>
          <w:color w:val="000000" w:themeColor="text1"/>
          <w:sz w:val="24"/>
          <w:szCs w:val="24"/>
        </w:rPr>
        <w:t>,</w:t>
      </w:r>
      <w:r>
        <w:rPr>
          <w:rFonts w:ascii="Gill Sans MT" w:hAnsi="Gill Sans MT" w:cs="Tahoma"/>
          <w:color w:val="000000" w:themeColor="text1"/>
          <w:sz w:val="24"/>
          <w:szCs w:val="24"/>
        </w:rPr>
        <w:t xml:space="preserve"> se desmovilizaron el 10 de diciembre de 2004, como integrantes del bloque Catatumbo de las AUC, al mando de Salvatore Mancuso Gómez, que en su calidad de miembro representante de los bloque Catatumbo, Montes de María, Norte y Córdoba, suscribió un acuerdo de paz con el Gobierno Nacional. </w:t>
      </w:r>
    </w:p>
    <w:p w:rsidR="008F3BC0" w:rsidRPr="00E95861" w:rsidRDefault="008F3BC0" w:rsidP="0089774B">
      <w:pPr>
        <w:pStyle w:val="Prrafodelista"/>
        <w:spacing w:after="0" w:line="360" w:lineRule="auto"/>
        <w:ind w:left="0"/>
        <w:jc w:val="both"/>
        <w:rPr>
          <w:rFonts w:ascii="Gill Sans MT" w:hAnsi="Gill Sans MT" w:cs="Tahoma"/>
          <w:sz w:val="24"/>
          <w:szCs w:val="24"/>
        </w:rPr>
      </w:pPr>
    </w:p>
    <w:p w:rsidR="003B04DE" w:rsidRPr="00E95861" w:rsidRDefault="003B04DE" w:rsidP="0089774B">
      <w:pPr>
        <w:pStyle w:val="Sinespaciado"/>
        <w:spacing w:line="360" w:lineRule="auto"/>
        <w:ind w:firstLine="567"/>
        <w:jc w:val="center"/>
        <w:rPr>
          <w:rFonts w:ascii="Gill Sans MT" w:hAnsi="Gill Sans MT" w:cs="Tahoma"/>
          <w:b/>
          <w:sz w:val="24"/>
          <w:szCs w:val="24"/>
        </w:rPr>
      </w:pPr>
      <w:r w:rsidRPr="00163375">
        <w:rPr>
          <w:rFonts w:ascii="Gill Sans MT" w:hAnsi="Gill Sans MT" w:cs="Tahoma"/>
          <w:b/>
          <w:sz w:val="24"/>
          <w:szCs w:val="24"/>
        </w:rPr>
        <w:t>INTERVENCIÓN DE LOS SUJETOS PROCESALES</w:t>
      </w:r>
    </w:p>
    <w:p w:rsidR="00EB341B" w:rsidRPr="00E95861" w:rsidRDefault="00EB341B" w:rsidP="0089774B">
      <w:pPr>
        <w:pStyle w:val="Sinespaciado"/>
        <w:spacing w:line="360" w:lineRule="auto"/>
        <w:rPr>
          <w:rFonts w:ascii="Gill Sans MT" w:hAnsi="Gill Sans MT" w:cs="Tahoma"/>
          <w:b/>
          <w:sz w:val="24"/>
          <w:szCs w:val="24"/>
        </w:rPr>
      </w:pPr>
    </w:p>
    <w:p w:rsidR="00EB341B" w:rsidRPr="00E95861" w:rsidRDefault="00EB341B" w:rsidP="0089774B">
      <w:pPr>
        <w:pStyle w:val="Sinespaciado"/>
        <w:spacing w:line="360" w:lineRule="auto"/>
        <w:rPr>
          <w:rFonts w:ascii="Gill Sans MT" w:hAnsi="Gill Sans MT" w:cs="Tahoma"/>
          <w:b/>
          <w:sz w:val="24"/>
          <w:szCs w:val="24"/>
        </w:rPr>
      </w:pPr>
      <w:r w:rsidRPr="00E95861">
        <w:rPr>
          <w:rFonts w:ascii="Gill Sans MT" w:hAnsi="Gill Sans MT" w:cs="Tahoma"/>
          <w:b/>
          <w:sz w:val="24"/>
          <w:szCs w:val="24"/>
        </w:rPr>
        <w:t xml:space="preserve">El Fiscal Delegado </w:t>
      </w:r>
    </w:p>
    <w:p w:rsidR="00701DAE" w:rsidRPr="00E95861" w:rsidRDefault="00701DAE" w:rsidP="0089774B">
      <w:pPr>
        <w:pStyle w:val="Sinespaciado"/>
        <w:spacing w:line="360" w:lineRule="auto"/>
        <w:rPr>
          <w:rFonts w:ascii="Gill Sans MT" w:hAnsi="Gill Sans MT" w:cs="Tahoma"/>
          <w:sz w:val="24"/>
          <w:szCs w:val="24"/>
        </w:rPr>
      </w:pPr>
    </w:p>
    <w:p w:rsidR="003B04DE" w:rsidRPr="00E95861" w:rsidRDefault="00EB341B"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t>El</w:t>
      </w:r>
      <w:r w:rsidR="00965EAA" w:rsidRPr="00E95861">
        <w:rPr>
          <w:rFonts w:ascii="Gill Sans MT" w:hAnsi="Gill Sans MT" w:cs="Tahoma"/>
          <w:sz w:val="24"/>
          <w:szCs w:val="24"/>
        </w:rPr>
        <w:t xml:space="preserve"> </w:t>
      </w:r>
      <w:r w:rsidR="00AD5F9B" w:rsidRPr="00E95861">
        <w:rPr>
          <w:rFonts w:ascii="Gill Sans MT" w:hAnsi="Gill Sans MT" w:cs="Tahoma"/>
          <w:sz w:val="24"/>
          <w:szCs w:val="24"/>
        </w:rPr>
        <w:t xml:space="preserve">Fiscal </w:t>
      </w:r>
      <w:r w:rsidRPr="00E95861">
        <w:rPr>
          <w:rFonts w:ascii="Gill Sans MT" w:hAnsi="Gill Sans MT" w:cs="Tahoma"/>
          <w:sz w:val="24"/>
          <w:szCs w:val="24"/>
        </w:rPr>
        <w:t>54 Delegado</w:t>
      </w:r>
      <w:r w:rsidR="00AD5F9B" w:rsidRPr="00E95861">
        <w:rPr>
          <w:rFonts w:ascii="Gill Sans MT" w:hAnsi="Gill Sans MT" w:cs="Tahoma"/>
          <w:sz w:val="24"/>
          <w:szCs w:val="24"/>
        </w:rPr>
        <w:t>, pidió que se</w:t>
      </w:r>
      <w:r w:rsidRPr="00E95861">
        <w:rPr>
          <w:rFonts w:ascii="Gill Sans MT" w:hAnsi="Gill Sans MT" w:cs="Tahoma"/>
          <w:sz w:val="24"/>
          <w:szCs w:val="24"/>
        </w:rPr>
        <w:t xml:space="preserve"> les negara</w:t>
      </w:r>
      <w:r w:rsidR="00AD5F9B" w:rsidRPr="00E95861">
        <w:rPr>
          <w:rFonts w:ascii="Gill Sans MT" w:hAnsi="Gill Sans MT" w:cs="Tahoma"/>
          <w:sz w:val="24"/>
          <w:szCs w:val="24"/>
        </w:rPr>
        <w:t xml:space="preserve"> </w:t>
      </w:r>
      <w:r w:rsidRPr="00E95861">
        <w:rPr>
          <w:rFonts w:ascii="Gill Sans MT" w:hAnsi="Gill Sans MT" w:cs="Tahoma"/>
          <w:sz w:val="24"/>
          <w:szCs w:val="24"/>
        </w:rPr>
        <w:t xml:space="preserve">a los postulados </w:t>
      </w:r>
      <w:r w:rsidR="00163375" w:rsidRPr="00023471">
        <w:rPr>
          <w:rFonts w:ascii="Gill Sans MT" w:hAnsi="Gill Sans MT" w:cs="Tahoma"/>
          <w:color w:val="000000" w:themeColor="text1"/>
          <w:sz w:val="24"/>
          <w:szCs w:val="24"/>
        </w:rPr>
        <w:t>FERNANDO SEGUNDO FLOREZ, GUSTAVO ESTEVEZ RODRIGUEZ, JOSÉ DEL CARMEN JAIME SOLANO, JOSÉ GILBERTO GARZÓN MASSON y JUAN RAMÓN FERNANDEZ LATORRE</w:t>
      </w:r>
      <w:r w:rsidR="00AD5F9B" w:rsidRPr="00E95861">
        <w:rPr>
          <w:rFonts w:ascii="Gill Sans MT" w:hAnsi="Gill Sans MT" w:cs="Tahoma"/>
          <w:sz w:val="24"/>
          <w:szCs w:val="24"/>
        </w:rPr>
        <w:t>, la solicitud de acogerse al instituto de la libertad condicionada consagrad</w:t>
      </w:r>
      <w:r w:rsidR="00987CB1" w:rsidRPr="00E95861">
        <w:rPr>
          <w:rFonts w:ascii="Gill Sans MT" w:hAnsi="Gill Sans MT" w:cs="Tahoma"/>
          <w:sz w:val="24"/>
          <w:szCs w:val="24"/>
        </w:rPr>
        <w:t xml:space="preserve">o en la </w:t>
      </w:r>
      <w:r w:rsidR="00FA052F">
        <w:rPr>
          <w:rFonts w:ascii="Gill Sans MT" w:hAnsi="Gill Sans MT" w:cs="Tahoma"/>
          <w:sz w:val="24"/>
          <w:szCs w:val="24"/>
        </w:rPr>
        <w:t xml:space="preserve">Ley </w:t>
      </w:r>
      <w:r w:rsidR="00987CB1" w:rsidRPr="00E95861">
        <w:rPr>
          <w:rFonts w:ascii="Gill Sans MT" w:hAnsi="Gill Sans MT" w:cs="Tahoma"/>
          <w:sz w:val="24"/>
          <w:szCs w:val="24"/>
        </w:rPr>
        <w:t xml:space="preserve">1820 de 2016, </w:t>
      </w:r>
      <w:r w:rsidRPr="00E95861">
        <w:rPr>
          <w:rFonts w:ascii="Gill Sans MT" w:hAnsi="Gill Sans MT" w:cs="Tahoma"/>
          <w:sz w:val="24"/>
          <w:szCs w:val="24"/>
        </w:rPr>
        <w:t xml:space="preserve"> por cuanto no </w:t>
      </w:r>
      <w:r w:rsidR="00AD5F9B" w:rsidRPr="00E95861">
        <w:rPr>
          <w:rFonts w:ascii="Gill Sans MT" w:hAnsi="Gill Sans MT" w:cs="Tahoma"/>
          <w:sz w:val="24"/>
          <w:szCs w:val="24"/>
        </w:rPr>
        <w:t>cumple</w:t>
      </w:r>
      <w:r w:rsidRPr="00E95861">
        <w:rPr>
          <w:rFonts w:ascii="Gill Sans MT" w:hAnsi="Gill Sans MT" w:cs="Tahoma"/>
          <w:sz w:val="24"/>
          <w:szCs w:val="24"/>
        </w:rPr>
        <w:t>n</w:t>
      </w:r>
      <w:r w:rsidR="00AD5F9B" w:rsidRPr="00E95861">
        <w:rPr>
          <w:rFonts w:ascii="Gill Sans MT" w:hAnsi="Gill Sans MT" w:cs="Tahoma"/>
          <w:sz w:val="24"/>
          <w:szCs w:val="24"/>
        </w:rPr>
        <w:t xml:space="preserve"> con los requisito</w:t>
      </w:r>
      <w:r w:rsidR="00987CB1" w:rsidRPr="00E95861">
        <w:rPr>
          <w:rFonts w:ascii="Gill Sans MT" w:hAnsi="Gill Sans MT" w:cs="Tahoma"/>
          <w:sz w:val="24"/>
          <w:szCs w:val="24"/>
        </w:rPr>
        <w:t>s objetivos para ser destinario</w:t>
      </w:r>
      <w:r w:rsidR="003E6847">
        <w:rPr>
          <w:rFonts w:ascii="Gill Sans MT" w:hAnsi="Gill Sans MT" w:cs="Tahoma"/>
          <w:sz w:val="24"/>
          <w:szCs w:val="24"/>
        </w:rPr>
        <w:t>s</w:t>
      </w:r>
      <w:r w:rsidR="00987CB1" w:rsidRPr="00E95861">
        <w:rPr>
          <w:rFonts w:ascii="Gill Sans MT" w:hAnsi="Gill Sans MT" w:cs="Tahoma"/>
          <w:sz w:val="24"/>
          <w:szCs w:val="24"/>
        </w:rPr>
        <w:t xml:space="preserve"> </w:t>
      </w:r>
      <w:r w:rsidR="00AD5F9B" w:rsidRPr="00E95861">
        <w:rPr>
          <w:rFonts w:ascii="Gill Sans MT" w:hAnsi="Gill Sans MT" w:cs="Tahoma"/>
          <w:sz w:val="24"/>
          <w:szCs w:val="24"/>
        </w:rPr>
        <w:t>de la pre</w:t>
      </w:r>
      <w:r w:rsidR="009605FE" w:rsidRPr="00E95861">
        <w:rPr>
          <w:rFonts w:ascii="Gill Sans MT" w:hAnsi="Gill Sans MT" w:cs="Tahoma"/>
          <w:sz w:val="24"/>
          <w:szCs w:val="24"/>
        </w:rPr>
        <w:t xml:space="preserve">citada ley, </w:t>
      </w:r>
      <w:r w:rsidR="00987CB1" w:rsidRPr="00E95861">
        <w:rPr>
          <w:rFonts w:ascii="Gill Sans MT" w:hAnsi="Gill Sans MT" w:cs="Tahoma"/>
          <w:sz w:val="24"/>
          <w:szCs w:val="24"/>
        </w:rPr>
        <w:t>ya que</w:t>
      </w:r>
      <w:r w:rsidR="009605FE" w:rsidRPr="00E95861">
        <w:rPr>
          <w:rFonts w:ascii="Gill Sans MT" w:hAnsi="Gill Sans MT" w:cs="Tahoma"/>
          <w:sz w:val="24"/>
          <w:szCs w:val="24"/>
        </w:rPr>
        <w:t xml:space="preserve"> </w:t>
      </w:r>
      <w:r w:rsidR="009605FE" w:rsidRPr="00E95861">
        <w:rPr>
          <w:rFonts w:ascii="Gill Sans MT" w:hAnsi="Gill Sans MT" w:cs="Tahoma"/>
          <w:i/>
          <w:sz w:val="24"/>
          <w:szCs w:val="24"/>
        </w:rPr>
        <w:t xml:space="preserve">no </w:t>
      </w:r>
      <w:r w:rsidR="00090229" w:rsidRPr="00E95861">
        <w:rPr>
          <w:rFonts w:ascii="Gill Sans MT" w:hAnsi="Gill Sans MT" w:cs="Tahoma"/>
          <w:i/>
          <w:sz w:val="24"/>
          <w:szCs w:val="24"/>
        </w:rPr>
        <w:t>pertenece</w:t>
      </w:r>
      <w:r w:rsidRPr="00E95861">
        <w:rPr>
          <w:rFonts w:ascii="Gill Sans MT" w:hAnsi="Gill Sans MT" w:cs="Tahoma"/>
          <w:i/>
          <w:sz w:val="24"/>
          <w:szCs w:val="24"/>
        </w:rPr>
        <w:t>n</w:t>
      </w:r>
      <w:r w:rsidR="00090229" w:rsidRPr="00E95861">
        <w:rPr>
          <w:rFonts w:ascii="Gill Sans MT" w:hAnsi="Gill Sans MT" w:cs="Tahoma"/>
          <w:i/>
          <w:sz w:val="24"/>
          <w:szCs w:val="24"/>
        </w:rPr>
        <w:t xml:space="preserve"> ni perteneci</w:t>
      </w:r>
      <w:r w:rsidRPr="00E95861">
        <w:rPr>
          <w:rFonts w:ascii="Gill Sans MT" w:hAnsi="Gill Sans MT" w:cs="Tahoma"/>
          <w:i/>
          <w:sz w:val="24"/>
          <w:szCs w:val="24"/>
        </w:rPr>
        <w:t xml:space="preserve">eron </w:t>
      </w:r>
      <w:r w:rsidR="00090229" w:rsidRPr="00E95861">
        <w:rPr>
          <w:rFonts w:ascii="Gill Sans MT" w:hAnsi="Gill Sans MT" w:cs="Tahoma"/>
          <w:i/>
          <w:sz w:val="24"/>
          <w:szCs w:val="24"/>
        </w:rPr>
        <w:t>a</w:t>
      </w:r>
      <w:r w:rsidR="00AD5F9B" w:rsidRPr="00E95861">
        <w:rPr>
          <w:rFonts w:ascii="Gill Sans MT" w:hAnsi="Gill Sans MT" w:cs="Tahoma"/>
          <w:i/>
          <w:sz w:val="24"/>
          <w:szCs w:val="24"/>
        </w:rPr>
        <w:t xml:space="preserve"> la guerrilla de las FARC-EP</w:t>
      </w:r>
      <w:r w:rsidR="00AD5F9B" w:rsidRPr="00E95861">
        <w:rPr>
          <w:rFonts w:ascii="Gill Sans MT" w:hAnsi="Gill Sans MT" w:cs="Tahoma"/>
          <w:sz w:val="24"/>
          <w:szCs w:val="24"/>
        </w:rPr>
        <w:t>.</w:t>
      </w:r>
    </w:p>
    <w:p w:rsidR="00EB341B" w:rsidRPr="00E95861" w:rsidRDefault="00EB341B"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lastRenderedPageBreak/>
        <w:t xml:space="preserve">Señala </w:t>
      </w:r>
      <w:r w:rsidR="003C5A47" w:rsidRPr="00E95861">
        <w:rPr>
          <w:rFonts w:ascii="Gill Sans MT" w:hAnsi="Gill Sans MT" w:cs="Tahoma"/>
          <w:sz w:val="24"/>
          <w:szCs w:val="24"/>
        </w:rPr>
        <w:t>que los beneficios de</w:t>
      </w:r>
      <w:r w:rsidR="00220247" w:rsidRPr="00E95861">
        <w:rPr>
          <w:rFonts w:ascii="Gill Sans MT" w:hAnsi="Gill Sans MT" w:cs="Tahoma"/>
          <w:sz w:val="24"/>
          <w:szCs w:val="24"/>
        </w:rPr>
        <w:t xml:space="preserve"> la </w:t>
      </w:r>
      <w:r w:rsidR="00FA052F">
        <w:rPr>
          <w:rFonts w:ascii="Gill Sans MT" w:hAnsi="Gill Sans MT" w:cs="Tahoma"/>
          <w:sz w:val="24"/>
          <w:szCs w:val="24"/>
        </w:rPr>
        <w:t xml:space="preserve">Ley </w:t>
      </w:r>
      <w:r w:rsidRPr="00E95861">
        <w:rPr>
          <w:rFonts w:ascii="Gill Sans MT" w:hAnsi="Gill Sans MT" w:cs="Tahoma"/>
          <w:sz w:val="24"/>
          <w:szCs w:val="24"/>
        </w:rPr>
        <w:t>1820 de 2016 y su Decre</w:t>
      </w:r>
      <w:r w:rsidR="003C5A47" w:rsidRPr="00E95861">
        <w:rPr>
          <w:rFonts w:ascii="Gill Sans MT" w:hAnsi="Gill Sans MT" w:cs="Tahoma"/>
          <w:sz w:val="24"/>
          <w:szCs w:val="24"/>
        </w:rPr>
        <w:t>to Reglamentario 277 de 2017, son</w:t>
      </w:r>
      <w:r w:rsidRPr="00E95861">
        <w:rPr>
          <w:rFonts w:ascii="Gill Sans MT" w:hAnsi="Gill Sans MT" w:cs="Tahoma"/>
          <w:sz w:val="24"/>
          <w:szCs w:val="24"/>
        </w:rPr>
        <w:t xml:space="preserve"> aplicable</w:t>
      </w:r>
      <w:r w:rsidR="003C5A47" w:rsidRPr="00E95861">
        <w:rPr>
          <w:rFonts w:ascii="Gill Sans MT" w:hAnsi="Gill Sans MT" w:cs="Tahoma"/>
          <w:sz w:val="24"/>
          <w:szCs w:val="24"/>
        </w:rPr>
        <w:t>s</w:t>
      </w:r>
      <w:r w:rsidRPr="00E95861">
        <w:rPr>
          <w:rFonts w:ascii="Gill Sans MT" w:hAnsi="Gill Sans MT" w:cs="Tahoma"/>
          <w:sz w:val="24"/>
          <w:szCs w:val="24"/>
        </w:rPr>
        <w:t xml:space="preserve"> única y exclusivamente a integrantes y ex integrantes de las FARC-EP, </w:t>
      </w:r>
      <w:r w:rsidR="003C5A47" w:rsidRPr="00E95861">
        <w:rPr>
          <w:rFonts w:ascii="Gill Sans MT" w:hAnsi="Gill Sans MT" w:cs="Tahoma"/>
          <w:sz w:val="24"/>
          <w:szCs w:val="24"/>
        </w:rPr>
        <w:t xml:space="preserve">pues esta </w:t>
      </w:r>
      <w:r w:rsidRPr="00E95861">
        <w:rPr>
          <w:rFonts w:ascii="Gill Sans MT" w:hAnsi="Gill Sans MT" w:cs="Tahoma"/>
          <w:sz w:val="24"/>
          <w:szCs w:val="24"/>
        </w:rPr>
        <w:t xml:space="preserve">normatividad fue expedida como consecuencia de las conversaciones de este grupo guerrillero con el Gobierno nacional, procurando conseguir la tan anhelada paz. </w:t>
      </w:r>
    </w:p>
    <w:p w:rsidR="00EB341B" w:rsidRPr="00E95861" w:rsidRDefault="00EB341B" w:rsidP="0089774B">
      <w:pPr>
        <w:pStyle w:val="Sinespaciado"/>
        <w:spacing w:line="360" w:lineRule="auto"/>
        <w:rPr>
          <w:rFonts w:ascii="Gill Sans MT" w:hAnsi="Gill Sans MT" w:cs="Tahoma"/>
          <w:sz w:val="24"/>
          <w:szCs w:val="24"/>
        </w:rPr>
      </w:pPr>
    </w:p>
    <w:p w:rsidR="003C5A47" w:rsidRPr="00E95861" w:rsidRDefault="003C5A47"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t xml:space="preserve">Además, dice, las decisiones que ha proferido este mismo Tribunal, y los últimos pronunciamientos de la Sala de Casación Penal de la Corte Suprema de Justicia, dejan completamente claro quiénes pueden ser los destinatarios de estos beneficios, inclusive se </w:t>
      </w:r>
      <w:r w:rsidR="006B0609" w:rsidRPr="00E95861">
        <w:rPr>
          <w:rFonts w:ascii="Gill Sans MT" w:hAnsi="Gill Sans MT" w:cs="Tahoma"/>
          <w:sz w:val="24"/>
          <w:szCs w:val="24"/>
        </w:rPr>
        <w:t>dejó</w:t>
      </w:r>
      <w:r w:rsidRPr="00E95861">
        <w:rPr>
          <w:rFonts w:ascii="Gill Sans MT" w:hAnsi="Gill Sans MT" w:cs="Tahoma"/>
          <w:sz w:val="24"/>
          <w:szCs w:val="24"/>
        </w:rPr>
        <w:t xml:space="preserve"> expresamente consagrado que en estos casos no opera el principio de favorabilidad, por ejemplo, </w:t>
      </w:r>
      <w:r w:rsidR="00386580" w:rsidRPr="00E95861">
        <w:rPr>
          <w:rFonts w:ascii="Gill Sans MT" w:hAnsi="Gill Sans MT" w:cs="Tahoma"/>
          <w:sz w:val="24"/>
          <w:szCs w:val="24"/>
        </w:rPr>
        <w:t xml:space="preserve">para </w:t>
      </w:r>
      <w:r w:rsidRPr="00E95861">
        <w:rPr>
          <w:rFonts w:ascii="Gill Sans MT" w:hAnsi="Gill Sans MT" w:cs="Tahoma"/>
          <w:sz w:val="24"/>
          <w:szCs w:val="24"/>
        </w:rPr>
        <w:t xml:space="preserve"> ex integrantes de las AUC, quienes se encuentran en un trámite judicial que se adelanta bajo los parámetros de la </w:t>
      </w:r>
      <w:r w:rsidR="00FA052F">
        <w:rPr>
          <w:rFonts w:ascii="Gill Sans MT" w:hAnsi="Gill Sans MT" w:cs="Tahoma"/>
          <w:sz w:val="24"/>
          <w:szCs w:val="24"/>
        </w:rPr>
        <w:t xml:space="preserve">Ley </w:t>
      </w:r>
      <w:r w:rsidRPr="00E95861">
        <w:rPr>
          <w:rFonts w:ascii="Gill Sans MT" w:hAnsi="Gill Sans MT" w:cs="Tahoma"/>
          <w:sz w:val="24"/>
          <w:szCs w:val="24"/>
        </w:rPr>
        <w:t>975 de 2005, y</w:t>
      </w:r>
      <w:r w:rsidR="002E6392">
        <w:rPr>
          <w:rFonts w:ascii="Gill Sans MT" w:hAnsi="Gill Sans MT" w:cs="Tahoma"/>
          <w:sz w:val="24"/>
          <w:szCs w:val="24"/>
        </w:rPr>
        <w:t xml:space="preserve"> de quienes nada se dice en la </w:t>
      </w:r>
      <w:r w:rsidR="00FA052F">
        <w:rPr>
          <w:rFonts w:ascii="Gill Sans MT" w:hAnsi="Gill Sans MT" w:cs="Tahoma"/>
          <w:sz w:val="24"/>
          <w:szCs w:val="24"/>
        </w:rPr>
        <w:t xml:space="preserve">Ley </w:t>
      </w:r>
      <w:r w:rsidRPr="00E95861">
        <w:rPr>
          <w:rFonts w:ascii="Gill Sans MT" w:hAnsi="Gill Sans MT" w:cs="Tahoma"/>
          <w:sz w:val="24"/>
          <w:szCs w:val="24"/>
        </w:rPr>
        <w:t xml:space="preserve">1820 de 2016. </w:t>
      </w:r>
    </w:p>
    <w:p w:rsidR="003C5A47" w:rsidRPr="00E95861" w:rsidRDefault="003C5A47" w:rsidP="0089774B">
      <w:pPr>
        <w:pStyle w:val="Sinespaciado"/>
        <w:spacing w:line="360" w:lineRule="auto"/>
        <w:rPr>
          <w:rFonts w:ascii="Gill Sans MT" w:hAnsi="Gill Sans MT" w:cs="Tahoma"/>
          <w:sz w:val="24"/>
          <w:szCs w:val="24"/>
        </w:rPr>
      </w:pPr>
    </w:p>
    <w:p w:rsidR="003C5A47" w:rsidRPr="00E95861" w:rsidRDefault="003C5A47"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t>Estas las razones por l</w:t>
      </w:r>
      <w:r w:rsidR="004B2B6A" w:rsidRPr="00E95861">
        <w:rPr>
          <w:rFonts w:ascii="Gill Sans MT" w:hAnsi="Gill Sans MT" w:cs="Tahoma"/>
          <w:sz w:val="24"/>
          <w:szCs w:val="24"/>
        </w:rPr>
        <w:t xml:space="preserve">as que la Fiscalía solicita se </w:t>
      </w:r>
      <w:r w:rsidRPr="00E95861">
        <w:rPr>
          <w:rFonts w:ascii="Gill Sans MT" w:hAnsi="Gill Sans MT" w:cs="Tahoma"/>
          <w:sz w:val="24"/>
          <w:szCs w:val="24"/>
        </w:rPr>
        <w:t xml:space="preserve">niegue la solicitud de libertad condicionada elevada por los postulados </w:t>
      </w:r>
      <w:r w:rsidR="00BA514C" w:rsidRPr="00023471">
        <w:rPr>
          <w:rFonts w:ascii="Gill Sans MT" w:hAnsi="Gill Sans MT" w:cs="Tahoma"/>
          <w:color w:val="000000" w:themeColor="text1"/>
          <w:sz w:val="24"/>
          <w:szCs w:val="24"/>
        </w:rPr>
        <w:t>FERNANDO SEGUNDO FLOREZ, GUSTAVO ESTEVEZ RODRIGUEZ, JOSÉ DEL CARMEN JAIME SOLANO, JOSÉ GILBERTO GARZÓN MASSON y JUAN RAMÓN FERNANDEZ LATORRE</w:t>
      </w:r>
      <w:r w:rsidRPr="00E95861">
        <w:rPr>
          <w:rFonts w:ascii="Gill Sans MT" w:hAnsi="Gill Sans MT" w:cs="Tahoma"/>
          <w:sz w:val="24"/>
          <w:szCs w:val="24"/>
        </w:rPr>
        <w:t xml:space="preserve">, quienes </w:t>
      </w:r>
      <w:r w:rsidR="00D671AE" w:rsidRPr="00E95861">
        <w:rPr>
          <w:rFonts w:ascii="Gill Sans MT" w:hAnsi="Gill Sans MT" w:cs="Tahoma"/>
          <w:sz w:val="24"/>
          <w:szCs w:val="24"/>
        </w:rPr>
        <w:t xml:space="preserve">no son beneficiarios de esta </w:t>
      </w:r>
      <w:r w:rsidR="00FA052F">
        <w:rPr>
          <w:rFonts w:ascii="Gill Sans MT" w:hAnsi="Gill Sans MT" w:cs="Tahoma"/>
          <w:sz w:val="24"/>
          <w:szCs w:val="24"/>
        </w:rPr>
        <w:t xml:space="preserve">Ley </w:t>
      </w:r>
      <w:r w:rsidR="00D671AE" w:rsidRPr="00E95861">
        <w:rPr>
          <w:rFonts w:ascii="Gill Sans MT" w:hAnsi="Gill Sans MT" w:cs="Tahoma"/>
          <w:sz w:val="24"/>
          <w:szCs w:val="24"/>
        </w:rPr>
        <w:t xml:space="preserve">por cuanto </w:t>
      </w:r>
      <w:r w:rsidRPr="00E95861">
        <w:rPr>
          <w:rFonts w:ascii="Gill Sans MT" w:hAnsi="Gill Sans MT" w:cs="Tahoma"/>
          <w:sz w:val="24"/>
          <w:szCs w:val="24"/>
        </w:rPr>
        <w:t>no han hecho parte de la guerrilla de</w:t>
      </w:r>
      <w:r w:rsidR="005714AB" w:rsidRPr="00E95861">
        <w:rPr>
          <w:rFonts w:ascii="Gill Sans MT" w:hAnsi="Gill Sans MT" w:cs="Tahoma"/>
          <w:sz w:val="24"/>
          <w:szCs w:val="24"/>
        </w:rPr>
        <w:t xml:space="preserve"> las </w:t>
      </w:r>
      <w:r w:rsidRPr="00E95861">
        <w:rPr>
          <w:rFonts w:ascii="Gill Sans MT" w:hAnsi="Gill Sans MT" w:cs="Tahoma"/>
          <w:sz w:val="24"/>
          <w:szCs w:val="24"/>
        </w:rPr>
        <w:t>FARC-EP y tampoco han sido condenados por delitos como rebeli</w:t>
      </w:r>
      <w:r w:rsidR="00D671AE" w:rsidRPr="00E95861">
        <w:rPr>
          <w:rFonts w:ascii="Gill Sans MT" w:hAnsi="Gill Sans MT" w:cs="Tahoma"/>
          <w:sz w:val="24"/>
          <w:szCs w:val="24"/>
        </w:rPr>
        <w:t xml:space="preserve">ón, asonada o delitos políticos y conexos. </w:t>
      </w:r>
    </w:p>
    <w:p w:rsidR="00781BC3" w:rsidRPr="00E95861" w:rsidRDefault="00781BC3" w:rsidP="0089774B">
      <w:pPr>
        <w:pStyle w:val="Sinespaciado"/>
        <w:spacing w:line="360" w:lineRule="auto"/>
        <w:rPr>
          <w:rFonts w:ascii="Gill Sans MT" w:hAnsi="Gill Sans MT" w:cs="Tahoma"/>
          <w:b/>
          <w:sz w:val="24"/>
          <w:szCs w:val="24"/>
        </w:rPr>
      </w:pPr>
    </w:p>
    <w:p w:rsidR="00136B2C" w:rsidRPr="00E95861" w:rsidRDefault="00136B2C" w:rsidP="0089774B">
      <w:pPr>
        <w:pStyle w:val="Sinespaciado"/>
        <w:spacing w:line="360" w:lineRule="auto"/>
        <w:rPr>
          <w:rFonts w:ascii="Gill Sans MT" w:hAnsi="Gill Sans MT" w:cs="Tahoma"/>
          <w:b/>
          <w:sz w:val="24"/>
          <w:szCs w:val="24"/>
        </w:rPr>
      </w:pPr>
      <w:r w:rsidRPr="00E95861">
        <w:rPr>
          <w:rFonts w:ascii="Gill Sans MT" w:hAnsi="Gill Sans MT" w:cs="Tahoma"/>
          <w:b/>
          <w:sz w:val="24"/>
          <w:szCs w:val="24"/>
        </w:rPr>
        <w:t>Representante de Víctimas</w:t>
      </w:r>
    </w:p>
    <w:p w:rsidR="00701DAE" w:rsidRPr="00E95861" w:rsidRDefault="00701DAE" w:rsidP="0089774B">
      <w:pPr>
        <w:pStyle w:val="Sinespaciado"/>
        <w:spacing w:line="360" w:lineRule="auto"/>
        <w:rPr>
          <w:rFonts w:ascii="Gill Sans MT" w:hAnsi="Gill Sans MT" w:cs="Tahoma"/>
          <w:sz w:val="24"/>
          <w:szCs w:val="24"/>
        </w:rPr>
      </w:pPr>
    </w:p>
    <w:p w:rsidR="00E21615" w:rsidRPr="00E95861" w:rsidRDefault="00567948" w:rsidP="0089774B">
      <w:pPr>
        <w:pStyle w:val="Sinespaciado"/>
        <w:spacing w:line="360" w:lineRule="auto"/>
        <w:rPr>
          <w:rFonts w:ascii="Gill Sans MT" w:hAnsi="Gill Sans MT" w:cs="Tahoma"/>
          <w:sz w:val="24"/>
          <w:szCs w:val="24"/>
        </w:rPr>
      </w:pPr>
      <w:r>
        <w:rPr>
          <w:rFonts w:ascii="Gill Sans MT" w:hAnsi="Gill Sans MT" w:cs="Tahoma"/>
          <w:sz w:val="24"/>
          <w:szCs w:val="24"/>
        </w:rPr>
        <w:t xml:space="preserve">La </w:t>
      </w:r>
      <w:r w:rsidR="00950430" w:rsidRPr="00E95861">
        <w:rPr>
          <w:rFonts w:ascii="Gill Sans MT" w:hAnsi="Gill Sans MT" w:cs="Tahoma"/>
          <w:sz w:val="24"/>
          <w:szCs w:val="24"/>
        </w:rPr>
        <w:t>R</w:t>
      </w:r>
      <w:r w:rsidR="00136B2C" w:rsidRPr="00E95861">
        <w:rPr>
          <w:rFonts w:ascii="Gill Sans MT" w:hAnsi="Gill Sans MT" w:cs="Tahoma"/>
          <w:sz w:val="24"/>
          <w:szCs w:val="24"/>
        </w:rPr>
        <w:t>epresentante de víctimas de la Defensoría del Pueblo, estuvo de acuerdo con los planteamientos d</w:t>
      </w:r>
      <w:r w:rsidR="00721DA0" w:rsidRPr="00E95861">
        <w:rPr>
          <w:rFonts w:ascii="Gill Sans MT" w:hAnsi="Gill Sans MT" w:cs="Tahoma"/>
          <w:sz w:val="24"/>
          <w:szCs w:val="24"/>
        </w:rPr>
        <w:t xml:space="preserve">e la Fiscalía </w:t>
      </w:r>
      <w:r w:rsidR="00136B2C" w:rsidRPr="00E95861">
        <w:rPr>
          <w:rFonts w:ascii="Gill Sans MT" w:hAnsi="Gill Sans MT" w:cs="Tahoma"/>
          <w:sz w:val="24"/>
          <w:szCs w:val="24"/>
        </w:rPr>
        <w:t xml:space="preserve">de negar la solicitud de libertad condicionada para </w:t>
      </w:r>
      <w:r w:rsidR="00950430" w:rsidRPr="00E95861">
        <w:rPr>
          <w:rFonts w:ascii="Gill Sans MT" w:hAnsi="Gill Sans MT" w:cs="Tahoma"/>
          <w:sz w:val="24"/>
          <w:szCs w:val="24"/>
        </w:rPr>
        <w:t xml:space="preserve">los </w:t>
      </w:r>
      <w:r w:rsidR="00136B2C" w:rsidRPr="00E95861">
        <w:rPr>
          <w:rFonts w:ascii="Gill Sans MT" w:hAnsi="Gill Sans MT" w:cs="Tahoma"/>
          <w:sz w:val="24"/>
          <w:szCs w:val="24"/>
        </w:rPr>
        <w:t>postulado</w:t>
      </w:r>
      <w:r w:rsidR="00950430" w:rsidRPr="00E95861">
        <w:rPr>
          <w:rFonts w:ascii="Gill Sans MT" w:hAnsi="Gill Sans MT" w:cs="Tahoma"/>
          <w:sz w:val="24"/>
          <w:szCs w:val="24"/>
        </w:rPr>
        <w:t xml:space="preserve">s, </w:t>
      </w:r>
      <w:r w:rsidR="00136B2C" w:rsidRPr="00E95861">
        <w:rPr>
          <w:rFonts w:ascii="Gill Sans MT" w:hAnsi="Gill Sans MT" w:cs="Tahoma"/>
          <w:sz w:val="24"/>
          <w:szCs w:val="24"/>
        </w:rPr>
        <w:t xml:space="preserve">y reiteró que el ámbito de aplicación personal de la </w:t>
      </w:r>
      <w:r w:rsidR="00FA052F">
        <w:rPr>
          <w:rFonts w:ascii="Gill Sans MT" w:hAnsi="Gill Sans MT" w:cs="Tahoma"/>
          <w:sz w:val="24"/>
          <w:szCs w:val="24"/>
        </w:rPr>
        <w:t xml:space="preserve">Ley </w:t>
      </w:r>
      <w:r w:rsidR="00136B2C" w:rsidRPr="00E95861">
        <w:rPr>
          <w:rFonts w:ascii="Gill Sans MT" w:hAnsi="Gill Sans MT" w:cs="Tahoma"/>
          <w:sz w:val="24"/>
          <w:szCs w:val="24"/>
        </w:rPr>
        <w:t>1820 de 2016 es para “</w:t>
      </w:r>
      <w:r w:rsidR="00136B2C" w:rsidRPr="00E95861">
        <w:rPr>
          <w:rFonts w:ascii="Gill Sans MT" w:hAnsi="Gill Sans MT" w:cs="Tahoma"/>
          <w:i/>
          <w:sz w:val="24"/>
          <w:szCs w:val="24"/>
        </w:rPr>
        <w:t>aquellos que hayan firmado un acuerdo de paz”</w:t>
      </w:r>
      <w:r w:rsidR="00136B2C" w:rsidRPr="00E95861">
        <w:rPr>
          <w:rFonts w:ascii="Gill Sans MT" w:hAnsi="Gill Sans MT" w:cs="Tahoma"/>
          <w:sz w:val="24"/>
          <w:szCs w:val="24"/>
        </w:rPr>
        <w:t xml:space="preserve"> con el Gobierno nacional.</w:t>
      </w:r>
    </w:p>
    <w:p w:rsidR="00646B89" w:rsidRPr="00E95861" w:rsidRDefault="00646B89" w:rsidP="0089774B">
      <w:pPr>
        <w:pStyle w:val="Sinespaciado"/>
        <w:spacing w:line="360" w:lineRule="auto"/>
        <w:rPr>
          <w:rFonts w:ascii="Gill Sans MT" w:hAnsi="Gill Sans MT" w:cs="Tahoma"/>
          <w:sz w:val="24"/>
          <w:szCs w:val="24"/>
        </w:rPr>
      </w:pPr>
    </w:p>
    <w:p w:rsidR="000D5B3D" w:rsidRPr="00E95861" w:rsidRDefault="000D5B3D" w:rsidP="0089774B">
      <w:pPr>
        <w:pStyle w:val="Sinespaciado"/>
        <w:spacing w:line="360" w:lineRule="auto"/>
        <w:rPr>
          <w:rFonts w:ascii="Gill Sans MT" w:hAnsi="Gill Sans MT" w:cs="Tahoma"/>
          <w:b/>
          <w:sz w:val="24"/>
          <w:szCs w:val="24"/>
        </w:rPr>
      </w:pPr>
      <w:r w:rsidRPr="00E95861">
        <w:rPr>
          <w:rFonts w:ascii="Gill Sans MT" w:hAnsi="Gill Sans MT" w:cs="Tahoma"/>
          <w:b/>
          <w:sz w:val="24"/>
          <w:szCs w:val="24"/>
        </w:rPr>
        <w:t xml:space="preserve">Los postulados: </w:t>
      </w:r>
    </w:p>
    <w:p w:rsidR="00646B89" w:rsidRDefault="00646B89" w:rsidP="0089774B">
      <w:pPr>
        <w:pStyle w:val="Sinespaciado"/>
        <w:spacing w:line="360" w:lineRule="auto"/>
        <w:rPr>
          <w:rFonts w:ascii="Gill Sans MT" w:hAnsi="Gill Sans MT" w:cs="Tahoma"/>
          <w:color w:val="000000" w:themeColor="text1"/>
          <w:sz w:val="24"/>
          <w:szCs w:val="24"/>
        </w:rPr>
      </w:pPr>
    </w:p>
    <w:p w:rsidR="00C22441" w:rsidRDefault="00C80941" w:rsidP="0089774B">
      <w:pPr>
        <w:pStyle w:val="Sinespaciado"/>
        <w:spacing w:line="360" w:lineRule="auto"/>
        <w:rPr>
          <w:rFonts w:ascii="Gill Sans MT" w:hAnsi="Gill Sans MT" w:cs="Tahoma"/>
          <w:color w:val="000000" w:themeColor="text1"/>
          <w:sz w:val="24"/>
          <w:szCs w:val="24"/>
        </w:rPr>
      </w:pPr>
      <w:r w:rsidRPr="00C80941">
        <w:rPr>
          <w:rFonts w:ascii="Gill Sans MT" w:hAnsi="Gill Sans MT" w:cs="Tahoma"/>
          <w:color w:val="000000" w:themeColor="text1"/>
          <w:sz w:val="24"/>
          <w:szCs w:val="24"/>
        </w:rPr>
        <w:t>El</w:t>
      </w:r>
      <w:r>
        <w:rPr>
          <w:rFonts w:ascii="Gill Sans MT" w:hAnsi="Gill Sans MT" w:cs="Tahoma"/>
          <w:color w:val="000000" w:themeColor="text1"/>
          <w:sz w:val="24"/>
          <w:szCs w:val="24"/>
        </w:rPr>
        <w:t xml:space="preserve"> postulado </w:t>
      </w:r>
      <w:r w:rsidRPr="00023471">
        <w:rPr>
          <w:rFonts w:ascii="Gill Sans MT" w:hAnsi="Gill Sans MT" w:cs="Tahoma"/>
          <w:color w:val="000000" w:themeColor="text1"/>
          <w:sz w:val="24"/>
          <w:szCs w:val="24"/>
        </w:rPr>
        <w:t>JOSÉ GILBERTO GARZÓN MASSON</w:t>
      </w:r>
      <w:r>
        <w:rPr>
          <w:rFonts w:ascii="Gill Sans MT" w:hAnsi="Gill Sans MT" w:cs="Tahoma"/>
          <w:color w:val="000000" w:themeColor="text1"/>
          <w:sz w:val="24"/>
          <w:szCs w:val="24"/>
        </w:rPr>
        <w:t>, indicó que tiene una condena por el delito de sedici</w:t>
      </w:r>
      <w:r w:rsidR="00C22441">
        <w:rPr>
          <w:rFonts w:ascii="Gill Sans MT" w:hAnsi="Gill Sans MT" w:cs="Tahoma"/>
          <w:color w:val="000000" w:themeColor="text1"/>
          <w:sz w:val="24"/>
          <w:szCs w:val="24"/>
        </w:rPr>
        <w:t xml:space="preserve">ón, circunstancia que </w:t>
      </w:r>
      <w:r>
        <w:rPr>
          <w:rFonts w:ascii="Gill Sans MT" w:hAnsi="Gill Sans MT" w:cs="Tahoma"/>
          <w:color w:val="000000" w:themeColor="text1"/>
          <w:sz w:val="24"/>
          <w:szCs w:val="24"/>
        </w:rPr>
        <w:t>en su sentir sería suficiente p</w:t>
      </w:r>
      <w:r w:rsidR="00C22441">
        <w:rPr>
          <w:rFonts w:ascii="Gill Sans MT" w:hAnsi="Gill Sans MT" w:cs="Tahoma"/>
          <w:color w:val="000000" w:themeColor="text1"/>
          <w:sz w:val="24"/>
          <w:szCs w:val="24"/>
        </w:rPr>
        <w:t>ara acceder al beneficio de la L</w:t>
      </w:r>
      <w:r>
        <w:rPr>
          <w:rFonts w:ascii="Gill Sans MT" w:hAnsi="Gill Sans MT" w:cs="Tahoma"/>
          <w:color w:val="000000" w:themeColor="text1"/>
          <w:sz w:val="24"/>
          <w:szCs w:val="24"/>
        </w:rPr>
        <w:t>ey 1820 de 2016</w:t>
      </w:r>
      <w:r w:rsidR="00C22441">
        <w:rPr>
          <w:rFonts w:ascii="Gill Sans MT" w:hAnsi="Gill Sans MT" w:cs="Tahoma"/>
          <w:color w:val="000000" w:themeColor="text1"/>
          <w:sz w:val="24"/>
          <w:szCs w:val="24"/>
        </w:rPr>
        <w:t xml:space="preserve">, además, dice, que como ex integrante de las AUC también hizo </w:t>
      </w:r>
      <w:r w:rsidR="00C22441">
        <w:rPr>
          <w:rFonts w:ascii="Gill Sans MT" w:hAnsi="Gill Sans MT" w:cs="Tahoma"/>
          <w:color w:val="000000" w:themeColor="text1"/>
          <w:sz w:val="24"/>
          <w:szCs w:val="24"/>
        </w:rPr>
        <w:lastRenderedPageBreak/>
        <w:t>parte del conflicto armado, pues no solo las FARC-EP pueden ser considerados como tal, pues ellos también hicieron parte de un proceso de paz con el Gobierno nacional de</w:t>
      </w:r>
      <w:r w:rsidR="00646B89">
        <w:rPr>
          <w:rFonts w:ascii="Gill Sans MT" w:hAnsi="Gill Sans MT" w:cs="Tahoma"/>
          <w:color w:val="000000" w:themeColor="text1"/>
          <w:sz w:val="24"/>
          <w:szCs w:val="24"/>
        </w:rPr>
        <w:t xml:space="preserve"> </w:t>
      </w:r>
      <w:r w:rsidR="00C22441">
        <w:rPr>
          <w:rFonts w:ascii="Gill Sans MT" w:hAnsi="Gill Sans MT" w:cs="Tahoma"/>
          <w:color w:val="000000" w:themeColor="text1"/>
          <w:sz w:val="24"/>
          <w:szCs w:val="24"/>
        </w:rPr>
        <w:t xml:space="preserve">la época, se desmovilizaron y entregaron sus armas. </w:t>
      </w:r>
    </w:p>
    <w:p w:rsidR="00C22441" w:rsidRDefault="00C22441" w:rsidP="0089774B">
      <w:pPr>
        <w:pStyle w:val="Sinespaciado"/>
        <w:spacing w:line="360" w:lineRule="auto"/>
        <w:rPr>
          <w:rFonts w:ascii="Gill Sans MT" w:hAnsi="Gill Sans MT" w:cs="Tahoma"/>
          <w:color w:val="000000" w:themeColor="text1"/>
          <w:sz w:val="24"/>
          <w:szCs w:val="24"/>
        </w:rPr>
      </w:pPr>
    </w:p>
    <w:p w:rsidR="00C22441" w:rsidRPr="00D22E10" w:rsidRDefault="00C22441" w:rsidP="0089774B">
      <w:pPr>
        <w:pStyle w:val="Sinespaciado"/>
        <w:spacing w:line="360" w:lineRule="auto"/>
        <w:rPr>
          <w:rFonts w:ascii="Gill Sans MT" w:hAnsi="Gill Sans MT" w:cs="Tahoma"/>
          <w:color w:val="000000" w:themeColor="text1"/>
          <w:sz w:val="24"/>
          <w:szCs w:val="24"/>
        </w:rPr>
      </w:pPr>
      <w:r w:rsidRPr="00D22E10">
        <w:rPr>
          <w:rFonts w:ascii="Gill Sans MT" w:hAnsi="Gill Sans MT" w:cs="Tahoma"/>
          <w:color w:val="000000" w:themeColor="text1"/>
          <w:sz w:val="24"/>
          <w:szCs w:val="24"/>
        </w:rPr>
        <w:t xml:space="preserve">Los demás postulados le cedieron el turno al abogado defensor. </w:t>
      </w:r>
    </w:p>
    <w:p w:rsidR="00140EE1" w:rsidRPr="00D22E10" w:rsidRDefault="00140EE1" w:rsidP="0089774B">
      <w:pPr>
        <w:pStyle w:val="Sinespaciado"/>
        <w:spacing w:line="360" w:lineRule="auto"/>
        <w:rPr>
          <w:rFonts w:ascii="Gill Sans MT" w:hAnsi="Gill Sans MT" w:cs="Tahoma"/>
          <w:color w:val="000000" w:themeColor="text1"/>
          <w:sz w:val="24"/>
          <w:szCs w:val="24"/>
        </w:rPr>
      </w:pPr>
    </w:p>
    <w:p w:rsidR="009012AC" w:rsidRPr="00D22E10" w:rsidRDefault="00DC2C13" w:rsidP="0089774B">
      <w:pPr>
        <w:pStyle w:val="Sinespaciado"/>
        <w:spacing w:line="360" w:lineRule="auto"/>
        <w:rPr>
          <w:rFonts w:ascii="Gill Sans MT" w:hAnsi="Gill Sans MT" w:cs="Tahoma"/>
          <w:b/>
          <w:sz w:val="24"/>
          <w:szCs w:val="24"/>
        </w:rPr>
      </w:pPr>
      <w:r w:rsidRPr="00D22E10">
        <w:rPr>
          <w:rFonts w:ascii="Gill Sans MT" w:hAnsi="Gill Sans MT" w:cs="Tahoma"/>
          <w:b/>
          <w:sz w:val="24"/>
          <w:szCs w:val="24"/>
        </w:rPr>
        <w:t xml:space="preserve">El </w:t>
      </w:r>
      <w:r w:rsidR="009012AC" w:rsidRPr="00D22E10">
        <w:rPr>
          <w:rFonts w:ascii="Gill Sans MT" w:hAnsi="Gill Sans MT" w:cs="Tahoma"/>
          <w:b/>
          <w:sz w:val="24"/>
          <w:szCs w:val="24"/>
        </w:rPr>
        <w:t>Defensor de</w:t>
      </w:r>
      <w:r w:rsidR="00A63DBE" w:rsidRPr="00D22E10">
        <w:rPr>
          <w:rFonts w:ascii="Gill Sans MT" w:hAnsi="Gill Sans MT" w:cs="Tahoma"/>
          <w:b/>
          <w:sz w:val="24"/>
          <w:szCs w:val="24"/>
        </w:rPr>
        <w:t xml:space="preserve"> </w:t>
      </w:r>
      <w:r w:rsidR="009012AC" w:rsidRPr="00D22E10">
        <w:rPr>
          <w:rFonts w:ascii="Gill Sans MT" w:hAnsi="Gill Sans MT" w:cs="Tahoma"/>
          <w:b/>
          <w:sz w:val="24"/>
          <w:szCs w:val="24"/>
        </w:rPr>
        <w:t>l</w:t>
      </w:r>
      <w:r w:rsidR="00A63DBE" w:rsidRPr="00D22E10">
        <w:rPr>
          <w:rFonts w:ascii="Gill Sans MT" w:hAnsi="Gill Sans MT" w:cs="Tahoma"/>
          <w:b/>
          <w:sz w:val="24"/>
          <w:szCs w:val="24"/>
        </w:rPr>
        <w:t>os</w:t>
      </w:r>
      <w:r w:rsidR="009012AC" w:rsidRPr="00D22E10">
        <w:rPr>
          <w:rFonts w:ascii="Gill Sans MT" w:hAnsi="Gill Sans MT" w:cs="Tahoma"/>
          <w:b/>
          <w:sz w:val="24"/>
          <w:szCs w:val="24"/>
        </w:rPr>
        <w:t xml:space="preserve"> postulado</w:t>
      </w:r>
      <w:r w:rsidR="00A63DBE" w:rsidRPr="00D22E10">
        <w:rPr>
          <w:rFonts w:ascii="Gill Sans MT" w:hAnsi="Gill Sans MT" w:cs="Tahoma"/>
          <w:b/>
          <w:sz w:val="24"/>
          <w:szCs w:val="24"/>
        </w:rPr>
        <w:t>s</w:t>
      </w:r>
    </w:p>
    <w:p w:rsidR="00701DAE" w:rsidRPr="00D22E10" w:rsidRDefault="00701DAE" w:rsidP="0089774B">
      <w:pPr>
        <w:pStyle w:val="Sinespaciado"/>
        <w:spacing w:line="360" w:lineRule="auto"/>
        <w:rPr>
          <w:rFonts w:ascii="Gill Sans MT" w:hAnsi="Gill Sans MT" w:cs="Tahoma"/>
          <w:sz w:val="24"/>
          <w:szCs w:val="24"/>
        </w:rPr>
      </w:pPr>
    </w:p>
    <w:p w:rsidR="00822808" w:rsidRPr="00E95861" w:rsidRDefault="00822808" w:rsidP="0089774B">
      <w:pPr>
        <w:pStyle w:val="Sinespaciado"/>
        <w:spacing w:line="360" w:lineRule="auto"/>
        <w:rPr>
          <w:rFonts w:ascii="Gill Sans MT" w:hAnsi="Gill Sans MT" w:cs="Tahoma"/>
          <w:sz w:val="24"/>
          <w:szCs w:val="24"/>
        </w:rPr>
      </w:pPr>
      <w:r w:rsidRPr="00D22E10">
        <w:rPr>
          <w:rFonts w:ascii="Gill Sans MT" w:hAnsi="Gill Sans MT" w:cs="Tahoma"/>
          <w:sz w:val="24"/>
          <w:szCs w:val="24"/>
        </w:rPr>
        <w:t xml:space="preserve">La defensa considera que la </w:t>
      </w:r>
      <w:r w:rsidR="00FA052F" w:rsidRPr="00D22E10">
        <w:rPr>
          <w:rFonts w:ascii="Gill Sans MT" w:hAnsi="Gill Sans MT" w:cs="Tahoma"/>
          <w:sz w:val="24"/>
          <w:szCs w:val="24"/>
        </w:rPr>
        <w:t xml:space="preserve">Ley </w:t>
      </w:r>
      <w:r w:rsidRPr="00D22E10">
        <w:rPr>
          <w:rFonts w:ascii="Gill Sans MT" w:hAnsi="Gill Sans MT" w:cs="Tahoma"/>
          <w:sz w:val="24"/>
          <w:szCs w:val="24"/>
        </w:rPr>
        <w:t>1820 de 2016</w:t>
      </w:r>
      <w:r w:rsidR="00657183" w:rsidRPr="00D22E10">
        <w:rPr>
          <w:rFonts w:ascii="Gill Sans MT" w:hAnsi="Gill Sans MT" w:cs="Tahoma"/>
          <w:sz w:val="24"/>
          <w:szCs w:val="24"/>
        </w:rPr>
        <w:t>, antes de ser exclusiva para lo</w:t>
      </w:r>
      <w:r w:rsidRPr="00D22E10">
        <w:rPr>
          <w:rFonts w:ascii="Gill Sans MT" w:hAnsi="Gill Sans MT" w:cs="Tahoma"/>
          <w:sz w:val="24"/>
          <w:szCs w:val="24"/>
        </w:rPr>
        <w:t>s ex integrantes de las FARC-EP, es una norma incluyente, pues le permite a todos los actores del conflicto armado acceder a sus beneficios, y as</w:t>
      </w:r>
      <w:r w:rsidR="008D6E7A" w:rsidRPr="00D22E10">
        <w:rPr>
          <w:rFonts w:ascii="Gill Sans MT" w:hAnsi="Gill Sans MT" w:cs="Tahoma"/>
          <w:sz w:val="24"/>
          <w:szCs w:val="24"/>
        </w:rPr>
        <w:t>í</w:t>
      </w:r>
      <w:r w:rsidRPr="00D22E10">
        <w:rPr>
          <w:rFonts w:ascii="Gill Sans MT" w:hAnsi="Gill Sans MT" w:cs="Tahoma"/>
          <w:sz w:val="24"/>
          <w:szCs w:val="24"/>
        </w:rPr>
        <w:t xml:space="preserve"> lo ha expresado la Sala de Casación Penal de la Corte Suprema de Justicia en los pronunciamientos que sobre este tema ha te</w:t>
      </w:r>
      <w:r w:rsidR="008D7090" w:rsidRPr="00D22E10">
        <w:rPr>
          <w:rFonts w:ascii="Gill Sans MT" w:hAnsi="Gill Sans MT" w:cs="Tahoma"/>
          <w:sz w:val="24"/>
          <w:szCs w:val="24"/>
        </w:rPr>
        <w:t>nido la oportunidad de decidir, incluso en decisiones de este mismo Tribunal.</w:t>
      </w:r>
      <w:r w:rsidR="008D7090" w:rsidRPr="00E95861">
        <w:rPr>
          <w:rFonts w:ascii="Gill Sans MT" w:hAnsi="Gill Sans MT" w:cs="Tahoma"/>
          <w:sz w:val="24"/>
          <w:szCs w:val="24"/>
        </w:rPr>
        <w:t xml:space="preserve"> </w:t>
      </w:r>
    </w:p>
    <w:p w:rsidR="00822808" w:rsidRPr="00E95861" w:rsidRDefault="00822808" w:rsidP="0089774B">
      <w:pPr>
        <w:pStyle w:val="Sinespaciado"/>
        <w:spacing w:line="360" w:lineRule="auto"/>
        <w:rPr>
          <w:rFonts w:ascii="Gill Sans MT" w:hAnsi="Gill Sans MT" w:cs="Tahoma"/>
          <w:sz w:val="24"/>
          <w:szCs w:val="24"/>
        </w:rPr>
      </w:pPr>
    </w:p>
    <w:p w:rsidR="003C4751" w:rsidRPr="00E95861" w:rsidRDefault="00D22E10" w:rsidP="0089774B">
      <w:pPr>
        <w:pStyle w:val="Sinespaciado"/>
        <w:spacing w:line="360" w:lineRule="auto"/>
        <w:rPr>
          <w:rFonts w:ascii="Gill Sans MT" w:hAnsi="Gill Sans MT" w:cs="Tahoma"/>
          <w:sz w:val="24"/>
          <w:szCs w:val="24"/>
        </w:rPr>
      </w:pPr>
      <w:r>
        <w:rPr>
          <w:rFonts w:ascii="Gill Sans MT" w:hAnsi="Gill Sans MT" w:cs="Tahoma"/>
          <w:sz w:val="24"/>
          <w:szCs w:val="24"/>
        </w:rPr>
        <w:t>E</w:t>
      </w:r>
      <w:r w:rsidR="009E2564" w:rsidRPr="00E95861">
        <w:rPr>
          <w:rFonts w:ascii="Gill Sans MT" w:hAnsi="Gill Sans MT" w:cs="Tahoma"/>
          <w:sz w:val="24"/>
          <w:szCs w:val="24"/>
        </w:rPr>
        <w:t xml:space="preserve">stima el señor defensor, </w:t>
      </w:r>
      <w:r w:rsidR="0058656A" w:rsidRPr="00E95861">
        <w:rPr>
          <w:rFonts w:ascii="Gill Sans MT" w:hAnsi="Gill Sans MT" w:cs="Tahoma"/>
          <w:sz w:val="24"/>
          <w:szCs w:val="24"/>
        </w:rPr>
        <w:t xml:space="preserve">que </w:t>
      </w:r>
      <w:r w:rsidR="009E2564" w:rsidRPr="00E95861">
        <w:rPr>
          <w:rFonts w:ascii="Gill Sans MT" w:hAnsi="Gill Sans MT" w:cs="Tahoma"/>
          <w:sz w:val="24"/>
          <w:szCs w:val="24"/>
        </w:rPr>
        <w:t xml:space="preserve">esta </w:t>
      </w:r>
      <w:r w:rsidR="00FA052F">
        <w:rPr>
          <w:rFonts w:ascii="Gill Sans MT" w:hAnsi="Gill Sans MT" w:cs="Tahoma"/>
          <w:sz w:val="24"/>
          <w:szCs w:val="24"/>
        </w:rPr>
        <w:t xml:space="preserve">Ley </w:t>
      </w:r>
      <w:r w:rsidR="009E2564" w:rsidRPr="00E95861">
        <w:rPr>
          <w:rFonts w:ascii="Gill Sans MT" w:hAnsi="Gill Sans MT" w:cs="Tahoma"/>
          <w:sz w:val="24"/>
          <w:szCs w:val="24"/>
        </w:rPr>
        <w:t xml:space="preserve">también va dirigida para los postulados </w:t>
      </w:r>
      <w:r w:rsidR="0058656A" w:rsidRPr="00E95861">
        <w:rPr>
          <w:rFonts w:ascii="Gill Sans MT" w:hAnsi="Gill Sans MT" w:cs="Tahoma"/>
          <w:sz w:val="24"/>
          <w:szCs w:val="24"/>
        </w:rPr>
        <w:t xml:space="preserve">a </w:t>
      </w:r>
      <w:r w:rsidR="009E2564" w:rsidRPr="00E95861">
        <w:rPr>
          <w:rFonts w:ascii="Gill Sans MT" w:hAnsi="Gill Sans MT" w:cs="Tahoma"/>
          <w:sz w:val="24"/>
          <w:szCs w:val="24"/>
        </w:rPr>
        <w:t xml:space="preserve">la </w:t>
      </w:r>
      <w:r w:rsidR="00FA052F">
        <w:rPr>
          <w:rFonts w:ascii="Gill Sans MT" w:hAnsi="Gill Sans MT" w:cs="Tahoma"/>
          <w:sz w:val="24"/>
          <w:szCs w:val="24"/>
        </w:rPr>
        <w:t xml:space="preserve">Ley </w:t>
      </w:r>
      <w:r w:rsidR="009E2564" w:rsidRPr="00E95861">
        <w:rPr>
          <w:rFonts w:ascii="Gill Sans MT" w:hAnsi="Gill Sans MT" w:cs="Tahoma"/>
          <w:sz w:val="24"/>
          <w:szCs w:val="24"/>
        </w:rPr>
        <w:t>de Justicia y P</w:t>
      </w:r>
      <w:r w:rsidR="003B5F87" w:rsidRPr="00E95861">
        <w:rPr>
          <w:rFonts w:ascii="Gill Sans MT" w:hAnsi="Gill Sans MT" w:cs="Tahoma"/>
          <w:sz w:val="24"/>
          <w:szCs w:val="24"/>
        </w:rPr>
        <w:t>az, y es así, como el</w:t>
      </w:r>
      <w:r w:rsidR="003C4751" w:rsidRPr="00E95861">
        <w:rPr>
          <w:rFonts w:ascii="Gill Sans MT" w:hAnsi="Gill Sans MT" w:cs="Tahoma"/>
          <w:sz w:val="24"/>
          <w:szCs w:val="24"/>
        </w:rPr>
        <w:t xml:space="preserve"> te</w:t>
      </w:r>
      <w:r w:rsidR="003B5F87" w:rsidRPr="00E95861">
        <w:rPr>
          <w:rFonts w:ascii="Gill Sans MT" w:hAnsi="Gill Sans MT" w:cs="Tahoma"/>
          <w:sz w:val="24"/>
          <w:szCs w:val="24"/>
        </w:rPr>
        <w:t>xt</w:t>
      </w:r>
      <w:r w:rsidR="003C4751" w:rsidRPr="00E95861">
        <w:rPr>
          <w:rFonts w:ascii="Gill Sans MT" w:hAnsi="Gill Sans MT" w:cs="Tahoma"/>
          <w:sz w:val="24"/>
          <w:szCs w:val="24"/>
        </w:rPr>
        <w:t>o</w:t>
      </w:r>
      <w:r w:rsidR="003B5F87" w:rsidRPr="00E95861">
        <w:rPr>
          <w:rFonts w:ascii="Gill Sans MT" w:hAnsi="Gill Sans MT" w:cs="Tahoma"/>
          <w:sz w:val="24"/>
          <w:szCs w:val="24"/>
        </w:rPr>
        <w:t xml:space="preserve"> de la norma</w:t>
      </w:r>
      <w:r w:rsidR="003C4751" w:rsidRPr="00E95861">
        <w:rPr>
          <w:rFonts w:ascii="Gill Sans MT" w:hAnsi="Gill Sans MT" w:cs="Tahoma"/>
          <w:sz w:val="24"/>
          <w:szCs w:val="24"/>
        </w:rPr>
        <w:t xml:space="preserve"> señal</w:t>
      </w:r>
      <w:r w:rsidR="0058656A" w:rsidRPr="00E95861">
        <w:rPr>
          <w:rFonts w:ascii="Gill Sans MT" w:hAnsi="Gill Sans MT" w:cs="Tahoma"/>
          <w:sz w:val="24"/>
          <w:szCs w:val="24"/>
        </w:rPr>
        <w:t>a</w:t>
      </w:r>
      <w:r w:rsidR="003C4751" w:rsidRPr="00E95861">
        <w:rPr>
          <w:rFonts w:ascii="Gill Sans MT" w:hAnsi="Gill Sans MT" w:cs="Tahoma"/>
          <w:sz w:val="24"/>
          <w:szCs w:val="24"/>
        </w:rPr>
        <w:t xml:space="preserve"> que sus destinatario</w:t>
      </w:r>
      <w:r w:rsidR="0058656A" w:rsidRPr="00E95861">
        <w:rPr>
          <w:rFonts w:ascii="Gill Sans MT" w:hAnsi="Gill Sans MT" w:cs="Tahoma"/>
          <w:sz w:val="24"/>
          <w:szCs w:val="24"/>
        </w:rPr>
        <w:t>s</w:t>
      </w:r>
      <w:r w:rsidR="003C4751" w:rsidRPr="00E95861">
        <w:rPr>
          <w:rFonts w:ascii="Gill Sans MT" w:hAnsi="Gill Sans MT" w:cs="Tahoma"/>
          <w:sz w:val="24"/>
          <w:szCs w:val="24"/>
        </w:rPr>
        <w:t xml:space="preserve"> </w:t>
      </w:r>
      <w:r w:rsidR="0058656A" w:rsidRPr="00E95861">
        <w:rPr>
          <w:rFonts w:ascii="Gill Sans MT" w:hAnsi="Gill Sans MT" w:cs="Tahoma"/>
          <w:sz w:val="24"/>
          <w:szCs w:val="24"/>
        </w:rPr>
        <w:t xml:space="preserve">son </w:t>
      </w:r>
      <w:r w:rsidR="003C4751" w:rsidRPr="00E95861">
        <w:rPr>
          <w:rFonts w:ascii="Gill Sans MT" w:hAnsi="Gill Sans MT" w:cs="Tahoma"/>
          <w:sz w:val="24"/>
          <w:szCs w:val="24"/>
        </w:rPr>
        <w:t>cualquiera de las personas que se encuentran en las varias jurisdicciones</w:t>
      </w:r>
      <w:r w:rsidR="003B5F87" w:rsidRPr="00E95861">
        <w:rPr>
          <w:rFonts w:ascii="Gill Sans MT" w:hAnsi="Gill Sans MT" w:cs="Tahoma"/>
          <w:sz w:val="24"/>
          <w:szCs w:val="24"/>
        </w:rPr>
        <w:t>,</w:t>
      </w:r>
      <w:r w:rsidR="003C4751" w:rsidRPr="00E95861">
        <w:rPr>
          <w:rFonts w:ascii="Gill Sans MT" w:hAnsi="Gill Sans MT" w:cs="Tahoma"/>
          <w:sz w:val="24"/>
          <w:szCs w:val="24"/>
        </w:rPr>
        <w:t xml:space="preserve"> y eso incluye tanto la ordin</w:t>
      </w:r>
      <w:r w:rsidR="0058656A" w:rsidRPr="00E95861">
        <w:rPr>
          <w:rFonts w:ascii="Gill Sans MT" w:hAnsi="Gill Sans MT" w:cs="Tahoma"/>
          <w:sz w:val="24"/>
          <w:szCs w:val="24"/>
        </w:rPr>
        <w:t>aria como a la jurisdicción de J</w:t>
      </w:r>
      <w:r w:rsidR="003C4751" w:rsidRPr="00E95861">
        <w:rPr>
          <w:rFonts w:ascii="Gill Sans MT" w:hAnsi="Gill Sans MT" w:cs="Tahoma"/>
          <w:sz w:val="24"/>
          <w:szCs w:val="24"/>
        </w:rPr>
        <w:t xml:space="preserve">usticia y </w:t>
      </w:r>
      <w:r w:rsidR="0058656A" w:rsidRPr="00E95861">
        <w:rPr>
          <w:rFonts w:ascii="Gill Sans MT" w:hAnsi="Gill Sans MT" w:cs="Tahoma"/>
          <w:sz w:val="24"/>
          <w:szCs w:val="24"/>
        </w:rPr>
        <w:t>P</w:t>
      </w:r>
      <w:r w:rsidR="003C4751" w:rsidRPr="00E95861">
        <w:rPr>
          <w:rFonts w:ascii="Gill Sans MT" w:hAnsi="Gill Sans MT" w:cs="Tahoma"/>
          <w:sz w:val="24"/>
          <w:szCs w:val="24"/>
        </w:rPr>
        <w:t>az</w:t>
      </w:r>
      <w:r w:rsidR="0058656A" w:rsidRPr="00E95861">
        <w:rPr>
          <w:rFonts w:ascii="Gill Sans MT" w:hAnsi="Gill Sans MT" w:cs="Tahoma"/>
          <w:sz w:val="24"/>
          <w:szCs w:val="24"/>
        </w:rPr>
        <w:t>,</w:t>
      </w:r>
      <w:r w:rsidR="003C4751" w:rsidRPr="00E95861">
        <w:rPr>
          <w:rFonts w:ascii="Gill Sans MT" w:hAnsi="Gill Sans MT" w:cs="Tahoma"/>
          <w:sz w:val="24"/>
          <w:szCs w:val="24"/>
        </w:rPr>
        <w:t xml:space="preserve"> y específicamente </w:t>
      </w:r>
      <w:r w:rsidR="003B5F87" w:rsidRPr="00E95861">
        <w:rPr>
          <w:rFonts w:ascii="Gill Sans MT" w:hAnsi="Gill Sans MT" w:cs="Tahoma"/>
          <w:sz w:val="24"/>
          <w:szCs w:val="24"/>
        </w:rPr>
        <w:t xml:space="preserve">para </w:t>
      </w:r>
      <w:r w:rsidR="003C4751" w:rsidRPr="00E95861">
        <w:rPr>
          <w:rFonts w:ascii="Gill Sans MT" w:hAnsi="Gill Sans MT" w:cs="Tahoma"/>
          <w:sz w:val="24"/>
          <w:szCs w:val="24"/>
        </w:rPr>
        <w:t xml:space="preserve">quienes hayan celebrado un acuerdo </w:t>
      </w:r>
      <w:r w:rsidR="003B5F87" w:rsidRPr="00E95861">
        <w:rPr>
          <w:rFonts w:ascii="Gill Sans MT" w:hAnsi="Gill Sans MT" w:cs="Tahoma"/>
          <w:sz w:val="24"/>
          <w:szCs w:val="24"/>
        </w:rPr>
        <w:t xml:space="preserve">de paz con el Gobierno nacional. </w:t>
      </w:r>
    </w:p>
    <w:p w:rsidR="00405DB1" w:rsidRPr="00E95861" w:rsidRDefault="00405DB1" w:rsidP="0089774B">
      <w:pPr>
        <w:pStyle w:val="Sinespaciado"/>
        <w:spacing w:line="360" w:lineRule="auto"/>
        <w:rPr>
          <w:rFonts w:ascii="Gill Sans MT" w:hAnsi="Gill Sans MT" w:cs="Tahoma"/>
          <w:sz w:val="24"/>
          <w:szCs w:val="24"/>
        </w:rPr>
      </w:pPr>
    </w:p>
    <w:p w:rsidR="00336372" w:rsidRPr="00E95861" w:rsidRDefault="00691126"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t xml:space="preserve">Aduce que ya la jurisprudencia de la Sala de Casación Penal de la Corte Suprema de Justicia, ha sido clara en señalar quiénes </w:t>
      </w:r>
      <w:r w:rsidR="00E508CB" w:rsidRPr="00E95861">
        <w:rPr>
          <w:rFonts w:ascii="Gill Sans MT" w:hAnsi="Gill Sans MT" w:cs="Tahoma"/>
          <w:sz w:val="24"/>
          <w:szCs w:val="24"/>
        </w:rPr>
        <w:t xml:space="preserve">son destinarios de la </w:t>
      </w:r>
      <w:r w:rsidR="00FA052F">
        <w:rPr>
          <w:rFonts w:ascii="Gill Sans MT" w:hAnsi="Gill Sans MT" w:cs="Tahoma"/>
          <w:sz w:val="24"/>
          <w:szCs w:val="24"/>
        </w:rPr>
        <w:t xml:space="preserve">Ley </w:t>
      </w:r>
      <w:r w:rsidRPr="00E95861">
        <w:rPr>
          <w:rFonts w:ascii="Gill Sans MT" w:hAnsi="Gill Sans MT" w:cs="Tahoma"/>
          <w:sz w:val="24"/>
          <w:szCs w:val="24"/>
        </w:rPr>
        <w:t>1820</w:t>
      </w:r>
      <w:r w:rsidR="00BA16AB" w:rsidRPr="00E95861">
        <w:rPr>
          <w:rFonts w:ascii="Gill Sans MT" w:hAnsi="Gill Sans MT" w:cs="Tahoma"/>
          <w:sz w:val="24"/>
          <w:szCs w:val="24"/>
        </w:rPr>
        <w:t>,</w:t>
      </w:r>
      <w:r w:rsidR="00B674AE" w:rsidRPr="00E95861">
        <w:rPr>
          <w:rFonts w:ascii="Gill Sans MT" w:hAnsi="Gill Sans MT" w:cs="Tahoma"/>
          <w:sz w:val="24"/>
          <w:szCs w:val="24"/>
        </w:rPr>
        <w:t xml:space="preserve"> e indicó que </w:t>
      </w:r>
      <w:r w:rsidR="00061958" w:rsidRPr="00E95861">
        <w:rPr>
          <w:rFonts w:ascii="Gill Sans MT" w:hAnsi="Gill Sans MT" w:cs="Tahoma"/>
          <w:sz w:val="24"/>
          <w:szCs w:val="24"/>
        </w:rPr>
        <w:t xml:space="preserve">son todos aquellos integrantes y ex integrantes de las </w:t>
      </w:r>
      <w:r w:rsidR="00B674AE" w:rsidRPr="00E95861">
        <w:rPr>
          <w:rFonts w:ascii="Gill Sans MT" w:hAnsi="Gill Sans MT" w:cs="Tahoma"/>
          <w:sz w:val="24"/>
          <w:szCs w:val="24"/>
        </w:rPr>
        <w:t xml:space="preserve">FARC-EP, </w:t>
      </w:r>
      <w:r w:rsidR="00061958" w:rsidRPr="00E95861">
        <w:rPr>
          <w:rFonts w:ascii="Gill Sans MT" w:hAnsi="Gill Sans MT" w:cs="Tahoma"/>
          <w:sz w:val="24"/>
          <w:szCs w:val="24"/>
        </w:rPr>
        <w:t xml:space="preserve">y </w:t>
      </w:r>
      <w:r w:rsidR="00B674AE" w:rsidRPr="00E95861">
        <w:rPr>
          <w:rFonts w:ascii="Gill Sans MT" w:hAnsi="Gill Sans MT" w:cs="Tahoma"/>
          <w:sz w:val="24"/>
          <w:szCs w:val="24"/>
        </w:rPr>
        <w:t xml:space="preserve">aquellas personas y ex integrantes que </w:t>
      </w:r>
      <w:r w:rsidR="00C975AB" w:rsidRPr="00E95861">
        <w:rPr>
          <w:rFonts w:ascii="Gill Sans MT" w:hAnsi="Gill Sans MT" w:cs="Tahoma"/>
          <w:sz w:val="24"/>
          <w:szCs w:val="24"/>
        </w:rPr>
        <w:t>de manera directa o indirecta</w:t>
      </w:r>
      <w:r w:rsidR="00B674AE" w:rsidRPr="00E95861">
        <w:rPr>
          <w:rFonts w:ascii="Gill Sans MT" w:hAnsi="Gill Sans MT" w:cs="Tahoma"/>
          <w:sz w:val="24"/>
          <w:szCs w:val="24"/>
        </w:rPr>
        <w:t xml:space="preserve"> hicieron</w:t>
      </w:r>
      <w:r w:rsidR="00C975AB" w:rsidRPr="00E95861">
        <w:rPr>
          <w:rFonts w:ascii="Gill Sans MT" w:hAnsi="Gill Sans MT" w:cs="Tahoma"/>
          <w:sz w:val="24"/>
          <w:szCs w:val="24"/>
        </w:rPr>
        <w:t xml:space="preserve"> parte del conflicto armado. </w:t>
      </w:r>
      <w:r w:rsidR="001A2F1C" w:rsidRPr="00E95861">
        <w:rPr>
          <w:rFonts w:ascii="Gill Sans MT" w:hAnsi="Gill Sans MT" w:cs="Tahoma"/>
          <w:sz w:val="24"/>
          <w:szCs w:val="24"/>
        </w:rPr>
        <w:t xml:space="preserve">Para sustentar este argumento, el señor defensor le dio lectura a la parte considerativa del auto proferido el </w:t>
      </w:r>
      <w:r w:rsidR="000F7EB6" w:rsidRPr="00E95861">
        <w:rPr>
          <w:rFonts w:ascii="Gill Sans MT" w:hAnsi="Gill Sans MT" w:cs="Tahoma"/>
          <w:sz w:val="24"/>
          <w:szCs w:val="24"/>
        </w:rPr>
        <w:t>3 de mayo de 2017, radicado 49891.</w:t>
      </w:r>
    </w:p>
    <w:p w:rsidR="00C975AB" w:rsidRPr="00E95861" w:rsidRDefault="00C975AB" w:rsidP="0089774B">
      <w:pPr>
        <w:pStyle w:val="Sinespaciado"/>
        <w:spacing w:line="360" w:lineRule="auto"/>
        <w:rPr>
          <w:rFonts w:ascii="Gill Sans MT" w:hAnsi="Gill Sans MT" w:cs="Tahoma"/>
          <w:sz w:val="24"/>
          <w:szCs w:val="24"/>
        </w:rPr>
      </w:pPr>
    </w:p>
    <w:p w:rsidR="00210F22" w:rsidRPr="00E95861" w:rsidRDefault="00061958"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t xml:space="preserve">Del </w:t>
      </w:r>
      <w:r w:rsidR="00B75CC7" w:rsidRPr="00E95861">
        <w:rPr>
          <w:rFonts w:ascii="Gill Sans MT" w:hAnsi="Gill Sans MT" w:cs="Tahoma"/>
          <w:sz w:val="24"/>
          <w:szCs w:val="24"/>
        </w:rPr>
        <w:t>art</w:t>
      </w:r>
      <w:r w:rsidR="004066DD" w:rsidRPr="00E95861">
        <w:rPr>
          <w:rFonts w:ascii="Gill Sans MT" w:hAnsi="Gill Sans MT" w:cs="Tahoma"/>
          <w:sz w:val="24"/>
          <w:szCs w:val="24"/>
        </w:rPr>
        <w:t xml:space="preserve">ículo 2, sobre el objeto y ámbito de aplicación de </w:t>
      </w:r>
      <w:r w:rsidR="00B75CC7" w:rsidRPr="00E95861">
        <w:rPr>
          <w:rFonts w:ascii="Gill Sans MT" w:hAnsi="Gill Sans MT" w:cs="Tahoma"/>
          <w:sz w:val="24"/>
          <w:szCs w:val="24"/>
        </w:rPr>
        <w:t xml:space="preserve">la </w:t>
      </w:r>
      <w:r w:rsidR="00FA052F">
        <w:rPr>
          <w:rFonts w:ascii="Gill Sans MT" w:hAnsi="Gill Sans MT" w:cs="Tahoma"/>
          <w:sz w:val="24"/>
          <w:szCs w:val="24"/>
        </w:rPr>
        <w:t xml:space="preserve">Ley </w:t>
      </w:r>
      <w:r w:rsidR="00B75CC7" w:rsidRPr="00E95861">
        <w:rPr>
          <w:rFonts w:ascii="Gill Sans MT" w:hAnsi="Gill Sans MT" w:cs="Tahoma"/>
          <w:sz w:val="24"/>
          <w:szCs w:val="24"/>
        </w:rPr>
        <w:t>1820 de 2016, indic</w:t>
      </w:r>
      <w:r w:rsidRPr="00E95861">
        <w:rPr>
          <w:rFonts w:ascii="Gill Sans MT" w:hAnsi="Gill Sans MT" w:cs="Tahoma"/>
          <w:sz w:val="24"/>
          <w:szCs w:val="24"/>
        </w:rPr>
        <w:t>ó</w:t>
      </w:r>
      <w:r w:rsidR="00B75CC7" w:rsidRPr="00E95861">
        <w:rPr>
          <w:rFonts w:ascii="Gill Sans MT" w:hAnsi="Gill Sans MT" w:cs="Tahoma"/>
          <w:sz w:val="24"/>
          <w:szCs w:val="24"/>
        </w:rPr>
        <w:t xml:space="preserve"> el señor defen</w:t>
      </w:r>
      <w:r w:rsidR="00873587" w:rsidRPr="00E95861">
        <w:rPr>
          <w:rFonts w:ascii="Gill Sans MT" w:hAnsi="Gill Sans MT" w:cs="Tahoma"/>
          <w:sz w:val="24"/>
          <w:szCs w:val="24"/>
        </w:rPr>
        <w:t>sor que esta norma es</w:t>
      </w:r>
      <w:r w:rsidR="004066DD" w:rsidRPr="00E95861">
        <w:rPr>
          <w:rFonts w:ascii="Gill Sans MT" w:hAnsi="Gill Sans MT" w:cs="Tahoma"/>
          <w:sz w:val="24"/>
          <w:szCs w:val="24"/>
        </w:rPr>
        <w:t xml:space="preserve"> clara cuando dice que va dirigida “</w:t>
      </w:r>
      <w:r w:rsidR="004066DD" w:rsidRPr="00E95861">
        <w:rPr>
          <w:rFonts w:ascii="Gill Sans MT" w:hAnsi="Gill Sans MT" w:cs="Tahoma"/>
          <w:i/>
          <w:sz w:val="24"/>
          <w:szCs w:val="24"/>
        </w:rPr>
        <w:t>…en especial para agentes del estado que hayan sido condenados, procesados o señalados de cometer conductas punibles por causa con ocasión o en relación directa o indirecta con el conflicto armado</w:t>
      </w:r>
      <w:r w:rsidR="00752385" w:rsidRPr="00E95861">
        <w:rPr>
          <w:rFonts w:ascii="Gill Sans MT" w:hAnsi="Gill Sans MT" w:cs="Tahoma"/>
          <w:i/>
          <w:sz w:val="24"/>
          <w:szCs w:val="24"/>
        </w:rPr>
        <w:t>.</w:t>
      </w:r>
      <w:r w:rsidR="004066DD" w:rsidRPr="00E95861">
        <w:rPr>
          <w:rFonts w:ascii="Gill Sans MT" w:hAnsi="Gill Sans MT" w:cs="Tahoma"/>
          <w:i/>
          <w:sz w:val="24"/>
          <w:szCs w:val="24"/>
        </w:rPr>
        <w:t>”</w:t>
      </w:r>
      <w:r w:rsidR="00752385" w:rsidRPr="00E95861">
        <w:rPr>
          <w:rFonts w:ascii="Gill Sans MT" w:hAnsi="Gill Sans MT" w:cs="Tahoma"/>
          <w:i/>
          <w:sz w:val="24"/>
          <w:szCs w:val="24"/>
        </w:rPr>
        <w:t xml:space="preserve">, </w:t>
      </w:r>
      <w:r w:rsidR="00750B00" w:rsidRPr="00E95861">
        <w:rPr>
          <w:rFonts w:ascii="Gill Sans MT" w:hAnsi="Gill Sans MT" w:cs="Tahoma"/>
          <w:sz w:val="24"/>
          <w:szCs w:val="24"/>
        </w:rPr>
        <w:t xml:space="preserve">y </w:t>
      </w:r>
      <w:r w:rsidR="00752385" w:rsidRPr="00E95861">
        <w:rPr>
          <w:rFonts w:ascii="Gill Sans MT" w:hAnsi="Gill Sans MT" w:cs="Tahoma"/>
          <w:sz w:val="24"/>
          <w:szCs w:val="24"/>
        </w:rPr>
        <w:t xml:space="preserve">llama la atención sobre la palabra </w:t>
      </w:r>
      <w:r w:rsidR="00752385" w:rsidRPr="00E95861">
        <w:rPr>
          <w:rFonts w:ascii="Gill Sans MT" w:hAnsi="Gill Sans MT" w:cs="Tahoma"/>
          <w:i/>
          <w:sz w:val="24"/>
          <w:szCs w:val="24"/>
        </w:rPr>
        <w:t xml:space="preserve">“en especial”, </w:t>
      </w:r>
      <w:r w:rsidR="00752385" w:rsidRPr="00E95861">
        <w:rPr>
          <w:rFonts w:ascii="Gill Sans MT" w:hAnsi="Gill Sans MT" w:cs="Tahoma"/>
          <w:sz w:val="24"/>
          <w:szCs w:val="24"/>
        </w:rPr>
        <w:t xml:space="preserve">que significa que se incluye a los demás actores del </w:t>
      </w:r>
      <w:r w:rsidR="00752385" w:rsidRPr="00E95861">
        <w:rPr>
          <w:rFonts w:ascii="Gill Sans MT" w:hAnsi="Gill Sans MT" w:cs="Tahoma"/>
          <w:sz w:val="24"/>
          <w:szCs w:val="24"/>
        </w:rPr>
        <w:lastRenderedPageBreak/>
        <w:t xml:space="preserve">conflicto armado, en este caso los ex integrantes de </w:t>
      </w:r>
      <w:r w:rsidRPr="00E95861">
        <w:rPr>
          <w:rFonts w:ascii="Gill Sans MT" w:hAnsi="Gill Sans MT" w:cs="Tahoma"/>
          <w:sz w:val="24"/>
          <w:szCs w:val="24"/>
        </w:rPr>
        <w:t>las AUC, y se pregunta</w:t>
      </w:r>
      <w:r w:rsidR="00D7266C">
        <w:rPr>
          <w:rFonts w:ascii="Gill Sans MT" w:hAnsi="Gill Sans MT" w:cs="Tahoma"/>
          <w:sz w:val="24"/>
          <w:szCs w:val="24"/>
        </w:rPr>
        <w:t xml:space="preserve"> entonces, quie</w:t>
      </w:r>
      <w:r w:rsidR="00D7266C" w:rsidRPr="00E95861">
        <w:rPr>
          <w:rFonts w:ascii="Gill Sans MT" w:hAnsi="Gill Sans MT" w:cs="Tahoma"/>
          <w:sz w:val="24"/>
          <w:szCs w:val="24"/>
        </w:rPr>
        <w:t>nes</w:t>
      </w:r>
      <w:r w:rsidR="00752385" w:rsidRPr="00E95861">
        <w:rPr>
          <w:rFonts w:ascii="Gill Sans MT" w:hAnsi="Gill Sans MT" w:cs="Tahoma"/>
          <w:sz w:val="24"/>
          <w:szCs w:val="24"/>
        </w:rPr>
        <w:t xml:space="preserve"> más han tenido una relación directa con el conflicto armado sino los </w:t>
      </w:r>
      <w:r w:rsidR="00210F22" w:rsidRPr="00E95861">
        <w:rPr>
          <w:rFonts w:ascii="Gill Sans MT" w:hAnsi="Gill Sans MT" w:cs="Tahoma"/>
          <w:sz w:val="24"/>
          <w:szCs w:val="24"/>
        </w:rPr>
        <w:t>miembros de las AUC, quienes se acogieron a un proceso de paz, quienes eran el lado opuesto de la subversión</w:t>
      </w:r>
      <w:r w:rsidR="00D7266C">
        <w:rPr>
          <w:rFonts w:ascii="Gill Sans MT" w:hAnsi="Gill Sans MT" w:cs="Tahoma"/>
          <w:sz w:val="24"/>
          <w:szCs w:val="24"/>
        </w:rPr>
        <w:t>?</w:t>
      </w:r>
      <w:r w:rsidR="00210F22" w:rsidRPr="00E95861">
        <w:rPr>
          <w:rFonts w:ascii="Gill Sans MT" w:hAnsi="Gill Sans MT" w:cs="Tahoma"/>
          <w:sz w:val="24"/>
          <w:szCs w:val="24"/>
        </w:rPr>
        <w:t xml:space="preserve">, que los enfrentaron en su afán de tomarse el país y las instituciones. </w:t>
      </w:r>
    </w:p>
    <w:p w:rsidR="00210F22" w:rsidRPr="00E95861" w:rsidRDefault="00210F22" w:rsidP="0089774B">
      <w:pPr>
        <w:pStyle w:val="Sinespaciado"/>
        <w:spacing w:line="360" w:lineRule="auto"/>
        <w:rPr>
          <w:rFonts w:ascii="Gill Sans MT" w:hAnsi="Gill Sans MT" w:cs="Tahoma"/>
          <w:sz w:val="24"/>
          <w:szCs w:val="24"/>
        </w:rPr>
      </w:pPr>
    </w:p>
    <w:p w:rsidR="00FD7E57" w:rsidRPr="00E95861" w:rsidRDefault="00F404DF" w:rsidP="0089774B">
      <w:pPr>
        <w:pStyle w:val="Sinespaciado"/>
        <w:spacing w:line="360" w:lineRule="auto"/>
        <w:rPr>
          <w:rFonts w:ascii="Gill Sans MT" w:hAnsi="Gill Sans MT" w:cs="Tahoma"/>
          <w:i/>
          <w:sz w:val="24"/>
          <w:szCs w:val="24"/>
        </w:rPr>
      </w:pPr>
      <w:r w:rsidRPr="00E95861">
        <w:rPr>
          <w:rFonts w:ascii="Gill Sans MT" w:hAnsi="Gill Sans MT" w:cs="Tahoma"/>
          <w:sz w:val="24"/>
          <w:szCs w:val="24"/>
        </w:rPr>
        <w:t xml:space="preserve">El señor defensor también dio lectura al artículo 3, que establece el ámbito de aplicación de la </w:t>
      </w:r>
      <w:r w:rsidR="00FA052F">
        <w:rPr>
          <w:rFonts w:ascii="Gill Sans MT" w:hAnsi="Gill Sans MT" w:cs="Tahoma"/>
          <w:sz w:val="24"/>
          <w:szCs w:val="24"/>
        </w:rPr>
        <w:t xml:space="preserve">Ley </w:t>
      </w:r>
      <w:r w:rsidRPr="00E95861">
        <w:rPr>
          <w:rFonts w:ascii="Gill Sans MT" w:hAnsi="Gill Sans MT" w:cs="Tahoma"/>
          <w:sz w:val="24"/>
          <w:szCs w:val="24"/>
        </w:rPr>
        <w:t xml:space="preserve">1820 de 2016, para concluir que </w:t>
      </w:r>
      <w:r w:rsidR="00061958" w:rsidRPr="00E95861">
        <w:rPr>
          <w:rFonts w:ascii="Gill Sans MT" w:hAnsi="Gill Sans MT" w:cs="Tahoma"/>
          <w:sz w:val="24"/>
          <w:szCs w:val="24"/>
        </w:rPr>
        <w:t>esta norma no admite duda y que s</w:t>
      </w:r>
      <w:r w:rsidR="00750B00" w:rsidRPr="00E95861">
        <w:rPr>
          <w:rFonts w:ascii="Gill Sans MT" w:hAnsi="Gill Sans MT" w:cs="Tahoma"/>
          <w:sz w:val="24"/>
          <w:szCs w:val="24"/>
        </w:rPr>
        <w:t>e “</w:t>
      </w:r>
      <w:r w:rsidR="00750B00" w:rsidRPr="00E95861">
        <w:rPr>
          <w:rFonts w:ascii="Gill Sans MT" w:hAnsi="Gill Sans MT" w:cs="Tahoma"/>
          <w:i/>
          <w:sz w:val="24"/>
          <w:szCs w:val="24"/>
        </w:rPr>
        <w:t xml:space="preserve">…aplicará de forma diferenciada e inescindible a todos quienes, habiendo participado de manera directa o indirecta en el conflicto armado, hayan sido condenado, procesados o señalados de cometer conductas punibles por causa, con ocasión o en relación directa o indirecta con el conflicto armado cometidas con anterioridad a la entrada en vigencia del acuerdo final…” </w:t>
      </w:r>
    </w:p>
    <w:p w:rsidR="00750B00" w:rsidRPr="00E95861" w:rsidRDefault="00750B00" w:rsidP="0089774B">
      <w:pPr>
        <w:pStyle w:val="Sinespaciado"/>
        <w:spacing w:line="360" w:lineRule="auto"/>
        <w:rPr>
          <w:rFonts w:ascii="Gill Sans MT" w:hAnsi="Gill Sans MT" w:cs="Tahoma"/>
          <w:sz w:val="24"/>
          <w:szCs w:val="24"/>
        </w:rPr>
      </w:pPr>
    </w:p>
    <w:p w:rsidR="00750B00" w:rsidRPr="00E95861" w:rsidRDefault="00A76056" w:rsidP="0089774B">
      <w:pPr>
        <w:pStyle w:val="Sinespaciado"/>
        <w:spacing w:line="360" w:lineRule="auto"/>
        <w:rPr>
          <w:rFonts w:ascii="Gill Sans MT" w:hAnsi="Gill Sans MT" w:cs="Tahoma"/>
          <w:sz w:val="24"/>
          <w:szCs w:val="24"/>
        </w:rPr>
      </w:pPr>
      <w:r>
        <w:rPr>
          <w:rFonts w:ascii="Gill Sans MT" w:hAnsi="Gill Sans MT" w:cs="Tahoma"/>
          <w:sz w:val="24"/>
          <w:szCs w:val="24"/>
        </w:rPr>
        <w:t xml:space="preserve">Para el defensor, lo </w:t>
      </w:r>
      <w:r w:rsidR="00750B00" w:rsidRPr="00E95861">
        <w:rPr>
          <w:rFonts w:ascii="Gill Sans MT" w:hAnsi="Gill Sans MT" w:cs="Tahoma"/>
          <w:sz w:val="24"/>
          <w:szCs w:val="24"/>
        </w:rPr>
        <w:t>anterior</w:t>
      </w:r>
      <w:r>
        <w:rPr>
          <w:rFonts w:ascii="Gill Sans MT" w:hAnsi="Gill Sans MT" w:cs="Tahoma"/>
          <w:sz w:val="24"/>
          <w:szCs w:val="24"/>
        </w:rPr>
        <w:t xml:space="preserve"> quiere significar, </w:t>
      </w:r>
      <w:r w:rsidR="00750B00" w:rsidRPr="00E95861">
        <w:rPr>
          <w:rFonts w:ascii="Gill Sans MT" w:hAnsi="Gill Sans MT" w:cs="Tahoma"/>
          <w:sz w:val="24"/>
          <w:szCs w:val="24"/>
        </w:rPr>
        <w:t xml:space="preserve">que esta </w:t>
      </w:r>
      <w:r w:rsidR="00FA052F">
        <w:rPr>
          <w:rFonts w:ascii="Gill Sans MT" w:hAnsi="Gill Sans MT" w:cs="Tahoma"/>
          <w:sz w:val="24"/>
          <w:szCs w:val="24"/>
        </w:rPr>
        <w:t xml:space="preserve">Ley </w:t>
      </w:r>
      <w:r w:rsidR="00750B00" w:rsidRPr="00E95861">
        <w:rPr>
          <w:rFonts w:ascii="Gill Sans MT" w:hAnsi="Gill Sans MT" w:cs="Tahoma"/>
          <w:sz w:val="24"/>
          <w:szCs w:val="24"/>
        </w:rPr>
        <w:t xml:space="preserve">no solo está direccionada para los miembros de las FARC-EP, sino para todos aquellos actores que </w:t>
      </w:r>
      <w:r w:rsidR="00981702" w:rsidRPr="00E95861">
        <w:rPr>
          <w:rFonts w:ascii="Gill Sans MT" w:hAnsi="Gill Sans MT" w:cs="Tahoma"/>
          <w:sz w:val="24"/>
          <w:szCs w:val="24"/>
        </w:rPr>
        <w:t xml:space="preserve">han participado del </w:t>
      </w:r>
      <w:r w:rsidR="00750B00" w:rsidRPr="00E95861">
        <w:rPr>
          <w:rFonts w:ascii="Gill Sans MT" w:hAnsi="Gill Sans MT" w:cs="Tahoma"/>
          <w:sz w:val="24"/>
          <w:szCs w:val="24"/>
        </w:rPr>
        <w:t xml:space="preserve">conflicto armado </w:t>
      </w:r>
      <w:r w:rsidR="007116B6" w:rsidRPr="00E95861">
        <w:rPr>
          <w:rFonts w:ascii="Gill Sans MT" w:hAnsi="Gill Sans MT" w:cs="Tahoma"/>
          <w:sz w:val="24"/>
          <w:szCs w:val="24"/>
        </w:rPr>
        <w:t xml:space="preserve">y han cometido delitos antes del 24 de noviembre de 2016, cuando fue suscrito el acuerdo final para la paz. </w:t>
      </w:r>
    </w:p>
    <w:p w:rsidR="00B46033" w:rsidRPr="00E95861" w:rsidRDefault="00B46033" w:rsidP="0089774B">
      <w:pPr>
        <w:pStyle w:val="Sinespaciado"/>
        <w:spacing w:line="360" w:lineRule="auto"/>
        <w:rPr>
          <w:rFonts w:ascii="Gill Sans MT" w:hAnsi="Gill Sans MT" w:cs="Tahoma"/>
          <w:sz w:val="24"/>
          <w:szCs w:val="24"/>
        </w:rPr>
      </w:pPr>
    </w:p>
    <w:p w:rsidR="0073699C" w:rsidRPr="00E95861" w:rsidRDefault="0073699C"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t>Finalmente, el señor defensor presentó las hojas de vida de cada uno de los postulados y solicitó la conexidad de</w:t>
      </w:r>
      <w:r w:rsidR="00283A2A" w:rsidRPr="00E95861">
        <w:rPr>
          <w:rFonts w:ascii="Gill Sans MT" w:hAnsi="Gill Sans MT" w:cs="Tahoma"/>
          <w:sz w:val="24"/>
          <w:szCs w:val="24"/>
        </w:rPr>
        <w:t xml:space="preserve"> los hechos por los cuales se les dictó medida de aseguramiento en la jurisdicción de Justicia y Paz y de la</w:t>
      </w:r>
      <w:r w:rsidRPr="00E95861">
        <w:rPr>
          <w:rFonts w:ascii="Gill Sans MT" w:hAnsi="Gill Sans MT" w:cs="Tahoma"/>
          <w:sz w:val="24"/>
          <w:szCs w:val="24"/>
        </w:rPr>
        <w:t xml:space="preserve">s sentencias que han sido proferidas en la justicia ordinaria, para lo cual hizo una relación de cada una de las decisiones, y se pronunció frente al cumplimiento de los demás requisitos establecidos en la </w:t>
      </w:r>
      <w:r w:rsidR="00FA052F">
        <w:rPr>
          <w:rFonts w:ascii="Gill Sans MT" w:hAnsi="Gill Sans MT" w:cs="Tahoma"/>
          <w:sz w:val="24"/>
          <w:szCs w:val="24"/>
        </w:rPr>
        <w:t xml:space="preserve">Ley </w:t>
      </w:r>
      <w:r w:rsidRPr="00E95861">
        <w:rPr>
          <w:rFonts w:ascii="Gill Sans MT" w:hAnsi="Gill Sans MT" w:cs="Tahoma"/>
          <w:sz w:val="24"/>
          <w:szCs w:val="24"/>
        </w:rPr>
        <w:t xml:space="preserve">1820 de 2016, esto es, que </w:t>
      </w:r>
      <w:r w:rsidR="00790A33" w:rsidRPr="00E95861">
        <w:rPr>
          <w:rFonts w:ascii="Gill Sans MT" w:hAnsi="Gill Sans MT" w:cs="Tahoma"/>
          <w:sz w:val="24"/>
          <w:szCs w:val="24"/>
        </w:rPr>
        <w:t xml:space="preserve">sus representados </w:t>
      </w:r>
      <w:r w:rsidRPr="00E95861">
        <w:rPr>
          <w:rFonts w:ascii="Gill Sans MT" w:hAnsi="Gill Sans MT" w:cs="Tahoma"/>
          <w:sz w:val="24"/>
          <w:szCs w:val="24"/>
        </w:rPr>
        <w:t>llevan más de 5 años privados de la libertad</w:t>
      </w:r>
      <w:r w:rsidR="00F94E51" w:rsidRPr="00E95861">
        <w:rPr>
          <w:rFonts w:ascii="Gill Sans MT" w:hAnsi="Gill Sans MT" w:cs="Tahoma"/>
          <w:sz w:val="24"/>
          <w:szCs w:val="24"/>
        </w:rPr>
        <w:t xml:space="preserve">, que los hechos por los cuales se encuentran condenados fueron cometidos antes del 1 de diciembre de 2016 </w:t>
      </w:r>
      <w:r w:rsidRPr="00E95861">
        <w:rPr>
          <w:rFonts w:ascii="Gill Sans MT" w:hAnsi="Gill Sans MT" w:cs="Tahoma"/>
          <w:sz w:val="24"/>
          <w:szCs w:val="24"/>
        </w:rPr>
        <w:t xml:space="preserve"> y </w:t>
      </w:r>
      <w:r w:rsidR="00F94E51" w:rsidRPr="00E95861">
        <w:rPr>
          <w:rFonts w:ascii="Gill Sans MT" w:hAnsi="Gill Sans MT" w:cs="Tahoma"/>
          <w:sz w:val="24"/>
          <w:szCs w:val="24"/>
        </w:rPr>
        <w:t xml:space="preserve">que </w:t>
      </w:r>
      <w:r w:rsidRPr="00E95861">
        <w:rPr>
          <w:rFonts w:ascii="Gill Sans MT" w:hAnsi="Gill Sans MT" w:cs="Tahoma"/>
          <w:sz w:val="24"/>
          <w:szCs w:val="24"/>
        </w:rPr>
        <w:t xml:space="preserve">suscribieron </w:t>
      </w:r>
      <w:r w:rsidR="00F94E51" w:rsidRPr="00E95861">
        <w:rPr>
          <w:rFonts w:ascii="Gill Sans MT" w:hAnsi="Gill Sans MT" w:cs="Tahoma"/>
          <w:sz w:val="24"/>
          <w:szCs w:val="24"/>
        </w:rPr>
        <w:t xml:space="preserve">las </w:t>
      </w:r>
      <w:r w:rsidRPr="00E95861">
        <w:rPr>
          <w:rFonts w:ascii="Gill Sans MT" w:hAnsi="Gill Sans MT" w:cs="Tahoma"/>
          <w:sz w:val="24"/>
          <w:szCs w:val="24"/>
        </w:rPr>
        <w:t>correspondiente</w:t>
      </w:r>
      <w:r w:rsidR="00F94E51" w:rsidRPr="00E95861">
        <w:rPr>
          <w:rFonts w:ascii="Gill Sans MT" w:hAnsi="Gill Sans MT" w:cs="Tahoma"/>
          <w:sz w:val="24"/>
          <w:szCs w:val="24"/>
        </w:rPr>
        <w:t>s</w:t>
      </w:r>
      <w:r w:rsidRPr="00E95861">
        <w:rPr>
          <w:rFonts w:ascii="Gill Sans MT" w:hAnsi="Gill Sans MT" w:cs="Tahoma"/>
          <w:sz w:val="24"/>
          <w:szCs w:val="24"/>
        </w:rPr>
        <w:t xml:space="preserve"> acta</w:t>
      </w:r>
      <w:r w:rsidR="00F94E51" w:rsidRPr="00E95861">
        <w:rPr>
          <w:rFonts w:ascii="Gill Sans MT" w:hAnsi="Gill Sans MT" w:cs="Tahoma"/>
          <w:sz w:val="24"/>
          <w:szCs w:val="24"/>
        </w:rPr>
        <w:t>s</w:t>
      </w:r>
      <w:r w:rsidRPr="00E95861">
        <w:rPr>
          <w:rFonts w:ascii="Gill Sans MT" w:hAnsi="Gill Sans MT" w:cs="Tahoma"/>
          <w:sz w:val="24"/>
          <w:szCs w:val="24"/>
        </w:rPr>
        <w:t xml:space="preserve"> de compromiso. </w:t>
      </w:r>
    </w:p>
    <w:p w:rsidR="00D955DD" w:rsidRPr="00E95861" w:rsidRDefault="00D955DD" w:rsidP="0089774B">
      <w:pPr>
        <w:pStyle w:val="Sinespaciado"/>
        <w:spacing w:line="360" w:lineRule="auto"/>
        <w:rPr>
          <w:rFonts w:ascii="Gill Sans MT" w:hAnsi="Gill Sans MT" w:cs="Tahoma"/>
          <w:sz w:val="24"/>
          <w:szCs w:val="24"/>
        </w:rPr>
      </w:pPr>
    </w:p>
    <w:p w:rsidR="009D5CE4" w:rsidRPr="00E95861" w:rsidRDefault="009D5CE4" w:rsidP="0089774B">
      <w:pPr>
        <w:pStyle w:val="Sinespaciado"/>
        <w:spacing w:line="360" w:lineRule="auto"/>
        <w:jc w:val="center"/>
        <w:rPr>
          <w:rFonts w:ascii="Gill Sans MT" w:hAnsi="Gill Sans MT" w:cs="Tahoma"/>
          <w:b/>
          <w:sz w:val="24"/>
          <w:szCs w:val="24"/>
        </w:rPr>
      </w:pPr>
      <w:r w:rsidRPr="00E95861">
        <w:rPr>
          <w:rFonts w:ascii="Gill Sans MT" w:hAnsi="Gill Sans MT" w:cs="Tahoma"/>
          <w:b/>
          <w:sz w:val="24"/>
          <w:szCs w:val="24"/>
        </w:rPr>
        <w:t>CONSIDERACIONES DE LA SALA</w:t>
      </w:r>
    </w:p>
    <w:p w:rsidR="00701DAE" w:rsidRPr="00E95861" w:rsidRDefault="00701DAE" w:rsidP="0089774B">
      <w:pPr>
        <w:pStyle w:val="Sinespaciado"/>
        <w:spacing w:line="360" w:lineRule="auto"/>
        <w:jc w:val="center"/>
        <w:rPr>
          <w:rFonts w:ascii="Gill Sans MT" w:hAnsi="Gill Sans MT" w:cs="Tahoma"/>
          <w:b/>
          <w:sz w:val="24"/>
          <w:szCs w:val="24"/>
        </w:rPr>
      </w:pPr>
    </w:p>
    <w:p w:rsidR="009D5CE4" w:rsidRPr="00E95861" w:rsidRDefault="009D5CE4" w:rsidP="0089774B">
      <w:pPr>
        <w:pStyle w:val="Sinespaciado"/>
        <w:numPr>
          <w:ilvl w:val="0"/>
          <w:numId w:val="2"/>
        </w:numPr>
        <w:spacing w:line="360" w:lineRule="auto"/>
        <w:rPr>
          <w:rFonts w:ascii="Gill Sans MT" w:hAnsi="Gill Sans MT" w:cs="Tahoma"/>
          <w:b/>
          <w:sz w:val="24"/>
          <w:szCs w:val="24"/>
        </w:rPr>
      </w:pPr>
      <w:r w:rsidRPr="00E95861">
        <w:rPr>
          <w:rFonts w:ascii="Gill Sans MT" w:hAnsi="Gill Sans MT" w:cs="Tahoma"/>
          <w:b/>
          <w:sz w:val="24"/>
          <w:szCs w:val="24"/>
        </w:rPr>
        <w:t>Competencia</w:t>
      </w:r>
    </w:p>
    <w:p w:rsidR="00EA3E3A" w:rsidRPr="00E95861" w:rsidRDefault="00EA3E3A" w:rsidP="0089774B">
      <w:pPr>
        <w:spacing w:after="0" w:line="360" w:lineRule="auto"/>
        <w:ind w:firstLine="708"/>
        <w:jc w:val="both"/>
        <w:rPr>
          <w:rFonts w:ascii="Gill Sans MT" w:eastAsia="Malgun Gothic" w:hAnsi="Gill Sans MT" w:cs="Tahoma"/>
          <w:b/>
          <w:sz w:val="24"/>
          <w:szCs w:val="24"/>
          <w:lang w:val="es-ES_tradnl" w:eastAsia="es-CO"/>
        </w:rPr>
      </w:pPr>
    </w:p>
    <w:p w:rsidR="0068525D" w:rsidRPr="00E95861" w:rsidRDefault="0068525D" w:rsidP="0089774B">
      <w:pPr>
        <w:spacing w:after="0" w:line="360" w:lineRule="auto"/>
        <w:jc w:val="both"/>
        <w:rPr>
          <w:rFonts w:ascii="Gill Sans MT" w:eastAsia="Times New Roman" w:hAnsi="Gill Sans MT" w:cs="Tahoma"/>
          <w:color w:val="000000"/>
          <w:sz w:val="24"/>
          <w:szCs w:val="24"/>
          <w:lang w:eastAsia="es-ES"/>
        </w:rPr>
      </w:pPr>
      <w:r w:rsidRPr="00E95861">
        <w:rPr>
          <w:rFonts w:ascii="Gill Sans MT" w:eastAsia="Times New Roman" w:hAnsi="Gill Sans MT" w:cs="Tahoma"/>
          <w:color w:val="000000"/>
          <w:sz w:val="24"/>
          <w:szCs w:val="24"/>
          <w:lang w:eastAsia="es-ES"/>
        </w:rPr>
        <w:t xml:space="preserve">El artículo 11-A del Decreto Reglamentario 277 de 2017, establece el procedimiento que debe adelantarse para las solicitudes de libertad condicional presentadas dentro de las </w:t>
      </w:r>
      <w:r w:rsidRPr="00E95861">
        <w:rPr>
          <w:rFonts w:ascii="Gill Sans MT" w:eastAsia="Times New Roman" w:hAnsi="Gill Sans MT" w:cs="Tahoma"/>
          <w:color w:val="000000"/>
          <w:sz w:val="24"/>
          <w:szCs w:val="24"/>
          <w:lang w:eastAsia="es-ES"/>
        </w:rPr>
        <w:lastRenderedPageBreak/>
        <w:t>actuaciones sometidas a las leyes 906 de 2004 y 1098 de 2006, al cual s</w:t>
      </w:r>
      <w:r w:rsidR="00047EE7" w:rsidRPr="00E95861">
        <w:rPr>
          <w:rFonts w:ascii="Gill Sans MT" w:eastAsia="Times New Roman" w:hAnsi="Gill Sans MT" w:cs="Tahoma"/>
          <w:color w:val="000000"/>
          <w:sz w:val="24"/>
          <w:szCs w:val="24"/>
          <w:lang w:eastAsia="es-ES"/>
        </w:rPr>
        <w:t>e acude, como quiera que en esa</w:t>
      </w:r>
      <w:r w:rsidRPr="00E95861">
        <w:rPr>
          <w:rFonts w:ascii="Gill Sans MT" w:eastAsia="Times New Roman" w:hAnsi="Gill Sans MT" w:cs="Tahoma"/>
          <w:color w:val="000000"/>
          <w:sz w:val="24"/>
          <w:szCs w:val="24"/>
          <w:lang w:eastAsia="es-ES"/>
        </w:rPr>
        <w:t xml:space="preserve"> normatividad no se reglamentó lo relacionado con los procesos que se adelantan en la Jurisdicción de Justicia y Paz, por lo que en atención al principio de complementariedad consagrado en el artículo 62 de la </w:t>
      </w:r>
      <w:r w:rsidR="00FA052F">
        <w:rPr>
          <w:rFonts w:ascii="Gill Sans MT" w:eastAsia="Times New Roman" w:hAnsi="Gill Sans MT" w:cs="Tahoma"/>
          <w:color w:val="000000"/>
          <w:sz w:val="24"/>
          <w:szCs w:val="24"/>
          <w:lang w:eastAsia="es-ES"/>
        </w:rPr>
        <w:t xml:space="preserve">Ley </w:t>
      </w:r>
      <w:r w:rsidRPr="00E95861">
        <w:rPr>
          <w:rFonts w:ascii="Gill Sans MT" w:eastAsia="Times New Roman" w:hAnsi="Gill Sans MT" w:cs="Tahoma"/>
          <w:color w:val="000000"/>
          <w:sz w:val="24"/>
          <w:szCs w:val="24"/>
          <w:lang w:eastAsia="es-ES"/>
        </w:rPr>
        <w:t>975 de 2005, recogido en el artículo 6 del Decreto 3011 de 2013 y en el artículo 1.2.5.1.1.6 del Decreto 1069 de 2015, “</w:t>
      </w:r>
      <w:r w:rsidRPr="00E95861">
        <w:rPr>
          <w:rFonts w:ascii="Gill Sans MT" w:eastAsia="Times New Roman" w:hAnsi="Gill Sans MT" w:cs="Tahoma"/>
          <w:i/>
          <w:iCs/>
          <w:color w:val="000000"/>
          <w:sz w:val="24"/>
          <w:szCs w:val="24"/>
          <w:lang w:eastAsia="es-ES"/>
        </w:rPr>
        <w:t xml:space="preserve">…en lo no previsto de manera específica por la </w:t>
      </w:r>
      <w:r w:rsidR="00FA052F">
        <w:rPr>
          <w:rFonts w:ascii="Gill Sans MT" w:eastAsia="Times New Roman" w:hAnsi="Gill Sans MT" w:cs="Tahoma"/>
          <w:i/>
          <w:iCs/>
          <w:color w:val="000000"/>
          <w:sz w:val="24"/>
          <w:szCs w:val="24"/>
          <w:lang w:eastAsia="es-ES"/>
        </w:rPr>
        <w:t xml:space="preserve">Ley </w:t>
      </w:r>
      <w:r w:rsidRPr="00E95861">
        <w:rPr>
          <w:rFonts w:ascii="Gill Sans MT" w:eastAsia="Times New Roman" w:hAnsi="Gill Sans MT" w:cs="Tahoma"/>
          <w:i/>
          <w:iCs/>
          <w:color w:val="000000"/>
          <w:sz w:val="24"/>
          <w:szCs w:val="24"/>
          <w:lang w:eastAsia="es-ES"/>
        </w:rPr>
        <w:t xml:space="preserve">975 de 2005 y por la </w:t>
      </w:r>
      <w:r w:rsidR="00FA052F">
        <w:rPr>
          <w:rFonts w:ascii="Gill Sans MT" w:eastAsia="Times New Roman" w:hAnsi="Gill Sans MT" w:cs="Tahoma"/>
          <w:i/>
          <w:iCs/>
          <w:color w:val="000000"/>
          <w:sz w:val="24"/>
          <w:szCs w:val="24"/>
          <w:lang w:eastAsia="es-ES"/>
        </w:rPr>
        <w:t xml:space="preserve">Ley </w:t>
      </w:r>
      <w:r w:rsidRPr="00E95861">
        <w:rPr>
          <w:rFonts w:ascii="Gill Sans MT" w:eastAsia="Times New Roman" w:hAnsi="Gill Sans MT" w:cs="Tahoma"/>
          <w:i/>
          <w:iCs/>
          <w:color w:val="000000"/>
          <w:sz w:val="24"/>
          <w:szCs w:val="24"/>
          <w:lang w:eastAsia="es-ES"/>
        </w:rPr>
        <w:t xml:space="preserve">1592 de 2012, se aplicarán las normas de procedimiento penal contenidas la </w:t>
      </w:r>
      <w:r w:rsidR="00FA052F">
        <w:rPr>
          <w:rFonts w:ascii="Gill Sans MT" w:eastAsia="Times New Roman" w:hAnsi="Gill Sans MT" w:cs="Tahoma"/>
          <w:i/>
          <w:iCs/>
          <w:color w:val="000000"/>
          <w:sz w:val="24"/>
          <w:szCs w:val="24"/>
          <w:lang w:eastAsia="es-ES"/>
        </w:rPr>
        <w:t xml:space="preserve">Ley </w:t>
      </w:r>
      <w:r w:rsidRPr="00E95861">
        <w:rPr>
          <w:rFonts w:ascii="Gill Sans MT" w:eastAsia="Times New Roman" w:hAnsi="Gill Sans MT" w:cs="Tahoma"/>
          <w:i/>
          <w:iCs/>
          <w:color w:val="000000"/>
          <w:sz w:val="24"/>
          <w:szCs w:val="24"/>
          <w:lang w:eastAsia="es-ES"/>
        </w:rPr>
        <w:t xml:space="preserve">906 de 2004 y, en lo compatible con la estructura del proceso regulado por aquella, lo dispuesto por la </w:t>
      </w:r>
      <w:r w:rsidR="00FA052F">
        <w:rPr>
          <w:rFonts w:ascii="Gill Sans MT" w:eastAsia="Times New Roman" w:hAnsi="Gill Sans MT" w:cs="Tahoma"/>
          <w:i/>
          <w:iCs/>
          <w:color w:val="000000"/>
          <w:sz w:val="24"/>
          <w:szCs w:val="24"/>
          <w:lang w:eastAsia="es-ES"/>
        </w:rPr>
        <w:t xml:space="preserve">Ley </w:t>
      </w:r>
      <w:r w:rsidRPr="00E95861">
        <w:rPr>
          <w:rFonts w:ascii="Gill Sans MT" w:eastAsia="Times New Roman" w:hAnsi="Gill Sans MT" w:cs="Tahoma"/>
          <w:i/>
          <w:iCs/>
          <w:color w:val="000000"/>
          <w:sz w:val="24"/>
          <w:szCs w:val="24"/>
          <w:lang w:eastAsia="es-ES"/>
        </w:rPr>
        <w:t>600 de 2000…”</w:t>
      </w:r>
    </w:p>
    <w:p w:rsidR="0068525D" w:rsidRPr="00E95861" w:rsidRDefault="0068525D" w:rsidP="0089774B">
      <w:pPr>
        <w:spacing w:after="0" w:line="360" w:lineRule="auto"/>
        <w:jc w:val="both"/>
        <w:rPr>
          <w:rFonts w:ascii="Gill Sans MT" w:eastAsia="Times New Roman" w:hAnsi="Gill Sans MT" w:cs="Tahoma"/>
          <w:color w:val="000000"/>
          <w:sz w:val="24"/>
          <w:szCs w:val="24"/>
          <w:lang w:eastAsia="es-ES"/>
        </w:rPr>
      </w:pPr>
    </w:p>
    <w:p w:rsidR="0068525D" w:rsidRPr="00E95861" w:rsidRDefault="00D41522" w:rsidP="0089774B">
      <w:pPr>
        <w:spacing w:after="0" w:line="360" w:lineRule="auto"/>
        <w:jc w:val="both"/>
        <w:rPr>
          <w:rFonts w:ascii="Gill Sans MT" w:eastAsia="Times New Roman" w:hAnsi="Gill Sans MT" w:cs="Tahoma"/>
          <w:color w:val="000000"/>
          <w:sz w:val="24"/>
          <w:szCs w:val="24"/>
          <w:lang w:eastAsia="es-ES"/>
        </w:rPr>
      </w:pPr>
      <w:r w:rsidRPr="00E95861">
        <w:rPr>
          <w:rFonts w:ascii="Gill Sans MT" w:eastAsia="Times New Roman" w:hAnsi="Gill Sans MT" w:cs="Tahoma"/>
          <w:color w:val="000000"/>
          <w:sz w:val="24"/>
          <w:szCs w:val="24"/>
          <w:lang w:eastAsia="es-ES"/>
        </w:rPr>
        <w:t xml:space="preserve">Es decir, </w:t>
      </w:r>
      <w:r w:rsidR="0068525D" w:rsidRPr="00E95861">
        <w:rPr>
          <w:rFonts w:ascii="Gill Sans MT" w:eastAsia="Times New Roman" w:hAnsi="Gill Sans MT" w:cs="Tahoma"/>
          <w:color w:val="000000"/>
          <w:sz w:val="24"/>
          <w:szCs w:val="24"/>
          <w:lang w:eastAsia="es-ES"/>
        </w:rPr>
        <w:t xml:space="preserve">que el procedimiento que debe adelantar la Sala para resolver las solicitudes de libertad condicionada, es el previsto para leyes 906 de 2004 y 1098 de 2006, </w:t>
      </w:r>
      <w:r w:rsidR="00AA3226" w:rsidRPr="00E95861">
        <w:rPr>
          <w:rFonts w:ascii="Gill Sans MT" w:eastAsia="Times New Roman" w:hAnsi="Gill Sans MT" w:cs="Tahoma"/>
          <w:color w:val="000000"/>
          <w:sz w:val="24"/>
          <w:szCs w:val="24"/>
          <w:lang w:eastAsia="es-ES"/>
        </w:rPr>
        <w:t xml:space="preserve">y la </w:t>
      </w:r>
      <w:r w:rsidR="0068525D" w:rsidRPr="00E95861">
        <w:rPr>
          <w:rFonts w:ascii="Gill Sans MT" w:eastAsia="Times New Roman" w:hAnsi="Gill Sans MT" w:cs="Tahoma"/>
          <w:color w:val="000000"/>
          <w:sz w:val="24"/>
          <w:szCs w:val="24"/>
          <w:lang w:eastAsia="es-ES"/>
        </w:rPr>
        <w:t>competencia radica en el juez que al momento de la solicitud, tenga el proceso a disposición del cual se encuentra el peticionario, en el que se ha radicado el escrito de acusación o está en etapa de juzgamiento. </w:t>
      </w:r>
    </w:p>
    <w:p w:rsidR="0068525D" w:rsidRPr="00E95861" w:rsidRDefault="0068525D" w:rsidP="0089774B">
      <w:pPr>
        <w:spacing w:after="0" w:line="360" w:lineRule="auto"/>
        <w:rPr>
          <w:rFonts w:ascii="Gill Sans MT" w:eastAsia="Times New Roman" w:hAnsi="Gill Sans MT" w:cs="Tahoma"/>
          <w:color w:val="000000"/>
          <w:sz w:val="24"/>
          <w:szCs w:val="24"/>
          <w:lang w:eastAsia="es-ES"/>
        </w:rPr>
      </w:pPr>
    </w:p>
    <w:p w:rsidR="0068525D" w:rsidRPr="00E95861" w:rsidRDefault="0068525D" w:rsidP="0089774B">
      <w:pPr>
        <w:spacing w:after="0" w:line="360" w:lineRule="auto"/>
        <w:jc w:val="both"/>
        <w:rPr>
          <w:rFonts w:ascii="Gill Sans MT" w:eastAsia="Times New Roman" w:hAnsi="Gill Sans MT" w:cs="Tahoma"/>
          <w:color w:val="000000"/>
          <w:sz w:val="24"/>
          <w:szCs w:val="24"/>
          <w:lang w:eastAsia="es-ES"/>
        </w:rPr>
      </w:pPr>
      <w:r w:rsidRPr="00E95861">
        <w:rPr>
          <w:rFonts w:ascii="Gill Sans MT" w:eastAsia="Times New Roman" w:hAnsi="Gill Sans MT" w:cs="Tahoma"/>
          <w:color w:val="000000"/>
          <w:sz w:val="24"/>
          <w:szCs w:val="24"/>
          <w:lang w:eastAsia="es-ES"/>
        </w:rPr>
        <w:t>Sumado a lo anterior, y de acuerdo con lo establecido en el parágrafo 3 del artículo 11-A del Decreto Reglamentario 277 de 2017, el juez que asuma la competencia para resolver la libertad condicionada, según el caso, deberá pronunciarse frente a la conexidad.</w:t>
      </w:r>
    </w:p>
    <w:p w:rsidR="0068525D" w:rsidRPr="00E95861" w:rsidRDefault="0068525D" w:rsidP="0089774B">
      <w:pPr>
        <w:spacing w:after="0" w:line="360" w:lineRule="auto"/>
        <w:rPr>
          <w:rFonts w:ascii="Gill Sans MT" w:eastAsia="Times New Roman" w:hAnsi="Gill Sans MT" w:cs="Tahoma"/>
          <w:color w:val="000000"/>
          <w:sz w:val="24"/>
          <w:szCs w:val="24"/>
          <w:lang w:eastAsia="es-ES"/>
        </w:rPr>
      </w:pPr>
    </w:p>
    <w:p w:rsidR="0068525D" w:rsidRPr="00E95861" w:rsidRDefault="0068525D" w:rsidP="0089774B">
      <w:pPr>
        <w:spacing w:after="0" w:line="360" w:lineRule="auto"/>
        <w:jc w:val="both"/>
        <w:rPr>
          <w:rFonts w:ascii="Gill Sans MT" w:eastAsia="Times New Roman" w:hAnsi="Gill Sans MT" w:cs="Tahoma"/>
          <w:color w:val="000000"/>
          <w:sz w:val="24"/>
          <w:szCs w:val="24"/>
          <w:lang w:eastAsia="es-ES"/>
        </w:rPr>
      </w:pPr>
      <w:r w:rsidRPr="00E95861">
        <w:rPr>
          <w:rFonts w:ascii="Gill Sans MT" w:eastAsia="Times New Roman" w:hAnsi="Gill Sans MT" w:cs="Tahoma"/>
          <w:color w:val="000000"/>
          <w:sz w:val="24"/>
          <w:szCs w:val="24"/>
          <w:lang w:eastAsia="es-ES"/>
        </w:rPr>
        <w:t>La Sala de Casación Penal de la Corte Suprema de Justicia, al resolver en segunda instancia un asunto de similares características al que ahora ocupa la atención de la Sala, indicó que:</w:t>
      </w:r>
    </w:p>
    <w:p w:rsidR="0068525D" w:rsidRPr="00E95861" w:rsidRDefault="0068525D" w:rsidP="0089774B">
      <w:pPr>
        <w:spacing w:after="0" w:line="360" w:lineRule="auto"/>
        <w:ind w:left="709"/>
        <w:rPr>
          <w:rFonts w:ascii="Gill Sans MT" w:eastAsia="Times New Roman" w:hAnsi="Gill Sans MT" w:cs="Tahoma"/>
          <w:color w:val="000000"/>
          <w:sz w:val="24"/>
          <w:szCs w:val="24"/>
          <w:lang w:eastAsia="es-ES"/>
        </w:rPr>
      </w:pPr>
    </w:p>
    <w:p w:rsidR="0068525D" w:rsidRPr="00D7266C" w:rsidRDefault="0068525D" w:rsidP="0089774B">
      <w:pPr>
        <w:spacing w:after="0" w:line="240" w:lineRule="auto"/>
        <w:ind w:left="709"/>
        <w:jc w:val="both"/>
        <w:rPr>
          <w:rFonts w:ascii="Gill Sans MT" w:eastAsia="Times New Roman" w:hAnsi="Gill Sans MT" w:cs="Tahoma"/>
          <w:color w:val="000000"/>
          <w:lang w:eastAsia="es-ES"/>
        </w:rPr>
      </w:pPr>
      <w:r w:rsidRPr="00D7266C">
        <w:rPr>
          <w:rFonts w:ascii="Gill Sans MT" w:eastAsia="Times New Roman" w:hAnsi="Gill Sans MT" w:cs="Tahoma"/>
          <w:color w:val="000000"/>
          <w:lang w:eastAsia="es-ES"/>
        </w:rPr>
        <w:t>“</w:t>
      </w:r>
      <w:r w:rsidRPr="00D7266C">
        <w:rPr>
          <w:rFonts w:ascii="Gill Sans MT" w:eastAsia="Times New Roman" w:hAnsi="Gill Sans MT" w:cs="Tahoma"/>
          <w:i/>
          <w:iCs/>
          <w:color w:val="000000"/>
          <w:lang w:eastAsia="es-ES"/>
        </w:rPr>
        <w:t xml:space="preserve">…la Sala ya precisó que las solicitudes de libertad condicionada presentadas por los postulados a la </w:t>
      </w:r>
      <w:r w:rsidR="00FA052F">
        <w:rPr>
          <w:rFonts w:ascii="Gill Sans MT" w:eastAsia="Times New Roman" w:hAnsi="Gill Sans MT" w:cs="Tahoma"/>
          <w:i/>
          <w:iCs/>
          <w:color w:val="000000"/>
          <w:lang w:eastAsia="es-ES"/>
        </w:rPr>
        <w:t xml:space="preserve">Ley </w:t>
      </w:r>
      <w:r w:rsidRPr="00D7266C">
        <w:rPr>
          <w:rFonts w:ascii="Gill Sans MT" w:eastAsia="Times New Roman" w:hAnsi="Gill Sans MT" w:cs="Tahoma"/>
          <w:i/>
          <w:iCs/>
          <w:color w:val="000000"/>
          <w:lang w:eastAsia="es-ES"/>
        </w:rPr>
        <w:t>de Justicia y Paz deben resolverse por los magistrados de control de garantías o de conocimiento de esta jurisdicción, según el estado del proceso”</w:t>
      </w:r>
      <w:r w:rsidR="00D7266C">
        <w:rPr>
          <w:rStyle w:val="Refdenotaalpie"/>
          <w:rFonts w:ascii="Gill Sans MT" w:eastAsia="Times New Roman" w:hAnsi="Gill Sans MT" w:cs="Tahoma"/>
          <w:i/>
          <w:iCs/>
          <w:color w:val="000000"/>
          <w:lang w:eastAsia="es-ES"/>
        </w:rPr>
        <w:footnoteReference w:id="1"/>
      </w:r>
    </w:p>
    <w:p w:rsidR="0068525D" w:rsidRPr="00E95861" w:rsidRDefault="0068525D" w:rsidP="0089774B">
      <w:pPr>
        <w:spacing w:after="0" w:line="360" w:lineRule="auto"/>
        <w:rPr>
          <w:rFonts w:ascii="Gill Sans MT" w:eastAsia="Times New Roman" w:hAnsi="Gill Sans MT" w:cs="Tahoma"/>
          <w:sz w:val="24"/>
          <w:szCs w:val="24"/>
          <w:lang w:eastAsia="es-ES"/>
        </w:rPr>
      </w:pPr>
    </w:p>
    <w:p w:rsidR="0068525D" w:rsidRPr="00E95861" w:rsidRDefault="0068525D" w:rsidP="0089774B">
      <w:pPr>
        <w:spacing w:after="0" w:line="360" w:lineRule="auto"/>
        <w:jc w:val="both"/>
        <w:rPr>
          <w:rFonts w:ascii="Gill Sans MT" w:eastAsia="Times New Roman" w:hAnsi="Gill Sans MT" w:cs="Tahoma"/>
          <w:color w:val="000000"/>
          <w:sz w:val="24"/>
          <w:szCs w:val="24"/>
          <w:lang w:eastAsia="es-ES"/>
        </w:rPr>
      </w:pPr>
      <w:r w:rsidRPr="00E95861">
        <w:rPr>
          <w:rFonts w:ascii="Gill Sans MT" w:eastAsia="Times New Roman" w:hAnsi="Gill Sans MT" w:cs="Tahoma"/>
          <w:sz w:val="24"/>
          <w:szCs w:val="24"/>
          <w:lang w:eastAsia="es-ES"/>
        </w:rPr>
        <w:t>Además, en decisión del 3 de mayo de 2017, la Corte ratificó esta postura al señalar que “</w:t>
      </w:r>
      <w:r w:rsidRPr="00E95861">
        <w:rPr>
          <w:rFonts w:ascii="Gill Sans MT" w:eastAsia="Times New Roman" w:hAnsi="Gill Sans MT" w:cs="Tahoma"/>
          <w:i/>
          <w:iCs/>
          <w:sz w:val="24"/>
          <w:szCs w:val="24"/>
          <w:lang w:eastAsia="es-ES"/>
        </w:rPr>
        <w:t xml:space="preserve">…es competente el Magistrado de Conocimiento de la correspondiente Sala de Justicia y Paz, cuando quiera que en contra </w:t>
      </w:r>
      <w:r w:rsidRPr="00E95861">
        <w:rPr>
          <w:rFonts w:ascii="Gill Sans MT" w:eastAsia="Times New Roman" w:hAnsi="Gill Sans MT" w:cs="Tahoma"/>
          <w:i/>
          <w:iCs/>
          <w:color w:val="000000"/>
          <w:sz w:val="24"/>
          <w:szCs w:val="24"/>
          <w:lang w:eastAsia="es-ES"/>
        </w:rPr>
        <w:t xml:space="preserve">del potencial beneficiario se haya presentado escrito de acusación </w:t>
      </w:r>
      <w:r w:rsidRPr="00E95861">
        <w:rPr>
          <w:rFonts w:ascii="Gill Sans MT" w:eastAsia="Times New Roman" w:hAnsi="Gill Sans MT" w:cs="Tahoma"/>
          <w:i/>
          <w:iCs/>
          <w:color w:val="000000"/>
          <w:sz w:val="24"/>
          <w:szCs w:val="24"/>
          <w:lang w:eastAsia="es-ES"/>
        </w:rPr>
        <w:lastRenderedPageBreak/>
        <w:t>para que ante funcionario de igual categoría se surtan las audiencias concentradas de formulación y aceptación de cargos”</w:t>
      </w:r>
      <w:r w:rsidRPr="00E95861">
        <w:rPr>
          <w:rStyle w:val="Refdenotaalpie"/>
          <w:rFonts w:ascii="Gill Sans MT" w:eastAsia="Times New Roman" w:hAnsi="Gill Sans MT" w:cs="Tahoma"/>
          <w:i/>
          <w:iCs/>
          <w:color w:val="000000"/>
          <w:sz w:val="24"/>
          <w:szCs w:val="24"/>
          <w:lang w:eastAsia="es-ES"/>
        </w:rPr>
        <w:footnoteReference w:id="2"/>
      </w:r>
      <w:r w:rsidRPr="00E95861">
        <w:rPr>
          <w:rFonts w:ascii="Gill Sans MT" w:eastAsia="Times New Roman" w:hAnsi="Gill Sans MT" w:cs="Tahoma"/>
          <w:i/>
          <w:iCs/>
          <w:color w:val="000000"/>
          <w:sz w:val="24"/>
          <w:szCs w:val="24"/>
          <w:lang w:eastAsia="es-ES"/>
        </w:rPr>
        <w:t>.</w:t>
      </w:r>
      <w:r w:rsidRPr="00E95861">
        <w:rPr>
          <w:rFonts w:ascii="Gill Sans MT" w:eastAsia="Times New Roman" w:hAnsi="Gill Sans MT" w:cs="Tahoma"/>
          <w:color w:val="000000"/>
          <w:sz w:val="24"/>
          <w:szCs w:val="24"/>
          <w:lang w:eastAsia="es-ES"/>
        </w:rPr>
        <w:t xml:space="preserve"> </w:t>
      </w:r>
    </w:p>
    <w:p w:rsidR="00987CB1" w:rsidRPr="00E95861" w:rsidRDefault="00987CB1" w:rsidP="0089774B">
      <w:pPr>
        <w:spacing w:after="0" w:line="360" w:lineRule="auto"/>
        <w:jc w:val="both"/>
        <w:rPr>
          <w:rFonts w:ascii="Gill Sans MT" w:eastAsia="Times New Roman" w:hAnsi="Gill Sans MT" w:cs="Tahoma"/>
          <w:color w:val="000000"/>
          <w:sz w:val="24"/>
          <w:szCs w:val="24"/>
          <w:lang w:eastAsia="es-ES"/>
        </w:rPr>
      </w:pPr>
    </w:p>
    <w:p w:rsidR="00987CB1" w:rsidRPr="00E95861" w:rsidRDefault="003C1DD7" w:rsidP="0089774B">
      <w:pPr>
        <w:spacing w:after="0" w:line="360" w:lineRule="auto"/>
        <w:jc w:val="both"/>
        <w:rPr>
          <w:rFonts w:ascii="Gill Sans MT" w:hAnsi="Gill Sans MT" w:cs="Tahoma"/>
          <w:iCs/>
          <w:sz w:val="24"/>
          <w:szCs w:val="24"/>
        </w:rPr>
      </w:pPr>
      <w:r w:rsidRPr="00E95861">
        <w:rPr>
          <w:rFonts w:ascii="Gill Sans MT" w:eastAsia="Times New Roman" w:hAnsi="Gill Sans MT" w:cs="Tahoma"/>
          <w:color w:val="000000"/>
          <w:sz w:val="24"/>
          <w:szCs w:val="24"/>
          <w:lang w:eastAsia="es-ES"/>
        </w:rPr>
        <w:t>Como en efecto</w:t>
      </w:r>
      <w:r w:rsidR="00987CB1" w:rsidRPr="00E95861">
        <w:rPr>
          <w:rFonts w:ascii="Gill Sans MT" w:eastAsia="Times New Roman" w:hAnsi="Gill Sans MT" w:cs="Tahoma"/>
          <w:color w:val="000000"/>
          <w:sz w:val="24"/>
          <w:szCs w:val="24"/>
          <w:lang w:eastAsia="es-ES"/>
        </w:rPr>
        <w:t xml:space="preserve"> la Fiscalía radicó escrito de acusación </w:t>
      </w:r>
      <w:r w:rsidR="002E51D4" w:rsidRPr="00E95861">
        <w:rPr>
          <w:rFonts w:ascii="Gill Sans MT" w:eastAsia="Times New Roman" w:hAnsi="Gill Sans MT" w:cs="Tahoma"/>
          <w:color w:val="000000"/>
          <w:sz w:val="24"/>
          <w:szCs w:val="24"/>
          <w:lang w:eastAsia="es-ES"/>
        </w:rPr>
        <w:t xml:space="preserve">en </w:t>
      </w:r>
      <w:r w:rsidR="00987CB1" w:rsidRPr="00E95861">
        <w:rPr>
          <w:rFonts w:ascii="Gill Sans MT" w:eastAsia="Times New Roman" w:hAnsi="Gill Sans MT" w:cs="Tahoma"/>
          <w:color w:val="000000"/>
          <w:sz w:val="24"/>
          <w:szCs w:val="24"/>
          <w:lang w:eastAsia="es-ES"/>
        </w:rPr>
        <w:t>c</w:t>
      </w:r>
      <w:r w:rsidR="00E92D8B" w:rsidRPr="00E95861">
        <w:rPr>
          <w:rFonts w:ascii="Gill Sans MT" w:eastAsia="Times New Roman" w:hAnsi="Gill Sans MT" w:cs="Tahoma"/>
          <w:color w:val="000000"/>
          <w:sz w:val="24"/>
          <w:szCs w:val="24"/>
          <w:lang w:eastAsia="es-ES"/>
        </w:rPr>
        <w:t xml:space="preserve">ontra de </w:t>
      </w:r>
      <w:r w:rsidR="00A9096B" w:rsidRPr="00E95861">
        <w:rPr>
          <w:rFonts w:ascii="Gill Sans MT" w:hAnsi="Gill Sans MT" w:cs="Tahoma"/>
          <w:iCs/>
          <w:sz w:val="24"/>
          <w:szCs w:val="24"/>
        </w:rPr>
        <w:t>Salvatore Mancuso</w:t>
      </w:r>
      <w:r w:rsidR="00AF56E8" w:rsidRPr="00E95861">
        <w:rPr>
          <w:rFonts w:ascii="Gill Sans MT" w:hAnsi="Gill Sans MT" w:cs="Tahoma"/>
          <w:iCs/>
          <w:sz w:val="24"/>
          <w:szCs w:val="24"/>
        </w:rPr>
        <w:t xml:space="preserve"> y otros 59 postulados</w:t>
      </w:r>
      <w:r w:rsidR="00E92D8B" w:rsidRPr="00E95861">
        <w:rPr>
          <w:rFonts w:ascii="Gill Sans MT" w:hAnsi="Gill Sans MT" w:cs="Tahoma"/>
          <w:iCs/>
          <w:sz w:val="24"/>
          <w:szCs w:val="24"/>
        </w:rPr>
        <w:t>,</w:t>
      </w:r>
      <w:r w:rsidR="00AF56E8" w:rsidRPr="00E95861">
        <w:rPr>
          <w:rFonts w:ascii="Gill Sans MT" w:hAnsi="Gill Sans MT" w:cs="Tahoma"/>
          <w:iCs/>
          <w:sz w:val="24"/>
          <w:szCs w:val="24"/>
        </w:rPr>
        <w:t xml:space="preserve"> entre quienes figuran </w:t>
      </w:r>
      <w:r w:rsidR="003F030A" w:rsidRPr="00023471">
        <w:rPr>
          <w:rFonts w:ascii="Gill Sans MT" w:hAnsi="Gill Sans MT" w:cs="Tahoma"/>
          <w:color w:val="000000" w:themeColor="text1"/>
          <w:sz w:val="24"/>
          <w:szCs w:val="24"/>
        </w:rPr>
        <w:t>FERNANDO SEGUNDO FLOREZ, GUSTAVO ESTEVEZ RODRIGUEZ, JOSÉ DEL CARMEN JAIME SOLANO, JOSÉ GILBERTO GARZÓN MASSON y JUAN RAMÓN FERNANDEZ LATORRE</w:t>
      </w:r>
      <w:r w:rsidR="00AF56E8" w:rsidRPr="00E95861">
        <w:rPr>
          <w:rFonts w:ascii="Gill Sans MT" w:hAnsi="Gill Sans MT" w:cs="Tahoma"/>
          <w:color w:val="000000" w:themeColor="text1"/>
          <w:sz w:val="24"/>
          <w:szCs w:val="24"/>
        </w:rPr>
        <w:t>,</w:t>
      </w:r>
      <w:r w:rsidR="003F030A">
        <w:rPr>
          <w:rFonts w:ascii="Gill Sans MT" w:hAnsi="Gill Sans MT" w:cs="Tahoma"/>
          <w:color w:val="000000" w:themeColor="text1"/>
          <w:sz w:val="24"/>
          <w:szCs w:val="24"/>
        </w:rPr>
        <w:t xml:space="preserve"> </w:t>
      </w:r>
      <w:r w:rsidR="00987CB1" w:rsidRPr="00E95861">
        <w:rPr>
          <w:rFonts w:ascii="Gill Sans MT" w:eastAsia="Times New Roman" w:hAnsi="Gill Sans MT" w:cs="Tahoma"/>
          <w:color w:val="000000"/>
          <w:sz w:val="24"/>
          <w:szCs w:val="24"/>
          <w:lang w:eastAsia="es-ES"/>
        </w:rPr>
        <w:t>y en el trámite del reparto fue adjudicado al despacho de quien funge como ponente; entonces esta Sala de conocimiento es competente para decidir sobre la solicitud de libert</w:t>
      </w:r>
      <w:r w:rsidR="00AF56E8" w:rsidRPr="00E95861">
        <w:rPr>
          <w:rFonts w:ascii="Gill Sans MT" w:eastAsia="Times New Roman" w:hAnsi="Gill Sans MT" w:cs="Tahoma"/>
          <w:color w:val="000000"/>
          <w:sz w:val="24"/>
          <w:szCs w:val="24"/>
          <w:lang w:eastAsia="es-ES"/>
        </w:rPr>
        <w:t xml:space="preserve">ad condicionada presentada por los </w:t>
      </w:r>
      <w:r w:rsidR="00987CB1" w:rsidRPr="00E95861">
        <w:rPr>
          <w:rFonts w:ascii="Gill Sans MT" w:eastAsia="Times New Roman" w:hAnsi="Gill Sans MT" w:cs="Tahoma"/>
          <w:color w:val="000000"/>
          <w:sz w:val="24"/>
          <w:szCs w:val="24"/>
          <w:lang w:eastAsia="es-ES"/>
        </w:rPr>
        <w:t>postulado</w:t>
      </w:r>
      <w:r w:rsidR="00AF56E8" w:rsidRPr="00E95861">
        <w:rPr>
          <w:rFonts w:ascii="Gill Sans MT" w:eastAsia="Times New Roman" w:hAnsi="Gill Sans MT" w:cs="Tahoma"/>
          <w:color w:val="000000"/>
          <w:sz w:val="24"/>
          <w:szCs w:val="24"/>
          <w:lang w:eastAsia="es-ES"/>
        </w:rPr>
        <w:t>s</w:t>
      </w:r>
      <w:r w:rsidR="00987CB1" w:rsidRPr="00E95861">
        <w:rPr>
          <w:rFonts w:ascii="Gill Sans MT" w:eastAsia="Times New Roman" w:hAnsi="Gill Sans MT" w:cs="Tahoma"/>
          <w:color w:val="000000"/>
          <w:sz w:val="24"/>
          <w:szCs w:val="24"/>
          <w:lang w:eastAsia="es-ES"/>
        </w:rPr>
        <w:t>.</w:t>
      </w:r>
    </w:p>
    <w:p w:rsidR="0068525D" w:rsidRPr="00E95861" w:rsidRDefault="0068525D" w:rsidP="0089774B">
      <w:pPr>
        <w:spacing w:after="0" w:line="360" w:lineRule="auto"/>
        <w:jc w:val="both"/>
        <w:rPr>
          <w:rFonts w:ascii="Gill Sans MT" w:eastAsia="Times New Roman" w:hAnsi="Gill Sans MT" w:cs="Tahoma"/>
          <w:color w:val="000000"/>
          <w:sz w:val="24"/>
          <w:szCs w:val="24"/>
          <w:lang w:eastAsia="es-ES"/>
        </w:rPr>
      </w:pPr>
    </w:p>
    <w:p w:rsidR="009D5CE4" w:rsidRPr="00E95861" w:rsidRDefault="00987CB1" w:rsidP="0089774B">
      <w:pPr>
        <w:pStyle w:val="Sinespaciado"/>
        <w:spacing w:line="360" w:lineRule="auto"/>
        <w:rPr>
          <w:rFonts w:ascii="Gill Sans MT" w:hAnsi="Gill Sans MT" w:cs="Tahoma"/>
          <w:b/>
          <w:sz w:val="24"/>
          <w:szCs w:val="24"/>
        </w:rPr>
      </w:pPr>
      <w:r w:rsidRPr="00E95861">
        <w:rPr>
          <w:rFonts w:ascii="Gill Sans MT" w:hAnsi="Gill Sans MT" w:cs="Tahoma"/>
          <w:b/>
          <w:sz w:val="24"/>
          <w:szCs w:val="24"/>
        </w:rPr>
        <w:t xml:space="preserve">2. Sobre el principio de favorabilidad en la </w:t>
      </w:r>
      <w:r w:rsidR="00FA052F">
        <w:rPr>
          <w:rFonts w:ascii="Gill Sans MT" w:hAnsi="Gill Sans MT" w:cs="Tahoma"/>
          <w:b/>
          <w:sz w:val="24"/>
          <w:szCs w:val="24"/>
        </w:rPr>
        <w:t xml:space="preserve">Ley </w:t>
      </w:r>
      <w:r w:rsidRPr="00E95861">
        <w:rPr>
          <w:rFonts w:ascii="Gill Sans MT" w:hAnsi="Gill Sans MT" w:cs="Tahoma"/>
          <w:b/>
          <w:sz w:val="24"/>
          <w:szCs w:val="24"/>
        </w:rPr>
        <w:t>de Justicia y Paz</w:t>
      </w:r>
    </w:p>
    <w:p w:rsidR="00701DAE" w:rsidRPr="00E95861" w:rsidRDefault="00701DAE" w:rsidP="0089774B">
      <w:pPr>
        <w:pStyle w:val="Sinespaciado"/>
        <w:spacing w:line="360" w:lineRule="auto"/>
        <w:rPr>
          <w:rFonts w:ascii="Gill Sans MT" w:hAnsi="Gill Sans MT" w:cs="Tahoma"/>
          <w:sz w:val="24"/>
          <w:szCs w:val="24"/>
        </w:rPr>
      </w:pPr>
    </w:p>
    <w:p w:rsidR="00987CB1" w:rsidRPr="00E95861" w:rsidRDefault="00F60BCA"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t xml:space="preserve">Los postulados </w:t>
      </w:r>
      <w:r w:rsidR="003F030A" w:rsidRPr="00023471">
        <w:rPr>
          <w:rFonts w:ascii="Gill Sans MT" w:hAnsi="Gill Sans MT" w:cs="Tahoma"/>
          <w:color w:val="000000" w:themeColor="text1"/>
          <w:sz w:val="24"/>
          <w:szCs w:val="24"/>
        </w:rPr>
        <w:t>FERNANDO SEGUNDO FLOREZ, GUSTAVO ESTEVEZ RODRIGUEZ, JOSÉ DEL CARMEN JAIME SOLANO, JOSÉ GILBERTO GARZÓN MASSON y JUAN RAMÓN FERNANDEZ LATORRE</w:t>
      </w:r>
      <w:r w:rsidR="003F030A">
        <w:rPr>
          <w:rFonts w:ascii="Gill Sans MT" w:hAnsi="Gill Sans MT" w:cs="Tahoma"/>
          <w:color w:val="000000" w:themeColor="text1"/>
          <w:sz w:val="24"/>
          <w:szCs w:val="24"/>
        </w:rPr>
        <w:t>,</w:t>
      </w:r>
      <w:r w:rsidR="003F030A" w:rsidRPr="00E95861">
        <w:rPr>
          <w:rFonts w:ascii="Gill Sans MT" w:hAnsi="Gill Sans MT" w:cs="Tahoma"/>
          <w:sz w:val="24"/>
          <w:szCs w:val="24"/>
        </w:rPr>
        <w:t xml:space="preserve"> </w:t>
      </w:r>
      <w:r w:rsidRPr="00E95861">
        <w:rPr>
          <w:rFonts w:ascii="Gill Sans MT" w:hAnsi="Gill Sans MT" w:cs="Tahoma"/>
          <w:sz w:val="24"/>
          <w:szCs w:val="24"/>
        </w:rPr>
        <w:t>fundamentaron</w:t>
      </w:r>
      <w:r w:rsidR="00234BA2" w:rsidRPr="00E95861">
        <w:rPr>
          <w:rFonts w:ascii="Gill Sans MT" w:hAnsi="Gill Sans MT" w:cs="Tahoma"/>
          <w:sz w:val="24"/>
          <w:szCs w:val="24"/>
        </w:rPr>
        <w:t xml:space="preserve"> su petición con base en el principio de favorabilidad consagrado en el artículo 63 de la </w:t>
      </w:r>
      <w:r w:rsidR="00FA052F">
        <w:rPr>
          <w:rFonts w:ascii="Gill Sans MT" w:hAnsi="Gill Sans MT" w:cs="Tahoma"/>
          <w:sz w:val="24"/>
          <w:szCs w:val="24"/>
        </w:rPr>
        <w:t xml:space="preserve">Ley </w:t>
      </w:r>
      <w:r w:rsidR="00234BA2" w:rsidRPr="00E95861">
        <w:rPr>
          <w:rFonts w:ascii="Gill Sans MT" w:hAnsi="Gill Sans MT" w:cs="Tahoma"/>
          <w:sz w:val="24"/>
          <w:szCs w:val="24"/>
        </w:rPr>
        <w:t xml:space="preserve">975 de 2005. Sin embargo, este instituto es inaplicable por varias razones: </w:t>
      </w:r>
      <w:r w:rsidR="00234BA2" w:rsidRPr="00D244E7">
        <w:rPr>
          <w:rFonts w:ascii="Gill Sans MT" w:hAnsi="Gill Sans MT" w:cs="Tahoma"/>
          <w:b/>
          <w:i/>
          <w:sz w:val="24"/>
          <w:szCs w:val="24"/>
        </w:rPr>
        <w:t>primero</w:t>
      </w:r>
      <w:r w:rsidR="00234BA2" w:rsidRPr="00D244E7">
        <w:rPr>
          <w:rFonts w:ascii="Gill Sans MT" w:hAnsi="Gill Sans MT" w:cs="Tahoma"/>
          <w:b/>
          <w:sz w:val="24"/>
          <w:szCs w:val="24"/>
        </w:rPr>
        <w:t>,</w:t>
      </w:r>
      <w:r w:rsidR="00234BA2" w:rsidRPr="00E95861">
        <w:rPr>
          <w:rFonts w:ascii="Gill Sans MT" w:hAnsi="Gill Sans MT" w:cs="Tahoma"/>
          <w:sz w:val="24"/>
          <w:szCs w:val="24"/>
        </w:rPr>
        <w:t xml:space="preserve"> porque la favorabilidad requiere de sucesiones de leyes en el tiempo</w:t>
      </w:r>
      <w:r w:rsidR="00234BA2" w:rsidRPr="00E95861">
        <w:rPr>
          <w:rStyle w:val="Refdenotaalpie"/>
          <w:rFonts w:ascii="Gill Sans MT" w:hAnsi="Gill Sans MT" w:cs="Tahoma"/>
          <w:sz w:val="24"/>
          <w:szCs w:val="24"/>
        </w:rPr>
        <w:footnoteReference w:id="3"/>
      </w:r>
      <w:r w:rsidR="00234BA2" w:rsidRPr="00E95861">
        <w:rPr>
          <w:rFonts w:ascii="Gill Sans MT" w:hAnsi="Gill Sans MT" w:cs="Tahoma"/>
          <w:sz w:val="24"/>
          <w:szCs w:val="24"/>
        </w:rPr>
        <w:t>, y en lo que respecta a Justicia y Paz, y la Jurisdicción Especial para la Paz, no se</w:t>
      </w:r>
      <w:r w:rsidR="00FF73E6" w:rsidRPr="00E95861">
        <w:rPr>
          <w:rFonts w:ascii="Gill Sans MT" w:hAnsi="Gill Sans MT" w:cs="Tahoma"/>
          <w:sz w:val="24"/>
          <w:szCs w:val="24"/>
        </w:rPr>
        <w:t xml:space="preserve"> trata que una</w:t>
      </w:r>
      <w:r w:rsidR="007C225F" w:rsidRPr="00E95861">
        <w:rPr>
          <w:rFonts w:ascii="Gill Sans MT" w:hAnsi="Gill Sans MT" w:cs="Tahoma"/>
          <w:sz w:val="24"/>
          <w:szCs w:val="24"/>
        </w:rPr>
        <w:t xml:space="preserve"> </w:t>
      </w:r>
      <w:r w:rsidR="00FF73E6" w:rsidRPr="00E95861">
        <w:rPr>
          <w:rFonts w:ascii="Gill Sans MT" w:hAnsi="Gill Sans MT" w:cs="Tahoma"/>
          <w:sz w:val="24"/>
          <w:szCs w:val="24"/>
        </w:rPr>
        <w:t>derogue a la otra</w:t>
      </w:r>
      <w:r w:rsidR="00234BA2" w:rsidRPr="00E95861">
        <w:rPr>
          <w:rFonts w:ascii="Gill Sans MT" w:hAnsi="Gill Sans MT" w:cs="Tahoma"/>
          <w:sz w:val="24"/>
          <w:szCs w:val="24"/>
        </w:rPr>
        <w:t>,</w:t>
      </w:r>
      <w:r w:rsidR="00FF73E6" w:rsidRPr="00E95861">
        <w:rPr>
          <w:rFonts w:ascii="Gill Sans MT" w:hAnsi="Gill Sans MT" w:cs="Tahoma"/>
          <w:sz w:val="24"/>
          <w:szCs w:val="24"/>
        </w:rPr>
        <w:t xml:space="preserve"> la</w:t>
      </w:r>
      <w:r w:rsidR="00234BA2" w:rsidRPr="00E95861">
        <w:rPr>
          <w:rFonts w:ascii="Gill Sans MT" w:hAnsi="Gill Sans MT" w:cs="Tahoma"/>
          <w:sz w:val="24"/>
          <w:szCs w:val="24"/>
        </w:rPr>
        <w:t xml:space="preserve"> sustituya</w:t>
      </w:r>
      <w:r w:rsidR="00FF73E6" w:rsidRPr="00E95861">
        <w:rPr>
          <w:rFonts w:ascii="Gill Sans MT" w:hAnsi="Gill Sans MT" w:cs="Tahoma"/>
          <w:sz w:val="24"/>
          <w:szCs w:val="24"/>
        </w:rPr>
        <w:t xml:space="preserve"> o la</w:t>
      </w:r>
      <w:r w:rsidR="00234BA2" w:rsidRPr="00E95861">
        <w:rPr>
          <w:rFonts w:ascii="Gill Sans MT" w:hAnsi="Gill Sans MT" w:cs="Tahoma"/>
          <w:sz w:val="24"/>
          <w:szCs w:val="24"/>
        </w:rPr>
        <w:t xml:space="preserve"> </w:t>
      </w:r>
      <w:r w:rsidR="007C225F" w:rsidRPr="00E95861">
        <w:rPr>
          <w:rFonts w:ascii="Gill Sans MT" w:hAnsi="Gill Sans MT" w:cs="Tahoma"/>
          <w:sz w:val="24"/>
          <w:szCs w:val="24"/>
        </w:rPr>
        <w:t>subsuma</w:t>
      </w:r>
      <w:r w:rsidR="00234BA2" w:rsidRPr="00E95861">
        <w:rPr>
          <w:rFonts w:ascii="Gill Sans MT" w:hAnsi="Gill Sans MT" w:cs="Tahoma"/>
          <w:sz w:val="24"/>
          <w:szCs w:val="24"/>
        </w:rPr>
        <w:t>, sino</w:t>
      </w:r>
      <w:r w:rsidR="0072423C" w:rsidRPr="00E95861">
        <w:rPr>
          <w:rFonts w:ascii="Gill Sans MT" w:hAnsi="Gill Sans MT" w:cs="Tahoma"/>
          <w:sz w:val="24"/>
          <w:szCs w:val="24"/>
        </w:rPr>
        <w:t xml:space="preserve"> que se trata</w:t>
      </w:r>
      <w:r w:rsidR="00FF73E6" w:rsidRPr="00E95861">
        <w:rPr>
          <w:rFonts w:ascii="Gill Sans MT" w:hAnsi="Gill Sans MT" w:cs="Tahoma"/>
          <w:sz w:val="24"/>
          <w:szCs w:val="24"/>
        </w:rPr>
        <w:t xml:space="preserve"> más bien</w:t>
      </w:r>
      <w:r w:rsidR="00234BA2" w:rsidRPr="00E95861">
        <w:rPr>
          <w:rFonts w:ascii="Gill Sans MT" w:hAnsi="Gill Sans MT" w:cs="Tahoma"/>
          <w:sz w:val="24"/>
          <w:szCs w:val="24"/>
        </w:rPr>
        <w:t xml:space="preserve"> </w:t>
      </w:r>
      <w:r w:rsidR="0072423C" w:rsidRPr="00E95861">
        <w:rPr>
          <w:rFonts w:ascii="Gill Sans MT" w:hAnsi="Gill Sans MT" w:cs="Tahoma"/>
          <w:sz w:val="24"/>
          <w:szCs w:val="24"/>
        </w:rPr>
        <w:t>de</w:t>
      </w:r>
      <w:r w:rsidR="00234BA2" w:rsidRPr="00E95861">
        <w:rPr>
          <w:rFonts w:ascii="Gill Sans MT" w:hAnsi="Gill Sans MT" w:cs="Tahoma"/>
          <w:sz w:val="24"/>
          <w:szCs w:val="24"/>
        </w:rPr>
        <w:t xml:space="preserve"> dos mode</w:t>
      </w:r>
      <w:r w:rsidR="007C225F" w:rsidRPr="00E95861">
        <w:rPr>
          <w:rFonts w:ascii="Gill Sans MT" w:hAnsi="Gill Sans MT" w:cs="Tahoma"/>
          <w:sz w:val="24"/>
          <w:szCs w:val="24"/>
        </w:rPr>
        <w:t>los de justicia transicional</w:t>
      </w:r>
      <w:r w:rsidR="0072423C" w:rsidRPr="00E95861">
        <w:rPr>
          <w:rFonts w:ascii="Gill Sans MT" w:hAnsi="Gill Sans MT" w:cs="Tahoma"/>
          <w:sz w:val="24"/>
          <w:szCs w:val="24"/>
        </w:rPr>
        <w:t xml:space="preserve"> que</w:t>
      </w:r>
      <w:r w:rsidR="007C225F" w:rsidRPr="00E95861">
        <w:rPr>
          <w:rFonts w:ascii="Gill Sans MT" w:hAnsi="Gill Sans MT" w:cs="Tahoma"/>
          <w:sz w:val="24"/>
          <w:szCs w:val="24"/>
        </w:rPr>
        <w:t xml:space="preserve"> coexisten y </w:t>
      </w:r>
      <w:r w:rsidR="0072423C" w:rsidRPr="00E95861">
        <w:rPr>
          <w:rFonts w:ascii="Gill Sans MT" w:hAnsi="Gill Sans MT" w:cs="Tahoma"/>
          <w:sz w:val="24"/>
          <w:szCs w:val="24"/>
        </w:rPr>
        <w:t xml:space="preserve">son complementarios, en el sentido en que apuntan al mismo objetivo de lograr la paz y la reconciliación nacional, </w:t>
      </w:r>
      <w:r w:rsidR="00721DA0" w:rsidRPr="00E95861">
        <w:rPr>
          <w:rFonts w:ascii="Gill Sans MT" w:hAnsi="Gill Sans MT" w:cs="Tahoma"/>
          <w:sz w:val="24"/>
          <w:szCs w:val="24"/>
        </w:rPr>
        <w:t xml:space="preserve">aunque </w:t>
      </w:r>
      <w:r w:rsidR="0072423C" w:rsidRPr="00E95861">
        <w:rPr>
          <w:rFonts w:ascii="Gill Sans MT" w:hAnsi="Gill Sans MT" w:cs="Tahoma"/>
          <w:sz w:val="24"/>
          <w:szCs w:val="24"/>
        </w:rPr>
        <w:t>utili</w:t>
      </w:r>
      <w:r w:rsidR="00721DA0" w:rsidRPr="00E95861">
        <w:rPr>
          <w:rFonts w:ascii="Gill Sans MT" w:hAnsi="Gill Sans MT" w:cs="Tahoma"/>
          <w:sz w:val="24"/>
          <w:szCs w:val="24"/>
        </w:rPr>
        <w:t>cen</w:t>
      </w:r>
      <w:r w:rsidR="0072423C" w:rsidRPr="00E95861">
        <w:rPr>
          <w:rFonts w:ascii="Gill Sans MT" w:hAnsi="Gill Sans MT" w:cs="Tahoma"/>
          <w:sz w:val="24"/>
          <w:szCs w:val="24"/>
        </w:rPr>
        <w:t xml:space="preserve"> procedimientos e instituciones diferentes</w:t>
      </w:r>
      <w:r w:rsidR="00721DA0" w:rsidRPr="00E95861">
        <w:rPr>
          <w:rFonts w:ascii="Gill Sans MT" w:hAnsi="Gill Sans MT" w:cs="Tahoma"/>
          <w:sz w:val="24"/>
          <w:szCs w:val="24"/>
        </w:rPr>
        <w:t xml:space="preserve"> para lograr dichos propósitos</w:t>
      </w:r>
      <w:r w:rsidR="0072423C" w:rsidRPr="00E95861">
        <w:rPr>
          <w:rFonts w:ascii="Gill Sans MT" w:hAnsi="Gill Sans MT" w:cs="Tahoma"/>
          <w:sz w:val="24"/>
          <w:szCs w:val="24"/>
        </w:rPr>
        <w:t>.</w:t>
      </w:r>
    </w:p>
    <w:p w:rsidR="00701DAE" w:rsidRPr="00E95861" w:rsidRDefault="00701DAE" w:rsidP="0089774B">
      <w:pPr>
        <w:pStyle w:val="Sinespaciado"/>
        <w:spacing w:line="360" w:lineRule="auto"/>
        <w:rPr>
          <w:rFonts w:ascii="Gill Sans MT" w:hAnsi="Gill Sans MT" w:cs="Tahoma"/>
          <w:sz w:val="24"/>
          <w:szCs w:val="24"/>
        </w:rPr>
      </w:pPr>
    </w:p>
    <w:p w:rsidR="007C225F" w:rsidRPr="00E95861" w:rsidRDefault="007C225F" w:rsidP="0089774B">
      <w:pPr>
        <w:pStyle w:val="Sinespaciado"/>
        <w:spacing w:line="360" w:lineRule="auto"/>
        <w:rPr>
          <w:rFonts w:ascii="Gill Sans MT" w:hAnsi="Gill Sans MT" w:cs="Tahoma"/>
          <w:sz w:val="24"/>
          <w:szCs w:val="24"/>
        </w:rPr>
      </w:pPr>
      <w:r w:rsidRPr="00D244E7">
        <w:rPr>
          <w:rFonts w:ascii="Gill Sans MT" w:hAnsi="Gill Sans MT" w:cs="Tahoma"/>
          <w:b/>
          <w:i/>
          <w:sz w:val="24"/>
          <w:szCs w:val="24"/>
        </w:rPr>
        <w:t>Segundo</w:t>
      </w:r>
      <w:r w:rsidRPr="00D244E7">
        <w:rPr>
          <w:rFonts w:ascii="Gill Sans MT" w:hAnsi="Gill Sans MT" w:cs="Tahoma"/>
          <w:i/>
          <w:sz w:val="24"/>
          <w:szCs w:val="24"/>
        </w:rPr>
        <w:t>,</w:t>
      </w:r>
      <w:r w:rsidRPr="00E95861">
        <w:rPr>
          <w:rFonts w:ascii="Gill Sans MT" w:hAnsi="Gill Sans MT" w:cs="Tahoma"/>
          <w:sz w:val="24"/>
          <w:szCs w:val="24"/>
        </w:rPr>
        <w:t xml:space="preserve"> la Corte Suprema de Justicia ha expuesto que para que el principio de favorabilidad sea aplicable, debe existir “</w:t>
      </w:r>
      <w:r w:rsidRPr="00E95861">
        <w:rPr>
          <w:rFonts w:ascii="Gill Sans MT" w:hAnsi="Gill Sans MT" w:cs="Tahoma"/>
          <w:i/>
          <w:sz w:val="24"/>
          <w:szCs w:val="24"/>
        </w:rPr>
        <w:t>identidad en el objeto de regulación</w:t>
      </w:r>
      <w:r w:rsidRPr="00E95861">
        <w:rPr>
          <w:rFonts w:ascii="Gill Sans MT" w:hAnsi="Gill Sans MT" w:cs="Tahoma"/>
          <w:sz w:val="24"/>
          <w:szCs w:val="24"/>
        </w:rPr>
        <w:t>”</w:t>
      </w:r>
      <w:r w:rsidRPr="00E95861">
        <w:rPr>
          <w:rStyle w:val="Refdenotaalpie"/>
          <w:rFonts w:ascii="Gill Sans MT" w:hAnsi="Gill Sans MT" w:cs="Tahoma"/>
          <w:sz w:val="24"/>
          <w:szCs w:val="24"/>
        </w:rPr>
        <w:footnoteReference w:id="4"/>
      </w:r>
      <w:r w:rsidRPr="00E95861">
        <w:rPr>
          <w:rFonts w:ascii="Gill Sans MT" w:hAnsi="Gill Sans MT" w:cs="Tahoma"/>
          <w:sz w:val="24"/>
          <w:szCs w:val="24"/>
        </w:rPr>
        <w:t>. En este caso, el instituto de l</w:t>
      </w:r>
      <w:r w:rsidR="002F1BB9" w:rsidRPr="00E95861">
        <w:rPr>
          <w:rFonts w:ascii="Gill Sans MT" w:hAnsi="Gill Sans MT" w:cs="Tahoma"/>
          <w:sz w:val="24"/>
          <w:szCs w:val="24"/>
        </w:rPr>
        <w:t>ibertad condicionada consagrado</w:t>
      </w:r>
      <w:r w:rsidRPr="00E95861">
        <w:rPr>
          <w:rFonts w:ascii="Gill Sans MT" w:hAnsi="Gill Sans MT" w:cs="Tahoma"/>
          <w:sz w:val="24"/>
          <w:szCs w:val="24"/>
        </w:rPr>
        <w:t xml:space="preserve"> en la </w:t>
      </w:r>
      <w:r w:rsidR="00FA052F">
        <w:rPr>
          <w:rFonts w:ascii="Gill Sans MT" w:hAnsi="Gill Sans MT" w:cs="Tahoma"/>
          <w:sz w:val="24"/>
          <w:szCs w:val="24"/>
        </w:rPr>
        <w:t xml:space="preserve">Ley </w:t>
      </w:r>
      <w:r w:rsidRPr="00E95861">
        <w:rPr>
          <w:rFonts w:ascii="Gill Sans MT" w:hAnsi="Gill Sans MT" w:cs="Tahoma"/>
          <w:sz w:val="24"/>
          <w:szCs w:val="24"/>
        </w:rPr>
        <w:t xml:space="preserve">1820 de 2016, no </w:t>
      </w:r>
      <w:r w:rsidR="002F1BB9" w:rsidRPr="00E95861">
        <w:rPr>
          <w:rFonts w:ascii="Gill Sans MT" w:hAnsi="Gill Sans MT" w:cs="Tahoma"/>
          <w:sz w:val="24"/>
          <w:szCs w:val="24"/>
        </w:rPr>
        <w:t>está contenido</w:t>
      </w:r>
      <w:r w:rsidRPr="00E95861">
        <w:rPr>
          <w:rFonts w:ascii="Gill Sans MT" w:hAnsi="Gill Sans MT" w:cs="Tahoma"/>
          <w:sz w:val="24"/>
          <w:szCs w:val="24"/>
        </w:rPr>
        <w:t xml:space="preserve"> en la </w:t>
      </w:r>
      <w:r w:rsidR="00FA052F">
        <w:rPr>
          <w:rFonts w:ascii="Gill Sans MT" w:hAnsi="Gill Sans MT" w:cs="Tahoma"/>
          <w:sz w:val="24"/>
          <w:szCs w:val="24"/>
        </w:rPr>
        <w:t xml:space="preserve">Ley </w:t>
      </w:r>
      <w:r w:rsidRPr="00E95861">
        <w:rPr>
          <w:rFonts w:ascii="Gill Sans MT" w:hAnsi="Gill Sans MT" w:cs="Tahoma"/>
          <w:sz w:val="24"/>
          <w:szCs w:val="24"/>
        </w:rPr>
        <w:t xml:space="preserve">975 de 2005, </w:t>
      </w:r>
      <w:r w:rsidR="002F1BB9" w:rsidRPr="00E95861">
        <w:rPr>
          <w:rFonts w:ascii="Gill Sans MT" w:hAnsi="Gill Sans MT" w:cs="Tahoma"/>
          <w:sz w:val="24"/>
          <w:szCs w:val="24"/>
        </w:rPr>
        <w:t>básicamente porque esta</w:t>
      </w:r>
      <w:r w:rsidRPr="00E95861">
        <w:rPr>
          <w:rFonts w:ascii="Gill Sans MT" w:hAnsi="Gill Sans MT" w:cs="Tahoma"/>
          <w:sz w:val="24"/>
          <w:szCs w:val="24"/>
        </w:rPr>
        <w:t xml:space="preserve"> figura opera </w:t>
      </w:r>
      <w:r w:rsidRPr="00E95861">
        <w:rPr>
          <w:rFonts w:ascii="Gill Sans MT" w:hAnsi="Gill Sans MT" w:cs="Tahoma"/>
          <w:b/>
          <w:i/>
          <w:sz w:val="24"/>
          <w:szCs w:val="24"/>
        </w:rPr>
        <w:t>ex ante</w:t>
      </w:r>
      <w:r w:rsidRPr="00E95861">
        <w:rPr>
          <w:rFonts w:ascii="Gill Sans MT" w:hAnsi="Gill Sans MT" w:cs="Tahoma"/>
          <w:sz w:val="24"/>
          <w:szCs w:val="24"/>
        </w:rPr>
        <w:t xml:space="preserve"> a la imposición de una </w:t>
      </w:r>
      <w:r w:rsidRPr="00E95861">
        <w:rPr>
          <w:rFonts w:ascii="Gill Sans MT" w:hAnsi="Gill Sans MT" w:cs="Tahoma"/>
          <w:b/>
          <w:i/>
          <w:sz w:val="24"/>
          <w:szCs w:val="24"/>
        </w:rPr>
        <w:lastRenderedPageBreak/>
        <w:t>sanción</w:t>
      </w:r>
      <w:r w:rsidR="002F1BB9" w:rsidRPr="00E95861">
        <w:rPr>
          <w:rFonts w:ascii="Gill Sans MT" w:hAnsi="Gill Sans MT" w:cs="Tahoma"/>
          <w:b/>
          <w:i/>
          <w:sz w:val="24"/>
          <w:szCs w:val="24"/>
        </w:rPr>
        <w:t xml:space="preserve"> restaurativa</w:t>
      </w:r>
      <w:r w:rsidRPr="00E95861">
        <w:rPr>
          <w:rFonts w:ascii="Gill Sans MT" w:hAnsi="Gill Sans MT" w:cs="Tahoma"/>
          <w:sz w:val="24"/>
          <w:szCs w:val="24"/>
        </w:rPr>
        <w:t xml:space="preserve"> por parte de las diferentes Salas o Secciones del Tribunal Especial para la Paz</w:t>
      </w:r>
      <w:r w:rsidR="0010798B" w:rsidRPr="00E95861">
        <w:rPr>
          <w:rFonts w:ascii="Gill Sans MT" w:hAnsi="Gill Sans MT" w:cs="Tahoma"/>
          <w:sz w:val="24"/>
          <w:szCs w:val="24"/>
        </w:rPr>
        <w:t>,</w:t>
      </w:r>
      <w:r w:rsidRPr="00E95861">
        <w:rPr>
          <w:rFonts w:ascii="Gill Sans MT" w:hAnsi="Gill Sans MT" w:cs="Tahoma"/>
          <w:sz w:val="24"/>
          <w:szCs w:val="24"/>
        </w:rPr>
        <w:t xml:space="preserve"> </w:t>
      </w:r>
      <w:r w:rsidR="0010798B" w:rsidRPr="00E95861">
        <w:rPr>
          <w:rFonts w:ascii="Gill Sans MT" w:hAnsi="Gill Sans MT" w:cs="Tahoma"/>
          <w:color w:val="000000" w:themeColor="text1"/>
          <w:sz w:val="24"/>
          <w:szCs w:val="24"/>
        </w:rPr>
        <w:t xml:space="preserve">es decir, si el peticionario cumple con todos los requisitos objetivos estipulados en la </w:t>
      </w:r>
      <w:r w:rsidR="00FA052F">
        <w:rPr>
          <w:rFonts w:ascii="Gill Sans MT" w:hAnsi="Gill Sans MT" w:cs="Tahoma"/>
          <w:color w:val="000000" w:themeColor="text1"/>
          <w:sz w:val="24"/>
          <w:szCs w:val="24"/>
        </w:rPr>
        <w:t xml:space="preserve">Ley </w:t>
      </w:r>
      <w:r w:rsidR="0010798B" w:rsidRPr="00E95861">
        <w:rPr>
          <w:rFonts w:ascii="Gill Sans MT" w:hAnsi="Gill Sans MT" w:cs="Tahoma"/>
          <w:color w:val="000000" w:themeColor="text1"/>
          <w:sz w:val="24"/>
          <w:szCs w:val="24"/>
        </w:rPr>
        <w:t>1820 de 2016 y sus decretos reglamentarios, puede quedar en libertad condicionada antes de la imposición de la sanción restaurativa por parte de la Ju</w:t>
      </w:r>
      <w:r w:rsidR="00B736FB" w:rsidRPr="00E95861">
        <w:rPr>
          <w:rFonts w:ascii="Gill Sans MT" w:hAnsi="Gill Sans MT" w:cs="Tahoma"/>
          <w:color w:val="000000" w:themeColor="text1"/>
          <w:sz w:val="24"/>
          <w:szCs w:val="24"/>
        </w:rPr>
        <w:t xml:space="preserve">risdicción Especial para la Paz; </w:t>
      </w:r>
      <w:r w:rsidRPr="00E95861">
        <w:rPr>
          <w:rFonts w:ascii="Gill Sans MT" w:hAnsi="Gill Sans MT" w:cs="Tahoma"/>
          <w:sz w:val="24"/>
          <w:szCs w:val="24"/>
        </w:rPr>
        <w:t xml:space="preserve">mientras que en </w:t>
      </w:r>
      <w:r w:rsidR="002F1BB9" w:rsidRPr="00E95861">
        <w:rPr>
          <w:rFonts w:ascii="Gill Sans MT" w:hAnsi="Gill Sans MT" w:cs="Tahoma"/>
          <w:sz w:val="24"/>
          <w:szCs w:val="24"/>
        </w:rPr>
        <w:t xml:space="preserve">Justicia y Paz, esa temporalidad y esa clase de sanciones, no están contempladas. </w:t>
      </w:r>
    </w:p>
    <w:p w:rsidR="00701DAE" w:rsidRPr="00E95861" w:rsidRDefault="00701DAE" w:rsidP="0089774B">
      <w:pPr>
        <w:pStyle w:val="Sinespaciado"/>
        <w:spacing w:line="360" w:lineRule="auto"/>
        <w:rPr>
          <w:rFonts w:ascii="Gill Sans MT" w:hAnsi="Gill Sans MT" w:cs="Tahoma"/>
          <w:sz w:val="24"/>
          <w:szCs w:val="24"/>
        </w:rPr>
      </w:pPr>
    </w:p>
    <w:p w:rsidR="00721DA0" w:rsidRPr="00E95861" w:rsidRDefault="00721DA0"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t xml:space="preserve">De ese modo, al no haber identidad en el objeto de regulación, la pretensión del postulado de acogerse a la Jurisdicción Especial para la Paz, por la vía del principio de favorabilidad, no tiene sentido ya que este instituto termina siendo inaplicable. </w:t>
      </w:r>
    </w:p>
    <w:p w:rsidR="00701DAE" w:rsidRPr="00E95861" w:rsidRDefault="00701DAE" w:rsidP="0089774B">
      <w:pPr>
        <w:pStyle w:val="Sinespaciado"/>
        <w:spacing w:line="360" w:lineRule="auto"/>
        <w:rPr>
          <w:rFonts w:ascii="Gill Sans MT" w:hAnsi="Gill Sans MT" w:cs="Tahoma"/>
          <w:b/>
          <w:sz w:val="24"/>
          <w:szCs w:val="24"/>
        </w:rPr>
      </w:pPr>
    </w:p>
    <w:p w:rsidR="00EF066A" w:rsidRPr="00E95861" w:rsidRDefault="00FD672D" w:rsidP="0089774B">
      <w:pPr>
        <w:spacing w:after="0" w:line="360" w:lineRule="auto"/>
        <w:rPr>
          <w:rFonts w:ascii="Gill Sans MT" w:hAnsi="Gill Sans MT"/>
          <w:b/>
          <w:sz w:val="24"/>
          <w:szCs w:val="24"/>
        </w:rPr>
      </w:pPr>
      <w:r>
        <w:rPr>
          <w:rFonts w:ascii="Gill Sans MT" w:hAnsi="Gill Sans MT"/>
          <w:b/>
          <w:sz w:val="24"/>
          <w:szCs w:val="24"/>
        </w:rPr>
        <w:t>3. Sobre los be</w:t>
      </w:r>
      <w:r w:rsidR="00EF066A" w:rsidRPr="00E95861">
        <w:rPr>
          <w:rFonts w:ascii="Gill Sans MT" w:hAnsi="Gill Sans MT"/>
          <w:b/>
          <w:sz w:val="24"/>
          <w:szCs w:val="24"/>
        </w:rPr>
        <w:t>nef</w:t>
      </w:r>
      <w:r>
        <w:rPr>
          <w:rFonts w:ascii="Gill Sans MT" w:hAnsi="Gill Sans MT"/>
          <w:b/>
          <w:sz w:val="24"/>
          <w:szCs w:val="24"/>
        </w:rPr>
        <w:t xml:space="preserve">iciarios de la </w:t>
      </w:r>
      <w:r w:rsidR="00FA052F">
        <w:rPr>
          <w:rFonts w:ascii="Gill Sans MT" w:hAnsi="Gill Sans MT"/>
          <w:b/>
          <w:sz w:val="24"/>
          <w:szCs w:val="24"/>
        </w:rPr>
        <w:t xml:space="preserve">Ley </w:t>
      </w:r>
      <w:r>
        <w:rPr>
          <w:rFonts w:ascii="Gill Sans MT" w:hAnsi="Gill Sans MT"/>
          <w:b/>
          <w:sz w:val="24"/>
          <w:szCs w:val="24"/>
        </w:rPr>
        <w:t xml:space="preserve">1820 de 2016. </w:t>
      </w:r>
    </w:p>
    <w:p w:rsidR="00EF066A" w:rsidRPr="00E95861" w:rsidRDefault="00EF066A" w:rsidP="0089774B">
      <w:pPr>
        <w:spacing w:after="0" w:line="360" w:lineRule="auto"/>
        <w:jc w:val="both"/>
        <w:rPr>
          <w:rFonts w:ascii="Gill Sans MT" w:hAnsi="Gill Sans MT"/>
          <w:sz w:val="24"/>
          <w:szCs w:val="24"/>
        </w:rPr>
      </w:pPr>
    </w:p>
    <w:p w:rsidR="00EF066A" w:rsidRPr="00E95861" w:rsidRDefault="00EF066A" w:rsidP="0089774B">
      <w:pPr>
        <w:spacing w:after="0" w:line="360" w:lineRule="auto"/>
        <w:jc w:val="both"/>
        <w:rPr>
          <w:rFonts w:ascii="Gill Sans MT" w:hAnsi="Gill Sans MT"/>
          <w:sz w:val="24"/>
          <w:szCs w:val="24"/>
        </w:rPr>
      </w:pPr>
      <w:r w:rsidRPr="00E95861">
        <w:rPr>
          <w:rFonts w:ascii="Gill Sans MT" w:hAnsi="Gill Sans MT"/>
          <w:sz w:val="24"/>
          <w:szCs w:val="24"/>
        </w:rPr>
        <w:t xml:space="preserve">A partir de una lectura maximalista del objeto de aplicación de la </w:t>
      </w:r>
      <w:r w:rsidR="00FA052F">
        <w:rPr>
          <w:rFonts w:ascii="Gill Sans MT" w:hAnsi="Gill Sans MT"/>
          <w:sz w:val="24"/>
          <w:szCs w:val="24"/>
        </w:rPr>
        <w:t xml:space="preserve">Ley </w:t>
      </w:r>
      <w:r w:rsidRPr="00E95861">
        <w:rPr>
          <w:rFonts w:ascii="Gill Sans MT" w:hAnsi="Gill Sans MT"/>
          <w:sz w:val="24"/>
          <w:szCs w:val="24"/>
        </w:rPr>
        <w:t>1820 de 2016, el abogado defensor arguyó que los ex integrantes de los grupos paramilitares pueden ser cobijados con los beneficios de la libertad condicionada, ya que la legislación abrió supuestamente el espacio para “</w:t>
      </w:r>
      <w:r w:rsidRPr="00E95861">
        <w:rPr>
          <w:rFonts w:ascii="Gill Sans MT" w:hAnsi="Gill Sans MT"/>
          <w:i/>
          <w:sz w:val="24"/>
          <w:szCs w:val="24"/>
        </w:rPr>
        <w:t>todos los demás actores del conflicto armado”</w:t>
      </w:r>
      <w:r w:rsidRPr="00E95861">
        <w:rPr>
          <w:rFonts w:ascii="Gill Sans MT" w:hAnsi="Gill Sans MT"/>
          <w:sz w:val="24"/>
          <w:szCs w:val="24"/>
        </w:rPr>
        <w:t xml:space="preserve">, incluyendo a las </w:t>
      </w:r>
      <w:r w:rsidR="00B34CC9">
        <w:rPr>
          <w:rFonts w:ascii="Gill Sans MT" w:hAnsi="Gill Sans MT"/>
          <w:sz w:val="24"/>
          <w:szCs w:val="24"/>
        </w:rPr>
        <w:t>Autodefensas Unidas de Colombia –AUC-.</w:t>
      </w:r>
    </w:p>
    <w:p w:rsidR="00EF066A" w:rsidRPr="00E95861" w:rsidRDefault="00EF066A" w:rsidP="0089774B">
      <w:pPr>
        <w:spacing w:after="0" w:line="360" w:lineRule="auto"/>
        <w:jc w:val="both"/>
        <w:rPr>
          <w:rFonts w:ascii="Gill Sans MT" w:hAnsi="Gill Sans MT"/>
          <w:sz w:val="24"/>
          <w:szCs w:val="24"/>
        </w:rPr>
      </w:pPr>
    </w:p>
    <w:p w:rsidR="00EF066A" w:rsidRPr="00E95861" w:rsidRDefault="00EF066A" w:rsidP="0089774B">
      <w:pPr>
        <w:spacing w:after="0" w:line="360" w:lineRule="auto"/>
        <w:jc w:val="both"/>
        <w:rPr>
          <w:rFonts w:ascii="Gill Sans MT" w:hAnsi="Gill Sans MT"/>
          <w:sz w:val="24"/>
          <w:szCs w:val="24"/>
        </w:rPr>
      </w:pPr>
      <w:r w:rsidRPr="00E95861">
        <w:rPr>
          <w:rFonts w:ascii="Gill Sans MT" w:hAnsi="Gill Sans MT"/>
          <w:sz w:val="24"/>
          <w:szCs w:val="24"/>
        </w:rPr>
        <w:t xml:space="preserve">En contravía de esta interpretación, la Sala encuentra que los artículos 2 y 3 de la </w:t>
      </w:r>
      <w:r w:rsidR="00FA052F">
        <w:rPr>
          <w:rFonts w:ascii="Gill Sans MT" w:hAnsi="Gill Sans MT"/>
          <w:sz w:val="24"/>
          <w:szCs w:val="24"/>
        </w:rPr>
        <w:t xml:space="preserve">Ley </w:t>
      </w:r>
      <w:r w:rsidRPr="00E95861">
        <w:rPr>
          <w:rFonts w:ascii="Gill Sans MT" w:hAnsi="Gill Sans MT"/>
          <w:sz w:val="24"/>
          <w:szCs w:val="24"/>
        </w:rPr>
        <w:t>1820 de 2016, son claros en la delimitación del objeto y el ámbito de aplicación de la amnistía, el indulto y los demás tratamientos penales especiales diferenciados como la libertad condicionada. En ese orden, se precisa que las amnistías e indultos, se aplican a “</w:t>
      </w:r>
      <w:r w:rsidRPr="00E95861">
        <w:rPr>
          <w:rFonts w:ascii="Gill Sans MT" w:hAnsi="Gill Sans MT"/>
          <w:i/>
          <w:sz w:val="24"/>
          <w:szCs w:val="24"/>
        </w:rPr>
        <w:t>los delitos políticos y los delitos conexos con estos</w:t>
      </w:r>
      <w:r w:rsidRPr="00E95861">
        <w:rPr>
          <w:rFonts w:ascii="Gill Sans MT" w:hAnsi="Gill Sans MT"/>
          <w:sz w:val="24"/>
          <w:szCs w:val="24"/>
        </w:rPr>
        <w:t xml:space="preserve">”. Y como es un imposible jurídico que a los agentes estatales se les pueda aplicar la amnistía y el indulto porque su accionar no atentó directamente contra el régimen constitucional y legal vigente, entonces la normatividad contempló diferentes mecanismos de renuncia a la persecución penal. </w:t>
      </w:r>
    </w:p>
    <w:p w:rsidR="00EF066A" w:rsidRPr="00E95861" w:rsidRDefault="00EF066A" w:rsidP="0089774B">
      <w:pPr>
        <w:spacing w:after="0" w:line="360" w:lineRule="auto"/>
        <w:jc w:val="both"/>
        <w:rPr>
          <w:rFonts w:ascii="Gill Sans MT" w:hAnsi="Gill Sans MT"/>
          <w:sz w:val="24"/>
          <w:szCs w:val="24"/>
        </w:rPr>
      </w:pPr>
    </w:p>
    <w:p w:rsidR="00EF066A" w:rsidRPr="00E95861" w:rsidRDefault="00EF066A" w:rsidP="0089774B">
      <w:pPr>
        <w:spacing w:after="0" w:line="360" w:lineRule="auto"/>
        <w:jc w:val="both"/>
        <w:rPr>
          <w:rFonts w:ascii="Gill Sans MT" w:hAnsi="Gill Sans MT"/>
          <w:sz w:val="24"/>
          <w:szCs w:val="24"/>
        </w:rPr>
      </w:pPr>
      <w:r w:rsidRPr="00E95861">
        <w:rPr>
          <w:rFonts w:ascii="Gill Sans MT" w:hAnsi="Gill Sans MT"/>
          <w:sz w:val="24"/>
          <w:szCs w:val="24"/>
        </w:rPr>
        <w:t xml:space="preserve">Por tanto, esta legislación transicional, que se ha ido estructurando gradualmente con la expedición del Decreto reglamentario 277 de 2017 y el Acto Legislativo 01 de 2017, establece que el ámbito de aplicación se circunscribe a tres tipos de actores: </w:t>
      </w:r>
    </w:p>
    <w:p w:rsidR="00EF066A" w:rsidRPr="00E95861" w:rsidRDefault="00EF066A" w:rsidP="0089774B">
      <w:pPr>
        <w:spacing w:after="0" w:line="360" w:lineRule="auto"/>
        <w:jc w:val="both"/>
        <w:rPr>
          <w:rFonts w:ascii="Gill Sans MT" w:hAnsi="Gill Sans MT"/>
          <w:sz w:val="24"/>
          <w:szCs w:val="24"/>
        </w:rPr>
      </w:pPr>
    </w:p>
    <w:p w:rsidR="00EF066A" w:rsidRPr="00E95861" w:rsidRDefault="00EF066A" w:rsidP="0089774B">
      <w:pPr>
        <w:pStyle w:val="Prrafodelista"/>
        <w:numPr>
          <w:ilvl w:val="0"/>
          <w:numId w:val="6"/>
        </w:numPr>
        <w:spacing w:after="0" w:line="360" w:lineRule="auto"/>
        <w:jc w:val="both"/>
        <w:rPr>
          <w:rFonts w:ascii="Gill Sans MT" w:hAnsi="Gill Sans MT"/>
          <w:sz w:val="24"/>
          <w:szCs w:val="24"/>
        </w:rPr>
      </w:pPr>
      <w:r w:rsidRPr="00E95861">
        <w:rPr>
          <w:rFonts w:ascii="Gill Sans MT" w:hAnsi="Gill Sans MT"/>
          <w:sz w:val="24"/>
          <w:szCs w:val="24"/>
        </w:rPr>
        <w:lastRenderedPageBreak/>
        <w:t xml:space="preserve">Los miembros de un grupo armado </w:t>
      </w:r>
      <w:r w:rsidRPr="00E95861">
        <w:rPr>
          <w:rFonts w:ascii="Gill Sans MT" w:hAnsi="Gill Sans MT"/>
          <w:b/>
          <w:sz w:val="24"/>
          <w:szCs w:val="24"/>
        </w:rPr>
        <w:t>en rebelión</w:t>
      </w:r>
      <w:r w:rsidRPr="00E95861">
        <w:rPr>
          <w:rFonts w:ascii="Gill Sans MT" w:hAnsi="Gill Sans MT"/>
          <w:sz w:val="24"/>
          <w:szCs w:val="24"/>
        </w:rPr>
        <w:t xml:space="preserve"> que hayan firmado un acuerdo de paz con el gobierno</w:t>
      </w:r>
      <w:r w:rsidRPr="00E95861">
        <w:rPr>
          <w:rStyle w:val="Refdenotaalpie"/>
          <w:rFonts w:ascii="Gill Sans MT" w:hAnsi="Gill Sans MT"/>
          <w:sz w:val="24"/>
          <w:szCs w:val="24"/>
        </w:rPr>
        <w:footnoteReference w:id="5"/>
      </w:r>
      <w:r w:rsidRPr="00E95861">
        <w:rPr>
          <w:rFonts w:ascii="Gill Sans MT" w:hAnsi="Gill Sans MT"/>
          <w:sz w:val="24"/>
          <w:szCs w:val="24"/>
        </w:rPr>
        <w:t xml:space="preserve"> </w:t>
      </w:r>
    </w:p>
    <w:p w:rsidR="00EF066A" w:rsidRPr="00E95861" w:rsidRDefault="00EF066A" w:rsidP="0089774B">
      <w:pPr>
        <w:pStyle w:val="Prrafodelista"/>
        <w:spacing w:after="0" w:line="360" w:lineRule="auto"/>
        <w:jc w:val="both"/>
        <w:rPr>
          <w:rFonts w:ascii="Gill Sans MT" w:hAnsi="Gill Sans MT"/>
          <w:sz w:val="24"/>
          <w:szCs w:val="24"/>
        </w:rPr>
      </w:pPr>
    </w:p>
    <w:p w:rsidR="00EF066A" w:rsidRPr="00E95861" w:rsidRDefault="00EF066A" w:rsidP="0089774B">
      <w:pPr>
        <w:pStyle w:val="Prrafodelista"/>
        <w:numPr>
          <w:ilvl w:val="0"/>
          <w:numId w:val="6"/>
        </w:numPr>
        <w:spacing w:after="0" w:line="360" w:lineRule="auto"/>
        <w:jc w:val="both"/>
        <w:rPr>
          <w:rFonts w:ascii="Gill Sans MT" w:hAnsi="Gill Sans MT"/>
          <w:sz w:val="24"/>
          <w:szCs w:val="24"/>
        </w:rPr>
      </w:pPr>
      <w:r w:rsidRPr="00E95861">
        <w:rPr>
          <w:rFonts w:ascii="Gill Sans MT" w:hAnsi="Gill Sans MT"/>
          <w:b/>
          <w:sz w:val="24"/>
          <w:szCs w:val="24"/>
        </w:rPr>
        <w:t>Los agentes del Estado</w:t>
      </w:r>
      <w:r w:rsidRPr="00E95861">
        <w:rPr>
          <w:rStyle w:val="Refdenotaalpie"/>
          <w:rFonts w:ascii="Gill Sans MT" w:hAnsi="Gill Sans MT"/>
          <w:sz w:val="24"/>
          <w:szCs w:val="24"/>
        </w:rPr>
        <w:footnoteReference w:id="6"/>
      </w:r>
      <w:r w:rsidRPr="00E95861">
        <w:rPr>
          <w:rFonts w:ascii="Gill Sans MT" w:hAnsi="Gill Sans MT"/>
          <w:sz w:val="24"/>
          <w:szCs w:val="24"/>
        </w:rPr>
        <w:t xml:space="preserve">, que según el artículo transitorio 17 del Acto Legislativo 02 de 2017, se definen como: </w:t>
      </w:r>
      <w:r w:rsidRPr="00E95861">
        <w:rPr>
          <w:rFonts w:ascii="Gill Sans MT" w:hAnsi="Gill Sans MT"/>
          <w:i/>
          <w:sz w:val="24"/>
          <w:szCs w:val="24"/>
        </w:rPr>
        <w:t>“…toda persona que al momento de la comisión de la presunta conducta criminal estuviere ejerciendo como Miembro de las Corporaciones Públicas, como empleado o trabajador del Estado o de sus Entidades Descentralizadas Territorialmente y por Servicios, que hayan participado en el diseño o ejecución de conductas delictivas, relacionadas directa o indirectamente”</w:t>
      </w:r>
    </w:p>
    <w:p w:rsidR="00EF066A" w:rsidRPr="00E95861" w:rsidRDefault="00EF066A" w:rsidP="0089774B">
      <w:pPr>
        <w:pStyle w:val="Prrafodelista"/>
        <w:spacing w:after="0" w:line="360" w:lineRule="auto"/>
        <w:jc w:val="both"/>
        <w:rPr>
          <w:rFonts w:ascii="Gill Sans MT" w:hAnsi="Gill Sans MT"/>
          <w:sz w:val="24"/>
          <w:szCs w:val="24"/>
        </w:rPr>
      </w:pPr>
    </w:p>
    <w:p w:rsidR="00EF066A" w:rsidRPr="00E95861" w:rsidRDefault="00EF066A" w:rsidP="0089774B">
      <w:pPr>
        <w:pStyle w:val="Prrafodelista"/>
        <w:numPr>
          <w:ilvl w:val="0"/>
          <w:numId w:val="6"/>
        </w:numPr>
        <w:spacing w:after="0" w:line="360" w:lineRule="auto"/>
        <w:jc w:val="both"/>
        <w:rPr>
          <w:rFonts w:ascii="Gill Sans MT" w:hAnsi="Gill Sans MT"/>
          <w:sz w:val="24"/>
          <w:szCs w:val="24"/>
        </w:rPr>
      </w:pPr>
      <w:r w:rsidRPr="00E95861">
        <w:rPr>
          <w:rFonts w:ascii="Gill Sans MT" w:hAnsi="Gill Sans MT"/>
          <w:b/>
          <w:sz w:val="24"/>
          <w:szCs w:val="24"/>
        </w:rPr>
        <w:t>Los terceros civiles</w:t>
      </w:r>
      <w:r w:rsidRPr="00E95861">
        <w:rPr>
          <w:rFonts w:ascii="Gill Sans MT" w:hAnsi="Gill Sans MT"/>
          <w:sz w:val="24"/>
          <w:szCs w:val="24"/>
        </w:rPr>
        <w:t xml:space="preserve">, que pueden ser entendidos como personas que hayan sido privadas de la libertad por </w:t>
      </w:r>
      <w:r w:rsidRPr="00B34CC9">
        <w:rPr>
          <w:rFonts w:ascii="Gill Sans MT" w:hAnsi="Gill Sans MT"/>
          <w:i/>
          <w:sz w:val="24"/>
          <w:szCs w:val="24"/>
        </w:rPr>
        <w:t>“conductas cometidas en el marco de disturbios públicos o el ejercicio de la protesta social”</w:t>
      </w:r>
      <w:r w:rsidRPr="00E95861">
        <w:rPr>
          <w:rStyle w:val="Refdenotaalpie"/>
          <w:rFonts w:ascii="Gill Sans MT" w:hAnsi="Gill Sans MT"/>
          <w:sz w:val="24"/>
          <w:szCs w:val="24"/>
        </w:rPr>
        <w:footnoteReference w:id="7"/>
      </w:r>
      <w:r w:rsidRPr="00E95861">
        <w:rPr>
          <w:rFonts w:ascii="Gill Sans MT" w:hAnsi="Gill Sans MT"/>
          <w:sz w:val="24"/>
          <w:szCs w:val="24"/>
        </w:rPr>
        <w:t>, en los términos en los que indica la precitada normatividad</w:t>
      </w:r>
      <w:r w:rsidRPr="00E95861">
        <w:rPr>
          <w:rStyle w:val="Refdenotaalpie"/>
          <w:rFonts w:ascii="Gill Sans MT" w:hAnsi="Gill Sans MT"/>
          <w:sz w:val="24"/>
          <w:szCs w:val="24"/>
        </w:rPr>
        <w:footnoteReference w:id="8"/>
      </w:r>
      <w:r w:rsidRPr="00E95861">
        <w:rPr>
          <w:rFonts w:ascii="Gill Sans MT" w:hAnsi="Gill Sans MT"/>
          <w:sz w:val="24"/>
          <w:szCs w:val="24"/>
        </w:rPr>
        <w:t>. Pero también, se pueden entender de acuerdo al artículo transitorio 16 del Acto Legislativo 02 de 2017, que los define  como “</w:t>
      </w:r>
      <w:r w:rsidRPr="00E95861">
        <w:rPr>
          <w:rFonts w:ascii="Gill Sans MT" w:hAnsi="Gill Sans MT"/>
          <w:i/>
          <w:sz w:val="24"/>
          <w:szCs w:val="24"/>
        </w:rPr>
        <w:t>las personas que sin formar parte de las organizaciones o grupos armados, hubieran contribuido de manera directa o indirecta de la comisión de delitos en el marco del conflicto”</w:t>
      </w:r>
      <w:r w:rsidRPr="00E95861">
        <w:rPr>
          <w:rFonts w:ascii="Gill Sans MT" w:hAnsi="Gill Sans MT"/>
          <w:sz w:val="24"/>
          <w:szCs w:val="24"/>
        </w:rPr>
        <w:t>.</w:t>
      </w:r>
    </w:p>
    <w:p w:rsidR="00EF066A" w:rsidRPr="00E95861" w:rsidRDefault="00EF066A" w:rsidP="0089774B">
      <w:pPr>
        <w:spacing w:after="0" w:line="360" w:lineRule="auto"/>
        <w:jc w:val="both"/>
        <w:rPr>
          <w:rFonts w:ascii="Gill Sans MT" w:hAnsi="Gill Sans MT"/>
          <w:sz w:val="24"/>
          <w:szCs w:val="24"/>
        </w:rPr>
      </w:pPr>
    </w:p>
    <w:p w:rsidR="00B34CC9" w:rsidRPr="00B34CC9" w:rsidRDefault="00EF066A" w:rsidP="0089774B">
      <w:pPr>
        <w:spacing w:after="0" w:line="360" w:lineRule="auto"/>
        <w:jc w:val="both"/>
        <w:rPr>
          <w:rFonts w:ascii="Gill Sans MT" w:hAnsi="Gill Sans MT"/>
          <w:sz w:val="24"/>
          <w:szCs w:val="24"/>
        </w:rPr>
      </w:pPr>
      <w:r w:rsidRPr="00E95861">
        <w:rPr>
          <w:rFonts w:ascii="Gill Sans MT" w:hAnsi="Gill Sans MT"/>
          <w:sz w:val="24"/>
          <w:szCs w:val="24"/>
        </w:rPr>
        <w:t xml:space="preserve">En ese orden de ideas, los ex integrantes de grupos paramilitares no pueden ser </w:t>
      </w:r>
      <w:r w:rsidR="00A76056">
        <w:rPr>
          <w:rFonts w:ascii="Gill Sans MT" w:hAnsi="Gill Sans MT"/>
          <w:sz w:val="24"/>
          <w:szCs w:val="24"/>
        </w:rPr>
        <w:t xml:space="preserve">beneficiarios de la Ley 1820 de 2016 por varias </w:t>
      </w:r>
      <w:r w:rsidRPr="00B34CC9">
        <w:rPr>
          <w:rFonts w:ascii="Gill Sans MT" w:hAnsi="Gill Sans MT"/>
          <w:sz w:val="24"/>
          <w:szCs w:val="24"/>
        </w:rPr>
        <w:t xml:space="preserve">razones. </w:t>
      </w:r>
    </w:p>
    <w:p w:rsidR="00B34CC9" w:rsidRPr="00B34CC9" w:rsidRDefault="00B34CC9" w:rsidP="0089774B">
      <w:pPr>
        <w:spacing w:after="0" w:line="360" w:lineRule="auto"/>
        <w:jc w:val="both"/>
        <w:rPr>
          <w:rFonts w:ascii="Gill Sans MT" w:hAnsi="Gill Sans MT"/>
          <w:sz w:val="24"/>
          <w:szCs w:val="24"/>
        </w:rPr>
      </w:pPr>
    </w:p>
    <w:p w:rsidR="00EF066A" w:rsidRPr="00E95861" w:rsidRDefault="00EF066A" w:rsidP="0089774B">
      <w:pPr>
        <w:spacing w:after="0" w:line="360" w:lineRule="auto"/>
        <w:jc w:val="both"/>
        <w:rPr>
          <w:rFonts w:ascii="Gill Sans MT" w:hAnsi="Gill Sans MT"/>
          <w:sz w:val="24"/>
          <w:szCs w:val="24"/>
        </w:rPr>
      </w:pPr>
      <w:r w:rsidRPr="00B34CC9">
        <w:rPr>
          <w:rFonts w:ascii="Gill Sans MT" w:hAnsi="Gill Sans MT"/>
          <w:b/>
          <w:i/>
          <w:sz w:val="24"/>
          <w:szCs w:val="24"/>
        </w:rPr>
        <w:lastRenderedPageBreak/>
        <w:t>Primero</w:t>
      </w:r>
      <w:r w:rsidR="00A76056">
        <w:rPr>
          <w:rFonts w:ascii="Gill Sans MT" w:hAnsi="Gill Sans MT"/>
          <w:sz w:val="24"/>
          <w:szCs w:val="24"/>
        </w:rPr>
        <w:t xml:space="preserve">, porque la adecuación típica, </w:t>
      </w:r>
      <w:r w:rsidRPr="00B34CC9">
        <w:rPr>
          <w:rFonts w:ascii="Gill Sans MT" w:hAnsi="Gill Sans MT"/>
          <w:sz w:val="24"/>
          <w:szCs w:val="24"/>
        </w:rPr>
        <w:t>condenas o imputaciones de cargos efectuadas en Justicia y Paz o la justicia ordinaria para los antiguos militantes de las AUC, son por el delito de “</w:t>
      </w:r>
      <w:r w:rsidRPr="00B34CC9">
        <w:rPr>
          <w:rFonts w:ascii="Gill Sans MT" w:hAnsi="Gill Sans MT"/>
          <w:i/>
          <w:sz w:val="24"/>
          <w:szCs w:val="24"/>
        </w:rPr>
        <w:t>concierto para delinquir</w:t>
      </w:r>
      <w:r w:rsidRPr="00B34CC9">
        <w:rPr>
          <w:rFonts w:ascii="Gill Sans MT" w:hAnsi="Gill Sans MT"/>
          <w:sz w:val="24"/>
          <w:szCs w:val="24"/>
        </w:rPr>
        <w:t>” y no por “</w:t>
      </w:r>
      <w:r w:rsidRPr="00B34CC9">
        <w:rPr>
          <w:rFonts w:ascii="Gill Sans MT" w:hAnsi="Gill Sans MT"/>
          <w:i/>
          <w:sz w:val="24"/>
          <w:szCs w:val="24"/>
        </w:rPr>
        <w:t>delitos políticos”</w:t>
      </w:r>
      <w:r w:rsidRPr="00B34CC9">
        <w:rPr>
          <w:rFonts w:ascii="Gill Sans MT" w:hAnsi="Gill Sans MT"/>
          <w:sz w:val="24"/>
          <w:szCs w:val="24"/>
        </w:rPr>
        <w:t xml:space="preserve"> como la rebelión o la sedición. Al respecto, la jurisprudencia de la Corte Suprema de Justicia fue clara al disociar los crímenes cometidos por integrantes de grupos paramilitares con el delito político, ya que las diferencias entre ambos tipos penales son bastante palpables</w:t>
      </w:r>
      <w:r w:rsidRPr="00B34CC9">
        <w:rPr>
          <w:rStyle w:val="Refdenotaalpie"/>
          <w:rFonts w:ascii="Gill Sans MT" w:hAnsi="Gill Sans MT"/>
          <w:sz w:val="24"/>
          <w:szCs w:val="24"/>
        </w:rPr>
        <w:footnoteReference w:id="9"/>
      </w:r>
      <w:r w:rsidRPr="00B34CC9">
        <w:rPr>
          <w:rFonts w:ascii="Gill Sans MT" w:hAnsi="Gill Sans MT"/>
          <w:sz w:val="24"/>
          <w:szCs w:val="24"/>
        </w:rPr>
        <w:t xml:space="preserve"> (ver la tabla siguiente).</w:t>
      </w:r>
    </w:p>
    <w:p w:rsidR="00EF066A" w:rsidRPr="00E95861" w:rsidRDefault="00EF066A" w:rsidP="0089774B">
      <w:pPr>
        <w:spacing w:after="0" w:line="360" w:lineRule="auto"/>
        <w:jc w:val="both"/>
        <w:rPr>
          <w:rFonts w:ascii="Gill Sans MT" w:hAnsi="Gill Sans MT"/>
          <w:sz w:val="24"/>
          <w:szCs w:val="24"/>
        </w:rPr>
      </w:pPr>
    </w:p>
    <w:p w:rsidR="00EF066A" w:rsidRPr="00E95861" w:rsidRDefault="00EF066A" w:rsidP="0089774B">
      <w:pPr>
        <w:spacing w:after="0" w:line="360" w:lineRule="auto"/>
        <w:jc w:val="both"/>
        <w:rPr>
          <w:rFonts w:ascii="Gill Sans MT" w:hAnsi="Gill Sans MT"/>
          <w:b/>
          <w:sz w:val="24"/>
          <w:szCs w:val="24"/>
        </w:rPr>
      </w:pPr>
      <w:r w:rsidRPr="00E95861">
        <w:rPr>
          <w:rFonts w:ascii="Gill Sans MT" w:hAnsi="Gill Sans MT"/>
          <w:b/>
          <w:sz w:val="24"/>
          <w:szCs w:val="24"/>
        </w:rPr>
        <w:t>Tabla. Diferencias entre el “concierto para delinquir” y el “delito político”</w:t>
      </w:r>
    </w:p>
    <w:p w:rsidR="00EF066A" w:rsidRPr="00E95861" w:rsidRDefault="00EF066A" w:rsidP="0089774B">
      <w:pPr>
        <w:spacing w:after="0" w:line="360" w:lineRule="auto"/>
        <w:jc w:val="both"/>
        <w:rPr>
          <w:rFonts w:ascii="Gill Sans MT" w:hAnsi="Gill Sans MT"/>
          <w:b/>
          <w:sz w:val="24"/>
          <w:szCs w:val="24"/>
        </w:rPr>
      </w:pPr>
    </w:p>
    <w:tbl>
      <w:tblPr>
        <w:tblStyle w:val="Tablaconcuadrcula"/>
        <w:tblW w:w="0" w:type="auto"/>
        <w:tblLook w:val="04A0" w:firstRow="1" w:lastRow="0" w:firstColumn="1" w:lastColumn="0" w:noHBand="0" w:noVBand="1"/>
      </w:tblPr>
      <w:tblGrid>
        <w:gridCol w:w="1440"/>
        <w:gridCol w:w="3672"/>
        <w:gridCol w:w="3718"/>
      </w:tblGrid>
      <w:tr w:rsidR="00EF066A" w:rsidRPr="00B34CC9" w:rsidTr="00B34CC9">
        <w:trPr>
          <w:tblHeader/>
        </w:trPr>
        <w:tc>
          <w:tcPr>
            <w:tcW w:w="1440" w:type="dxa"/>
          </w:tcPr>
          <w:p w:rsidR="00EF066A" w:rsidRPr="00B34CC9" w:rsidRDefault="00EF066A" w:rsidP="0089774B">
            <w:pPr>
              <w:jc w:val="both"/>
              <w:rPr>
                <w:rFonts w:ascii="Gill Sans MT" w:hAnsi="Gill Sans MT"/>
                <w:b/>
              </w:rPr>
            </w:pPr>
            <w:r w:rsidRPr="00B34CC9">
              <w:rPr>
                <w:rFonts w:ascii="Gill Sans MT" w:hAnsi="Gill Sans MT"/>
                <w:b/>
              </w:rPr>
              <w:t>Diferencias</w:t>
            </w:r>
          </w:p>
        </w:tc>
        <w:tc>
          <w:tcPr>
            <w:tcW w:w="3672" w:type="dxa"/>
          </w:tcPr>
          <w:p w:rsidR="00EF066A" w:rsidRPr="00B34CC9" w:rsidRDefault="00EF066A" w:rsidP="0089774B">
            <w:pPr>
              <w:jc w:val="both"/>
              <w:rPr>
                <w:rFonts w:ascii="Gill Sans MT" w:hAnsi="Gill Sans MT"/>
              </w:rPr>
            </w:pPr>
            <w:r w:rsidRPr="00B34CC9">
              <w:rPr>
                <w:rFonts w:ascii="Gill Sans MT" w:hAnsi="Gill Sans MT"/>
                <w:b/>
              </w:rPr>
              <w:t>Delito político</w:t>
            </w:r>
            <w:r w:rsidRPr="00B34CC9">
              <w:rPr>
                <w:rFonts w:ascii="Gill Sans MT" w:hAnsi="Gill Sans MT"/>
              </w:rPr>
              <w:t xml:space="preserve"> (cometido por integrantes de un grupo armado en rebelión)</w:t>
            </w:r>
          </w:p>
        </w:tc>
        <w:tc>
          <w:tcPr>
            <w:tcW w:w="3718" w:type="dxa"/>
          </w:tcPr>
          <w:p w:rsidR="00EF066A" w:rsidRPr="00B34CC9" w:rsidRDefault="00EF066A" w:rsidP="0089774B">
            <w:pPr>
              <w:jc w:val="both"/>
              <w:rPr>
                <w:rFonts w:ascii="Gill Sans MT" w:hAnsi="Gill Sans MT"/>
              </w:rPr>
            </w:pPr>
            <w:r w:rsidRPr="00B34CC9">
              <w:rPr>
                <w:rFonts w:ascii="Gill Sans MT" w:hAnsi="Gill Sans MT"/>
                <w:b/>
              </w:rPr>
              <w:t>Concierto para delinquir</w:t>
            </w:r>
            <w:r w:rsidRPr="00B34CC9">
              <w:rPr>
                <w:rFonts w:ascii="Gill Sans MT" w:hAnsi="Gill Sans MT"/>
              </w:rPr>
              <w:t xml:space="preserve"> (cometido por integrantes de grupos paramilitares o de autodefensa armada)</w:t>
            </w:r>
          </w:p>
        </w:tc>
      </w:tr>
      <w:tr w:rsidR="00EF066A" w:rsidRPr="00B34CC9" w:rsidTr="00B34CC9">
        <w:tc>
          <w:tcPr>
            <w:tcW w:w="1440" w:type="dxa"/>
          </w:tcPr>
          <w:p w:rsidR="00EF066A" w:rsidRPr="00B34CC9" w:rsidRDefault="00EF066A" w:rsidP="0089774B">
            <w:pPr>
              <w:jc w:val="both"/>
              <w:rPr>
                <w:rFonts w:ascii="Gill Sans MT" w:hAnsi="Gill Sans MT"/>
                <w:b/>
              </w:rPr>
            </w:pPr>
            <w:r w:rsidRPr="00B34CC9">
              <w:rPr>
                <w:rFonts w:ascii="Gill Sans MT" w:hAnsi="Gill Sans MT"/>
                <w:b/>
              </w:rPr>
              <w:t>El bien jurídico lesionado</w:t>
            </w:r>
          </w:p>
        </w:tc>
        <w:tc>
          <w:tcPr>
            <w:tcW w:w="3672" w:type="dxa"/>
          </w:tcPr>
          <w:p w:rsidR="00EF066A" w:rsidRPr="00B34CC9" w:rsidRDefault="00EF066A" w:rsidP="0089774B">
            <w:pPr>
              <w:jc w:val="both"/>
              <w:rPr>
                <w:rFonts w:ascii="Gill Sans MT" w:hAnsi="Gill Sans MT"/>
              </w:rPr>
            </w:pPr>
            <w:r w:rsidRPr="00B34CC9">
              <w:rPr>
                <w:rFonts w:ascii="Gill Sans MT" w:hAnsi="Gill Sans MT" w:cs="Arial"/>
                <w:lang w:val="es-CO"/>
              </w:rPr>
              <w:t>Es el régimen constitucional y legal porque el rebelde o el sedicioso se levanta contra las instituciones para derrocarlas o perturbar su funcionamiento</w:t>
            </w:r>
            <w:r w:rsidR="00B34CC9">
              <w:rPr>
                <w:rFonts w:ascii="Gill Sans MT" w:hAnsi="Gill Sans MT" w:cs="Arial"/>
                <w:lang w:val="es-CO"/>
              </w:rPr>
              <w:t>.</w:t>
            </w:r>
          </w:p>
        </w:tc>
        <w:tc>
          <w:tcPr>
            <w:tcW w:w="3718" w:type="dxa"/>
          </w:tcPr>
          <w:p w:rsidR="00EF066A" w:rsidRPr="00B34CC9" w:rsidRDefault="00EF066A" w:rsidP="0089774B">
            <w:pPr>
              <w:jc w:val="both"/>
              <w:rPr>
                <w:rFonts w:ascii="Gill Sans MT" w:hAnsi="Gill Sans MT"/>
              </w:rPr>
            </w:pPr>
            <w:r w:rsidRPr="00B34CC9">
              <w:rPr>
                <w:rFonts w:ascii="Gill Sans MT" w:hAnsi="Gill Sans MT" w:cs="Arial"/>
                <w:lang w:val="es-CO"/>
              </w:rPr>
              <w:t>Es el bien de la seguridad pública, el cual resulta lesionado cuando se altera l</w:t>
            </w:r>
            <w:r w:rsidR="00B34CC9">
              <w:rPr>
                <w:rFonts w:ascii="Gill Sans MT" w:hAnsi="Gill Sans MT" w:cs="Arial"/>
                <w:lang w:val="es-CO"/>
              </w:rPr>
              <w:t xml:space="preserve">a tranquilidad de la comunidad </w:t>
            </w:r>
            <w:r w:rsidRPr="00B34CC9">
              <w:rPr>
                <w:rFonts w:ascii="Gill Sans MT" w:hAnsi="Gill Sans MT" w:cs="Arial"/>
                <w:lang w:val="es-CO"/>
              </w:rPr>
              <w:t>y se genera desconfianza colectiva para el ejercicio de las actividades ordinarias</w:t>
            </w:r>
            <w:r w:rsidR="00B34CC9">
              <w:rPr>
                <w:rFonts w:ascii="Gill Sans MT" w:hAnsi="Gill Sans MT" w:cs="Arial"/>
                <w:lang w:val="es-CO"/>
              </w:rPr>
              <w:t>.</w:t>
            </w:r>
          </w:p>
        </w:tc>
      </w:tr>
      <w:tr w:rsidR="00EF066A" w:rsidRPr="00B34CC9" w:rsidTr="00B34CC9">
        <w:tc>
          <w:tcPr>
            <w:tcW w:w="1440" w:type="dxa"/>
          </w:tcPr>
          <w:p w:rsidR="00EF066A" w:rsidRPr="00B34CC9" w:rsidRDefault="00EF066A" w:rsidP="0089774B">
            <w:pPr>
              <w:jc w:val="both"/>
              <w:rPr>
                <w:rFonts w:ascii="Gill Sans MT" w:hAnsi="Gill Sans MT"/>
                <w:b/>
              </w:rPr>
            </w:pPr>
            <w:r w:rsidRPr="00B34CC9">
              <w:rPr>
                <w:rFonts w:ascii="Gill Sans MT" w:hAnsi="Gill Sans MT"/>
                <w:b/>
              </w:rPr>
              <w:t>La acción típica</w:t>
            </w:r>
          </w:p>
        </w:tc>
        <w:tc>
          <w:tcPr>
            <w:tcW w:w="3672" w:type="dxa"/>
          </w:tcPr>
          <w:p w:rsidR="00EF066A" w:rsidRPr="00B34CC9" w:rsidRDefault="00EF066A" w:rsidP="0089774B">
            <w:pPr>
              <w:jc w:val="both"/>
              <w:rPr>
                <w:rFonts w:ascii="Gill Sans MT" w:hAnsi="Gill Sans MT"/>
              </w:rPr>
            </w:pPr>
            <w:r w:rsidRPr="00B34CC9">
              <w:rPr>
                <w:rFonts w:ascii="Gill Sans MT" w:hAnsi="Gill Sans MT" w:cs="Arial"/>
                <w:lang w:val="es-CO"/>
              </w:rPr>
              <w:t>Se encauza a un supuesto fin colectivo de bienestar pues busca derrocar al gobierno legítimo para instaurar uno que cree justo e igualitario o perturbar la operatividad jurídica del régimen vigente</w:t>
            </w:r>
            <w:r w:rsidR="00B34CC9">
              <w:rPr>
                <w:rFonts w:ascii="Gill Sans MT" w:hAnsi="Gill Sans MT" w:cs="Arial"/>
                <w:lang w:val="es-CO"/>
              </w:rPr>
              <w:t>.</w:t>
            </w:r>
          </w:p>
        </w:tc>
        <w:tc>
          <w:tcPr>
            <w:tcW w:w="3718" w:type="dxa"/>
          </w:tcPr>
          <w:p w:rsidR="00EF066A" w:rsidRPr="00B34CC9" w:rsidRDefault="00EF066A" w:rsidP="0089774B">
            <w:pPr>
              <w:jc w:val="both"/>
              <w:rPr>
                <w:rFonts w:ascii="Gill Sans MT" w:hAnsi="Gill Sans MT"/>
              </w:rPr>
            </w:pPr>
            <w:r w:rsidRPr="00B34CC9">
              <w:rPr>
                <w:rFonts w:ascii="Gill Sans MT" w:hAnsi="Gill Sans MT" w:cs="Arial"/>
                <w:lang w:val="es-CO"/>
              </w:rPr>
              <w:t>Se busca la satisfacción de necesidades egoístas, individuales de los asociados pues el responsable de tal injusto se coliga con el propósito de cometer delitos en forma indiscriminada sin que sea necesaria la producción de un resultado y menos aún, la consumación de un ilícito que concrete el designio de la concertación</w:t>
            </w:r>
            <w:r w:rsidR="00B34CC9">
              <w:rPr>
                <w:rFonts w:ascii="Gill Sans MT" w:hAnsi="Gill Sans MT" w:cs="Arial"/>
                <w:lang w:val="es-CO"/>
              </w:rPr>
              <w:t>.</w:t>
            </w:r>
          </w:p>
        </w:tc>
      </w:tr>
      <w:tr w:rsidR="00EF066A" w:rsidRPr="00B34CC9" w:rsidTr="00B34CC9">
        <w:tc>
          <w:tcPr>
            <w:tcW w:w="1440" w:type="dxa"/>
          </w:tcPr>
          <w:p w:rsidR="00EF066A" w:rsidRPr="00B34CC9" w:rsidRDefault="00EF066A" w:rsidP="0089774B">
            <w:pPr>
              <w:jc w:val="both"/>
              <w:rPr>
                <w:rFonts w:ascii="Gill Sans MT" w:hAnsi="Gill Sans MT"/>
                <w:b/>
              </w:rPr>
            </w:pPr>
            <w:r w:rsidRPr="00B34CC9">
              <w:rPr>
                <w:rFonts w:ascii="Gill Sans MT" w:hAnsi="Gill Sans MT"/>
                <w:b/>
              </w:rPr>
              <w:t>El dolo</w:t>
            </w:r>
          </w:p>
        </w:tc>
        <w:tc>
          <w:tcPr>
            <w:tcW w:w="3672" w:type="dxa"/>
          </w:tcPr>
          <w:p w:rsidR="00EF066A" w:rsidRPr="00B34CC9" w:rsidRDefault="00EF066A" w:rsidP="0089774B">
            <w:pPr>
              <w:jc w:val="both"/>
              <w:rPr>
                <w:rFonts w:ascii="Gill Sans MT" w:hAnsi="Gill Sans MT"/>
              </w:rPr>
            </w:pPr>
            <w:r w:rsidRPr="00B34CC9">
              <w:rPr>
                <w:rFonts w:ascii="Gill Sans MT" w:hAnsi="Gill Sans MT" w:cs="Arial"/>
                <w:lang w:val="es-CO"/>
              </w:rPr>
              <w:t>Se dirige a socavar la institucionalidad proponiendo un nuevo o</w:t>
            </w:r>
            <w:r w:rsidR="00B34CC9">
              <w:rPr>
                <w:rFonts w:ascii="Gill Sans MT" w:hAnsi="Gill Sans MT" w:cs="Arial"/>
                <w:lang w:val="es-CO"/>
              </w:rPr>
              <w:t>rden o perturbando el existente.</w:t>
            </w:r>
          </w:p>
        </w:tc>
        <w:tc>
          <w:tcPr>
            <w:tcW w:w="3718" w:type="dxa"/>
          </w:tcPr>
          <w:p w:rsidR="00EF066A" w:rsidRPr="00B34CC9" w:rsidRDefault="00EF066A" w:rsidP="0089774B">
            <w:pPr>
              <w:jc w:val="both"/>
              <w:rPr>
                <w:rFonts w:ascii="Gill Sans MT" w:hAnsi="Gill Sans MT"/>
              </w:rPr>
            </w:pPr>
            <w:r w:rsidRPr="00B34CC9">
              <w:rPr>
                <w:rFonts w:ascii="Gill Sans MT" w:hAnsi="Gill Sans MT" w:cs="Arial"/>
                <w:lang w:val="es-CO"/>
              </w:rPr>
              <w:t>Entraña solapamiento con la institucionalidad pues gracias a las carencias del Estado –la impunidad– buscan beneficios particulares a través del delito</w:t>
            </w:r>
            <w:r w:rsidR="00B34CC9">
              <w:rPr>
                <w:rFonts w:ascii="Gill Sans MT" w:hAnsi="Gill Sans MT" w:cs="Arial"/>
                <w:lang w:val="es-CO"/>
              </w:rPr>
              <w:t>,</w:t>
            </w:r>
          </w:p>
        </w:tc>
      </w:tr>
      <w:tr w:rsidR="00EF066A" w:rsidRPr="00B34CC9" w:rsidTr="00B34CC9">
        <w:tc>
          <w:tcPr>
            <w:tcW w:w="1440" w:type="dxa"/>
          </w:tcPr>
          <w:p w:rsidR="00EF066A" w:rsidRPr="00B34CC9" w:rsidRDefault="00EF066A" w:rsidP="0089774B">
            <w:pPr>
              <w:jc w:val="both"/>
              <w:rPr>
                <w:rFonts w:ascii="Gill Sans MT" w:hAnsi="Gill Sans MT"/>
                <w:b/>
              </w:rPr>
            </w:pPr>
            <w:r w:rsidRPr="00B34CC9">
              <w:rPr>
                <w:rFonts w:ascii="Gill Sans MT" w:hAnsi="Gill Sans MT"/>
                <w:b/>
              </w:rPr>
              <w:t>El sujeto pasivo</w:t>
            </w:r>
          </w:p>
        </w:tc>
        <w:tc>
          <w:tcPr>
            <w:tcW w:w="3672" w:type="dxa"/>
          </w:tcPr>
          <w:p w:rsidR="00EF066A" w:rsidRPr="00B34CC9" w:rsidRDefault="00EF066A" w:rsidP="0089774B">
            <w:pPr>
              <w:jc w:val="both"/>
              <w:rPr>
                <w:rFonts w:ascii="Gill Sans MT" w:hAnsi="Gill Sans MT"/>
              </w:rPr>
            </w:pPr>
            <w:r w:rsidRPr="00B34CC9">
              <w:rPr>
                <w:rFonts w:ascii="Gill Sans MT" w:hAnsi="Gill Sans MT" w:cs="Arial"/>
                <w:lang w:val="es-CO"/>
              </w:rPr>
              <w:t>Es el Estado, la institucionalidad, el gobierno que se pretende derrocar o su régimen constitucional o legal suprimido o modificado, de donde se tiene que el rebelde puede ser investigado y juzgado en cualquier lugar del territorio nacional</w:t>
            </w:r>
            <w:r w:rsidR="00B34CC9">
              <w:rPr>
                <w:rFonts w:ascii="Gill Sans MT" w:hAnsi="Gill Sans MT" w:cs="Arial"/>
                <w:lang w:val="es-CO"/>
              </w:rPr>
              <w:t>.</w:t>
            </w:r>
          </w:p>
        </w:tc>
        <w:tc>
          <w:tcPr>
            <w:tcW w:w="3718" w:type="dxa"/>
          </w:tcPr>
          <w:p w:rsidR="00EF066A" w:rsidRPr="00B34CC9" w:rsidRDefault="00EF066A" w:rsidP="0089774B">
            <w:pPr>
              <w:jc w:val="both"/>
              <w:rPr>
                <w:rFonts w:ascii="Gill Sans MT" w:hAnsi="Gill Sans MT"/>
              </w:rPr>
            </w:pPr>
            <w:r w:rsidRPr="00B34CC9">
              <w:rPr>
                <w:rFonts w:ascii="Gill Sans MT" w:hAnsi="Gill Sans MT"/>
              </w:rPr>
              <w:t xml:space="preserve">Es </w:t>
            </w:r>
            <w:r w:rsidRPr="00B34CC9">
              <w:rPr>
                <w:rFonts w:ascii="Gill Sans MT" w:hAnsi="Gill Sans MT" w:cs="Arial"/>
                <w:lang w:val="es-CO"/>
              </w:rPr>
              <w:t>el colectivo ciudadano, la sociedad, es quien resulta afectado y la judicatura del lugar en que se produce el acuerdo criminal es la encargada de investigar y juzgar el hecho</w:t>
            </w:r>
            <w:r w:rsidR="00B34CC9">
              <w:rPr>
                <w:rFonts w:ascii="Gill Sans MT" w:hAnsi="Gill Sans MT" w:cs="Arial"/>
                <w:lang w:val="es-CO"/>
              </w:rPr>
              <w:t>.</w:t>
            </w:r>
          </w:p>
        </w:tc>
      </w:tr>
      <w:tr w:rsidR="00EF066A" w:rsidRPr="00B34CC9" w:rsidTr="00B34CC9">
        <w:tc>
          <w:tcPr>
            <w:tcW w:w="1440" w:type="dxa"/>
          </w:tcPr>
          <w:p w:rsidR="00EF066A" w:rsidRPr="00B34CC9" w:rsidRDefault="00EF066A" w:rsidP="0089774B">
            <w:pPr>
              <w:jc w:val="both"/>
              <w:rPr>
                <w:rFonts w:ascii="Gill Sans MT" w:hAnsi="Gill Sans MT"/>
                <w:b/>
              </w:rPr>
            </w:pPr>
            <w:r w:rsidRPr="00B34CC9">
              <w:rPr>
                <w:rFonts w:ascii="Gill Sans MT" w:hAnsi="Gill Sans MT"/>
                <w:b/>
              </w:rPr>
              <w:t>La culpabilidad</w:t>
            </w:r>
          </w:p>
        </w:tc>
        <w:tc>
          <w:tcPr>
            <w:tcW w:w="3672" w:type="dxa"/>
          </w:tcPr>
          <w:p w:rsidR="00EF066A" w:rsidRPr="00B34CC9" w:rsidRDefault="00EF066A" w:rsidP="0089774B">
            <w:pPr>
              <w:jc w:val="both"/>
              <w:rPr>
                <w:rFonts w:ascii="Gill Sans MT" w:hAnsi="Gill Sans MT"/>
              </w:rPr>
            </w:pPr>
            <w:r w:rsidRPr="00B34CC9">
              <w:rPr>
                <w:rFonts w:ascii="Gill Sans MT" w:hAnsi="Gill Sans MT" w:cs="Arial"/>
                <w:lang w:val="es-CO"/>
              </w:rPr>
              <w:t>Se constata al establecer que conocía la obligación de acatar y respetar las instituciones estatales y decidió participar en su desestabilización buscando su caída</w:t>
            </w:r>
          </w:p>
        </w:tc>
        <w:tc>
          <w:tcPr>
            <w:tcW w:w="3718" w:type="dxa"/>
          </w:tcPr>
          <w:p w:rsidR="00EF066A" w:rsidRPr="00B34CC9" w:rsidRDefault="00EF066A" w:rsidP="0089774B">
            <w:pPr>
              <w:jc w:val="both"/>
              <w:rPr>
                <w:rFonts w:ascii="Gill Sans MT" w:hAnsi="Gill Sans MT"/>
              </w:rPr>
            </w:pPr>
            <w:r w:rsidRPr="00B34CC9">
              <w:rPr>
                <w:rFonts w:ascii="Gill Sans MT" w:hAnsi="Gill Sans MT" w:cs="Arial"/>
                <w:lang w:val="es-CO"/>
              </w:rPr>
              <w:t xml:space="preserve">Surge del afán de satisfacer sus intereses particulares por medio de una organización creada para la comisión de delitos en forma indeterminada y del conocimiento que con su empresa se erige en un franco y permanente peligro </w:t>
            </w:r>
            <w:r w:rsidRPr="00B34CC9">
              <w:rPr>
                <w:rFonts w:ascii="Gill Sans MT" w:hAnsi="Gill Sans MT" w:cs="Arial"/>
                <w:lang w:val="es-CO"/>
              </w:rPr>
              <w:lastRenderedPageBreak/>
              <w:t>para la sociedad en general y sin distinción</w:t>
            </w:r>
          </w:p>
        </w:tc>
      </w:tr>
    </w:tbl>
    <w:p w:rsidR="00EF066A" w:rsidRPr="00B34CC9" w:rsidRDefault="00EF066A" w:rsidP="0089774B">
      <w:pPr>
        <w:spacing w:after="0" w:line="240" w:lineRule="auto"/>
        <w:jc w:val="center"/>
        <w:rPr>
          <w:rFonts w:ascii="Gill Sans MT" w:hAnsi="Gill Sans MT"/>
          <w:sz w:val="20"/>
          <w:szCs w:val="20"/>
        </w:rPr>
      </w:pPr>
      <w:r w:rsidRPr="00B34CC9">
        <w:rPr>
          <w:rFonts w:ascii="Gill Sans MT" w:hAnsi="Gill Sans MT"/>
          <w:b/>
          <w:sz w:val="20"/>
          <w:szCs w:val="20"/>
        </w:rPr>
        <w:lastRenderedPageBreak/>
        <w:t>Fuente:</w:t>
      </w:r>
      <w:r w:rsidRPr="00B34CC9">
        <w:rPr>
          <w:rFonts w:ascii="Gill Sans MT" w:hAnsi="Gill Sans MT"/>
          <w:sz w:val="20"/>
          <w:szCs w:val="20"/>
        </w:rPr>
        <w:t xml:space="preserve"> Adaptación de “Corte Suprema de Justicia, Sala de Casación Penal, Proceso con Radicado No. 26945, Bogotá, 11 de julio de 2007, M.P. Dr. Yesid Ramírez Bastidas y Julio Socha Salamanca, Pps. 22 y 23</w:t>
      </w:r>
    </w:p>
    <w:p w:rsidR="00EF066A" w:rsidRPr="00E95861" w:rsidRDefault="00EF066A" w:rsidP="0089774B">
      <w:pPr>
        <w:spacing w:after="0" w:line="360" w:lineRule="auto"/>
        <w:jc w:val="center"/>
        <w:rPr>
          <w:rFonts w:ascii="Gill Sans MT" w:hAnsi="Gill Sans MT"/>
          <w:sz w:val="24"/>
          <w:szCs w:val="24"/>
        </w:rPr>
      </w:pPr>
    </w:p>
    <w:p w:rsidR="00EF066A" w:rsidRPr="00E95861" w:rsidRDefault="00C019FB" w:rsidP="0089774B">
      <w:pPr>
        <w:spacing w:after="0" w:line="360" w:lineRule="auto"/>
        <w:jc w:val="both"/>
        <w:rPr>
          <w:rFonts w:ascii="Gill Sans MT" w:hAnsi="Gill Sans MT"/>
          <w:sz w:val="24"/>
          <w:szCs w:val="24"/>
        </w:rPr>
      </w:pPr>
      <w:r>
        <w:rPr>
          <w:rFonts w:ascii="Gill Sans MT" w:hAnsi="Gill Sans MT"/>
          <w:b/>
          <w:i/>
          <w:sz w:val="24"/>
          <w:szCs w:val="24"/>
        </w:rPr>
        <w:t xml:space="preserve">Segundo, </w:t>
      </w:r>
      <w:r w:rsidR="00EF066A" w:rsidRPr="00E95861">
        <w:rPr>
          <w:rFonts w:ascii="Gill Sans MT" w:hAnsi="Gill Sans MT"/>
          <w:sz w:val="24"/>
          <w:szCs w:val="24"/>
        </w:rPr>
        <w:t>si bien el proceso de Justicia y Paz ha permitido develar los nexos de miembros de la Fuerza Pública con jefes de las AUC</w:t>
      </w:r>
      <w:r w:rsidR="00EF066A" w:rsidRPr="00E95861">
        <w:rPr>
          <w:rStyle w:val="Refdenotaalpie"/>
          <w:rFonts w:ascii="Gill Sans MT" w:hAnsi="Gill Sans MT"/>
          <w:sz w:val="24"/>
          <w:szCs w:val="24"/>
        </w:rPr>
        <w:footnoteReference w:id="10"/>
      </w:r>
      <w:r w:rsidR="00EF066A" w:rsidRPr="00E95861">
        <w:rPr>
          <w:rFonts w:ascii="Gill Sans MT" w:hAnsi="Gill Sans MT"/>
          <w:sz w:val="24"/>
          <w:szCs w:val="24"/>
        </w:rPr>
        <w:t xml:space="preserve">, éstos últimos no podrían considerarse como “agentes del Estado”, en especial los peticionarios del beneficio de libertad condicionada, ya que no se probó que al momento de la perpetración de las actividades criminales, estuvieran ocupando cargos en corporaciones públicas, entidades descentralizadas o de servicios públicos. </w:t>
      </w:r>
    </w:p>
    <w:p w:rsidR="00EF066A" w:rsidRPr="00E95861" w:rsidRDefault="00EF066A" w:rsidP="0089774B">
      <w:pPr>
        <w:spacing w:after="0" w:line="360" w:lineRule="auto"/>
        <w:jc w:val="both"/>
        <w:rPr>
          <w:rFonts w:ascii="Gill Sans MT" w:hAnsi="Gill Sans MT"/>
          <w:sz w:val="24"/>
          <w:szCs w:val="24"/>
        </w:rPr>
      </w:pPr>
    </w:p>
    <w:p w:rsidR="00EF066A" w:rsidRPr="00E95861" w:rsidRDefault="00A76056" w:rsidP="0089774B">
      <w:pPr>
        <w:spacing w:after="0" w:line="360" w:lineRule="auto"/>
        <w:jc w:val="both"/>
        <w:rPr>
          <w:rFonts w:ascii="Gill Sans MT" w:hAnsi="Gill Sans MT"/>
          <w:sz w:val="24"/>
          <w:szCs w:val="24"/>
        </w:rPr>
      </w:pPr>
      <w:r>
        <w:rPr>
          <w:rFonts w:ascii="Gill Sans MT" w:hAnsi="Gill Sans MT"/>
          <w:b/>
          <w:i/>
          <w:sz w:val="24"/>
          <w:szCs w:val="24"/>
        </w:rPr>
        <w:t xml:space="preserve">Tercero, </w:t>
      </w:r>
      <w:r w:rsidR="00EF066A" w:rsidRPr="00E95861">
        <w:rPr>
          <w:rFonts w:ascii="Gill Sans MT" w:hAnsi="Gill Sans MT"/>
          <w:sz w:val="24"/>
          <w:szCs w:val="24"/>
        </w:rPr>
        <w:t xml:space="preserve">mal podría predicarse que los ex integrantes de las AUC postulados al proceso de Justicia y Paz –como los peticionarios de la libertad condicionada- fueran “terceros”, ya que su participación en las hostilidades fue directa, pues pertenecieron orgánicamente a las fuerzas paramilitares al portar uniformes, armamento y al recibir órdenes de los superiores jerárquicos. </w:t>
      </w:r>
    </w:p>
    <w:p w:rsidR="00EF066A" w:rsidRDefault="00EF066A" w:rsidP="0089774B">
      <w:pPr>
        <w:spacing w:after="0" w:line="360" w:lineRule="auto"/>
        <w:jc w:val="both"/>
        <w:rPr>
          <w:rFonts w:ascii="Gill Sans MT" w:hAnsi="Gill Sans MT"/>
          <w:sz w:val="24"/>
          <w:szCs w:val="24"/>
        </w:rPr>
      </w:pPr>
    </w:p>
    <w:p w:rsidR="00D62FFC" w:rsidRPr="00E95861" w:rsidRDefault="002A1429" w:rsidP="0089774B">
      <w:pPr>
        <w:pStyle w:val="Sinespaciado"/>
        <w:spacing w:line="360" w:lineRule="auto"/>
        <w:rPr>
          <w:rFonts w:ascii="Gill Sans MT" w:hAnsi="Gill Sans MT" w:cs="Tahoma"/>
          <w:b/>
          <w:sz w:val="24"/>
          <w:szCs w:val="24"/>
        </w:rPr>
      </w:pPr>
      <w:r w:rsidRPr="00E95861">
        <w:rPr>
          <w:rFonts w:ascii="Gill Sans MT" w:hAnsi="Gill Sans MT" w:cs="Tahoma"/>
          <w:b/>
          <w:sz w:val="24"/>
          <w:szCs w:val="24"/>
        </w:rPr>
        <w:t>4</w:t>
      </w:r>
      <w:r w:rsidR="00D62FFC" w:rsidRPr="00E95861">
        <w:rPr>
          <w:rFonts w:ascii="Gill Sans MT" w:hAnsi="Gill Sans MT" w:cs="Tahoma"/>
          <w:b/>
          <w:sz w:val="24"/>
          <w:szCs w:val="24"/>
        </w:rPr>
        <w:t xml:space="preserve">. Sobre la aplicación de la </w:t>
      </w:r>
      <w:r w:rsidR="00FA052F">
        <w:rPr>
          <w:rFonts w:ascii="Gill Sans MT" w:hAnsi="Gill Sans MT" w:cs="Tahoma"/>
          <w:b/>
          <w:sz w:val="24"/>
          <w:szCs w:val="24"/>
        </w:rPr>
        <w:t xml:space="preserve">Ley </w:t>
      </w:r>
      <w:r w:rsidR="00D62FFC" w:rsidRPr="00E95861">
        <w:rPr>
          <w:rFonts w:ascii="Gill Sans MT" w:hAnsi="Gill Sans MT" w:cs="Tahoma"/>
          <w:b/>
          <w:sz w:val="24"/>
          <w:szCs w:val="24"/>
        </w:rPr>
        <w:t>1820 de 20</w:t>
      </w:r>
      <w:r w:rsidR="00C019FB">
        <w:rPr>
          <w:rFonts w:ascii="Gill Sans MT" w:hAnsi="Gill Sans MT" w:cs="Tahoma"/>
          <w:b/>
          <w:sz w:val="24"/>
          <w:szCs w:val="24"/>
        </w:rPr>
        <w:t xml:space="preserve">16 a ex integrantes de las AUC, según las decisiones de la Sala de Casación Penal de la Corte Suprema de Justicia. </w:t>
      </w:r>
    </w:p>
    <w:p w:rsidR="00EA3E3A" w:rsidRPr="00E95861" w:rsidRDefault="00EA3E3A" w:rsidP="0089774B">
      <w:pPr>
        <w:pStyle w:val="Sinespaciado"/>
        <w:spacing w:line="360" w:lineRule="auto"/>
        <w:ind w:firstLine="360"/>
        <w:rPr>
          <w:rFonts w:ascii="Gill Sans MT" w:hAnsi="Gill Sans MT" w:cs="Tahoma"/>
          <w:sz w:val="24"/>
          <w:szCs w:val="24"/>
        </w:rPr>
      </w:pPr>
    </w:p>
    <w:p w:rsidR="0086430B" w:rsidRPr="00E95861" w:rsidRDefault="0086430B"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t>Considera el defensor</w:t>
      </w:r>
      <w:r w:rsidR="00656821" w:rsidRPr="00E95861">
        <w:rPr>
          <w:rFonts w:ascii="Gill Sans MT" w:hAnsi="Gill Sans MT" w:cs="Tahoma"/>
          <w:sz w:val="24"/>
          <w:szCs w:val="24"/>
        </w:rPr>
        <w:t xml:space="preserve"> de los postulados</w:t>
      </w:r>
      <w:r w:rsidRPr="00E95861">
        <w:rPr>
          <w:rFonts w:ascii="Gill Sans MT" w:hAnsi="Gill Sans MT" w:cs="Tahoma"/>
          <w:sz w:val="24"/>
          <w:szCs w:val="24"/>
        </w:rPr>
        <w:t xml:space="preserve"> que </w:t>
      </w:r>
      <w:r w:rsidR="00656821" w:rsidRPr="00E95861">
        <w:rPr>
          <w:rFonts w:ascii="Gill Sans MT" w:hAnsi="Gill Sans MT" w:cs="Tahoma"/>
          <w:sz w:val="24"/>
          <w:szCs w:val="24"/>
        </w:rPr>
        <w:t>en</w:t>
      </w:r>
      <w:r w:rsidRPr="00E95861">
        <w:rPr>
          <w:rFonts w:ascii="Gill Sans MT" w:hAnsi="Gill Sans MT" w:cs="Tahoma"/>
          <w:sz w:val="24"/>
          <w:szCs w:val="24"/>
        </w:rPr>
        <w:t xml:space="preserve"> auto fechado el </w:t>
      </w:r>
      <w:r w:rsidR="00656821" w:rsidRPr="00E95861">
        <w:rPr>
          <w:rFonts w:ascii="Gill Sans MT" w:hAnsi="Gill Sans MT" w:cs="Tahoma"/>
          <w:sz w:val="24"/>
          <w:szCs w:val="24"/>
        </w:rPr>
        <w:t xml:space="preserve">3 de mayo de 2017 radicado 49891, </w:t>
      </w:r>
      <w:r w:rsidRPr="00E95861">
        <w:rPr>
          <w:rFonts w:ascii="Gill Sans MT" w:hAnsi="Gill Sans MT" w:cs="Tahoma"/>
          <w:sz w:val="24"/>
          <w:szCs w:val="24"/>
        </w:rPr>
        <w:t xml:space="preserve">la Sala de Casación Penal de la Corte Suprema de Justicia, </w:t>
      </w:r>
      <w:r w:rsidR="00656821" w:rsidRPr="00E95861">
        <w:rPr>
          <w:rFonts w:ascii="Gill Sans MT" w:hAnsi="Gill Sans MT" w:cs="Tahoma"/>
          <w:sz w:val="24"/>
          <w:szCs w:val="24"/>
        </w:rPr>
        <w:t xml:space="preserve">fue clara en señalar que los beneficios de la </w:t>
      </w:r>
      <w:r w:rsidR="00FA052F">
        <w:rPr>
          <w:rFonts w:ascii="Gill Sans MT" w:hAnsi="Gill Sans MT" w:cs="Tahoma"/>
          <w:sz w:val="24"/>
          <w:szCs w:val="24"/>
        </w:rPr>
        <w:t xml:space="preserve">Ley </w:t>
      </w:r>
      <w:r w:rsidR="00656821" w:rsidRPr="00E95861">
        <w:rPr>
          <w:rFonts w:ascii="Gill Sans MT" w:hAnsi="Gill Sans MT" w:cs="Tahoma"/>
          <w:sz w:val="24"/>
          <w:szCs w:val="24"/>
        </w:rPr>
        <w:t>1</w:t>
      </w:r>
      <w:r w:rsidR="00A5382D" w:rsidRPr="00E95861">
        <w:rPr>
          <w:rFonts w:ascii="Gill Sans MT" w:hAnsi="Gill Sans MT" w:cs="Tahoma"/>
          <w:sz w:val="24"/>
          <w:szCs w:val="24"/>
        </w:rPr>
        <w:t xml:space="preserve">820 de 2016 es aplicable a </w:t>
      </w:r>
      <w:r w:rsidR="00C8126D" w:rsidRPr="00E95861">
        <w:rPr>
          <w:rFonts w:ascii="Gill Sans MT" w:hAnsi="Gill Sans MT" w:cs="Tahoma"/>
          <w:sz w:val="24"/>
          <w:szCs w:val="24"/>
        </w:rPr>
        <w:t>“</w:t>
      </w:r>
      <w:r w:rsidR="00656821" w:rsidRPr="00E95861">
        <w:rPr>
          <w:rFonts w:ascii="Gill Sans MT" w:hAnsi="Gill Sans MT" w:cs="Tahoma"/>
          <w:i/>
          <w:sz w:val="24"/>
          <w:szCs w:val="24"/>
        </w:rPr>
        <w:t xml:space="preserve">aquellas personas y ex integrantes de grupos </w:t>
      </w:r>
      <w:r w:rsidR="00A5382D" w:rsidRPr="00E95861">
        <w:rPr>
          <w:rFonts w:ascii="Gill Sans MT" w:hAnsi="Gill Sans MT" w:cs="Tahoma"/>
          <w:i/>
          <w:sz w:val="24"/>
          <w:szCs w:val="24"/>
        </w:rPr>
        <w:t>armados ilegales que de manera directa o indirecta hicieron parte del conflicto armado</w:t>
      </w:r>
      <w:r w:rsidR="00C8126D" w:rsidRPr="00E95861">
        <w:rPr>
          <w:rFonts w:ascii="Gill Sans MT" w:hAnsi="Gill Sans MT" w:cs="Tahoma"/>
          <w:i/>
          <w:sz w:val="24"/>
          <w:szCs w:val="24"/>
        </w:rPr>
        <w:t>”</w:t>
      </w:r>
      <w:r w:rsidR="00A5382D" w:rsidRPr="00E95861">
        <w:rPr>
          <w:rFonts w:ascii="Gill Sans MT" w:hAnsi="Gill Sans MT" w:cs="Tahoma"/>
          <w:i/>
          <w:sz w:val="24"/>
          <w:szCs w:val="24"/>
        </w:rPr>
        <w:t>,</w:t>
      </w:r>
      <w:r w:rsidR="00F00219" w:rsidRPr="00E95861">
        <w:rPr>
          <w:rFonts w:ascii="Gill Sans MT" w:hAnsi="Gill Sans MT" w:cs="Tahoma"/>
          <w:sz w:val="24"/>
          <w:szCs w:val="24"/>
        </w:rPr>
        <w:t xml:space="preserve"> y que precis</w:t>
      </w:r>
      <w:r w:rsidR="00002177" w:rsidRPr="00E95861">
        <w:rPr>
          <w:rFonts w:ascii="Gill Sans MT" w:hAnsi="Gill Sans MT" w:cs="Tahoma"/>
          <w:sz w:val="24"/>
          <w:szCs w:val="24"/>
        </w:rPr>
        <w:t>amente los e</w:t>
      </w:r>
      <w:r w:rsidR="00A5382D" w:rsidRPr="00E95861">
        <w:rPr>
          <w:rFonts w:ascii="Gill Sans MT" w:hAnsi="Gill Sans MT" w:cs="Tahoma"/>
          <w:sz w:val="24"/>
          <w:szCs w:val="24"/>
        </w:rPr>
        <w:t xml:space="preserve">x integrantes de las AUC fueron un actor determinante en el conflicto colombiano. </w:t>
      </w:r>
    </w:p>
    <w:p w:rsidR="00EA3E3A" w:rsidRPr="00E95861" w:rsidRDefault="00EA3E3A" w:rsidP="0089774B">
      <w:pPr>
        <w:pStyle w:val="Sinespaciado"/>
        <w:spacing w:line="360" w:lineRule="auto"/>
        <w:rPr>
          <w:rFonts w:ascii="Gill Sans MT" w:hAnsi="Gill Sans MT" w:cs="Tahoma"/>
          <w:sz w:val="24"/>
          <w:szCs w:val="24"/>
        </w:rPr>
      </w:pPr>
    </w:p>
    <w:p w:rsidR="00A5382D" w:rsidRPr="00E95861" w:rsidRDefault="00A5382D"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t xml:space="preserve">Pero sucede que analizada la decisión proferida por la Corte, la Sala disiente de esta </w:t>
      </w:r>
      <w:r w:rsidR="00A76056">
        <w:rPr>
          <w:rFonts w:ascii="Gill Sans MT" w:hAnsi="Gill Sans MT" w:cs="Tahoma"/>
          <w:sz w:val="24"/>
          <w:szCs w:val="24"/>
        </w:rPr>
        <w:t>interpretación abogada por el defensor de los postulados po</w:t>
      </w:r>
      <w:r w:rsidRPr="00E95861">
        <w:rPr>
          <w:rFonts w:ascii="Gill Sans MT" w:hAnsi="Gill Sans MT" w:cs="Tahoma"/>
          <w:sz w:val="24"/>
          <w:szCs w:val="24"/>
        </w:rPr>
        <w:t xml:space="preserve">r varias razones: </w:t>
      </w:r>
    </w:p>
    <w:p w:rsidR="00A5382D" w:rsidRPr="00E95861" w:rsidRDefault="00A5382D" w:rsidP="0089774B">
      <w:pPr>
        <w:pStyle w:val="Sinespaciado"/>
        <w:spacing w:line="360" w:lineRule="auto"/>
        <w:rPr>
          <w:rFonts w:ascii="Gill Sans MT" w:hAnsi="Gill Sans MT" w:cs="Tahoma"/>
          <w:sz w:val="24"/>
          <w:szCs w:val="24"/>
        </w:rPr>
      </w:pPr>
    </w:p>
    <w:p w:rsidR="00A5382D" w:rsidRPr="00E95861" w:rsidRDefault="00A5382D" w:rsidP="0089774B">
      <w:pPr>
        <w:pStyle w:val="Sinespaciado"/>
        <w:numPr>
          <w:ilvl w:val="0"/>
          <w:numId w:val="5"/>
        </w:numPr>
        <w:spacing w:line="360" w:lineRule="auto"/>
        <w:ind w:left="0" w:firstLine="567"/>
        <w:rPr>
          <w:rFonts w:ascii="Gill Sans MT" w:hAnsi="Gill Sans MT" w:cs="Tahoma"/>
          <w:sz w:val="24"/>
          <w:szCs w:val="24"/>
        </w:rPr>
      </w:pPr>
      <w:r w:rsidRPr="00E95861">
        <w:rPr>
          <w:rFonts w:ascii="Gill Sans MT" w:hAnsi="Gill Sans MT" w:cs="Tahoma"/>
          <w:sz w:val="24"/>
          <w:szCs w:val="24"/>
        </w:rPr>
        <w:lastRenderedPageBreak/>
        <w:t>El caso que fue puesto a consideración de la Corte Suprema de Justicia, es totalmente diferente al caso que ahora ocupa la atención de esta Sala, pues e</w:t>
      </w:r>
      <w:r w:rsidR="00BC6D10" w:rsidRPr="00E95861">
        <w:rPr>
          <w:rFonts w:ascii="Gill Sans MT" w:hAnsi="Gill Sans MT" w:cs="Tahoma"/>
          <w:sz w:val="24"/>
          <w:szCs w:val="24"/>
        </w:rPr>
        <w:t>n dicho auto la Corte se ocup</w:t>
      </w:r>
      <w:r w:rsidR="00856DCC" w:rsidRPr="00E95861">
        <w:rPr>
          <w:rFonts w:ascii="Gill Sans MT" w:hAnsi="Gill Sans MT" w:cs="Tahoma"/>
          <w:sz w:val="24"/>
          <w:szCs w:val="24"/>
        </w:rPr>
        <w:t>ó</w:t>
      </w:r>
      <w:r w:rsidR="00BC6D10" w:rsidRPr="00E95861">
        <w:rPr>
          <w:rFonts w:ascii="Gill Sans MT" w:hAnsi="Gill Sans MT" w:cs="Tahoma"/>
          <w:sz w:val="24"/>
          <w:szCs w:val="24"/>
        </w:rPr>
        <w:t xml:space="preserve"> de estudiar la solicitu</w:t>
      </w:r>
      <w:r w:rsidR="00D62B68" w:rsidRPr="00E95861">
        <w:rPr>
          <w:rFonts w:ascii="Gill Sans MT" w:hAnsi="Gill Sans MT" w:cs="Tahoma"/>
          <w:sz w:val="24"/>
          <w:szCs w:val="24"/>
        </w:rPr>
        <w:t>d</w:t>
      </w:r>
      <w:r w:rsidR="00BC6D10" w:rsidRPr="00E95861">
        <w:rPr>
          <w:rFonts w:ascii="Gill Sans MT" w:hAnsi="Gill Sans MT" w:cs="Tahoma"/>
          <w:sz w:val="24"/>
          <w:szCs w:val="24"/>
        </w:rPr>
        <w:t xml:space="preserve"> de libertad condicionada de un ex integrante de las FARC-EP, que desert</w:t>
      </w:r>
      <w:r w:rsidR="00D62B68" w:rsidRPr="00E95861">
        <w:rPr>
          <w:rFonts w:ascii="Gill Sans MT" w:hAnsi="Gill Sans MT" w:cs="Tahoma"/>
          <w:sz w:val="24"/>
          <w:szCs w:val="24"/>
        </w:rPr>
        <w:t xml:space="preserve">ó de dicho grupo subversivo, y se entregó voluntariamente ante una guarnición militar, manifestando su deseo de acogerse a los beneficios de la </w:t>
      </w:r>
      <w:r w:rsidR="00FA052F">
        <w:rPr>
          <w:rFonts w:ascii="Gill Sans MT" w:hAnsi="Gill Sans MT" w:cs="Tahoma"/>
          <w:sz w:val="24"/>
          <w:szCs w:val="24"/>
        </w:rPr>
        <w:t xml:space="preserve">Ley </w:t>
      </w:r>
      <w:r w:rsidR="00D62B68" w:rsidRPr="00E95861">
        <w:rPr>
          <w:rFonts w:ascii="Gill Sans MT" w:hAnsi="Gill Sans MT" w:cs="Tahoma"/>
          <w:sz w:val="24"/>
          <w:szCs w:val="24"/>
        </w:rPr>
        <w:t xml:space="preserve">975 de 2005. </w:t>
      </w:r>
    </w:p>
    <w:p w:rsidR="00D62B68" w:rsidRPr="00E95861" w:rsidRDefault="00D62B68" w:rsidP="0089774B">
      <w:pPr>
        <w:pStyle w:val="Sinespaciado"/>
        <w:spacing w:line="360" w:lineRule="auto"/>
        <w:ind w:left="360"/>
        <w:rPr>
          <w:rFonts w:ascii="Gill Sans MT" w:hAnsi="Gill Sans MT" w:cs="Tahoma"/>
          <w:sz w:val="24"/>
          <w:szCs w:val="24"/>
        </w:rPr>
      </w:pPr>
    </w:p>
    <w:p w:rsidR="00F5330D" w:rsidRPr="00E95861" w:rsidRDefault="009010BC" w:rsidP="0089774B">
      <w:pPr>
        <w:pStyle w:val="Sinespaciado"/>
        <w:spacing w:line="360" w:lineRule="auto"/>
        <w:rPr>
          <w:rFonts w:ascii="Gill Sans MT" w:hAnsi="Gill Sans MT" w:cs="Tahoma"/>
          <w:i/>
          <w:sz w:val="24"/>
          <w:szCs w:val="24"/>
        </w:rPr>
      </w:pPr>
      <w:r w:rsidRPr="00E95861">
        <w:rPr>
          <w:rFonts w:ascii="Gill Sans MT" w:hAnsi="Gill Sans MT" w:cs="Tahoma"/>
          <w:sz w:val="24"/>
          <w:szCs w:val="24"/>
        </w:rPr>
        <w:t xml:space="preserve">Este postulado solicitó ante una Sala de Conocimiento de este Tribunal, se le concediera el beneficio de la libertad condicionada conforme a lo establecido en el </w:t>
      </w:r>
      <w:r w:rsidR="00FA052F">
        <w:rPr>
          <w:rFonts w:ascii="Gill Sans MT" w:hAnsi="Gill Sans MT" w:cs="Tahoma"/>
          <w:sz w:val="24"/>
          <w:szCs w:val="24"/>
        </w:rPr>
        <w:t xml:space="preserve">Ley </w:t>
      </w:r>
      <w:r w:rsidRPr="00E95861">
        <w:rPr>
          <w:rFonts w:ascii="Gill Sans MT" w:hAnsi="Gill Sans MT" w:cs="Tahoma"/>
          <w:sz w:val="24"/>
          <w:szCs w:val="24"/>
        </w:rPr>
        <w:t>1820 de 2016, el cual le fue negado,</w:t>
      </w:r>
      <w:r w:rsidR="00A31C54" w:rsidRPr="00E95861">
        <w:rPr>
          <w:rFonts w:ascii="Gill Sans MT" w:hAnsi="Gill Sans MT" w:cs="Tahoma"/>
          <w:sz w:val="24"/>
          <w:szCs w:val="24"/>
        </w:rPr>
        <w:t xml:space="preserve"> en esa ocasión, </w:t>
      </w:r>
      <w:r w:rsidR="00082EC2" w:rsidRPr="00E95861">
        <w:rPr>
          <w:rFonts w:ascii="Gill Sans MT" w:hAnsi="Gill Sans MT" w:cs="Tahoma"/>
          <w:sz w:val="24"/>
          <w:szCs w:val="24"/>
        </w:rPr>
        <w:t xml:space="preserve">y </w:t>
      </w:r>
      <w:r w:rsidRPr="00E95861">
        <w:rPr>
          <w:rFonts w:ascii="Gill Sans MT" w:hAnsi="Gill Sans MT" w:cs="Tahoma"/>
          <w:sz w:val="24"/>
          <w:szCs w:val="24"/>
        </w:rPr>
        <w:t xml:space="preserve">entre otras razones, por considerar que no era destinatario de esta normatividad, </w:t>
      </w:r>
      <w:r w:rsidR="007C1D24" w:rsidRPr="00E95861">
        <w:rPr>
          <w:rFonts w:ascii="Gill Sans MT" w:hAnsi="Gill Sans MT" w:cs="Tahoma"/>
          <w:sz w:val="24"/>
          <w:szCs w:val="24"/>
        </w:rPr>
        <w:t xml:space="preserve">que solo le era </w:t>
      </w:r>
      <w:r w:rsidR="00324C4A" w:rsidRPr="00E95861">
        <w:rPr>
          <w:rFonts w:ascii="Gill Sans MT" w:hAnsi="Gill Sans MT" w:cs="Tahoma"/>
          <w:sz w:val="24"/>
          <w:szCs w:val="24"/>
        </w:rPr>
        <w:t>aplicable “</w:t>
      </w:r>
      <w:r w:rsidR="00324C4A" w:rsidRPr="00E95861">
        <w:rPr>
          <w:rFonts w:ascii="Gill Sans MT" w:hAnsi="Gill Sans MT" w:cs="Tahoma"/>
          <w:i/>
          <w:sz w:val="24"/>
          <w:szCs w:val="24"/>
        </w:rPr>
        <w:t>…a los miembros activos de las FARC-EP en vía de desmovilización –dejación de armas-…”</w:t>
      </w:r>
    </w:p>
    <w:p w:rsidR="00D62B68" w:rsidRPr="00E95861" w:rsidRDefault="00D62B68" w:rsidP="0089774B">
      <w:pPr>
        <w:pStyle w:val="Sinespaciado"/>
        <w:spacing w:line="360" w:lineRule="auto"/>
        <w:ind w:left="360"/>
        <w:rPr>
          <w:rFonts w:ascii="Gill Sans MT" w:hAnsi="Gill Sans MT" w:cs="Tahoma"/>
          <w:sz w:val="24"/>
          <w:szCs w:val="24"/>
        </w:rPr>
      </w:pPr>
    </w:p>
    <w:p w:rsidR="00463F7F" w:rsidRPr="00E95861" w:rsidRDefault="00403958" w:rsidP="0089774B">
      <w:pPr>
        <w:pStyle w:val="Sinespaciado"/>
        <w:numPr>
          <w:ilvl w:val="0"/>
          <w:numId w:val="5"/>
        </w:numPr>
        <w:spacing w:line="360" w:lineRule="auto"/>
        <w:ind w:left="0" w:firstLine="567"/>
        <w:rPr>
          <w:rFonts w:ascii="Gill Sans MT" w:hAnsi="Gill Sans MT" w:cs="Tahoma"/>
          <w:sz w:val="24"/>
          <w:szCs w:val="24"/>
        </w:rPr>
      </w:pPr>
      <w:r w:rsidRPr="00E95861">
        <w:rPr>
          <w:rFonts w:ascii="Gill Sans MT" w:hAnsi="Gill Sans MT" w:cs="Tahoma"/>
          <w:sz w:val="24"/>
          <w:szCs w:val="24"/>
        </w:rPr>
        <w:t>En el numeral 3.3 de la parte considerativa, la Sala de Casación Penal d</w:t>
      </w:r>
      <w:r w:rsidR="009E6CE5" w:rsidRPr="00E95861">
        <w:rPr>
          <w:rFonts w:ascii="Gill Sans MT" w:hAnsi="Gill Sans MT" w:cs="Tahoma"/>
          <w:sz w:val="24"/>
          <w:szCs w:val="24"/>
        </w:rPr>
        <w:t xml:space="preserve">e la Corte Suprema de Justicia,  </w:t>
      </w:r>
      <w:r w:rsidR="007423EB" w:rsidRPr="00E95861">
        <w:rPr>
          <w:rFonts w:ascii="Gill Sans MT" w:hAnsi="Gill Sans MT" w:cs="Tahoma"/>
          <w:sz w:val="24"/>
          <w:szCs w:val="24"/>
        </w:rPr>
        <w:t>indicó que:</w:t>
      </w:r>
    </w:p>
    <w:p w:rsidR="005443D4" w:rsidRPr="00E95861" w:rsidRDefault="005443D4" w:rsidP="0089774B">
      <w:pPr>
        <w:spacing w:after="0" w:line="360" w:lineRule="auto"/>
        <w:ind w:left="1068"/>
        <w:rPr>
          <w:rFonts w:ascii="Gill Sans MT" w:hAnsi="Gill Sans MT" w:cs="Tahoma"/>
          <w:i/>
          <w:sz w:val="24"/>
          <w:szCs w:val="24"/>
        </w:rPr>
      </w:pPr>
    </w:p>
    <w:p w:rsidR="00B736FB" w:rsidRPr="003B4711" w:rsidRDefault="009E6CE5" w:rsidP="0089774B">
      <w:pPr>
        <w:spacing w:after="0" w:line="240" w:lineRule="auto"/>
        <w:ind w:left="709"/>
        <w:jc w:val="both"/>
        <w:rPr>
          <w:rFonts w:ascii="Gill Sans MT" w:hAnsi="Gill Sans MT" w:cs="Tahoma"/>
          <w:i/>
        </w:rPr>
      </w:pPr>
      <w:r w:rsidRPr="003B4711">
        <w:rPr>
          <w:rFonts w:ascii="Gill Sans MT" w:hAnsi="Gill Sans MT" w:cs="Tahoma"/>
          <w:i/>
        </w:rPr>
        <w:t>“</w:t>
      </w:r>
      <w:r w:rsidR="00A143DB" w:rsidRPr="003B4711">
        <w:rPr>
          <w:rFonts w:ascii="Gill Sans MT" w:hAnsi="Gill Sans MT" w:cs="Tahoma"/>
          <w:i/>
        </w:rPr>
        <w:t>…</w:t>
      </w:r>
      <w:r w:rsidR="005443D4" w:rsidRPr="003B4711">
        <w:rPr>
          <w:rFonts w:ascii="Gill Sans MT" w:hAnsi="Gill Sans MT" w:cs="Tahoma"/>
          <w:i/>
        </w:rPr>
        <w:t xml:space="preserve">Conforme con la reseña precedente refulge que en oposición a lo señalado por la primera instancia, el ámbito de aplicación, y por lo mismo el universo de los destinatarios de las regulaciones derivadas de la suscripción del Acuerdo Final para la Paz AFP y la </w:t>
      </w:r>
      <w:r w:rsidR="00FA052F">
        <w:rPr>
          <w:rFonts w:ascii="Gill Sans MT" w:hAnsi="Gill Sans MT" w:cs="Tahoma"/>
          <w:i/>
        </w:rPr>
        <w:t xml:space="preserve">Ley </w:t>
      </w:r>
      <w:r w:rsidR="005443D4" w:rsidRPr="003B4711">
        <w:rPr>
          <w:rFonts w:ascii="Gill Sans MT" w:hAnsi="Gill Sans MT" w:cs="Tahoma"/>
          <w:i/>
        </w:rPr>
        <w:t>1820, es incluyente antes que restrictivo o restringido exclusivamente a los integrantes reconocidos de las FARC-EP en proceso de dejación de armas</w:t>
      </w:r>
      <w:r w:rsidRPr="003B4711">
        <w:rPr>
          <w:rFonts w:ascii="Gill Sans MT" w:hAnsi="Gill Sans MT" w:cs="Tahoma"/>
          <w:i/>
        </w:rPr>
        <w:t>.”</w:t>
      </w:r>
    </w:p>
    <w:p w:rsidR="009E6CE5" w:rsidRPr="00E95861" w:rsidRDefault="009E6CE5" w:rsidP="0089774B">
      <w:pPr>
        <w:spacing w:after="0" w:line="360" w:lineRule="auto"/>
        <w:rPr>
          <w:rFonts w:ascii="Gill Sans MT" w:hAnsi="Gill Sans MT" w:cs="Tahoma"/>
          <w:sz w:val="24"/>
          <w:szCs w:val="24"/>
        </w:rPr>
      </w:pPr>
    </w:p>
    <w:p w:rsidR="009E6CE5" w:rsidRPr="00E95861" w:rsidRDefault="009E6CE5" w:rsidP="0089774B">
      <w:pPr>
        <w:spacing w:after="0" w:line="360" w:lineRule="auto"/>
        <w:jc w:val="both"/>
        <w:rPr>
          <w:rFonts w:ascii="Gill Sans MT" w:hAnsi="Gill Sans MT" w:cs="Tahoma"/>
          <w:sz w:val="24"/>
          <w:szCs w:val="24"/>
        </w:rPr>
      </w:pPr>
      <w:r w:rsidRPr="00E95861">
        <w:rPr>
          <w:rFonts w:ascii="Gill Sans MT" w:hAnsi="Gill Sans MT" w:cs="Tahoma"/>
          <w:sz w:val="24"/>
          <w:szCs w:val="24"/>
        </w:rPr>
        <w:t>Como se puede ver, cuando la Corte indica que el ámb</w:t>
      </w:r>
      <w:r w:rsidR="00CB6520" w:rsidRPr="00E95861">
        <w:rPr>
          <w:rFonts w:ascii="Gill Sans MT" w:hAnsi="Gill Sans MT" w:cs="Tahoma"/>
          <w:sz w:val="24"/>
          <w:szCs w:val="24"/>
        </w:rPr>
        <w:t xml:space="preserve">ito de aplicación del AFP y la </w:t>
      </w:r>
      <w:r w:rsidR="00FA052F">
        <w:rPr>
          <w:rFonts w:ascii="Gill Sans MT" w:hAnsi="Gill Sans MT" w:cs="Tahoma"/>
          <w:sz w:val="24"/>
          <w:szCs w:val="24"/>
        </w:rPr>
        <w:t xml:space="preserve">Ley </w:t>
      </w:r>
      <w:r w:rsidRPr="00E95861">
        <w:rPr>
          <w:rFonts w:ascii="Gill Sans MT" w:hAnsi="Gill Sans MT" w:cs="Tahoma"/>
          <w:sz w:val="24"/>
          <w:szCs w:val="24"/>
        </w:rPr>
        <w:t>1820 de 2016, es “</w:t>
      </w:r>
      <w:r w:rsidRPr="00E95861">
        <w:rPr>
          <w:rFonts w:ascii="Gill Sans MT" w:hAnsi="Gill Sans MT" w:cs="Tahoma"/>
          <w:i/>
          <w:sz w:val="24"/>
          <w:szCs w:val="24"/>
        </w:rPr>
        <w:t>incluyente antes que restrictivo o restringido”</w:t>
      </w:r>
      <w:r w:rsidRPr="00E95861">
        <w:rPr>
          <w:rFonts w:ascii="Gill Sans MT" w:hAnsi="Gill Sans MT" w:cs="Tahoma"/>
          <w:sz w:val="24"/>
          <w:szCs w:val="24"/>
        </w:rPr>
        <w:t>,  se refiere a</w:t>
      </w:r>
      <w:r w:rsidR="00A151F5" w:rsidRPr="00E95861">
        <w:rPr>
          <w:rFonts w:ascii="Gill Sans MT" w:hAnsi="Gill Sans MT" w:cs="Tahoma"/>
          <w:sz w:val="24"/>
          <w:szCs w:val="24"/>
        </w:rPr>
        <w:t xml:space="preserve"> los integrantes de las FARC-EP quienes se desmoviliz</w:t>
      </w:r>
      <w:r w:rsidR="00CA7F0E" w:rsidRPr="00E95861">
        <w:rPr>
          <w:rFonts w:ascii="Gill Sans MT" w:hAnsi="Gill Sans MT" w:cs="Tahoma"/>
          <w:sz w:val="24"/>
          <w:szCs w:val="24"/>
        </w:rPr>
        <w:t xml:space="preserve">aron bajo los parámetros de la </w:t>
      </w:r>
      <w:r w:rsidR="00FA052F">
        <w:rPr>
          <w:rFonts w:ascii="Gill Sans MT" w:hAnsi="Gill Sans MT" w:cs="Tahoma"/>
          <w:sz w:val="24"/>
          <w:szCs w:val="24"/>
        </w:rPr>
        <w:t xml:space="preserve">Ley </w:t>
      </w:r>
      <w:r w:rsidR="00A151F5" w:rsidRPr="00E95861">
        <w:rPr>
          <w:rFonts w:ascii="Gill Sans MT" w:hAnsi="Gill Sans MT" w:cs="Tahoma"/>
          <w:sz w:val="24"/>
          <w:szCs w:val="24"/>
        </w:rPr>
        <w:t>975 de 2005 y ahora solicitan los beneficios de la libertad condicionada, por ser destinatarios de esta normatividad conforme al ámbito de aplicación personal que se encuentra delimitado en los artículo</w:t>
      </w:r>
      <w:r w:rsidR="00EF4503" w:rsidRPr="00E95861">
        <w:rPr>
          <w:rFonts w:ascii="Gill Sans MT" w:hAnsi="Gill Sans MT" w:cs="Tahoma"/>
          <w:sz w:val="24"/>
          <w:szCs w:val="24"/>
        </w:rPr>
        <w:t>s</w:t>
      </w:r>
      <w:r w:rsidR="00A151F5" w:rsidRPr="00E95861">
        <w:rPr>
          <w:rFonts w:ascii="Gill Sans MT" w:hAnsi="Gill Sans MT" w:cs="Tahoma"/>
          <w:sz w:val="24"/>
          <w:szCs w:val="24"/>
        </w:rPr>
        <w:t xml:space="preserve"> 15, 16, 17, 22 y 29 de la misma ley</w:t>
      </w:r>
      <w:r w:rsidR="001E086A" w:rsidRPr="00E95861">
        <w:rPr>
          <w:rFonts w:ascii="Gill Sans MT" w:hAnsi="Gill Sans MT" w:cs="Tahoma"/>
          <w:sz w:val="24"/>
          <w:szCs w:val="24"/>
        </w:rPr>
        <w:t xml:space="preserve">, que dicho sea de paso, ninguna referencia hace a los ex integrantes de las Autodefensas Unidas de Colombia AUC. </w:t>
      </w:r>
    </w:p>
    <w:p w:rsidR="006B4753" w:rsidRPr="00E95861" w:rsidRDefault="006B4753" w:rsidP="0089774B">
      <w:pPr>
        <w:spacing w:after="0" w:line="360" w:lineRule="auto"/>
        <w:jc w:val="both"/>
        <w:rPr>
          <w:rFonts w:ascii="Gill Sans MT" w:hAnsi="Gill Sans MT" w:cs="Tahoma"/>
          <w:sz w:val="24"/>
          <w:szCs w:val="24"/>
        </w:rPr>
      </w:pPr>
    </w:p>
    <w:p w:rsidR="00576924" w:rsidRPr="00E95861" w:rsidRDefault="002508AF" w:rsidP="0089774B">
      <w:pPr>
        <w:pStyle w:val="Prrafodelista"/>
        <w:numPr>
          <w:ilvl w:val="0"/>
          <w:numId w:val="5"/>
        </w:numPr>
        <w:spacing w:after="0" w:line="360" w:lineRule="auto"/>
        <w:ind w:left="0" w:firstLine="567"/>
        <w:jc w:val="both"/>
        <w:rPr>
          <w:rFonts w:ascii="Gill Sans MT" w:hAnsi="Gill Sans MT" w:cs="Tahoma"/>
          <w:sz w:val="24"/>
          <w:szCs w:val="24"/>
        </w:rPr>
      </w:pPr>
      <w:r w:rsidRPr="00E95861">
        <w:rPr>
          <w:rFonts w:ascii="Gill Sans MT" w:hAnsi="Gill Sans MT" w:cs="Tahoma"/>
          <w:sz w:val="24"/>
          <w:szCs w:val="24"/>
        </w:rPr>
        <w:t>Indicó el señor defensor</w:t>
      </w:r>
      <w:r w:rsidR="007470CF" w:rsidRPr="00E95861">
        <w:rPr>
          <w:rFonts w:ascii="Gill Sans MT" w:hAnsi="Gill Sans MT" w:cs="Tahoma"/>
          <w:sz w:val="24"/>
          <w:szCs w:val="24"/>
        </w:rPr>
        <w:t xml:space="preserve"> que cuando la Corte Suprema manifiesta “</w:t>
      </w:r>
      <w:r w:rsidR="007470CF" w:rsidRPr="00E95861">
        <w:rPr>
          <w:rFonts w:ascii="Gill Sans MT" w:hAnsi="Gill Sans MT" w:cs="Tahoma"/>
          <w:i/>
          <w:sz w:val="24"/>
          <w:szCs w:val="24"/>
        </w:rPr>
        <w:t xml:space="preserve">…que sus destinatarios son todas las personas que han participado de manera directa o indirecta en el conflicto armado interno y, como consecuencia, han sido condenadas, procesadas o señaladas de cometer conductas punibles por causa, con ocasión o en relación directa o indirecta con la </w:t>
      </w:r>
      <w:r w:rsidR="007470CF" w:rsidRPr="00E95861">
        <w:rPr>
          <w:rFonts w:ascii="Gill Sans MT" w:hAnsi="Gill Sans MT" w:cs="Tahoma"/>
          <w:i/>
          <w:sz w:val="24"/>
          <w:szCs w:val="24"/>
        </w:rPr>
        <w:lastRenderedPageBreak/>
        <w:t>confrontación armada.”</w:t>
      </w:r>
      <w:r w:rsidR="007470CF" w:rsidRPr="00E95861">
        <w:rPr>
          <w:rStyle w:val="Refdenotaalpie"/>
          <w:rFonts w:ascii="Gill Sans MT" w:hAnsi="Gill Sans MT" w:cs="Tahoma"/>
          <w:i/>
          <w:sz w:val="24"/>
          <w:szCs w:val="24"/>
        </w:rPr>
        <w:footnoteReference w:id="11"/>
      </w:r>
      <w:r w:rsidR="007470CF" w:rsidRPr="00E95861">
        <w:rPr>
          <w:rFonts w:ascii="Gill Sans MT" w:hAnsi="Gill Sans MT" w:cs="Tahoma"/>
          <w:i/>
          <w:sz w:val="24"/>
          <w:szCs w:val="24"/>
        </w:rPr>
        <w:t xml:space="preserve">¸ </w:t>
      </w:r>
      <w:r w:rsidR="007470CF" w:rsidRPr="00E95861">
        <w:rPr>
          <w:rFonts w:ascii="Gill Sans MT" w:hAnsi="Gill Sans MT" w:cs="Tahoma"/>
          <w:sz w:val="24"/>
          <w:szCs w:val="24"/>
        </w:rPr>
        <w:t>se refiere también a los ex integrantes de las AUC, porque precisamente se habla de “</w:t>
      </w:r>
      <w:r w:rsidR="007470CF" w:rsidRPr="00E95861">
        <w:rPr>
          <w:rFonts w:ascii="Gill Sans MT" w:hAnsi="Gill Sans MT" w:cs="Tahoma"/>
          <w:i/>
          <w:sz w:val="24"/>
          <w:szCs w:val="24"/>
        </w:rPr>
        <w:t>todas la</w:t>
      </w:r>
      <w:r w:rsidR="002176DA" w:rsidRPr="00E95861">
        <w:rPr>
          <w:rFonts w:ascii="Gill Sans MT" w:hAnsi="Gill Sans MT" w:cs="Tahoma"/>
          <w:i/>
          <w:sz w:val="24"/>
          <w:szCs w:val="24"/>
        </w:rPr>
        <w:t>s</w:t>
      </w:r>
      <w:r w:rsidR="007470CF" w:rsidRPr="00E95861">
        <w:rPr>
          <w:rFonts w:ascii="Gill Sans MT" w:hAnsi="Gill Sans MT" w:cs="Tahoma"/>
          <w:i/>
          <w:sz w:val="24"/>
          <w:szCs w:val="24"/>
        </w:rPr>
        <w:t xml:space="preserve"> personas</w:t>
      </w:r>
      <w:r w:rsidR="007470CF" w:rsidRPr="00E95861">
        <w:rPr>
          <w:rFonts w:ascii="Gill Sans MT" w:hAnsi="Gill Sans MT" w:cs="Tahoma"/>
          <w:sz w:val="24"/>
          <w:szCs w:val="24"/>
        </w:rPr>
        <w:t>”.</w:t>
      </w:r>
    </w:p>
    <w:p w:rsidR="007470CF" w:rsidRPr="00E95861" w:rsidRDefault="007470CF" w:rsidP="0089774B">
      <w:pPr>
        <w:pStyle w:val="Prrafodelista"/>
        <w:spacing w:after="0" w:line="360" w:lineRule="auto"/>
        <w:ind w:left="360"/>
        <w:jc w:val="both"/>
        <w:rPr>
          <w:rFonts w:ascii="Gill Sans MT" w:hAnsi="Gill Sans MT" w:cs="Tahoma"/>
          <w:sz w:val="24"/>
          <w:szCs w:val="24"/>
        </w:rPr>
      </w:pPr>
    </w:p>
    <w:p w:rsidR="007470CF" w:rsidRPr="00E95861" w:rsidRDefault="007470CF" w:rsidP="0089774B">
      <w:pPr>
        <w:pStyle w:val="Prrafodelista"/>
        <w:spacing w:after="0" w:line="360" w:lineRule="auto"/>
        <w:ind w:left="0"/>
        <w:jc w:val="both"/>
        <w:rPr>
          <w:rFonts w:ascii="Gill Sans MT" w:hAnsi="Gill Sans MT" w:cs="Tahoma"/>
          <w:sz w:val="24"/>
          <w:szCs w:val="24"/>
        </w:rPr>
      </w:pPr>
      <w:r w:rsidRPr="00E95861">
        <w:rPr>
          <w:rFonts w:ascii="Gill Sans MT" w:hAnsi="Gill Sans MT" w:cs="Tahoma"/>
          <w:sz w:val="24"/>
          <w:szCs w:val="24"/>
        </w:rPr>
        <w:t>Argumento que en el sentir de la Sala se encuentra descontextualizado de la narrativa que hace la decisión</w:t>
      </w:r>
      <w:r w:rsidR="002176DA" w:rsidRPr="00E95861">
        <w:rPr>
          <w:rFonts w:ascii="Gill Sans MT" w:hAnsi="Gill Sans MT" w:cs="Tahoma"/>
          <w:sz w:val="24"/>
          <w:szCs w:val="24"/>
        </w:rPr>
        <w:t xml:space="preserve">, por cuanto esta afirmación de la Corte Suprema, viene precedida de un análisis sobre el ámbito de aplicación de la </w:t>
      </w:r>
      <w:r w:rsidR="00FA052F">
        <w:rPr>
          <w:rFonts w:ascii="Gill Sans MT" w:hAnsi="Gill Sans MT" w:cs="Tahoma"/>
          <w:sz w:val="24"/>
          <w:szCs w:val="24"/>
        </w:rPr>
        <w:t xml:space="preserve">Ley </w:t>
      </w:r>
      <w:r w:rsidR="002176DA" w:rsidRPr="00E95861">
        <w:rPr>
          <w:rFonts w:ascii="Gill Sans MT" w:hAnsi="Gill Sans MT" w:cs="Tahoma"/>
          <w:sz w:val="24"/>
          <w:szCs w:val="24"/>
        </w:rPr>
        <w:t xml:space="preserve">1820 de 2016 </w:t>
      </w:r>
      <w:r w:rsidR="00E81AAF" w:rsidRPr="00E95861">
        <w:rPr>
          <w:rFonts w:ascii="Gill Sans MT" w:hAnsi="Gill Sans MT" w:cs="Tahoma"/>
          <w:sz w:val="24"/>
          <w:szCs w:val="24"/>
        </w:rPr>
        <w:t xml:space="preserve">y en párrafos siguientes al texto al que hace referencia el abogado, la Corte señala que: </w:t>
      </w:r>
    </w:p>
    <w:p w:rsidR="00E81AAF" w:rsidRPr="00E95861" w:rsidRDefault="00E81AAF" w:rsidP="0089774B">
      <w:pPr>
        <w:pStyle w:val="Prrafodelista"/>
        <w:spacing w:after="0" w:line="360" w:lineRule="auto"/>
        <w:ind w:left="0" w:firstLine="360"/>
        <w:jc w:val="both"/>
        <w:rPr>
          <w:rFonts w:ascii="Gill Sans MT" w:hAnsi="Gill Sans MT" w:cs="Tahoma"/>
          <w:sz w:val="24"/>
          <w:szCs w:val="24"/>
        </w:rPr>
      </w:pPr>
    </w:p>
    <w:p w:rsidR="00E81AAF" w:rsidRPr="003B4711" w:rsidRDefault="00E81AAF" w:rsidP="0089774B">
      <w:pPr>
        <w:pStyle w:val="Prrafodelista"/>
        <w:spacing w:after="0" w:line="240" w:lineRule="auto"/>
        <w:ind w:left="851"/>
        <w:jc w:val="both"/>
        <w:rPr>
          <w:rFonts w:ascii="Gill Sans MT" w:hAnsi="Gill Sans MT" w:cs="Tahoma"/>
        </w:rPr>
      </w:pPr>
      <w:r w:rsidRPr="003B4711">
        <w:rPr>
          <w:rFonts w:ascii="Gill Sans MT" w:hAnsi="Gill Sans MT" w:cs="Tahoma"/>
        </w:rPr>
        <w:t>“</w:t>
      </w:r>
      <w:r w:rsidRPr="003B4711">
        <w:rPr>
          <w:rFonts w:ascii="Gill Sans MT" w:hAnsi="Gill Sans MT" w:cs="Tahoma"/>
          <w:i/>
        </w:rPr>
        <w:t xml:space="preserve">Lo anterior siempre y cuando las conductas ilícitas hayan sido cometidas con anterioridad a la entrada en vigor del acuerdo final –antes de noviembre 24 de 2016- </w:t>
      </w:r>
      <w:r w:rsidRPr="003B4711">
        <w:rPr>
          <w:rFonts w:ascii="Gill Sans MT" w:hAnsi="Gill Sans MT" w:cs="Tahoma"/>
          <w:b/>
          <w:i/>
        </w:rPr>
        <w:t>y tales personas se encuentren dentro del ámbito de aplicación personal que se delimita particularmente en los artículos 15, 16, 17, 22 y 29 de la misma ley</w:t>
      </w:r>
      <w:r w:rsidRPr="003B4711">
        <w:rPr>
          <w:rFonts w:ascii="Gill Sans MT" w:hAnsi="Gill Sans MT" w:cs="Tahoma"/>
          <w:i/>
        </w:rPr>
        <w:t>, o se trata de quienes incurrieron en conductas punibles cometidas en el marco de disturbios públicos o e</w:t>
      </w:r>
      <w:r w:rsidR="002E3A76" w:rsidRPr="003B4711">
        <w:rPr>
          <w:rFonts w:ascii="Gill Sans MT" w:hAnsi="Gill Sans MT" w:cs="Tahoma"/>
          <w:i/>
        </w:rPr>
        <w:t xml:space="preserve">n el ejercicio de la protesta social –artículo 3º inciso segundo-; o bien agentes del Estado que hayan sido condenados, procesados o señalados de cometer conductas punibles por causa, con ocasión o en relación directa o indirecta con el conflicto armado –artículo 2º- </w:t>
      </w:r>
      <w:r w:rsidR="0037342B" w:rsidRPr="003B4711">
        <w:rPr>
          <w:rFonts w:ascii="Gill Sans MT" w:hAnsi="Gill Sans MT" w:cs="Tahoma"/>
        </w:rPr>
        <w:t xml:space="preserve">(negrillas fuera el texto). </w:t>
      </w:r>
    </w:p>
    <w:p w:rsidR="00097741" w:rsidRPr="00E95861" w:rsidRDefault="00097741" w:rsidP="0089774B">
      <w:pPr>
        <w:spacing w:after="0" w:line="360" w:lineRule="auto"/>
        <w:jc w:val="both"/>
        <w:rPr>
          <w:rFonts w:ascii="Gill Sans MT" w:hAnsi="Gill Sans MT" w:cs="Tahoma"/>
          <w:sz w:val="24"/>
          <w:szCs w:val="24"/>
        </w:rPr>
      </w:pPr>
    </w:p>
    <w:p w:rsidR="003B788E" w:rsidRPr="00E95861" w:rsidRDefault="00EC4479" w:rsidP="0089774B">
      <w:pPr>
        <w:spacing w:after="0" w:line="360" w:lineRule="auto"/>
        <w:jc w:val="both"/>
        <w:rPr>
          <w:rFonts w:ascii="Gill Sans MT" w:hAnsi="Gill Sans MT"/>
          <w:sz w:val="24"/>
          <w:szCs w:val="24"/>
        </w:rPr>
      </w:pPr>
      <w:r w:rsidRPr="00E95861">
        <w:rPr>
          <w:rFonts w:ascii="Gill Sans MT" w:hAnsi="Gill Sans MT" w:cs="Tahoma"/>
          <w:sz w:val="24"/>
          <w:szCs w:val="24"/>
        </w:rPr>
        <w:t>Ahora bien, s</w:t>
      </w:r>
      <w:r w:rsidR="00180A13" w:rsidRPr="00E95861">
        <w:rPr>
          <w:rFonts w:ascii="Gill Sans MT" w:hAnsi="Gill Sans MT" w:cs="Tahoma"/>
          <w:sz w:val="24"/>
          <w:szCs w:val="24"/>
        </w:rPr>
        <w:t xml:space="preserve">egún lo establecido en el artículo 35 de la </w:t>
      </w:r>
      <w:r w:rsidR="00FA052F">
        <w:rPr>
          <w:rFonts w:ascii="Gill Sans MT" w:hAnsi="Gill Sans MT" w:cs="Tahoma"/>
          <w:sz w:val="24"/>
          <w:szCs w:val="24"/>
        </w:rPr>
        <w:t xml:space="preserve">Ley </w:t>
      </w:r>
      <w:r w:rsidR="00180A13" w:rsidRPr="00E95861">
        <w:rPr>
          <w:rFonts w:ascii="Gill Sans MT" w:hAnsi="Gill Sans MT" w:cs="Tahoma"/>
          <w:sz w:val="24"/>
          <w:szCs w:val="24"/>
        </w:rPr>
        <w:t xml:space="preserve">1820 de 2016, </w:t>
      </w:r>
      <w:r w:rsidR="00B41B07" w:rsidRPr="00E95861">
        <w:rPr>
          <w:rFonts w:ascii="Gill Sans MT" w:hAnsi="Gill Sans MT" w:cs="Tahoma"/>
          <w:sz w:val="24"/>
          <w:szCs w:val="24"/>
        </w:rPr>
        <w:t xml:space="preserve">la libertad condicionada aplica para </w:t>
      </w:r>
      <w:r w:rsidR="00180A13" w:rsidRPr="00E95861">
        <w:rPr>
          <w:rFonts w:ascii="Gill Sans MT" w:hAnsi="Gill Sans MT" w:cs="Tahoma"/>
          <w:sz w:val="24"/>
          <w:szCs w:val="24"/>
        </w:rPr>
        <w:t>las personas que se encuentra</w:t>
      </w:r>
      <w:r w:rsidR="003B2EA1" w:rsidRPr="00E95861">
        <w:rPr>
          <w:rFonts w:ascii="Gill Sans MT" w:hAnsi="Gill Sans MT" w:cs="Tahoma"/>
          <w:sz w:val="24"/>
          <w:szCs w:val="24"/>
        </w:rPr>
        <w:t>n</w:t>
      </w:r>
      <w:r w:rsidR="00180A13" w:rsidRPr="00E95861">
        <w:rPr>
          <w:rFonts w:ascii="Gill Sans MT" w:hAnsi="Gill Sans MT" w:cs="Tahoma"/>
          <w:sz w:val="24"/>
          <w:szCs w:val="24"/>
        </w:rPr>
        <w:t xml:space="preserve"> relacionadas en los </w:t>
      </w:r>
      <w:r w:rsidR="00180A13" w:rsidRPr="00E95861">
        <w:rPr>
          <w:rFonts w:ascii="Gill Sans MT" w:hAnsi="Gill Sans MT"/>
          <w:sz w:val="24"/>
          <w:szCs w:val="24"/>
        </w:rPr>
        <w:t>artículos 15</w:t>
      </w:r>
      <w:r w:rsidR="003B788E" w:rsidRPr="00E95861">
        <w:rPr>
          <w:rFonts w:ascii="Gill Sans MT" w:hAnsi="Gill Sans MT"/>
          <w:sz w:val="24"/>
          <w:szCs w:val="24"/>
        </w:rPr>
        <w:t xml:space="preserve"> (</w:t>
      </w:r>
      <w:r w:rsidR="00E2386E" w:rsidRPr="00E95861">
        <w:rPr>
          <w:rFonts w:ascii="Gill Sans MT" w:hAnsi="Gill Sans MT"/>
          <w:sz w:val="24"/>
          <w:szCs w:val="24"/>
        </w:rPr>
        <w:t xml:space="preserve">comisión de </w:t>
      </w:r>
      <w:r w:rsidR="003B788E" w:rsidRPr="00E95861">
        <w:rPr>
          <w:rFonts w:ascii="Gill Sans MT" w:hAnsi="Gill Sans MT" w:cs="Tahoma"/>
          <w:sz w:val="24"/>
          <w:szCs w:val="24"/>
        </w:rPr>
        <w:t xml:space="preserve">delitos políticos); </w:t>
      </w:r>
      <w:r w:rsidR="00180A13" w:rsidRPr="00E95861">
        <w:rPr>
          <w:rFonts w:ascii="Gill Sans MT" w:hAnsi="Gill Sans MT"/>
          <w:sz w:val="24"/>
          <w:szCs w:val="24"/>
        </w:rPr>
        <w:t>16</w:t>
      </w:r>
      <w:r w:rsidR="003B788E" w:rsidRPr="00E95861">
        <w:rPr>
          <w:rFonts w:ascii="Gill Sans MT" w:hAnsi="Gill Sans MT"/>
          <w:sz w:val="24"/>
          <w:szCs w:val="24"/>
        </w:rPr>
        <w:t xml:space="preserve"> (</w:t>
      </w:r>
      <w:r w:rsidR="00E2386E" w:rsidRPr="00E95861">
        <w:rPr>
          <w:rFonts w:ascii="Gill Sans MT" w:hAnsi="Gill Sans MT"/>
          <w:sz w:val="24"/>
          <w:szCs w:val="24"/>
        </w:rPr>
        <w:t xml:space="preserve">comisión de </w:t>
      </w:r>
      <w:r w:rsidR="003B788E" w:rsidRPr="00E95861">
        <w:rPr>
          <w:rFonts w:ascii="Gill Sans MT" w:hAnsi="Gill Sans MT"/>
          <w:sz w:val="24"/>
          <w:szCs w:val="24"/>
        </w:rPr>
        <w:t>delitos conexos a los delitos políticos)</w:t>
      </w:r>
      <w:r w:rsidR="00180A13" w:rsidRPr="00E95861">
        <w:rPr>
          <w:rFonts w:ascii="Gill Sans MT" w:hAnsi="Gill Sans MT"/>
          <w:sz w:val="24"/>
          <w:szCs w:val="24"/>
        </w:rPr>
        <w:t>, 17</w:t>
      </w:r>
      <w:r w:rsidR="003B788E" w:rsidRPr="00E95861">
        <w:rPr>
          <w:rFonts w:ascii="Gill Sans MT" w:hAnsi="Gill Sans MT"/>
          <w:sz w:val="24"/>
          <w:szCs w:val="24"/>
        </w:rPr>
        <w:t xml:space="preserve"> (delitos que hubieran sido cometidos antes de la entrada en vigor del Acuerdo Final de Paz</w:t>
      </w:r>
      <w:r w:rsidR="00E2386E" w:rsidRPr="00E95861">
        <w:rPr>
          <w:rFonts w:ascii="Gill Sans MT" w:hAnsi="Gill Sans MT"/>
          <w:sz w:val="24"/>
          <w:szCs w:val="24"/>
        </w:rPr>
        <w:t xml:space="preserve">), pero que además se encuentren en una de las siguientes situaciones: </w:t>
      </w:r>
    </w:p>
    <w:p w:rsidR="003B788E" w:rsidRPr="00E95861" w:rsidRDefault="003B788E" w:rsidP="0089774B">
      <w:pPr>
        <w:spacing w:after="0" w:line="360" w:lineRule="auto"/>
        <w:ind w:firstLine="357"/>
        <w:jc w:val="both"/>
        <w:rPr>
          <w:rFonts w:ascii="Gill Sans MT" w:hAnsi="Gill Sans MT"/>
          <w:sz w:val="24"/>
          <w:szCs w:val="24"/>
        </w:rPr>
      </w:pPr>
    </w:p>
    <w:p w:rsidR="00385CD6" w:rsidRPr="003B4711" w:rsidRDefault="00E2386E" w:rsidP="0089774B">
      <w:pPr>
        <w:spacing w:after="0" w:line="240" w:lineRule="auto"/>
        <w:ind w:left="709"/>
        <w:jc w:val="both"/>
        <w:rPr>
          <w:rFonts w:ascii="Gill Sans MT" w:hAnsi="Gill Sans MT"/>
          <w:i/>
        </w:rPr>
      </w:pPr>
      <w:r w:rsidRPr="003B4711">
        <w:rPr>
          <w:rFonts w:ascii="Gill Sans MT" w:hAnsi="Gill Sans MT"/>
          <w:i/>
        </w:rPr>
        <w:t>“</w:t>
      </w:r>
      <w:r w:rsidR="003B2EA1" w:rsidRPr="003B4711">
        <w:rPr>
          <w:rFonts w:ascii="Gill Sans MT" w:hAnsi="Gill Sans MT"/>
          <w:i/>
        </w:rPr>
        <w:t>…</w:t>
      </w:r>
      <w:r w:rsidR="003B788E" w:rsidRPr="003B4711">
        <w:rPr>
          <w:rFonts w:ascii="Gill Sans MT" w:hAnsi="Gill Sans MT"/>
          <w:i/>
        </w:rPr>
        <w:t xml:space="preserve">Se aplicará a las siguientes personas, tanto nacionales colombianas como extranjeras, que sean o hayan sido autores o partícipes de los delitos en grado de tentativa o consumación, siempre que se den los siguientes requisitos: </w:t>
      </w:r>
    </w:p>
    <w:p w:rsidR="00385CD6" w:rsidRPr="003B4711" w:rsidRDefault="003B788E" w:rsidP="0089774B">
      <w:pPr>
        <w:spacing w:after="0" w:line="240" w:lineRule="auto"/>
        <w:ind w:left="709"/>
        <w:jc w:val="both"/>
        <w:rPr>
          <w:rFonts w:ascii="Gill Sans MT" w:hAnsi="Gill Sans MT"/>
          <w:i/>
        </w:rPr>
      </w:pPr>
      <w:r w:rsidRPr="003B4711">
        <w:rPr>
          <w:rFonts w:ascii="Gill Sans MT" w:hAnsi="Gill Sans MT"/>
          <w:i/>
        </w:rPr>
        <w:t>1. Que la providencia judicial condene, procese o investigue por pertenencia o colaboración con las FARC-EP.</w:t>
      </w:r>
    </w:p>
    <w:p w:rsidR="00385CD6" w:rsidRPr="003B4711" w:rsidRDefault="00385CD6" w:rsidP="0089774B">
      <w:pPr>
        <w:spacing w:after="0" w:line="240" w:lineRule="auto"/>
        <w:ind w:left="709"/>
        <w:jc w:val="both"/>
        <w:rPr>
          <w:rFonts w:ascii="Gill Sans MT" w:hAnsi="Gill Sans MT"/>
          <w:i/>
        </w:rPr>
      </w:pPr>
    </w:p>
    <w:p w:rsidR="00385CD6" w:rsidRPr="003B4711" w:rsidRDefault="003B788E" w:rsidP="0089774B">
      <w:pPr>
        <w:spacing w:after="0" w:line="240" w:lineRule="auto"/>
        <w:ind w:left="709"/>
        <w:jc w:val="both"/>
        <w:rPr>
          <w:rFonts w:ascii="Gill Sans MT" w:hAnsi="Gill Sans MT"/>
          <w:i/>
        </w:rPr>
      </w:pPr>
      <w:r w:rsidRPr="003B4711">
        <w:rPr>
          <w:rFonts w:ascii="Gill Sans MT" w:hAnsi="Gill Sans MT"/>
          <w:i/>
        </w:rPr>
        <w:t xml:space="preserve">2. Integrantes de las FARC-EP tras la entrada en vigencia del Acuerdo Final de Paz con el Gobierno nacional, de conformidad con los listados entregados por representantes designados por dicha organización expresamente para ese fin, listados que serán verificados conforme a lo establecido en el Acuerdo Final de Paz. Lo anterior aplica aunque la providencia judicial no condene, procese o investigue por pertenencia a las FARC-EP. </w:t>
      </w:r>
    </w:p>
    <w:p w:rsidR="00385CD6" w:rsidRPr="003B4711" w:rsidRDefault="00385CD6" w:rsidP="0089774B">
      <w:pPr>
        <w:spacing w:after="0" w:line="240" w:lineRule="auto"/>
        <w:ind w:left="709"/>
        <w:jc w:val="both"/>
        <w:rPr>
          <w:rFonts w:ascii="Gill Sans MT" w:hAnsi="Gill Sans MT"/>
          <w:i/>
        </w:rPr>
      </w:pPr>
    </w:p>
    <w:p w:rsidR="00385CD6" w:rsidRPr="003B4711" w:rsidRDefault="003B788E" w:rsidP="0089774B">
      <w:pPr>
        <w:spacing w:after="0" w:line="240" w:lineRule="auto"/>
        <w:ind w:left="709"/>
        <w:jc w:val="both"/>
        <w:rPr>
          <w:rFonts w:ascii="Gill Sans MT" w:hAnsi="Gill Sans MT"/>
          <w:i/>
        </w:rPr>
      </w:pPr>
      <w:r w:rsidRPr="003B4711">
        <w:rPr>
          <w:rFonts w:ascii="Gill Sans MT" w:hAnsi="Gill Sans MT"/>
          <w:i/>
        </w:rPr>
        <w:t xml:space="preserve">3. Que la sentencia condenatoria indique la pertenencia del condenado a las FARC-EP, aunque no se condene por un delito </w:t>
      </w:r>
      <w:r w:rsidR="00385CD6" w:rsidRPr="003B4711">
        <w:rPr>
          <w:rFonts w:ascii="Gill Sans MT" w:hAnsi="Gill Sans MT"/>
          <w:i/>
        </w:rPr>
        <w:t>político</w:t>
      </w:r>
      <w:r w:rsidRPr="003B4711">
        <w:rPr>
          <w:rFonts w:ascii="Gill Sans MT" w:hAnsi="Gill Sans MT"/>
          <w:i/>
        </w:rPr>
        <w:t xml:space="preserve">, siempre que el delito por el que haya resultado condenado cumpla los requisitos de conexidad establecidos en esta ley. </w:t>
      </w:r>
    </w:p>
    <w:p w:rsidR="00385CD6" w:rsidRPr="003B4711" w:rsidRDefault="00385CD6" w:rsidP="0089774B">
      <w:pPr>
        <w:spacing w:after="0" w:line="240" w:lineRule="auto"/>
        <w:ind w:left="709"/>
        <w:jc w:val="both"/>
        <w:rPr>
          <w:rFonts w:ascii="Gill Sans MT" w:hAnsi="Gill Sans MT"/>
          <w:i/>
        </w:rPr>
      </w:pPr>
    </w:p>
    <w:p w:rsidR="003B788E" w:rsidRPr="00E95861" w:rsidRDefault="003B788E" w:rsidP="0089774B">
      <w:pPr>
        <w:spacing w:after="0" w:line="240" w:lineRule="auto"/>
        <w:ind w:left="709"/>
        <w:jc w:val="both"/>
        <w:rPr>
          <w:rFonts w:ascii="Gill Sans MT" w:hAnsi="Gill Sans MT"/>
          <w:i/>
          <w:sz w:val="24"/>
          <w:szCs w:val="24"/>
        </w:rPr>
      </w:pPr>
      <w:r w:rsidRPr="003B4711">
        <w:rPr>
          <w:rFonts w:ascii="Gill Sans MT" w:hAnsi="Gill Sans MT"/>
          <w:i/>
        </w:rPr>
        <w:t xml:space="preserve">4. Quienes sean o hayan sido investigados, procesados o condenados por delitos políticos y conexos, cuando se pueda deducir de las investigaciones judiciales, fiscales y disciplinarias, providencias </w:t>
      </w:r>
      <w:r w:rsidRPr="003B4711">
        <w:rPr>
          <w:rFonts w:ascii="Gill Sans MT" w:hAnsi="Gill Sans MT"/>
          <w:i/>
        </w:rPr>
        <w:lastRenderedPageBreak/>
        <w:t>judiciales o por otras evidencias que fueron investigados o procesados por su presunta pertenencia o colaboración a las FARC-EP. En este supuesto el interesado, a partir del día siguiente de la entrada en vigor de esta ley, solicitará al Fiscal o Juez de Ejecución de Penas competente, la aplicación de la misma aportando o designando las providencias o evidencias que acrediten lo anterior.</w:t>
      </w:r>
      <w:r w:rsidR="003B2EA1" w:rsidRPr="003B4711">
        <w:rPr>
          <w:rFonts w:ascii="Gill Sans MT" w:hAnsi="Gill Sans MT"/>
          <w:i/>
        </w:rPr>
        <w:t>”</w:t>
      </w:r>
    </w:p>
    <w:p w:rsidR="003B788E" w:rsidRDefault="003B788E" w:rsidP="0089774B">
      <w:pPr>
        <w:spacing w:after="0" w:line="360" w:lineRule="auto"/>
        <w:ind w:firstLine="357"/>
        <w:jc w:val="both"/>
        <w:rPr>
          <w:rFonts w:ascii="Gill Sans MT" w:hAnsi="Gill Sans MT"/>
          <w:sz w:val="24"/>
          <w:szCs w:val="24"/>
        </w:rPr>
      </w:pPr>
    </w:p>
    <w:p w:rsidR="00180A13" w:rsidRPr="00E95861" w:rsidRDefault="003B2EA1" w:rsidP="0089774B">
      <w:pPr>
        <w:spacing w:after="0" w:line="360" w:lineRule="auto"/>
        <w:jc w:val="both"/>
        <w:rPr>
          <w:rFonts w:ascii="Gill Sans MT" w:hAnsi="Gill Sans MT"/>
          <w:sz w:val="24"/>
          <w:szCs w:val="24"/>
        </w:rPr>
      </w:pPr>
      <w:r w:rsidRPr="00E95861">
        <w:rPr>
          <w:rFonts w:ascii="Gill Sans MT" w:hAnsi="Gill Sans MT"/>
          <w:sz w:val="24"/>
          <w:szCs w:val="24"/>
        </w:rPr>
        <w:t>Como puede verse,</w:t>
      </w:r>
      <w:r w:rsidR="00801821" w:rsidRPr="00E95861">
        <w:rPr>
          <w:rFonts w:ascii="Gill Sans MT" w:hAnsi="Gill Sans MT"/>
          <w:sz w:val="24"/>
          <w:szCs w:val="24"/>
        </w:rPr>
        <w:t xml:space="preserve"> en cada una de las situaciones d</w:t>
      </w:r>
      <w:r w:rsidRPr="00E95861">
        <w:rPr>
          <w:rFonts w:ascii="Gill Sans MT" w:hAnsi="Gill Sans MT"/>
          <w:sz w:val="24"/>
          <w:szCs w:val="24"/>
        </w:rPr>
        <w:t>el artículo 17, se hace referencia expresa a personas que han pertenecid</w:t>
      </w:r>
      <w:r w:rsidR="00801821" w:rsidRPr="00E95861">
        <w:rPr>
          <w:rFonts w:ascii="Gill Sans MT" w:hAnsi="Gill Sans MT"/>
          <w:sz w:val="24"/>
          <w:szCs w:val="24"/>
        </w:rPr>
        <w:t>o o colaborado con las FARC-EP, y ninguna alusión se hace a</w:t>
      </w:r>
      <w:r w:rsidR="0085179E" w:rsidRPr="00E95861">
        <w:rPr>
          <w:rFonts w:ascii="Gill Sans MT" w:hAnsi="Gill Sans MT"/>
          <w:sz w:val="24"/>
          <w:szCs w:val="24"/>
        </w:rPr>
        <w:t xml:space="preserve"> otros ex</w:t>
      </w:r>
      <w:r w:rsidR="00801821" w:rsidRPr="00E95861">
        <w:rPr>
          <w:rFonts w:ascii="Gill Sans MT" w:hAnsi="Gill Sans MT"/>
          <w:sz w:val="24"/>
          <w:szCs w:val="24"/>
        </w:rPr>
        <w:t xml:space="preserve"> integrantes de grupos armados organizados al margen de la l</w:t>
      </w:r>
      <w:r w:rsidR="0085179E" w:rsidRPr="00E95861">
        <w:rPr>
          <w:rFonts w:ascii="Gill Sans MT" w:hAnsi="Gill Sans MT"/>
          <w:sz w:val="24"/>
          <w:szCs w:val="24"/>
        </w:rPr>
        <w:t>ey, en</w:t>
      </w:r>
      <w:r w:rsidR="00EC4479" w:rsidRPr="00E95861">
        <w:rPr>
          <w:rFonts w:ascii="Gill Sans MT" w:hAnsi="Gill Sans MT"/>
          <w:sz w:val="24"/>
          <w:szCs w:val="24"/>
        </w:rPr>
        <w:t xml:space="preserve">tre quienes puedan estar </w:t>
      </w:r>
      <w:r w:rsidR="0085179E" w:rsidRPr="00E95861">
        <w:rPr>
          <w:rFonts w:ascii="Gill Sans MT" w:hAnsi="Gill Sans MT"/>
          <w:sz w:val="24"/>
          <w:szCs w:val="24"/>
        </w:rPr>
        <w:t xml:space="preserve">ex miembros de las AUC. </w:t>
      </w:r>
    </w:p>
    <w:p w:rsidR="00403958" w:rsidRDefault="00403958" w:rsidP="0089774B">
      <w:pPr>
        <w:spacing w:after="0" w:line="360" w:lineRule="auto"/>
        <w:rPr>
          <w:rFonts w:ascii="Gill Sans MT" w:hAnsi="Gill Sans MT" w:cs="Tahoma"/>
          <w:sz w:val="24"/>
          <w:szCs w:val="24"/>
        </w:rPr>
      </w:pPr>
    </w:p>
    <w:p w:rsidR="005B32B9" w:rsidRDefault="005B32B9" w:rsidP="0089774B">
      <w:pPr>
        <w:spacing w:after="0" w:line="360" w:lineRule="auto"/>
        <w:jc w:val="both"/>
        <w:rPr>
          <w:rFonts w:ascii="Gill Sans MT" w:hAnsi="Gill Sans MT" w:cs="Tahoma"/>
          <w:i/>
          <w:sz w:val="24"/>
          <w:szCs w:val="24"/>
        </w:rPr>
      </w:pPr>
      <w:r>
        <w:rPr>
          <w:rFonts w:ascii="Gill Sans MT" w:hAnsi="Gill Sans MT" w:cs="Tahoma"/>
          <w:sz w:val="24"/>
          <w:szCs w:val="24"/>
        </w:rPr>
        <w:t xml:space="preserve">Y en reciente pronunciamiento la Corte Suprema nuevamente reiteró su posición y afirmó que </w:t>
      </w:r>
      <w:r w:rsidRPr="00097741">
        <w:rPr>
          <w:rFonts w:ascii="Gill Sans MT" w:hAnsi="Gill Sans MT" w:cs="Tahoma"/>
          <w:i/>
          <w:sz w:val="24"/>
          <w:szCs w:val="24"/>
        </w:rPr>
        <w:t xml:space="preserve"> “…los </w:t>
      </w:r>
      <w:r>
        <w:rPr>
          <w:rFonts w:ascii="Gill Sans MT" w:hAnsi="Gill Sans MT" w:cs="Tahoma"/>
          <w:i/>
          <w:sz w:val="24"/>
          <w:szCs w:val="24"/>
        </w:rPr>
        <w:t xml:space="preserve">miembros o ex miembros de grupos armados al margen de la ley distintos a las FARC-EP, como son </w:t>
      </w:r>
      <w:r w:rsidRPr="006976D8">
        <w:rPr>
          <w:rFonts w:ascii="Gill Sans MT" w:hAnsi="Gill Sans MT" w:cs="Tahoma"/>
          <w:b/>
          <w:i/>
          <w:sz w:val="24"/>
          <w:szCs w:val="24"/>
          <w:u w:val="single"/>
        </w:rPr>
        <w:t>los combatientes de las extintas Autodefensas Unidas de Colombia aun cuando se encuentren sometidos al proceso especial regulado por la ley 975 de 2005</w:t>
      </w:r>
      <w:r>
        <w:rPr>
          <w:rFonts w:ascii="Gill Sans MT" w:hAnsi="Gill Sans MT" w:cs="Tahoma"/>
          <w:i/>
          <w:sz w:val="24"/>
          <w:szCs w:val="24"/>
        </w:rPr>
        <w:t xml:space="preserve">, </w:t>
      </w:r>
      <w:r w:rsidRPr="00097741">
        <w:rPr>
          <w:rFonts w:ascii="Gill Sans MT" w:hAnsi="Gill Sans MT" w:cs="Tahoma"/>
          <w:b/>
          <w:i/>
          <w:sz w:val="24"/>
          <w:szCs w:val="24"/>
          <w:u w:val="single"/>
        </w:rPr>
        <w:t>no son destinatarios del instituto de la libertad condicionada.</w:t>
      </w:r>
      <w:r>
        <w:rPr>
          <w:rFonts w:ascii="Gill Sans MT" w:hAnsi="Gill Sans MT" w:cs="Tahoma"/>
          <w:i/>
          <w:sz w:val="24"/>
          <w:szCs w:val="24"/>
        </w:rPr>
        <w:t>..”</w:t>
      </w:r>
      <w:r>
        <w:rPr>
          <w:rStyle w:val="Refdenotaalpie"/>
          <w:rFonts w:ascii="Gill Sans MT" w:hAnsi="Gill Sans MT" w:cs="Tahoma"/>
          <w:i/>
          <w:sz w:val="24"/>
          <w:szCs w:val="24"/>
        </w:rPr>
        <w:footnoteReference w:id="12"/>
      </w:r>
      <w:r>
        <w:rPr>
          <w:rFonts w:ascii="Gill Sans MT" w:hAnsi="Gill Sans MT" w:cs="Tahoma"/>
          <w:i/>
          <w:sz w:val="24"/>
          <w:szCs w:val="24"/>
        </w:rPr>
        <w:t xml:space="preserve"> (negrilla y subrayado fuera del texto).  </w:t>
      </w:r>
    </w:p>
    <w:p w:rsidR="005B32B9" w:rsidRDefault="005B32B9" w:rsidP="0089774B">
      <w:pPr>
        <w:spacing w:after="0" w:line="360" w:lineRule="auto"/>
        <w:ind w:firstLine="708"/>
        <w:jc w:val="both"/>
        <w:rPr>
          <w:rFonts w:ascii="Gill Sans MT" w:hAnsi="Gill Sans MT"/>
          <w:sz w:val="24"/>
          <w:szCs w:val="24"/>
        </w:rPr>
      </w:pPr>
    </w:p>
    <w:p w:rsidR="00C019FB" w:rsidRPr="00E95861" w:rsidRDefault="00C019FB" w:rsidP="0089774B">
      <w:pPr>
        <w:spacing w:after="0" w:line="360" w:lineRule="auto"/>
        <w:jc w:val="both"/>
        <w:rPr>
          <w:rFonts w:ascii="Gill Sans MT" w:hAnsi="Gill Sans MT"/>
          <w:sz w:val="24"/>
          <w:szCs w:val="24"/>
        </w:rPr>
      </w:pPr>
      <w:r w:rsidRPr="003B4711">
        <w:rPr>
          <w:rFonts w:ascii="Gill Sans MT" w:hAnsi="Gill Sans MT"/>
          <w:sz w:val="24"/>
          <w:szCs w:val="24"/>
        </w:rPr>
        <w:t xml:space="preserve">En síntesis, los postulados </w:t>
      </w:r>
      <w:r w:rsidR="00803595" w:rsidRPr="00023471">
        <w:rPr>
          <w:rFonts w:ascii="Gill Sans MT" w:hAnsi="Gill Sans MT" w:cs="Tahoma"/>
          <w:color w:val="000000" w:themeColor="text1"/>
          <w:sz w:val="24"/>
          <w:szCs w:val="24"/>
        </w:rPr>
        <w:t>FERNANDO SEGUNDO FLOREZ, GUSTAVO ESTEVEZ RODRIGUEZ, JOSÉ DEL CARMEN JAIME SOLANO, JOSÉ GILBERTO GARZÓN MASSON y JUAN RAMÓN FERNANDEZ LATORRE</w:t>
      </w:r>
      <w:r w:rsidR="00803595">
        <w:rPr>
          <w:rFonts w:ascii="Gill Sans MT" w:hAnsi="Gill Sans MT"/>
          <w:sz w:val="24"/>
          <w:szCs w:val="24"/>
        </w:rPr>
        <w:t xml:space="preserve">, </w:t>
      </w:r>
      <w:r w:rsidRPr="003B4711">
        <w:rPr>
          <w:rFonts w:ascii="Gill Sans MT" w:hAnsi="Gill Sans MT"/>
          <w:sz w:val="24"/>
          <w:szCs w:val="24"/>
        </w:rPr>
        <w:t xml:space="preserve">no pueden ser sujetos de aplicación de la </w:t>
      </w:r>
      <w:r w:rsidR="00FA052F">
        <w:rPr>
          <w:rFonts w:ascii="Gill Sans MT" w:hAnsi="Gill Sans MT"/>
          <w:sz w:val="24"/>
          <w:szCs w:val="24"/>
        </w:rPr>
        <w:t xml:space="preserve">Ley </w:t>
      </w:r>
      <w:r w:rsidRPr="003B4711">
        <w:rPr>
          <w:rFonts w:ascii="Gill Sans MT" w:hAnsi="Gill Sans MT"/>
          <w:sz w:val="24"/>
          <w:szCs w:val="24"/>
        </w:rPr>
        <w:t>1820 de 2016 y sus decretos reglamentarios, ya que su condición de ex integrantes de grupos paramilitares, no se adecúa al perfil requerido por la legislación transicional que se emanó de los acuerdos de paz firmados entre el Gobierno nacional y las FARC-EP.</w:t>
      </w:r>
      <w:r w:rsidRPr="00E95861">
        <w:rPr>
          <w:rFonts w:ascii="Gill Sans MT" w:hAnsi="Gill Sans MT"/>
          <w:sz w:val="24"/>
          <w:szCs w:val="24"/>
        </w:rPr>
        <w:t xml:space="preserve"> </w:t>
      </w:r>
    </w:p>
    <w:p w:rsidR="00C019FB" w:rsidRPr="00E95861" w:rsidRDefault="00C019FB" w:rsidP="0089774B">
      <w:pPr>
        <w:spacing w:after="0" w:line="360" w:lineRule="auto"/>
        <w:jc w:val="both"/>
        <w:rPr>
          <w:rFonts w:ascii="Gill Sans MT" w:hAnsi="Gill Sans MT"/>
          <w:sz w:val="24"/>
          <w:szCs w:val="24"/>
        </w:rPr>
      </w:pPr>
    </w:p>
    <w:p w:rsidR="00C019FB" w:rsidRPr="00E95861" w:rsidRDefault="00C019FB" w:rsidP="0089774B">
      <w:pPr>
        <w:spacing w:after="0" w:line="360" w:lineRule="auto"/>
        <w:jc w:val="both"/>
        <w:rPr>
          <w:rFonts w:ascii="Gill Sans MT" w:hAnsi="Gill Sans MT"/>
          <w:sz w:val="24"/>
          <w:szCs w:val="24"/>
        </w:rPr>
      </w:pPr>
      <w:r w:rsidRPr="00E95861">
        <w:rPr>
          <w:rFonts w:ascii="Gill Sans MT" w:hAnsi="Gill Sans MT"/>
          <w:sz w:val="24"/>
          <w:szCs w:val="24"/>
        </w:rPr>
        <w:t xml:space="preserve">De lo contrario, la </w:t>
      </w:r>
      <w:r w:rsidR="00FA052F">
        <w:rPr>
          <w:rFonts w:ascii="Gill Sans MT" w:hAnsi="Gill Sans MT"/>
          <w:sz w:val="24"/>
          <w:szCs w:val="24"/>
        </w:rPr>
        <w:t xml:space="preserve">Ley </w:t>
      </w:r>
      <w:r w:rsidRPr="00E95861">
        <w:rPr>
          <w:rFonts w:ascii="Gill Sans MT" w:hAnsi="Gill Sans MT"/>
          <w:sz w:val="24"/>
          <w:szCs w:val="24"/>
        </w:rPr>
        <w:t>1820 de 2016 y el Decreto 277 de 2017, habrían dedicado un espacio para e</w:t>
      </w:r>
      <w:r w:rsidR="007B5335">
        <w:rPr>
          <w:rFonts w:ascii="Gill Sans MT" w:hAnsi="Gill Sans MT"/>
          <w:sz w:val="24"/>
          <w:szCs w:val="24"/>
        </w:rPr>
        <w:t xml:space="preserve">xplicar </w:t>
      </w:r>
      <w:r w:rsidRPr="00E95861">
        <w:rPr>
          <w:rFonts w:ascii="Gill Sans MT" w:hAnsi="Gill Sans MT"/>
          <w:sz w:val="24"/>
          <w:szCs w:val="24"/>
        </w:rPr>
        <w:t>el trámite de las solicitudes de libertad condicionada para “ex integrantes de las AUC”</w:t>
      </w:r>
      <w:r w:rsidRPr="00E95861">
        <w:rPr>
          <w:rStyle w:val="Refdenotaalpie"/>
          <w:rFonts w:ascii="Gill Sans MT" w:hAnsi="Gill Sans MT"/>
          <w:sz w:val="24"/>
          <w:szCs w:val="24"/>
        </w:rPr>
        <w:t xml:space="preserve"> </w:t>
      </w:r>
      <w:r w:rsidRPr="00E95861">
        <w:rPr>
          <w:rStyle w:val="Refdenotaalpie"/>
          <w:rFonts w:ascii="Gill Sans MT" w:hAnsi="Gill Sans MT"/>
          <w:sz w:val="24"/>
          <w:szCs w:val="24"/>
        </w:rPr>
        <w:footnoteReference w:id="13"/>
      </w:r>
      <w:r w:rsidRPr="00E95861">
        <w:rPr>
          <w:rFonts w:ascii="Gill Sans MT" w:hAnsi="Gill Sans MT"/>
          <w:sz w:val="24"/>
          <w:szCs w:val="24"/>
        </w:rPr>
        <w:t>, tal como lo hizo puntualmente con los guerrilleros de las FARC-EP, agentes del Estado y terceros (privados de la libertad por delitos asociados con la protesta social o los disturbios públicos).</w:t>
      </w:r>
    </w:p>
    <w:p w:rsidR="000168AD" w:rsidRDefault="000168AD" w:rsidP="0089774B">
      <w:pPr>
        <w:spacing w:after="0" w:line="360" w:lineRule="auto"/>
        <w:jc w:val="both"/>
        <w:rPr>
          <w:rFonts w:ascii="Gill Sans MT" w:hAnsi="Gill Sans MT"/>
          <w:sz w:val="24"/>
          <w:szCs w:val="24"/>
        </w:rPr>
      </w:pPr>
    </w:p>
    <w:p w:rsidR="009A4508" w:rsidRPr="00E95861" w:rsidRDefault="009A4508" w:rsidP="0089774B">
      <w:pPr>
        <w:pStyle w:val="Sinespaciado"/>
        <w:spacing w:line="360" w:lineRule="auto"/>
        <w:rPr>
          <w:rFonts w:ascii="Gill Sans MT" w:hAnsi="Gill Sans MT" w:cs="Tahoma"/>
          <w:sz w:val="24"/>
          <w:szCs w:val="24"/>
        </w:rPr>
      </w:pPr>
      <w:r w:rsidRPr="00E95861">
        <w:rPr>
          <w:rFonts w:ascii="Gill Sans MT" w:hAnsi="Gill Sans MT" w:cs="Tahoma"/>
          <w:sz w:val="24"/>
          <w:szCs w:val="24"/>
        </w:rPr>
        <w:lastRenderedPageBreak/>
        <w:t xml:space="preserve">Suficientes resultan para la Sala los argumentos </w:t>
      </w:r>
      <w:r w:rsidR="00FF3EA3" w:rsidRPr="00E95861">
        <w:rPr>
          <w:rFonts w:ascii="Gill Sans MT" w:hAnsi="Gill Sans MT" w:cs="Tahoma"/>
          <w:sz w:val="24"/>
          <w:szCs w:val="24"/>
        </w:rPr>
        <w:t>e</w:t>
      </w:r>
      <w:r w:rsidRPr="00E95861">
        <w:rPr>
          <w:rFonts w:ascii="Gill Sans MT" w:hAnsi="Gill Sans MT" w:cs="Tahoma"/>
          <w:sz w:val="24"/>
          <w:szCs w:val="24"/>
        </w:rPr>
        <w:t>xpuesto</w:t>
      </w:r>
      <w:r w:rsidR="00FF3EA3" w:rsidRPr="00E95861">
        <w:rPr>
          <w:rFonts w:ascii="Gill Sans MT" w:hAnsi="Gill Sans MT" w:cs="Tahoma"/>
          <w:sz w:val="24"/>
          <w:szCs w:val="24"/>
        </w:rPr>
        <w:t>s</w:t>
      </w:r>
      <w:r w:rsidRPr="00E95861">
        <w:rPr>
          <w:rFonts w:ascii="Gill Sans MT" w:hAnsi="Gill Sans MT" w:cs="Tahoma"/>
          <w:sz w:val="24"/>
          <w:szCs w:val="24"/>
        </w:rPr>
        <w:t>, para no reconocer a</w:t>
      </w:r>
      <w:r w:rsidR="00FF3EA3" w:rsidRPr="00E95861">
        <w:rPr>
          <w:rFonts w:ascii="Gill Sans MT" w:hAnsi="Gill Sans MT" w:cs="Tahoma"/>
          <w:sz w:val="24"/>
          <w:szCs w:val="24"/>
        </w:rPr>
        <w:t xml:space="preserve"> los postulados </w:t>
      </w:r>
      <w:r w:rsidR="00803595" w:rsidRPr="00023471">
        <w:rPr>
          <w:rFonts w:ascii="Gill Sans MT" w:hAnsi="Gill Sans MT" w:cs="Tahoma"/>
          <w:color w:val="000000" w:themeColor="text1"/>
          <w:sz w:val="24"/>
          <w:szCs w:val="24"/>
        </w:rPr>
        <w:t>FERNANDO SEGUNDO FLOREZ, GUSTAVO ESTEVEZ RODRIGUEZ, JOSÉ DEL CARMEN JAIME SOLANO, JOSÉ GILBERTO GARZÓN MASSON y JUAN RAMÓN FERNANDEZ LATORRE</w:t>
      </w:r>
      <w:r w:rsidRPr="00E95861">
        <w:rPr>
          <w:rFonts w:ascii="Gill Sans MT" w:hAnsi="Gill Sans MT" w:cs="Tahoma"/>
          <w:sz w:val="24"/>
          <w:szCs w:val="24"/>
        </w:rPr>
        <w:t>, como destinatario</w:t>
      </w:r>
      <w:r w:rsidR="00FF3EA3" w:rsidRPr="00E95861">
        <w:rPr>
          <w:rFonts w:ascii="Gill Sans MT" w:hAnsi="Gill Sans MT" w:cs="Tahoma"/>
          <w:sz w:val="24"/>
          <w:szCs w:val="24"/>
        </w:rPr>
        <w:t>s</w:t>
      </w:r>
      <w:r w:rsidRPr="00E95861">
        <w:rPr>
          <w:rFonts w:ascii="Gill Sans MT" w:hAnsi="Gill Sans MT" w:cs="Tahoma"/>
          <w:sz w:val="24"/>
          <w:szCs w:val="24"/>
        </w:rPr>
        <w:t xml:space="preserve"> de los beneficios que consagra la </w:t>
      </w:r>
      <w:r w:rsidR="00FA052F">
        <w:rPr>
          <w:rFonts w:ascii="Gill Sans MT" w:hAnsi="Gill Sans MT" w:cs="Tahoma"/>
          <w:sz w:val="24"/>
          <w:szCs w:val="24"/>
        </w:rPr>
        <w:t xml:space="preserve">Ley </w:t>
      </w:r>
      <w:r w:rsidRPr="00E95861">
        <w:rPr>
          <w:rFonts w:ascii="Gill Sans MT" w:hAnsi="Gill Sans MT" w:cs="Tahoma"/>
          <w:sz w:val="24"/>
          <w:szCs w:val="24"/>
        </w:rPr>
        <w:t>1820 de 2</w:t>
      </w:r>
      <w:r w:rsidR="00442BBD">
        <w:rPr>
          <w:rFonts w:ascii="Gill Sans MT" w:hAnsi="Gill Sans MT" w:cs="Tahoma"/>
          <w:sz w:val="24"/>
          <w:szCs w:val="24"/>
        </w:rPr>
        <w:t xml:space="preserve">016 y su Decreto Reglamentario, y en consecuencia negar las solicitudes de libertad condicionada. </w:t>
      </w:r>
    </w:p>
    <w:p w:rsidR="009A4508" w:rsidRPr="00E95861" w:rsidRDefault="009A4508" w:rsidP="0089774B">
      <w:pPr>
        <w:spacing w:after="0" w:line="360" w:lineRule="auto"/>
        <w:jc w:val="both"/>
        <w:rPr>
          <w:rFonts w:ascii="Gill Sans MT" w:hAnsi="Gill Sans MT" w:cs="Tahoma"/>
          <w:sz w:val="24"/>
          <w:szCs w:val="24"/>
        </w:rPr>
      </w:pPr>
    </w:p>
    <w:p w:rsidR="008E05B0" w:rsidRPr="00E95861" w:rsidRDefault="008E05B0" w:rsidP="0089774B">
      <w:pPr>
        <w:spacing w:after="0" w:line="360" w:lineRule="auto"/>
        <w:jc w:val="both"/>
        <w:rPr>
          <w:rFonts w:ascii="Gill Sans MT" w:hAnsi="Gill Sans MT" w:cs="Tahoma"/>
          <w:sz w:val="24"/>
          <w:szCs w:val="24"/>
        </w:rPr>
      </w:pPr>
      <w:r w:rsidRPr="00E95861">
        <w:rPr>
          <w:rFonts w:ascii="Gill Sans MT" w:hAnsi="Gill Sans MT" w:cs="Tahoma"/>
          <w:sz w:val="24"/>
          <w:szCs w:val="24"/>
        </w:rPr>
        <w:t xml:space="preserve">Contra </w:t>
      </w:r>
      <w:r w:rsidR="00E636A7">
        <w:rPr>
          <w:rFonts w:ascii="Gill Sans MT" w:hAnsi="Gill Sans MT" w:cs="Tahoma"/>
          <w:sz w:val="24"/>
          <w:szCs w:val="24"/>
        </w:rPr>
        <w:t xml:space="preserve">la presente decisión proceden los recursos de reposición y </w:t>
      </w:r>
      <w:r w:rsidRPr="00E95861">
        <w:rPr>
          <w:rFonts w:ascii="Gill Sans MT" w:hAnsi="Gill Sans MT" w:cs="Tahoma"/>
          <w:sz w:val="24"/>
          <w:szCs w:val="24"/>
        </w:rPr>
        <w:t>apelación</w:t>
      </w:r>
      <w:r w:rsidR="001B2B1E" w:rsidRPr="00E95861">
        <w:rPr>
          <w:rFonts w:ascii="Gill Sans MT" w:hAnsi="Gill Sans MT" w:cs="Tahoma"/>
          <w:sz w:val="24"/>
          <w:szCs w:val="24"/>
        </w:rPr>
        <w:t xml:space="preserve"> ante la Sala de Casación Penal de la Corte Suprema de Justicia.</w:t>
      </w:r>
    </w:p>
    <w:p w:rsidR="008E05B0" w:rsidRPr="00E95861" w:rsidRDefault="008E05B0" w:rsidP="0089774B">
      <w:pPr>
        <w:spacing w:after="0" w:line="360" w:lineRule="auto"/>
        <w:ind w:right="51" w:firstLine="708"/>
        <w:jc w:val="both"/>
        <w:rPr>
          <w:rFonts w:ascii="Gill Sans MT" w:hAnsi="Gill Sans MT" w:cs="Tahoma"/>
          <w:sz w:val="24"/>
          <w:szCs w:val="24"/>
        </w:rPr>
      </w:pPr>
    </w:p>
    <w:p w:rsidR="008E05B0" w:rsidRPr="00E95861" w:rsidRDefault="008E05B0" w:rsidP="0089774B">
      <w:pPr>
        <w:spacing w:after="0" w:line="360" w:lineRule="auto"/>
        <w:ind w:right="51"/>
        <w:jc w:val="both"/>
        <w:rPr>
          <w:rFonts w:ascii="Gill Sans MT" w:hAnsi="Gill Sans MT" w:cs="Tahoma"/>
          <w:sz w:val="24"/>
          <w:szCs w:val="24"/>
        </w:rPr>
      </w:pPr>
      <w:r w:rsidRPr="00E95861">
        <w:rPr>
          <w:rFonts w:ascii="Gill Sans MT" w:hAnsi="Gill Sans MT" w:cs="Tahoma"/>
          <w:sz w:val="24"/>
          <w:szCs w:val="24"/>
        </w:rPr>
        <w:t xml:space="preserve">En mérito de lo expuesto la Sala de Justicia y Paz del Tribunal Superior del Distrito Judicial de Bogotá, </w:t>
      </w:r>
    </w:p>
    <w:p w:rsidR="00AB708E" w:rsidRPr="00E95861" w:rsidRDefault="00AB708E" w:rsidP="0089774B">
      <w:pPr>
        <w:pStyle w:val="Sinespaciado"/>
        <w:spacing w:line="360" w:lineRule="auto"/>
        <w:rPr>
          <w:rFonts w:ascii="Gill Sans MT" w:hAnsi="Gill Sans MT" w:cs="Tahoma"/>
          <w:sz w:val="24"/>
          <w:szCs w:val="24"/>
        </w:rPr>
      </w:pPr>
    </w:p>
    <w:p w:rsidR="00DE23D3" w:rsidRPr="00E95861" w:rsidRDefault="00DE23D3" w:rsidP="0089774B">
      <w:pPr>
        <w:pStyle w:val="Sinespaciado"/>
        <w:spacing w:line="360" w:lineRule="auto"/>
        <w:jc w:val="center"/>
        <w:rPr>
          <w:rFonts w:ascii="Gill Sans MT" w:hAnsi="Gill Sans MT" w:cs="Tahoma"/>
          <w:b/>
          <w:sz w:val="24"/>
          <w:szCs w:val="24"/>
        </w:rPr>
      </w:pPr>
      <w:r w:rsidRPr="00E95861">
        <w:rPr>
          <w:rFonts w:ascii="Gill Sans MT" w:hAnsi="Gill Sans MT" w:cs="Tahoma"/>
          <w:b/>
          <w:sz w:val="24"/>
          <w:szCs w:val="24"/>
        </w:rPr>
        <w:t>RESUELVE</w:t>
      </w:r>
    </w:p>
    <w:p w:rsidR="00701DAE" w:rsidRPr="00E95861" w:rsidRDefault="00701DAE" w:rsidP="0089774B">
      <w:pPr>
        <w:pStyle w:val="Sinespaciado"/>
        <w:spacing w:line="360" w:lineRule="auto"/>
        <w:jc w:val="center"/>
        <w:rPr>
          <w:rFonts w:ascii="Gill Sans MT" w:hAnsi="Gill Sans MT" w:cs="Tahoma"/>
          <w:b/>
          <w:sz w:val="24"/>
          <w:szCs w:val="24"/>
        </w:rPr>
      </w:pPr>
    </w:p>
    <w:p w:rsidR="00DE23D3" w:rsidRPr="00E95861" w:rsidRDefault="00DE23D3" w:rsidP="0089774B">
      <w:pPr>
        <w:pStyle w:val="Sinespaciado"/>
        <w:spacing w:line="360" w:lineRule="auto"/>
        <w:rPr>
          <w:rFonts w:ascii="Gill Sans MT" w:hAnsi="Gill Sans MT" w:cs="Tahoma"/>
          <w:sz w:val="24"/>
          <w:szCs w:val="24"/>
        </w:rPr>
      </w:pPr>
      <w:r w:rsidRPr="00E95861">
        <w:rPr>
          <w:rFonts w:ascii="Gill Sans MT" w:hAnsi="Gill Sans MT" w:cs="Tahoma"/>
          <w:b/>
          <w:sz w:val="24"/>
          <w:szCs w:val="24"/>
        </w:rPr>
        <w:t>Primero.</w:t>
      </w:r>
      <w:r w:rsidR="00DC7AE4" w:rsidRPr="00E95861">
        <w:rPr>
          <w:rFonts w:ascii="Gill Sans MT" w:hAnsi="Gill Sans MT" w:cs="Tahoma"/>
          <w:sz w:val="24"/>
          <w:szCs w:val="24"/>
        </w:rPr>
        <w:t xml:space="preserve"> No reconocer como destinarios </w:t>
      </w:r>
      <w:r w:rsidR="00701DAE" w:rsidRPr="00E95861">
        <w:rPr>
          <w:rFonts w:ascii="Gill Sans MT" w:hAnsi="Gill Sans MT" w:cs="Tahoma"/>
          <w:sz w:val="24"/>
          <w:szCs w:val="24"/>
        </w:rPr>
        <w:t>de la</w:t>
      </w:r>
      <w:r w:rsidR="00470536" w:rsidRPr="00E95861">
        <w:rPr>
          <w:rFonts w:ascii="Gill Sans MT" w:hAnsi="Gill Sans MT" w:cs="Tahoma"/>
          <w:sz w:val="24"/>
          <w:szCs w:val="24"/>
        </w:rPr>
        <w:t xml:space="preserve"> liberta</w:t>
      </w:r>
      <w:r w:rsidR="00E30003" w:rsidRPr="00E95861">
        <w:rPr>
          <w:rFonts w:ascii="Gill Sans MT" w:hAnsi="Gill Sans MT" w:cs="Tahoma"/>
          <w:sz w:val="24"/>
          <w:szCs w:val="24"/>
        </w:rPr>
        <w:t xml:space="preserve">d condicionada de que trata la </w:t>
      </w:r>
      <w:r w:rsidR="00FA052F">
        <w:rPr>
          <w:rFonts w:ascii="Gill Sans MT" w:hAnsi="Gill Sans MT" w:cs="Tahoma"/>
          <w:sz w:val="24"/>
          <w:szCs w:val="24"/>
        </w:rPr>
        <w:t xml:space="preserve">Ley </w:t>
      </w:r>
      <w:r w:rsidR="00DC7AE4" w:rsidRPr="00E95861">
        <w:rPr>
          <w:rFonts w:ascii="Gill Sans MT" w:hAnsi="Gill Sans MT" w:cs="Tahoma"/>
          <w:sz w:val="24"/>
          <w:szCs w:val="24"/>
        </w:rPr>
        <w:t xml:space="preserve">1820 de 2016 a los </w:t>
      </w:r>
      <w:r w:rsidR="00470536" w:rsidRPr="00E95861">
        <w:rPr>
          <w:rFonts w:ascii="Gill Sans MT" w:hAnsi="Gill Sans MT" w:cs="Tahoma"/>
          <w:sz w:val="24"/>
          <w:szCs w:val="24"/>
        </w:rPr>
        <w:t>postulado</w:t>
      </w:r>
      <w:r w:rsidR="00DC7AE4" w:rsidRPr="00E95861">
        <w:rPr>
          <w:rFonts w:ascii="Gill Sans MT" w:hAnsi="Gill Sans MT" w:cs="Tahoma"/>
          <w:sz w:val="24"/>
          <w:szCs w:val="24"/>
        </w:rPr>
        <w:t>s</w:t>
      </w:r>
      <w:r w:rsidR="00470536" w:rsidRPr="00E95861">
        <w:rPr>
          <w:rFonts w:ascii="Gill Sans MT" w:hAnsi="Gill Sans MT" w:cs="Tahoma"/>
          <w:sz w:val="24"/>
          <w:szCs w:val="24"/>
        </w:rPr>
        <w:t xml:space="preserve"> </w:t>
      </w:r>
      <w:r w:rsidR="00803595" w:rsidRPr="00803595">
        <w:rPr>
          <w:rFonts w:ascii="Gill Sans MT" w:hAnsi="Gill Sans MT" w:cs="Tahoma"/>
          <w:b/>
          <w:color w:val="000000" w:themeColor="text1"/>
          <w:sz w:val="24"/>
          <w:szCs w:val="24"/>
        </w:rPr>
        <w:t>FERNANDO SEGUNDO FLOREZ, GUSTAVO ESTEVEZ RODRIGUEZ, JOSÉ DEL CARMEN JAIME SOLANO, JOSÉ GILBERTO GARZÓN MASSON y JUAN RAMÓN FERNANDEZ LATORRE</w:t>
      </w:r>
      <w:r w:rsidR="00470536" w:rsidRPr="00E95861">
        <w:rPr>
          <w:rFonts w:ascii="Gill Sans MT" w:hAnsi="Gill Sans MT" w:cs="Tahoma"/>
          <w:sz w:val="24"/>
          <w:szCs w:val="24"/>
        </w:rPr>
        <w:t xml:space="preserve">, y en consecuencia negar </w:t>
      </w:r>
      <w:r w:rsidRPr="00E95861">
        <w:rPr>
          <w:rFonts w:ascii="Gill Sans MT" w:hAnsi="Gill Sans MT" w:cs="Tahoma"/>
          <w:sz w:val="24"/>
          <w:szCs w:val="24"/>
        </w:rPr>
        <w:t>por improcedente la</w:t>
      </w:r>
      <w:r w:rsidR="00E30003" w:rsidRPr="00E95861">
        <w:rPr>
          <w:rFonts w:ascii="Gill Sans MT" w:hAnsi="Gill Sans MT" w:cs="Tahoma"/>
          <w:sz w:val="24"/>
          <w:szCs w:val="24"/>
        </w:rPr>
        <w:t xml:space="preserve"> solicitud presentada,</w:t>
      </w:r>
      <w:r w:rsidRPr="00E95861">
        <w:rPr>
          <w:rFonts w:ascii="Gill Sans MT" w:hAnsi="Gill Sans MT" w:cs="Tahoma"/>
          <w:sz w:val="24"/>
          <w:szCs w:val="24"/>
        </w:rPr>
        <w:t xml:space="preserve"> con fundamento en lo expuesto en la parte motiva de esta decisión</w:t>
      </w:r>
      <w:r w:rsidR="00F628B1" w:rsidRPr="00E95861">
        <w:rPr>
          <w:rFonts w:ascii="Gill Sans MT" w:hAnsi="Gill Sans MT" w:cs="Tahoma"/>
          <w:sz w:val="24"/>
          <w:szCs w:val="24"/>
        </w:rPr>
        <w:t>.</w:t>
      </w:r>
    </w:p>
    <w:p w:rsidR="00E30003" w:rsidRPr="00E95861" w:rsidRDefault="00E30003" w:rsidP="0089774B">
      <w:pPr>
        <w:pStyle w:val="Sinespaciado"/>
        <w:spacing w:line="360" w:lineRule="auto"/>
        <w:rPr>
          <w:rFonts w:ascii="Gill Sans MT" w:hAnsi="Gill Sans MT" w:cs="Tahoma"/>
          <w:b/>
          <w:sz w:val="24"/>
          <w:szCs w:val="24"/>
        </w:rPr>
      </w:pPr>
    </w:p>
    <w:p w:rsidR="0034739F" w:rsidRPr="00E95861" w:rsidRDefault="00DE23D3" w:rsidP="0089774B">
      <w:pPr>
        <w:pStyle w:val="Sinespaciado"/>
        <w:spacing w:line="360" w:lineRule="auto"/>
        <w:rPr>
          <w:rFonts w:ascii="Gill Sans MT" w:hAnsi="Gill Sans MT" w:cs="Tahoma"/>
          <w:sz w:val="24"/>
          <w:szCs w:val="24"/>
        </w:rPr>
      </w:pPr>
      <w:r w:rsidRPr="00E95861">
        <w:rPr>
          <w:rFonts w:ascii="Gill Sans MT" w:hAnsi="Gill Sans MT" w:cs="Tahoma"/>
          <w:b/>
          <w:sz w:val="24"/>
          <w:szCs w:val="24"/>
        </w:rPr>
        <w:t xml:space="preserve">Segundo. </w:t>
      </w:r>
      <w:r w:rsidRPr="00E95861">
        <w:rPr>
          <w:rFonts w:ascii="Gill Sans MT" w:hAnsi="Gill Sans MT" w:cs="Tahoma"/>
          <w:sz w:val="24"/>
          <w:szCs w:val="24"/>
        </w:rPr>
        <w:t>Contra esta decisión proceden los recursos de reposición y apelación ante la Sala de Casación Penal de la Corte Suprema de Justicia.</w:t>
      </w:r>
    </w:p>
    <w:p w:rsidR="00CA65EA" w:rsidRPr="00E95861" w:rsidRDefault="00CA65EA" w:rsidP="0089774B">
      <w:pPr>
        <w:pStyle w:val="Sinespaciado"/>
        <w:spacing w:line="360" w:lineRule="auto"/>
        <w:rPr>
          <w:rFonts w:ascii="Gill Sans MT" w:hAnsi="Gill Sans MT" w:cs="Tahoma"/>
          <w:sz w:val="24"/>
          <w:szCs w:val="24"/>
        </w:rPr>
      </w:pPr>
    </w:p>
    <w:p w:rsidR="008E05B0" w:rsidRPr="00E95861" w:rsidRDefault="008E05B0" w:rsidP="0089774B">
      <w:pPr>
        <w:spacing w:after="0" w:line="360" w:lineRule="auto"/>
        <w:rPr>
          <w:rFonts w:ascii="Gill Sans MT" w:hAnsi="Gill Sans MT" w:cs="Tahoma"/>
          <w:sz w:val="24"/>
          <w:szCs w:val="24"/>
        </w:rPr>
      </w:pPr>
      <w:r w:rsidRPr="00E95861">
        <w:rPr>
          <w:rFonts w:ascii="Gill Sans MT" w:hAnsi="Gill Sans MT" w:cs="Tahoma"/>
          <w:sz w:val="24"/>
          <w:szCs w:val="24"/>
        </w:rPr>
        <w:t>Notifíquese y Cúmplase</w:t>
      </w:r>
    </w:p>
    <w:p w:rsidR="008E05B0" w:rsidRPr="00E95861" w:rsidRDefault="008E05B0" w:rsidP="0089774B">
      <w:pPr>
        <w:pStyle w:val="Prrafodelista"/>
        <w:spacing w:after="0" w:line="360" w:lineRule="auto"/>
        <w:ind w:left="0" w:right="-187" w:firstLine="708"/>
        <w:jc w:val="both"/>
        <w:rPr>
          <w:rFonts w:ascii="Gill Sans MT" w:hAnsi="Gill Sans MT" w:cs="Tahoma"/>
          <w:sz w:val="24"/>
          <w:szCs w:val="24"/>
        </w:rPr>
      </w:pPr>
    </w:p>
    <w:p w:rsidR="008E05B0" w:rsidRPr="00E95861" w:rsidRDefault="008E05B0" w:rsidP="0089774B">
      <w:pPr>
        <w:pStyle w:val="Prrafodelista"/>
        <w:spacing w:after="0" w:line="360" w:lineRule="auto"/>
        <w:ind w:left="0" w:right="-187" w:firstLine="708"/>
        <w:jc w:val="both"/>
        <w:rPr>
          <w:rFonts w:ascii="Gill Sans MT" w:hAnsi="Gill Sans MT" w:cs="Tahoma"/>
          <w:sz w:val="24"/>
          <w:szCs w:val="24"/>
        </w:rPr>
      </w:pPr>
    </w:p>
    <w:p w:rsidR="008E05B0" w:rsidRPr="00E95861" w:rsidRDefault="008E05B0" w:rsidP="0089774B">
      <w:pPr>
        <w:pStyle w:val="Prrafodelista"/>
        <w:spacing w:after="0" w:line="360" w:lineRule="auto"/>
        <w:ind w:left="0" w:right="-799"/>
        <w:jc w:val="center"/>
        <w:rPr>
          <w:rFonts w:ascii="Gill Sans MT" w:hAnsi="Gill Sans MT" w:cs="Tahoma"/>
          <w:sz w:val="24"/>
          <w:szCs w:val="24"/>
        </w:rPr>
      </w:pPr>
      <w:r w:rsidRPr="00E95861">
        <w:rPr>
          <w:rFonts w:ascii="Gill Sans MT" w:hAnsi="Gill Sans MT" w:cs="Tahoma"/>
          <w:sz w:val="24"/>
          <w:szCs w:val="24"/>
        </w:rPr>
        <w:t>EDUARDO CASTELLANOS ROSO</w:t>
      </w:r>
      <w:bookmarkStart w:id="0" w:name="_GoBack"/>
      <w:bookmarkEnd w:id="0"/>
    </w:p>
    <w:p w:rsidR="00AB708E" w:rsidRPr="00E95861" w:rsidRDefault="00AB708E" w:rsidP="0089774B">
      <w:pPr>
        <w:pStyle w:val="Prrafodelista"/>
        <w:spacing w:after="0" w:line="360" w:lineRule="auto"/>
        <w:ind w:left="0" w:right="-516" w:firstLine="708"/>
        <w:jc w:val="both"/>
        <w:rPr>
          <w:rFonts w:ascii="Gill Sans MT" w:hAnsi="Gill Sans MT" w:cs="Tahoma"/>
          <w:sz w:val="24"/>
          <w:szCs w:val="24"/>
        </w:rPr>
      </w:pPr>
    </w:p>
    <w:p w:rsidR="008E05B0" w:rsidRPr="00E95861" w:rsidRDefault="008E05B0" w:rsidP="0089774B">
      <w:pPr>
        <w:pStyle w:val="Prrafodelista"/>
        <w:spacing w:after="0" w:line="360" w:lineRule="auto"/>
        <w:ind w:left="0" w:right="-516" w:firstLine="708"/>
        <w:jc w:val="both"/>
        <w:rPr>
          <w:rFonts w:ascii="Gill Sans MT" w:hAnsi="Gill Sans MT" w:cs="Tahoma"/>
          <w:sz w:val="24"/>
          <w:szCs w:val="24"/>
        </w:rPr>
      </w:pPr>
    </w:p>
    <w:p w:rsidR="00C25DDF" w:rsidRPr="00E95861" w:rsidRDefault="008E05B0" w:rsidP="0089774B">
      <w:pPr>
        <w:pStyle w:val="Prrafodelista"/>
        <w:spacing w:after="0" w:line="360" w:lineRule="auto"/>
        <w:ind w:left="0" w:right="-658"/>
        <w:jc w:val="both"/>
        <w:rPr>
          <w:rFonts w:ascii="Gill Sans MT" w:hAnsi="Gill Sans MT" w:cs="Tahoma"/>
          <w:sz w:val="24"/>
          <w:szCs w:val="24"/>
        </w:rPr>
      </w:pPr>
      <w:r w:rsidRPr="00E95861">
        <w:rPr>
          <w:rFonts w:ascii="Gill Sans MT" w:hAnsi="Gill Sans MT" w:cs="Tahoma"/>
          <w:sz w:val="24"/>
          <w:szCs w:val="24"/>
        </w:rPr>
        <w:t>ULDI TERESA JIMÉNEZ LÓPEZ</w:t>
      </w:r>
      <w:r w:rsidRPr="00E95861">
        <w:rPr>
          <w:rFonts w:ascii="Gill Sans MT" w:hAnsi="Gill Sans MT" w:cs="Tahoma"/>
          <w:sz w:val="24"/>
          <w:szCs w:val="24"/>
        </w:rPr>
        <w:tab/>
      </w:r>
      <w:r w:rsidRPr="00E95861">
        <w:rPr>
          <w:rFonts w:ascii="Gill Sans MT" w:hAnsi="Gill Sans MT" w:cs="Tahoma"/>
          <w:sz w:val="24"/>
          <w:szCs w:val="24"/>
        </w:rPr>
        <w:tab/>
      </w:r>
      <w:r w:rsidR="0089774B">
        <w:rPr>
          <w:rFonts w:ascii="Gill Sans MT" w:hAnsi="Gill Sans MT" w:cs="Tahoma"/>
          <w:sz w:val="24"/>
          <w:szCs w:val="24"/>
        </w:rPr>
        <w:t xml:space="preserve">         </w:t>
      </w:r>
      <w:r w:rsidRPr="00E95861">
        <w:rPr>
          <w:rFonts w:ascii="Gill Sans MT" w:hAnsi="Gill Sans MT" w:cs="Tahoma"/>
          <w:sz w:val="24"/>
          <w:szCs w:val="24"/>
        </w:rPr>
        <w:t xml:space="preserve">ÁLVARO FERNANDO MONCAYO GUZMÁN </w:t>
      </w:r>
    </w:p>
    <w:sectPr w:rsidR="00C25DDF" w:rsidRPr="00E95861" w:rsidSect="00877755">
      <w:headerReference w:type="default" r:id="rId8"/>
      <w:footerReference w:type="default" r:id="rId9"/>
      <w:pgSz w:w="12242" w:h="18722"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3D" w:rsidRDefault="00F4513D" w:rsidP="003B04DE">
      <w:pPr>
        <w:spacing w:after="0" w:line="240" w:lineRule="auto"/>
      </w:pPr>
      <w:r>
        <w:separator/>
      </w:r>
    </w:p>
  </w:endnote>
  <w:endnote w:type="continuationSeparator" w:id="0">
    <w:p w:rsidR="00F4513D" w:rsidRDefault="00F4513D" w:rsidP="003B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Gill Sans MT">
    <w:altName w:val="Gill Sans"/>
    <w:panose1 w:val="020B05020201040202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altName w:val="Brush Script MT Italic"/>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951595"/>
      <w:docPartObj>
        <w:docPartGallery w:val="Page Numbers (Bottom of Page)"/>
        <w:docPartUnique/>
      </w:docPartObj>
    </w:sdtPr>
    <w:sdtEndPr/>
    <w:sdtContent>
      <w:p w:rsidR="00715C2E" w:rsidRDefault="00715C2E">
        <w:pPr>
          <w:pStyle w:val="Piedepgina"/>
          <w:jc w:val="center"/>
        </w:pPr>
        <w:r>
          <w:fldChar w:fldCharType="begin"/>
        </w:r>
        <w:r>
          <w:instrText>PAGE   \* MERGEFORMAT</w:instrText>
        </w:r>
        <w:r>
          <w:fldChar w:fldCharType="separate"/>
        </w:r>
        <w:r w:rsidR="0089774B">
          <w:rPr>
            <w:noProof/>
          </w:rPr>
          <w:t>15</w:t>
        </w:r>
        <w:r>
          <w:fldChar w:fldCharType="end"/>
        </w:r>
      </w:p>
    </w:sdtContent>
  </w:sdt>
  <w:p w:rsidR="00715C2E" w:rsidRDefault="00715C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3D" w:rsidRDefault="00F4513D" w:rsidP="003B04DE">
      <w:pPr>
        <w:spacing w:after="0" w:line="240" w:lineRule="auto"/>
      </w:pPr>
      <w:r>
        <w:separator/>
      </w:r>
    </w:p>
  </w:footnote>
  <w:footnote w:type="continuationSeparator" w:id="0">
    <w:p w:rsidR="00F4513D" w:rsidRDefault="00F4513D" w:rsidP="003B04DE">
      <w:pPr>
        <w:spacing w:after="0" w:line="240" w:lineRule="auto"/>
      </w:pPr>
      <w:r>
        <w:continuationSeparator/>
      </w:r>
    </w:p>
  </w:footnote>
  <w:footnote w:id="1">
    <w:p w:rsidR="00D7266C" w:rsidRPr="00D7266C" w:rsidRDefault="00D7266C" w:rsidP="00D7266C">
      <w:pPr>
        <w:pStyle w:val="Textonotapie"/>
        <w:jc w:val="both"/>
        <w:rPr>
          <w:rFonts w:ascii="Gill Sans MT" w:hAnsi="Gill Sans MT"/>
          <w:sz w:val="18"/>
          <w:szCs w:val="18"/>
          <w:lang w:val="es-CO"/>
        </w:rPr>
      </w:pPr>
      <w:r w:rsidRPr="00D7266C">
        <w:rPr>
          <w:rStyle w:val="Refdenotaalpie"/>
          <w:rFonts w:ascii="Gill Sans MT" w:hAnsi="Gill Sans MT"/>
          <w:sz w:val="18"/>
          <w:szCs w:val="18"/>
        </w:rPr>
        <w:footnoteRef/>
      </w:r>
      <w:r w:rsidRPr="00D7266C">
        <w:rPr>
          <w:rFonts w:ascii="Gill Sans MT" w:hAnsi="Gill Sans MT"/>
          <w:sz w:val="18"/>
          <w:szCs w:val="18"/>
        </w:rPr>
        <w:t xml:space="preserve"> </w:t>
      </w:r>
      <w:r w:rsidRPr="00D7266C">
        <w:rPr>
          <w:rFonts w:ascii="Gill Sans MT" w:hAnsi="Gill Sans MT"/>
          <w:color w:val="000000" w:themeColor="text1"/>
          <w:sz w:val="18"/>
          <w:szCs w:val="18"/>
        </w:rPr>
        <w:t>Corte Suprema de Justicia, Sala de Casación Penal, Auto rad</w:t>
      </w:r>
      <w:r w:rsidRPr="00D7266C">
        <w:rPr>
          <w:rFonts w:ascii="Gill Sans MT" w:eastAsia="Times New Roman" w:hAnsi="Gill Sans MT" w:cs="Tahoma"/>
          <w:color w:val="000000"/>
          <w:sz w:val="18"/>
          <w:szCs w:val="18"/>
          <w:lang w:eastAsia="es-ES"/>
        </w:rPr>
        <w:t>. 49979 del 19 de abril de 2017, MP. Dr. Luís Antonio Hernández Barbosa</w:t>
      </w:r>
      <w:r w:rsidR="006C7FE8">
        <w:rPr>
          <w:rFonts w:ascii="Gill Sans MT" w:eastAsia="Times New Roman" w:hAnsi="Gill Sans MT" w:cs="Tahoma"/>
          <w:color w:val="000000"/>
          <w:sz w:val="18"/>
          <w:szCs w:val="18"/>
          <w:lang w:eastAsia="es-ES"/>
        </w:rPr>
        <w:t>.</w:t>
      </w:r>
    </w:p>
  </w:footnote>
  <w:footnote w:id="2">
    <w:p w:rsidR="0068525D" w:rsidRPr="00D7266C" w:rsidRDefault="0068525D" w:rsidP="00D7266C">
      <w:pPr>
        <w:pStyle w:val="Textonotapie"/>
        <w:jc w:val="both"/>
        <w:rPr>
          <w:rFonts w:ascii="Gill Sans MT" w:hAnsi="Gill Sans MT"/>
          <w:color w:val="000000" w:themeColor="text1"/>
          <w:sz w:val="18"/>
          <w:szCs w:val="18"/>
        </w:rPr>
      </w:pPr>
      <w:r w:rsidRPr="00D7266C">
        <w:rPr>
          <w:rStyle w:val="Refdenotaalpie"/>
          <w:rFonts w:ascii="Gill Sans MT" w:hAnsi="Gill Sans MT"/>
          <w:color w:val="000000" w:themeColor="text1"/>
          <w:sz w:val="18"/>
          <w:szCs w:val="18"/>
        </w:rPr>
        <w:footnoteRef/>
      </w:r>
      <w:r w:rsidRPr="00D7266C">
        <w:rPr>
          <w:rFonts w:ascii="Gill Sans MT" w:hAnsi="Gill Sans MT"/>
          <w:color w:val="000000" w:themeColor="text1"/>
          <w:sz w:val="18"/>
          <w:szCs w:val="18"/>
        </w:rPr>
        <w:t xml:space="preserve"> Corte Suprema de Justicia, Sala de Casación Penal, Auto con Radicado No. 49.981, Bogotá, 3 de mayo de 2017, M.P. Dr. Fernando Castro Caballero.</w:t>
      </w:r>
    </w:p>
  </w:footnote>
  <w:footnote w:id="3">
    <w:p w:rsidR="00234BA2" w:rsidRPr="00D7266C" w:rsidRDefault="00234BA2" w:rsidP="00D7266C">
      <w:pPr>
        <w:pStyle w:val="Textonotapie"/>
        <w:jc w:val="both"/>
        <w:rPr>
          <w:rFonts w:ascii="Gill Sans MT" w:hAnsi="Gill Sans MT"/>
          <w:color w:val="000000" w:themeColor="text1"/>
          <w:sz w:val="18"/>
          <w:szCs w:val="18"/>
        </w:rPr>
      </w:pPr>
      <w:r w:rsidRPr="00D7266C">
        <w:rPr>
          <w:rStyle w:val="Refdenotaalpie"/>
          <w:rFonts w:ascii="Gill Sans MT" w:hAnsi="Gill Sans MT"/>
          <w:color w:val="000000" w:themeColor="text1"/>
          <w:sz w:val="18"/>
          <w:szCs w:val="18"/>
        </w:rPr>
        <w:footnoteRef/>
      </w:r>
      <w:r w:rsidRPr="00D7266C">
        <w:rPr>
          <w:rFonts w:ascii="Gill Sans MT" w:hAnsi="Gill Sans MT"/>
          <w:color w:val="000000" w:themeColor="text1"/>
          <w:sz w:val="18"/>
          <w:szCs w:val="18"/>
        </w:rPr>
        <w:t xml:space="preserve"> Corte Suprema de Justicia, Sala de Casación Penal, Auto con Radicado No. 49979, Bogotá, 19 de abril de 2017</w:t>
      </w:r>
      <w:r w:rsidR="004468A5" w:rsidRPr="00D7266C">
        <w:rPr>
          <w:rFonts w:ascii="Gill Sans MT" w:hAnsi="Gill Sans MT"/>
          <w:color w:val="000000" w:themeColor="text1"/>
          <w:sz w:val="18"/>
          <w:szCs w:val="18"/>
        </w:rPr>
        <w:t xml:space="preserve">, M.P. Dr. Luis Antonio Hernández. </w:t>
      </w:r>
      <w:r w:rsidR="005D128E" w:rsidRPr="00D7266C">
        <w:rPr>
          <w:rFonts w:ascii="Gill Sans MT" w:hAnsi="Gill Sans MT"/>
          <w:color w:val="000000" w:themeColor="text1"/>
          <w:sz w:val="18"/>
          <w:szCs w:val="18"/>
        </w:rPr>
        <w:t>También: Corte Suprema de Justicia, Sala de Casación Penal, Auto con Radicado No. 49.981, Bogotá, 3 de mayo de 2017, M.P. Dr. Fernando Castro Caballero, Pp. 24</w:t>
      </w:r>
      <w:r w:rsidR="00073775" w:rsidRPr="00D7266C">
        <w:rPr>
          <w:rFonts w:ascii="Gill Sans MT" w:hAnsi="Gill Sans MT"/>
          <w:color w:val="000000" w:themeColor="text1"/>
          <w:sz w:val="18"/>
          <w:szCs w:val="18"/>
        </w:rPr>
        <w:t>.</w:t>
      </w:r>
    </w:p>
  </w:footnote>
  <w:footnote w:id="4">
    <w:p w:rsidR="007C225F" w:rsidRPr="00D7266C" w:rsidRDefault="007C225F" w:rsidP="00D7266C">
      <w:pPr>
        <w:pStyle w:val="Textonotapie"/>
        <w:jc w:val="both"/>
        <w:rPr>
          <w:rFonts w:ascii="Gill Sans MT" w:hAnsi="Gill Sans MT"/>
          <w:color w:val="000000" w:themeColor="text1"/>
          <w:sz w:val="18"/>
          <w:szCs w:val="18"/>
        </w:rPr>
      </w:pPr>
      <w:r w:rsidRPr="00D7266C">
        <w:rPr>
          <w:rStyle w:val="Refdenotaalpie"/>
          <w:rFonts w:ascii="Gill Sans MT" w:hAnsi="Gill Sans MT"/>
          <w:color w:val="000000" w:themeColor="text1"/>
          <w:sz w:val="18"/>
          <w:szCs w:val="18"/>
        </w:rPr>
        <w:footnoteRef/>
      </w:r>
      <w:r w:rsidRPr="00D7266C">
        <w:rPr>
          <w:rFonts w:ascii="Gill Sans MT" w:hAnsi="Gill Sans MT"/>
          <w:color w:val="000000" w:themeColor="text1"/>
          <w:sz w:val="18"/>
          <w:szCs w:val="18"/>
        </w:rPr>
        <w:t xml:space="preserve"> Corte Suprema de Justicia, Sala de Casación Penal, Auto con Radicado No. 49979, Bogotá, 19 de abril de 2017</w:t>
      </w:r>
    </w:p>
  </w:footnote>
  <w:footnote w:id="5">
    <w:p w:rsidR="00EF066A" w:rsidRPr="00D7266C" w:rsidRDefault="00EF066A" w:rsidP="00D7266C">
      <w:pPr>
        <w:pStyle w:val="Textonotapie"/>
        <w:jc w:val="both"/>
        <w:rPr>
          <w:rFonts w:ascii="Gill Sans MT" w:hAnsi="Gill Sans MT"/>
          <w:sz w:val="18"/>
          <w:szCs w:val="18"/>
        </w:rPr>
      </w:pPr>
      <w:r w:rsidRPr="00D7266C">
        <w:rPr>
          <w:rStyle w:val="Refdenotaalpie"/>
          <w:rFonts w:ascii="Gill Sans MT" w:hAnsi="Gill Sans MT"/>
          <w:sz w:val="18"/>
          <w:szCs w:val="18"/>
        </w:rPr>
        <w:footnoteRef/>
      </w:r>
      <w:r w:rsidRPr="00D7266C">
        <w:rPr>
          <w:rFonts w:ascii="Gill Sans MT" w:hAnsi="Gill Sans MT"/>
          <w:sz w:val="18"/>
          <w:szCs w:val="18"/>
        </w:rPr>
        <w:t xml:space="preserve"> Ver el último párrafo del artículo 3 de la Ley 1820 de 2016</w:t>
      </w:r>
    </w:p>
  </w:footnote>
  <w:footnote w:id="6">
    <w:p w:rsidR="00EF066A" w:rsidRPr="00D7266C" w:rsidRDefault="00EF066A" w:rsidP="00D7266C">
      <w:pPr>
        <w:pStyle w:val="Textonotapie"/>
        <w:jc w:val="both"/>
        <w:rPr>
          <w:rFonts w:ascii="Gill Sans MT" w:hAnsi="Gill Sans MT"/>
          <w:sz w:val="18"/>
          <w:szCs w:val="18"/>
        </w:rPr>
      </w:pPr>
      <w:r w:rsidRPr="00D7266C">
        <w:rPr>
          <w:rStyle w:val="Refdenotaalpie"/>
          <w:rFonts w:ascii="Gill Sans MT" w:hAnsi="Gill Sans MT"/>
          <w:sz w:val="18"/>
          <w:szCs w:val="18"/>
        </w:rPr>
        <w:footnoteRef/>
      </w:r>
      <w:r w:rsidRPr="00D7266C">
        <w:rPr>
          <w:rFonts w:ascii="Gill Sans MT" w:hAnsi="Gill Sans MT"/>
          <w:sz w:val="18"/>
          <w:szCs w:val="18"/>
        </w:rPr>
        <w:t xml:space="preserve"> El artículo 2 de Ley 1820 de 2016, sostiene que se adoptarán “tratamientos especiales diferenciados, </w:t>
      </w:r>
      <w:r w:rsidRPr="00D7266C">
        <w:rPr>
          <w:rFonts w:ascii="Gill Sans MT" w:hAnsi="Gill Sans MT"/>
          <w:sz w:val="18"/>
          <w:szCs w:val="18"/>
          <w:u w:val="single"/>
        </w:rPr>
        <w:t>en especial para agentes del Estado</w:t>
      </w:r>
      <w:r w:rsidRPr="00D7266C">
        <w:rPr>
          <w:rFonts w:ascii="Gill Sans MT" w:hAnsi="Gill Sans MT"/>
          <w:sz w:val="18"/>
          <w:szCs w:val="18"/>
        </w:rPr>
        <w:t>”. Éstos, según el artículo 9 de la precitada ley, deberán ser “simétricos, simultáneos, equilibrados y equitativos” al proporcionado a los delincuentes políticos y rebeldes que firmaron un acuerdo de paz con el gobierno.</w:t>
      </w:r>
    </w:p>
  </w:footnote>
  <w:footnote w:id="7">
    <w:p w:rsidR="00EF066A" w:rsidRPr="00D7266C" w:rsidRDefault="00EF066A" w:rsidP="00D7266C">
      <w:pPr>
        <w:pStyle w:val="Textonotapie"/>
        <w:jc w:val="both"/>
        <w:rPr>
          <w:rFonts w:ascii="Gill Sans MT" w:hAnsi="Gill Sans MT"/>
          <w:sz w:val="18"/>
          <w:szCs w:val="18"/>
        </w:rPr>
      </w:pPr>
      <w:r w:rsidRPr="00D7266C">
        <w:rPr>
          <w:rStyle w:val="Refdenotaalpie"/>
          <w:rFonts w:ascii="Gill Sans MT" w:hAnsi="Gill Sans MT"/>
          <w:sz w:val="18"/>
          <w:szCs w:val="18"/>
        </w:rPr>
        <w:footnoteRef/>
      </w:r>
      <w:r w:rsidRPr="00D7266C">
        <w:rPr>
          <w:rFonts w:ascii="Gill Sans MT" w:hAnsi="Gill Sans MT"/>
          <w:sz w:val="18"/>
          <w:szCs w:val="18"/>
        </w:rPr>
        <w:t xml:space="preserve"> Ver el segundo párrafo del artículo 3 de la Ley 1820 de 2016</w:t>
      </w:r>
    </w:p>
  </w:footnote>
  <w:footnote w:id="8">
    <w:p w:rsidR="00EF066A" w:rsidRPr="00D7266C" w:rsidRDefault="00EF066A" w:rsidP="00D7266C">
      <w:pPr>
        <w:spacing w:after="0" w:line="240" w:lineRule="auto"/>
        <w:jc w:val="both"/>
        <w:rPr>
          <w:rFonts w:ascii="Gill Sans MT" w:hAnsi="Gill Sans MT"/>
          <w:sz w:val="18"/>
          <w:szCs w:val="18"/>
        </w:rPr>
      </w:pPr>
      <w:r w:rsidRPr="00D7266C">
        <w:rPr>
          <w:rStyle w:val="Refdenotaalpie"/>
          <w:rFonts w:ascii="Gill Sans MT" w:hAnsi="Gill Sans MT"/>
          <w:sz w:val="18"/>
          <w:szCs w:val="18"/>
        </w:rPr>
        <w:footnoteRef/>
      </w:r>
      <w:r w:rsidRPr="00D7266C">
        <w:rPr>
          <w:rFonts w:ascii="Gill Sans MT" w:hAnsi="Gill Sans MT"/>
          <w:sz w:val="18"/>
          <w:szCs w:val="18"/>
        </w:rPr>
        <w:t xml:space="preserve"> El artículo 15 del Decreto reglamentario 277 de 2017, establece el procedimiento de libertad condicionada para personas privadas de la libertad por conductas desplegadas en contextos relacionados con el ejercicio del derecho a la protesta o disturbios internos. Así, se estableció en esta normatividad que: “</w:t>
      </w:r>
      <w:r w:rsidRPr="00D7266C">
        <w:rPr>
          <w:rFonts w:ascii="Gill Sans MT" w:hAnsi="Gill Sans MT"/>
          <w:i/>
          <w:sz w:val="18"/>
          <w:szCs w:val="18"/>
        </w:rPr>
        <w:t>De conformidad con los artículos 29, y 37 de Ley 1820 de 2016 puestas en libertad condicionada que privadas de libertad por conductas desplegadas en contextos relacionados con ejercicio del derecho a la protesta o disturbios internos por los delitos contemplados en los artículos 112 (lesiones personales con incapacidad menor a 30 días); (daño en bien ajeno); 353 (perturbación en servicio de transporte público, colectivo u oficial); 353A (obstrucción a vías públicas que el orden público); 356A (disparo de arma fuego); 359 (empleo o lanzamiento de sustancias u objetos peligrosos); 429 (violencia contra servidor público); 430 (perturbación de actos oficiales) y 469 (asonada) del Código Penal, que manifiesten su voluntad de quedar sometidas a la Jurisdicción Especial para la y comparecer ante la Sala de Definición de Situaciones Jurídicas para solicitar aplicación de mecanismos de cesación procedimientos con miras a la extinción de responsabilidad. modelo esta Acta será contemplado en el Anexo 5, que forma parte Decreto. En estos casos el funcionario judicial verificará que la comisión alguna las conductas antes relacionadas cometida en el contexto la protesta social y disturbios internos. Ello tendrá en cuenta los medios de conocimiento en la actuación respectiva y aplicará el procedimiento establecido en la ley de acuerdo con el del proceso y el penal que le resulte aplicable. Para los casos contemplados en este artículo, no será necesaria configuración alguno los supuestos trata el artículo 17 la Ley 1820 y 5 de este Decreto. En todo caso trámite completo, a partir la radicación la solicitud, hasta la decisión judicial, no podrá demorar más de los diez (10) días establecidos en el artículo 19 la Ley 1820 2016.”</w:t>
      </w:r>
    </w:p>
  </w:footnote>
  <w:footnote w:id="9">
    <w:p w:rsidR="00EF066A" w:rsidRPr="00D7266C" w:rsidRDefault="00EF066A" w:rsidP="00D7266C">
      <w:pPr>
        <w:pStyle w:val="Textonotapie"/>
        <w:jc w:val="both"/>
        <w:rPr>
          <w:rFonts w:ascii="Gill Sans MT" w:hAnsi="Gill Sans MT"/>
          <w:sz w:val="18"/>
          <w:szCs w:val="18"/>
        </w:rPr>
      </w:pPr>
      <w:r w:rsidRPr="00D7266C">
        <w:rPr>
          <w:rStyle w:val="Refdenotaalpie"/>
          <w:rFonts w:ascii="Gill Sans MT" w:hAnsi="Gill Sans MT"/>
          <w:sz w:val="18"/>
          <w:szCs w:val="18"/>
        </w:rPr>
        <w:footnoteRef/>
      </w:r>
      <w:r w:rsidRPr="00D7266C">
        <w:rPr>
          <w:rFonts w:ascii="Gill Sans MT" w:hAnsi="Gill Sans MT"/>
          <w:sz w:val="18"/>
          <w:szCs w:val="18"/>
        </w:rPr>
        <w:t xml:space="preserve"> Corte Suprema de Justicia, Sala de Casación Penal, Proceso con Radicado No. 26945, Bogotá, 11 de julio de 2007, M.P. Dr. Yesid Ramírez Bastidas y Julio Socha Salamanca, Pps. 20 a 22.</w:t>
      </w:r>
    </w:p>
  </w:footnote>
  <w:footnote w:id="10">
    <w:p w:rsidR="00EF066A" w:rsidRPr="00D7266C" w:rsidRDefault="00EF066A" w:rsidP="00D7266C">
      <w:pPr>
        <w:pStyle w:val="Textonotapie"/>
        <w:jc w:val="both"/>
        <w:rPr>
          <w:rFonts w:ascii="Gill Sans MT" w:hAnsi="Gill Sans MT"/>
          <w:sz w:val="18"/>
          <w:szCs w:val="18"/>
        </w:rPr>
      </w:pPr>
      <w:r w:rsidRPr="00D7266C">
        <w:rPr>
          <w:rStyle w:val="Refdenotaalpie"/>
          <w:rFonts w:ascii="Gill Sans MT" w:hAnsi="Gill Sans MT"/>
          <w:sz w:val="18"/>
          <w:szCs w:val="18"/>
        </w:rPr>
        <w:footnoteRef/>
      </w:r>
      <w:r w:rsidRPr="00D7266C">
        <w:rPr>
          <w:rFonts w:ascii="Gill Sans MT" w:hAnsi="Gill Sans MT"/>
          <w:sz w:val="18"/>
          <w:szCs w:val="18"/>
        </w:rPr>
        <w:t xml:space="preserve"> Así como los vínculos de jefes paramilitares con congresistas, gobernadores, diputados, alcaldes, concejales y ediles.</w:t>
      </w:r>
    </w:p>
  </w:footnote>
  <w:footnote w:id="11">
    <w:p w:rsidR="007470CF" w:rsidRPr="00D7266C" w:rsidRDefault="007470CF" w:rsidP="00D7266C">
      <w:pPr>
        <w:pStyle w:val="Textonotapie"/>
        <w:jc w:val="both"/>
        <w:rPr>
          <w:rFonts w:ascii="Gill Sans MT" w:hAnsi="Gill Sans MT"/>
          <w:sz w:val="18"/>
          <w:szCs w:val="18"/>
          <w:lang w:val="es-CO"/>
        </w:rPr>
      </w:pPr>
      <w:r w:rsidRPr="00D7266C">
        <w:rPr>
          <w:rStyle w:val="Refdenotaalpie"/>
          <w:rFonts w:ascii="Gill Sans MT" w:hAnsi="Gill Sans MT"/>
          <w:sz w:val="18"/>
          <w:szCs w:val="18"/>
        </w:rPr>
        <w:footnoteRef/>
      </w:r>
      <w:r w:rsidRPr="00D7266C">
        <w:rPr>
          <w:rFonts w:ascii="Gill Sans MT" w:hAnsi="Gill Sans MT"/>
          <w:sz w:val="18"/>
          <w:szCs w:val="18"/>
        </w:rPr>
        <w:t xml:space="preserve"> </w:t>
      </w:r>
      <w:r w:rsidRPr="00D7266C">
        <w:rPr>
          <w:rFonts w:ascii="Gill Sans MT" w:hAnsi="Gill Sans MT"/>
          <w:sz w:val="18"/>
          <w:szCs w:val="18"/>
          <w:lang w:val="es-CO"/>
        </w:rPr>
        <w:t xml:space="preserve">Ibídem página 22 y 23. </w:t>
      </w:r>
    </w:p>
  </w:footnote>
  <w:footnote w:id="12">
    <w:p w:rsidR="005B32B9" w:rsidRPr="006976D8" w:rsidRDefault="005B32B9" w:rsidP="005B32B9">
      <w:pPr>
        <w:pStyle w:val="Textonotapie"/>
        <w:rPr>
          <w:lang w:val="es-CO"/>
        </w:rPr>
      </w:pPr>
      <w:r>
        <w:rPr>
          <w:rStyle w:val="Refdenotaalpie"/>
        </w:rPr>
        <w:footnoteRef/>
      </w:r>
      <w:r>
        <w:t xml:space="preserve"> </w:t>
      </w:r>
      <w:r w:rsidRPr="00D7266C">
        <w:rPr>
          <w:rFonts w:ascii="Gill Sans MT" w:hAnsi="Gill Sans MT"/>
          <w:sz w:val="18"/>
          <w:szCs w:val="18"/>
        </w:rPr>
        <w:t xml:space="preserve">Corte Suprema de Justicia, Sala de Casación Penal, </w:t>
      </w:r>
      <w:r>
        <w:rPr>
          <w:rFonts w:ascii="Gill Sans MT" w:hAnsi="Gill Sans MT"/>
          <w:sz w:val="18"/>
          <w:szCs w:val="18"/>
        </w:rPr>
        <w:t>segunda instancia rad. 50672, del 24 de julio de 2017, M.P. Dr. Gustavo Enrique Malo Fernández</w:t>
      </w:r>
      <w:r w:rsidRPr="00D7266C">
        <w:rPr>
          <w:rFonts w:ascii="Gill Sans MT" w:hAnsi="Gill Sans MT"/>
          <w:sz w:val="18"/>
          <w:szCs w:val="18"/>
        </w:rPr>
        <w:t>.</w:t>
      </w:r>
    </w:p>
  </w:footnote>
  <w:footnote w:id="13">
    <w:p w:rsidR="00C019FB" w:rsidRPr="00D7266C" w:rsidRDefault="00C019FB" w:rsidP="00C019FB">
      <w:pPr>
        <w:pStyle w:val="Textonotapie"/>
        <w:jc w:val="both"/>
        <w:rPr>
          <w:rFonts w:ascii="Gill Sans MT" w:hAnsi="Gill Sans MT"/>
          <w:sz w:val="18"/>
          <w:szCs w:val="18"/>
        </w:rPr>
      </w:pPr>
      <w:r w:rsidRPr="00D7266C">
        <w:rPr>
          <w:rStyle w:val="Refdenotaalpie"/>
          <w:rFonts w:ascii="Gill Sans MT" w:hAnsi="Gill Sans MT"/>
          <w:sz w:val="18"/>
          <w:szCs w:val="18"/>
        </w:rPr>
        <w:footnoteRef/>
      </w:r>
      <w:r w:rsidRPr="00D7266C">
        <w:rPr>
          <w:rFonts w:ascii="Gill Sans MT" w:hAnsi="Gill Sans MT"/>
          <w:sz w:val="18"/>
          <w:szCs w:val="18"/>
        </w:rPr>
        <w:t xml:space="preserve"> Incluyendo un “Anexo” con el acta de compromiso adecuado para el diligenciamiento de la libertad condicionada.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54" w:rsidRPr="004E6E86" w:rsidRDefault="00806F54" w:rsidP="00806F54">
    <w:pPr>
      <w:ind w:firstLine="360"/>
      <w:rPr>
        <w:b/>
        <w:sz w:val="18"/>
        <w:szCs w:val="18"/>
      </w:rPr>
    </w:pPr>
    <w:r w:rsidRPr="004E6E86">
      <w:rPr>
        <w:b/>
        <w:color w:val="C0C0C0"/>
        <w:sz w:val="18"/>
        <w:szCs w:val="18"/>
        <w:highlight w:val="lightGray"/>
      </w:rPr>
      <w:object w:dxaOrig="11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5pt;height:37.45pt" o:ole="">
          <v:imagedata r:id="rId1" o:title=""/>
        </v:shape>
        <o:OLEObject Type="Embed" ProgID="Word.Picture.8" ShapeID="_x0000_i1025" DrawAspect="Content" ObjectID="_1567414386" r:id="rId2"/>
      </w:object>
    </w:r>
  </w:p>
  <w:p w:rsidR="00806F54" w:rsidRPr="00BB1C93" w:rsidRDefault="00806F54" w:rsidP="00806F54">
    <w:pPr>
      <w:pStyle w:val="Ttulo4"/>
      <w:rPr>
        <w:rFonts w:ascii="Brush Script MT" w:hAnsi="Brush Script MT" w:cs="Courier New"/>
        <w:b w:val="0"/>
        <w:sz w:val="20"/>
        <w:szCs w:val="20"/>
      </w:rPr>
    </w:pPr>
    <w:r>
      <w:rPr>
        <w:rFonts w:ascii="Brush Script MT" w:hAnsi="Brush Script MT" w:cs="Courier New"/>
        <w:b w:val="0"/>
        <w:sz w:val="16"/>
        <w:szCs w:val="16"/>
      </w:rPr>
      <w:t xml:space="preserve">        </w:t>
    </w:r>
    <w:r w:rsidRPr="00BB1C93">
      <w:rPr>
        <w:rFonts w:ascii="Brush Script MT" w:hAnsi="Brush Script MT" w:cs="Courier New"/>
        <w:b w:val="0"/>
        <w:sz w:val="20"/>
        <w:szCs w:val="20"/>
      </w:rPr>
      <w:t xml:space="preserve">Tribunal Superior De Bogotá </w:t>
    </w:r>
  </w:p>
  <w:p w:rsidR="00806F54" w:rsidRPr="00BB1C93" w:rsidRDefault="00806F54" w:rsidP="00806F54">
    <w:pPr>
      <w:spacing w:after="0" w:line="240" w:lineRule="auto"/>
      <w:rPr>
        <w:rFonts w:ascii="Brush Script MT" w:hAnsi="Brush Script MT"/>
        <w:lang w:val="es-ES_tradnl"/>
      </w:rPr>
    </w:pPr>
    <w:r w:rsidRPr="00BB1C93">
      <w:rPr>
        <w:rFonts w:ascii="Brush Script MT" w:hAnsi="Brush Script MT"/>
        <w:lang w:val="es-ES_tradnl"/>
      </w:rPr>
      <w:t xml:space="preserve">         Sala de Justicia y Paz </w:t>
    </w:r>
  </w:p>
  <w:p w:rsidR="00806F54" w:rsidRPr="00BF0FFC" w:rsidRDefault="00806F54" w:rsidP="00BF0FFC">
    <w:pPr>
      <w:spacing w:after="0" w:line="240" w:lineRule="auto"/>
      <w:jc w:val="right"/>
      <w:rPr>
        <w:rFonts w:ascii="Gill Sans MT" w:hAnsi="Gill Sans MT"/>
        <w:sz w:val="16"/>
        <w:szCs w:val="16"/>
        <w:lang w:val="es-ES_tradnl"/>
      </w:rPr>
    </w:pPr>
    <w:r w:rsidRPr="00BF0FFC">
      <w:rPr>
        <w:rFonts w:ascii="Gill Sans MT" w:hAnsi="Gill Sans MT"/>
        <w:sz w:val="16"/>
        <w:szCs w:val="16"/>
        <w:lang w:val="es-ES_tradnl"/>
      </w:rPr>
      <w:t>Rad. 201</w:t>
    </w:r>
    <w:r w:rsidR="007D65A2">
      <w:rPr>
        <w:rFonts w:ascii="Gill Sans MT" w:hAnsi="Gill Sans MT"/>
        <w:sz w:val="16"/>
        <w:szCs w:val="16"/>
        <w:lang w:val="es-ES_tradnl"/>
      </w:rPr>
      <w:t>5</w:t>
    </w:r>
    <w:r w:rsidRPr="00BF0FFC">
      <w:rPr>
        <w:rFonts w:ascii="Gill Sans MT" w:hAnsi="Gill Sans MT"/>
        <w:sz w:val="16"/>
        <w:szCs w:val="16"/>
        <w:lang w:val="es-ES_tradnl"/>
      </w:rPr>
      <w:t xml:space="preserve"> 000</w:t>
    </w:r>
    <w:r w:rsidR="007D65A2">
      <w:rPr>
        <w:rFonts w:ascii="Gill Sans MT" w:hAnsi="Gill Sans MT"/>
        <w:sz w:val="16"/>
        <w:szCs w:val="16"/>
        <w:lang w:val="es-ES_tradnl"/>
      </w:rPr>
      <w:t>12 Rad. Interno 2488</w:t>
    </w:r>
  </w:p>
  <w:p w:rsidR="00C47062" w:rsidRDefault="00C47062" w:rsidP="00BF0FFC">
    <w:pPr>
      <w:spacing w:after="0" w:line="240" w:lineRule="auto"/>
      <w:jc w:val="right"/>
      <w:rPr>
        <w:rFonts w:ascii="Gill Sans MT" w:hAnsi="Gill Sans MT"/>
        <w:sz w:val="16"/>
        <w:szCs w:val="16"/>
        <w:lang w:val="es-ES_tradnl"/>
      </w:rPr>
    </w:pPr>
    <w:r>
      <w:rPr>
        <w:rFonts w:ascii="Gill Sans MT" w:hAnsi="Gill Sans MT"/>
        <w:sz w:val="16"/>
        <w:szCs w:val="16"/>
        <w:lang w:val="es-ES_tradnl"/>
      </w:rPr>
      <w:t>FERNANDO SEGUNDO FLÓREZ</w:t>
    </w:r>
  </w:p>
  <w:p w:rsidR="00C47062" w:rsidRDefault="00C47062" w:rsidP="00BF0FFC">
    <w:pPr>
      <w:spacing w:after="0" w:line="240" w:lineRule="auto"/>
      <w:jc w:val="right"/>
      <w:rPr>
        <w:rFonts w:ascii="Gill Sans MT" w:hAnsi="Gill Sans MT"/>
        <w:sz w:val="16"/>
        <w:szCs w:val="16"/>
        <w:lang w:val="es-ES_tradnl"/>
      </w:rPr>
    </w:pPr>
    <w:r>
      <w:rPr>
        <w:rFonts w:ascii="Gill Sans MT" w:hAnsi="Gill Sans MT"/>
        <w:sz w:val="16"/>
        <w:szCs w:val="16"/>
        <w:lang w:val="es-ES_tradnl"/>
      </w:rPr>
      <w:t>GUSTAVO ESTEVEZ RODRÍGUEZ</w:t>
    </w:r>
  </w:p>
  <w:p w:rsidR="00C47062" w:rsidRDefault="00C47062" w:rsidP="00BF0FFC">
    <w:pPr>
      <w:spacing w:after="0" w:line="240" w:lineRule="auto"/>
      <w:jc w:val="right"/>
      <w:rPr>
        <w:rFonts w:ascii="Gill Sans MT" w:hAnsi="Gill Sans MT"/>
        <w:sz w:val="16"/>
        <w:szCs w:val="16"/>
        <w:lang w:val="es-ES_tradnl"/>
      </w:rPr>
    </w:pPr>
    <w:r>
      <w:rPr>
        <w:rFonts w:ascii="Gill Sans MT" w:hAnsi="Gill Sans MT"/>
        <w:sz w:val="16"/>
        <w:szCs w:val="16"/>
        <w:lang w:val="es-ES_tradnl"/>
      </w:rPr>
      <w:t xml:space="preserve">JOSÉ DEL CARMEN JAIME SOLANO </w:t>
    </w:r>
  </w:p>
  <w:p w:rsidR="00C47062" w:rsidRDefault="00C47062" w:rsidP="00BF0FFC">
    <w:pPr>
      <w:spacing w:after="0" w:line="240" w:lineRule="auto"/>
      <w:jc w:val="right"/>
      <w:rPr>
        <w:rFonts w:ascii="Gill Sans MT" w:hAnsi="Gill Sans MT"/>
        <w:sz w:val="16"/>
        <w:szCs w:val="16"/>
        <w:lang w:val="es-ES_tradnl"/>
      </w:rPr>
    </w:pPr>
    <w:r>
      <w:rPr>
        <w:rFonts w:ascii="Gill Sans MT" w:hAnsi="Gill Sans MT"/>
        <w:sz w:val="16"/>
        <w:szCs w:val="16"/>
        <w:lang w:val="es-ES_tradnl"/>
      </w:rPr>
      <w:t>JOSÉ GILBERTO GARCÓN MASSSON</w:t>
    </w:r>
  </w:p>
  <w:p w:rsidR="00C47062" w:rsidRDefault="00C47062" w:rsidP="00BF0FFC">
    <w:pPr>
      <w:spacing w:after="0" w:line="240" w:lineRule="auto"/>
      <w:jc w:val="right"/>
      <w:rPr>
        <w:rFonts w:ascii="Gill Sans MT" w:hAnsi="Gill Sans MT"/>
        <w:sz w:val="16"/>
        <w:szCs w:val="16"/>
        <w:lang w:val="es-ES_tradnl"/>
      </w:rPr>
    </w:pPr>
    <w:r>
      <w:rPr>
        <w:rFonts w:ascii="Gill Sans MT" w:hAnsi="Gill Sans MT"/>
        <w:sz w:val="16"/>
        <w:szCs w:val="16"/>
        <w:lang w:val="es-ES_tradnl"/>
      </w:rPr>
      <w:t xml:space="preserve">JUAN RAMÓN FERNANDEZ LATORRE </w:t>
    </w:r>
  </w:p>
  <w:p w:rsidR="00806F54" w:rsidRPr="00BF0FFC" w:rsidRDefault="00806F54" w:rsidP="00BF0FFC">
    <w:pPr>
      <w:pStyle w:val="Encabezado"/>
      <w:jc w:val="right"/>
      <w:rPr>
        <w:rFonts w:ascii="Gill Sans MT" w:hAnsi="Gill Sans MT"/>
        <w:sz w:val="16"/>
        <w:szCs w:val="16"/>
      </w:rPr>
    </w:pPr>
    <w:r w:rsidRPr="00BF0FFC">
      <w:rPr>
        <w:rFonts w:ascii="Gill Sans MT" w:hAnsi="Gill Sans MT"/>
        <w:sz w:val="16"/>
        <w:szCs w:val="16"/>
      </w:rPr>
      <w:t>Solicitud de libertad condicionada</w:t>
    </w:r>
  </w:p>
  <w:p w:rsidR="00806F54" w:rsidRPr="00BF0FFC" w:rsidRDefault="00806F54" w:rsidP="00BF0FFC">
    <w:pPr>
      <w:pStyle w:val="Encabezado"/>
      <w:jc w:val="right"/>
      <w:rPr>
        <w:rFonts w:ascii="Gill Sans MT" w:hAnsi="Gill Sans MT"/>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6E03"/>
    <w:multiLevelType w:val="hybridMultilevel"/>
    <w:tmpl w:val="4468A94C"/>
    <w:lvl w:ilvl="0" w:tplc="96B6537C">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 w15:restartNumberingAfterBreak="0">
    <w:nsid w:val="0C6F3B06"/>
    <w:multiLevelType w:val="hybridMultilevel"/>
    <w:tmpl w:val="99A4BE48"/>
    <w:lvl w:ilvl="0" w:tplc="1AA6A62C">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15:restartNumberingAfterBreak="0">
    <w:nsid w:val="170E31BA"/>
    <w:multiLevelType w:val="hybridMultilevel"/>
    <w:tmpl w:val="39D031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816C28"/>
    <w:multiLevelType w:val="hybridMultilevel"/>
    <w:tmpl w:val="888849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4483337"/>
    <w:multiLevelType w:val="hybridMultilevel"/>
    <w:tmpl w:val="7662EA30"/>
    <w:lvl w:ilvl="0" w:tplc="E8A20C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672AC1"/>
    <w:multiLevelType w:val="hybridMultilevel"/>
    <w:tmpl w:val="3996C262"/>
    <w:lvl w:ilvl="0" w:tplc="426CAFD0">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B337835"/>
    <w:multiLevelType w:val="hybridMultilevel"/>
    <w:tmpl w:val="3D7AFB3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7"/>
    <w:rsid w:val="00002177"/>
    <w:rsid w:val="0001678B"/>
    <w:rsid w:val="000168AD"/>
    <w:rsid w:val="00016BD3"/>
    <w:rsid w:val="00023471"/>
    <w:rsid w:val="0003035C"/>
    <w:rsid w:val="00031A94"/>
    <w:rsid w:val="000371F7"/>
    <w:rsid w:val="00042A2C"/>
    <w:rsid w:val="00043C76"/>
    <w:rsid w:val="00044877"/>
    <w:rsid w:val="00047EE7"/>
    <w:rsid w:val="000508ED"/>
    <w:rsid w:val="00052268"/>
    <w:rsid w:val="00052AAA"/>
    <w:rsid w:val="000542C0"/>
    <w:rsid w:val="00060283"/>
    <w:rsid w:val="000606F4"/>
    <w:rsid w:val="000608D4"/>
    <w:rsid w:val="00061958"/>
    <w:rsid w:val="00073775"/>
    <w:rsid w:val="00075B16"/>
    <w:rsid w:val="00075C79"/>
    <w:rsid w:val="00077212"/>
    <w:rsid w:val="000829BA"/>
    <w:rsid w:val="00082EC2"/>
    <w:rsid w:val="00086336"/>
    <w:rsid w:val="00090229"/>
    <w:rsid w:val="00092347"/>
    <w:rsid w:val="00097741"/>
    <w:rsid w:val="000A0B04"/>
    <w:rsid w:val="000A15E9"/>
    <w:rsid w:val="000B62B5"/>
    <w:rsid w:val="000B64B3"/>
    <w:rsid w:val="000C42AD"/>
    <w:rsid w:val="000C5C6C"/>
    <w:rsid w:val="000C67CC"/>
    <w:rsid w:val="000D2EFA"/>
    <w:rsid w:val="000D33B7"/>
    <w:rsid w:val="000D5B3D"/>
    <w:rsid w:val="000D769B"/>
    <w:rsid w:val="000F3A9E"/>
    <w:rsid w:val="000F5DAF"/>
    <w:rsid w:val="000F7EB6"/>
    <w:rsid w:val="00106193"/>
    <w:rsid w:val="001067DC"/>
    <w:rsid w:val="00106E79"/>
    <w:rsid w:val="0010798B"/>
    <w:rsid w:val="00111BE4"/>
    <w:rsid w:val="00113BF1"/>
    <w:rsid w:val="00122026"/>
    <w:rsid w:val="00123835"/>
    <w:rsid w:val="00125342"/>
    <w:rsid w:val="00126A7C"/>
    <w:rsid w:val="00126FCD"/>
    <w:rsid w:val="00127881"/>
    <w:rsid w:val="001335E8"/>
    <w:rsid w:val="00136B2C"/>
    <w:rsid w:val="00136DA6"/>
    <w:rsid w:val="00140EE1"/>
    <w:rsid w:val="00147D97"/>
    <w:rsid w:val="00162EA8"/>
    <w:rsid w:val="00163375"/>
    <w:rsid w:val="00175A09"/>
    <w:rsid w:val="001766D0"/>
    <w:rsid w:val="00180A13"/>
    <w:rsid w:val="00181D91"/>
    <w:rsid w:val="00183E6A"/>
    <w:rsid w:val="0018708B"/>
    <w:rsid w:val="00194FD8"/>
    <w:rsid w:val="00195E8C"/>
    <w:rsid w:val="001A2F1C"/>
    <w:rsid w:val="001A7DD0"/>
    <w:rsid w:val="001B2B1E"/>
    <w:rsid w:val="001B4701"/>
    <w:rsid w:val="001B48D2"/>
    <w:rsid w:val="001B6A25"/>
    <w:rsid w:val="001B6C23"/>
    <w:rsid w:val="001C24AC"/>
    <w:rsid w:val="001C4725"/>
    <w:rsid w:val="001D1F51"/>
    <w:rsid w:val="001E086A"/>
    <w:rsid w:val="001E6EA9"/>
    <w:rsid w:val="001F00AE"/>
    <w:rsid w:val="001F0312"/>
    <w:rsid w:val="002012CE"/>
    <w:rsid w:val="00204B18"/>
    <w:rsid w:val="002056A8"/>
    <w:rsid w:val="00205D96"/>
    <w:rsid w:val="00206102"/>
    <w:rsid w:val="002062AC"/>
    <w:rsid w:val="00206AC4"/>
    <w:rsid w:val="00207B60"/>
    <w:rsid w:val="002109CC"/>
    <w:rsid w:val="00210F22"/>
    <w:rsid w:val="002115FD"/>
    <w:rsid w:val="002176DA"/>
    <w:rsid w:val="00220247"/>
    <w:rsid w:val="0022088F"/>
    <w:rsid w:val="00221C30"/>
    <w:rsid w:val="00224C97"/>
    <w:rsid w:val="00226D8B"/>
    <w:rsid w:val="00232499"/>
    <w:rsid w:val="0023259D"/>
    <w:rsid w:val="002334AE"/>
    <w:rsid w:val="0023383F"/>
    <w:rsid w:val="0023481D"/>
    <w:rsid w:val="00234BA2"/>
    <w:rsid w:val="002434A4"/>
    <w:rsid w:val="00244703"/>
    <w:rsid w:val="002503BF"/>
    <w:rsid w:val="002508AF"/>
    <w:rsid w:val="00251BCF"/>
    <w:rsid w:val="002535D7"/>
    <w:rsid w:val="002569E9"/>
    <w:rsid w:val="00264916"/>
    <w:rsid w:val="00266AEA"/>
    <w:rsid w:val="002728B6"/>
    <w:rsid w:val="00273700"/>
    <w:rsid w:val="002760E1"/>
    <w:rsid w:val="002801F0"/>
    <w:rsid w:val="00283A2A"/>
    <w:rsid w:val="002943C3"/>
    <w:rsid w:val="002944DD"/>
    <w:rsid w:val="002A0C05"/>
    <w:rsid w:val="002A1429"/>
    <w:rsid w:val="002A791F"/>
    <w:rsid w:val="002B22F9"/>
    <w:rsid w:val="002B3BB7"/>
    <w:rsid w:val="002B3D3B"/>
    <w:rsid w:val="002D21E6"/>
    <w:rsid w:val="002D3910"/>
    <w:rsid w:val="002D46CB"/>
    <w:rsid w:val="002D5EEA"/>
    <w:rsid w:val="002E063E"/>
    <w:rsid w:val="002E1B5C"/>
    <w:rsid w:val="002E3A76"/>
    <w:rsid w:val="002E51D4"/>
    <w:rsid w:val="002E6392"/>
    <w:rsid w:val="002E7DEF"/>
    <w:rsid w:val="002F1BB9"/>
    <w:rsid w:val="002F2C43"/>
    <w:rsid w:val="002F51E8"/>
    <w:rsid w:val="00300975"/>
    <w:rsid w:val="00301069"/>
    <w:rsid w:val="0030272A"/>
    <w:rsid w:val="00305785"/>
    <w:rsid w:val="003076AB"/>
    <w:rsid w:val="0031736D"/>
    <w:rsid w:val="00324C4A"/>
    <w:rsid w:val="0033286E"/>
    <w:rsid w:val="003339E7"/>
    <w:rsid w:val="00336372"/>
    <w:rsid w:val="00342584"/>
    <w:rsid w:val="00342DAD"/>
    <w:rsid w:val="00343B3C"/>
    <w:rsid w:val="0034739F"/>
    <w:rsid w:val="00356769"/>
    <w:rsid w:val="003606AA"/>
    <w:rsid w:val="00365A0A"/>
    <w:rsid w:val="00365DAC"/>
    <w:rsid w:val="00365DF3"/>
    <w:rsid w:val="003677F6"/>
    <w:rsid w:val="0037245C"/>
    <w:rsid w:val="003724CD"/>
    <w:rsid w:val="0037311C"/>
    <w:rsid w:val="0037342B"/>
    <w:rsid w:val="00374B03"/>
    <w:rsid w:val="0037532E"/>
    <w:rsid w:val="003759F2"/>
    <w:rsid w:val="0038345D"/>
    <w:rsid w:val="00385CD6"/>
    <w:rsid w:val="00386327"/>
    <w:rsid w:val="00386580"/>
    <w:rsid w:val="00393D63"/>
    <w:rsid w:val="0039426E"/>
    <w:rsid w:val="003955A0"/>
    <w:rsid w:val="0039584C"/>
    <w:rsid w:val="0039626A"/>
    <w:rsid w:val="003975BD"/>
    <w:rsid w:val="003A0C69"/>
    <w:rsid w:val="003A10B7"/>
    <w:rsid w:val="003A2A5D"/>
    <w:rsid w:val="003A4792"/>
    <w:rsid w:val="003A4961"/>
    <w:rsid w:val="003A731F"/>
    <w:rsid w:val="003A7964"/>
    <w:rsid w:val="003B04DE"/>
    <w:rsid w:val="003B09B4"/>
    <w:rsid w:val="003B1B18"/>
    <w:rsid w:val="003B1D12"/>
    <w:rsid w:val="003B2183"/>
    <w:rsid w:val="003B2307"/>
    <w:rsid w:val="003B2EA1"/>
    <w:rsid w:val="003B3D16"/>
    <w:rsid w:val="003B4711"/>
    <w:rsid w:val="003B5F87"/>
    <w:rsid w:val="003B684F"/>
    <w:rsid w:val="003B788E"/>
    <w:rsid w:val="003C1D91"/>
    <w:rsid w:val="003C1DD7"/>
    <w:rsid w:val="003C4751"/>
    <w:rsid w:val="003C4B30"/>
    <w:rsid w:val="003C57AB"/>
    <w:rsid w:val="003C5A47"/>
    <w:rsid w:val="003D1EE2"/>
    <w:rsid w:val="003D24D5"/>
    <w:rsid w:val="003D30C9"/>
    <w:rsid w:val="003D3F01"/>
    <w:rsid w:val="003E2215"/>
    <w:rsid w:val="003E60D4"/>
    <w:rsid w:val="003E6847"/>
    <w:rsid w:val="003E6992"/>
    <w:rsid w:val="003F030A"/>
    <w:rsid w:val="003F2159"/>
    <w:rsid w:val="003F63B1"/>
    <w:rsid w:val="003F7EB8"/>
    <w:rsid w:val="00403958"/>
    <w:rsid w:val="00403AEA"/>
    <w:rsid w:val="00405DB1"/>
    <w:rsid w:val="0040636A"/>
    <w:rsid w:val="004066DD"/>
    <w:rsid w:val="00407B35"/>
    <w:rsid w:val="004109DD"/>
    <w:rsid w:val="00412FA2"/>
    <w:rsid w:val="00413ED4"/>
    <w:rsid w:val="00416736"/>
    <w:rsid w:val="004213FF"/>
    <w:rsid w:val="00424663"/>
    <w:rsid w:val="00432C23"/>
    <w:rsid w:val="00441857"/>
    <w:rsid w:val="00441974"/>
    <w:rsid w:val="00442323"/>
    <w:rsid w:val="00442A52"/>
    <w:rsid w:val="00442BBD"/>
    <w:rsid w:val="004468A5"/>
    <w:rsid w:val="00451A45"/>
    <w:rsid w:val="00463F7F"/>
    <w:rsid w:val="00466DAA"/>
    <w:rsid w:val="00470536"/>
    <w:rsid w:val="00470F3A"/>
    <w:rsid w:val="004723E0"/>
    <w:rsid w:val="00473741"/>
    <w:rsid w:val="00486467"/>
    <w:rsid w:val="00496304"/>
    <w:rsid w:val="004966E7"/>
    <w:rsid w:val="004A660F"/>
    <w:rsid w:val="004B2B6A"/>
    <w:rsid w:val="004B7363"/>
    <w:rsid w:val="004B7B77"/>
    <w:rsid w:val="004C211F"/>
    <w:rsid w:val="004C53E6"/>
    <w:rsid w:val="004C700A"/>
    <w:rsid w:val="004D00E4"/>
    <w:rsid w:val="004D1134"/>
    <w:rsid w:val="004D163D"/>
    <w:rsid w:val="004D30B8"/>
    <w:rsid w:val="004D6582"/>
    <w:rsid w:val="004F4B54"/>
    <w:rsid w:val="004F637F"/>
    <w:rsid w:val="004F67CD"/>
    <w:rsid w:val="00500BD9"/>
    <w:rsid w:val="00500CDA"/>
    <w:rsid w:val="005109E1"/>
    <w:rsid w:val="0051208C"/>
    <w:rsid w:val="0051248A"/>
    <w:rsid w:val="00514180"/>
    <w:rsid w:val="0052058F"/>
    <w:rsid w:val="005275DC"/>
    <w:rsid w:val="00527B27"/>
    <w:rsid w:val="00532863"/>
    <w:rsid w:val="00540073"/>
    <w:rsid w:val="00543255"/>
    <w:rsid w:val="00543D39"/>
    <w:rsid w:val="005443D4"/>
    <w:rsid w:val="00544EDC"/>
    <w:rsid w:val="00545B6C"/>
    <w:rsid w:val="0054729A"/>
    <w:rsid w:val="005517DF"/>
    <w:rsid w:val="00552203"/>
    <w:rsid w:val="005559C2"/>
    <w:rsid w:val="005565AB"/>
    <w:rsid w:val="005574B5"/>
    <w:rsid w:val="005577F7"/>
    <w:rsid w:val="00562606"/>
    <w:rsid w:val="00562D0A"/>
    <w:rsid w:val="00563173"/>
    <w:rsid w:val="00563471"/>
    <w:rsid w:val="00567187"/>
    <w:rsid w:val="0056791F"/>
    <w:rsid w:val="00567948"/>
    <w:rsid w:val="005709AF"/>
    <w:rsid w:val="005714AB"/>
    <w:rsid w:val="005718A7"/>
    <w:rsid w:val="00571A4C"/>
    <w:rsid w:val="00576924"/>
    <w:rsid w:val="0057770B"/>
    <w:rsid w:val="00577E60"/>
    <w:rsid w:val="00582296"/>
    <w:rsid w:val="0058656A"/>
    <w:rsid w:val="00591F2C"/>
    <w:rsid w:val="00591FD7"/>
    <w:rsid w:val="005921B6"/>
    <w:rsid w:val="00592F5E"/>
    <w:rsid w:val="00595990"/>
    <w:rsid w:val="0059753D"/>
    <w:rsid w:val="005A3DBD"/>
    <w:rsid w:val="005B32B9"/>
    <w:rsid w:val="005B665C"/>
    <w:rsid w:val="005C3FC7"/>
    <w:rsid w:val="005C5F78"/>
    <w:rsid w:val="005D128E"/>
    <w:rsid w:val="005D39F8"/>
    <w:rsid w:val="005E13E7"/>
    <w:rsid w:val="005E3664"/>
    <w:rsid w:val="005F1AFB"/>
    <w:rsid w:val="005F3441"/>
    <w:rsid w:val="005F3B29"/>
    <w:rsid w:val="005F7725"/>
    <w:rsid w:val="005F7983"/>
    <w:rsid w:val="00601E54"/>
    <w:rsid w:val="006074C0"/>
    <w:rsid w:val="00610B59"/>
    <w:rsid w:val="0061175A"/>
    <w:rsid w:val="00612375"/>
    <w:rsid w:val="00621084"/>
    <w:rsid w:val="00623613"/>
    <w:rsid w:val="00623AEE"/>
    <w:rsid w:val="006374FF"/>
    <w:rsid w:val="00641F96"/>
    <w:rsid w:val="00646B89"/>
    <w:rsid w:val="006561BF"/>
    <w:rsid w:val="00656821"/>
    <w:rsid w:val="00656870"/>
    <w:rsid w:val="00657183"/>
    <w:rsid w:val="00657265"/>
    <w:rsid w:val="00660187"/>
    <w:rsid w:val="0066161A"/>
    <w:rsid w:val="006655F6"/>
    <w:rsid w:val="00665958"/>
    <w:rsid w:val="006703B5"/>
    <w:rsid w:val="0067064E"/>
    <w:rsid w:val="00670D1F"/>
    <w:rsid w:val="0068525D"/>
    <w:rsid w:val="00691126"/>
    <w:rsid w:val="006911C9"/>
    <w:rsid w:val="006976D8"/>
    <w:rsid w:val="006A0857"/>
    <w:rsid w:val="006A16EB"/>
    <w:rsid w:val="006A1AD9"/>
    <w:rsid w:val="006B0609"/>
    <w:rsid w:val="006B3D6C"/>
    <w:rsid w:val="006B4753"/>
    <w:rsid w:val="006B51E7"/>
    <w:rsid w:val="006B72A5"/>
    <w:rsid w:val="006C211B"/>
    <w:rsid w:val="006C2BFF"/>
    <w:rsid w:val="006C7FE8"/>
    <w:rsid w:val="006D1779"/>
    <w:rsid w:val="006D6664"/>
    <w:rsid w:val="006E17AC"/>
    <w:rsid w:val="006E2465"/>
    <w:rsid w:val="006E34D2"/>
    <w:rsid w:val="006F05FF"/>
    <w:rsid w:val="006F0BA3"/>
    <w:rsid w:val="006F362B"/>
    <w:rsid w:val="006F678A"/>
    <w:rsid w:val="00701DAE"/>
    <w:rsid w:val="0070691A"/>
    <w:rsid w:val="0071077B"/>
    <w:rsid w:val="007116B6"/>
    <w:rsid w:val="00714C33"/>
    <w:rsid w:val="00715120"/>
    <w:rsid w:val="00715932"/>
    <w:rsid w:val="00715C2E"/>
    <w:rsid w:val="0071618C"/>
    <w:rsid w:val="00717067"/>
    <w:rsid w:val="00720121"/>
    <w:rsid w:val="00721DA0"/>
    <w:rsid w:val="007230ED"/>
    <w:rsid w:val="0072423C"/>
    <w:rsid w:val="007306BB"/>
    <w:rsid w:val="00730AC4"/>
    <w:rsid w:val="007362DA"/>
    <w:rsid w:val="0073699C"/>
    <w:rsid w:val="00736EE0"/>
    <w:rsid w:val="00740D9A"/>
    <w:rsid w:val="007423EB"/>
    <w:rsid w:val="00743980"/>
    <w:rsid w:val="007453C1"/>
    <w:rsid w:val="007453CA"/>
    <w:rsid w:val="007470CF"/>
    <w:rsid w:val="00750B00"/>
    <w:rsid w:val="00750C1B"/>
    <w:rsid w:val="00752385"/>
    <w:rsid w:val="00753D27"/>
    <w:rsid w:val="0075495C"/>
    <w:rsid w:val="00760F92"/>
    <w:rsid w:val="007642EA"/>
    <w:rsid w:val="007705E0"/>
    <w:rsid w:val="00771C74"/>
    <w:rsid w:val="007748D6"/>
    <w:rsid w:val="0077760E"/>
    <w:rsid w:val="00781BC3"/>
    <w:rsid w:val="00785AD6"/>
    <w:rsid w:val="00787977"/>
    <w:rsid w:val="00790A33"/>
    <w:rsid w:val="007958B2"/>
    <w:rsid w:val="00795F9A"/>
    <w:rsid w:val="00797C16"/>
    <w:rsid w:val="00797F70"/>
    <w:rsid w:val="007A13E3"/>
    <w:rsid w:val="007A21EF"/>
    <w:rsid w:val="007A4892"/>
    <w:rsid w:val="007A6407"/>
    <w:rsid w:val="007B017E"/>
    <w:rsid w:val="007B412C"/>
    <w:rsid w:val="007B5335"/>
    <w:rsid w:val="007B5CC4"/>
    <w:rsid w:val="007C1D24"/>
    <w:rsid w:val="007C225F"/>
    <w:rsid w:val="007C391F"/>
    <w:rsid w:val="007C516F"/>
    <w:rsid w:val="007C63FC"/>
    <w:rsid w:val="007D61C7"/>
    <w:rsid w:val="007D65A2"/>
    <w:rsid w:val="007D7AE3"/>
    <w:rsid w:val="007E0476"/>
    <w:rsid w:val="007F3266"/>
    <w:rsid w:val="00801821"/>
    <w:rsid w:val="00802341"/>
    <w:rsid w:val="00803595"/>
    <w:rsid w:val="00803EEA"/>
    <w:rsid w:val="00805EB2"/>
    <w:rsid w:val="00806F54"/>
    <w:rsid w:val="00814568"/>
    <w:rsid w:val="008205AB"/>
    <w:rsid w:val="0082169A"/>
    <w:rsid w:val="00822808"/>
    <w:rsid w:val="00822919"/>
    <w:rsid w:val="00827951"/>
    <w:rsid w:val="00837B72"/>
    <w:rsid w:val="008409B0"/>
    <w:rsid w:val="00844AFE"/>
    <w:rsid w:val="00847559"/>
    <w:rsid w:val="0084773E"/>
    <w:rsid w:val="008503A8"/>
    <w:rsid w:val="0085179E"/>
    <w:rsid w:val="008528DF"/>
    <w:rsid w:val="008561FA"/>
    <w:rsid w:val="00856DCC"/>
    <w:rsid w:val="00857773"/>
    <w:rsid w:val="0086034E"/>
    <w:rsid w:val="008610FF"/>
    <w:rsid w:val="00861BB0"/>
    <w:rsid w:val="0086430B"/>
    <w:rsid w:val="00864C97"/>
    <w:rsid w:val="0086556F"/>
    <w:rsid w:val="00865F6D"/>
    <w:rsid w:val="00866729"/>
    <w:rsid w:val="008675D5"/>
    <w:rsid w:val="00873587"/>
    <w:rsid w:val="00876992"/>
    <w:rsid w:val="00877755"/>
    <w:rsid w:val="008778C9"/>
    <w:rsid w:val="00877D6B"/>
    <w:rsid w:val="008839F7"/>
    <w:rsid w:val="00884BE4"/>
    <w:rsid w:val="00891CD9"/>
    <w:rsid w:val="00896BD2"/>
    <w:rsid w:val="0089774B"/>
    <w:rsid w:val="008A0355"/>
    <w:rsid w:val="008A0388"/>
    <w:rsid w:val="008A0BB4"/>
    <w:rsid w:val="008A2242"/>
    <w:rsid w:val="008A30A0"/>
    <w:rsid w:val="008A4E47"/>
    <w:rsid w:val="008B068F"/>
    <w:rsid w:val="008B08E8"/>
    <w:rsid w:val="008B2C1C"/>
    <w:rsid w:val="008B38CD"/>
    <w:rsid w:val="008B5405"/>
    <w:rsid w:val="008B7357"/>
    <w:rsid w:val="008B74A0"/>
    <w:rsid w:val="008C197A"/>
    <w:rsid w:val="008C4188"/>
    <w:rsid w:val="008C45BE"/>
    <w:rsid w:val="008C6640"/>
    <w:rsid w:val="008D0A74"/>
    <w:rsid w:val="008D3283"/>
    <w:rsid w:val="008D6E7A"/>
    <w:rsid w:val="008D7090"/>
    <w:rsid w:val="008E05B0"/>
    <w:rsid w:val="008E2D8D"/>
    <w:rsid w:val="008E3639"/>
    <w:rsid w:val="008E45ED"/>
    <w:rsid w:val="008F102F"/>
    <w:rsid w:val="008F3BC0"/>
    <w:rsid w:val="009003F7"/>
    <w:rsid w:val="009010BC"/>
    <w:rsid w:val="009012AC"/>
    <w:rsid w:val="00901367"/>
    <w:rsid w:val="0090188B"/>
    <w:rsid w:val="00902913"/>
    <w:rsid w:val="009031D9"/>
    <w:rsid w:val="009035D7"/>
    <w:rsid w:val="0090378E"/>
    <w:rsid w:val="00905E74"/>
    <w:rsid w:val="00906261"/>
    <w:rsid w:val="00911789"/>
    <w:rsid w:val="00912258"/>
    <w:rsid w:val="009133EB"/>
    <w:rsid w:val="00915075"/>
    <w:rsid w:val="009152AB"/>
    <w:rsid w:val="00916959"/>
    <w:rsid w:val="00922458"/>
    <w:rsid w:val="00922AA1"/>
    <w:rsid w:val="00927EE4"/>
    <w:rsid w:val="00930C67"/>
    <w:rsid w:val="00937615"/>
    <w:rsid w:val="009410D1"/>
    <w:rsid w:val="00942205"/>
    <w:rsid w:val="009423E7"/>
    <w:rsid w:val="0094674E"/>
    <w:rsid w:val="00950430"/>
    <w:rsid w:val="00953BA8"/>
    <w:rsid w:val="0095588A"/>
    <w:rsid w:val="00956EDA"/>
    <w:rsid w:val="00957F7A"/>
    <w:rsid w:val="009605FE"/>
    <w:rsid w:val="00960DE3"/>
    <w:rsid w:val="00965EAA"/>
    <w:rsid w:val="00974741"/>
    <w:rsid w:val="00975337"/>
    <w:rsid w:val="0097576E"/>
    <w:rsid w:val="009760EC"/>
    <w:rsid w:val="00977324"/>
    <w:rsid w:val="00981702"/>
    <w:rsid w:val="00987588"/>
    <w:rsid w:val="00987CB1"/>
    <w:rsid w:val="0099336C"/>
    <w:rsid w:val="00993488"/>
    <w:rsid w:val="009A20A5"/>
    <w:rsid w:val="009A399D"/>
    <w:rsid w:val="009A4508"/>
    <w:rsid w:val="009A566E"/>
    <w:rsid w:val="009B0136"/>
    <w:rsid w:val="009B1288"/>
    <w:rsid w:val="009B500D"/>
    <w:rsid w:val="009C14C3"/>
    <w:rsid w:val="009C3F0A"/>
    <w:rsid w:val="009C5F90"/>
    <w:rsid w:val="009C76F2"/>
    <w:rsid w:val="009D0629"/>
    <w:rsid w:val="009D44A4"/>
    <w:rsid w:val="009D5A61"/>
    <w:rsid w:val="009D5CE4"/>
    <w:rsid w:val="009D7E10"/>
    <w:rsid w:val="009E2564"/>
    <w:rsid w:val="009E536F"/>
    <w:rsid w:val="009E5DB1"/>
    <w:rsid w:val="009E6CE5"/>
    <w:rsid w:val="009E79BB"/>
    <w:rsid w:val="009F0530"/>
    <w:rsid w:val="009F3266"/>
    <w:rsid w:val="009F4EE2"/>
    <w:rsid w:val="009F7E83"/>
    <w:rsid w:val="00A00706"/>
    <w:rsid w:val="00A00FAD"/>
    <w:rsid w:val="00A143DB"/>
    <w:rsid w:val="00A151F5"/>
    <w:rsid w:val="00A244A4"/>
    <w:rsid w:val="00A25F8C"/>
    <w:rsid w:val="00A31C54"/>
    <w:rsid w:val="00A31FD1"/>
    <w:rsid w:val="00A33219"/>
    <w:rsid w:val="00A337C4"/>
    <w:rsid w:val="00A34711"/>
    <w:rsid w:val="00A347B0"/>
    <w:rsid w:val="00A41D82"/>
    <w:rsid w:val="00A44F19"/>
    <w:rsid w:val="00A44F38"/>
    <w:rsid w:val="00A45CCD"/>
    <w:rsid w:val="00A5158B"/>
    <w:rsid w:val="00A51769"/>
    <w:rsid w:val="00A5382D"/>
    <w:rsid w:val="00A54FE8"/>
    <w:rsid w:val="00A600C4"/>
    <w:rsid w:val="00A6386E"/>
    <w:rsid w:val="00A63DBE"/>
    <w:rsid w:val="00A76056"/>
    <w:rsid w:val="00A769DE"/>
    <w:rsid w:val="00A87172"/>
    <w:rsid w:val="00A9096B"/>
    <w:rsid w:val="00A917AC"/>
    <w:rsid w:val="00A9276E"/>
    <w:rsid w:val="00A93F5A"/>
    <w:rsid w:val="00AA2E29"/>
    <w:rsid w:val="00AA3226"/>
    <w:rsid w:val="00AA730F"/>
    <w:rsid w:val="00AA787E"/>
    <w:rsid w:val="00AB6E1A"/>
    <w:rsid w:val="00AB708E"/>
    <w:rsid w:val="00AB7124"/>
    <w:rsid w:val="00AC4442"/>
    <w:rsid w:val="00AD2D88"/>
    <w:rsid w:val="00AD5F9B"/>
    <w:rsid w:val="00AD676B"/>
    <w:rsid w:val="00AD680D"/>
    <w:rsid w:val="00AE466B"/>
    <w:rsid w:val="00AF010B"/>
    <w:rsid w:val="00AF56E8"/>
    <w:rsid w:val="00B03092"/>
    <w:rsid w:val="00B037D6"/>
    <w:rsid w:val="00B03830"/>
    <w:rsid w:val="00B049F1"/>
    <w:rsid w:val="00B07788"/>
    <w:rsid w:val="00B160D7"/>
    <w:rsid w:val="00B20E7F"/>
    <w:rsid w:val="00B262D6"/>
    <w:rsid w:val="00B27404"/>
    <w:rsid w:val="00B3010A"/>
    <w:rsid w:val="00B34CC9"/>
    <w:rsid w:val="00B41B07"/>
    <w:rsid w:val="00B42F4F"/>
    <w:rsid w:val="00B44C29"/>
    <w:rsid w:val="00B45297"/>
    <w:rsid w:val="00B45DCE"/>
    <w:rsid w:val="00B46033"/>
    <w:rsid w:val="00B556F8"/>
    <w:rsid w:val="00B64CAE"/>
    <w:rsid w:val="00B66CEA"/>
    <w:rsid w:val="00B674AE"/>
    <w:rsid w:val="00B736FB"/>
    <w:rsid w:val="00B74394"/>
    <w:rsid w:val="00B75CC7"/>
    <w:rsid w:val="00B81065"/>
    <w:rsid w:val="00B87B89"/>
    <w:rsid w:val="00B959D0"/>
    <w:rsid w:val="00BA019D"/>
    <w:rsid w:val="00BA16AB"/>
    <w:rsid w:val="00BA2815"/>
    <w:rsid w:val="00BA3D20"/>
    <w:rsid w:val="00BA514C"/>
    <w:rsid w:val="00BB0324"/>
    <w:rsid w:val="00BB24E6"/>
    <w:rsid w:val="00BB4BEC"/>
    <w:rsid w:val="00BB5F49"/>
    <w:rsid w:val="00BC085F"/>
    <w:rsid w:val="00BC6D10"/>
    <w:rsid w:val="00BD1C89"/>
    <w:rsid w:val="00BD517A"/>
    <w:rsid w:val="00BD518E"/>
    <w:rsid w:val="00BD6F22"/>
    <w:rsid w:val="00BE2431"/>
    <w:rsid w:val="00BE6606"/>
    <w:rsid w:val="00BF057E"/>
    <w:rsid w:val="00BF0FFC"/>
    <w:rsid w:val="00BF4165"/>
    <w:rsid w:val="00C00F89"/>
    <w:rsid w:val="00C019FB"/>
    <w:rsid w:val="00C042C8"/>
    <w:rsid w:val="00C048A4"/>
    <w:rsid w:val="00C104AE"/>
    <w:rsid w:val="00C10F18"/>
    <w:rsid w:val="00C11DA3"/>
    <w:rsid w:val="00C16B00"/>
    <w:rsid w:val="00C20AB7"/>
    <w:rsid w:val="00C22441"/>
    <w:rsid w:val="00C23BA9"/>
    <w:rsid w:val="00C253F9"/>
    <w:rsid w:val="00C25DDF"/>
    <w:rsid w:val="00C34BBC"/>
    <w:rsid w:val="00C3779A"/>
    <w:rsid w:val="00C41319"/>
    <w:rsid w:val="00C43A3D"/>
    <w:rsid w:val="00C463EA"/>
    <w:rsid w:val="00C47052"/>
    <w:rsid w:val="00C47062"/>
    <w:rsid w:val="00C51880"/>
    <w:rsid w:val="00C65F63"/>
    <w:rsid w:val="00C72AA9"/>
    <w:rsid w:val="00C7485E"/>
    <w:rsid w:val="00C75BCE"/>
    <w:rsid w:val="00C76002"/>
    <w:rsid w:val="00C80941"/>
    <w:rsid w:val="00C8126D"/>
    <w:rsid w:val="00C8564D"/>
    <w:rsid w:val="00C87535"/>
    <w:rsid w:val="00C87FA0"/>
    <w:rsid w:val="00C92869"/>
    <w:rsid w:val="00C93D2B"/>
    <w:rsid w:val="00C975AB"/>
    <w:rsid w:val="00CA0FDA"/>
    <w:rsid w:val="00CA2330"/>
    <w:rsid w:val="00CA29CC"/>
    <w:rsid w:val="00CA553B"/>
    <w:rsid w:val="00CA65EA"/>
    <w:rsid w:val="00CA7F0E"/>
    <w:rsid w:val="00CB003E"/>
    <w:rsid w:val="00CB6520"/>
    <w:rsid w:val="00CC4CD7"/>
    <w:rsid w:val="00CD16BF"/>
    <w:rsid w:val="00CD446B"/>
    <w:rsid w:val="00CE0363"/>
    <w:rsid w:val="00CE0762"/>
    <w:rsid w:val="00CE4B43"/>
    <w:rsid w:val="00CE4E12"/>
    <w:rsid w:val="00CE5D5C"/>
    <w:rsid w:val="00CF0799"/>
    <w:rsid w:val="00CF7EDD"/>
    <w:rsid w:val="00D07561"/>
    <w:rsid w:val="00D14123"/>
    <w:rsid w:val="00D144EB"/>
    <w:rsid w:val="00D1790E"/>
    <w:rsid w:val="00D22E10"/>
    <w:rsid w:val="00D244E7"/>
    <w:rsid w:val="00D2544E"/>
    <w:rsid w:val="00D25574"/>
    <w:rsid w:val="00D25C3D"/>
    <w:rsid w:val="00D26805"/>
    <w:rsid w:val="00D30681"/>
    <w:rsid w:val="00D310F6"/>
    <w:rsid w:val="00D32403"/>
    <w:rsid w:val="00D326EC"/>
    <w:rsid w:val="00D3468C"/>
    <w:rsid w:val="00D353FA"/>
    <w:rsid w:val="00D35586"/>
    <w:rsid w:val="00D35E2D"/>
    <w:rsid w:val="00D35F97"/>
    <w:rsid w:val="00D41522"/>
    <w:rsid w:val="00D427E1"/>
    <w:rsid w:val="00D435F7"/>
    <w:rsid w:val="00D47FC5"/>
    <w:rsid w:val="00D62B68"/>
    <w:rsid w:val="00D62FFC"/>
    <w:rsid w:val="00D65895"/>
    <w:rsid w:val="00D671AE"/>
    <w:rsid w:val="00D7123F"/>
    <w:rsid w:val="00D715C8"/>
    <w:rsid w:val="00D7266C"/>
    <w:rsid w:val="00D82155"/>
    <w:rsid w:val="00D821A1"/>
    <w:rsid w:val="00D842E3"/>
    <w:rsid w:val="00D8638A"/>
    <w:rsid w:val="00D87B05"/>
    <w:rsid w:val="00D9237A"/>
    <w:rsid w:val="00D94E7B"/>
    <w:rsid w:val="00D955DD"/>
    <w:rsid w:val="00D95EE7"/>
    <w:rsid w:val="00D97DB6"/>
    <w:rsid w:val="00DA43EE"/>
    <w:rsid w:val="00DA6BE0"/>
    <w:rsid w:val="00DA7168"/>
    <w:rsid w:val="00DA78D1"/>
    <w:rsid w:val="00DC086A"/>
    <w:rsid w:val="00DC2C13"/>
    <w:rsid w:val="00DC63BA"/>
    <w:rsid w:val="00DC7AE4"/>
    <w:rsid w:val="00DD5A77"/>
    <w:rsid w:val="00DD65A2"/>
    <w:rsid w:val="00DE23D3"/>
    <w:rsid w:val="00DE254D"/>
    <w:rsid w:val="00DE4EBE"/>
    <w:rsid w:val="00DE5D14"/>
    <w:rsid w:val="00DE5E46"/>
    <w:rsid w:val="00DF120B"/>
    <w:rsid w:val="00DF60AA"/>
    <w:rsid w:val="00DF60E6"/>
    <w:rsid w:val="00E00FFB"/>
    <w:rsid w:val="00E01531"/>
    <w:rsid w:val="00E07707"/>
    <w:rsid w:val="00E1463A"/>
    <w:rsid w:val="00E15FB3"/>
    <w:rsid w:val="00E21615"/>
    <w:rsid w:val="00E220DD"/>
    <w:rsid w:val="00E2386E"/>
    <w:rsid w:val="00E24173"/>
    <w:rsid w:val="00E249FE"/>
    <w:rsid w:val="00E258AA"/>
    <w:rsid w:val="00E276FE"/>
    <w:rsid w:val="00E30003"/>
    <w:rsid w:val="00E33B31"/>
    <w:rsid w:val="00E33DDD"/>
    <w:rsid w:val="00E342F5"/>
    <w:rsid w:val="00E354DC"/>
    <w:rsid w:val="00E3755F"/>
    <w:rsid w:val="00E375F2"/>
    <w:rsid w:val="00E43F0B"/>
    <w:rsid w:val="00E46CD8"/>
    <w:rsid w:val="00E46CE7"/>
    <w:rsid w:val="00E508CB"/>
    <w:rsid w:val="00E529C7"/>
    <w:rsid w:val="00E53A12"/>
    <w:rsid w:val="00E616E3"/>
    <w:rsid w:val="00E61AD5"/>
    <w:rsid w:val="00E633F6"/>
    <w:rsid w:val="00E636A7"/>
    <w:rsid w:val="00E63ABE"/>
    <w:rsid w:val="00E63B1B"/>
    <w:rsid w:val="00E70FE3"/>
    <w:rsid w:val="00E81AAF"/>
    <w:rsid w:val="00E8426D"/>
    <w:rsid w:val="00E8503A"/>
    <w:rsid w:val="00E86BB6"/>
    <w:rsid w:val="00E87210"/>
    <w:rsid w:val="00E87405"/>
    <w:rsid w:val="00E9005F"/>
    <w:rsid w:val="00E92D8B"/>
    <w:rsid w:val="00E931DE"/>
    <w:rsid w:val="00E95861"/>
    <w:rsid w:val="00E96CE5"/>
    <w:rsid w:val="00E97B2F"/>
    <w:rsid w:val="00EA3E3A"/>
    <w:rsid w:val="00EA4A7F"/>
    <w:rsid w:val="00EB1958"/>
    <w:rsid w:val="00EB335B"/>
    <w:rsid w:val="00EB341B"/>
    <w:rsid w:val="00EB4E63"/>
    <w:rsid w:val="00EB6610"/>
    <w:rsid w:val="00EC4479"/>
    <w:rsid w:val="00ED5908"/>
    <w:rsid w:val="00EE130B"/>
    <w:rsid w:val="00EE14E8"/>
    <w:rsid w:val="00EE1636"/>
    <w:rsid w:val="00EE3D84"/>
    <w:rsid w:val="00EE6005"/>
    <w:rsid w:val="00EE7CCE"/>
    <w:rsid w:val="00EF0166"/>
    <w:rsid w:val="00EF066A"/>
    <w:rsid w:val="00EF4503"/>
    <w:rsid w:val="00EF79CB"/>
    <w:rsid w:val="00F00219"/>
    <w:rsid w:val="00F00650"/>
    <w:rsid w:val="00F00CA2"/>
    <w:rsid w:val="00F12EE6"/>
    <w:rsid w:val="00F17B8D"/>
    <w:rsid w:val="00F21886"/>
    <w:rsid w:val="00F25CB9"/>
    <w:rsid w:val="00F262C2"/>
    <w:rsid w:val="00F32FB4"/>
    <w:rsid w:val="00F34730"/>
    <w:rsid w:val="00F36CC7"/>
    <w:rsid w:val="00F404DF"/>
    <w:rsid w:val="00F404EB"/>
    <w:rsid w:val="00F44127"/>
    <w:rsid w:val="00F4513D"/>
    <w:rsid w:val="00F45EE2"/>
    <w:rsid w:val="00F46E34"/>
    <w:rsid w:val="00F47465"/>
    <w:rsid w:val="00F5330D"/>
    <w:rsid w:val="00F60BCA"/>
    <w:rsid w:val="00F628B1"/>
    <w:rsid w:val="00F638AF"/>
    <w:rsid w:val="00F66746"/>
    <w:rsid w:val="00F67647"/>
    <w:rsid w:val="00F71036"/>
    <w:rsid w:val="00F719ED"/>
    <w:rsid w:val="00F72C43"/>
    <w:rsid w:val="00F740F0"/>
    <w:rsid w:val="00F74D80"/>
    <w:rsid w:val="00F7647B"/>
    <w:rsid w:val="00F80D45"/>
    <w:rsid w:val="00F82E5C"/>
    <w:rsid w:val="00F85E3A"/>
    <w:rsid w:val="00F94DCC"/>
    <w:rsid w:val="00F94E51"/>
    <w:rsid w:val="00F95256"/>
    <w:rsid w:val="00F96845"/>
    <w:rsid w:val="00FA052F"/>
    <w:rsid w:val="00FA3447"/>
    <w:rsid w:val="00FB0165"/>
    <w:rsid w:val="00FC31F5"/>
    <w:rsid w:val="00FC579E"/>
    <w:rsid w:val="00FD1E00"/>
    <w:rsid w:val="00FD2D5C"/>
    <w:rsid w:val="00FD5E11"/>
    <w:rsid w:val="00FD6036"/>
    <w:rsid w:val="00FD672D"/>
    <w:rsid w:val="00FD6B00"/>
    <w:rsid w:val="00FD7E57"/>
    <w:rsid w:val="00FE21B0"/>
    <w:rsid w:val="00FE79B3"/>
    <w:rsid w:val="00FF3C6B"/>
    <w:rsid w:val="00FF3C79"/>
    <w:rsid w:val="00FF3EA3"/>
    <w:rsid w:val="00FF69AB"/>
    <w:rsid w:val="00FF7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94C38B-A325-4D7B-8390-1BADE9A9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AB7"/>
  </w:style>
  <w:style w:type="paragraph" w:styleId="Ttulo4">
    <w:name w:val="heading 4"/>
    <w:basedOn w:val="Normal"/>
    <w:next w:val="Normal"/>
    <w:link w:val="Ttulo4Car"/>
    <w:qFormat/>
    <w:rsid w:val="00806F54"/>
    <w:pPr>
      <w:keepNext/>
      <w:spacing w:before="240" w:after="60" w:line="240" w:lineRule="auto"/>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elitos,Lista vistosa - Énfasis 11"/>
    <w:basedOn w:val="Normal"/>
    <w:link w:val="PrrafodelistaCar"/>
    <w:uiPriority w:val="34"/>
    <w:qFormat/>
    <w:rsid w:val="00C20AB7"/>
    <w:pPr>
      <w:ind w:left="720"/>
      <w:contextualSpacing/>
    </w:pPr>
  </w:style>
  <w:style w:type="paragraph" w:styleId="Sinespaciado">
    <w:name w:val="No Spacing"/>
    <w:link w:val="SinespaciadoCar"/>
    <w:uiPriority w:val="1"/>
    <w:qFormat/>
    <w:rsid w:val="00C65F63"/>
    <w:pPr>
      <w:spacing w:after="0" w:line="240" w:lineRule="auto"/>
      <w:jc w:val="both"/>
    </w:pPr>
    <w:rPr>
      <w:rFonts w:ascii="Malgun Gothic" w:eastAsia="Malgun Gothic" w:hAnsi="Malgun Gothic" w:cs="Times New Roman"/>
      <w:szCs w:val="20"/>
      <w:lang w:val="es-ES_tradnl" w:eastAsia="es-CO"/>
    </w:rPr>
  </w:style>
  <w:style w:type="character" w:customStyle="1" w:styleId="SinespaciadoCar">
    <w:name w:val="Sin espaciado Car"/>
    <w:link w:val="Sinespaciado"/>
    <w:uiPriority w:val="1"/>
    <w:locked/>
    <w:rsid w:val="00C65F63"/>
    <w:rPr>
      <w:rFonts w:ascii="Malgun Gothic" w:eastAsia="Malgun Gothic" w:hAnsi="Malgun Gothic" w:cs="Times New Roman"/>
      <w:szCs w:val="20"/>
      <w:lang w:val="es-ES_tradnl" w:eastAsia="es-CO"/>
    </w:rPr>
  </w:style>
  <w:style w:type="paragraph" w:styleId="Textonotapie">
    <w:name w:val="footnote text"/>
    <w:aliases w:val="Footnote Text Char Char Char Char Char,Footnote Text Char Char Char Char,Footnote reference,FA Fu,Footnote Text Char Char Char,texto de nota al pie,Texto nota pie Car Car Car,Texto nota pie Car Car Car Car Car Car Car Car Car Car Car,Car"/>
    <w:basedOn w:val="Normal"/>
    <w:link w:val="TextonotapieCar"/>
    <w:uiPriority w:val="99"/>
    <w:unhideWhenUsed/>
    <w:qFormat/>
    <w:rsid w:val="003B04DE"/>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Texto nota pie Car Car Car Car,Car Car"/>
    <w:basedOn w:val="Fuentedeprrafopredeter"/>
    <w:link w:val="Textonotapie"/>
    <w:uiPriority w:val="99"/>
    <w:rsid w:val="003B04DE"/>
    <w:rPr>
      <w:rFonts w:ascii="Calibri" w:eastAsia="Calibri" w:hAnsi="Calibri" w:cs="Times New Roman"/>
      <w:sz w:val="20"/>
      <w:szCs w:val="20"/>
    </w:rPr>
  </w:style>
  <w:style w:type="character" w:styleId="Refdenotaalpie">
    <w:name w:val="footnote reference"/>
    <w:aliases w:val="Texto de nota al pie,referencia nota al pie,Appel note de bas de page,BVI fnr,Footnote symbol,Footnote,Ref. de nota al pie2,Nota de pie,Ref,de nota al pie,Pie de pagina,Ref. ...,Ref1,FC,Footnote Text Char1 Car Car Car Car,4_G,f,16 Po"/>
    <w:basedOn w:val="Fuentedeprrafopredeter"/>
    <w:uiPriority w:val="99"/>
    <w:unhideWhenUsed/>
    <w:qFormat/>
    <w:rsid w:val="003B04DE"/>
    <w:rPr>
      <w:vertAlign w:val="superscript"/>
    </w:rPr>
  </w:style>
  <w:style w:type="character" w:customStyle="1" w:styleId="apple-converted-space">
    <w:name w:val="apple-converted-space"/>
    <w:basedOn w:val="Fuentedeprrafopredeter"/>
    <w:rsid w:val="0068525D"/>
  </w:style>
  <w:style w:type="paragraph" w:styleId="Textodeglobo">
    <w:name w:val="Balloon Text"/>
    <w:basedOn w:val="Normal"/>
    <w:link w:val="TextodegloboCar"/>
    <w:uiPriority w:val="99"/>
    <w:semiHidden/>
    <w:unhideWhenUsed/>
    <w:rsid w:val="002447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703"/>
    <w:rPr>
      <w:rFonts w:ascii="Segoe UI" w:hAnsi="Segoe UI" w:cs="Segoe UI"/>
      <w:sz w:val="18"/>
      <w:szCs w:val="18"/>
    </w:rPr>
  </w:style>
  <w:style w:type="character" w:styleId="nfasis">
    <w:name w:val="Emphasis"/>
    <w:basedOn w:val="Fuentedeprrafopredeter"/>
    <w:uiPriority w:val="20"/>
    <w:qFormat/>
    <w:rsid w:val="00CE0363"/>
    <w:rPr>
      <w:i/>
      <w:iCs/>
    </w:rPr>
  </w:style>
  <w:style w:type="character" w:styleId="Hipervnculo">
    <w:name w:val="Hyperlink"/>
    <w:basedOn w:val="Fuentedeprrafopredeter"/>
    <w:uiPriority w:val="99"/>
    <w:unhideWhenUsed/>
    <w:rsid w:val="008610FF"/>
    <w:rPr>
      <w:color w:val="0563C1" w:themeColor="hyperlink"/>
      <w:u w:val="single"/>
    </w:rPr>
  </w:style>
  <w:style w:type="character" w:customStyle="1" w:styleId="PrrafodelistaCar">
    <w:name w:val="Párrafo de lista Car"/>
    <w:aliases w:val="Delitos Car,Lista vistosa - Énfasis 11 Car"/>
    <w:link w:val="Prrafodelista"/>
    <w:uiPriority w:val="34"/>
    <w:locked/>
    <w:rsid w:val="008E05B0"/>
  </w:style>
  <w:style w:type="paragraph" w:styleId="Encabezado">
    <w:name w:val="header"/>
    <w:basedOn w:val="Normal"/>
    <w:link w:val="EncabezadoCar"/>
    <w:uiPriority w:val="99"/>
    <w:unhideWhenUsed/>
    <w:rsid w:val="00806F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F54"/>
  </w:style>
  <w:style w:type="paragraph" w:styleId="Piedepgina">
    <w:name w:val="footer"/>
    <w:basedOn w:val="Normal"/>
    <w:link w:val="PiedepginaCar"/>
    <w:uiPriority w:val="99"/>
    <w:unhideWhenUsed/>
    <w:rsid w:val="00806F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F54"/>
  </w:style>
  <w:style w:type="character" w:customStyle="1" w:styleId="Ttulo4Car">
    <w:name w:val="Título 4 Car"/>
    <w:basedOn w:val="Fuentedeprrafopredeter"/>
    <w:link w:val="Ttulo4"/>
    <w:rsid w:val="00806F54"/>
    <w:rPr>
      <w:rFonts w:ascii="Times New Roman" w:eastAsia="Times New Roman" w:hAnsi="Times New Roman" w:cs="Times New Roman"/>
      <w:b/>
      <w:bCs/>
      <w:sz w:val="28"/>
      <w:szCs w:val="28"/>
      <w:lang w:eastAsia="es-ES"/>
    </w:rPr>
  </w:style>
  <w:style w:type="table" w:styleId="Tablaconcuadrcula">
    <w:name w:val="Table Grid"/>
    <w:basedOn w:val="Tablanormal"/>
    <w:uiPriority w:val="39"/>
    <w:rsid w:val="00EF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602635">
      <w:bodyDiv w:val="1"/>
      <w:marLeft w:val="0"/>
      <w:marRight w:val="0"/>
      <w:marTop w:val="0"/>
      <w:marBottom w:val="0"/>
      <w:divBdr>
        <w:top w:val="none" w:sz="0" w:space="0" w:color="auto"/>
        <w:left w:val="none" w:sz="0" w:space="0" w:color="auto"/>
        <w:bottom w:val="none" w:sz="0" w:space="0" w:color="auto"/>
        <w:right w:val="none" w:sz="0" w:space="0" w:color="auto"/>
      </w:divBdr>
      <w:divsChild>
        <w:div w:id="1863518621">
          <w:marLeft w:val="0"/>
          <w:marRight w:val="0"/>
          <w:marTop w:val="0"/>
          <w:marBottom w:val="0"/>
          <w:divBdr>
            <w:top w:val="none" w:sz="0" w:space="0" w:color="auto"/>
            <w:left w:val="none" w:sz="0" w:space="0" w:color="auto"/>
            <w:bottom w:val="none" w:sz="0" w:space="0" w:color="auto"/>
            <w:right w:val="none" w:sz="0" w:space="0" w:color="auto"/>
          </w:divBdr>
        </w:div>
        <w:div w:id="1769502206">
          <w:marLeft w:val="0"/>
          <w:marRight w:val="0"/>
          <w:marTop w:val="0"/>
          <w:marBottom w:val="0"/>
          <w:divBdr>
            <w:top w:val="none" w:sz="0" w:space="0" w:color="auto"/>
            <w:left w:val="none" w:sz="0" w:space="0" w:color="auto"/>
            <w:bottom w:val="none" w:sz="0" w:space="0" w:color="auto"/>
            <w:right w:val="none" w:sz="0" w:space="0" w:color="auto"/>
          </w:divBdr>
        </w:div>
        <w:div w:id="827671655">
          <w:marLeft w:val="705"/>
          <w:marRight w:val="0"/>
          <w:marTop w:val="0"/>
          <w:marBottom w:val="0"/>
          <w:divBdr>
            <w:top w:val="none" w:sz="0" w:space="0" w:color="auto"/>
            <w:left w:val="none" w:sz="0" w:space="0" w:color="auto"/>
            <w:bottom w:val="none" w:sz="0" w:space="0" w:color="auto"/>
            <w:right w:val="none" w:sz="0" w:space="0" w:color="auto"/>
          </w:divBdr>
        </w:div>
        <w:div w:id="1190338290">
          <w:marLeft w:val="705"/>
          <w:marRight w:val="0"/>
          <w:marTop w:val="0"/>
          <w:marBottom w:val="0"/>
          <w:divBdr>
            <w:top w:val="none" w:sz="0" w:space="0" w:color="auto"/>
            <w:left w:val="none" w:sz="0" w:space="0" w:color="auto"/>
            <w:bottom w:val="none" w:sz="0" w:space="0" w:color="auto"/>
            <w:right w:val="none" w:sz="0" w:space="0" w:color="auto"/>
          </w:divBdr>
        </w:div>
        <w:div w:id="76423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5706-83CE-40C3-A3A8-38F5FFCD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15</Pages>
  <Words>4645</Words>
  <Characters>25550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Velasco Montoya</dc:creator>
  <cp:keywords/>
  <dc:description/>
  <cp:lastModifiedBy>Gladys martin. Martinez Alzate</cp:lastModifiedBy>
  <cp:revision>71</cp:revision>
  <cp:lastPrinted>2017-09-20T17:00:00Z</cp:lastPrinted>
  <dcterms:created xsi:type="dcterms:W3CDTF">2017-08-09T20:08:00Z</dcterms:created>
  <dcterms:modified xsi:type="dcterms:W3CDTF">2017-09-20T17:07:00Z</dcterms:modified>
</cp:coreProperties>
</file>